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header23.xml" ContentType="application/vnd.openxmlformats-officedocument.wordprocessingml.header+xml"/>
  <Override PartName="/word/footer25.xml" ContentType="application/vnd.openxmlformats-officedocument.wordprocessingml.footer+xml"/>
  <Override PartName="/word/header24.xml" ContentType="application/vnd.openxmlformats-officedocument.wordprocessingml.head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Override PartName="/word/header26.xml" ContentType="application/vnd.openxmlformats-officedocument.wordprocessingml.header+xml"/>
  <Override PartName="/word/footer28.xml" ContentType="application/vnd.openxmlformats-officedocument.wordprocessingml.footer+xml"/>
  <Override PartName="/word/header27.xml" ContentType="application/vnd.openxmlformats-officedocument.wordprocessingml.header+xml"/>
  <Override PartName="/word/footer29.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rPr>
      </w:pPr>
      <w:r>
        <w:rPr/>
        <w:pict>
          <v:shapetype id="_x0000_t202" o:spt="202" coordsize="21600,21600" path="m,l,21600r21600,l21600,xe">
            <v:stroke joinstyle="miter"/>
            <v:path gradientshapeok="t" o:connecttype="rect"/>
          </v:shapetype>
          <v:shape style="position:absolute;margin-left:51pt;margin-top:802.975342pt;width:4.75pt;height:10.6pt;mso-position-horizontal-relative:page;mso-position-vertical-relative:page;z-index:-288244736" type="#_x0000_t202" filled="false" stroked="false">
            <v:textbox inset="0,0,0,0">
              <w:txbxContent>
                <w:p>
                  <w:pPr>
                    <w:spacing w:line="212" w:lineRule="exact" w:before="0"/>
                    <w:ind w:left="0" w:right="0" w:firstLine="0"/>
                    <w:jc w:val="left"/>
                    <w:rPr>
                      <w:sz w:val="19"/>
                    </w:rPr>
                  </w:pPr>
                  <w:r>
                    <w:rPr>
                      <w:color w:val="404040"/>
                      <w:w w:val="99"/>
                      <w:sz w:val="19"/>
                    </w:rPr>
                    <w:t>v</w:t>
                  </w:r>
                </w:p>
              </w:txbxContent>
            </v:textbox>
            <w10:wrap type="none"/>
          </v:shape>
        </w:pict>
      </w:r>
      <w:r>
        <w:rPr/>
        <w:pict>
          <v:group style="position:absolute;margin-left:0pt;margin-top:0pt;width:595.25pt;height:842.05pt;mso-position-horizontal-relative:page;mso-position-vertical-relative:page;z-index:-288243712" coordorigin="0,0" coordsize="11905,16841">
            <v:shape style="position:absolute;left:0;top:0;width:11905;height:16841" type="#_x0000_t75" stroked="false">
              <v:imagedata r:id="rId5" o:title=""/>
            </v:shape>
            <v:shape style="position:absolute;left:794;top:14572;width:1950;height:1479" type="#_x0000_t75" stroked="false">
              <v:imagedata r:id="rId6" o:title=""/>
            </v:shape>
            <w10:wrap type="none"/>
          </v:group>
        </w:pic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sz w:val="28"/>
        </w:rPr>
      </w:pPr>
    </w:p>
    <w:p>
      <w:pPr>
        <w:spacing w:before="69"/>
        <w:ind w:left="1602" w:right="1728" w:firstLine="0"/>
        <w:jc w:val="center"/>
        <w:rPr>
          <w:sz w:val="96"/>
        </w:rPr>
      </w:pPr>
      <w:r>
        <w:rPr>
          <w:color w:val="FFFFFF"/>
          <w:sz w:val="96"/>
        </w:rPr>
        <w:t>30 June 2018 Valuation Report</w:t>
      </w:r>
    </w:p>
    <w:p>
      <w:pPr>
        <w:pStyle w:val="BodyText"/>
        <w:rPr>
          <w:sz w:val="106"/>
        </w:rPr>
      </w:pPr>
    </w:p>
    <w:p>
      <w:pPr>
        <w:pStyle w:val="BodyText"/>
        <w:rPr>
          <w:sz w:val="106"/>
        </w:rPr>
      </w:pPr>
    </w:p>
    <w:p>
      <w:pPr>
        <w:pStyle w:val="BodyText"/>
        <w:rPr>
          <w:sz w:val="106"/>
        </w:rPr>
      </w:pPr>
    </w:p>
    <w:p>
      <w:pPr>
        <w:pStyle w:val="BodyText"/>
        <w:rPr>
          <w:sz w:val="106"/>
        </w:rPr>
      </w:pPr>
    </w:p>
    <w:p>
      <w:pPr>
        <w:pStyle w:val="BodyText"/>
        <w:spacing w:before="7"/>
        <w:rPr>
          <w:sz w:val="97"/>
        </w:rPr>
      </w:pPr>
    </w:p>
    <w:p>
      <w:pPr>
        <w:spacing w:before="0"/>
        <w:ind w:left="1602" w:right="1722" w:firstLine="0"/>
        <w:jc w:val="center"/>
        <w:rPr>
          <w:sz w:val="56"/>
        </w:rPr>
      </w:pPr>
      <w:r>
        <w:rPr>
          <w:color w:val="FFFFFF"/>
          <w:sz w:val="56"/>
        </w:rPr>
        <w:t>Department of Social Services</w:t>
      </w:r>
    </w:p>
    <w:p>
      <w:pPr>
        <w:spacing w:before="182"/>
        <w:ind w:left="1602" w:right="1725" w:firstLine="0"/>
        <w:jc w:val="center"/>
        <w:rPr>
          <w:sz w:val="36"/>
        </w:rPr>
      </w:pPr>
      <w:r>
        <w:rPr>
          <w:color w:val="FFFFFF"/>
          <w:sz w:val="36"/>
        </w:rPr>
        <w:t>Final Report 2019</w:t>
      </w:r>
    </w:p>
    <w:p>
      <w:pPr>
        <w:spacing w:after="0"/>
        <w:jc w:val="center"/>
        <w:rPr>
          <w:sz w:val="36"/>
        </w:rPr>
        <w:sectPr>
          <w:type w:val="continuous"/>
          <w:pgSz w:w="11910" w:h="16850"/>
          <w:pgMar w:top="1600" w:bottom="280" w:left="120" w:right="0"/>
        </w:sectPr>
      </w:pPr>
    </w:p>
    <w:p>
      <w:pPr>
        <w:pStyle w:val="BodyText"/>
        <w:spacing w:before="4"/>
        <w:rPr>
          <w:sz w:val="17"/>
        </w:rPr>
      </w:pPr>
    </w:p>
    <w:p>
      <w:pPr>
        <w:spacing w:after="0"/>
        <w:rPr>
          <w:sz w:val="17"/>
        </w:rPr>
        <w:sectPr>
          <w:pgSz w:w="11910" w:h="16850"/>
          <w:pgMar w:top="1600" w:bottom="280" w:left="120" w:right="0"/>
        </w:sectPr>
      </w:pPr>
    </w:p>
    <w:p>
      <w:pPr>
        <w:spacing w:before="68"/>
        <w:ind w:left="900" w:right="0" w:firstLine="0"/>
        <w:jc w:val="left"/>
        <w:rPr>
          <w:sz w:val="48"/>
        </w:rPr>
      </w:pPr>
      <w:r>
        <w:rPr>
          <w:color w:val="FF0000"/>
          <w:sz w:val="48"/>
        </w:rPr>
        <w:t>Contents</w:t>
      </w:r>
    </w:p>
    <w:sdt>
      <w:sdtPr>
        <w:docPartObj>
          <w:docPartGallery w:val="Table of Contents"/>
          <w:docPartUnique/>
        </w:docPartObj>
      </w:sdtPr>
      <w:sdtEndPr/>
      <w:sdtContent>
        <w:p>
          <w:pPr>
            <w:pStyle w:val="TOC1"/>
            <w:tabs>
              <w:tab w:pos="10709" w:val="right" w:leader="none"/>
            </w:tabs>
            <w:ind w:firstLine="0"/>
          </w:pPr>
          <w:hyperlink w:history="true" w:anchor="_bookmark0">
            <w:r>
              <w:rPr/>
              <w:t>Part I:</w:t>
            </w:r>
            <w:r>
              <w:rPr>
                <w:spacing w:val="1"/>
              </w:rPr>
              <w:t> </w:t>
            </w:r>
            <w:r>
              <w:rPr/>
              <w:t>Executive</w:t>
            </w:r>
            <w:r>
              <w:rPr>
                <w:spacing w:val="-1"/>
              </w:rPr>
              <w:t> </w:t>
            </w:r>
            <w:r>
              <w:rPr/>
              <w:t>summary</w:t>
              <w:tab/>
              <w:t>1</w:t>
            </w:r>
          </w:hyperlink>
        </w:p>
        <w:p>
          <w:pPr>
            <w:pStyle w:val="TOC1"/>
            <w:tabs>
              <w:tab w:pos="10706" w:val="right" w:leader="none"/>
            </w:tabs>
            <w:spacing w:before="120"/>
            <w:ind w:firstLine="0"/>
          </w:pPr>
          <w:hyperlink w:history="true" w:anchor="_bookmark2">
            <w:r>
              <w:rPr/>
              <w:t>Part II:</w:t>
            </w:r>
            <w:r>
              <w:rPr>
                <w:spacing w:val="-1"/>
              </w:rPr>
              <w:t> </w:t>
            </w:r>
            <w:r>
              <w:rPr/>
              <w:t>Valuation results</w:t>
              <w:tab/>
              <w:t>19</w:t>
            </w:r>
          </w:hyperlink>
        </w:p>
        <w:p>
          <w:pPr>
            <w:pStyle w:val="TOC1"/>
            <w:numPr>
              <w:ilvl w:val="0"/>
              <w:numId w:val="1"/>
            </w:numPr>
            <w:tabs>
              <w:tab w:pos="2601" w:val="left" w:leader="none"/>
              <w:tab w:pos="2602" w:val="left" w:leader="none"/>
              <w:tab w:pos="10706" w:val="right" w:leader="none"/>
            </w:tabs>
            <w:spacing w:line="240" w:lineRule="auto" w:before="121" w:after="0"/>
            <w:ind w:left="2601" w:right="0" w:hanging="570"/>
            <w:jc w:val="left"/>
          </w:pPr>
          <w:hyperlink w:history="true" w:anchor="_bookmark3">
            <w:r>
              <w:rPr/>
              <w:t>Introduction</w:t>
              <w:tab/>
              <w:t>20</w:t>
            </w:r>
          </w:hyperlink>
        </w:p>
        <w:p>
          <w:pPr>
            <w:pStyle w:val="TOC2"/>
            <w:numPr>
              <w:ilvl w:val="1"/>
              <w:numId w:val="1"/>
            </w:numPr>
            <w:tabs>
              <w:tab w:pos="3167" w:val="left" w:leader="none"/>
              <w:tab w:pos="3168" w:val="left" w:leader="none"/>
              <w:tab w:pos="10706" w:val="right" w:leader="none"/>
            </w:tabs>
            <w:spacing w:line="240" w:lineRule="auto" w:before="123" w:after="0"/>
            <w:ind w:left="3168" w:right="0" w:hanging="567"/>
            <w:jc w:val="left"/>
          </w:pPr>
          <w:hyperlink w:history="true" w:anchor="_bookmark4">
            <w:r>
              <w:rPr/>
              <w:t>Background</w:t>
            </w:r>
            <w:r>
              <w:rPr>
                <w:spacing w:val="-2"/>
              </w:rPr>
              <w:t> </w:t>
            </w:r>
            <w:r>
              <w:rPr/>
              <w:t>and</w:t>
            </w:r>
            <w:r>
              <w:rPr>
                <w:spacing w:val="-1"/>
              </w:rPr>
              <w:t> </w:t>
            </w:r>
            <w:r>
              <w:rPr/>
              <w:t>Introduction</w:t>
              <w:tab/>
              <w:t>20</w:t>
            </w:r>
          </w:hyperlink>
        </w:p>
        <w:p>
          <w:pPr>
            <w:pStyle w:val="TOC2"/>
            <w:numPr>
              <w:ilvl w:val="1"/>
              <w:numId w:val="1"/>
            </w:numPr>
            <w:tabs>
              <w:tab w:pos="3167" w:val="left" w:leader="none"/>
              <w:tab w:pos="3168" w:val="left" w:leader="none"/>
              <w:tab w:pos="10706" w:val="right" w:leader="none"/>
            </w:tabs>
            <w:spacing w:line="229" w:lineRule="exact" w:before="0" w:after="0"/>
            <w:ind w:left="3168" w:right="0" w:hanging="567"/>
            <w:jc w:val="left"/>
          </w:pPr>
          <w:hyperlink w:history="true" w:anchor="_bookmark5">
            <w:r>
              <w:rPr/>
              <w:t>Summary of June 2018</w:t>
            </w:r>
            <w:r>
              <w:rPr>
                <w:spacing w:val="-7"/>
              </w:rPr>
              <w:t> </w:t>
            </w:r>
            <w:r>
              <w:rPr/>
              <w:t>valuation</w:t>
            </w:r>
            <w:r>
              <w:rPr>
                <w:spacing w:val="-1"/>
              </w:rPr>
              <w:t> </w:t>
            </w:r>
            <w:r>
              <w:rPr/>
              <w:t>model</w:t>
              <w:tab/>
              <w:t>20</w:t>
            </w:r>
          </w:hyperlink>
        </w:p>
        <w:p>
          <w:pPr>
            <w:pStyle w:val="TOC2"/>
            <w:numPr>
              <w:ilvl w:val="1"/>
              <w:numId w:val="1"/>
            </w:numPr>
            <w:tabs>
              <w:tab w:pos="3167" w:val="left" w:leader="none"/>
              <w:tab w:pos="3168" w:val="left" w:leader="none"/>
              <w:tab w:pos="10706" w:val="right" w:leader="none"/>
            </w:tabs>
            <w:spacing w:line="229" w:lineRule="exact" w:before="0" w:after="0"/>
            <w:ind w:left="3168" w:right="0" w:hanging="567"/>
            <w:jc w:val="left"/>
          </w:pPr>
          <w:hyperlink w:history="true" w:anchor="_bookmark7">
            <w:r>
              <w:rPr/>
              <w:t>Model</w:t>
            </w:r>
            <w:r>
              <w:rPr>
                <w:spacing w:val="-3"/>
              </w:rPr>
              <w:t> </w:t>
            </w:r>
            <w:r>
              <w:rPr/>
              <w:t>uses</w:t>
              <w:tab/>
              <w:t>22</w:t>
            </w:r>
          </w:hyperlink>
        </w:p>
        <w:p>
          <w:pPr>
            <w:pStyle w:val="TOC2"/>
            <w:numPr>
              <w:ilvl w:val="1"/>
              <w:numId w:val="1"/>
            </w:numPr>
            <w:tabs>
              <w:tab w:pos="3167" w:val="left" w:leader="none"/>
              <w:tab w:pos="3168" w:val="left" w:leader="none"/>
              <w:tab w:pos="10706" w:val="right" w:leader="none"/>
            </w:tabs>
            <w:spacing w:line="240" w:lineRule="auto" w:before="0" w:after="0"/>
            <w:ind w:left="3168" w:right="0" w:hanging="567"/>
            <w:jc w:val="left"/>
          </w:pPr>
          <w:hyperlink w:history="true" w:anchor="_bookmark8">
            <w:r>
              <w:rPr/>
              <w:t>Model</w:t>
            </w:r>
            <w:r>
              <w:rPr>
                <w:spacing w:val="-1"/>
              </w:rPr>
              <w:t> </w:t>
            </w:r>
            <w:r>
              <w:rPr/>
              <w:t>limitations</w:t>
              <w:tab/>
              <w:t>23</w:t>
            </w:r>
          </w:hyperlink>
        </w:p>
        <w:p>
          <w:pPr>
            <w:pStyle w:val="TOC2"/>
            <w:numPr>
              <w:ilvl w:val="1"/>
              <w:numId w:val="1"/>
            </w:numPr>
            <w:tabs>
              <w:tab w:pos="3167" w:val="left" w:leader="none"/>
              <w:tab w:pos="3168" w:val="left" w:leader="none"/>
              <w:tab w:pos="10706" w:val="right" w:leader="none"/>
            </w:tabs>
            <w:spacing w:line="240" w:lineRule="auto" w:before="1" w:after="0"/>
            <w:ind w:left="3168" w:right="0" w:hanging="567"/>
            <w:jc w:val="left"/>
          </w:pPr>
          <w:hyperlink w:history="true" w:anchor="_bookmark9">
            <w:r>
              <w:rPr/>
              <w:t>Reliances</w:t>
              <w:tab/>
              <w:t>23</w:t>
            </w:r>
          </w:hyperlink>
        </w:p>
        <w:p>
          <w:pPr>
            <w:pStyle w:val="TOC2"/>
            <w:numPr>
              <w:ilvl w:val="1"/>
              <w:numId w:val="1"/>
            </w:numPr>
            <w:tabs>
              <w:tab w:pos="3167" w:val="left" w:leader="none"/>
              <w:tab w:pos="3168" w:val="left" w:leader="none"/>
              <w:tab w:pos="10706" w:val="right" w:leader="none"/>
            </w:tabs>
            <w:spacing w:line="240" w:lineRule="auto" w:before="0" w:after="0"/>
            <w:ind w:left="3168" w:right="0" w:hanging="567"/>
            <w:jc w:val="left"/>
          </w:pPr>
          <w:hyperlink w:history="true" w:anchor="_bookmark10">
            <w:r>
              <w:rPr/>
              <w:t>Professional</w:t>
            </w:r>
            <w:r>
              <w:rPr>
                <w:spacing w:val="-3"/>
              </w:rPr>
              <w:t> </w:t>
            </w:r>
            <w:r>
              <w:rPr/>
              <w:t>standards</w:t>
              <w:tab/>
              <w:t>23</w:t>
            </w:r>
          </w:hyperlink>
        </w:p>
        <w:p>
          <w:pPr>
            <w:pStyle w:val="TOC1"/>
            <w:numPr>
              <w:ilvl w:val="0"/>
              <w:numId w:val="1"/>
            </w:numPr>
            <w:tabs>
              <w:tab w:pos="2601" w:val="left" w:leader="none"/>
              <w:tab w:pos="2602" w:val="left" w:leader="none"/>
              <w:tab w:pos="10706" w:val="right" w:leader="none"/>
            </w:tabs>
            <w:spacing w:line="240" w:lineRule="auto" w:before="118" w:after="0"/>
            <w:ind w:left="2601" w:right="0" w:hanging="570"/>
            <w:jc w:val="left"/>
          </w:pPr>
          <w:hyperlink w:history="true" w:anchor="_bookmark11">
            <w:r>
              <w:rPr/>
              <w:t>Developments and</w:t>
            </w:r>
            <w:r>
              <w:rPr>
                <w:spacing w:val="-2"/>
              </w:rPr>
              <w:t> </w:t>
            </w:r>
            <w:r>
              <w:rPr/>
              <w:t>new</w:t>
            </w:r>
            <w:r>
              <w:rPr>
                <w:spacing w:val="3"/>
              </w:rPr>
              <w:t> </w:t>
            </w:r>
            <w:r>
              <w:rPr/>
              <w:t>insights</w:t>
              <w:tab/>
              <w:t>24</w:t>
            </w:r>
          </w:hyperlink>
        </w:p>
      </w:sdtContent>
    </w:sdt>
    <w:p>
      <w:pPr>
        <w:pStyle w:val="BodyText"/>
        <w:spacing w:before="4"/>
        <w:rPr>
          <w:b/>
          <w:sz w:val="11"/>
        </w:rPr>
      </w:pPr>
    </w:p>
    <w:tbl>
      <w:tblPr>
        <w:tblW w:w="0" w:type="auto"/>
        <w:jc w:val="left"/>
        <w:tblInd w:w="1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0"/>
        <w:gridCol w:w="779"/>
        <w:gridCol w:w="6087"/>
        <w:gridCol w:w="1518"/>
      </w:tblGrid>
      <w:tr>
        <w:trPr>
          <w:trHeight w:val="225" w:hRule="atLeast"/>
        </w:trPr>
        <w:tc>
          <w:tcPr>
            <w:tcW w:w="390" w:type="dxa"/>
            <w:vMerge w:val="restart"/>
          </w:tcPr>
          <w:p>
            <w:pPr>
              <w:pStyle w:val="TableParagraph"/>
              <w:spacing w:before="0"/>
              <w:rPr>
                <w:rFonts w:ascii="Times New Roman"/>
                <w:sz w:val="20"/>
              </w:rPr>
            </w:pPr>
          </w:p>
        </w:tc>
        <w:tc>
          <w:tcPr>
            <w:tcW w:w="779" w:type="dxa"/>
          </w:tcPr>
          <w:p>
            <w:pPr>
              <w:pStyle w:val="TableParagraph"/>
              <w:spacing w:line="205" w:lineRule="exact" w:before="0"/>
              <w:ind w:left="228"/>
              <w:rPr>
                <w:sz w:val="20"/>
              </w:rPr>
            </w:pPr>
            <w:hyperlink w:history="true" w:anchor="_bookmark12">
              <w:r>
                <w:rPr>
                  <w:sz w:val="20"/>
                </w:rPr>
                <w:t>2.1</w:t>
              </w:r>
            </w:hyperlink>
          </w:p>
        </w:tc>
        <w:tc>
          <w:tcPr>
            <w:tcW w:w="6087" w:type="dxa"/>
          </w:tcPr>
          <w:p>
            <w:pPr>
              <w:pStyle w:val="TableParagraph"/>
              <w:spacing w:line="205" w:lineRule="exact" w:before="0"/>
              <w:ind w:left="16"/>
              <w:rPr>
                <w:sz w:val="20"/>
              </w:rPr>
            </w:pPr>
            <w:hyperlink w:history="true" w:anchor="_bookmark12">
              <w:r>
                <w:rPr>
                  <w:sz w:val="20"/>
                </w:rPr>
                <w:t>Overview of model developments for the 2018 valuation</w:t>
              </w:r>
            </w:hyperlink>
          </w:p>
        </w:tc>
        <w:tc>
          <w:tcPr>
            <w:tcW w:w="1518" w:type="dxa"/>
          </w:tcPr>
          <w:p>
            <w:pPr>
              <w:pStyle w:val="TableParagraph"/>
              <w:spacing w:line="205" w:lineRule="exact" w:before="0"/>
              <w:ind w:right="48"/>
              <w:jc w:val="right"/>
              <w:rPr>
                <w:sz w:val="20"/>
              </w:rPr>
            </w:pPr>
            <w:hyperlink w:history="true" w:anchor="_bookmark12">
              <w:r>
                <w:rPr>
                  <w:w w:val="95"/>
                  <w:sz w:val="20"/>
                </w:rPr>
                <w:t>25</w:t>
              </w:r>
            </w:hyperlink>
          </w:p>
        </w:tc>
      </w:tr>
      <w:tr>
        <w:trPr>
          <w:trHeight w:val="229" w:hRule="atLeast"/>
        </w:trPr>
        <w:tc>
          <w:tcPr>
            <w:tcW w:w="390" w:type="dxa"/>
            <w:vMerge/>
            <w:tcBorders>
              <w:top w:val="nil"/>
            </w:tcBorders>
          </w:tcPr>
          <w:p>
            <w:pPr>
              <w:rPr>
                <w:sz w:val="2"/>
                <w:szCs w:val="2"/>
              </w:rPr>
            </w:pPr>
          </w:p>
        </w:tc>
        <w:tc>
          <w:tcPr>
            <w:tcW w:w="779" w:type="dxa"/>
          </w:tcPr>
          <w:p>
            <w:pPr>
              <w:pStyle w:val="TableParagraph"/>
              <w:spacing w:line="209" w:lineRule="exact" w:before="0"/>
              <w:ind w:left="228"/>
              <w:rPr>
                <w:sz w:val="20"/>
              </w:rPr>
            </w:pPr>
            <w:hyperlink w:history="true" w:anchor="_bookmark13">
              <w:r>
                <w:rPr>
                  <w:sz w:val="20"/>
                </w:rPr>
                <w:t>2.2</w:t>
              </w:r>
            </w:hyperlink>
          </w:p>
        </w:tc>
        <w:tc>
          <w:tcPr>
            <w:tcW w:w="6087" w:type="dxa"/>
          </w:tcPr>
          <w:p>
            <w:pPr>
              <w:pStyle w:val="TableParagraph"/>
              <w:spacing w:line="209" w:lineRule="exact" w:before="0"/>
              <w:ind w:left="16"/>
              <w:rPr>
                <w:sz w:val="20"/>
              </w:rPr>
            </w:pPr>
            <w:hyperlink w:history="true" w:anchor="_bookmark13">
              <w:r>
                <w:rPr>
                  <w:sz w:val="20"/>
                </w:rPr>
                <w:t>Geographical insights</w:t>
              </w:r>
            </w:hyperlink>
          </w:p>
        </w:tc>
        <w:tc>
          <w:tcPr>
            <w:tcW w:w="1518" w:type="dxa"/>
          </w:tcPr>
          <w:p>
            <w:pPr>
              <w:pStyle w:val="TableParagraph"/>
              <w:spacing w:line="209" w:lineRule="exact" w:before="0"/>
              <w:ind w:right="48"/>
              <w:jc w:val="right"/>
              <w:rPr>
                <w:sz w:val="20"/>
              </w:rPr>
            </w:pPr>
            <w:hyperlink w:history="true" w:anchor="_bookmark13">
              <w:r>
                <w:rPr>
                  <w:w w:val="95"/>
                  <w:sz w:val="20"/>
                </w:rPr>
                <w:t>26</w:t>
              </w:r>
            </w:hyperlink>
          </w:p>
        </w:tc>
      </w:tr>
      <w:tr>
        <w:trPr>
          <w:trHeight w:val="230" w:hRule="atLeast"/>
        </w:trPr>
        <w:tc>
          <w:tcPr>
            <w:tcW w:w="390" w:type="dxa"/>
            <w:vMerge/>
            <w:tcBorders>
              <w:top w:val="nil"/>
            </w:tcBorders>
          </w:tcPr>
          <w:p>
            <w:pPr>
              <w:rPr>
                <w:sz w:val="2"/>
                <w:szCs w:val="2"/>
              </w:rPr>
            </w:pPr>
          </w:p>
        </w:tc>
        <w:tc>
          <w:tcPr>
            <w:tcW w:w="779" w:type="dxa"/>
          </w:tcPr>
          <w:p>
            <w:pPr>
              <w:pStyle w:val="TableParagraph"/>
              <w:spacing w:line="210" w:lineRule="exact" w:before="0"/>
              <w:ind w:left="228"/>
              <w:rPr>
                <w:sz w:val="20"/>
              </w:rPr>
            </w:pPr>
            <w:hyperlink w:history="true" w:anchor="_bookmark14">
              <w:r>
                <w:rPr>
                  <w:sz w:val="20"/>
                </w:rPr>
                <w:t>2.3</w:t>
              </w:r>
            </w:hyperlink>
          </w:p>
        </w:tc>
        <w:tc>
          <w:tcPr>
            <w:tcW w:w="6087" w:type="dxa"/>
          </w:tcPr>
          <w:p>
            <w:pPr>
              <w:pStyle w:val="TableParagraph"/>
              <w:spacing w:line="210" w:lineRule="exact" w:before="0"/>
              <w:ind w:left="16"/>
              <w:rPr>
                <w:sz w:val="20"/>
              </w:rPr>
            </w:pPr>
            <w:hyperlink w:history="true" w:anchor="_bookmark14">
              <w:r>
                <w:rPr>
                  <w:sz w:val="20"/>
                </w:rPr>
                <w:t>Refugees</w:t>
              </w:r>
            </w:hyperlink>
          </w:p>
        </w:tc>
        <w:tc>
          <w:tcPr>
            <w:tcW w:w="1518" w:type="dxa"/>
          </w:tcPr>
          <w:p>
            <w:pPr>
              <w:pStyle w:val="TableParagraph"/>
              <w:spacing w:line="210" w:lineRule="exact" w:before="0"/>
              <w:ind w:right="48"/>
              <w:jc w:val="right"/>
              <w:rPr>
                <w:sz w:val="20"/>
              </w:rPr>
            </w:pPr>
            <w:hyperlink w:history="true" w:anchor="_bookmark14">
              <w:r>
                <w:rPr>
                  <w:w w:val="95"/>
                  <w:sz w:val="20"/>
                </w:rPr>
                <w:t>30</w:t>
              </w:r>
            </w:hyperlink>
          </w:p>
        </w:tc>
      </w:tr>
      <w:tr>
        <w:trPr>
          <w:trHeight w:val="230" w:hRule="atLeast"/>
        </w:trPr>
        <w:tc>
          <w:tcPr>
            <w:tcW w:w="390" w:type="dxa"/>
            <w:vMerge/>
            <w:tcBorders>
              <w:top w:val="nil"/>
            </w:tcBorders>
          </w:tcPr>
          <w:p>
            <w:pPr>
              <w:rPr>
                <w:sz w:val="2"/>
                <w:szCs w:val="2"/>
              </w:rPr>
            </w:pPr>
          </w:p>
        </w:tc>
        <w:tc>
          <w:tcPr>
            <w:tcW w:w="779" w:type="dxa"/>
          </w:tcPr>
          <w:p>
            <w:pPr>
              <w:pStyle w:val="TableParagraph"/>
              <w:spacing w:line="210" w:lineRule="exact" w:before="0"/>
              <w:ind w:left="228"/>
              <w:rPr>
                <w:sz w:val="20"/>
              </w:rPr>
            </w:pPr>
            <w:hyperlink w:history="true" w:anchor="_bookmark16">
              <w:r>
                <w:rPr>
                  <w:sz w:val="20"/>
                </w:rPr>
                <w:t>2.4</w:t>
              </w:r>
            </w:hyperlink>
          </w:p>
        </w:tc>
        <w:tc>
          <w:tcPr>
            <w:tcW w:w="6087" w:type="dxa"/>
          </w:tcPr>
          <w:p>
            <w:pPr>
              <w:pStyle w:val="TableParagraph"/>
              <w:spacing w:line="210" w:lineRule="exact" w:before="0"/>
              <w:ind w:left="16"/>
              <w:rPr>
                <w:sz w:val="20"/>
              </w:rPr>
            </w:pPr>
            <w:hyperlink w:history="true" w:anchor="_bookmark16">
              <w:r>
                <w:rPr>
                  <w:sz w:val="20"/>
                </w:rPr>
                <w:t>Working Age recipients</w:t>
              </w:r>
            </w:hyperlink>
          </w:p>
        </w:tc>
        <w:tc>
          <w:tcPr>
            <w:tcW w:w="1518" w:type="dxa"/>
          </w:tcPr>
          <w:p>
            <w:pPr>
              <w:pStyle w:val="TableParagraph"/>
              <w:spacing w:line="210" w:lineRule="exact" w:before="0"/>
              <w:ind w:right="48"/>
              <w:jc w:val="right"/>
              <w:rPr>
                <w:sz w:val="20"/>
              </w:rPr>
            </w:pPr>
            <w:hyperlink w:history="true" w:anchor="_bookmark16">
              <w:r>
                <w:rPr>
                  <w:w w:val="95"/>
                  <w:sz w:val="20"/>
                </w:rPr>
                <w:t>33</w:t>
              </w:r>
            </w:hyperlink>
          </w:p>
        </w:tc>
      </w:tr>
      <w:tr>
        <w:trPr>
          <w:trHeight w:val="289" w:hRule="atLeast"/>
        </w:trPr>
        <w:tc>
          <w:tcPr>
            <w:tcW w:w="390" w:type="dxa"/>
            <w:vMerge/>
            <w:tcBorders>
              <w:top w:val="nil"/>
            </w:tcBorders>
          </w:tcPr>
          <w:p>
            <w:pPr>
              <w:rPr>
                <w:sz w:val="2"/>
                <w:szCs w:val="2"/>
              </w:rPr>
            </w:pPr>
          </w:p>
        </w:tc>
        <w:tc>
          <w:tcPr>
            <w:tcW w:w="779" w:type="dxa"/>
          </w:tcPr>
          <w:p>
            <w:pPr>
              <w:pStyle w:val="TableParagraph"/>
              <w:spacing w:line="227" w:lineRule="exact" w:before="0"/>
              <w:ind w:left="228"/>
              <w:rPr>
                <w:sz w:val="20"/>
              </w:rPr>
            </w:pPr>
            <w:hyperlink w:history="true" w:anchor="_bookmark19">
              <w:r>
                <w:rPr>
                  <w:sz w:val="20"/>
                </w:rPr>
                <w:t>2.5</w:t>
              </w:r>
            </w:hyperlink>
          </w:p>
        </w:tc>
        <w:tc>
          <w:tcPr>
            <w:tcW w:w="6087" w:type="dxa"/>
          </w:tcPr>
          <w:p>
            <w:pPr>
              <w:pStyle w:val="TableParagraph"/>
              <w:spacing w:line="227" w:lineRule="exact" w:before="0"/>
              <w:ind w:left="16"/>
              <w:rPr>
                <w:sz w:val="20"/>
              </w:rPr>
            </w:pPr>
            <w:hyperlink w:history="true" w:anchor="_bookmark19">
              <w:r>
                <w:rPr>
                  <w:sz w:val="20"/>
                </w:rPr>
                <w:t>Drivers of lifetime cost</w:t>
              </w:r>
            </w:hyperlink>
          </w:p>
        </w:tc>
        <w:tc>
          <w:tcPr>
            <w:tcW w:w="1518" w:type="dxa"/>
          </w:tcPr>
          <w:p>
            <w:pPr>
              <w:pStyle w:val="TableParagraph"/>
              <w:spacing w:line="227" w:lineRule="exact" w:before="0"/>
              <w:ind w:right="48"/>
              <w:jc w:val="right"/>
              <w:rPr>
                <w:sz w:val="20"/>
              </w:rPr>
            </w:pPr>
            <w:hyperlink w:history="true" w:anchor="_bookmark19">
              <w:r>
                <w:rPr>
                  <w:w w:val="95"/>
                  <w:sz w:val="20"/>
                </w:rPr>
                <w:t>35</w:t>
              </w:r>
            </w:hyperlink>
          </w:p>
        </w:tc>
      </w:tr>
      <w:tr>
        <w:trPr>
          <w:trHeight w:val="350" w:hRule="atLeast"/>
        </w:trPr>
        <w:tc>
          <w:tcPr>
            <w:tcW w:w="390" w:type="dxa"/>
          </w:tcPr>
          <w:p>
            <w:pPr>
              <w:pStyle w:val="TableParagraph"/>
              <w:spacing w:before="55"/>
              <w:ind w:left="50"/>
              <w:rPr>
                <w:b/>
                <w:sz w:val="20"/>
              </w:rPr>
            </w:pPr>
            <w:hyperlink w:history="true" w:anchor="_bookmark20">
              <w:r>
                <w:rPr>
                  <w:b/>
                  <w:w w:val="99"/>
                  <w:sz w:val="20"/>
                </w:rPr>
                <w:t>3</w:t>
              </w:r>
            </w:hyperlink>
          </w:p>
        </w:tc>
        <w:tc>
          <w:tcPr>
            <w:tcW w:w="779" w:type="dxa"/>
          </w:tcPr>
          <w:p>
            <w:pPr>
              <w:pStyle w:val="TableParagraph"/>
              <w:spacing w:before="55"/>
              <w:ind w:left="228"/>
              <w:rPr>
                <w:b/>
                <w:sz w:val="20"/>
              </w:rPr>
            </w:pPr>
            <w:hyperlink w:history="true" w:anchor="_bookmark20">
              <w:r>
                <w:rPr>
                  <w:b/>
                  <w:sz w:val="20"/>
                </w:rPr>
                <w:t>Other</w:t>
              </w:r>
            </w:hyperlink>
          </w:p>
        </w:tc>
        <w:tc>
          <w:tcPr>
            <w:tcW w:w="6087" w:type="dxa"/>
          </w:tcPr>
          <w:p>
            <w:pPr>
              <w:pStyle w:val="TableParagraph"/>
              <w:spacing w:before="55"/>
              <w:ind w:left="37"/>
              <w:rPr>
                <w:b/>
                <w:sz w:val="20"/>
              </w:rPr>
            </w:pPr>
            <w:hyperlink w:history="true" w:anchor="_bookmark20">
              <w:r>
                <w:rPr>
                  <w:b/>
                  <w:sz w:val="20"/>
                </w:rPr>
                <w:t>key changes for this valuation</w:t>
              </w:r>
            </w:hyperlink>
          </w:p>
        </w:tc>
        <w:tc>
          <w:tcPr>
            <w:tcW w:w="1518" w:type="dxa"/>
          </w:tcPr>
          <w:p>
            <w:pPr>
              <w:pStyle w:val="TableParagraph"/>
              <w:spacing w:before="55"/>
              <w:ind w:right="48"/>
              <w:jc w:val="right"/>
              <w:rPr>
                <w:b/>
                <w:sz w:val="20"/>
              </w:rPr>
            </w:pPr>
            <w:hyperlink w:history="true" w:anchor="_bookmark20">
              <w:r>
                <w:rPr>
                  <w:b/>
                  <w:w w:val="95"/>
                  <w:sz w:val="20"/>
                </w:rPr>
                <w:t>39</w:t>
              </w:r>
            </w:hyperlink>
          </w:p>
        </w:tc>
      </w:tr>
      <w:tr>
        <w:trPr>
          <w:trHeight w:val="290" w:hRule="atLeast"/>
        </w:trPr>
        <w:tc>
          <w:tcPr>
            <w:tcW w:w="390" w:type="dxa"/>
          </w:tcPr>
          <w:p>
            <w:pPr>
              <w:pStyle w:val="TableParagraph"/>
              <w:spacing w:before="0"/>
              <w:rPr>
                <w:rFonts w:ascii="Times New Roman"/>
                <w:sz w:val="20"/>
              </w:rPr>
            </w:pPr>
          </w:p>
        </w:tc>
        <w:tc>
          <w:tcPr>
            <w:tcW w:w="779" w:type="dxa"/>
          </w:tcPr>
          <w:p>
            <w:pPr>
              <w:pStyle w:val="TableParagraph"/>
              <w:spacing w:line="213" w:lineRule="exact" w:before="58"/>
              <w:ind w:left="228"/>
              <w:rPr>
                <w:sz w:val="20"/>
              </w:rPr>
            </w:pPr>
            <w:hyperlink w:history="true" w:anchor="_bookmark21">
              <w:r>
                <w:rPr>
                  <w:sz w:val="20"/>
                </w:rPr>
                <w:t>3.1</w:t>
              </w:r>
            </w:hyperlink>
          </w:p>
        </w:tc>
        <w:tc>
          <w:tcPr>
            <w:tcW w:w="6087" w:type="dxa"/>
          </w:tcPr>
          <w:p>
            <w:pPr>
              <w:pStyle w:val="TableParagraph"/>
              <w:spacing w:line="213" w:lineRule="exact" w:before="58"/>
              <w:ind w:left="16"/>
              <w:rPr>
                <w:sz w:val="20"/>
              </w:rPr>
            </w:pPr>
            <w:hyperlink w:history="true" w:anchor="_bookmark21">
              <w:r>
                <w:rPr>
                  <w:sz w:val="20"/>
                </w:rPr>
                <w:t>Introduction</w:t>
              </w:r>
            </w:hyperlink>
          </w:p>
        </w:tc>
        <w:tc>
          <w:tcPr>
            <w:tcW w:w="1518" w:type="dxa"/>
          </w:tcPr>
          <w:p>
            <w:pPr>
              <w:pStyle w:val="TableParagraph"/>
              <w:spacing w:line="213" w:lineRule="exact" w:before="58"/>
              <w:ind w:right="48"/>
              <w:jc w:val="right"/>
              <w:rPr>
                <w:sz w:val="20"/>
              </w:rPr>
            </w:pPr>
            <w:hyperlink w:history="true" w:anchor="_bookmark21">
              <w:r>
                <w:rPr>
                  <w:w w:val="95"/>
                  <w:sz w:val="20"/>
                </w:rPr>
                <w:t>39</w:t>
              </w:r>
            </w:hyperlink>
          </w:p>
        </w:tc>
      </w:tr>
      <w:tr>
        <w:trPr>
          <w:trHeight w:val="229" w:hRule="atLeast"/>
        </w:trPr>
        <w:tc>
          <w:tcPr>
            <w:tcW w:w="390" w:type="dxa"/>
          </w:tcPr>
          <w:p>
            <w:pPr>
              <w:pStyle w:val="TableParagraph"/>
              <w:spacing w:before="0"/>
              <w:rPr>
                <w:rFonts w:ascii="Times New Roman"/>
                <w:sz w:val="16"/>
              </w:rPr>
            </w:pPr>
          </w:p>
        </w:tc>
        <w:tc>
          <w:tcPr>
            <w:tcW w:w="779" w:type="dxa"/>
          </w:tcPr>
          <w:p>
            <w:pPr>
              <w:pStyle w:val="TableParagraph"/>
              <w:spacing w:line="209" w:lineRule="exact" w:before="0"/>
              <w:ind w:left="228"/>
              <w:rPr>
                <w:sz w:val="20"/>
              </w:rPr>
            </w:pPr>
            <w:hyperlink w:history="true" w:anchor="_bookmark22">
              <w:r>
                <w:rPr>
                  <w:sz w:val="20"/>
                </w:rPr>
                <w:t>3.2</w:t>
              </w:r>
            </w:hyperlink>
          </w:p>
        </w:tc>
        <w:tc>
          <w:tcPr>
            <w:tcW w:w="6087" w:type="dxa"/>
          </w:tcPr>
          <w:p>
            <w:pPr>
              <w:pStyle w:val="TableParagraph"/>
              <w:spacing w:line="209" w:lineRule="exact" w:before="0"/>
              <w:ind w:left="16"/>
              <w:rPr>
                <w:sz w:val="20"/>
              </w:rPr>
            </w:pPr>
            <w:hyperlink w:history="true" w:anchor="_bookmark22">
              <w:r>
                <w:rPr>
                  <w:sz w:val="20"/>
                </w:rPr>
                <w:t>Changes to the welfare system</w:t>
              </w:r>
            </w:hyperlink>
          </w:p>
        </w:tc>
        <w:tc>
          <w:tcPr>
            <w:tcW w:w="1518" w:type="dxa"/>
          </w:tcPr>
          <w:p>
            <w:pPr>
              <w:pStyle w:val="TableParagraph"/>
              <w:spacing w:line="209" w:lineRule="exact" w:before="0"/>
              <w:ind w:right="48"/>
              <w:jc w:val="right"/>
              <w:rPr>
                <w:sz w:val="20"/>
              </w:rPr>
            </w:pPr>
            <w:hyperlink w:history="true" w:anchor="_bookmark22">
              <w:r>
                <w:rPr>
                  <w:w w:val="95"/>
                  <w:sz w:val="20"/>
                </w:rPr>
                <w:t>39</w:t>
              </w:r>
            </w:hyperlink>
          </w:p>
        </w:tc>
      </w:tr>
      <w:tr>
        <w:trPr>
          <w:trHeight w:val="230" w:hRule="atLeast"/>
        </w:trPr>
        <w:tc>
          <w:tcPr>
            <w:tcW w:w="390" w:type="dxa"/>
          </w:tcPr>
          <w:p>
            <w:pPr>
              <w:pStyle w:val="TableParagraph"/>
              <w:spacing w:before="0"/>
              <w:rPr>
                <w:rFonts w:ascii="Times New Roman"/>
                <w:sz w:val="16"/>
              </w:rPr>
            </w:pPr>
          </w:p>
        </w:tc>
        <w:tc>
          <w:tcPr>
            <w:tcW w:w="779" w:type="dxa"/>
          </w:tcPr>
          <w:p>
            <w:pPr>
              <w:pStyle w:val="TableParagraph"/>
              <w:spacing w:line="210" w:lineRule="exact" w:before="0"/>
              <w:ind w:left="228"/>
              <w:rPr>
                <w:sz w:val="20"/>
              </w:rPr>
            </w:pPr>
            <w:hyperlink w:history="true" w:anchor="_bookmark23">
              <w:r>
                <w:rPr>
                  <w:sz w:val="20"/>
                </w:rPr>
                <w:t>3.3</w:t>
              </w:r>
            </w:hyperlink>
          </w:p>
        </w:tc>
        <w:tc>
          <w:tcPr>
            <w:tcW w:w="6087" w:type="dxa"/>
          </w:tcPr>
          <w:p>
            <w:pPr>
              <w:pStyle w:val="TableParagraph"/>
              <w:spacing w:line="210" w:lineRule="exact" w:before="0"/>
              <w:ind w:left="16"/>
              <w:rPr>
                <w:sz w:val="20"/>
              </w:rPr>
            </w:pPr>
            <w:hyperlink w:history="true" w:anchor="_bookmark23">
              <w:r>
                <w:rPr>
                  <w:sz w:val="20"/>
                </w:rPr>
                <w:t>Methodology updates</w:t>
              </w:r>
            </w:hyperlink>
          </w:p>
        </w:tc>
        <w:tc>
          <w:tcPr>
            <w:tcW w:w="1518" w:type="dxa"/>
          </w:tcPr>
          <w:p>
            <w:pPr>
              <w:pStyle w:val="TableParagraph"/>
              <w:spacing w:line="210" w:lineRule="exact" w:before="0"/>
              <w:ind w:right="48"/>
              <w:jc w:val="right"/>
              <w:rPr>
                <w:sz w:val="20"/>
              </w:rPr>
            </w:pPr>
            <w:hyperlink w:history="true" w:anchor="_bookmark23">
              <w:r>
                <w:rPr>
                  <w:w w:val="95"/>
                  <w:sz w:val="20"/>
                </w:rPr>
                <w:t>40</w:t>
              </w:r>
            </w:hyperlink>
          </w:p>
        </w:tc>
      </w:tr>
      <w:tr>
        <w:trPr>
          <w:trHeight w:val="226" w:hRule="atLeast"/>
        </w:trPr>
        <w:tc>
          <w:tcPr>
            <w:tcW w:w="390" w:type="dxa"/>
          </w:tcPr>
          <w:p>
            <w:pPr>
              <w:pStyle w:val="TableParagraph"/>
              <w:spacing w:before="0"/>
              <w:rPr>
                <w:rFonts w:ascii="Times New Roman"/>
                <w:sz w:val="16"/>
              </w:rPr>
            </w:pPr>
          </w:p>
        </w:tc>
        <w:tc>
          <w:tcPr>
            <w:tcW w:w="779" w:type="dxa"/>
          </w:tcPr>
          <w:p>
            <w:pPr>
              <w:pStyle w:val="TableParagraph"/>
              <w:spacing w:line="206" w:lineRule="exact" w:before="0"/>
              <w:ind w:left="228"/>
              <w:rPr>
                <w:sz w:val="20"/>
              </w:rPr>
            </w:pPr>
            <w:hyperlink w:history="true" w:anchor="_bookmark24">
              <w:r>
                <w:rPr>
                  <w:sz w:val="20"/>
                </w:rPr>
                <w:t>3.4</w:t>
              </w:r>
            </w:hyperlink>
          </w:p>
        </w:tc>
        <w:tc>
          <w:tcPr>
            <w:tcW w:w="6087" w:type="dxa"/>
          </w:tcPr>
          <w:p>
            <w:pPr>
              <w:pStyle w:val="TableParagraph"/>
              <w:spacing w:line="206" w:lineRule="exact" w:before="0"/>
              <w:ind w:left="16"/>
              <w:rPr>
                <w:sz w:val="20"/>
              </w:rPr>
            </w:pPr>
            <w:hyperlink w:history="true" w:anchor="_bookmark24">
              <w:r>
                <w:rPr>
                  <w:sz w:val="20"/>
                </w:rPr>
                <w:t>Changes to the discount rate</w:t>
              </w:r>
            </w:hyperlink>
          </w:p>
        </w:tc>
        <w:tc>
          <w:tcPr>
            <w:tcW w:w="1518" w:type="dxa"/>
          </w:tcPr>
          <w:p>
            <w:pPr>
              <w:pStyle w:val="TableParagraph"/>
              <w:spacing w:line="206" w:lineRule="exact" w:before="0"/>
              <w:ind w:right="48"/>
              <w:jc w:val="right"/>
              <w:rPr>
                <w:sz w:val="20"/>
              </w:rPr>
            </w:pPr>
            <w:hyperlink w:history="true" w:anchor="_bookmark24">
              <w:r>
                <w:rPr>
                  <w:w w:val="95"/>
                  <w:sz w:val="20"/>
                </w:rPr>
                <w:t>42</w:t>
              </w:r>
            </w:hyperlink>
          </w:p>
        </w:tc>
      </w:tr>
      <w:tr>
        <w:trPr>
          <w:trHeight w:val="413" w:hRule="atLeast"/>
        </w:trPr>
        <w:tc>
          <w:tcPr>
            <w:tcW w:w="7256" w:type="dxa"/>
            <w:gridSpan w:val="3"/>
          </w:tcPr>
          <w:p>
            <w:pPr>
              <w:pStyle w:val="TableParagraph"/>
              <w:tabs>
                <w:tab w:pos="618" w:val="left" w:leader="none"/>
              </w:tabs>
              <w:spacing w:before="118"/>
              <w:ind w:left="50"/>
              <w:rPr>
                <w:b/>
                <w:sz w:val="20"/>
              </w:rPr>
            </w:pPr>
            <w:hyperlink w:history="true" w:anchor="_bookmark25">
              <w:r>
                <w:rPr>
                  <w:b/>
                  <w:sz w:val="20"/>
                </w:rPr>
                <w:t>4</w:t>
                <w:tab/>
                <w:t>Summary of recent</w:t>
              </w:r>
              <w:r>
                <w:rPr>
                  <w:b/>
                  <w:spacing w:val="-2"/>
                  <w:sz w:val="20"/>
                </w:rPr>
                <w:t> </w:t>
              </w:r>
              <w:r>
                <w:rPr>
                  <w:b/>
                  <w:sz w:val="20"/>
                </w:rPr>
                <w:t>experience</w:t>
              </w:r>
            </w:hyperlink>
          </w:p>
        </w:tc>
        <w:tc>
          <w:tcPr>
            <w:tcW w:w="1518" w:type="dxa"/>
          </w:tcPr>
          <w:p>
            <w:pPr>
              <w:pStyle w:val="TableParagraph"/>
              <w:spacing w:before="118"/>
              <w:ind w:right="48"/>
              <w:jc w:val="right"/>
              <w:rPr>
                <w:b/>
                <w:sz w:val="20"/>
              </w:rPr>
            </w:pPr>
            <w:hyperlink w:history="true" w:anchor="_bookmark25">
              <w:r>
                <w:rPr>
                  <w:b/>
                  <w:w w:val="95"/>
                  <w:sz w:val="20"/>
                </w:rPr>
                <w:t>43</w:t>
              </w:r>
            </w:hyperlink>
          </w:p>
        </w:tc>
      </w:tr>
      <w:tr>
        <w:trPr>
          <w:trHeight w:val="290" w:hRule="atLeast"/>
        </w:trPr>
        <w:tc>
          <w:tcPr>
            <w:tcW w:w="7256" w:type="dxa"/>
            <w:gridSpan w:val="3"/>
          </w:tcPr>
          <w:p>
            <w:pPr>
              <w:pStyle w:val="TableParagraph"/>
              <w:tabs>
                <w:tab w:pos="1185" w:val="left" w:leader="none"/>
              </w:tabs>
              <w:spacing w:line="213" w:lineRule="exact" w:before="58"/>
              <w:ind w:left="618"/>
              <w:rPr>
                <w:sz w:val="20"/>
              </w:rPr>
            </w:pPr>
            <w:hyperlink w:history="true" w:anchor="_bookmark26">
              <w:r>
                <w:rPr>
                  <w:sz w:val="20"/>
                </w:rPr>
                <w:t>4.1</w:t>
                <w:tab/>
                <w:t>Summary of model</w:t>
              </w:r>
              <w:r>
                <w:rPr>
                  <w:spacing w:val="-9"/>
                  <w:sz w:val="20"/>
                </w:rPr>
                <w:t> </w:t>
              </w:r>
              <w:r>
                <w:rPr>
                  <w:sz w:val="20"/>
                </w:rPr>
                <w:t>population</w:t>
              </w:r>
            </w:hyperlink>
          </w:p>
        </w:tc>
        <w:tc>
          <w:tcPr>
            <w:tcW w:w="1518" w:type="dxa"/>
          </w:tcPr>
          <w:p>
            <w:pPr>
              <w:pStyle w:val="TableParagraph"/>
              <w:spacing w:line="213" w:lineRule="exact" w:before="58"/>
              <w:ind w:right="48"/>
              <w:jc w:val="right"/>
              <w:rPr>
                <w:sz w:val="20"/>
              </w:rPr>
            </w:pPr>
            <w:hyperlink w:history="true" w:anchor="_bookmark26">
              <w:r>
                <w:rPr>
                  <w:w w:val="95"/>
                  <w:sz w:val="20"/>
                </w:rPr>
                <w:t>43</w:t>
              </w:r>
            </w:hyperlink>
          </w:p>
        </w:tc>
      </w:tr>
      <w:tr>
        <w:trPr>
          <w:trHeight w:val="229" w:hRule="atLeast"/>
        </w:trPr>
        <w:tc>
          <w:tcPr>
            <w:tcW w:w="7256" w:type="dxa"/>
            <w:gridSpan w:val="3"/>
          </w:tcPr>
          <w:p>
            <w:pPr>
              <w:pStyle w:val="TableParagraph"/>
              <w:tabs>
                <w:tab w:pos="1185" w:val="left" w:leader="none"/>
              </w:tabs>
              <w:spacing w:line="209" w:lineRule="exact" w:before="0"/>
              <w:ind w:left="618"/>
              <w:rPr>
                <w:sz w:val="20"/>
              </w:rPr>
            </w:pPr>
            <w:hyperlink w:history="true" w:anchor="_bookmark28">
              <w:r>
                <w:rPr>
                  <w:sz w:val="20"/>
                </w:rPr>
                <w:t>4.2</w:t>
                <w:tab/>
                <w:t>Summary of experience over the last</w:t>
              </w:r>
              <w:r>
                <w:rPr>
                  <w:spacing w:val="-3"/>
                  <w:sz w:val="20"/>
                </w:rPr>
                <w:t> </w:t>
              </w:r>
              <w:r>
                <w:rPr>
                  <w:sz w:val="20"/>
                </w:rPr>
                <w:t>year</w:t>
              </w:r>
            </w:hyperlink>
          </w:p>
        </w:tc>
        <w:tc>
          <w:tcPr>
            <w:tcW w:w="1518" w:type="dxa"/>
          </w:tcPr>
          <w:p>
            <w:pPr>
              <w:pStyle w:val="TableParagraph"/>
              <w:spacing w:line="209" w:lineRule="exact" w:before="0"/>
              <w:ind w:right="48"/>
              <w:jc w:val="right"/>
              <w:rPr>
                <w:sz w:val="20"/>
              </w:rPr>
            </w:pPr>
            <w:hyperlink w:history="true" w:anchor="_bookmark28">
              <w:r>
                <w:rPr>
                  <w:w w:val="95"/>
                  <w:sz w:val="20"/>
                </w:rPr>
                <w:t>44</w:t>
              </w:r>
            </w:hyperlink>
          </w:p>
        </w:tc>
      </w:tr>
      <w:tr>
        <w:trPr>
          <w:trHeight w:val="230" w:hRule="atLeast"/>
        </w:trPr>
        <w:tc>
          <w:tcPr>
            <w:tcW w:w="7256" w:type="dxa"/>
            <w:gridSpan w:val="3"/>
          </w:tcPr>
          <w:p>
            <w:pPr>
              <w:pStyle w:val="TableParagraph"/>
              <w:tabs>
                <w:tab w:pos="1185" w:val="left" w:leader="none"/>
              </w:tabs>
              <w:spacing w:line="210" w:lineRule="exact" w:before="0"/>
              <w:ind w:left="618"/>
              <w:rPr>
                <w:sz w:val="20"/>
              </w:rPr>
            </w:pPr>
            <w:hyperlink w:history="true" w:anchor="_bookmark29">
              <w:r>
                <w:rPr>
                  <w:sz w:val="20"/>
                </w:rPr>
                <w:t>4.3</w:t>
                <w:tab/>
                <w:t>Numbers of people accessing</w:t>
              </w:r>
              <w:r>
                <w:rPr>
                  <w:spacing w:val="-1"/>
                  <w:sz w:val="20"/>
                </w:rPr>
                <w:t> </w:t>
              </w:r>
              <w:r>
                <w:rPr>
                  <w:sz w:val="20"/>
                </w:rPr>
                <w:t>payments</w:t>
              </w:r>
            </w:hyperlink>
          </w:p>
        </w:tc>
        <w:tc>
          <w:tcPr>
            <w:tcW w:w="1518" w:type="dxa"/>
          </w:tcPr>
          <w:p>
            <w:pPr>
              <w:pStyle w:val="TableParagraph"/>
              <w:spacing w:line="210" w:lineRule="exact" w:before="0"/>
              <w:ind w:right="48"/>
              <w:jc w:val="right"/>
              <w:rPr>
                <w:sz w:val="20"/>
              </w:rPr>
            </w:pPr>
            <w:hyperlink w:history="true" w:anchor="_bookmark29">
              <w:r>
                <w:rPr>
                  <w:w w:val="95"/>
                  <w:sz w:val="20"/>
                </w:rPr>
                <w:t>44</w:t>
              </w:r>
            </w:hyperlink>
          </w:p>
        </w:tc>
      </w:tr>
      <w:tr>
        <w:trPr>
          <w:trHeight w:val="230" w:hRule="atLeast"/>
        </w:trPr>
        <w:tc>
          <w:tcPr>
            <w:tcW w:w="7256" w:type="dxa"/>
            <w:gridSpan w:val="3"/>
          </w:tcPr>
          <w:p>
            <w:pPr>
              <w:pStyle w:val="TableParagraph"/>
              <w:tabs>
                <w:tab w:pos="1185" w:val="left" w:leader="none"/>
              </w:tabs>
              <w:spacing w:line="210" w:lineRule="exact" w:before="0"/>
              <w:ind w:left="618"/>
              <w:rPr>
                <w:sz w:val="20"/>
              </w:rPr>
            </w:pPr>
            <w:hyperlink w:history="true" w:anchor="_bookmark30">
              <w:r>
                <w:rPr>
                  <w:sz w:val="20"/>
                </w:rPr>
                <w:t>4.4</w:t>
                <w:tab/>
                <w:t>Average payment</w:t>
              </w:r>
              <w:r>
                <w:rPr>
                  <w:spacing w:val="-1"/>
                  <w:sz w:val="20"/>
                </w:rPr>
                <w:t> </w:t>
              </w:r>
              <w:r>
                <w:rPr>
                  <w:sz w:val="20"/>
                </w:rPr>
                <w:t>sizes</w:t>
              </w:r>
            </w:hyperlink>
          </w:p>
        </w:tc>
        <w:tc>
          <w:tcPr>
            <w:tcW w:w="1518" w:type="dxa"/>
          </w:tcPr>
          <w:p>
            <w:pPr>
              <w:pStyle w:val="TableParagraph"/>
              <w:spacing w:line="210" w:lineRule="exact" w:before="0"/>
              <w:ind w:right="48"/>
              <w:jc w:val="right"/>
              <w:rPr>
                <w:sz w:val="20"/>
              </w:rPr>
            </w:pPr>
            <w:hyperlink w:history="true" w:anchor="_bookmark30">
              <w:r>
                <w:rPr>
                  <w:w w:val="95"/>
                  <w:sz w:val="20"/>
                </w:rPr>
                <w:t>51</w:t>
              </w:r>
            </w:hyperlink>
          </w:p>
        </w:tc>
      </w:tr>
      <w:tr>
        <w:trPr>
          <w:trHeight w:val="230" w:hRule="atLeast"/>
        </w:trPr>
        <w:tc>
          <w:tcPr>
            <w:tcW w:w="7256" w:type="dxa"/>
            <w:gridSpan w:val="3"/>
          </w:tcPr>
          <w:p>
            <w:pPr>
              <w:pStyle w:val="TableParagraph"/>
              <w:tabs>
                <w:tab w:pos="1185" w:val="left" w:leader="none"/>
              </w:tabs>
              <w:spacing w:line="210" w:lineRule="exact" w:before="0"/>
              <w:ind w:left="618"/>
              <w:rPr>
                <w:sz w:val="20"/>
              </w:rPr>
            </w:pPr>
            <w:hyperlink w:history="true" w:anchor="_bookmark31">
              <w:r>
                <w:rPr>
                  <w:sz w:val="20"/>
                </w:rPr>
                <w:t>4.5</w:t>
                <w:tab/>
                <w:t>Changes in model</w:t>
              </w:r>
              <w:r>
                <w:rPr>
                  <w:spacing w:val="-4"/>
                  <w:sz w:val="20"/>
                </w:rPr>
                <w:t> </w:t>
              </w:r>
              <w:r>
                <w:rPr>
                  <w:sz w:val="20"/>
                </w:rPr>
                <w:t>population</w:t>
              </w:r>
            </w:hyperlink>
          </w:p>
        </w:tc>
        <w:tc>
          <w:tcPr>
            <w:tcW w:w="1518" w:type="dxa"/>
          </w:tcPr>
          <w:p>
            <w:pPr>
              <w:pStyle w:val="TableParagraph"/>
              <w:spacing w:line="210" w:lineRule="exact" w:before="0"/>
              <w:ind w:right="48"/>
              <w:jc w:val="right"/>
              <w:rPr>
                <w:sz w:val="20"/>
              </w:rPr>
            </w:pPr>
            <w:hyperlink w:history="true" w:anchor="_bookmark31">
              <w:r>
                <w:rPr>
                  <w:w w:val="95"/>
                  <w:sz w:val="20"/>
                </w:rPr>
                <w:t>52</w:t>
              </w:r>
            </w:hyperlink>
          </w:p>
        </w:tc>
      </w:tr>
      <w:tr>
        <w:trPr>
          <w:trHeight w:val="289" w:hRule="atLeast"/>
        </w:trPr>
        <w:tc>
          <w:tcPr>
            <w:tcW w:w="7256" w:type="dxa"/>
            <w:gridSpan w:val="3"/>
          </w:tcPr>
          <w:p>
            <w:pPr>
              <w:pStyle w:val="TableParagraph"/>
              <w:tabs>
                <w:tab w:pos="1185" w:val="left" w:leader="none"/>
              </w:tabs>
              <w:spacing w:line="227" w:lineRule="exact" w:before="0"/>
              <w:ind w:left="618"/>
              <w:rPr>
                <w:sz w:val="20"/>
              </w:rPr>
            </w:pPr>
            <w:hyperlink w:history="true" w:anchor="_bookmark32">
              <w:r>
                <w:rPr>
                  <w:sz w:val="20"/>
                </w:rPr>
                <w:t>4.6</w:t>
                <w:tab/>
                <w:t>Profile of model</w:t>
              </w:r>
              <w:r>
                <w:rPr>
                  <w:spacing w:val="-1"/>
                  <w:sz w:val="20"/>
                </w:rPr>
                <w:t> </w:t>
              </w:r>
              <w:r>
                <w:rPr>
                  <w:sz w:val="20"/>
                </w:rPr>
                <w:t>population</w:t>
              </w:r>
            </w:hyperlink>
          </w:p>
        </w:tc>
        <w:tc>
          <w:tcPr>
            <w:tcW w:w="1518" w:type="dxa"/>
          </w:tcPr>
          <w:p>
            <w:pPr>
              <w:pStyle w:val="TableParagraph"/>
              <w:spacing w:line="227" w:lineRule="exact" w:before="0"/>
              <w:ind w:right="48"/>
              <w:jc w:val="right"/>
              <w:rPr>
                <w:sz w:val="20"/>
              </w:rPr>
            </w:pPr>
            <w:hyperlink w:history="true" w:anchor="_bookmark32">
              <w:r>
                <w:rPr>
                  <w:w w:val="95"/>
                  <w:sz w:val="20"/>
                </w:rPr>
                <w:t>53</w:t>
              </w:r>
            </w:hyperlink>
          </w:p>
        </w:tc>
      </w:tr>
      <w:tr>
        <w:trPr>
          <w:trHeight w:val="349" w:hRule="atLeast"/>
        </w:trPr>
        <w:tc>
          <w:tcPr>
            <w:tcW w:w="7256" w:type="dxa"/>
            <w:gridSpan w:val="3"/>
          </w:tcPr>
          <w:p>
            <w:pPr>
              <w:pStyle w:val="TableParagraph"/>
              <w:tabs>
                <w:tab w:pos="618" w:val="left" w:leader="none"/>
              </w:tabs>
              <w:spacing w:before="55"/>
              <w:ind w:left="50"/>
              <w:rPr>
                <w:b/>
                <w:sz w:val="20"/>
              </w:rPr>
            </w:pPr>
            <w:hyperlink w:history="true" w:anchor="_bookmark33">
              <w:r>
                <w:rPr>
                  <w:b/>
                  <w:sz w:val="20"/>
                </w:rPr>
                <w:t>5</w:t>
                <w:tab/>
                <w:t>Overall</w:t>
              </w:r>
              <w:r>
                <w:rPr>
                  <w:b/>
                  <w:spacing w:val="-2"/>
                  <w:sz w:val="20"/>
                </w:rPr>
                <w:t> </w:t>
              </w:r>
              <w:r>
                <w:rPr>
                  <w:b/>
                  <w:sz w:val="20"/>
                </w:rPr>
                <w:t>results</w:t>
              </w:r>
            </w:hyperlink>
          </w:p>
        </w:tc>
        <w:tc>
          <w:tcPr>
            <w:tcW w:w="1518" w:type="dxa"/>
          </w:tcPr>
          <w:p>
            <w:pPr>
              <w:pStyle w:val="TableParagraph"/>
              <w:spacing w:before="55"/>
              <w:ind w:right="48"/>
              <w:jc w:val="right"/>
              <w:rPr>
                <w:b/>
                <w:sz w:val="20"/>
              </w:rPr>
            </w:pPr>
            <w:hyperlink w:history="true" w:anchor="_bookmark33">
              <w:r>
                <w:rPr>
                  <w:b/>
                  <w:w w:val="95"/>
                  <w:sz w:val="20"/>
                </w:rPr>
                <w:t>55</w:t>
              </w:r>
            </w:hyperlink>
          </w:p>
        </w:tc>
      </w:tr>
      <w:tr>
        <w:trPr>
          <w:trHeight w:val="290" w:hRule="atLeast"/>
        </w:trPr>
        <w:tc>
          <w:tcPr>
            <w:tcW w:w="7256" w:type="dxa"/>
            <w:gridSpan w:val="3"/>
          </w:tcPr>
          <w:p>
            <w:pPr>
              <w:pStyle w:val="TableParagraph"/>
              <w:tabs>
                <w:tab w:pos="1185" w:val="left" w:leader="none"/>
              </w:tabs>
              <w:spacing w:line="214" w:lineRule="exact" w:before="56"/>
              <w:ind w:left="618"/>
              <w:rPr>
                <w:sz w:val="20"/>
              </w:rPr>
            </w:pPr>
            <w:hyperlink w:history="true" w:anchor="_bookmark34">
              <w:r>
                <w:rPr>
                  <w:sz w:val="20"/>
                </w:rPr>
                <w:t>5.1</w:t>
                <w:tab/>
                <w:t>Total lifetime</w:t>
              </w:r>
              <w:r>
                <w:rPr>
                  <w:spacing w:val="-4"/>
                  <w:sz w:val="20"/>
                </w:rPr>
                <w:t> </w:t>
              </w:r>
              <w:r>
                <w:rPr>
                  <w:sz w:val="20"/>
                </w:rPr>
                <w:t>cost</w:t>
              </w:r>
            </w:hyperlink>
          </w:p>
        </w:tc>
        <w:tc>
          <w:tcPr>
            <w:tcW w:w="1518" w:type="dxa"/>
          </w:tcPr>
          <w:p>
            <w:pPr>
              <w:pStyle w:val="TableParagraph"/>
              <w:spacing w:line="214" w:lineRule="exact" w:before="56"/>
              <w:ind w:right="48"/>
              <w:jc w:val="right"/>
              <w:rPr>
                <w:sz w:val="20"/>
              </w:rPr>
            </w:pPr>
            <w:hyperlink w:history="true" w:anchor="_bookmark34">
              <w:r>
                <w:rPr>
                  <w:w w:val="95"/>
                  <w:sz w:val="20"/>
                </w:rPr>
                <w:t>55</w:t>
              </w:r>
            </w:hyperlink>
          </w:p>
        </w:tc>
      </w:tr>
      <w:tr>
        <w:trPr>
          <w:trHeight w:val="230" w:hRule="atLeast"/>
        </w:trPr>
        <w:tc>
          <w:tcPr>
            <w:tcW w:w="7256" w:type="dxa"/>
            <w:gridSpan w:val="3"/>
          </w:tcPr>
          <w:p>
            <w:pPr>
              <w:pStyle w:val="TableParagraph"/>
              <w:tabs>
                <w:tab w:pos="1185" w:val="left" w:leader="none"/>
              </w:tabs>
              <w:spacing w:line="210" w:lineRule="exact" w:before="0"/>
              <w:ind w:left="618"/>
              <w:rPr>
                <w:sz w:val="20"/>
              </w:rPr>
            </w:pPr>
            <w:hyperlink w:history="true" w:anchor="_bookmark35">
              <w:r>
                <w:rPr>
                  <w:sz w:val="20"/>
                </w:rPr>
                <w:t>5.2</w:t>
                <w:tab/>
                <w:t>Change since the previous</w:t>
              </w:r>
              <w:r>
                <w:rPr>
                  <w:spacing w:val="-1"/>
                  <w:sz w:val="20"/>
                </w:rPr>
                <w:t> </w:t>
              </w:r>
              <w:r>
                <w:rPr>
                  <w:sz w:val="20"/>
                </w:rPr>
                <w:t>valuation</w:t>
              </w:r>
            </w:hyperlink>
          </w:p>
        </w:tc>
        <w:tc>
          <w:tcPr>
            <w:tcW w:w="1518" w:type="dxa"/>
          </w:tcPr>
          <w:p>
            <w:pPr>
              <w:pStyle w:val="TableParagraph"/>
              <w:spacing w:line="210" w:lineRule="exact" w:before="0"/>
              <w:ind w:right="48"/>
              <w:jc w:val="right"/>
              <w:rPr>
                <w:sz w:val="20"/>
              </w:rPr>
            </w:pPr>
            <w:hyperlink w:history="true" w:anchor="_bookmark35">
              <w:r>
                <w:rPr>
                  <w:w w:val="95"/>
                  <w:sz w:val="20"/>
                </w:rPr>
                <w:t>59</w:t>
              </w:r>
            </w:hyperlink>
          </w:p>
        </w:tc>
      </w:tr>
      <w:tr>
        <w:trPr>
          <w:trHeight w:val="230" w:hRule="atLeast"/>
        </w:trPr>
        <w:tc>
          <w:tcPr>
            <w:tcW w:w="7256" w:type="dxa"/>
            <w:gridSpan w:val="3"/>
          </w:tcPr>
          <w:p>
            <w:pPr>
              <w:pStyle w:val="TableParagraph"/>
              <w:tabs>
                <w:tab w:pos="1185" w:val="left" w:leader="none"/>
              </w:tabs>
              <w:spacing w:line="210" w:lineRule="exact" w:before="0"/>
              <w:ind w:left="618"/>
              <w:rPr>
                <w:sz w:val="20"/>
              </w:rPr>
            </w:pPr>
            <w:hyperlink w:history="true" w:anchor="_bookmark36">
              <w:r>
                <w:rPr>
                  <w:sz w:val="20"/>
                </w:rPr>
                <w:t>5.3</w:t>
                <w:tab/>
                <w:t>Summary of change in lifetime cost by welfare</w:t>
              </w:r>
              <w:r>
                <w:rPr>
                  <w:spacing w:val="-17"/>
                  <w:sz w:val="20"/>
                </w:rPr>
                <w:t> </w:t>
              </w:r>
              <w:r>
                <w:rPr>
                  <w:sz w:val="20"/>
                </w:rPr>
                <w:t>class</w:t>
              </w:r>
            </w:hyperlink>
          </w:p>
        </w:tc>
        <w:tc>
          <w:tcPr>
            <w:tcW w:w="1518" w:type="dxa"/>
          </w:tcPr>
          <w:p>
            <w:pPr>
              <w:pStyle w:val="TableParagraph"/>
              <w:spacing w:line="210" w:lineRule="exact" w:before="0"/>
              <w:ind w:right="48"/>
              <w:jc w:val="right"/>
              <w:rPr>
                <w:sz w:val="20"/>
              </w:rPr>
            </w:pPr>
            <w:hyperlink w:history="true" w:anchor="_bookmark36">
              <w:r>
                <w:rPr>
                  <w:w w:val="95"/>
                  <w:sz w:val="20"/>
                </w:rPr>
                <w:t>63</w:t>
              </w:r>
            </w:hyperlink>
          </w:p>
        </w:tc>
      </w:tr>
      <w:tr>
        <w:trPr>
          <w:trHeight w:val="230" w:hRule="atLeast"/>
        </w:trPr>
        <w:tc>
          <w:tcPr>
            <w:tcW w:w="7256" w:type="dxa"/>
            <w:gridSpan w:val="3"/>
          </w:tcPr>
          <w:p>
            <w:pPr>
              <w:pStyle w:val="TableParagraph"/>
              <w:tabs>
                <w:tab w:pos="1185" w:val="left" w:leader="none"/>
              </w:tabs>
              <w:spacing w:line="210" w:lineRule="exact" w:before="0"/>
              <w:ind w:left="618"/>
              <w:rPr>
                <w:sz w:val="20"/>
              </w:rPr>
            </w:pPr>
            <w:hyperlink w:history="true" w:anchor="_bookmark37">
              <w:r>
                <w:rPr>
                  <w:sz w:val="20"/>
                </w:rPr>
                <w:t>5.4</w:t>
                <w:tab/>
                <w:t>Changes since the baseline</w:t>
              </w:r>
              <w:r>
                <w:rPr>
                  <w:spacing w:val="-1"/>
                  <w:sz w:val="20"/>
                </w:rPr>
                <w:t> </w:t>
              </w:r>
              <w:r>
                <w:rPr>
                  <w:sz w:val="20"/>
                </w:rPr>
                <w:t>valuation</w:t>
              </w:r>
            </w:hyperlink>
          </w:p>
        </w:tc>
        <w:tc>
          <w:tcPr>
            <w:tcW w:w="1518" w:type="dxa"/>
          </w:tcPr>
          <w:p>
            <w:pPr>
              <w:pStyle w:val="TableParagraph"/>
              <w:spacing w:line="210" w:lineRule="exact" w:before="0"/>
              <w:ind w:right="48"/>
              <w:jc w:val="right"/>
              <w:rPr>
                <w:sz w:val="20"/>
              </w:rPr>
            </w:pPr>
            <w:hyperlink w:history="true" w:anchor="_bookmark37">
              <w:r>
                <w:rPr>
                  <w:w w:val="95"/>
                  <w:sz w:val="20"/>
                </w:rPr>
                <w:t>65</w:t>
              </w:r>
            </w:hyperlink>
          </w:p>
        </w:tc>
      </w:tr>
      <w:tr>
        <w:trPr>
          <w:trHeight w:val="230" w:hRule="atLeast"/>
        </w:trPr>
        <w:tc>
          <w:tcPr>
            <w:tcW w:w="7256" w:type="dxa"/>
            <w:gridSpan w:val="3"/>
          </w:tcPr>
          <w:p>
            <w:pPr>
              <w:pStyle w:val="TableParagraph"/>
              <w:tabs>
                <w:tab w:pos="1185" w:val="left" w:leader="none"/>
              </w:tabs>
              <w:spacing w:line="210" w:lineRule="exact" w:before="0"/>
              <w:ind w:left="618"/>
              <w:rPr>
                <w:sz w:val="20"/>
              </w:rPr>
            </w:pPr>
            <w:hyperlink w:history="true" w:anchor="_bookmark38">
              <w:r>
                <w:rPr>
                  <w:sz w:val="20"/>
                </w:rPr>
                <w:t>5.5</w:t>
                <w:tab/>
                <w:t>Forecasts</w:t>
              </w:r>
            </w:hyperlink>
          </w:p>
        </w:tc>
        <w:tc>
          <w:tcPr>
            <w:tcW w:w="1518" w:type="dxa"/>
          </w:tcPr>
          <w:p>
            <w:pPr>
              <w:pStyle w:val="TableParagraph"/>
              <w:spacing w:line="210" w:lineRule="exact" w:before="0"/>
              <w:ind w:right="48"/>
              <w:jc w:val="right"/>
              <w:rPr>
                <w:sz w:val="20"/>
              </w:rPr>
            </w:pPr>
            <w:hyperlink w:history="true" w:anchor="_bookmark38">
              <w:r>
                <w:rPr>
                  <w:w w:val="95"/>
                  <w:sz w:val="20"/>
                </w:rPr>
                <w:t>68</w:t>
              </w:r>
            </w:hyperlink>
          </w:p>
        </w:tc>
      </w:tr>
      <w:tr>
        <w:trPr>
          <w:trHeight w:val="287" w:hRule="atLeast"/>
        </w:trPr>
        <w:tc>
          <w:tcPr>
            <w:tcW w:w="7256" w:type="dxa"/>
            <w:gridSpan w:val="3"/>
          </w:tcPr>
          <w:p>
            <w:pPr>
              <w:pStyle w:val="TableParagraph"/>
              <w:tabs>
                <w:tab w:pos="1185" w:val="left" w:leader="none"/>
              </w:tabs>
              <w:spacing w:line="227" w:lineRule="exact" w:before="0"/>
              <w:ind w:left="618"/>
              <w:rPr>
                <w:sz w:val="20"/>
              </w:rPr>
            </w:pPr>
            <w:hyperlink w:history="true" w:anchor="_bookmark39">
              <w:r>
                <w:rPr>
                  <w:sz w:val="20"/>
                </w:rPr>
                <w:t>5.6</w:t>
                <w:tab/>
                <w:t>Areas of sensitivity and</w:t>
              </w:r>
              <w:r>
                <w:rPr>
                  <w:spacing w:val="-5"/>
                  <w:sz w:val="20"/>
                </w:rPr>
                <w:t> </w:t>
              </w:r>
              <w:r>
                <w:rPr>
                  <w:sz w:val="20"/>
                </w:rPr>
                <w:t>uncertainty</w:t>
              </w:r>
            </w:hyperlink>
          </w:p>
        </w:tc>
        <w:tc>
          <w:tcPr>
            <w:tcW w:w="1518" w:type="dxa"/>
          </w:tcPr>
          <w:p>
            <w:pPr>
              <w:pStyle w:val="TableParagraph"/>
              <w:spacing w:line="227" w:lineRule="exact" w:before="0"/>
              <w:ind w:right="48"/>
              <w:jc w:val="right"/>
              <w:rPr>
                <w:sz w:val="20"/>
              </w:rPr>
            </w:pPr>
            <w:hyperlink w:history="true" w:anchor="_bookmark39">
              <w:r>
                <w:rPr>
                  <w:w w:val="95"/>
                  <w:sz w:val="20"/>
                </w:rPr>
                <w:t>70</w:t>
              </w:r>
            </w:hyperlink>
          </w:p>
        </w:tc>
      </w:tr>
      <w:tr>
        <w:trPr>
          <w:trHeight w:val="349" w:hRule="atLeast"/>
        </w:trPr>
        <w:tc>
          <w:tcPr>
            <w:tcW w:w="7256" w:type="dxa"/>
            <w:gridSpan w:val="3"/>
          </w:tcPr>
          <w:p>
            <w:pPr>
              <w:pStyle w:val="TableParagraph"/>
              <w:tabs>
                <w:tab w:pos="618" w:val="left" w:leader="none"/>
              </w:tabs>
              <w:spacing w:before="54"/>
              <w:ind w:left="50"/>
              <w:rPr>
                <w:b/>
                <w:sz w:val="20"/>
              </w:rPr>
            </w:pPr>
            <w:hyperlink w:history="true" w:anchor="_bookmark40">
              <w:r>
                <w:rPr>
                  <w:b/>
                  <w:sz w:val="20"/>
                </w:rPr>
                <w:t>6</w:t>
                <w:tab/>
                <w:t>Results for income support</w:t>
              </w:r>
              <w:r>
                <w:rPr>
                  <w:b/>
                  <w:spacing w:val="-1"/>
                  <w:sz w:val="20"/>
                </w:rPr>
                <w:t> </w:t>
              </w:r>
              <w:r>
                <w:rPr>
                  <w:b/>
                  <w:sz w:val="20"/>
                </w:rPr>
                <w:t>recipients</w:t>
              </w:r>
            </w:hyperlink>
          </w:p>
        </w:tc>
        <w:tc>
          <w:tcPr>
            <w:tcW w:w="1518" w:type="dxa"/>
          </w:tcPr>
          <w:p>
            <w:pPr>
              <w:pStyle w:val="TableParagraph"/>
              <w:spacing w:before="54"/>
              <w:ind w:right="48"/>
              <w:jc w:val="right"/>
              <w:rPr>
                <w:b/>
                <w:sz w:val="20"/>
              </w:rPr>
            </w:pPr>
            <w:hyperlink w:history="true" w:anchor="_bookmark40">
              <w:r>
                <w:rPr>
                  <w:b/>
                  <w:w w:val="95"/>
                  <w:sz w:val="20"/>
                </w:rPr>
                <w:t>73</w:t>
              </w:r>
            </w:hyperlink>
          </w:p>
        </w:tc>
      </w:tr>
      <w:tr>
        <w:trPr>
          <w:trHeight w:val="291" w:hRule="atLeast"/>
        </w:trPr>
        <w:tc>
          <w:tcPr>
            <w:tcW w:w="7256" w:type="dxa"/>
            <w:gridSpan w:val="3"/>
          </w:tcPr>
          <w:p>
            <w:pPr>
              <w:pStyle w:val="TableParagraph"/>
              <w:tabs>
                <w:tab w:pos="1185" w:val="left" w:leader="none"/>
              </w:tabs>
              <w:spacing w:line="214" w:lineRule="exact" w:before="58"/>
              <w:ind w:left="618"/>
              <w:rPr>
                <w:sz w:val="20"/>
              </w:rPr>
            </w:pPr>
            <w:hyperlink w:history="true" w:anchor="_bookmark41">
              <w:r>
                <w:rPr>
                  <w:sz w:val="20"/>
                </w:rPr>
                <w:t>6.1</w:t>
                <w:tab/>
                <w:t>Studying Payment</w:t>
              </w:r>
              <w:r>
                <w:rPr>
                  <w:spacing w:val="1"/>
                  <w:sz w:val="20"/>
                </w:rPr>
                <w:t> </w:t>
              </w:r>
              <w:r>
                <w:rPr>
                  <w:sz w:val="20"/>
                </w:rPr>
                <w:t>recipients</w:t>
              </w:r>
            </w:hyperlink>
          </w:p>
        </w:tc>
        <w:tc>
          <w:tcPr>
            <w:tcW w:w="1518" w:type="dxa"/>
          </w:tcPr>
          <w:p>
            <w:pPr>
              <w:pStyle w:val="TableParagraph"/>
              <w:spacing w:line="214" w:lineRule="exact" w:before="58"/>
              <w:ind w:right="48"/>
              <w:jc w:val="right"/>
              <w:rPr>
                <w:sz w:val="20"/>
              </w:rPr>
            </w:pPr>
            <w:hyperlink w:history="true" w:anchor="_bookmark41">
              <w:r>
                <w:rPr>
                  <w:w w:val="95"/>
                  <w:sz w:val="20"/>
                </w:rPr>
                <w:t>73</w:t>
              </w:r>
            </w:hyperlink>
          </w:p>
        </w:tc>
      </w:tr>
      <w:tr>
        <w:trPr>
          <w:trHeight w:val="230" w:hRule="atLeast"/>
        </w:trPr>
        <w:tc>
          <w:tcPr>
            <w:tcW w:w="7256" w:type="dxa"/>
            <w:gridSpan w:val="3"/>
          </w:tcPr>
          <w:p>
            <w:pPr>
              <w:pStyle w:val="TableParagraph"/>
              <w:tabs>
                <w:tab w:pos="1185" w:val="left" w:leader="none"/>
              </w:tabs>
              <w:spacing w:line="210" w:lineRule="exact" w:before="0"/>
              <w:ind w:left="618"/>
              <w:rPr>
                <w:sz w:val="20"/>
              </w:rPr>
            </w:pPr>
            <w:hyperlink w:history="true" w:anchor="_bookmark42">
              <w:r>
                <w:rPr>
                  <w:sz w:val="20"/>
                </w:rPr>
                <w:t>6.2</w:t>
                <w:tab/>
                <w:t>Working Age Payment</w:t>
              </w:r>
              <w:r>
                <w:rPr>
                  <w:spacing w:val="-2"/>
                  <w:sz w:val="20"/>
                </w:rPr>
                <w:t> </w:t>
              </w:r>
              <w:r>
                <w:rPr>
                  <w:sz w:val="20"/>
                </w:rPr>
                <w:t>recipients</w:t>
              </w:r>
            </w:hyperlink>
          </w:p>
        </w:tc>
        <w:tc>
          <w:tcPr>
            <w:tcW w:w="1518" w:type="dxa"/>
          </w:tcPr>
          <w:p>
            <w:pPr>
              <w:pStyle w:val="TableParagraph"/>
              <w:spacing w:line="210" w:lineRule="exact" w:before="0"/>
              <w:ind w:right="48"/>
              <w:jc w:val="right"/>
              <w:rPr>
                <w:sz w:val="20"/>
              </w:rPr>
            </w:pPr>
            <w:hyperlink w:history="true" w:anchor="_bookmark42">
              <w:r>
                <w:rPr>
                  <w:w w:val="95"/>
                  <w:sz w:val="20"/>
                </w:rPr>
                <w:t>81</w:t>
              </w:r>
            </w:hyperlink>
          </w:p>
        </w:tc>
      </w:tr>
      <w:tr>
        <w:trPr>
          <w:trHeight w:val="230" w:hRule="atLeast"/>
        </w:trPr>
        <w:tc>
          <w:tcPr>
            <w:tcW w:w="7256" w:type="dxa"/>
            <w:gridSpan w:val="3"/>
          </w:tcPr>
          <w:p>
            <w:pPr>
              <w:pStyle w:val="TableParagraph"/>
              <w:tabs>
                <w:tab w:pos="1185" w:val="left" w:leader="none"/>
              </w:tabs>
              <w:spacing w:line="210" w:lineRule="exact" w:before="0"/>
              <w:ind w:left="618"/>
              <w:rPr>
                <w:sz w:val="20"/>
              </w:rPr>
            </w:pPr>
            <w:hyperlink w:history="true" w:anchor="_bookmark43">
              <w:r>
                <w:rPr>
                  <w:sz w:val="20"/>
                </w:rPr>
                <w:t>6.3</w:t>
                <w:tab/>
                <w:t>Parenting Payment</w:t>
              </w:r>
              <w:r>
                <w:rPr>
                  <w:spacing w:val="-3"/>
                  <w:sz w:val="20"/>
                </w:rPr>
                <w:t> </w:t>
              </w:r>
              <w:r>
                <w:rPr>
                  <w:sz w:val="20"/>
                </w:rPr>
                <w:t>recipients</w:t>
              </w:r>
            </w:hyperlink>
          </w:p>
        </w:tc>
        <w:tc>
          <w:tcPr>
            <w:tcW w:w="1518" w:type="dxa"/>
          </w:tcPr>
          <w:p>
            <w:pPr>
              <w:pStyle w:val="TableParagraph"/>
              <w:spacing w:line="210" w:lineRule="exact" w:before="0"/>
              <w:ind w:right="48"/>
              <w:jc w:val="right"/>
              <w:rPr>
                <w:sz w:val="20"/>
              </w:rPr>
            </w:pPr>
            <w:hyperlink w:history="true" w:anchor="_bookmark43">
              <w:r>
                <w:rPr>
                  <w:w w:val="95"/>
                  <w:sz w:val="20"/>
                </w:rPr>
                <w:t>90</w:t>
              </w:r>
            </w:hyperlink>
          </w:p>
        </w:tc>
      </w:tr>
      <w:tr>
        <w:trPr>
          <w:trHeight w:val="229" w:hRule="atLeast"/>
        </w:trPr>
        <w:tc>
          <w:tcPr>
            <w:tcW w:w="7256" w:type="dxa"/>
            <w:gridSpan w:val="3"/>
          </w:tcPr>
          <w:p>
            <w:pPr>
              <w:pStyle w:val="TableParagraph"/>
              <w:tabs>
                <w:tab w:pos="1185" w:val="left" w:leader="none"/>
              </w:tabs>
              <w:spacing w:line="209" w:lineRule="exact" w:before="0"/>
              <w:ind w:left="618"/>
              <w:rPr>
                <w:sz w:val="20"/>
              </w:rPr>
            </w:pPr>
            <w:hyperlink w:history="true" w:anchor="_bookmark44">
              <w:r>
                <w:rPr>
                  <w:sz w:val="20"/>
                </w:rPr>
                <w:t>6.4</w:t>
                <w:tab/>
                <w:t>Carers (Income</w:t>
              </w:r>
              <w:r>
                <w:rPr>
                  <w:spacing w:val="-2"/>
                  <w:sz w:val="20"/>
                </w:rPr>
                <w:t> </w:t>
              </w:r>
              <w:r>
                <w:rPr>
                  <w:sz w:val="20"/>
                </w:rPr>
                <w:t>Support)</w:t>
              </w:r>
            </w:hyperlink>
          </w:p>
        </w:tc>
        <w:tc>
          <w:tcPr>
            <w:tcW w:w="1518" w:type="dxa"/>
          </w:tcPr>
          <w:p>
            <w:pPr>
              <w:pStyle w:val="TableParagraph"/>
              <w:spacing w:line="209" w:lineRule="exact" w:before="0"/>
              <w:ind w:right="48"/>
              <w:jc w:val="right"/>
              <w:rPr>
                <w:sz w:val="20"/>
              </w:rPr>
            </w:pPr>
            <w:hyperlink w:history="true" w:anchor="_bookmark44">
              <w:r>
                <w:rPr>
                  <w:w w:val="95"/>
                  <w:sz w:val="20"/>
                </w:rPr>
                <w:t>96</w:t>
              </w:r>
            </w:hyperlink>
          </w:p>
        </w:tc>
      </w:tr>
      <w:tr>
        <w:trPr>
          <w:trHeight w:val="229" w:hRule="atLeast"/>
        </w:trPr>
        <w:tc>
          <w:tcPr>
            <w:tcW w:w="7256" w:type="dxa"/>
            <w:gridSpan w:val="3"/>
          </w:tcPr>
          <w:p>
            <w:pPr>
              <w:pStyle w:val="TableParagraph"/>
              <w:tabs>
                <w:tab w:pos="1185" w:val="left" w:leader="none"/>
              </w:tabs>
              <w:spacing w:line="209" w:lineRule="exact" w:before="0"/>
              <w:ind w:left="618"/>
              <w:rPr>
                <w:sz w:val="20"/>
              </w:rPr>
            </w:pPr>
            <w:hyperlink w:history="true" w:anchor="_bookmark45">
              <w:r>
                <w:rPr>
                  <w:sz w:val="20"/>
                </w:rPr>
                <w:t>6.5</w:t>
                <w:tab/>
                <w:t>Disability Support</w:t>
              </w:r>
              <w:r>
                <w:rPr>
                  <w:spacing w:val="-4"/>
                  <w:sz w:val="20"/>
                </w:rPr>
                <w:t> </w:t>
              </w:r>
              <w:r>
                <w:rPr>
                  <w:sz w:val="20"/>
                </w:rPr>
                <w:t>Pensioners</w:t>
              </w:r>
            </w:hyperlink>
          </w:p>
        </w:tc>
        <w:tc>
          <w:tcPr>
            <w:tcW w:w="1518" w:type="dxa"/>
          </w:tcPr>
          <w:p>
            <w:pPr>
              <w:pStyle w:val="TableParagraph"/>
              <w:spacing w:line="209" w:lineRule="exact" w:before="0"/>
              <w:ind w:right="48"/>
              <w:jc w:val="right"/>
              <w:rPr>
                <w:sz w:val="20"/>
              </w:rPr>
            </w:pPr>
            <w:hyperlink w:history="true" w:anchor="_bookmark45">
              <w:r>
                <w:rPr>
                  <w:w w:val="95"/>
                  <w:sz w:val="20"/>
                </w:rPr>
                <w:t>102</w:t>
              </w:r>
            </w:hyperlink>
          </w:p>
        </w:tc>
      </w:tr>
      <w:tr>
        <w:trPr>
          <w:trHeight w:val="289" w:hRule="atLeast"/>
        </w:trPr>
        <w:tc>
          <w:tcPr>
            <w:tcW w:w="7256" w:type="dxa"/>
            <w:gridSpan w:val="3"/>
          </w:tcPr>
          <w:p>
            <w:pPr>
              <w:pStyle w:val="TableParagraph"/>
              <w:tabs>
                <w:tab w:pos="1185" w:val="left" w:leader="none"/>
              </w:tabs>
              <w:spacing w:line="227" w:lineRule="exact" w:before="0"/>
              <w:ind w:left="618"/>
              <w:rPr>
                <w:sz w:val="20"/>
              </w:rPr>
            </w:pPr>
            <w:hyperlink w:history="true" w:anchor="_bookmark46">
              <w:r>
                <w:rPr>
                  <w:sz w:val="20"/>
                </w:rPr>
                <w:t>6.6</w:t>
                <w:tab/>
                <w:t>Age Pensioners</w:t>
              </w:r>
            </w:hyperlink>
          </w:p>
        </w:tc>
        <w:tc>
          <w:tcPr>
            <w:tcW w:w="1518" w:type="dxa"/>
          </w:tcPr>
          <w:p>
            <w:pPr>
              <w:pStyle w:val="TableParagraph"/>
              <w:spacing w:line="227" w:lineRule="exact" w:before="0"/>
              <w:ind w:right="48"/>
              <w:jc w:val="right"/>
              <w:rPr>
                <w:sz w:val="20"/>
              </w:rPr>
            </w:pPr>
            <w:hyperlink w:history="true" w:anchor="_bookmark46">
              <w:r>
                <w:rPr>
                  <w:w w:val="95"/>
                  <w:sz w:val="20"/>
                </w:rPr>
                <w:t>109</w:t>
              </w:r>
            </w:hyperlink>
          </w:p>
        </w:tc>
      </w:tr>
      <w:tr>
        <w:trPr>
          <w:trHeight w:val="350" w:hRule="atLeast"/>
        </w:trPr>
        <w:tc>
          <w:tcPr>
            <w:tcW w:w="7256" w:type="dxa"/>
            <w:gridSpan w:val="3"/>
          </w:tcPr>
          <w:p>
            <w:pPr>
              <w:pStyle w:val="TableParagraph"/>
              <w:tabs>
                <w:tab w:pos="618" w:val="left" w:leader="none"/>
              </w:tabs>
              <w:spacing w:before="55"/>
              <w:ind w:left="50"/>
              <w:rPr>
                <w:b/>
                <w:sz w:val="20"/>
              </w:rPr>
            </w:pPr>
            <w:hyperlink w:history="true" w:anchor="_bookmark47">
              <w:r>
                <w:rPr>
                  <w:b/>
                  <w:sz w:val="20"/>
                </w:rPr>
                <w:t>7</w:t>
                <w:tab/>
                <w:t>Results for non income support</w:t>
              </w:r>
              <w:r>
                <w:rPr>
                  <w:b/>
                  <w:spacing w:val="-4"/>
                  <w:sz w:val="20"/>
                </w:rPr>
                <w:t> </w:t>
              </w:r>
              <w:r>
                <w:rPr>
                  <w:b/>
                  <w:sz w:val="20"/>
                </w:rPr>
                <w:t>recipients</w:t>
              </w:r>
            </w:hyperlink>
          </w:p>
        </w:tc>
        <w:tc>
          <w:tcPr>
            <w:tcW w:w="1518" w:type="dxa"/>
          </w:tcPr>
          <w:p>
            <w:pPr>
              <w:pStyle w:val="TableParagraph"/>
              <w:spacing w:before="55"/>
              <w:ind w:right="48"/>
              <w:jc w:val="right"/>
              <w:rPr>
                <w:b/>
                <w:sz w:val="20"/>
              </w:rPr>
            </w:pPr>
            <w:hyperlink w:history="true" w:anchor="_bookmark47">
              <w:r>
                <w:rPr>
                  <w:b/>
                  <w:w w:val="95"/>
                  <w:sz w:val="20"/>
                </w:rPr>
                <w:t>116</w:t>
              </w:r>
            </w:hyperlink>
          </w:p>
        </w:tc>
      </w:tr>
      <w:tr>
        <w:trPr>
          <w:trHeight w:val="291" w:hRule="atLeast"/>
        </w:trPr>
        <w:tc>
          <w:tcPr>
            <w:tcW w:w="7256" w:type="dxa"/>
            <w:gridSpan w:val="3"/>
          </w:tcPr>
          <w:p>
            <w:pPr>
              <w:pStyle w:val="TableParagraph"/>
              <w:tabs>
                <w:tab w:pos="1185" w:val="left" w:leader="none"/>
              </w:tabs>
              <w:spacing w:line="214" w:lineRule="exact" w:before="58"/>
              <w:ind w:left="618"/>
              <w:rPr>
                <w:sz w:val="20"/>
              </w:rPr>
            </w:pPr>
            <w:hyperlink w:history="true" w:anchor="_bookmark48">
              <w:r>
                <w:rPr>
                  <w:sz w:val="20"/>
                </w:rPr>
                <w:t>7.1</w:t>
                <w:tab/>
                <w:t>Non income support –</w:t>
              </w:r>
              <w:r>
                <w:rPr>
                  <w:spacing w:val="-3"/>
                  <w:sz w:val="20"/>
                </w:rPr>
                <w:t> </w:t>
              </w:r>
              <w:r>
                <w:rPr>
                  <w:sz w:val="20"/>
                </w:rPr>
                <w:t>Family</w:t>
              </w:r>
            </w:hyperlink>
          </w:p>
        </w:tc>
        <w:tc>
          <w:tcPr>
            <w:tcW w:w="1518" w:type="dxa"/>
          </w:tcPr>
          <w:p>
            <w:pPr>
              <w:pStyle w:val="TableParagraph"/>
              <w:spacing w:line="214" w:lineRule="exact" w:before="58"/>
              <w:ind w:right="48"/>
              <w:jc w:val="right"/>
              <w:rPr>
                <w:sz w:val="20"/>
              </w:rPr>
            </w:pPr>
            <w:hyperlink w:history="true" w:anchor="_bookmark48">
              <w:r>
                <w:rPr>
                  <w:w w:val="95"/>
                  <w:sz w:val="20"/>
                </w:rPr>
                <w:t>116</w:t>
              </w:r>
            </w:hyperlink>
          </w:p>
        </w:tc>
      </w:tr>
      <w:tr>
        <w:trPr>
          <w:trHeight w:val="230" w:hRule="atLeast"/>
        </w:trPr>
        <w:tc>
          <w:tcPr>
            <w:tcW w:w="7256" w:type="dxa"/>
            <w:gridSpan w:val="3"/>
          </w:tcPr>
          <w:p>
            <w:pPr>
              <w:pStyle w:val="TableParagraph"/>
              <w:tabs>
                <w:tab w:pos="1185" w:val="left" w:leader="none"/>
              </w:tabs>
              <w:spacing w:line="210" w:lineRule="exact" w:before="0"/>
              <w:ind w:left="618"/>
              <w:rPr>
                <w:sz w:val="20"/>
              </w:rPr>
            </w:pPr>
            <w:hyperlink w:history="true" w:anchor="_bookmark49">
              <w:r>
                <w:rPr>
                  <w:sz w:val="20"/>
                </w:rPr>
                <w:t>7.2</w:t>
                <w:tab/>
                <w:t>Non income support – Carer</w:t>
              </w:r>
            </w:hyperlink>
          </w:p>
        </w:tc>
        <w:tc>
          <w:tcPr>
            <w:tcW w:w="1518" w:type="dxa"/>
          </w:tcPr>
          <w:p>
            <w:pPr>
              <w:pStyle w:val="TableParagraph"/>
              <w:spacing w:line="210" w:lineRule="exact" w:before="0"/>
              <w:ind w:right="48"/>
              <w:jc w:val="right"/>
              <w:rPr>
                <w:sz w:val="20"/>
              </w:rPr>
            </w:pPr>
            <w:hyperlink w:history="true" w:anchor="_bookmark49">
              <w:r>
                <w:rPr>
                  <w:w w:val="95"/>
                  <w:sz w:val="20"/>
                </w:rPr>
                <w:t>124</w:t>
              </w:r>
            </w:hyperlink>
          </w:p>
        </w:tc>
      </w:tr>
      <w:tr>
        <w:trPr>
          <w:trHeight w:val="288" w:hRule="atLeast"/>
        </w:trPr>
        <w:tc>
          <w:tcPr>
            <w:tcW w:w="7256" w:type="dxa"/>
            <w:gridSpan w:val="3"/>
          </w:tcPr>
          <w:p>
            <w:pPr>
              <w:pStyle w:val="TableParagraph"/>
              <w:tabs>
                <w:tab w:pos="1185" w:val="left" w:leader="none"/>
              </w:tabs>
              <w:spacing w:line="227" w:lineRule="exact" w:before="0"/>
              <w:ind w:left="618"/>
              <w:rPr>
                <w:sz w:val="20"/>
              </w:rPr>
            </w:pPr>
            <w:hyperlink w:history="true" w:anchor="_bookmark50">
              <w:r>
                <w:rPr>
                  <w:sz w:val="20"/>
                </w:rPr>
                <w:t>7.3</w:t>
                <w:tab/>
                <w:t>Non income support –</w:t>
              </w:r>
              <w:r>
                <w:rPr>
                  <w:spacing w:val="-3"/>
                  <w:sz w:val="20"/>
                </w:rPr>
                <w:t> </w:t>
              </w:r>
              <w:r>
                <w:rPr>
                  <w:sz w:val="20"/>
                </w:rPr>
                <w:t>Other</w:t>
              </w:r>
            </w:hyperlink>
          </w:p>
        </w:tc>
        <w:tc>
          <w:tcPr>
            <w:tcW w:w="1518" w:type="dxa"/>
          </w:tcPr>
          <w:p>
            <w:pPr>
              <w:pStyle w:val="TableParagraph"/>
              <w:spacing w:line="227" w:lineRule="exact" w:before="0"/>
              <w:ind w:right="48"/>
              <w:jc w:val="right"/>
              <w:rPr>
                <w:sz w:val="20"/>
              </w:rPr>
            </w:pPr>
            <w:hyperlink w:history="true" w:anchor="_bookmark50">
              <w:r>
                <w:rPr>
                  <w:w w:val="95"/>
                  <w:sz w:val="20"/>
                </w:rPr>
                <w:t>131</w:t>
              </w:r>
            </w:hyperlink>
          </w:p>
        </w:tc>
      </w:tr>
      <w:tr>
        <w:trPr>
          <w:trHeight w:val="349" w:hRule="atLeast"/>
        </w:trPr>
        <w:tc>
          <w:tcPr>
            <w:tcW w:w="7256" w:type="dxa"/>
            <w:gridSpan w:val="3"/>
          </w:tcPr>
          <w:p>
            <w:pPr>
              <w:pStyle w:val="TableParagraph"/>
              <w:tabs>
                <w:tab w:pos="618" w:val="left" w:leader="none"/>
              </w:tabs>
              <w:spacing w:before="54"/>
              <w:ind w:left="50"/>
              <w:rPr>
                <w:b/>
                <w:sz w:val="20"/>
              </w:rPr>
            </w:pPr>
            <w:hyperlink w:history="true" w:anchor="_bookmark52">
              <w:r>
                <w:rPr>
                  <w:b/>
                  <w:sz w:val="20"/>
                </w:rPr>
                <w:t>8</w:t>
                <w:tab/>
                <w:t>Results for non-welfare</w:t>
              </w:r>
              <w:r>
                <w:rPr>
                  <w:b/>
                  <w:spacing w:val="-3"/>
                  <w:sz w:val="20"/>
                </w:rPr>
                <w:t> </w:t>
              </w:r>
              <w:r>
                <w:rPr>
                  <w:b/>
                  <w:sz w:val="20"/>
                </w:rPr>
                <w:t>recipients</w:t>
              </w:r>
            </w:hyperlink>
          </w:p>
        </w:tc>
        <w:tc>
          <w:tcPr>
            <w:tcW w:w="1518" w:type="dxa"/>
          </w:tcPr>
          <w:p>
            <w:pPr>
              <w:pStyle w:val="TableParagraph"/>
              <w:spacing w:before="54"/>
              <w:ind w:right="48"/>
              <w:jc w:val="right"/>
              <w:rPr>
                <w:b/>
                <w:sz w:val="20"/>
              </w:rPr>
            </w:pPr>
            <w:hyperlink w:history="true" w:anchor="_bookmark52">
              <w:r>
                <w:rPr>
                  <w:b/>
                  <w:w w:val="95"/>
                  <w:sz w:val="20"/>
                </w:rPr>
                <w:t>139</w:t>
              </w:r>
            </w:hyperlink>
          </w:p>
        </w:tc>
      </w:tr>
      <w:tr>
        <w:trPr>
          <w:trHeight w:val="291" w:hRule="atLeast"/>
        </w:trPr>
        <w:tc>
          <w:tcPr>
            <w:tcW w:w="7256" w:type="dxa"/>
            <w:gridSpan w:val="3"/>
          </w:tcPr>
          <w:p>
            <w:pPr>
              <w:pStyle w:val="TableParagraph"/>
              <w:tabs>
                <w:tab w:pos="1185" w:val="left" w:leader="none"/>
              </w:tabs>
              <w:spacing w:line="214" w:lineRule="exact" w:before="58"/>
              <w:ind w:left="618"/>
              <w:rPr>
                <w:sz w:val="20"/>
              </w:rPr>
            </w:pPr>
            <w:hyperlink w:history="true" w:anchor="_bookmark53">
              <w:r>
                <w:rPr>
                  <w:sz w:val="20"/>
                </w:rPr>
                <w:t>8.1</w:t>
                <w:tab/>
                <w:t>Previous welfare</w:t>
              </w:r>
              <w:r>
                <w:rPr>
                  <w:spacing w:val="1"/>
                  <w:sz w:val="20"/>
                </w:rPr>
                <w:t> </w:t>
              </w:r>
              <w:r>
                <w:rPr>
                  <w:sz w:val="20"/>
                </w:rPr>
                <w:t>recipients</w:t>
              </w:r>
            </w:hyperlink>
          </w:p>
        </w:tc>
        <w:tc>
          <w:tcPr>
            <w:tcW w:w="1518" w:type="dxa"/>
          </w:tcPr>
          <w:p>
            <w:pPr>
              <w:pStyle w:val="TableParagraph"/>
              <w:spacing w:line="214" w:lineRule="exact" w:before="58"/>
              <w:ind w:right="48"/>
              <w:jc w:val="right"/>
              <w:rPr>
                <w:sz w:val="20"/>
              </w:rPr>
            </w:pPr>
            <w:hyperlink w:history="true" w:anchor="_bookmark53">
              <w:r>
                <w:rPr>
                  <w:w w:val="95"/>
                  <w:sz w:val="20"/>
                </w:rPr>
                <w:t>139</w:t>
              </w:r>
            </w:hyperlink>
          </w:p>
        </w:tc>
      </w:tr>
      <w:tr>
        <w:trPr>
          <w:trHeight w:val="289" w:hRule="atLeast"/>
        </w:trPr>
        <w:tc>
          <w:tcPr>
            <w:tcW w:w="7256" w:type="dxa"/>
            <w:gridSpan w:val="3"/>
          </w:tcPr>
          <w:p>
            <w:pPr>
              <w:pStyle w:val="TableParagraph"/>
              <w:tabs>
                <w:tab w:pos="1185" w:val="left" w:leader="none"/>
              </w:tabs>
              <w:spacing w:line="227" w:lineRule="exact" w:before="0"/>
              <w:ind w:left="618"/>
              <w:rPr>
                <w:sz w:val="20"/>
              </w:rPr>
            </w:pPr>
            <w:hyperlink w:history="true" w:anchor="_bookmark54">
              <w:r>
                <w:rPr>
                  <w:sz w:val="20"/>
                </w:rPr>
                <w:t>8.2</w:t>
                <w:tab/>
                <w:t>Rest of the Australian</w:t>
              </w:r>
              <w:r>
                <w:rPr>
                  <w:spacing w:val="-2"/>
                  <w:sz w:val="20"/>
                </w:rPr>
                <w:t> </w:t>
              </w:r>
              <w:r>
                <w:rPr>
                  <w:sz w:val="20"/>
                </w:rPr>
                <w:t>population</w:t>
              </w:r>
            </w:hyperlink>
          </w:p>
        </w:tc>
        <w:tc>
          <w:tcPr>
            <w:tcW w:w="1518" w:type="dxa"/>
          </w:tcPr>
          <w:p>
            <w:pPr>
              <w:pStyle w:val="TableParagraph"/>
              <w:spacing w:line="227" w:lineRule="exact" w:before="0"/>
              <w:ind w:right="48"/>
              <w:jc w:val="right"/>
              <w:rPr>
                <w:sz w:val="20"/>
              </w:rPr>
            </w:pPr>
            <w:hyperlink w:history="true" w:anchor="_bookmark54">
              <w:r>
                <w:rPr>
                  <w:w w:val="95"/>
                  <w:sz w:val="20"/>
                </w:rPr>
                <w:t>146</w:t>
              </w:r>
            </w:hyperlink>
          </w:p>
        </w:tc>
      </w:tr>
      <w:tr>
        <w:trPr>
          <w:trHeight w:val="285" w:hRule="atLeast"/>
        </w:trPr>
        <w:tc>
          <w:tcPr>
            <w:tcW w:w="7256" w:type="dxa"/>
            <w:gridSpan w:val="3"/>
          </w:tcPr>
          <w:p>
            <w:pPr>
              <w:pStyle w:val="TableParagraph"/>
              <w:spacing w:line="210" w:lineRule="exact" w:before="55"/>
              <w:ind w:left="50"/>
              <w:rPr>
                <w:b/>
                <w:sz w:val="20"/>
              </w:rPr>
            </w:pPr>
            <w:hyperlink w:history="true" w:anchor="_bookmark55">
              <w:r>
                <w:rPr>
                  <w:b/>
                  <w:sz w:val="20"/>
                </w:rPr>
                <w:t>Appendices</w:t>
              </w:r>
            </w:hyperlink>
          </w:p>
        </w:tc>
        <w:tc>
          <w:tcPr>
            <w:tcW w:w="1518" w:type="dxa"/>
          </w:tcPr>
          <w:p>
            <w:pPr>
              <w:pStyle w:val="TableParagraph"/>
              <w:spacing w:line="210" w:lineRule="exact" w:before="55"/>
              <w:ind w:right="48"/>
              <w:jc w:val="right"/>
              <w:rPr>
                <w:b/>
                <w:sz w:val="20"/>
              </w:rPr>
            </w:pPr>
            <w:hyperlink w:history="true" w:anchor="_bookmark55">
              <w:r>
                <w:rPr>
                  <w:b/>
                  <w:w w:val="95"/>
                  <w:sz w:val="20"/>
                </w:rPr>
                <w:t>153</w:t>
              </w:r>
            </w:hyperlink>
          </w:p>
        </w:tc>
      </w:tr>
    </w:tbl>
    <w:p>
      <w:pPr>
        <w:spacing w:after="0" w:line="210" w:lineRule="exact"/>
        <w:jc w:val="right"/>
        <w:rPr>
          <w:sz w:val="20"/>
        </w:rPr>
        <w:sectPr>
          <w:footerReference w:type="default" r:id="rId7"/>
          <w:pgSz w:w="11910" w:h="16850"/>
          <w:pgMar w:footer="501" w:header="0" w:top="1060" w:bottom="700" w:left="120" w:right="0"/>
          <w:pgNumType w:start="3"/>
        </w:sectPr>
      </w:pPr>
    </w:p>
    <w:p>
      <w:pPr>
        <w:pStyle w:val="BodyText"/>
        <w:spacing w:before="4"/>
        <w:rPr>
          <w:b/>
          <w:sz w:val="17"/>
        </w:rPr>
      </w:pPr>
    </w:p>
    <w:p>
      <w:pPr>
        <w:spacing w:after="0"/>
        <w:rPr>
          <w:sz w:val="17"/>
        </w:rPr>
        <w:sectPr>
          <w:pgSz w:w="11910" w:h="16850"/>
          <w:pgMar w:header="0" w:footer="501" w:top="1600" w:bottom="700" w:left="120" w:right="0"/>
        </w:sectPr>
      </w:pPr>
    </w:p>
    <w:p>
      <w:pPr>
        <w:pStyle w:val="BodyText"/>
        <w:ind w:left="101"/>
      </w:pPr>
      <w:r>
        <w:rPr/>
        <w:pict>
          <v:shape style="position:absolute;margin-left:51pt;margin-top:14.457986pt;width:82.9pt;height:10.6pt;mso-position-horizontal-relative:page;mso-position-vertical-relative:page;z-index:-288242688" type="#_x0000_t202" filled="false" stroked="false">
            <v:textbox inset="0,0,0,0">
              <w:txbxContent>
                <w:p>
                  <w:pPr>
                    <w:spacing w:line="212" w:lineRule="exact" w:before="0"/>
                    <w:ind w:left="0" w:right="0" w:firstLine="0"/>
                    <w:jc w:val="left"/>
                    <w:rPr>
                      <w:sz w:val="19"/>
                    </w:rPr>
                  </w:pPr>
                  <w:r>
                    <w:rPr>
                      <w:color w:val="404040"/>
                      <w:sz w:val="19"/>
                    </w:rPr>
                    <w:t>Executive summary</w:t>
                  </w:r>
                </w:p>
              </w:txbxContent>
            </v:textbox>
            <w10:wrap type="none"/>
          </v:shape>
        </w:pict>
      </w:r>
      <w:r>
        <w:rPr/>
        <w:drawing>
          <wp:inline distT="0" distB="0" distL="0" distR="0">
            <wp:extent cx="7325165" cy="4878324"/>
            <wp:effectExtent l="0" t="0" r="0" b="0"/>
            <wp:docPr id="1" name="image3.jpeg" descr="Group of people is reading some documents and discussing"/>
            <wp:cNvGraphicFramePr>
              <a:graphicFrameLocks noChangeAspect="1"/>
            </wp:cNvGraphicFramePr>
            <a:graphic>
              <a:graphicData uri="http://schemas.openxmlformats.org/drawingml/2006/picture">
                <pic:pic>
                  <pic:nvPicPr>
                    <pic:cNvPr id="2" name="image3.jpeg"/>
                    <pic:cNvPicPr/>
                  </pic:nvPicPr>
                  <pic:blipFill>
                    <a:blip r:embed="rId9" cstate="print"/>
                    <a:stretch>
                      <a:fillRect/>
                    </a:stretch>
                  </pic:blipFill>
                  <pic:spPr>
                    <a:xfrm>
                      <a:off x="0" y="0"/>
                      <a:ext cx="7325165" cy="4878324"/>
                    </a:xfrm>
                    <a:prstGeom prst="rect">
                      <a:avLst/>
                    </a:prstGeom>
                  </pic:spPr>
                </pic:pic>
              </a:graphicData>
            </a:graphic>
          </wp:inline>
        </w:drawing>
      </w:r>
      <w:r>
        <w:rPr/>
      </w:r>
    </w:p>
    <w:p>
      <w:pPr>
        <w:pStyle w:val="BodyText"/>
        <w:spacing w:before="3"/>
        <w:rPr>
          <w:b/>
          <w:sz w:val="26"/>
        </w:rPr>
      </w:pPr>
    </w:p>
    <w:p>
      <w:pPr>
        <w:pStyle w:val="Heading1"/>
      </w:pPr>
      <w:bookmarkStart w:name="Part I: Executive summary" w:id="1"/>
      <w:bookmarkEnd w:id="1"/>
      <w:r>
        <w:rPr/>
      </w:r>
      <w:bookmarkStart w:name="_bookmark0" w:id="2"/>
      <w:bookmarkEnd w:id="2"/>
      <w:r>
        <w:rPr/>
      </w:r>
      <w:r>
        <w:rPr>
          <w:color w:val="DF2F1E"/>
        </w:rPr>
        <w:t>Part I: Executive summary</w:t>
      </w:r>
    </w:p>
    <w:p>
      <w:pPr>
        <w:spacing w:after="0"/>
        <w:sectPr>
          <w:footerReference w:type="default" r:id="rId8"/>
          <w:pgSz w:w="11910" w:h="16850"/>
          <w:pgMar w:footer="298" w:header="0" w:top="240" w:bottom="480" w:left="120" w:right="0"/>
          <w:pgNumType w:start="1"/>
        </w:sectPr>
      </w:pPr>
    </w:p>
    <w:p>
      <w:pPr>
        <w:pStyle w:val="BodyText"/>
      </w:pPr>
      <w:r>
        <w:rPr/>
        <w:pict>
          <v:group style="position:absolute;margin-left:51pt;margin-top:79.439980pt;width:493.35pt;height:684.5pt;mso-position-horizontal-relative:page;mso-position-vertical-relative:page;z-index:-288241664" coordorigin="1020,1589" coordsize="9867,13690">
            <v:rect style="position:absolute;left:1020;top:1588;width:9867;height:22" filled="true" fillcolor="#f3aba3" stroked="false">
              <v:fill type="solid"/>
            </v:rect>
            <v:line style="position:absolute" from="1128,1600" to="10778,1600" stroked="true" strokeweight="1.08pt" strokecolor="#f3aba3">
              <v:stroke dashstyle="solid"/>
            </v:line>
            <v:shape style="position:absolute;left:1020;top:1610;width:9867;height:13668" coordorigin="1020,1610" coordsize="9867,13668" path="m10886,1610l1020,1610,1020,15278,1128,15278,10778,15278,10886,15278,10886,1610e" filled="true" fillcolor="#f3aba3" stroked="false">
              <v:path arrowok="t"/>
              <v:fill type="solid"/>
            </v:shape>
            <w10:wrap type="none"/>
          </v:group>
        </w:pict>
      </w:r>
    </w:p>
    <w:p>
      <w:pPr>
        <w:pStyle w:val="BodyText"/>
      </w:pPr>
    </w:p>
    <w:p>
      <w:pPr>
        <w:pStyle w:val="BodyText"/>
      </w:pPr>
    </w:p>
    <w:p>
      <w:pPr>
        <w:pStyle w:val="BodyText"/>
      </w:pPr>
    </w:p>
    <w:p>
      <w:pPr>
        <w:pStyle w:val="BodyText"/>
        <w:spacing w:before="8"/>
        <w:rPr>
          <w:sz w:val="18"/>
        </w:rPr>
      </w:pPr>
    </w:p>
    <w:p>
      <w:pPr>
        <w:pStyle w:val="Heading3"/>
      </w:pPr>
      <w:r>
        <w:rPr>
          <w:color w:val="404040"/>
        </w:rPr>
        <w:t>Key findings</w:t>
      </w:r>
    </w:p>
    <w:p>
      <w:pPr>
        <w:pStyle w:val="BodyText"/>
        <w:spacing w:before="122"/>
        <w:ind w:left="1008" w:right="1155"/>
      </w:pPr>
      <w:r>
        <w:rPr>
          <w:color w:val="404040"/>
        </w:rPr>
        <w:t>This 30 June 2018 actuarial valuation is part of the work undertaken by the Department of Social Services to implement the Australian Priority Investment Approach to Welfare with the aim of reducing welfare dependency and improving the lifetime wellbeing of people and families in Australia. The actuarial valuation provides a long term perspective of the financial commitments implicit in the current welfare system and provides information on:</w:t>
      </w:r>
    </w:p>
    <w:p>
      <w:pPr>
        <w:pStyle w:val="ListParagraph"/>
        <w:numPr>
          <w:ilvl w:val="0"/>
          <w:numId w:val="2"/>
        </w:numPr>
        <w:tabs>
          <w:tab w:pos="1292" w:val="left" w:leader="none"/>
        </w:tabs>
        <w:spacing w:line="240" w:lineRule="auto" w:before="120" w:after="0"/>
        <w:ind w:left="1291" w:right="0" w:hanging="284"/>
        <w:jc w:val="left"/>
        <w:rPr>
          <w:sz w:val="20"/>
        </w:rPr>
      </w:pPr>
      <w:r>
        <w:rPr>
          <w:color w:val="404040"/>
          <w:sz w:val="20"/>
        </w:rPr>
        <w:t>The future cost of the system (lifetime</w:t>
      </w:r>
      <w:r>
        <w:rPr>
          <w:color w:val="404040"/>
          <w:spacing w:val="-4"/>
          <w:sz w:val="20"/>
        </w:rPr>
        <w:t> </w:t>
      </w:r>
      <w:r>
        <w:rPr>
          <w:color w:val="404040"/>
          <w:sz w:val="20"/>
        </w:rPr>
        <w:t>cost).</w:t>
      </w:r>
    </w:p>
    <w:p>
      <w:pPr>
        <w:pStyle w:val="ListParagraph"/>
        <w:numPr>
          <w:ilvl w:val="0"/>
          <w:numId w:val="2"/>
        </w:numPr>
        <w:tabs>
          <w:tab w:pos="1292" w:val="left" w:leader="none"/>
        </w:tabs>
        <w:spacing w:line="240" w:lineRule="auto" w:before="118" w:after="0"/>
        <w:ind w:left="1291" w:right="0" w:hanging="284"/>
        <w:jc w:val="left"/>
        <w:rPr>
          <w:sz w:val="20"/>
        </w:rPr>
      </w:pPr>
      <w:r>
        <w:rPr>
          <w:color w:val="404040"/>
          <w:sz w:val="20"/>
        </w:rPr>
        <w:t>How the different payment types (programs) contribute to this overall</w:t>
      </w:r>
      <w:r>
        <w:rPr>
          <w:color w:val="404040"/>
          <w:spacing w:val="-12"/>
          <w:sz w:val="20"/>
        </w:rPr>
        <w:t> </w:t>
      </w:r>
      <w:r>
        <w:rPr>
          <w:color w:val="404040"/>
          <w:sz w:val="20"/>
        </w:rPr>
        <w:t>cost.</w:t>
      </w:r>
    </w:p>
    <w:p>
      <w:pPr>
        <w:pStyle w:val="ListParagraph"/>
        <w:numPr>
          <w:ilvl w:val="0"/>
          <w:numId w:val="2"/>
        </w:numPr>
        <w:tabs>
          <w:tab w:pos="1292" w:val="left" w:leader="none"/>
        </w:tabs>
        <w:spacing w:line="240" w:lineRule="auto" w:before="117" w:after="0"/>
        <w:ind w:left="1291" w:right="0" w:hanging="284"/>
        <w:jc w:val="left"/>
        <w:rPr>
          <w:sz w:val="20"/>
        </w:rPr>
      </w:pPr>
      <w:r>
        <w:rPr>
          <w:color w:val="404040"/>
          <w:sz w:val="20"/>
        </w:rPr>
        <w:t>The factors that drive the overall lifetime cost and annual</w:t>
      </w:r>
      <w:r>
        <w:rPr>
          <w:color w:val="404040"/>
          <w:spacing w:val="-11"/>
          <w:sz w:val="20"/>
        </w:rPr>
        <w:t> </w:t>
      </w:r>
      <w:r>
        <w:rPr>
          <w:color w:val="404040"/>
          <w:sz w:val="20"/>
        </w:rPr>
        <w:t>expenditures.</w:t>
      </w:r>
    </w:p>
    <w:p>
      <w:pPr>
        <w:pStyle w:val="ListParagraph"/>
        <w:numPr>
          <w:ilvl w:val="0"/>
          <w:numId w:val="2"/>
        </w:numPr>
        <w:tabs>
          <w:tab w:pos="1292" w:val="left" w:leader="none"/>
        </w:tabs>
        <w:spacing w:line="240" w:lineRule="auto" w:before="120" w:after="0"/>
        <w:ind w:left="1291" w:right="1759" w:hanging="284"/>
        <w:jc w:val="left"/>
        <w:rPr>
          <w:sz w:val="20"/>
        </w:rPr>
      </w:pPr>
      <w:r>
        <w:rPr>
          <w:color w:val="404040"/>
          <w:sz w:val="20"/>
        </w:rPr>
        <w:t>How the cost is changing over time, which provides information on the financial sustainability of the system.</w:t>
      </w:r>
    </w:p>
    <w:p>
      <w:pPr>
        <w:pStyle w:val="ListParagraph"/>
        <w:numPr>
          <w:ilvl w:val="0"/>
          <w:numId w:val="2"/>
        </w:numPr>
        <w:tabs>
          <w:tab w:pos="1292" w:val="left" w:leader="none"/>
        </w:tabs>
        <w:spacing w:line="240" w:lineRule="auto" w:before="118" w:after="0"/>
        <w:ind w:left="1291" w:right="0" w:hanging="284"/>
        <w:jc w:val="left"/>
        <w:rPr>
          <w:sz w:val="20"/>
        </w:rPr>
      </w:pPr>
      <w:r>
        <w:rPr>
          <w:color w:val="404040"/>
          <w:sz w:val="20"/>
        </w:rPr>
        <w:t>The impact of changes, both to the welfare system and to external drivers of the system</w:t>
      </w:r>
      <w:r>
        <w:rPr>
          <w:color w:val="404040"/>
          <w:spacing w:val="-15"/>
          <w:sz w:val="20"/>
        </w:rPr>
        <w:t> </w:t>
      </w:r>
      <w:r>
        <w:rPr>
          <w:color w:val="404040"/>
          <w:sz w:val="20"/>
        </w:rPr>
        <w:t>experience.</w:t>
      </w:r>
    </w:p>
    <w:p>
      <w:pPr>
        <w:pStyle w:val="ListParagraph"/>
        <w:numPr>
          <w:ilvl w:val="0"/>
          <w:numId w:val="2"/>
        </w:numPr>
        <w:tabs>
          <w:tab w:pos="1292" w:val="left" w:leader="none"/>
        </w:tabs>
        <w:spacing w:line="240" w:lineRule="auto" w:before="117" w:after="0"/>
        <w:ind w:left="1291" w:right="0" w:hanging="284"/>
        <w:jc w:val="left"/>
        <w:rPr>
          <w:sz w:val="20"/>
        </w:rPr>
      </w:pPr>
      <w:r>
        <w:rPr>
          <w:color w:val="404040"/>
          <w:sz w:val="20"/>
        </w:rPr>
        <w:t>How different groups of people within the system contribute to the overall</w:t>
      </w:r>
      <w:r>
        <w:rPr>
          <w:color w:val="404040"/>
          <w:spacing w:val="-7"/>
          <w:sz w:val="20"/>
        </w:rPr>
        <w:t> </w:t>
      </w:r>
      <w:r>
        <w:rPr>
          <w:color w:val="404040"/>
          <w:sz w:val="20"/>
        </w:rPr>
        <w:t>cost.</w:t>
      </w:r>
    </w:p>
    <w:p>
      <w:pPr>
        <w:pStyle w:val="ListParagraph"/>
        <w:numPr>
          <w:ilvl w:val="0"/>
          <w:numId w:val="2"/>
        </w:numPr>
        <w:tabs>
          <w:tab w:pos="1292" w:val="left" w:leader="none"/>
        </w:tabs>
        <w:spacing w:line="240" w:lineRule="auto" w:before="120" w:after="0"/>
        <w:ind w:left="1291" w:right="1280" w:hanging="284"/>
        <w:jc w:val="left"/>
        <w:rPr>
          <w:sz w:val="20"/>
        </w:rPr>
      </w:pPr>
      <w:r>
        <w:rPr>
          <w:color w:val="404040"/>
          <w:sz w:val="20"/>
        </w:rPr>
        <w:t>The factors that explain why some groups of people have different levels of expected payment utilisation than others.</w:t>
      </w:r>
    </w:p>
    <w:p>
      <w:pPr>
        <w:pStyle w:val="Heading9"/>
        <w:spacing w:before="117"/>
        <w:ind w:left="1008"/>
      </w:pPr>
      <w:r>
        <w:rPr>
          <w:color w:val="404040"/>
        </w:rPr>
        <w:t>Headline results</w:t>
      </w:r>
    </w:p>
    <w:p>
      <w:pPr>
        <w:pStyle w:val="BodyText"/>
        <w:spacing w:before="123"/>
        <w:ind w:left="1008"/>
      </w:pPr>
      <w:r>
        <w:rPr>
          <w:color w:val="404040"/>
        </w:rPr>
        <w:t>The total lifetime cost is estimated to be $5,662 billion as at 30 June 2018.</w:t>
      </w:r>
    </w:p>
    <w:p>
      <w:pPr>
        <w:pStyle w:val="BodyText"/>
        <w:spacing w:before="118"/>
        <w:ind w:left="1008" w:right="1155"/>
      </w:pPr>
      <w:r>
        <w:rPr>
          <w:color w:val="404040"/>
        </w:rPr>
        <w:t>When considering the change in lifetime cost, we have first rebased the June 2017 result to allow for the updated discount rate of 5% used for the June 2018 valuation (a decrease from the discount rate of 6% used for the June 2017 valuation). The change in discount rate has no impact on future cashflows; however, it does impact the net present value of these cashflows and, therefore, the estimated lifetime cost. Rebasing increases the June 2017 result by $1,617 billion, from $4,681 billion to $6,298 billion. This change supports comparability of the June 2018 and June 2017 results.</w:t>
      </w:r>
    </w:p>
    <w:p>
      <w:pPr>
        <w:pStyle w:val="BodyText"/>
        <w:spacing w:line="242" w:lineRule="auto" w:before="120"/>
        <w:ind w:left="1008" w:right="1979"/>
      </w:pPr>
      <w:r>
        <w:rPr>
          <w:color w:val="404040"/>
        </w:rPr>
        <w:t>The June 2018 total lifetime cost has significantly decreased by approximately $636 billion (10.1%), compared to this rebased June 2017 lifetime cost of $6,298 billion.</w:t>
      </w:r>
    </w:p>
    <w:p>
      <w:pPr>
        <w:pStyle w:val="ListParagraph"/>
        <w:numPr>
          <w:ilvl w:val="0"/>
          <w:numId w:val="2"/>
        </w:numPr>
        <w:tabs>
          <w:tab w:pos="1292" w:val="left" w:leader="none"/>
        </w:tabs>
        <w:spacing w:line="240" w:lineRule="auto" w:before="117" w:after="0"/>
        <w:ind w:left="1291" w:right="1288" w:hanging="284"/>
        <w:jc w:val="left"/>
        <w:rPr>
          <w:sz w:val="20"/>
        </w:rPr>
      </w:pPr>
      <w:r>
        <w:rPr>
          <w:color w:val="404040"/>
          <w:sz w:val="20"/>
        </w:rPr>
        <w:t>This is a very large decrease and, in particular, it reflects updated assumptions to allow for significant decreases in entries and decreases in persistency of payments seen over the last year. This update, together with the changes in the Age Pension forecast, contributed to an overall decrease of $896 billion (-14.2%).</w:t>
      </w:r>
    </w:p>
    <w:p>
      <w:pPr>
        <w:pStyle w:val="ListParagraph"/>
        <w:numPr>
          <w:ilvl w:val="0"/>
          <w:numId w:val="2"/>
        </w:numPr>
        <w:tabs>
          <w:tab w:pos="1292" w:val="left" w:leader="none"/>
        </w:tabs>
        <w:spacing w:line="240" w:lineRule="auto" w:before="116" w:after="0"/>
        <w:ind w:left="1291" w:right="1179" w:hanging="284"/>
        <w:jc w:val="left"/>
        <w:rPr>
          <w:sz w:val="20"/>
        </w:rPr>
      </w:pPr>
      <w:r>
        <w:rPr>
          <w:color w:val="404040"/>
          <w:sz w:val="20"/>
        </w:rPr>
        <w:t>Population growth and inflation over the year have acted to increase the total lifetime cost by almost $261 billion (+4.1%), which partially offset the overall decrease described</w:t>
      </w:r>
      <w:r>
        <w:rPr>
          <w:color w:val="404040"/>
          <w:spacing w:val="-14"/>
          <w:sz w:val="20"/>
        </w:rPr>
        <w:t> </w:t>
      </w:r>
      <w:r>
        <w:rPr>
          <w:color w:val="404040"/>
          <w:sz w:val="20"/>
        </w:rPr>
        <w:t>above.</w:t>
      </w:r>
    </w:p>
    <w:p>
      <w:pPr>
        <w:pStyle w:val="Heading9"/>
        <w:spacing w:before="119"/>
        <w:ind w:left="1008"/>
      </w:pPr>
      <w:r>
        <w:rPr>
          <w:color w:val="404040"/>
        </w:rPr>
        <w:t>Movements since the June 2017 valuation</w:t>
      </w:r>
    </w:p>
    <w:p>
      <w:pPr>
        <w:pStyle w:val="BodyText"/>
        <w:spacing w:before="123"/>
        <w:ind w:left="1008"/>
      </w:pPr>
      <w:r>
        <w:rPr>
          <w:color w:val="404040"/>
        </w:rPr>
        <w:t>Key observations regarding the overall movement in results and drivers of change include:</w:t>
      </w:r>
    </w:p>
    <w:p>
      <w:pPr>
        <w:pStyle w:val="ListParagraph"/>
        <w:numPr>
          <w:ilvl w:val="0"/>
          <w:numId w:val="2"/>
        </w:numPr>
        <w:tabs>
          <w:tab w:pos="1292" w:val="left" w:leader="none"/>
        </w:tabs>
        <w:spacing w:line="240" w:lineRule="auto" w:before="119" w:after="0"/>
        <w:ind w:left="1291" w:right="1135" w:hanging="284"/>
        <w:jc w:val="left"/>
        <w:rPr>
          <w:sz w:val="20"/>
        </w:rPr>
      </w:pPr>
      <w:r>
        <w:rPr>
          <w:color w:val="404040"/>
          <w:sz w:val="20"/>
        </w:rPr>
        <w:t>The welfare population now represents 31.8% of the population (down from 32.6% at June 2017), with the proportion of the population in receipt of income support down from 23.3% to</w:t>
      </w:r>
      <w:r>
        <w:rPr>
          <w:color w:val="404040"/>
          <w:spacing w:val="-6"/>
          <w:sz w:val="20"/>
        </w:rPr>
        <w:t> </w:t>
      </w:r>
      <w:r>
        <w:rPr>
          <w:color w:val="404040"/>
          <w:sz w:val="20"/>
        </w:rPr>
        <w:t>22.1%.</w:t>
      </w:r>
    </w:p>
    <w:p>
      <w:pPr>
        <w:pStyle w:val="ListParagraph"/>
        <w:numPr>
          <w:ilvl w:val="1"/>
          <w:numId w:val="2"/>
        </w:numPr>
        <w:tabs>
          <w:tab w:pos="1575" w:val="left" w:leader="none"/>
        </w:tabs>
        <w:spacing w:line="240" w:lineRule="auto" w:before="117" w:after="0"/>
        <w:ind w:left="1576" w:right="1574" w:hanging="286"/>
        <w:jc w:val="left"/>
        <w:rPr>
          <w:sz w:val="20"/>
        </w:rPr>
      </w:pPr>
      <w:r>
        <w:rPr>
          <w:color w:val="404040"/>
          <w:sz w:val="20"/>
        </w:rPr>
        <w:t>While the Australian population has grown over the year, the total number of people in the welfare system has</w:t>
      </w:r>
      <w:r>
        <w:rPr>
          <w:color w:val="404040"/>
          <w:spacing w:val="3"/>
          <w:sz w:val="20"/>
        </w:rPr>
        <w:t> </w:t>
      </w:r>
      <w:r>
        <w:rPr>
          <w:color w:val="404040"/>
          <w:sz w:val="20"/>
        </w:rPr>
        <w:t>decreased.</w:t>
      </w:r>
    </w:p>
    <w:p>
      <w:pPr>
        <w:pStyle w:val="ListParagraph"/>
        <w:numPr>
          <w:ilvl w:val="1"/>
          <w:numId w:val="2"/>
        </w:numPr>
        <w:tabs>
          <w:tab w:pos="1575" w:val="left" w:leader="none"/>
        </w:tabs>
        <w:spacing w:line="240" w:lineRule="auto" w:before="121" w:after="0"/>
        <w:ind w:left="1576" w:right="1677" w:hanging="286"/>
        <w:jc w:val="left"/>
        <w:rPr>
          <w:sz w:val="20"/>
        </w:rPr>
      </w:pPr>
      <w:r>
        <w:rPr>
          <w:color w:val="404040"/>
          <w:sz w:val="20"/>
        </w:rPr>
        <w:t>Over the last year, entries to the welfare system have decreased and exits from the</w:t>
      </w:r>
      <w:r>
        <w:rPr>
          <w:color w:val="404040"/>
          <w:spacing w:val="-39"/>
          <w:sz w:val="20"/>
        </w:rPr>
        <w:t> </w:t>
      </w:r>
      <w:r>
        <w:rPr>
          <w:color w:val="404040"/>
          <w:sz w:val="20"/>
        </w:rPr>
        <w:t>system have increased compared to recent</w:t>
      </w:r>
      <w:r>
        <w:rPr>
          <w:color w:val="404040"/>
          <w:spacing w:val="2"/>
          <w:sz w:val="20"/>
        </w:rPr>
        <w:t> </w:t>
      </w:r>
      <w:r>
        <w:rPr>
          <w:color w:val="404040"/>
          <w:sz w:val="20"/>
        </w:rPr>
        <w:t>years.</w:t>
      </w:r>
    </w:p>
    <w:p>
      <w:pPr>
        <w:pStyle w:val="ListParagraph"/>
        <w:numPr>
          <w:ilvl w:val="1"/>
          <w:numId w:val="2"/>
        </w:numPr>
        <w:tabs>
          <w:tab w:pos="1575" w:val="left" w:leader="none"/>
        </w:tabs>
        <w:spacing w:line="240" w:lineRule="auto" w:before="121" w:after="0"/>
        <w:ind w:left="1574" w:right="0" w:hanging="284"/>
        <w:jc w:val="left"/>
        <w:rPr>
          <w:sz w:val="20"/>
        </w:rPr>
      </w:pPr>
      <w:r>
        <w:rPr>
          <w:color w:val="404040"/>
          <w:sz w:val="20"/>
        </w:rPr>
        <w:t>The numbers of people in most income support classes have reduced compared to the previous</w:t>
      </w:r>
      <w:r>
        <w:rPr>
          <w:color w:val="404040"/>
          <w:spacing w:val="-18"/>
          <w:sz w:val="20"/>
        </w:rPr>
        <w:t> </w:t>
      </w:r>
      <w:r>
        <w:rPr>
          <w:color w:val="404040"/>
          <w:sz w:val="20"/>
        </w:rPr>
        <w:t>year.</w:t>
      </w:r>
    </w:p>
    <w:p>
      <w:pPr>
        <w:pStyle w:val="BodyText"/>
        <w:ind w:left="1576"/>
      </w:pPr>
      <w:r>
        <w:rPr>
          <w:color w:val="404040"/>
        </w:rPr>
        <w:t>The main exception to this is the Carers class, which has continued to grow.</w:t>
      </w:r>
    </w:p>
    <w:p>
      <w:pPr>
        <w:pStyle w:val="ListParagraph"/>
        <w:numPr>
          <w:ilvl w:val="0"/>
          <w:numId w:val="2"/>
        </w:numPr>
        <w:tabs>
          <w:tab w:pos="1292" w:val="left" w:leader="none"/>
        </w:tabs>
        <w:spacing w:line="240" w:lineRule="auto" w:before="117" w:after="0"/>
        <w:ind w:left="1291" w:right="1447" w:hanging="284"/>
        <w:jc w:val="left"/>
        <w:rPr>
          <w:sz w:val="20"/>
        </w:rPr>
      </w:pPr>
      <w:r>
        <w:rPr>
          <w:color w:val="404040"/>
          <w:sz w:val="20"/>
        </w:rPr>
        <w:t>Average lifetime costs have also decreased across most classes (compared to the rebased June 2017 averages), reflecting the assumption changes</w:t>
      </w:r>
      <w:r>
        <w:rPr>
          <w:color w:val="404040"/>
          <w:spacing w:val="-4"/>
          <w:sz w:val="20"/>
        </w:rPr>
        <w:t> </w:t>
      </w:r>
      <w:r>
        <w:rPr>
          <w:color w:val="404040"/>
          <w:sz w:val="20"/>
        </w:rPr>
        <w:t>above.</w:t>
      </w:r>
    </w:p>
    <w:p>
      <w:pPr>
        <w:pStyle w:val="ListParagraph"/>
        <w:numPr>
          <w:ilvl w:val="0"/>
          <w:numId w:val="2"/>
        </w:numPr>
        <w:tabs>
          <w:tab w:pos="1292" w:val="left" w:leader="none"/>
        </w:tabs>
        <w:spacing w:line="240" w:lineRule="auto" w:before="120" w:after="0"/>
        <w:ind w:left="1291" w:right="1256" w:hanging="284"/>
        <w:jc w:val="left"/>
        <w:rPr>
          <w:sz w:val="20"/>
        </w:rPr>
      </w:pPr>
      <w:r>
        <w:rPr>
          <w:color w:val="404040"/>
          <w:sz w:val="20"/>
        </w:rPr>
        <w:t>The main policy change expected to impact the lifetime cost relates to the introduction of the targeted compliance framework. As a result of this change, the estimated lifetime cost has reduced by $4 billion (- 0.1%).</w:t>
      </w:r>
    </w:p>
    <w:p>
      <w:pPr>
        <w:spacing w:after="0" w:line="240" w:lineRule="auto"/>
        <w:jc w:val="left"/>
        <w:rPr>
          <w:sz w:val="20"/>
        </w:rPr>
        <w:sectPr>
          <w:headerReference w:type="default" r:id="rId10"/>
          <w:footerReference w:type="default" r:id="rId11"/>
          <w:pgSz w:w="11910" w:h="16850"/>
          <w:pgMar w:header="289" w:footer="298" w:top="500" w:bottom="480" w:left="120" w:right="0"/>
          <w:pgNumType w:start="2"/>
        </w:sectPr>
      </w:pPr>
    </w:p>
    <w:p>
      <w:pPr>
        <w:pStyle w:val="BodyText"/>
      </w:pPr>
    </w:p>
    <w:p>
      <w:pPr>
        <w:pStyle w:val="BodyText"/>
      </w:pPr>
    </w:p>
    <w:p>
      <w:pPr>
        <w:pStyle w:val="BodyText"/>
      </w:pPr>
    </w:p>
    <w:p>
      <w:pPr>
        <w:pStyle w:val="BodyText"/>
        <w:spacing w:before="1"/>
        <w:rPr>
          <w:sz w:val="28"/>
        </w:rPr>
      </w:pPr>
    </w:p>
    <w:p>
      <w:pPr>
        <w:pStyle w:val="Heading9"/>
        <w:ind w:left="1008"/>
      </w:pPr>
      <w:r>
        <w:rPr/>
        <w:pict>
          <v:group style="position:absolute;margin-left:51pt;margin-top:3.709912pt;width:493.35pt;height:628.1pt;mso-position-horizontal-relative:page;mso-position-vertical-relative:paragraph;z-index:-288240640" coordorigin="1020,74" coordsize="9867,12562">
            <v:rect style="position:absolute;left:1020;top:74;width:9867;height:22" filled="true" fillcolor="#f3aba3" stroked="false">
              <v:fill type="solid"/>
            </v:rect>
            <v:line style="position:absolute" from="1128,85" to="10778,85" stroked="true" strokeweight="1.08pt" strokecolor="#f3aba3">
              <v:stroke dashstyle="solid"/>
            </v:line>
            <v:shape style="position:absolute;left:1020;top:95;width:9867;height:12540" coordorigin="1020,96" coordsize="9867,12540" path="m10886,96l10778,96,1128,96,1020,96,1020,12636,1128,12636,10778,12636,10886,12636,10886,96e" filled="true" fillcolor="#f3aba3" stroked="false">
              <v:path arrowok="t"/>
              <v:fill type="solid"/>
            </v:shape>
            <w10:wrap type="none"/>
          </v:group>
        </w:pict>
      </w:r>
      <w:r>
        <w:rPr>
          <w:color w:val="404040"/>
        </w:rPr>
        <w:t>New findings</w:t>
      </w:r>
    </w:p>
    <w:p>
      <w:pPr>
        <w:pStyle w:val="BodyText"/>
        <w:spacing w:before="121"/>
        <w:ind w:left="1008"/>
      </w:pPr>
      <w:r>
        <w:rPr>
          <w:color w:val="404040"/>
        </w:rPr>
        <w:t>This year we have added a number of new variables that have brought the following new insights:</w:t>
      </w:r>
    </w:p>
    <w:p>
      <w:pPr>
        <w:pStyle w:val="ListParagraph"/>
        <w:numPr>
          <w:ilvl w:val="0"/>
          <w:numId w:val="2"/>
        </w:numPr>
        <w:tabs>
          <w:tab w:pos="1292" w:val="left" w:leader="none"/>
        </w:tabs>
        <w:spacing w:line="240" w:lineRule="auto" w:before="121" w:after="0"/>
        <w:ind w:left="1291" w:right="1411" w:hanging="284"/>
        <w:jc w:val="both"/>
        <w:rPr>
          <w:sz w:val="20"/>
        </w:rPr>
      </w:pPr>
      <w:r>
        <w:rPr>
          <w:color w:val="404040"/>
          <w:sz w:val="20"/>
        </w:rPr>
        <w:t>The inclusion of a region based measure of socio-economic advantage / disadvantage has allowed for greater differentiation in the model at a geographical level. Additionally, we have explored the historical geographical data during our analysis. This work has</w:t>
      </w:r>
      <w:r>
        <w:rPr>
          <w:color w:val="404040"/>
          <w:spacing w:val="-2"/>
          <w:sz w:val="20"/>
        </w:rPr>
        <w:t> </w:t>
      </w:r>
      <w:r>
        <w:rPr>
          <w:color w:val="404040"/>
          <w:sz w:val="20"/>
        </w:rPr>
        <w:t>shown:</w:t>
      </w:r>
    </w:p>
    <w:p>
      <w:pPr>
        <w:pStyle w:val="ListParagraph"/>
        <w:numPr>
          <w:ilvl w:val="1"/>
          <w:numId w:val="2"/>
        </w:numPr>
        <w:tabs>
          <w:tab w:pos="1577" w:val="left" w:leader="none"/>
        </w:tabs>
        <w:spacing w:line="240" w:lineRule="auto" w:before="120" w:after="0"/>
        <w:ind w:left="1576" w:right="1134" w:hanging="286"/>
        <w:jc w:val="left"/>
        <w:rPr>
          <w:sz w:val="20"/>
        </w:rPr>
      </w:pPr>
      <w:r>
        <w:rPr>
          <w:color w:val="404040"/>
          <w:sz w:val="20"/>
        </w:rPr>
        <w:t>People living in areas with the highest level of socio-economic disadvantage are over three times more likely to be in receipt of income support than those living in areas with the lowest level of socio- economic disadvantage. The difference is greatest for recipients of Parenting and Carer payments; people in areas with the highest level of socio-economic disadvantage are almost ten times more likely to be in receipt of these payments than those living in areas with the lowest level of socio-economic disadvantage.</w:t>
      </w:r>
    </w:p>
    <w:p>
      <w:pPr>
        <w:pStyle w:val="ListParagraph"/>
        <w:numPr>
          <w:ilvl w:val="1"/>
          <w:numId w:val="2"/>
        </w:numPr>
        <w:tabs>
          <w:tab w:pos="1575" w:val="left" w:leader="none"/>
        </w:tabs>
        <w:spacing w:line="240" w:lineRule="auto" w:before="120" w:after="0"/>
        <w:ind w:left="1576" w:right="1495" w:hanging="286"/>
        <w:jc w:val="left"/>
        <w:rPr>
          <w:sz w:val="20"/>
        </w:rPr>
      </w:pPr>
      <w:r>
        <w:rPr>
          <w:color w:val="404040"/>
          <w:sz w:val="20"/>
        </w:rPr>
        <w:t>The level of welfare dependence tends to be higher in remote regions. Within major cities, welfare dependence tends to be higher further away from the city centre. This was evident when looking at welfare dependence across a variety of measures and cohorts</w:t>
      </w:r>
      <w:r>
        <w:rPr>
          <w:color w:val="404040"/>
          <w:spacing w:val="-11"/>
          <w:sz w:val="20"/>
        </w:rPr>
        <w:t> </w:t>
      </w:r>
      <w:r>
        <w:rPr>
          <w:color w:val="404040"/>
          <w:sz w:val="20"/>
        </w:rPr>
        <w:t>including:</w:t>
      </w:r>
    </w:p>
    <w:p>
      <w:pPr>
        <w:pStyle w:val="ListParagraph"/>
        <w:numPr>
          <w:ilvl w:val="2"/>
          <w:numId w:val="2"/>
        </w:numPr>
        <w:tabs>
          <w:tab w:pos="1859" w:val="left" w:leader="none"/>
          <w:tab w:pos="1860" w:val="left" w:leader="none"/>
        </w:tabs>
        <w:spacing w:line="240" w:lineRule="auto" w:before="119" w:after="0"/>
        <w:ind w:left="1860" w:right="0" w:hanging="284"/>
        <w:jc w:val="left"/>
        <w:rPr>
          <w:sz w:val="20"/>
        </w:rPr>
      </w:pPr>
      <w:r>
        <w:rPr>
          <w:color w:val="404040"/>
          <w:sz w:val="20"/>
        </w:rPr>
        <w:t>the proportion of 16 to 64 year olds currently in an income support class (excluding Pension</w:t>
      </w:r>
      <w:r>
        <w:rPr>
          <w:color w:val="404040"/>
          <w:spacing w:val="-17"/>
          <w:sz w:val="20"/>
        </w:rPr>
        <w:t> </w:t>
      </w:r>
      <w:r>
        <w:rPr>
          <w:color w:val="404040"/>
          <w:sz w:val="20"/>
        </w:rPr>
        <w:t>Age);</w:t>
      </w:r>
    </w:p>
    <w:p>
      <w:pPr>
        <w:pStyle w:val="ListParagraph"/>
        <w:numPr>
          <w:ilvl w:val="2"/>
          <w:numId w:val="2"/>
        </w:numPr>
        <w:tabs>
          <w:tab w:pos="1859" w:val="left" w:leader="none"/>
          <w:tab w:pos="1860" w:val="left" w:leader="none"/>
        </w:tabs>
        <w:spacing w:line="240" w:lineRule="auto" w:before="120" w:after="0"/>
        <w:ind w:left="1860" w:right="0" w:hanging="284"/>
        <w:jc w:val="left"/>
        <w:rPr>
          <w:sz w:val="20"/>
        </w:rPr>
      </w:pPr>
      <w:r>
        <w:rPr>
          <w:color w:val="404040"/>
          <w:sz w:val="20"/>
        </w:rPr>
        <w:t>the proportion of 11 to 17 year olds with a high level of intergenerational welfare dependency;</w:t>
      </w:r>
      <w:r>
        <w:rPr>
          <w:color w:val="404040"/>
          <w:spacing w:val="-17"/>
          <w:sz w:val="20"/>
        </w:rPr>
        <w:t> </w:t>
      </w:r>
      <w:r>
        <w:rPr>
          <w:color w:val="404040"/>
          <w:sz w:val="20"/>
        </w:rPr>
        <w:t>and</w:t>
      </w:r>
    </w:p>
    <w:p>
      <w:pPr>
        <w:pStyle w:val="ListParagraph"/>
        <w:numPr>
          <w:ilvl w:val="2"/>
          <w:numId w:val="2"/>
        </w:numPr>
        <w:tabs>
          <w:tab w:pos="1859" w:val="left" w:leader="none"/>
          <w:tab w:pos="1860" w:val="left" w:leader="none"/>
        </w:tabs>
        <w:spacing w:line="240" w:lineRule="auto" w:before="121" w:after="0"/>
        <w:ind w:left="1860" w:right="0" w:hanging="284"/>
        <w:jc w:val="left"/>
        <w:rPr>
          <w:sz w:val="20"/>
        </w:rPr>
      </w:pPr>
      <w:r>
        <w:rPr>
          <w:color w:val="404040"/>
          <w:sz w:val="20"/>
        </w:rPr>
        <w:t>the pre-retirement average lifetime cost for 11 to 17 year</w:t>
      </w:r>
      <w:r>
        <w:rPr>
          <w:color w:val="404040"/>
          <w:spacing w:val="-30"/>
          <w:sz w:val="20"/>
        </w:rPr>
        <w:t> </w:t>
      </w:r>
      <w:r>
        <w:rPr>
          <w:color w:val="404040"/>
          <w:sz w:val="20"/>
        </w:rPr>
        <w:t>olds.</w:t>
      </w:r>
    </w:p>
    <w:p>
      <w:pPr>
        <w:pStyle w:val="ListParagraph"/>
        <w:numPr>
          <w:ilvl w:val="1"/>
          <w:numId w:val="2"/>
        </w:numPr>
        <w:tabs>
          <w:tab w:pos="1575" w:val="left" w:leader="none"/>
        </w:tabs>
        <w:spacing w:line="240" w:lineRule="auto" w:before="120" w:after="0"/>
        <w:ind w:left="1576" w:right="1338" w:hanging="286"/>
        <w:jc w:val="left"/>
        <w:rPr>
          <w:sz w:val="20"/>
        </w:rPr>
      </w:pPr>
      <w:r>
        <w:rPr>
          <w:color w:val="404040"/>
          <w:sz w:val="20"/>
        </w:rPr>
        <w:t>Higher pre-retirement average lifetime costs, as well as higher variability in average lifetime costs for individuals living in socio-economically disadvantaged</w:t>
      </w:r>
      <w:r>
        <w:rPr>
          <w:color w:val="404040"/>
          <w:spacing w:val="-1"/>
          <w:sz w:val="20"/>
        </w:rPr>
        <w:t> </w:t>
      </w:r>
      <w:r>
        <w:rPr>
          <w:color w:val="404040"/>
          <w:sz w:val="20"/>
        </w:rPr>
        <w:t>areas.</w:t>
      </w:r>
    </w:p>
    <w:p>
      <w:pPr>
        <w:pStyle w:val="ListParagraph"/>
        <w:numPr>
          <w:ilvl w:val="0"/>
          <w:numId w:val="2"/>
        </w:numPr>
        <w:tabs>
          <w:tab w:pos="1292" w:val="left" w:leader="none"/>
        </w:tabs>
        <w:spacing w:line="240" w:lineRule="auto" w:before="119" w:after="0"/>
        <w:ind w:left="1291" w:right="1516" w:hanging="284"/>
        <w:jc w:val="left"/>
        <w:rPr>
          <w:sz w:val="20"/>
        </w:rPr>
      </w:pPr>
      <w:r>
        <w:rPr>
          <w:color w:val="404040"/>
          <w:sz w:val="20"/>
        </w:rPr>
        <w:t>The inclusion of refugee-specific variables in the model has allowed for greater differentiation for this group,</w:t>
      </w:r>
      <w:r>
        <w:rPr>
          <w:color w:val="404040"/>
          <w:spacing w:val="-3"/>
          <w:sz w:val="20"/>
        </w:rPr>
        <w:t> </w:t>
      </w:r>
      <w:r>
        <w:rPr>
          <w:color w:val="404040"/>
          <w:sz w:val="20"/>
        </w:rPr>
        <w:t>and</w:t>
      </w:r>
      <w:r>
        <w:rPr>
          <w:color w:val="404040"/>
          <w:spacing w:val="-4"/>
          <w:sz w:val="20"/>
        </w:rPr>
        <w:t> </w:t>
      </w:r>
      <w:r>
        <w:rPr>
          <w:color w:val="404040"/>
          <w:sz w:val="20"/>
        </w:rPr>
        <w:t>has allowed</w:t>
      </w:r>
      <w:r>
        <w:rPr>
          <w:color w:val="404040"/>
          <w:spacing w:val="-4"/>
          <w:sz w:val="20"/>
        </w:rPr>
        <w:t> </w:t>
      </w:r>
      <w:r>
        <w:rPr>
          <w:color w:val="404040"/>
          <w:sz w:val="20"/>
        </w:rPr>
        <w:t>for</w:t>
      </w:r>
      <w:r>
        <w:rPr>
          <w:color w:val="404040"/>
          <w:spacing w:val="-3"/>
          <w:sz w:val="20"/>
        </w:rPr>
        <w:t> </w:t>
      </w:r>
      <w:r>
        <w:rPr>
          <w:color w:val="404040"/>
          <w:sz w:val="20"/>
        </w:rPr>
        <w:t>the</w:t>
      </w:r>
      <w:r>
        <w:rPr>
          <w:color w:val="404040"/>
          <w:spacing w:val="-4"/>
          <w:sz w:val="20"/>
        </w:rPr>
        <w:t> </w:t>
      </w:r>
      <w:r>
        <w:rPr>
          <w:color w:val="404040"/>
          <w:sz w:val="20"/>
        </w:rPr>
        <w:t>detailed</w:t>
      </w:r>
      <w:r>
        <w:rPr>
          <w:color w:val="404040"/>
          <w:spacing w:val="-4"/>
          <w:sz w:val="20"/>
        </w:rPr>
        <w:t> </w:t>
      </w:r>
      <w:r>
        <w:rPr>
          <w:color w:val="404040"/>
          <w:sz w:val="20"/>
        </w:rPr>
        <w:t>analysis</w:t>
      </w:r>
      <w:r>
        <w:rPr>
          <w:color w:val="404040"/>
          <w:spacing w:val="-3"/>
          <w:sz w:val="20"/>
        </w:rPr>
        <w:t> </w:t>
      </w:r>
      <w:r>
        <w:rPr>
          <w:color w:val="404040"/>
          <w:sz w:val="20"/>
        </w:rPr>
        <w:t>of</w:t>
      </w:r>
      <w:r>
        <w:rPr>
          <w:color w:val="404040"/>
          <w:spacing w:val="-2"/>
          <w:sz w:val="20"/>
        </w:rPr>
        <w:t> </w:t>
      </w:r>
      <w:r>
        <w:rPr>
          <w:color w:val="404040"/>
          <w:sz w:val="20"/>
        </w:rPr>
        <w:t>their</w:t>
      </w:r>
      <w:r>
        <w:rPr>
          <w:color w:val="404040"/>
          <w:spacing w:val="-3"/>
          <w:sz w:val="20"/>
        </w:rPr>
        <w:t> </w:t>
      </w:r>
      <w:r>
        <w:rPr>
          <w:color w:val="404040"/>
          <w:sz w:val="20"/>
        </w:rPr>
        <w:t>experience</w:t>
      </w:r>
      <w:r>
        <w:rPr>
          <w:color w:val="404040"/>
          <w:spacing w:val="-4"/>
          <w:sz w:val="20"/>
        </w:rPr>
        <w:t> </w:t>
      </w:r>
      <w:r>
        <w:rPr>
          <w:color w:val="404040"/>
          <w:sz w:val="20"/>
        </w:rPr>
        <w:t>through</w:t>
      </w:r>
      <w:r>
        <w:rPr>
          <w:color w:val="404040"/>
          <w:spacing w:val="-2"/>
          <w:sz w:val="20"/>
        </w:rPr>
        <w:t> </w:t>
      </w:r>
      <w:r>
        <w:rPr>
          <w:color w:val="404040"/>
          <w:sz w:val="20"/>
        </w:rPr>
        <w:t>the</w:t>
      </w:r>
      <w:r>
        <w:rPr>
          <w:color w:val="404040"/>
          <w:spacing w:val="1"/>
          <w:sz w:val="20"/>
        </w:rPr>
        <w:t> </w:t>
      </w:r>
      <w:r>
        <w:rPr>
          <w:color w:val="404040"/>
          <w:sz w:val="20"/>
        </w:rPr>
        <w:t>welfare</w:t>
      </w:r>
      <w:r>
        <w:rPr>
          <w:color w:val="404040"/>
          <w:spacing w:val="-4"/>
          <w:sz w:val="20"/>
        </w:rPr>
        <w:t> </w:t>
      </w:r>
      <w:r>
        <w:rPr>
          <w:color w:val="404040"/>
          <w:sz w:val="20"/>
        </w:rPr>
        <w:t>system.</w:t>
      </w:r>
      <w:r>
        <w:rPr>
          <w:color w:val="404040"/>
          <w:spacing w:val="-4"/>
          <w:sz w:val="20"/>
        </w:rPr>
        <w:t> </w:t>
      </w:r>
      <w:r>
        <w:rPr>
          <w:color w:val="404040"/>
          <w:sz w:val="20"/>
        </w:rPr>
        <w:t>It</w:t>
      </w:r>
      <w:r>
        <w:rPr>
          <w:color w:val="404040"/>
          <w:spacing w:val="-4"/>
          <w:sz w:val="20"/>
        </w:rPr>
        <w:t> </w:t>
      </w:r>
      <w:r>
        <w:rPr>
          <w:color w:val="404040"/>
          <w:sz w:val="20"/>
        </w:rPr>
        <w:t>has shown</w:t>
      </w:r>
      <w:r>
        <w:rPr>
          <w:color w:val="404040"/>
          <w:spacing w:val="-2"/>
          <w:sz w:val="20"/>
        </w:rPr>
        <w:t> </w:t>
      </w:r>
      <w:r>
        <w:rPr>
          <w:color w:val="404040"/>
          <w:sz w:val="20"/>
        </w:rPr>
        <w:t>that:</w:t>
      </w:r>
    </w:p>
    <w:p>
      <w:pPr>
        <w:pStyle w:val="ListParagraph"/>
        <w:numPr>
          <w:ilvl w:val="1"/>
          <w:numId w:val="2"/>
        </w:numPr>
        <w:tabs>
          <w:tab w:pos="1575" w:val="left" w:leader="none"/>
        </w:tabs>
        <w:spacing w:line="240" w:lineRule="auto" w:before="118" w:after="0"/>
        <w:ind w:left="1576" w:right="1468" w:hanging="286"/>
        <w:jc w:val="left"/>
        <w:rPr>
          <w:sz w:val="20"/>
        </w:rPr>
      </w:pPr>
      <w:r>
        <w:rPr>
          <w:color w:val="404040"/>
          <w:sz w:val="20"/>
        </w:rPr>
        <w:t>Refugees</w:t>
      </w:r>
      <w:r>
        <w:rPr>
          <w:color w:val="404040"/>
          <w:spacing w:val="-3"/>
          <w:sz w:val="20"/>
        </w:rPr>
        <w:t> </w:t>
      </w:r>
      <w:r>
        <w:rPr>
          <w:color w:val="404040"/>
          <w:sz w:val="20"/>
        </w:rPr>
        <w:t>tend</w:t>
      </w:r>
      <w:r>
        <w:rPr>
          <w:color w:val="404040"/>
          <w:spacing w:val="-4"/>
          <w:sz w:val="20"/>
        </w:rPr>
        <w:t> </w:t>
      </w:r>
      <w:r>
        <w:rPr>
          <w:color w:val="404040"/>
          <w:sz w:val="20"/>
        </w:rPr>
        <w:t>to</w:t>
      </w:r>
      <w:r>
        <w:rPr>
          <w:color w:val="404040"/>
          <w:spacing w:val="-4"/>
          <w:sz w:val="20"/>
        </w:rPr>
        <w:t> </w:t>
      </w:r>
      <w:r>
        <w:rPr>
          <w:color w:val="404040"/>
          <w:sz w:val="20"/>
        </w:rPr>
        <w:t>enter</w:t>
      </w:r>
      <w:r>
        <w:rPr>
          <w:color w:val="404040"/>
          <w:spacing w:val="-3"/>
          <w:sz w:val="20"/>
        </w:rPr>
        <w:t> </w:t>
      </w:r>
      <w:r>
        <w:rPr>
          <w:color w:val="404040"/>
          <w:sz w:val="20"/>
        </w:rPr>
        <w:t>the</w:t>
      </w:r>
      <w:r>
        <w:rPr>
          <w:color w:val="404040"/>
          <w:spacing w:val="-2"/>
          <w:sz w:val="20"/>
        </w:rPr>
        <w:t> </w:t>
      </w:r>
      <w:r>
        <w:rPr>
          <w:color w:val="404040"/>
          <w:sz w:val="20"/>
        </w:rPr>
        <w:t>welfare</w:t>
      </w:r>
      <w:r>
        <w:rPr>
          <w:color w:val="404040"/>
          <w:spacing w:val="-4"/>
          <w:sz w:val="20"/>
        </w:rPr>
        <w:t> </w:t>
      </w:r>
      <w:r>
        <w:rPr>
          <w:color w:val="404040"/>
          <w:sz w:val="20"/>
        </w:rPr>
        <w:t>system</w:t>
      </w:r>
      <w:r>
        <w:rPr>
          <w:color w:val="404040"/>
          <w:spacing w:val="1"/>
          <w:sz w:val="20"/>
        </w:rPr>
        <w:t> </w:t>
      </w:r>
      <w:r>
        <w:rPr>
          <w:color w:val="404040"/>
          <w:sz w:val="20"/>
        </w:rPr>
        <w:t>through</w:t>
      </w:r>
      <w:r>
        <w:rPr>
          <w:color w:val="404040"/>
          <w:spacing w:val="-4"/>
          <w:sz w:val="20"/>
        </w:rPr>
        <w:t> </w:t>
      </w:r>
      <w:r>
        <w:rPr>
          <w:color w:val="404040"/>
          <w:sz w:val="20"/>
        </w:rPr>
        <w:t>income</w:t>
      </w:r>
      <w:r>
        <w:rPr>
          <w:color w:val="404040"/>
          <w:spacing w:val="-4"/>
          <w:sz w:val="20"/>
        </w:rPr>
        <w:t> </w:t>
      </w:r>
      <w:r>
        <w:rPr>
          <w:color w:val="404040"/>
          <w:sz w:val="20"/>
        </w:rPr>
        <w:t>support</w:t>
      </w:r>
      <w:r>
        <w:rPr>
          <w:color w:val="404040"/>
          <w:spacing w:val="-4"/>
          <w:sz w:val="20"/>
        </w:rPr>
        <w:t> </w:t>
      </w:r>
      <w:r>
        <w:rPr>
          <w:color w:val="404040"/>
          <w:sz w:val="20"/>
        </w:rPr>
        <w:t>payments</w:t>
      </w:r>
      <w:r>
        <w:rPr>
          <w:color w:val="404040"/>
          <w:spacing w:val="-2"/>
          <w:sz w:val="20"/>
        </w:rPr>
        <w:t> </w:t>
      </w:r>
      <w:r>
        <w:rPr>
          <w:color w:val="404040"/>
          <w:sz w:val="20"/>
        </w:rPr>
        <w:t>more</w:t>
      </w:r>
      <w:r>
        <w:rPr>
          <w:color w:val="404040"/>
          <w:spacing w:val="-4"/>
          <w:sz w:val="20"/>
        </w:rPr>
        <w:t> </w:t>
      </w:r>
      <w:r>
        <w:rPr>
          <w:color w:val="404040"/>
          <w:sz w:val="20"/>
        </w:rPr>
        <w:t>often</w:t>
      </w:r>
      <w:r>
        <w:rPr>
          <w:color w:val="404040"/>
          <w:spacing w:val="-4"/>
          <w:sz w:val="20"/>
        </w:rPr>
        <w:t> </w:t>
      </w:r>
      <w:r>
        <w:rPr>
          <w:color w:val="404040"/>
          <w:sz w:val="20"/>
        </w:rPr>
        <w:t>than</w:t>
      </w:r>
      <w:r>
        <w:rPr>
          <w:color w:val="404040"/>
          <w:spacing w:val="-2"/>
          <w:sz w:val="20"/>
        </w:rPr>
        <w:t> </w:t>
      </w:r>
      <w:r>
        <w:rPr>
          <w:color w:val="404040"/>
          <w:sz w:val="20"/>
        </w:rPr>
        <w:t>non- refugees.</w:t>
      </w:r>
    </w:p>
    <w:p>
      <w:pPr>
        <w:pStyle w:val="ListParagraph"/>
        <w:numPr>
          <w:ilvl w:val="1"/>
          <w:numId w:val="2"/>
        </w:numPr>
        <w:tabs>
          <w:tab w:pos="1575" w:val="left" w:leader="none"/>
        </w:tabs>
        <w:spacing w:line="240" w:lineRule="auto" w:before="121" w:after="0"/>
        <w:ind w:left="1576" w:right="1160" w:hanging="286"/>
        <w:jc w:val="left"/>
        <w:rPr>
          <w:sz w:val="20"/>
        </w:rPr>
      </w:pPr>
      <w:r>
        <w:rPr>
          <w:color w:val="404040"/>
          <w:sz w:val="20"/>
        </w:rPr>
        <w:t>Refugees entering through the Studying class between the ages of 18 and 25 tend to stay on Studying payments for longer, and are more likely to transition onto Working Age payments in the short</w:t>
      </w:r>
      <w:r>
        <w:rPr>
          <w:color w:val="404040"/>
          <w:spacing w:val="-34"/>
          <w:sz w:val="20"/>
        </w:rPr>
        <w:t> </w:t>
      </w:r>
      <w:r>
        <w:rPr>
          <w:color w:val="404040"/>
          <w:sz w:val="20"/>
        </w:rPr>
        <w:t>term.</w:t>
      </w:r>
    </w:p>
    <w:p>
      <w:pPr>
        <w:pStyle w:val="BodyText"/>
        <w:ind w:left="1576" w:right="1329"/>
      </w:pPr>
      <w:r>
        <w:rPr>
          <w:color w:val="404040"/>
        </w:rPr>
        <w:t>Over time, the experience for refugees has improved, however their dependence on welfare tends to stay higher than non-refugees. For example, historically we have seen that 10 years after their first entry into the system, 43% of refugees no longer receive any form of welfare, compared to 77% of non-refugees at the same point.</w:t>
      </w:r>
    </w:p>
    <w:p>
      <w:pPr>
        <w:pStyle w:val="ListParagraph"/>
        <w:numPr>
          <w:ilvl w:val="1"/>
          <w:numId w:val="2"/>
        </w:numPr>
        <w:tabs>
          <w:tab w:pos="1575" w:val="left" w:leader="none"/>
        </w:tabs>
        <w:spacing w:line="240" w:lineRule="auto" w:before="120" w:after="0"/>
        <w:ind w:left="1576" w:right="1141" w:hanging="286"/>
        <w:jc w:val="left"/>
        <w:rPr>
          <w:sz w:val="20"/>
        </w:rPr>
      </w:pPr>
      <w:r>
        <w:rPr>
          <w:color w:val="404040"/>
          <w:sz w:val="20"/>
        </w:rPr>
        <w:t>Refugees entering through the Working Age class between the ages of 20 and 40 tend to require more support in the short term than non-refugees. Though this has improved over time, the level of dependence for refugees tends to remain higher after 10 years (historically, we have seen that 23% of refugees remain in the Working Age class after 10 years compared to 14% of non-refugees after the same period of</w:t>
      </w:r>
      <w:r>
        <w:rPr>
          <w:color w:val="404040"/>
          <w:spacing w:val="-2"/>
          <w:sz w:val="20"/>
        </w:rPr>
        <w:t> </w:t>
      </w:r>
      <w:r>
        <w:rPr>
          <w:color w:val="404040"/>
          <w:sz w:val="20"/>
        </w:rPr>
        <w:t>time).</w:t>
      </w:r>
    </w:p>
    <w:p>
      <w:pPr>
        <w:pStyle w:val="ListParagraph"/>
        <w:numPr>
          <w:ilvl w:val="0"/>
          <w:numId w:val="2"/>
        </w:numPr>
        <w:tabs>
          <w:tab w:pos="1292" w:val="left" w:leader="none"/>
        </w:tabs>
        <w:spacing w:line="240" w:lineRule="auto" w:before="118" w:after="0"/>
        <w:ind w:left="1291" w:right="1367" w:hanging="284"/>
        <w:jc w:val="left"/>
        <w:rPr>
          <w:sz w:val="20"/>
        </w:rPr>
      </w:pPr>
      <w:r>
        <w:rPr>
          <w:color w:val="404040"/>
          <w:sz w:val="20"/>
        </w:rPr>
        <w:t>The inclusion of a variable indicating receipt of a payment at the end of the financial year has helped us further differentiate which people in each class are likely to have the highest cost over their future lifetimes. For example, when looking at the Working Age class, the analysis has shown</w:t>
      </w:r>
      <w:r>
        <w:rPr>
          <w:color w:val="404040"/>
          <w:spacing w:val="-24"/>
          <w:sz w:val="20"/>
        </w:rPr>
        <w:t> </w:t>
      </w:r>
      <w:r>
        <w:rPr>
          <w:color w:val="404040"/>
          <w:sz w:val="20"/>
        </w:rPr>
        <w:t>that:</w:t>
      </w:r>
    </w:p>
    <w:p>
      <w:pPr>
        <w:pStyle w:val="ListParagraph"/>
        <w:numPr>
          <w:ilvl w:val="1"/>
          <w:numId w:val="2"/>
        </w:numPr>
        <w:tabs>
          <w:tab w:pos="1575" w:val="left" w:leader="none"/>
        </w:tabs>
        <w:spacing w:line="240" w:lineRule="auto" w:before="120" w:after="0"/>
        <w:ind w:left="1576" w:right="1245" w:hanging="286"/>
        <w:jc w:val="left"/>
        <w:rPr>
          <w:sz w:val="20"/>
        </w:rPr>
      </w:pPr>
      <w:r>
        <w:rPr>
          <w:color w:val="404040"/>
          <w:sz w:val="20"/>
        </w:rPr>
        <w:t>Of</w:t>
      </w:r>
      <w:r>
        <w:rPr>
          <w:color w:val="404040"/>
          <w:spacing w:val="-1"/>
          <w:sz w:val="20"/>
        </w:rPr>
        <w:t> </w:t>
      </w:r>
      <w:r>
        <w:rPr>
          <w:color w:val="404040"/>
          <w:sz w:val="20"/>
        </w:rPr>
        <w:t>the</w:t>
      </w:r>
      <w:r>
        <w:rPr>
          <w:color w:val="404040"/>
          <w:spacing w:val="-3"/>
          <w:sz w:val="20"/>
        </w:rPr>
        <w:t> </w:t>
      </w:r>
      <w:r>
        <w:rPr>
          <w:color w:val="404040"/>
          <w:sz w:val="20"/>
        </w:rPr>
        <w:t>1,237,000</w:t>
      </w:r>
      <w:r>
        <w:rPr>
          <w:color w:val="404040"/>
          <w:spacing w:val="-3"/>
          <w:sz w:val="20"/>
        </w:rPr>
        <w:t> </w:t>
      </w:r>
      <w:r>
        <w:rPr>
          <w:color w:val="404040"/>
          <w:sz w:val="20"/>
        </w:rPr>
        <w:t>people</w:t>
      </w:r>
      <w:r>
        <w:rPr>
          <w:color w:val="404040"/>
          <w:spacing w:val="-1"/>
          <w:sz w:val="20"/>
        </w:rPr>
        <w:t> </w:t>
      </w:r>
      <w:r>
        <w:rPr>
          <w:color w:val="404040"/>
          <w:sz w:val="20"/>
        </w:rPr>
        <w:t>in</w:t>
      </w:r>
      <w:r>
        <w:rPr>
          <w:color w:val="404040"/>
          <w:spacing w:val="-1"/>
          <w:sz w:val="20"/>
        </w:rPr>
        <w:t> </w:t>
      </w:r>
      <w:r>
        <w:rPr>
          <w:color w:val="404040"/>
          <w:sz w:val="20"/>
        </w:rPr>
        <w:t>the</w:t>
      </w:r>
      <w:r>
        <w:rPr>
          <w:color w:val="404040"/>
          <w:spacing w:val="-6"/>
          <w:sz w:val="20"/>
        </w:rPr>
        <w:t> </w:t>
      </w:r>
      <w:r>
        <w:rPr>
          <w:color w:val="404040"/>
          <w:sz w:val="20"/>
        </w:rPr>
        <w:t>Working</w:t>
      </w:r>
      <w:r>
        <w:rPr>
          <w:color w:val="404040"/>
          <w:spacing w:val="-3"/>
          <w:sz w:val="20"/>
        </w:rPr>
        <w:t> </w:t>
      </w:r>
      <w:r>
        <w:rPr>
          <w:color w:val="404040"/>
          <w:sz w:val="20"/>
        </w:rPr>
        <w:t>Age</w:t>
      </w:r>
      <w:r>
        <w:rPr>
          <w:color w:val="404040"/>
          <w:spacing w:val="-2"/>
          <w:sz w:val="20"/>
        </w:rPr>
        <w:t> </w:t>
      </w:r>
      <w:r>
        <w:rPr>
          <w:color w:val="404040"/>
          <w:sz w:val="20"/>
        </w:rPr>
        <w:t>class,</w:t>
      </w:r>
      <w:r>
        <w:rPr>
          <w:color w:val="404040"/>
          <w:spacing w:val="-3"/>
          <w:sz w:val="20"/>
        </w:rPr>
        <w:t> </w:t>
      </w:r>
      <w:r>
        <w:rPr>
          <w:color w:val="404040"/>
          <w:sz w:val="20"/>
        </w:rPr>
        <w:t>846,000</w:t>
      </w:r>
      <w:r>
        <w:rPr>
          <w:color w:val="404040"/>
          <w:spacing w:val="-1"/>
          <w:sz w:val="20"/>
        </w:rPr>
        <w:t> </w:t>
      </w:r>
      <w:r>
        <w:rPr>
          <w:color w:val="404040"/>
          <w:sz w:val="20"/>
        </w:rPr>
        <w:t>were</w:t>
      </w:r>
      <w:r>
        <w:rPr>
          <w:color w:val="404040"/>
          <w:spacing w:val="-1"/>
          <w:sz w:val="20"/>
        </w:rPr>
        <w:t> </w:t>
      </w:r>
      <w:r>
        <w:rPr>
          <w:color w:val="404040"/>
          <w:sz w:val="20"/>
        </w:rPr>
        <w:t>in</w:t>
      </w:r>
      <w:r>
        <w:rPr>
          <w:color w:val="404040"/>
          <w:spacing w:val="-3"/>
          <w:sz w:val="20"/>
        </w:rPr>
        <w:t> </w:t>
      </w:r>
      <w:r>
        <w:rPr>
          <w:color w:val="404040"/>
          <w:sz w:val="20"/>
        </w:rPr>
        <w:t>receipt</w:t>
      </w:r>
      <w:r>
        <w:rPr>
          <w:color w:val="404040"/>
          <w:spacing w:val="-1"/>
          <w:sz w:val="20"/>
        </w:rPr>
        <w:t> </w:t>
      </w:r>
      <w:r>
        <w:rPr>
          <w:color w:val="404040"/>
          <w:sz w:val="20"/>
        </w:rPr>
        <w:t>of</w:t>
      </w:r>
      <w:r>
        <w:rPr>
          <w:color w:val="404040"/>
          <w:spacing w:val="-1"/>
          <w:sz w:val="20"/>
        </w:rPr>
        <w:t> </w:t>
      </w:r>
      <w:r>
        <w:rPr>
          <w:color w:val="404040"/>
          <w:sz w:val="20"/>
        </w:rPr>
        <w:t>a</w:t>
      </w:r>
      <w:r>
        <w:rPr>
          <w:color w:val="404040"/>
          <w:spacing w:val="-3"/>
          <w:sz w:val="20"/>
        </w:rPr>
        <w:t> </w:t>
      </w:r>
      <w:r>
        <w:rPr>
          <w:color w:val="404040"/>
          <w:sz w:val="20"/>
        </w:rPr>
        <w:t>payment</w:t>
      </w:r>
      <w:r>
        <w:rPr>
          <w:color w:val="404040"/>
          <w:spacing w:val="-3"/>
          <w:sz w:val="20"/>
        </w:rPr>
        <w:t> </w:t>
      </w:r>
      <w:r>
        <w:rPr>
          <w:color w:val="404040"/>
          <w:sz w:val="20"/>
        </w:rPr>
        <w:t>at</w:t>
      </w:r>
      <w:r>
        <w:rPr>
          <w:color w:val="404040"/>
          <w:spacing w:val="-3"/>
          <w:sz w:val="20"/>
        </w:rPr>
        <w:t> </w:t>
      </w:r>
      <w:r>
        <w:rPr>
          <w:color w:val="404040"/>
          <w:sz w:val="20"/>
        </w:rPr>
        <w:t>the</w:t>
      </w:r>
      <w:r>
        <w:rPr>
          <w:color w:val="404040"/>
          <w:spacing w:val="-3"/>
          <w:sz w:val="20"/>
        </w:rPr>
        <w:t> </w:t>
      </w:r>
      <w:r>
        <w:rPr>
          <w:color w:val="404040"/>
          <w:sz w:val="20"/>
        </w:rPr>
        <w:t>end</w:t>
      </w:r>
      <w:r>
        <w:rPr>
          <w:color w:val="404040"/>
          <w:spacing w:val="-3"/>
          <w:sz w:val="20"/>
        </w:rPr>
        <w:t> </w:t>
      </w:r>
      <w:r>
        <w:rPr>
          <w:color w:val="404040"/>
          <w:sz w:val="20"/>
        </w:rPr>
        <w:t>of the year and 722,000 of these related to the Newstart Allowance. This number aligns closely with the definitions used in ‘point in time’ counts of Newstart</w:t>
      </w:r>
      <w:r>
        <w:rPr>
          <w:color w:val="404040"/>
          <w:spacing w:val="-4"/>
          <w:sz w:val="20"/>
        </w:rPr>
        <w:t> </w:t>
      </w:r>
      <w:r>
        <w:rPr>
          <w:color w:val="404040"/>
          <w:sz w:val="20"/>
        </w:rPr>
        <w:t>recipients.</w:t>
      </w:r>
    </w:p>
    <w:p>
      <w:pPr>
        <w:pStyle w:val="ListParagraph"/>
        <w:numPr>
          <w:ilvl w:val="1"/>
          <w:numId w:val="2"/>
        </w:numPr>
        <w:tabs>
          <w:tab w:pos="1575" w:val="left" w:leader="none"/>
        </w:tabs>
        <w:spacing w:line="240" w:lineRule="auto" w:before="121" w:after="0"/>
        <w:ind w:left="1576" w:right="1552" w:hanging="286"/>
        <w:jc w:val="left"/>
        <w:rPr>
          <w:sz w:val="20"/>
        </w:rPr>
      </w:pPr>
      <w:r>
        <w:rPr>
          <w:color w:val="404040"/>
          <w:sz w:val="20"/>
        </w:rPr>
        <w:t>The Investment Approach definition includes a further 316,000 people who had received Newstart Allowance earlier in the year, but have subsequently stopped receiving any income support due</w:t>
      </w:r>
      <w:r>
        <w:rPr>
          <w:color w:val="404040"/>
          <w:spacing w:val="-37"/>
          <w:sz w:val="20"/>
        </w:rPr>
        <w:t> </w:t>
      </w:r>
      <w:r>
        <w:rPr>
          <w:color w:val="404040"/>
          <w:sz w:val="20"/>
        </w:rPr>
        <w:t>to gaining employment or other circumstance changes. The modelling shows that this group, while having a lower average lifetime cost, still have significant risk of cycling back onto income support compared to those who have remained off income support for more than a</w:t>
      </w:r>
      <w:r>
        <w:rPr>
          <w:color w:val="404040"/>
          <w:spacing w:val="-11"/>
          <w:sz w:val="20"/>
        </w:rPr>
        <w:t> </w:t>
      </w:r>
      <w:r>
        <w:rPr>
          <w:color w:val="404040"/>
          <w:sz w:val="20"/>
        </w:rPr>
        <w:t>year.</w:t>
      </w:r>
    </w:p>
    <w:p>
      <w:pPr>
        <w:spacing w:after="0" w:line="240" w:lineRule="auto"/>
        <w:jc w:val="left"/>
        <w:rPr>
          <w:sz w:val="20"/>
        </w:rPr>
        <w:sectPr>
          <w:pgSz w:w="11910" w:h="16850"/>
          <w:pgMar w:header="289" w:footer="298" w:top="500" w:bottom="480" w:left="120" w:right="0"/>
        </w:sectPr>
      </w:pPr>
    </w:p>
    <w:p>
      <w:pPr>
        <w:pStyle w:val="BodyText"/>
      </w:pPr>
      <w:r>
        <w:rPr/>
        <w:pict>
          <v:group style="position:absolute;margin-left:51pt;margin-top:79.439980pt;width:505.6pt;height:675.85pt;mso-position-horizontal-relative:page;mso-position-vertical-relative:page;z-index:-288239616" coordorigin="1020,1589" coordsize="10112,13517">
            <v:rect style="position:absolute;left:1020;top:1588;width:10112;height:22" filled="true" fillcolor="#d9d9d9" stroked="false">
              <v:fill type="solid"/>
            </v:rect>
            <v:line style="position:absolute" from="1128,1600" to="11023,1600" stroked="true" strokeweight="1.08pt" strokecolor="#d9d9d9">
              <v:stroke dashstyle="solid"/>
            </v:line>
            <v:shape style="position:absolute;left:1020;top:1610;width:10112;height:13496" coordorigin="1020,1610" coordsize="10112,13496" path="m11131,1610l1020,1610,1020,15106,1128,15106,11023,15106,11131,15106,11131,1610e" filled="true" fillcolor="#d9d9d9" stroked="false">
              <v:path arrowok="t"/>
              <v:fill type="solid"/>
            </v:shape>
            <w10:wrap type="none"/>
          </v:group>
        </w:pict>
      </w:r>
    </w:p>
    <w:p>
      <w:pPr>
        <w:pStyle w:val="BodyText"/>
      </w:pPr>
    </w:p>
    <w:p>
      <w:pPr>
        <w:pStyle w:val="BodyText"/>
      </w:pPr>
    </w:p>
    <w:p>
      <w:pPr>
        <w:pStyle w:val="BodyText"/>
      </w:pPr>
    </w:p>
    <w:p>
      <w:pPr>
        <w:pStyle w:val="BodyText"/>
        <w:spacing w:before="8"/>
        <w:rPr>
          <w:sz w:val="18"/>
        </w:rPr>
      </w:pPr>
    </w:p>
    <w:p>
      <w:pPr>
        <w:pStyle w:val="Heading3"/>
      </w:pPr>
      <w:r>
        <w:rPr>
          <w:color w:val="DF2F1E"/>
        </w:rPr>
        <w:t>Explanatory notes</w:t>
      </w:r>
    </w:p>
    <w:p>
      <w:pPr>
        <w:pStyle w:val="BodyText"/>
        <w:spacing w:before="122"/>
        <w:ind w:left="1008" w:right="1511"/>
      </w:pPr>
      <w:r>
        <w:rPr>
          <w:color w:val="404040"/>
        </w:rPr>
        <w:t>We have set out below some brief explanatory notes and definitions. Further explanation can be found in section </w:t>
      </w:r>
      <w:hyperlink w:history="true" w:anchor="_bookmark3">
        <w:r>
          <w:rPr>
            <w:color w:val="404040"/>
          </w:rPr>
          <w:t>1 </w:t>
        </w:r>
      </w:hyperlink>
      <w:r>
        <w:rPr>
          <w:color w:val="404040"/>
        </w:rPr>
        <w:t>of the report, as well as the glossary in </w:t>
      </w:r>
      <w:hyperlink w:history="true" w:anchor="_bookmark56">
        <w:r>
          <w:rPr>
            <w:color w:val="404040"/>
          </w:rPr>
          <w:t>Appendix A.</w:t>
        </w:r>
      </w:hyperlink>
    </w:p>
    <w:p>
      <w:pPr>
        <w:pStyle w:val="BodyText"/>
        <w:spacing w:before="118"/>
        <w:ind w:left="1008"/>
      </w:pPr>
      <w:r>
        <w:rPr>
          <w:color w:val="DF2F1E"/>
        </w:rPr>
        <w:t>Model (Australian) population</w:t>
      </w:r>
    </w:p>
    <w:p>
      <w:pPr>
        <w:pStyle w:val="BodyText"/>
        <w:spacing w:before="3"/>
        <w:ind w:left="1008" w:right="922"/>
      </w:pPr>
      <w:r>
        <w:rPr>
          <w:color w:val="404040"/>
        </w:rPr>
        <w:t>The set of individual person records used in the model, representing the Australian resident population together with current overseas welfare recipients.</w:t>
      </w:r>
    </w:p>
    <w:p>
      <w:pPr>
        <w:pStyle w:val="BodyText"/>
        <w:spacing w:before="119"/>
        <w:ind w:left="1008"/>
      </w:pPr>
      <w:r>
        <w:rPr>
          <w:color w:val="DF2F1E"/>
        </w:rPr>
        <w:t>Lifetime cost</w:t>
      </w:r>
    </w:p>
    <w:p>
      <w:pPr>
        <w:pStyle w:val="BodyText"/>
        <w:ind w:left="1008"/>
      </w:pPr>
      <w:r>
        <w:rPr>
          <w:color w:val="404040"/>
        </w:rPr>
        <w:t>The net present value of all future welfare payments (to the in-scope population).</w:t>
      </w:r>
    </w:p>
    <w:p>
      <w:pPr>
        <w:pStyle w:val="BodyText"/>
        <w:spacing w:before="118"/>
        <w:ind w:left="1008"/>
      </w:pPr>
      <w:r>
        <w:rPr>
          <w:color w:val="DF2F1E"/>
        </w:rPr>
        <w:t>Income support payments</w:t>
      </w:r>
    </w:p>
    <w:p>
      <w:pPr>
        <w:pStyle w:val="BodyText"/>
        <w:spacing w:before="3"/>
        <w:ind w:left="1008" w:right="893"/>
      </w:pPr>
      <w:r>
        <w:rPr>
          <w:color w:val="404040"/>
        </w:rPr>
        <w:t>Income support payments provide for the basic living costs of adults, and are paid on a fortnightly basis. Income support payments are the primary form of financial assistance for individuals who are unable, or not expected, to fully support themselves. Examples include Age Pension, Newstart Allowance, Disability Support Pension, Carer Payment and Parenting Payment. Other supplementary payments are also available to assist people with other specific costs. For example, Family Tax Benefit Part A is provided for the direct costs of raising children and child care assistance is provided to assist with the costs of child care. For the purposes of this paper these payments are referred to as non income support</w:t>
      </w:r>
      <w:r>
        <w:rPr>
          <w:color w:val="404040"/>
          <w:spacing w:val="-6"/>
        </w:rPr>
        <w:t> </w:t>
      </w:r>
      <w:r>
        <w:rPr>
          <w:color w:val="404040"/>
        </w:rPr>
        <w:t>payments.</w:t>
      </w:r>
    </w:p>
    <w:p>
      <w:pPr>
        <w:pStyle w:val="BodyText"/>
        <w:spacing w:before="118"/>
        <w:ind w:left="1008"/>
      </w:pPr>
      <w:r>
        <w:rPr>
          <w:color w:val="DF2F1E"/>
        </w:rPr>
        <w:t>Welfare class</w:t>
      </w:r>
    </w:p>
    <w:p>
      <w:pPr>
        <w:pStyle w:val="BodyText"/>
        <w:ind w:left="1008" w:right="889"/>
      </w:pPr>
      <w:r>
        <w:rPr>
          <w:color w:val="404040"/>
        </w:rPr>
        <w:t>Unique segments within the model which each person is assigned to. There are 12 classes: 6 for income support recipients, 3 for non income support recipients and 3 for the rest of population. Each person is assigned to the single most appropriate category for each financial year, and can move between classes in future years. Please refer to section </w:t>
      </w:r>
      <w:hyperlink w:history="true" w:anchor="_bookmark5">
        <w:r>
          <w:rPr>
            <w:color w:val="404040"/>
          </w:rPr>
          <w:t>1.2 </w:t>
        </w:r>
      </w:hyperlink>
      <w:r>
        <w:rPr>
          <w:color w:val="404040"/>
        </w:rPr>
        <w:t>of the report for information on the payment types included in each class.</w:t>
      </w:r>
    </w:p>
    <w:p>
      <w:pPr>
        <w:pStyle w:val="BodyText"/>
        <w:spacing w:before="120"/>
        <w:ind w:left="1008"/>
      </w:pPr>
      <w:r>
        <w:rPr>
          <w:color w:val="DF2F1E"/>
        </w:rPr>
        <w:t>Welfare system interaction</w:t>
      </w:r>
    </w:p>
    <w:p>
      <w:pPr>
        <w:pStyle w:val="BodyText"/>
        <w:ind w:left="1008" w:right="1334"/>
      </w:pPr>
      <w:r>
        <w:rPr>
          <w:color w:val="404040"/>
        </w:rPr>
        <w:t>The receipt of a welfare payment (including both income support and non income support payments) by an individual.</w:t>
      </w:r>
    </w:p>
    <w:p>
      <w:pPr>
        <w:pStyle w:val="BodyText"/>
        <w:spacing w:before="121"/>
        <w:ind w:left="1008"/>
      </w:pPr>
      <w:r>
        <w:rPr>
          <w:color w:val="DF2F1E"/>
        </w:rPr>
        <w:t>Duration on welfare</w:t>
      </w:r>
    </w:p>
    <w:p>
      <w:pPr>
        <w:pStyle w:val="BodyText"/>
        <w:ind w:left="1008" w:right="1323"/>
      </w:pPr>
      <w:r>
        <w:rPr>
          <w:color w:val="404040"/>
        </w:rPr>
        <w:t>The number of financial years in which an individual has received a welfare payment. This includes income support payments, as well as non income support payments.</w:t>
      </w:r>
    </w:p>
    <w:p>
      <w:pPr>
        <w:pStyle w:val="BodyText"/>
        <w:spacing w:before="119"/>
        <w:ind w:left="1008"/>
      </w:pPr>
      <w:r>
        <w:rPr>
          <w:color w:val="DF2F1E"/>
        </w:rPr>
        <w:t>Work capacity assessment</w:t>
      </w:r>
    </w:p>
    <w:p>
      <w:pPr>
        <w:pStyle w:val="BodyText"/>
        <w:ind w:left="1008" w:right="901"/>
      </w:pPr>
      <w:r>
        <w:rPr>
          <w:color w:val="404040"/>
        </w:rPr>
        <w:t>An assessment of an individual’s level of functional impairment and work capacity. This is expressed in the data as the number of hours in a week they are capable of working.</w:t>
      </w:r>
    </w:p>
    <w:p>
      <w:pPr>
        <w:pStyle w:val="BodyText"/>
        <w:spacing w:before="121"/>
        <w:ind w:left="1008"/>
      </w:pPr>
      <w:r>
        <w:rPr>
          <w:color w:val="DF2F1E"/>
        </w:rPr>
        <w:t>Welfare dependence</w:t>
      </w:r>
    </w:p>
    <w:p>
      <w:pPr>
        <w:pStyle w:val="BodyText"/>
        <w:ind w:left="1008" w:right="911"/>
      </w:pPr>
      <w:r>
        <w:rPr>
          <w:color w:val="404040"/>
        </w:rPr>
        <w:t>Welfare dependence is used to describe the historical and / or expected future level of welfare use for a group of people. A group with high welfare dependence would either have high historical welfare use or high expected future welfare use.</w:t>
      </w:r>
    </w:p>
    <w:p>
      <w:pPr>
        <w:pStyle w:val="BodyText"/>
        <w:spacing w:before="119"/>
        <w:ind w:left="1008"/>
      </w:pPr>
      <w:r>
        <w:rPr>
          <w:color w:val="DF2F1E"/>
        </w:rPr>
        <w:t>Parental welfare dependence</w:t>
      </w:r>
    </w:p>
    <w:p>
      <w:pPr>
        <w:pStyle w:val="BodyText"/>
        <w:spacing w:before="1"/>
        <w:ind w:left="1008" w:right="878"/>
      </w:pPr>
      <w:r>
        <w:rPr>
          <w:color w:val="404040"/>
        </w:rPr>
        <w:t>A measure of the level of welfare dependence of a person’s parents / guardians during the course of that person’s childhood (up to the age of 15). For the purposes of this parental welfare dependence we have only considered the use of income support payments (excluding the Age Pension) by a person’s parents / guardians.</w:t>
      </w:r>
    </w:p>
    <w:p>
      <w:pPr>
        <w:pStyle w:val="BodyText"/>
        <w:spacing w:before="119"/>
        <w:ind w:left="1008"/>
      </w:pPr>
      <w:r>
        <w:rPr>
          <w:color w:val="DF2F1E"/>
        </w:rPr>
        <w:t>Mutual obligation requirements</w:t>
      </w:r>
    </w:p>
    <w:p>
      <w:pPr>
        <w:pStyle w:val="BodyText"/>
        <w:ind w:left="1008" w:right="979"/>
      </w:pPr>
      <w:r>
        <w:rPr>
          <w:color w:val="404040"/>
        </w:rPr>
        <w:t>A set of activities that must be completed by an individual in order to receive Newstart Allowance, Youth Allowance as a job seeker, Parenting Payment Single after the recipient’s youngest child turns 6, and some types of Special Benefit. Welfare recipients may be granted either a permanent or a short-term exemption from these obligations in some situations, for example due to disability or a personal crisis.</w:t>
      </w:r>
    </w:p>
    <w:p>
      <w:pPr>
        <w:pStyle w:val="BodyText"/>
        <w:spacing w:before="119"/>
        <w:ind w:left="1008"/>
      </w:pPr>
      <w:r>
        <w:rPr>
          <w:color w:val="DF2F1E"/>
        </w:rPr>
        <w:t>SEIFA</w:t>
      </w:r>
    </w:p>
    <w:p>
      <w:pPr>
        <w:pStyle w:val="BodyText"/>
        <w:spacing w:before="3"/>
        <w:ind w:left="1008" w:right="1134"/>
      </w:pPr>
      <w:r>
        <w:rPr>
          <w:color w:val="404040"/>
        </w:rPr>
        <w:t>Socio-economic Index for Areas. A product developed by the Australian Bureau of Statistics (ABS) that ranks areas in Australia according to relative socio-economic advantage and disadvantage.</w:t>
      </w:r>
    </w:p>
    <w:p>
      <w:pPr>
        <w:pStyle w:val="BodyText"/>
        <w:spacing w:before="119"/>
        <w:ind w:left="1008"/>
      </w:pPr>
      <w:r>
        <w:rPr>
          <w:color w:val="DF2F1E"/>
        </w:rPr>
        <w:t>Rebased June 2017 valuation results</w:t>
      </w:r>
    </w:p>
    <w:p>
      <w:pPr>
        <w:pStyle w:val="BodyText"/>
        <w:ind w:left="1008" w:right="1066"/>
      </w:pPr>
      <w:r>
        <w:rPr>
          <w:color w:val="404040"/>
        </w:rPr>
        <w:t>The results from the June 2017 valuation, adjusted to allow for the updated discount rate of 5% used for the 2018 valuation. The change in discount rate is an external change that has no impact on the future cashflows. However, it does have a significant impact on the net present value of the cashflows, i.e. the lifetime cost.</w:t>
      </w:r>
    </w:p>
    <w:p>
      <w:pPr>
        <w:pStyle w:val="BodyText"/>
        <w:spacing w:line="229" w:lineRule="exact"/>
        <w:ind w:left="1008"/>
      </w:pPr>
      <w:r>
        <w:rPr>
          <w:color w:val="404040"/>
        </w:rPr>
        <w:t>Rebasing the June 2017 valuation supports the comparability of the June 2017 and June 2018 results.</w:t>
      </w:r>
    </w:p>
    <w:p>
      <w:pPr>
        <w:spacing w:after="0" w:line="229" w:lineRule="exact"/>
        <w:sectPr>
          <w:pgSz w:w="11910" w:h="16850"/>
          <w:pgMar w:header="289" w:footer="298" w:top="500" w:bottom="480" w:left="120" w:right="0"/>
        </w:sectPr>
      </w:pPr>
    </w:p>
    <w:p>
      <w:pPr>
        <w:pStyle w:val="BodyText"/>
      </w:pPr>
    </w:p>
    <w:p>
      <w:pPr>
        <w:pStyle w:val="BodyText"/>
      </w:pPr>
    </w:p>
    <w:p>
      <w:pPr>
        <w:pStyle w:val="BodyText"/>
      </w:pPr>
    </w:p>
    <w:p>
      <w:pPr>
        <w:pStyle w:val="BodyText"/>
        <w:spacing w:before="5"/>
        <w:rPr>
          <w:sz w:val="26"/>
        </w:rPr>
      </w:pPr>
    </w:p>
    <w:p>
      <w:pPr>
        <w:pStyle w:val="ListParagraph"/>
        <w:numPr>
          <w:ilvl w:val="0"/>
          <w:numId w:val="3"/>
        </w:numPr>
        <w:tabs>
          <w:tab w:pos="1751" w:val="left" w:leader="none"/>
          <w:tab w:pos="1752" w:val="left" w:leader="none"/>
        </w:tabs>
        <w:spacing w:line="240" w:lineRule="auto" w:before="89" w:after="0"/>
        <w:ind w:left="1751" w:right="0" w:hanging="852"/>
        <w:jc w:val="left"/>
        <w:rPr>
          <w:sz w:val="32"/>
        </w:rPr>
      </w:pPr>
      <w:bookmarkStart w:name="1. Introduction" w:id="3"/>
      <w:bookmarkEnd w:id="3"/>
      <w:r>
        <w:rPr/>
      </w:r>
      <w:bookmarkStart w:name="1. Introduction" w:id="4"/>
      <w:bookmarkEnd w:id="4"/>
      <w:r>
        <w:rPr>
          <w:color w:val="DF2F1E"/>
          <w:sz w:val="32"/>
        </w:rPr>
        <w:t>Int</w:t>
      </w:r>
      <w:r>
        <w:rPr>
          <w:color w:val="DF2F1E"/>
          <w:sz w:val="32"/>
        </w:rPr>
        <w:t>roduction</w:t>
      </w:r>
    </w:p>
    <w:p>
      <w:pPr>
        <w:spacing w:before="240"/>
        <w:ind w:left="900" w:right="0" w:firstLine="0"/>
        <w:jc w:val="left"/>
        <w:rPr>
          <w:sz w:val="28"/>
        </w:rPr>
      </w:pPr>
      <w:bookmarkStart w:name="Background to this report" w:id="5"/>
      <w:bookmarkEnd w:id="5"/>
      <w:r>
        <w:rPr/>
      </w:r>
      <w:r>
        <w:rPr>
          <w:color w:val="DF2F28"/>
          <w:sz w:val="28"/>
        </w:rPr>
        <w:t>Background to this report</w:t>
      </w:r>
    </w:p>
    <w:p>
      <w:pPr>
        <w:pStyle w:val="BodyText"/>
        <w:spacing w:before="123"/>
        <w:ind w:left="900" w:right="1121"/>
      </w:pPr>
      <w:r>
        <w:rPr>
          <w:color w:val="404040"/>
        </w:rPr>
        <w:t>This report documents the findings of the 30 June 2018 actuarial valuation of the Australian income support and social security system. This valuation is part of the work undertaken by the Department of Social Services (the Department) to implement the Australian Priority Investment Approach to Welfare with the aim of reducing welfare dependency and improving the lifetime wellbeing of people and families in Australia.</w:t>
      </w:r>
    </w:p>
    <w:p>
      <w:pPr>
        <w:pStyle w:val="BodyText"/>
        <w:spacing w:before="6"/>
      </w:pPr>
    </w:p>
    <w:p>
      <w:pPr>
        <w:spacing w:before="0"/>
        <w:ind w:left="900" w:right="0" w:firstLine="0"/>
        <w:jc w:val="left"/>
        <w:rPr>
          <w:sz w:val="28"/>
        </w:rPr>
      </w:pPr>
      <w:bookmarkStart w:name="Developments in the valuation" w:id="6"/>
      <w:bookmarkEnd w:id="6"/>
      <w:r>
        <w:rPr/>
      </w:r>
      <w:r>
        <w:rPr>
          <w:color w:val="DF2F28"/>
          <w:sz w:val="28"/>
        </w:rPr>
        <w:t>Developments in the valuation</w:t>
      </w:r>
    </w:p>
    <w:p>
      <w:pPr>
        <w:pStyle w:val="BodyText"/>
        <w:spacing w:before="123"/>
        <w:ind w:left="900" w:right="1154"/>
      </w:pPr>
      <w:r>
        <w:rPr>
          <w:color w:val="404040"/>
        </w:rPr>
        <w:t>The model used in this work projects individuals’ trajectories through life and their interactions with the welfare system. As part of ongoing model development, this year we have:</w:t>
      </w:r>
    </w:p>
    <w:p>
      <w:pPr>
        <w:pStyle w:val="ListParagraph"/>
        <w:numPr>
          <w:ilvl w:val="0"/>
          <w:numId w:val="4"/>
        </w:numPr>
        <w:tabs>
          <w:tab w:pos="1184" w:val="left" w:leader="none"/>
        </w:tabs>
        <w:spacing w:line="240" w:lineRule="auto" w:before="117" w:after="0"/>
        <w:ind w:left="1183" w:right="1077" w:hanging="284"/>
        <w:jc w:val="left"/>
        <w:rPr>
          <w:rFonts w:ascii="Symbol" w:hAnsi="Symbol"/>
          <w:color w:val="404040"/>
          <w:sz w:val="20"/>
        </w:rPr>
      </w:pPr>
      <w:r>
        <w:rPr>
          <w:b/>
          <w:color w:val="404040"/>
          <w:sz w:val="20"/>
        </w:rPr>
        <w:t>Added a number of new variables – </w:t>
      </w:r>
      <w:r>
        <w:rPr>
          <w:color w:val="404040"/>
          <w:sz w:val="20"/>
        </w:rPr>
        <w:t>which will allow the model to better differentiate lifetime costs between individuals. In particular, the model now takes into account differences in trajectories for people depending on the socio-economic advantage / disadvantage of their place of residence, and whether or not people entered Australia as a refugee </w:t>
      </w:r>
      <w:r>
        <w:rPr>
          <w:rFonts w:ascii="Segoe UI" w:hAnsi="Segoe UI"/>
          <w:sz w:val="21"/>
        </w:rPr>
        <w:t>or subsequently became a refugee while in Australia</w:t>
      </w:r>
      <w:r>
        <w:rPr>
          <w:color w:val="404040"/>
          <w:sz w:val="20"/>
        </w:rPr>
        <w:t>. Including these variables as predictive factors has flow on impacts throughout the whole model, but enables greater differentiation of lifetime trajectories and costs between groups within the population. </w:t>
      </w:r>
      <w:r>
        <w:rPr>
          <w:color w:val="404040"/>
          <w:spacing w:val="5"/>
          <w:sz w:val="20"/>
        </w:rPr>
        <w:t>We </w:t>
      </w:r>
      <w:r>
        <w:rPr>
          <w:color w:val="404040"/>
          <w:sz w:val="20"/>
        </w:rPr>
        <w:t>have also examined</w:t>
      </w:r>
      <w:r>
        <w:rPr>
          <w:color w:val="404040"/>
          <w:spacing w:val="-5"/>
          <w:sz w:val="20"/>
        </w:rPr>
        <w:t> </w:t>
      </w:r>
      <w:r>
        <w:rPr>
          <w:color w:val="404040"/>
          <w:sz w:val="20"/>
        </w:rPr>
        <w:t>the</w:t>
      </w:r>
      <w:r>
        <w:rPr>
          <w:color w:val="404040"/>
          <w:spacing w:val="-2"/>
          <w:sz w:val="20"/>
        </w:rPr>
        <w:t> </w:t>
      </w:r>
      <w:r>
        <w:rPr>
          <w:color w:val="404040"/>
          <w:sz w:val="20"/>
        </w:rPr>
        <w:t>timing</w:t>
      </w:r>
      <w:r>
        <w:rPr>
          <w:color w:val="404040"/>
          <w:spacing w:val="-4"/>
          <w:sz w:val="20"/>
        </w:rPr>
        <w:t> </w:t>
      </w:r>
      <w:r>
        <w:rPr>
          <w:color w:val="404040"/>
          <w:sz w:val="20"/>
        </w:rPr>
        <w:t>of</w:t>
      </w:r>
      <w:r>
        <w:rPr>
          <w:color w:val="404040"/>
          <w:spacing w:val="-2"/>
          <w:sz w:val="20"/>
        </w:rPr>
        <w:t> </w:t>
      </w:r>
      <w:r>
        <w:rPr>
          <w:color w:val="404040"/>
          <w:sz w:val="20"/>
        </w:rPr>
        <w:t>payments</w:t>
      </w:r>
      <w:r>
        <w:rPr>
          <w:color w:val="404040"/>
          <w:spacing w:val="-3"/>
          <w:sz w:val="20"/>
        </w:rPr>
        <w:t> </w:t>
      </w:r>
      <w:r>
        <w:rPr>
          <w:color w:val="404040"/>
          <w:sz w:val="20"/>
        </w:rPr>
        <w:t>throughout</w:t>
      </w:r>
      <w:r>
        <w:rPr>
          <w:color w:val="404040"/>
          <w:spacing w:val="-4"/>
          <w:sz w:val="20"/>
        </w:rPr>
        <w:t> </w:t>
      </w:r>
      <w:r>
        <w:rPr>
          <w:color w:val="404040"/>
          <w:sz w:val="20"/>
        </w:rPr>
        <w:t>the</w:t>
      </w:r>
      <w:r>
        <w:rPr>
          <w:color w:val="404040"/>
          <w:spacing w:val="-2"/>
          <w:sz w:val="20"/>
        </w:rPr>
        <w:t> </w:t>
      </w:r>
      <w:r>
        <w:rPr>
          <w:color w:val="404040"/>
          <w:sz w:val="20"/>
        </w:rPr>
        <w:t>year,</w:t>
      </w:r>
      <w:r>
        <w:rPr>
          <w:color w:val="404040"/>
          <w:spacing w:val="-3"/>
          <w:sz w:val="20"/>
        </w:rPr>
        <w:t> </w:t>
      </w:r>
      <w:r>
        <w:rPr>
          <w:color w:val="404040"/>
          <w:sz w:val="20"/>
        </w:rPr>
        <w:t>and</w:t>
      </w:r>
      <w:r>
        <w:rPr>
          <w:color w:val="404040"/>
          <w:spacing w:val="-2"/>
          <w:sz w:val="20"/>
        </w:rPr>
        <w:t> </w:t>
      </w:r>
      <w:r>
        <w:rPr>
          <w:color w:val="404040"/>
          <w:sz w:val="20"/>
        </w:rPr>
        <w:t>used</w:t>
      </w:r>
      <w:r>
        <w:rPr>
          <w:color w:val="404040"/>
          <w:spacing w:val="-4"/>
          <w:sz w:val="20"/>
        </w:rPr>
        <w:t> </w:t>
      </w:r>
      <w:r>
        <w:rPr>
          <w:color w:val="404040"/>
          <w:sz w:val="20"/>
        </w:rPr>
        <w:t>an</w:t>
      </w:r>
      <w:r>
        <w:rPr>
          <w:color w:val="404040"/>
          <w:spacing w:val="-4"/>
          <w:sz w:val="20"/>
        </w:rPr>
        <w:t> </w:t>
      </w:r>
      <w:r>
        <w:rPr>
          <w:color w:val="404040"/>
          <w:sz w:val="20"/>
        </w:rPr>
        <w:t>indicator</w:t>
      </w:r>
      <w:r>
        <w:rPr>
          <w:color w:val="404040"/>
          <w:spacing w:val="-3"/>
          <w:sz w:val="20"/>
        </w:rPr>
        <w:t> </w:t>
      </w:r>
      <w:r>
        <w:rPr>
          <w:color w:val="404040"/>
          <w:sz w:val="20"/>
        </w:rPr>
        <w:t>of</w:t>
      </w:r>
      <w:r>
        <w:rPr>
          <w:color w:val="404040"/>
          <w:spacing w:val="1"/>
          <w:sz w:val="20"/>
        </w:rPr>
        <w:t> </w:t>
      </w:r>
      <w:r>
        <w:rPr>
          <w:color w:val="404040"/>
          <w:sz w:val="20"/>
        </w:rPr>
        <w:t>whether</w:t>
      </w:r>
      <w:r>
        <w:rPr>
          <w:color w:val="404040"/>
          <w:spacing w:val="-3"/>
          <w:sz w:val="20"/>
        </w:rPr>
        <w:t> </w:t>
      </w:r>
      <w:r>
        <w:rPr>
          <w:color w:val="404040"/>
          <w:sz w:val="20"/>
        </w:rPr>
        <w:t>an</w:t>
      </w:r>
      <w:r>
        <w:rPr>
          <w:color w:val="404040"/>
          <w:spacing w:val="-4"/>
          <w:sz w:val="20"/>
        </w:rPr>
        <w:t> </w:t>
      </w:r>
      <w:r>
        <w:rPr>
          <w:color w:val="404040"/>
          <w:sz w:val="20"/>
        </w:rPr>
        <w:t>individual</w:t>
      </w:r>
      <w:r>
        <w:rPr>
          <w:color w:val="404040"/>
          <w:spacing w:val="-1"/>
          <w:sz w:val="20"/>
        </w:rPr>
        <w:t> </w:t>
      </w:r>
      <w:r>
        <w:rPr>
          <w:color w:val="404040"/>
          <w:sz w:val="20"/>
        </w:rPr>
        <w:t>was</w:t>
      </w:r>
      <w:r>
        <w:rPr>
          <w:color w:val="404040"/>
          <w:spacing w:val="-3"/>
          <w:sz w:val="20"/>
        </w:rPr>
        <w:t> </w:t>
      </w:r>
      <w:r>
        <w:rPr>
          <w:color w:val="404040"/>
          <w:sz w:val="20"/>
        </w:rPr>
        <w:t>in receipt of a payment at the valuation date as a predictor in the</w:t>
      </w:r>
      <w:r>
        <w:rPr>
          <w:color w:val="404040"/>
          <w:spacing w:val="-6"/>
          <w:sz w:val="20"/>
        </w:rPr>
        <w:t> </w:t>
      </w:r>
      <w:r>
        <w:rPr>
          <w:color w:val="404040"/>
          <w:sz w:val="20"/>
        </w:rPr>
        <w:t>model.</w:t>
      </w:r>
    </w:p>
    <w:p>
      <w:pPr>
        <w:pStyle w:val="ListParagraph"/>
        <w:numPr>
          <w:ilvl w:val="0"/>
          <w:numId w:val="4"/>
        </w:numPr>
        <w:tabs>
          <w:tab w:pos="1184" w:val="left" w:leader="none"/>
        </w:tabs>
        <w:spacing w:line="240" w:lineRule="auto" w:before="119" w:after="0"/>
        <w:ind w:left="1183" w:right="1244" w:hanging="284"/>
        <w:jc w:val="left"/>
        <w:rPr>
          <w:rFonts w:ascii="Symbol" w:hAnsi="Symbol"/>
          <w:color w:val="404040"/>
          <w:sz w:val="20"/>
        </w:rPr>
      </w:pPr>
      <w:r>
        <w:rPr>
          <w:b/>
          <w:color w:val="404040"/>
          <w:sz w:val="20"/>
        </w:rPr>
        <w:t>Updated forecast of future Age Pension utilisation – </w:t>
      </w:r>
      <w:r>
        <w:rPr>
          <w:color w:val="404040"/>
          <w:sz w:val="20"/>
        </w:rPr>
        <w:t>this forecast has been updated following a review of recent welfare experience, as well as consideration of relevant external factors such as workforce participation, levels of home ownership, and levels of superannuation and other</w:t>
      </w:r>
      <w:r>
        <w:rPr>
          <w:color w:val="404040"/>
          <w:spacing w:val="-12"/>
          <w:sz w:val="20"/>
        </w:rPr>
        <w:t> </w:t>
      </w:r>
      <w:r>
        <w:rPr>
          <w:color w:val="404040"/>
          <w:sz w:val="20"/>
        </w:rPr>
        <w:t>savings.</w:t>
      </w:r>
    </w:p>
    <w:p>
      <w:pPr>
        <w:pStyle w:val="ListParagraph"/>
        <w:numPr>
          <w:ilvl w:val="0"/>
          <w:numId w:val="4"/>
        </w:numPr>
        <w:tabs>
          <w:tab w:pos="1184" w:val="left" w:leader="none"/>
        </w:tabs>
        <w:spacing w:line="240" w:lineRule="auto" w:before="118" w:after="0"/>
        <w:ind w:left="1183" w:right="1319" w:hanging="284"/>
        <w:jc w:val="left"/>
        <w:rPr>
          <w:rFonts w:ascii="Symbol" w:hAnsi="Symbol"/>
          <w:color w:val="404040"/>
          <w:sz w:val="20"/>
        </w:rPr>
      </w:pPr>
      <w:r>
        <w:rPr>
          <w:b/>
          <w:color w:val="404040"/>
          <w:sz w:val="20"/>
        </w:rPr>
        <w:t>Updated discount rate – </w:t>
      </w:r>
      <w:r>
        <w:rPr>
          <w:color w:val="404040"/>
          <w:sz w:val="20"/>
        </w:rPr>
        <w:t>this has been changed this year following an update from Treasury on the long term discount rate set out in the Long Term Cost Report. While this change does not impact projected cashflows, it does lead to a significant increase in the lifetime</w:t>
      </w:r>
      <w:r>
        <w:rPr>
          <w:color w:val="404040"/>
          <w:spacing w:val="-3"/>
          <w:sz w:val="20"/>
        </w:rPr>
        <w:t> </w:t>
      </w:r>
      <w:r>
        <w:rPr>
          <w:color w:val="404040"/>
          <w:sz w:val="20"/>
        </w:rPr>
        <w:t>cost.</w:t>
      </w:r>
    </w:p>
    <w:p>
      <w:pPr>
        <w:pStyle w:val="BodyText"/>
        <w:spacing w:line="242" w:lineRule="auto" w:before="120"/>
        <w:ind w:left="899" w:right="1165"/>
      </w:pPr>
      <w:r>
        <w:rPr>
          <w:color w:val="404040"/>
        </w:rPr>
        <w:t>Other significant developments in the valuation include model refinements to allow for changes in </w:t>
      </w:r>
      <w:r>
        <w:rPr>
          <w:b/>
          <w:color w:val="404040"/>
        </w:rPr>
        <w:t>policy settings</w:t>
      </w:r>
      <w:r>
        <w:rPr>
          <w:color w:val="404040"/>
        </w:rPr>
        <w:t>, and refinements and updates to account for the </w:t>
      </w:r>
      <w:r>
        <w:rPr>
          <w:b/>
          <w:color w:val="404040"/>
        </w:rPr>
        <w:t>additional year of experience </w:t>
      </w:r>
      <w:r>
        <w:rPr>
          <w:color w:val="404040"/>
        </w:rPr>
        <w:t>and information that is now available.</w:t>
      </w:r>
    </w:p>
    <w:p>
      <w:pPr>
        <w:pStyle w:val="BodyText"/>
        <w:spacing w:before="1"/>
      </w:pPr>
    </w:p>
    <w:p>
      <w:pPr>
        <w:spacing w:before="0"/>
        <w:ind w:left="900" w:right="0" w:firstLine="0"/>
        <w:jc w:val="left"/>
        <w:rPr>
          <w:sz w:val="28"/>
        </w:rPr>
      </w:pPr>
      <w:bookmarkStart w:name="Changes to the welfare system" w:id="7"/>
      <w:bookmarkEnd w:id="7"/>
      <w:r>
        <w:rPr/>
      </w:r>
      <w:r>
        <w:rPr>
          <w:color w:val="DF2F28"/>
          <w:sz w:val="28"/>
        </w:rPr>
        <w:t>Changes to the welfare system</w:t>
      </w:r>
    </w:p>
    <w:p>
      <w:pPr>
        <w:pStyle w:val="BodyText"/>
        <w:spacing w:before="125"/>
        <w:ind w:left="900" w:right="1219"/>
      </w:pPr>
      <w:r>
        <w:rPr>
          <w:color w:val="404040"/>
        </w:rPr>
        <w:t>The actuarial valuation reflects the policy as legislated at the valuation date. It assumes that these policy settings will persist in perpetuity. In the valuation, we make explicit allowances for only the more material changes to legislated policy. The allowances reflect the estimated direct impact of the changes; no second order allowance has been made to account for any flow on impacts or behavioural responses to the changes, which will emerge over time in the experience and impact the valuation results as they occur.</w:t>
      </w:r>
    </w:p>
    <w:p>
      <w:pPr>
        <w:pStyle w:val="BodyText"/>
        <w:spacing w:before="120"/>
        <w:ind w:left="899" w:right="1979"/>
      </w:pPr>
      <w:r>
        <w:rPr>
          <w:color w:val="404040"/>
        </w:rPr>
        <w:t>The table below outlines the more material changes to policy that have occurred since the 2017 valuation, along with their expected influence on the welfare system.</w:t>
      </w:r>
    </w:p>
    <w:p>
      <w:pPr>
        <w:spacing w:after="0"/>
        <w:sectPr>
          <w:pgSz w:w="11910" w:h="16850"/>
          <w:pgMar w:header="289" w:footer="298" w:top="500" w:bottom="480" w:left="120" w:right="0"/>
        </w:sectPr>
      </w:pPr>
    </w:p>
    <w:p>
      <w:pPr>
        <w:pStyle w:val="BodyText"/>
      </w:pPr>
    </w:p>
    <w:p>
      <w:pPr>
        <w:pStyle w:val="BodyText"/>
      </w:pPr>
    </w:p>
    <w:p>
      <w:pPr>
        <w:pStyle w:val="BodyText"/>
      </w:pPr>
    </w:p>
    <w:p>
      <w:pPr>
        <w:pStyle w:val="BodyText"/>
        <w:rPr>
          <w:sz w:val="26"/>
        </w:rPr>
      </w:pPr>
    </w:p>
    <w:p>
      <w:pPr>
        <w:pStyle w:val="Heading9"/>
        <w:spacing w:after="45"/>
      </w:pPr>
      <w:r>
        <w:rPr>
          <w:color w:val="DF2F1E"/>
        </w:rPr>
        <w:t>Table 1: Summary of main material policy changes (legislated 1 July 2017 to 30 June 2018)</w:t>
      </w:r>
    </w:p>
    <w:tbl>
      <w:tblPr>
        <w:tblW w:w="0" w:type="auto"/>
        <w:jc w:val="left"/>
        <w:tblInd w:w="1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94"/>
        <w:gridCol w:w="3826"/>
        <w:gridCol w:w="3454"/>
      </w:tblGrid>
      <w:tr>
        <w:trPr>
          <w:trHeight w:val="283" w:hRule="atLeast"/>
        </w:trPr>
        <w:tc>
          <w:tcPr>
            <w:tcW w:w="2694" w:type="dxa"/>
            <w:shd w:val="clear" w:color="auto" w:fill="DF2F1E"/>
          </w:tcPr>
          <w:p>
            <w:pPr>
              <w:pStyle w:val="TableParagraph"/>
              <w:spacing w:before="46"/>
              <w:ind w:left="112"/>
              <w:rPr>
                <w:sz w:val="16"/>
              </w:rPr>
            </w:pPr>
            <w:r>
              <w:rPr>
                <w:color w:val="FFFFFF"/>
                <w:sz w:val="16"/>
              </w:rPr>
              <w:t>Policy change</w:t>
            </w:r>
          </w:p>
        </w:tc>
        <w:tc>
          <w:tcPr>
            <w:tcW w:w="3826" w:type="dxa"/>
            <w:shd w:val="clear" w:color="auto" w:fill="DF2F1E"/>
          </w:tcPr>
          <w:p>
            <w:pPr>
              <w:pStyle w:val="TableParagraph"/>
              <w:spacing w:before="46"/>
              <w:ind w:left="133"/>
              <w:rPr>
                <w:sz w:val="16"/>
              </w:rPr>
            </w:pPr>
            <w:r>
              <w:rPr>
                <w:color w:val="FFFFFF"/>
                <w:sz w:val="16"/>
              </w:rPr>
              <w:t>Description of policy change</w:t>
            </w:r>
          </w:p>
        </w:tc>
        <w:tc>
          <w:tcPr>
            <w:tcW w:w="3454" w:type="dxa"/>
            <w:shd w:val="clear" w:color="auto" w:fill="DF2F1E"/>
          </w:tcPr>
          <w:p>
            <w:pPr>
              <w:pStyle w:val="TableParagraph"/>
              <w:spacing w:before="46"/>
              <w:ind w:left="116"/>
              <w:rPr>
                <w:sz w:val="16"/>
              </w:rPr>
            </w:pPr>
            <w:r>
              <w:rPr>
                <w:color w:val="FFFFFF"/>
                <w:sz w:val="16"/>
              </w:rPr>
              <w:t>Expected influence on the welfare system</w:t>
            </w:r>
          </w:p>
        </w:tc>
      </w:tr>
      <w:tr>
        <w:trPr>
          <w:trHeight w:val="2289" w:hRule="atLeast"/>
        </w:trPr>
        <w:tc>
          <w:tcPr>
            <w:tcW w:w="2694" w:type="dxa"/>
            <w:tcBorders>
              <w:left w:val="single" w:sz="4" w:space="0" w:color="DF2F1E"/>
              <w:bottom w:val="single" w:sz="4" w:space="0" w:color="DF2F1E"/>
            </w:tcBorders>
          </w:tcPr>
          <w:p>
            <w:pPr>
              <w:pStyle w:val="TableParagraph"/>
              <w:spacing w:before="34"/>
              <w:ind w:left="107" w:right="597"/>
              <w:rPr>
                <w:b/>
                <w:sz w:val="16"/>
              </w:rPr>
            </w:pPr>
            <w:r>
              <w:rPr>
                <w:b/>
                <w:color w:val="404040"/>
                <w:sz w:val="16"/>
              </w:rPr>
              <w:t>Creation of the Jobseeker Payment</w:t>
            </w:r>
          </w:p>
        </w:tc>
        <w:tc>
          <w:tcPr>
            <w:tcW w:w="3826" w:type="dxa"/>
            <w:tcBorders>
              <w:bottom w:val="single" w:sz="4" w:space="0" w:color="DF2F1E"/>
            </w:tcBorders>
          </w:tcPr>
          <w:p>
            <w:pPr>
              <w:pStyle w:val="TableParagraph"/>
              <w:ind w:left="133" w:right="88"/>
              <w:rPr>
                <w:sz w:val="16"/>
              </w:rPr>
            </w:pPr>
            <w:r>
              <w:rPr>
                <w:color w:val="404040"/>
                <w:sz w:val="16"/>
              </w:rPr>
              <w:t>Seven current working age payments will be consolidated into the new Jobseeker Payment, creating a single payment for those of working age with capacity to work now or in the future. From 20 March 2020, recipients of Newstart Allowance, Sickness Allowance, Wife Pension, Bereavement Allowance and Widow B Pension will be transitioned into Jobseeker Payment, Age Pension or Carer Payment depending on their circumstances. From 1 January 2022, recipients of Widow Allowance and Partner Allowance will transition to Age Pension.</w:t>
            </w:r>
          </w:p>
        </w:tc>
        <w:tc>
          <w:tcPr>
            <w:tcW w:w="3454" w:type="dxa"/>
            <w:tcBorders>
              <w:bottom w:val="single" w:sz="4" w:space="0" w:color="DF2F1E"/>
              <w:right w:val="single" w:sz="4" w:space="0" w:color="DF2F1E"/>
            </w:tcBorders>
          </w:tcPr>
          <w:p>
            <w:pPr>
              <w:pStyle w:val="TableParagraph"/>
              <w:spacing w:before="36"/>
              <w:ind w:left="115" w:right="148"/>
              <w:rPr>
                <w:sz w:val="16"/>
              </w:rPr>
            </w:pPr>
            <w:r>
              <w:rPr>
                <w:color w:val="404040"/>
                <w:sz w:val="16"/>
              </w:rPr>
              <w:t>The Jobseeker Payment is designed to simplify the income support system and treat people in similar circumstances consistently. The new consolidated payment fits well into the model class structure, and as such explicit model changes were not generally required.</w:t>
            </w:r>
          </w:p>
        </w:tc>
      </w:tr>
      <w:tr>
        <w:trPr>
          <w:trHeight w:val="1000" w:hRule="atLeast"/>
        </w:trPr>
        <w:tc>
          <w:tcPr>
            <w:tcW w:w="2694" w:type="dxa"/>
            <w:tcBorders>
              <w:top w:val="single" w:sz="4" w:space="0" w:color="DF2F1E"/>
              <w:left w:val="single" w:sz="4" w:space="0" w:color="DF2F1E"/>
              <w:bottom w:val="single" w:sz="4" w:space="0" w:color="DF2F1E"/>
            </w:tcBorders>
          </w:tcPr>
          <w:p>
            <w:pPr>
              <w:pStyle w:val="TableParagraph"/>
              <w:spacing w:before="34"/>
              <w:ind w:left="107"/>
              <w:rPr>
                <w:b/>
                <w:sz w:val="16"/>
              </w:rPr>
            </w:pPr>
            <w:r>
              <w:rPr>
                <w:b/>
                <w:color w:val="404040"/>
                <w:sz w:val="16"/>
              </w:rPr>
              <w:t>Targeted compliance framework</w:t>
            </w:r>
          </w:p>
        </w:tc>
        <w:tc>
          <w:tcPr>
            <w:tcW w:w="3826" w:type="dxa"/>
            <w:tcBorders>
              <w:top w:val="single" w:sz="4" w:space="0" w:color="DF2F1E"/>
              <w:bottom w:val="single" w:sz="4" w:space="0" w:color="DF2F1E"/>
            </w:tcBorders>
          </w:tcPr>
          <w:p>
            <w:pPr>
              <w:pStyle w:val="TableParagraph"/>
              <w:ind w:left="133" w:right="311"/>
              <w:rPr>
                <w:sz w:val="16"/>
              </w:rPr>
            </w:pPr>
            <w:r>
              <w:rPr>
                <w:color w:val="404040"/>
                <w:sz w:val="16"/>
              </w:rPr>
              <w:t>From 1 July 2018, a two-phase compliance framework will be introduced which will apply strong penalties to job seekers who persistently and deliberately do not comply with their employment pathway plan (EPP) requirements.</w:t>
            </w:r>
          </w:p>
        </w:tc>
        <w:tc>
          <w:tcPr>
            <w:tcW w:w="3454" w:type="dxa"/>
            <w:tcBorders>
              <w:top w:val="single" w:sz="4" w:space="0" w:color="DF2F1E"/>
              <w:bottom w:val="single" w:sz="4" w:space="0" w:color="DF2F1E"/>
              <w:right w:val="single" w:sz="4" w:space="0" w:color="DF2F1E"/>
            </w:tcBorders>
          </w:tcPr>
          <w:p>
            <w:pPr>
              <w:pStyle w:val="TableParagraph"/>
              <w:spacing w:before="36"/>
              <w:ind w:left="116" w:right="253"/>
              <w:rPr>
                <w:sz w:val="16"/>
              </w:rPr>
            </w:pPr>
            <w:r>
              <w:rPr>
                <w:color w:val="404040"/>
                <w:sz w:val="16"/>
              </w:rPr>
              <w:t>Stronger penalties will be put in place for failure to comply with EPP requirements, including loss of income support payments.</w:t>
            </w:r>
          </w:p>
        </w:tc>
      </w:tr>
    </w:tbl>
    <w:p>
      <w:pPr>
        <w:pStyle w:val="BodyText"/>
        <w:spacing w:before="119"/>
        <w:ind w:left="900" w:right="1188" w:hanging="1"/>
      </w:pPr>
      <w:r>
        <w:rPr>
          <w:color w:val="404040"/>
        </w:rPr>
        <w:t>The creation of the Jobseeker Payment is a material change from an operational point of view, however is not expected to be material in terms of lifetime cost, as it mainly represents a consolidation of payments. The introduction of the targeted compliance framework is expected to be more material from a lifetime cost perspective.</w:t>
      </w:r>
    </w:p>
    <w:p>
      <w:pPr>
        <w:pStyle w:val="BodyText"/>
        <w:spacing w:before="120"/>
        <w:ind w:left="900" w:right="1520"/>
      </w:pPr>
      <w:r>
        <w:rPr>
          <w:color w:val="404040"/>
        </w:rPr>
        <w:t>Over recent years, changes to the eligibility criteria for Disability Support Pension and a new Job Capacity Assessment that tests applicants’ capacity to work, have seen fewer people qualifying for DSP.</w:t>
      </w:r>
    </w:p>
    <w:p>
      <w:pPr>
        <w:pStyle w:val="BodyText"/>
        <w:spacing w:before="7"/>
      </w:pPr>
    </w:p>
    <w:p>
      <w:pPr>
        <w:spacing w:before="0"/>
        <w:ind w:left="900" w:right="0" w:firstLine="0"/>
        <w:jc w:val="left"/>
        <w:rPr>
          <w:sz w:val="28"/>
        </w:rPr>
      </w:pPr>
      <w:bookmarkStart w:name="Uses, limitations and reliances" w:id="8"/>
      <w:bookmarkEnd w:id="8"/>
      <w:r>
        <w:rPr/>
      </w:r>
      <w:r>
        <w:rPr>
          <w:color w:val="DF2F28"/>
          <w:sz w:val="28"/>
        </w:rPr>
        <w:t>Uses, limitations and reliances</w:t>
      </w:r>
    </w:p>
    <w:p>
      <w:pPr>
        <w:pStyle w:val="BodyText"/>
        <w:spacing w:before="121"/>
        <w:ind w:left="899" w:right="1154"/>
      </w:pPr>
      <w:r>
        <w:rPr>
          <w:color w:val="404040"/>
        </w:rPr>
        <w:t>The model can be used at a “system level” to consider the likely future welfare utilisation of the Australian population as it grows and as the demographic profile shifts, as well as at a detailed level to examine experience for sufficiently sized groups of interest within the population. The valuation also provides the ability to explore the sensitivity of the model results to changes in the model assumptions. This provides a platform through which different scenarios can be explored and their potential impact assessed over both the short and longer term.</w:t>
      </w:r>
    </w:p>
    <w:p>
      <w:pPr>
        <w:pStyle w:val="BodyText"/>
        <w:spacing w:before="123"/>
        <w:ind w:left="899" w:right="1021"/>
      </w:pPr>
      <w:r>
        <w:rPr>
          <w:color w:val="404040"/>
        </w:rPr>
        <w:t>The model captures the different risk characteristics that are important at a population level and for groups of people, but does not reflect all the factors that may result in different outcomes or different levels of payment for individual people. As such it is able to produce population and population group information rather than information for individuals.</w:t>
      </w:r>
    </w:p>
    <w:p>
      <w:pPr>
        <w:pStyle w:val="BodyText"/>
        <w:spacing w:before="119"/>
        <w:ind w:left="899" w:right="1077"/>
      </w:pPr>
      <w:r>
        <w:rPr>
          <w:color w:val="404040"/>
        </w:rPr>
        <w:t>This report has been prepared by PricewaterhouseCoopers (PwC) at the request of the Department to document the actuarial valuation of Australia’s social security and income support system as at 30 June 2018. It is not intended, or necessarily suitable, for any other purpose. The report relies on the completeness and accuracy of information compiled and provided by the Department. There is also a limitation on the accuracy of the results contained in this report because of the inherent uncertainty of any estimation of such long term costs.</w:t>
      </w:r>
    </w:p>
    <w:p>
      <w:pPr>
        <w:pStyle w:val="BodyText"/>
        <w:spacing w:before="5"/>
      </w:pPr>
    </w:p>
    <w:p>
      <w:pPr>
        <w:pStyle w:val="ListParagraph"/>
        <w:numPr>
          <w:ilvl w:val="0"/>
          <w:numId w:val="3"/>
        </w:numPr>
        <w:tabs>
          <w:tab w:pos="1751" w:val="left" w:leader="none"/>
          <w:tab w:pos="1752" w:val="left" w:leader="none"/>
        </w:tabs>
        <w:spacing w:line="240" w:lineRule="auto" w:before="0" w:after="0"/>
        <w:ind w:left="1751" w:right="0" w:hanging="852"/>
        <w:jc w:val="left"/>
        <w:rPr>
          <w:sz w:val="32"/>
        </w:rPr>
      </w:pPr>
      <w:bookmarkStart w:name="2. Allowance for recent experience" w:id="9"/>
      <w:bookmarkEnd w:id="9"/>
      <w:r>
        <w:rPr/>
      </w:r>
      <w:bookmarkStart w:name="2. Allowance for recent experience" w:id="10"/>
      <w:bookmarkEnd w:id="10"/>
      <w:r>
        <w:rPr>
          <w:color w:val="DF2F1E"/>
          <w:sz w:val="32"/>
        </w:rPr>
        <w:t>A</w:t>
      </w:r>
      <w:r>
        <w:rPr>
          <w:color w:val="DF2F1E"/>
          <w:sz w:val="32"/>
        </w:rPr>
        <w:t>llowance for recent</w:t>
      </w:r>
      <w:r>
        <w:rPr>
          <w:color w:val="DF2F1E"/>
          <w:spacing w:val="-2"/>
          <w:sz w:val="32"/>
        </w:rPr>
        <w:t> </w:t>
      </w:r>
      <w:r>
        <w:rPr>
          <w:color w:val="DF2F1E"/>
          <w:sz w:val="32"/>
        </w:rPr>
        <w:t>experience</w:t>
      </w:r>
    </w:p>
    <w:p>
      <w:pPr>
        <w:pStyle w:val="BodyText"/>
        <w:spacing w:before="124"/>
        <w:ind w:left="899" w:right="1053"/>
      </w:pPr>
      <w:r>
        <w:rPr>
          <w:color w:val="404040"/>
        </w:rPr>
        <w:t>The valuation has been developed with reference to the latest welfare recipient experience as at 30 June 2018, and this experience has impacted the population at the valuation date, as well as the assumptions selected for use in the future projections.</w:t>
      </w:r>
    </w:p>
    <w:p>
      <w:pPr>
        <w:pStyle w:val="BodyText"/>
        <w:spacing w:before="121"/>
        <w:ind w:left="899" w:right="1493"/>
        <w:jc w:val="both"/>
      </w:pPr>
      <w:r>
        <w:rPr>
          <w:color w:val="404040"/>
        </w:rPr>
        <w:t>For the June 2018 valuation the total model population is 25.0 million people which comprises the updated resident population of 24.9 million, as well as 0.1 million overseas payment recipients. This updated model population has increased by 0.3 million since June 2017, reflecting population growth over the year.</w:t>
      </w:r>
    </w:p>
    <w:p>
      <w:pPr>
        <w:pStyle w:val="BodyText"/>
        <w:spacing w:before="119"/>
        <w:ind w:left="899" w:right="1665"/>
      </w:pPr>
      <w:r>
        <w:rPr>
          <w:color w:val="404040"/>
        </w:rPr>
        <w:t>Since the previous valuation, we observed the following key trends with regards to the number of people accessing each payment type:</w:t>
      </w:r>
    </w:p>
    <w:p>
      <w:pPr>
        <w:pStyle w:val="ListParagraph"/>
        <w:numPr>
          <w:ilvl w:val="0"/>
          <w:numId w:val="4"/>
        </w:numPr>
        <w:tabs>
          <w:tab w:pos="1184" w:val="left" w:leader="none"/>
        </w:tabs>
        <w:spacing w:line="240" w:lineRule="auto" w:before="120" w:after="0"/>
        <w:ind w:left="1183" w:right="0" w:hanging="285"/>
        <w:jc w:val="left"/>
        <w:rPr>
          <w:rFonts w:ascii="Symbol" w:hAnsi="Symbol"/>
          <w:sz w:val="20"/>
        </w:rPr>
      </w:pPr>
      <w:r>
        <w:rPr>
          <w:color w:val="404040"/>
          <w:sz w:val="20"/>
        </w:rPr>
        <w:t>Total entries into the welfare system have continued to decrease over the past</w:t>
      </w:r>
      <w:r>
        <w:rPr>
          <w:color w:val="404040"/>
          <w:spacing w:val="-3"/>
          <w:sz w:val="20"/>
        </w:rPr>
        <w:t> </w:t>
      </w:r>
      <w:r>
        <w:rPr>
          <w:color w:val="404040"/>
          <w:sz w:val="20"/>
        </w:rPr>
        <w:t>year.</w:t>
      </w:r>
    </w:p>
    <w:p>
      <w:pPr>
        <w:pStyle w:val="ListParagraph"/>
        <w:numPr>
          <w:ilvl w:val="0"/>
          <w:numId w:val="4"/>
        </w:numPr>
        <w:tabs>
          <w:tab w:pos="1184" w:val="left" w:leader="none"/>
        </w:tabs>
        <w:spacing w:line="240" w:lineRule="auto" w:before="117" w:after="0"/>
        <w:ind w:left="1183" w:right="0" w:hanging="285"/>
        <w:jc w:val="left"/>
        <w:rPr>
          <w:rFonts w:ascii="Symbol" w:hAnsi="Symbol"/>
          <w:sz w:val="20"/>
        </w:rPr>
      </w:pPr>
      <w:r>
        <w:rPr>
          <w:color w:val="404040"/>
          <w:sz w:val="20"/>
        </w:rPr>
        <w:t>The number of people exiting the welfare system has increased.</w:t>
      </w:r>
    </w:p>
    <w:p>
      <w:pPr>
        <w:spacing w:after="0" w:line="240" w:lineRule="auto"/>
        <w:jc w:val="left"/>
        <w:rPr>
          <w:rFonts w:ascii="Symbol" w:hAnsi="Symbol"/>
          <w:sz w:val="20"/>
        </w:rPr>
        <w:sectPr>
          <w:pgSz w:w="11910" w:h="16850"/>
          <w:pgMar w:header="289" w:footer="298" w:top="500" w:bottom="480" w:left="120" w:right="0"/>
        </w:sectPr>
      </w:pPr>
    </w:p>
    <w:p>
      <w:pPr>
        <w:pStyle w:val="BodyText"/>
      </w:pPr>
    </w:p>
    <w:p>
      <w:pPr>
        <w:pStyle w:val="BodyText"/>
      </w:pPr>
    </w:p>
    <w:p>
      <w:pPr>
        <w:pStyle w:val="BodyText"/>
      </w:pPr>
    </w:p>
    <w:p>
      <w:pPr>
        <w:pStyle w:val="BodyText"/>
        <w:spacing w:before="9"/>
        <w:rPr>
          <w:sz w:val="25"/>
        </w:rPr>
      </w:pPr>
    </w:p>
    <w:p>
      <w:pPr>
        <w:pStyle w:val="ListParagraph"/>
        <w:numPr>
          <w:ilvl w:val="0"/>
          <w:numId w:val="4"/>
        </w:numPr>
        <w:tabs>
          <w:tab w:pos="1184" w:val="left" w:leader="none"/>
        </w:tabs>
        <w:spacing w:line="240" w:lineRule="auto" w:before="99" w:after="0"/>
        <w:ind w:left="1183" w:right="1222" w:hanging="284"/>
        <w:jc w:val="left"/>
        <w:rPr>
          <w:rFonts w:ascii="Symbol" w:hAnsi="Symbol"/>
          <w:sz w:val="20"/>
        </w:rPr>
      </w:pPr>
      <w:r>
        <w:rPr>
          <w:color w:val="404040"/>
          <w:sz w:val="20"/>
        </w:rPr>
        <w:t>The numbers of people in most income support classes have reduced compared to the previous year. The main exception to this is the Carers class, which has continued to</w:t>
      </w:r>
      <w:r>
        <w:rPr>
          <w:color w:val="404040"/>
          <w:spacing w:val="-6"/>
          <w:sz w:val="20"/>
        </w:rPr>
        <w:t> </w:t>
      </w:r>
      <w:r>
        <w:rPr>
          <w:color w:val="404040"/>
          <w:sz w:val="20"/>
        </w:rPr>
        <w:t>grow.</w:t>
      </w:r>
    </w:p>
    <w:p>
      <w:pPr>
        <w:pStyle w:val="ListParagraph"/>
        <w:numPr>
          <w:ilvl w:val="0"/>
          <w:numId w:val="4"/>
        </w:numPr>
        <w:tabs>
          <w:tab w:pos="1184" w:val="left" w:leader="none"/>
        </w:tabs>
        <w:spacing w:line="240" w:lineRule="auto" w:before="118" w:after="0"/>
        <w:ind w:left="1183" w:right="1432" w:hanging="284"/>
        <w:jc w:val="left"/>
        <w:rPr>
          <w:rFonts w:ascii="Symbol" w:hAnsi="Symbol"/>
          <w:sz w:val="20"/>
        </w:rPr>
      </w:pPr>
      <w:r>
        <w:rPr>
          <w:color w:val="404040"/>
          <w:sz w:val="20"/>
        </w:rPr>
        <w:t>The number of entrants into DSP remained at much lower levels as a result of the tightening of eligibility criteria over recent</w:t>
      </w:r>
      <w:r>
        <w:rPr>
          <w:color w:val="404040"/>
          <w:spacing w:val="4"/>
          <w:sz w:val="20"/>
        </w:rPr>
        <w:t> </w:t>
      </w:r>
      <w:r>
        <w:rPr>
          <w:color w:val="404040"/>
          <w:sz w:val="20"/>
        </w:rPr>
        <w:t>years.</w:t>
      </w:r>
    </w:p>
    <w:p>
      <w:pPr>
        <w:pStyle w:val="ListParagraph"/>
        <w:numPr>
          <w:ilvl w:val="0"/>
          <w:numId w:val="4"/>
        </w:numPr>
        <w:tabs>
          <w:tab w:pos="1184" w:val="left" w:leader="none"/>
        </w:tabs>
        <w:spacing w:line="240" w:lineRule="auto" w:before="118" w:after="0"/>
        <w:ind w:left="1183" w:right="1574" w:hanging="284"/>
        <w:jc w:val="both"/>
        <w:rPr>
          <w:rFonts w:ascii="Symbol" w:hAnsi="Symbol"/>
          <w:sz w:val="20"/>
        </w:rPr>
      </w:pPr>
      <w:r>
        <w:rPr>
          <w:color w:val="404040"/>
          <w:sz w:val="20"/>
        </w:rPr>
        <w:t>The number of people entering the Age Pension has reduced, in part as a result of the changes in the pensions assets test. Movements into Age Pension also reduced as a result of the increase in the Age Pension age from 65 to 65.5 in the 2018 financial</w:t>
      </w:r>
      <w:r>
        <w:rPr>
          <w:color w:val="404040"/>
          <w:spacing w:val="4"/>
          <w:sz w:val="20"/>
        </w:rPr>
        <w:t> </w:t>
      </w:r>
      <w:r>
        <w:rPr>
          <w:color w:val="404040"/>
          <w:sz w:val="20"/>
        </w:rPr>
        <w:t>year.</w:t>
      </w:r>
    </w:p>
    <w:p>
      <w:pPr>
        <w:pStyle w:val="BodyText"/>
        <w:spacing w:before="120"/>
        <w:ind w:left="900" w:right="1008"/>
      </w:pPr>
      <w:r>
        <w:rPr>
          <w:color w:val="404040"/>
        </w:rPr>
        <w:t>These factors have resulted in an overall decrease in the welfare population over the last year despite growth in the total Australian population. The welfare population now represents 31.8% of the population (down from 32.6% at June 2017), with income support recipients now making up 22.1% of the total population (down from 23.3% at June 2017).</w:t>
      </w:r>
    </w:p>
    <w:p>
      <w:pPr>
        <w:pStyle w:val="BodyText"/>
        <w:spacing w:before="119"/>
        <w:ind w:left="900" w:right="1030"/>
      </w:pPr>
      <w:r>
        <w:rPr>
          <w:color w:val="404040"/>
        </w:rPr>
        <w:t>The chart below shows the projected number of people in each welfare class, and highlights some of the movements in the key projection assumptions in response to the experience noted above. The red and orange bars show the actual number of people in each class for the year ending 30 June 2018, as well as the expected numbers of people in each active class over the period June 2019 to June 2023. We have also included information from the previous June 2017 valuation for comparison: the grey bar shows the actual number of people in each class for the year ending 30 June 2017; while the black / grey outline bars show the projected numbers based on the June 2017 valuation.</w:t>
      </w:r>
    </w:p>
    <w:p>
      <w:pPr>
        <w:pStyle w:val="Heading9"/>
        <w:spacing w:before="176"/>
      </w:pPr>
      <w:r>
        <w:rPr>
          <w:color w:val="DF2F1E"/>
        </w:rPr>
        <w:t>Figure 1: Actual and projected numbers of people in each active welfare class</w:t>
      </w:r>
    </w:p>
    <w:p>
      <w:pPr>
        <w:pStyle w:val="BodyText"/>
        <w:rPr>
          <w:b/>
        </w:rPr>
      </w:pPr>
    </w:p>
    <w:p>
      <w:pPr>
        <w:pStyle w:val="BodyText"/>
        <w:spacing w:before="3"/>
        <w:rPr>
          <w:b/>
          <w:sz w:val="22"/>
        </w:rPr>
      </w:pPr>
    </w:p>
    <w:p>
      <w:pPr>
        <w:tabs>
          <w:tab w:pos="8666" w:val="left" w:leader="none"/>
        </w:tabs>
        <w:spacing w:line="145" w:lineRule="exact" w:before="80"/>
        <w:ind w:left="0" w:right="114" w:firstLine="0"/>
        <w:jc w:val="center"/>
        <w:rPr>
          <w:rFonts w:ascii="Calibri"/>
          <w:sz w:val="12"/>
        </w:rPr>
      </w:pPr>
      <w:r>
        <w:rPr>
          <w:rFonts w:ascii="Calibri"/>
          <w:color w:val="585858"/>
          <w:w w:val="105"/>
          <w:sz w:val="12"/>
        </w:rPr>
        <w:t>3,000,000</w:t>
      </w:r>
      <w:r>
        <w:rPr>
          <w:rFonts w:ascii="Calibri"/>
          <w:color w:val="585858"/>
          <w:sz w:val="12"/>
        </w:rPr>
        <w:t>   </w:t>
      </w:r>
      <w:r>
        <w:rPr>
          <w:rFonts w:ascii="Calibri"/>
          <w:color w:val="585858"/>
          <w:spacing w:val="5"/>
          <w:sz w:val="12"/>
        </w:rPr>
        <w:t> </w:t>
      </w:r>
      <w:r>
        <w:rPr>
          <w:rFonts w:ascii="Calibri"/>
          <w:color w:val="585858"/>
          <w:w w:val="105"/>
          <w:sz w:val="12"/>
          <w:u w:val="single" w:color="D9D9D9"/>
        </w:rPr>
        <w:t> </w:t>
      </w:r>
      <w:r>
        <w:rPr>
          <w:rFonts w:ascii="Calibri"/>
          <w:color w:val="585858"/>
          <w:sz w:val="12"/>
          <w:u w:val="single" w:color="D9D9D9"/>
        </w:rPr>
        <w:tab/>
      </w:r>
    </w:p>
    <w:p>
      <w:pPr>
        <w:spacing w:line="157" w:lineRule="exact" w:before="0"/>
        <w:ind w:left="8728" w:right="2164" w:firstLine="0"/>
        <w:jc w:val="center"/>
        <w:rPr>
          <w:rFonts w:ascii="Calibri"/>
          <w:sz w:val="13"/>
        </w:rPr>
      </w:pPr>
      <w:r>
        <w:rPr/>
        <w:pict>
          <v:rect style="position:absolute;margin-left:438.509705pt;margin-top:2.478119pt;width:4.00939pt;height:4.004945pt;mso-position-horizontal-relative:page;mso-position-vertical-relative:paragraph;z-index:251666432" filled="true" fillcolor="#854000" stroked="false">
            <v:fill type="solid"/>
            <w10:wrap type="none"/>
          </v:rect>
        </w:pict>
      </w:r>
      <w:r>
        <w:rPr>
          <w:rFonts w:ascii="Calibri"/>
          <w:color w:val="585858"/>
          <w:w w:val="105"/>
          <w:sz w:val="13"/>
        </w:rPr>
        <w:t>Jun-18 (Actual)</w:t>
      </w:r>
    </w:p>
    <w:p>
      <w:pPr>
        <w:pStyle w:val="BodyText"/>
        <w:spacing w:before="4"/>
        <w:rPr>
          <w:rFonts w:ascii="Calibri"/>
          <w:sz w:val="27"/>
        </w:rPr>
      </w:pPr>
    </w:p>
    <w:p>
      <w:pPr>
        <w:spacing w:before="81"/>
        <w:ind w:left="1501" w:right="0" w:firstLine="0"/>
        <w:jc w:val="left"/>
        <w:rPr>
          <w:rFonts w:ascii="Calibri"/>
          <w:sz w:val="12"/>
        </w:rPr>
      </w:pPr>
      <w:r>
        <w:rPr/>
        <w:pict>
          <v:group style="position:absolute;margin-left:111.725464pt;margin-top:-10.339277pt;width:402.7pt;height:197.75pt;mso-position-horizontal-relative:page;mso-position-vertical-relative:paragraph;z-index:251665408" coordorigin="2235,-207" coordsize="8054,3955">
            <v:shape style="position:absolute;left:9572;top:3032;width:716;height:2" coordorigin="9572,3032" coordsize="716,0" path="m10202,3032l10288,3032m10099,3032l10122,3032m9996,3032l10007,3032m9881,3032l9904,3032m9778,3032l9801,3032m9675,3032l9698,3032m9572,3032l9595,3032e" filled="false" stroked="true" strokeweight=".572270pt" strokecolor="#d9d9d9">
              <v:path arrowok="t"/>
              <v:stroke dashstyle="solid"/>
            </v:shape>
            <v:line style="position:absolute" from="9635,2786" to="9635,3748" stroked="true" strokeweight="4.009646pt" strokecolor="#854000">
              <v:stroke dashstyle="solid"/>
            </v:line>
            <v:line style="position:absolute" from="9738,2821" to="9738,3748" stroked="true" strokeweight="4.009613pt" strokecolor="#b85700">
              <v:stroke dashstyle="solid"/>
            </v:line>
            <v:line style="position:absolute" from="9841,2866" to="9841,3748" stroked="true" strokeweight="4.009606pt" strokecolor="#d26300">
              <v:stroke dashstyle="solid"/>
            </v:line>
            <v:line style="position:absolute" from="9950,2889" to="9950,3748" stroked="true" strokeweight="4.582417pt" strokecolor="#df8358">
              <v:stroke dashstyle="solid"/>
            </v:line>
            <v:line style="position:absolute" from="10053,2924" to="10053,3748" stroked="true" strokeweight="4.582406pt" strokecolor="#ffa351">
              <v:stroke dashstyle="solid"/>
            </v:line>
            <v:shape style="position:absolute;left:7773;top:1601;width:1719;height:1431" coordorigin="7774,1602" coordsize="1719,1431" path="m8404,3032l9492,3032m8300,3032l8323,3032m8197,3032l8220,3032m8094,3032l8117,3032m7991,3032l8014,3032m7888,3032l7911,3032m7774,3032l7796,3032m7888,2311l7911,2311m7774,2311l7796,2311m7888,1602l7911,1602m7774,1602l7796,1602e" filled="false" stroked="true" strokeweight=".572270pt" strokecolor="#d9d9d9">
              <v:path arrowok="t"/>
              <v:stroke dashstyle="solid"/>
            </v:shape>
            <v:line style="position:absolute" from="7842,1539" to="7842,3748" stroked="true" strokeweight="4.582436pt" strokecolor="#854000">
              <v:stroke dashstyle="solid"/>
            </v:line>
            <v:shape style="position:absolute;left:7991;top:1601;width:23;height:710" coordorigin="7991,1602" coordsize="23,710" path="m7991,2311l8014,2311m7991,1602l8014,1602e" filled="false" stroked="true" strokeweight=".572270pt" strokecolor="#d9d9d9">
              <v:path arrowok="t"/>
              <v:stroke dashstyle="solid"/>
            </v:shape>
            <v:line style="position:absolute" from="7951,1482" to="7951,3748" stroked="true" strokeweight="4.009613pt" strokecolor="#b85700">
              <v:stroke dashstyle="solid"/>
            </v:line>
            <v:shape style="position:absolute;left:8094;top:1601;width:23;height:710" coordorigin="8094,1602" coordsize="23,710" path="m8094,2311l8117,2311m8094,1602l8117,1602e" filled="false" stroked="true" strokeweight=".572270pt" strokecolor="#d9d9d9">
              <v:path arrowok="t"/>
              <v:stroke dashstyle="solid"/>
            </v:shape>
            <v:line style="position:absolute" from="8054,1504" to="8054,3748" stroked="true" strokeweight="4.009632pt" strokecolor="#d26300">
              <v:stroke dashstyle="solid"/>
            </v:line>
            <v:shape style="position:absolute;left:8197;top:1601;width:23;height:710" coordorigin="8197,1602" coordsize="23,710" path="m8197,2311l8220,2311m8197,1602l8220,1602e" filled="false" stroked="true" strokeweight=".572270pt" strokecolor="#d9d9d9">
              <v:path arrowok="t"/>
              <v:stroke dashstyle="solid"/>
            </v:shape>
            <v:line style="position:absolute" from="8157,1527" to="8157,3748" stroked="true" strokeweight="4.009628pt" strokecolor="#df8358">
              <v:stroke dashstyle="solid"/>
            </v:line>
            <v:shape style="position:absolute;left:8300;top:1601;width:23;height:710" coordorigin="8300,1602" coordsize="23,710" path="m8300,2311l8323,2311m8300,1602l8323,1602e" filled="false" stroked="true" strokeweight=".572270pt" strokecolor="#d9d9d9">
              <v:path arrowok="t"/>
              <v:stroke dashstyle="solid"/>
            </v:shape>
            <v:line style="position:absolute" from="8260,1550" to="8260,3748" stroked="true" strokeweight="4.009621pt" strokecolor="#ffa351">
              <v:stroke dashstyle="solid"/>
            </v:line>
            <v:shape style="position:absolute;left:6879;top:159;width:814;height:2873" coordorigin="6880,160" coordsize="814,2873" path="m7510,3032l7693,3032m7407,3032l7430,3032m7304,3032l7327,3032m7201,3032l7224,3032m7098,3032l7121,3032m6983,3032l7006,3032m6880,3032l6903,3032m6983,2311l7006,2311m6880,2311l6903,2311m6983,1602l7006,1602m6880,1602l6903,1602m6983,881l7006,881m6880,881l6903,881m6983,160l7006,160m6880,160l6903,160e" filled="false" stroked="true" strokeweight=".572270pt" strokecolor="#d9d9d9">
              <v:path arrowok="t"/>
              <v:stroke dashstyle="solid"/>
            </v:shape>
            <v:line style="position:absolute" from="6943,154" to="6943,3748" stroked="true" strokeweight="4.009646pt" strokecolor="#854000">
              <v:stroke dashstyle="solid"/>
            </v:line>
            <v:shape style="position:absolute;left:7097;top:159;width:23;height:2152" coordorigin="7098,160" coordsize="23,2152" path="m7098,2311l7121,2311m7098,1602l7121,1602m7098,881l7121,881m7098,160l7121,160e" filled="false" stroked="true" strokeweight=".572270pt" strokecolor="#d9d9d9">
              <v:path arrowok="t"/>
              <v:stroke dashstyle="solid"/>
            </v:shape>
            <v:line style="position:absolute" from="7052,97" to="7052,3748" stroked="true" strokeweight="4.582421pt" strokecolor="#b85700">
              <v:stroke dashstyle="solid"/>
            </v:line>
            <v:shape style="position:absolute;left:7200;top:159;width:23;height:2152" coordorigin="7201,160" coordsize="23,2152" path="m7201,2311l7224,2311m7201,1602l7224,1602m7201,881l7224,881m7201,160l7224,160e" filled="false" stroked="true" strokeweight=".572270pt" strokecolor="#d9d9d9">
              <v:path arrowok="t"/>
              <v:stroke dashstyle="solid"/>
            </v:shape>
            <v:line style="position:absolute" from="7161,97" to="7161,3748" stroked="true" strokeweight="4.009606pt" strokecolor="#d26300">
              <v:stroke dashstyle="solid"/>
            </v:line>
            <v:shape style="position:absolute;left:7303;top:159;width:23;height:2152" coordorigin="7304,160" coordsize="23,2152" path="m7304,2311l7327,2311m7304,1602l7327,1602m7304,881l7327,881m7304,160l7327,160e" filled="false" stroked="true" strokeweight=".572270pt" strokecolor="#d9d9d9">
              <v:path arrowok="t"/>
              <v:stroke dashstyle="solid"/>
            </v:shape>
            <v:line style="position:absolute" from="7264,28" to="7264,3748" stroked="true" strokeweight="4.009601pt" strokecolor="#df8358">
              <v:stroke dashstyle="solid"/>
            </v:line>
            <v:shape style="position:absolute;left:7406;top:159;width:23;height:2152" coordorigin="7407,160" coordsize="23,2152" path="m7407,2311l7430,2311m7407,1602l7430,1602m7407,881l7430,881m7407,160l7430,160e" filled="false" stroked="true" strokeweight=".572270pt" strokecolor="#d9d9d9">
              <v:path arrowok="t"/>
              <v:stroke dashstyle="solid"/>
            </v:shape>
            <v:line style="position:absolute" from="7367,28" to="7367,3748" stroked="true" strokeweight="4.009621pt" strokecolor="#ffa351">
              <v:stroke dashstyle="solid"/>
            </v:line>
            <v:shape style="position:absolute;left:7510;top:159;width:1054;height:2152" coordorigin="7510,160" coordsize="1054,2152" path="m7510,2311l7693,2311m7510,1602l7693,1602m7510,881l8564,881m7510,160l8564,160e" filled="false" stroked="true" strokeweight=".572270pt" strokecolor="#d9d9d9">
              <v:path arrowok="t"/>
              <v:stroke dashstyle="solid"/>
            </v:shape>
            <v:line style="position:absolute" from="7470,-41" to="7470,3748" stroked="true" strokeweight="4.009627pt" strokecolor="#ffc28a">
              <v:stroke dashstyle="solid"/>
            </v:line>
            <v:shape style="position:absolute;left:8403;top:1601;width:1885;height:710" coordorigin="8404,1602" coordsize="1885,710" path="m8404,2311l10288,2311m8404,1602l10288,1602e" filled="false" stroked="true" strokeweight=".572270pt" strokecolor="#d9d9d9">
              <v:path arrowok="t"/>
              <v:stroke dashstyle="solid"/>
            </v:shape>
            <v:line style="position:absolute" from="8364,1562" to="8364,3748" stroked="true" strokeweight="4.009655pt" strokecolor="#ffc28a">
              <v:stroke dashstyle="solid"/>
            </v:line>
            <v:line style="position:absolute" from="8742,3439" to="8742,3748" stroked="true" strokeweight="4.00962pt" strokecolor="#854000">
              <v:stroke dashstyle="solid"/>
            </v:line>
            <v:line style="position:absolute" from="8845,3427" to="8845,3748" stroked="true" strokeweight="4.009613pt" strokecolor="#b85700">
              <v:stroke dashstyle="solid"/>
            </v:line>
            <v:line style="position:absolute" from="8948,3427" to="8948,3748" stroked="true" strokeweight="4.009606pt" strokecolor="#d26300">
              <v:stroke dashstyle="solid"/>
            </v:line>
            <v:line style="position:absolute" from="9051,3427" to="9051,3748" stroked="true" strokeweight="4.009601pt" strokecolor="#df8358">
              <v:stroke dashstyle="solid"/>
            </v:line>
            <v:line style="position:absolute" from="9160,3416" to="9160,3748" stroked="true" strokeweight="4.582406pt" strokecolor="#ffa351">
              <v:stroke dashstyle="solid"/>
            </v:line>
            <v:line style="position:absolute" from="9263,3416" to="9263,3748" stroked="true" strokeweight="4.582445pt" strokecolor="#ffc28a">
              <v:stroke dashstyle="solid"/>
            </v:line>
            <v:line style="position:absolute" from="10162,2947" to="10162,3748" stroked="true" strokeweight="4.009627pt" strokecolor="#ffc28a">
              <v:stroke dashstyle="solid"/>
            </v:line>
            <v:shape style="position:absolute;left:5986;top:3032;width:814;height:2" coordorigin="5986,3032" coordsize="814,0" path="m6616,3032l6800,3032m6513,3032l6536,3032m6410,3032l6433,3032m6307,3032l6319,3032m6193,3032l6215,3032m6089,3032l6112,3032m5986,3032l6009,3032e" filled="false" stroked="true" strokeweight=".572270pt" strokecolor="#d9d9d9">
              <v:path arrowok="t"/>
              <v:stroke dashstyle="solid"/>
            </v:shape>
            <v:line style="position:absolute" from="6049,2649" to="6049,3748" stroked="true" strokeweight="4.009633pt" strokecolor="#854000">
              <v:stroke dashstyle="solid"/>
            </v:line>
            <v:line style="position:absolute" from="6152,2672" to="6152,3748" stroked="true" strokeweight="4.0096pt" strokecolor="#b85700">
              <v:stroke dashstyle="solid"/>
            </v:line>
            <v:line style="position:absolute" from="6261,2672" to="6261,3748" stroked="true" strokeweight="4.582422pt" strokecolor="#d26300">
              <v:stroke dashstyle="solid"/>
            </v:line>
            <v:line style="position:absolute" from="6364,2695" to="6364,3748" stroked="true" strokeweight="4.582430pt" strokecolor="#df8358">
              <v:stroke dashstyle="solid"/>
            </v:line>
            <v:line style="position:absolute" from="6473,2695" to="6473,3748" stroked="true" strokeweight="4.009621pt" strokecolor="#ffa351">
              <v:stroke dashstyle="solid"/>
            </v:line>
            <v:shape style="position:absolute;left:3294;top:2311;width:2612;height:722" coordorigin="3294,2311" coordsize="2612,722" path="m3936,3032l5906,3032m3821,3032l3844,3032m3718,3032l3741,3032m3615,3032l3638,3032m3512,3032l3535,3032m3409,3032l3432,3032m3294,3032l3317,3032m3409,2311l3432,2311m3294,2311l3317,2311e" filled="false" stroked="true" strokeweight=".572270pt" strokecolor="#d9d9d9">
              <v:path arrowok="t"/>
              <v:stroke dashstyle="solid"/>
            </v:shape>
            <v:line style="position:absolute" from="3363,1985" to="3363,3748" stroked="true" strokeweight="4.582436pt" strokecolor="#854000">
              <v:stroke dashstyle="solid"/>
            </v:line>
            <v:line style="position:absolute" from="3512,2311" to="3535,2311" stroked="true" strokeweight=".572270pt" strokecolor="#d9d9d9">
              <v:stroke dashstyle="solid"/>
            </v:line>
            <v:line style="position:absolute" from="3472,2031" to="3472,3748" stroked="true" strokeweight="4.009613pt" strokecolor="#b85700">
              <v:stroke dashstyle="solid"/>
            </v:line>
            <v:line style="position:absolute" from="3615,2311" to="3638,2311" stroked="true" strokeweight=".572270pt" strokecolor="#d9d9d9">
              <v:stroke dashstyle="solid"/>
            </v:line>
            <v:line style="position:absolute" from="3575,2008" to="3575,3748" stroked="true" strokeweight="4.009619pt" strokecolor="#d26300">
              <v:stroke dashstyle="solid"/>
            </v:line>
            <v:line style="position:absolute" from="3718,2311" to="3741,2311" stroked="true" strokeweight=".572270pt" strokecolor="#d9d9d9">
              <v:stroke dashstyle="solid"/>
            </v:line>
            <v:line style="position:absolute" from="3678,1997" to="3678,3748" stroked="true" strokeweight="4.009615pt" strokecolor="#df8358">
              <v:stroke dashstyle="solid"/>
            </v:line>
            <v:line style="position:absolute" from="3821,2311" to="3844,2311" stroked="true" strokeweight=".572270pt" strokecolor="#d9d9d9">
              <v:stroke dashstyle="solid"/>
            </v:line>
            <v:line style="position:absolute" from="3781,1997" to="3781,3748" stroked="true" strokeweight="4.009621pt" strokecolor="#ffa351">
              <v:stroke dashstyle="solid"/>
            </v:line>
            <v:line style="position:absolute" from="3936,2311" to="6800,2311" stroked="true" strokeweight=".572270pt" strokecolor="#d9d9d9">
              <v:stroke dashstyle="solid"/>
            </v:line>
            <v:line style="position:absolute" from="3890,2008" to="3890,3748" stroked="true" strokeweight="4.582431pt" strokecolor="#ffc28a">
              <v:stroke dashstyle="solid"/>
            </v:line>
            <v:line style="position:absolute" from="4262,3198" to="4262,3748" stroked="true" strokeweight="4.009633pt" strokecolor="#854000">
              <v:stroke dashstyle="solid"/>
            </v:line>
            <v:line style="position:absolute" from="4365,3210" to="4365,3748" stroked="true" strokeweight="4.009613pt" strokecolor="#b85700">
              <v:stroke dashstyle="solid"/>
            </v:line>
            <v:line style="position:absolute" from="4468,3233" to="4468,3748" stroked="true" strokeweight="4.009619pt" strokecolor="#d26300">
              <v:stroke dashstyle="solid"/>
            </v:line>
            <v:line style="position:absolute" from="4572,3244" to="4572,3748" stroked="true" strokeweight="4.009615pt" strokecolor="#df8358">
              <v:stroke dashstyle="solid"/>
            </v:line>
            <v:line style="position:absolute" from="4680,3244" to="4680,3748" stroked="true" strokeweight="4.582434pt" strokecolor="#ffa351">
              <v:stroke dashstyle="solid"/>
            </v:line>
            <v:line style="position:absolute" from="4783,3256" to="4783,3748" stroked="true" strokeweight="4.582445pt" strokecolor="#ffc28a">
              <v:stroke dashstyle="solid"/>
            </v:line>
            <v:line style="position:absolute" from="5156,3324" to="5156,3748" stroked="true" strokeweight="4.00962pt" strokecolor="#854000">
              <v:stroke dashstyle="solid"/>
            </v:line>
            <v:line style="position:absolute" from="5259,3313" to="5259,3748" stroked="true" strokeweight="4.009613pt" strokecolor="#b85700">
              <v:stroke dashstyle="solid"/>
            </v:line>
            <v:line style="position:absolute" from="5362,3301" to="5362,3748" stroked="true" strokeweight="4.009619pt" strokecolor="#d26300">
              <v:stroke dashstyle="solid"/>
            </v:line>
            <v:line style="position:absolute" from="5471,3290" to="5471,3748" stroked="true" strokeweight="4.582417pt" strokecolor="#df8358">
              <v:stroke dashstyle="solid"/>
            </v:line>
            <v:line style="position:absolute" from="5574,3278" to="5574,3748" stroked="true" strokeweight="4.58242pt" strokecolor="#ffa351">
              <v:stroke dashstyle="solid"/>
            </v:line>
            <v:line style="position:absolute" from="5683,3278" to="5683,3748" stroked="true" strokeweight="4.009641pt" strokecolor="#ffc28a">
              <v:stroke dashstyle="solid"/>
            </v:line>
            <v:line style="position:absolute" from="6576,2706" to="6576,3748" stroked="true" strokeweight="4.009627pt" strokecolor="#ffc28a">
              <v:stroke dashstyle="solid"/>
            </v:line>
            <v:shape style="position:absolute;left:2234;top:2311;width:980;height:722" coordorigin="2235,2311" coordsize="980,722" path="m2235,3032l3214,3032m2235,2311l3214,2311e" filled="false" stroked="true" strokeweight=".572270pt" strokecolor="#d9d9d9">
              <v:path arrowok="t"/>
              <v:stroke dashstyle="solid"/>
            </v:shape>
            <v:line style="position:absolute" from="3254,1871" to="3254,3748" stroked="true" strokeweight="4.009625pt" strokecolor="#7e7e7e">
              <v:stroke dashstyle="solid"/>
            </v:line>
            <v:line style="position:absolute" from="4153,3130" to="4153,3748" stroked="true" strokeweight="4.582428pt" strokecolor="#7e7e7e">
              <v:stroke dashstyle="solid"/>
            </v:line>
            <v:line style="position:absolute" from="5053,3347" to="5053,3748" stroked="true" strokeweight="4.009625pt" strokecolor="#7e7e7e">
              <v:stroke dashstyle="solid"/>
            </v:line>
            <v:line style="position:absolute" from="5946,2649" to="5946,3748" stroked="true" strokeweight="4.009638pt" strokecolor="#7e7e7e">
              <v:stroke dashstyle="solid"/>
            </v:line>
            <v:shape style="position:absolute;left:2234;top:159;width:4566;height:1443" coordorigin="2235,160" coordsize="4566,1443" path="m2235,1602l6800,1602m2235,881l6800,881m2235,160l6800,160e" filled="false" stroked="true" strokeweight=".572270pt" strokecolor="#d9d9d9">
              <v:path arrowok="t"/>
              <v:stroke dashstyle="solid"/>
            </v:shape>
            <v:shape style="position:absolute;left:6839;top:-7;width:894;height:3755" coordorigin="6840,-6" coordsize="894,3755" path="m6840,-6l6840,3748m7733,1539l7733,3748e" filled="false" stroked="true" strokeweight="4.009625pt" strokecolor="#7e7e7e">
              <v:path arrowok="t"/>
              <v:stroke dashstyle="solid"/>
            </v:shape>
            <v:line style="position:absolute" from="8633,3462" to="8633,3748" stroked="true" strokeweight="4.582428pt" strokecolor="#7e7e7e">
              <v:stroke dashstyle="solid"/>
            </v:line>
            <v:line style="position:absolute" from="9532,2901" to="9532,3748" stroked="true" strokeweight="4.009625pt" strokecolor="#7e7e7e">
              <v:stroke dashstyle="solid"/>
            </v:line>
            <v:line style="position:absolute" from="2464,3233" to="2464,3748" stroked="true" strokeweight="4.009633pt" strokecolor="#854000">
              <v:stroke dashstyle="solid"/>
            </v:line>
            <v:line style="position:absolute" from="2572,3244" to="2572,3748" stroked="true" strokeweight="4.582408pt" strokecolor="#b85700">
              <v:stroke dashstyle="solid"/>
            </v:line>
            <v:line style="position:absolute" from="2681,3256" to="2681,3748" stroked="true" strokeweight="4.009619pt" strokecolor="#d26300">
              <v:stroke dashstyle="solid"/>
            </v:line>
            <v:line style="position:absolute" from="2784,3256" to="2784,3748" stroked="true" strokeweight="4.009615pt" strokecolor="#df8358">
              <v:stroke dashstyle="solid"/>
            </v:line>
            <v:line style="position:absolute" from="2888,3267" to="2888,3748" stroked="true" strokeweight="4.009621pt" strokecolor="#ffa351">
              <v:stroke dashstyle="solid"/>
            </v:line>
            <v:line style="position:absolute" from="2991,3267" to="2991,3748" stroked="true" strokeweight="4.009627pt" strokecolor="#ffc28a">
              <v:stroke dashstyle="solid"/>
            </v:line>
            <v:line style="position:absolute" from="2361,3210" to="2361,3748" stroked="true" strokeweight="4.009625pt" strokecolor="#7e7e7e">
              <v:stroke dashstyle="solid"/>
            </v:line>
            <v:shape style="position:absolute;left:14855;top:-318709;width:552276;height:275264" coordorigin="14856,-318709" coordsize="552276,275264" path="m2429,3193l2509,3193,2509,3742,2429,3742,2429,3193xm3323,1842l3403,1842,3403,3742,3323,3742,3323,1842xm4216,3124l4297,3124,4297,3742,4216,3742,4216,3124xm5110,3330l5190,3330,5190,3742,5110,3742,5110,3330xm6004,2643l6095,2643,6095,3742,6004,3742,6004,2643xm6909,137l6989,137,6989,3742,6909,3742,6909,137xm7802,1545l7882,1545,7882,3742,7802,3742,7802,1545xm8696,3444l8776,3444,8776,3742,8696,3742,8696,3444xm9589,2769l9669,2769,9669,3742,9589,3742,9589,2769xe" filled="false" stroked="true" strokeweight=".572542pt" strokecolor="#000000">
              <v:path arrowok="t"/>
              <v:stroke dashstyle="solid"/>
            </v:shape>
            <v:shape style="position:absolute;left:22411;top:-314261;width:545641;height:278424" coordorigin="22412,-314260" coordsize="545641,278424" path="m2532,3216l2613,3216,2613,3742,2532,3742,2532,3216xm3426,1865l3506,1865,3506,3742,3426,3742,3426,1865xm4320,3124l4400,3124,4400,3742,4320,3742,4320,3124xm5213,3307l5305,3307,5305,3742,5213,3742,5213,3307xm6118,2655l6198,2655,6198,3742,6118,3742,6118,2655xm7012,45l7092,45,7092,3742,7012,3742,7012,45xm7905,1510l7985,1510,7985,3742,7905,3742,7905,1510xm8799,3444l8879,3444,8879,3742,8799,3742,8799,3444xm9692,2861l9784,2861,9784,3742,9692,3742,9692,2861xe" filled="false" stroked="true" strokeweight=".572543pt" strokecolor="#404040">
              <v:path arrowok="t"/>
              <v:stroke dashstyle="solid"/>
            </v:shape>
            <v:shape style="position:absolute;left:29899;top:-311362;width:540747;height:277635" coordorigin="29899,-311361" coordsize="540747,277635" path="m2635,3227l2716,3227,2716,3742,2635,3742,2635,3227xm3529,1854l3609,1854,3609,3742,3529,3742,3529,1854xm4423,3124l4514,3124,4514,3742,4423,3742,4423,3124xm5328,3284l5408,3284,5408,3742,5328,3742,5328,3284xm6221,2643l6301,2643,6301,3742,6221,3742,6221,2643xm7115,22l7195,22,7195,3742,7115,3742,7115,22xm8008,1545l8089,1545,8089,3742,8008,3742,8008,1545xm8902,3433l8994,3433,8994,3742,8902,3742,8902,3433xm9807,2884l9887,2884,9887,3742,9807,3742,9807,2884xe" filled="false" stroked="true" strokeweight=".572538pt" strokecolor="#585858">
              <v:path arrowok="t"/>
              <v:stroke dashstyle="solid"/>
            </v:shape>
            <v:shape style="position:absolute;left:37253;top:-308514;width:535940;height:281940" coordorigin="37253,-308514" coordsize="535940,281940" path="m2739,3227l2819,3227,2819,3742,2739,3742,2739,3227xm3632,1899l3724,1899,3724,3742,3632,3742,3632,1899xm4537,3124l4617,3124,4617,3742,4537,3742,4537,3124xm5431,3273l5511,3273,5511,3742,5431,3742,5431,3273xm6324,2643l6405,2643,6405,3742,6324,3742,6324,2643xm7218,-69l7298,-69,7298,3742,7218,3742,7218,-69xm8111,1556l8203,1556,8203,3742,8111,3742,8111,1556xm9017,3433l9097,3433,9097,3742,9017,3742,9017,3433xm9910,2907l9990,2907,9990,3742,9910,3742,9910,2907xe" filled="false" stroked="true" strokeweight=".572533pt" strokecolor="#7e7e7e">
              <v:path arrowok="t"/>
              <v:stroke dashstyle="solid"/>
            </v:shape>
            <v:shape style="position:absolute;left:44282;top:-304337;width:528889;height:279902" coordorigin="44283,-304336" coordsize="528889,279902" path="m2842,3227l2933,3227,2933,3742,2842,3742,2842,3227xm3747,1922l3827,1922,3827,3742,3747,3742,3747,1922xm4640,3113l4720,3113,4720,3742,4640,3742,4640,3113xm5534,3261l5614,3261,5614,3742,5534,3742,5534,3261xm6427,2632l6508,2632,6508,3742,6427,3742,6427,2632xm7321,-92l7413,-92,7413,3742,7321,3742,7321,-92xm8226,1567l8306,1567,8306,3742,8226,3742,8226,1567xm9120,3422l9200,3422,9200,3742,9120,3742,9120,3422xm10013,2929l10093,2929,10093,3742,10013,3742,10013,2929xe" filled="false" stroked="true" strokeweight=".572534pt" strokecolor="#878787">
              <v:path arrowok="t"/>
              <v:stroke dashstyle="solid"/>
            </v:shape>
            <v:shape style="position:absolute;left:52180;top:-301612;width:523461;height:284094" coordorigin="52180,-301612" coordsize="523461,284094" path="m2956,3227l3036,3227,3036,3742,2956,3742,2956,3227xm3850,1945l3930,1945,3930,3742,3850,3742,3850,1945xm4743,3113l4824,3113,4824,3742,4743,3742,4743,3113xm5637,3250l5717,3250,5717,3742,5637,3742,5637,3250xm6531,2643l6622,2643,6622,3742,6531,3742,6531,2643xm7436,-184l7516,-184,7516,3742,7436,3742,7436,-184xm8329,1579l8409,1579,8409,3742,8329,3742,8329,1579xm9223,3422l9303,3422,9303,3742,9223,3742,9223,3422xm10116,2964l10196,2964,10196,3742,10116,3742,10116,2964xe" filled="false" stroked="true" strokeweight=".572537pt" strokecolor="#a6a6a6">
              <v:path arrowok="t"/>
              <v:stroke dashstyle="solid"/>
            </v:shape>
            <v:line style="position:absolute" from="2235,3742" to="10288,3742" stroked="true" strokeweight=".572266pt" strokecolor="#d9d9d9">
              <v:stroke dashstyle="solid"/>
            </v:line>
            <v:rect style="position:absolute;left:8770;top:-179;width:81;height:81" filled="true" fillcolor="#b85700" stroked="false">
              <v:fill type="solid"/>
            </v:rect>
            <v:rect style="position:absolute;left:8770;top:85;width:81;height:81" filled="true" fillcolor="#d26300" stroked="false">
              <v:fill type="solid"/>
            </v:rect>
            <v:rect style="position:absolute;left:8770;top:348;width:81;height:81" filled="true" fillcolor="#df8358" stroked="false">
              <v:fill type="solid"/>
            </v:rect>
            <v:rect style="position:absolute;left:8770;top:623;width:81;height:69" filled="true" fillcolor="#ffa351" stroked="false">
              <v:fill type="solid"/>
            </v:rect>
            <v:rect style="position:absolute;left:8770;top:886;width:81;height:69" filled="true" fillcolor="#ffc28a" stroked="false">
              <v:fill type="solid"/>
            </v:rect>
            <v:rect style="position:absolute;left:8770;top:1149;width:81;height:69" filled="true" fillcolor="#7e7e7e" stroked="false">
              <v:fill type="solid"/>
            </v:rect>
            <v:rect style="position:absolute;left:8775;top:1407;width:69;height:81" filled="false" stroked="true" strokeweight=".572501pt" strokecolor="#000000">
              <v:stroke dashstyle="solid"/>
            </v:rect>
            <v:shape style="position:absolute;left:2234;top:-207;width:8054;height:3955" type="#_x0000_t202" filled="false" stroked="false">
              <v:textbox inset="0,0,0,0">
                <w:txbxContent>
                  <w:p>
                    <w:pPr>
                      <w:spacing w:line="138" w:lineRule="exact" w:before="0"/>
                      <w:ind w:left="0" w:right="1039" w:firstLine="0"/>
                      <w:jc w:val="right"/>
                      <w:rPr>
                        <w:rFonts w:ascii="Calibri"/>
                        <w:sz w:val="13"/>
                      </w:rPr>
                    </w:pPr>
                    <w:r>
                      <w:rPr>
                        <w:rFonts w:ascii="Calibri"/>
                        <w:color w:val="585858"/>
                        <w:spacing w:val="-1"/>
                        <w:w w:val="105"/>
                        <w:sz w:val="13"/>
                      </w:rPr>
                      <w:t>Jun-19</w:t>
                    </w:r>
                  </w:p>
                  <w:p>
                    <w:pPr>
                      <w:spacing w:line="400" w:lineRule="auto" w:before="105"/>
                      <w:ind w:left="6645" w:right="1039" w:firstLine="0"/>
                      <w:jc w:val="both"/>
                      <w:rPr>
                        <w:rFonts w:ascii="Calibri"/>
                        <w:sz w:val="13"/>
                      </w:rPr>
                    </w:pPr>
                    <w:r>
                      <w:rPr>
                        <w:rFonts w:ascii="Calibri"/>
                        <w:color w:val="585858"/>
                        <w:spacing w:val="-1"/>
                        <w:w w:val="105"/>
                        <w:sz w:val="13"/>
                      </w:rPr>
                      <w:t>Jun-20 Jun-21 Jun-22 Jun-23</w:t>
                    </w:r>
                  </w:p>
                  <w:p>
                    <w:pPr>
                      <w:spacing w:line="400" w:lineRule="auto" w:before="0"/>
                      <w:ind w:left="6645" w:right="93" w:firstLine="0"/>
                      <w:jc w:val="both"/>
                      <w:rPr>
                        <w:rFonts w:ascii="Calibri"/>
                        <w:sz w:val="13"/>
                      </w:rPr>
                    </w:pPr>
                    <w:r>
                      <w:rPr>
                        <w:rFonts w:ascii="Calibri"/>
                        <w:color w:val="585858"/>
                        <w:w w:val="105"/>
                        <w:sz w:val="13"/>
                      </w:rPr>
                      <w:t>J17 val - Jun-17 (Actual) J17 val - projected</w:t>
                    </w:r>
                  </w:p>
                </w:txbxContent>
              </v:textbox>
              <w10:wrap type="none"/>
            </v:shape>
            <w10:wrap type="none"/>
          </v:group>
        </w:pict>
      </w:r>
      <w:r>
        <w:rPr>
          <w:rFonts w:ascii="Calibri"/>
          <w:color w:val="585858"/>
          <w:w w:val="105"/>
          <w:sz w:val="12"/>
        </w:rPr>
        <w:t>2,500,000</w:t>
      </w:r>
    </w:p>
    <w:p>
      <w:pPr>
        <w:pStyle w:val="BodyText"/>
        <w:rPr>
          <w:rFonts w:ascii="Calibri"/>
        </w:rPr>
      </w:pPr>
    </w:p>
    <w:p>
      <w:pPr>
        <w:pStyle w:val="BodyText"/>
        <w:spacing w:before="2"/>
        <w:rPr>
          <w:rFonts w:ascii="Calibri"/>
        </w:rPr>
      </w:pPr>
    </w:p>
    <w:p>
      <w:pPr>
        <w:spacing w:before="80"/>
        <w:ind w:left="1501" w:right="0" w:firstLine="0"/>
        <w:jc w:val="left"/>
        <w:rPr>
          <w:rFonts w:ascii="Calibri"/>
          <w:sz w:val="12"/>
        </w:rPr>
      </w:pPr>
      <w:r>
        <w:rPr/>
        <w:pict>
          <v:shape style="position:absolute;margin-left:65.004204pt;margin-top:2.435056pt;width:8.9pt;height:54.8pt;mso-position-horizontal-relative:page;mso-position-vertical-relative:paragraph;z-index:251667456" type="#_x0000_t202" filled="false" stroked="false">
            <v:textbox inset="0,0,0,0" style="layout-flow:vertical;mso-layout-flow-alt:bottom-to-top">
              <w:txbxContent>
                <w:p>
                  <w:pPr>
                    <w:spacing w:line="158" w:lineRule="exact" w:before="0"/>
                    <w:ind w:left="20" w:right="0" w:firstLine="0"/>
                    <w:jc w:val="left"/>
                    <w:rPr>
                      <w:rFonts w:ascii="Calibri"/>
                      <w:sz w:val="13"/>
                    </w:rPr>
                  </w:pPr>
                  <w:r>
                    <w:rPr>
                      <w:rFonts w:ascii="Calibri"/>
                      <w:color w:val="585858"/>
                      <w:w w:val="105"/>
                      <w:sz w:val="13"/>
                    </w:rPr>
                    <w:t>Number of People</w:t>
                  </w:r>
                </w:p>
              </w:txbxContent>
            </v:textbox>
            <w10:wrap type="none"/>
          </v:shape>
        </w:pict>
      </w:r>
      <w:r>
        <w:rPr>
          <w:rFonts w:ascii="Calibri"/>
          <w:color w:val="585858"/>
          <w:w w:val="105"/>
          <w:sz w:val="12"/>
        </w:rPr>
        <w:t>2,000,000</w:t>
      </w:r>
    </w:p>
    <w:p>
      <w:pPr>
        <w:pStyle w:val="BodyText"/>
        <w:rPr>
          <w:rFonts w:ascii="Calibri"/>
        </w:rPr>
      </w:pPr>
    </w:p>
    <w:p>
      <w:pPr>
        <w:pStyle w:val="BodyText"/>
        <w:spacing w:before="2"/>
        <w:rPr>
          <w:rFonts w:ascii="Calibri"/>
        </w:rPr>
      </w:pPr>
    </w:p>
    <w:p>
      <w:pPr>
        <w:spacing w:before="80"/>
        <w:ind w:left="1501" w:right="0" w:firstLine="0"/>
        <w:jc w:val="left"/>
        <w:rPr>
          <w:rFonts w:ascii="Calibri"/>
          <w:sz w:val="12"/>
        </w:rPr>
      </w:pPr>
      <w:r>
        <w:rPr>
          <w:rFonts w:ascii="Calibri"/>
          <w:color w:val="585858"/>
          <w:w w:val="105"/>
          <w:sz w:val="12"/>
        </w:rPr>
        <w:t>1,500,000</w:t>
      </w:r>
    </w:p>
    <w:p>
      <w:pPr>
        <w:pStyle w:val="BodyText"/>
        <w:rPr>
          <w:rFonts w:ascii="Calibri"/>
        </w:rPr>
      </w:pPr>
    </w:p>
    <w:p>
      <w:pPr>
        <w:pStyle w:val="BodyText"/>
        <w:spacing w:before="2"/>
        <w:rPr>
          <w:rFonts w:ascii="Calibri"/>
        </w:rPr>
      </w:pPr>
    </w:p>
    <w:p>
      <w:pPr>
        <w:spacing w:before="81"/>
        <w:ind w:left="1501" w:right="0" w:firstLine="0"/>
        <w:jc w:val="left"/>
        <w:rPr>
          <w:rFonts w:ascii="Calibri"/>
          <w:sz w:val="12"/>
        </w:rPr>
      </w:pPr>
      <w:r>
        <w:rPr>
          <w:rFonts w:ascii="Calibri"/>
          <w:color w:val="585858"/>
          <w:w w:val="105"/>
          <w:sz w:val="12"/>
        </w:rPr>
        <w:t>1,000,000</w:t>
      </w:r>
    </w:p>
    <w:p>
      <w:pPr>
        <w:pStyle w:val="BodyText"/>
        <w:rPr>
          <w:rFonts w:ascii="Calibri"/>
        </w:rPr>
      </w:pPr>
    </w:p>
    <w:p>
      <w:pPr>
        <w:pStyle w:val="BodyText"/>
        <w:spacing w:before="2"/>
        <w:rPr>
          <w:rFonts w:ascii="Calibri"/>
        </w:rPr>
      </w:pPr>
    </w:p>
    <w:p>
      <w:pPr>
        <w:spacing w:before="80"/>
        <w:ind w:left="1593" w:right="0" w:firstLine="0"/>
        <w:jc w:val="left"/>
        <w:rPr>
          <w:rFonts w:ascii="Calibri"/>
          <w:sz w:val="12"/>
        </w:rPr>
      </w:pPr>
      <w:r>
        <w:rPr>
          <w:rFonts w:ascii="Calibri"/>
          <w:color w:val="585858"/>
          <w:w w:val="105"/>
          <w:sz w:val="12"/>
        </w:rPr>
        <w:t>500,000</w:t>
      </w:r>
    </w:p>
    <w:p>
      <w:pPr>
        <w:pStyle w:val="BodyText"/>
        <w:rPr>
          <w:rFonts w:ascii="Calibri"/>
        </w:rPr>
      </w:pPr>
    </w:p>
    <w:p>
      <w:pPr>
        <w:pStyle w:val="BodyText"/>
        <w:spacing w:before="2"/>
        <w:rPr>
          <w:rFonts w:ascii="Calibri"/>
        </w:rPr>
      </w:pPr>
    </w:p>
    <w:p>
      <w:pPr>
        <w:spacing w:after="0"/>
        <w:rPr>
          <w:rFonts w:ascii="Calibri"/>
        </w:rPr>
        <w:sectPr>
          <w:pgSz w:w="11910" w:h="16850"/>
          <w:pgMar w:header="289" w:footer="298" w:top="500" w:bottom="480" w:left="120" w:right="0"/>
        </w:sectPr>
      </w:pPr>
    </w:p>
    <w:p>
      <w:pPr>
        <w:spacing w:before="80"/>
        <w:ind w:left="1934" w:right="0" w:firstLine="0"/>
        <w:jc w:val="left"/>
        <w:rPr>
          <w:rFonts w:ascii="Calibri"/>
          <w:sz w:val="12"/>
        </w:rPr>
      </w:pPr>
      <w:r>
        <w:rPr>
          <w:rFonts w:ascii="Calibri"/>
          <w:color w:val="585858"/>
          <w:w w:val="105"/>
          <w:sz w:val="12"/>
        </w:rPr>
        <w:t>0</w:t>
      </w:r>
    </w:p>
    <w:p>
      <w:pPr>
        <w:tabs>
          <w:tab w:pos="1821" w:val="left" w:leader="none"/>
          <w:tab w:pos="2750" w:val="left" w:leader="none"/>
          <w:tab w:pos="3569" w:val="left" w:leader="none"/>
        </w:tabs>
        <w:spacing w:before="24"/>
        <w:ind w:left="0" w:right="0" w:firstLine="0"/>
        <w:jc w:val="right"/>
        <w:rPr>
          <w:rFonts w:ascii="Calibri"/>
          <w:sz w:val="13"/>
        </w:rPr>
      </w:pPr>
      <w:r>
        <w:rPr>
          <w:rFonts w:ascii="Calibri"/>
          <w:color w:val="585858"/>
          <w:w w:val="105"/>
          <w:sz w:val="13"/>
        </w:rPr>
        <w:t>1 Studying      2</w:t>
      </w:r>
      <w:r>
        <w:rPr>
          <w:rFonts w:ascii="Calibri"/>
          <w:color w:val="585858"/>
          <w:spacing w:val="9"/>
          <w:w w:val="105"/>
          <w:sz w:val="13"/>
        </w:rPr>
        <w:t> </w:t>
      </w:r>
      <w:r>
        <w:rPr>
          <w:rFonts w:ascii="Calibri"/>
          <w:color w:val="585858"/>
          <w:w w:val="105"/>
          <w:sz w:val="13"/>
        </w:rPr>
        <w:t>Working</w:t>
      </w:r>
      <w:r>
        <w:rPr>
          <w:rFonts w:ascii="Calibri"/>
          <w:color w:val="585858"/>
          <w:spacing w:val="6"/>
          <w:w w:val="105"/>
          <w:sz w:val="13"/>
        </w:rPr>
        <w:t> </w:t>
      </w:r>
      <w:r>
        <w:rPr>
          <w:rFonts w:ascii="Calibri"/>
          <w:color w:val="585858"/>
          <w:spacing w:val="-3"/>
          <w:w w:val="105"/>
          <w:sz w:val="13"/>
        </w:rPr>
        <w:t>Age</w:t>
        <w:tab/>
      </w:r>
      <w:r>
        <w:rPr>
          <w:rFonts w:ascii="Calibri"/>
          <w:color w:val="585858"/>
          <w:w w:val="105"/>
          <w:sz w:val="13"/>
        </w:rPr>
        <w:t>3</w:t>
      </w:r>
      <w:r>
        <w:rPr>
          <w:rFonts w:ascii="Calibri"/>
          <w:color w:val="585858"/>
          <w:spacing w:val="1"/>
          <w:w w:val="105"/>
          <w:sz w:val="13"/>
        </w:rPr>
        <w:t> </w:t>
      </w:r>
      <w:r>
        <w:rPr>
          <w:rFonts w:ascii="Calibri"/>
          <w:color w:val="585858"/>
          <w:w w:val="105"/>
          <w:sz w:val="13"/>
        </w:rPr>
        <w:t>Parents</w:t>
        <w:tab/>
        <w:t>4 Carers</w:t>
        <w:tab/>
        <w:t>5</w:t>
      </w:r>
      <w:r>
        <w:rPr>
          <w:rFonts w:ascii="Calibri"/>
          <w:color w:val="585858"/>
          <w:spacing w:val="-1"/>
          <w:w w:val="105"/>
          <w:sz w:val="13"/>
        </w:rPr>
        <w:t> </w:t>
      </w:r>
      <w:r>
        <w:rPr>
          <w:rFonts w:ascii="Calibri"/>
          <w:color w:val="585858"/>
          <w:w w:val="105"/>
          <w:sz w:val="13"/>
        </w:rPr>
        <w:t>Disability</w:t>
      </w:r>
    </w:p>
    <w:p>
      <w:pPr>
        <w:spacing w:before="9"/>
        <w:ind w:left="0" w:right="80" w:firstLine="0"/>
        <w:jc w:val="right"/>
        <w:rPr>
          <w:rFonts w:ascii="Calibri"/>
          <w:sz w:val="13"/>
        </w:rPr>
      </w:pPr>
      <w:r>
        <w:rPr>
          <w:rFonts w:ascii="Calibri"/>
          <w:color w:val="585858"/>
          <w:w w:val="105"/>
          <w:sz w:val="13"/>
        </w:rPr>
        <w:t>Support</w:t>
      </w:r>
    </w:p>
    <w:p>
      <w:pPr>
        <w:pStyle w:val="BodyText"/>
        <w:spacing w:before="7"/>
        <w:rPr>
          <w:rFonts w:ascii="Calibri"/>
        </w:rPr>
      </w:pPr>
      <w:r>
        <w:rPr/>
        <w:br w:type="column"/>
      </w:r>
      <w:r>
        <w:rPr>
          <w:rFonts w:ascii="Calibri"/>
        </w:rPr>
      </w:r>
    </w:p>
    <w:p>
      <w:pPr>
        <w:spacing w:before="0"/>
        <w:ind w:left="156" w:right="0" w:firstLine="0"/>
        <w:jc w:val="left"/>
        <w:rPr>
          <w:rFonts w:ascii="Calibri"/>
          <w:sz w:val="13"/>
        </w:rPr>
      </w:pPr>
      <w:r>
        <w:rPr>
          <w:rFonts w:ascii="Calibri"/>
          <w:color w:val="585858"/>
          <w:w w:val="105"/>
          <w:sz w:val="13"/>
        </w:rPr>
        <w:t>6 Pension Age 7 Non IS Family 8 Non IS Carer 9 Non IS Other</w:t>
      </w:r>
    </w:p>
    <w:p>
      <w:pPr>
        <w:spacing w:after="0"/>
        <w:jc w:val="left"/>
        <w:rPr>
          <w:rFonts w:ascii="Calibri"/>
          <w:sz w:val="13"/>
        </w:rPr>
        <w:sectPr>
          <w:type w:val="continuous"/>
          <w:pgSz w:w="11910" w:h="16850"/>
          <w:pgMar w:top="1600" w:bottom="280" w:left="120" w:right="0"/>
          <w:cols w:num="2" w:equalWidth="0">
            <w:col w:w="6447" w:space="40"/>
            <w:col w:w="5303"/>
          </w:cols>
        </w:sectPr>
      </w:pPr>
    </w:p>
    <w:p>
      <w:pPr>
        <w:pStyle w:val="BodyText"/>
        <w:spacing w:before="10"/>
        <w:rPr>
          <w:rFonts w:ascii="Calibri"/>
        </w:rPr>
      </w:pPr>
    </w:p>
    <w:p>
      <w:pPr>
        <w:pStyle w:val="Heading9"/>
      </w:pPr>
      <w:r>
        <w:rPr>
          <w:color w:val="404040"/>
        </w:rPr>
        <w:t>Key features:</w:t>
      </w:r>
    </w:p>
    <w:p>
      <w:pPr>
        <w:pStyle w:val="ListParagraph"/>
        <w:numPr>
          <w:ilvl w:val="0"/>
          <w:numId w:val="5"/>
        </w:numPr>
        <w:tabs>
          <w:tab w:pos="1184" w:val="left" w:leader="none"/>
        </w:tabs>
        <w:spacing w:line="240" w:lineRule="auto" w:before="121" w:after="0"/>
        <w:ind w:left="1183" w:right="1136" w:hanging="284"/>
        <w:jc w:val="left"/>
        <w:rPr>
          <w:rFonts w:ascii="Symbol" w:hAnsi="Symbol"/>
          <w:color w:val="404040"/>
          <w:sz w:val="20"/>
        </w:rPr>
      </w:pPr>
      <w:r>
        <w:rPr>
          <w:color w:val="404040"/>
          <w:sz w:val="20"/>
        </w:rPr>
        <w:t>The total projected numbers of people from the June 2018 valuation (the red and orange bars), are generally significantly lower than the projections from the previous June 2017 valuation (the black / grey outline bars). This is reflective of the recent decrease in entries and increase in exits, which will act to reduce</w:t>
      </w:r>
      <w:r>
        <w:rPr>
          <w:color w:val="404040"/>
          <w:spacing w:val="-4"/>
          <w:sz w:val="20"/>
        </w:rPr>
        <w:t> </w:t>
      </w:r>
      <w:r>
        <w:rPr>
          <w:color w:val="404040"/>
          <w:sz w:val="20"/>
        </w:rPr>
        <w:t>the</w:t>
      </w:r>
      <w:r>
        <w:rPr>
          <w:color w:val="404040"/>
          <w:spacing w:val="-4"/>
          <w:sz w:val="20"/>
        </w:rPr>
        <w:t> </w:t>
      </w:r>
      <w:r>
        <w:rPr>
          <w:color w:val="404040"/>
          <w:sz w:val="20"/>
        </w:rPr>
        <w:t>total</w:t>
      </w:r>
      <w:r>
        <w:rPr>
          <w:color w:val="404040"/>
          <w:spacing w:val="-5"/>
          <w:sz w:val="20"/>
        </w:rPr>
        <w:t> </w:t>
      </w:r>
      <w:r>
        <w:rPr>
          <w:color w:val="404040"/>
          <w:sz w:val="20"/>
        </w:rPr>
        <w:t>number</w:t>
      </w:r>
      <w:r>
        <w:rPr>
          <w:color w:val="404040"/>
          <w:spacing w:val="-2"/>
          <w:sz w:val="20"/>
        </w:rPr>
        <w:t> </w:t>
      </w:r>
      <w:r>
        <w:rPr>
          <w:color w:val="404040"/>
          <w:sz w:val="20"/>
        </w:rPr>
        <w:t>of</w:t>
      </w:r>
      <w:r>
        <w:rPr>
          <w:color w:val="404040"/>
          <w:spacing w:val="-2"/>
          <w:sz w:val="20"/>
        </w:rPr>
        <w:t> </w:t>
      </w:r>
      <w:r>
        <w:rPr>
          <w:color w:val="404040"/>
          <w:sz w:val="20"/>
        </w:rPr>
        <w:t>welfare</w:t>
      </w:r>
      <w:r>
        <w:rPr>
          <w:color w:val="404040"/>
          <w:spacing w:val="-4"/>
          <w:sz w:val="20"/>
        </w:rPr>
        <w:t> </w:t>
      </w:r>
      <w:r>
        <w:rPr>
          <w:color w:val="404040"/>
          <w:sz w:val="20"/>
        </w:rPr>
        <w:t>recipients</w:t>
      </w:r>
      <w:r>
        <w:rPr>
          <w:color w:val="404040"/>
          <w:spacing w:val="-3"/>
          <w:sz w:val="20"/>
        </w:rPr>
        <w:t> </w:t>
      </w:r>
      <w:r>
        <w:rPr>
          <w:color w:val="404040"/>
          <w:sz w:val="20"/>
        </w:rPr>
        <w:t>if</w:t>
      </w:r>
      <w:r>
        <w:rPr>
          <w:color w:val="404040"/>
          <w:spacing w:val="-1"/>
          <w:sz w:val="20"/>
        </w:rPr>
        <w:t> </w:t>
      </w:r>
      <w:r>
        <w:rPr>
          <w:color w:val="404040"/>
          <w:sz w:val="20"/>
        </w:rPr>
        <w:t>this experience</w:t>
      </w:r>
      <w:r>
        <w:rPr>
          <w:color w:val="404040"/>
          <w:spacing w:val="-4"/>
          <w:sz w:val="20"/>
        </w:rPr>
        <w:t> </w:t>
      </w:r>
      <w:r>
        <w:rPr>
          <w:color w:val="404040"/>
          <w:sz w:val="20"/>
        </w:rPr>
        <w:t>continues.</w:t>
      </w:r>
      <w:r>
        <w:rPr>
          <w:color w:val="404040"/>
          <w:spacing w:val="-4"/>
          <w:sz w:val="20"/>
        </w:rPr>
        <w:t> </w:t>
      </w:r>
      <w:r>
        <w:rPr>
          <w:color w:val="404040"/>
          <w:sz w:val="20"/>
        </w:rPr>
        <w:t>The</w:t>
      </w:r>
      <w:r>
        <w:rPr>
          <w:color w:val="404040"/>
          <w:spacing w:val="-3"/>
          <w:sz w:val="20"/>
        </w:rPr>
        <w:t> </w:t>
      </w:r>
      <w:r>
        <w:rPr>
          <w:color w:val="404040"/>
          <w:sz w:val="20"/>
        </w:rPr>
        <w:t>decrease</w:t>
      </w:r>
      <w:r>
        <w:rPr>
          <w:color w:val="404040"/>
          <w:spacing w:val="-4"/>
          <w:sz w:val="20"/>
        </w:rPr>
        <w:t> </w:t>
      </w:r>
      <w:r>
        <w:rPr>
          <w:color w:val="404040"/>
          <w:sz w:val="20"/>
        </w:rPr>
        <w:t>is</w:t>
      </w:r>
      <w:r>
        <w:rPr>
          <w:color w:val="404040"/>
          <w:spacing w:val="-3"/>
          <w:sz w:val="20"/>
        </w:rPr>
        <w:t> </w:t>
      </w:r>
      <w:r>
        <w:rPr>
          <w:color w:val="404040"/>
          <w:sz w:val="20"/>
        </w:rPr>
        <w:t>a</w:t>
      </w:r>
      <w:r>
        <w:rPr>
          <w:color w:val="404040"/>
          <w:spacing w:val="-4"/>
          <w:sz w:val="20"/>
        </w:rPr>
        <w:t> </w:t>
      </w:r>
      <w:r>
        <w:rPr>
          <w:color w:val="404040"/>
          <w:sz w:val="20"/>
        </w:rPr>
        <w:t>continuation</w:t>
      </w:r>
      <w:r>
        <w:rPr>
          <w:color w:val="404040"/>
          <w:spacing w:val="-3"/>
          <w:sz w:val="20"/>
        </w:rPr>
        <w:t> </w:t>
      </w:r>
      <w:r>
        <w:rPr>
          <w:color w:val="404040"/>
          <w:sz w:val="20"/>
        </w:rPr>
        <w:t>of the decreasing trend seen at the last</w:t>
      </w:r>
      <w:r>
        <w:rPr>
          <w:color w:val="404040"/>
          <w:spacing w:val="-7"/>
          <w:sz w:val="20"/>
        </w:rPr>
        <w:t> </w:t>
      </w:r>
      <w:r>
        <w:rPr>
          <w:color w:val="404040"/>
          <w:sz w:val="20"/>
        </w:rPr>
        <w:t>valuation.</w:t>
      </w:r>
    </w:p>
    <w:p>
      <w:pPr>
        <w:pStyle w:val="ListParagraph"/>
        <w:numPr>
          <w:ilvl w:val="0"/>
          <w:numId w:val="5"/>
        </w:numPr>
        <w:tabs>
          <w:tab w:pos="1184" w:val="left" w:leader="none"/>
        </w:tabs>
        <w:spacing w:line="240" w:lineRule="auto" w:before="119" w:after="0"/>
        <w:ind w:left="1183" w:right="1033" w:hanging="284"/>
        <w:jc w:val="left"/>
        <w:rPr>
          <w:rFonts w:ascii="Symbol" w:hAnsi="Symbol"/>
          <w:color w:val="404040"/>
          <w:sz w:val="20"/>
        </w:rPr>
      </w:pPr>
      <w:r>
        <w:rPr>
          <w:color w:val="404040"/>
          <w:sz w:val="20"/>
        </w:rPr>
        <w:t>In particular, decreases in the projection can be seen for the Working Age, Parents, Disability Support and Pension Age classes, relative to the June 2017 projection. This is reflective of the significant decrease in entries observed over the last year. While decreases appear more modest in the Carers and Disability Support</w:t>
      </w:r>
      <w:r>
        <w:rPr>
          <w:color w:val="404040"/>
          <w:spacing w:val="-4"/>
          <w:sz w:val="20"/>
        </w:rPr>
        <w:t> </w:t>
      </w:r>
      <w:r>
        <w:rPr>
          <w:color w:val="404040"/>
          <w:sz w:val="20"/>
        </w:rPr>
        <w:t>classes,</w:t>
      </w:r>
      <w:r>
        <w:rPr>
          <w:color w:val="404040"/>
          <w:spacing w:val="-3"/>
          <w:sz w:val="20"/>
        </w:rPr>
        <w:t> </w:t>
      </w:r>
      <w:r>
        <w:rPr>
          <w:color w:val="404040"/>
          <w:sz w:val="20"/>
        </w:rPr>
        <w:t>these</w:t>
      </w:r>
      <w:r>
        <w:rPr>
          <w:color w:val="404040"/>
          <w:spacing w:val="-3"/>
          <w:sz w:val="20"/>
        </w:rPr>
        <w:t> </w:t>
      </w:r>
      <w:r>
        <w:rPr>
          <w:color w:val="404040"/>
          <w:sz w:val="20"/>
        </w:rPr>
        <w:t>still</w:t>
      </w:r>
      <w:r>
        <w:rPr>
          <w:color w:val="404040"/>
          <w:spacing w:val="-2"/>
          <w:sz w:val="20"/>
        </w:rPr>
        <w:t> </w:t>
      </w:r>
      <w:r>
        <w:rPr>
          <w:color w:val="404040"/>
          <w:sz w:val="20"/>
        </w:rPr>
        <w:t>translate</w:t>
      </w:r>
      <w:r>
        <w:rPr>
          <w:color w:val="404040"/>
          <w:spacing w:val="-3"/>
          <w:sz w:val="20"/>
        </w:rPr>
        <w:t> </w:t>
      </w:r>
      <w:r>
        <w:rPr>
          <w:color w:val="404040"/>
          <w:sz w:val="20"/>
        </w:rPr>
        <w:t>to</w:t>
      </w:r>
      <w:r>
        <w:rPr>
          <w:color w:val="404040"/>
          <w:spacing w:val="-1"/>
          <w:sz w:val="20"/>
        </w:rPr>
        <w:t> </w:t>
      </w:r>
      <w:r>
        <w:rPr>
          <w:color w:val="404040"/>
          <w:sz w:val="20"/>
        </w:rPr>
        <w:t>large</w:t>
      </w:r>
      <w:r>
        <w:rPr>
          <w:color w:val="404040"/>
          <w:spacing w:val="-3"/>
          <w:sz w:val="20"/>
        </w:rPr>
        <w:t> </w:t>
      </w:r>
      <w:r>
        <w:rPr>
          <w:color w:val="404040"/>
          <w:sz w:val="20"/>
        </w:rPr>
        <w:t>decreases</w:t>
      </w:r>
      <w:r>
        <w:rPr>
          <w:color w:val="404040"/>
          <w:spacing w:val="-2"/>
          <w:sz w:val="20"/>
        </w:rPr>
        <w:t> </w:t>
      </w:r>
      <w:r>
        <w:rPr>
          <w:color w:val="404040"/>
          <w:sz w:val="20"/>
        </w:rPr>
        <w:t>in</w:t>
      </w:r>
      <w:r>
        <w:rPr>
          <w:color w:val="404040"/>
          <w:spacing w:val="-3"/>
          <w:sz w:val="20"/>
        </w:rPr>
        <w:t> </w:t>
      </w:r>
      <w:r>
        <w:rPr>
          <w:color w:val="404040"/>
          <w:sz w:val="20"/>
        </w:rPr>
        <w:t>the</w:t>
      </w:r>
      <w:r>
        <w:rPr>
          <w:color w:val="404040"/>
          <w:spacing w:val="-3"/>
          <w:sz w:val="20"/>
        </w:rPr>
        <w:t> </w:t>
      </w:r>
      <w:r>
        <w:rPr>
          <w:color w:val="404040"/>
          <w:sz w:val="20"/>
        </w:rPr>
        <w:t>lifetime</w:t>
      </w:r>
      <w:r>
        <w:rPr>
          <w:color w:val="404040"/>
          <w:spacing w:val="-3"/>
          <w:sz w:val="20"/>
        </w:rPr>
        <w:t> </w:t>
      </w:r>
      <w:r>
        <w:rPr>
          <w:color w:val="404040"/>
          <w:sz w:val="20"/>
        </w:rPr>
        <w:t>cost</w:t>
      </w:r>
      <w:r>
        <w:rPr>
          <w:color w:val="404040"/>
          <w:spacing w:val="-3"/>
          <w:sz w:val="20"/>
        </w:rPr>
        <w:t> </w:t>
      </w:r>
      <w:r>
        <w:rPr>
          <w:color w:val="404040"/>
          <w:sz w:val="20"/>
        </w:rPr>
        <w:t>due</w:t>
      </w:r>
      <w:r>
        <w:rPr>
          <w:color w:val="404040"/>
          <w:spacing w:val="-3"/>
          <w:sz w:val="20"/>
        </w:rPr>
        <w:t> </w:t>
      </w:r>
      <w:r>
        <w:rPr>
          <w:color w:val="404040"/>
          <w:sz w:val="20"/>
        </w:rPr>
        <w:t>to</w:t>
      </w:r>
      <w:r>
        <w:rPr>
          <w:color w:val="404040"/>
          <w:spacing w:val="-1"/>
          <w:sz w:val="20"/>
        </w:rPr>
        <w:t> </w:t>
      </w:r>
      <w:r>
        <w:rPr>
          <w:color w:val="404040"/>
          <w:sz w:val="20"/>
        </w:rPr>
        <w:t>the</w:t>
      </w:r>
      <w:r>
        <w:rPr>
          <w:color w:val="404040"/>
          <w:spacing w:val="-3"/>
          <w:sz w:val="20"/>
        </w:rPr>
        <w:t> </w:t>
      </w:r>
      <w:r>
        <w:rPr>
          <w:color w:val="404040"/>
          <w:sz w:val="20"/>
        </w:rPr>
        <w:t>high</w:t>
      </w:r>
      <w:r>
        <w:rPr>
          <w:color w:val="404040"/>
          <w:spacing w:val="-3"/>
          <w:sz w:val="20"/>
        </w:rPr>
        <w:t> </w:t>
      </w:r>
      <w:r>
        <w:rPr>
          <w:color w:val="404040"/>
          <w:sz w:val="20"/>
        </w:rPr>
        <w:t>expected</w:t>
      </w:r>
      <w:r>
        <w:rPr>
          <w:color w:val="404040"/>
          <w:spacing w:val="-3"/>
          <w:sz w:val="20"/>
        </w:rPr>
        <w:t> </w:t>
      </w:r>
      <w:r>
        <w:rPr>
          <w:color w:val="404040"/>
          <w:sz w:val="20"/>
        </w:rPr>
        <w:t>duration on payments for people in these</w:t>
      </w:r>
      <w:r>
        <w:rPr>
          <w:color w:val="404040"/>
          <w:spacing w:val="-3"/>
          <w:sz w:val="20"/>
        </w:rPr>
        <w:t> </w:t>
      </w:r>
      <w:r>
        <w:rPr>
          <w:color w:val="404040"/>
          <w:sz w:val="20"/>
        </w:rPr>
        <w:t>classes.</w:t>
      </w:r>
    </w:p>
    <w:p>
      <w:pPr>
        <w:spacing w:after="0" w:line="240" w:lineRule="auto"/>
        <w:jc w:val="left"/>
        <w:rPr>
          <w:rFonts w:ascii="Symbol" w:hAnsi="Symbol"/>
          <w:sz w:val="20"/>
        </w:rPr>
        <w:sectPr>
          <w:type w:val="continuous"/>
          <w:pgSz w:w="11910" w:h="16850"/>
          <w:pgMar w:top="1600" w:bottom="280" w:left="120" w:right="0"/>
        </w:sectPr>
      </w:pPr>
    </w:p>
    <w:p>
      <w:pPr>
        <w:pStyle w:val="BodyText"/>
      </w:pPr>
    </w:p>
    <w:p>
      <w:pPr>
        <w:pStyle w:val="BodyText"/>
      </w:pPr>
    </w:p>
    <w:p>
      <w:pPr>
        <w:pStyle w:val="BodyText"/>
      </w:pPr>
    </w:p>
    <w:p>
      <w:pPr>
        <w:pStyle w:val="BodyText"/>
        <w:spacing w:before="6"/>
        <w:rPr>
          <w:sz w:val="25"/>
        </w:rPr>
      </w:pPr>
    </w:p>
    <w:p>
      <w:pPr>
        <w:pStyle w:val="ListParagraph"/>
        <w:numPr>
          <w:ilvl w:val="0"/>
          <w:numId w:val="5"/>
        </w:numPr>
        <w:tabs>
          <w:tab w:pos="1184" w:val="left" w:leader="none"/>
        </w:tabs>
        <w:spacing w:line="240" w:lineRule="auto" w:before="100" w:after="0"/>
        <w:ind w:left="1183" w:right="1086" w:hanging="284"/>
        <w:jc w:val="left"/>
        <w:rPr>
          <w:rFonts w:ascii="Symbol" w:hAnsi="Symbol"/>
          <w:color w:val="404040"/>
          <w:sz w:val="20"/>
        </w:rPr>
      </w:pPr>
      <w:r>
        <w:rPr>
          <w:color w:val="404040"/>
          <w:sz w:val="20"/>
        </w:rPr>
        <w:t>Despite the decrease noted above, the number of </w:t>
      </w:r>
      <w:r>
        <w:rPr>
          <w:b/>
          <w:color w:val="404040"/>
          <w:sz w:val="20"/>
        </w:rPr>
        <w:t>Age Pensioners </w:t>
      </w:r>
      <w:r>
        <w:rPr>
          <w:color w:val="404040"/>
          <w:sz w:val="20"/>
        </w:rPr>
        <w:t>is still projected to increase, although at a lower rate than was expected based on the June 2017 valuation. This increase reflects the increasing population of people of age pension age as a result of improved longevity. This is being partially offset by the impact of the increase in the Age Pension age from 65 to 67, starting from 1 July 2017 – by itself this change in Age Pension age would act to decrease the number of people in this</w:t>
      </w:r>
      <w:r>
        <w:rPr>
          <w:color w:val="404040"/>
          <w:spacing w:val="-9"/>
          <w:sz w:val="20"/>
        </w:rPr>
        <w:t> </w:t>
      </w:r>
      <w:r>
        <w:rPr>
          <w:color w:val="404040"/>
          <w:sz w:val="20"/>
        </w:rPr>
        <w:t>class.</w:t>
      </w:r>
    </w:p>
    <w:p>
      <w:pPr>
        <w:pStyle w:val="ListParagraph"/>
        <w:numPr>
          <w:ilvl w:val="0"/>
          <w:numId w:val="5"/>
        </w:numPr>
        <w:tabs>
          <w:tab w:pos="1184" w:val="left" w:leader="none"/>
        </w:tabs>
        <w:spacing w:line="240" w:lineRule="auto" w:before="119" w:after="0"/>
        <w:ind w:left="1183" w:right="1186" w:hanging="284"/>
        <w:jc w:val="left"/>
        <w:rPr>
          <w:rFonts w:ascii="Symbol" w:hAnsi="Symbol"/>
          <w:color w:val="404040"/>
          <w:sz w:val="20"/>
        </w:rPr>
      </w:pPr>
      <w:r>
        <w:rPr>
          <w:color w:val="404040"/>
          <w:sz w:val="20"/>
        </w:rPr>
        <w:t>The number of people in the </w:t>
      </w:r>
      <w:r>
        <w:rPr>
          <w:b/>
          <w:color w:val="404040"/>
          <w:sz w:val="20"/>
        </w:rPr>
        <w:t>Carers </w:t>
      </w:r>
      <w:r>
        <w:rPr>
          <w:color w:val="404040"/>
          <w:sz w:val="20"/>
        </w:rPr>
        <w:t>class has been growing from year to year and we expect this to continue in the future. As the population ages and there are a higher number of older people needing care, there </w:t>
      </w:r>
      <w:r>
        <w:rPr>
          <w:color w:val="404040"/>
          <w:spacing w:val="2"/>
          <w:sz w:val="20"/>
        </w:rPr>
        <w:t>may </w:t>
      </w:r>
      <w:r>
        <w:rPr>
          <w:color w:val="404040"/>
          <w:sz w:val="20"/>
        </w:rPr>
        <w:t>be more demand for this payment. Note also that this class includes a group of people over pension age who </w:t>
      </w:r>
      <w:r>
        <w:rPr>
          <w:color w:val="404040"/>
          <w:spacing w:val="2"/>
          <w:sz w:val="20"/>
        </w:rPr>
        <w:t>may </w:t>
      </w:r>
      <w:r>
        <w:rPr>
          <w:color w:val="404040"/>
          <w:sz w:val="20"/>
        </w:rPr>
        <w:t>be caring for ageing</w:t>
      </w:r>
      <w:r>
        <w:rPr>
          <w:color w:val="404040"/>
          <w:spacing w:val="-10"/>
          <w:sz w:val="20"/>
        </w:rPr>
        <w:t> </w:t>
      </w:r>
      <w:r>
        <w:rPr>
          <w:color w:val="404040"/>
          <w:sz w:val="20"/>
        </w:rPr>
        <w:t>partners.</w:t>
      </w:r>
    </w:p>
    <w:p>
      <w:pPr>
        <w:pStyle w:val="ListParagraph"/>
        <w:numPr>
          <w:ilvl w:val="0"/>
          <w:numId w:val="5"/>
        </w:numPr>
        <w:tabs>
          <w:tab w:pos="1184" w:val="left" w:leader="none"/>
        </w:tabs>
        <w:spacing w:line="240" w:lineRule="auto" w:before="119" w:after="0"/>
        <w:ind w:left="1183" w:right="1578" w:hanging="284"/>
        <w:jc w:val="left"/>
        <w:rPr>
          <w:rFonts w:ascii="Symbol" w:hAnsi="Symbol"/>
          <w:color w:val="404040"/>
          <w:sz w:val="20"/>
        </w:rPr>
      </w:pPr>
      <w:r>
        <w:rPr>
          <w:color w:val="404040"/>
          <w:sz w:val="20"/>
        </w:rPr>
        <w:t>The number of people in the </w:t>
      </w:r>
      <w:r>
        <w:rPr>
          <w:b/>
          <w:color w:val="404040"/>
          <w:sz w:val="20"/>
        </w:rPr>
        <w:t>Working Age </w:t>
      </w:r>
      <w:r>
        <w:rPr>
          <w:color w:val="404040"/>
          <w:sz w:val="20"/>
        </w:rPr>
        <w:t>class is projected to remain fairly stable over this period, although</w:t>
      </w:r>
      <w:r>
        <w:rPr>
          <w:color w:val="404040"/>
          <w:spacing w:val="-5"/>
          <w:sz w:val="20"/>
        </w:rPr>
        <w:t> </w:t>
      </w:r>
      <w:r>
        <w:rPr>
          <w:color w:val="404040"/>
          <w:sz w:val="20"/>
        </w:rPr>
        <w:t>at</w:t>
      </w:r>
      <w:r>
        <w:rPr>
          <w:color w:val="404040"/>
          <w:spacing w:val="-2"/>
          <w:sz w:val="20"/>
        </w:rPr>
        <w:t> </w:t>
      </w:r>
      <w:r>
        <w:rPr>
          <w:color w:val="404040"/>
          <w:sz w:val="20"/>
        </w:rPr>
        <w:t>a</w:t>
      </w:r>
      <w:r>
        <w:rPr>
          <w:color w:val="404040"/>
          <w:spacing w:val="-2"/>
          <w:sz w:val="20"/>
        </w:rPr>
        <w:t> </w:t>
      </w:r>
      <w:r>
        <w:rPr>
          <w:color w:val="404040"/>
          <w:sz w:val="20"/>
        </w:rPr>
        <w:t>lower</w:t>
      </w:r>
      <w:r>
        <w:rPr>
          <w:color w:val="404040"/>
          <w:spacing w:val="-1"/>
          <w:sz w:val="20"/>
        </w:rPr>
        <w:t> </w:t>
      </w:r>
      <w:r>
        <w:rPr>
          <w:color w:val="404040"/>
          <w:sz w:val="20"/>
        </w:rPr>
        <w:t>level</w:t>
      </w:r>
      <w:r>
        <w:rPr>
          <w:color w:val="404040"/>
          <w:spacing w:val="-5"/>
          <w:sz w:val="20"/>
        </w:rPr>
        <w:t> </w:t>
      </w:r>
      <w:r>
        <w:rPr>
          <w:color w:val="404040"/>
          <w:sz w:val="20"/>
        </w:rPr>
        <w:t>than</w:t>
      </w:r>
      <w:r>
        <w:rPr>
          <w:color w:val="404040"/>
          <w:spacing w:val="-2"/>
          <w:sz w:val="20"/>
        </w:rPr>
        <w:t> </w:t>
      </w:r>
      <w:r>
        <w:rPr>
          <w:color w:val="404040"/>
          <w:sz w:val="20"/>
        </w:rPr>
        <w:t>was</w:t>
      </w:r>
      <w:r>
        <w:rPr>
          <w:color w:val="404040"/>
          <w:spacing w:val="-3"/>
          <w:sz w:val="20"/>
        </w:rPr>
        <w:t> </w:t>
      </w:r>
      <w:r>
        <w:rPr>
          <w:color w:val="404040"/>
          <w:sz w:val="20"/>
        </w:rPr>
        <w:t>seen</w:t>
      </w:r>
      <w:r>
        <w:rPr>
          <w:color w:val="404040"/>
          <w:spacing w:val="-2"/>
          <w:sz w:val="20"/>
        </w:rPr>
        <w:t> </w:t>
      </w:r>
      <w:r>
        <w:rPr>
          <w:color w:val="404040"/>
          <w:sz w:val="20"/>
        </w:rPr>
        <w:t>last year</w:t>
      </w:r>
      <w:r>
        <w:rPr>
          <w:color w:val="404040"/>
          <w:spacing w:val="-3"/>
          <w:sz w:val="20"/>
        </w:rPr>
        <w:t> </w:t>
      </w:r>
      <w:r>
        <w:rPr>
          <w:color w:val="404040"/>
          <w:sz w:val="20"/>
        </w:rPr>
        <w:t>following</w:t>
      </w:r>
      <w:r>
        <w:rPr>
          <w:color w:val="404040"/>
          <w:spacing w:val="-2"/>
          <w:sz w:val="20"/>
        </w:rPr>
        <w:t> </w:t>
      </w:r>
      <w:r>
        <w:rPr>
          <w:color w:val="404040"/>
          <w:sz w:val="20"/>
        </w:rPr>
        <w:t>a</w:t>
      </w:r>
      <w:r>
        <w:rPr>
          <w:color w:val="404040"/>
          <w:spacing w:val="-4"/>
          <w:sz w:val="20"/>
        </w:rPr>
        <w:t> </w:t>
      </w:r>
      <w:r>
        <w:rPr>
          <w:color w:val="404040"/>
          <w:sz w:val="20"/>
        </w:rPr>
        <w:t>reduction</w:t>
      </w:r>
      <w:r>
        <w:rPr>
          <w:color w:val="404040"/>
          <w:spacing w:val="-2"/>
          <w:sz w:val="20"/>
        </w:rPr>
        <w:t> </w:t>
      </w:r>
      <w:r>
        <w:rPr>
          <w:color w:val="404040"/>
          <w:sz w:val="20"/>
        </w:rPr>
        <w:t>in</w:t>
      </w:r>
      <w:r>
        <w:rPr>
          <w:color w:val="404040"/>
          <w:spacing w:val="-4"/>
          <w:sz w:val="20"/>
        </w:rPr>
        <w:t> </w:t>
      </w:r>
      <w:r>
        <w:rPr>
          <w:color w:val="404040"/>
          <w:sz w:val="20"/>
        </w:rPr>
        <w:t>class</w:t>
      </w:r>
      <w:r>
        <w:rPr>
          <w:color w:val="404040"/>
          <w:spacing w:val="-3"/>
          <w:sz w:val="20"/>
        </w:rPr>
        <w:t> </w:t>
      </w:r>
      <w:r>
        <w:rPr>
          <w:color w:val="404040"/>
          <w:sz w:val="20"/>
        </w:rPr>
        <w:t>numbers</w:t>
      </w:r>
      <w:r>
        <w:rPr>
          <w:color w:val="404040"/>
          <w:spacing w:val="-3"/>
          <w:sz w:val="20"/>
        </w:rPr>
        <w:t> </w:t>
      </w:r>
      <w:r>
        <w:rPr>
          <w:color w:val="404040"/>
          <w:sz w:val="20"/>
        </w:rPr>
        <w:t>over</w:t>
      </w:r>
      <w:r>
        <w:rPr>
          <w:color w:val="404040"/>
          <w:spacing w:val="-3"/>
          <w:sz w:val="20"/>
        </w:rPr>
        <w:t> </w:t>
      </w:r>
      <w:r>
        <w:rPr>
          <w:color w:val="404040"/>
          <w:sz w:val="20"/>
        </w:rPr>
        <w:t>2017/18.</w:t>
      </w:r>
    </w:p>
    <w:p>
      <w:pPr>
        <w:pStyle w:val="ListParagraph"/>
        <w:numPr>
          <w:ilvl w:val="0"/>
          <w:numId w:val="5"/>
        </w:numPr>
        <w:tabs>
          <w:tab w:pos="1184" w:val="left" w:leader="none"/>
        </w:tabs>
        <w:spacing w:line="240" w:lineRule="auto" w:before="118" w:after="0"/>
        <w:ind w:left="1183" w:right="1364" w:hanging="284"/>
        <w:jc w:val="left"/>
        <w:rPr>
          <w:rFonts w:ascii="Symbol" w:hAnsi="Symbol"/>
          <w:color w:val="404040"/>
          <w:sz w:val="20"/>
        </w:rPr>
      </w:pPr>
      <w:r>
        <w:rPr>
          <w:color w:val="404040"/>
          <w:sz w:val="20"/>
        </w:rPr>
        <w:t>The number of people in the </w:t>
      </w:r>
      <w:r>
        <w:rPr>
          <w:b/>
          <w:color w:val="404040"/>
          <w:sz w:val="20"/>
        </w:rPr>
        <w:t>Studying </w:t>
      </w:r>
      <w:r>
        <w:rPr>
          <w:color w:val="404040"/>
          <w:sz w:val="20"/>
        </w:rPr>
        <w:t>class is expected to reduce as there are fewer people in their late teens and early 20s today than was the case in the recent</w:t>
      </w:r>
      <w:r>
        <w:rPr>
          <w:color w:val="404040"/>
          <w:spacing w:val="-10"/>
          <w:sz w:val="20"/>
        </w:rPr>
        <w:t> </w:t>
      </w:r>
      <w:r>
        <w:rPr>
          <w:color w:val="404040"/>
          <w:sz w:val="20"/>
        </w:rPr>
        <w:t>past.</w:t>
      </w:r>
    </w:p>
    <w:p>
      <w:pPr>
        <w:pStyle w:val="ListParagraph"/>
        <w:numPr>
          <w:ilvl w:val="0"/>
          <w:numId w:val="5"/>
        </w:numPr>
        <w:tabs>
          <w:tab w:pos="1185" w:val="left" w:leader="none"/>
        </w:tabs>
        <w:spacing w:line="240" w:lineRule="auto" w:before="118" w:after="0"/>
        <w:ind w:left="1184" w:right="1078" w:hanging="284"/>
        <w:jc w:val="left"/>
        <w:rPr>
          <w:rFonts w:ascii="Symbol" w:hAnsi="Symbol"/>
          <w:color w:val="404040"/>
          <w:sz w:val="20"/>
        </w:rPr>
      </w:pPr>
      <w:r>
        <w:rPr>
          <w:color w:val="404040"/>
          <w:sz w:val="20"/>
        </w:rPr>
        <w:t>The number of people in the </w:t>
      </w:r>
      <w:r>
        <w:rPr>
          <w:b/>
          <w:color w:val="404040"/>
          <w:sz w:val="20"/>
        </w:rPr>
        <w:t>Non IS Other </w:t>
      </w:r>
      <w:r>
        <w:rPr>
          <w:color w:val="404040"/>
          <w:sz w:val="20"/>
        </w:rPr>
        <w:t>class increased in June 2018 following a large movement from the pension age class to the Non IS Other class as a result of the changes in eligibility relating to the pension assets test. The projection then shows decreasing numbers over the period. This is largely driven by</w:t>
      </w:r>
      <w:r>
        <w:rPr>
          <w:color w:val="404040"/>
          <w:spacing w:val="-7"/>
          <w:sz w:val="20"/>
        </w:rPr>
        <w:t> </w:t>
      </w:r>
      <w:r>
        <w:rPr>
          <w:color w:val="404040"/>
          <w:sz w:val="20"/>
        </w:rPr>
        <w:t>the</w:t>
      </w:r>
      <w:r>
        <w:rPr>
          <w:color w:val="404040"/>
          <w:spacing w:val="-4"/>
          <w:sz w:val="20"/>
        </w:rPr>
        <w:t> </w:t>
      </w:r>
      <w:r>
        <w:rPr>
          <w:color w:val="404040"/>
          <w:sz w:val="20"/>
        </w:rPr>
        <w:t>closure</w:t>
      </w:r>
      <w:r>
        <w:rPr>
          <w:color w:val="404040"/>
          <w:spacing w:val="-4"/>
          <w:sz w:val="20"/>
        </w:rPr>
        <w:t> </w:t>
      </w:r>
      <w:r>
        <w:rPr>
          <w:color w:val="404040"/>
          <w:sz w:val="20"/>
        </w:rPr>
        <w:t>of</w:t>
      </w:r>
      <w:r>
        <w:rPr>
          <w:color w:val="404040"/>
          <w:spacing w:val="-1"/>
          <w:sz w:val="20"/>
        </w:rPr>
        <w:t> </w:t>
      </w:r>
      <w:r>
        <w:rPr>
          <w:color w:val="404040"/>
          <w:sz w:val="20"/>
        </w:rPr>
        <w:t>carbon</w:t>
      </w:r>
      <w:r>
        <w:rPr>
          <w:color w:val="404040"/>
          <w:spacing w:val="-2"/>
          <w:sz w:val="20"/>
        </w:rPr>
        <w:t> </w:t>
      </w:r>
      <w:r>
        <w:rPr>
          <w:color w:val="404040"/>
          <w:sz w:val="20"/>
        </w:rPr>
        <w:t>tax</w:t>
      </w:r>
      <w:r>
        <w:rPr>
          <w:color w:val="404040"/>
          <w:spacing w:val="-3"/>
          <w:sz w:val="20"/>
        </w:rPr>
        <w:t> </w:t>
      </w:r>
      <w:r>
        <w:rPr>
          <w:color w:val="404040"/>
          <w:sz w:val="20"/>
        </w:rPr>
        <w:t>compensation</w:t>
      </w:r>
      <w:r>
        <w:rPr>
          <w:color w:val="404040"/>
          <w:spacing w:val="-4"/>
          <w:sz w:val="20"/>
        </w:rPr>
        <w:t> </w:t>
      </w:r>
      <w:r>
        <w:rPr>
          <w:color w:val="404040"/>
          <w:sz w:val="20"/>
        </w:rPr>
        <w:t>to</w:t>
      </w:r>
      <w:r>
        <w:rPr>
          <w:color w:val="404040"/>
          <w:spacing w:val="-2"/>
          <w:sz w:val="20"/>
        </w:rPr>
        <w:t> </w:t>
      </w:r>
      <w:r>
        <w:rPr>
          <w:color w:val="404040"/>
          <w:sz w:val="20"/>
        </w:rPr>
        <w:t>new</w:t>
      </w:r>
      <w:r>
        <w:rPr>
          <w:color w:val="404040"/>
          <w:spacing w:val="-4"/>
          <w:sz w:val="20"/>
        </w:rPr>
        <w:t> </w:t>
      </w:r>
      <w:r>
        <w:rPr>
          <w:color w:val="404040"/>
          <w:sz w:val="20"/>
        </w:rPr>
        <w:t>recipients</w:t>
      </w:r>
      <w:r>
        <w:rPr>
          <w:color w:val="404040"/>
          <w:spacing w:val="-2"/>
          <w:sz w:val="20"/>
        </w:rPr>
        <w:t> </w:t>
      </w:r>
      <w:r>
        <w:rPr>
          <w:color w:val="404040"/>
          <w:sz w:val="20"/>
        </w:rPr>
        <w:t>of</w:t>
      </w:r>
      <w:r>
        <w:rPr>
          <w:color w:val="404040"/>
          <w:spacing w:val="-2"/>
          <w:sz w:val="20"/>
        </w:rPr>
        <w:t> </w:t>
      </w:r>
      <w:r>
        <w:rPr>
          <w:color w:val="404040"/>
          <w:sz w:val="20"/>
        </w:rPr>
        <w:t>concession</w:t>
      </w:r>
      <w:r>
        <w:rPr>
          <w:color w:val="404040"/>
          <w:spacing w:val="-4"/>
          <w:sz w:val="20"/>
        </w:rPr>
        <w:t> </w:t>
      </w:r>
      <w:r>
        <w:rPr>
          <w:color w:val="404040"/>
          <w:sz w:val="20"/>
        </w:rPr>
        <w:t>cards from</w:t>
      </w:r>
      <w:r>
        <w:rPr>
          <w:color w:val="404040"/>
          <w:spacing w:val="1"/>
          <w:sz w:val="20"/>
        </w:rPr>
        <w:t> </w:t>
      </w:r>
      <w:r>
        <w:rPr>
          <w:color w:val="404040"/>
          <w:sz w:val="20"/>
        </w:rPr>
        <w:t>March</w:t>
      </w:r>
      <w:r>
        <w:rPr>
          <w:color w:val="404040"/>
          <w:spacing w:val="-4"/>
          <w:sz w:val="20"/>
        </w:rPr>
        <w:t> </w:t>
      </w:r>
      <w:r>
        <w:rPr>
          <w:color w:val="404040"/>
          <w:sz w:val="20"/>
        </w:rPr>
        <w:t>2017,</w:t>
      </w:r>
      <w:r>
        <w:rPr>
          <w:color w:val="404040"/>
          <w:spacing w:val="-2"/>
          <w:sz w:val="20"/>
        </w:rPr>
        <w:t> </w:t>
      </w:r>
      <w:r>
        <w:rPr>
          <w:color w:val="404040"/>
          <w:sz w:val="20"/>
        </w:rPr>
        <w:t>which</w:t>
      </w:r>
      <w:r>
        <w:rPr>
          <w:color w:val="404040"/>
          <w:spacing w:val="-1"/>
          <w:sz w:val="20"/>
        </w:rPr>
        <w:t> </w:t>
      </w:r>
      <w:r>
        <w:rPr>
          <w:color w:val="404040"/>
          <w:sz w:val="20"/>
        </w:rPr>
        <w:t>is expected to result in decreased numbers of people above retirement age in Non IS</w:t>
      </w:r>
      <w:r>
        <w:rPr>
          <w:color w:val="404040"/>
          <w:spacing w:val="-16"/>
          <w:sz w:val="20"/>
        </w:rPr>
        <w:t> </w:t>
      </w:r>
      <w:r>
        <w:rPr>
          <w:color w:val="404040"/>
          <w:sz w:val="20"/>
        </w:rPr>
        <w:t>Other.</w:t>
      </w:r>
    </w:p>
    <w:p>
      <w:pPr>
        <w:pStyle w:val="BodyText"/>
        <w:spacing w:before="120"/>
        <w:ind w:left="900" w:right="1008"/>
      </w:pPr>
      <w:r>
        <w:rPr>
          <w:color w:val="404040"/>
        </w:rPr>
        <w:t>We have also updated projected payment size assumptions to allow for updated experience and we have noted the following features from our analysis:</w:t>
      </w:r>
    </w:p>
    <w:p>
      <w:pPr>
        <w:pStyle w:val="ListParagraph"/>
        <w:numPr>
          <w:ilvl w:val="0"/>
          <w:numId w:val="5"/>
        </w:numPr>
        <w:tabs>
          <w:tab w:pos="1185" w:val="left" w:leader="none"/>
        </w:tabs>
        <w:spacing w:line="240" w:lineRule="auto" w:before="117" w:after="0"/>
        <w:ind w:left="1183" w:right="1155" w:hanging="284"/>
        <w:jc w:val="left"/>
        <w:rPr>
          <w:rFonts w:ascii="Symbol" w:hAnsi="Symbol"/>
          <w:sz w:val="20"/>
        </w:rPr>
      </w:pPr>
      <w:r>
        <w:rPr>
          <w:color w:val="404040"/>
          <w:sz w:val="20"/>
        </w:rPr>
        <w:t>The </w:t>
      </w:r>
      <w:r>
        <w:rPr>
          <w:b/>
          <w:color w:val="404040"/>
          <w:sz w:val="20"/>
        </w:rPr>
        <w:t>average FTB payments </w:t>
      </w:r>
      <w:r>
        <w:rPr>
          <w:color w:val="404040"/>
          <w:sz w:val="20"/>
        </w:rPr>
        <w:t>have been gradually decreasing in recent years across a number of classes. This likely in part reflects a number of legislative changes introduced over recent years. There have also been some reductions in </w:t>
      </w:r>
      <w:r>
        <w:rPr>
          <w:b/>
          <w:color w:val="404040"/>
          <w:sz w:val="20"/>
        </w:rPr>
        <w:t>Other Family payments </w:t>
      </w:r>
      <w:r>
        <w:rPr>
          <w:color w:val="404040"/>
          <w:sz w:val="20"/>
        </w:rPr>
        <w:t>over the last three years. However we would expect this to increase again from 1 July 2018 following the introduction of the Child Care</w:t>
      </w:r>
      <w:r>
        <w:rPr>
          <w:color w:val="404040"/>
          <w:spacing w:val="-13"/>
          <w:sz w:val="20"/>
        </w:rPr>
        <w:t> </w:t>
      </w:r>
      <w:r>
        <w:rPr>
          <w:color w:val="404040"/>
          <w:sz w:val="20"/>
        </w:rPr>
        <w:t>Subsidy.</w:t>
      </w:r>
    </w:p>
    <w:p>
      <w:pPr>
        <w:pStyle w:val="ListParagraph"/>
        <w:numPr>
          <w:ilvl w:val="0"/>
          <w:numId w:val="5"/>
        </w:numPr>
        <w:tabs>
          <w:tab w:pos="1185" w:val="left" w:leader="none"/>
        </w:tabs>
        <w:spacing w:line="240" w:lineRule="auto" w:before="119" w:after="0"/>
        <w:ind w:left="1183" w:right="1085" w:hanging="284"/>
        <w:jc w:val="left"/>
        <w:rPr>
          <w:rFonts w:ascii="Symbol" w:hAnsi="Symbol"/>
          <w:sz w:val="20"/>
        </w:rPr>
      </w:pPr>
      <w:r>
        <w:rPr>
          <w:color w:val="404040"/>
          <w:sz w:val="20"/>
        </w:rPr>
        <w:t>The </w:t>
      </w:r>
      <w:r>
        <w:rPr>
          <w:b/>
          <w:color w:val="404040"/>
          <w:sz w:val="20"/>
        </w:rPr>
        <w:t>average rent assistance payments </w:t>
      </w:r>
      <w:r>
        <w:rPr>
          <w:color w:val="404040"/>
          <w:sz w:val="20"/>
        </w:rPr>
        <w:t>have been increasing over the last few years. In part this is because there are less people in receipt of income support, and those who remain in these classes are now more likely to receive rent</w:t>
      </w:r>
      <w:r>
        <w:rPr>
          <w:color w:val="404040"/>
          <w:spacing w:val="-7"/>
          <w:sz w:val="20"/>
        </w:rPr>
        <w:t> </w:t>
      </w:r>
      <w:r>
        <w:rPr>
          <w:color w:val="404040"/>
          <w:sz w:val="20"/>
        </w:rPr>
        <w:t>assistance.</w:t>
      </w:r>
    </w:p>
    <w:p>
      <w:pPr>
        <w:pStyle w:val="BodyText"/>
        <w:spacing w:before="122"/>
        <w:ind w:left="900" w:right="1042"/>
      </w:pPr>
      <w:r>
        <w:rPr>
          <w:color w:val="404040"/>
        </w:rPr>
        <w:t>Changes in other payments are discussed later, for each class in turn, as changes in average payments across the whole welfare system are influenced by the mix of people in different classes and the changes in this mix over time.</w:t>
      </w:r>
    </w:p>
    <w:p>
      <w:pPr>
        <w:pStyle w:val="BodyText"/>
        <w:spacing w:before="6"/>
      </w:pPr>
    </w:p>
    <w:p>
      <w:pPr>
        <w:pStyle w:val="ListParagraph"/>
        <w:numPr>
          <w:ilvl w:val="0"/>
          <w:numId w:val="3"/>
        </w:numPr>
        <w:tabs>
          <w:tab w:pos="1751" w:val="left" w:leader="none"/>
          <w:tab w:pos="1752" w:val="left" w:leader="none"/>
        </w:tabs>
        <w:spacing w:line="240" w:lineRule="auto" w:before="0" w:after="0"/>
        <w:ind w:left="1751" w:right="0" w:hanging="852"/>
        <w:jc w:val="left"/>
        <w:rPr>
          <w:sz w:val="32"/>
        </w:rPr>
      </w:pPr>
      <w:bookmarkStart w:name="3. Results" w:id="11"/>
      <w:bookmarkEnd w:id="11"/>
      <w:r>
        <w:rPr/>
      </w:r>
      <w:bookmarkStart w:name="Lifetime cost at 30 June 2018" w:id="12"/>
      <w:bookmarkEnd w:id="12"/>
      <w:r>
        <w:rPr/>
      </w:r>
      <w:bookmarkStart w:name="Lifetime cost at 30 June 2018" w:id="13"/>
      <w:bookmarkEnd w:id="13"/>
      <w:r>
        <w:rPr>
          <w:color w:val="DF2F1E"/>
          <w:sz w:val="32"/>
        </w:rPr>
        <w:t>Re</w:t>
      </w:r>
      <w:r>
        <w:rPr>
          <w:color w:val="DF2F1E"/>
          <w:sz w:val="32"/>
        </w:rPr>
        <w:t>sults</w:t>
      </w:r>
    </w:p>
    <w:p>
      <w:pPr>
        <w:spacing w:before="241"/>
        <w:ind w:left="900" w:right="0" w:firstLine="0"/>
        <w:jc w:val="left"/>
        <w:rPr>
          <w:sz w:val="28"/>
        </w:rPr>
      </w:pPr>
      <w:r>
        <w:rPr>
          <w:color w:val="DF2F28"/>
          <w:sz w:val="28"/>
        </w:rPr>
        <w:t>Lifetime cost at 30 June</w:t>
      </w:r>
      <w:r>
        <w:rPr>
          <w:color w:val="DF2F28"/>
          <w:spacing w:val="-13"/>
          <w:sz w:val="28"/>
        </w:rPr>
        <w:t> </w:t>
      </w:r>
      <w:r>
        <w:rPr>
          <w:color w:val="DF2F28"/>
          <w:sz w:val="28"/>
        </w:rPr>
        <w:t>2018</w:t>
      </w:r>
    </w:p>
    <w:p>
      <w:pPr>
        <w:pStyle w:val="BodyText"/>
        <w:spacing w:before="122"/>
        <w:ind w:left="900" w:right="1066"/>
      </w:pPr>
      <w:r>
        <w:rPr>
          <w:color w:val="404040"/>
        </w:rPr>
        <w:t>The key result of the actuarial valuation is the total lifetime cost, which is defined at the valuation date as the net</w:t>
      </w:r>
      <w:r>
        <w:rPr>
          <w:color w:val="404040"/>
          <w:spacing w:val="-4"/>
        </w:rPr>
        <w:t> </w:t>
      </w:r>
      <w:r>
        <w:rPr>
          <w:color w:val="404040"/>
        </w:rPr>
        <w:t>present</w:t>
      </w:r>
      <w:r>
        <w:rPr>
          <w:color w:val="404040"/>
          <w:spacing w:val="-2"/>
        </w:rPr>
        <w:t> </w:t>
      </w:r>
      <w:r>
        <w:rPr>
          <w:color w:val="404040"/>
        </w:rPr>
        <w:t>value</w:t>
      </w:r>
      <w:r>
        <w:rPr>
          <w:color w:val="404040"/>
          <w:spacing w:val="-1"/>
        </w:rPr>
        <w:t> </w:t>
      </w:r>
      <w:r>
        <w:rPr>
          <w:color w:val="404040"/>
        </w:rPr>
        <w:t>of</w:t>
      </w:r>
      <w:r>
        <w:rPr>
          <w:color w:val="404040"/>
          <w:spacing w:val="-2"/>
        </w:rPr>
        <w:t> </w:t>
      </w:r>
      <w:r>
        <w:rPr>
          <w:color w:val="404040"/>
        </w:rPr>
        <w:t>future</w:t>
      </w:r>
      <w:r>
        <w:rPr>
          <w:color w:val="404040"/>
          <w:spacing w:val="-4"/>
        </w:rPr>
        <w:t> </w:t>
      </w:r>
      <w:r>
        <w:rPr>
          <w:color w:val="404040"/>
        </w:rPr>
        <w:t>in-scope</w:t>
      </w:r>
      <w:r>
        <w:rPr>
          <w:color w:val="404040"/>
          <w:spacing w:val="-3"/>
        </w:rPr>
        <w:t> </w:t>
      </w:r>
      <w:r>
        <w:rPr>
          <w:color w:val="404040"/>
        </w:rPr>
        <w:t>payments</w:t>
      </w:r>
      <w:r>
        <w:rPr>
          <w:color w:val="404040"/>
          <w:spacing w:val="-3"/>
        </w:rPr>
        <w:t> </w:t>
      </w:r>
      <w:r>
        <w:rPr>
          <w:color w:val="404040"/>
        </w:rPr>
        <w:t>made</w:t>
      </w:r>
      <w:r>
        <w:rPr>
          <w:color w:val="404040"/>
          <w:spacing w:val="-3"/>
        </w:rPr>
        <w:t> </w:t>
      </w:r>
      <w:r>
        <w:rPr>
          <w:color w:val="404040"/>
        </w:rPr>
        <w:t>to</w:t>
      </w:r>
      <w:r>
        <w:rPr>
          <w:color w:val="404040"/>
          <w:spacing w:val="-2"/>
        </w:rPr>
        <w:t> </w:t>
      </w:r>
      <w:r>
        <w:rPr>
          <w:color w:val="404040"/>
        </w:rPr>
        <w:t>all</w:t>
      </w:r>
      <w:r>
        <w:rPr>
          <w:color w:val="404040"/>
          <w:spacing w:val="-4"/>
        </w:rPr>
        <w:t> </w:t>
      </w:r>
      <w:r>
        <w:rPr>
          <w:color w:val="404040"/>
        </w:rPr>
        <w:t>people</w:t>
      </w:r>
      <w:r>
        <w:rPr>
          <w:color w:val="404040"/>
          <w:spacing w:val="-2"/>
        </w:rPr>
        <w:t> </w:t>
      </w:r>
      <w:r>
        <w:rPr>
          <w:color w:val="404040"/>
        </w:rPr>
        <w:t>in</w:t>
      </w:r>
      <w:r>
        <w:rPr>
          <w:color w:val="404040"/>
          <w:spacing w:val="-4"/>
        </w:rPr>
        <w:t> </w:t>
      </w:r>
      <w:r>
        <w:rPr>
          <w:color w:val="404040"/>
        </w:rPr>
        <w:t>the</w:t>
      </w:r>
      <w:r>
        <w:rPr>
          <w:color w:val="404040"/>
          <w:spacing w:val="-3"/>
        </w:rPr>
        <w:t> </w:t>
      </w:r>
      <w:r>
        <w:rPr>
          <w:color w:val="404040"/>
        </w:rPr>
        <w:t>model</w:t>
      </w:r>
      <w:r>
        <w:rPr>
          <w:color w:val="404040"/>
          <w:spacing w:val="-2"/>
        </w:rPr>
        <w:t> </w:t>
      </w:r>
      <w:r>
        <w:rPr>
          <w:color w:val="404040"/>
        </w:rPr>
        <w:t>population</w:t>
      </w:r>
      <w:r>
        <w:rPr>
          <w:color w:val="404040"/>
          <w:spacing w:val="-3"/>
        </w:rPr>
        <w:t> </w:t>
      </w:r>
      <w:r>
        <w:rPr>
          <w:color w:val="404040"/>
        </w:rPr>
        <w:t>over</w:t>
      </w:r>
      <w:r>
        <w:rPr>
          <w:color w:val="404040"/>
          <w:spacing w:val="-3"/>
        </w:rPr>
        <w:t> </w:t>
      </w:r>
      <w:r>
        <w:rPr>
          <w:color w:val="404040"/>
        </w:rPr>
        <w:t>the</w:t>
      </w:r>
      <w:r>
        <w:rPr>
          <w:color w:val="404040"/>
          <w:spacing w:val="-4"/>
        </w:rPr>
        <w:t> </w:t>
      </w:r>
      <w:r>
        <w:rPr>
          <w:color w:val="404040"/>
        </w:rPr>
        <w:t>remainder of their natural</w:t>
      </w:r>
      <w:r>
        <w:rPr>
          <w:color w:val="404040"/>
          <w:spacing w:val="1"/>
        </w:rPr>
        <w:t> </w:t>
      </w:r>
      <w:r>
        <w:rPr>
          <w:color w:val="404040"/>
        </w:rPr>
        <w:t>lifetimes.</w:t>
      </w:r>
    </w:p>
    <w:p>
      <w:pPr>
        <w:pStyle w:val="BodyText"/>
        <w:spacing w:before="122"/>
        <w:ind w:left="899" w:right="1054"/>
      </w:pPr>
      <w:r>
        <w:rPr>
          <w:color w:val="404040"/>
        </w:rPr>
        <w:t>The total lifetime cost can be assessed for any group of people within the model population. In the discussion on the results we examine the total lifetime cost for the whole model population and for four groups of people in the starting population:</w:t>
      </w:r>
    </w:p>
    <w:p>
      <w:pPr>
        <w:pStyle w:val="ListParagraph"/>
        <w:numPr>
          <w:ilvl w:val="0"/>
          <w:numId w:val="5"/>
        </w:numPr>
        <w:tabs>
          <w:tab w:pos="1184" w:val="left" w:leader="none"/>
        </w:tabs>
        <w:spacing w:line="240" w:lineRule="auto" w:before="115" w:after="0"/>
        <w:ind w:left="1183" w:right="0" w:hanging="284"/>
        <w:jc w:val="left"/>
        <w:rPr>
          <w:rFonts w:ascii="Symbol" w:hAnsi="Symbol"/>
          <w:sz w:val="20"/>
        </w:rPr>
      </w:pPr>
      <w:r>
        <w:rPr>
          <w:b/>
          <w:color w:val="404040"/>
          <w:sz w:val="20"/>
        </w:rPr>
        <w:t>Current welfare recipients </w:t>
      </w:r>
      <w:r>
        <w:rPr>
          <w:color w:val="404040"/>
          <w:sz w:val="20"/>
        </w:rPr>
        <w:t>- this includes any person who received a payment in the 2017/18</w:t>
      </w:r>
      <w:r>
        <w:rPr>
          <w:color w:val="404040"/>
          <w:spacing w:val="-8"/>
          <w:sz w:val="20"/>
        </w:rPr>
        <w:t> </w:t>
      </w:r>
      <w:r>
        <w:rPr>
          <w:color w:val="404040"/>
          <w:sz w:val="20"/>
        </w:rPr>
        <w:t>year.</w:t>
      </w:r>
    </w:p>
    <w:p>
      <w:pPr>
        <w:pStyle w:val="ListParagraph"/>
        <w:numPr>
          <w:ilvl w:val="0"/>
          <w:numId w:val="5"/>
        </w:numPr>
        <w:tabs>
          <w:tab w:pos="1184" w:val="left" w:leader="none"/>
        </w:tabs>
        <w:spacing w:line="240" w:lineRule="auto" w:before="120" w:after="0"/>
        <w:ind w:left="1183" w:right="1089" w:hanging="284"/>
        <w:jc w:val="left"/>
        <w:rPr>
          <w:rFonts w:ascii="Symbol" w:hAnsi="Symbol"/>
          <w:sz w:val="20"/>
        </w:rPr>
      </w:pPr>
      <w:r>
        <w:rPr>
          <w:b/>
          <w:color w:val="404040"/>
          <w:sz w:val="20"/>
        </w:rPr>
        <w:t>Recent</w:t>
      </w:r>
      <w:r>
        <w:rPr>
          <w:b/>
          <w:color w:val="404040"/>
          <w:spacing w:val="-3"/>
          <w:sz w:val="20"/>
        </w:rPr>
        <w:t> </w:t>
      </w:r>
      <w:r>
        <w:rPr>
          <w:b/>
          <w:color w:val="404040"/>
          <w:sz w:val="20"/>
        </w:rPr>
        <w:t>exits</w:t>
      </w:r>
      <w:r>
        <w:rPr>
          <w:b/>
          <w:color w:val="404040"/>
          <w:spacing w:val="-2"/>
          <w:sz w:val="20"/>
        </w:rPr>
        <w:t> </w:t>
      </w:r>
      <w:r>
        <w:rPr>
          <w:color w:val="404040"/>
          <w:sz w:val="20"/>
        </w:rPr>
        <w:t>–</w:t>
      </w:r>
      <w:r>
        <w:rPr>
          <w:color w:val="404040"/>
          <w:spacing w:val="-4"/>
          <w:sz w:val="20"/>
        </w:rPr>
        <w:t> </w:t>
      </w:r>
      <w:r>
        <w:rPr>
          <w:color w:val="404040"/>
          <w:sz w:val="20"/>
        </w:rPr>
        <w:t>people</w:t>
      </w:r>
      <w:r>
        <w:rPr>
          <w:color w:val="404040"/>
          <w:spacing w:val="-2"/>
          <w:sz w:val="20"/>
        </w:rPr>
        <w:t> </w:t>
      </w:r>
      <w:r>
        <w:rPr>
          <w:color w:val="404040"/>
          <w:sz w:val="20"/>
        </w:rPr>
        <w:t>who</w:t>
      </w:r>
      <w:r>
        <w:rPr>
          <w:color w:val="404040"/>
          <w:spacing w:val="-2"/>
          <w:sz w:val="20"/>
        </w:rPr>
        <w:t> </w:t>
      </w:r>
      <w:r>
        <w:rPr>
          <w:color w:val="404040"/>
          <w:sz w:val="20"/>
        </w:rPr>
        <w:t>exited</w:t>
      </w:r>
      <w:r>
        <w:rPr>
          <w:color w:val="404040"/>
          <w:spacing w:val="-3"/>
          <w:sz w:val="20"/>
        </w:rPr>
        <w:t> </w:t>
      </w:r>
      <w:r>
        <w:rPr>
          <w:color w:val="404040"/>
          <w:sz w:val="20"/>
        </w:rPr>
        <w:t>a</w:t>
      </w:r>
      <w:r>
        <w:rPr>
          <w:color w:val="404040"/>
          <w:spacing w:val="-2"/>
          <w:sz w:val="20"/>
        </w:rPr>
        <w:t> </w:t>
      </w:r>
      <w:r>
        <w:rPr>
          <w:color w:val="404040"/>
          <w:sz w:val="20"/>
        </w:rPr>
        <w:t>welfare</w:t>
      </w:r>
      <w:r>
        <w:rPr>
          <w:color w:val="404040"/>
          <w:spacing w:val="-4"/>
          <w:sz w:val="20"/>
        </w:rPr>
        <w:t> </w:t>
      </w:r>
      <w:r>
        <w:rPr>
          <w:color w:val="404040"/>
          <w:sz w:val="20"/>
        </w:rPr>
        <w:t>recipient</w:t>
      </w:r>
      <w:r>
        <w:rPr>
          <w:color w:val="404040"/>
          <w:spacing w:val="-4"/>
          <w:sz w:val="20"/>
        </w:rPr>
        <w:t> </w:t>
      </w:r>
      <w:r>
        <w:rPr>
          <w:color w:val="404040"/>
          <w:sz w:val="20"/>
        </w:rPr>
        <w:t>class</w:t>
      </w:r>
      <w:r>
        <w:rPr>
          <w:color w:val="404040"/>
          <w:spacing w:val="-2"/>
          <w:sz w:val="20"/>
        </w:rPr>
        <w:t> </w:t>
      </w:r>
      <w:r>
        <w:rPr>
          <w:color w:val="404040"/>
          <w:sz w:val="20"/>
        </w:rPr>
        <w:t>in</w:t>
      </w:r>
      <w:r>
        <w:rPr>
          <w:color w:val="404040"/>
          <w:spacing w:val="-2"/>
          <w:sz w:val="20"/>
        </w:rPr>
        <w:t> </w:t>
      </w:r>
      <w:r>
        <w:rPr>
          <w:color w:val="404040"/>
          <w:sz w:val="20"/>
        </w:rPr>
        <w:t>the</w:t>
      </w:r>
      <w:r>
        <w:rPr>
          <w:color w:val="404040"/>
          <w:spacing w:val="-2"/>
          <w:sz w:val="20"/>
        </w:rPr>
        <w:t> </w:t>
      </w:r>
      <w:r>
        <w:rPr>
          <w:color w:val="404040"/>
          <w:sz w:val="20"/>
        </w:rPr>
        <w:t>last</w:t>
      </w:r>
      <w:r>
        <w:rPr>
          <w:color w:val="404040"/>
          <w:spacing w:val="-4"/>
          <w:sz w:val="20"/>
        </w:rPr>
        <w:t> </w:t>
      </w:r>
      <w:r>
        <w:rPr>
          <w:color w:val="404040"/>
          <w:sz w:val="20"/>
        </w:rPr>
        <w:t>three years.</w:t>
      </w:r>
      <w:r>
        <w:rPr>
          <w:color w:val="404040"/>
          <w:spacing w:val="-3"/>
          <w:sz w:val="20"/>
        </w:rPr>
        <w:t> </w:t>
      </w:r>
      <w:r>
        <w:rPr>
          <w:color w:val="404040"/>
          <w:sz w:val="20"/>
        </w:rPr>
        <w:t>This</w:t>
      </w:r>
      <w:r>
        <w:rPr>
          <w:color w:val="404040"/>
          <w:spacing w:val="-3"/>
          <w:sz w:val="20"/>
        </w:rPr>
        <w:t> </w:t>
      </w:r>
      <w:r>
        <w:rPr>
          <w:color w:val="404040"/>
          <w:sz w:val="20"/>
        </w:rPr>
        <w:t>is</w:t>
      </w:r>
      <w:r>
        <w:rPr>
          <w:color w:val="404040"/>
          <w:spacing w:val="-3"/>
          <w:sz w:val="20"/>
        </w:rPr>
        <w:t> </w:t>
      </w:r>
      <w:r>
        <w:rPr>
          <w:color w:val="404040"/>
          <w:sz w:val="20"/>
        </w:rPr>
        <w:t>people</w:t>
      </w:r>
      <w:r>
        <w:rPr>
          <w:color w:val="404040"/>
          <w:spacing w:val="-2"/>
          <w:sz w:val="20"/>
        </w:rPr>
        <w:t> </w:t>
      </w:r>
      <w:r>
        <w:rPr>
          <w:color w:val="404040"/>
          <w:sz w:val="20"/>
        </w:rPr>
        <w:t>who</w:t>
      </w:r>
      <w:r>
        <w:rPr>
          <w:color w:val="404040"/>
          <w:spacing w:val="-2"/>
          <w:sz w:val="20"/>
        </w:rPr>
        <w:t> </w:t>
      </w:r>
      <w:r>
        <w:rPr>
          <w:color w:val="404040"/>
          <w:sz w:val="20"/>
        </w:rPr>
        <w:t>would be assigned to one of the welfare recipient classes (classes 1 to 9) at 30 June 2015, 30 June 2016,</w:t>
      </w:r>
      <w:r>
        <w:rPr>
          <w:color w:val="404040"/>
          <w:spacing w:val="-30"/>
          <w:sz w:val="20"/>
        </w:rPr>
        <w:t> </w:t>
      </w:r>
      <w:r>
        <w:rPr>
          <w:color w:val="404040"/>
          <w:sz w:val="20"/>
        </w:rPr>
        <w:t>or</w:t>
      </w:r>
    </w:p>
    <w:p>
      <w:pPr>
        <w:pStyle w:val="BodyText"/>
        <w:spacing w:before="2"/>
        <w:ind w:left="1183"/>
      </w:pPr>
      <w:r>
        <w:rPr>
          <w:color w:val="404040"/>
        </w:rPr>
        <w:t>30 June 2017 but do not fall into one of these classes at 30 June 2018.</w:t>
      </w:r>
    </w:p>
    <w:p>
      <w:pPr>
        <w:pStyle w:val="ListParagraph"/>
        <w:numPr>
          <w:ilvl w:val="0"/>
          <w:numId w:val="5"/>
        </w:numPr>
        <w:tabs>
          <w:tab w:pos="1184" w:val="left" w:leader="none"/>
        </w:tabs>
        <w:spacing w:line="240" w:lineRule="auto" w:before="116" w:after="0"/>
        <w:ind w:left="1183" w:right="0" w:hanging="284"/>
        <w:jc w:val="left"/>
        <w:rPr>
          <w:rFonts w:ascii="Symbol" w:hAnsi="Symbol"/>
          <w:sz w:val="20"/>
        </w:rPr>
      </w:pPr>
      <w:r>
        <w:rPr>
          <w:b/>
          <w:color w:val="404040"/>
          <w:sz w:val="20"/>
        </w:rPr>
        <w:t>Older exits </w:t>
      </w:r>
      <w:r>
        <w:rPr>
          <w:color w:val="404040"/>
          <w:sz w:val="20"/>
        </w:rPr>
        <w:t>– other people who are known to have previously received a</w:t>
      </w:r>
      <w:r>
        <w:rPr>
          <w:color w:val="404040"/>
          <w:spacing w:val="-9"/>
          <w:sz w:val="20"/>
        </w:rPr>
        <w:t> </w:t>
      </w:r>
      <w:r>
        <w:rPr>
          <w:color w:val="404040"/>
          <w:sz w:val="20"/>
        </w:rPr>
        <w:t>payment.</w:t>
      </w:r>
    </w:p>
    <w:p>
      <w:pPr>
        <w:pStyle w:val="ListParagraph"/>
        <w:numPr>
          <w:ilvl w:val="0"/>
          <w:numId w:val="5"/>
        </w:numPr>
        <w:tabs>
          <w:tab w:pos="1184" w:val="left" w:leader="none"/>
        </w:tabs>
        <w:spacing w:line="240" w:lineRule="auto" w:before="117" w:after="0"/>
        <w:ind w:left="1183" w:right="0" w:hanging="284"/>
        <w:jc w:val="left"/>
        <w:rPr>
          <w:rFonts w:ascii="Symbol" w:hAnsi="Symbol"/>
          <w:sz w:val="20"/>
        </w:rPr>
      </w:pPr>
      <w:r>
        <w:rPr>
          <w:b/>
          <w:color w:val="404040"/>
          <w:sz w:val="20"/>
        </w:rPr>
        <w:t>Rest of the Australian Population </w:t>
      </w:r>
      <w:r>
        <w:rPr>
          <w:color w:val="404040"/>
          <w:sz w:val="20"/>
        </w:rPr>
        <w:t>– the remainder of the model</w:t>
      </w:r>
      <w:r>
        <w:rPr>
          <w:color w:val="404040"/>
          <w:spacing w:val="-4"/>
          <w:sz w:val="20"/>
        </w:rPr>
        <w:t> </w:t>
      </w:r>
      <w:r>
        <w:rPr>
          <w:color w:val="404040"/>
          <w:sz w:val="20"/>
        </w:rPr>
        <w:t>population.</w:t>
      </w:r>
    </w:p>
    <w:p>
      <w:pPr>
        <w:pStyle w:val="BodyText"/>
        <w:spacing w:before="122"/>
        <w:ind w:left="900" w:right="1155"/>
      </w:pPr>
      <w:r>
        <w:rPr>
          <w:color w:val="404040"/>
        </w:rPr>
        <w:t>Future migrants and unborn children are not included in the estimate of total lifetime cost, but will appear in future valuations once they migrate or are born, and at that time will contribute to an increase in the total lifetime cost.</w:t>
      </w:r>
    </w:p>
    <w:p>
      <w:pPr>
        <w:spacing w:after="0"/>
        <w:sectPr>
          <w:pgSz w:w="11910" w:h="16850"/>
          <w:pgMar w:header="289" w:footer="298" w:top="500" w:bottom="480" w:left="120" w:right="0"/>
        </w:sectPr>
      </w:pPr>
    </w:p>
    <w:p>
      <w:pPr>
        <w:pStyle w:val="BodyText"/>
      </w:pPr>
    </w:p>
    <w:p>
      <w:pPr>
        <w:pStyle w:val="BodyText"/>
      </w:pPr>
    </w:p>
    <w:p>
      <w:pPr>
        <w:pStyle w:val="BodyText"/>
      </w:pPr>
    </w:p>
    <w:p>
      <w:pPr>
        <w:pStyle w:val="BodyText"/>
        <w:spacing w:before="3"/>
        <w:rPr>
          <w:sz w:val="26"/>
        </w:rPr>
      </w:pPr>
    </w:p>
    <w:p>
      <w:pPr>
        <w:pStyle w:val="BodyText"/>
        <w:spacing w:before="93"/>
        <w:ind w:left="899" w:right="1176"/>
      </w:pPr>
      <w:r>
        <w:rPr>
          <w:color w:val="404040"/>
        </w:rPr>
        <w:t>For any group of people the lifetime cost can be considered in terms of the number of people in the group and the lifetime cost per person. Throughout this report we use the term </w:t>
      </w:r>
      <w:r>
        <w:rPr>
          <w:b/>
          <w:color w:val="404040"/>
        </w:rPr>
        <w:t>average lifetime cost </w:t>
      </w:r>
      <w:r>
        <w:rPr>
          <w:color w:val="404040"/>
        </w:rPr>
        <w:t>to refer to the per person future lifetime cost for a group of people.</w:t>
      </w:r>
    </w:p>
    <w:p>
      <w:pPr>
        <w:pStyle w:val="BodyText"/>
        <w:spacing w:before="121"/>
        <w:ind w:left="899" w:right="1132"/>
      </w:pPr>
      <w:r>
        <w:rPr>
          <w:color w:val="404040"/>
        </w:rPr>
        <w:t>Note that while the model does simulate the lifetime trajectory of each individual, it is only intended that results ever be considered for a similar group of individuals – either in total or on average for that group.</w:t>
      </w:r>
    </w:p>
    <w:p>
      <w:pPr>
        <w:pStyle w:val="BodyText"/>
        <w:spacing w:before="8"/>
      </w:pPr>
    </w:p>
    <w:p>
      <w:pPr>
        <w:spacing w:before="0"/>
        <w:ind w:left="900" w:right="0" w:firstLine="0"/>
        <w:jc w:val="left"/>
        <w:rPr>
          <w:sz w:val="28"/>
        </w:rPr>
      </w:pPr>
      <w:bookmarkStart w:name="Lifetime cost results by class" w:id="14"/>
      <w:bookmarkEnd w:id="14"/>
      <w:r>
        <w:rPr/>
      </w:r>
      <w:r>
        <w:rPr>
          <w:color w:val="DF2F28"/>
          <w:sz w:val="28"/>
        </w:rPr>
        <w:t>Lifetime cost results by class</w:t>
      </w:r>
    </w:p>
    <w:p>
      <w:pPr>
        <w:pStyle w:val="BodyText"/>
        <w:spacing w:before="120"/>
        <w:ind w:left="900" w:right="1109"/>
      </w:pPr>
      <w:r>
        <w:rPr>
          <w:color w:val="404040"/>
        </w:rPr>
        <w:t>The total lifetime cost for the model population is estimated to be </w:t>
      </w:r>
      <w:r>
        <w:rPr>
          <w:b/>
          <w:color w:val="404040"/>
        </w:rPr>
        <w:t>$5,662 billion </w:t>
      </w:r>
      <w:r>
        <w:rPr>
          <w:color w:val="404040"/>
        </w:rPr>
        <w:t>as at 30 June 2018, in respect of the </w:t>
      </w:r>
      <w:r>
        <w:rPr>
          <w:b/>
          <w:color w:val="404040"/>
        </w:rPr>
        <w:t>25.0 million </w:t>
      </w:r>
      <w:r>
        <w:rPr>
          <w:color w:val="404040"/>
        </w:rPr>
        <w:t>people included in the model population. This is a substantial and somewhat uncertain figure, but does lend itself to longer term thinking about the dynamics and cost of the welfare system; it can be considered a benchmark against which the potential impact on the total lifetime cost of policy changes can be assessed.</w:t>
      </w:r>
    </w:p>
    <w:p>
      <w:pPr>
        <w:pStyle w:val="BodyText"/>
        <w:spacing w:before="123"/>
        <w:ind w:left="900"/>
      </w:pPr>
      <w:r>
        <w:rPr>
          <w:color w:val="404040"/>
        </w:rPr>
        <w:t>The figure below shows a breakdown of this total lifetime cost by current age and gender.</w:t>
      </w:r>
    </w:p>
    <w:p>
      <w:pPr>
        <w:pStyle w:val="Heading9"/>
        <w:spacing w:before="175"/>
      </w:pPr>
      <w:r>
        <w:rPr>
          <w:color w:val="DF2F1E"/>
        </w:rPr>
        <w:t>Figure 2: Total lifetime cost by age and gender</w:t>
      </w:r>
    </w:p>
    <w:p>
      <w:pPr>
        <w:tabs>
          <w:tab w:pos="4431" w:val="left" w:leader="none"/>
        </w:tabs>
        <w:spacing w:line="226" w:lineRule="exact" w:before="96"/>
        <w:ind w:left="2704" w:right="0" w:firstLine="0"/>
        <w:jc w:val="left"/>
        <w:rPr>
          <w:rFonts w:ascii="Calibri"/>
          <w:sz w:val="19"/>
        </w:rPr>
      </w:pPr>
      <w:r>
        <w:rPr>
          <w:rFonts w:ascii="Calibri"/>
          <w:color w:val="404040"/>
          <w:spacing w:val="-3"/>
          <w:sz w:val="19"/>
        </w:rPr>
        <w:t>&lt;-</w:t>
      </w:r>
      <w:r>
        <w:rPr>
          <w:rFonts w:ascii="Calibri"/>
          <w:color w:val="404040"/>
          <w:spacing w:val="1"/>
          <w:sz w:val="19"/>
        </w:rPr>
        <w:t> </w:t>
      </w:r>
      <w:r>
        <w:rPr>
          <w:rFonts w:ascii="Calibri"/>
          <w:color w:val="404040"/>
          <w:spacing w:val="-3"/>
          <w:sz w:val="19"/>
        </w:rPr>
        <w:t>Male</w:t>
        <w:tab/>
      </w:r>
      <w:r>
        <w:rPr>
          <w:rFonts w:ascii="Calibri"/>
          <w:color w:val="404040"/>
          <w:sz w:val="19"/>
        </w:rPr>
        <w:t>Female</w:t>
      </w:r>
      <w:r>
        <w:rPr>
          <w:rFonts w:ascii="Calibri"/>
          <w:color w:val="404040"/>
          <w:spacing w:val="2"/>
          <w:sz w:val="19"/>
        </w:rPr>
        <w:t> </w:t>
      </w:r>
      <w:r>
        <w:rPr>
          <w:rFonts w:ascii="Calibri"/>
          <w:color w:val="404040"/>
          <w:sz w:val="19"/>
        </w:rPr>
        <w:t>-&gt;</w:t>
      </w:r>
    </w:p>
    <w:p>
      <w:pPr>
        <w:spacing w:after="0" w:line="226" w:lineRule="exact"/>
        <w:jc w:val="left"/>
        <w:rPr>
          <w:rFonts w:ascii="Calibri"/>
          <w:sz w:val="19"/>
        </w:rPr>
        <w:sectPr>
          <w:pgSz w:w="11910" w:h="16850"/>
          <w:pgMar w:header="289" w:footer="298" w:top="500" w:bottom="480" w:left="120" w:right="0"/>
        </w:sectPr>
      </w:pPr>
    </w:p>
    <w:p>
      <w:pPr>
        <w:spacing w:before="57"/>
        <w:ind w:left="1437" w:right="0" w:firstLine="0"/>
        <w:jc w:val="left"/>
        <w:rPr>
          <w:rFonts w:ascii="Calibri"/>
          <w:sz w:val="13"/>
        </w:rPr>
      </w:pPr>
      <w:r>
        <w:rPr/>
        <w:drawing>
          <wp:anchor distT="0" distB="0" distL="0" distR="0" allowOverlap="1" layoutInCell="1" locked="0" behindDoc="0" simplePos="0" relativeHeight="251668480">
            <wp:simplePos x="0" y="0"/>
            <wp:positionH relativeFrom="page">
              <wp:posOffset>1127226</wp:posOffset>
            </wp:positionH>
            <wp:positionV relativeFrom="paragraph">
              <wp:posOffset>73967</wp:posOffset>
            </wp:positionV>
            <wp:extent cx="2862384" cy="1541224"/>
            <wp:effectExtent l="0" t="0" r="0" b="0"/>
            <wp:wrapNone/>
            <wp:docPr id="3" name="image4.png"/>
            <wp:cNvGraphicFramePr>
              <a:graphicFrameLocks noChangeAspect="1"/>
            </wp:cNvGraphicFramePr>
            <a:graphic>
              <a:graphicData uri="http://schemas.openxmlformats.org/drawingml/2006/picture">
                <pic:pic>
                  <pic:nvPicPr>
                    <pic:cNvPr id="4" name="image4.png"/>
                    <pic:cNvPicPr/>
                  </pic:nvPicPr>
                  <pic:blipFill>
                    <a:blip r:embed="rId12" cstate="print"/>
                    <a:stretch>
                      <a:fillRect/>
                    </a:stretch>
                  </pic:blipFill>
                  <pic:spPr>
                    <a:xfrm>
                      <a:off x="0" y="0"/>
                      <a:ext cx="2862384" cy="1541224"/>
                    </a:xfrm>
                    <a:prstGeom prst="rect">
                      <a:avLst/>
                    </a:prstGeom>
                  </pic:spPr>
                </pic:pic>
              </a:graphicData>
            </a:graphic>
          </wp:anchor>
        </w:drawing>
      </w:r>
      <w:r>
        <w:rPr>
          <w:rFonts w:ascii="Calibri"/>
          <w:color w:val="404040"/>
          <w:sz w:val="13"/>
        </w:rPr>
        <w:t>90</w:t>
      </w:r>
    </w:p>
    <w:p>
      <w:pPr>
        <w:spacing w:before="103"/>
        <w:ind w:left="1437" w:right="0" w:firstLine="0"/>
        <w:jc w:val="left"/>
        <w:rPr>
          <w:rFonts w:ascii="Calibri"/>
          <w:sz w:val="13"/>
        </w:rPr>
      </w:pPr>
      <w:r>
        <w:rPr>
          <w:rFonts w:ascii="Calibri"/>
          <w:color w:val="404040"/>
          <w:sz w:val="13"/>
        </w:rPr>
        <w:t>80</w:t>
      </w:r>
    </w:p>
    <w:p>
      <w:pPr>
        <w:spacing w:before="102"/>
        <w:ind w:left="1437" w:right="0" w:firstLine="0"/>
        <w:jc w:val="left"/>
        <w:rPr>
          <w:rFonts w:ascii="Calibri"/>
          <w:sz w:val="13"/>
        </w:rPr>
      </w:pPr>
      <w:r>
        <w:rPr/>
        <w:pict>
          <v:shape style="position:absolute;margin-left:68.281853pt;margin-top:10.786132pt;width:8.6pt;height:62.85pt;mso-position-horizontal-relative:page;mso-position-vertical-relative:paragraph;z-index:251670528" type="#_x0000_t202" filled="false" stroked="false">
            <v:textbox inset="0,0,0,0" style="layout-flow:vertical;mso-layout-flow-alt:bottom-to-top">
              <w:txbxContent>
                <w:p>
                  <w:pPr>
                    <w:spacing w:line="153" w:lineRule="exact" w:before="0"/>
                    <w:ind w:left="20" w:right="0" w:firstLine="0"/>
                    <w:jc w:val="left"/>
                    <w:rPr>
                      <w:rFonts w:ascii="Calibri"/>
                      <w:b/>
                      <w:sz w:val="13"/>
                    </w:rPr>
                  </w:pPr>
                  <w:r>
                    <w:rPr>
                      <w:rFonts w:ascii="Calibri"/>
                      <w:b/>
                      <w:color w:val="404040"/>
                      <w:sz w:val="13"/>
                    </w:rPr>
                    <w:t>Age at Valuation Date</w:t>
                  </w:r>
                </w:p>
              </w:txbxContent>
            </v:textbox>
            <w10:wrap type="none"/>
          </v:shape>
        </w:pict>
      </w:r>
      <w:r>
        <w:rPr>
          <w:rFonts w:ascii="Calibri"/>
          <w:color w:val="404040"/>
          <w:sz w:val="13"/>
        </w:rPr>
        <w:t>70</w:t>
      </w:r>
    </w:p>
    <w:p>
      <w:pPr>
        <w:spacing w:before="103"/>
        <w:ind w:left="1437" w:right="0" w:firstLine="0"/>
        <w:jc w:val="left"/>
        <w:rPr>
          <w:rFonts w:ascii="Calibri"/>
          <w:sz w:val="13"/>
        </w:rPr>
      </w:pPr>
      <w:r>
        <w:rPr>
          <w:rFonts w:ascii="Calibri"/>
          <w:color w:val="404040"/>
          <w:sz w:val="13"/>
        </w:rPr>
        <w:t>60</w:t>
      </w:r>
    </w:p>
    <w:p>
      <w:pPr>
        <w:spacing w:before="103"/>
        <w:ind w:left="1437" w:right="0" w:firstLine="0"/>
        <w:jc w:val="left"/>
        <w:rPr>
          <w:rFonts w:ascii="Calibri"/>
          <w:sz w:val="13"/>
        </w:rPr>
      </w:pPr>
      <w:r>
        <w:rPr>
          <w:rFonts w:ascii="Calibri"/>
          <w:color w:val="404040"/>
          <w:sz w:val="13"/>
        </w:rPr>
        <w:t>50</w:t>
      </w:r>
    </w:p>
    <w:p>
      <w:pPr>
        <w:spacing w:before="102"/>
        <w:ind w:left="1437" w:right="0" w:firstLine="0"/>
        <w:jc w:val="left"/>
        <w:rPr>
          <w:rFonts w:ascii="Calibri"/>
          <w:sz w:val="13"/>
        </w:rPr>
      </w:pPr>
      <w:r>
        <w:rPr>
          <w:rFonts w:ascii="Calibri"/>
          <w:color w:val="404040"/>
          <w:sz w:val="13"/>
        </w:rPr>
        <w:t>40</w:t>
      </w:r>
    </w:p>
    <w:p>
      <w:pPr>
        <w:spacing w:before="103"/>
        <w:ind w:left="1437" w:right="0" w:firstLine="0"/>
        <w:jc w:val="left"/>
        <w:rPr>
          <w:rFonts w:ascii="Calibri"/>
          <w:sz w:val="13"/>
        </w:rPr>
      </w:pPr>
      <w:r>
        <w:rPr>
          <w:rFonts w:ascii="Calibri"/>
          <w:color w:val="404040"/>
          <w:sz w:val="13"/>
        </w:rPr>
        <w:t>30</w:t>
      </w:r>
    </w:p>
    <w:p>
      <w:pPr>
        <w:spacing w:before="103"/>
        <w:ind w:left="1437" w:right="0" w:firstLine="0"/>
        <w:jc w:val="left"/>
        <w:rPr>
          <w:rFonts w:ascii="Calibri"/>
          <w:sz w:val="13"/>
        </w:rPr>
      </w:pPr>
      <w:r>
        <w:rPr>
          <w:rFonts w:ascii="Calibri"/>
          <w:color w:val="404040"/>
          <w:sz w:val="13"/>
        </w:rPr>
        <w:t>20</w:t>
      </w:r>
    </w:p>
    <w:p>
      <w:pPr>
        <w:spacing w:before="103"/>
        <w:ind w:left="1437" w:right="0" w:firstLine="0"/>
        <w:jc w:val="left"/>
        <w:rPr>
          <w:rFonts w:ascii="Calibri"/>
          <w:sz w:val="13"/>
        </w:rPr>
      </w:pPr>
      <w:r>
        <w:rPr>
          <w:rFonts w:ascii="Calibri"/>
          <w:color w:val="404040"/>
          <w:sz w:val="13"/>
        </w:rPr>
        <w:t>10</w:t>
      </w:r>
    </w:p>
    <w:p>
      <w:pPr>
        <w:spacing w:before="102"/>
        <w:ind w:left="1505" w:right="0" w:firstLine="0"/>
        <w:jc w:val="left"/>
        <w:rPr>
          <w:rFonts w:ascii="Calibri"/>
          <w:sz w:val="13"/>
        </w:rPr>
      </w:pPr>
      <w:r>
        <w:rPr>
          <w:rFonts w:ascii="Calibri"/>
          <w:color w:val="404040"/>
          <w:w w:val="100"/>
          <w:sz w:val="13"/>
        </w:rPr>
        <w:t>0</w:t>
      </w:r>
    </w:p>
    <w:p>
      <w:pPr>
        <w:spacing w:before="30"/>
        <w:ind w:left="1559" w:right="0" w:firstLine="0"/>
        <w:jc w:val="left"/>
        <w:rPr>
          <w:rFonts w:ascii="Calibri"/>
          <w:sz w:val="13"/>
        </w:rPr>
      </w:pPr>
      <w:r>
        <w:rPr>
          <w:rFonts w:ascii="Calibri"/>
          <w:color w:val="404040"/>
          <w:sz w:val="13"/>
        </w:rPr>
        <w:t>75bn</w:t>
      </w:r>
    </w:p>
    <w:p>
      <w:pPr>
        <w:pStyle w:val="BodyText"/>
        <w:rPr>
          <w:rFonts w:ascii="Calibri"/>
          <w:sz w:val="12"/>
        </w:rPr>
      </w:pPr>
      <w:r>
        <w:rPr/>
        <w:br w:type="column"/>
      </w:r>
      <w:r>
        <w:rPr>
          <w:rFonts w:ascii="Calibri"/>
          <w:sz w:val="12"/>
        </w:rPr>
      </w: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spacing w:before="107"/>
        <w:ind w:left="0" w:right="0" w:firstLine="0"/>
        <w:jc w:val="right"/>
        <w:rPr>
          <w:rFonts w:ascii="Calibri"/>
          <w:sz w:val="13"/>
        </w:rPr>
      </w:pPr>
      <w:r>
        <w:rPr>
          <w:rFonts w:ascii="Calibri"/>
          <w:color w:val="404040"/>
          <w:sz w:val="13"/>
        </w:rPr>
        <w:t>25bn</w:t>
      </w:r>
    </w:p>
    <w:p>
      <w:pPr>
        <w:pStyle w:val="BodyText"/>
        <w:rPr>
          <w:rFonts w:ascii="Calibri"/>
          <w:sz w:val="12"/>
        </w:rPr>
      </w:pPr>
      <w:r>
        <w:rPr/>
        <w:br w:type="column"/>
      </w:r>
      <w:r>
        <w:rPr>
          <w:rFonts w:ascii="Calibri"/>
          <w:sz w:val="12"/>
        </w:rPr>
      </w: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spacing w:before="107"/>
        <w:ind w:left="0" w:right="0" w:firstLine="0"/>
        <w:jc w:val="right"/>
        <w:rPr>
          <w:rFonts w:ascii="Calibri"/>
          <w:sz w:val="13"/>
        </w:rPr>
      </w:pPr>
      <w:r>
        <w:rPr>
          <w:rFonts w:ascii="Calibri"/>
          <w:color w:val="404040"/>
          <w:sz w:val="13"/>
        </w:rPr>
        <w:t>25bn</w:t>
      </w:r>
    </w:p>
    <w:p>
      <w:pPr>
        <w:pStyle w:val="BodyText"/>
        <w:rPr>
          <w:rFonts w:ascii="Calibri"/>
          <w:sz w:val="12"/>
        </w:rPr>
      </w:pPr>
      <w:r>
        <w:rPr/>
        <w:br w:type="column"/>
      </w:r>
      <w:r>
        <w:rPr>
          <w:rFonts w:ascii="Calibri"/>
          <w:sz w:val="12"/>
        </w:rPr>
      </w: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spacing w:before="107"/>
        <w:ind w:left="0" w:right="0" w:firstLine="0"/>
        <w:jc w:val="right"/>
        <w:rPr>
          <w:rFonts w:ascii="Calibri"/>
          <w:sz w:val="13"/>
        </w:rPr>
      </w:pPr>
      <w:r>
        <w:rPr>
          <w:rFonts w:ascii="Calibri"/>
          <w:color w:val="404040"/>
          <w:sz w:val="13"/>
        </w:rPr>
        <w:t>75bn</w:t>
      </w:r>
    </w:p>
    <w:p>
      <w:pPr>
        <w:spacing w:line="105" w:lineRule="exact" w:before="0"/>
        <w:ind w:left="924" w:right="0" w:firstLine="0"/>
        <w:jc w:val="left"/>
        <w:rPr>
          <w:rFonts w:ascii="Calibri"/>
          <w:b/>
          <w:sz w:val="10"/>
        </w:rPr>
      </w:pPr>
      <w:r>
        <w:rPr/>
        <w:br w:type="column"/>
      </w:r>
      <w:r>
        <w:rPr>
          <w:rFonts w:ascii="Calibri"/>
          <w:b/>
          <w:w w:val="105"/>
          <w:sz w:val="10"/>
        </w:rPr>
        <w:t>Payment Category Key:</w:t>
      </w:r>
    </w:p>
    <w:p>
      <w:pPr>
        <w:spacing w:before="31"/>
        <w:ind w:left="1138" w:right="0" w:firstLine="0"/>
        <w:jc w:val="left"/>
        <w:rPr>
          <w:rFonts w:ascii="Calibri"/>
          <w:sz w:val="10"/>
        </w:rPr>
      </w:pPr>
      <w:r>
        <w:rPr/>
        <w:drawing>
          <wp:anchor distT="0" distB="0" distL="0" distR="0" allowOverlap="1" layoutInCell="1" locked="0" behindDoc="0" simplePos="0" relativeHeight="251669504">
            <wp:simplePos x="0" y="0"/>
            <wp:positionH relativeFrom="page">
              <wp:posOffset>4681180</wp:posOffset>
            </wp:positionH>
            <wp:positionV relativeFrom="paragraph">
              <wp:posOffset>9313</wp:posOffset>
            </wp:positionV>
            <wp:extent cx="136420" cy="1509140"/>
            <wp:effectExtent l="0" t="0" r="0" b="0"/>
            <wp:wrapNone/>
            <wp:docPr id="5" name="image5.png"/>
            <wp:cNvGraphicFramePr>
              <a:graphicFrameLocks noChangeAspect="1"/>
            </wp:cNvGraphicFramePr>
            <a:graphic>
              <a:graphicData uri="http://schemas.openxmlformats.org/drawingml/2006/picture">
                <pic:pic>
                  <pic:nvPicPr>
                    <pic:cNvPr id="6" name="image5.png"/>
                    <pic:cNvPicPr/>
                  </pic:nvPicPr>
                  <pic:blipFill>
                    <a:blip r:embed="rId13" cstate="print"/>
                    <a:stretch>
                      <a:fillRect/>
                    </a:stretch>
                  </pic:blipFill>
                  <pic:spPr>
                    <a:xfrm>
                      <a:off x="0" y="0"/>
                      <a:ext cx="136420" cy="1509140"/>
                    </a:xfrm>
                    <a:prstGeom prst="rect">
                      <a:avLst/>
                    </a:prstGeom>
                  </pic:spPr>
                </pic:pic>
              </a:graphicData>
            </a:graphic>
          </wp:anchor>
        </w:drawing>
      </w:r>
      <w:r>
        <w:rPr>
          <w:rFonts w:ascii="Calibri"/>
          <w:w w:val="105"/>
          <w:sz w:val="10"/>
        </w:rPr>
        <w:t>A - IS Studying</w:t>
      </w:r>
    </w:p>
    <w:p>
      <w:pPr>
        <w:spacing w:line="273" w:lineRule="auto" w:before="17"/>
        <w:ind w:left="1138" w:right="3507" w:firstLine="0"/>
        <w:jc w:val="left"/>
        <w:rPr>
          <w:rFonts w:ascii="Calibri"/>
          <w:sz w:val="10"/>
        </w:rPr>
      </w:pPr>
      <w:r>
        <w:rPr>
          <w:rFonts w:ascii="Calibri"/>
          <w:w w:val="105"/>
          <w:sz w:val="10"/>
        </w:rPr>
        <w:t>B - IS Working Age C - IS Parents</w:t>
      </w:r>
    </w:p>
    <w:p>
      <w:pPr>
        <w:spacing w:before="1"/>
        <w:ind w:left="1138" w:right="0" w:firstLine="0"/>
        <w:jc w:val="left"/>
        <w:rPr>
          <w:rFonts w:ascii="Calibri"/>
          <w:sz w:val="10"/>
        </w:rPr>
      </w:pPr>
      <w:r>
        <w:rPr>
          <w:rFonts w:ascii="Calibri"/>
          <w:w w:val="105"/>
          <w:sz w:val="10"/>
        </w:rPr>
        <w:t>D - IS Carer</w:t>
      </w:r>
    </w:p>
    <w:p>
      <w:pPr>
        <w:spacing w:line="273" w:lineRule="auto" w:before="17"/>
        <w:ind w:left="1138" w:right="3671" w:firstLine="0"/>
        <w:jc w:val="left"/>
        <w:rPr>
          <w:rFonts w:ascii="Calibri"/>
          <w:sz w:val="10"/>
        </w:rPr>
      </w:pPr>
      <w:r>
        <w:rPr>
          <w:rFonts w:ascii="Calibri"/>
          <w:w w:val="105"/>
          <w:sz w:val="10"/>
        </w:rPr>
        <w:t>E - IS Disability F - IS Age</w:t>
      </w:r>
    </w:p>
    <w:p>
      <w:pPr>
        <w:spacing w:line="273" w:lineRule="auto" w:before="0"/>
        <w:ind w:left="1138" w:right="3571" w:firstLine="0"/>
        <w:jc w:val="left"/>
        <w:rPr>
          <w:rFonts w:ascii="Calibri"/>
          <w:sz w:val="10"/>
        </w:rPr>
      </w:pPr>
      <w:r>
        <w:rPr>
          <w:rFonts w:ascii="Calibri"/>
          <w:w w:val="105"/>
          <w:sz w:val="10"/>
        </w:rPr>
        <w:t>G - IS Dependant H - Other FTB</w:t>
      </w:r>
    </w:p>
    <w:p>
      <w:pPr>
        <w:spacing w:before="1"/>
        <w:ind w:left="1138" w:right="0" w:firstLine="0"/>
        <w:jc w:val="left"/>
        <w:rPr>
          <w:rFonts w:ascii="Calibri"/>
          <w:sz w:val="10"/>
        </w:rPr>
      </w:pPr>
      <w:r>
        <w:rPr>
          <w:rFonts w:ascii="Calibri"/>
          <w:w w:val="105"/>
          <w:sz w:val="10"/>
        </w:rPr>
        <w:t>I - Other Family</w:t>
      </w:r>
    </w:p>
    <w:p>
      <w:pPr>
        <w:spacing w:before="17"/>
        <w:ind w:left="1138" w:right="0" w:firstLine="0"/>
        <w:jc w:val="left"/>
        <w:rPr>
          <w:rFonts w:ascii="Calibri"/>
          <w:sz w:val="10"/>
        </w:rPr>
      </w:pPr>
      <w:r>
        <w:rPr>
          <w:rFonts w:ascii="Calibri"/>
          <w:w w:val="105"/>
          <w:sz w:val="10"/>
        </w:rPr>
        <w:t>J - Other New Parents</w:t>
      </w:r>
    </w:p>
    <w:p>
      <w:pPr>
        <w:spacing w:line="273" w:lineRule="auto" w:before="17"/>
        <w:ind w:left="1138" w:right="3103" w:firstLine="0"/>
        <w:jc w:val="left"/>
        <w:rPr>
          <w:rFonts w:ascii="Calibri"/>
          <w:sz w:val="10"/>
        </w:rPr>
      </w:pPr>
      <w:r>
        <w:rPr>
          <w:rFonts w:ascii="Calibri"/>
          <w:w w:val="105"/>
          <w:sz w:val="10"/>
        </w:rPr>
        <w:t>L - Other Health &amp; Disability M - Other Carer</w:t>
      </w:r>
    </w:p>
    <w:p>
      <w:pPr>
        <w:spacing w:before="1"/>
        <w:ind w:left="1138" w:right="0" w:firstLine="0"/>
        <w:jc w:val="left"/>
        <w:rPr>
          <w:rFonts w:ascii="Calibri"/>
          <w:sz w:val="10"/>
        </w:rPr>
      </w:pPr>
      <w:r>
        <w:rPr>
          <w:rFonts w:ascii="Calibri"/>
          <w:w w:val="105"/>
          <w:sz w:val="10"/>
        </w:rPr>
        <w:t>N - Other Study &amp; Skills</w:t>
      </w:r>
    </w:p>
    <w:p>
      <w:pPr>
        <w:spacing w:line="273" w:lineRule="auto" w:before="17"/>
        <w:ind w:left="1138" w:right="3050" w:firstLine="0"/>
        <w:jc w:val="both"/>
        <w:rPr>
          <w:rFonts w:ascii="Calibri"/>
          <w:sz w:val="10"/>
        </w:rPr>
      </w:pPr>
      <w:r>
        <w:rPr>
          <w:rFonts w:ascii="Calibri"/>
          <w:w w:val="105"/>
          <w:sz w:val="10"/>
        </w:rPr>
        <w:t>O - Other Remote &amp; Regional P - Other General Allowances Q - All Other</w:t>
      </w:r>
    </w:p>
    <w:p>
      <w:pPr>
        <w:spacing w:before="1"/>
        <w:ind w:left="1138" w:right="0" w:firstLine="0"/>
        <w:jc w:val="both"/>
        <w:rPr>
          <w:rFonts w:ascii="Calibri"/>
          <w:sz w:val="10"/>
        </w:rPr>
      </w:pPr>
      <w:r>
        <w:rPr>
          <w:rFonts w:ascii="Calibri"/>
          <w:w w:val="105"/>
          <w:sz w:val="10"/>
        </w:rPr>
        <w:t>R - Rent Assistance</w:t>
      </w:r>
    </w:p>
    <w:p>
      <w:pPr>
        <w:spacing w:after="0"/>
        <w:jc w:val="both"/>
        <w:rPr>
          <w:rFonts w:ascii="Calibri"/>
          <w:sz w:val="10"/>
        </w:rPr>
        <w:sectPr>
          <w:type w:val="continuous"/>
          <w:pgSz w:w="11910" w:h="16850"/>
          <w:pgMar w:top="1600" w:bottom="280" w:left="120" w:right="0"/>
          <w:cols w:num="5" w:equalWidth="0">
            <w:col w:w="1841" w:space="40"/>
            <w:col w:w="1447" w:space="39"/>
            <w:col w:w="1447" w:space="40"/>
            <w:col w:w="1447" w:space="40"/>
            <w:col w:w="5449"/>
          </w:cols>
        </w:sectPr>
      </w:pPr>
    </w:p>
    <w:p>
      <w:pPr>
        <w:spacing w:before="45"/>
        <w:ind w:left="3310" w:right="0" w:firstLine="0"/>
        <w:jc w:val="left"/>
        <w:rPr>
          <w:rFonts w:ascii="Calibri"/>
          <w:b/>
          <w:sz w:val="13"/>
        </w:rPr>
      </w:pPr>
      <w:r>
        <w:rPr>
          <w:rFonts w:ascii="Calibri"/>
          <w:b/>
          <w:color w:val="404040"/>
          <w:sz w:val="13"/>
        </w:rPr>
        <w:t>Total Lifetime Cost ($)</w:t>
      </w:r>
    </w:p>
    <w:p>
      <w:pPr>
        <w:pStyle w:val="BodyText"/>
        <w:spacing w:before="8"/>
        <w:rPr>
          <w:rFonts w:ascii="Calibri"/>
          <w:b/>
          <w:sz w:val="15"/>
        </w:rPr>
      </w:pPr>
    </w:p>
    <w:p>
      <w:pPr>
        <w:pStyle w:val="BodyText"/>
        <w:spacing w:before="93"/>
        <w:ind w:left="900" w:right="1109" w:hanging="1"/>
      </w:pPr>
      <w:r>
        <w:rPr>
          <w:color w:val="404040"/>
        </w:rPr>
        <w:t>From the chart, we can see that the Age Pension is by far the largest component of the total lifetime cost. The total lifetime cost for women is also higher than that for men, owing to a higher usage of Parenting and Non IS Family (including FTB) payments. In addition, projected Age Pension payments are higher for females and this is likely due to higher expected longevity. The remainder of the total lifetime cost predominantly arises from income support payments – this is due to income support users being more likely to remain in the welfare system (and continue to use welfare), as well as these payments being larger in size compared to non income support.</w:t>
      </w:r>
    </w:p>
    <w:p>
      <w:pPr>
        <w:spacing w:after="0"/>
        <w:sectPr>
          <w:type w:val="continuous"/>
          <w:pgSz w:w="11910" w:h="16850"/>
          <w:pgMar w:top="1600" w:bottom="280" w:left="120" w:right="0"/>
        </w:sectPr>
      </w:pPr>
    </w:p>
    <w:p>
      <w:pPr>
        <w:pStyle w:val="BodyText"/>
      </w:pPr>
    </w:p>
    <w:p>
      <w:pPr>
        <w:pStyle w:val="BodyText"/>
      </w:pPr>
    </w:p>
    <w:p>
      <w:pPr>
        <w:pStyle w:val="BodyText"/>
      </w:pPr>
    </w:p>
    <w:p>
      <w:pPr>
        <w:pStyle w:val="BodyText"/>
        <w:spacing w:before="5"/>
        <w:rPr>
          <w:sz w:val="26"/>
        </w:rPr>
      </w:pPr>
    </w:p>
    <w:p>
      <w:pPr>
        <w:pStyle w:val="BodyText"/>
        <w:spacing w:before="93"/>
        <w:ind w:left="900"/>
      </w:pPr>
      <w:r>
        <w:rPr>
          <w:color w:val="404040"/>
        </w:rPr>
        <w:t>The following table provides a further breakdown of the lifetime costs depicted in the figure above:</w:t>
      </w:r>
    </w:p>
    <w:p>
      <w:pPr>
        <w:pStyle w:val="Heading9"/>
        <w:spacing w:before="173" w:after="47"/>
      </w:pPr>
      <w:r>
        <w:rPr>
          <w:color w:val="DF2F1E"/>
        </w:rPr>
        <w:t>Table 2: Summary of key valuation results (30 June 2018 valuation)</w:t>
      </w:r>
    </w:p>
    <w:tbl>
      <w:tblPr>
        <w:tblW w:w="0" w:type="auto"/>
        <w:jc w:val="left"/>
        <w:tblInd w:w="9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50"/>
        <w:gridCol w:w="1077"/>
        <w:gridCol w:w="907"/>
        <w:gridCol w:w="854"/>
        <w:gridCol w:w="1023"/>
        <w:gridCol w:w="893"/>
        <w:gridCol w:w="964"/>
        <w:gridCol w:w="890"/>
      </w:tblGrid>
      <w:tr>
        <w:trPr>
          <w:trHeight w:val="1372" w:hRule="atLeast"/>
        </w:trPr>
        <w:tc>
          <w:tcPr>
            <w:tcW w:w="2750" w:type="dxa"/>
            <w:shd w:val="clear" w:color="auto" w:fill="DF2528"/>
          </w:tcPr>
          <w:p>
            <w:pPr>
              <w:pStyle w:val="TableParagraph"/>
              <w:spacing w:before="6"/>
              <w:rPr>
                <w:b/>
                <w:sz w:val="21"/>
              </w:rPr>
            </w:pPr>
          </w:p>
          <w:p>
            <w:pPr>
              <w:pStyle w:val="TableParagraph"/>
              <w:spacing w:before="0"/>
              <w:ind w:left="112"/>
              <w:rPr>
                <w:b/>
                <w:sz w:val="14"/>
              </w:rPr>
            </w:pPr>
            <w:r>
              <w:rPr>
                <w:b/>
                <w:color w:val="FFFFFF"/>
                <w:sz w:val="14"/>
              </w:rPr>
              <w:t>Population segment</w:t>
            </w:r>
          </w:p>
        </w:tc>
        <w:tc>
          <w:tcPr>
            <w:tcW w:w="1077" w:type="dxa"/>
            <w:shd w:val="clear" w:color="auto" w:fill="DF2528"/>
          </w:tcPr>
          <w:p>
            <w:pPr>
              <w:pStyle w:val="TableParagraph"/>
              <w:spacing w:before="6"/>
              <w:rPr>
                <w:b/>
                <w:sz w:val="21"/>
              </w:rPr>
            </w:pPr>
          </w:p>
          <w:p>
            <w:pPr>
              <w:pStyle w:val="TableParagraph"/>
              <w:spacing w:before="0"/>
              <w:ind w:left="113"/>
              <w:rPr>
                <w:b/>
                <w:sz w:val="14"/>
              </w:rPr>
            </w:pPr>
            <w:r>
              <w:rPr>
                <w:b/>
                <w:color w:val="FFFFFF"/>
                <w:sz w:val="14"/>
              </w:rPr>
              <w:t>Number in starting </w:t>
            </w:r>
            <w:r>
              <w:rPr>
                <w:b/>
                <w:color w:val="FFFFFF"/>
                <w:w w:val="95"/>
                <w:sz w:val="14"/>
              </w:rPr>
              <w:t>population</w:t>
            </w:r>
          </w:p>
        </w:tc>
        <w:tc>
          <w:tcPr>
            <w:tcW w:w="907" w:type="dxa"/>
            <w:shd w:val="clear" w:color="auto" w:fill="DF2528"/>
          </w:tcPr>
          <w:p>
            <w:pPr>
              <w:pStyle w:val="TableParagraph"/>
              <w:spacing w:before="6"/>
              <w:rPr>
                <w:b/>
                <w:sz w:val="21"/>
              </w:rPr>
            </w:pPr>
          </w:p>
          <w:p>
            <w:pPr>
              <w:pStyle w:val="TableParagraph"/>
              <w:spacing w:before="0"/>
              <w:ind w:left="332" w:hanging="154"/>
              <w:rPr>
                <w:b/>
                <w:sz w:val="14"/>
              </w:rPr>
            </w:pPr>
            <w:r>
              <w:rPr>
                <w:b/>
                <w:color w:val="FFFFFF"/>
                <w:w w:val="95"/>
                <w:sz w:val="14"/>
              </w:rPr>
              <w:t>Average </w:t>
            </w:r>
            <w:r>
              <w:rPr>
                <w:b/>
                <w:color w:val="FFFFFF"/>
                <w:sz w:val="14"/>
              </w:rPr>
              <w:t>age</w:t>
            </w:r>
          </w:p>
        </w:tc>
        <w:tc>
          <w:tcPr>
            <w:tcW w:w="854" w:type="dxa"/>
            <w:shd w:val="clear" w:color="auto" w:fill="DF2528"/>
          </w:tcPr>
          <w:p>
            <w:pPr>
              <w:pStyle w:val="TableParagraph"/>
              <w:spacing w:before="6"/>
              <w:rPr>
                <w:b/>
                <w:sz w:val="21"/>
              </w:rPr>
            </w:pPr>
          </w:p>
          <w:p>
            <w:pPr>
              <w:pStyle w:val="TableParagraph"/>
              <w:spacing w:before="0"/>
              <w:ind w:left="159" w:right="156" w:hanging="3"/>
              <w:jc w:val="center"/>
              <w:rPr>
                <w:b/>
                <w:sz w:val="14"/>
              </w:rPr>
            </w:pPr>
            <w:r>
              <w:rPr>
                <w:b/>
                <w:color w:val="FFFFFF"/>
                <w:sz w:val="14"/>
              </w:rPr>
              <w:t>Total </w:t>
            </w:r>
            <w:r>
              <w:rPr>
                <w:b/>
                <w:color w:val="FFFFFF"/>
                <w:w w:val="95"/>
                <w:sz w:val="14"/>
              </w:rPr>
              <w:t>Lifetime </w:t>
            </w:r>
            <w:r>
              <w:rPr>
                <w:b/>
                <w:color w:val="FFFFFF"/>
                <w:sz w:val="14"/>
              </w:rPr>
              <w:t>cost ($bn)</w:t>
            </w:r>
          </w:p>
        </w:tc>
        <w:tc>
          <w:tcPr>
            <w:tcW w:w="1916" w:type="dxa"/>
            <w:gridSpan w:val="2"/>
            <w:shd w:val="clear" w:color="auto" w:fill="DF2528"/>
          </w:tcPr>
          <w:p>
            <w:pPr>
              <w:pStyle w:val="TableParagraph"/>
              <w:spacing w:before="6"/>
              <w:rPr>
                <w:b/>
                <w:sz w:val="21"/>
              </w:rPr>
            </w:pPr>
          </w:p>
          <w:p>
            <w:pPr>
              <w:pStyle w:val="TableParagraph"/>
              <w:tabs>
                <w:tab w:pos="1182" w:val="left" w:leader="none"/>
              </w:tabs>
              <w:spacing w:before="0"/>
              <w:ind w:left="222"/>
              <w:rPr>
                <w:b/>
                <w:sz w:val="14"/>
              </w:rPr>
            </w:pPr>
            <w:r>
              <w:rPr>
                <w:b/>
                <w:color w:val="FFFFFF"/>
                <w:sz w:val="14"/>
              </w:rPr>
              <w:t>Average</w:t>
              <w:tab/>
              <w:t>Average</w:t>
            </w:r>
          </w:p>
          <w:p>
            <w:pPr>
              <w:pStyle w:val="TableParagraph"/>
              <w:tabs>
                <w:tab w:pos="1213" w:val="left" w:leader="none"/>
              </w:tabs>
              <w:spacing w:before="0"/>
              <w:ind w:left="128"/>
              <w:rPr>
                <w:b/>
                <w:sz w:val="14"/>
              </w:rPr>
            </w:pPr>
            <w:r>
              <w:rPr>
                <w:b/>
                <w:color w:val="FFFFFF"/>
                <w:sz w:val="14"/>
              </w:rPr>
              <w:t>payment</w:t>
            </w:r>
            <w:r>
              <w:rPr>
                <w:b/>
                <w:color w:val="FFFFFF"/>
                <w:spacing w:val="-3"/>
                <w:sz w:val="14"/>
              </w:rPr>
              <w:t> </w:t>
            </w:r>
            <w:r>
              <w:rPr>
                <w:b/>
                <w:color w:val="FFFFFF"/>
                <w:sz w:val="14"/>
              </w:rPr>
              <w:t>in</w:t>
              <w:tab/>
              <w:t>lifetime</w:t>
            </w:r>
          </w:p>
          <w:p>
            <w:pPr>
              <w:pStyle w:val="TableParagraph"/>
              <w:tabs>
                <w:tab w:pos="1314" w:val="left" w:leader="none"/>
              </w:tabs>
              <w:spacing w:before="0"/>
              <w:ind w:left="246"/>
              <w:rPr>
                <w:b/>
                <w:sz w:val="14"/>
              </w:rPr>
            </w:pPr>
            <w:r>
              <w:rPr>
                <w:b/>
                <w:color w:val="FFFFFF"/>
                <w:sz w:val="14"/>
              </w:rPr>
              <w:t>2017/18</w:t>
              <w:tab/>
              <w:t>cost</w:t>
            </w:r>
          </w:p>
          <w:p>
            <w:pPr>
              <w:pStyle w:val="TableParagraph"/>
              <w:tabs>
                <w:tab w:pos="1129" w:val="left" w:leader="none"/>
              </w:tabs>
              <w:spacing w:before="0"/>
              <w:ind w:left="412"/>
              <w:rPr>
                <w:b/>
                <w:sz w:val="14"/>
              </w:rPr>
            </w:pPr>
            <w:r>
              <w:rPr>
                <w:b/>
                <w:color w:val="FFFFFF"/>
                <w:sz w:val="14"/>
              </w:rPr>
              <w:t>(a)</w:t>
              <w:tab/>
              <w:t>($'000)</w:t>
            </w:r>
            <w:r>
              <w:rPr>
                <w:b/>
                <w:color w:val="FFFFFF"/>
                <w:spacing w:val="-4"/>
                <w:sz w:val="14"/>
              </w:rPr>
              <w:t> </w:t>
            </w:r>
            <w:r>
              <w:rPr>
                <w:b/>
                <w:color w:val="FFFFFF"/>
                <w:sz w:val="14"/>
              </w:rPr>
              <w:t>(b)</w:t>
            </w:r>
          </w:p>
        </w:tc>
        <w:tc>
          <w:tcPr>
            <w:tcW w:w="964" w:type="dxa"/>
            <w:shd w:val="clear" w:color="auto" w:fill="DF2528"/>
          </w:tcPr>
          <w:p>
            <w:pPr>
              <w:pStyle w:val="TableParagraph"/>
              <w:spacing w:before="6"/>
              <w:rPr>
                <w:b/>
                <w:sz w:val="21"/>
              </w:rPr>
            </w:pPr>
          </w:p>
          <w:p>
            <w:pPr>
              <w:pStyle w:val="TableParagraph"/>
              <w:spacing w:before="0"/>
              <w:ind w:left="147" w:right="139"/>
              <w:jc w:val="center"/>
              <w:rPr>
                <w:b/>
                <w:sz w:val="14"/>
              </w:rPr>
            </w:pPr>
            <w:r>
              <w:rPr>
                <w:b/>
                <w:color w:val="FFFFFF"/>
                <w:sz w:val="14"/>
              </w:rPr>
              <w:t>Change in average lifetime cost (%)</w:t>
            </w:r>
          </w:p>
        </w:tc>
        <w:tc>
          <w:tcPr>
            <w:tcW w:w="890" w:type="dxa"/>
            <w:shd w:val="clear" w:color="auto" w:fill="DF2528"/>
          </w:tcPr>
          <w:p>
            <w:pPr>
              <w:pStyle w:val="TableParagraph"/>
              <w:spacing w:before="6"/>
              <w:rPr>
                <w:b/>
                <w:sz w:val="21"/>
              </w:rPr>
            </w:pPr>
          </w:p>
          <w:p>
            <w:pPr>
              <w:pStyle w:val="TableParagraph"/>
              <w:spacing w:before="0"/>
              <w:ind w:left="134" w:right="125"/>
              <w:jc w:val="center"/>
              <w:rPr>
                <w:b/>
                <w:sz w:val="14"/>
              </w:rPr>
            </w:pPr>
            <w:r>
              <w:rPr>
                <w:b/>
                <w:color w:val="FFFFFF"/>
                <w:sz w:val="14"/>
              </w:rPr>
              <w:t>Ratio</w:t>
            </w:r>
          </w:p>
          <w:p>
            <w:pPr>
              <w:pStyle w:val="TableParagraph"/>
              <w:spacing w:before="38"/>
              <w:ind w:left="134" w:right="128"/>
              <w:jc w:val="center"/>
              <w:rPr>
                <w:b/>
                <w:sz w:val="14"/>
              </w:rPr>
            </w:pPr>
            <w:r>
              <w:rPr>
                <w:b/>
                <w:color w:val="FFFFFF"/>
                <w:sz w:val="14"/>
              </w:rPr>
              <w:t>= (b) / (a)</w:t>
            </w:r>
          </w:p>
        </w:tc>
      </w:tr>
      <w:tr>
        <w:trPr>
          <w:trHeight w:val="239" w:hRule="atLeast"/>
        </w:trPr>
        <w:tc>
          <w:tcPr>
            <w:tcW w:w="9358" w:type="dxa"/>
            <w:gridSpan w:val="8"/>
            <w:shd w:val="clear" w:color="auto" w:fill="DF2528"/>
          </w:tcPr>
          <w:p>
            <w:pPr>
              <w:pStyle w:val="TableParagraph"/>
              <w:spacing w:before="39"/>
              <w:ind w:left="112"/>
              <w:rPr>
                <w:b/>
                <w:sz w:val="14"/>
              </w:rPr>
            </w:pPr>
            <w:r>
              <w:rPr>
                <w:b/>
                <w:color w:val="FFFFFF"/>
                <w:sz w:val="14"/>
              </w:rPr>
              <w:t>Current welfare recipients</w:t>
            </w:r>
          </w:p>
        </w:tc>
      </w:tr>
      <w:tr>
        <w:trPr>
          <w:trHeight w:val="246" w:hRule="atLeast"/>
        </w:trPr>
        <w:tc>
          <w:tcPr>
            <w:tcW w:w="2750" w:type="dxa"/>
            <w:tcBorders>
              <w:top w:val="single" w:sz="4" w:space="0" w:color="DF2528"/>
              <w:bottom w:val="single" w:sz="4" w:space="0" w:color="DF2528"/>
            </w:tcBorders>
          </w:tcPr>
          <w:p>
            <w:pPr>
              <w:pStyle w:val="TableParagraph"/>
              <w:spacing w:before="41"/>
              <w:ind w:left="112"/>
              <w:rPr>
                <w:sz w:val="14"/>
              </w:rPr>
            </w:pPr>
            <w:r>
              <w:rPr>
                <w:color w:val="404040"/>
                <w:sz w:val="14"/>
              </w:rPr>
              <w:t>- Studying payment recipients</w:t>
            </w:r>
          </w:p>
        </w:tc>
        <w:tc>
          <w:tcPr>
            <w:tcW w:w="1077" w:type="dxa"/>
            <w:tcBorders>
              <w:top w:val="single" w:sz="4" w:space="0" w:color="DF2528"/>
              <w:bottom w:val="single" w:sz="4" w:space="0" w:color="DF2528"/>
            </w:tcBorders>
          </w:tcPr>
          <w:p>
            <w:pPr>
              <w:pStyle w:val="TableParagraph"/>
              <w:spacing w:before="41"/>
              <w:ind w:right="284"/>
              <w:jc w:val="right"/>
              <w:rPr>
                <w:sz w:val="14"/>
              </w:rPr>
            </w:pPr>
            <w:r>
              <w:rPr>
                <w:color w:val="404040"/>
                <w:sz w:val="14"/>
              </w:rPr>
              <w:t>358,986</w:t>
            </w:r>
          </w:p>
        </w:tc>
        <w:tc>
          <w:tcPr>
            <w:tcW w:w="907" w:type="dxa"/>
            <w:tcBorders>
              <w:top w:val="single" w:sz="4" w:space="0" w:color="DF2528"/>
              <w:bottom w:val="single" w:sz="4" w:space="0" w:color="DF2528"/>
            </w:tcBorders>
          </w:tcPr>
          <w:p>
            <w:pPr>
              <w:pStyle w:val="TableParagraph"/>
              <w:spacing w:before="41"/>
              <w:ind w:left="355" w:right="355"/>
              <w:jc w:val="center"/>
              <w:rPr>
                <w:sz w:val="14"/>
              </w:rPr>
            </w:pPr>
            <w:r>
              <w:rPr>
                <w:color w:val="404040"/>
                <w:sz w:val="14"/>
              </w:rPr>
              <w:t>24</w:t>
            </w:r>
          </w:p>
        </w:tc>
        <w:tc>
          <w:tcPr>
            <w:tcW w:w="854" w:type="dxa"/>
            <w:tcBorders>
              <w:top w:val="single" w:sz="4" w:space="0" w:color="DF2528"/>
              <w:bottom w:val="single" w:sz="4" w:space="0" w:color="DF2528"/>
            </w:tcBorders>
          </w:tcPr>
          <w:p>
            <w:pPr>
              <w:pStyle w:val="TableParagraph"/>
              <w:spacing w:before="41"/>
              <w:ind w:left="230" w:right="231"/>
              <w:jc w:val="center"/>
              <w:rPr>
                <w:sz w:val="14"/>
              </w:rPr>
            </w:pPr>
            <w:r>
              <w:rPr>
                <w:color w:val="404040"/>
                <w:sz w:val="14"/>
              </w:rPr>
              <w:t>94</w:t>
            </w:r>
          </w:p>
        </w:tc>
        <w:tc>
          <w:tcPr>
            <w:tcW w:w="1023" w:type="dxa"/>
            <w:tcBorders>
              <w:top w:val="single" w:sz="4" w:space="0" w:color="DF2528"/>
              <w:bottom w:val="single" w:sz="4" w:space="0" w:color="DF2528"/>
            </w:tcBorders>
          </w:tcPr>
          <w:p>
            <w:pPr>
              <w:pStyle w:val="TableParagraph"/>
              <w:spacing w:before="41"/>
              <w:ind w:left="264" w:right="290"/>
              <w:jc w:val="center"/>
              <w:rPr>
                <w:sz w:val="14"/>
              </w:rPr>
            </w:pPr>
            <w:r>
              <w:rPr>
                <w:color w:val="404040"/>
                <w:sz w:val="14"/>
              </w:rPr>
              <w:t>7,500</w:t>
            </w:r>
          </w:p>
        </w:tc>
        <w:tc>
          <w:tcPr>
            <w:tcW w:w="893" w:type="dxa"/>
            <w:tcBorders>
              <w:top w:val="single" w:sz="4" w:space="0" w:color="DF2528"/>
              <w:bottom w:val="single" w:sz="4" w:space="0" w:color="DF2528"/>
            </w:tcBorders>
          </w:tcPr>
          <w:p>
            <w:pPr>
              <w:pStyle w:val="TableParagraph"/>
              <w:spacing w:before="41"/>
              <w:ind w:left="297" w:right="321"/>
              <w:jc w:val="center"/>
              <w:rPr>
                <w:sz w:val="14"/>
              </w:rPr>
            </w:pPr>
            <w:r>
              <w:rPr>
                <w:color w:val="404040"/>
                <w:sz w:val="14"/>
              </w:rPr>
              <w:t>263</w:t>
            </w:r>
          </w:p>
        </w:tc>
        <w:tc>
          <w:tcPr>
            <w:tcW w:w="964" w:type="dxa"/>
            <w:tcBorders>
              <w:top w:val="single" w:sz="4" w:space="0" w:color="DF2528"/>
              <w:bottom w:val="single" w:sz="4" w:space="0" w:color="DF2528"/>
            </w:tcBorders>
          </w:tcPr>
          <w:p>
            <w:pPr>
              <w:pStyle w:val="TableParagraph"/>
              <w:spacing w:before="41"/>
              <w:ind w:right="259"/>
              <w:jc w:val="right"/>
              <w:rPr>
                <w:sz w:val="14"/>
              </w:rPr>
            </w:pPr>
            <w:r>
              <w:rPr>
                <w:color w:val="404040"/>
                <w:w w:val="95"/>
                <w:sz w:val="14"/>
              </w:rPr>
              <w:t>-12.4%</w:t>
            </w:r>
          </w:p>
        </w:tc>
        <w:tc>
          <w:tcPr>
            <w:tcW w:w="890" w:type="dxa"/>
            <w:tcBorders>
              <w:top w:val="single" w:sz="4" w:space="0" w:color="DF2528"/>
              <w:bottom w:val="single" w:sz="4" w:space="0" w:color="DF2528"/>
            </w:tcBorders>
          </w:tcPr>
          <w:p>
            <w:pPr>
              <w:pStyle w:val="TableParagraph"/>
              <w:spacing w:before="41"/>
              <w:ind w:left="134" w:right="128"/>
              <w:jc w:val="center"/>
              <w:rPr>
                <w:sz w:val="14"/>
              </w:rPr>
            </w:pPr>
            <w:r>
              <w:rPr>
                <w:color w:val="404040"/>
                <w:sz w:val="14"/>
              </w:rPr>
              <w:t>35</w:t>
            </w:r>
          </w:p>
        </w:tc>
      </w:tr>
      <w:tr>
        <w:trPr>
          <w:trHeight w:val="239" w:hRule="atLeast"/>
        </w:trPr>
        <w:tc>
          <w:tcPr>
            <w:tcW w:w="2750" w:type="dxa"/>
            <w:tcBorders>
              <w:top w:val="single" w:sz="4" w:space="0" w:color="DF2528"/>
              <w:bottom w:val="single" w:sz="4" w:space="0" w:color="DF2528"/>
            </w:tcBorders>
          </w:tcPr>
          <w:p>
            <w:pPr>
              <w:pStyle w:val="TableParagraph"/>
              <w:spacing w:before="36"/>
              <w:ind w:left="112"/>
              <w:rPr>
                <w:sz w:val="14"/>
              </w:rPr>
            </w:pPr>
            <w:r>
              <w:rPr>
                <w:color w:val="404040"/>
                <w:sz w:val="14"/>
              </w:rPr>
              <w:t>- Working Age payment recipients</w:t>
            </w:r>
          </w:p>
        </w:tc>
        <w:tc>
          <w:tcPr>
            <w:tcW w:w="1077" w:type="dxa"/>
            <w:tcBorders>
              <w:top w:val="single" w:sz="4" w:space="0" w:color="DF2528"/>
              <w:bottom w:val="single" w:sz="4" w:space="0" w:color="DF2528"/>
            </w:tcBorders>
          </w:tcPr>
          <w:p>
            <w:pPr>
              <w:pStyle w:val="TableParagraph"/>
              <w:spacing w:before="36"/>
              <w:ind w:right="226"/>
              <w:jc w:val="right"/>
              <w:rPr>
                <w:sz w:val="14"/>
              </w:rPr>
            </w:pPr>
            <w:r>
              <w:rPr>
                <w:color w:val="404040"/>
                <w:sz w:val="14"/>
              </w:rPr>
              <w:t>1,237,075</w:t>
            </w:r>
          </w:p>
        </w:tc>
        <w:tc>
          <w:tcPr>
            <w:tcW w:w="907" w:type="dxa"/>
            <w:tcBorders>
              <w:top w:val="single" w:sz="4" w:space="0" w:color="DF2528"/>
              <w:bottom w:val="single" w:sz="4" w:space="0" w:color="DF2528"/>
            </w:tcBorders>
          </w:tcPr>
          <w:p>
            <w:pPr>
              <w:pStyle w:val="TableParagraph"/>
              <w:spacing w:before="36"/>
              <w:ind w:left="355" w:right="355"/>
              <w:jc w:val="center"/>
              <w:rPr>
                <w:sz w:val="14"/>
              </w:rPr>
            </w:pPr>
            <w:r>
              <w:rPr>
                <w:color w:val="404040"/>
                <w:sz w:val="14"/>
              </w:rPr>
              <w:t>40</w:t>
            </w:r>
          </w:p>
        </w:tc>
        <w:tc>
          <w:tcPr>
            <w:tcW w:w="854" w:type="dxa"/>
            <w:tcBorders>
              <w:top w:val="single" w:sz="4" w:space="0" w:color="DF2528"/>
              <w:bottom w:val="single" w:sz="4" w:space="0" w:color="DF2528"/>
            </w:tcBorders>
          </w:tcPr>
          <w:p>
            <w:pPr>
              <w:pStyle w:val="TableParagraph"/>
              <w:spacing w:before="36"/>
              <w:ind w:left="230" w:right="231"/>
              <w:jc w:val="center"/>
              <w:rPr>
                <w:sz w:val="14"/>
              </w:rPr>
            </w:pPr>
            <w:r>
              <w:rPr>
                <w:color w:val="404040"/>
                <w:sz w:val="14"/>
              </w:rPr>
              <w:t>471</w:t>
            </w:r>
          </w:p>
        </w:tc>
        <w:tc>
          <w:tcPr>
            <w:tcW w:w="1023" w:type="dxa"/>
            <w:tcBorders>
              <w:top w:val="single" w:sz="4" w:space="0" w:color="DF2528"/>
              <w:bottom w:val="single" w:sz="4" w:space="0" w:color="DF2528"/>
            </w:tcBorders>
          </w:tcPr>
          <w:p>
            <w:pPr>
              <w:pStyle w:val="TableParagraph"/>
              <w:spacing w:before="36"/>
              <w:ind w:left="264" w:right="290"/>
              <w:jc w:val="center"/>
              <w:rPr>
                <w:sz w:val="14"/>
              </w:rPr>
            </w:pPr>
            <w:r>
              <w:rPr>
                <w:color w:val="404040"/>
                <w:sz w:val="14"/>
              </w:rPr>
              <w:t>11,500</w:t>
            </w:r>
          </w:p>
        </w:tc>
        <w:tc>
          <w:tcPr>
            <w:tcW w:w="893" w:type="dxa"/>
            <w:tcBorders>
              <w:top w:val="single" w:sz="4" w:space="0" w:color="DF2528"/>
              <w:bottom w:val="single" w:sz="4" w:space="0" w:color="DF2528"/>
            </w:tcBorders>
          </w:tcPr>
          <w:p>
            <w:pPr>
              <w:pStyle w:val="TableParagraph"/>
              <w:spacing w:before="36"/>
              <w:ind w:left="297" w:right="321"/>
              <w:jc w:val="center"/>
              <w:rPr>
                <w:sz w:val="14"/>
              </w:rPr>
            </w:pPr>
            <w:r>
              <w:rPr>
                <w:color w:val="404040"/>
                <w:sz w:val="14"/>
              </w:rPr>
              <w:t>380</w:t>
            </w:r>
          </w:p>
        </w:tc>
        <w:tc>
          <w:tcPr>
            <w:tcW w:w="964" w:type="dxa"/>
            <w:tcBorders>
              <w:top w:val="single" w:sz="4" w:space="0" w:color="DF2528"/>
              <w:bottom w:val="single" w:sz="4" w:space="0" w:color="DF2528"/>
            </w:tcBorders>
          </w:tcPr>
          <w:p>
            <w:pPr>
              <w:pStyle w:val="TableParagraph"/>
              <w:spacing w:before="36"/>
              <w:ind w:right="297"/>
              <w:jc w:val="right"/>
              <w:rPr>
                <w:sz w:val="14"/>
              </w:rPr>
            </w:pPr>
            <w:r>
              <w:rPr>
                <w:color w:val="404040"/>
                <w:sz w:val="14"/>
              </w:rPr>
              <w:t>-4.7%</w:t>
            </w:r>
          </w:p>
        </w:tc>
        <w:tc>
          <w:tcPr>
            <w:tcW w:w="890" w:type="dxa"/>
            <w:tcBorders>
              <w:top w:val="single" w:sz="4" w:space="0" w:color="DF2528"/>
              <w:bottom w:val="single" w:sz="4" w:space="0" w:color="DF2528"/>
            </w:tcBorders>
          </w:tcPr>
          <w:p>
            <w:pPr>
              <w:pStyle w:val="TableParagraph"/>
              <w:spacing w:before="36"/>
              <w:ind w:left="134" w:right="128"/>
              <w:jc w:val="center"/>
              <w:rPr>
                <w:sz w:val="14"/>
              </w:rPr>
            </w:pPr>
            <w:r>
              <w:rPr>
                <w:color w:val="404040"/>
                <w:sz w:val="14"/>
              </w:rPr>
              <w:t>33</w:t>
            </w:r>
          </w:p>
        </w:tc>
      </w:tr>
      <w:tr>
        <w:trPr>
          <w:trHeight w:val="242" w:hRule="atLeast"/>
        </w:trPr>
        <w:tc>
          <w:tcPr>
            <w:tcW w:w="2750" w:type="dxa"/>
            <w:tcBorders>
              <w:top w:val="single" w:sz="4" w:space="0" w:color="DF2528"/>
              <w:bottom w:val="single" w:sz="4" w:space="0" w:color="DF2528"/>
            </w:tcBorders>
          </w:tcPr>
          <w:p>
            <w:pPr>
              <w:pStyle w:val="TableParagraph"/>
              <w:spacing w:before="36"/>
              <w:ind w:left="112"/>
              <w:rPr>
                <w:sz w:val="14"/>
              </w:rPr>
            </w:pPr>
            <w:r>
              <w:rPr>
                <w:color w:val="404040"/>
                <w:sz w:val="14"/>
              </w:rPr>
              <w:t>- Parenting payment recipients</w:t>
            </w:r>
          </w:p>
        </w:tc>
        <w:tc>
          <w:tcPr>
            <w:tcW w:w="1077" w:type="dxa"/>
            <w:tcBorders>
              <w:top w:val="single" w:sz="4" w:space="0" w:color="DF2528"/>
              <w:bottom w:val="single" w:sz="4" w:space="0" w:color="DF2528"/>
            </w:tcBorders>
          </w:tcPr>
          <w:p>
            <w:pPr>
              <w:pStyle w:val="TableParagraph"/>
              <w:spacing w:before="36"/>
              <w:ind w:right="284"/>
              <w:jc w:val="right"/>
              <w:rPr>
                <w:sz w:val="14"/>
              </w:rPr>
            </w:pPr>
            <w:r>
              <w:rPr>
                <w:color w:val="404040"/>
                <w:sz w:val="14"/>
              </w:rPr>
              <w:t>380,947</w:t>
            </w:r>
          </w:p>
        </w:tc>
        <w:tc>
          <w:tcPr>
            <w:tcW w:w="907" w:type="dxa"/>
            <w:tcBorders>
              <w:top w:val="single" w:sz="4" w:space="0" w:color="DF2528"/>
              <w:bottom w:val="single" w:sz="4" w:space="0" w:color="DF2528"/>
            </w:tcBorders>
          </w:tcPr>
          <w:p>
            <w:pPr>
              <w:pStyle w:val="TableParagraph"/>
              <w:spacing w:before="36"/>
              <w:ind w:left="355" w:right="355"/>
              <w:jc w:val="center"/>
              <w:rPr>
                <w:sz w:val="14"/>
              </w:rPr>
            </w:pPr>
            <w:r>
              <w:rPr>
                <w:color w:val="404040"/>
                <w:sz w:val="14"/>
              </w:rPr>
              <w:t>33</w:t>
            </w:r>
          </w:p>
        </w:tc>
        <w:tc>
          <w:tcPr>
            <w:tcW w:w="854" w:type="dxa"/>
            <w:tcBorders>
              <w:top w:val="single" w:sz="4" w:space="0" w:color="DF2528"/>
              <w:bottom w:val="single" w:sz="4" w:space="0" w:color="DF2528"/>
            </w:tcBorders>
          </w:tcPr>
          <w:p>
            <w:pPr>
              <w:pStyle w:val="TableParagraph"/>
              <w:spacing w:before="36"/>
              <w:ind w:left="230" w:right="231"/>
              <w:jc w:val="center"/>
              <w:rPr>
                <w:sz w:val="14"/>
              </w:rPr>
            </w:pPr>
            <w:r>
              <w:rPr>
                <w:color w:val="404040"/>
                <w:sz w:val="14"/>
              </w:rPr>
              <w:t>220</w:t>
            </w:r>
          </w:p>
        </w:tc>
        <w:tc>
          <w:tcPr>
            <w:tcW w:w="1023" w:type="dxa"/>
            <w:tcBorders>
              <w:top w:val="single" w:sz="4" w:space="0" w:color="DF2528"/>
              <w:bottom w:val="single" w:sz="4" w:space="0" w:color="DF2528"/>
            </w:tcBorders>
          </w:tcPr>
          <w:p>
            <w:pPr>
              <w:pStyle w:val="TableParagraph"/>
              <w:spacing w:before="36"/>
              <w:ind w:left="264" w:right="290"/>
              <w:jc w:val="center"/>
              <w:rPr>
                <w:sz w:val="14"/>
              </w:rPr>
            </w:pPr>
            <w:r>
              <w:rPr>
                <w:color w:val="404040"/>
                <w:sz w:val="14"/>
              </w:rPr>
              <w:t>33,000</w:t>
            </w:r>
          </w:p>
        </w:tc>
        <w:tc>
          <w:tcPr>
            <w:tcW w:w="893" w:type="dxa"/>
            <w:tcBorders>
              <w:top w:val="single" w:sz="4" w:space="0" w:color="DF2528"/>
              <w:bottom w:val="single" w:sz="4" w:space="0" w:color="DF2528"/>
            </w:tcBorders>
          </w:tcPr>
          <w:p>
            <w:pPr>
              <w:pStyle w:val="TableParagraph"/>
              <w:spacing w:before="36"/>
              <w:ind w:left="297" w:right="321"/>
              <w:jc w:val="center"/>
              <w:rPr>
                <w:sz w:val="14"/>
              </w:rPr>
            </w:pPr>
            <w:r>
              <w:rPr>
                <w:color w:val="404040"/>
                <w:sz w:val="14"/>
              </w:rPr>
              <w:t>577</w:t>
            </w:r>
          </w:p>
        </w:tc>
        <w:tc>
          <w:tcPr>
            <w:tcW w:w="964" w:type="dxa"/>
            <w:tcBorders>
              <w:top w:val="single" w:sz="4" w:space="0" w:color="DF2528"/>
              <w:bottom w:val="single" w:sz="4" w:space="0" w:color="DF2528"/>
            </w:tcBorders>
          </w:tcPr>
          <w:p>
            <w:pPr>
              <w:pStyle w:val="TableParagraph"/>
              <w:spacing w:before="36"/>
              <w:ind w:right="297"/>
              <w:jc w:val="right"/>
              <w:rPr>
                <w:sz w:val="14"/>
              </w:rPr>
            </w:pPr>
            <w:r>
              <w:rPr>
                <w:color w:val="404040"/>
                <w:sz w:val="14"/>
              </w:rPr>
              <w:t>-3.2%</w:t>
            </w:r>
          </w:p>
        </w:tc>
        <w:tc>
          <w:tcPr>
            <w:tcW w:w="890" w:type="dxa"/>
            <w:tcBorders>
              <w:top w:val="single" w:sz="4" w:space="0" w:color="DF2528"/>
              <w:bottom w:val="single" w:sz="4" w:space="0" w:color="DF2528"/>
            </w:tcBorders>
          </w:tcPr>
          <w:p>
            <w:pPr>
              <w:pStyle w:val="TableParagraph"/>
              <w:spacing w:before="36"/>
              <w:ind w:left="134" w:right="128"/>
              <w:jc w:val="center"/>
              <w:rPr>
                <w:sz w:val="14"/>
              </w:rPr>
            </w:pPr>
            <w:r>
              <w:rPr>
                <w:color w:val="404040"/>
                <w:sz w:val="14"/>
              </w:rPr>
              <w:t>17</w:t>
            </w:r>
          </w:p>
        </w:tc>
      </w:tr>
      <w:tr>
        <w:trPr>
          <w:trHeight w:val="239" w:hRule="atLeast"/>
        </w:trPr>
        <w:tc>
          <w:tcPr>
            <w:tcW w:w="2750" w:type="dxa"/>
            <w:tcBorders>
              <w:top w:val="single" w:sz="4" w:space="0" w:color="DF2528"/>
              <w:bottom w:val="single" w:sz="4" w:space="0" w:color="DF2528"/>
            </w:tcBorders>
          </w:tcPr>
          <w:p>
            <w:pPr>
              <w:pStyle w:val="TableParagraph"/>
              <w:spacing w:before="36"/>
              <w:ind w:left="112"/>
              <w:rPr>
                <w:sz w:val="14"/>
              </w:rPr>
            </w:pPr>
            <w:r>
              <w:rPr>
                <w:color w:val="404040"/>
                <w:sz w:val="14"/>
              </w:rPr>
              <w:t>- Carer payment recipients</w:t>
            </w:r>
          </w:p>
        </w:tc>
        <w:tc>
          <w:tcPr>
            <w:tcW w:w="1077" w:type="dxa"/>
            <w:tcBorders>
              <w:top w:val="single" w:sz="4" w:space="0" w:color="DF2528"/>
              <w:bottom w:val="single" w:sz="4" w:space="0" w:color="DF2528"/>
            </w:tcBorders>
          </w:tcPr>
          <w:p>
            <w:pPr>
              <w:pStyle w:val="TableParagraph"/>
              <w:spacing w:before="36"/>
              <w:ind w:right="284"/>
              <w:jc w:val="right"/>
              <w:rPr>
                <w:sz w:val="14"/>
              </w:rPr>
            </w:pPr>
            <w:r>
              <w:rPr>
                <w:color w:val="404040"/>
                <w:sz w:val="14"/>
              </w:rPr>
              <w:t>294,008</w:t>
            </w:r>
          </w:p>
        </w:tc>
        <w:tc>
          <w:tcPr>
            <w:tcW w:w="907" w:type="dxa"/>
            <w:tcBorders>
              <w:top w:val="single" w:sz="4" w:space="0" w:color="DF2528"/>
              <w:bottom w:val="single" w:sz="4" w:space="0" w:color="DF2528"/>
            </w:tcBorders>
          </w:tcPr>
          <w:p>
            <w:pPr>
              <w:pStyle w:val="TableParagraph"/>
              <w:spacing w:before="36"/>
              <w:ind w:left="355" w:right="355"/>
              <w:jc w:val="center"/>
              <w:rPr>
                <w:sz w:val="14"/>
              </w:rPr>
            </w:pPr>
            <w:r>
              <w:rPr>
                <w:color w:val="404040"/>
                <w:sz w:val="14"/>
              </w:rPr>
              <w:t>51</w:t>
            </w:r>
          </w:p>
        </w:tc>
        <w:tc>
          <w:tcPr>
            <w:tcW w:w="854" w:type="dxa"/>
            <w:tcBorders>
              <w:top w:val="single" w:sz="4" w:space="0" w:color="DF2528"/>
              <w:bottom w:val="single" w:sz="4" w:space="0" w:color="DF2528"/>
            </w:tcBorders>
          </w:tcPr>
          <w:p>
            <w:pPr>
              <w:pStyle w:val="TableParagraph"/>
              <w:spacing w:before="36"/>
              <w:ind w:left="230" w:right="231"/>
              <w:jc w:val="center"/>
              <w:rPr>
                <w:sz w:val="14"/>
              </w:rPr>
            </w:pPr>
            <w:r>
              <w:rPr>
                <w:color w:val="404040"/>
                <w:sz w:val="14"/>
              </w:rPr>
              <w:t>155</w:t>
            </w:r>
          </w:p>
        </w:tc>
        <w:tc>
          <w:tcPr>
            <w:tcW w:w="1023" w:type="dxa"/>
            <w:tcBorders>
              <w:top w:val="single" w:sz="4" w:space="0" w:color="DF2528"/>
              <w:bottom w:val="single" w:sz="4" w:space="0" w:color="DF2528"/>
            </w:tcBorders>
          </w:tcPr>
          <w:p>
            <w:pPr>
              <w:pStyle w:val="TableParagraph"/>
              <w:spacing w:before="36"/>
              <w:ind w:left="264" w:right="290"/>
              <w:jc w:val="center"/>
              <w:rPr>
                <w:sz w:val="14"/>
              </w:rPr>
            </w:pPr>
            <w:r>
              <w:rPr>
                <w:color w:val="404040"/>
                <w:sz w:val="14"/>
              </w:rPr>
              <w:t>27,400</w:t>
            </w:r>
          </w:p>
        </w:tc>
        <w:tc>
          <w:tcPr>
            <w:tcW w:w="893" w:type="dxa"/>
            <w:tcBorders>
              <w:top w:val="single" w:sz="4" w:space="0" w:color="DF2528"/>
              <w:bottom w:val="single" w:sz="4" w:space="0" w:color="DF2528"/>
            </w:tcBorders>
          </w:tcPr>
          <w:p>
            <w:pPr>
              <w:pStyle w:val="TableParagraph"/>
              <w:spacing w:before="36"/>
              <w:ind w:left="297" w:right="321"/>
              <w:jc w:val="center"/>
              <w:rPr>
                <w:sz w:val="14"/>
              </w:rPr>
            </w:pPr>
            <w:r>
              <w:rPr>
                <w:color w:val="404040"/>
                <w:sz w:val="14"/>
              </w:rPr>
              <w:t>529</w:t>
            </w:r>
          </w:p>
        </w:tc>
        <w:tc>
          <w:tcPr>
            <w:tcW w:w="964" w:type="dxa"/>
            <w:tcBorders>
              <w:top w:val="single" w:sz="4" w:space="0" w:color="DF2528"/>
              <w:bottom w:val="single" w:sz="4" w:space="0" w:color="DF2528"/>
            </w:tcBorders>
          </w:tcPr>
          <w:p>
            <w:pPr>
              <w:pStyle w:val="TableParagraph"/>
              <w:spacing w:before="36"/>
              <w:ind w:right="297"/>
              <w:jc w:val="right"/>
              <w:rPr>
                <w:sz w:val="14"/>
              </w:rPr>
            </w:pPr>
            <w:r>
              <w:rPr>
                <w:color w:val="404040"/>
                <w:sz w:val="14"/>
              </w:rPr>
              <w:t>-0.7%</w:t>
            </w:r>
          </w:p>
        </w:tc>
        <w:tc>
          <w:tcPr>
            <w:tcW w:w="890" w:type="dxa"/>
            <w:tcBorders>
              <w:top w:val="single" w:sz="4" w:space="0" w:color="DF2528"/>
              <w:bottom w:val="single" w:sz="4" w:space="0" w:color="DF2528"/>
            </w:tcBorders>
          </w:tcPr>
          <w:p>
            <w:pPr>
              <w:pStyle w:val="TableParagraph"/>
              <w:spacing w:before="36"/>
              <w:ind w:left="134" w:right="128"/>
              <w:jc w:val="center"/>
              <w:rPr>
                <w:sz w:val="14"/>
              </w:rPr>
            </w:pPr>
            <w:r>
              <w:rPr>
                <w:color w:val="404040"/>
                <w:sz w:val="14"/>
              </w:rPr>
              <w:t>19</w:t>
            </w:r>
          </w:p>
        </w:tc>
      </w:tr>
      <w:tr>
        <w:trPr>
          <w:trHeight w:val="242" w:hRule="atLeast"/>
        </w:trPr>
        <w:tc>
          <w:tcPr>
            <w:tcW w:w="2750" w:type="dxa"/>
            <w:tcBorders>
              <w:top w:val="single" w:sz="4" w:space="0" w:color="DF2528"/>
              <w:bottom w:val="single" w:sz="4" w:space="0" w:color="DF2528"/>
            </w:tcBorders>
          </w:tcPr>
          <w:p>
            <w:pPr>
              <w:pStyle w:val="TableParagraph"/>
              <w:spacing w:before="39"/>
              <w:ind w:left="112"/>
              <w:rPr>
                <w:sz w:val="14"/>
              </w:rPr>
            </w:pPr>
            <w:r>
              <w:rPr>
                <w:color w:val="404040"/>
                <w:sz w:val="14"/>
              </w:rPr>
              <w:t>- Disability support pensioners</w:t>
            </w:r>
          </w:p>
        </w:tc>
        <w:tc>
          <w:tcPr>
            <w:tcW w:w="1077" w:type="dxa"/>
            <w:tcBorders>
              <w:top w:val="single" w:sz="4" w:space="0" w:color="DF2528"/>
              <w:bottom w:val="single" w:sz="4" w:space="0" w:color="DF2528"/>
            </w:tcBorders>
          </w:tcPr>
          <w:p>
            <w:pPr>
              <w:pStyle w:val="TableParagraph"/>
              <w:spacing w:before="39"/>
              <w:ind w:right="284"/>
              <w:jc w:val="right"/>
              <w:rPr>
                <w:sz w:val="14"/>
              </w:rPr>
            </w:pPr>
            <w:r>
              <w:rPr>
                <w:color w:val="404040"/>
                <w:sz w:val="14"/>
              </w:rPr>
              <w:t>761,985</w:t>
            </w:r>
          </w:p>
        </w:tc>
        <w:tc>
          <w:tcPr>
            <w:tcW w:w="907" w:type="dxa"/>
            <w:tcBorders>
              <w:top w:val="single" w:sz="4" w:space="0" w:color="DF2528"/>
              <w:bottom w:val="single" w:sz="4" w:space="0" w:color="DF2528"/>
            </w:tcBorders>
          </w:tcPr>
          <w:p>
            <w:pPr>
              <w:pStyle w:val="TableParagraph"/>
              <w:spacing w:before="39"/>
              <w:ind w:left="355" w:right="355"/>
              <w:jc w:val="center"/>
              <w:rPr>
                <w:sz w:val="14"/>
              </w:rPr>
            </w:pPr>
            <w:r>
              <w:rPr>
                <w:color w:val="404040"/>
                <w:sz w:val="14"/>
              </w:rPr>
              <w:t>50</w:t>
            </w:r>
          </w:p>
        </w:tc>
        <w:tc>
          <w:tcPr>
            <w:tcW w:w="854" w:type="dxa"/>
            <w:tcBorders>
              <w:top w:val="single" w:sz="4" w:space="0" w:color="DF2528"/>
              <w:bottom w:val="single" w:sz="4" w:space="0" w:color="DF2528"/>
            </w:tcBorders>
          </w:tcPr>
          <w:p>
            <w:pPr>
              <w:pStyle w:val="TableParagraph"/>
              <w:spacing w:before="39"/>
              <w:ind w:left="230" w:right="231"/>
              <w:jc w:val="center"/>
              <w:rPr>
                <w:sz w:val="14"/>
              </w:rPr>
            </w:pPr>
            <w:r>
              <w:rPr>
                <w:color w:val="404040"/>
                <w:sz w:val="14"/>
              </w:rPr>
              <w:t>417</w:t>
            </w:r>
          </w:p>
        </w:tc>
        <w:tc>
          <w:tcPr>
            <w:tcW w:w="1023" w:type="dxa"/>
            <w:tcBorders>
              <w:top w:val="single" w:sz="4" w:space="0" w:color="DF2528"/>
              <w:bottom w:val="single" w:sz="4" w:space="0" w:color="DF2528"/>
            </w:tcBorders>
          </w:tcPr>
          <w:p>
            <w:pPr>
              <w:pStyle w:val="TableParagraph"/>
              <w:spacing w:before="39"/>
              <w:ind w:left="264" w:right="290"/>
              <w:jc w:val="center"/>
              <w:rPr>
                <w:sz w:val="14"/>
              </w:rPr>
            </w:pPr>
            <w:r>
              <w:rPr>
                <w:color w:val="404040"/>
                <w:sz w:val="14"/>
              </w:rPr>
              <w:t>22,400</w:t>
            </w:r>
          </w:p>
        </w:tc>
        <w:tc>
          <w:tcPr>
            <w:tcW w:w="893" w:type="dxa"/>
            <w:tcBorders>
              <w:top w:val="single" w:sz="4" w:space="0" w:color="DF2528"/>
              <w:bottom w:val="single" w:sz="4" w:space="0" w:color="DF2528"/>
            </w:tcBorders>
          </w:tcPr>
          <w:p>
            <w:pPr>
              <w:pStyle w:val="TableParagraph"/>
              <w:spacing w:before="39"/>
              <w:ind w:left="297" w:right="321"/>
              <w:jc w:val="center"/>
              <w:rPr>
                <w:sz w:val="14"/>
              </w:rPr>
            </w:pPr>
            <w:r>
              <w:rPr>
                <w:color w:val="404040"/>
                <w:sz w:val="14"/>
              </w:rPr>
              <w:t>547</w:t>
            </w:r>
          </w:p>
        </w:tc>
        <w:tc>
          <w:tcPr>
            <w:tcW w:w="964" w:type="dxa"/>
            <w:tcBorders>
              <w:top w:val="single" w:sz="4" w:space="0" w:color="DF2528"/>
              <w:bottom w:val="single" w:sz="4" w:space="0" w:color="DF2528"/>
            </w:tcBorders>
          </w:tcPr>
          <w:p>
            <w:pPr>
              <w:pStyle w:val="TableParagraph"/>
              <w:spacing w:before="39"/>
              <w:ind w:right="297"/>
              <w:jc w:val="right"/>
              <w:rPr>
                <w:sz w:val="14"/>
              </w:rPr>
            </w:pPr>
            <w:r>
              <w:rPr>
                <w:color w:val="404040"/>
                <w:sz w:val="14"/>
              </w:rPr>
              <w:t>-0.2%</w:t>
            </w:r>
          </w:p>
        </w:tc>
        <w:tc>
          <w:tcPr>
            <w:tcW w:w="890" w:type="dxa"/>
            <w:tcBorders>
              <w:top w:val="single" w:sz="4" w:space="0" w:color="DF2528"/>
              <w:bottom w:val="single" w:sz="4" w:space="0" w:color="DF2528"/>
            </w:tcBorders>
          </w:tcPr>
          <w:p>
            <w:pPr>
              <w:pStyle w:val="TableParagraph"/>
              <w:spacing w:before="39"/>
              <w:ind w:left="134" w:right="128"/>
              <w:jc w:val="center"/>
              <w:rPr>
                <w:sz w:val="14"/>
              </w:rPr>
            </w:pPr>
            <w:r>
              <w:rPr>
                <w:color w:val="404040"/>
                <w:sz w:val="14"/>
              </w:rPr>
              <w:t>24</w:t>
            </w:r>
          </w:p>
        </w:tc>
      </w:tr>
      <w:tr>
        <w:trPr>
          <w:trHeight w:val="242" w:hRule="atLeast"/>
        </w:trPr>
        <w:tc>
          <w:tcPr>
            <w:tcW w:w="2750" w:type="dxa"/>
            <w:tcBorders>
              <w:top w:val="single" w:sz="4" w:space="0" w:color="DF2528"/>
              <w:bottom w:val="single" w:sz="4" w:space="0" w:color="DF2528"/>
            </w:tcBorders>
          </w:tcPr>
          <w:p>
            <w:pPr>
              <w:pStyle w:val="TableParagraph"/>
              <w:spacing w:before="36"/>
              <w:ind w:left="112"/>
              <w:rPr>
                <w:sz w:val="14"/>
              </w:rPr>
            </w:pPr>
            <w:r>
              <w:rPr>
                <w:color w:val="404040"/>
                <w:sz w:val="14"/>
              </w:rPr>
              <w:t>- Age pensioners</w:t>
            </w:r>
          </w:p>
        </w:tc>
        <w:tc>
          <w:tcPr>
            <w:tcW w:w="1077" w:type="dxa"/>
            <w:tcBorders>
              <w:top w:val="single" w:sz="4" w:space="0" w:color="DF2528"/>
              <w:bottom w:val="single" w:sz="4" w:space="0" w:color="DF2528"/>
            </w:tcBorders>
          </w:tcPr>
          <w:p>
            <w:pPr>
              <w:pStyle w:val="TableParagraph"/>
              <w:spacing w:before="36"/>
              <w:ind w:right="226"/>
              <w:jc w:val="right"/>
              <w:rPr>
                <w:sz w:val="14"/>
              </w:rPr>
            </w:pPr>
            <w:r>
              <w:rPr>
                <w:color w:val="404040"/>
                <w:sz w:val="14"/>
              </w:rPr>
              <w:t>2,508,270</w:t>
            </w:r>
          </w:p>
        </w:tc>
        <w:tc>
          <w:tcPr>
            <w:tcW w:w="907" w:type="dxa"/>
            <w:tcBorders>
              <w:top w:val="single" w:sz="4" w:space="0" w:color="DF2528"/>
              <w:bottom w:val="single" w:sz="4" w:space="0" w:color="DF2528"/>
            </w:tcBorders>
          </w:tcPr>
          <w:p>
            <w:pPr>
              <w:pStyle w:val="TableParagraph"/>
              <w:spacing w:before="36"/>
              <w:ind w:left="355" w:right="355"/>
              <w:jc w:val="center"/>
              <w:rPr>
                <w:sz w:val="14"/>
              </w:rPr>
            </w:pPr>
            <w:r>
              <w:rPr>
                <w:color w:val="404040"/>
                <w:sz w:val="14"/>
              </w:rPr>
              <w:t>76</w:t>
            </w:r>
          </w:p>
        </w:tc>
        <w:tc>
          <w:tcPr>
            <w:tcW w:w="854" w:type="dxa"/>
            <w:tcBorders>
              <w:top w:val="single" w:sz="4" w:space="0" w:color="DF2528"/>
              <w:bottom w:val="single" w:sz="4" w:space="0" w:color="DF2528"/>
            </w:tcBorders>
          </w:tcPr>
          <w:p>
            <w:pPr>
              <w:pStyle w:val="TableParagraph"/>
              <w:spacing w:before="36"/>
              <w:ind w:left="230" w:right="231"/>
              <w:jc w:val="center"/>
              <w:rPr>
                <w:sz w:val="14"/>
              </w:rPr>
            </w:pPr>
            <w:r>
              <w:rPr>
                <w:color w:val="404040"/>
                <w:sz w:val="14"/>
              </w:rPr>
              <w:t>577</w:t>
            </w:r>
          </w:p>
        </w:tc>
        <w:tc>
          <w:tcPr>
            <w:tcW w:w="1023" w:type="dxa"/>
            <w:tcBorders>
              <w:top w:val="single" w:sz="4" w:space="0" w:color="DF2528"/>
              <w:bottom w:val="single" w:sz="4" w:space="0" w:color="DF2528"/>
            </w:tcBorders>
          </w:tcPr>
          <w:p>
            <w:pPr>
              <w:pStyle w:val="TableParagraph"/>
              <w:spacing w:before="36"/>
              <w:ind w:left="264" w:right="290"/>
              <w:jc w:val="center"/>
              <w:rPr>
                <w:sz w:val="14"/>
              </w:rPr>
            </w:pPr>
            <w:r>
              <w:rPr>
                <w:color w:val="404040"/>
                <w:sz w:val="14"/>
              </w:rPr>
              <w:t>17,600</w:t>
            </w:r>
          </w:p>
        </w:tc>
        <w:tc>
          <w:tcPr>
            <w:tcW w:w="893" w:type="dxa"/>
            <w:tcBorders>
              <w:top w:val="single" w:sz="4" w:space="0" w:color="DF2528"/>
              <w:bottom w:val="single" w:sz="4" w:space="0" w:color="DF2528"/>
            </w:tcBorders>
          </w:tcPr>
          <w:p>
            <w:pPr>
              <w:pStyle w:val="TableParagraph"/>
              <w:spacing w:before="36"/>
              <w:ind w:left="297" w:right="321"/>
              <w:jc w:val="center"/>
              <w:rPr>
                <w:sz w:val="14"/>
              </w:rPr>
            </w:pPr>
            <w:r>
              <w:rPr>
                <w:color w:val="404040"/>
                <w:sz w:val="14"/>
              </w:rPr>
              <w:t>230</w:t>
            </w:r>
          </w:p>
        </w:tc>
        <w:tc>
          <w:tcPr>
            <w:tcW w:w="964" w:type="dxa"/>
            <w:tcBorders>
              <w:top w:val="single" w:sz="4" w:space="0" w:color="DF2528"/>
              <w:bottom w:val="single" w:sz="4" w:space="0" w:color="DF2528"/>
            </w:tcBorders>
          </w:tcPr>
          <w:p>
            <w:pPr>
              <w:pStyle w:val="TableParagraph"/>
              <w:spacing w:before="36"/>
              <w:ind w:right="281"/>
              <w:jc w:val="right"/>
              <w:rPr>
                <w:sz w:val="14"/>
              </w:rPr>
            </w:pPr>
            <w:r>
              <w:rPr>
                <w:color w:val="404040"/>
                <w:w w:val="95"/>
                <w:sz w:val="14"/>
              </w:rPr>
              <w:t>+1.0%</w:t>
            </w:r>
          </w:p>
        </w:tc>
        <w:tc>
          <w:tcPr>
            <w:tcW w:w="890" w:type="dxa"/>
            <w:tcBorders>
              <w:top w:val="single" w:sz="4" w:space="0" w:color="DF2528"/>
              <w:bottom w:val="single" w:sz="4" w:space="0" w:color="DF2528"/>
            </w:tcBorders>
          </w:tcPr>
          <w:p>
            <w:pPr>
              <w:pStyle w:val="TableParagraph"/>
              <w:spacing w:before="36"/>
              <w:ind w:left="134" w:right="128"/>
              <w:jc w:val="center"/>
              <w:rPr>
                <w:sz w:val="14"/>
              </w:rPr>
            </w:pPr>
            <w:r>
              <w:rPr>
                <w:color w:val="404040"/>
                <w:sz w:val="14"/>
              </w:rPr>
              <w:t>13</w:t>
            </w:r>
          </w:p>
        </w:tc>
      </w:tr>
      <w:tr>
        <w:trPr>
          <w:trHeight w:val="239" w:hRule="atLeast"/>
        </w:trPr>
        <w:tc>
          <w:tcPr>
            <w:tcW w:w="2750" w:type="dxa"/>
            <w:tcBorders>
              <w:top w:val="single" w:sz="4" w:space="0" w:color="DF2528"/>
              <w:bottom w:val="single" w:sz="4" w:space="0" w:color="DF2528"/>
            </w:tcBorders>
          </w:tcPr>
          <w:p>
            <w:pPr>
              <w:pStyle w:val="TableParagraph"/>
              <w:spacing w:before="36"/>
              <w:ind w:left="112"/>
              <w:rPr>
                <w:sz w:val="14"/>
              </w:rPr>
            </w:pPr>
            <w:r>
              <w:rPr>
                <w:color w:val="404040"/>
                <w:sz w:val="14"/>
              </w:rPr>
              <w:t>- Family non IS clients</w:t>
            </w:r>
          </w:p>
        </w:tc>
        <w:tc>
          <w:tcPr>
            <w:tcW w:w="1077" w:type="dxa"/>
            <w:tcBorders>
              <w:top w:val="single" w:sz="4" w:space="0" w:color="DF2528"/>
              <w:bottom w:val="single" w:sz="4" w:space="0" w:color="DF2528"/>
            </w:tcBorders>
          </w:tcPr>
          <w:p>
            <w:pPr>
              <w:pStyle w:val="TableParagraph"/>
              <w:spacing w:before="36"/>
              <w:ind w:right="226"/>
              <w:jc w:val="right"/>
              <w:rPr>
                <w:sz w:val="14"/>
              </w:rPr>
            </w:pPr>
            <w:r>
              <w:rPr>
                <w:color w:val="404040"/>
                <w:sz w:val="14"/>
              </w:rPr>
              <w:t>1,539,668</w:t>
            </w:r>
          </w:p>
        </w:tc>
        <w:tc>
          <w:tcPr>
            <w:tcW w:w="907" w:type="dxa"/>
            <w:tcBorders>
              <w:top w:val="single" w:sz="4" w:space="0" w:color="DF2528"/>
              <w:bottom w:val="single" w:sz="4" w:space="0" w:color="DF2528"/>
            </w:tcBorders>
          </w:tcPr>
          <w:p>
            <w:pPr>
              <w:pStyle w:val="TableParagraph"/>
              <w:spacing w:before="36"/>
              <w:ind w:left="355" w:right="355"/>
              <w:jc w:val="center"/>
              <w:rPr>
                <w:sz w:val="14"/>
              </w:rPr>
            </w:pPr>
            <w:r>
              <w:rPr>
                <w:color w:val="404040"/>
                <w:sz w:val="14"/>
              </w:rPr>
              <w:t>40</w:t>
            </w:r>
          </w:p>
        </w:tc>
        <w:tc>
          <w:tcPr>
            <w:tcW w:w="854" w:type="dxa"/>
            <w:tcBorders>
              <w:top w:val="single" w:sz="4" w:space="0" w:color="DF2528"/>
              <w:bottom w:val="single" w:sz="4" w:space="0" w:color="DF2528"/>
            </w:tcBorders>
          </w:tcPr>
          <w:p>
            <w:pPr>
              <w:pStyle w:val="TableParagraph"/>
              <w:spacing w:before="36"/>
              <w:ind w:left="230" w:right="231"/>
              <w:jc w:val="center"/>
              <w:rPr>
                <w:sz w:val="14"/>
              </w:rPr>
            </w:pPr>
            <w:r>
              <w:rPr>
                <w:color w:val="404040"/>
                <w:sz w:val="14"/>
              </w:rPr>
              <w:t>354</w:t>
            </w:r>
          </w:p>
        </w:tc>
        <w:tc>
          <w:tcPr>
            <w:tcW w:w="1023" w:type="dxa"/>
            <w:tcBorders>
              <w:top w:val="single" w:sz="4" w:space="0" w:color="DF2528"/>
              <w:bottom w:val="single" w:sz="4" w:space="0" w:color="DF2528"/>
            </w:tcBorders>
          </w:tcPr>
          <w:p>
            <w:pPr>
              <w:pStyle w:val="TableParagraph"/>
              <w:spacing w:before="36"/>
              <w:ind w:left="264" w:right="290"/>
              <w:jc w:val="center"/>
              <w:rPr>
                <w:sz w:val="14"/>
              </w:rPr>
            </w:pPr>
            <w:r>
              <w:rPr>
                <w:color w:val="404040"/>
                <w:sz w:val="14"/>
              </w:rPr>
              <w:t>7,200</w:t>
            </w:r>
          </w:p>
        </w:tc>
        <w:tc>
          <w:tcPr>
            <w:tcW w:w="893" w:type="dxa"/>
            <w:tcBorders>
              <w:top w:val="single" w:sz="4" w:space="0" w:color="DF2528"/>
              <w:bottom w:val="single" w:sz="4" w:space="0" w:color="DF2528"/>
            </w:tcBorders>
          </w:tcPr>
          <w:p>
            <w:pPr>
              <w:pStyle w:val="TableParagraph"/>
              <w:spacing w:before="36"/>
              <w:ind w:left="297" w:right="321"/>
              <w:jc w:val="center"/>
              <w:rPr>
                <w:sz w:val="14"/>
              </w:rPr>
            </w:pPr>
            <w:r>
              <w:rPr>
                <w:color w:val="404040"/>
                <w:sz w:val="14"/>
              </w:rPr>
              <w:t>230</w:t>
            </w:r>
          </w:p>
        </w:tc>
        <w:tc>
          <w:tcPr>
            <w:tcW w:w="964" w:type="dxa"/>
            <w:tcBorders>
              <w:top w:val="single" w:sz="4" w:space="0" w:color="DF2528"/>
              <w:bottom w:val="single" w:sz="4" w:space="0" w:color="DF2528"/>
            </w:tcBorders>
          </w:tcPr>
          <w:p>
            <w:pPr>
              <w:pStyle w:val="TableParagraph"/>
              <w:spacing w:before="36"/>
              <w:ind w:right="259"/>
              <w:jc w:val="right"/>
              <w:rPr>
                <w:sz w:val="14"/>
              </w:rPr>
            </w:pPr>
            <w:r>
              <w:rPr>
                <w:color w:val="404040"/>
                <w:w w:val="95"/>
                <w:sz w:val="14"/>
              </w:rPr>
              <w:t>-11.8%</w:t>
            </w:r>
          </w:p>
        </w:tc>
        <w:tc>
          <w:tcPr>
            <w:tcW w:w="890" w:type="dxa"/>
            <w:tcBorders>
              <w:top w:val="single" w:sz="4" w:space="0" w:color="DF2528"/>
              <w:bottom w:val="single" w:sz="4" w:space="0" w:color="DF2528"/>
            </w:tcBorders>
          </w:tcPr>
          <w:p>
            <w:pPr>
              <w:pStyle w:val="TableParagraph"/>
              <w:spacing w:before="36"/>
              <w:ind w:left="134" w:right="128"/>
              <w:jc w:val="center"/>
              <w:rPr>
                <w:sz w:val="14"/>
              </w:rPr>
            </w:pPr>
            <w:r>
              <w:rPr>
                <w:color w:val="404040"/>
                <w:sz w:val="14"/>
              </w:rPr>
              <w:t>32</w:t>
            </w:r>
          </w:p>
        </w:tc>
      </w:tr>
      <w:tr>
        <w:trPr>
          <w:trHeight w:val="242" w:hRule="atLeast"/>
        </w:trPr>
        <w:tc>
          <w:tcPr>
            <w:tcW w:w="2750" w:type="dxa"/>
            <w:tcBorders>
              <w:top w:val="single" w:sz="4" w:space="0" w:color="DF2528"/>
              <w:bottom w:val="single" w:sz="4" w:space="0" w:color="DF2528"/>
            </w:tcBorders>
          </w:tcPr>
          <w:p>
            <w:pPr>
              <w:pStyle w:val="TableParagraph"/>
              <w:spacing w:before="36"/>
              <w:ind w:left="112"/>
              <w:rPr>
                <w:sz w:val="14"/>
              </w:rPr>
            </w:pPr>
            <w:r>
              <w:rPr>
                <w:color w:val="404040"/>
                <w:sz w:val="14"/>
              </w:rPr>
              <w:t>- Carer non IS clients</w:t>
            </w:r>
          </w:p>
        </w:tc>
        <w:tc>
          <w:tcPr>
            <w:tcW w:w="1077" w:type="dxa"/>
            <w:tcBorders>
              <w:top w:val="single" w:sz="4" w:space="0" w:color="DF2528"/>
              <w:bottom w:val="single" w:sz="4" w:space="0" w:color="DF2528"/>
            </w:tcBorders>
          </w:tcPr>
          <w:p>
            <w:pPr>
              <w:pStyle w:val="TableParagraph"/>
              <w:spacing w:before="36"/>
              <w:ind w:right="284"/>
              <w:jc w:val="right"/>
              <w:rPr>
                <w:sz w:val="14"/>
              </w:rPr>
            </w:pPr>
            <w:r>
              <w:rPr>
                <w:color w:val="404040"/>
                <w:sz w:val="14"/>
              </w:rPr>
              <w:t>217,720</w:t>
            </w:r>
          </w:p>
        </w:tc>
        <w:tc>
          <w:tcPr>
            <w:tcW w:w="907" w:type="dxa"/>
            <w:tcBorders>
              <w:top w:val="single" w:sz="4" w:space="0" w:color="DF2528"/>
              <w:bottom w:val="single" w:sz="4" w:space="0" w:color="DF2528"/>
            </w:tcBorders>
          </w:tcPr>
          <w:p>
            <w:pPr>
              <w:pStyle w:val="TableParagraph"/>
              <w:spacing w:before="36"/>
              <w:ind w:left="355" w:right="355"/>
              <w:jc w:val="center"/>
              <w:rPr>
                <w:sz w:val="14"/>
              </w:rPr>
            </w:pPr>
            <w:r>
              <w:rPr>
                <w:color w:val="404040"/>
                <w:sz w:val="14"/>
              </w:rPr>
              <w:t>51</w:t>
            </w:r>
          </w:p>
        </w:tc>
        <w:tc>
          <w:tcPr>
            <w:tcW w:w="854" w:type="dxa"/>
            <w:tcBorders>
              <w:top w:val="single" w:sz="4" w:space="0" w:color="DF2528"/>
              <w:bottom w:val="single" w:sz="4" w:space="0" w:color="DF2528"/>
            </w:tcBorders>
          </w:tcPr>
          <w:p>
            <w:pPr>
              <w:pStyle w:val="TableParagraph"/>
              <w:spacing w:before="36"/>
              <w:ind w:left="230" w:right="231"/>
              <w:jc w:val="center"/>
              <w:rPr>
                <w:sz w:val="14"/>
              </w:rPr>
            </w:pPr>
            <w:r>
              <w:rPr>
                <w:color w:val="404040"/>
                <w:sz w:val="14"/>
              </w:rPr>
              <w:t>51</w:t>
            </w:r>
          </w:p>
        </w:tc>
        <w:tc>
          <w:tcPr>
            <w:tcW w:w="1023" w:type="dxa"/>
            <w:tcBorders>
              <w:top w:val="single" w:sz="4" w:space="0" w:color="DF2528"/>
              <w:bottom w:val="single" w:sz="4" w:space="0" w:color="DF2528"/>
            </w:tcBorders>
          </w:tcPr>
          <w:p>
            <w:pPr>
              <w:pStyle w:val="TableParagraph"/>
              <w:spacing w:before="36"/>
              <w:ind w:left="264" w:right="290"/>
              <w:jc w:val="center"/>
              <w:rPr>
                <w:sz w:val="14"/>
              </w:rPr>
            </w:pPr>
            <w:r>
              <w:rPr>
                <w:color w:val="404040"/>
                <w:sz w:val="14"/>
              </w:rPr>
              <w:t>7,100</w:t>
            </w:r>
          </w:p>
        </w:tc>
        <w:tc>
          <w:tcPr>
            <w:tcW w:w="893" w:type="dxa"/>
            <w:tcBorders>
              <w:top w:val="single" w:sz="4" w:space="0" w:color="DF2528"/>
              <w:bottom w:val="single" w:sz="4" w:space="0" w:color="DF2528"/>
            </w:tcBorders>
          </w:tcPr>
          <w:p>
            <w:pPr>
              <w:pStyle w:val="TableParagraph"/>
              <w:spacing w:before="36"/>
              <w:ind w:left="297" w:right="321"/>
              <w:jc w:val="center"/>
              <w:rPr>
                <w:sz w:val="14"/>
              </w:rPr>
            </w:pPr>
            <w:r>
              <w:rPr>
                <w:color w:val="404040"/>
                <w:sz w:val="14"/>
              </w:rPr>
              <w:t>235</w:t>
            </w:r>
          </w:p>
        </w:tc>
        <w:tc>
          <w:tcPr>
            <w:tcW w:w="964" w:type="dxa"/>
            <w:tcBorders>
              <w:top w:val="single" w:sz="4" w:space="0" w:color="DF2528"/>
              <w:bottom w:val="single" w:sz="4" w:space="0" w:color="DF2528"/>
            </w:tcBorders>
          </w:tcPr>
          <w:p>
            <w:pPr>
              <w:pStyle w:val="TableParagraph"/>
              <w:spacing w:before="36"/>
              <w:ind w:right="259"/>
              <w:jc w:val="right"/>
              <w:rPr>
                <w:sz w:val="14"/>
              </w:rPr>
            </w:pPr>
            <w:r>
              <w:rPr>
                <w:color w:val="404040"/>
                <w:w w:val="95"/>
                <w:sz w:val="14"/>
              </w:rPr>
              <w:t>-10.1%</w:t>
            </w:r>
          </w:p>
        </w:tc>
        <w:tc>
          <w:tcPr>
            <w:tcW w:w="890" w:type="dxa"/>
            <w:tcBorders>
              <w:top w:val="single" w:sz="4" w:space="0" w:color="DF2528"/>
              <w:bottom w:val="single" w:sz="4" w:space="0" w:color="DF2528"/>
            </w:tcBorders>
          </w:tcPr>
          <w:p>
            <w:pPr>
              <w:pStyle w:val="TableParagraph"/>
              <w:spacing w:before="36"/>
              <w:ind w:left="134" w:right="128"/>
              <w:jc w:val="center"/>
              <w:rPr>
                <w:sz w:val="14"/>
              </w:rPr>
            </w:pPr>
            <w:r>
              <w:rPr>
                <w:color w:val="404040"/>
                <w:sz w:val="14"/>
              </w:rPr>
              <w:t>33</w:t>
            </w:r>
          </w:p>
        </w:tc>
      </w:tr>
      <w:tr>
        <w:trPr>
          <w:trHeight w:val="239" w:hRule="atLeast"/>
        </w:trPr>
        <w:tc>
          <w:tcPr>
            <w:tcW w:w="2750" w:type="dxa"/>
            <w:tcBorders>
              <w:top w:val="single" w:sz="4" w:space="0" w:color="DF2528"/>
              <w:bottom w:val="single" w:sz="4" w:space="0" w:color="DF2528"/>
            </w:tcBorders>
          </w:tcPr>
          <w:p>
            <w:pPr>
              <w:pStyle w:val="TableParagraph"/>
              <w:spacing w:before="36"/>
              <w:ind w:left="112"/>
              <w:rPr>
                <w:sz w:val="14"/>
              </w:rPr>
            </w:pPr>
            <w:r>
              <w:rPr>
                <w:color w:val="404040"/>
                <w:sz w:val="14"/>
              </w:rPr>
              <w:t>- Other non IS clients</w:t>
            </w:r>
          </w:p>
        </w:tc>
        <w:tc>
          <w:tcPr>
            <w:tcW w:w="1077" w:type="dxa"/>
            <w:tcBorders>
              <w:top w:val="single" w:sz="4" w:space="0" w:color="DF2528"/>
              <w:bottom w:val="single" w:sz="4" w:space="0" w:color="DF2528"/>
            </w:tcBorders>
          </w:tcPr>
          <w:p>
            <w:pPr>
              <w:pStyle w:val="TableParagraph"/>
              <w:spacing w:before="36"/>
              <w:ind w:right="284"/>
              <w:jc w:val="right"/>
              <w:rPr>
                <w:sz w:val="14"/>
              </w:rPr>
            </w:pPr>
            <w:r>
              <w:rPr>
                <w:color w:val="404040"/>
                <w:sz w:val="14"/>
              </w:rPr>
              <w:t>652,322</w:t>
            </w:r>
          </w:p>
        </w:tc>
        <w:tc>
          <w:tcPr>
            <w:tcW w:w="907" w:type="dxa"/>
            <w:tcBorders>
              <w:top w:val="single" w:sz="4" w:space="0" w:color="DF2528"/>
              <w:bottom w:val="single" w:sz="4" w:space="0" w:color="DF2528"/>
            </w:tcBorders>
          </w:tcPr>
          <w:p>
            <w:pPr>
              <w:pStyle w:val="TableParagraph"/>
              <w:spacing w:before="36"/>
              <w:ind w:left="355" w:right="355"/>
              <w:jc w:val="center"/>
              <w:rPr>
                <w:sz w:val="14"/>
              </w:rPr>
            </w:pPr>
            <w:r>
              <w:rPr>
                <w:color w:val="404040"/>
                <w:sz w:val="14"/>
              </w:rPr>
              <w:t>50</w:t>
            </w:r>
          </w:p>
        </w:tc>
        <w:tc>
          <w:tcPr>
            <w:tcW w:w="854" w:type="dxa"/>
            <w:tcBorders>
              <w:top w:val="single" w:sz="4" w:space="0" w:color="DF2528"/>
              <w:bottom w:val="single" w:sz="4" w:space="0" w:color="DF2528"/>
            </w:tcBorders>
          </w:tcPr>
          <w:p>
            <w:pPr>
              <w:pStyle w:val="TableParagraph"/>
              <w:spacing w:before="36"/>
              <w:ind w:left="230" w:right="231"/>
              <w:jc w:val="center"/>
              <w:rPr>
                <w:sz w:val="14"/>
              </w:rPr>
            </w:pPr>
            <w:r>
              <w:rPr>
                <w:color w:val="404040"/>
                <w:sz w:val="14"/>
              </w:rPr>
              <w:t>98</w:t>
            </w:r>
          </w:p>
        </w:tc>
        <w:tc>
          <w:tcPr>
            <w:tcW w:w="1023" w:type="dxa"/>
            <w:tcBorders>
              <w:top w:val="single" w:sz="4" w:space="0" w:color="DF2528"/>
              <w:bottom w:val="single" w:sz="4" w:space="0" w:color="DF2528"/>
            </w:tcBorders>
          </w:tcPr>
          <w:p>
            <w:pPr>
              <w:pStyle w:val="TableParagraph"/>
              <w:spacing w:before="36"/>
              <w:ind w:left="264" w:right="290"/>
              <w:jc w:val="center"/>
              <w:rPr>
                <w:sz w:val="14"/>
              </w:rPr>
            </w:pPr>
            <w:r>
              <w:rPr>
                <w:color w:val="404040"/>
                <w:sz w:val="14"/>
              </w:rPr>
              <w:t>2,900</w:t>
            </w:r>
          </w:p>
        </w:tc>
        <w:tc>
          <w:tcPr>
            <w:tcW w:w="893" w:type="dxa"/>
            <w:tcBorders>
              <w:top w:val="single" w:sz="4" w:space="0" w:color="DF2528"/>
              <w:bottom w:val="single" w:sz="4" w:space="0" w:color="DF2528"/>
            </w:tcBorders>
          </w:tcPr>
          <w:p>
            <w:pPr>
              <w:pStyle w:val="TableParagraph"/>
              <w:spacing w:before="36"/>
              <w:ind w:left="297" w:right="321"/>
              <w:jc w:val="center"/>
              <w:rPr>
                <w:sz w:val="14"/>
              </w:rPr>
            </w:pPr>
            <w:r>
              <w:rPr>
                <w:color w:val="404040"/>
                <w:sz w:val="14"/>
              </w:rPr>
              <w:t>151</w:t>
            </w:r>
          </w:p>
        </w:tc>
        <w:tc>
          <w:tcPr>
            <w:tcW w:w="964" w:type="dxa"/>
            <w:tcBorders>
              <w:top w:val="single" w:sz="4" w:space="0" w:color="DF2528"/>
              <w:bottom w:val="single" w:sz="4" w:space="0" w:color="DF2528"/>
            </w:tcBorders>
          </w:tcPr>
          <w:p>
            <w:pPr>
              <w:pStyle w:val="TableParagraph"/>
              <w:spacing w:before="36"/>
              <w:ind w:right="259"/>
              <w:jc w:val="right"/>
              <w:rPr>
                <w:sz w:val="14"/>
              </w:rPr>
            </w:pPr>
            <w:r>
              <w:rPr>
                <w:color w:val="404040"/>
                <w:w w:val="95"/>
                <w:sz w:val="14"/>
              </w:rPr>
              <w:t>-13.6%</w:t>
            </w:r>
          </w:p>
        </w:tc>
        <w:tc>
          <w:tcPr>
            <w:tcW w:w="890" w:type="dxa"/>
            <w:tcBorders>
              <w:top w:val="single" w:sz="4" w:space="0" w:color="DF2528"/>
              <w:bottom w:val="single" w:sz="4" w:space="0" w:color="DF2528"/>
            </w:tcBorders>
          </w:tcPr>
          <w:p>
            <w:pPr>
              <w:pStyle w:val="TableParagraph"/>
              <w:spacing w:before="36"/>
              <w:ind w:left="134" w:right="128"/>
              <w:jc w:val="center"/>
              <w:rPr>
                <w:sz w:val="14"/>
              </w:rPr>
            </w:pPr>
            <w:r>
              <w:rPr>
                <w:color w:val="404040"/>
                <w:sz w:val="14"/>
              </w:rPr>
              <w:t>52</w:t>
            </w:r>
          </w:p>
        </w:tc>
      </w:tr>
      <w:tr>
        <w:trPr>
          <w:trHeight w:val="242" w:hRule="atLeast"/>
        </w:trPr>
        <w:tc>
          <w:tcPr>
            <w:tcW w:w="2750" w:type="dxa"/>
            <w:tcBorders>
              <w:top w:val="single" w:sz="4" w:space="0" w:color="DF2528"/>
              <w:bottom w:val="single" w:sz="4" w:space="0" w:color="FFFFFF"/>
            </w:tcBorders>
            <w:shd w:val="clear" w:color="auto" w:fill="F4C9C9"/>
          </w:tcPr>
          <w:p>
            <w:pPr>
              <w:pStyle w:val="TableParagraph"/>
              <w:spacing w:before="39"/>
              <w:ind w:left="112"/>
              <w:rPr>
                <w:i/>
                <w:sz w:val="14"/>
              </w:rPr>
            </w:pPr>
            <w:r>
              <w:rPr>
                <w:i/>
                <w:color w:val="404040"/>
                <w:sz w:val="14"/>
              </w:rPr>
              <w:t>Total current welfare recipients</w:t>
            </w:r>
          </w:p>
        </w:tc>
        <w:tc>
          <w:tcPr>
            <w:tcW w:w="1077" w:type="dxa"/>
            <w:tcBorders>
              <w:top w:val="single" w:sz="4" w:space="0" w:color="DF2528"/>
              <w:bottom w:val="single" w:sz="4" w:space="0" w:color="FFFFFF"/>
            </w:tcBorders>
            <w:shd w:val="clear" w:color="auto" w:fill="F4C9C9"/>
          </w:tcPr>
          <w:p>
            <w:pPr>
              <w:pStyle w:val="TableParagraph"/>
              <w:spacing w:before="39"/>
              <w:ind w:right="226"/>
              <w:jc w:val="right"/>
              <w:rPr>
                <w:i/>
                <w:sz w:val="14"/>
              </w:rPr>
            </w:pPr>
            <w:r>
              <w:rPr>
                <w:i/>
                <w:color w:val="404040"/>
                <w:sz w:val="14"/>
              </w:rPr>
              <w:t>7,950,981</w:t>
            </w:r>
          </w:p>
        </w:tc>
        <w:tc>
          <w:tcPr>
            <w:tcW w:w="907" w:type="dxa"/>
            <w:tcBorders>
              <w:top w:val="single" w:sz="4" w:space="0" w:color="DF2528"/>
              <w:bottom w:val="single" w:sz="4" w:space="0" w:color="FFFFFF"/>
            </w:tcBorders>
            <w:shd w:val="clear" w:color="auto" w:fill="F4C9C9"/>
          </w:tcPr>
          <w:p>
            <w:pPr>
              <w:pStyle w:val="TableParagraph"/>
              <w:spacing w:before="39"/>
              <w:ind w:left="355" w:right="355"/>
              <w:jc w:val="center"/>
              <w:rPr>
                <w:i/>
                <w:sz w:val="14"/>
              </w:rPr>
            </w:pPr>
            <w:r>
              <w:rPr>
                <w:i/>
                <w:color w:val="404040"/>
                <w:sz w:val="14"/>
              </w:rPr>
              <w:t>53</w:t>
            </w:r>
          </w:p>
        </w:tc>
        <w:tc>
          <w:tcPr>
            <w:tcW w:w="854" w:type="dxa"/>
            <w:tcBorders>
              <w:top w:val="single" w:sz="4" w:space="0" w:color="DF2528"/>
              <w:bottom w:val="single" w:sz="4" w:space="0" w:color="FFFFFF"/>
            </w:tcBorders>
            <w:shd w:val="clear" w:color="auto" w:fill="F4C9C9"/>
          </w:tcPr>
          <w:p>
            <w:pPr>
              <w:pStyle w:val="TableParagraph"/>
              <w:spacing w:before="39"/>
              <w:ind w:left="231" w:right="231"/>
              <w:jc w:val="center"/>
              <w:rPr>
                <w:i/>
                <w:sz w:val="14"/>
              </w:rPr>
            </w:pPr>
            <w:r>
              <w:rPr>
                <w:i/>
                <w:color w:val="404040"/>
                <w:sz w:val="14"/>
              </w:rPr>
              <w:t>2,439</w:t>
            </w:r>
          </w:p>
        </w:tc>
        <w:tc>
          <w:tcPr>
            <w:tcW w:w="1023" w:type="dxa"/>
            <w:tcBorders>
              <w:top w:val="single" w:sz="4" w:space="0" w:color="DF2528"/>
              <w:bottom w:val="single" w:sz="4" w:space="0" w:color="FFFFFF"/>
            </w:tcBorders>
            <w:shd w:val="clear" w:color="auto" w:fill="F4C9C9"/>
          </w:tcPr>
          <w:p>
            <w:pPr>
              <w:pStyle w:val="TableParagraph"/>
              <w:spacing w:before="39"/>
              <w:ind w:left="264" w:right="290"/>
              <w:jc w:val="center"/>
              <w:rPr>
                <w:i/>
                <w:sz w:val="14"/>
              </w:rPr>
            </w:pPr>
            <w:r>
              <w:rPr>
                <w:i/>
                <w:color w:val="404040"/>
                <w:sz w:val="14"/>
              </w:rPr>
              <w:t>14,200</w:t>
            </w:r>
          </w:p>
        </w:tc>
        <w:tc>
          <w:tcPr>
            <w:tcW w:w="893" w:type="dxa"/>
            <w:tcBorders>
              <w:top w:val="single" w:sz="4" w:space="0" w:color="DF2528"/>
              <w:bottom w:val="single" w:sz="4" w:space="0" w:color="FFFFFF"/>
            </w:tcBorders>
            <w:shd w:val="clear" w:color="auto" w:fill="F4C9C9"/>
          </w:tcPr>
          <w:p>
            <w:pPr>
              <w:pStyle w:val="TableParagraph"/>
              <w:spacing w:before="39"/>
              <w:ind w:left="297" w:right="321"/>
              <w:jc w:val="center"/>
              <w:rPr>
                <w:i/>
                <w:sz w:val="14"/>
              </w:rPr>
            </w:pPr>
            <w:r>
              <w:rPr>
                <w:i/>
                <w:color w:val="404040"/>
                <w:sz w:val="14"/>
              </w:rPr>
              <w:t>307</w:t>
            </w:r>
          </w:p>
        </w:tc>
        <w:tc>
          <w:tcPr>
            <w:tcW w:w="964" w:type="dxa"/>
            <w:tcBorders>
              <w:top w:val="single" w:sz="4" w:space="0" w:color="DF2528"/>
              <w:bottom w:val="single" w:sz="4" w:space="0" w:color="FFFFFF"/>
            </w:tcBorders>
            <w:shd w:val="clear" w:color="auto" w:fill="F4C9C9"/>
          </w:tcPr>
          <w:p>
            <w:pPr>
              <w:pStyle w:val="TableParagraph"/>
              <w:spacing w:before="39"/>
              <w:ind w:right="297"/>
              <w:jc w:val="right"/>
              <w:rPr>
                <w:sz w:val="14"/>
              </w:rPr>
            </w:pPr>
            <w:r>
              <w:rPr>
                <w:color w:val="404040"/>
                <w:sz w:val="14"/>
              </w:rPr>
              <w:t>-5.0%</w:t>
            </w:r>
          </w:p>
        </w:tc>
        <w:tc>
          <w:tcPr>
            <w:tcW w:w="890" w:type="dxa"/>
            <w:tcBorders>
              <w:top w:val="single" w:sz="4" w:space="0" w:color="DF2528"/>
              <w:bottom w:val="single" w:sz="4" w:space="0" w:color="FFFFFF"/>
            </w:tcBorders>
            <w:shd w:val="clear" w:color="auto" w:fill="F4C9C9"/>
          </w:tcPr>
          <w:p>
            <w:pPr>
              <w:pStyle w:val="TableParagraph"/>
              <w:spacing w:before="39"/>
              <w:ind w:left="134" w:right="128"/>
              <w:jc w:val="center"/>
              <w:rPr>
                <w:i/>
                <w:sz w:val="14"/>
              </w:rPr>
            </w:pPr>
            <w:r>
              <w:rPr>
                <w:i/>
                <w:color w:val="404040"/>
                <w:sz w:val="14"/>
              </w:rPr>
              <w:t>22</w:t>
            </w:r>
          </w:p>
        </w:tc>
      </w:tr>
      <w:tr>
        <w:trPr>
          <w:trHeight w:val="234" w:hRule="atLeast"/>
        </w:trPr>
        <w:tc>
          <w:tcPr>
            <w:tcW w:w="9358" w:type="dxa"/>
            <w:gridSpan w:val="8"/>
            <w:tcBorders>
              <w:top w:val="single" w:sz="4" w:space="0" w:color="FFFFFF"/>
            </w:tcBorders>
            <w:shd w:val="clear" w:color="auto" w:fill="DF2528"/>
          </w:tcPr>
          <w:p>
            <w:pPr>
              <w:pStyle w:val="TableParagraph"/>
              <w:spacing w:before="34"/>
              <w:ind w:left="112"/>
              <w:rPr>
                <w:b/>
                <w:sz w:val="14"/>
              </w:rPr>
            </w:pPr>
            <w:r>
              <w:rPr>
                <w:b/>
                <w:color w:val="FFFFFF"/>
                <w:sz w:val="14"/>
              </w:rPr>
              <w:t>Previous welfare recipients</w:t>
            </w:r>
          </w:p>
        </w:tc>
      </w:tr>
      <w:tr>
        <w:trPr>
          <w:trHeight w:val="246" w:hRule="atLeast"/>
        </w:trPr>
        <w:tc>
          <w:tcPr>
            <w:tcW w:w="2750" w:type="dxa"/>
            <w:tcBorders>
              <w:top w:val="single" w:sz="4" w:space="0" w:color="DF2528"/>
              <w:bottom w:val="single" w:sz="4" w:space="0" w:color="DF2528"/>
            </w:tcBorders>
          </w:tcPr>
          <w:p>
            <w:pPr>
              <w:pStyle w:val="TableParagraph"/>
              <w:spacing w:before="43"/>
              <w:ind w:left="112"/>
              <w:rPr>
                <w:sz w:val="14"/>
              </w:rPr>
            </w:pPr>
            <w:r>
              <w:rPr>
                <w:color w:val="404040"/>
                <w:sz w:val="14"/>
              </w:rPr>
              <w:t>- Exited 1-3 years</w:t>
            </w:r>
          </w:p>
        </w:tc>
        <w:tc>
          <w:tcPr>
            <w:tcW w:w="1077" w:type="dxa"/>
            <w:tcBorders>
              <w:top w:val="single" w:sz="4" w:space="0" w:color="DF2528"/>
              <w:bottom w:val="single" w:sz="4" w:space="0" w:color="DF2528"/>
            </w:tcBorders>
          </w:tcPr>
          <w:p>
            <w:pPr>
              <w:pStyle w:val="TableParagraph"/>
              <w:spacing w:before="43"/>
              <w:ind w:right="226"/>
              <w:jc w:val="right"/>
              <w:rPr>
                <w:sz w:val="14"/>
              </w:rPr>
            </w:pPr>
            <w:r>
              <w:rPr>
                <w:color w:val="404040"/>
                <w:sz w:val="14"/>
              </w:rPr>
              <w:t>1,597,238</w:t>
            </w:r>
          </w:p>
        </w:tc>
        <w:tc>
          <w:tcPr>
            <w:tcW w:w="907" w:type="dxa"/>
            <w:tcBorders>
              <w:top w:val="single" w:sz="4" w:space="0" w:color="DF2528"/>
              <w:bottom w:val="single" w:sz="4" w:space="0" w:color="DF2528"/>
            </w:tcBorders>
          </w:tcPr>
          <w:p>
            <w:pPr>
              <w:pStyle w:val="TableParagraph"/>
              <w:spacing w:before="43"/>
              <w:ind w:left="355" w:right="355"/>
              <w:jc w:val="center"/>
              <w:rPr>
                <w:sz w:val="14"/>
              </w:rPr>
            </w:pPr>
            <w:r>
              <w:rPr>
                <w:color w:val="404040"/>
                <w:sz w:val="14"/>
              </w:rPr>
              <w:t>41</w:t>
            </w:r>
          </w:p>
        </w:tc>
        <w:tc>
          <w:tcPr>
            <w:tcW w:w="854" w:type="dxa"/>
            <w:tcBorders>
              <w:top w:val="single" w:sz="4" w:space="0" w:color="DF2528"/>
              <w:bottom w:val="single" w:sz="4" w:space="0" w:color="DF2528"/>
            </w:tcBorders>
          </w:tcPr>
          <w:p>
            <w:pPr>
              <w:pStyle w:val="TableParagraph"/>
              <w:spacing w:before="43"/>
              <w:ind w:left="230" w:right="231"/>
              <w:jc w:val="center"/>
              <w:rPr>
                <w:sz w:val="14"/>
              </w:rPr>
            </w:pPr>
            <w:r>
              <w:rPr>
                <w:color w:val="404040"/>
                <w:sz w:val="14"/>
              </w:rPr>
              <w:t>337</w:t>
            </w:r>
          </w:p>
        </w:tc>
        <w:tc>
          <w:tcPr>
            <w:tcW w:w="1023" w:type="dxa"/>
            <w:tcBorders>
              <w:top w:val="single" w:sz="4" w:space="0" w:color="DF2528"/>
              <w:bottom w:val="single" w:sz="4" w:space="0" w:color="DF2528"/>
            </w:tcBorders>
          </w:tcPr>
          <w:p>
            <w:pPr>
              <w:pStyle w:val="TableParagraph"/>
              <w:spacing w:before="43"/>
              <w:ind w:left="262" w:right="290"/>
              <w:jc w:val="center"/>
              <w:rPr>
                <w:sz w:val="14"/>
              </w:rPr>
            </w:pPr>
            <w:r>
              <w:rPr>
                <w:color w:val="404040"/>
                <w:sz w:val="14"/>
              </w:rPr>
              <w:t>n/a</w:t>
            </w:r>
          </w:p>
        </w:tc>
        <w:tc>
          <w:tcPr>
            <w:tcW w:w="893" w:type="dxa"/>
            <w:tcBorders>
              <w:top w:val="single" w:sz="4" w:space="0" w:color="DF2528"/>
              <w:bottom w:val="single" w:sz="4" w:space="0" w:color="DF2528"/>
            </w:tcBorders>
          </w:tcPr>
          <w:p>
            <w:pPr>
              <w:pStyle w:val="TableParagraph"/>
              <w:spacing w:before="43"/>
              <w:ind w:left="297" w:right="321"/>
              <w:jc w:val="center"/>
              <w:rPr>
                <w:sz w:val="14"/>
              </w:rPr>
            </w:pPr>
            <w:r>
              <w:rPr>
                <w:color w:val="404040"/>
                <w:sz w:val="14"/>
              </w:rPr>
              <w:t>211</w:t>
            </w:r>
          </w:p>
        </w:tc>
        <w:tc>
          <w:tcPr>
            <w:tcW w:w="964" w:type="dxa"/>
            <w:tcBorders>
              <w:top w:val="single" w:sz="4" w:space="0" w:color="DF2528"/>
              <w:bottom w:val="single" w:sz="4" w:space="0" w:color="DF2528"/>
            </w:tcBorders>
          </w:tcPr>
          <w:p>
            <w:pPr>
              <w:pStyle w:val="TableParagraph"/>
              <w:spacing w:before="43"/>
              <w:ind w:right="259"/>
              <w:jc w:val="right"/>
              <w:rPr>
                <w:sz w:val="14"/>
              </w:rPr>
            </w:pPr>
            <w:r>
              <w:rPr>
                <w:color w:val="404040"/>
                <w:w w:val="95"/>
                <w:sz w:val="14"/>
              </w:rPr>
              <w:t>-13.8%</w:t>
            </w:r>
          </w:p>
        </w:tc>
        <w:tc>
          <w:tcPr>
            <w:tcW w:w="890" w:type="dxa"/>
            <w:tcBorders>
              <w:top w:val="single" w:sz="4" w:space="0" w:color="DF2528"/>
              <w:bottom w:val="single" w:sz="4" w:space="0" w:color="DF2528"/>
            </w:tcBorders>
          </w:tcPr>
          <w:p>
            <w:pPr>
              <w:pStyle w:val="TableParagraph"/>
              <w:spacing w:before="43"/>
              <w:ind w:left="134" w:right="128"/>
              <w:jc w:val="center"/>
              <w:rPr>
                <w:sz w:val="14"/>
              </w:rPr>
            </w:pPr>
            <w:r>
              <w:rPr>
                <w:color w:val="404040"/>
                <w:sz w:val="14"/>
              </w:rPr>
              <w:t>n/a</w:t>
            </w:r>
          </w:p>
        </w:tc>
      </w:tr>
      <w:tr>
        <w:trPr>
          <w:trHeight w:val="242" w:hRule="atLeast"/>
        </w:trPr>
        <w:tc>
          <w:tcPr>
            <w:tcW w:w="2750" w:type="dxa"/>
            <w:tcBorders>
              <w:top w:val="single" w:sz="4" w:space="0" w:color="DF2528"/>
              <w:bottom w:val="single" w:sz="4" w:space="0" w:color="DF2528"/>
            </w:tcBorders>
          </w:tcPr>
          <w:p>
            <w:pPr>
              <w:pStyle w:val="TableParagraph"/>
              <w:spacing w:before="36"/>
              <w:ind w:left="112"/>
              <w:rPr>
                <w:sz w:val="14"/>
              </w:rPr>
            </w:pPr>
            <w:r>
              <w:rPr>
                <w:color w:val="404040"/>
                <w:sz w:val="14"/>
              </w:rPr>
              <w:t>- Exited 4+ years</w:t>
            </w:r>
          </w:p>
        </w:tc>
        <w:tc>
          <w:tcPr>
            <w:tcW w:w="1077" w:type="dxa"/>
            <w:tcBorders>
              <w:top w:val="single" w:sz="4" w:space="0" w:color="DF2528"/>
              <w:bottom w:val="single" w:sz="4" w:space="0" w:color="DF2528"/>
            </w:tcBorders>
          </w:tcPr>
          <w:p>
            <w:pPr>
              <w:pStyle w:val="TableParagraph"/>
              <w:spacing w:before="36"/>
              <w:ind w:right="226"/>
              <w:jc w:val="right"/>
              <w:rPr>
                <w:sz w:val="14"/>
              </w:rPr>
            </w:pPr>
            <w:r>
              <w:rPr>
                <w:color w:val="404040"/>
                <w:sz w:val="14"/>
              </w:rPr>
              <w:t>3,219,117</w:t>
            </w:r>
          </w:p>
        </w:tc>
        <w:tc>
          <w:tcPr>
            <w:tcW w:w="907" w:type="dxa"/>
            <w:tcBorders>
              <w:top w:val="single" w:sz="4" w:space="0" w:color="DF2528"/>
              <w:bottom w:val="single" w:sz="4" w:space="0" w:color="DF2528"/>
            </w:tcBorders>
          </w:tcPr>
          <w:p>
            <w:pPr>
              <w:pStyle w:val="TableParagraph"/>
              <w:spacing w:before="36"/>
              <w:ind w:left="355" w:right="355"/>
              <w:jc w:val="center"/>
              <w:rPr>
                <w:sz w:val="14"/>
              </w:rPr>
            </w:pPr>
            <w:r>
              <w:rPr>
                <w:color w:val="404040"/>
                <w:sz w:val="14"/>
              </w:rPr>
              <w:t>47</w:t>
            </w:r>
          </w:p>
        </w:tc>
        <w:tc>
          <w:tcPr>
            <w:tcW w:w="854" w:type="dxa"/>
            <w:tcBorders>
              <w:top w:val="single" w:sz="4" w:space="0" w:color="DF2528"/>
              <w:bottom w:val="single" w:sz="4" w:space="0" w:color="DF2528"/>
            </w:tcBorders>
          </w:tcPr>
          <w:p>
            <w:pPr>
              <w:pStyle w:val="TableParagraph"/>
              <w:spacing w:before="36"/>
              <w:ind w:left="230" w:right="231"/>
              <w:jc w:val="center"/>
              <w:rPr>
                <w:sz w:val="14"/>
              </w:rPr>
            </w:pPr>
            <w:r>
              <w:rPr>
                <w:color w:val="404040"/>
                <w:sz w:val="14"/>
              </w:rPr>
              <w:t>563</w:t>
            </w:r>
          </w:p>
        </w:tc>
        <w:tc>
          <w:tcPr>
            <w:tcW w:w="1023" w:type="dxa"/>
            <w:tcBorders>
              <w:top w:val="single" w:sz="4" w:space="0" w:color="DF2528"/>
              <w:bottom w:val="single" w:sz="4" w:space="0" w:color="DF2528"/>
            </w:tcBorders>
          </w:tcPr>
          <w:p>
            <w:pPr>
              <w:pStyle w:val="TableParagraph"/>
              <w:spacing w:before="36"/>
              <w:ind w:left="262" w:right="290"/>
              <w:jc w:val="center"/>
              <w:rPr>
                <w:sz w:val="14"/>
              </w:rPr>
            </w:pPr>
            <w:r>
              <w:rPr>
                <w:color w:val="404040"/>
                <w:sz w:val="14"/>
              </w:rPr>
              <w:t>n/a</w:t>
            </w:r>
          </w:p>
        </w:tc>
        <w:tc>
          <w:tcPr>
            <w:tcW w:w="893" w:type="dxa"/>
            <w:tcBorders>
              <w:top w:val="single" w:sz="4" w:space="0" w:color="DF2528"/>
              <w:bottom w:val="single" w:sz="4" w:space="0" w:color="DF2528"/>
            </w:tcBorders>
          </w:tcPr>
          <w:p>
            <w:pPr>
              <w:pStyle w:val="TableParagraph"/>
              <w:spacing w:before="36"/>
              <w:ind w:left="297" w:right="321"/>
              <w:jc w:val="center"/>
              <w:rPr>
                <w:sz w:val="14"/>
              </w:rPr>
            </w:pPr>
            <w:r>
              <w:rPr>
                <w:color w:val="404040"/>
                <w:sz w:val="14"/>
              </w:rPr>
              <w:t>175</w:t>
            </w:r>
          </w:p>
        </w:tc>
        <w:tc>
          <w:tcPr>
            <w:tcW w:w="964" w:type="dxa"/>
            <w:tcBorders>
              <w:top w:val="single" w:sz="4" w:space="0" w:color="DF2528"/>
              <w:bottom w:val="single" w:sz="4" w:space="0" w:color="DF2528"/>
            </w:tcBorders>
          </w:tcPr>
          <w:p>
            <w:pPr>
              <w:pStyle w:val="TableParagraph"/>
              <w:spacing w:before="36"/>
              <w:ind w:right="259"/>
              <w:jc w:val="right"/>
              <w:rPr>
                <w:sz w:val="14"/>
              </w:rPr>
            </w:pPr>
            <w:r>
              <w:rPr>
                <w:color w:val="404040"/>
                <w:w w:val="95"/>
                <w:sz w:val="14"/>
              </w:rPr>
              <w:t>-17.7%</w:t>
            </w:r>
          </w:p>
        </w:tc>
        <w:tc>
          <w:tcPr>
            <w:tcW w:w="890" w:type="dxa"/>
            <w:tcBorders>
              <w:top w:val="single" w:sz="4" w:space="0" w:color="DF2528"/>
              <w:bottom w:val="single" w:sz="4" w:space="0" w:color="DF2528"/>
            </w:tcBorders>
          </w:tcPr>
          <w:p>
            <w:pPr>
              <w:pStyle w:val="TableParagraph"/>
              <w:spacing w:before="36"/>
              <w:ind w:left="134" w:right="128"/>
              <w:jc w:val="center"/>
              <w:rPr>
                <w:sz w:val="14"/>
              </w:rPr>
            </w:pPr>
            <w:r>
              <w:rPr>
                <w:color w:val="404040"/>
                <w:sz w:val="14"/>
              </w:rPr>
              <w:t>n/a</w:t>
            </w:r>
          </w:p>
        </w:tc>
      </w:tr>
      <w:tr>
        <w:trPr>
          <w:trHeight w:val="239" w:hRule="atLeast"/>
        </w:trPr>
        <w:tc>
          <w:tcPr>
            <w:tcW w:w="2750" w:type="dxa"/>
            <w:tcBorders>
              <w:top w:val="single" w:sz="4" w:space="0" w:color="DF2528"/>
              <w:bottom w:val="single" w:sz="4" w:space="0" w:color="FFFFFF"/>
            </w:tcBorders>
            <w:shd w:val="clear" w:color="auto" w:fill="F4C9C9"/>
          </w:tcPr>
          <w:p>
            <w:pPr>
              <w:pStyle w:val="TableParagraph"/>
              <w:spacing w:before="36"/>
              <w:ind w:left="112"/>
              <w:rPr>
                <w:i/>
                <w:sz w:val="14"/>
              </w:rPr>
            </w:pPr>
            <w:r>
              <w:rPr>
                <w:i/>
                <w:color w:val="404040"/>
                <w:sz w:val="14"/>
              </w:rPr>
              <w:t>Total previous welfare recipients</w:t>
            </w:r>
          </w:p>
        </w:tc>
        <w:tc>
          <w:tcPr>
            <w:tcW w:w="1077" w:type="dxa"/>
            <w:tcBorders>
              <w:top w:val="single" w:sz="4" w:space="0" w:color="DF2528"/>
              <w:bottom w:val="single" w:sz="4" w:space="0" w:color="FFFFFF"/>
            </w:tcBorders>
            <w:shd w:val="clear" w:color="auto" w:fill="F4C9C9"/>
          </w:tcPr>
          <w:p>
            <w:pPr>
              <w:pStyle w:val="TableParagraph"/>
              <w:spacing w:before="36"/>
              <w:ind w:right="226"/>
              <w:jc w:val="right"/>
              <w:rPr>
                <w:i/>
                <w:sz w:val="14"/>
              </w:rPr>
            </w:pPr>
            <w:r>
              <w:rPr>
                <w:i/>
                <w:color w:val="404040"/>
                <w:sz w:val="14"/>
              </w:rPr>
              <w:t>4,816,355</w:t>
            </w:r>
          </w:p>
        </w:tc>
        <w:tc>
          <w:tcPr>
            <w:tcW w:w="907" w:type="dxa"/>
            <w:tcBorders>
              <w:top w:val="single" w:sz="4" w:space="0" w:color="DF2528"/>
              <w:bottom w:val="single" w:sz="4" w:space="0" w:color="FFFFFF"/>
            </w:tcBorders>
            <w:shd w:val="clear" w:color="auto" w:fill="F4C9C9"/>
          </w:tcPr>
          <w:p>
            <w:pPr>
              <w:pStyle w:val="TableParagraph"/>
              <w:spacing w:before="36"/>
              <w:ind w:left="355" w:right="355"/>
              <w:jc w:val="center"/>
              <w:rPr>
                <w:i/>
                <w:sz w:val="14"/>
              </w:rPr>
            </w:pPr>
            <w:r>
              <w:rPr>
                <w:i/>
                <w:color w:val="404040"/>
                <w:sz w:val="14"/>
              </w:rPr>
              <w:t>45</w:t>
            </w:r>
          </w:p>
        </w:tc>
        <w:tc>
          <w:tcPr>
            <w:tcW w:w="854" w:type="dxa"/>
            <w:tcBorders>
              <w:top w:val="single" w:sz="4" w:space="0" w:color="DF2528"/>
              <w:bottom w:val="single" w:sz="4" w:space="0" w:color="FFFFFF"/>
            </w:tcBorders>
            <w:shd w:val="clear" w:color="auto" w:fill="F4C9C9"/>
          </w:tcPr>
          <w:p>
            <w:pPr>
              <w:pStyle w:val="TableParagraph"/>
              <w:spacing w:before="36"/>
              <w:ind w:left="230" w:right="231"/>
              <w:jc w:val="center"/>
              <w:rPr>
                <w:i/>
                <w:sz w:val="14"/>
              </w:rPr>
            </w:pPr>
            <w:r>
              <w:rPr>
                <w:i/>
                <w:color w:val="404040"/>
                <w:sz w:val="14"/>
              </w:rPr>
              <w:t>900</w:t>
            </w:r>
          </w:p>
        </w:tc>
        <w:tc>
          <w:tcPr>
            <w:tcW w:w="1023" w:type="dxa"/>
            <w:tcBorders>
              <w:top w:val="single" w:sz="4" w:space="0" w:color="DF2528"/>
              <w:bottom w:val="single" w:sz="4" w:space="0" w:color="FFFFFF"/>
            </w:tcBorders>
            <w:shd w:val="clear" w:color="auto" w:fill="F4C9C9"/>
          </w:tcPr>
          <w:p>
            <w:pPr>
              <w:pStyle w:val="TableParagraph"/>
              <w:spacing w:before="36"/>
              <w:ind w:left="262" w:right="290"/>
              <w:jc w:val="center"/>
              <w:rPr>
                <w:i/>
                <w:sz w:val="14"/>
              </w:rPr>
            </w:pPr>
            <w:r>
              <w:rPr>
                <w:i/>
                <w:color w:val="404040"/>
                <w:sz w:val="14"/>
              </w:rPr>
              <w:t>n/a</w:t>
            </w:r>
          </w:p>
        </w:tc>
        <w:tc>
          <w:tcPr>
            <w:tcW w:w="893" w:type="dxa"/>
            <w:tcBorders>
              <w:top w:val="single" w:sz="4" w:space="0" w:color="DF2528"/>
              <w:bottom w:val="single" w:sz="4" w:space="0" w:color="FFFFFF"/>
            </w:tcBorders>
            <w:shd w:val="clear" w:color="auto" w:fill="F4C9C9"/>
          </w:tcPr>
          <w:p>
            <w:pPr>
              <w:pStyle w:val="TableParagraph"/>
              <w:spacing w:before="36"/>
              <w:ind w:left="297" w:right="321"/>
              <w:jc w:val="center"/>
              <w:rPr>
                <w:i/>
                <w:sz w:val="14"/>
              </w:rPr>
            </w:pPr>
            <w:r>
              <w:rPr>
                <w:i/>
                <w:color w:val="404040"/>
                <w:sz w:val="14"/>
              </w:rPr>
              <w:t>187</w:t>
            </w:r>
          </w:p>
        </w:tc>
        <w:tc>
          <w:tcPr>
            <w:tcW w:w="964" w:type="dxa"/>
            <w:tcBorders>
              <w:top w:val="single" w:sz="4" w:space="0" w:color="DF2528"/>
              <w:bottom w:val="single" w:sz="4" w:space="0" w:color="FFFFFF"/>
            </w:tcBorders>
            <w:shd w:val="clear" w:color="auto" w:fill="F4C9C9"/>
          </w:tcPr>
          <w:p>
            <w:pPr>
              <w:pStyle w:val="TableParagraph"/>
              <w:spacing w:before="36"/>
              <w:ind w:right="259"/>
              <w:jc w:val="right"/>
              <w:rPr>
                <w:sz w:val="14"/>
              </w:rPr>
            </w:pPr>
            <w:r>
              <w:rPr>
                <w:color w:val="404040"/>
                <w:w w:val="95"/>
                <w:sz w:val="14"/>
              </w:rPr>
              <w:t>-16.2%</w:t>
            </w:r>
          </w:p>
        </w:tc>
        <w:tc>
          <w:tcPr>
            <w:tcW w:w="890" w:type="dxa"/>
            <w:tcBorders>
              <w:top w:val="single" w:sz="4" w:space="0" w:color="DF2528"/>
              <w:bottom w:val="single" w:sz="4" w:space="0" w:color="FFFFFF"/>
            </w:tcBorders>
            <w:shd w:val="clear" w:color="auto" w:fill="F4C9C9"/>
          </w:tcPr>
          <w:p>
            <w:pPr>
              <w:pStyle w:val="TableParagraph"/>
              <w:spacing w:before="36"/>
              <w:ind w:left="134" w:right="128"/>
              <w:jc w:val="center"/>
              <w:rPr>
                <w:i/>
                <w:sz w:val="14"/>
              </w:rPr>
            </w:pPr>
            <w:r>
              <w:rPr>
                <w:i/>
                <w:color w:val="404040"/>
                <w:sz w:val="14"/>
              </w:rPr>
              <w:t>n/a</w:t>
            </w:r>
          </w:p>
        </w:tc>
      </w:tr>
      <w:tr>
        <w:trPr>
          <w:trHeight w:val="402" w:hRule="atLeast"/>
        </w:trPr>
        <w:tc>
          <w:tcPr>
            <w:tcW w:w="9358" w:type="dxa"/>
            <w:gridSpan w:val="8"/>
            <w:tcBorders>
              <w:top w:val="single" w:sz="4" w:space="0" w:color="FFFFFF"/>
              <w:bottom w:val="single" w:sz="4" w:space="0" w:color="FFFFFF"/>
            </w:tcBorders>
            <w:shd w:val="clear" w:color="auto" w:fill="DF2528"/>
          </w:tcPr>
          <w:p>
            <w:pPr>
              <w:pStyle w:val="TableParagraph"/>
              <w:spacing w:before="36"/>
              <w:ind w:left="112" w:right="7444"/>
              <w:rPr>
                <w:b/>
                <w:sz w:val="14"/>
              </w:rPr>
            </w:pPr>
            <w:r>
              <w:rPr>
                <w:b/>
                <w:color w:val="FFFFFF"/>
                <w:sz w:val="14"/>
              </w:rPr>
              <w:t>Rest of Australian resident population</w:t>
            </w:r>
          </w:p>
        </w:tc>
      </w:tr>
      <w:tr>
        <w:trPr>
          <w:trHeight w:val="238" w:hRule="atLeast"/>
        </w:trPr>
        <w:tc>
          <w:tcPr>
            <w:tcW w:w="2750" w:type="dxa"/>
            <w:tcBorders>
              <w:top w:val="single" w:sz="4" w:space="0" w:color="FFFFFF"/>
              <w:bottom w:val="single" w:sz="6" w:space="0" w:color="FFFFFF"/>
            </w:tcBorders>
            <w:shd w:val="clear" w:color="auto" w:fill="F4C9C9"/>
          </w:tcPr>
          <w:p>
            <w:pPr>
              <w:pStyle w:val="TableParagraph"/>
              <w:spacing w:before="36"/>
              <w:ind w:left="112"/>
              <w:rPr>
                <w:i/>
                <w:sz w:val="14"/>
              </w:rPr>
            </w:pPr>
            <w:r>
              <w:rPr>
                <w:i/>
                <w:color w:val="404040"/>
                <w:sz w:val="14"/>
              </w:rPr>
              <w:t>- Rest of Australian resident population</w:t>
            </w:r>
          </w:p>
        </w:tc>
        <w:tc>
          <w:tcPr>
            <w:tcW w:w="1077" w:type="dxa"/>
            <w:tcBorders>
              <w:top w:val="single" w:sz="4" w:space="0" w:color="FFFFFF"/>
              <w:bottom w:val="single" w:sz="6" w:space="0" w:color="FFFFFF"/>
            </w:tcBorders>
            <w:shd w:val="clear" w:color="auto" w:fill="F4C9C9"/>
          </w:tcPr>
          <w:p>
            <w:pPr>
              <w:pStyle w:val="TableParagraph"/>
              <w:spacing w:before="36"/>
              <w:ind w:right="188"/>
              <w:jc w:val="right"/>
              <w:rPr>
                <w:i/>
                <w:sz w:val="14"/>
              </w:rPr>
            </w:pPr>
            <w:r>
              <w:rPr>
                <w:i/>
                <w:color w:val="404040"/>
                <w:sz w:val="14"/>
              </w:rPr>
              <w:t>12,266,069</w:t>
            </w:r>
          </w:p>
        </w:tc>
        <w:tc>
          <w:tcPr>
            <w:tcW w:w="907" w:type="dxa"/>
            <w:tcBorders>
              <w:top w:val="single" w:sz="4" w:space="0" w:color="FFFFFF"/>
              <w:bottom w:val="single" w:sz="6" w:space="0" w:color="FFFFFF"/>
            </w:tcBorders>
            <w:shd w:val="clear" w:color="auto" w:fill="F4C9C9"/>
          </w:tcPr>
          <w:p>
            <w:pPr>
              <w:pStyle w:val="TableParagraph"/>
              <w:spacing w:before="36"/>
              <w:ind w:left="355" w:right="355"/>
              <w:jc w:val="center"/>
              <w:rPr>
                <w:i/>
                <w:sz w:val="14"/>
              </w:rPr>
            </w:pPr>
            <w:r>
              <w:rPr>
                <w:i/>
                <w:color w:val="404040"/>
                <w:sz w:val="14"/>
              </w:rPr>
              <w:t>28</w:t>
            </w:r>
          </w:p>
        </w:tc>
        <w:tc>
          <w:tcPr>
            <w:tcW w:w="854" w:type="dxa"/>
            <w:tcBorders>
              <w:top w:val="single" w:sz="4" w:space="0" w:color="FFFFFF"/>
              <w:bottom w:val="single" w:sz="6" w:space="0" w:color="FFFFFF"/>
            </w:tcBorders>
            <w:shd w:val="clear" w:color="auto" w:fill="F4C9C9"/>
          </w:tcPr>
          <w:p>
            <w:pPr>
              <w:pStyle w:val="TableParagraph"/>
              <w:spacing w:before="36"/>
              <w:ind w:left="231" w:right="231"/>
              <w:jc w:val="center"/>
              <w:rPr>
                <w:i/>
                <w:sz w:val="14"/>
              </w:rPr>
            </w:pPr>
            <w:r>
              <w:rPr>
                <w:i/>
                <w:color w:val="404040"/>
                <w:sz w:val="14"/>
              </w:rPr>
              <w:t>2,323</w:t>
            </w:r>
          </w:p>
        </w:tc>
        <w:tc>
          <w:tcPr>
            <w:tcW w:w="1023" w:type="dxa"/>
            <w:tcBorders>
              <w:top w:val="single" w:sz="4" w:space="0" w:color="FFFFFF"/>
              <w:bottom w:val="single" w:sz="6" w:space="0" w:color="FFFFFF"/>
            </w:tcBorders>
            <w:shd w:val="clear" w:color="auto" w:fill="F4C9C9"/>
          </w:tcPr>
          <w:p>
            <w:pPr>
              <w:pStyle w:val="TableParagraph"/>
              <w:spacing w:before="36"/>
              <w:ind w:left="262" w:right="290"/>
              <w:jc w:val="center"/>
              <w:rPr>
                <w:i/>
                <w:sz w:val="14"/>
              </w:rPr>
            </w:pPr>
            <w:r>
              <w:rPr>
                <w:i/>
                <w:color w:val="404040"/>
                <w:sz w:val="14"/>
              </w:rPr>
              <w:t>n/a</w:t>
            </w:r>
          </w:p>
        </w:tc>
        <w:tc>
          <w:tcPr>
            <w:tcW w:w="893" w:type="dxa"/>
            <w:tcBorders>
              <w:top w:val="single" w:sz="4" w:space="0" w:color="FFFFFF"/>
              <w:bottom w:val="single" w:sz="6" w:space="0" w:color="FFFFFF"/>
            </w:tcBorders>
            <w:shd w:val="clear" w:color="auto" w:fill="F4C9C9"/>
          </w:tcPr>
          <w:p>
            <w:pPr>
              <w:pStyle w:val="TableParagraph"/>
              <w:spacing w:before="36"/>
              <w:ind w:left="297" w:right="321"/>
              <w:jc w:val="center"/>
              <w:rPr>
                <w:i/>
                <w:sz w:val="14"/>
              </w:rPr>
            </w:pPr>
            <w:r>
              <w:rPr>
                <w:i/>
                <w:color w:val="404040"/>
                <w:sz w:val="14"/>
              </w:rPr>
              <w:t>187</w:t>
            </w:r>
          </w:p>
        </w:tc>
        <w:tc>
          <w:tcPr>
            <w:tcW w:w="964" w:type="dxa"/>
            <w:tcBorders>
              <w:top w:val="single" w:sz="4" w:space="0" w:color="FFFFFF"/>
              <w:bottom w:val="single" w:sz="6" w:space="0" w:color="FFFFFF"/>
            </w:tcBorders>
            <w:shd w:val="clear" w:color="auto" w:fill="F4C9C9"/>
          </w:tcPr>
          <w:p>
            <w:pPr>
              <w:pStyle w:val="TableParagraph"/>
              <w:spacing w:before="36"/>
              <w:ind w:right="259"/>
              <w:jc w:val="right"/>
              <w:rPr>
                <w:sz w:val="14"/>
              </w:rPr>
            </w:pPr>
            <w:r>
              <w:rPr>
                <w:color w:val="404040"/>
                <w:w w:val="95"/>
                <w:sz w:val="14"/>
              </w:rPr>
              <w:t>-15.7%</w:t>
            </w:r>
          </w:p>
        </w:tc>
        <w:tc>
          <w:tcPr>
            <w:tcW w:w="890" w:type="dxa"/>
            <w:tcBorders>
              <w:top w:val="single" w:sz="4" w:space="0" w:color="FFFFFF"/>
              <w:bottom w:val="single" w:sz="6" w:space="0" w:color="FFFFFF"/>
            </w:tcBorders>
            <w:shd w:val="clear" w:color="auto" w:fill="F4C9C9"/>
          </w:tcPr>
          <w:p>
            <w:pPr>
              <w:pStyle w:val="TableParagraph"/>
              <w:spacing w:before="36"/>
              <w:ind w:left="134" w:right="128"/>
              <w:jc w:val="center"/>
              <w:rPr>
                <w:i/>
                <w:sz w:val="14"/>
              </w:rPr>
            </w:pPr>
            <w:r>
              <w:rPr>
                <w:i/>
                <w:color w:val="404040"/>
                <w:sz w:val="14"/>
              </w:rPr>
              <w:t>n/a</w:t>
            </w:r>
          </w:p>
        </w:tc>
      </w:tr>
      <w:tr>
        <w:trPr>
          <w:trHeight w:val="238" w:hRule="atLeast"/>
        </w:trPr>
        <w:tc>
          <w:tcPr>
            <w:tcW w:w="2750" w:type="dxa"/>
            <w:tcBorders>
              <w:top w:val="single" w:sz="6" w:space="0" w:color="FFFFFF"/>
            </w:tcBorders>
            <w:shd w:val="clear" w:color="auto" w:fill="DF2528"/>
          </w:tcPr>
          <w:p>
            <w:pPr>
              <w:pStyle w:val="TableParagraph"/>
              <w:spacing w:before="32"/>
              <w:ind w:left="112"/>
              <w:rPr>
                <w:b/>
                <w:sz w:val="14"/>
              </w:rPr>
            </w:pPr>
            <w:r>
              <w:rPr>
                <w:b/>
                <w:color w:val="FFFFFF"/>
                <w:sz w:val="14"/>
              </w:rPr>
              <w:t>Australian resident population</w:t>
            </w:r>
          </w:p>
        </w:tc>
        <w:tc>
          <w:tcPr>
            <w:tcW w:w="1077" w:type="dxa"/>
            <w:tcBorders>
              <w:top w:val="single" w:sz="6" w:space="0" w:color="FFFFFF"/>
            </w:tcBorders>
            <w:shd w:val="clear" w:color="auto" w:fill="DF2528"/>
          </w:tcPr>
          <w:p>
            <w:pPr>
              <w:pStyle w:val="TableParagraph"/>
              <w:spacing w:before="32"/>
              <w:ind w:right="188"/>
              <w:jc w:val="right"/>
              <w:rPr>
                <w:b/>
                <w:sz w:val="14"/>
              </w:rPr>
            </w:pPr>
            <w:r>
              <w:rPr>
                <w:b/>
                <w:color w:val="FFFFFF"/>
                <w:sz w:val="14"/>
              </w:rPr>
              <w:t>25,033,405</w:t>
            </w:r>
          </w:p>
        </w:tc>
        <w:tc>
          <w:tcPr>
            <w:tcW w:w="907" w:type="dxa"/>
            <w:tcBorders>
              <w:top w:val="single" w:sz="6" w:space="0" w:color="FFFFFF"/>
            </w:tcBorders>
            <w:shd w:val="clear" w:color="auto" w:fill="DF2528"/>
          </w:tcPr>
          <w:p>
            <w:pPr>
              <w:pStyle w:val="TableParagraph"/>
              <w:spacing w:before="32"/>
              <w:ind w:left="355" w:right="355"/>
              <w:jc w:val="center"/>
              <w:rPr>
                <w:b/>
                <w:sz w:val="14"/>
              </w:rPr>
            </w:pPr>
            <w:r>
              <w:rPr>
                <w:b/>
                <w:color w:val="FFFFFF"/>
                <w:sz w:val="14"/>
              </w:rPr>
              <w:t>39</w:t>
            </w:r>
          </w:p>
        </w:tc>
        <w:tc>
          <w:tcPr>
            <w:tcW w:w="854" w:type="dxa"/>
            <w:tcBorders>
              <w:top w:val="single" w:sz="6" w:space="0" w:color="FFFFFF"/>
            </w:tcBorders>
            <w:shd w:val="clear" w:color="auto" w:fill="DF2528"/>
          </w:tcPr>
          <w:p>
            <w:pPr>
              <w:pStyle w:val="TableParagraph"/>
              <w:spacing w:before="32"/>
              <w:ind w:left="231" w:right="231"/>
              <w:jc w:val="center"/>
              <w:rPr>
                <w:b/>
                <w:sz w:val="14"/>
              </w:rPr>
            </w:pPr>
            <w:r>
              <w:rPr>
                <w:b/>
                <w:color w:val="FFFFFF"/>
                <w:sz w:val="14"/>
              </w:rPr>
              <w:t>5,662</w:t>
            </w:r>
          </w:p>
        </w:tc>
        <w:tc>
          <w:tcPr>
            <w:tcW w:w="1023" w:type="dxa"/>
            <w:tcBorders>
              <w:top w:val="single" w:sz="6" w:space="0" w:color="FFFFFF"/>
            </w:tcBorders>
            <w:shd w:val="clear" w:color="auto" w:fill="DF2528"/>
          </w:tcPr>
          <w:p>
            <w:pPr>
              <w:pStyle w:val="TableParagraph"/>
              <w:spacing w:before="32"/>
              <w:ind w:left="264" w:right="289"/>
              <w:jc w:val="center"/>
              <w:rPr>
                <w:b/>
                <w:sz w:val="14"/>
              </w:rPr>
            </w:pPr>
            <w:r>
              <w:rPr>
                <w:b/>
                <w:color w:val="FFFFFF"/>
                <w:sz w:val="14"/>
              </w:rPr>
              <w:t>n/a</w:t>
            </w:r>
          </w:p>
        </w:tc>
        <w:tc>
          <w:tcPr>
            <w:tcW w:w="893" w:type="dxa"/>
            <w:tcBorders>
              <w:top w:val="single" w:sz="6" w:space="0" w:color="FFFFFF"/>
            </w:tcBorders>
            <w:shd w:val="clear" w:color="auto" w:fill="DF2528"/>
          </w:tcPr>
          <w:p>
            <w:pPr>
              <w:pStyle w:val="TableParagraph"/>
              <w:spacing w:before="32"/>
              <w:ind w:left="297" w:right="321"/>
              <w:jc w:val="center"/>
              <w:rPr>
                <w:b/>
                <w:sz w:val="14"/>
              </w:rPr>
            </w:pPr>
            <w:r>
              <w:rPr>
                <w:b/>
                <w:color w:val="FFFFFF"/>
                <w:sz w:val="14"/>
              </w:rPr>
              <w:t>226</w:t>
            </w:r>
          </w:p>
        </w:tc>
        <w:tc>
          <w:tcPr>
            <w:tcW w:w="964" w:type="dxa"/>
            <w:tcBorders>
              <w:top w:val="single" w:sz="6" w:space="0" w:color="FFFFFF"/>
            </w:tcBorders>
            <w:shd w:val="clear" w:color="auto" w:fill="DF2528"/>
          </w:tcPr>
          <w:p>
            <w:pPr>
              <w:pStyle w:val="TableParagraph"/>
              <w:spacing w:before="32"/>
              <w:ind w:right="254"/>
              <w:jc w:val="right"/>
              <w:rPr>
                <w:b/>
                <w:sz w:val="14"/>
              </w:rPr>
            </w:pPr>
            <w:r>
              <w:rPr>
                <w:b/>
                <w:color w:val="FFFFFF"/>
                <w:w w:val="95"/>
                <w:sz w:val="14"/>
              </w:rPr>
              <w:t>-11.6%</w:t>
            </w:r>
          </w:p>
        </w:tc>
        <w:tc>
          <w:tcPr>
            <w:tcW w:w="890" w:type="dxa"/>
            <w:tcBorders>
              <w:top w:val="single" w:sz="6" w:space="0" w:color="FFFFFF"/>
            </w:tcBorders>
            <w:shd w:val="clear" w:color="auto" w:fill="DF2528"/>
          </w:tcPr>
          <w:p>
            <w:pPr>
              <w:pStyle w:val="TableParagraph"/>
              <w:spacing w:before="32"/>
              <w:ind w:left="134" w:right="125"/>
              <w:jc w:val="center"/>
              <w:rPr>
                <w:b/>
                <w:sz w:val="14"/>
              </w:rPr>
            </w:pPr>
            <w:r>
              <w:rPr>
                <w:b/>
                <w:color w:val="FFFFFF"/>
                <w:sz w:val="14"/>
              </w:rPr>
              <w:t>n/a</w:t>
            </w:r>
          </w:p>
        </w:tc>
      </w:tr>
    </w:tbl>
    <w:p>
      <w:pPr>
        <w:spacing w:before="87"/>
        <w:ind w:left="900" w:right="0" w:firstLine="0"/>
        <w:jc w:val="left"/>
        <w:rPr>
          <w:sz w:val="16"/>
        </w:rPr>
      </w:pPr>
      <w:r>
        <w:rPr>
          <w:color w:val="DF2F1E"/>
          <w:sz w:val="16"/>
        </w:rPr>
        <w:t>Notes:</w:t>
      </w:r>
    </w:p>
    <w:p>
      <w:pPr>
        <w:pStyle w:val="ListParagraph"/>
        <w:numPr>
          <w:ilvl w:val="1"/>
          <w:numId w:val="3"/>
        </w:numPr>
        <w:tabs>
          <w:tab w:pos="1619" w:val="left" w:leader="none"/>
          <w:tab w:pos="1621" w:val="left" w:leader="none"/>
        </w:tabs>
        <w:spacing w:line="240" w:lineRule="auto" w:before="80" w:after="0"/>
        <w:ind w:left="1620" w:right="1026" w:hanging="361"/>
        <w:jc w:val="left"/>
        <w:rPr>
          <w:color w:val="DF2F1E"/>
          <w:sz w:val="16"/>
        </w:rPr>
      </w:pPr>
      <w:r>
        <w:rPr>
          <w:color w:val="DF2F1E"/>
          <w:sz w:val="16"/>
        </w:rPr>
        <w:t>The average payment in 2017/18 is understated owing to the data maturity issues with FTB and other family payment data. This has a particular impact on the average payments for people in the family non IS and other non IS classes; we would expect these amounts to ultimately be larger than the figures</w:t>
      </w:r>
      <w:r>
        <w:rPr>
          <w:color w:val="DF2F1E"/>
          <w:spacing w:val="-9"/>
          <w:sz w:val="16"/>
        </w:rPr>
        <w:t> </w:t>
      </w:r>
      <w:r>
        <w:rPr>
          <w:color w:val="DF2F1E"/>
          <w:sz w:val="16"/>
        </w:rPr>
        <w:t>shown.</w:t>
      </w:r>
    </w:p>
    <w:p>
      <w:pPr>
        <w:pStyle w:val="ListParagraph"/>
        <w:numPr>
          <w:ilvl w:val="1"/>
          <w:numId w:val="3"/>
        </w:numPr>
        <w:tabs>
          <w:tab w:pos="1619" w:val="left" w:leader="none"/>
          <w:tab w:pos="1621" w:val="left" w:leader="none"/>
        </w:tabs>
        <w:spacing w:line="240" w:lineRule="auto" w:before="82" w:after="0"/>
        <w:ind w:left="1620" w:right="0" w:hanging="361"/>
        <w:jc w:val="left"/>
        <w:rPr>
          <w:color w:val="DF2F1E"/>
          <w:sz w:val="16"/>
        </w:rPr>
      </w:pPr>
      <w:r>
        <w:rPr>
          <w:color w:val="DF2F1E"/>
          <w:sz w:val="16"/>
        </w:rPr>
        <w:t>Exited 4+ years refers to previous welfare recipients who have exited in the past 4 or more</w:t>
      </w:r>
      <w:r>
        <w:rPr>
          <w:color w:val="DF2F1E"/>
          <w:spacing w:val="-11"/>
          <w:sz w:val="16"/>
        </w:rPr>
        <w:t> </w:t>
      </w:r>
      <w:r>
        <w:rPr>
          <w:color w:val="DF2F1E"/>
          <w:sz w:val="16"/>
        </w:rPr>
        <w:t>years.</w:t>
      </w:r>
    </w:p>
    <w:p>
      <w:pPr>
        <w:pStyle w:val="ListParagraph"/>
        <w:numPr>
          <w:ilvl w:val="1"/>
          <w:numId w:val="3"/>
        </w:numPr>
        <w:tabs>
          <w:tab w:pos="1620" w:val="left" w:leader="none"/>
          <w:tab w:pos="1621" w:val="left" w:leader="none"/>
        </w:tabs>
        <w:spacing w:line="240" w:lineRule="auto" w:before="80" w:after="0"/>
        <w:ind w:left="1620" w:right="0" w:hanging="361"/>
        <w:jc w:val="left"/>
        <w:rPr>
          <w:color w:val="DF2F1E"/>
          <w:sz w:val="16"/>
        </w:rPr>
      </w:pPr>
      <w:r>
        <w:rPr>
          <w:color w:val="DF2F1E"/>
          <w:sz w:val="16"/>
        </w:rPr>
        <w:t>Change in average lifetime cost is relative to the June 2017 (rebased)</w:t>
      </w:r>
      <w:r>
        <w:rPr>
          <w:color w:val="DF2F1E"/>
          <w:spacing w:val="-12"/>
          <w:sz w:val="16"/>
        </w:rPr>
        <w:t> </w:t>
      </w:r>
      <w:r>
        <w:rPr>
          <w:color w:val="DF2F1E"/>
          <w:sz w:val="16"/>
        </w:rPr>
        <w:t>valuation.</w:t>
      </w:r>
    </w:p>
    <w:p>
      <w:pPr>
        <w:pStyle w:val="BodyText"/>
        <w:spacing w:before="119"/>
        <w:ind w:left="900" w:right="1123"/>
        <w:jc w:val="both"/>
      </w:pPr>
      <w:r>
        <w:rPr>
          <w:color w:val="404040"/>
        </w:rPr>
        <w:t>The total lifetime cost represents a multiple of almost 50 times the total amount of 2017/18 in-scope payments, which totalled $115.4 billion. Such a multiplier is not unexpected given that we have included the Age Pension in the valuation, which a significant proportion of the model population are expected to receive in the future for many years post retirement.</w:t>
      </w:r>
    </w:p>
    <w:p>
      <w:pPr>
        <w:pStyle w:val="BodyText"/>
        <w:spacing w:before="122"/>
        <w:ind w:left="900" w:right="1075"/>
      </w:pPr>
      <w:r>
        <w:rPr>
          <w:color w:val="404040"/>
        </w:rPr>
        <w:t>The table shows the contribution of each class and population group to the total lifetime cost, which reflects the number of people in that class and their average lifetime cost. The average lifetime cost for people in each class is driven by the probability of an average person in that starting population entering, remaining in or leaving the system in each future year; combined with the type and amount of payments they are likely to receive while they are active in the system.</w:t>
      </w:r>
    </w:p>
    <w:p>
      <w:pPr>
        <w:pStyle w:val="BodyText"/>
        <w:spacing w:before="120"/>
        <w:ind w:left="900" w:right="1075"/>
      </w:pPr>
      <w:r>
        <w:rPr>
          <w:color w:val="404040"/>
        </w:rPr>
        <w:t>Unsurprisingly, the current welfare recipient class with the largest total lifetime cost is Age Pension, owing to the number of people in this class and the fact that once in that class, most people remain there for the rest of their lives. Furthermore, the projected future cost of Age Pension and related payments for current welfare recipients is a significant component of the lifetime costs for all other classes. This is shown in the chart below, which further splits the lifetime costs by class shown in the above table, into the 17 payment categories that we have included in the model.</w:t>
      </w:r>
    </w:p>
    <w:p>
      <w:pPr>
        <w:spacing w:after="0"/>
        <w:sectPr>
          <w:pgSz w:w="11910" w:h="16850"/>
          <w:pgMar w:header="289" w:footer="298" w:top="500" w:bottom="480" w:left="120" w:right="0"/>
        </w:sectPr>
      </w:pPr>
    </w:p>
    <w:p>
      <w:pPr>
        <w:pStyle w:val="BodyText"/>
      </w:pPr>
    </w:p>
    <w:p>
      <w:pPr>
        <w:pStyle w:val="BodyText"/>
      </w:pPr>
    </w:p>
    <w:p>
      <w:pPr>
        <w:pStyle w:val="BodyText"/>
      </w:pPr>
    </w:p>
    <w:p>
      <w:pPr>
        <w:pStyle w:val="BodyText"/>
        <w:rPr>
          <w:sz w:val="26"/>
        </w:rPr>
      </w:pPr>
    </w:p>
    <w:p>
      <w:pPr>
        <w:pStyle w:val="Heading9"/>
      </w:pPr>
      <w:r>
        <w:rPr>
          <w:color w:val="DF2F1E"/>
        </w:rPr>
        <w:t>Figure 3: Composition of lifetime cost ($bn) by welfare class and payment category</w:t>
      </w:r>
    </w:p>
    <w:p>
      <w:pPr>
        <w:pStyle w:val="BodyText"/>
        <w:spacing w:before="6"/>
        <w:rPr>
          <w:b/>
          <w:sz w:val="13"/>
        </w:rPr>
      </w:pPr>
    </w:p>
    <w:p>
      <w:pPr>
        <w:spacing w:before="0"/>
        <w:ind w:left="1734" w:right="0" w:firstLine="0"/>
        <w:jc w:val="left"/>
        <w:rPr>
          <w:rFonts w:ascii="Calibri"/>
          <w:sz w:val="10"/>
        </w:rPr>
      </w:pPr>
      <w:r>
        <w:rPr/>
        <w:pict>
          <v:group style="position:absolute;margin-left:117.273636pt;margin-top:-2.246527pt;width:423.45pt;height:136.050pt;mso-position-horizontal-relative:page;mso-position-vertical-relative:paragraph;z-index:251671552" coordorigin="2345,-45" coordsize="8469,2721">
            <v:shape style="position:absolute;left:4065;top:-43;width:2;height:2686" coordorigin="4065,-43" coordsize="0,2686" path="m4065,-43l4065,1123m4065,1251l4065,2244m4065,2371l4065,2468m4065,2596l4065,2643e" filled="false" stroked="true" strokeweight=".236207pt" strokecolor="#bebebe">
              <v:path arrowok="t"/>
              <v:stroke dashstyle="solid"/>
            </v:shape>
            <v:shape style="position:absolute;left:5751;top:-43;width:1687;height:2686" coordorigin="5752,-43" coordsize="1687,2686" path="m5752,-43l5752,2468m5752,2596l5752,2643m7438,-43l7438,2468m7438,2596l7438,2643e" filled="false" stroked="true" strokeweight=".236207pt" strokecolor="#bebebe">
              <v:path arrowok="t"/>
              <v:stroke dashstyle="solid"/>
            </v:shape>
            <v:rect style="position:absolute;left:2378;top:2468;width:95;height:128" filled="true" fillcolor="#1f487c" stroked="false">
              <v:fill type="solid"/>
            </v:rect>
            <v:rect style="position:absolute;left:2378;top:2468;width:95;height:128" filled="false" stroked="true" strokeweight=".236125pt" strokecolor="#1f487c">
              <v:stroke dashstyle="solid"/>
            </v:rect>
            <v:line style="position:absolute" from="2473,2532" to="2856,2532" stroked="true" strokeweight="6.37112pt" strokecolor="#009544">
              <v:stroke dashstyle="solid"/>
            </v:line>
            <v:rect style="position:absolute;left:2473;top:2468;width:383;height:128" filled="false" stroked="true" strokeweight=".235994pt" strokecolor="#009544">
              <v:stroke dashstyle="solid"/>
            </v:rect>
            <v:line style="position:absolute" from="2856,2532" to="3059,2532" stroked="true" strokeweight="6.371202pt" strokecolor="#e16b09">
              <v:stroke dashstyle="solid"/>
            </v:line>
            <v:rect style="position:absolute;left:2855;top:2468;width:204;height:128" filled="false" stroked="true" strokeweight=".236036pt" strokecolor="#e16b09">
              <v:stroke dashstyle="solid"/>
            </v:rect>
            <v:line style="position:absolute" from="3059,2532" to="3352,2532" stroked="true" strokeweight="6.371144pt" strokecolor="#e08ad6">
              <v:stroke dashstyle="solid"/>
            </v:line>
            <v:rect style="position:absolute;left:3058;top:2468;width:293;height:128" filled="false" stroked="true" strokeweight=".236005pt" strokecolor="#e08ad6">
              <v:stroke dashstyle="solid"/>
            </v:rect>
            <v:line style="position:absolute" from="3352,2532" to="3952,2532" stroked="true" strokeweight="6.371174pt" strokecolor="#8063a1">
              <v:stroke dashstyle="solid"/>
            </v:line>
            <v:rect style="position:absolute;left:3351;top:2468;width:600;height:128" filled="false" stroked="true" strokeweight=".235982pt" strokecolor="#8063a1">
              <v:stroke dashstyle="solid"/>
            </v:rect>
            <v:line style="position:absolute" from="3952,2532" to="8548,2532" stroked="true" strokeweight="6.371217pt" strokecolor="#c0504d">
              <v:stroke dashstyle="solid"/>
            </v:line>
            <v:rect style="position:absolute;left:2378;top:2246;width:5;height:123" filled="false" stroked="true" strokeweight=".23621pt" strokecolor="#1f487c">
              <v:stroke dashstyle="solid"/>
            </v:rect>
            <v:rect style="position:absolute;left:2378;top:2246;width:74;height:123" filled="true" fillcolor="#009544" stroked="false">
              <v:fill type="solid"/>
            </v:rect>
            <v:rect style="position:absolute;left:2378;top:2246;width:76;height:123" filled="false" stroked="true" strokeweight=".236144pt" strokecolor="#009544">
              <v:stroke dashstyle="solid"/>
            </v:rect>
            <v:rect style="position:absolute;left:2454;top:2246;width:10;height:123" filled="false" stroked="true" strokeweight=".236205pt" strokecolor="#e16b09">
              <v:stroke dashstyle="solid"/>
            </v:rect>
            <v:rect style="position:absolute;left:2463;top:2246;width:57;height:123" filled="true" fillcolor="#e08ad6" stroked="false">
              <v:fill type="solid"/>
            </v:rect>
            <v:rect style="position:absolute;left:2463;top:2246;width:57;height:123" filled="false" stroked="true" strokeweight=".236165pt" strokecolor="#e08ad6">
              <v:stroke dashstyle="solid"/>
            </v:rect>
            <v:rect style="position:absolute;left:2520;top:2246;width:76;height:123" filled="true" fillcolor="#8063a1" stroked="false">
              <v:fill type="solid"/>
            </v:rect>
            <v:rect style="position:absolute;left:2520;top:2246;width:76;height:123" filled="false" stroked="true" strokeweight=".236146pt" strokecolor="#8063a1">
              <v:stroke dashstyle="solid"/>
            </v:rect>
            <v:line style="position:absolute" from="2596,2308" to="3994,2308" stroked="true" strokeweight="6.135256pt" strokecolor="#c0504d">
              <v:stroke dashstyle="solid"/>
            </v:line>
            <v:rect style="position:absolute;left:2378;top:2019;width:5;height:128" filled="false" stroked="true" strokeweight=".23621pt" strokecolor="#1f487c">
              <v:stroke dashstyle="solid"/>
            </v:rect>
            <v:rect style="position:absolute;left:2378;top:2019;width:78;height:128" filled="true" fillcolor="#009544" stroked="false">
              <v:fill type="solid"/>
            </v:rect>
            <v:rect style="position:absolute;left:2378;top:2019;width:81;height:128" filled="false" stroked="true" strokeweight=".236142pt" strokecolor="#009544">
              <v:stroke dashstyle="solid"/>
            </v:rect>
            <v:rect style="position:absolute;left:2458;top:2019;width:15;height:128" filled="false" stroked="true" strokeweight=".236204pt" strokecolor="#e16b09">
              <v:stroke dashstyle="solid"/>
            </v:rect>
            <v:rect style="position:absolute;left:2473;top:2019;width:43;height:128" filled="true" fillcolor="#e08ad6" stroked="false">
              <v:fill type="solid"/>
            </v:rect>
            <v:rect style="position:absolute;left:2473;top:2019;width:43;height:128" filled="false" stroked="true" strokeweight=".236183pt" strokecolor="#e08ad6">
              <v:stroke dashstyle="solid"/>
            </v:rect>
            <v:rect style="position:absolute;left:2515;top:2019;width:67;height:128" filled="true" fillcolor="#8063a1" stroked="false">
              <v:fill type="solid"/>
            </v:rect>
            <v:rect style="position:absolute;left:2515;top:2019;width:67;height:128" filled="false" stroked="true" strokeweight=".236161pt" strokecolor="#8063a1">
              <v:stroke dashstyle="solid"/>
            </v:rect>
            <v:line style="position:absolute" from="2582,2084" to="3309,2084" stroked="true" strokeweight="6.371217pt" strokecolor="#c0504d">
              <v:stroke dashstyle="solid"/>
            </v:line>
            <v:line style="position:absolute" from="2386,1796" to="2386,1923" stroked="true" strokeweight=".944835pt" strokecolor="#009544">
              <v:stroke dashstyle="solid"/>
            </v:line>
            <v:line style="position:absolute" from="2397,1796" to="2397,1923" stroked="true" strokeweight=".236211pt" strokecolor="#e16b09">
              <v:stroke dashstyle="solid"/>
            </v:line>
            <v:line style="position:absolute" from="2407,1796" to="2407,1923" stroked="true" strokeweight=".708629pt" strokecolor="#e08ad6">
              <v:stroke dashstyle="solid"/>
            </v:line>
            <v:rect style="position:absolute;left:2416;top:1798;width:15;height:123" filled="false" stroked="true" strokeweight=".236209pt" strokecolor="#8063a1">
              <v:stroke dashstyle="solid"/>
            </v:rect>
            <v:line style="position:absolute" from="2431,1859" to="2610,1859" stroked="true" strokeweight="6.135246pt" strokecolor="#c0504d">
              <v:stroke dashstyle="solid"/>
            </v:line>
            <v:line style="position:absolute" from="2379,1569" to="2379,1701" stroked="true" strokeweight=".236209pt" strokecolor="#009544">
              <v:stroke dashstyle="solid"/>
            </v:line>
            <v:line style="position:absolute" from="2388,1569" to="2388,1701" stroked="true" strokeweight=".708623pt" strokecolor="#e08ad6">
              <v:stroke dashstyle="solid"/>
            </v:line>
            <v:rect style="position:absolute;left:2397;top:1571;width:5;height:128" filled="false" stroked="true" strokeweight=".236212pt" strokecolor="#8063a1">
              <v:stroke dashstyle="solid"/>
            </v:rect>
            <v:rect style="position:absolute;left:2402;top:1571;width:93;height:128" filled="true" fillcolor="#c0504d" stroked="false">
              <v:fill type="solid"/>
            </v:rect>
            <v:rect style="position:absolute;left:2378;top:1349;width:5;height:123" filled="false" stroked="true" strokeweight=".23621pt" strokecolor="#1f487c">
              <v:stroke dashstyle="solid"/>
            </v:rect>
            <v:rect style="position:absolute;left:2378;top:1349;width:45;height:123" filled="true" fillcolor="#009544" stroked="false">
              <v:fill type="solid"/>
            </v:rect>
            <v:rect style="position:absolute;left:2378;top:1349;width:48;height:123" filled="false" stroked="true" strokeweight=".236179pt" strokecolor="#009544">
              <v:stroke dashstyle="solid"/>
            </v:rect>
            <v:rect style="position:absolute;left:2425;top:1349;width:10;height:123" filled="false" stroked="true" strokeweight=".236205pt" strokecolor="#e16b09">
              <v:stroke dashstyle="solid"/>
            </v:rect>
            <v:rect style="position:absolute;left:2435;top:1349;width:43;height:123" filled="true" fillcolor="#e08ad6" stroked="false">
              <v:fill type="solid"/>
            </v:rect>
            <v:rect style="position:absolute;left:2435;top:1349;width:43;height:123" filled="false" stroked="true" strokeweight=".236182pt" strokecolor="#e08ad6">
              <v:stroke dashstyle="solid"/>
            </v:rect>
            <v:rect style="position:absolute;left:2477;top:1349;width:43;height:123" filled="true" fillcolor="#8063a1" stroked="false">
              <v:fill type="solid"/>
            </v:rect>
            <v:rect style="position:absolute;left:2477;top:1349;width:43;height:123" filled="false" stroked="true" strokeweight=".236186pt" strokecolor="#8063a1">
              <v:stroke dashstyle="solid"/>
            </v:rect>
            <v:line style="position:absolute" from="2520,1411" to="3219,1411" stroked="true" strokeweight="6.135246pt" strokecolor="#c0504d">
              <v:stroke dashstyle="solid"/>
            </v:line>
            <v:rect style="position:absolute;left:2378;top:1123;width:5;height:128" filled="false" stroked="true" strokeweight=".236212pt" strokecolor="#8063a1">
              <v:stroke dashstyle="solid"/>
            </v:rect>
            <v:line style="position:absolute" from="2379,1187" to="4112,1187" stroked="true" strokeweight="6.371217pt" strokecolor="#c0504d">
              <v:stroke dashstyle="solid"/>
            </v:line>
            <v:line style="position:absolute" from="2379,899" to="2379,1026" stroked="true" strokeweight=".236209pt" strokecolor="#009544">
              <v:stroke dashstyle="solid"/>
            </v:line>
            <v:rect style="position:absolute;left:2383;top:901;width:5;height:123" filled="false" stroked="true" strokeweight=".236207pt" strokecolor="#e08ad6">
              <v:stroke dashstyle="solid"/>
            </v:rect>
            <v:line style="position:absolute" from="2383,963" to="3219,963" stroked="true" strokeweight="6.135208pt" strokecolor="#8063a1">
              <v:stroke dashstyle="solid"/>
            </v:line>
            <v:rect style="position:absolute;left:2383;top:901;width:837;height:123" filled="false" stroked="true" strokeweight=".235976pt" strokecolor="#8063a1">
              <v:stroke dashstyle="solid"/>
            </v:rect>
            <v:line style="position:absolute" from="3219,963" to="3607,963" stroked="true" strokeweight="6.135246pt" strokecolor="#c0504d">
              <v:stroke dashstyle="solid"/>
            </v:line>
            <v:line style="position:absolute" from="2386,677" to="2386,805" stroked="true" strokeweight=".944835pt" strokecolor="#009544">
              <v:stroke dashstyle="solid"/>
            </v:line>
            <v:rect style="position:absolute;left:2397;top:679;width:5;height:123" filled="false" stroked="true" strokeweight=".236207pt" strokecolor="#e16b09">
              <v:stroke dashstyle="solid"/>
            </v:rect>
            <v:line style="position:absolute" from="2402,741" to="2556,741" stroked="true" strokeweight="6.135174pt" strokecolor="#e08ad6">
              <v:stroke dashstyle="solid"/>
            </v:line>
            <v:rect style="position:absolute;left:2402;top:679;width:156;height:123" filled="false" stroked="true" strokeweight=".236059pt" strokecolor="#e08ad6">
              <v:stroke dashstyle="solid"/>
            </v:rect>
            <v:rect style="position:absolute;left:2558;top:679;width:24;height:123" filled="false" stroked="true" strokeweight=".236203pt" strokecolor="#8063a1">
              <v:stroke dashstyle="solid"/>
            </v:rect>
            <v:line style="position:absolute" from="2582,741" to="2775,741" stroked="true" strokeweight="6.135236pt" strokecolor="#c0504d">
              <v:stroke dashstyle="solid"/>
            </v:line>
            <v:rect style="position:absolute;left:2378;top:452;width:5;height:123" filled="false" stroked="true" strokeweight=".23621pt" strokecolor="#1f487c">
              <v:stroke dashstyle="solid"/>
            </v:rect>
            <v:rect style="position:absolute;left:2378;top:452;width:62;height:123" filled="true" fillcolor="#009544" stroked="false">
              <v:fill type="solid"/>
            </v:rect>
            <v:rect style="position:absolute;left:2378;top:452;width:62;height:123" filled="false" stroked="true" strokeweight=".236162pt" strokecolor="#009544">
              <v:stroke dashstyle="solid"/>
            </v:rect>
            <v:rect style="position:absolute;left:2439;top:452;width:86;height:123" filled="true" fillcolor="#e16b09" stroked="false">
              <v:fill type="solid"/>
            </v:rect>
            <v:rect style="position:absolute;left:2439;top:452;width:86;height:123" filled="false" stroked="true" strokeweight=".23613pt" strokecolor="#e16b09">
              <v:stroke dashstyle="solid"/>
            </v:rect>
            <v:rect style="position:absolute;left:2525;top:452;width:52;height:123" filled="true" fillcolor="#e08ad6" stroked="false">
              <v:fill type="solid"/>
            </v:rect>
            <v:rect style="position:absolute;left:2525;top:452;width:52;height:123" filled="false" stroked="true" strokeweight=".236171pt" strokecolor="#e08ad6">
              <v:stroke dashstyle="solid"/>
            </v:rect>
            <v:rect style="position:absolute;left:2576;top:452;width:43;height:123" filled="true" fillcolor="#8063a1" stroked="false">
              <v:fill type="solid"/>
            </v:rect>
            <v:rect style="position:absolute;left:2576;top:452;width:43;height:123" filled="false" stroked="true" strokeweight=".236186pt" strokecolor="#8063a1">
              <v:stroke dashstyle="solid"/>
            </v:rect>
            <v:line style="position:absolute" from="2619,514" to="2827,514" stroked="true" strokeweight="6.135246pt" strokecolor="#c0504d">
              <v:stroke dashstyle="solid"/>
            </v:line>
            <v:rect style="position:absolute;left:2378;top:231;width:5;height:123" filled="false" stroked="true" strokeweight=".23621pt" strokecolor="#1f487c">
              <v:stroke dashstyle="solid"/>
            </v:rect>
            <v:line style="position:absolute" from="2383,293" to="2643,293" stroked="true" strokeweight="6.135154pt" strokecolor="#009544">
              <v:stroke dashstyle="solid"/>
            </v:line>
            <v:rect style="position:absolute;left:2383;top:231;width:260;height:123" filled="false" stroked="true" strokeweight=".236013pt" strokecolor="#009544">
              <v:stroke dashstyle="solid"/>
            </v:rect>
            <v:rect style="position:absolute;left:2643;top:231;width:29;height:123" filled="true" fillcolor="#e16b09" stroked="false">
              <v:fill type="solid"/>
            </v:rect>
            <v:rect style="position:absolute;left:2643;top:231;width:29;height:123" filled="false" stroked="true" strokeweight=".236195pt" strokecolor="#e16b09">
              <v:stroke dashstyle="solid"/>
            </v:rect>
            <v:rect style="position:absolute;left:2671;top:231;width:86;height:123" filled="true" fillcolor="#e08ad6" stroked="false">
              <v:fill type="solid"/>
            </v:rect>
            <v:rect style="position:absolute;left:2671;top:231;width:86;height:123" filled="false" stroked="true" strokeweight=".236129pt" strokecolor="#e08ad6">
              <v:stroke dashstyle="solid"/>
            </v:rect>
            <v:line style="position:absolute" from="2756,293" to="2903,293" stroked="true" strokeweight="6.135203pt" strokecolor="#8063a1">
              <v:stroke dashstyle="solid"/>
            </v:line>
            <v:rect style="position:absolute;left:2756;top:231;width:147;height:123" filled="false" stroked="true" strokeweight=".236071pt" strokecolor="#8063a1">
              <v:stroke dashstyle="solid"/>
            </v:rect>
            <v:line style="position:absolute" from="2903,293" to="3654,293" stroked="true" strokeweight="6.135246pt" strokecolor="#c0504d">
              <v:stroke dashstyle="solid"/>
            </v:line>
            <v:line style="position:absolute" from="2383,2" to="2383,134" stroked="true" strokeweight=".708626pt" strokecolor="#1f487c">
              <v:stroke dashstyle="solid"/>
            </v:line>
            <v:line style="position:absolute" from="2402,2" to="2402,134" stroked="true" strokeweight="1.181043pt" strokecolor="#009544">
              <v:stroke dashstyle="solid"/>
            </v:line>
            <v:line style="position:absolute" from="2419,2" to="2419,134" stroked="true" strokeweight=".472425pt" strokecolor="#e16b09">
              <v:stroke dashstyle="solid"/>
            </v:line>
            <v:line style="position:absolute" from="2431,2" to="2431,134" stroked="true" strokeweight=".708636pt" strokecolor="#e08ad6">
              <v:stroke dashstyle="solid"/>
            </v:line>
            <v:rect style="position:absolute;left:2439;top:4;width:24;height:128" filled="false" stroked="true" strokeweight=".236204pt" strokecolor="#8063a1">
              <v:stroke dashstyle="solid"/>
            </v:rect>
            <v:line style="position:absolute" from="2464,68" to="2612,68" stroked="true" strokeweight="6.371217pt" strokecolor="#c0504d">
              <v:stroke dashstyle="solid"/>
            </v:line>
            <v:shape style="position:absolute;left:0;top:-242972;width:602405;height:253232" coordorigin="0,-242972" coordsize="602405,253232" path="m8548,2596l3952,2596,3952,2468,8548,2468,8548,2596xm3994,2369l2596,2369,2596,2246,3994,2246,3994,2369xm3309,2147l2582,2147,2582,2020,3309,2020,3309,2147xm2610,1921l2431,1921,2431,1798,2610,1798,2610,1921xm2497,1699l2402,1699,2402,1571,2497,1571,2497,1699xm3219,1472l2520,1472,2520,1350,3219,1350,3219,1472xm4112,1251l2379,1251,2379,1123,4112,1123,4112,1251xm3607,1024l3219,1024,3219,901,3607,901,3607,1024xm2775,802l2582,802,2582,679,2775,679,2775,802xm2827,576l2619,576,2619,453,2827,453,2827,576xm3654,354l2903,354,2903,231,3654,231,3654,354xm2615,132l2464,132,2464,5,2615,5,2615,132xe" filled="false" stroked="true" strokeweight=".23609pt" strokecolor="#c0504d">
              <v:path arrowok="t"/>
              <v:stroke dashstyle="solid"/>
            </v:shape>
            <v:rect style="position:absolute;left:3654;top:231;width:5;height:123" filled="false" stroked="true" strokeweight=".236208pt" strokecolor="#c9dba4">
              <v:stroke dashstyle="solid"/>
            </v:rect>
            <v:line style="position:absolute" from="8548,2532" to="9044,2532" stroked="true" strokeweight="6.371192pt" strokecolor="#f8a763">
              <v:stroke dashstyle="solid"/>
            </v:line>
            <v:shape style="position:absolute;left:2610;top:1798;width:1422;height:572" coordorigin="2610,1798" coordsize="1422,572" path="m2636,1798l2610,1798,2610,1921,2636,1921,2636,1798m3352,2020l3309,2020,3309,2147,3352,2147,3352,2020m4032,2246l3994,2246,3994,2369,4032,2369,4032,2246e" filled="true" fillcolor="#f8a763" stroked="false">
              <v:path arrowok="t"/>
              <v:fill type="solid"/>
            </v:shape>
            <v:line style="position:absolute" from="3219,1411" to="3356,1411" stroked="true" strokeweight="6.13522pt" strokecolor="#f8a763">
              <v:stroke dashstyle="solid"/>
            </v:line>
            <v:rect style="position:absolute;left:2775;top:679;width:26;height:123" filled="true" fillcolor="#f8a763" stroked="false">
              <v:fill type="solid"/>
            </v:rect>
            <v:line style="position:absolute" from="2827,514" to="2988,514" stroked="true" strokeweight="6.13522pt" strokecolor="#f8a763">
              <v:stroke dashstyle="solid"/>
            </v:line>
            <v:rect style="position:absolute;left:3658;top:231;width:81;height:123" filled="true" fillcolor="#f8a763" stroked="false">
              <v:fill type="solid"/>
            </v:rect>
            <v:shape style="position:absolute;left:21118;top:-226055;width:587016;height:72839" coordorigin="21119,-226055" coordsize="587016,72839" path="m9044,2596l8548,2596,8548,2468,9044,2468,9044,2596xm4032,2369l3994,2369,3994,2246,4032,2246,4032,2369xm3352,2147l3309,2147,3309,2020,3352,2020,3352,2147xm2638,1921l2610,1921,2610,1798,2638,1798,2638,1921xe" filled="false" stroked="true" strokeweight=".236092pt" strokecolor="#f8a763">
              <v:path arrowok="t"/>
              <v:stroke dashstyle="solid"/>
            </v:shape>
            <v:line style="position:absolute" from="2501,1569" to="2501,1701" stroked="true" strokeweight=".708574pt" strokecolor="#f8a763">
              <v:stroke dashstyle="solid"/>
            </v:line>
            <v:rect style="position:absolute;left:3219;top:1349;width:137;height:123" filled="false" stroked="true" strokeweight=".236079pt" strokecolor="#f8a763">
              <v:stroke dashstyle="solid"/>
            </v:rect>
            <v:line style="position:absolute" from="3616,899" to="3616,1026" stroked="true" strokeweight="1.180606pt" strokecolor="#f8a763">
              <v:stroke dashstyle="solid"/>
            </v:line>
            <v:shape style="position:absolute;left:36203;top:-62277;width:87924;height:52151" coordorigin="36204,-62276" coordsize="87924,52151" path="m2804,802l2775,802,2775,679,2804,679,2804,802xm2988,576l2827,576,2827,453,2988,453,2988,576xm3739,354l3659,354,3659,231,3739,231,3739,354xe" filled="false" stroked="true" strokeweight=".236092pt" strokecolor="#f8a763">
              <v:path arrowok="t"/>
              <v:stroke dashstyle="solid"/>
            </v:shape>
            <v:line style="position:absolute" from="2624,2" to="2624,134" stroked="true" strokeweight="1.180959pt" strokecolor="#f8a763">
              <v:stroke dashstyle="solid"/>
            </v:line>
            <v:shape style="position:absolute;left:9124;top:-43;width:2;height:2686" coordorigin="9125,-43" coordsize="0,2686" path="m9125,-43l9125,2468m9125,2596l9125,2643e" filled="false" stroked="true" strokeweight=".236207pt" strokecolor="#bebebe">
              <v:path arrowok="t"/>
              <v:stroke dashstyle="solid"/>
            </v:shape>
            <v:line style="position:absolute" from="9044,2532" to="9389,2532" stroked="true" strokeweight="6.371186pt" strokecolor="#f9c090">
              <v:stroke dashstyle="solid"/>
            </v:line>
            <v:shape style="position:absolute;left:2987;top:231;width:1075;height:2138" coordorigin="2988,231" coordsize="1075,2138" path="m3033,453l2988,453,2988,576,3033,576,3033,453m3378,2020l3352,2020,3352,2147,3378,2147,3378,2020m3444,1350l3356,1350,3356,1472,3444,1472,3444,1350m3765,231l3739,231,3739,354,3765,354,3765,231m4063,2246l4032,2246,4032,2369,4063,2369,4063,2246e" filled="true" fillcolor="#f9c090" stroked="false">
              <v:path arrowok="t"/>
              <v:fill type="solid"/>
            </v:shape>
            <v:shape style="position:absolute;left:85125;top:-216125;width:528111;height:50415" coordorigin="85126,-216125" coordsize="528111,50415" path="m9389,2596l9044,2596,9044,2468,9389,2468,9389,2596xm4065,2369l4032,2369,4032,2246,4065,2246,4065,2369xm3380,2147l3352,2147,3352,2020,3380,2020,3380,2147xe" filled="false" stroked="true" strokeweight=".236093pt" strokecolor="#f9c090">
              <v:path arrowok="t"/>
              <v:stroke dashstyle="solid"/>
            </v:shape>
            <v:line style="position:absolute" from="2648,1796" to="2648,1923" stroked="true" strokeweight="1.181039pt" strokecolor="#f9c090">
              <v:stroke dashstyle="solid"/>
            </v:line>
            <v:line style="position:absolute" from="2511,1569" to="2511,1701" stroked="true" strokeweight=".236208pt" strokecolor="#f9c090">
              <v:stroke dashstyle="solid"/>
            </v:line>
            <v:rect style="position:absolute;left:3356;top:1349;width:90;height:123" filled="false" stroked="true" strokeweight=".236129pt" strokecolor="#f9c090">
              <v:stroke dashstyle="solid"/>
            </v:rect>
            <v:line style="position:absolute" from="3630,899" to="3630,1026" stroked="true" strokeweight=".236262pt" strokecolor="#f9c090">
              <v:stroke dashstyle="solid"/>
            </v:line>
            <v:line style="position:absolute" from="2806,677" to="2806,805" stroked="true" strokeweight=".472427pt" strokecolor="#f9c090">
              <v:stroke dashstyle="solid"/>
            </v:line>
            <v:shape style="position:absolute;left:53306;top:-39262;width:68184;height:30166" coordorigin="53307,-39262" coordsize="68184,30166" path="m3035,576l2988,576,2988,453,3035,453,3035,576xm3767,354l3739,354,3739,231,3767,231,3767,354xe" filled="false" stroked="true" strokeweight=".236093pt" strokecolor="#f9c090">
              <v:path arrowok="t"/>
              <v:stroke dashstyle="solid"/>
            </v:shape>
            <v:line style="position:absolute" from="2645,2" to="2645,134" stroked="true" strokeweight=".944828pt" strokecolor="#f9c090">
              <v:stroke dashstyle="solid"/>
            </v:line>
            <v:rect style="position:absolute;left:9389;top:2468;width:112;height:128" filled="true" fillcolor="#fbddc4" stroked="false">
              <v:fill type="solid"/>
            </v:rect>
            <v:rect style="position:absolute;left:9389;top:2468;width:114;height:128" filled="false" stroked="true" strokeweight=".236108pt" strokecolor="#fbddc4">
              <v:stroke dashstyle="solid"/>
            </v:rect>
            <v:line style="position:absolute" from="4067,2244" to="4067,2371" stroked="true" strokeweight=".47244pt" strokecolor="#fbddc4">
              <v:stroke dashstyle="solid"/>
            </v:line>
            <v:line style="position:absolute" from="3382,2017" to="3382,2150" stroked="true" strokeweight=".47242pt" strokecolor="#fbddc4">
              <v:stroke dashstyle="solid"/>
            </v:line>
            <v:line style="position:absolute" from="2662,1796" to="2662,1923" stroked="true" strokeweight=".23622pt" strokecolor="#fbddc4">
              <v:stroke dashstyle="solid"/>
            </v:line>
            <v:line style="position:absolute" from="3449,1347" to="3449,1475" stroked="true" strokeweight=".472415pt" strokecolor="#fbddc4">
              <v:stroke dashstyle="solid"/>
            </v:line>
            <v:line style="position:absolute" from="3770,229" to="3770,356" stroked="true" strokeweight=".472427pt" strokecolor="#fbddc4">
              <v:stroke dashstyle="solid"/>
            </v:line>
            <v:line style="position:absolute" from="2657,2" to="2657,134" stroked="true" strokeweight=".236215pt" strokecolor="#fbddc4">
              <v:stroke dashstyle="solid"/>
            </v:line>
            <v:shape style="position:absolute;left:145819;top:-212185;width:467518;height:30058" coordorigin="145820,-212185" coordsize="467518,30058" path="m9512,2596l9503,2596,9503,2468,9512,2468,9512,2596xm4075,2369l4079,2369,4079,2246,4075,2246,4075,2369xe" filled="false" stroked="true" strokeweight=".236087pt" strokecolor="#938953">
              <v:path arrowok="t"/>
              <v:stroke dashstyle="solid"/>
            </v:shape>
            <v:line style="position:absolute" from="3635,899" to="3635,1026" stroked="true" strokeweight=".236232pt" strokecolor="#938953">
              <v:stroke dashstyle="solid"/>
            </v:line>
            <v:rect style="position:absolute;left:2813;top:679;width:5;height:123" filled="false" stroked="true" strokeweight=".236206pt" strokecolor="#938953">
              <v:stroke dashstyle="solid"/>
            </v:rect>
            <v:shape style="position:absolute;left:2813;top:679;width:6801;height:1917" coordorigin="2813,680" coordsize="6801,1917" path="m2849,680l2813,680,2813,802,2849,802,2849,680m4100,2246l4075,2246,4075,2369,4100,2369,4100,2246m9614,2468l9512,2468,9512,2596,9614,2596,9614,2468e" filled="true" fillcolor="#ecb8e7" stroked="false">
              <v:path arrowok="t"/>
              <v:fill type="solid"/>
            </v:shape>
            <v:shape style="position:absolute;left:143977;top:-209317;width:470435;height:29678" coordorigin="143978,-209317" coordsize="470435,29678" path="m9616,2596l9512,2596,9512,2468,9616,2468,9616,2596xm4103,2369l4075,2369,4075,2246,4103,2246,4103,2369xe" filled="false" stroked="true" strokeweight=".236093pt" strokecolor="#ecb8e7">
              <v:path arrowok="t"/>
              <v:stroke dashstyle="solid"/>
            </v:shape>
            <v:line style="position:absolute" from="3397,2017" to="3397,2150" stroked="true" strokeweight=".944823pt" strokecolor="#ecb8e7">
              <v:stroke dashstyle="solid"/>
            </v:line>
            <v:line style="position:absolute" from="2667,1796" to="2667,1923" stroked="true" strokeweight=".236212pt" strokecolor="#ecb8e7">
              <v:stroke dashstyle="solid"/>
            </v:line>
            <v:line style="position:absolute" from="2523,1569" to="2523,1701" stroked="true" strokeweight=".944835pt" strokecolor="#ecb8e7">
              <v:stroke dashstyle="solid"/>
            </v:line>
            <v:line style="position:absolute" from="3465,1347" to="3465,1475" stroked="true" strokeweight="1.181034pt" strokecolor="#ecb8e7">
              <v:stroke dashstyle="solid"/>
            </v:line>
            <v:line style="position:absolute" from="4117,1121" to="4117,1253" stroked="true" strokeweight=".708624pt" strokecolor="#ecb8e7">
              <v:stroke dashstyle="solid"/>
            </v:line>
            <v:line style="position:absolute" from="3640,899" to="3640,1026" stroked="true" strokeweight=".236212pt" strokecolor="#ecb8e7">
              <v:stroke dashstyle="solid"/>
            </v:line>
            <v:rect style="position:absolute;left:2813;top:679;width:38;height:123" filled="false" stroked="true" strokeweight=".236192pt" strokecolor="#ecb8e7">
              <v:stroke dashstyle="solid"/>
            </v:rect>
            <v:line style="position:absolute" from="3042,451" to="3042,578" stroked="true" strokeweight=".944835pt" strokecolor="#ecb8e7">
              <v:stroke dashstyle="solid"/>
            </v:line>
            <v:line style="position:absolute" from="3786,229" to="3786,356" stroked="true" strokeweight="1.181034pt" strokecolor="#ecb8e7">
              <v:stroke dashstyle="solid"/>
            </v:line>
            <v:line style="position:absolute" from="2662,2" to="2662,134" stroked="true" strokeweight=".236212pt" strokecolor="#ecb8e7">
              <v:stroke dashstyle="solid"/>
            </v:line>
            <v:line style="position:absolute" from="9618,2466" to="9618,2598" stroked="true" strokeweight=".472412pt" strokecolor="#c4bc96">
              <v:stroke dashstyle="solid"/>
            </v:line>
            <v:line style="position:absolute" from="2667,2" to="2667,134" stroked="true" strokeweight=".236201pt" strokecolor="#c4bc96">
              <v:stroke dashstyle="solid"/>
            </v:line>
            <v:shape style="position:absolute;left:40105;top:-209317;width:575511;height:200928" coordorigin="40105,-209317" coordsize="575511,200928" path="m9625,2596l9630,2596,9630,2468,9625,2468,9625,2596xm4103,2369l4108,2369,4108,2246,4103,2246,4103,2369xm3408,2147l3413,2147,3413,2020,3408,2020,3408,2147xm3479,1472l3484,1472,3484,1350,3479,1350,3479,1472xm4126,1251l4131,1251,4131,1123,4126,1123,4126,1251xm3645,1024l3649,1024,3649,901,3645,901,3645,1024xm2851,802l2856,802,2856,680,2851,680,2851,802xm3054,576l3059,576,3059,453,3054,453,3054,576xm3801,354l3805,354,3805,231,3801,231,3801,354xe" filled="false" stroked="true" strokeweight=".236093pt" strokecolor="#808080">
              <v:path arrowok="t"/>
              <v:stroke dashstyle="solid"/>
            </v:shape>
            <v:line style="position:absolute" from="9630,2532" to="9914,2532" stroked="true" strokeweight="6.371192pt" strokecolor="#a6a6a6">
              <v:stroke dashstyle="solid"/>
            </v:line>
            <v:shape style="position:absolute;left:3408;top:1349;width:792;height:1020" coordorigin="3408,1350" coordsize="792,1020" path="m3458,2020l3408,2020,3408,2147,3458,2147,3458,2020m3519,1350l3479,1350,3479,1472,3519,1472,3519,1350m4200,2246l4103,2246,4103,2369,4200,2369,4200,2246e" filled="true" fillcolor="#a6a6a6" stroked="false">
              <v:path arrowok="t"/>
              <v:fill type="solid"/>
            </v:shape>
            <v:line style="position:absolute" from="4126,1187" to="4289,1187" stroked="true" strokeweight="6.371192pt" strokecolor="#a6a6a6">
              <v:stroke dashstyle="solid"/>
            </v:line>
            <v:shape style="position:absolute;left:2850;top:231;width:1023;height:793" coordorigin="2851,231" coordsize="1023,793" path="m2882,680l2851,680,2851,802,2882,802,2882,680m3080,453l3054,453,3054,576,3080,576,3080,453m3737,901l3649,901,3649,1024,3737,1024,3737,901m3874,231l3801,231,3801,354,3874,354,3874,231e" filled="true" fillcolor="#a6a6a6" stroked="false">
              <v:path arrowok="t"/>
              <v:fill type="solid"/>
            </v:shape>
            <v:shape style="position:absolute;left:84408;top:-201571;width:533168;height:47238" coordorigin="84409,-201570" coordsize="533168,47238" path="m9914,2596l9630,2596,9630,2468,9914,2468,9914,2596xm4202,2369l4103,2369,4103,2246,4202,2246,4202,2369xm3460,2147l3408,2147,3408,2020,3460,2020,3460,2147xe" filled="false" stroked="true" strokeweight=".236092pt" strokecolor="#a6a6a6">
              <v:path arrowok="t"/>
              <v:stroke dashstyle="solid"/>
            </v:shape>
            <v:line style="position:absolute" from="2681,1796" to="2681,1923" stroked="true" strokeweight="1.181041pt" strokecolor="#a6a6a6">
              <v:stroke dashstyle="solid"/>
            </v:line>
            <v:line style="position:absolute" from="2537,1569" to="2537,1701" stroked="true" strokeweight=".472422pt" strokecolor="#a6a6a6">
              <v:stroke dashstyle="solid"/>
            </v:line>
            <v:shape style="position:absolute;left:38719;top:-109418;width:118095;height:101833" coordorigin="38720,-109418" coordsize="118095,101833" path="m3522,1472l3479,1472,3479,1350,3522,1350,3522,1472xm4292,1251l4126,1251,4126,1123,4292,1123,4292,1251xm3739,1024l3649,1024,3649,901,3739,901,3739,1024xm2884,802l2851,802,2851,679,2884,679,2884,802xm3082,576l3054,576,3054,453,3082,453,3082,576xm3876,354l3801,354,3801,231,3876,231,3876,354xe" filled="false" stroked="true" strokeweight=".236092pt" strokecolor="#a6a6a6">
              <v:path arrowok="t"/>
              <v:stroke dashstyle="solid"/>
            </v:shape>
            <v:line style="position:absolute" from="2674,2" to="2674,134" stroked="true" strokeweight=".47241pt" strokecolor="#a6a6a6">
              <v:stroke dashstyle="solid"/>
            </v:line>
            <v:shape style="position:absolute;left:149457;top:-201571;width:468894;height:28653" coordorigin="149457,-201570" coordsize="468894,28653" path="m9923,2596l9914,2596,9914,2468,9923,2468,9923,2596xm4202,2369l4207,2369,4207,2246,4202,2246,4202,2369xe" filled="false" stroked="true" strokeweight=".236092pt" strokecolor="#d9d9d9">
              <v:path arrowok="t"/>
              <v:stroke dashstyle="solid"/>
            </v:shape>
            <v:line style="position:absolute" from="3522,1347" to="3522,1475" stroked="true" strokeweight=".236261pt" strokecolor="#d9d9d9">
              <v:stroke dashstyle="solid"/>
            </v:line>
            <v:shape style="position:absolute;left:111512;top:-91220;width:45690;height:83635" coordorigin="111512,-91220" coordsize="45690,83635" path="m4292,1251l4297,1251,4297,1123,4292,1123,4292,1251xm3739,1024l3744,1024,3744,901,3739,901,3739,1024xm3876,354l3881,354,3881,231,3876,231,3876,354xe" filled="false" stroked="true" strokeweight=".236092pt" strokecolor="#d9d9d9">
              <v:path arrowok="t"/>
              <v:stroke dashstyle="solid"/>
            </v:shape>
            <v:line style="position:absolute" from="9923,2532" to="10074,2532" stroked="true" strokeweight="6.371211pt" strokecolor="#413c22">
              <v:stroke dashstyle="solid"/>
            </v:line>
            <v:shape style="position:absolute;left:3739;top:231;width:586;height:2138" coordorigin="3739,231" coordsize="586,2138" path="m3782,901l3739,901,3739,1024,3782,1024,3782,901m3928,231l3876,231,3876,354,3928,354,3928,231m4235,2246l4202,2246,4202,2369,4235,2369,4235,2246m4325,1123l4292,1123,4292,1251,4325,1251,4325,1123e" filled="true" fillcolor="#413c22" stroked="false">
              <v:path arrowok="t"/>
              <v:fill type="solid"/>
            </v:shape>
            <v:shape style="position:absolute;left:13308;top:-197683;width:606102;height:208752" coordorigin="13308,-197682" coordsize="606102,208752" path="m10074,2596l9923,2596,9923,2468,10074,2468,10074,2596xm4235,2369l4202,2369,4202,2246,4235,2246,4235,2369xm3484,2147l3460,2147,3460,2020,3484,2020,3484,2147xm2705,1921l2695,1921,2695,1798,2705,1798,2705,1921xm2544,1699l2549,1699,2549,1571,2544,1571,2544,1699xm3550,1472l3527,1472,3527,1350,3550,1350,3550,1472xm4325,1251l4292,1251,4292,1123,4325,1123,4325,1251xm3782,1024l3739,1024,3739,901,3782,901,3782,1024xm2893,802l2884,802,2884,679,2893,679,2893,802xm3106,576l3082,576,3082,453,3106,453,3106,576xm3928,354l3876,354,3876,231,3928,231,3928,354xm2690,132l2681,132,2681,5,2690,5,2690,132xe" filled="false" stroked="true" strokeweight=".23609pt" strokecolor="#413c22">
              <v:path arrowok="t"/>
              <v:stroke dashstyle="solid"/>
            </v:shape>
            <v:line style="position:absolute" from="10811,-43" to="10811,2643" stroked="true" strokeweight=".236207pt" strokecolor="#bebebe">
              <v:stroke dashstyle="solid"/>
            </v:line>
            <v:shape style="position:absolute;left:0;top:12302;width:655188;height:2570" coordorigin="0,12302" coordsize="655188,2570" path="m2379,2643l10811,2643m2379,2643l2379,2676m4065,2643l4065,2676m5752,2643l5752,2676m7438,2643l7438,2676m9125,2643l9125,2676m10811,2643l10811,2676e" filled="false" stroked="true" strokeweight=".236095pt" strokecolor="#858585">
              <v:path arrowok="t"/>
              <v:stroke dashstyle="solid"/>
            </v:shape>
            <v:line style="position:absolute" from="2379,2643" to="2379,-43" stroked="true" strokeweight=".236211pt" strokecolor="#858585">
              <v:stroke dashstyle="solid"/>
            </v:line>
            <v:shape style="position:absolute;left:0;top:14871;width:8034;height:652979" coordorigin="0,14872" coordsize="8034,652979" path="m2345,2643l2379,2643m2345,2421l2379,2421m2345,2194l2379,2194m2345,1973l2379,1973m2345,1746l2379,1746m2345,1524l2379,1524m2345,1298l2379,1298m2345,1076l2379,1076m2345,849l2379,849m2345,628l2379,628m2345,406l2379,406m2345,179l2379,179m2345,-43l2379,-43e" filled="false" stroked="true" strokeweight=".23609pt" strokecolor="#858585">
              <v:path arrowok="t"/>
              <v:stroke dashstyle="solid"/>
            </v:shape>
            <w10:wrap type="none"/>
          </v:group>
        </w:pict>
      </w:r>
      <w:r>
        <w:rPr>
          <w:rFonts w:ascii="Calibri"/>
          <w:sz w:val="10"/>
        </w:rPr>
        <w:t>1</w:t>
      </w:r>
      <w:r>
        <w:rPr>
          <w:rFonts w:ascii="Calibri"/>
          <w:spacing w:val="-3"/>
          <w:sz w:val="10"/>
        </w:rPr>
        <w:t> </w:t>
      </w:r>
      <w:r>
        <w:rPr>
          <w:rFonts w:ascii="Calibri"/>
          <w:sz w:val="10"/>
        </w:rPr>
        <w:t>Studying</w:t>
      </w:r>
    </w:p>
    <w:p>
      <w:pPr>
        <w:pStyle w:val="BodyText"/>
        <w:spacing w:before="4"/>
        <w:rPr>
          <w:rFonts w:ascii="Calibri"/>
          <w:sz w:val="8"/>
        </w:rPr>
      </w:pPr>
    </w:p>
    <w:p>
      <w:pPr>
        <w:spacing w:before="1"/>
        <w:ind w:left="1563" w:right="0" w:firstLine="0"/>
        <w:jc w:val="left"/>
        <w:rPr>
          <w:rFonts w:ascii="Calibri"/>
          <w:sz w:val="10"/>
        </w:rPr>
      </w:pPr>
      <w:r>
        <w:rPr>
          <w:rFonts w:ascii="Calibri"/>
          <w:sz w:val="10"/>
        </w:rPr>
        <w:t>2 Working</w:t>
      </w:r>
      <w:r>
        <w:rPr>
          <w:rFonts w:ascii="Calibri"/>
          <w:spacing w:val="-4"/>
          <w:sz w:val="10"/>
        </w:rPr>
        <w:t> </w:t>
      </w:r>
      <w:r>
        <w:rPr>
          <w:rFonts w:ascii="Calibri"/>
          <w:sz w:val="10"/>
        </w:rPr>
        <w:t>Age</w:t>
      </w:r>
    </w:p>
    <w:p>
      <w:pPr>
        <w:pStyle w:val="BodyText"/>
        <w:spacing w:before="4"/>
        <w:rPr>
          <w:rFonts w:ascii="Calibri"/>
          <w:sz w:val="8"/>
        </w:rPr>
      </w:pPr>
    </w:p>
    <w:p>
      <w:pPr>
        <w:pStyle w:val="ListParagraph"/>
        <w:numPr>
          <w:ilvl w:val="2"/>
          <w:numId w:val="3"/>
        </w:numPr>
        <w:tabs>
          <w:tab w:pos="1853" w:val="left" w:leader="none"/>
        </w:tabs>
        <w:spacing w:line="240" w:lineRule="auto" w:before="0" w:after="0"/>
        <w:ind w:left="1852" w:right="0" w:hanging="76"/>
        <w:jc w:val="left"/>
        <w:rPr>
          <w:rFonts w:ascii="Calibri"/>
          <w:sz w:val="10"/>
        </w:rPr>
      </w:pPr>
      <w:r>
        <w:rPr>
          <w:rFonts w:ascii="Calibri"/>
          <w:sz w:val="10"/>
        </w:rPr>
        <w:t>Parents</w:t>
      </w:r>
    </w:p>
    <w:p>
      <w:pPr>
        <w:pStyle w:val="BodyText"/>
        <w:spacing w:before="4"/>
        <w:rPr>
          <w:rFonts w:ascii="Calibri"/>
          <w:sz w:val="8"/>
        </w:rPr>
      </w:pPr>
    </w:p>
    <w:p>
      <w:pPr>
        <w:pStyle w:val="ListParagraph"/>
        <w:numPr>
          <w:ilvl w:val="2"/>
          <w:numId w:val="3"/>
        </w:numPr>
        <w:tabs>
          <w:tab w:pos="1903" w:val="left" w:leader="none"/>
        </w:tabs>
        <w:spacing w:line="240" w:lineRule="auto" w:before="0" w:after="0"/>
        <w:ind w:left="1902" w:right="0" w:hanging="76"/>
        <w:jc w:val="left"/>
        <w:rPr>
          <w:rFonts w:ascii="Calibri"/>
          <w:sz w:val="10"/>
        </w:rPr>
      </w:pPr>
      <w:r>
        <w:rPr>
          <w:rFonts w:ascii="Calibri"/>
          <w:sz w:val="10"/>
        </w:rPr>
        <w:t>Carers</w:t>
      </w:r>
    </w:p>
    <w:p>
      <w:pPr>
        <w:pStyle w:val="BodyText"/>
        <w:spacing w:before="4"/>
        <w:rPr>
          <w:rFonts w:ascii="Calibri"/>
          <w:sz w:val="8"/>
        </w:rPr>
      </w:pPr>
    </w:p>
    <w:p>
      <w:pPr>
        <w:pStyle w:val="ListParagraph"/>
        <w:numPr>
          <w:ilvl w:val="2"/>
          <w:numId w:val="3"/>
        </w:numPr>
        <w:tabs>
          <w:tab w:pos="1441" w:val="left" w:leader="none"/>
        </w:tabs>
        <w:spacing w:line="240" w:lineRule="auto" w:before="0" w:after="0"/>
        <w:ind w:left="1440" w:right="0" w:hanging="77"/>
        <w:jc w:val="left"/>
        <w:rPr>
          <w:rFonts w:ascii="Calibri"/>
          <w:sz w:val="10"/>
        </w:rPr>
      </w:pPr>
      <w:r>
        <w:rPr>
          <w:rFonts w:ascii="Calibri"/>
          <w:sz w:val="10"/>
        </w:rPr>
        <w:t>Disability</w:t>
      </w:r>
      <w:r>
        <w:rPr>
          <w:rFonts w:ascii="Calibri"/>
          <w:spacing w:val="-7"/>
          <w:sz w:val="10"/>
        </w:rPr>
        <w:t> </w:t>
      </w:r>
      <w:r>
        <w:rPr>
          <w:rFonts w:ascii="Calibri"/>
          <w:sz w:val="10"/>
        </w:rPr>
        <w:t>Support</w:t>
      </w:r>
    </w:p>
    <w:p>
      <w:pPr>
        <w:pStyle w:val="BodyText"/>
        <w:spacing w:before="4"/>
        <w:rPr>
          <w:rFonts w:ascii="Calibri"/>
          <w:sz w:val="8"/>
        </w:rPr>
      </w:pPr>
    </w:p>
    <w:p>
      <w:pPr>
        <w:pStyle w:val="ListParagraph"/>
        <w:numPr>
          <w:ilvl w:val="2"/>
          <w:numId w:val="3"/>
        </w:numPr>
        <w:tabs>
          <w:tab w:pos="1663" w:val="left" w:leader="none"/>
        </w:tabs>
        <w:spacing w:line="240" w:lineRule="auto" w:before="0" w:after="0"/>
        <w:ind w:left="1662" w:right="0" w:hanging="77"/>
        <w:jc w:val="left"/>
        <w:rPr>
          <w:rFonts w:ascii="Calibri"/>
          <w:sz w:val="10"/>
        </w:rPr>
      </w:pPr>
      <w:r>
        <w:rPr>
          <w:rFonts w:ascii="Calibri"/>
          <w:sz w:val="10"/>
        </w:rPr>
        <w:t>Pension</w:t>
      </w:r>
      <w:r>
        <w:rPr>
          <w:rFonts w:ascii="Calibri"/>
          <w:spacing w:val="-7"/>
          <w:sz w:val="10"/>
        </w:rPr>
        <w:t> </w:t>
      </w:r>
      <w:r>
        <w:rPr>
          <w:rFonts w:ascii="Calibri"/>
          <w:sz w:val="10"/>
        </w:rPr>
        <w:t>Age</w:t>
      </w:r>
    </w:p>
    <w:p>
      <w:pPr>
        <w:pStyle w:val="BodyText"/>
        <w:spacing w:before="4"/>
        <w:rPr>
          <w:rFonts w:ascii="Calibri"/>
          <w:sz w:val="8"/>
        </w:rPr>
      </w:pPr>
    </w:p>
    <w:p>
      <w:pPr>
        <w:pStyle w:val="ListParagraph"/>
        <w:numPr>
          <w:ilvl w:val="2"/>
          <w:numId w:val="3"/>
        </w:numPr>
        <w:tabs>
          <w:tab w:pos="1610" w:val="left" w:leader="none"/>
        </w:tabs>
        <w:spacing w:line="240" w:lineRule="auto" w:before="1" w:after="0"/>
        <w:ind w:left="1609" w:right="0" w:hanging="77"/>
        <w:jc w:val="left"/>
        <w:rPr>
          <w:rFonts w:ascii="Calibri"/>
          <w:sz w:val="10"/>
        </w:rPr>
      </w:pPr>
      <w:r>
        <w:rPr>
          <w:rFonts w:ascii="Calibri"/>
          <w:sz w:val="10"/>
        </w:rPr>
        <w:t>Non IS</w:t>
      </w:r>
      <w:r>
        <w:rPr>
          <w:rFonts w:ascii="Calibri"/>
          <w:spacing w:val="-2"/>
          <w:sz w:val="10"/>
        </w:rPr>
        <w:t> </w:t>
      </w:r>
      <w:r>
        <w:rPr>
          <w:rFonts w:ascii="Calibri"/>
          <w:sz w:val="10"/>
        </w:rPr>
        <w:t>Family</w:t>
      </w:r>
    </w:p>
    <w:p>
      <w:pPr>
        <w:pStyle w:val="BodyText"/>
        <w:spacing w:before="4"/>
        <w:rPr>
          <w:rFonts w:ascii="Calibri"/>
          <w:sz w:val="8"/>
        </w:rPr>
      </w:pPr>
    </w:p>
    <w:p>
      <w:pPr>
        <w:pStyle w:val="ListParagraph"/>
        <w:numPr>
          <w:ilvl w:val="2"/>
          <w:numId w:val="3"/>
        </w:numPr>
        <w:tabs>
          <w:tab w:pos="1654" w:val="left" w:leader="none"/>
        </w:tabs>
        <w:spacing w:line="240" w:lineRule="auto" w:before="0" w:after="0"/>
        <w:ind w:left="1653" w:right="0" w:hanging="76"/>
        <w:jc w:val="left"/>
        <w:rPr>
          <w:rFonts w:ascii="Calibri"/>
          <w:sz w:val="10"/>
        </w:rPr>
      </w:pPr>
      <w:r>
        <w:rPr>
          <w:rFonts w:ascii="Calibri"/>
          <w:sz w:val="10"/>
        </w:rPr>
        <w:t>Non IS</w:t>
      </w:r>
      <w:r>
        <w:rPr>
          <w:rFonts w:ascii="Calibri"/>
          <w:spacing w:val="-5"/>
          <w:sz w:val="10"/>
        </w:rPr>
        <w:t> </w:t>
      </w:r>
      <w:r>
        <w:rPr>
          <w:rFonts w:ascii="Calibri"/>
          <w:sz w:val="10"/>
        </w:rPr>
        <w:t>Carer</w:t>
      </w:r>
    </w:p>
    <w:p>
      <w:pPr>
        <w:pStyle w:val="BodyText"/>
        <w:spacing w:before="4"/>
        <w:rPr>
          <w:rFonts w:ascii="Calibri"/>
          <w:sz w:val="8"/>
        </w:rPr>
      </w:pPr>
    </w:p>
    <w:p>
      <w:pPr>
        <w:pStyle w:val="ListParagraph"/>
        <w:numPr>
          <w:ilvl w:val="2"/>
          <w:numId w:val="3"/>
        </w:numPr>
        <w:tabs>
          <w:tab w:pos="1638" w:val="left" w:leader="none"/>
        </w:tabs>
        <w:spacing w:line="240" w:lineRule="auto" w:before="0" w:after="0"/>
        <w:ind w:left="1637" w:right="0" w:hanging="77"/>
        <w:jc w:val="left"/>
        <w:rPr>
          <w:rFonts w:ascii="Calibri"/>
          <w:sz w:val="10"/>
        </w:rPr>
      </w:pPr>
      <w:r>
        <w:rPr>
          <w:rFonts w:ascii="Calibri"/>
          <w:sz w:val="10"/>
        </w:rPr>
        <w:t>Non IS</w:t>
      </w:r>
      <w:r>
        <w:rPr>
          <w:rFonts w:ascii="Calibri"/>
          <w:spacing w:val="-3"/>
          <w:sz w:val="10"/>
        </w:rPr>
        <w:t> </w:t>
      </w:r>
      <w:r>
        <w:rPr>
          <w:rFonts w:ascii="Calibri"/>
          <w:sz w:val="10"/>
        </w:rPr>
        <w:t>Other</w:t>
      </w:r>
    </w:p>
    <w:p>
      <w:pPr>
        <w:pStyle w:val="BodyText"/>
        <w:spacing w:before="4"/>
        <w:rPr>
          <w:rFonts w:ascii="Calibri"/>
          <w:sz w:val="8"/>
        </w:rPr>
      </w:pPr>
    </w:p>
    <w:p>
      <w:pPr>
        <w:pStyle w:val="ListParagraph"/>
        <w:numPr>
          <w:ilvl w:val="2"/>
          <w:numId w:val="3"/>
        </w:numPr>
        <w:tabs>
          <w:tab w:pos="1670" w:val="left" w:leader="none"/>
        </w:tabs>
        <w:spacing w:line="240" w:lineRule="auto" w:before="0" w:after="0"/>
        <w:ind w:left="1669" w:right="0" w:hanging="124"/>
        <w:jc w:val="left"/>
        <w:rPr>
          <w:rFonts w:ascii="Calibri"/>
          <w:sz w:val="10"/>
        </w:rPr>
      </w:pPr>
      <w:r>
        <w:rPr>
          <w:rFonts w:ascii="Calibri"/>
          <w:sz w:val="10"/>
        </w:rPr>
        <w:t>Exits 1-3</w:t>
      </w:r>
      <w:r>
        <w:rPr>
          <w:rFonts w:ascii="Calibri"/>
          <w:spacing w:val="-3"/>
          <w:sz w:val="10"/>
        </w:rPr>
        <w:t> </w:t>
      </w:r>
      <w:r>
        <w:rPr>
          <w:rFonts w:ascii="Calibri"/>
          <w:sz w:val="10"/>
        </w:rPr>
        <w:t>Yrs</w:t>
      </w:r>
    </w:p>
    <w:p>
      <w:pPr>
        <w:pStyle w:val="BodyText"/>
        <w:spacing w:before="4"/>
        <w:rPr>
          <w:rFonts w:ascii="Calibri"/>
          <w:sz w:val="8"/>
        </w:rPr>
      </w:pPr>
    </w:p>
    <w:p>
      <w:pPr>
        <w:spacing w:before="1"/>
        <w:ind w:left="1578" w:right="0" w:firstLine="0"/>
        <w:jc w:val="left"/>
        <w:rPr>
          <w:rFonts w:ascii="Calibri"/>
          <w:sz w:val="10"/>
        </w:rPr>
      </w:pPr>
      <w:r>
        <w:rPr>
          <w:rFonts w:ascii="Calibri"/>
          <w:sz w:val="10"/>
        </w:rPr>
        <w:t>10 Exits 4+</w:t>
      </w:r>
      <w:r>
        <w:rPr>
          <w:rFonts w:ascii="Calibri"/>
          <w:spacing w:val="-5"/>
          <w:sz w:val="10"/>
        </w:rPr>
        <w:t> </w:t>
      </w:r>
      <w:r>
        <w:rPr>
          <w:rFonts w:ascii="Calibri"/>
          <w:sz w:val="10"/>
        </w:rPr>
        <w:t>Yrs</w:t>
      </w:r>
    </w:p>
    <w:p>
      <w:pPr>
        <w:pStyle w:val="BodyText"/>
        <w:spacing w:before="4"/>
        <w:rPr>
          <w:rFonts w:ascii="Calibri"/>
          <w:sz w:val="8"/>
        </w:rPr>
      </w:pPr>
    </w:p>
    <w:p>
      <w:pPr>
        <w:spacing w:before="0"/>
        <w:ind w:left="1052" w:right="0" w:firstLine="0"/>
        <w:jc w:val="left"/>
        <w:rPr>
          <w:rFonts w:ascii="Calibri"/>
          <w:sz w:val="10"/>
        </w:rPr>
      </w:pPr>
      <w:r>
        <w:rPr>
          <w:rFonts w:ascii="Calibri"/>
          <w:sz w:val="10"/>
        </w:rPr>
        <w:t>12 Rest of Aust.</w:t>
      </w:r>
      <w:r>
        <w:rPr>
          <w:rFonts w:ascii="Calibri"/>
          <w:spacing w:val="-7"/>
          <w:sz w:val="10"/>
        </w:rPr>
        <w:t> </w:t>
      </w:r>
      <w:r>
        <w:rPr>
          <w:rFonts w:ascii="Calibri"/>
          <w:sz w:val="10"/>
        </w:rPr>
        <w:t>Population</w:t>
      </w:r>
    </w:p>
    <w:p>
      <w:pPr>
        <w:spacing w:after="0"/>
        <w:jc w:val="left"/>
        <w:rPr>
          <w:rFonts w:ascii="Calibri"/>
          <w:sz w:val="10"/>
        </w:rPr>
        <w:sectPr>
          <w:pgSz w:w="11910" w:h="16850"/>
          <w:pgMar w:header="289" w:footer="298" w:top="500" w:bottom="480" w:left="120" w:right="0"/>
        </w:sectPr>
      </w:pPr>
    </w:p>
    <w:p>
      <w:pPr>
        <w:pStyle w:val="BodyText"/>
        <w:rPr>
          <w:rFonts w:ascii="Calibri"/>
          <w:sz w:val="12"/>
        </w:rPr>
      </w:pPr>
    </w:p>
    <w:p>
      <w:pPr>
        <w:pStyle w:val="BodyText"/>
        <w:rPr>
          <w:rFonts w:ascii="Calibri"/>
          <w:sz w:val="12"/>
        </w:rPr>
      </w:pPr>
    </w:p>
    <w:p>
      <w:pPr>
        <w:pStyle w:val="BodyText"/>
        <w:spacing w:before="7"/>
        <w:rPr>
          <w:rFonts w:ascii="Calibri"/>
          <w:sz w:val="15"/>
        </w:rPr>
      </w:pPr>
    </w:p>
    <w:p>
      <w:pPr>
        <w:spacing w:before="0"/>
        <w:ind w:left="1030" w:right="0" w:firstLine="0"/>
        <w:jc w:val="left"/>
        <w:rPr>
          <w:b/>
          <w:sz w:val="10"/>
        </w:rPr>
      </w:pPr>
      <w:r>
        <w:rPr>
          <w:b/>
          <w:spacing w:val="-4"/>
          <w:w w:val="110"/>
          <w:sz w:val="10"/>
        </w:rPr>
        <w:t>Payment </w:t>
      </w:r>
      <w:r>
        <w:rPr>
          <w:b/>
          <w:w w:val="110"/>
          <w:sz w:val="10"/>
        </w:rPr>
        <w:t>Category </w:t>
      </w:r>
      <w:r>
        <w:rPr>
          <w:b/>
          <w:spacing w:val="-4"/>
          <w:w w:val="110"/>
          <w:sz w:val="10"/>
        </w:rPr>
        <w:t>Key:</w:t>
      </w:r>
    </w:p>
    <w:p>
      <w:pPr>
        <w:pStyle w:val="BodyText"/>
        <w:spacing w:before="5"/>
        <w:rPr>
          <w:b/>
          <w:sz w:val="10"/>
        </w:rPr>
      </w:pPr>
      <w:r>
        <w:rPr/>
        <w:br w:type="column"/>
      </w:r>
      <w:r>
        <w:rPr>
          <w:b/>
          <w:sz w:val="10"/>
        </w:rPr>
      </w:r>
    </w:p>
    <w:p>
      <w:pPr>
        <w:tabs>
          <w:tab w:pos="1648" w:val="left" w:leader="none"/>
          <w:tab w:pos="3334" w:val="left" w:leader="none"/>
          <w:tab w:pos="5021" w:val="left" w:leader="none"/>
          <w:tab w:pos="6707" w:val="left" w:leader="none"/>
        </w:tabs>
        <w:spacing w:before="1"/>
        <w:ind w:left="0" w:right="1" w:firstLine="0"/>
        <w:jc w:val="center"/>
        <w:rPr>
          <w:rFonts w:ascii="Calibri"/>
          <w:sz w:val="10"/>
        </w:rPr>
      </w:pPr>
      <w:r>
        <w:rPr>
          <w:rFonts w:ascii="Calibri"/>
          <w:sz w:val="10"/>
        </w:rPr>
        <w:t>500</w:t>
        <w:tab/>
        <w:t>1,000</w:t>
        <w:tab/>
        <w:t>1,500</w:t>
        <w:tab/>
        <w:t>2,000</w:t>
        <w:tab/>
        <w:t>2,50</w:t>
      </w:r>
    </w:p>
    <w:p>
      <w:pPr>
        <w:spacing w:before="19"/>
        <w:ind w:left="0" w:right="1676" w:firstLine="0"/>
        <w:jc w:val="center"/>
        <w:rPr>
          <w:rFonts w:ascii="Calibri"/>
          <w:b/>
          <w:sz w:val="10"/>
        </w:rPr>
      </w:pPr>
      <w:r>
        <w:rPr>
          <w:rFonts w:ascii="Calibri"/>
          <w:b/>
          <w:sz w:val="10"/>
        </w:rPr>
        <w:t>Total  Lifetime Cost (in $Billions)</w:t>
      </w:r>
    </w:p>
    <w:p>
      <w:pPr>
        <w:spacing w:after="0"/>
        <w:jc w:val="center"/>
        <w:rPr>
          <w:rFonts w:ascii="Calibri"/>
          <w:sz w:val="10"/>
        </w:rPr>
        <w:sectPr>
          <w:type w:val="continuous"/>
          <w:pgSz w:w="11910" w:h="16850"/>
          <w:pgMar w:top="1600" w:bottom="280" w:left="120" w:right="0"/>
          <w:cols w:num="2" w:equalWidth="0">
            <w:col w:w="2255" w:space="581"/>
            <w:col w:w="8954"/>
          </w:cols>
        </w:sectPr>
      </w:pPr>
    </w:p>
    <w:p>
      <w:pPr>
        <w:spacing w:before="32"/>
        <w:ind w:left="1343" w:right="0" w:firstLine="0"/>
        <w:jc w:val="left"/>
        <w:rPr>
          <w:sz w:val="10"/>
        </w:rPr>
      </w:pPr>
      <w:r>
        <w:rPr/>
        <w:pict>
          <v:group style="position:absolute;margin-left:56.813179pt;margin-top:.698801pt;width:15.65pt;height:20.3pt;mso-position-horizontal-relative:page;mso-position-vertical-relative:paragraph;z-index:251672576" coordorigin="1136,14" coordsize="313,406">
            <v:rect style="position:absolute;left:1136;top:13;width:313;height:133" filled="true" fillcolor="#1f487c" stroked="false">
              <v:fill type="solid"/>
            </v:rect>
            <v:rect style="position:absolute;left:1136;top:146;width:313;height:133" filled="true" fillcolor="#c9dba4" stroked="false">
              <v:fill type="solid"/>
            </v:rect>
            <v:rect style="position:absolute;left:1136;top:279;width:313;height:140" filled="true" fillcolor="#bebebe" stroked="false">
              <v:fill type="solid"/>
            </v:rect>
            <w10:wrap type="none"/>
          </v:group>
        </w:pict>
      </w:r>
      <w:r>
        <w:rPr>
          <w:w w:val="110"/>
          <w:sz w:val="10"/>
        </w:rPr>
        <w:t>A - IS Studying</w:t>
      </w:r>
    </w:p>
    <w:p>
      <w:pPr>
        <w:spacing w:before="18"/>
        <w:ind w:left="1343" w:right="0" w:firstLine="0"/>
        <w:jc w:val="left"/>
        <w:rPr>
          <w:sz w:val="10"/>
        </w:rPr>
      </w:pPr>
      <w:r>
        <w:rPr>
          <w:w w:val="110"/>
          <w:sz w:val="10"/>
        </w:rPr>
        <w:t>G - IS Dependant</w:t>
      </w:r>
    </w:p>
    <w:p>
      <w:pPr>
        <w:spacing w:before="18"/>
        <w:ind w:left="1343" w:right="0" w:firstLine="0"/>
        <w:jc w:val="left"/>
        <w:rPr>
          <w:sz w:val="10"/>
        </w:rPr>
      </w:pPr>
      <w:r>
        <w:rPr>
          <w:w w:val="110"/>
          <w:sz w:val="10"/>
        </w:rPr>
        <w:t>N</w:t>
      </w:r>
      <w:r>
        <w:rPr>
          <w:spacing w:val="-11"/>
          <w:w w:val="110"/>
          <w:sz w:val="10"/>
        </w:rPr>
        <w:t> </w:t>
      </w:r>
      <w:r>
        <w:rPr>
          <w:w w:val="110"/>
          <w:sz w:val="10"/>
        </w:rPr>
        <w:t>-</w:t>
      </w:r>
      <w:r>
        <w:rPr>
          <w:spacing w:val="-4"/>
          <w:w w:val="110"/>
          <w:sz w:val="10"/>
        </w:rPr>
        <w:t> </w:t>
      </w:r>
      <w:r>
        <w:rPr>
          <w:w w:val="110"/>
          <w:sz w:val="10"/>
        </w:rPr>
        <w:t>Other</w:t>
      </w:r>
      <w:r>
        <w:rPr>
          <w:spacing w:val="-5"/>
          <w:w w:val="110"/>
          <w:sz w:val="10"/>
        </w:rPr>
        <w:t> </w:t>
      </w:r>
      <w:r>
        <w:rPr>
          <w:w w:val="110"/>
          <w:sz w:val="10"/>
        </w:rPr>
        <w:t>Study</w:t>
      </w:r>
      <w:r>
        <w:rPr>
          <w:spacing w:val="-9"/>
          <w:w w:val="110"/>
          <w:sz w:val="10"/>
        </w:rPr>
        <w:t> </w:t>
      </w:r>
      <w:r>
        <w:rPr>
          <w:w w:val="110"/>
          <w:sz w:val="10"/>
        </w:rPr>
        <w:t>&amp;</w:t>
      </w:r>
      <w:r>
        <w:rPr>
          <w:spacing w:val="-4"/>
          <w:w w:val="110"/>
          <w:sz w:val="10"/>
        </w:rPr>
        <w:t> </w:t>
      </w:r>
      <w:r>
        <w:rPr>
          <w:spacing w:val="-5"/>
          <w:w w:val="110"/>
          <w:sz w:val="10"/>
        </w:rPr>
        <w:t>Skills</w:t>
      </w:r>
    </w:p>
    <w:p>
      <w:pPr>
        <w:spacing w:line="278" w:lineRule="auto" w:before="32"/>
        <w:ind w:left="399" w:right="450" w:hanging="1"/>
        <w:jc w:val="left"/>
        <w:rPr>
          <w:sz w:val="10"/>
        </w:rPr>
      </w:pPr>
      <w:r>
        <w:rPr/>
        <w:br w:type="column"/>
      </w:r>
      <w:r>
        <w:rPr>
          <w:w w:val="110"/>
          <w:sz w:val="10"/>
        </w:rPr>
        <w:t>B - IS Working Age H - Other FTB</w:t>
      </w:r>
    </w:p>
    <w:p>
      <w:pPr>
        <w:spacing w:line="114" w:lineRule="exact" w:before="0"/>
        <w:ind w:left="399" w:right="0" w:firstLine="0"/>
        <w:jc w:val="left"/>
        <w:rPr>
          <w:sz w:val="10"/>
        </w:rPr>
      </w:pPr>
      <w:r>
        <w:rPr/>
        <w:pict>
          <v:group style="position:absolute;margin-left:134.277496pt;margin-top:-14.240067pt;width:15.65pt;height:20.3pt;mso-position-horizontal-relative:page;mso-position-vertical-relative:paragraph;z-index:251673600" coordorigin="2686,-285" coordsize="313,406">
            <v:rect style="position:absolute;left:2685;top:-285;width:313;height:133" filled="true" fillcolor="#009544" stroked="false">
              <v:fill type="solid"/>
            </v:rect>
            <v:rect style="position:absolute;left:2685;top:-153;width:313;height:133" filled="true" fillcolor="#f8a763" stroked="false">
              <v:fill type="solid"/>
            </v:rect>
            <v:rect style="position:absolute;left:2685;top:-20;width:313;height:140" filled="true" fillcolor="#808080" stroked="false">
              <v:fill type="solid"/>
            </v:rect>
            <w10:wrap type="none"/>
          </v:group>
        </w:pict>
      </w:r>
      <w:r>
        <w:rPr>
          <w:w w:val="110"/>
          <w:sz w:val="10"/>
        </w:rPr>
        <w:t>O</w:t>
      </w:r>
      <w:r>
        <w:rPr>
          <w:spacing w:val="-4"/>
          <w:w w:val="110"/>
          <w:sz w:val="10"/>
        </w:rPr>
        <w:t> </w:t>
      </w:r>
      <w:r>
        <w:rPr>
          <w:w w:val="110"/>
          <w:sz w:val="10"/>
        </w:rPr>
        <w:t>-</w:t>
      </w:r>
      <w:r>
        <w:rPr>
          <w:spacing w:val="-4"/>
          <w:w w:val="110"/>
          <w:sz w:val="10"/>
        </w:rPr>
        <w:t> </w:t>
      </w:r>
      <w:r>
        <w:rPr>
          <w:w w:val="110"/>
          <w:sz w:val="10"/>
        </w:rPr>
        <w:t>Other</w:t>
      </w:r>
      <w:r>
        <w:rPr>
          <w:spacing w:val="-5"/>
          <w:w w:val="110"/>
          <w:sz w:val="10"/>
        </w:rPr>
        <w:t> </w:t>
      </w:r>
      <w:r>
        <w:rPr>
          <w:w w:val="110"/>
          <w:sz w:val="10"/>
        </w:rPr>
        <w:t>Remote</w:t>
      </w:r>
      <w:r>
        <w:rPr>
          <w:spacing w:val="-8"/>
          <w:w w:val="110"/>
          <w:sz w:val="10"/>
        </w:rPr>
        <w:t> </w:t>
      </w:r>
      <w:r>
        <w:rPr>
          <w:w w:val="110"/>
          <w:sz w:val="10"/>
        </w:rPr>
        <w:t>&amp;</w:t>
      </w:r>
      <w:r>
        <w:rPr>
          <w:spacing w:val="-5"/>
          <w:w w:val="110"/>
          <w:sz w:val="10"/>
        </w:rPr>
        <w:t> </w:t>
      </w:r>
      <w:r>
        <w:rPr>
          <w:spacing w:val="-3"/>
          <w:w w:val="110"/>
          <w:sz w:val="10"/>
        </w:rPr>
        <w:t>Regional</w:t>
      </w:r>
    </w:p>
    <w:p>
      <w:pPr>
        <w:spacing w:before="32"/>
        <w:ind w:left="440" w:right="0" w:firstLine="0"/>
        <w:jc w:val="left"/>
        <w:rPr>
          <w:sz w:val="10"/>
        </w:rPr>
      </w:pPr>
      <w:r>
        <w:rPr/>
        <w:br w:type="column"/>
      </w:r>
      <w:r>
        <w:rPr>
          <w:w w:val="110"/>
          <w:sz w:val="10"/>
        </w:rPr>
        <w:t>C - IS Parents</w:t>
      </w:r>
    </w:p>
    <w:p>
      <w:pPr>
        <w:spacing w:before="18"/>
        <w:ind w:left="440" w:right="0" w:firstLine="0"/>
        <w:jc w:val="left"/>
        <w:rPr>
          <w:sz w:val="10"/>
        </w:rPr>
      </w:pPr>
      <w:r>
        <w:rPr/>
        <w:pict>
          <v:group style="position:absolute;margin-left:228.46994pt;margin-top:-6.64219pt;width:15.65pt;height:20.3pt;mso-position-horizontal-relative:page;mso-position-vertical-relative:paragraph;z-index:251674624" coordorigin="4569,-133" coordsize="313,406">
            <v:rect style="position:absolute;left:4569;top:-133;width:313;height:133" filled="true" fillcolor="#e16b09" stroked="false">
              <v:fill type="solid"/>
            </v:rect>
            <v:rect style="position:absolute;left:4569;top:-1;width:313;height:133" filled="true" fillcolor="#f9c090" stroked="false">
              <v:fill type="solid"/>
            </v:rect>
            <v:rect style="position:absolute;left:4569;top:132;width:313;height:140" filled="true" fillcolor="#a6a6a6" stroked="false">
              <v:fill type="solid"/>
            </v:rect>
            <w10:wrap type="none"/>
          </v:group>
        </w:pict>
      </w:r>
      <w:r>
        <w:rPr>
          <w:w w:val="110"/>
          <w:sz w:val="10"/>
        </w:rPr>
        <w:t>I - Other Family</w:t>
      </w:r>
    </w:p>
    <w:p>
      <w:pPr>
        <w:spacing w:before="18"/>
        <w:ind w:left="440" w:right="0" w:firstLine="0"/>
        <w:jc w:val="left"/>
        <w:rPr>
          <w:sz w:val="10"/>
        </w:rPr>
      </w:pPr>
      <w:r>
        <w:rPr>
          <w:w w:val="110"/>
          <w:sz w:val="10"/>
        </w:rPr>
        <w:t>P - Other </w:t>
      </w:r>
      <w:r>
        <w:rPr>
          <w:spacing w:val="-3"/>
          <w:w w:val="110"/>
          <w:sz w:val="10"/>
        </w:rPr>
        <w:t>General</w:t>
      </w:r>
      <w:r>
        <w:rPr>
          <w:spacing w:val="-18"/>
          <w:w w:val="110"/>
          <w:sz w:val="10"/>
        </w:rPr>
        <w:t> </w:t>
      </w:r>
      <w:r>
        <w:rPr>
          <w:spacing w:val="-3"/>
          <w:w w:val="110"/>
          <w:sz w:val="10"/>
        </w:rPr>
        <w:t>Allowances</w:t>
      </w:r>
    </w:p>
    <w:p>
      <w:pPr>
        <w:spacing w:before="32"/>
        <w:ind w:left="359" w:right="0" w:firstLine="0"/>
        <w:jc w:val="left"/>
        <w:rPr>
          <w:sz w:val="10"/>
        </w:rPr>
      </w:pPr>
      <w:r>
        <w:rPr/>
        <w:br w:type="column"/>
      </w:r>
      <w:r>
        <w:rPr>
          <w:w w:val="110"/>
          <w:sz w:val="10"/>
        </w:rPr>
        <w:t>D - </w:t>
      </w:r>
      <w:r>
        <w:rPr>
          <w:spacing w:val="-5"/>
          <w:w w:val="110"/>
          <w:sz w:val="10"/>
        </w:rPr>
        <w:t>IS</w:t>
      </w:r>
      <w:r>
        <w:rPr>
          <w:spacing w:val="-13"/>
          <w:w w:val="110"/>
          <w:sz w:val="10"/>
        </w:rPr>
        <w:t> </w:t>
      </w:r>
      <w:r>
        <w:rPr>
          <w:w w:val="110"/>
          <w:sz w:val="10"/>
        </w:rPr>
        <w:t>Carer</w:t>
      </w:r>
    </w:p>
    <w:p>
      <w:pPr>
        <w:spacing w:line="278" w:lineRule="auto" w:before="18"/>
        <w:ind w:left="359" w:right="-13" w:firstLine="0"/>
        <w:jc w:val="left"/>
        <w:rPr>
          <w:sz w:val="10"/>
        </w:rPr>
      </w:pPr>
      <w:r>
        <w:rPr/>
        <w:pict>
          <v:group style="position:absolute;margin-left:318.298615pt;margin-top:-6.64219pt;width:15.65pt;height:20.3pt;mso-position-horizontal-relative:page;mso-position-vertical-relative:paragraph;z-index:251675648" coordorigin="6366,-133" coordsize="313,406">
            <v:rect style="position:absolute;left:6365;top:-133;width:313;height:133" filled="true" fillcolor="#e08ad6" stroked="false">
              <v:fill type="solid"/>
            </v:rect>
            <v:rect style="position:absolute;left:6365;top:-1;width:313;height:133" filled="true" fillcolor="#fbddc4" stroked="false">
              <v:fill type="solid"/>
            </v:rect>
            <v:rect style="position:absolute;left:6365;top:132;width:313;height:140" filled="true" fillcolor="#d9d9d9" stroked="false">
              <v:fill type="solid"/>
            </v:rect>
            <w10:wrap type="none"/>
          </v:group>
        </w:pict>
      </w:r>
      <w:r>
        <w:rPr>
          <w:w w:val="110"/>
          <w:sz w:val="10"/>
        </w:rPr>
        <w:t>J - Other </w:t>
      </w:r>
      <w:r>
        <w:rPr>
          <w:spacing w:val="-4"/>
          <w:w w:val="110"/>
          <w:sz w:val="10"/>
        </w:rPr>
        <w:t>New Parents </w:t>
      </w:r>
      <w:r>
        <w:rPr>
          <w:w w:val="110"/>
          <w:sz w:val="10"/>
        </w:rPr>
        <w:t>Q - </w:t>
      </w:r>
      <w:r>
        <w:rPr>
          <w:spacing w:val="-4"/>
          <w:w w:val="110"/>
          <w:sz w:val="10"/>
        </w:rPr>
        <w:t>All</w:t>
      </w:r>
      <w:r>
        <w:rPr>
          <w:spacing w:val="-9"/>
          <w:w w:val="110"/>
          <w:sz w:val="10"/>
        </w:rPr>
        <w:t> </w:t>
      </w:r>
      <w:r>
        <w:rPr>
          <w:w w:val="110"/>
          <w:sz w:val="10"/>
        </w:rPr>
        <w:t>Other</w:t>
      </w:r>
    </w:p>
    <w:p>
      <w:pPr>
        <w:spacing w:before="32"/>
        <w:ind w:left="414" w:right="0" w:firstLine="0"/>
        <w:jc w:val="left"/>
        <w:rPr>
          <w:sz w:val="10"/>
        </w:rPr>
      </w:pPr>
      <w:r>
        <w:rPr/>
        <w:br w:type="column"/>
      </w:r>
      <w:r>
        <w:rPr>
          <w:w w:val="110"/>
          <w:sz w:val="10"/>
        </w:rPr>
        <w:t>E - IS Disability</w:t>
      </w:r>
    </w:p>
    <w:p>
      <w:pPr>
        <w:spacing w:line="278" w:lineRule="auto" w:before="18"/>
        <w:ind w:left="414" w:right="-8" w:hanging="1"/>
        <w:jc w:val="left"/>
        <w:rPr>
          <w:sz w:val="10"/>
        </w:rPr>
      </w:pPr>
      <w:r>
        <w:rPr/>
        <w:pict>
          <v:group style="position:absolute;margin-left:393.580139pt;margin-top:-6.64219pt;width:15.65pt;height:20.3pt;mso-position-horizontal-relative:page;mso-position-vertical-relative:paragraph;z-index:251676672" coordorigin="7872,-133" coordsize="313,406">
            <v:rect style="position:absolute;left:7871;top:-133;width:313;height:133" filled="true" fillcolor="#8063a1" stroked="false">
              <v:fill type="solid"/>
            </v:rect>
            <v:rect style="position:absolute;left:7871;top:-1;width:313;height:133" filled="true" fillcolor="#808080" stroked="false">
              <v:fill type="solid"/>
            </v:rect>
            <v:rect style="position:absolute;left:7871;top:132;width:313;height:140" filled="true" fillcolor="#413c22" stroked="false">
              <v:fill type="solid"/>
            </v:rect>
            <w10:wrap type="none"/>
          </v:group>
        </w:pict>
      </w:r>
      <w:r>
        <w:rPr>
          <w:w w:val="110"/>
          <w:sz w:val="10"/>
        </w:rPr>
        <w:t>L</w:t>
      </w:r>
      <w:r>
        <w:rPr>
          <w:spacing w:val="-11"/>
          <w:w w:val="110"/>
          <w:sz w:val="10"/>
        </w:rPr>
        <w:t> </w:t>
      </w:r>
      <w:r>
        <w:rPr>
          <w:w w:val="110"/>
          <w:sz w:val="10"/>
        </w:rPr>
        <w:t>-</w:t>
      </w:r>
      <w:r>
        <w:rPr>
          <w:spacing w:val="-7"/>
          <w:w w:val="110"/>
          <w:sz w:val="10"/>
        </w:rPr>
        <w:t> </w:t>
      </w:r>
      <w:r>
        <w:rPr>
          <w:w w:val="110"/>
          <w:sz w:val="10"/>
        </w:rPr>
        <w:t>Other</w:t>
      </w:r>
      <w:r>
        <w:rPr>
          <w:spacing w:val="-8"/>
          <w:w w:val="110"/>
          <w:sz w:val="10"/>
        </w:rPr>
        <w:t> </w:t>
      </w:r>
      <w:r>
        <w:rPr>
          <w:spacing w:val="-3"/>
          <w:w w:val="110"/>
          <w:sz w:val="10"/>
        </w:rPr>
        <w:t>Health</w:t>
      </w:r>
      <w:r>
        <w:rPr>
          <w:spacing w:val="-10"/>
          <w:w w:val="110"/>
          <w:sz w:val="10"/>
        </w:rPr>
        <w:t> </w:t>
      </w:r>
      <w:r>
        <w:rPr>
          <w:w w:val="110"/>
          <w:sz w:val="10"/>
        </w:rPr>
        <w:t>&amp;</w:t>
      </w:r>
      <w:r>
        <w:rPr>
          <w:spacing w:val="-8"/>
          <w:w w:val="110"/>
          <w:sz w:val="10"/>
        </w:rPr>
        <w:t> </w:t>
      </w:r>
      <w:r>
        <w:rPr>
          <w:w w:val="110"/>
          <w:sz w:val="10"/>
        </w:rPr>
        <w:t>Disability R - Rent</w:t>
      </w:r>
      <w:r>
        <w:rPr>
          <w:spacing w:val="-10"/>
          <w:w w:val="110"/>
          <w:sz w:val="10"/>
        </w:rPr>
        <w:t> </w:t>
      </w:r>
      <w:r>
        <w:rPr>
          <w:w w:val="110"/>
          <w:sz w:val="10"/>
        </w:rPr>
        <w:t>Assistance</w:t>
      </w:r>
    </w:p>
    <w:p>
      <w:pPr>
        <w:spacing w:before="32"/>
        <w:ind w:left="407" w:right="0" w:firstLine="0"/>
        <w:jc w:val="left"/>
        <w:rPr>
          <w:sz w:val="10"/>
        </w:rPr>
      </w:pPr>
      <w:r>
        <w:rPr/>
        <w:br w:type="column"/>
      </w:r>
      <w:r>
        <w:rPr>
          <w:w w:val="110"/>
          <w:sz w:val="10"/>
        </w:rPr>
        <w:t>F - IS Age</w:t>
      </w:r>
    </w:p>
    <w:p>
      <w:pPr>
        <w:spacing w:before="18"/>
        <w:ind w:left="407" w:right="0" w:firstLine="0"/>
        <w:jc w:val="left"/>
        <w:rPr>
          <w:sz w:val="10"/>
        </w:rPr>
      </w:pPr>
      <w:r>
        <w:rPr/>
        <w:pict>
          <v:group style="position:absolute;margin-left:481.227081pt;margin-top:-6.64219pt;width:15.65pt;height:13.65pt;mso-position-horizontal-relative:page;mso-position-vertical-relative:paragraph;z-index:251677696" coordorigin="9625,-133" coordsize="313,273">
            <v:rect style="position:absolute;left:9624;top:-133;width:313;height:133" filled="true" fillcolor="#c0504d" stroked="false">
              <v:fill type="solid"/>
            </v:rect>
            <v:rect style="position:absolute;left:9624;top:-1;width:313;height:140" filled="true" fillcolor="#ecb8e7" stroked="false">
              <v:fill type="solid"/>
            </v:rect>
            <w10:wrap type="none"/>
          </v:group>
        </w:pict>
      </w:r>
      <w:r>
        <w:rPr>
          <w:w w:val="110"/>
          <w:sz w:val="10"/>
        </w:rPr>
        <w:t>M - Other Carer</w:t>
      </w:r>
    </w:p>
    <w:p>
      <w:pPr>
        <w:spacing w:after="0"/>
        <w:jc w:val="left"/>
        <w:rPr>
          <w:sz w:val="10"/>
        </w:rPr>
        <w:sectPr>
          <w:type w:val="continuous"/>
          <w:pgSz w:w="11910" w:h="16850"/>
          <w:pgMar w:top="1600" w:bottom="280" w:left="120" w:right="0"/>
          <w:cols w:num="6" w:equalWidth="0">
            <w:col w:w="2454" w:space="40"/>
            <w:col w:w="1804" w:space="39"/>
            <w:col w:w="1838" w:space="39"/>
            <w:col w:w="1411" w:space="40"/>
            <w:col w:w="1721" w:space="39"/>
            <w:col w:w="2365"/>
          </w:cols>
        </w:sectPr>
      </w:pPr>
    </w:p>
    <w:p>
      <w:pPr>
        <w:pStyle w:val="BodyText"/>
        <w:spacing w:before="11"/>
        <w:rPr>
          <w:sz w:val="18"/>
        </w:rPr>
      </w:pPr>
    </w:p>
    <w:p>
      <w:pPr>
        <w:spacing w:before="95"/>
        <w:ind w:left="900" w:right="0" w:firstLine="0"/>
        <w:jc w:val="left"/>
        <w:rPr>
          <w:sz w:val="16"/>
        </w:rPr>
      </w:pPr>
      <w:r>
        <w:rPr>
          <w:color w:val="DF2F1E"/>
          <w:sz w:val="16"/>
        </w:rPr>
        <w:t>Note: Exited 4+ years refers to previous welfare recipients who have exited in the past 4 or more years</w:t>
      </w:r>
    </w:p>
    <w:p>
      <w:pPr>
        <w:pStyle w:val="BodyText"/>
        <w:spacing w:line="242" w:lineRule="auto" w:before="120"/>
        <w:ind w:left="900" w:right="1087"/>
      </w:pPr>
      <w:r>
        <w:rPr>
          <w:color w:val="404040"/>
        </w:rPr>
        <w:t>Below we show the number of years for which we expect people in each class to receive some income support payments, some other payments or no payments.</w:t>
      </w:r>
    </w:p>
    <w:p>
      <w:pPr>
        <w:pStyle w:val="BodyText"/>
        <w:spacing w:before="116"/>
        <w:ind w:left="899" w:right="1055"/>
      </w:pPr>
      <w:r>
        <w:rPr>
          <w:color w:val="404040"/>
        </w:rPr>
        <w:t>Note this duration measure captures information on welfare system use over future years of a person’s lifetime; it is not a measure of the length of time or number of fortnightly payment periods spent in receipt of payment.</w:t>
      </w:r>
    </w:p>
    <w:p>
      <w:pPr>
        <w:pStyle w:val="Heading9"/>
        <w:spacing w:before="176" w:after="56"/>
        <w:ind w:left="899"/>
      </w:pPr>
      <w:r>
        <w:rPr>
          <w:color w:val="DF2F1E"/>
        </w:rPr>
        <w:t>Table 3: Summary of duration results (30 June 2018 valuation)</w:t>
      </w:r>
    </w:p>
    <w:tbl>
      <w:tblPr>
        <w:tblW w:w="0" w:type="auto"/>
        <w:jc w:val="left"/>
        <w:tblInd w:w="9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58"/>
        <w:gridCol w:w="1134"/>
        <w:gridCol w:w="1703"/>
        <w:gridCol w:w="1702"/>
        <w:gridCol w:w="1737"/>
      </w:tblGrid>
      <w:tr>
        <w:trPr>
          <w:trHeight w:val="1015" w:hRule="atLeast"/>
        </w:trPr>
        <w:tc>
          <w:tcPr>
            <w:tcW w:w="3458" w:type="dxa"/>
            <w:shd w:val="clear" w:color="auto" w:fill="DF2528"/>
          </w:tcPr>
          <w:p>
            <w:pPr>
              <w:pStyle w:val="TableParagraph"/>
              <w:spacing w:before="0"/>
              <w:rPr>
                <w:b/>
                <w:sz w:val="16"/>
              </w:rPr>
            </w:pPr>
          </w:p>
          <w:p>
            <w:pPr>
              <w:pStyle w:val="TableParagraph"/>
              <w:spacing w:before="5"/>
              <w:rPr>
                <w:b/>
                <w:sz w:val="18"/>
              </w:rPr>
            </w:pPr>
          </w:p>
          <w:p>
            <w:pPr>
              <w:pStyle w:val="TableParagraph"/>
              <w:spacing w:before="0"/>
              <w:ind w:left="112"/>
              <w:rPr>
                <w:b/>
                <w:sz w:val="14"/>
              </w:rPr>
            </w:pPr>
            <w:r>
              <w:rPr>
                <w:b/>
                <w:color w:val="FFFFFF"/>
                <w:sz w:val="14"/>
              </w:rPr>
              <w:t>Population segment</w:t>
            </w:r>
          </w:p>
        </w:tc>
        <w:tc>
          <w:tcPr>
            <w:tcW w:w="1134" w:type="dxa"/>
            <w:shd w:val="clear" w:color="auto" w:fill="DF2528"/>
          </w:tcPr>
          <w:p>
            <w:pPr>
              <w:pStyle w:val="TableParagraph"/>
              <w:spacing w:before="7"/>
              <w:rPr>
                <w:b/>
                <w:sz w:val="13"/>
              </w:rPr>
            </w:pPr>
          </w:p>
          <w:p>
            <w:pPr>
              <w:pStyle w:val="TableParagraph"/>
              <w:spacing w:before="0"/>
              <w:ind w:left="254" w:right="257"/>
              <w:jc w:val="center"/>
              <w:rPr>
                <w:b/>
                <w:sz w:val="14"/>
              </w:rPr>
            </w:pPr>
            <w:r>
              <w:rPr>
                <w:b/>
                <w:color w:val="FFFFFF"/>
                <w:sz w:val="14"/>
              </w:rPr>
              <w:t>Expected future lifetime (years)</w:t>
            </w:r>
          </w:p>
        </w:tc>
        <w:tc>
          <w:tcPr>
            <w:tcW w:w="1703" w:type="dxa"/>
            <w:shd w:val="clear" w:color="auto" w:fill="DF2528"/>
          </w:tcPr>
          <w:p>
            <w:pPr>
              <w:pStyle w:val="TableParagraph"/>
              <w:spacing w:before="7"/>
              <w:rPr>
                <w:b/>
                <w:sz w:val="13"/>
              </w:rPr>
            </w:pPr>
          </w:p>
          <w:p>
            <w:pPr>
              <w:pStyle w:val="TableParagraph"/>
              <w:spacing w:before="0"/>
              <w:ind w:left="207" w:right="203"/>
              <w:jc w:val="center"/>
              <w:rPr>
                <w:b/>
                <w:sz w:val="14"/>
              </w:rPr>
            </w:pPr>
            <w:r>
              <w:rPr>
                <w:b/>
                <w:color w:val="FFFFFF"/>
                <w:sz w:val="14"/>
              </w:rPr>
              <w:t>Proportion of years receiving some income support payments</w:t>
            </w:r>
          </w:p>
        </w:tc>
        <w:tc>
          <w:tcPr>
            <w:tcW w:w="1702" w:type="dxa"/>
            <w:shd w:val="clear" w:color="auto" w:fill="DF2528"/>
          </w:tcPr>
          <w:p>
            <w:pPr>
              <w:pStyle w:val="TableParagraph"/>
              <w:spacing w:before="7"/>
              <w:rPr>
                <w:b/>
                <w:sz w:val="13"/>
              </w:rPr>
            </w:pPr>
          </w:p>
          <w:p>
            <w:pPr>
              <w:pStyle w:val="TableParagraph"/>
              <w:spacing w:before="0"/>
              <w:ind w:left="194" w:right="191" w:hanging="1"/>
              <w:jc w:val="center"/>
              <w:rPr>
                <w:b/>
                <w:sz w:val="14"/>
              </w:rPr>
            </w:pPr>
            <w:r>
              <w:rPr>
                <w:b/>
                <w:color w:val="FFFFFF"/>
                <w:sz w:val="14"/>
              </w:rPr>
              <w:t>Proportion of years receiving some non income support payments only</w:t>
            </w:r>
          </w:p>
        </w:tc>
        <w:tc>
          <w:tcPr>
            <w:tcW w:w="1737" w:type="dxa"/>
            <w:shd w:val="clear" w:color="auto" w:fill="DF2528"/>
          </w:tcPr>
          <w:p>
            <w:pPr>
              <w:pStyle w:val="TableParagraph"/>
              <w:spacing w:before="7"/>
              <w:rPr>
                <w:b/>
                <w:sz w:val="13"/>
              </w:rPr>
            </w:pPr>
          </w:p>
          <w:p>
            <w:pPr>
              <w:pStyle w:val="TableParagraph"/>
              <w:spacing w:before="0"/>
              <w:ind w:left="177" w:right="212" w:firstLine="2"/>
              <w:jc w:val="center"/>
              <w:rPr>
                <w:b/>
                <w:sz w:val="14"/>
              </w:rPr>
            </w:pPr>
            <w:r>
              <w:rPr>
                <w:b/>
                <w:color w:val="FFFFFF"/>
                <w:sz w:val="14"/>
              </w:rPr>
              <w:t>Proportion of years receiving no welfare payments</w:t>
            </w:r>
          </w:p>
        </w:tc>
      </w:tr>
      <w:tr>
        <w:trPr>
          <w:trHeight w:val="227" w:hRule="atLeast"/>
        </w:trPr>
        <w:tc>
          <w:tcPr>
            <w:tcW w:w="9734" w:type="dxa"/>
            <w:gridSpan w:val="5"/>
            <w:shd w:val="clear" w:color="auto" w:fill="DF2528"/>
          </w:tcPr>
          <w:p>
            <w:pPr>
              <w:pStyle w:val="TableParagraph"/>
              <w:spacing w:before="36"/>
              <w:ind w:left="112"/>
              <w:rPr>
                <w:sz w:val="14"/>
              </w:rPr>
            </w:pPr>
            <w:r>
              <w:rPr>
                <w:color w:val="FFFFFF"/>
                <w:sz w:val="14"/>
              </w:rPr>
              <w:t>Current welfare recipients</w:t>
            </w:r>
          </w:p>
        </w:tc>
      </w:tr>
      <w:tr>
        <w:trPr>
          <w:trHeight w:val="244" w:hRule="atLeast"/>
        </w:trPr>
        <w:tc>
          <w:tcPr>
            <w:tcW w:w="3458" w:type="dxa"/>
            <w:tcBorders>
              <w:top w:val="single" w:sz="4" w:space="0" w:color="DF2528"/>
              <w:bottom w:val="single" w:sz="4" w:space="0" w:color="DF2528"/>
            </w:tcBorders>
          </w:tcPr>
          <w:p>
            <w:pPr>
              <w:pStyle w:val="TableParagraph"/>
              <w:spacing w:before="41"/>
              <w:ind w:left="340"/>
              <w:rPr>
                <w:sz w:val="14"/>
              </w:rPr>
            </w:pPr>
            <w:r>
              <w:rPr>
                <w:color w:val="404040"/>
                <w:sz w:val="14"/>
              </w:rPr>
              <w:t>- Studying payment recipients</w:t>
            </w:r>
          </w:p>
        </w:tc>
        <w:tc>
          <w:tcPr>
            <w:tcW w:w="1134" w:type="dxa"/>
            <w:tcBorders>
              <w:top w:val="single" w:sz="4" w:space="0" w:color="DF2528"/>
              <w:bottom w:val="single" w:sz="4" w:space="0" w:color="DF2528"/>
            </w:tcBorders>
          </w:tcPr>
          <w:p>
            <w:pPr>
              <w:pStyle w:val="TableParagraph"/>
              <w:spacing w:before="41"/>
              <w:ind w:left="254" w:right="257"/>
              <w:jc w:val="center"/>
              <w:rPr>
                <w:sz w:val="14"/>
              </w:rPr>
            </w:pPr>
            <w:r>
              <w:rPr>
                <w:color w:val="404040"/>
                <w:sz w:val="14"/>
              </w:rPr>
              <w:t>67</w:t>
            </w:r>
          </w:p>
        </w:tc>
        <w:tc>
          <w:tcPr>
            <w:tcW w:w="1703" w:type="dxa"/>
            <w:tcBorders>
              <w:top w:val="single" w:sz="4" w:space="0" w:color="DF2528"/>
              <w:bottom w:val="single" w:sz="4" w:space="0" w:color="DF2528"/>
            </w:tcBorders>
          </w:tcPr>
          <w:p>
            <w:pPr>
              <w:pStyle w:val="TableParagraph"/>
              <w:spacing w:before="41"/>
              <w:ind w:left="203" w:right="203"/>
              <w:jc w:val="center"/>
              <w:rPr>
                <w:sz w:val="14"/>
              </w:rPr>
            </w:pPr>
            <w:r>
              <w:rPr>
                <w:color w:val="404040"/>
                <w:sz w:val="14"/>
              </w:rPr>
              <w:t>35%</w:t>
            </w:r>
          </w:p>
        </w:tc>
        <w:tc>
          <w:tcPr>
            <w:tcW w:w="1702" w:type="dxa"/>
            <w:tcBorders>
              <w:top w:val="single" w:sz="4" w:space="0" w:color="DF2528"/>
              <w:bottom w:val="single" w:sz="4" w:space="0" w:color="DF2528"/>
            </w:tcBorders>
          </w:tcPr>
          <w:p>
            <w:pPr>
              <w:pStyle w:val="TableParagraph"/>
              <w:spacing w:before="41"/>
              <w:ind w:left="688" w:right="689"/>
              <w:jc w:val="center"/>
              <w:rPr>
                <w:sz w:val="14"/>
              </w:rPr>
            </w:pPr>
            <w:r>
              <w:rPr>
                <w:color w:val="404040"/>
                <w:sz w:val="14"/>
              </w:rPr>
              <w:t>8%</w:t>
            </w:r>
          </w:p>
        </w:tc>
        <w:tc>
          <w:tcPr>
            <w:tcW w:w="1737" w:type="dxa"/>
            <w:tcBorders>
              <w:top w:val="single" w:sz="4" w:space="0" w:color="DF2528"/>
              <w:bottom w:val="single" w:sz="4" w:space="0" w:color="DF2528"/>
            </w:tcBorders>
          </w:tcPr>
          <w:p>
            <w:pPr>
              <w:pStyle w:val="TableParagraph"/>
              <w:spacing w:before="41"/>
              <w:ind w:left="710"/>
              <w:rPr>
                <w:sz w:val="14"/>
              </w:rPr>
            </w:pPr>
            <w:r>
              <w:rPr>
                <w:color w:val="404040"/>
                <w:sz w:val="14"/>
              </w:rPr>
              <w:t>58%</w:t>
            </w:r>
          </w:p>
        </w:tc>
      </w:tr>
      <w:tr>
        <w:trPr>
          <w:trHeight w:val="242" w:hRule="atLeast"/>
        </w:trPr>
        <w:tc>
          <w:tcPr>
            <w:tcW w:w="3458" w:type="dxa"/>
            <w:tcBorders>
              <w:top w:val="single" w:sz="4" w:space="0" w:color="DF2528"/>
              <w:bottom w:val="single" w:sz="4" w:space="0" w:color="DF2528"/>
            </w:tcBorders>
          </w:tcPr>
          <w:p>
            <w:pPr>
              <w:pStyle w:val="TableParagraph"/>
              <w:spacing w:before="36"/>
              <w:ind w:left="340"/>
              <w:rPr>
                <w:sz w:val="14"/>
              </w:rPr>
            </w:pPr>
            <w:r>
              <w:rPr>
                <w:color w:val="404040"/>
                <w:sz w:val="14"/>
              </w:rPr>
              <w:t>- Working Age payment recipients</w:t>
            </w:r>
          </w:p>
        </w:tc>
        <w:tc>
          <w:tcPr>
            <w:tcW w:w="1134" w:type="dxa"/>
            <w:tcBorders>
              <w:top w:val="single" w:sz="4" w:space="0" w:color="DF2528"/>
              <w:bottom w:val="single" w:sz="4" w:space="0" w:color="DF2528"/>
            </w:tcBorders>
          </w:tcPr>
          <w:p>
            <w:pPr>
              <w:pStyle w:val="TableParagraph"/>
              <w:spacing w:before="36"/>
              <w:ind w:left="254" w:right="257"/>
              <w:jc w:val="center"/>
              <w:rPr>
                <w:sz w:val="14"/>
              </w:rPr>
            </w:pPr>
            <w:r>
              <w:rPr>
                <w:color w:val="404040"/>
                <w:sz w:val="14"/>
              </w:rPr>
              <w:t>49</w:t>
            </w:r>
          </w:p>
        </w:tc>
        <w:tc>
          <w:tcPr>
            <w:tcW w:w="1703" w:type="dxa"/>
            <w:tcBorders>
              <w:top w:val="single" w:sz="4" w:space="0" w:color="DF2528"/>
              <w:bottom w:val="single" w:sz="4" w:space="0" w:color="DF2528"/>
            </w:tcBorders>
          </w:tcPr>
          <w:p>
            <w:pPr>
              <w:pStyle w:val="TableParagraph"/>
              <w:spacing w:before="36"/>
              <w:ind w:left="203" w:right="203"/>
              <w:jc w:val="center"/>
              <w:rPr>
                <w:sz w:val="14"/>
              </w:rPr>
            </w:pPr>
            <w:r>
              <w:rPr>
                <w:color w:val="404040"/>
                <w:sz w:val="14"/>
              </w:rPr>
              <w:t>59%</w:t>
            </w:r>
          </w:p>
        </w:tc>
        <w:tc>
          <w:tcPr>
            <w:tcW w:w="1702" w:type="dxa"/>
            <w:tcBorders>
              <w:top w:val="single" w:sz="4" w:space="0" w:color="DF2528"/>
              <w:bottom w:val="single" w:sz="4" w:space="0" w:color="DF2528"/>
            </w:tcBorders>
          </w:tcPr>
          <w:p>
            <w:pPr>
              <w:pStyle w:val="TableParagraph"/>
              <w:spacing w:before="36"/>
              <w:ind w:left="688" w:right="689"/>
              <w:jc w:val="center"/>
              <w:rPr>
                <w:sz w:val="14"/>
              </w:rPr>
            </w:pPr>
            <w:r>
              <w:rPr>
                <w:color w:val="404040"/>
                <w:sz w:val="14"/>
              </w:rPr>
              <w:t>4%</w:t>
            </w:r>
          </w:p>
        </w:tc>
        <w:tc>
          <w:tcPr>
            <w:tcW w:w="1737" w:type="dxa"/>
            <w:tcBorders>
              <w:top w:val="single" w:sz="4" w:space="0" w:color="DF2528"/>
              <w:bottom w:val="single" w:sz="4" w:space="0" w:color="DF2528"/>
            </w:tcBorders>
          </w:tcPr>
          <w:p>
            <w:pPr>
              <w:pStyle w:val="TableParagraph"/>
              <w:spacing w:before="36"/>
              <w:ind w:left="710"/>
              <w:rPr>
                <w:sz w:val="14"/>
              </w:rPr>
            </w:pPr>
            <w:r>
              <w:rPr>
                <w:color w:val="404040"/>
                <w:sz w:val="14"/>
              </w:rPr>
              <w:t>37%</w:t>
            </w:r>
          </w:p>
        </w:tc>
      </w:tr>
      <w:tr>
        <w:trPr>
          <w:trHeight w:val="239" w:hRule="atLeast"/>
        </w:trPr>
        <w:tc>
          <w:tcPr>
            <w:tcW w:w="3458" w:type="dxa"/>
            <w:tcBorders>
              <w:top w:val="single" w:sz="4" w:space="0" w:color="DF2528"/>
              <w:bottom w:val="single" w:sz="4" w:space="0" w:color="DF2528"/>
            </w:tcBorders>
          </w:tcPr>
          <w:p>
            <w:pPr>
              <w:pStyle w:val="TableParagraph"/>
              <w:spacing w:before="36"/>
              <w:ind w:left="340"/>
              <w:rPr>
                <w:sz w:val="14"/>
              </w:rPr>
            </w:pPr>
            <w:r>
              <w:rPr>
                <w:color w:val="404040"/>
                <w:sz w:val="14"/>
              </w:rPr>
              <w:t>- Parenting payment recipients</w:t>
            </w:r>
          </w:p>
        </w:tc>
        <w:tc>
          <w:tcPr>
            <w:tcW w:w="1134" w:type="dxa"/>
            <w:tcBorders>
              <w:top w:val="single" w:sz="4" w:space="0" w:color="DF2528"/>
              <w:bottom w:val="single" w:sz="4" w:space="0" w:color="DF2528"/>
            </w:tcBorders>
          </w:tcPr>
          <w:p>
            <w:pPr>
              <w:pStyle w:val="TableParagraph"/>
              <w:spacing w:before="36"/>
              <w:ind w:left="254" w:right="257"/>
              <w:jc w:val="center"/>
              <w:rPr>
                <w:sz w:val="14"/>
              </w:rPr>
            </w:pPr>
            <w:r>
              <w:rPr>
                <w:color w:val="404040"/>
                <w:sz w:val="14"/>
              </w:rPr>
              <w:t>57</w:t>
            </w:r>
          </w:p>
        </w:tc>
        <w:tc>
          <w:tcPr>
            <w:tcW w:w="1703" w:type="dxa"/>
            <w:tcBorders>
              <w:top w:val="single" w:sz="4" w:space="0" w:color="DF2528"/>
              <w:bottom w:val="single" w:sz="4" w:space="0" w:color="DF2528"/>
            </w:tcBorders>
          </w:tcPr>
          <w:p>
            <w:pPr>
              <w:pStyle w:val="TableParagraph"/>
              <w:spacing w:before="36"/>
              <w:ind w:left="203" w:right="203"/>
              <w:jc w:val="center"/>
              <w:rPr>
                <w:sz w:val="14"/>
              </w:rPr>
            </w:pPr>
            <w:r>
              <w:rPr>
                <w:color w:val="404040"/>
                <w:sz w:val="14"/>
              </w:rPr>
              <w:t>59%</w:t>
            </w:r>
          </w:p>
        </w:tc>
        <w:tc>
          <w:tcPr>
            <w:tcW w:w="1702" w:type="dxa"/>
            <w:tcBorders>
              <w:top w:val="single" w:sz="4" w:space="0" w:color="DF2528"/>
              <w:bottom w:val="single" w:sz="4" w:space="0" w:color="DF2528"/>
            </w:tcBorders>
          </w:tcPr>
          <w:p>
            <w:pPr>
              <w:pStyle w:val="TableParagraph"/>
              <w:spacing w:before="36"/>
              <w:ind w:left="688" w:right="689"/>
              <w:jc w:val="center"/>
              <w:rPr>
                <w:sz w:val="14"/>
              </w:rPr>
            </w:pPr>
            <w:r>
              <w:rPr>
                <w:color w:val="404040"/>
                <w:sz w:val="14"/>
              </w:rPr>
              <w:t>10%</w:t>
            </w:r>
          </w:p>
        </w:tc>
        <w:tc>
          <w:tcPr>
            <w:tcW w:w="1737" w:type="dxa"/>
            <w:tcBorders>
              <w:top w:val="single" w:sz="4" w:space="0" w:color="DF2528"/>
              <w:bottom w:val="single" w:sz="4" w:space="0" w:color="DF2528"/>
            </w:tcBorders>
          </w:tcPr>
          <w:p>
            <w:pPr>
              <w:pStyle w:val="TableParagraph"/>
              <w:spacing w:before="36"/>
              <w:ind w:left="710"/>
              <w:rPr>
                <w:sz w:val="14"/>
              </w:rPr>
            </w:pPr>
            <w:r>
              <w:rPr>
                <w:color w:val="404040"/>
                <w:sz w:val="14"/>
              </w:rPr>
              <w:t>32%</w:t>
            </w:r>
          </w:p>
        </w:tc>
      </w:tr>
      <w:tr>
        <w:trPr>
          <w:trHeight w:val="241" w:hRule="atLeast"/>
        </w:trPr>
        <w:tc>
          <w:tcPr>
            <w:tcW w:w="3458" w:type="dxa"/>
            <w:tcBorders>
              <w:top w:val="single" w:sz="4" w:space="0" w:color="DF2528"/>
              <w:bottom w:val="single" w:sz="4" w:space="0" w:color="DF2528"/>
            </w:tcBorders>
          </w:tcPr>
          <w:p>
            <w:pPr>
              <w:pStyle w:val="TableParagraph"/>
              <w:spacing w:before="36"/>
              <w:ind w:left="340"/>
              <w:rPr>
                <w:sz w:val="14"/>
              </w:rPr>
            </w:pPr>
            <w:r>
              <w:rPr>
                <w:color w:val="404040"/>
                <w:sz w:val="14"/>
              </w:rPr>
              <w:t>- Carer payment recipients</w:t>
            </w:r>
          </w:p>
        </w:tc>
        <w:tc>
          <w:tcPr>
            <w:tcW w:w="1134" w:type="dxa"/>
            <w:tcBorders>
              <w:top w:val="single" w:sz="4" w:space="0" w:color="DF2528"/>
              <w:bottom w:val="single" w:sz="4" w:space="0" w:color="DF2528"/>
            </w:tcBorders>
          </w:tcPr>
          <w:p>
            <w:pPr>
              <w:pStyle w:val="TableParagraph"/>
              <w:spacing w:before="36"/>
              <w:ind w:left="254" w:right="257"/>
              <w:jc w:val="center"/>
              <w:rPr>
                <w:sz w:val="14"/>
              </w:rPr>
            </w:pPr>
            <w:r>
              <w:rPr>
                <w:color w:val="404040"/>
                <w:sz w:val="14"/>
              </w:rPr>
              <w:t>38</w:t>
            </w:r>
          </w:p>
        </w:tc>
        <w:tc>
          <w:tcPr>
            <w:tcW w:w="1703" w:type="dxa"/>
            <w:tcBorders>
              <w:top w:val="single" w:sz="4" w:space="0" w:color="DF2528"/>
              <w:bottom w:val="single" w:sz="4" w:space="0" w:color="DF2528"/>
            </w:tcBorders>
          </w:tcPr>
          <w:p>
            <w:pPr>
              <w:pStyle w:val="TableParagraph"/>
              <w:spacing w:before="36"/>
              <w:ind w:left="203" w:right="203"/>
              <w:jc w:val="center"/>
              <w:rPr>
                <w:sz w:val="14"/>
              </w:rPr>
            </w:pPr>
            <w:r>
              <w:rPr>
                <w:color w:val="404040"/>
                <w:sz w:val="14"/>
              </w:rPr>
              <w:t>82%</w:t>
            </w:r>
          </w:p>
        </w:tc>
        <w:tc>
          <w:tcPr>
            <w:tcW w:w="1702" w:type="dxa"/>
            <w:tcBorders>
              <w:top w:val="single" w:sz="4" w:space="0" w:color="DF2528"/>
              <w:bottom w:val="single" w:sz="4" w:space="0" w:color="DF2528"/>
            </w:tcBorders>
          </w:tcPr>
          <w:p>
            <w:pPr>
              <w:pStyle w:val="TableParagraph"/>
              <w:spacing w:before="36"/>
              <w:ind w:left="688" w:right="689"/>
              <w:jc w:val="center"/>
              <w:rPr>
                <w:sz w:val="14"/>
              </w:rPr>
            </w:pPr>
            <w:r>
              <w:rPr>
                <w:color w:val="404040"/>
                <w:sz w:val="14"/>
              </w:rPr>
              <w:t>3%</w:t>
            </w:r>
          </w:p>
        </w:tc>
        <w:tc>
          <w:tcPr>
            <w:tcW w:w="1737" w:type="dxa"/>
            <w:tcBorders>
              <w:top w:val="single" w:sz="4" w:space="0" w:color="DF2528"/>
              <w:bottom w:val="single" w:sz="4" w:space="0" w:color="DF2528"/>
            </w:tcBorders>
          </w:tcPr>
          <w:p>
            <w:pPr>
              <w:pStyle w:val="TableParagraph"/>
              <w:spacing w:before="36"/>
              <w:ind w:left="710"/>
              <w:rPr>
                <w:sz w:val="14"/>
              </w:rPr>
            </w:pPr>
            <w:r>
              <w:rPr>
                <w:color w:val="404040"/>
                <w:sz w:val="14"/>
              </w:rPr>
              <w:t>15%</w:t>
            </w:r>
          </w:p>
        </w:tc>
      </w:tr>
      <w:tr>
        <w:trPr>
          <w:trHeight w:val="239" w:hRule="atLeast"/>
        </w:trPr>
        <w:tc>
          <w:tcPr>
            <w:tcW w:w="3458" w:type="dxa"/>
            <w:tcBorders>
              <w:top w:val="single" w:sz="4" w:space="0" w:color="DF2528"/>
              <w:bottom w:val="single" w:sz="4" w:space="0" w:color="DF2528"/>
            </w:tcBorders>
          </w:tcPr>
          <w:p>
            <w:pPr>
              <w:pStyle w:val="TableParagraph"/>
              <w:spacing w:before="36"/>
              <w:ind w:left="340"/>
              <w:rPr>
                <w:sz w:val="14"/>
              </w:rPr>
            </w:pPr>
            <w:r>
              <w:rPr>
                <w:color w:val="404040"/>
                <w:sz w:val="14"/>
              </w:rPr>
              <w:t>- Disability support pensioners</w:t>
            </w:r>
          </w:p>
        </w:tc>
        <w:tc>
          <w:tcPr>
            <w:tcW w:w="1134" w:type="dxa"/>
            <w:tcBorders>
              <w:top w:val="single" w:sz="4" w:space="0" w:color="DF2528"/>
              <w:bottom w:val="single" w:sz="4" w:space="0" w:color="DF2528"/>
            </w:tcBorders>
          </w:tcPr>
          <w:p>
            <w:pPr>
              <w:pStyle w:val="TableParagraph"/>
              <w:spacing w:before="36"/>
              <w:ind w:left="254" w:right="257"/>
              <w:jc w:val="center"/>
              <w:rPr>
                <w:sz w:val="14"/>
              </w:rPr>
            </w:pPr>
            <w:r>
              <w:rPr>
                <w:color w:val="404040"/>
                <w:sz w:val="14"/>
              </w:rPr>
              <w:t>34</w:t>
            </w:r>
          </w:p>
        </w:tc>
        <w:tc>
          <w:tcPr>
            <w:tcW w:w="1703" w:type="dxa"/>
            <w:tcBorders>
              <w:top w:val="single" w:sz="4" w:space="0" w:color="DF2528"/>
              <w:bottom w:val="single" w:sz="4" w:space="0" w:color="DF2528"/>
            </w:tcBorders>
          </w:tcPr>
          <w:p>
            <w:pPr>
              <w:pStyle w:val="TableParagraph"/>
              <w:spacing w:before="36"/>
              <w:ind w:left="203" w:right="203"/>
              <w:jc w:val="center"/>
              <w:rPr>
                <w:sz w:val="14"/>
              </w:rPr>
            </w:pPr>
            <w:r>
              <w:rPr>
                <w:color w:val="404040"/>
                <w:sz w:val="14"/>
              </w:rPr>
              <w:t>93%</w:t>
            </w:r>
          </w:p>
        </w:tc>
        <w:tc>
          <w:tcPr>
            <w:tcW w:w="1702" w:type="dxa"/>
            <w:tcBorders>
              <w:top w:val="single" w:sz="4" w:space="0" w:color="DF2528"/>
              <w:bottom w:val="single" w:sz="4" w:space="0" w:color="DF2528"/>
            </w:tcBorders>
          </w:tcPr>
          <w:p>
            <w:pPr>
              <w:pStyle w:val="TableParagraph"/>
              <w:spacing w:before="36"/>
              <w:ind w:left="688" w:right="689"/>
              <w:jc w:val="center"/>
              <w:rPr>
                <w:sz w:val="14"/>
              </w:rPr>
            </w:pPr>
            <w:r>
              <w:rPr>
                <w:color w:val="404040"/>
                <w:sz w:val="14"/>
              </w:rPr>
              <w:t>1%</w:t>
            </w:r>
          </w:p>
        </w:tc>
        <w:tc>
          <w:tcPr>
            <w:tcW w:w="1737" w:type="dxa"/>
            <w:tcBorders>
              <w:top w:val="single" w:sz="4" w:space="0" w:color="DF2528"/>
              <w:bottom w:val="single" w:sz="4" w:space="0" w:color="DF2528"/>
            </w:tcBorders>
          </w:tcPr>
          <w:p>
            <w:pPr>
              <w:pStyle w:val="TableParagraph"/>
              <w:spacing w:before="36"/>
              <w:ind w:left="748"/>
              <w:rPr>
                <w:sz w:val="14"/>
              </w:rPr>
            </w:pPr>
            <w:r>
              <w:rPr>
                <w:color w:val="404040"/>
                <w:sz w:val="14"/>
              </w:rPr>
              <w:t>6%</w:t>
            </w:r>
          </w:p>
        </w:tc>
      </w:tr>
      <w:tr>
        <w:trPr>
          <w:trHeight w:val="241" w:hRule="atLeast"/>
        </w:trPr>
        <w:tc>
          <w:tcPr>
            <w:tcW w:w="3458" w:type="dxa"/>
            <w:tcBorders>
              <w:top w:val="single" w:sz="4" w:space="0" w:color="DF2528"/>
              <w:bottom w:val="single" w:sz="4" w:space="0" w:color="DF2528"/>
            </w:tcBorders>
          </w:tcPr>
          <w:p>
            <w:pPr>
              <w:pStyle w:val="TableParagraph"/>
              <w:spacing w:before="39"/>
              <w:ind w:left="340"/>
              <w:rPr>
                <w:sz w:val="14"/>
              </w:rPr>
            </w:pPr>
            <w:r>
              <w:rPr>
                <w:color w:val="404040"/>
                <w:sz w:val="14"/>
              </w:rPr>
              <w:t>- Age pensioners</w:t>
            </w:r>
          </w:p>
        </w:tc>
        <w:tc>
          <w:tcPr>
            <w:tcW w:w="1134" w:type="dxa"/>
            <w:tcBorders>
              <w:top w:val="single" w:sz="4" w:space="0" w:color="DF2528"/>
              <w:bottom w:val="single" w:sz="4" w:space="0" w:color="DF2528"/>
            </w:tcBorders>
          </w:tcPr>
          <w:p>
            <w:pPr>
              <w:pStyle w:val="TableParagraph"/>
              <w:spacing w:before="39"/>
              <w:ind w:left="254" w:right="257"/>
              <w:jc w:val="center"/>
              <w:rPr>
                <w:sz w:val="14"/>
              </w:rPr>
            </w:pPr>
            <w:r>
              <w:rPr>
                <w:color w:val="404040"/>
                <w:sz w:val="14"/>
              </w:rPr>
              <w:t>14</w:t>
            </w:r>
          </w:p>
        </w:tc>
        <w:tc>
          <w:tcPr>
            <w:tcW w:w="1703" w:type="dxa"/>
            <w:tcBorders>
              <w:top w:val="single" w:sz="4" w:space="0" w:color="DF2528"/>
              <w:bottom w:val="single" w:sz="4" w:space="0" w:color="DF2528"/>
            </w:tcBorders>
          </w:tcPr>
          <w:p>
            <w:pPr>
              <w:pStyle w:val="TableParagraph"/>
              <w:spacing w:before="39"/>
              <w:ind w:left="203" w:right="203"/>
              <w:jc w:val="center"/>
              <w:rPr>
                <w:sz w:val="14"/>
              </w:rPr>
            </w:pPr>
            <w:r>
              <w:rPr>
                <w:color w:val="404040"/>
                <w:sz w:val="14"/>
              </w:rPr>
              <w:t>96%</w:t>
            </w:r>
          </w:p>
        </w:tc>
        <w:tc>
          <w:tcPr>
            <w:tcW w:w="1702" w:type="dxa"/>
            <w:tcBorders>
              <w:top w:val="single" w:sz="4" w:space="0" w:color="DF2528"/>
              <w:bottom w:val="single" w:sz="4" w:space="0" w:color="DF2528"/>
            </w:tcBorders>
          </w:tcPr>
          <w:p>
            <w:pPr>
              <w:pStyle w:val="TableParagraph"/>
              <w:spacing w:before="39"/>
              <w:ind w:left="688" w:right="689"/>
              <w:jc w:val="center"/>
              <w:rPr>
                <w:sz w:val="14"/>
              </w:rPr>
            </w:pPr>
            <w:r>
              <w:rPr>
                <w:color w:val="404040"/>
                <w:sz w:val="14"/>
              </w:rPr>
              <w:t>&lt;1%</w:t>
            </w:r>
          </w:p>
        </w:tc>
        <w:tc>
          <w:tcPr>
            <w:tcW w:w="1737" w:type="dxa"/>
            <w:tcBorders>
              <w:top w:val="single" w:sz="4" w:space="0" w:color="DF2528"/>
              <w:bottom w:val="single" w:sz="4" w:space="0" w:color="DF2528"/>
            </w:tcBorders>
          </w:tcPr>
          <w:p>
            <w:pPr>
              <w:pStyle w:val="TableParagraph"/>
              <w:spacing w:before="39"/>
              <w:ind w:left="748"/>
              <w:rPr>
                <w:sz w:val="14"/>
              </w:rPr>
            </w:pPr>
            <w:r>
              <w:rPr>
                <w:color w:val="404040"/>
                <w:sz w:val="14"/>
              </w:rPr>
              <w:t>4%</w:t>
            </w:r>
          </w:p>
        </w:tc>
      </w:tr>
      <w:tr>
        <w:trPr>
          <w:trHeight w:val="242" w:hRule="atLeast"/>
        </w:trPr>
        <w:tc>
          <w:tcPr>
            <w:tcW w:w="3458" w:type="dxa"/>
            <w:tcBorders>
              <w:top w:val="single" w:sz="4" w:space="0" w:color="DF2528"/>
              <w:bottom w:val="single" w:sz="4" w:space="0" w:color="DF2528"/>
            </w:tcBorders>
          </w:tcPr>
          <w:p>
            <w:pPr>
              <w:pStyle w:val="TableParagraph"/>
              <w:spacing w:before="36"/>
              <w:ind w:left="340"/>
              <w:rPr>
                <w:sz w:val="14"/>
              </w:rPr>
            </w:pPr>
            <w:r>
              <w:rPr>
                <w:color w:val="404040"/>
                <w:sz w:val="14"/>
              </w:rPr>
              <w:t>- Family non IS clients</w:t>
            </w:r>
          </w:p>
        </w:tc>
        <w:tc>
          <w:tcPr>
            <w:tcW w:w="1134" w:type="dxa"/>
            <w:tcBorders>
              <w:top w:val="single" w:sz="4" w:space="0" w:color="DF2528"/>
              <w:bottom w:val="single" w:sz="4" w:space="0" w:color="DF2528"/>
            </w:tcBorders>
          </w:tcPr>
          <w:p>
            <w:pPr>
              <w:pStyle w:val="TableParagraph"/>
              <w:spacing w:before="36"/>
              <w:ind w:left="254" w:right="257"/>
              <w:jc w:val="center"/>
              <w:rPr>
                <w:sz w:val="14"/>
              </w:rPr>
            </w:pPr>
            <w:r>
              <w:rPr>
                <w:color w:val="404040"/>
                <w:sz w:val="14"/>
              </w:rPr>
              <w:t>51</w:t>
            </w:r>
          </w:p>
        </w:tc>
        <w:tc>
          <w:tcPr>
            <w:tcW w:w="1703" w:type="dxa"/>
            <w:tcBorders>
              <w:top w:val="single" w:sz="4" w:space="0" w:color="DF2528"/>
              <w:bottom w:val="single" w:sz="4" w:space="0" w:color="DF2528"/>
            </w:tcBorders>
          </w:tcPr>
          <w:p>
            <w:pPr>
              <w:pStyle w:val="TableParagraph"/>
              <w:spacing w:before="36"/>
              <w:ind w:left="203" w:right="203"/>
              <w:jc w:val="center"/>
              <w:rPr>
                <w:sz w:val="14"/>
              </w:rPr>
            </w:pPr>
            <w:r>
              <w:rPr>
                <w:color w:val="404040"/>
                <w:sz w:val="14"/>
              </w:rPr>
              <w:t>32%</w:t>
            </w:r>
          </w:p>
        </w:tc>
        <w:tc>
          <w:tcPr>
            <w:tcW w:w="1702" w:type="dxa"/>
            <w:tcBorders>
              <w:top w:val="single" w:sz="4" w:space="0" w:color="DF2528"/>
              <w:bottom w:val="single" w:sz="4" w:space="0" w:color="DF2528"/>
            </w:tcBorders>
          </w:tcPr>
          <w:p>
            <w:pPr>
              <w:pStyle w:val="TableParagraph"/>
              <w:spacing w:before="36"/>
              <w:ind w:left="688" w:right="689"/>
              <w:jc w:val="center"/>
              <w:rPr>
                <w:sz w:val="14"/>
              </w:rPr>
            </w:pPr>
            <w:r>
              <w:rPr>
                <w:color w:val="404040"/>
                <w:sz w:val="14"/>
              </w:rPr>
              <w:t>13%</w:t>
            </w:r>
          </w:p>
        </w:tc>
        <w:tc>
          <w:tcPr>
            <w:tcW w:w="1737" w:type="dxa"/>
            <w:tcBorders>
              <w:top w:val="single" w:sz="4" w:space="0" w:color="DF2528"/>
              <w:bottom w:val="single" w:sz="4" w:space="0" w:color="DF2528"/>
            </w:tcBorders>
          </w:tcPr>
          <w:p>
            <w:pPr>
              <w:pStyle w:val="TableParagraph"/>
              <w:spacing w:before="36"/>
              <w:ind w:left="710"/>
              <w:rPr>
                <w:sz w:val="14"/>
              </w:rPr>
            </w:pPr>
            <w:r>
              <w:rPr>
                <w:color w:val="404040"/>
                <w:sz w:val="14"/>
              </w:rPr>
              <w:t>55%</w:t>
            </w:r>
          </w:p>
        </w:tc>
      </w:tr>
      <w:tr>
        <w:trPr>
          <w:trHeight w:val="239" w:hRule="atLeast"/>
        </w:trPr>
        <w:tc>
          <w:tcPr>
            <w:tcW w:w="3458" w:type="dxa"/>
            <w:tcBorders>
              <w:top w:val="single" w:sz="4" w:space="0" w:color="DF2528"/>
              <w:bottom w:val="single" w:sz="4" w:space="0" w:color="DF2528"/>
            </w:tcBorders>
          </w:tcPr>
          <w:p>
            <w:pPr>
              <w:pStyle w:val="TableParagraph"/>
              <w:spacing w:before="36"/>
              <w:ind w:left="340"/>
              <w:rPr>
                <w:sz w:val="14"/>
              </w:rPr>
            </w:pPr>
            <w:r>
              <w:rPr>
                <w:color w:val="404040"/>
                <w:sz w:val="14"/>
              </w:rPr>
              <w:t>- Carer non IS clients</w:t>
            </w:r>
          </w:p>
        </w:tc>
        <w:tc>
          <w:tcPr>
            <w:tcW w:w="1134" w:type="dxa"/>
            <w:tcBorders>
              <w:top w:val="single" w:sz="4" w:space="0" w:color="DF2528"/>
              <w:bottom w:val="single" w:sz="4" w:space="0" w:color="DF2528"/>
            </w:tcBorders>
          </w:tcPr>
          <w:p>
            <w:pPr>
              <w:pStyle w:val="TableParagraph"/>
              <w:spacing w:before="36"/>
              <w:ind w:left="254" w:right="257"/>
              <w:jc w:val="center"/>
              <w:rPr>
                <w:sz w:val="14"/>
              </w:rPr>
            </w:pPr>
            <w:r>
              <w:rPr>
                <w:color w:val="404040"/>
                <w:sz w:val="14"/>
              </w:rPr>
              <w:t>40</w:t>
            </w:r>
          </w:p>
        </w:tc>
        <w:tc>
          <w:tcPr>
            <w:tcW w:w="1703" w:type="dxa"/>
            <w:tcBorders>
              <w:top w:val="single" w:sz="4" w:space="0" w:color="DF2528"/>
              <w:bottom w:val="single" w:sz="4" w:space="0" w:color="DF2528"/>
            </w:tcBorders>
          </w:tcPr>
          <w:p>
            <w:pPr>
              <w:pStyle w:val="TableParagraph"/>
              <w:spacing w:before="36"/>
              <w:ind w:left="203" w:right="203"/>
              <w:jc w:val="center"/>
              <w:rPr>
                <w:sz w:val="14"/>
              </w:rPr>
            </w:pPr>
            <w:r>
              <w:rPr>
                <w:color w:val="404040"/>
                <w:sz w:val="14"/>
              </w:rPr>
              <w:t>38%</w:t>
            </w:r>
          </w:p>
        </w:tc>
        <w:tc>
          <w:tcPr>
            <w:tcW w:w="1702" w:type="dxa"/>
            <w:tcBorders>
              <w:top w:val="single" w:sz="4" w:space="0" w:color="DF2528"/>
              <w:bottom w:val="single" w:sz="4" w:space="0" w:color="DF2528"/>
            </w:tcBorders>
          </w:tcPr>
          <w:p>
            <w:pPr>
              <w:pStyle w:val="TableParagraph"/>
              <w:spacing w:before="36"/>
              <w:ind w:left="688" w:right="689"/>
              <w:jc w:val="center"/>
              <w:rPr>
                <w:sz w:val="14"/>
              </w:rPr>
            </w:pPr>
            <w:r>
              <w:rPr>
                <w:color w:val="404040"/>
                <w:sz w:val="14"/>
              </w:rPr>
              <w:t>22%</w:t>
            </w:r>
          </w:p>
        </w:tc>
        <w:tc>
          <w:tcPr>
            <w:tcW w:w="1737" w:type="dxa"/>
            <w:tcBorders>
              <w:top w:val="single" w:sz="4" w:space="0" w:color="DF2528"/>
              <w:bottom w:val="single" w:sz="4" w:space="0" w:color="DF2528"/>
            </w:tcBorders>
          </w:tcPr>
          <w:p>
            <w:pPr>
              <w:pStyle w:val="TableParagraph"/>
              <w:spacing w:before="36"/>
              <w:ind w:left="710"/>
              <w:rPr>
                <w:sz w:val="14"/>
              </w:rPr>
            </w:pPr>
            <w:r>
              <w:rPr>
                <w:color w:val="404040"/>
                <w:sz w:val="14"/>
              </w:rPr>
              <w:t>41%</w:t>
            </w:r>
          </w:p>
        </w:tc>
      </w:tr>
      <w:tr>
        <w:trPr>
          <w:trHeight w:val="241" w:hRule="atLeast"/>
        </w:trPr>
        <w:tc>
          <w:tcPr>
            <w:tcW w:w="3458" w:type="dxa"/>
            <w:tcBorders>
              <w:top w:val="single" w:sz="4" w:space="0" w:color="DF2528"/>
              <w:bottom w:val="single" w:sz="4" w:space="0" w:color="DF2528"/>
            </w:tcBorders>
          </w:tcPr>
          <w:p>
            <w:pPr>
              <w:pStyle w:val="TableParagraph"/>
              <w:spacing w:before="36"/>
              <w:ind w:left="340"/>
              <w:rPr>
                <w:sz w:val="14"/>
              </w:rPr>
            </w:pPr>
            <w:r>
              <w:rPr>
                <w:color w:val="404040"/>
                <w:sz w:val="14"/>
              </w:rPr>
              <w:t>- Other non IS clients</w:t>
            </w:r>
          </w:p>
        </w:tc>
        <w:tc>
          <w:tcPr>
            <w:tcW w:w="1134" w:type="dxa"/>
            <w:tcBorders>
              <w:top w:val="single" w:sz="4" w:space="0" w:color="DF2528"/>
              <w:bottom w:val="single" w:sz="4" w:space="0" w:color="DF2528"/>
            </w:tcBorders>
          </w:tcPr>
          <w:p>
            <w:pPr>
              <w:pStyle w:val="TableParagraph"/>
              <w:spacing w:before="36"/>
              <w:ind w:left="254" w:right="257"/>
              <w:jc w:val="center"/>
              <w:rPr>
                <w:sz w:val="14"/>
              </w:rPr>
            </w:pPr>
            <w:r>
              <w:rPr>
                <w:color w:val="404040"/>
                <w:sz w:val="14"/>
              </w:rPr>
              <w:t>36</w:t>
            </w:r>
          </w:p>
        </w:tc>
        <w:tc>
          <w:tcPr>
            <w:tcW w:w="1703" w:type="dxa"/>
            <w:tcBorders>
              <w:top w:val="single" w:sz="4" w:space="0" w:color="DF2528"/>
              <w:bottom w:val="single" w:sz="4" w:space="0" w:color="DF2528"/>
            </w:tcBorders>
          </w:tcPr>
          <w:p>
            <w:pPr>
              <w:pStyle w:val="TableParagraph"/>
              <w:spacing w:before="36"/>
              <w:ind w:left="203" w:right="203"/>
              <w:jc w:val="center"/>
              <w:rPr>
                <w:sz w:val="14"/>
              </w:rPr>
            </w:pPr>
            <w:r>
              <w:rPr>
                <w:color w:val="404040"/>
                <w:sz w:val="14"/>
              </w:rPr>
              <w:t>32%</w:t>
            </w:r>
          </w:p>
        </w:tc>
        <w:tc>
          <w:tcPr>
            <w:tcW w:w="1702" w:type="dxa"/>
            <w:tcBorders>
              <w:top w:val="single" w:sz="4" w:space="0" w:color="DF2528"/>
              <w:bottom w:val="single" w:sz="4" w:space="0" w:color="DF2528"/>
            </w:tcBorders>
          </w:tcPr>
          <w:p>
            <w:pPr>
              <w:pStyle w:val="TableParagraph"/>
              <w:spacing w:before="36"/>
              <w:ind w:left="688" w:right="689"/>
              <w:jc w:val="center"/>
              <w:rPr>
                <w:sz w:val="14"/>
              </w:rPr>
            </w:pPr>
            <w:r>
              <w:rPr>
                <w:color w:val="404040"/>
                <w:sz w:val="14"/>
              </w:rPr>
              <w:t>22%</w:t>
            </w:r>
          </w:p>
        </w:tc>
        <w:tc>
          <w:tcPr>
            <w:tcW w:w="1737" w:type="dxa"/>
            <w:tcBorders>
              <w:top w:val="single" w:sz="4" w:space="0" w:color="DF2528"/>
              <w:bottom w:val="single" w:sz="4" w:space="0" w:color="DF2528"/>
            </w:tcBorders>
          </w:tcPr>
          <w:p>
            <w:pPr>
              <w:pStyle w:val="TableParagraph"/>
              <w:spacing w:before="36"/>
              <w:ind w:left="710"/>
              <w:rPr>
                <w:sz w:val="14"/>
              </w:rPr>
            </w:pPr>
            <w:r>
              <w:rPr>
                <w:color w:val="404040"/>
                <w:sz w:val="14"/>
              </w:rPr>
              <w:t>47%</w:t>
            </w:r>
          </w:p>
        </w:tc>
      </w:tr>
      <w:tr>
        <w:trPr>
          <w:trHeight w:val="244" w:hRule="atLeast"/>
        </w:trPr>
        <w:tc>
          <w:tcPr>
            <w:tcW w:w="3458" w:type="dxa"/>
            <w:tcBorders>
              <w:top w:val="single" w:sz="4" w:space="0" w:color="DF2528"/>
              <w:bottom w:val="single" w:sz="4" w:space="0" w:color="DF2528"/>
            </w:tcBorders>
          </w:tcPr>
          <w:p>
            <w:pPr>
              <w:pStyle w:val="TableParagraph"/>
              <w:spacing w:before="36"/>
              <w:ind w:left="112"/>
              <w:rPr>
                <w:i/>
                <w:sz w:val="14"/>
              </w:rPr>
            </w:pPr>
            <w:r>
              <w:rPr>
                <w:i/>
                <w:color w:val="404040"/>
                <w:sz w:val="14"/>
              </w:rPr>
              <w:t>Total current welfare recipients</w:t>
            </w:r>
          </w:p>
        </w:tc>
        <w:tc>
          <w:tcPr>
            <w:tcW w:w="1134" w:type="dxa"/>
            <w:tcBorders>
              <w:top w:val="single" w:sz="4" w:space="0" w:color="DF2528"/>
              <w:bottom w:val="single" w:sz="4" w:space="0" w:color="DF2528"/>
            </w:tcBorders>
          </w:tcPr>
          <w:p>
            <w:pPr>
              <w:pStyle w:val="TableParagraph"/>
              <w:spacing w:before="36"/>
              <w:ind w:left="254" w:right="257"/>
              <w:jc w:val="center"/>
              <w:rPr>
                <w:sz w:val="14"/>
              </w:rPr>
            </w:pPr>
            <w:r>
              <w:rPr>
                <w:color w:val="404040"/>
                <w:sz w:val="14"/>
              </w:rPr>
              <w:t>36</w:t>
            </w:r>
          </w:p>
        </w:tc>
        <w:tc>
          <w:tcPr>
            <w:tcW w:w="1703" w:type="dxa"/>
            <w:tcBorders>
              <w:top w:val="single" w:sz="4" w:space="0" w:color="DF2528"/>
              <w:bottom w:val="single" w:sz="4" w:space="0" w:color="DF2528"/>
            </w:tcBorders>
          </w:tcPr>
          <w:p>
            <w:pPr>
              <w:pStyle w:val="TableParagraph"/>
              <w:spacing w:before="36"/>
              <w:ind w:left="203" w:right="203"/>
              <w:jc w:val="center"/>
              <w:rPr>
                <w:sz w:val="14"/>
              </w:rPr>
            </w:pPr>
            <w:r>
              <w:rPr>
                <w:color w:val="404040"/>
                <w:sz w:val="14"/>
              </w:rPr>
              <w:t>56%</w:t>
            </w:r>
          </w:p>
        </w:tc>
        <w:tc>
          <w:tcPr>
            <w:tcW w:w="1702" w:type="dxa"/>
            <w:tcBorders>
              <w:top w:val="single" w:sz="4" w:space="0" w:color="DF2528"/>
              <w:bottom w:val="single" w:sz="4" w:space="0" w:color="DF2528"/>
            </w:tcBorders>
          </w:tcPr>
          <w:p>
            <w:pPr>
              <w:pStyle w:val="TableParagraph"/>
              <w:spacing w:before="36"/>
              <w:ind w:left="688" w:right="689"/>
              <w:jc w:val="center"/>
              <w:rPr>
                <w:sz w:val="14"/>
              </w:rPr>
            </w:pPr>
            <w:r>
              <w:rPr>
                <w:color w:val="404040"/>
                <w:sz w:val="14"/>
              </w:rPr>
              <w:t>8%</w:t>
            </w:r>
          </w:p>
        </w:tc>
        <w:tc>
          <w:tcPr>
            <w:tcW w:w="1737" w:type="dxa"/>
            <w:tcBorders>
              <w:top w:val="single" w:sz="4" w:space="0" w:color="DF2528"/>
              <w:bottom w:val="single" w:sz="4" w:space="0" w:color="DF2528"/>
            </w:tcBorders>
          </w:tcPr>
          <w:p>
            <w:pPr>
              <w:pStyle w:val="TableParagraph"/>
              <w:spacing w:before="36"/>
              <w:ind w:left="710"/>
              <w:rPr>
                <w:sz w:val="14"/>
              </w:rPr>
            </w:pPr>
            <w:r>
              <w:rPr>
                <w:color w:val="404040"/>
                <w:sz w:val="14"/>
              </w:rPr>
              <w:t>36%</w:t>
            </w:r>
          </w:p>
        </w:tc>
      </w:tr>
      <w:tr>
        <w:trPr>
          <w:trHeight w:val="232" w:hRule="atLeast"/>
        </w:trPr>
        <w:tc>
          <w:tcPr>
            <w:tcW w:w="3458" w:type="dxa"/>
            <w:shd w:val="clear" w:color="auto" w:fill="DF2528"/>
          </w:tcPr>
          <w:p>
            <w:pPr>
              <w:pStyle w:val="TableParagraph"/>
              <w:spacing w:before="31"/>
              <w:ind w:left="112"/>
              <w:rPr>
                <w:sz w:val="14"/>
              </w:rPr>
            </w:pPr>
            <w:r>
              <w:rPr>
                <w:color w:val="FFFFFF"/>
                <w:sz w:val="14"/>
              </w:rPr>
              <w:t>Previous welfare recipients</w:t>
            </w:r>
          </w:p>
        </w:tc>
        <w:tc>
          <w:tcPr>
            <w:tcW w:w="1134" w:type="dxa"/>
            <w:shd w:val="clear" w:color="auto" w:fill="DF2528"/>
          </w:tcPr>
          <w:p>
            <w:pPr>
              <w:pStyle w:val="TableParagraph"/>
              <w:spacing w:before="0"/>
              <w:rPr>
                <w:rFonts w:ascii="Times New Roman"/>
                <w:sz w:val="14"/>
              </w:rPr>
            </w:pPr>
          </w:p>
        </w:tc>
        <w:tc>
          <w:tcPr>
            <w:tcW w:w="1703" w:type="dxa"/>
            <w:shd w:val="clear" w:color="auto" w:fill="DF2528"/>
          </w:tcPr>
          <w:p>
            <w:pPr>
              <w:pStyle w:val="TableParagraph"/>
              <w:spacing w:before="0"/>
              <w:rPr>
                <w:rFonts w:ascii="Times New Roman"/>
                <w:sz w:val="14"/>
              </w:rPr>
            </w:pPr>
          </w:p>
        </w:tc>
        <w:tc>
          <w:tcPr>
            <w:tcW w:w="1702" w:type="dxa"/>
            <w:shd w:val="clear" w:color="auto" w:fill="DF2528"/>
          </w:tcPr>
          <w:p>
            <w:pPr>
              <w:pStyle w:val="TableParagraph"/>
              <w:spacing w:before="0"/>
              <w:rPr>
                <w:rFonts w:ascii="Times New Roman"/>
                <w:sz w:val="14"/>
              </w:rPr>
            </w:pPr>
          </w:p>
        </w:tc>
        <w:tc>
          <w:tcPr>
            <w:tcW w:w="1737" w:type="dxa"/>
            <w:shd w:val="clear" w:color="auto" w:fill="DF2528"/>
          </w:tcPr>
          <w:p>
            <w:pPr>
              <w:pStyle w:val="TableParagraph"/>
              <w:spacing w:before="0"/>
              <w:rPr>
                <w:rFonts w:ascii="Times New Roman"/>
                <w:sz w:val="14"/>
              </w:rPr>
            </w:pPr>
          </w:p>
        </w:tc>
      </w:tr>
      <w:tr>
        <w:trPr>
          <w:trHeight w:val="244" w:hRule="atLeast"/>
        </w:trPr>
        <w:tc>
          <w:tcPr>
            <w:tcW w:w="3458" w:type="dxa"/>
            <w:tcBorders>
              <w:top w:val="single" w:sz="4" w:space="0" w:color="DF2528"/>
              <w:bottom w:val="single" w:sz="4" w:space="0" w:color="DF2528"/>
            </w:tcBorders>
          </w:tcPr>
          <w:p>
            <w:pPr>
              <w:pStyle w:val="TableParagraph"/>
              <w:spacing w:before="41"/>
              <w:ind w:left="340"/>
              <w:rPr>
                <w:sz w:val="14"/>
              </w:rPr>
            </w:pPr>
            <w:r>
              <w:rPr>
                <w:color w:val="404040"/>
                <w:sz w:val="14"/>
              </w:rPr>
              <w:t>- Exited 1-3 years</w:t>
            </w:r>
          </w:p>
        </w:tc>
        <w:tc>
          <w:tcPr>
            <w:tcW w:w="1134" w:type="dxa"/>
            <w:tcBorders>
              <w:top w:val="single" w:sz="4" w:space="0" w:color="DF2528"/>
              <w:bottom w:val="single" w:sz="4" w:space="0" w:color="DF2528"/>
            </w:tcBorders>
          </w:tcPr>
          <w:p>
            <w:pPr>
              <w:pStyle w:val="TableParagraph"/>
              <w:spacing w:before="41"/>
              <w:ind w:left="254" w:right="257"/>
              <w:jc w:val="center"/>
              <w:rPr>
                <w:sz w:val="14"/>
              </w:rPr>
            </w:pPr>
            <w:r>
              <w:rPr>
                <w:color w:val="404040"/>
                <w:sz w:val="14"/>
              </w:rPr>
              <w:t>50</w:t>
            </w:r>
          </w:p>
        </w:tc>
        <w:tc>
          <w:tcPr>
            <w:tcW w:w="1703" w:type="dxa"/>
            <w:tcBorders>
              <w:top w:val="single" w:sz="4" w:space="0" w:color="DF2528"/>
              <w:bottom w:val="single" w:sz="4" w:space="0" w:color="DF2528"/>
            </w:tcBorders>
          </w:tcPr>
          <w:p>
            <w:pPr>
              <w:pStyle w:val="TableParagraph"/>
              <w:spacing w:before="41"/>
              <w:ind w:left="203" w:right="203"/>
              <w:jc w:val="center"/>
              <w:rPr>
                <w:sz w:val="14"/>
              </w:rPr>
            </w:pPr>
            <w:r>
              <w:rPr>
                <w:color w:val="404040"/>
                <w:sz w:val="14"/>
              </w:rPr>
              <w:t>36%</w:t>
            </w:r>
          </w:p>
        </w:tc>
        <w:tc>
          <w:tcPr>
            <w:tcW w:w="1702" w:type="dxa"/>
            <w:tcBorders>
              <w:top w:val="single" w:sz="4" w:space="0" w:color="DF2528"/>
              <w:bottom w:val="single" w:sz="4" w:space="0" w:color="DF2528"/>
            </w:tcBorders>
          </w:tcPr>
          <w:p>
            <w:pPr>
              <w:pStyle w:val="TableParagraph"/>
              <w:spacing w:before="41"/>
              <w:ind w:left="688" w:right="689"/>
              <w:jc w:val="center"/>
              <w:rPr>
                <w:sz w:val="14"/>
              </w:rPr>
            </w:pPr>
            <w:r>
              <w:rPr>
                <w:color w:val="404040"/>
                <w:sz w:val="14"/>
              </w:rPr>
              <w:t>5%</w:t>
            </w:r>
          </w:p>
        </w:tc>
        <w:tc>
          <w:tcPr>
            <w:tcW w:w="1737" w:type="dxa"/>
            <w:tcBorders>
              <w:top w:val="single" w:sz="4" w:space="0" w:color="DF2528"/>
              <w:bottom w:val="single" w:sz="4" w:space="0" w:color="DF2528"/>
            </w:tcBorders>
          </w:tcPr>
          <w:p>
            <w:pPr>
              <w:pStyle w:val="TableParagraph"/>
              <w:spacing w:before="41"/>
              <w:ind w:left="710"/>
              <w:rPr>
                <w:sz w:val="14"/>
              </w:rPr>
            </w:pPr>
            <w:r>
              <w:rPr>
                <w:color w:val="404040"/>
                <w:sz w:val="14"/>
              </w:rPr>
              <w:t>60%</w:t>
            </w:r>
          </w:p>
        </w:tc>
      </w:tr>
      <w:tr>
        <w:trPr>
          <w:trHeight w:val="241" w:hRule="atLeast"/>
        </w:trPr>
        <w:tc>
          <w:tcPr>
            <w:tcW w:w="3458" w:type="dxa"/>
            <w:tcBorders>
              <w:top w:val="single" w:sz="4" w:space="0" w:color="DF2528"/>
              <w:bottom w:val="single" w:sz="4" w:space="0" w:color="DF2528"/>
            </w:tcBorders>
          </w:tcPr>
          <w:p>
            <w:pPr>
              <w:pStyle w:val="TableParagraph"/>
              <w:spacing w:before="39"/>
              <w:ind w:left="340"/>
              <w:rPr>
                <w:sz w:val="14"/>
              </w:rPr>
            </w:pPr>
            <w:r>
              <w:rPr>
                <w:color w:val="404040"/>
                <w:sz w:val="14"/>
              </w:rPr>
              <w:t>- Exited 4+ years</w:t>
            </w:r>
          </w:p>
        </w:tc>
        <w:tc>
          <w:tcPr>
            <w:tcW w:w="1134" w:type="dxa"/>
            <w:tcBorders>
              <w:top w:val="single" w:sz="4" w:space="0" w:color="DF2528"/>
              <w:bottom w:val="single" w:sz="4" w:space="0" w:color="DF2528"/>
            </w:tcBorders>
          </w:tcPr>
          <w:p>
            <w:pPr>
              <w:pStyle w:val="TableParagraph"/>
              <w:spacing w:before="39"/>
              <w:ind w:left="254" w:right="257"/>
              <w:jc w:val="center"/>
              <w:rPr>
                <w:sz w:val="14"/>
              </w:rPr>
            </w:pPr>
            <w:r>
              <w:rPr>
                <w:color w:val="404040"/>
                <w:sz w:val="14"/>
              </w:rPr>
              <w:t>43</w:t>
            </w:r>
          </w:p>
        </w:tc>
        <w:tc>
          <w:tcPr>
            <w:tcW w:w="1703" w:type="dxa"/>
            <w:tcBorders>
              <w:top w:val="single" w:sz="4" w:space="0" w:color="DF2528"/>
              <w:bottom w:val="single" w:sz="4" w:space="0" w:color="DF2528"/>
            </w:tcBorders>
          </w:tcPr>
          <w:p>
            <w:pPr>
              <w:pStyle w:val="TableParagraph"/>
              <w:spacing w:before="39"/>
              <w:ind w:left="203" w:right="203"/>
              <w:jc w:val="center"/>
              <w:rPr>
                <w:sz w:val="14"/>
              </w:rPr>
            </w:pPr>
            <w:r>
              <w:rPr>
                <w:color w:val="404040"/>
                <w:sz w:val="14"/>
              </w:rPr>
              <w:t>34%</w:t>
            </w:r>
          </w:p>
        </w:tc>
        <w:tc>
          <w:tcPr>
            <w:tcW w:w="1702" w:type="dxa"/>
            <w:tcBorders>
              <w:top w:val="single" w:sz="4" w:space="0" w:color="DF2528"/>
              <w:bottom w:val="single" w:sz="4" w:space="0" w:color="DF2528"/>
            </w:tcBorders>
          </w:tcPr>
          <w:p>
            <w:pPr>
              <w:pStyle w:val="TableParagraph"/>
              <w:spacing w:before="39"/>
              <w:ind w:left="688" w:right="689"/>
              <w:jc w:val="center"/>
              <w:rPr>
                <w:sz w:val="14"/>
              </w:rPr>
            </w:pPr>
            <w:r>
              <w:rPr>
                <w:color w:val="404040"/>
                <w:sz w:val="14"/>
              </w:rPr>
              <w:t>3%</w:t>
            </w:r>
          </w:p>
        </w:tc>
        <w:tc>
          <w:tcPr>
            <w:tcW w:w="1737" w:type="dxa"/>
            <w:tcBorders>
              <w:top w:val="single" w:sz="4" w:space="0" w:color="DF2528"/>
              <w:bottom w:val="single" w:sz="4" w:space="0" w:color="DF2528"/>
            </w:tcBorders>
          </w:tcPr>
          <w:p>
            <w:pPr>
              <w:pStyle w:val="TableParagraph"/>
              <w:spacing w:before="39"/>
              <w:ind w:left="710"/>
              <w:rPr>
                <w:sz w:val="14"/>
              </w:rPr>
            </w:pPr>
            <w:r>
              <w:rPr>
                <w:color w:val="404040"/>
                <w:sz w:val="14"/>
              </w:rPr>
              <w:t>63%</w:t>
            </w:r>
          </w:p>
        </w:tc>
      </w:tr>
      <w:tr>
        <w:trPr>
          <w:trHeight w:val="246" w:hRule="atLeast"/>
        </w:trPr>
        <w:tc>
          <w:tcPr>
            <w:tcW w:w="3458" w:type="dxa"/>
            <w:tcBorders>
              <w:top w:val="single" w:sz="4" w:space="0" w:color="DF2528"/>
              <w:bottom w:val="single" w:sz="4" w:space="0" w:color="DF2528"/>
            </w:tcBorders>
          </w:tcPr>
          <w:p>
            <w:pPr>
              <w:pStyle w:val="TableParagraph"/>
              <w:spacing w:before="36"/>
              <w:ind w:left="112"/>
              <w:rPr>
                <w:i/>
                <w:sz w:val="14"/>
              </w:rPr>
            </w:pPr>
            <w:r>
              <w:rPr>
                <w:i/>
                <w:color w:val="404040"/>
                <w:sz w:val="14"/>
              </w:rPr>
              <w:t>Total previous welfare recipients</w:t>
            </w:r>
          </w:p>
        </w:tc>
        <w:tc>
          <w:tcPr>
            <w:tcW w:w="1134" w:type="dxa"/>
            <w:tcBorders>
              <w:top w:val="single" w:sz="4" w:space="0" w:color="DF2528"/>
              <w:bottom w:val="single" w:sz="4" w:space="0" w:color="DF2528"/>
            </w:tcBorders>
          </w:tcPr>
          <w:p>
            <w:pPr>
              <w:pStyle w:val="TableParagraph"/>
              <w:spacing w:before="36"/>
              <w:ind w:left="254" w:right="257"/>
              <w:jc w:val="center"/>
              <w:rPr>
                <w:sz w:val="14"/>
              </w:rPr>
            </w:pPr>
            <w:r>
              <w:rPr>
                <w:color w:val="404040"/>
                <w:sz w:val="14"/>
              </w:rPr>
              <w:t>46</w:t>
            </w:r>
          </w:p>
        </w:tc>
        <w:tc>
          <w:tcPr>
            <w:tcW w:w="1703" w:type="dxa"/>
            <w:tcBorders>
              <w:top w:val="single" w:sz="4" w:space="0" w:color="DF2528"/>
              <w:bottom w:val="single" w:sz="4" w:space="0" w:color="DF2528"/>
            </w:tcBorders>
          </w:tcPr>
          <w:p>
            <w:pPr>
              <w:pStyle w:val="TableParagraph"/>
              <w:spacing w:before="36"/>
              <w:ind w:left="203" w:right="203"/>
              <w:jc w:val="center"/>
              <w:rPr>
                <w:sz w:val="14"/>
              </w:rPr>
            </w:pPr>
            <w:r>
              <w:rPr>
                <w:color w:val="404040"/>
                <w:sz w:val="14"/>
              </w:rPr>
              <w:t>34%</w:t>
            </w:r>
          </w:p>
        </w:tc>
        <w:tc>
          <w:tcPr>
            <w:tcW w:w="1702" w:type="dxa"/>
            <w:tcBorders>
              <w:top w:val="single" w:sz="4" w:space="0" w:color="DF2528"/>
              <w:bottom w:val="single" w:sz="4" w:space="0" w:color="DF2528"/>
            </w:tcBorders>
          </w:tcPr>
          <w:p>
            <w:pPr>
              <w:pStyle w:val="TableParagraph"/>
              <w:spacing w:before="36"/>
              <w:ind w:left="688" w:right="689"/>
              <w:jc w:val="center"/>
              <w:rPr>
                <w:sz w:val="14"/>
              </w:rPr>
            </w:pPr>
            <w:r>
              <w:rPr>
                <w:color w:val="404040"/>
                <w:sz w:val="14"/>
              </w:rPr>
              <w:t>4%</w:t>
            </w:r>
          </w:p>
        </w:tc>
        <w:tc>
          <w:tcPr>
            <w:tcW w:w="1737" w:type="dxa"/>
            <w:tcBorders>
              <w:top w:val="single" w:sz="4" w:space="0" w:color="DF2528"/>
              <w:bottom w:val="single" w:sz="4" w:space="0" w:color="DF2528"/>
            </w:tcBorders>
          </w:tcPr>
          <w:p>
            <w:pPr>
              <w:pStyle w:val="TableParagraph"/>
              <w:spacing w:before="36"/>
              <w:ind w:left="710"/>
              <w:rPr>
                <w:sz w:val="14"/>
              </w:rPr>
            </w:pPr>
            <w:r>
              <w:rPr>
                <w:color w:val="404040"/>
                <w:sz w:val="14"/>
              </w:rPr>
              <w:t>62%</w:t>
            </w:r>
          </w:p>
        </w:tc>
      </w:tr>
      <w:tr>
        <w:trPr>
          <w:trHeight w:val="230" w:hRule="atLeast"/>
        </w:trPr>
        <w:tc>
          <w:tcPr>
            <w:tcW w:w="3458" w:type="dxa"/>
            <w:shd w:val="clear" w:color="auto" w:fill="DF2528"/>
          </w:tcPr>
          <w:p>
            <w:pPr>
              <w:pStyle w:val="TableParagraph"/>
              <w:spacing w:before="31"/>
              <w:ind w:left="112"/>
              <w:rPr>
                <w:sz w:val="14"/>
              </w:rPr>
            </w:pPr>
            <w:r>
              <w:rPr>
                <w:color w:val="FFFFFF"/>
                <w:sz w:val="14"/>
              </w:rPr>
              <w:t>Rest of Australian resident population</w:t>
            </w:r>
          </w:p>
        </w:tc>
        <w:tc>
          <w:tcPr>
            <w:tcW w:w="1134" w:type="dxa"/>
            <w:shd w:val="clear" w:color="auto" w:fill="DF2528"/>
          </w:tcPr>
          <w:p>
            <w:pPr>
              <w:pStyle w:val="TableParagraph"/>
              <w:spacing w:before="0"/>
              <w:rPr>
                <w:rFonts w:ascii="Times New Roman"/>
                <w:sz w:val="14"/>
              </w:rPr>
            </w:pPr>
          </w:p>
        </w:tc>
        <w:tc>
          <w:tcPr>
            <w:tcW w:w="1703" w:type="dxa"/>
            <w:shd w:val="clear" w:color="auto" w:fill="DF2528"/>
          </w:tcPr>
          <w:p>
            <w:pPr>
              <w:pStyle w:val="TableParagraph"/>
              <w:spacing w:before="0"/>
              <w:rPr>
                <w:rFonts w:ascii="Times New Roman"/>
                <w:sz w:val="14"/>
              </w:rPr>
            </w:pPr>
          </w:p>
        </w:tc>
        <w:tc>
          <w:tcPr>
            <w:tcW w:w="1702" w:type="dxa"/>
            <w:shd w:val="clear" w:color="auto" w:fill="DF2528"/>
          </w:tcPr>
          <w:p>
            <w:pPr>
              <w:pStyle w:val="TableParagraph"/>
              <w:spacing w:before="0"/>
              <w:rPr>
                <w:rFonts w:ascii="Times New Roman"/>
                <w:sz w:val="14"/>
              </w:rPr>
            </w:pPr>
          </w:p>
        </w:tc>
        <w:tc>
          <w:tcPr>
            <w:tcW w:w="1737" w:type="dxa"/>
            <w:shd w:val="clear" w:color="auto" w:fill="DF2528"/>
          </w:tcPr>
          <w:p>
            <w:pPr>
              <w:pStyle w:val="TableParagraph"/>
              <w:spacing w:before="0"/>
              <w:rPr>
                <w:rFonts w:ascii="Times New Roman"/>
                <w:sz w:val="14"/>
              </w:rPr>
            </w:pPr>
          </w:p>
        </w:tc>
      </w:tr>
      <w:tr>
        <w:trPr>
          <w:trHeight w:val="251" w:hRule="atLeast"/>
        </w:trPr>
        <w:tc>
          <w:tcPr>
            <w:tcW w:w="3458" w:type="dxa"/>
            <w:tcBorders>
              <w:top w:val="single" w:sz="4" w:space="0" w:color="DF2528"/>
              <w:bottom w:val="single" w:sz="4" w:space="0" w:color="DF2528"/>
            </w:tcBorders>
          </w:tcPr>
          <w:p>
            <w:pPr>
              <w:pStyle w:val="TableParagraph"/>
              <w:spacing w:before="41"/>
              <w:ind w:left="340"/>
              <w:rPr>
                <w:i/>
                <w:sz w:val="14"/>
              </w:rPr>
            </w:pPr>
            <w:r>
              <w:rPr>
                <w:i/>
                <w:color w:val="404040"/>
                <w:sz w:val="14"/>
              </w:rPr>
              <w:t>- Rest of Australian resident population</w:t>
            </w:r>
          </w:p>
        </w:tc>
        <w:tc>
          <w:tcPr>
            <w:tcW w:w="1134" w:type="dxa"/>
            <w:tcBorders>
              <w:top w:val="single" w:sz="4" w:space="0" w:color="DF2528"/>
              <w:bottom w:val="single" w:sz="4" w:space="0" w:color="DF2528"/>
            </w:tcBorders>
          </w:tcPr>
          <w:p>
            <w:pPr>
              <w:pStyle w:val="TableParagraph"/>
              <w:spacing w:before="41"/>
              <w:ind w:left="254" w:right="257"/>
              <w:jc w:val="center"/>
              <w:rPr>
                <w:sz w:val="14"/>
              </w:rPr>
            </w:pPr>
            <w:r>
              <w:rPr>
                <w:color w:val="404040"/>
                <w:sz w:val="14"/>
              </w:rPr>
              <w:t>64</w:t>
            </w:r>
          </w:p>
        </w:tc>
        <w:tc>
          <w:tcPr>
            <w:tcW w:w="1703" w:type="dxa"/>
            <w:tcBorders>
              <w:top w:val="single" w:sz="4" w:space="0" w:color="DF2528"/>
              <w:bottom w:val="single" w:sz="4" w:space="0" w:color="DF2528"/>
            </w:tcBorders>
          </w:tcPr>
          <w:p>
            <w:pPr>
              <w:pStyle w:val="TableParagraph"/>
              <w:spacing w:before="41"/>
              <w:ind w:left="203" w:right="203"/>
              <w:jc w:val="center"/>
              <w:rPr>
                <w:sz w:val="14"/>
              </w:rPr>
            </w:pPr>
            <w:r>
              <w:rPr>
                <w:color w:val="404040"/>
                <w:sz w:val="14"/>
              </w:rPr>
              <w:t>29%</w:t>
            </w:r>
          </w:p>
        </w:tc>
        <w:tc>
          <w:tcPr>
            <w:tcW w:w="1702" w:type="dxa"/>
            <w:tcBorders>
              <w:top w:val="single" w:sz="4" w:space="0" w:color="DF2528"/>
              <w:bottom w:val="single" w:sz="4" w:space="0" w:color="DF2528"/>
            </w:tcBorders>
          </w:tcPr>
          <w:p>
            <w:pPr>
              <w:pStyle w:val="TableParagraph"/>
              <w:spacing w:before="41"/>
              <w:ind w:left="688" w:right="689"/>
              <w:jc w:val="center"/>
              <w:rPr>
                <w:sz w:val="14"/>
              </w:rPr>
            </w:pPr>
            <w:r>
              <w:rPr>
                <w:color w:val="404040"/>
                <w:sz w:val="14"/>
              </w:rPr>
              <w:t>6%</w:t>
            </w:r>
          </w:p>
        </w:tc>
        <w:tc>
          <w:tcPr>
            <w:tcW w:w="1737" w:type="dxa"/>
            <w:tcBorders>
              <w:top w:val="single" w:sz="4" w:space="0" w:color="DF2528"/>
              <w:bottom w:val="single" w:sz="4" w:space="0" w:color="DF2528"/>
            </w:tcBorders>
          </w:tcPr>
          <w:p>
            <w:pPr>
              <w:pStyle w:val="TableParagraph"/>
              <w:spacing w:before="41"/>
              <w:ind w:left="710"/>
              <w:rPr>
                <w:sz w:val="14"/>
              </w:rPr>
            </w:pPr>
            <w:r>
              <w:rPr>
                <w:color w:val="404040"/>
                <w:sz w:val="14"/>
              </w:rPr>
              <w:t>65%</w:t>
            </w:r>
          </w:p>
        </w:tc>
      </w:tr>
      <w:tr>
        <w:trPr>
          <w:trHeight w:val="235" w:hRule="atLeast"/>
        </w:trPr>
        <w:tc>
          <w:tcPr>
            <w:tcW w:w="3458" w:type="dxa"/>
            <w:shd w:val="clear" w:color="auto" w:fill="DF2528"/>
          </w:tcPr>
          <w:p>
            <w:pPr>
              <w:pStyle w:val="TableParagraph"/>
              <w:spacing w:before="31"/>
              <w:ind w:left="112"/>
              <w:rPr>
                <w:sz w:val="14"/>
              </w:rPr>
            </w:pPr>
            <w:r>
              <w:rPr>
                <w:color w:val="FFFFFF"/>
                <w:sz w:val="14"/>
              </w:rPr>
              <w:t>Australian resident population</w:t>
            </w:r>
          </w:p>
        </w:tc>
        <w:tc>
          <w:tcPr>
            <w:tcW w:w="1134" w:type="dxa"/>
            <w:shd w:val="clear" w:color="auto" w:fill="DF2528"/>
          </w:tcPr>
          <w:p>
            <w:pPr>
              <w:pStyle w:val="TableParagraph"/>
              <w:spacing w:before="31"/>
              <w:ind w:left="254" w:right="257"/>
              <w:jc w:val="center"/>
              <w:rPr>
                <w:sz w:val="14"/>
              </w:rPr>
            </w:pPr>
            <w:r>
              <w:rPr>
                <w:color w:val="FFFFFF"/>
                <w:sz w:val="14"/>
              </w:rPr>
              <w:t>51</w:t>
            </w:r>
          </w:p>
        </w:tc>
        <w:tc>
          <w:tcPr>
            <w:tcW w:w="1703" w:type="dxa"/>
            <w:shd w:val="clear" w:color="auto" w:fill="DF2528"/>
          </w:tcPr>
          <w:p>
            <w:pPr>
              <w:pStyle w:val="TableParagraph"/>
              <w:spacing w:before="31"/>
              <w:ind w:left="203" w:right="203"/>
              <w:jc w:val="center"/>
              <w:rPr>
                <w:sz w:val="14"/>
              </w:rPr>
            </w:pPr>
            <w:r>
              <w:rPr>
                <w:color w:val="FFFFFF"/>
                <w:sz w:val="14"/>
              </w:rPr>
              <w:t>36%</w:t>
            </w:r>
          </w:p>
        </w:tc>
        <w:tc>
          <w:tcPr>
            <w:tcW w:w="1702" w:type="dxa"/>
            <w:shd w:val="clear" w:color="auto" w:fill="DF2528"/>
          </w:tcPr>
          <w:p>
            <w:pPr>
              <w:pStyle w:val="TableParagraph"/>
              <w:spacing w:before="31"/>
              <w:ind w:left="688" w:right="689"/>
              <w:jc w:val="center"/>
              <w:rPr>
                <w:sz w:val="14"/>
              </w:rPr>
            </w:pPr>
            <w:r>
              <w:rPr>
                <w:color w:val="FFFFFF"/>
                <w:sz w:val="14"/>
              </w:rPr>
              <w:t>6%</w:t>
            </w:r>
          </w:p>
        </w:tc>
        <w:tc>
          <w:tcPr>
            <w:tcW w:w="1737" w:type="dxa"/>
            <w:shd w:val="clear" w:color="auto" w:fill="DF2528"/>
          </w:tcPr>
          <w:p>
            <w:pPr>
              <w:pStyle w:val="TableParagraph"/>
              <w:spacing w:before="31"/>
              <w:ind w:left="710"/>
              <w:rPr>
                <w:sz w:val="14"/>
              </w:rPr>
            </w:pPr>
            <w:r>
              <w:rPr>
                <w:color w:val="FFFFFF"/>
                <w:sz w:val="14"/>
              </w:rPr>
              <w:t>58%</w:t>
            </w:r>
          </w:p>
        </w:tc>
      </w:tr>
    </w:tbl>
    <w:p>
      <w:pPr>
        <w:spacing w:before="90"/>
        <w:ind w:left="900" w:right="0" w:firstLine="0"/>
        <w:jc w:val="left"/>
        <w:rPr>
          <w:sz w:val="16"/>
        </w:rPr>
      </w:pPr>
      <w:r>
        <w:rPr>
          <w:color w:val="DF2F1E"/>
          <w:sz w:val="16"/>
        </w:rPr>
        <w:t>Note: Exited 4+ years refers to previous welfare recipients who have exited in the past 4 or more years</w:t>
      </w:r>
    </w:p>
    <w:p>
      <w:pPr>
        <w:pStyle w:val="BodyText"/>
        <w:spacing w:before="119"/>
        <w:ind w:left="900" w:right="1108"/>
      </w:pPr>
      <w:r>
        <w:rPr>
          <w:color w:val="404040"/>
        </w:rPr>
        <w:t>As can be seen current income support recipients are expected to spend a far greater proportion of their future lifetimes receiving income support, and this is especially so for recipients of Carer payment, Disability Support pension and, unsurprisingly, the Age Pension.</w:t>
      </w:r>
    </w:p>
    <w:p>
      <w:pPr>
        <w:pStyle w:val="BodyText"/>
        <w:spacing w:before="121"/>
        <w:ind w:left="899" w:right="1121"/>
      </w:pPr>
      <w:r>
        <w:rPr>
          <w:color w:val="404040"/>
        </w:rPr>
        <w:t>The expected future durations on income support for students and people in the non income support classes are similar and lower than for other income support recipients, but somewhat higher than those for people who have not received any welfare payments over the time period for which we have data.</w:t>
      </w:r>
    </w:p>
    <w:p>
      <w:pPr>
        <w:spacing w:after="0"/>
        <w:sectPr>
          <w:type w:val="continuous"/>
          <w:pgSz w:w="11910" w:h="16850"/>
          <w:pgMar w:top="1600" w:bottom="280" w:left="120" w:right="0"/>
        </w:sectPr>
      </w:pPr>
    </w:p>
    <w:p>
      <w:pPr>
        <w:pStyle w:val="BodyText"/>
      </w:pPr>
    </w:p>
    <w:p>
      <w:pPr>
        <w:pStyle w:val="BodyText"/>
      </w:pPr>
    </w:p>
    <w:p>
      <w:pPr>
        <w:pStyle w:val="BodyText"/>
      </w:pPr>
    </w:p>
    <w:p>
      <w:pPr>
        <w:pStyle w:val="BodyText"/>
        <w:spacing w:before="5"/>
        <w:rPr>
          <w:sz w:val="26"/>
        </w:rPr>
      </w:pPr>
    </w:p>
    <w:p>
      <w:pPr>
        <w:pStyle w:val="ListParagraph"/>
        <w:numPr>
          <w:ilvl w:val="1"/>
          <w:numId w:val="3"/>
        </w:numPr>
        <w:tabs>
          <w:tab w:pos="1751" w:val="left" w:leader="none"/>
          <w:tab w:pos="1752" w:val="left" w:leader="none"/>
        </w:tabs>
        <w:spacing w:line="240" w:lineRule="auto" w:before="89" w:after="0"/>
        <w:ind w:left="1751" w:right="0" w:hanging="852"/>
        <w:jc w:val="left"/>
        <w:rPr>
          <w:color w:val="DF2F1E"/>
          <w:sz w:val="32"/>
        </w:rPr>
      </w:pPr>
      <w:bookmarkStart w:name="4. Changes in overall lifetime cost" w:id="15"/>
      <w:bookmarkEnd w:id="15"/>
      <w:r>
        <w:rPr/>
      </w:r>
      <w:bookmarkStart w:name="4. Changes in overall lifetime cost" w:id="16"/>
      <w:bookmarkEnd w:id="16"/>
      <w:r>
        <w:rPr>
          <w:color w:val="DF2F1E"/>
          <w:sz w:val="32"/>
        </w:rPr>
        <w:t>Change</w:t>
      </w:r>
      <w:r>
        <w:rPr>
          <w:color w:val="DF2F1E"/>
          <w:sz w:val="32"/>
        </w:rPr>
        <w:t>s in overall lifetime</w:t>
      </w:r>
      <w:r>
        <w:rPr>
          <w:color w:val="DF2F1E"/>
          <w:spacing w:val="-3"/>
          <w:sz w:val="32"/>
        </w:rPr>
        <w:t> </w:t>
      </w:r>
      <w:r>
        <w:rPr>
          <w:color w:val="DF2F1E"/>
          <w:sz w:val="32"/>
        </w:rPr>
        <w:t>cost</w:t>
      </w:r>
    </w:p>
    <w:p>
      <w:pPr>
        <w:pStyle w:val="BodyText"/>
        <w:spacing w:before="123"/>
        <w:ind w:left="900" w:right="1025"/>
      </w:pPr>
      <w:r>
        <w:rPr>
          <w:color w:val="404040"/>
        </w:rPr>
        <w:t>When considering the change in lifetime cost, we have first rebased the June 2017 result to allow for the updated discount rate of 5% used for the June 2018 valuation (a decrease from the discount rate of 6% used for the June 2017 valuation). Rebasing increases the June 2017 lifetime cost by $1,617 billion, from $4,681 billion to $6,298 billion. This rebasing supports comparability of the June 2018 and June 2017 results; noting that the change in discount rate for this valuation is an external change which, although it significantly increases the lifetime cost, it does not impact projected cashflows and so is not relevant to the actual projected welfare costs.</w:t>
      </w:r>
    </w:p>
    <w:p>
      <w:pPr>
        <w:spacing w:line="229" w:lineRule="exact" w:before="119"/>
        <w:ind w:left="900" w:right="0" w:firstLine="0"/>
        <w:jc w:val="left"/>
        <w:rPr>
          <w:b/>
          <w:sz w:val="20"/>
        </w:rPr>
      </w:pPr>
      <w:r>
        <w:rPr>
          <w:color w:val="404040"/>
          <w:sz w:val="20"/>
        </w:rPr>
        <w:t>The total lifetime cost at 30 June 2018 is </w:t>
      </w:r>
      <w:r>
        <w:rPr>
          <w:b/>
          <w:color w:val="404040"/>
          <w:sz w:val="20"/>
        </w:rPr>
        <w:t>$5,662 billion</w:t>
      </w:r>
      <w:r>
        <w:rPr>
          <w:color w:val="404040"/>
          <w:sz w:val="20"/>
        </w:rPr>
        <w:t>. This is a </w:t>
      </w:r>
      <w:r>
        <w:rPr>
          <w:b/>
          <w:color w:val="404040"/>
          <w:sz w:val="20"/>
        </w:rPr>
        <w:t>significant decrease of approximately</w:t>
      </w:r>
    </w:p>
    <w:p>
      <w:pPr>
        <w:pStyle w:val="BodyText"/>
        <w:ind w:left="900" w:right="1086" w:hanging="1"/>
      </w:pPr>
      <w:r>
        <w:rPr>
          <w:b/>
          <w:color w:val="404040"/>
        </w:rPr>
        <w:t>$636 billion </w:t>
      </w:r>
      <w:r>
        <w:rPr>
          <w:color w:val="404040"/>
        </w:rPr>
        <w:t>compared to the rebased June 2017 results. This is a large decrease, and in particular, it reflects an update of assumptions which allow for significant decreases in entries and decreases in persistency of payments seen over the last year. This decrease also reflects the impact of growth in population, inflation, model refinements to account for policy changes, and changes to the forecast Age Pension utilisation following a review of experience and other relevant external factors such as changes in superannuation.</w:t>
      </w:r>
    </w:p>
    <w:p>
      <w:pPr>
        <w:pStyle w:val="BodyText"/>
        <w:spacing w:before="124"/>
        <w:ind w:left="900" w:right="1565"/>
      </w:pPr>
      <w:r>
        <w:rPr>
          <w:color w:val="404040"/>
        </w:rPr>
        <w:t>The following chart provides a detailed breakdown of the movement in the total lifetime cost. Each item of movement is discussed in turn below.</w:t>
      </w:r>
    </w:p>
    <w:p>
      <w:pPr>
        <w:pStyle w:val="Heading9"/>
        <w:spacing w:before="174"/>
      </w:pPr>
      <w:r>
        <w:rPr>
          <w:color w:val="DF2F1E"/>
        </w:rPr>
        <w:t>Figure 4: Explanation of change in lifetime cost (relative to June 2017-rebased)</w:t>
      </w:r>
    </w:p>
    <w:p>
      <w:pPr>
        <w:pStyle w:val="BodyText"/>
        <w:spacing w:before="7"/>
        <w:rPr>
          <w:b/>
          <w:sz w:val="10"/>
        </w:rPr>
      </w:pPr>
    </w:p>
    <w:p>
      <w:pPr>
        <w:tabs>
          <w:tab w:pos="10770" w:val="left" w:leader="none"/>
        </w:tabs>
        <w:spacing w:before="0"/>
        <w:ind w:left="1284" w:right="0" w:firstLine="0"/>
        <w:jc w:val="left"/>
        <w:rPr>
          <w:rFonts w:ascii="Calibri"/>
          <w:sz w:val="10"/>
        </w:rPr>
      </w:pPr>
      <w:r>
        <w:rPr>
          <w:rFonts w:ascii="Calibri"/>
          <w:w w:val="105"/>
          <w:sz w:val="10"/>
        </w:rPr>
        <w:t>+$400bn</w:t>
      </w:r>
      <w:r>
        <w:rPr>
          <w:rFonts w:ascii="Calibri"/>
          <w:sz w:val="10"/>
        </w:rPr>
        <w:t>   </w:t>
      </w:r>
      <w:r>
        <w:rPr>
          <w:rFonts w:ascii="Calibri"/>
          <w:spacing w:val="8"/>
          <w:sz w:val="10"/>
        </w:rPr>
        <w:t> </w:t>
      </w:r>
      <w:r>
        <w:rPr>
          <w:rFonts w:ascii="Calibri"/>
          <w:w w:val="107"/>
          <w:sz w:val="10"/>
          <w:u w:val="single" w:color="D9D9D9"/>
        </w:rPr>
        <w:t> </w:t>
      </w:r>
      <w:r>
        <w:rPr>
          <w:rFonts w:ascii="Calibri"/>
          <w:sz w:val="10"/>
          <w:u w:val="single" w:color="D9D9D9"/>
        </w:rPr>
        <w:tab/>
      </w:r>
    </w:p>
    <w:p>
      <w:pPr>
        <w:pStyle w:val="BodyText"/>
        <w:spacing w:before="7"/>
        <w:rPr>
          <w:rFonts w:ascii="Calibri"/>
          <w:sz w:val="10"/>
        </w:rPr>
      </w:pPr>
    </w:p>
    <w:p>
      <w:pPr>
        <w:spacing w:before="85"/>
        <w:ind w:left="1284" w:right="0" w:firstLine="0"/>
        <w:jc w:val="left"/>
        <w:rPr>
          <w:rFonts w:ascii="Calibri"/>
          <w:sz w:val="10"/>
        </w:rPr>
      </w:pPr>
      <w:r>
        <w:rPr/>
        <w:pict>
          <v:group style="position:absolute;margin-left:94.263412pt;margin-top:-2.044366pt;width:450.45pt;height:167.15pt;mso-position-horizontal-relative:page;mso-position-vertical-relative:paragraph;z-index:251703296" coordorigin="1885,-41" coordsize="9009,3343">
            <v:shape style="position:absolute;left:6911;top:1493;width:3979;height:1679" coordorigin="6911,1493" coordsize="3979,1679" path="m10666,3172l10890,3172m9916,3172l10365,3172m10666,2837l10890,2837m9167,2837l10365,2837m10666,2503l10890,2503m6911,2503l10365,2503m10666,2169l10890,2169m6911,2169l10365,2169m10666,1828l10890,1828m6911,1828l10365,1828m10666,1493l10890,1493m6911,1493l10365,1493e" filled="false" stroked="true" strokeweight=".334291pt" strokecolor="#d9d9d9">
              <v:path arrowok="t"/>
              <v:stroke dashstyle="solid"/>
            </v:shape>
            <v:rect style="position:absolute;left:10364;top:1155;width:302;height:2140" filled="true" fillcolor="#bebebe" stroked="false">
              <v:fill type="solid"/>
            </v:rect>
            <v:shape style="position:absolute;left:1888;top:824;width:9002;height:1679" coordorigin="1889,825" coordsize="9002,1679" path="m1889,2503l6617,2503m1889,2169l6617,2169m1889,1828l6617,1828m1889,1493l6617,1493m6162,825l10890,825m2414,825l5861,825m1889,825l2113,825e" filled="false" stroked="true" strokeweight=".334291pt" strokecolor="#d9d9d9">
              <v:path arrowok="t"/>
              <v:stroke dashstyle="solid"/>
            </v:shape>
            <v:rect style="position:absolute;left:2112;top:741;width:302;height:415" filled="true" fillcolor="#e6b8b8" stroked="false">
              <v:fill type="solid"/>
            </v:rect>
            <v:shape style="position:absolute;left:1888;top:149;width:3973;height:335" coordorigin="1889,150" coordsize="3973,335" path="m3164,484l5861,484m1889,484l2862,484m3164,150l5111,150m1889,150l2862,150e" filled="false" stroked="true" strokeweight=".334291pt" strokecolor="#d9d9d9">
              <v:path arrowok="t"/>
              <v:stroke dashstyle="solid"/>
            </v:shape>
            <v:rect style="position:absolute;left:2862;top:-35;width:302;height:776" filled="true" fillcolor="#e6b8b8" stroked="false">
              <v:fill type="solid"/>
            </v:rect>
            <v:line style="position:absolute" from="3612,-28" to="3913,-28" stroked="true" strokeweight=".668575pt" strokecolor="#c3d59b">
              <v:stroke dashstyle="solid"/>
            </v:line>
            <v:line style="position:absolute" from="4362,36" to="4663,36" stroked="true" strokeweight="5.682906pt" strokecolor="#c3d59b">
              <v:stroke dashstyle="solid"/>
            </v:line>
            <v:line style="position:absolute" from="5412,150" to="10890,150" stroked="true" strokeweight=".334291pt" strokecolor="#d9d9d9">
              <v:stroke dashstyle="solid"/>
            </v:line>
            <v:rect style="position:absolute;left:5111;top:92;width:302;height:388" filled="true" fillcolor="#c3d59b" stroked="false">
              <v:fill type="solid"/>
            </v:rect>
            <v:line style="position:absolute" from="6162,484" to="10890,484" stroked="true" strokeweight=".334291pt" strokecolor="#d9d9d9">
              <v:stroke dashstyle="solid"/>
            </v:line>
            <v:rect style="position:absolute;left:5860;top:480;width:302;height:676" filled="true" fillcolor="#c3d59b" stroked="false">
              <v:fill type="solid"/>
            </v:rect>
            <v:rect style="position:absolute;left:5860;top:1155;width:302;height:67" filled="true" fillcolor="#c3d59b" stroked="false">
              <v:fill type="solid"/>
            </v:rect>
            <v:rect style="position:absolute;left:6616;top:1222;width:295;height:1304" filled="true" fillcolor="#c3d59b" stroked="false">
              <v:fill type="solid"/>
            </v:rect>
            <v:line style="position:absolute" from="7367,2593" to="7668,2593" stroked="true" strokeweight="6.68575pt" strokecolor="#c3d59b">
              <v:stroke dashstyle="solid"/>
            </v:line>
            <v:line style="position:absolute" from="1889,2837" to="8866,2837" stroked="true" strokeweight=".334291pt" strokecolor="#d9d9d9">
              <v:stroke dashstyle="solid"/>
            </v:line>
            <v:line style="position:absolute" from="8116,2727" to="8417,2727" stroked="true" strokeweight="6.68575pt" strokecolor="#c3d59b">
              <v:stroke dashstyle="solid"/>
            </v:line>
            <v:rect style="position:absolute;left:8865;top:2793;width:302;height:181" filled="true" fillcolor="#c3d59b" stroked="false">
              <v:fill type="solid"/>
            </v:rect>
            <v:line style="position:absolute" from="1889,3172" to="9615,3172" stroked="true" strokeweight=".334291pt" strokecolor="#d9d9d9">
              <v:stroke dashstyle="solid"/>
            </v:line>
            <v:rect style="position:absolute;left:9615;top:2974;width:302;height:321" filled="true" fillcolor="#c3d59b" stroked="false">
              <v:fill type="solid"/>
            </v:rect>
            <v:line style="position:absolute" from="1889,1159" to="10890,1159" stroked="true" strokeweight=".334294pt" strokecolor="#d9d9d9">
              <v:stroke dashstyle="solid"/>
            </v:line>
            <v:shape style="position:absolute;left:0;top:7956;width:629540;height:2341" coordorigin="0,7956" coordsize="629540,2341" path="m1889,1159l1889,1193m2638,1159l2638,1193m3388,1159l3388,1193m4137,1159l4137,1193m4887,1159l4887,1193m5636,1159l5636,1193m6386,1159l6386,1193m7142,1159l7142,1193m7892,1159l7892,1193m8641,1159l8641,1193m9391,1159l9391,1193m10141,1159l10141,1193m10890,1159l10890,1193e" filled="false" stroked="true" strokeweight=".33446pt" strokecolor="#d9d9d9">
              <v:path arrowok="t"/>
              <v:stroke dashstyle="solid"/>
            </v:shape>
            <v:shape style="position:absolute;left:0;top:10296;width:636896;height:137900" coordorigin="0,10297" coordsize="636896,137900" path="m2263,745l3013,745m4512,96l5262,96e" filled="false" stroked="true" strokeweight="1.003376pt" strokecolor="#bebebe">
              <v:path arrowok="t"/>
              <v:stroke dashstyle="solid"/>
            </v:shape>
            <v:shape style="position:absolute;left:0;top:-98561;width:641685;height:108858" coordorigin="0,-98560" coordsize="641685,108858" path="m3013,-31l3763,-31m5262,477l6011,477e" filled="false" stroked="true" strokeweight="1.003382pt" strokecolor="#bebebe">
              <v:path arrowok="t"/>
              <v:stroke dashstyle="solid"/>
            </v:shape>
            <v:line style="position:absolute" from="3763,-17" to="4512,-17" stroked="true" strokeweight="1.002896pt" strokecolor="#bebebe">
              <v:stroke dashstyle="solid"/>
            </v:line>
            <v:shape style="position:absolute;left:0;top:-86397;width:647989;height:96694" coordorigin="0,-86396" coordsize="647989,96694" path="m6761,2523l7517,2523m9016,2971l9766,2971e" filled="false" stroked="true" strokeweight="1.003371pt" strokecolor="#bebebe">
              <v:path arrowok="t"/>
              <v:stroke dashstyle="solid"/>
            </v:shape>
            <v:shape style="position:absolute;left:0;top:-124760;width:636896;height:135056" coordorigin="0,-124759" coordsize="636896,135056" path="m7517,2657l8267,2657m9766,3292l10515,3292e" filled="false" stroked="true" strokeweight="1.003376pt" strokecolor="#bebebe">
              <v:path arrowok="t"/>
              <v:stroke dashstyle="solid"/>
            </v:shape>
            <v:shape style="position:absolute;left:0;top:-290900;width:577936;height:301196" coordorigin="0,-290899" coordsize="577936,301196" path="m6011,1226l6761,1226m8267,2791l9016,2791e" filled="false" stroked="true" strokeweight="1.003377pt" strokecolor="#bebebe">
              <v:path arrowok="t"/>
              <v:stroke dashstyle="solid"/>
            </v:shape>
            <v:line style="position:absolute" from="5881,1136" to="6160,1136" stroked="true" strokeweight="1.14987pt" strokecolor="#c3d59b">
              <v:stroke dashstyle="solid"/>
            </v:line>
            <w10:wrap type="none"/>
          </v:group>
        </w:pict>
      </w:r>
      <w:r>
        <w:rPr>
          <w:rFonts w:ascii="Calibri"/>
          <w:w w:val="105"/>
          <w:sz w:val="10"/>
        </w:rPr>
        <w:t>+$300bn</w:t>
      </w:r>
    </w:p>
    <w:p>
      <w:pPr>
        <w:pStyle w:val="BodyText"/>
        <w:spacing w:before="7"/>
        <w:rPr>
          <w:rFonts w:ascii="Calibri"/>
          <w:sz w:val="10"/>
        </w:rPr>
      </w:pPr>
    </w:p>
    <w:p>
      <w:pPr>
        <w:spacing w:before="85"/>
        <w:ind w:left="1284" w:right="0" w:firstLine="0"/>
        <w:jc w:val="left"/>
        <w:rPr>
          <w:rFonts w:ascii="Calibri"/>
          <w:sz w:val="10"/>
        </w:rPr>
      </w:pPr>
      <w:r>
        <w:rPr>
          <w:rFonts w:ascii="Calibri"/>
          <w:w w:val="105"/>
          <w:sz w:val="10"/>
        </w:rPr>
        <w:t>+$200bn</w:t>
      </w:r>
    </w:p>
    <w:p>
      <w:pPr>
        <w:pStyle w:val="BodyText"/>
        <w:spacing w:before="6"/>
        <w:rPr>
          <w:rFonts w:ascii="Calibri"/>
          <w:sz w:val="10"/>
        </w:rPr>
      </w:pPr>
    </w:p>
    <w:p>
      <w:pPr>
        <w:spacing w:before="85"/>
        <w:ind w:left="1284" w:right="0" w:firstLine="0"/>
        <w:jc w:val="left"/>
        <w:rPr>
          <w:rFonts w:ascii="Calibri"/>
          <w:sz w:val="10"/>
        </w:rPr>
      </w:pPr>
      <w:r>
        <w:rPr>
          <w:rFonts w:ascii="Calibri"/>
          <w:w w:val="105"/>
          <w:sz w:val="10"/>
        </w:rPr>
        <w:t>+$100bn</w:t>
      </w:r>
    </w:p>
    <w:p>
      <w:pPr>
        <w:pStyle w:val="BodyText"/>
        <w:spacing w:before="7"/>
        <w:rPr>
          <w:rFonts w:ascii="Calibri"/>
          <w:sz w:val="10"/>
        </w:rPr>
      </w:pPr>
    </w:p>
    <w:p>
      <w:pPr>
        <w:spacing w:before="85"/>
        <w:ind w:left="1635" w:right="0" w:firstLine="0"/>
        <w:jc w:val="left"/>
        <w:rPr>
          <w:rFonts w:ascii="Calibri"/>
          <w:sz w:val="10"/>
        </w:rPr>
      </w:pPr>
      <w:r>
        <w:rPr>
          <w:rFonts w:ascii="Calibri"/>
          <w:w w:val="107"/>
          <w:sz w:val="10"/>
        </w:rPr>
        <w:t>-</w:t>
      </w:r>
    </w:p>
    <w:p>
      <w:pPr>
        <w:pStyle w:val="BodyText"/>
        <w:spacing w:before="7"/>
        <w:rPr>
          <w:rFonts w:ascii="Calibri"/>
          <w:sz w:val="10"/>
        </w:rPr>
      </w:pPr>
    </w:p>
    <w:p>
      <w:pPr>
        <w:spacing w:before="85"/>
        <w:ind w:left="1305" w:right="0" w:firstLine="0"/>
        <w:jc w:val="left"/>
        <w:rPr>
          <w:rFonts w:ascii="Calibri"/>
          <w:sz w:val="10"/>
        </w:rPr>
      </w:pPr>
      <w:r>
        <w:rPr>
          <w:rFonts w:ascii="Calibri"/>
          <w:w w:val="105"/>
          <w:sz w:val="10"/>
        </w:rPr>
        <w:t>-$100bn</w:t>
      </w:r>
    </w:p>
    <w:p>
      <w:pPr>
        <w:pStyle w:val="BodyText"/>
        <w:spacing w:before="6"/>
        <w:rPr>
          <w:rFonts w:ascii="Calibri"/>
          <w:sz w:val="10"/>
        </w:rPr>
      </w:pPr>
    </w:p>
    <w:p>
      <w:pPr>
        <w:spacing w:before="86"/>
        <w:ind w:left="1305" w:right="0" w:firstLine="0"/>
        <w:jc w:val="left"/>
        <w:rPr>
          <w:rFonts w:ascii="Calibri"/>
          <w:sz w:val="10"/>
        </w:rPr>
      </w:pPr>
      <w:r>
        <w:rPr>
          <w:rFonts w:ascii="Calibri"/>
          <w:w w:val="105"/>
          <w:sz w:val="10"/>
        </w:rPr>
        <w:t>-$200bn</w:t>
      </w:r>
    </w:p>
    <w:p>
      <w:pPr>
        <w:pStyle w:val="BodyText"/>
        <w:spacing w:before="6"/>
        <w:rPr>
          <w:rFonts w:ascii="Calibri"/>
          <w:sz w:val="10"/>
        </w:rPr>
      </w:pPr>
    </w:p>
    <w:p>
      <w:pPr>
        <w:spacing w:before="85"/>
        <w:ind w:left="1305" w:right="0" w:firstLine="0"/>
        <w:jc w:val="left"/>
        <w:rPr>
          <w:rFonts w:ascii="Calibri"/>
          <w:sz w:val="10"/>
        </w:rPr>
      </w:pPr>
      <w:r>
        <w:rPr>
          <w:rFonts w:ascii="Calibri"/>
          <w:w w:val="105"/>
          <w:sz w:val="10"/>
        </w:rPr>
        <w:t>-$300bn</w:t>
      </w:r>
    </w:p>
    <w:p>
      <w:pPr>
        <w:pStyle w:val="BodyText"/>
        <w:spacing w:before="7"/>
        <w:rPr>
          <w:rFonts w:ascii="Calibri"/>
          <w:sz w:val="10"/>
        </w:rPr>
      </w:pPr>
    </w:p>
    <w:p>
      <w:pPr>
        <w:spacing w:before="85"/>
        <w:ind w:left="1305" w:right="0" w:firstLine="0"/>
        <w:jc w:val="left"/>
        <w:rPr>
          <w:rFonts w:ascii="Calibri"/>
          <w:sz w:val="10"/>
        </w:rPr>
      </w:pPr>
      <w:r>
        <w:rPr>
          <w:rFonts w:ascii="Calibri"/>
          <w:w w:val="105"/>
          <w:sz w:val="10"/>
        </w:rPr>
        <w:t>-$400bn</w:t>
      </w:r>
    </w:p>
    <w:p>
      <w:pPr>
        <w:pStyle w:val="BodyText"/>
        <w:spacing w:before="7"/>
        <w:rPr>
          <w:rFonts w:ascii="Calibri"/>
          <w:sz w:val="10"/>
        </w:rPr>
      </w:pPr>
    </w:p>
    <w:p>
      <w:pPr>
        <w:spacing w:before="85"/>
        <w:ind w:left="1305" w:right="0" w:firstLine="0"/>
        <w:jc w:val="left"/>
        <w:rPr>
          <w:rFonts w:ascii="Calibri"/>
          <w:sz w:val="10"/>
        </w:rPr>
      </w:pPr>
      <w:r>
        <w:rPr>
          <w:rFonts w:ascii="Calibri"/>
          <w:w w:val="105"/>
          <w:sz w:val="10"/>
        </w:rPr>
        <w:t>-$500bn</w:t>
      </w:r>
    </w:p>
    <w:p>
      <w:pPr>
        <w:pStyle w:val="BodyText"/>
        <w:spacing w:before="6"/>
        <w:rPr>
          <w:rFonts w:ascii="Calibri"/>
          <w:sz w:val="10"/>
        </w:rPr>
      </w:pPr>
    </w:p>
    <w:p>
      <w:pPr>
        <w:spacing w:before="86"/>
        <w:ind w:left="1305" w:right="0" w:firstLine="0"/>
        <w:jc w:val="left"/>
        <w:rPr>
          <w:rFonts w:ascii="Calibri"/>
          <w:sz w:val="10"/>
        </w:rPr>
      </w:pPr>
      <w:r>
        <w:rPr>
          <w:rFonts w:ascii="Calibri"/>
          <w:w w:val="105"/>
          <w:sz w:val="10"/>
        </w:rPr>
        <w:t>-$600bn</w:t>
      </w:r>
    </w:p>
    <w:p>
      <w:pPr>
        <w:pStyle w:val="BodyText"/>
        <w:spacing w:before="6"/>
        <w:rPr>
          <w:rFonts w:ascii="Calibri"/>
          <w:sz w:val="10"/>
        </w:rPr>
      </w:pPr>
    </w:p>
    <w:p>
      <w:pPr>
        <w:spacing w:before="85"/>
        <w:ind w:left="1305" w:right="0" w:firstLine="0"/>
        <w:jc w:val="left"/>
        <w:rPr>
          <w:rFonts w:ascii="Calibri"/>
          <w:sz w:val="10"/>
        </w:rPr>
      </w:pPr>
      <w:r>
        <w:rPr/>
        <w:pict>
          <v:group style="position:absolute;margin-left:94.263412pt;margin-top:7.52173pt;width:450.45pt;height:45.5pt;mso-position-horizontal-relative:page;mso-position-vertical-relative:paragraph;z-index:251702272" coordorigin="1885,150" coordsize="9009,910">
            <v:line style="position:absolute" from="1889,154" to="10890,154" stroked="true" strokeweight=".334291pt" strokecolor="#d9d9d9">
              <v:stroke dashstyle="solid"/>
            </v:line>
            <v:shape style="position:absolute;left:0;top:-171861;width:629540;height:14042" coordorigin="0,-171861" coordsize="629540,14042" path="m1889,154l1889,354m2638,154l2638,354m3388,154l3388,354m4137,154l4137,354m4887,154l4887,354m5636,154l5636,354m6386,154l6386,354m7142,154l7142,354m7892,154l7892,354m8641,154l8641,354m9391,154l9391,354m10141,154l10141,354m10890,154l10890,354e" filled="false" stroked="true" strokeweight=".33446pt" strokecolor="#d9d9d9">
              <v:path arrowok="t"/>
              <v:stroke dashstyle="solid"/>
            </v:shape>
            <v:shape style="position:absolute;left:0;top:-27080;width:653629;height:34018" coordorigin="0,-27080" coordsize="653629,34018" path="m1889,354l1889,822m2638,354l2638,822m3388,354l3388,822m4137,354l4137,822m4887,354l4887,822m5637,354l5637,822m6386,354l6386,822m7142,354l7142,822m7892,354l7892,822m8642,354l8642,822m9391,354l9391,822m10141,354l10141,822m10890,354l10890,822e" filled="false" stroked="true" strokeweight=".334455pt" strokecolor="#d9d9d9">
              <v:path arrowok="t"/>
              <v:stroke dashstyle="solid"/>
            </v:shape>
            <v:shape style="position:absolute;left:0;top:-8128;width:653629;height:15066" coordorigin="0,-8127" coordsize="653629,15066" path="m1889,822l1889,1030m3388,822l3388,1030m4137,822l4137,1030m10141,822l10141,1030m10890,822l10890,1030e" filled="false" stroked="true" strokeweight=".334455pt" strokecolor="#d9d9d9">
              <v:path arrowok="t"/>
              <v:stroke dashstyle="solid"/>
            </v:shape>
            <v:shape style="position:absolute;left:1925;top:819;width:8935;height:241" coordorigin="1925,819" coordsize="8935,241" path="m3344,859l3341,844,3332,831,3320,822,3304,819,1966,819,1950,822,1937,831,1929,844,1925,859,1925,1020,1929,1035,1937,1048,1950,1057,1966,1060,3304,1060,3320,1057,3332,1048,3341,1035,3344,1020,3344,859m4127,859l4124,844,4116,831,4103,822,4087,819,3451,819,3436,822,3423,831,3414,844,3411,859,3411,1020,3414,1035,3423,1048,3436,1057,3451,1060,4087,1060,4103,1057,4116,1048,4124,1035,4127,1020,4127,859m10104,859l10101,844,10092,831,10079,822,10064,819,4208,819,4192,822,4179,831,4171,844,4167,859,4167,1020,4171,1035,4179,1048,4192,1057,4208,1060,10064,1060,10079,1057,10092,1048,10101,1035,10104,1020,10104,859m10860,859l10857,844,10848,831,10836,822,10820,819,10238,819,10222,822,10209,831,10201,844,10198,859,10198,1020,10201,1035,10209,1048,10222,1057,10238,1060,10820,1060,10836,1057,10848,1048,10857,1035,10860,1020,10860,859e" filled="true" fillcolor="#a6a6a6" stroked="false">
              <v:path arrowok="t"/>
              <v:fill opacity="29555f" type="solid"/>
            </v:shape>
            <v:shape style="position:absolute;left:1996;top:239;width:553;height:574" type="#_x0000_t202" filled="false" stroked="false">
              <v:textbox inset="0,0,0,0">
                <w:txbxContent>
                  <w:p>
                    <w:pPr>
                      <w:spacing w:line="107" w:lineRule="exact" w:before="0"/>
                      <w:ind w:left="60" w:right="76" w:firstLine="0"/>
                      <w:jc w:val="center"/>
                      <w:rPr>
                        <w:rFonts w:ascii="Calibri"/>
                        <w:sz w:val="10"/>
                      </w:rPr>
                    </w:pPr>
                    <w:r>
                      <w:rPr>
                        <w:rFonts w:ascii="Calibri"/>
                        <w:w w:val="105"/>
                        <w:sz w:val="10"/>
                      </w:rPr>
                      <w:t>+$124bn</w:t>
                    </w:r>
                  </w:p>
                  <w:p>
                    <w:pPr>
                      <w:spacing w:line="256" w:lineRule="auto" w:before="83"/>
                      <w:ind w:left="-1" w:right="18" w:hanging="2"/>
                      <w:jc w:val="center"/>
                      <w:rPr>
                        <w:rFonts w:ascii="Calibri"/>
                        <w:sz w:val="10"/>
                      </w:rPr>
                    </w:pPr>
                    <w:r>
                      <w:rPr>
                        <w:rFonts w:ascii="Calibri"/>
                        <w:w w:val="105"/>
                        <w:sz w:val="10"/>
                      </w:rPr>
                      <w:t>Population growth </w:t>
                    </w:r>
                    <w:r>
                      <w:rPr>
                        <w:rFonts w:ascii="Calibri"/>
                        <w:spacing w:val="-4"/>
                        <w:w w:val="105"/>
                        <w:sz w:val="10"/>
                      </w:rPr>
                      <w:t>over </w:t>
                    </w:r>
                    <w:r>
                      <w:rPr>
                        <w:rFonts w:ascii="Calibri"/>
                        <w:w w:val="105"/>
                        <w:sz w:val="10"/>
                      </w:rPr>
                      <w:t>FY17/18</w:t>
                    </w:r>
                  </w:p>
                </w:txbxContent>
              </v:textbox>
              <w10:wrap type="none"/>
            </v:shape>
            <v:shape style="position:absolute;left:2813;top:239;width:418;height:443" type="#_x0000_t202" filled="false" stroked="false">
              <v:textbox inset="0,0,0,0">
                <w:txbxContent>
                  <w:p>
                    <w:pPr>
                      <w:spacing w:line="107" w:lineRule="exact" w:before="0"/>
                      <w:ind w:left="8" w:right="0" w:firstLine="0"/>
                      <w:jc w:val="left"/>
                      <w:rPr>
                        <w:rFonts w:ascii="Calibri"/>
                        <w:sz w:val="10"/>
                      </w:rPr>
                    </w:pPr>
                    <w:r>
                      <w:rPr>
                        <w:rFonts w:ascii="Calibri"/>
                        <w:w w:val="105"/>
                        <w:sz w:val="10"/>
                      </w:rPr>
                      <w:t>+$230bn</w:t>
                    </w:r>
                  </w:p>
                  <w:p>
                    <w:pPr>
                      <w:spacing w:line="256" w:lineRule="auto" w:before="83"/>
                      <w:ind w:left="18" w:right="7" w:hanging="19"/>
                      <w:jc w:val="left"/>
                      <w:rPr>
                        <w:rFonts w:ascii="Calibri"/>
                        <w:sz w:val="10"/>
                      </w:rPr>
                    </w:pPr>
                    <w:r>
                      <w:rPr>
                        <w:rFonts w:ascii="Calibri"/>
                        <w:w w:val="105"/>
                        <w:sz w:val="10"/>
                      </w:rPr>
                      <w:t>Expected inflation</w:t>
                    </w:r>
                  </w:p>
                </w:txbxContent>
              </v:textbox>
              <w10:wrap type="none"/>
            </v:shape>
            <v:shape style="position:absolute;left:3636;top:239;width:278;height:107" type="#_x0000_t202" filled="false" stroked="false">
              <v:textbox inset="0,0,0,0">
                <w:txbxContent>
                  <w:p>
                    <w:pPr>
                      <w:spacing w:line="107" w:lineRule="exact" w:before="0"/>
                      <w:ind w:left="0" w:right="0" w:firstLine="0"/>
                      <w:jc w:val="left"/>
                      <w:rPr>
                        <w:rFonts w:ascii="Calibri"/>
                        <w:sz w:val="10"/>
                      </w:rPr>
                    </w:pPr>
                    <w:r>
                      <w:rPr>
                        <w:rFonts w:ascii="Calibri"/>
                        <w:w w:val="105"/>
                        <w:sz w:val="10"/>
                      </w:rPr>
                      <w:t>-$4bn</w:t>
                    </w:r>
                  </w:p>
                </w:txbxContent>
              </v:textbox>
              <w10:wrap type="none"/>
            </v:shape>
            <v:shape style="position:absolute;left:4359;top:239;width:331;height:107" type="#_x0000_t202" filled="false" stroked="false">
              <v:textbox inset="0,0,0,0">
                <w:txbxContent>
                  <w:p>
                    <w:pPr>
                      <w:spacing w:line="107" w:lineRule="exact" w:before="0"/>
                      <w:ind w:left="0" w:right="0" w:firstLine="0"/>
                      <w:jc w:val="left"/>
                      <w:rPr>
                        <w:rFonts w:ascii="Calibri"/>
                        <w:sz w:val="10"/>
                      </w:rPr>
                    </w:pPr>
                    <w:r>
                      <w:rPr>
                        <w:rFonts w:ascii="Calibri"/>
                        <w:w w:val="105"/>
                        <w:sz w:val="10"/>
                      </w:rPr>
                      <w:t>-$34bn</w:t>
                    </w:r>
                  </w:p>
                </w:txbxContent>
              </v:textbox>
              <w10:wrap type="none"/>
            </v:shape>
            <v:shape style="position:absolute;left:4244;top:574;width:561;height:238" type="#_x0000_t202" filled="false" stroked="false">
              <v:textbox inset="0,0,0,0">
                <w:txbxContent>
                  <w:p>
                    <w:pPr>
                      <w:spacing w:line="107" w:lineRule="exact" w:before="0"/>
                      <w:ind w:left="0" w:right="0" w:firstLine="0"/>
                      <w:jc w:val="left"/>
                      <w:rPr>
                        <w:rFonts w:ascii="Calibri"/>
                        <w:sz w:val="10"/>
                      </w:rPr>
                    </w:pPr>
                    <w:r>
                      <w:rPr>
                        <w:rFonts w:ascii="Calibri"/>
                        <w:w w:val="105"/>
                        <w:sz w:val="10"/>
                      </w:rPr>
                      <w:t>utilisation in</w:t>
                    </w:r>
                  </w:p>
                  <w:p>
                    <w:pPr>
                      <w:spacing w:before="8"/>
                      <w:ind w:left="88" w:right="0" w:firstLine="0"/>
                      <w:jc w:val="left"/>
                      <w:rPr>
                        <w:rFonts w:ascii="Calibri"/>
                        <w:sz w:val="10"/>
                      </w:rPr>
                    </w:pPr>
                    <w:r>
                      <w:rPr>
                        <w:rFonts w:ascii="Calibri"/>
                        <w:w w:val="105"/>
                        <w:sz w:val="10"/>
                      </w:rPr>
                      <w:t>FY17/18</w:t>
                    </w:r>
                  </w:p>
                </w:txbxContent>
              </v:textbox>
              <w10:wrap type="none"/>
            </v:shape>
            <v:shape style="position:absolute;left:4933;top:239;width:682;height:574" type="#_x0000_t202" filled="false" stroked="false">
              <v:textbox inset="0,0,0,0">
                <w:txbxContent>
                  <w:p>
                    <w:pPr>
                      <w:spacing w:line="107" w:lineRule="exact" w:before="0"/>
                      <w:ind w:left="134" w:right="151" w:firstLine="0"/>
                      <w:jc w:val="center"/>
                      <w:rPr>
                        <w:rFonts w:ascii="Calibri"/>
                        <w:sz w:val="10"/>
                      </w:rPr>
                    </w:pPr>
                    <w:r>
                      <w:rPr>
                        <w:rFonts w:ascii="Calibri"/>
                        <w:w w:val="105"/>
                        <w:sz w:val="10"/>
                      </w:rPr>
                      <w:t>-$114bn</w:t>
                    </w:r>
                  </w:p>
                  <w:p>
                    <w:pPr>
                      <w:spacing w:line="256" w:lineRule="auto" w:before="83"/>
                      <w:ind w:left="0" w:right="18" w:hanging="5"/>
                      <w:jc w:val="center"/>
                      <w:rPr>
                        <w:rFonts w:ascii="Calibri"/>
                        <w:sz w:val="10"/>
                      </w:rPr>
                    </w:pPr>
                    <w:r>
                      <w:rPr>
                        <w:rFonts w:ascii="Calibri"/>
                        <w:w w:val="105"/>
                        <w:sz w:val="10"/>
                      </w:rPr>
                      <w:t>Lower future entries into welfare system</w:t>
                    </w:r>
                  </w:p>
                </w:txbxContent>
              </v:textbox>
              <w10:wrap type="none"/>
            </v:shape>
            <v:shape style="position:absolute;left:5832;top:239;width:385;height:107" type="#_x0000_t202" filled="false" stroked="false">
              <v:textbox inset="0,0,0,0">
                <w:txbxContent>
                  <w:p>
                    <w:pPr>
                      <w:spacing w:line="107" w:lineRule="exact" w:before="0"/>
                      <w:ind w:left="0" w:right="0" w:firstLine="0"/>
                      <w:jc w:val="left"/>
                      <w:rPr>
                        <w:rFonts w:ascii="Calibri"/>
                        <w:sz w:val="10"/>
                      </w:rPr>
                    </w:pPr>
                    <w:r>
                      <w:rPr>
                        <w:rFonts w:ascii="Calibri"/>
                        <w:w w:val="105"/>
                        <w:sz w:val="10"/>
                      </w:rPr>
                      <w:t>-$222bn</w:t>
                    </w:r>
                  </w:p>
                </w:txbxContent>
              </v:textbox>
              <w10:wrap type="none"/>
            </v:shape>
            <v:shape style="position:absolute;left:6582;top:239;width:385;height:107" type="#_x0000_t202" filled="false" stroked="false">
              <v:textbox inset="0,0,0,0">
                <w:txbxContent>
                  <w:p>
                    <w:pPr>
                      <w:spacing w:line="107" w:lineRule="exact" w:before="0"/>
                      <w:ind w:left="0" w:right="0" w:firstLine="0"/>
                      <w:jc w:val="left"/>
                      <w:rPr>
                        <w:rFonts w:ascii="Calibri"/>
                        <w:sz w:val="10"/>
                      </w:rPr>
                    </w:pPr>
                    <w:r>
                      <w:rPr>
                        <w:rFonts w:ascii="Calibri"/>
                        <w:w w:val="105"/>
                        <w:sz w:val="10"/>
                      </w:rPr>
                      <w:t>-$387bn</w:t>
                    </w:r>
                  </w:p>
                </w:txbxContent>
              </v:textbox>
              <w10:wrap type="none"/>
            </v:shape>
            <v:shape style="position:absolute;left:7360;top:239;width:331;height:107" type="#_x0000_t202" filled="false" stroked="false">
              <v:textbox inset="0,0,0,0">
                <w:txbxContent>
                  <w:p>
                    <w:pPr>
                      <w:spacing w:line="107" w:lineRule="exact" w:before="0"/>
                      <w:ind w:left="0" w:right="0" w:firstLine="0"/>
                      <w:jc w:val="left"/>
                      <w:rPr>
                        <w:rFonts w:ascii="Calibri"/>
                        <w:sz w:val="10"/>
                      </w:rPr>
                    </w:pPr>
                    <w:r>
                      <w:rPr>
                        <w:rFonts w:ascii="Calibri"/>
                        <w:w w:val="105"/>
                        <w:sz w:val="10"/>
                      </w:rPr>
                      <w:t>-$40bn</w:t>
                    </w:r>
                  </w:p>
                </w:txbxContent>
              </v:textbox>
              <w10:wrap type="none"/>
            </v:shape>
            <v:shape style="position:absolute;left:8110;top:239;width:331;height:107" type="#_x0000_t202" filled="false" stroked="false">
              <v:textbox inset="0,0,0,0">
                <w:txbxContent>
                  <w:p>
                    <w:pPr>
                      <w:spacing w:line="107" w:lineRule="exact" w:before="0"/>
                      <w:ind w:left="0" w:right="0" w:firstLine="0"/>
                      <w:jc w:val="left"/>
                      <w:rPr>
                        <w:rFonts w:ascii="Calibri"/>
                        <w:sz w:val="10"/>
                      </w:rPr>
                    </w:pPr>
                    <w:r>
                      <w:rPr>
                        <w:rFonts w:ascii="Calibri"/>
                        <w:w w:val="105"/>
                        <w:sz w:val="10"/>
                      </w:rPr>
                      <w:t>-$40bn</w:t>
                    </w:r>
                  </w:p>
                </w:txbxContent>
              </v:textbox>
              <w10:wrap type="none"/>
            </v:shape>
            <v:shape style="position:absolute;left:3387;top:444;width:1457;height:107" type="#_x0000_t202" filled="false" stroked="false">
              <v:textbox inset="0,0,0,0">
                <w:txbxContent>
                  <w:p>
                    <w:pPr>
                      <w:spacing w:line="107" w:lineRule="exact" w:before="0"/>
                      <w:ind w:left="0" w:right="0" w:firstLine="0"/>
                      <w:jc w:val="left"/>
                      <w:rPr>
                        <w:rFonts w:ascii="Calibri"/>
                        <w:sz w:val="10"/>
                      </w:rPr>
                    </w:pPr>
                    <w:r>
                      <w:rPr>
                        <w:rFonts w:ascii="Calibri"/>
                        <w:w w:val="105"/>
                        <w:sz w:val="10"/>
                      </w:rPr>
                      <w:t>Policy changes to Lower welfare</w:t>
                    </w:r>
                  </w:p>
                </w:txbxContent>
              </v:textbox>
              <w10:wrap type="none"/>
            </v:shape>
            <v:shape style="position:absolute;left:5731;top:444;width:2910;height:107" type="#_x0000_t202" filled="false" stroked="false">
              <v:textbox inset="0,0,0,0">
                <w:txbxContent>
                  <w:p>
                    <w:pPr>
                      <w:spacing w:line="107" w:lineRule="exact" w:before="0"/>
                      <w:ind w:left="0" w:right="0" w:firstLine="0"/>
                      <w:jc w:val="left"/>
                      <w:rPr>
                        <w:rFonts w:ascii="Calibri"/>
                        <w:sz w:val="10"/>
                      </w:rPr>
                    </w:pPr>
                    <w:r>
                      <w:rPr>
                        <w:rFonts w:ascii="Calibri"/>
                        <w:w w:val="105"/>
                        <w:sz w:val="10"/>
                      </w:rPr>
                      <w:t>Lower future Lower future age Actual FY17/18 Lower projected</w:t>
                    </w:r>
                  </w:p>
                </w:txbxContent>
              </v:textbox>
              <w10:wrap type="none"/>
            </v:shape>
            <v:shape style="position:absolute;left:3583;top:574;width:382;height:107" type="#_x0000_t202" filled="false" stroked="false">
              <v:textbox inset="0,0,0,0">
                <w:txbxContent>
                  <w:p>
                    <w:pPr>
                      <w:spacing w:line="107" w:lineRule="exact" w:before="0"/>
                      <w:ind w:left="0" w:right="0" w:firstLine="0"/>
                      <w:jc w:val="left"/>
                      <w:rPr>
                        <w:rFonts w:ascii="Calibri"/>
                        <w:sz w:val="10"/>
                      </w:rPr>
                    </w:pPr>
                    <w:r>
                      <w:rPr>
                        <w:rFonts w:ascii="Calibri"/>
                        <w:w w:val="105"/>
                        <w:sz w:val="10"/>
                      </w:rPr>
                      <w:t>FY17/18</w:t>
                    </w:r>
                  </w:p>
                </w:txbxContent>
              </v:textbox>
              <w10:wrap type="none"/>
            </v:shape>
            <v:shape style="position:absolute;left:5698;top:574;width:652;height:238" type="#_x0000_t202" filled="false" stroked="false">
              <v:textbox inset="0,0,0,0">
                <w:txbxContent>
                  <w:p>
                    <w:pPr>
                      <w:spacing w:line="107" w:lineRule="exact" w:before="0"/>
                      <w:ind w:left="0" w:right="18" w:firstLine="0"/>
                      <w:jc w:val="center"/>
                      <w:rPr>
                        <w:rFonts w:ascii="Calibri"/>
                        <w:sz w:val="10"/>
                      </w:rPr>
                    </w:pPr>
                    <w:r>
                      <w:rPr>
                        <w:rFonts w:ascii="Calibri"/>
                        <w:w w:val="105"/>
                        <w:sz w:val="10"/>
                      </w:rPr>
                      <w:t>persistency on</w:t>
                    </w:r>
                  </w:p>
                  <w:p>
                    <w:pPr>
                      <w:spacing w:before="8"/>
                      <w:ind w:left="0" w:right="19" w:firstLine="0"/>
                      <w:jc w:val="center"/>
                      <w:rPr>
                        <w:rFonts w:ascii="Calibri"/>
                        <w:sz w:val="10"/>
                      </w:rPr>
                    </w:pPr>
                    <w:r>
                      <w:rPr>
                        <w:rFonts w:ascii="Calibri"/>
                        <w:w w:val="105"/>
                        <w:sz w:val="10"/>
                      </w:rPr>
                      <w:t>welfare</w:t>
                    </w:r>
                  </w:p>
                </w:txbxContent>
              </v:textbox>
              <w10:wrap type="none"/>
            </v:shape>
            <v:shape style="position:absolute;left:6548;top:574;width:1302;height:238" type="#_x0000_t202" filled="false" stroked="false">
              <v:textbox inset="0,0,0,0">
                <w:txbxContent>
                  <w:p>
                    <w:pPr>
                      <w:tabs>
                        <w:tab w:pos="648" w:val="left" w:leader="none"/>
                      </w:tabs>
                      <w:spacing w:line="107" w:lineRule="exact" w:before="0"/>
                      <w:ind w:left="43" w:right="0" w:firstLine="0"/>
                      <w:jc w:val="left"/>
                      <w:rPr>
                        <w:rFonts w:ascii="Calibri"/>
                        <w:sz w:val="10"/>
                      </w:rPr>
                    </w:pPr>
                    <w:r>
                      <w:rPr>
                        <w:rFonts w:ascii="Calibri"/>
                        <w:w w:val="105"/>
                        <w:sz w:val="10"/>
                      </w:rPr>
                      <w:t>pension</w:t>
                      <w:tab/>
                      <w:t>inflation</w:t>
                    </w:r>
                    <w:r>
                      <w:rPr>
                        <w:rFonts w:ascii="Calibri"/>
                        <w:spacing w:val="4"/>
                        <w:w w:val="105"/>
                        <w:sz w:val="10"/>
                      </w:rPr>
                      <w:t> </w:t>
                    </w:r>
                    <w:r>
                      <w:rPr>
                        <w:rFonts w:ascii="Calibri"/>
                        <w:w w:val="105"/>
                        <w:sz w:val="10"/>
                      </w:rPr>
                      <w:t>lower</w:t>
                    </w:r>
                  </w:p>
                  <w:p>
                    <w:pPr>
                      <w:tabs>
                        <w:tab w:pos="654" w:val="left" w:leader="none"/>
                      </w:tabs>
                      <w:spacing w:before="8"/>
                      <w:ind w:left="0" w:right="0" w:firstLine="0"/>
                      <w:jc w:val="left"/>
                      <w:rPr>
                        <w:rFonts w:ascii="Calibri"/>
                        <w:sz w:val="10"/>
                      </w:rPr>
                    </w:pPr>
                    <w:r>
                      <w:rPr>
                        <w:rFonts w:ascii="Calibri"/>
                        <w:w w:val="105"/>
                        <w:sz w:val="10"/>
                      </w:rPr>
                      <w:t>utilisation</w:t>
                      <w:tab/>
                      <w:t>than</w:t>
                    </w:r>
                    <w:r>
                      <w:rPr>
                        <w:rFonts w:ascii="Calibri"/>
                        <w:spacing w:val="7"/>
                        <w:w w:val="105"/>
                        <w:sz w:val="10"/>
                      </w:rPr>
                      <w:t> </w:t>
                    </w:r>
                    <w:r>
                      <w:rPr>
                        <w:rFonts w:ascii="Calibri"/>
                        <w:w w:val="105"/>
                        <w:sz w:val="10"/>
                      </w:rPr>
                      <w:t>expected</w:t>
                    </w:r>
                  </w:p>
                </w:txbxContent>
              </v:textbox>
              <w10:wrap type="none"/>
            </v:shape>
            <v:shape style="position:absolute;left:7978;top:574;width:596;height:238" type="#_x0000_t202" filled="false" stroked="false">
              <v:textbox inset="0,0,0,0">
                <w:txbxContent>
                  <w:p>
                    <w:pPr>
                      <w:spacing w:line="107" w:lineRule="exact" w:before="0"/>
                      <w:ind w:left="0" w:right="17" w:firstLine="0"/>
                      <w:jc w:val="center"/>
                      <w:rPr>
                        <w:rFonts w:ascii="Calibri"/>
                        <w:sz w:val="10"/>
                      </w:rPr>
                    </w:pPr>
                    <w:r>
                      <w:rPr>
                        <w:rFonts w:ascii="Calibri"/>
                        <w:w w:val="105"/>
                        <w:sz w:val="10"/>
                      </w:rPr>
                      <w:t>average</w:t>
                    </w:r>
                  </w:p>
                  <w:p>
                    <w:pPr>
                      <w:spacing w:before="8"/>
                      <w:ind w:left="0" w:right="18" w:firstLine="0"/>
                      <w:jc w:val="center"/>
                      <w:rPr>
                        <w:rFonts w:ascii="Calibri"/>
                        <w:sz w:val="10"/>
                      </w:rPr>
                    </w:pPr>
                    <w:r>
                      <w:rPr>
                        <w:rFonts w:ascii="Calibri"/>
                        <w:w w:val="105"/>
                        <w:sz w:val="10"/>
                      </w:rPr>
                      <w:t>payment size</w:t>
                    </w:r>
                  </w:p>
                </w:txbxContent>
              </v:textbox>
              <w10:wrap type="none"/>
            </v:shape>
            <v:shape style="position:absolute;left:8740;top:239;width:575;height:574" type="#_x0000_t202" filled="false" stroked="false">
              <v:textbox inset="0,0,0,0">
                <w:txbxContent>
                  <w:p>
                    <w:pPr>
                      <w:spacing w:line="107" w:lineRule="exact" w:before="0"/>
                      <w:ind w:left="105" w:right="126" w:firstLine="0"/>
                      <w:jc w:val="center"/>
                      <w:rPr>
                        <w:rFonts w:ascii="Calibri"/>
                        <w:sz w:val="10"/>
                      </w:rPr>
                    </w:pPr>
                    <w:r>
                      <w:rPr>
                        <w:rFonts w:ascii="Calibri"/>
                        <w:w w:val="105"/>
                        <w:sz w:val="10"/>
                      </w:rPr>
                      <w:t>-$54bn</w:t>
                    </w:r>
                  </w:p>
                  <w:p>
                    <w:pPr>
                      <w:spacing w:line="256" w:lineRule="auto" w:before="83"/>
                      <w:ind w:left="0" w:right="18" w:hanging="7"/>
                      <w:jc w:val="center"/>
                      <w:rPr>
                        <w:rFonts w:ascii="Calibri"/>
                        <w:sz w:val="10"/>
                      </w:rPr>
                    </w:pPr>
                    <w:r>
                      <w:rPr>
                        <w:rFonts w:ascii="Calibri"/>
                        <w:w w:val="105"/>
                        <w:sz w:val="10"/>
                      </w:rPr>
                      <w:t>Updated indexation assumptions</w:t>
                    </w:r>
                  </w:p>
                </w:txbxContent>
              </v:textbox>
              <w10:wrap type="none"/>
            </v:shape>
            <v:shape style="position:absolute;left:9611;top:239;width:331;height:107" type="#_x0000_t202" filled="false" stroked="false">
              <v:textbox inset="0,0,0,0">
                <w:txbxContent>
                  <w:p>
                    <w:pPr>
                      <w:spacing w:line="107" w:lineRule="exact" w:before="0"/>
                      <w:ind w:left="0" w:right="0" w:firstLine="0"/>
                      <w:jc w:val="left"/>
                      <w:rPr>
                        <w:rFonts w:ascii="Calibri"/>
                        <w:sz w:val="10"/>
                      </w:rPr>
                    </w:pPr>
                    <w:r>
                      <w:rPr>
                        <w:rFonts w:ascii="Calibri"/>
                        <w:w w:val="105"/>
                        <w:sz w:val="10"/>
                      </w:rPr>
                      <w:t>-$96bn</w:t>
                    </w:r>
                  </w:p>
                </w:txbxContent>
              </v:textbox>
              <w10:wrap type="none"/>
            </v:shape>
            <v:shape style="position:absolute;left:10334;top:239;width:385;height:107" type="#_x0000_t202" filled="false" stroked="false">
              <v:textbox inset="0,0,0,0">
                <w:txbxContent>
                  <w:p>
                    <w:pPr>
                      <w:spacing w:line="107" w:lineRule="exact" w:before="0"/>
                      <w:ind w:left="0" w:right="0" w:firstLine="0"/>
                      <w:jc w:val="left"/>
                      <w:rPr>
                        <w:rFonts w:ascii="Calibri"/>
                        <w:sz w:val="10"/>
                      </w:rPr>
                    </w:pPr>
                    <w:r>
                      <w:rPr>
                        <w:rFonts w:ascii="Calibri"/>
                        <w:w w:val="105"/>
                        <w:sz w:val="10"/>
                      </w:rPr>
                      <w:t>-$636bn</w:t>
                    </w:r>
                  </w:p>
                </w:txbxContent>
              </v:textbox>
              <w10:wrap type="none"/>
            </v:shape>
            <v:shape style="position:absolute;left:9403;top:444;width:1475;height:238" type="#_x0000_t202" filled="false" stroked="false">
              <v:textbox inset="0,0,0,0">
                <w:txbxContent>
                  <w:p>
                    <w:pPr>
                      <w:spacing w:line="107" w:lineRule="exact" w:before="0"/>
                      <w:ind w:left="57" w:right="0" w:firstLine="0"/>
                      <w:jc w:val="left"/>
                      <w:rPr>
                        <w:rFonts w:ascii="Calibri"/>
                        <w:sz w:val="10"/>
                      </w:rPr>
                    </w:pPr>
                    <w:r>
                      <w:rPr>
                        <w:rFonts w:ascii="Calibri"/>
                        <w:w w:val="105"/>
                        <w:sz w:val="10"/>
                      </w:rPr>
                      <w:t>Change in age Total Change to</w:t>
                    </w:r>
                  </w:p>
                  <w:p>
                    <w:pPr>
                      <w:spacing w:before="8"/>
                      <w:ind w:left="0" w:right="0" w:firstLine="0"/>
                      <w:jc w:val="left"/>
                      <w:rPr>
                        <w:rFonts w:ascii="Calibri"/>
                        <w:sz w:val="10"/>
                      </w:rPr>
                    </w:pPr>
                    <w:r>
                      <w:rPr>
                        <w:rFonts w:ascii="Calibri"/>
                        <w:w w:val="105"/>
                        <w:sz w:val="10"/>
                      </w:rPr>
                      <w:t>pension forecast Lifetime Cost</w:t>
                    </w:r>
                  </w:p>
                </w:txbxContent>
              </v:textbox>
              <w10:wrap type="none"/>
            </v:shape>
            <v:shape style="position:absolute;left:2242;top:910;width:1893;height:107" type="#_x0000_t202" filled="false" stroked="false">
              <v:textbox inset="0,0,0,0">
                <w:txbxContent>
                  <w:p>
                    <w:pPr>
                      <w:tabs>
                        <w:tab w:pos="1167" w:val="left" w:leader="none"/>
                      </w:tabs>
                      <w:spacing w:line="107" w:lineRule="exact" w:before="0"/>
                      <w:ind w:left="0" w:right="0" w:firstLine="0"/>
                      <w:jc w:val="left"/>
                      <w:rPr>
                        <w:rFonts w:ascii="Calibri"/>
                        <w:sz w:val="10"/>
                      </w:rPr>
                    </w:pPr>
                    <w:r>
                      <w:rPr>
                        <w:rFonts w:ascii="Calibri"/>
                        <w:w w:val="105"/>
                        <w:sz w:val="10"/>
                      </w:rPr>
                      <w:t>Expected</w:t>
                    </w:r>
                    <w:r>
                      <w:rPr>
                        <w:rFonts w:ascii="Calibri"/>
                        <w:spacing w:val="3"/>
                        <w:w w:val="105"/>
                        <w:sz w:val="10"/>
                      </w:rPr>
                      <w:t> </w:t>
                    </w:r>
                    <w:r>
                      <w:rPr>
                        <w:rFonts w:ascii="Calibri"/>
                        <w:w w:val="105"/>
                        <w:sz w:val="10"/>
                      </w:rPr>
                      <w:t>Changes</w:t>
                      <w:tab/>
                      <w:t>System</w:t>
                    </w:r>
                    <w:r>
                      <w:rPr>
                        <w:rFonts w:ascii="Calibri"/>
                        <w:spacing w:val="6"/>
                        <w:w w:val="105"/>
                        <w:sz w:val="10"/>
                      </w:rPr>
                      <w:t> </w:t>
                    </w:r>
                    <w:r>
                      <w:rPr>
                        <w:rFonts w:ascii="Calibri"/>
                        <w:w w:val="105"/>
                        <w:sz w:val="10"/>
                      </w:rPr>
                      <w:t>Changes</w:t>
                    </w:r>
                  </w:p>
                </w:txbxContent>
              </v:textbox>
              <w10:wrap type="none"/>
            </v:shape>
            <v:shape style="position:absolute;left:6559;top:910;width:1180;height:107" type="#_x0000_t202" filled="false" stroked="false">
              <v:textbox inset="0,0,0,0">
                <w:txbxContent>
                  <w:p>
                    <w:pPr>
                      <w:spacing w:line="107" w:lineRule="exact" w:before="0"/>
                      <w:ind w:left="0" w:right="0" w:firstLine="0"/>
                      <w:jc w:val="left"/>
                      <w:rPr>
                        <w:rFonts w:ascii="Calibri"/>
                        <w:sz w:val="10"/>
                      </w:rPr>
                    </w:pPr>
                    <w:r>
                      <w:rPr>
                        <w:rFonts w:ascii="Calibri"/>
                        <w:w w:val="105"/>
                        <w:sz w:val="10"/>
                      </w:rPr>
                      <w:t>Experience &amp; Assumptions</w:t>
                    </w:r>
                  </w:p>
                </w:txbxContent>
              </v:textbox>
              <w10:wrap type="none"/>
            </v:shape>
            <v:shape style="position:absolute;left:10230;top:910;width:589;height:107" type="#_x0000_t202" filled="false" stroked="false">
              <v:textbox inset="0,0,0,0">
                <w:txbxContent>
                  <w:p>
                    <w:pPr>
                      <w:spacing w:line="107" w:lineRule="exact" w:before="0"/>
                      <w:ind w:left="0" w:right="0" w:firstLine="0"/>
                      <w:jc w:val="left"/>
                      <w:rPr>
                        <w:rFonts w:ascii="Calibri"/>
                        <w:sz w:val="10"/>
                      </w:rPr>
                    </w:pPr>
                    <w:r>
                      <w:rPr>
                        <w:rFonts w:ascii="Calibri"/>
                        <w:w w:val="105"/>
                        <w:sz w:val="10"/>
                      </w:rPr>
                      <w:t>Total Change</w:t>
                    </w:r>
                  </w:p>
                </w:txbxContent>
              </v:textbox>
              <w10:wrap type="none"/>
            </v:shape>
            <w10:wrap type="none"/>
          </v:group>
        </w:pict>
      </w:r>
      <w:r>
        <w:rPr>
          <w:rFonts w:ascii="Calibri"/>
          <w:w w:val="105"/>
          <w:sz w:val="10"/>
        </w:rPr>
        <w:t>-$700bn</w:t>
      </w: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spacing w:before="249"/>
        <w:ind w:left="900" w:right="0" w:firstLine="0"/>
        <w:jc w:val="left"/>
        <w:rPr>
          <w:sz w:val="28"/>
        </w:rPr>
      </w:pPr>
      <w:bookmarkStart w:name="Expected changes" w:id="17"/>
      <w:bookmarkEnd w:id="17"/>
      <w:r>
        <w:rPr/>
      </w:r>
      <w:r>
        <w:rPr>
          <w:color w:val="DF2F28"/>
          <w:sz w:val="28"/>
        </w:rPr>
        <w:t>Expected changes</w:t>
      </w:r>
    </w:p>
    <w:p>
      <w:pPr>
        <w:pStyle w:val="BodyText"/>
        <w:spacing w:before="123"/>
        <w:ind w:left="900"/>
      </w:pPr>
      <w:r>
        <w:rPr>
          <w:color w:val="404040"/>
        </w:rPr>
        <w:t>Each year, we expect the total lifetime cost to grow in line with population growth and in line with inflation.</w:t>
      </w:r>
    </w:p>
    <w:p>
      <w:pPr>
        <w:pStyle w:val="BodyText"/>
        <w:spacing w:before="118"/>
        <w:ind w:left="899" w:right="1354"/>
      </w:pPr>
      <w:r>
        <w:rPr>
          <w:color w:val="404040"/>
        </w:rPr>
        <w:t>At the June 2018 valuation, the overall lifetime cost has </w:t>
      </w:r>
      <w:r>
        <w:rPr>
          <w:b/>
          <w:color w:val="404040"/>
        </w:rPr>
        <w:t>increased by $124bn (+2.0%) </w:t>
      </w:r>
      <w:r>
        <w:rPr>
          <w:color w:val="404040"/>
        </w:rPr>
        <w:t>due to growth in the Australian population over the 2017/18 year. This includes the combined impact of births, deaths and net migration over the year. These population changes resulted in an extra 380,000 individuals in the Australian population.</w:t>
      </w:r>
    </w:p>
    <w:p>
      <w:pPr>
        <w:spacing w:line="242" w:lineRule="auto" w:before="120"/>
        <w:ind w:left="899" w:right="1038" w:firstLine="0"/>
        <w:jc w:val="left"/>
        <w:rPr>
          <w:sz w:val="20"/>
        </w:rPr>
      </w:pPr>
      <w:r>
        <w:rPr>
          <w:color w:val="404040"/>
          <w:sz w:val="20"/>
        </w:rPr>
        <w:t>The overall lifetime cost has further </w:t>
      </w:r>
      <w:r>
        <w:rPr>
          <w:b/>
          <w:color w:val="404040"/>
          <w:sz w:val="20"/>
        </w:rPr>
        <w:t>increased by $230bn (+3.6%) </w:t>
      </w:r>
      <w:r>
        <w:rPr>
          <w:color w:val="404040"/>
          <w:sz w:val="20"/>
        </w:rPr>
        <w:t>due to expected inflation over the year. This includes:</w:t>
      </w:r>
    </w:p>
    <w:p>
      <w:pPr>
        <w:pStyle w:val="ListParagraph"/>
        <w:numPr>
          <w:ilvl w:val="0"/>
          <w:numId w:val="6"/>
        </w:numPr>
        <w:tabs>
          <w:tab w:pos="1183" w:val="left" w:leader="none"/>
        </w:tabs>
        <w:spacing w:line="240" w:lineRule="auto" w:before="114" w:after="0"/>
        <w:ind w:left="1182" w:right="1276" w:hanging="284"/>
        <w:jc w:val="left"/>
        <w:rPr>
          <w:sz w:val="20"/>
        </w:rPr>
      </w:pPr>
      <w:r>
        <w:rPr>
          <w:b/>
          <w:color w:val="404040"/>
          <w:sz w:val="20"/>
        </w:rPr>
        <w:t>Expected inflation over the 2017/18 year </w:t>
      </w:r>
      <w:r>
        <w:rPr>
          <w:color w:val="404040"/>
          <w:sz w:val="20"/>
        </w:rPr>
        <w:t>– expected inflation of payments over the 2017/18 year based on information known at June 2017 was on average</w:t>
      </w:r>
      <w:r>
        <w:rPr>
          <w:color w:val="404040"/>
          <w:spacing w:val="-5"/>
          <w:sz w:val="20"/>
        </w:rPr>
        <w:t> </w:t>
      </w:r>
      <w:r>
        <w:rPr>
          <w:color w:val="404040"/>
          <w:sz w:val="20"/>
        </w:rPr>
        <w:t>2.0%.</w:t>
      </w:r>
    </w:p>
    <w:p>
      <w:pPr>
        <w:spacing w:after="0" w:line="240" w:lineRule="auto"/>
        <w:jc w:val="left"/>
        <w:rPr>
          <w:sz w:val="20"/>
        </w:rPr>
        <w:sectPr>
          <w:pgSz w:w="11910" w:h="16850"/>
          <w:pgMar w:header="289" w:footer="298" w:top="500" w:bottom="480" w:left="120" w:right="0"/>
        </w:sectPr>
      </w:pPr>
    </w:p>
    <w:p>
      <w:pPr>
        <w:pStyle w:val="BodyText"/>
      </w:pPr>
    </w:p>
    <w:p>
      <w:pPr>
        <w:pStyle w:val="BodyText"/>
      </w:pPr>
    </w:p>
    <w:p>
      <w:pPr>
        <w:pStyle w:val="BodyText"/>
      </w:pPr>
    </w:p>
    <w:p>
      <w:pPr>
        <w:pStyle w:val="BodyText"/>
        <w:spacing w:before="6"/>
        <w:rPr>
          <w:sz w:val="25"/>
        </w:rPr>
      </w:pPr>
    </w:p>
    <w:p>
      <w:pPr>
        <w:pStyle w:val="ListParagraph"/>
        <w:numPr>
          <w:ilvl w:val="0"/>
          <w:numId w:val="6"/>
        </w:numPr>
        <w:tabs>
          <w:tab w:pos="1184" w:val="left" w:leader="none"/>
        </w:tabs>
        <w:spacing w:line="240" w:lineRule="auto" w:before="100" w:after="0"/>
        <w:ind w:left="1183" w:right="1309" w:hanging="284"/>
        <w:jc w:val="left"/>
        <w:rPr>
          <w:sz w:val="20"/>
        </w:rPr>
      </w:pPr>
      <w:r>
        <w:rPr>
          <w:b/>
          <w:color w:val="404040"/>
          <w:sz w:val="20"/>
        </w:rPr>
        <w:t>Inflation of future payments </w:t>
      </w:r>
      <w:r>
        <w:rPr>
          <w:color w:val="404040"/>
          <w:sz w:val="20"/>
        </w:rPr>
        <w:t>– this allows for the impact of the change in pattern in projected future inflation of payments from June 2018 (relative to the pattern from June 2017), in which we move closer to the</w:t>
      </w:r>
      <w:r>
        <w:rPr>
          <w:color w:val="404040"/>
          <w:spacing w:val="-4"/>
          <w:sz w:val="20"/>
        </w:rPr>
        <w:t> </w:t>
      </w:r>
      <w:r>
        <w:rPr>
          <w:color w:val="404040"/>
          <w:sz w:val="20"/>
        </w:rPr>
        <w:t>expected</w:t>
      </w:r>
      <w:r>
        <w:rPr>
          <w:color w:val="404040"/>
          <w:spacing w:val="-2"/>
          <w:sz w:val="20"/>
        </w:rPr>
        <w:t> </w:t>
      </w:r>
      <w:r>
        <w:rPr>
          <w:color w:val="404040"/>
          <w:sz w:val="20"/>
        </w:rPr>
        <w:t>long</w:t>
      </w:r>
      <w:r>
        <w:rPr>
          <w:color w:val="404040"/>
          <w:spacing w:val="-3"/>
          <w:sz w:val="20"/>
        </w:rPr>
        <w:t> </w:t>
      </w:r>
      <w:r>
        <w:rPr>
          <w:color w:val="404040"/>
          <w:sz w:val="20"/>
        </w:rPr>
        <w:t>term</w:t>
      </w:r>
      <w:r>
        <w:rPr>
          <w:color w:val="404040"/>
          <w:spacing w:val="1"/>
          <w:sz w:val="20"/>
        </w:rPr>
        <w:t> </w:t>
      </w:r>
      <w:r>
        <w:rPr>
          <w:color w:val="404040"/>
          <w:sz w:val="20"/>
        </w:rPr>
        <w:t>inflation</w:t>
      </w:r>
      <w:r>
        <w:rPr>
          <w:color w:val="404040"/>
          <w:spacing w:val="-4"/>
          <w:sz w:val="20"/>
        </w:rPr>
        <w:t> </w:t>
      </w:r>
      <w:r>
        <w:rPr>
          <w:color w:val="404040"/>
          <w:sz w:val="20"/>
        </w:rPr>
        <w:t>rate</w:t>
      </w:r>
      <w:r>
        <w:rPr>
          <w:color w:val="404040"/>
          <w:spacing w:val="-1"/>
          <w:sz w:val="20"/>
        </w:rPr>
        <w:t> </w:t>
      </w:r>
      <w:r>
        <w:rPr>
          <w:color w:val="404040"/>
          <w:sz w:val="20"/>
        </w:rPr>
        <w:t>sooner</w:t>
      </w:r>
      <w:r>
        <w:rPr>
          <w:color w:val="404040"/>
          <w:spacing w:val="-3"/>
          <w:sz w:val="20"/>
        </w:rPr>
        <w:t> </w:t>
      </w:r>
      <w:r>
        <w:rPr>
          <w:color w:val="404040"/>
          <w:sz w:val="20"/>
        </w:rPr>
        <w:t>into</w:t>
      </w:r>
      <w:r>
        <w:rPr>
          <w:color w:val="404040"/>
          <w:spacing w:val="-3"/>
          <w:sz w:val="20"/>
        </w:rPr>
        <w:t> </w:t>
      </w:r>
      <w:r>
        <w:rPr>
          <w:color w:val="404040"/>
          <w:sz w:val="20"/>
        </w:rPr>
        <w:t>the</w:t>
      </w:r>
      <w:r>
        <w:rPr>
          <w:color w:val="404040"/>
          <w:spacing w:val="-4"/>
          <w:sz w:val="20"/>
        </w:rPr>
        <w:t> </w:t>
      </w:r>
      <w:r>
        <w:rPr>
          <w:color w:val="404040"/>
          <w:sz w:val="20"/>
        </w:rPr>
        <w:t>projection.</w:t>
      </w:r>
      <w:r>
        <w:rPr>
          <w:color w:val="404040"/>
          <w:spacing w:val="-1"/>
          <w:sz w:val="20"/>
        </w:rPr>
        <w:t> </w:t>
      </w:r>
      <w:r>
        <w:rPr>
          <w:color w:val="404040"/>
          <w:sz w:val="20"/>
        </w:rPr>
        <w:t>This</w:t>
      </w:r>
      <w:r>
        <w:rPr>
          <w:color w:val="404040"/>
          <w:spacing w:val="-3"/>
          <w:sz w:val="20"/>
        </w:rPr>
        <w:t> </w:t>
      </w:r>
      <w:r>
        <w:rPr>
          <w:color w:val="404040"/>
          <w:sz w:val="20"/>
        </w:rPr>
        <w:t>increases</w:t>
      </w:r>
      <w:r>
        <w:rPr>
          <w:color w:val="404040"/>
          <w:spacing w:val="-3"/>
          <w:sz w:val="20"/>
        </w:rPr>
        <w:t> </w:t>
      </w:r>
      <w:r>
        <w:rPr>
          <w:color w:val="404040"/>
          <w:sz w:val="20"/>
        </w:rPr>
        <w:t>the</w:t>
      </w:r>
      <w:r>
        <w:rPr>
          <w:color w:val="404040"/>
          <w:spacing w:val="-1"/>
          <w:sz w:val="20"/>
        </w:rPr>
        <w:t> </w:t>
      </w:r>
      <w:r>
        <w:rPr>
          <w:color w:val="404040"/>
          <w:sz w:val="20"/>
        </w:rPr>
        <w:t>lifetime</w:t>
      </w:r>
      <w:r>
        <w:rPr>
          <w:color w:val="404040"/>
          <w:spacing w:val="-4"/>
          <w:sz w:val="20"/>
        </w:rPr>
        <w:t> </w:t>
      </w:r>
      <w:r>
        <w:rPr>
          <w:color w:val="404040"/>
          <w:sz w:val="20"/>
        </w:rPr>
        <w:t>cost</w:t>
      </w:r>
      <w:r>
        <w:rPr>
          <w:color w:val="404040"/>
          <w:spacing w:val="-3"/>
          <w:sz w:val="20"/>
        </w:rPr>
        <w:t> </w:t>
      </w:r>
      <w:r>
        <w:rPr>
          <w:color w:val="404040"/>
          <w:sz w:val="20"/>
        </w:rPr>
        <w:t>by</w:t>
      </w:r>
      <w:r>
        <w:rPr>
          <w:color w:val="404040"/>
          <w:spacing w:val="-5"/>
          <w:sz w:val="20"/>
        </w:rPr>
        <w:t> </w:t>
      </w:r>
      <w:r>
        <w:rPr>
          <w:color w:val="404040"/>
          <w:sz w:val="20"/>
        </w:rPr>
        <w:t>1.6%.</w:t>
      </w:r>
    </w:p>
    <w:p>
      <w:pPr>
        <w:pStyle w:val="BodyText"/>
        <w:spacing w:before="9"/>
      </w:pPr>
    </w:p>
    <w:p>
      <w:pPr>
        <w:spacing w:before="0"/>
        <w:ind w:left="900" w:right="0" w:firstLine="0"/>
        <w:jc w:val="both"/>
        <w:rPr>
          <w:sz w:val="28"/>
        </w:rPr>
      </w:pPr>
      <w:bookmarkStart w:name="System changes" w:id="18"/>
      <w:bookmarkEnd w:id="18"/>
      <w:r>
        <w:rPr/>
      </w:r>
      <w:r>
        <w:rPr>
          <w:color w:val="DF2F28"/>
          <w:sz w:val="28"/>
        </w:rPr>
        <w:t>System changes</w:t>
      </w:r>
    </w:p>
    <w:p>
      <w:pPr>
        <w:pStyle w:val="BodyText"/>
        <w:spacing w:before="123"/>
        <w:ind w:left="899" w:right="1244"/>
        <w:jc w:val="both"/>
      </w:pPr>
      <w:r>
        <w:rPr>
          <w:color w:val="404040"/>
        </w:rPr>
        <w:t>Changes to the welfare system may directly influence the entitlements of individuals and their welfare usage. The impact of such policy changes has been relatively minor over the last year, and resulted in a lifetime cost </w:t>
      </w:r>
      <w:r>
        <w:rPr>
          <w:b/>
          <w:color w:val="404040"/>
        </w:rPr>
        <w:t>reduction of $4bn (-0.1%)</w:t>
      </w:r>
      <w:r>
        <w:rPr>
          <w:color w:val="404040"/>
        </w:rPr>
        <w:t>.</w:t>
      </w:r>
    </w:p>
    <w:p>
      <w:pPr>
        <w:pStyle w:val="BodyText"/>
        <w:spacing w:before="5"/>
      </w:pPr>
    </w:p>
    <w:p>
      <w:pPr>
        <w:spacing w:before="0"/>
        <w:ind w:left="900" w:right="0" w:firstLine="0"/>
        <w:jc w:val="both"/>
        <w:rPr>
          <w:sz w:val="28"/>
        </w:rPr>
      </w:pPr>
      <w:bookmarkStart w:name="Experience and assumptions" w:id="19"/>
      <w:bookmarkEnd w:id="19"/>
      <w:r>
        <w:rPr/>
      </w:r>
      <w:r>
        <w:rPr>
          <w:color w:val="DF2F28"/>
          <w:sz w:val="28"/>
        </w:rPr>
        <w:t>Experience and assumptions</w:t>
      </w:r>
    </w:p>
    <w:p>
      <w:pPr>
        <w:pStyle w:val="BodyText"/>
        <w:spacing w:before="123"/>
        <w:ind w:left="899" w:right="1132"/>
      </w:pPr>
      <w:r>
        <w:rPr>
          <w:color w:val="404040"/>
        </w:rPr>
        <w:t>The total lifetime cost will also change due to the impact of emerging experience observed over the year together with assumption changes which reflect this experience. This was the largest element of the change and this element resulted in a </w:t>
      </w:r>
      <w:r>
        <w:rPr>
          <w:b/>
          <w:color w:val="404040"/>
        </w:rPr>
        <w:t>$986bn (-15.6%) decrease </w:t>
      </w:r>
      <w:r>
        <w:rPr>
          <w:color w:val="404040"/>
        </w:rPr>
        <w:t>in the overall lifetime cost, which reflects the impact of significant decreases in welfare utilisation experience over the year. While this decrease is the net impact of many complex changes and interactions within the model, it can be broadly attributed to the following:</w:t>
      </w:r>
    </w:p>
    <w:p>
      <w:pPr>
        <w:pStyle w:val="ListParagraph"/>
        <w:numPr>
          <w:ilvl w:val="0"/>
          <w:numId w:val="6"/>
        </w:numPr>
        <w:tabs>
          <w:tab w:pos="1183" w:val="left" w:leader="none"/>
        </w:tabs>
        <w:spacing w:line="240" w:lineRule="auto" w:before="121" w:after="0"/>
        <w:ind w:left="1182" w:right="1233" w:hanging="284"/>
        <w:jc w:val="left"/>
        <w:rPr>
          <w:sz w:val="20"/>
        </w:rPr>
      </w:pPr>
      <w:r>
        <w:rPr>
          <w:b/>
          <w:i/>
          <w:color w:val="404040"/>
          <w:sz w:val="20"/>
        </w:rPr>
        <w:t>Lower overall welfare utilisation ($34bn decrease) </w:t>
      </w:r>
      <w:r>
        <w:rPr>
          <w:color w:val="404040"/>
          <w:sz w:val="20"/>
        </w:rPr>
        <w:t>– in general the proportion of the population utilising welfare was lower this year than last year, and this has resulted in a decrease in the lifetime</w:t>
      </w:r>
      <w:r>
        <w:rPr>
          <w:color w:val="404040"/>
          <w:spacing w:val="-21"/>
          <w:sz w:val="20"/>
        </w:rPr>
        <w:t> </w:t>
      </w:r>
      <w:r>
        <w:rPr>
          <w:color w:val="404040"/>
          <w:sz w:val="20"/>
        </w:rPr>
        <w:t>cost.</w:t>
      </w:r>
    </w:p>
    <w:p>
      <w:pPr>
        <w:pStyle w:val="ListParagraph"/>
        <w:numPr>
          <w:ilvl w:val="0"/>
          <w:numId w:val="6"/>
        </w:numPr>
        <w:tabs>
          <w:tab w:pos="1183" w:val="left" w:leader="none"/>
        </w:tabs>
        <w:spacing w:line="240" w:lineRule="auto" w:before="115" w:after="0"/>
        <w:ind w:left="1182" w:right="1679" w:hanging="284"/>
        <w:jc w:val="left"/>
        <w:rPr>
          <w:sz w:val="20"/>
        </w:rPr>
      </w:pPr>
      <w:r>
        <w:rPr>
          <w:b/>
          <w:i/>
          <w:color w:val="404040"/>
          <w:sz w:val="20"/>
        </w:rPr>
        <w:t>Lower future entries into the welfare system ($114bn decrease) </w:t>
      </w:r>
      <w:r>
        <w:rPr>
          <w:i/>
          <w:color w:val="404040"/>
          <w:sz w:val="20"/>
        </w:rPr>
        <w:t>– </w:t>
      </w:r>
      <w:r>
        <w:rPr>
          <w:color w:val="404040"/>
          <w:sz w:val="20"/>
        </w:rPr>
        <w:t>this in particular reflects recent experience of decreased entries into income support</w:t>
      </w:r>
      <w:r>
        <w:rPr>
          <w:color w:val="404040"/>
          <w:spacing w:val="-5"/>
          <w:sz w:val="20"/>
        </w:rPr>
        <w:t> </w:t>
      </w:r>
      <w:r>
        <w:rPr>
          <w:color w:val="404040"/>
          <w:sz w:val="20"/>
        </w:rPr>
        <w:t>classes.</w:t>
      </w:r>
    </w:p>
    <w:p>
      <w:pPr>
        <w:pStyle w:val="ListParagraph"/>
        <w:numPr>
          <w:ilvl w:val="0"/>
          <w:numId w:val="6"/>
        </w:numPr>
        <w:tabs>
          <w:tab w:pos="1183" w:val="left" w:leader="none"/>
        </w:tabs>
        <w:spacing w:line="240" w:lineRule="auto" w:before="118" w:after="0"/>
        <w:ind w:left="1182" w:right="1109" w:hanging="284"/>
        <w:jc w:val="left"/>
        <w:rPr>
          <w:sz w:val="20"/>
        </w:rPr>
      </w:pPr>
      <w:r>
        <w:rPr>
          <w:b/>
          <w:i/>
          <w:color w:val="404040"/>
          <w:sz w:val="20"/>
        </w:rPr>
        <w:t>Lower future persistency on welfare ($222bn decrease) </w:t>
      </w:r>
      <w:r>
        <w:rPr>
          <w:i/>
          <w:color w:val="404040"/>
          <w:sz w:val="20"/>
        </w:rPr>
        <w:t>– </w:t>
      </w:r>
      <w:r>
        <w:rPr>
          <w:color w:val="404040"/>
          <w:sz w:val="20"/>
        </w:rPr>
        <w:t>in response to recent experience, overall projected welfare persistency is expected to fall. In particular, reduced future utilisation of DSP ($66bn decrease), reduced future utilisation of other pre-retirement income support ($97bn decrease), and reduced future use of non income support payments ($55bn</w:t>
      </w:r>
      <w:r>
        <w:rPr>
          <w:color w:val="404040"/>
          <w:spacing w:val="-1"/>
          <w:sz w:val="20"/>
        </w:rPr>
        <w:t> </w:t>
      </w:r>
      <w:r>
        <w:rPr>
          <w:color w:val="404040"/>
          <w:sz w:val="20"/>
        </w:rPr>
        <w:t>decrease).</w:t>
      </w:r>
    </w:p>
    <w:p>
      <w:pPr>
        <w:pStyle w:val="ListParagraph"/>
        <w:numPr>
          <w:ilvl w:val="0"/>
          <w:numId w:val="6"/>
        </w:numPr>
        <w:tabs>
          <w:tab w:pos="1183" w:val="left" w:leader="none"/>
        </w:tabs>
        <w:spacing w:line="240" w:lineRule="auto" w:before="121" w:after="0"/>
        <w:ind w:left="1182" w:right="1099" w:hanging="284"/>
        <w:jc w:val="left"/>
        <w:rPr>
          <w:sz w:val="20"/>
        </w:rPr>
      </w:pPr>
      <w:r>
        <w:rPr>
          <w:b/>
          <w:i/>
          <w:color w:val="404040"/>
          <w:sz w:val="20"/>
        </w:rPr>
        <w:t>Decreased use of Age Pension, including the flow on impacts from the above changes ($387bn </w:t>
      </w:r>
      <w:r>
        <w:rPr>
          <w:b/>
          <w:i/>
          <w:color w:val="404040"/>
          <w:sz w:val="20"/>
        </w:rPr>
        <w:t>decrease) </w:t>
      </w:r>
      <w:r>
        <w:rPr>
          <w:i/>
          <w:color w:val="404040"/>
          <w:sz w:val="20"/>
        </w:rPr>
        <w:t>– </w:t>
      </w:r>
      <w:r>
        <w:rPr>
          <w:color w:val="404040"/>
          <w:sz w:val="20"/>
        </w:rPr>
        <w:t>The use of income support and other payments leading up to retirement is an important predictor of the use of Age Pension, as people have a greater chance to build their superannuation if they are working rather than receiving income support payments. As such, the decreased future projected use of income support payments flows through to a decreased projected use of Age Pension and a further reduction in lifetime cost.</w:t>
      </w:r>
    </w:p>
    <w:p>
      <w:pPr>
        <w:pStyle w:val="ListParagraph"/>
        <w:numPr>
          <w:ilvl w:val="0"/>
          <w:numId w:val="6"/>
        </w:numPr>
        <w:tabs>
          <w:tab w:pos="1183" w:val="left" w:leader="none"/>
        </w:tabs>
        <w:spacing w:line="240" w:lineRule="auto" w:before="120" w:after="0"/>
        <w:ind w:left="1182" w:right="1145" w:hanging="284"/>
        <w:jc w:val="left"/>
        <w:rPr>
          <w:sz w:val="20"/>
        </w:rPr>
      </w:pPr>
      <w:r>
        <w:rPr>
          <w:b/>
          <w:i/>
          <w:color w:val="404040"/>
          <w:sz w:val="20"/>
        </w:rPr>
        <w:t>Actual inflation over the year was lower than expected ($40bn decrease) </w:t>
      </w:r>
      <w:r>
        <w:rPr>
          <w:color w:val="404040"/>
          <w:sz w:val="20"/>
        </w:rPr>
        <w:t>– the indexation of payments over the year was around 0.7% lower than expected which resulted in a decrease in</w:t>
      </w:r>
      <w:r>
        <w:rPr>
          <w:color w:val="404040"/>
          <w:spacing w:val="-14"/>
          <w:sz w:val="20"/>
        </w:rPr>
        <w:t> </w:t>
      </w:r>
      <w:r>
        <w:rPr>
          <w:color w:val="404040"/>
          <w:sz w:val="20"/>
        </w:rPr>
        <w:t>liabilities.</w:t>
      </w:r>
    </w:p>
    <w:p>
      <w:pPr>
        <w:pStyle w:val="ListParagraph"/>
        <w:numPr>
          <w:ilvl w:val="0"/>
          <w:numId w:val="6"/>
        </w:numPr>
        <w:tabs>
          <w:tab w:pos="1183" w:val="left" w:leader="none"/>
        </w:tabs>
        <w:spacing w:line="240" w:lineRule="auto" w:before="118" w:after="0"/>
        <w:ind w:left="1182" w:right="1055" w:hanging="284"/>
        <w:jc w:val="left"/>
        <w:rPr>
          <w:sz w:val="20"/>
        </w:rPr>
      </w:pPr>
      <w:r>
        <w:rPr>
          <w:b/>
          <w:i/>
          <w:color w:val="404040"/>
          <w:sz w:val="20"/>
        </w:rPr>
        <w:t>Lower projected average payments than expected ($40bn decrease) </w:t>
      </w:r>
      <w:r>
        <w:rPr>
          <w:color w:val="404040"/>
          <w:sz w:val="20"/>
        </w:rPr>
        <w:t>– the main drivers of this decrease include reduced projected payments of Family Tax Benefit and other Family Payments ($21bn decrease), and a marginal decrease in the adopted size assumption for the Age Pension to allow for the latest detailed experience.</w:t>
      </w:r>
    </w:p>
    <w:p>
      <w:pPr>
        <w:pStyle w:val="ListParagraph"/>
        <w:numPr>
          <w:ilvl w:val="0"/>
          <w:numId w:val="6"/>
        </w:numPr>
        <w:tabs>
          <w:tab w:pos="1183" w:val="left" w:leader="none"/>
        </w:tabs>
        <w:spacing w:line="240" w:lineRule="auto" w:before="119" w:after="0"/>
        <w:ind w:left="1182" w:right="1033" w:hanging="284"/>
        <w:jc w:val="left"/>
        <w:rPr>
          <w:sz w:val="20"/>
        </w:rPr>
      </w:pPr>
      <w:r>
        <w:rPr>
          <w:b/>
          <w:i/>
          <w:color w:val="404040"/>
          <w:sz w:val="20"/>
        </w:rPr>
        <w:t>Updated future indexation assumptions ($54bn decrease) </w:t>
      </w:r>
      <w:r>
        <w:rPr>
          <w:color w:val="404040"/>
          <w:sz w:val="20"/>
        </w:rPr>
        <w:t>– updates to the assumed indexation of future payments resulted in a $54bn decrease in the estimated total lifetime cost. This reflects an adjustment to the projected indexation over time, with the long term inflation rate now being reached one year later. This indexation update has the biggest dollar impact on the Age Pension payment category ($46bn) as this is the largest component of the lifetime</w:t>
      </w:r>
      <w:r>
        <w:rPr>
          <w:color w:val="404040"/>
          <w:spacing w:val="-2"/>
          <w:sz w:val="20"/>
        </w:rPr>
        <w:t> </w:t>
      </w:r>
      <w:r>
        <w:rPr>
          <w:color w:val="404040"/>
          <w:sz w:val="20"/>
        </w:rPr>
        <w:t>cost.</w:t>
      </w:r>
    </w:p>
    <w:p>
      <w:pPr>
        <w:pStyle w:val="ListParagraph"/>
        <w:numPr>
          <w:ilvl w:val="0"/>
          <w:numId w:val="6"/>
        </w:numPr>
        <w:tabs>
          <w:tab w:pos="1183" w:val="left" w:leader="none"/>
        </w:tabs>
        <w:spacing w:line="240" w:lineRule="auto" w:before="119" w:after="0"/>
        <w:ind w:left="1183" w:right="1543" w:hanging="284"/>
        <w:jc w:val="left"/>
        <w:rPr>
          <w:sz w:val="20"/>
        </w:rPr>
      </w:pPr>
      <w:r>
        <w:rPr>
          <w:b/>
          <w:i/>
          <w:color w:val="404040"/>
          <w:sz w:val="20"/>
        </w:rPr>
        <w:t>Update of Age Pension forecast ($96bn decrease) </w:t>
      </w:r>
      <w:r>
        <w:rPr>
          <w:color w:val="404040"/>
          <w:sz w:val="20"/>
        </w:rPr>
        <w:t>– update of assumptions relating to the future utilisation of Age Pension following a review of welfare experience, as well as consideration of relevant external factors. See section </w:t>
      </w:r>
      <w:hyperlink w:history="true" w:anchor="_bookmark23">
        <w:r>
          <w:rPr>
            <w:color w:val="404040"/>
            <w:sz w:val="20"/>
          </w:rPr>
          <w:t>3.3 </w:t>
        </w:r>
      </w:hyperlink>
      <w:r>
        <w:rPr>
          <w:color w:val="404040"/>
          <w:sz w:val="20"/>
        </w:rPr>
        <w:t>for more</w:t>
      </w:r>
      <w:r>
        <w:rPr>
          <w:color w:val="404040"/>
          <w:spacing w:val="-6"/>
          <w:sz w:val="20"/>
        </w:rPr>
        <w:t> </w:t>
      </w:r>
      <w:r>
        <w:rPr>
          <w:color w:val="404040"/>
          <w:sz w:val="20"/>
        </w:rPr>
        <w:t>details.</w:t>
      </w:r>
    </w:p>
    <w:p>
      <w:pPr>
        <w:pStyle w:val="BodyText"/>
        <w:spacing w:before="4"/>
      </w:pPr>
    </w:p>
    <w:p>
      <w:pPr>
        <w:pStyle w:val="ListParagraph"/>
        <w:numPr>
          <w:ilvl w:val="1"/>
          <w:numId w:val="3"/>
        </w:numPr>
        <w:tabs>
          <w:tab w:pos="1751" w:val="left" w:leader="none"/>
          <w:tab w:pos="1752" w:val="left" w:leader="none"/>
        </w:tabs>
        <w:spacing w:line="240" w:lineRule="auto" w:before="0" w:after="0"/>
        <w:ind w:left="1751" w:right="0" w:hanging="852"/>
        <w:jc w:val="left"/>
        <w:rPr>
          <w:color w:val="DF2F1E"/>
          <w:sz w:val="32"/>
        </w:rPr>
      </w:pPr>
      <w:bookmarkStart w:name="5. New findings" w:id="20"/>
      <w:bookmarkEnd w:id="20"/>
      <w:r>
        <w:rPr/>
      </w:r>
      <w:bookmarkStart w:name="5. New findings" w:id="21"/>
      <w:bookmarkEnd w:id="21"/>
      <w:r>
        <w:rPr>
          <w:color w:val="DF2F1E"/>
          <w:sz w:val="32"/>
        </w:rPr>
        <w:t>N</w:t>
      </w:r>
      <w:r>
        <w:rPr>
          <w:color w:val="DF2F1E"/>
          <w:sz w:val="32"/>
        </w:rPr>
        <w:t>ew</w:t>
      </w:r>
      <w:r>
        <w:rPr>
          <w:color w:val="DF2F1E"/>
          <w:spacing w:val="-4"/>
          <w:sz w:val="32"/>
        </w:rPr>
        <w:t> </w:t>
      </w:r>
      <w:r>
        <w:rPr>
          <w:color w:val="DF2F1E"/>
          <w:sz w:val="32"/>
        </w:rPr>
        <w:t>findings</w:t>
      </w:r>
    </w:p>
    <w:p>
      <w:pPr>
        <w:pStyle w:val="BodyText"/>
        <w:spacing w:before="124"/>
        <w:ind w:left="900"/>
      </w:pPr>
      <w:r>
        <w:rPr>
          <w:color w:val="404040"/>
        </w:rPr>
        <w:t>This section considers the following new insights generated as a result of extensions to the work this year:</w:t>
      </w:r>
    </w:p>
    <w:p>
      <w:pPr>
        <w:pStyle w:val="ListParagraph"/>
        <w:numPr>
          <w:ilvl w:val="0"/>
          <w:numId w:val="6"/>
        </w:numPr>
        <w:tabs>
          <w:tab w:pos="1184" w:val="left" w:leader="none"/>
        </w:tabs>
        <w:spacing w:line="240" w:lineRule="auto" w:before="119" w:after="0"/>
        <w:ind w:left="1183" w:right="0" w:hanging="284"/>
        <w:jc w:val="left"/>
        <w:rPr>
          <w:sz w:val="20"/>
        </w:rPr>
      </w:pPr>
      <w:r>
        <w:rPr>
          <w:color w:val="404040"/>
          <w:sz w:val="20"/>
        </w:rPr>
        <w:t>Geographical</w:t>
      </w:r>
      <w:r>
        <w:rPr>
          <w:color w:val="404040"/>
          <w:spacing w:val="-3"/>
          <w:sz w:val="20"/>
        </w:rPr>
        <w:t> </w:t>
      </w:r>
      <w:r>
        <w:rPr>
          <w:color w:val="404040"/>
          <w:sz w:val="20"/>
        </w:rPr>
        <w:t>insights</w:t>
      </w:r>
    </w:p>
    <w:p>
      <w:pPr>
        <w:pStyle w:val="ListParagraph"/>
        <w:numPr>
          <w:ilvl w:val="0"/>
          <w:numId w:val="6"/>
        </w:numPr>
        <w:tabs>
          <w:tab w:pos="1184" w:val="left" w:leader="none"/>
        </w:tabs>
        <w:spacing w:line="240" w:lineRule="auto" w:before="117" w:after="0"/>
        <w:ind w:left="1183" w:right="0" w:hanging="284"/>
        <w:jc w:val="left"/>
        <w:rPr>
          <w:sz w:val="20"/>
        </w:rPr>
      </w:pPr>
      <w:r>
        <w:rPr>
          <w:color w:val="404040"/>
          <w:sz w:val="20"/>
        </w:rPr>
        <w:t>Refugees</w:t>
      </w:r>
    </w:p>
    <w:p>
      <w:pPr>
        <w:pStyle w:val="ListParagraph"/>
        <w:numPr>
          <w:ilvl w:val="0"/>
          <w:numId w:val="6"/>
        </w:numPr>
        <w:tabs>
          <w:tab w:pos="1184" w:val="left" w:leader="none"/>
        </w:tabs>
        <w:spacing w:line="240" w:lineRule="auto" w:before="120" w:after="0"/>
        <w:ind w:left="1183" w:right="0" w:hanging="284"/>
        <w:jc w:val="left"/>
        <w:rPr>
          <w:sz w:val="20"/>
        </w:rPr>
      </w:pPr>
      <w:r>
        <w:rPr>
          <w:color w:val="404040"/>
          <w:sz w:val="20"/>
        </w:rPr>
        <w:t>Working Age</w:t>
      </w:r>
      <w:r>
        <w:rPr>
          <w:color w:val="404040"/>
          <w:spacing w:val="-3"/>
          <w:sz w:val="20"/>
        </w:rPr>
        <w:t> </w:t>
      </w:r>
      <w:r>
        <w:rPr>
          <w:color w:val="404040"/>
          <w:sz w:val="20"/>
        </w:rPr>
        <w:t>recipients</w:t>
      </w:r>
    </w:p>
    <w:p>
      <w:pPr>
        <w:spacing w:after="0" w:line="240" w:lineRule="auto"/>
        <w:jc w:val="left"/>
        <w:rPr>
          <w:sz w:val="20"/>
        </w:rPr>
        <w:sectPr>
          <w:pgSz w:w="11910" w:h="16850"/>
          <w:pgMar w:header="289" w:footer="298" w:top="500" w:bottom="480" w:left="120" w:right="0"/>
        </w:sectPr>
      </w:pPr>
    </w:p>
    <w:p>
      <w:pPr>
        <w:pStyle w:val="BodyText"/>
      </w:pPr>
    </w:p>
    <w:p>
      <w:pPr>
        <w:pStyle w:val="BodyText"/>
      </w:pPr>
    </w:p>
    <w:p>
      <w:pPr>
        <w:pStyle w:val="BodyText"/>
      </w:pPr>
    </w:p>
    <w:p>
      <w:pPr>
        <w:pStyle w:val="BodyText"/>
        <w:spacing w:before="3"/>
        <w:rPr>
          <w:sz w:val="26"/>
        </w:rPr>
      </w:pPr>
    </w:p>
    <w:p>
      <w:pPr>
        <w:spacing w:before="92"/>
        <w:ind w:left="900" w:right="0" w:firstLine="0"/>
        <w:jc w:val="left"/>
        <w:rPr>
          <w:sz w:val="28"/>
        </w:rPr>
      </w:pPr>
      <w:bookmarkStart w:name="Geographical insights" w:id="22"/>
      <w:bookmarkEnd w:id="22"/>
      <w:r>
        <w:rPr/>
      </w:r>
      <w:r>
        <w:rPr>
          <w:color w:val="DF2F28"/>
          <w:sz w:val="28"/>
        </w:rPr>
        <w:t>Geographical insights</w:t>
      </w:r>
    </w:p>
    <w:p>
      <w:pPr>
        <w:pStyle w:val="BodyText"/>
        <w:spacing w:before="120"/>
        <w:ind w:left="900" w:right="1087"/>
      </w:pPr>
      <w:r>
        <w:rPr>
          <w:color w:val="404040"/>
        </w:rPr>
        <w:t>Regional variations in the level and type of welfare use within Australia are often of key interest from a policy and intervention development standpoint. While these differences in welfare usage can be partially explained by demographic factors that are available in the data (such as age, gender, educational attainment and earnings indicators amongst others), there are a number of other socio-economic factors outside of the welfare dataset that can influence the levels of welfare utilisation at a regional level.</w:t>
      </w:r>
    </w:p>
    <w:p>
      <w:pPr>
        <w:pStyle w:val="BodyText"/>
        <w:spacing w:before="123"/>
        <w:ind w:left="899" w:right="1069"/>
      </w:pPr>
      <w:r>
        <w:rPr>
          <w:color w:val="404040"/>
        </w:rPr>
        <w:t>Given the importance of differentiating welfare outcomes geographically, the 2018 model for the first time includes a variable that serves as a regional proxy for a number of socio-economic factors relating to place of residence; some of these factors are not available in the data. This factor is based on one of the ABS produced Socio-Economic Indices for Areas (SEIFA), and has been used to place individuals into one of ten deciles based on the collective socio-economic advantage / disadvantage of their region of residence. The types of variables considered in SEIFA include those relating to income, education, employment, occupation and housing.</w:t>
      </w:r>
    </w:p>
    <w:p>
      <w:pPr>
        <w:pStyle w:val="BodyText"/>
        <w:spacing w:before="8"/>
      </w:pPr>
    </w:p>
    <w:p>
      <w:pPr>
        <w:pStyle w:val="Heading4"/>
        <w:spacing w:before="1"/>
      </w:pPr>
      <w:bookmarkStart w:name="How does welfare use currently vary by r" w:id="23"/>
      <w:bookmarkEnd w:id="23"/>
      <w:r>
        <w:rPr/>
      </w:r>
      <w:r>
        <w:rPr>
          <w:color w:val="DF2F28"/>
        </w:rPr>
        <w:t>How does welfare use currently vary by region?</w:t>
      </w:r>
    </w:p>
    <w:p>
      <w:pPr>
        <w:pStyle w:val="BodyText"/>
        <w:spacing w:line="237" w:lineRule="auto" w:before="123"/>
        <w:ind w:left="899" w:right="1155"/>
      </w:pPr>
      <w:r>
        <w:rPr>
          <w:color w:val="404040"/>
        </w:rPr>
        <w:t>The map below shows the proportion of people aged between 16 and 64 who are in a pre-retirement income support class by region, and highlights the differences in the utilisation of working age</w:t>
      </w:r>
      <w:hyperlink w:history="true" w:anchor="_bookmark1">
        <w:r>
          <w:rPr>
            <w:color w:val="404040"/>
            <w:position w:val="7"/>
            <w:sz w:val="14"/>
          </w:rPr>
          <w:t>1 </w:t>
        </w:r>
      </w:hyperlink>
      <w:r>
        <w:rPr>
          <w:color w:val="404040"/>
        </w:rPr>
        <w:t>income support across Australia.</w:t>
      </w:r>
    </w:p>
    <w:p>
      <w:pPr>
        <w:pStyle w:val="BodyText"/>
        <w:spacing w:before="122"/>
        <w:ind w:left="899" w:right="1220"/>
      </w:pPr>
      <w:r>
        <w:rPr>
          <w:color w:val="404040"/>
        </w:rPr>
        <w:t>We can see that the per capita usage of pre-retirement income support varies considerably both across Australia and within each major population centre. There are areas of higher dependence in each region, and dependence tends to increase as the remoteness of a region increases. Even at a local level within major cities, income support dependency tends to increase in areas further from the city centre.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4"/>
        </w:rPr>
      </w:pPr>
      <w:r>
        <w:rPr/>
        <w:pict>
          <v:shape style="position:absolute;margin-left:51pt;margin-top:16.013603pt;width:144pt;height:.1pt;mso-position-horizontal-relative:page;mso-position-vertical-relative:paragraph;z-index:-251612160;mso-wrap-distance-left:0;mso-wrap-distance-right:0" coordorigin="1020,320" coordsize="2880,0" path="m1020,320l3900,320e" filled="false" stroked="true" strokeweight=".36pt" strokecolor="#404040">
            <v:path arrowok="t"/>
            <v:stroke dashstyle="solid"/>
            <w10:wrap type="topAndBottom"/>
          </v:shape>
        </w:pict>
      </w:r>
    </w:p>
    <w:p>
      <w:pPr>
        <w:pStyle w:val="BodyText"/>
      </w:pPr>
    </w:p>
    <w:p>
      <w:pPr>
        <w:pStyle w:val="BodyText"/>
        <w:spacing w:before="2"/>
      </w:pPr>
    </w:p>
    <w:p>
      <w:pPr>
        <w:spacing w:line="244" w:lineRule="auto" w:before="1"/>
        <w:ind w:left="1128" w:right="1087" w:hanging="229"/>
        <w:jc w:val="left"/>
        <w:rPr>
          <w:sz w:val="16"/>
        </w:rPr>
      </w:pPr>
      <w:bookmarkStart w:name="_bookmark1" w:id="24"/>
      <w:bookmarkEnd w:id="24"/>
      <w:r>
        <w:rPr/>
      </w:r>
      <w:r>
        <w:rPr>
          <w:color w:val="404040"/>
          <w:position w:val="7"/>
          <w:sz w:val="14"/>
        </w:rPr>
        <w:t>1 </w:t>
      </w:r>
      <w:r>
        <w:rPr>
          <w:color w:val="404040"/>
          <w:sz w:val="16"/>
        </w:rPr>
        <w:t>The Working Age class relates to people who received a payment in the ‘IS Working Age’ payment category during the year, as well as a small number of people who received a payment in the ‘IS Dependant’ payment category during the year. The ‘IS Working Age’ payment category includes ABSTUDY – working, Austudy – working, Newstart Allowance, Sickness Allowance, Special Benefit and Youth Allowance (Other). The ‘IS Dependant’ payment category includes Partner Allowance and Widow Allowance.</w:t>
      </w:r>
    </w:p>
    <w:p>
      <w:pPr>
        <w:spacing w:after="0" w:line="244" w:lineRule="auto"/>
        <w:jc w:val="left"/>
        <w:rPr>
          <w:sz w:val="16"/>
        </w:rPr>
        <w:sectPr>
          <w:pgSz w:w="11910" w:h="16850"/>
          <w:pgMar w:header="289" w:footer="298" w:top="500" w:bottom="480" w:left="120" w:right="0"/>
        </w:sectPr>
      </w:pPr>
    </w:p>
    <w:p>
      <w:pPr>
        <w:pStyle w:val="BodyText"/>
      </w:pPr>
    </w:p>
    <w:p>
      <w:pPr>
        <w:pStyle w:val="BodyText"/>
      </w:pPr>
    </w:p>
    <w:p>
      <w:pPr>
        <w:pStyle w:val="BodyText"/>
      </w:pPr>
    </w:p>
    <w:p>
      <w:pPr>
        <w:pStyle w:val="BodyText"/>
        <w:rPr>
          <w:sz w:val="26"/>
        </w:rPr>
      </w:pPr>
    </w:p>
    <w:p>
      <w:pPr>
        <w:pStyle w:val="Heading9"/>
      </w:pPr>
      <w:r>
        <w:rPr>
          <w:color w:val="DF2F1E"/>
        </w:rPr>
        <w:t>Figure 5 Proportion of 16 to 64 year olds in an income support class by region</w:t>
      </w:r>
    </w:p>
    <w:p>
      <w:pPr>
        <w:pStyle w:val="BodyText"/>
        <w:spacing w:before="11"/>
        <w:rPr>
          <w:b/>
          <w:sz w:val="10"/>
        </w:rPr>
      </w:pPr>
      <w:r>
        <w:rPr/>
        <w:drawing>
          <wp:anchor distT="0" distB="0" distL="0" distR="0" allowOverlap="1" layoutInCell="1" locked="0" behindDoc="0" simplePos="0" relativeHeight="46">
            <wp:simplePos x="0" y="0"/>
            <wp:positionH relativeFrom="page">
              <wp:posOffset>783328</wp:posOffset>
            </wp:positionH>
            <wp:positionV relativeFrom="paragraph">
              <wp:posOffset>104841</wp:posOffset>
            </wp:positionV>
            <wp:extent cx="5266535" cy="3755136"/>
            <wp:effectExtent l="0" t="0" r="0" b="0"/>
            <wp:wrapTopAndBottom/>
            <wp:docPr id="7" name="image6.jpeg" descr="This figure shows a map of Australia accompanied by an enlarged view of each capital city.  The map is segmented into regions by ABS statistical area level 3 (SA3).  Regions are coloured by the relative proportion of people aged between 16 and 64 who are in a pre-retirement income support class.  The shading on the map highlights the differences in the utilisation of income support across Australia.  The darker shade denotes that a higher proportion of the region’s population are in an income support class.  The map shows that the per capita usage of pre-retirement income support varies considerably both across Australia and within each major population centre.  Further details about this map are discussed in the accompanying text within the report.  "/>
            <wp:cNvGraphicFramePr>
              <a:graphicFrameLocks noChangeAspect="1"/>
            </wp:cNvGraphicFramePr>
            <a:graphic>
              <a:graphicData uri="http://schemas.openxmlformats.org/drawingml/2006/picture">
                <pic:pic>
                  <pic:nvPicPr>
                    <pic:cNvPr id="8" name="image6.jpeg"/>
                    <pic:cNvPicPr/>
                  </pic:nvPicPr>
                  <pic:blipFill>
                    <a:blip r:embed="rId14" cstate="print"/>
                    <a:stretch>
                      <a:fillRect/>
                    </a:stretch>
                  </pic:blipFill>
                  <pic:spPr>
                    <a:xfrm>
                      <a:off x="0" y="0"/>
                      <a:ext cx="5266535" cy="3755136"/>
                    </a:xfrm>
                    <a:prstGeom prst="rect">
                      <a:avLst/>
                    </a:prstGeom>
                  </pic:spPr>
                </pic:pic>
              </a:graphicData>
            </a:graphic>
          </wp:anchor>
        </w:drawing>
      </w:r>
    </w:p>
    <w:p>
      <w:pPr>
        <w:pStyle w:val="BodyText"/>
        <w:spacing w:before="7"/>
        <w:rPr>
          <w:b/>
          <w:sz w:val="21"/>
        </w:rPr>
      </w:pPr>
    </w:p>
    <w:p>
      <w:pPr>
        <w:pStyle w:val="BodyText"/>
        <w:ind w:left="899" w:right="1010"/>
      </w:pPr>
      <w:r>
        <w:rPr>
          <w:color w:val="404040"/>
        </w:rPr>
        <w:t>We also noted that the areas with higher use of pre-retirement income support was well correlated with areas of higher socio-economic disadvantage.</w:t>
      </w:r>
    </w:p>
    <w:p>
      <w:pPr>
        <w:pStyle w:val="BodyText"/>
        <w:spacing w:before="121"/>
        <w:ind w:left="899" w:right="1077"/>
      </w:pPr>
      <w:r>
        <w:rPr>
          <w:color w:val="404040"/>
        </w:rPr>
        <w:t>The graph below looks at the mix of SEIFA deciles within each welfare class at June 2018. Of particular note is the distribution of SEIFA deciles within the Working Age, Parenting, Carers and Disability Support classes, where a heavy skew exists toward individuals residing in areas with high levels of socio-economic disadvantage (i.e. towards decile 1). There is a significant over representation given that only 10% of the Australian population as a whole live in each of the SEIFA Decile locations.</w:t>
      </w:r>
    </w:p>
    <w:p>
      <w:pPr>
        <w:pStyle w:val="Heading9"/>
        <w:spacing w:before="175"/>
        <w:ind w:left="899"/>
      </w:pPr>
      <w:r>
        <w:rPr>
          <w:color w:val="DF2F1E"/>
        </w:rPr>
        <w:t>Figure 6 SEIFA decile distributions by class</w:t>
      </w:r>
    </w:p>
    <w:p>
      <w:pPr>
        <w:spacing w:before="121"/>
        <w:ind w:left="1107" w:right="0" w:firstLine="0"/>
        <w:jc w:val="left"/>
        <w:rPr>
          <w:rFonts w:ascii="Calibri"/>
          <w:sz w:val="13"/>
        </w:rPr>
      </w:pPr>
      <w:r>
        <w:rPr/>
        <w:pict>
          <v:line style="position:absolute;mso-position-horizontal-relative:page;mso-position-vertical-relative:paragraph;z-index:251707392" from="79.370544pt,10.441543pt" to="410.44657pt,10.441543pt" stroked="true" strokeweight=".564948pt" strokecolor="#d9d9d9">
            <v:stroke dashstyle="solid"/>
            <w10:wrap type="none"/>
          </v:line>
        </w:pict>
      </w:r>
      <w:r>
        <w:rPr>
          <w:rFonts w:ascii="Calibri"/>
          <w:color w:val="585858"/>
          <w:w w:val="105"/>
          <w:sz w:val="13"/>
        </w:rPr>
        <w:t>25%</w:t>
      </w:r>
    </w:p>
    <w:p>
      <w:pPr>
        <w:pStyle w:val="BodyText"/>
        <w:spacing w:before="1"/>
        <w:rPr>
          <w:rFonts w:ascii="Calibri"/>
          <w:sz w:val="14"/>
        </w:rPr>
      </w:pPr>
    </w:p>
    <w:p>
      <w:pPr>
        <w:spacing w:before="78"/>
        <w:ind w:left="1107" w:right="0" w:firstLine="0"/>
        <w:jc w:val="left"/>
        <w:rPr>
          <w:rFonts w:ascii="Calibri"/>
          <w:sz w:val="13"/>
        </w:rPr>
      </w:pPr>
      <w:r>
        <w:rPr/>
        <w:pict>
          <v:group style="position:absolute;margin-left:79.370544pt;margin-top:-.593851pt;width:331.1pt;height:91pt;mso-position-horizontal-relative:page;mso-position-vertical-relative:paragraph;z-index:251706368" coordorigin="1587,-12" coordsize="6622,1820">
            <v:shape style="position:absolute;left:0;top:6083;width:633197;height:38966" coordorigin="0,6084" coordsize="633197,38966" path="m1587,1395l8209,1395m1587,988l8209,988e" filled="false" stroked="true" strokeweight=".565443pt" strokecolor="#d9d9d9">
              <v:path arrowok="t"/>
              <v:stroke dashstyle="solid"/>
            </v:shape>
            <v:line style="position:absolute" from="1655,994" to="1655,1807" stroked="true" strokeweight="1.697824pt" strokecolor="#a0521e">
              <v:stroke dashstyle="solid"/>
            </v:line>
            <v:shape style="position:absolute;left:0;top:84015;width:633197;height:40049" coordorigin="0,84015" coordsize="633197,40049" path="m1587,581l8209,581m1587,163l8209,163e" filled="false" stroked="true" strokeweight=".565443pt" strokecolor="#d9d9d9">
              <v:path arrowok="t"/>
              <v:stroke dashstyle="solid"/>
            </v:shape>
            <v:line style="position:absolute" from="2255,146" to="2255,1807" stroked="true" strokeweight="1.697814pt" strokecolor="#a0521e">
              <v:stroke dashstyle="solid"/>
            </v:line>
            <v:line style="position:absolute" from="2855,67" to="2855,1807" stroked="true" strokeweight="1.697824pt" strokecolor="#a0521e">
              <v:stroke dashstyle="solid"/>
            </v:line>
            <v:line style="position:absolute" from="3461,-12" to="3461,1807" stroked="true" strokeweight="2.263769pt" strokecolor="#a0521e">
              <v:stroke dashstyle="solid"/>
            </v:line>
            <v:line style="position:absolute" from="4061,203" to="4061,1807" stroked="true" strokeweight="2.263769pt" strokecolor="#a0521e">
              <v:stroke dashstyle="solid"/>
            </v:line>
            <v:line style="position:absolute" from="4660,813" to="4660,1807" stroked="true" strokeweight="2.263759pt" strokecolor="#a0521e">
              <v:stroke dashstyle="solid"/>
            </v:line>
            <v:line style="position:absolute" from="5260,1163" to="5260,1807" stroked="true" strokeweight="2.263759pt" strokecolor="#a0521e">
              <v:stroke dashstyle="solid"/>
            </v:line>
            <v:line style="position:absolute" from="5866,1073" to="5866,1807" stroked="true" strokeweight="1.697824pt" strokecolor="#a0521e">
              <v:stroke dashstyle="solid"/>
            </v:line>
            <v:line style="position:absolute" from="6466,1175" to="6466,1807" stroked="true" strokeweight="1.697824pt" strokecolor="#a0521e">
              <v:stroke dashstyle="solid"/>
            </v:line>
            <v:shape style="position:absolute;left:7071;top:1061;width:600;height:746" coordorigin="7071,1062" coordsize="600,746" path="m7071,1152l7071,1807m7671,1062l7671,1807e" filled="false" stroked="true" strokeweight="2.263759pt" strokecolor="#a0521e">
              <v:path arrowok="t"/>
              <v:stroke dashstyle="solid"/>
            </v:shape>
            <v:shape style="position:absolute;left:1706;top:530;width:1200;height:1277" coordorigin="1706,530" coordsize="1200,1277" path="m1706,1107l1706,1807m2306,598l2306,1807m2906,530l2906,1807e" filled="false" stroked="true" strokeweight="2.263759pt" strokecolor="#b65e22">
              <v:path arrowok="t"/>
              <v:stroke dashstyle="solid"/>
            </v:shape>
            <v:shape style="position:absolute;left:3511;top:383;width:600;height:1424" coordorigin="3512,384" coordsize="600,1424" path="m3512,384l3512,1807m4111,519l4111,1807e" filled="false" stroked="true" strokeweight="1.697809pt" strokecolor="#b65e22">
              <v:path arrowok="t"/>
              <v:stroke dashstyle="solid"/>
            </v:shape>
            <v:line style="position:absolute" from="4717,677" to="4717,1807" stroked="true" strokeweight="2.263759pt" strokecolor="#b65e22">
              <v:stroke dashstyle="solid"/>
            </v:line>
            <v:shape style="position:absolute;left:5316;top:948;width:1200;height:859" coordorigin="5317,949" coordsize="1200,859" path="m5317,1095l5317,1807m5917,949l5917,1807m6517,1050l6517,1807e" filled="false" stroked="true" strokeweight="2.263769pt" strokecolor="#b65e22">
              <v:path arrowok="t"/>
              <v:stroke dashstyle="solid"/>
            </v:shape>
            <v:shape style="position:absolute;left:7122;top:1050;width:600;height:758" coordorigin="7122,1050" coordsize="600,758" path="m7122,1107l7122,1807m7722,1050l7722,1807e" filled="false" stroked="true" strokeweight="1.697829pt" strokecolor="#b65e22">
              <v:path arrowok="t"/>
              <v:stroke dashstyle="solid"/>
            </v:shape>
            <v:line style="position:absolute" from="1757,1107" to="1757,1807" stroked="true" strokeweight="1.697811pt" strokecolor="#c76828">
              <v:stroke dashstyle="solid"/>
            </v:line>
            <v:line style="position:absolute" from="2363,768" to="2363,1807" stroked="true" strokeweight="2.263755pt" strokecolor="#c76828">
              <v:stroke dashstyle="solid"/>
            </v:line>
            <v:line style="position:absolute" from="2963,700" to="2963,1807" stroked="true" strokeweight="2.263755pt" strokecolor="#c76828">
              <v:stroke dashstyle="solid"/>
            </v:line>
            <v:line style="position:absolute" from="3563,666" to="3563,1807" stroked="true" strokeweight="2.263745pt" strokecolor="#c76828">
              <v:stroke dashstyle="solid"/>
            </v:line>
            <v:line style="position:absolute" from="4162,711" to="4162,1807" stroked="true" strokeweight="2.263755pt" strokecolor="#c76828">
              <v:stroke dashstyle="solid"/>
            </v:line>
            <v:line style="position:absolute" from="4768,813" to="4768,1807" stroked="true" strokeweight="1.697811pt" strokecolor="#c76828">
              <v:stroke dashstyle="solid"/>
            </v:line>
            <v:line style="position:absolute" from="5368,1028" to="5368,1807" stroked="true" strokeweight="1.697801pt" strokecolor="#c76828">
              <v:stroke dashstyle="solid"/>
            </v:line>
            <v:line style="position:absolute" from="5973,926" to="5973,1807" stroked="true" strokeweight="2.263745pt" strokecolor="#c76828">
              <v:stroke dashstyle="solid"/>
            </v:line>
            <v:line style="position:absolute" from="6573,1028" to="6573,1807" stroked="true" strokeweight="2.263765pt" strokecolor="#c76828">
              <v:stroke dashstyle="solid"/>
            </v:line>
            <v:line style="position:absolute" from="7173,1073" to="7173,1807" stroked="true" strokeweight="2.263745pt" strokecolor="#c76828">
              <v:stroke dashstyle="solid"/>
            </v:line>
            <v:line style="position:absolute" from="7773,1028" to="7773,1807" stroked="true" strokeweight="2.263745pt" strokecolor="#c76828">
              <v:stroke dashstyle="solid"/>
            </v:line>
            <v:line style="position:absolute" from="1808,1073" to="1808,1807" stroked="true" strokeweight="2.263771pt" strokecolor="#d6702b">
              <v:stroke dashstyle="solid"/>
            </v:line>
            <v:line style="position:absolute" from="2414,892" to="2414,1807" stroked="true" strokeweight="1.697823pt" strokecolor="#d6702b">
              <v:stroke dashstyle="solid"/>
            </v:line>
            <v:line style="position:absolute" from="3014,836" to="3014,1807" stroked="true" strokeweight="1.697823pt" strokecolor="#d6702b">
              <v:stroke dashstyle="solid"/>
            </v:line>
            <v:line style="position:absolute" from="3619,926" to="3619,1807" stroked="true" strokeweight="2.263761pt" strokecolor="#d6702b">
              <v:stroke dashstyle="solid"/>
            </v:line>
            <v:shape style="position:absolute;left:4219;top:903;width:600;height:904" coordorigin="4219,903" coordsize="600,904" path="m4219,915l4219,1807m4819,903l4819,1807e" filled="false" stroked="true" strokeweight="2.263771pt" strokecolor="#d6702b">
              <v:path arrowok="t"/>
              <v:stroke dashstyle="solid"/>
            </v:shape>
            <v:line style="position:absolute" from="5419,994" to="5419,1807" stroked="true" strokeweight="2.263761pt" strokecolor="#d6702b">
              <v:stroke dashstyle="solid"/>
            </v:line>
            <v:line style="position:absolute" from="6024,960" to="6024,1807" stroked="true" strokeweight="1.697823pt" strokecolor="#d6702b">
              <v:stroke dashstyle="solid"/>
            </v:line>
            <v:line style="position:absolute" from="6624,1005" to="6624,1807" stroked="true" strokeweight="1.697823pt" strokecolor="#d6702b">
              <v:stroke dashstyle="solid"/>
            </v:line>
            <v:line style="position:absolute" from="7224,1050" to="7224,1807" stroked="true" strokeweight="1.697823pt" strokecolor="#d6702b">
              <v:stroke dashstyle="solid"/>
            </v:line>
            <v:line style="position:absolute" from="7830,1016" to="7830,1807" stroked="true" strokeweight="2.263781pt" strokecolor="#d6702b">
              <v:stroke dashstyle="solid"/>
            </v:line>
            <v:line style="position:absolute" from="1865,1005" to="1865,1807" stroked="true" strokeweight="2.263764pt" strokecolor="#e6792e">
              <v:stroke dashstyle="solid"/>
            </v:line>
            <v:shape style="position:absolute;left:2464;top:959;width:1200;height:848" coordorigin="2465,960" coordsize="1200,848" path="m2465,971l2465,1807m3065,960l3065,1807m3664,994l3664,1807e" filled="false" stroked="true" strokeweight="2.263764pt" strokecolor="#e6792e">
              <v:path arrowok="t"/>
              <v:stroke dashstyle="solid"/>
            </v:shape>
            <v:line style="position:absolute" from="4270,1005" to="4270,1807" stroked="true" strokeweight="1.69782pt" strokecolor="#e6792e">
              <v:stroke dashstyle="solid"/>
            </v:line>
            <v:line style="position:absolute" from="4870,982" to="4870,1807" stroked="true" strokeweight="1.69782pt" strokecolor="#e6792e">
              <v:stroke dashstyle="solid"/>
            </v:line>
            <v:shape style="position:absolute;left:5475;top:914;width:600;height:893" coordorigin="5475,915" coordsize="600,893" path="m5475,926l5475,1807m6075,915l6075,1807e" filled="false" stroked="true" strokeweight="2.263764pt" strokecolor="#e6792e">
              <v:path arrowok="t"/>
              <v:stroke dashstyle="solid"/>
            </v:shape>
            <v:line style="position:absolute" from="6675,1039" to="6675,1807" stroked="true" strokeweight="2.263784pt" strokecolor="#e6792e">
              <v:stroke dashstyle="solid"/>
            </v:line>
            <v:line style="position:absolute" from="7275,1028" to="7275,1807" stroked="true" strokeweight="2.263764pt" strokecolor="#e6792e">
              <v:stroke dashstyle="solid"/>
            </v:line>
            <v:line style="position:absolute" from="7881,994" to="7881,1807" stroked="true" strokeweight="1.69782pt" strokecolor="#e6792e">
              <v:stroke dashstyle="solid"/>
            </v:line>
            <v:shape style="position:absolute;left:1915;top:1005;width:600;height:803" coordorigin="1916,1005" coordsize="600,803" path="m1916,1005l1916,1807m2516,1118l2516,1807e" filled="false" stroked="true" strokeweight="1.697823pt" strokecolor="#ed8953">
              <v:path arrowok="t"/>
              <v:stroke dashstyle="solid"/>
            </v:shape>
            <v:shape style="position:absolute;left:3121;top:1061;width:600;height:746" coordorigin="3121,1062" coordsize="600,746" path="m3121,1062l3121,1807m3721,1163l3721,1807e" filled="false" stroked="true" strokeweight="2.263764pt" strokecolor="#ed8953">
              <v:path arrowok="t"/>
              <v:stroke dashstyle="solid"/>
            </v:shape>
            <v:line style="position:absolute" from="4321,1175" to="4321,1807" stroked="true" strokeweight="2.263764pt" strokecolor="#ed8953">
              <v:stroke dashstyle="solid"/>
            </v:line>
            <v:line style="position:absolute" from="4921,1062" to="4921,1807" stroked="true" strokeweight="2.263774pt" strokecolor="#ed8953">
              <v:stroke dashstyle="solid"/>
            </v:line>
            <v:shape style="position:absolute;left:5526;top:858;width:600;height:950" coordorigin="5526,858" coordsize="600,950" path="m5526,858l5526,1807m6126,949l6126,1807e" filled="false" stroked="true" strokeweight="1.697813pt" strokecolor="#ed8953">
              <v:path arrowok="t"/>
              <v:stroke dashstyle="solid"/>
            </v:shape>
            <v:line style="position:absolute" from="6732,982" to="6732,1807" stroked="true" strokeweight="2.263764pt" strokecolor="#ed8953">
              <v:stroke dashstyle="solid"/>
            </v:line>
            <v:line style="position:absolute" from="7332,1005" to="7332,1807" stroked="true" strokeweight="2.263764pt" strokecolor="#ed8953">
              <v:stroke dashstyle="solid"/>
            </v:line>
            <v:line style="position:absolute" from="7932,982" to="7932,1807" stroked="true" strokeweight="2.263744pt" strokecolor="#ed8953">
              <v:stroke dashstyle="solid"/>
            </v:line>
            <v:shape style="position:absolute;left:1966;top:892;width:600;height:916" coordorigin="1967,892" coordsize="600,916" path="m1967,892l1967,1807m2566,1197l2566,1807e" filled="false" stroked="true" strokeweight="2.263754pt" strokecolor="#f0a080">
              <v:path arrowok="t"/>
              <v:stroke dashstyle="solid"/>
            </v:shape>
            <v:line style="position:absolute" from="3172,1220" to="3172,1807" stroked="true" strokeweight="1.697813pt" strokecolor="#f0a080">
              <v:stroke dashstyle="solid"/>
            </v:line>
            <v:line style="position:absolute" from="3772,1231" to="3772,1807" stroked="true" strokeweight="1.697823pt" strokecolor="#f0a080">
              <v:stroke dashstyle="solid"/>
            </v:line>
            <v:line style="position:absolute" from="4377,1242" to="4377,1807" stroked="true" strokeweight="2.263744pt" strokecolor="#f0a080">
              <v:stroke dashstyle="solid"/>
            </v:line>
            <v:line style="position:absolute" from="4977,1118" to="4977,1807" stroked="true" strokeweight="2.263744pt" strokecolor="#f0a080">
              <v:stroke dashstyle="solid"/>
            </v:line>
            <v:line style="position:absolute" from="5577,881" to="5577,1807" stroked="true" strokeweight="2.263765pt" strokecolor="#f0a080">
              <v:stroke dashstyle="solid"/>
            </v:line>
            <v:line style="position:absolute" from="6177,937" to="6177,1807" stroked="true" strokeweight="2.263744pt" strokecolor="#f0a080">
              <v:stroke dashstyle="solid"/>
            </v:line>
            <v:line style="position:absolute" from="6783,982" to="6783,1807" stroked="true" strokeweight="1.697823pt" strokecolor="#f0a080">
              <v:stroke dashstyle="solid"/>
            </v:line>
            <v:line style="position:absolute" from="7383,971" to="7383,1807" stroked="true" strokeweight="1.697803pt" strokecolor="#f0a080">
              <v:stroke dashstyle="solid"/>
            </v:line>
            <v:line style="position:absolute" from="7983,960" to="7983,1807" stroked="true" strokeweight="1.697823pt" strokecolor="#f0a080">
              <v:stroke dashstyle="solid"/>
            </v:line>
            <v:line style="position:absolute" from="2018,915" to="2018,1807" stroked="true" strokeweight="1.697831pt" strokecolor="#f3b39c">
              <v:stroke dashstyle="solid"/>
            </v:line>
            <v:shape style="position:absolute;left:2623;top:1298;width:600;height:509" coordorigin="2623,1299" coordsize="600,509" path="m2623,1299l2623,1807m3223,1367l3223,1807e" filled="false" stroked="true" strokeweight="2.263768pt" strokecolor="#f3b39c">
              <v:path arrowok="t"/>
              <v:stroke dashstyle="solid"/>
            </v:shape>
            <v:line style="position:absolute" from="3823,1401" to="3823,1807" stroked="true" strokeweight="2.263779pt" strokecolor="#f3b39c">
              <v:stroke dashstyle="solid"/>
            </v:line>
            <v:line style="position:absolute" from="4428,1333" to="4428,1807" stroked="true" strokeweight="1.697831pt" strokecolor="#f3b39c">
              <v:stroke dashstyle="solid"/>
            </v:line>
            <v:line style="position:absolute" from="5028,1152" to="5028,1807" stroked="true" strokeweight="1.697842pt" strokecolor="#f3b39c">
              <v:stroke dashstyle="solid"/>
            </v:line>
            <v:line style="position:absolute" from="5628,915" to="5628,1807" stroked="true" strokeweight="1.697821pt" strokecolor="#f3b39c">
              <v:stroke dashstyle="solid"/>
            </v:line>
            <v:line style="position:absolute" from="6234,949" to="6234,1807" stroked="true" strokeweight="2.263779pt" strokecolor="#f3b39c">
              <v:stroke dashstyle="solid"/>
            </v:line>
            <v:line style="position:absolute" from="6834,926" to="6834,1807" stroked="true" strokeweight="2.263758pt" strokecolor="#f3b39c">
              <v:stroke dashstyle="solid"/>
            </v:line>
            <v:line style="position:absolute" from="7434,903" to="7434,1807" stroked="true" strokeweight="2.263779pt" strokecolor="#f3b39c">
              <v:stroke dashstyle="solid"/>
            </v:line>
            <v:line style="position:absolute" from="8033,937" to="8033,1807" stroked="true" strokeweight="2.263779pt" strokecolor="#f3b39c">
              <v:stroke dashstyle="solid"/>
            </v:line>
            <v:line style="position:absolute" from="2068,779" to="2068,1807" stroked="true" strokeweight="2.263765pt" strokecolor="#f5c4b4">
              <v:stroke dashstyle="solid"/>
            </v:line>
            <v:shape style="position:absolute;left:2674;top:1355;width:600;height:452" coordorigin="2674,1355" coordsize="600,452" path="m2674,1355l2674,1807m3274,1513l3274,1807e" filled="false" stroked="true" strokeweight="1.697826pt" strokecolor="#f5c4b4">
              <v:path arrowok="t"/>
              <v:stroke dashstyle="solid"/>
            </v:shape>
            <v:line style="position:absolute" from="3879,1491" to="3879,1807" stroked="true" strokeweight="2.263775pt" strokecolor="#f5c4b4">
              <v:stroke dashstyle="solid"/>
            </v:line>
            <v:line style="position:absolute" from="4479,1344" to="4479,1807" stroked="true" strokeweight="2.263775pt" strokecolor="#f5c4b4">
              <v:stroke dashstyle="solid"/>
            </v:line>
            <v:line style="position:absolute" from="5079,1242" to="5079,1807" stroked="true" strokeweight="2.263765pt" strokecolor="#f5c4b4">
              <v:stroke dashstyle="solid"/>
            </v:line>
            <v:line style="position:absolute" from="5679,1016" to="5679,1807" stroked="true" strokeweight="2.263765pt" strokecolor="#f5c4b4">
              <v:stroke dashstyle="solid"/>
            </v:line>
            <v:line style="position:absolute" from="6285,1073" to="6285,1807" stroked="true" strokeweight="1.697816pt" strokecolor="#f5c4b4">
              <v:stroke dashstyle="solid"/>
            </v:line>
            <v:line style="position:absolute" from="6885,892" to="6885,1807" stroked="true" strokeweight="1.697837pt" strokecolor="#f5c4b4">
              <v:stroke dashstyle="solid"/>
            </v:line>
            <v:line style="position:absolute" from="7490,802" to="7490,1807" stroked="true" strokeweight="2.263786pt" strokecolor="#f5c4b4">
              <v:stroke dashstyle="solid"/>
            </v:line>
            <v:line style="position:absolute" from="8090,926" to="8090,1807" stroked="true" strokeweight="2.263765pt" strokecolor="#f5c4b4">
              <v:stroke dashstyle="solid"/>
            </v:line>
            <v:shape style="position:absolute;left:2125;top:982;width:1200;height:825" coordorigin="2125,982" coordsize="1200,825" path="m2125,982l2125,1807m2725,1525l2725,1807m3325,1626l3325,1807e" filled="false" stroked="true" strokeweight="2.263762pt" strokecolor="#f7d3c8">
              <v:path arrowok="t"/>
              <v:stroke dashstyle="solid"/>
            </v:shape>
            <v:line style="position:absolute" from="3930,1626" to="3930,1807" stroked="true" strokeweight="1.697827pt" strokecolor="#f7d3c8">
              <v:stroke dashstyle="solid"/>
            </v:line>
            <v:line style="position:absolute" from="4530,1502" to="4530,1807" stroked="true" strokeweight="1.697816pt" strokecolor="#f7d3c8">
              <v:stroke dashstyle="solid"/>
            </v:line>
            <v:line style="position:absolute" from="5136,1378" to="5136,1807" stroked="true" strokeweight="2.263762pt" strokecolor="#f7d3c8">
              <v:stroke dashstyle="solid"/>
            </v:line>
            <v:line style="position:absolute" from="5736,1016" to="5736,1807" stroked="true" strokeweight="2.263783pt" strokecolor="#f7d3c8">
              <v:stroke dashstyle="solid"/>
            </v:line>
            <v:shape style="position:absolute;left:6335;top:812;width:600;height:995" coordorigin="6336,813" coordsize="600,995" path="m6336,1152l6336,1807m6936,813l6936,1807e" filled="false" stroked="true" strokeweight="2.263762pt" strokecolor="#f7d3c8">
              <v:path arrowok="t"/>
              <v:stroke dashstyle="solid"/>
            </v:shape>
            <v:shape style="position:absolute;left:7541;top:767;width:600;height:1040" coordorigin="7541,768" coordsize="600,1040" path="m7541,768l7541,1807m8141,892l8141,1807e" filled="false" stroked="true" strokeweight="1.697827pt" strokecolor="#f7d3c8">
              <v:path arrowok="t"/>
              <v:stroke dashstyle="solid"/>
            </v:shape>
            <v:line style="position:absolute" from="1587,1802" to="8209,1802" stroked="true" strokeweight=".564952pt" strokecolor="#d9d9d9">
              <v:stroke dashstyle="solid"/>
            </v:line>
            <w10:wrap type="none"/>
          </v:group>
        </w:pict>
      </w:r>
      <w:r>
        <w:rPr>
          <w:rFonts w:ascii="Calibri"/>
          <w:color w:val="585858"/>
          <w:w w:val="105"/>
          <w:sz w:val="13"/>
        </w:rPr>
        <w:t>20%</w:t>
      </w:r>
    </w:p>
    <w:p>
      <w:pPr>
        <w:pStyle w:val="BodyText"/>
        <w:spacing w:before="2"/>
        <w:rPr>
          <w:rFonts w:ascii="Calibri"/>
          <w:sz w:val="14"/>
        </w:rPr>
      </w:pPr>
    </w:p>
    <w:p>
      <w:pPr>
        <w:spacing w:before="78"/>
        <w:ind w:left="1107" w:right="0" w:firstLine="0"/>
        <w:jc w:val="left"/>
        <w:rPr>
          <w:rFonts w:ascii="Calibri"/>
          <w:sz w:val="13"/>
        </w:rPr>
      </w:pPr>
      <w:r>
        <w:rPr>
          <w:rFonts w:ascii="Calibri"/>
          <w:color w:val="585858"/>
          <w:w w:val="105"/>
          <w:sz w:val="13"/>
        </w:rPr>
        <w:t>15%</w:t>
      </w:r>
    </w:p>
    <w:p>
      <w:pPr>
        <w:pStyle w:val="BodyText"/>
        <w:spacing w:before="2"/>
        <w:rPr>
          <w:rFonts w:ascii="Calibri"/>
          <w:sz w:val="14"/>
        </w:rPr>
      </w:pPr>
    </w:p>
    <w:p>
      <w:pPr>
        <w:spacing w:before="78"/>
        <w:ind w:left="1107" w:right="0" w:firstLine="0"/>
        <w:jc w:val="left"/>
        <w:rPr>
          <w:rFonts w:ascii="Calibri"/>
          <w:sz w:val="13"/>
        </w:rPr>
      </w:pPr>
      <w:r>
        <w:rPr>
          <w:rFonts w:ascii="Calibri"/>
          <w:color w:val="585858"/>
          <w:w w:val="105"/>
          <w:sz w:val="13"/>
        </w:rPr>
        <w:t>10%</w:t>
      </w:r>
    </w:p>
    <w:p>
      <w:pPr>
        <w:pStyle w:val="BodyText"/>
        <w:spacing w:before="2"/>
        <w:rPr>
          <w:rFonts w:ascii="Calibri"/>
          <w:sz w:val="14"/>
        </w:rPr>
      </w:pPr>
    </w:p>
    <w:p>
      <w:pPr>
        <w:spacing w:before="78"/>
        <w:ind w:left="1175" w:right="0" w:firstLine="0"/>
        <w:jc w:val="left"/>
        <w:rPr>
          <w:rFonts w:ascii="Calibri"/>
          <w:sz w:val="13"/>
        </w:rPr>
      </w:pPr>
      <w:r>
        <w:rPr>
          <w:rFonts w:ascii="Calibri"/>
          <w:color w:val="585858"/>
          <w:w w:val="105"/>
          <w:sz w:val="13"/>
        </w:rPr>
        <w:t>5%</w:t>
      </w:r>
    </w:p>
    <w:p>
      <w:pPr>
        <w:pStyle w:val="BodyText"/>
        <w:spacing w:before="1"/>
        <w:rPr>
          <w:rFonts w:ascii="Calibri"/>
          <w:sz w:val="14"/>
        </w:rPr>
      </w:pPr>
    </w:p>
    <w:p>
      <w:pPr>
        <w:spacing w:after="0"/>
        <w:rPr>
          <w:rFonts w:ascii="Calibri"/>
          <w:sz w:val="14"/>
        </w:rPr>
        <w:sectPr>
          <w:pgSz w:w="11910" w:h="16850"/>
          <w:pgMar w:header="289" w:footer="298" w:top="500" w:bottom="480" w:left="120" w:right="0"/>
        </w:sectPr>
      </w:pPr>
    </w:p>
    <w:p>
      <w:pPr>
        <w:spacing w:before="78"/>
        <w:ind w:left="1156" w:right="1644" w:firstLine="0"/>
        <w:jc w:val="center"/>
        <w:rPr>
          <w:rFonts w:ascii="Calibri"/>
          <w:sz w:val="13"/>
        </w:rPr>
      </w:pPr>
      <w:r>
        <w:rPr>
          <w:rFonts w:ascii="Calibri"/>
          <w:color w:val="585858"/>
          <w:w w:val="105"/>
          <w:sz w:val="13"/>
        </w:rPr>
        <w:t>0%</w:t>
      </w:r>
    </w:p>
    <w:p>
      <w:pPr>
        <w:tabs>
          <w:tab w:pos="3006" w:val="right" w:leader="none"/>
        </w:tabs>
        <w:spacing w:before="18"/>
        <w:ind w:left="1479" w:right="0" w:firstLine="0"/>
        <w:jc w:val="center"/>
        <w:rPr>
          <w:rFonts w:ascii="Calibri"/>
          <w:sz w:val="13"/>
        </w:rPr>
      </w:pPr>
      <w:r>
        <w:rPr>
          <w:rFonts w:ascii="Calibri"/>
          <w:color w:val="585858"/>
          <w:w w:val="105"/>
          <w:sz w:val="13"/>
        </w:rPr>
        <w:t>1 Studying</w:t>
      </w:r>
      <w:r>
        <w:rPr>
          <w:rFonts w:ascii="Calibri"/>
          <w:color w:val="585858"/>
          <w:spacing w:val="-1"/>
          <w:w w:val="105"/>
          <w:sz w:val="13"/>
        </w:rPr>
        <w:t> </w:t>
      </w:r>
      <w:r>
        <w:rPr>
          <w:rFonts w:ascii="Calibri"/>
          <w:color w:val="585858"/>
          <w:w w:val="105"/>
          <w:sz w:val="13"/>
        </w:rPr>
        <w:t>2</w:t>
      </w:r>
      <w:r>
        <w:rPr>
          <w:rFonts w:ascii="Calibri"/>
          <w:color w:val="585858"/>
          <w:spacing w:val="-1"/>
          <w:w w:val="105"/>
          <w:sz w:val="13"/>
        </w:rPr>
        <w:t> </w:t>
      </w:r>
      <w:r>
        <w:rPr>
          <w:rFonts w:ascii="Calibri"/>
          <w:color w:val="585858"/>
          <w:w w:val="105"/>
          <w:sz w:val="13"/>
        </w:rPr>
        <w:t>Working</w:t>
        <w:tab/>
        <w:t>3</w:t>
      </w:r>
    </w:p>
    <w:p>
      <w:pPr>
        <w:tabs>
          <w:tab w:pos="1163" w:val="right" w:leader="none"/>
        </w:tabs>
        <w:spacing w:before="255"/>
        <w:ind w:left="301" w:right="0" w:firstLine="0"/>
        <w:jc w:val="left"/>
        <w:rPr>
          <w:rFonts w:ascii="Calibri"/>
          <w:sz w:val="13"/>
        </w:rPr>
      </w:pPr>
      <w:r>
        <w:rPr/>
        <w:br w:type="column"/>
      </w:r>
      <w:r>
        <w:rPr>
          <w:rFonts w:ascii="Calibri"/>
          <w:color w:val="585858"/>
          <w:w w:val="105"/>
          <w:sz w:val="13"/>
        </w:rPr>
        <w:t>4 Carers</w:t>
        <w:tab/>
        <w:t>5</w:t>
      </w:r>
    </w:p>
    <w:p>
      <w:pPr>
        <w:pStyle w:val="ListParagraph"/>
        <w:numPr>
          <w:ilvl w:val="1"/>
          <w:numId w:val="3"/>
        </w:numPr>
        <w:tabs>
          <w:tab w:pos="379" w:val="left" w:leader="none"/>
        </w:tabs>
        <w:spacing w:line="240" w:lineRule="auto" w:before="255" w:after="0"/>
        <w:ind w:left="378" w:right="0" w:hanging="137"/>
        <w:jc w:val="left"/>
        <w:rPr>
          <w:rFonts w:ascii="Calibri"/>
          <w:color w:val="585858"/>
          <w:sz w:val="13"/>
        </w:rPr>
      </w:pPr>
      <w:r>
        <w:rPr>
          <w:rFonts w:ascii="Calibri"/>
          <w:color w:val="585858"/>
          <w:spacing w:val="-3"/>
          <w:w w:val="104"/>
          <w:sz w:val="13"/>
        </w:rPr>
        <w:br w:type="column"/>
      </w:r>
      <w:r>
        <w:rPr>
          <w:rFonts w:ascii="Calibri"/>
          <w:color w:val="585858"/>
          <w:w w:val="105"/>
          <w:sz w:val="13"/>
        </w:rPr>
        <w:t>Pension 7 Non</w:t>
      </w:r>
      <w:r>
        <w:rPr>
          <w:rFonts w:ascii="Calibri"/>
          <w:color w:val="585858"/>
          <w:spacing w:val="-13"/>
          <w:w w:val="105"/>
          <w:sz w:val="13"/>
        </w:rPr>
        <w:t> </w:t>
      </w:r>
      <w:r>
        <w:rPr>
          <w:rFonts w:ascii="Calibri"/>
          <w:color w:val="585858"/>
          <w:spacing w:val="-8"/>
          <w:w w:val="105"/>
          <w:sz w:val="13"/>
        </w:rPr>
        <w:t>IS</w:t>
      </w:r>
    </w:p>
    <w:p>
      <w:pPr>
        <w:pStyle w:val="ListParagraph"/>
        <w:numPr>
          <w:ilvl w:val="0"/>
          <w:numId w:val="7"/>
        </w:numPr>
        <w:tabs>
          <w:tab w:pos="206" w:val="left" w:leader="none"/>
        </w:tabs>
        <w:spacing w:line="240" w:lineRule="auto" w:before="255" w:after="0"/>
        <w:ind w:left="205" w:right="0" w:hanging="103"/>
        <w:jc w:val="left"/>
        <w:rPr>
          <w:rFonts w:ascii="Calibri"/>
          <w:sz w:val="13"/>
        </w:rPr>
      </w:pPr>
      <w:r>
        <w:rPr>
          <w:rFonts w:ascii="Calibri"/>
          <w:color w:val="585858"/>
          <w:spacing w:val="2"/>
          <w:w w:val="104"/>
          <w:sz w:val="13"/>
        </w:rPr>
        <w:br w:type="column"/>
      </w:r>
      <w:r>
        <w:rPr>
          <w:rFonts w:ascii="Calibri"/>
          <w:color w:val="585858"/>
          <w:w w:val="105"/>
          <w:sz w:val="13"/>
        </w:rPr>
        <w:t>Non</w:t>
      </w:r>
      <w:r>
        <w:rPr>
          <w:rFonts w:ascii="Calibri"/>
          <w:color w:val="585858"/>
          <w:spacing w:val="-2"/>
          <w:w w:val="105"/>
          <w:sz w:val="13"/>
        </w:rPr>
        <w:t> </w:t>
      </w:r>
      <w:r>
        <w:rPr>
          <w:rFonts w:ascii="Calibri"/>
          <w:color w:val="585858"/>
          <w:spacing w:val="-10"/>
          <w:w w:val="105"/>
          <w:sz w:val="13"/>
        </w:rPr>
        <w:t>IS</w:t>
      </w:r>
    </w:p>
    <w:p>
      <w:pPr>
        <w:pStyle w:val="ListParagraph"/>
        <w:numPr>
          <w:ilvl w:val="0"/>
          <w:numId w:val="7"/>
        </w:numPr>
        <w:tabs>
          <w:tab w:pos="206" w:val="left" w:leader="none"/>
        </w:tabs>
        <w:spacing w:line="240" w:lineRule="auto" w:before="255" w:after="0"/>
        <w:ind w:left="205" w:right="0" w:hanging="103"/>
        <w:jc w:val="left"/>
        <w:rPr>
          <w:rFonts w:ascii="Calibri"/>
          <w:sz w:val="13"/>
        </w:rPr>
      </w:pPr>
      <w:r>
        <w:rPr>
          <w:rFonts w:ascii="Calibri"/>
          <w:color w:val="585858"/>
          <w:spacing w:val="2"/>
          <w:w w:val="104"/>
          <w:sz w:val="13"/>
        </w:rPr>
        <w:br w:type="column"/>
      </w:r>
      <w:r>
        <w:rPr>
          <w:rFonts w:ascii="Calibri"/>
          <w:color w:val="585858"/>
          <w:w w:val="105"/>
          <w:sz w:val="13"/>
        </w:rPr>
        <w:t>Non</w:t>
      </w:r>
      <w:r>
        <w:rPr>
          <w:rFonts w:ascii="Calibri"/>
          <w:color w:val="585858"/>
          <w:spacing w:val="-2"/>
          <w:w w:val="105"/>
          <w:sz w:val="13"/>
        </w:rPr>
        <w:t> </w:t>
      </w:r>
      <w:r>
        <w:rPr>
          <w:rFonts w:ascii="Calibri"/>
          <w:color w:val="585858"/>
          <w:spacing w:val="-10"/>
          <w:w w:val="105"/>
          <w:sz w:val="13"/>
        </w:rPr>
        <w:t>IS</w:t>
      </w:r>
    </w:p>
    <w:p>
      <w:pPr>
        <w:pStyle w:val="ListParagraph"/>
        <w:numPr>
          <w:ilvl w:val="0"/>
          <w:numId w:val="7"/>
        </w:numPr>
        <w:tabs>
          <w:tab w:pos="657" w:val="left" w:leader="none"/>
          <w:tab w:pos="658" w:val="left" w:leader="none"/>
        </w:tabs>
        <w:spacing w:line="240" w:lineRule="auto" w:before="255" w:after="0"/>
        <w:ind w:left="657" w:right="0" w:hanging="395"/>
        <w:jc w:val="left"/>
        <w:rPr>
          <w:rFonts w:ascii="Calibri"/>
          <w:sz w:val="13"/>
        </w:rPr>
      </w:pPr>
      <w:r>
        <w:rPr>
          <w:rFonts w:ascii="Calibri"/>
          <w:color w:val="585858"/>
          <w:spacing w:val="-1"/>
          <w:w w:val="104"/>
          <w:sz w:val="13"/>
        </w:rPr>
        <w:br w:type="column"/>
      </w:r>
      <w:r>
        <w:rPr>
          <w:rFonts w:ascii="Calibri"/>
          <w:color w:val="585858"/>
          <w:w w:val="105"/>
          <w:sz w:val="13"/>
        </w:rPr>
        <w:t>12 Rest</w:t>
      </w:r>
      <w:r>
        <w:rPr>
          <w:rFonts w:ascii="Calibri"/>
          <w:color w:val="585858"/>
          <w:spacing w:val="3"/>
          <w:w w:val="105"/>
          <w:sz w:val="13"/>
        </w:rPr>
        <w:t> </w:t>
      </w:r>
      <w:r>
        <w:rPr>
          <w:rFonts w:ascii="Calibri"/>
          <w:color w:val="585858"/>
          <w:w w:val="105"/>
          <w:sz w:val="13"/>
        </w:rPr>
        <w:t>of</w:t>
      </w:r>
    </w:p>
    <w:p>
      <w:pPr>
        <w:spacing w:after="0" w:line="240" w:lineRule="auto"/>
        <w:jc w:val="left"/>
        <w:rPr>
          <w:rFonts w:ascii="Calibri"/>
          <w:sz w:val="13"/>
        </w:rPr>
        <w:sectPr>
          <w:type w:val="continuous"/>
          <w:pgSz w:w="11910" w:h="16850"/>
          <w:pgMar w:top="1600" w:bottom="280" w:left="120" w:right="0"/>
          <w:cols w:num="6" w:equalWidth="0">
            <w:col w:w="3007" w:space="40"/>
            <w:col w:w="1164" w:space="39"/>
            <w:col w:w="1359" w:space="40"/>
            <w:col w:w="562" w:space="39"/>
            <w:col w:w="562" w:space="40"/>
            <w:col w:w="4938"/>
          </w:cols>
        </w:sectPr>
      </w:pPr>
    </w:p>
    <w:p>
      <w:pPr>
        <w:spacing w:before="6"/>
        <w:ind w:left="0" w:right="0" w:firstLine="0"/>
        <w:jc w:val="right"/>
        <w:rPr>
          <w:rFonts w:ascii="Calibri"/>
          <w:sz w:val="13"/>
        </w:rPr>
      </w:pPr>
      <w:r>
        <w:rPr>
          <w:rFonts w:ascii="Calibri"/>
          <w:color w:val="585858"/>
          <w:w w:val="105"/>
          <w:sz w:val="13"/>
        </w:rPr>
        <w:t>Age</w:t>
      </w:r>
    </w:p>
    <w:p>
      <w:pPr>
        <w:spacing w:before="6"/>
        <w:ind w:left="185" w:right="0" w:firstLine="0"/>
        <w:jc w:val="left"/>
        <w:rPr>
          <w:rFonts w:ascii="Calibri"/>
          <w:sz w:val="13"/>
        </w:rPr>
      </w:pPr>
      <w:r>
        <w:rPr/>
        <w:br w:type="column"/>
      </w:r>
      <w:r>
        <w:rPr>
          <w:rFonts w:ascii="Calibri"/>
          <w:color w:val="585858"/>
          <w:spacing w:val="-2"/>
          <w:w w:val="105"/>
          <w:sz w:val="13"/>
        </w:rPr>
        <w:t>Parenting</w:t>
      </w:r>
    </w:p>
    <w:p>
      <w:pPr>
        <w:spacing w:before="6"/>
        <w:ind w:left="653" w:right="0" w:firstLine="0"/>
        <w:jc w:val="left"/>
        <w:rPr>
          <w:rFonts w:ascii="Calibri"/>
          <w:sz w:val="13"/>
        </w:rPr>
      </w:pPr>
      <w:r>
        <w:rPr/>
        <w:br w:type="column"/>
      </w:r>
      <w:r>
        <w:rPr>
          <w:rFonts w:ascii="Calibri"/>
          <w:color w:val="585858"/>
          <w:spacing w:val="-1"/>
          <w:w w:val="105"/>
          <w:sz w:val="13"/>
        </w:rPr>
        <w:t>Disability</w:t>
      </w:r>
    </w:p>
    <w:p>
      <w:pPr>
        <w:spacing w:before="6"/>
        <w:ind w:left="206" w:right="0" w:firstLine="0"/>
        <w:jc w:val="left"/>
        <w:rPr>
          <w:rFonts w:ascii="Calibri"/>
          <w:sz w:val="13"/>
        </w:rPr>
      </w:pPr>
      <w:r>
        <w:rPr/>
        <w:br w:type="column"/>
      </w:r>
      <w:r>
        <w:rPr>
          <w:rFonts w:ascii="Calibri"/>
          <w:color w:val="585858"/>
          <w:w w:val="105"/>
          <w:sz w:val="13"/>
        </w:rPr>
        <w:t>Age</w:t>
      </w:r>
    </w:p>
    <w:p>
      <w:pPr>
        <w:spacing w:before="6"/>
        <w:ind w:left="272" w:right="0" w:firstLine="0"/>
        <w:jc w:val="left"/>
        <w:rPr>
          <w:rFonts w:ascii="Calibri"/>
          <w:sz w:val="13"/>
        </w:rPr>
      </w:pPr>
      <w:r>
        <w:rPr/>
        <w:br w:type="column"/>
      </w:r>
      <w:r>
        <w:rPr>
          <w:rFonts w:ascii="Calibri"/>
          <w:color w:val="585858"/>
          <w:sz w:val="13"/>
        </w:rPr>
        <w:t>Family</w:t>
      </w:r>
    </w:p>
    <w:p>
      <w:pPr>
        <w:spacing w:before="6"/>
        <w:ind w:left="235" w:right="0" w:firstLine="0"/>
        <w:jc w:val="left"/>
        <w:rPr>
          <w:rFonts w:ascii="Calibri"/>
          <w:sz w:val="13"/>
        </w:rPr>
      </w:pPr>
      <w:r>
        <w:rPr/>
        <w:br w:type="column"/>
      </w:r>
      <w:r>
        <w:rPr>
          <w:rFonts w:ascii="Calibri"/>
          <w:color w:val="585858"/>
          <w:spacing w:val="-1"/>
          <w:w w:val="105"/>
          <w:sz w:val="13"/>
        </w:rPr>
        <w:t>Carer</w:t>
      </w:r>
    </w:p>
    <w:p>
      <w:pPr>
        <w:spacing w:before="6"/>
        <w:ind w:left="254" w:right="0" w:firstLine="0"/>
        <w:jc w:val="left"/>
        <w:rPr>
          <w:rFonts w:ascii="Calibri"/>
          <w:sz w:val="13"/>
        </w:rPr>
      </w:pPr>
      <w:r>
        <w:rPr/>
        <w:br w:type="column"/>
      </w:r>
      <w:r>
        <w:rPr>
          <w:rFonts w:ascii="Calibri"/>
          <w:color w:val="585858"/>
          <w:spacing w:val="-1"/>
          <w:w w:val="105"/>
          <w:sz w:val="13"/>
        </w:rPr>
        <w:t>Other</w:t>
      </w:r>
    </w:p>
    <w:p>
      <w:pPr>
        <w:spacing w:before="6"/>
        <w:ind w:left="166" w:right="0" w:firstLine="0"/>
        <w:jc w:val="left"/>
        <w:rPr>
          <w:rFonts w:ascii="Calibri"/>
          <w:sz w:val="13"/>
        </w:rPr>
      </w:pPr>
      <w:r>
        <w:rPr/>
        <w:br w:type="column"/>
      </w:r>
      <w:r>
        <w:rPr>
          <w:rFonts w:ascii="Calibri"/>
          <w:color w:val="585858"/>
          <w:spacing w:val="-1"/>
          <w:w w:val="105"/>
          <w:sz w:val="13"/>
        </w:rPr>
        <w:t>Previous</w:t>
      </w:r>
    </w:p>
    <w:p>
      <w:pPr>
        <w:spacing w:before="6"/>
        <w:ind w:left="185" w:right="0" w:firstLine="0"/>
        <w:jc w:val="left"/>
        <w:rPr>
          <w:rFonts w:ascii="Calibri"/>
          <w:sz w:val="13"/>
        </w:rPr>
      </w:pPr>
      <w:r>
        <w:rPr/>
        <w:br w:type="column"/>
      </w:r>
      <w:r>
        <w:rPr>
          <w:rFonts w:ascii="Calibri"/>
          <w:color w:val="585858"/>
          <w:w w:val="105"/>
          <w:sz w:val="13"/>
        </w:rPr>
        <w:t>Aust.</w:t>
      </w:r>
    </w:p>
    <w:p>
      <w:pPr>
        <w:spacing w:after="0"/>
        <w:jc w:val="left"/>
        <w:rPr>
          <w:rFonts w:ascii="Calibri"/>
          <w:sz w:val="13"/>
        </w:rPr>
        <w:sectPr>
          <w:type w:val="continuous"/>
          <w:pgSz w:w="11910" w:h="16850"/>
          <w:pgMar w:top="1600" w:bottom="280" w:left="120" w:right="0"/>
          <w:cols w:num="9" w:equalWidth="0">
            <w:col w:w="2481" w:space="40"/>
            <w:col w:w="710" w:space="39"/>
            <w:col w:w="1157" w:space="39"/>
            <w:col w:w="421" w:space="40"/>
            <w:col w:w="628" w:space="40"/>
            <w:col w:w="533" w:space="40"/>
            <w:col w:w="574" w:space="39"/>
            <w:col w:w="639" w:space="39"/>
            <w:col w:w="4331"/>
          </w:cols>
        </w:sectPr>
      </w:pPr>
    </w:p>
    <w:p>
      <w:pPr>
        <w:spacing w:before="7"/>
        <w:ind w:left="0" w:right="0" w:firstLine="0"/>
        <w:jc w:val="right"/>
        <w:rPr>
          <w:rFonts w:ascii="Calibri"/>
          <w:sz w:val="13"/>
        </w:rPr>
      </w:pPr>
      <w:r>
        <w:rPr>
          <w:rFonts w:ascii="Calibri"/>
          <w:color w:val="585858"/>
          <w:w w:val="105"/>
          <w:sz w:val="13"/>
        </w:rPr>
        <w:t>Support</w:t>
      </w:r>
    </w:p>
    <w:p>
      <w:pPr>
        <w:spacing w:line="249" w:lineRule="auto" w:before="7"/>
        <w:ind w:left="2462" w:right="3196" w:firstLine="64"/>
        <w:jc w:val="left"/>
        <w:rPr>
          <w:rFonts w:ascii="Calibri"/>
          <w:sz w:val="13"/>
        </w:rPr>
      </w:pPr>
      <w:r>
        <w:rPr/>
        <w:br w:type="column"/>
      </w:r>
      <w:r>
        <w:rPr>
          <w:rFonts w:ascii="Calibri"/>
          <w:color w:val="585858"/>
          <w:w w:val="105"/>
          <w:sz w:val="13"/>
        </w:rPr>
        <w:t>Welfare Population Recipients</w:t>
      </w:r>
    </w:p>
    <w:p>
      <w:pPr>
        <w:spacing w:after="0" w:line="249" w:lineRule="auto"/>
        <w:jc w:val="left"/>
        <w:rPr>
          <w:rFonts w:ascii="Calibri"/>
          <w:sz w:val="13"/>
        </w:rPr>
        <w:sectPr>
          <w:type w:val="continuous"/>
          <w:pgSz w:w="11910" w:h="16850"/>
          <w:pgMar w:top="1600" w:bottom="280" w:left="120" w:right="0"/>
          <w:cols w:num="2" w:equalWidth="0">
            <w:col w:w="4397" w:space="40"/>
            <w:col w:w="7353"/>
          </w:cols>
        </w:sectPr>
      </w:pPr>
    </w:p>
    <w:p>
      <w:pPr>
        <w:spacing w:before="136"/>
        <w:ind w:left="1578" w:right="0" w:firstLine="0"/>
        <w:jc w:val="left"/>
        <w:rPr>
          <w:rFonts w:ascii="Calibri"/>
          <w:sz w:val="13"/>
        </w:rPr>
      </w:pPr>
      <w:r>
        <w:rPr/>
        <w:pict>
          <v:rect style="position:absolute;margin-left:79.653473pt;margin-top:9.632443pt;width:3.960495pt;height:3.388995pt;mso-position-horizontal-relative:page;mso-position-vertical-relative:paragraph;z-index:251708416" filled="true" fillcolor="#a0521e" stroked="false">
            <v:fill type="solid"/>
            <w10:wrap type="none"/>
          </v:rect>
        </w:pict>
      </w:r>
      <w:r>
        <w:rPr/>
        <w:pict>
          <v:rect style="position:absolute;margin-left:111.346146pt;margin-top:9.632443pt;width:3.960495pt;height:3.388995pt;mso-position-horizontal-relative:page;mso-position-vertical-relative:paragraph;z-index:-288193536" filled="true" fillcolor="#b65e22" stroked="false">
            <v:fill type="solid"/>
            <w10:wrap type="none"/>
          </v:rect>
        </w:pict>
      </w:r>
      <w:r>
        <w:rPr/>
        <w:pict>
          <v:rect style="position:absolute;margin-left:143.604736pt;margin-top:9.632443pt;width:3.960495pt;height:3.388995pt;mso-position-horizontal-relative:page;mso-position-vertical-relative:paragraph;z-index:-288192512" filled="true" fillcolor="#c76828" stroked="false">
            <v:fill type="solid"/>
            <w10:wrap type="none"/>
          </v:rect>
        </w:pict>
      </w:r>
      <w:r>
        <w:rPr/>
        <w:pict>
          <v:rect style="position:absolute;margin-left:175.863342pt;margin-top:9.632443pt;width:3.39471pt;height:3.388995pt;mso-position-horizontal-relative:page;mso-position-vertical-relative:paragraph;z-index:-288191488" filled="true" fillcolor="#d6702b" stroked="false">
            <v:fill type="solid"/>
            <w10:wrap type="none"/>
          </v:rect>
        </w:pict>
      </w:r>
      <w:r>
        <w:rPr/>
        <w:pict>
          <v:rect style="position:absolute;margin-left:207.556pt;margin-top:9.632443pt;width:3.960495pt;height:3.388995pt;mso-position-horizontal-relative:page;mso-position-vertical-relative:paragraph;z-index:-288190464" filled="true" fillcolor="#e6792e" stroked="false">
            <v:fill type="solid"/>
            <w10:wrap type="none"/>
          </v:rect>
        </w:pict>
      </w:r>
      <w:r>
        <w:rPr/>
        <w:pict>
          <v:rect style="position:absolute;margin-left:239.814606pt;margin-top:9.632443pt;width:3.39471pt;height:3.388995pt;mso-position-horizontal-relative:page;mso-position-vertical-relative:paragraph;z-index:-288189440" filled="true" fillcolor="#ed8953" stroked="false">
            <v:fill type="solid"/>
            <w10:wrap type="none"/>
          </v:rect>
        </w:pict>
      </w:r>
      <w:r>
        <w:rPr/>
        <w:pict>
          <v:rect style="position:absolute;margin-left:271.507263pt;margin-top:9.632443pt;width:3.960495pt;height:3.388995pt;mso-position-horizontal-relative:page;mso-position-vertical-relative:paragraph;z-index:-288188416" filled="true" fillcolor="#f0a080" stroked="false">
            <v:fill type="solid"/>
            <w10:wrap type="none"/>
          </v:rect>
        </w:pict>
      </w:r>
      <w:r>
        <w:rPr/>
        <w:pict>
          <v:rect style="position:absolute;margin-left:303.765869pt;margin-top:9.632443pt;width:3.39471pt;height:3.388995pt;mso-position-horizontal-relative:page;mso-position-vertical-relative:paragraph;z-index:-288187392" filled="true" fillcolor="#f3b39c" stroked="false">
            <v:fill type="solid"/>
            <w10:wrap type="none"/>
          </v:rect>
        </w:pict>
      </w:r>
      <w:r>
        <w:rPr/>
        <w:pict>
          <v:rect style="position:absolute;margin-left:335.458527pt;margin-top:9.632443pt;width:3.960495pt;height:3.388995pt;mso-position-horizontal-relative:page;mso-position-vertical-relative:paragraph;z-index:-288186368" filled="true" fillcolor="#f5c4b4" stroked="false">
            <v:fill type="solid"/>
            <w10:wrap type="none"/>
          </v:rect>
        </w:pict>
      </w:r>
      <w:r>
        <w:rPr/>
        <w:pict>
          <v:rect style="position:absolute;margin-left:367.717133pt;margin-top:9.632443pt;width:3.39471pt;height:3.388995pt;mso-position-horizontal-relative:page;mso-position-vertical-relative:paragraph;z-index:-288185344" filled="true" fillcolor="#f7d3c8" stroked="false">
            <v:fill type="solid"/>
            <w10:wrap type="none"/>
          </v:rect>
        </w:pict>
      </w:r>
      <w:r>
        <w:rPr>
          <w:rFonts w:ascii="Calibri"/>
          <w:color w:val="585858"/>
          <w:w w:val="105"/>
          <w:sz w:val="13"/>
        </w:rPr>
        <w:t>Decile 1 Decile 2 Decile 3 Decile 4 Decile 5 Decile 6 Decile 7 Decile 8 Decile 9 Decile 10</w:t>
      </w:r>
    </w:p>
    <w:p>
      <w:pPr>
        <w:pStyle w:val="BodyText"/>
        <w:spacing w:before="265"/>
        <w:ind w:left="899" w:right="1077"/>
      </w:pPr>
      <w:r>
        <w:rPr>
          <w:color w:val="404040"/>
        </w:rPr>
        <w:t>Overall, people living in areas with the highest level of socio-economic disadvantage are over three times more likely to be in receipt of income support than those living in areas with the lowest level of socio-economic disadvantage. The difference is greatest for Parenting and Carer payments; people in areas with the highest level of socio-economic disadvantage are almost ten times more likely to be in receipt of these payments than those living in areas with the lowest level of socio-economic disadvantage.</w:t>
      </w:r>
    </w:p>
    <w:p>
      <w:pPr>
        <w:spacing w:after="0"/>
        <w:sectPr>
          <w:type w:val="continuous"/>
          <w:pgSz w:w="11910" w:h="16850"/>
          <w:pgMar w:top="1600" w:bottom="280" w:left="120" w:right="0"/>
        </w:sectPr>
      </w:pPr>
    </w:p>
    <w:p>
      <w:pPr>
        <w:pStyle w:val="BodyText"/>
        <w:rPr>
          <w:sz w:val="26"/>
        </w:rPr>
      </w:pPr>
    </w:p>
    <w:p>
      <w:pPr>
        <w:pStyle w:val="BodyText"/>
        <w:rPr>
          <w:sz w:val="26"/>
        </w:rPr>
      </w:pPr>
    </w:p>
    <w:p>
      <w:pPr>
        <w:pStyle w:val="BodyText"/>
        <w:rPr>
          <w:sz w:val="26"/>
        </w:rPr>
      </w:pPr>
    </w:p>
    <w:p>
      <w:pPr>
        <w:pStyle w:val="Heading4"/>
        <w:spacing w:before="189"/>
      </w:pPr>
      <w:bookmarkStart w:name="What does the model tell us about region" w:id="25"/>
      <w:bookmarkEnd w:id="25"/>
      <w:r>
        <w:rPr/>
      </w:r>
      <w:r>
        <w:rPr>
          <w:color w:val="DF2F28"/>
        </w:rPr>
        <w:t>What does the model tell us about regional welfare use going forward?</w:t>
      </w:r>
    </w:p>
    <w:p>
      <w:pPr>
        <w:pStyle w:val="BodyText"/>
        <w:spacing w:before="119"/>
        <w:ind w:left="900" w:right="1198"/>
      </w:pPr>
      <w:r>
        <w:rPr>
          <w:color w:val="404040"/>
        </w:rPr>
        <w:t>The level of socio-economic advantage or disadvantage of a region is a strong predictor within the model. For those individuals that have never accessed welfare, the likelihood of entering the system for the first time through a Working Age payment increases significantly with the level of socio-economic disadvantage of their location of residence. A similar effect is observed for entries into the Parenting, Carers and Disability Support classes.</w:t>
      </w:r>
    </w:p>
    <w:p>
      <w:pPr>
        <w:pStyle w:val="BodyText"/>
        <w:spacing w:before="122"/>
        <w:ind w:left="900" w:right="1287"/>
      </w:pPr>
      <w:r>
        <w:rPr>
          <w:color w:val="404040"/>
        </w:rPr>
        <w:t>The flow on effect of socio-economic advantage or disadvantage of a region over a lifetime can be seen by comparing the average lifetime costs of individuals. The map below shows how the pre-retirement average lifetime cost varies by region for current 11 to 17 year olds. The average lifetime cost for this group is around</w:t>
      </w:r>
    </w:p>
    <w:p>
      <w:pPr>
        <w:pStyle w:val="BodyText"/>
        <w:spacing w:line="229" w:lineRule="exact"/>
        <w:ind w:left="899"/>
      </w:pPr>
      <w:r>
        <w:rPr>
          <w:color w:val="404040"/>
        </w:rPr>
        <w:t>$115,000.</w:t>
      </w:r>
    </w:p>
    <w:p>
      <w:pPr>
        <w:pStyle w:val="Heading9"/>
        <w:spacing w:before="176"/>
        <w:ind w:left="899"/>
      </w:pPr>
      <w:r>
        <w:rPr/>
        <w:drawing>
          <wp:anchor distT="0" distB="0" distL="0" distR="0" allowOverlap="1" layoutInCell="1" locked="0" behindDoc="0" simplePos="0" relativeHeight="59">
            <wp:simplePos x="0" y="0"/>
            <wp:positionH relativeFrom="page">
              <wp:posOffset>783328</wp:posOffset>
            </wp:positionH>
            <wp:positionV relativeFrom="paragraph">
              <wp:posOffset>286958</wp:posOffset>
            </wp:positionV>
            <wp:extent cx="5267436" cy="3755136"/>
            <wp:effectExtent l="0" t="0" r="0" b="0"/>
            <wp:wrapTopAndBottom/>
            <wp:docPr id="9" name="image7.jpeg" descr="This figure shows a map of Australia accompanied by an enlarged view of each capital city.  The map is segmented into regions by ABS statistical area level 3 (SA3).  Regions are coloured by the pre-retirement average lifetime cost for current 11 to 17 year olds.  The darker shade denotes that the region has a higher pre-retirement lifetime cost.   The map shows that the pre-retirement average lifetime cost is significantly higher in remote regions when compared to the major cities.  Further details about this map are discussed in the accompanying text within the report. "/>
            <wp:cNvGraphicFramePr>
              <a:graphicFrameLocks noChangeAspect="1"/>
            </wp:cNvGraphicFramePr>
            <a:graphic>
              <a:graphicData uri="http://schemas.openxmlformats.org/drawingml/2006/picture">
                <pic:pic>
                  <pic:nvPicPr>
                    <pic:cNvPr id="10" name="image7.jpeg"/>
                    <pic:cNvPicPr/>
                  </pic:nvPicPr>
                  <pic:blipFill>
                    <a:blip r:embed="rId15" cstate="print"/>
                    <a:stretch>
                      <a:fillRect/>
                    </a:stretch>
                  </pic:blipFill>
                  <pic:spPr>
                    <a:xfrm>
                      <a:off x="0" y="0"/>
                      <a:ext cx="5267436" cy="3755136"/>
                    </a:xfrm>
                    <a:prstGeom prst="rect">
                      <a:avLst/>
                    </a:prstGeom>
                  </pic:spPr>
                </pic:pic>
              </a:graphicData>
            </a:graphic>
          </wp:anchor>
        </w:drawing>
      </w:r>
      <w:r>
        <w:rPr>
          <w:color w:val="DF2F1E"/>
        </w:rPr>
        <w:t>Figure 7 Pre-retirement average lifetime cost by region (11 to 17 year olds)</w:t>
      </w:r>
    </w:p>
    <w:p>
      <w:pPr>
        <w:pStyle w:val="BodyText"/>
        <w:rPr>
          <w:b/>
          <w:sz w:val="31"/>
        </w:rPr>
      </w:pPr>
    </w:p>
    <w:p>
      <w:pPr>
        <w:pStyle w:val="BodyText"/>
        <w:ind w:left="900" w:right="1176"/>
      </w:pPr>
      <w:r>
        <w:rPr>
          <w:color w:val="404040"/>
        </w:rPr>
        <w:t>We can see that the pre-retirement average lifetime cost is significantly higher in remote regions when compared to the major cities. Within the major cities, we note that the average lifetime cost tends to be high in clusters of nearby regions, and that the cost tends to increase the further a region is from a major city centre.</w:t>
      </w:r>
    </w:p>
    <w:p>
      <w:pPr>
        <w:pStyle w:val="BodyText"/>
        <w:spacing w:before="8"/>
      </w:pPr>
    </w:p>
    <w:p>
      <w:pPr>
        <w:spacing w:before="0"/>
        <w:ind w:left="900" w:right="0" w:firstLine="0"/>
        <w:jc w:val="left"/>
        <w:rPr>
          <w:sz w:val="28"/>
        </w:rPr>
      </w:pPr>
      <w:bookmarkStart w:name="Refugees" w:id="26"/>
      <w:bookmarkEnd w:id="26"/>
      <w:r>
        <w:rPr/>
      </w:r>
      <w:r>
        <w:rPr>
          <w:color w:val="DF2F28"/>
          <w:sz w:val="28"/>
        </w:rPr>
        <w:t>Refugees</w:t>
      </w:r>
    </w:p>
    <w:p>
      <w:pPr>
        <w:pStyle w:val="BodyText"/>
        <w:spacing w:before="123"/>
        <w:ind w:left="900" w:right="1598" w:hanging="1"/>
      </w:pPr>
      <w:r>
        <w:rPr>
          <w:color w:val="404040"/>
        </w:rPr>
        <w:t>As part of the 2018 Valuation, an exercise was undertaken to better understand the welfare outcomes for refugees in the Australian population. For the purpose of the valuation, refugees were defined as any individuals who were granted a humanitarian visa up until June 2018.</w:t>
      </w:r>
    </w:p>
    <w:p>
      <w:pPr>
        <w:pStyle w:val="BodyText"/>
        <w:spacing w:before="119"/>
        <w:ind w:left="900" w:right="1086"/>
      </w:pPr>
      <w:r>
        <w:rPr>
          <w:color w:val="404040"/>
        </w:rPr>
        <w:t>Unlike other migrants, refugees are not selected on the basis of their potential contribution to Australia, but rather primarily for humanitarian reasons. Refugees can be at high risk of welfare dependency as they often face multiple disadvantages because of their pre-migration experiences, including mental health issues, torture and trauma, physical disabilities, low literacy and limited previous opportunities to gain skills and work experience.</w:t>
      </w:r>
    </w:p>
    <w:p>
      <w:pPr>
        <w:pStyle w:val="BodyText"/>
        <w:spacing w:before="120"/>
        <w:ind w:left="900" w:right="1221"/>
      </w:pPr>
      <w:r>
        <w:rPr>
          <w:color w:val="404040"/>
        </w:rPr>
        <w:t>There were a total of 243,000 refugees in the model population as at June 2018. This is just under 1% of the population. Of these refugees, almost 95% had either a Refugee Visa, a Special Humanitarian Visa or a Permanent Protection Visa. We note that differences will exist between the circumstances of people using different visa types, and this will likely impact how these people interact with the welfare system. For example</w:t>
      </w:r>
    </w:p>
    <w:p>
      <w:pPr>
        <w:spacing w:after="0"/>
        <w:sectPr>
          <w:pgSz w:w="11910" w:h="16850"/>
          <w:pgMar w:header="289" w:footer="298" w:top="500" w:bottom="480" w:left="120" w:right="0"/>
        </w:sectPr>
      </w:pPr>
    </w:p>
    <w:p>
      <w:pPr>
        <w:pStyle w:val="BodyText"/>
      </w:pPr>
    </w:p>
    <w:p>
      <w:pPr>
        <w:pStyle w:val="BodyText"/>
      </w:pPr>
    </w:p>
    <w:p>
      <w:pPr>
        <w:pStyle w:val="BodyText"/>
      </w:pPr>
    </w:p>
    <w:p>
      <w:pPr>
        <w:pStyle w:val="BodyText"/>
        <w:spacing w:before="3"/>
        <w:rPr>
          <w:sz w:val="26"/>
        </w:rPr>
      </w:pPr>
    </w:p>
    <w:p>
      <w:pPr>
        <w:pStyle w:val="BodyText"/>
        <w:spacing w:before="93"/>
        <w:ind w:left="900" w:right="1264"/>
      </w:pPr>
      <w:r>
        <w:rPr>
          <w:color w:val="404040"/>
        </w:rPr>
        <w:t>Permanent Protection Visas are for people who have already arrived legally in Australia on a valid visa, whereas Refugee Visas are for people outside Australia. We have not explored these differences in detail for the 2018 report.</w:t>
      </w:r>
    </w:p>
    <w:p>
      <w:pPr>
        <w:pStyle w:val="BodyText"/>
        <w:spacing w:before="9"/>
      </w:pPr>
    </w:p>
    <w:p>
      <w:pPr>
        <w:pStyle w:val="Heading4"/>
        <w:spacing w:before="1"/>
      </w:pPr>
      <w:bookmarkStart w:name="How do refugees first interact with the " w:id="27"/>
      <w:bookmarkEnd w:id="27"/>
      <w:r>
        <w:rPr/>
      </w:r>
      <w:r>
        <w:rPr>
          <w:color w:val="DF2F28"/>
        </w:rPr>
        <w:t>How do refugees first interact with the welfare system?</w:t>
      </w:r>
    </w:p>
    <w:p>
      <w:pPr>
        <w:pStyle w:val="BodyText"/>
        <w:spacing w:before="121"/>
        <w:ind w:left="899" w:right="1088"/>
      </w:pPr>
      <w:r>
        <w:rPr>
          <w:color w:val="404040"/>
        </w:rPr>
        <w:t>Due to the nature of the support provided to refugees to assist them upon entering the country (for example newly arrived resident’s waiting period and qualifying residence requirements are not applied in the case of refugees or humanitarian visa holders), most refugees enter the welfare system soon after their arrival: roughly 70% were observed to have entered the system within their first two years of being in the country, and this increases to approximately 90% after 10 years. Note that the increase seen over this period would in part reflect refugees who enter Australia as children, and then during this 10 year period become adults and enter the welfare system in their own right.</w:t>
      </w:r>
    </w:p>
    <w:p>
      <w:pPr>
        <w:pStyle w:val="BodyText"/>
        <w:spacing w:before="121"/>
        <w:ind w:left="899" w:right="1288"/>
      </w:pPr>
      <w:r>
        <w:rPr>
          <w:color w:val="404040"/>
        </w:rPr>
        <w:t>The chart below looks at the types of welfare that recent refugees utilised when they first entered the welfare system, and splits out this experience by their age of first entry into the welfare system.</w:t>
      </w:r>
    </w:p>
    <w:p>
      <w:pPr>
        <w:pStyle w:val="BodyText"/>
        <w:spacing w:before="119"/>
        <w:ind w:left="899" w:right="1632"/>
      </w:pPr>
      <w:r>
        <w:rPr>
          <w:color w:val="404040"/>
        </w:rPr>
        <w:t>We can see that across all ages, refugees have tended to enter the system through income support, and particularly through the Working Age and Parenting classes.</w:t>
      </w:r>
    </w:p>
    <w:p>
      <w:pPr>
        <w:pStyle w:val="Heading9"/>
        <w:spacing w:before="176"/>
        <w:ind w:left="899"/>
      </w:pPr>
      <w:r>
        <w:rPr>
          <w:color w:val="DF2F1E"/>
        </w:rPr>
        <w:t>Figure 8 Proportion of refugees by class of first entry and age of first entry</w:t>
      </w:r>
    </w:p>
    <w:p>
      <w:pPr>
        <w:pStyle w:val="BodyText"/>
        <w:spacing w:before="2"/>
        <w:rPr>
          <w:b/>
          <w:sz w:val="8"/>
        </w:rPr>
      </w:pPr>
    </w:p>
    <w:p>
      <w:pPr>
        <w:spacing w:before="1"/>
        <w:ind w:left="1082" w:right="0" w:firstLine="0"/>
        <w:jc w:val="left"/>
        <w:rPr>
          <w:rFonts w:ascii="Calibri"/>
          <w:sz w:val="10"/>
        </w:rPr>
      </w:pPr>
      <w:r>
        <w:rPr/>
        <w:pict>
          <v:group style="position:absolute;margin-left:75.853317pt;margin-top:1.059838pt;width:214.5pt;height:113.65pt;mso-position-horizontal-relative:page;mso-position-vertical-relative:paragraph;z-index:251723776" coordorigin="1517,21" coordsize="4290,2273">
            <v:line style="position:absolute" from="1517,2289" to="5807,2289" stroked="true" strokeweight=".416767pt" strokecolor="#d9d9d9">
              <v:stroke dashstyle="solid"/>
            </v:line>
            <v:shape style="position:absolute;left:1517;top:738;width:459;height:1334" coordorigin="1517,739" coordsize="459,1334" path="m1843,2073l1976,2073m1517,2073l1584,2073m1843,1848l1976,1848m1517,1848l1584,1848m1843,1622l1976,1622m1517,1622l1584,1622m1843,1406l1976,1406m1517,1406l1584,1406m1843,1181l1976,1181m1517,1181l1584,1181m1843,964l1976,964m1517,964l1584,964m1843,739l1976,739m1517,739l1584,739e" filled="false" stroked="true" strokeweight=".416767pt" strokecolor="#d9d9d9">
              <v:path arrowok="t"/>
              <v:stroke dashstyle="solid"/>
            </v:shape>
            <v:rect style="position:absolute;left:1583;top:780;width:259;height:1509" filled="true" fillcolor="#1f487c" stroked="false">
              <v:fill type="solid"/>
            </v:rect>
            <v:line style="position:absolute" from="2235,2073" to="2368,2073" stroked="true" strokeweight=".416767pt" strokecolor="#d9d9d9">
              <v:stroke dashstyle="solid"/>
            </v:line>
            <v:rect style="position:absolute;left:1976;top:2097;width:259;height:192" filled="true" fillcolor="#1f487c" stroked="false">
              <v:fill type="solid"/>
            </v:rect>
            <v:shape style="position:absolute;left:2368;top:2239;width:643;height:50" coordorigin="2368,2239" coordsize="643,50" path="m2627,2239l2368,2239,2368,2289,2627,2289,2627,2239m3011,2256l2752,2256,2752,2289,3011,2289,3011,2256e" filled="true" fillcolor="#1f487c" stroked="false">
              <v:path arrowok="t"/>
              <v:fill type="solid"/>
            </v:shape>
            <v:shape style="position:absolute;left:3144;top:2280;width:651;height:2" coordorigin="3144,2281" coordsize="651,0" path="m3144,2281l3403,2281m3537,2281l3795,2281e" filled="false" stroked="true" strokeweight=".833528pt" strokecolor="#1f487c">
              <v:path arrowok="t"/>
              <v:stroke dashstyle="solid"/>
            </v:shape>
            <v:line style="position:absolute" from="3921,2285" to="4188,2285" stroked="true" strokeweight=".416761pt" strokecolor="#1f487c">
              <v:stroke dashstyle="solid"/>
            </v:line>
            <v:shape style="position:absolute;left:9832;top:-316265;width:210165;height:222455" coordorigin="9832,-316264" coordsize="210165,222455" path="m1584,781l1843,781,1843,2289,1584,2289,1584,781xm1976,2098l2235,2098,2235,2289,1976,2289,1976,2098xm2368,2239l2627,2239,2627,2289,2368,2289,2368,2239xm2752,2256l3011,2256,3011,2289,2752,2289,2752,2256xe" filled="false" stroked="true" strokeweight=".417022pt" strokecolor="#1f487c">
              <v:path arrowok="t"/>
              <v:stroke dashstyle="solid"/>
            </v:shape>
            <v:shape style="position:absolute;left:3140;top:2268;width:660;height:26" coordorigin="3140,2268" coordsize="660,26" path="m3407,2268l3140,2268,3140,2293,3407,2293,3407,2268m3800,2268l3533,2268,3533,2293,3800,2293,3800,2268e" filled="true" fillcolor="#1f487c" stroked="false">
              <v:path arrowok="t"/>
              <v:fill type="solid"/>
            </v:shape>
            <v:shape style="position:absolute;left:3916;top:2285;width:1444;height:2" coordorigin="3916,2285" coordsize="1444,0" path="m3916,2285l4192,2285m4309,2285l4576,2285m4701,2285l4968,2285m5093,2285l5360,2285e" filled="false" stroked="true" strokeweight=".833528pt" strokecolor="#1f487c">
              <v:path arrowok="t"/>
              <v:stroke dashstyle="solid"/>
            </v:shape>
            <v:shape style="position:absolute;left:1517;top:297;width:459;height:217" coordorigin="1517,297" coordsize="459,217" path="m1843,514l1976,514m1517,514l1584,514m1843,297l1976,297m1517,297l1584,297e" filled="false" stroked="true" strokeweight=".416767pt" strokecolor="#d9d9d9">
              <v:path arrowok="t"/>
              <v:stroke dashstyle="solid"/>
            </v:shape>
            <v:rect style="position:absolute;left:1583;top:163;width:259;height:617" filled="true" fillcolor="#009544" stroked="false">
              <v:fill type="solid"/>
            </v:rect>
            <v:shape style="position:absolute;left:2234;top:513;width:134;height:1334" coordorigin="2235,514" coordsize="134,1334" path="m2235,1848l2368,1848m2235,1622l2368,1622m2235,1406l2368,1406m2235,1181l2368,1181m2235,964l2368,964m2235,739l2368,739m2235,514l2368,514e" filled="false" stroked="true" strokeweight=".416767pt" strokecolor="#d9d9d9">
              <v:path arrowok="t"/>
              <v:stroke dashstyle="solid"/>
            </v:shape>
            <v:rect style="position:absolute;left:1976;top:505;width:259;height:1593" filled="true" fillcolor="#009544" stroked="false">
              <v:fill type="solid"/>
            </v:rect>
            <v:shape style="position:absolute;left:2627;top:738;width:126;height:1334" coordorigin="2627,739" coordsize="126,1334" path="m2627,2073l2752,2073m2627,1848l2752,1848m2627,1622l2752,1622m2627,1406l2752,1406m2627,1181l2752,1181m2627,964l2752,964m2627,739l2752,739e" filled="false" stroked="true" strokeweight=".416767pt" strokecolor="#d9d9d9">
              <v:path arrowok="t"/>
              <v:stroke dashstyle="solid"/>
            </v:shape>
            <v:rect style="position:absolute;left:2368;top:763;width:259;height:1476" filled="true" fillcolor="#009544" stroked="false">
              <v:fill type="solid"/>
            </v:rect>
            <v:shape style="position:absolute;left:3010;top:963;width:134;height:1109" coordorigin="3011,964" coordsize="134,1109" path="m3011,2073l3144,2073m3011,1848l3144,1848m3011,1622l3144,1622m3011,1406l3144,1406m3011,1181l3144,1181m3011,964l3144,964e" filled="false" stroked="true" strokeweight=".416767pt" strokecolor="#d9d9d9">
              <v:path arrowok="t"/>
              <v:stroke dashstyle="solid"/>
            </v:shape>
            <v:rect style="position:absolute;left:2752;top:847;width:259;height:1409" filled="true" fillcolor="#009544" stroked="false">
              <v:fill type="solid"/>
            </v:rect>
            <v:shape style="position:absolute;left:3010;top:738;width:526;height:1334" coordorigin="3011,739" coordsize="526,1334" path="m3403,2073l3537,2073m3403,1848l3537,1848m3403,1622l3537,1622m3403,1406l3537,1406m3403,1181l3537,1181m3403,964l3537,964m3403,739l3537,739m3011,739l3144,739e" filled="false" stroked="true" strokeweight=".416767pt" strokecolor="#d9d9d9">
              <v:path arrowok="t"/>
              <v:stroke dashstyle="solid"/>
            </v:shape>
            <v:rect style="position:absolute;left:3144;top:763;width:259;height:1509" filled="true" fillcolor="#009544" stroked="false">
              <v:fill type="solid"/>
            </v:rect>
            <v:shape style="position:absolute;left:3795;top:738;width:126;height:1334" coordorigin="3795,739" coordsize="126,1334" path="m3795,2073l3921,2073m3795,1848l3921,1848m3795,1622l3921,1622m3795,1406l3921,1406m3795,1181l3921,1181m3795,964l3921,964m3795,739l3921,739e" filled="false" stroked="true" strokeweight=".416767pt" strokecolor="#d9d9d9">
              <v:path arrowok="t"/>
              <v:stroke dashstyle="solid"/>
            </v:shape>
            <v:rect style="position:absolute;left:3536;top:630;width:259;height:1643" filled="true" fillcolor="#009544" stroked="false">
              <v:fill type="solid"/>
            </v:rect>
            <v:shape style="position:absolute;left:3795;top:513;width:518;height:1559" coordorigin="3795,514" coordsize="518,1559" path="m4188,2073l4313,2073m4188,1848l4313,1848m4188,1622l4313,1622m4188,1406l4313,1406m4188,1181l4313,1181m4188,964l4313,964m4188,739l4313,739m4188,514l4313,514m3795,514l3921,514e" filled="false" stroked="true" strokeweight=".416767pt" strokecolor="#d9d9d9">
              <v:path arrowok="t"/>
              <v:stroke dashstyle="solid"/>
            </v:shape>
            <v:rect style="position:absolute;left:3920;top:497;width:268;height:1784" filled="true" fillcolor="#009544" stroked="false">
              <v:fill type="solid"/>
            </v:rect>
            <v:shape style="position:absolute;left:4571;top:513;width:134;height:1559" coordorigin="4572,514" coordsize="134,1559" path="m4572,2073l4705,2073m4572,1848l4705,1848m4572,1622l4705,1622m4572,1406l4705,1406m4572,1181l4705,1181m4572,964l4705,964m4572,739l4705,739m4572,514l4705,514e" filled="false" stroked="true" strokeweight=".416767pt" strokecolor="#d9d9d9">
              <v:path arrowok="t"/>
              <v:stroke dashstyle="solid"/>
            </v:shape>
            <v:rect style="position:absolute;left:4312;top:472;width:259;height:1818" filled="true" fillcolor="#009544" stroked="false">
              <v:fill type="solid"/>
            </v:rect>
            <v:shape style="position:absolute;left:4963;top:513;width:134;height:1559" coordorigin="4964,514" coordsize="134,1559" path="m4964,2073l5097,2073m4964,1848l5097,1848m4964,1622l5097,1622m4964,1406l5097,1406m4964,1181l5097,1181m4964,964l5097,964m4964,739l5097,739m4964,514l5097,514e" filled="false" stroked="true" strokeweight=".416767pt" strokecolor="#d9d9d9">
              <v:path arrowok="t"/>
              <v:stroke dashstyle="solid"/>
            </v:shape>
            <v:rect style="position:absolute;left:4705;top:505;width:259;height:1784" filled="true" fillcolor="#009544" stroked="false">
              <v:fill type="solid"/>
            </v:rect>
            <v:shape style="position:absolute;left:5356;top:963;width:126;height:1109" coordorigin="5356,964" coordsize="126,1109" path="m5356,2073l5481,2073m5356,1848l5481,1848m5356,1622l5481,1622m5356,1406l5481,1406m5356,1181l5481,1181m5356,964l5481,964e" filled="false" stroked="true" strokeweight=".416767pt" strokecolor="#d9d9d9">
              <v:path arrowok="t"/>
              <v:stroke dashstyle="solid"/>
            </v:shape>
            <v:rect style="position:absolute;left:5097;top:980;width:259;height:1309" filled="true" fillcolor="#009544" stroked="false">
              <v:fill type="solid"/>
            </v:rect>
            <v:line style="position:absolute" from="5481,2285" to="5740,2285" stroked="true" strokeweight=".416768pt" strokecolor="#009544">
              <v:stroke dashstyle="solid"/>
            </v:line>
            <v:shape style="position:absolute;left:9125;top:-292773;width:515605;height:290884" coordorigin="9126,-292773" coordsize="515605,290884" path="m1584,164l1843,164,1843,781,1584,781,1584,164xm1976,506l2235,506,2235,2098,1976,2098,1976,506xm2368,764l2627,764,2627,2239,2368,2239,2368,764xm2752,847l3011,847,3011,2256,2752,2256,2752,847xm3144,764l3403,764,3403,2273,3144,2273,3144,764xm3537,631l3795,631,3795,2273,3537,2273,3537,631xm3921,497l4188,497,4188,2281,3921,2281,3921,497xm4313,472l4572,472,4572,2289,4313,2289,4313,472xm4705,506l4964,506,4964,2289,4705,2289,4705,506xm5097,981l5356,981,5356,2289,5097,2289,5097,981xe" filled="false" stroked="true" strokeweight=".417022pt" strokecolor="#009544">
              <v:path arrowok="t"/>
              <v:stroke dashstyle="solid"/>
            </v:shape>
            <v:line style="position:absolute" from="5477,2285" to="5744,2285" stroked="true" strokeweight=".833536pt" strokecolor="#009544">
              <v:stroke dashstyle="solid"/>
            </v:line>
            <v:line style="position:absolute" from="1517,72" to="5807,72" stroked="true" strokeweight=".416767pt" strokecolor="#d9d9d9">
              <v:stroke dashstyle="solid"/>
            </v:line>
            <v:rect style="position:absolute;left:1583;top:122;width:259;height:42" filled="true" fillcolor="#e16b09" stroked="false">
              <v:fill type="solid"/>
            </v:rect>
            <v:line style="position:absolute" from="2235,297" to="2368,297" stroked="true" strokeweight=".416767pt" strokecolor="#d9d9d9">
              <v:stroke dashstyle="solid"/>
            </v:line>
            <v:rect style="position:absolute;left:1976;top:155;width:259;height:351" filled="true" fillcolor="#e16b09" stroked="false">
              <v:fill type="solid"/>
            </v:rect>
            <v:shape style="position:absolute;left:2627;top:297;width:126;height:217" coordorigin="2627,297" coordsize="126,217" path="m2627,514l2752,514m2627,297l2752,297e" filled="false" stroked="true" strokeweight=".416767pt" strokecolor="#d9d9d9">
              <v:path arrowok="t"/>
              <v:stroke dashstyle="solid"/>
            </v:shape>
            <v:rect style="position:absolute;left:2368;top:230;width:259;height:534" filled="true" fillcolor="#e16b09" stroked="false">
              <v:fill type="solid"/>
            </v:rect>
            <v:shape style="position:absolute;left:3010;top:297;width:134;height:217" coordorigin="3011,297" coordsize="134,217" path="m3011,514l3144,514m3011,297l3144,297e" filled="false" stroked="true" strokeweight=".416767pt" strokecolor="#d9d9d9">
              <v:path arrowok="t"/>
              <v:stroke dashstyle="solid"/>
            </v:shape>
            <v:rect style="position:absolute;left:2752;top:280;width:259;height:567" filled="true" fillcolor="#e16b09" stroked="false">
              <v:fill type="solid"/>
            </v:rect>
            <v:shape style="position:absolute;left:3403;top:297;width:134;height:217" coordorigin="3403,297" coordsize="134,217" path="m3403,514l3537,514m3403,297l3537,297e" filled="false" stroked="true" strokeweight=".416767pt" strokecolor="#d9d9d9">
              <v:path arrowok="t"/>
              <v:stroke dashstyle="solid"/>
            </v:shape>
            <v:rect style="position:absolute;left:3144;top:313;width:259;height:451" filled="true" fillcolor="#e16b09" stroked="false">
              <v:fill type="solid"/>
            </v:rect>
            <v:line style="position:absolute" from="3795,297" to="3921,297" stroked="true" strokeweight=".416767pt" strokecolor="#d9d9d9">
              <v:stroke dashstyle="solid"/>
            </v:line>
            <v:rect style="position:absolute;left:3536;top:322;width:259;height:309" filled="true" fillcolor="#e16b09" stroked="false">
              <v:fill type="solid"/>
            </v:rect>
            <v:line style="position:absolute" from="4188,297" to="4313,297" stroked="true" strokeweight=".416767pt" strokecolor="#d9d9d9">
              <v:stroke dashstyle="solid"/>
            </v:line>
            <v:rect style="position:absolute;left:3920;top:347;width:268;height:151" filled="true" fillcolor="#e16b09" stroked="false">
              <v:fill type="solid"/>
            </v:rect>
            <v:shape style="position:absolute;left:4312;top:413;width:651;height:92" coordorigin="4313,414" coordsize="651,92" path="m4572,414l4313,414,4313,472,4572,472,4572,414m4964,481l4705,481,4705,506,4964,506,4964,481e" filled="true" fillcolor="#e16b09" stroked="false">
              <v:path arrowok="t"/>
              <v:fill type="solid"/>
            </v:shape>
            <v:line style="position:absolute" from="5097,976" to="5356,976" stroked="true" strokeweight=".416768pt" strokecolor="#e16b09">
              <v:stroke dashstyle="solid"/>
            </v:line>
            <v:shape style="position:absolute;left:9125;top:-95429;width:408378;height:99243" coordorigin="9126,-95428" coordsize="408378,99243" path="m1584,122l1843,122,1843,164,1584,164,1584,122xm1976,155l2235,155,2235,506,1976,506,1976,155xm2368,230l2627,230,2627,764,2368,764,2368,230xm2752,280l3011,280,3011,847,2752,847,2752,280xm3144,314l3403,314,3403,764,3144,764,3144,314xm3537,322l3795,322,3795,631,3537,631,3537,322xm3921,347l4188,347,4188,497,3921,497,3921,347xm4313,414l4572,414,4572,472,4313,472,4313,414xe" filled="false" stroked="true" strokeweight=".417022pt" strokecolor="#e16b09">
              <v:path arrowok="t"/>
              <v:stroke dashstyle="solid"/>
            </v:shape>
            <v:rect style="position:absolute;left:4700;top:476;width:268;height:34" filled="true" fillcolor="#e16b09" stroked="false">
              <v:fill type="solid"/>
            </v:rect>
            <v:line style="position:absolute" from="5093,976" to="5360,976" stroked="true" strokeweight=".833536pt" strokecolor="#e16b09">
              <v:stroke dashstyle="solid"/>
            </v:line>
            <v:line style="position:absolute" from="5477,2277" to="5744,2277" stroked="true" strokeweight=".833528pt" strokecolor="#e16b09">
              <v:stroke dashstyle="solid"/>
            </v:line>
            <v:line style="position:absolute" from="1584,114" to="1843,114" stroked="true" strokeweight=".833536pt" strokecolor="#e08ad6">
              <v:stroke dashstyle="solid"/>
            </v:line>
            <v:shape style="position:absolute;left:1976;top:122;width:2212;height:226" coordorigin="1976,122" coordsize="2212,226" path="m2235,122l1976,122,1976,155,2235,155,2235,122m2627,180l2368,180,2368,230,2627,230,2627,180m3011,222l2752,222,2752,280,3011,280,3011,222m3403,230l3144,230,3144,314,3403,314,3403,230m3795,214l3537,214,3537,322,3795,322,3795,214m4188,214l3921,214,3921,347,4188,347,4188,214e" filled="true" fillcolor="#e08ad6" stroked="false">
              <v:path arrowok="t"/>
              <v:fill type="solid"/>
            </v:shape>
            <v:line style="position:absolute" from="4572,297" to="4705,297" stroked="true" strokeweight=".416767pt" strokecolor="#d9d9d9">
              <v:stroke dashstyle="solid"/>
            </v:line>
            <v:rect style="position:absolute;left:4312;top:247;width:259;height:167" filled="true" fillcolor="#e08ad6" stroked="false">
              <v:fill type="solid"/>
            </v:rect>
            <v:line style="position:absolute" from="4964,297" to="5097,297" stroked="true" strokeweight=".416767pt" strokecolor="#d9d9d9">
              <v:stroke dashstyle="solid"/>
            </v:line>
            <v:rect style="position:absolute;left:4705;top:288;width:259;height:192" filled="true" fillcolor="#e08ad6" stroked="false">
              <v:fill type="solid"/>
            </v:rect>
            <v:rect style="position:absolute;left:5097;top:847;width:259;height:126" filled="true" fillcolor="#e08ad6" stroked="false">
              <v:fill type="solid"/>
            </v:rect>
            <v:rect style="position:absolute;left:1579;top:101;width:268;height:25" filled="true" fillcolor="#e08ad6" stroked="false">
              <v:fill type="solid"/>
            </v:rect>
            <v:shape style="position:absolute;left:62739;top:-112540;width:461992;height:116354" coordorigin="62740,-112539" coordsize="461992,116354" path="m1976,122l2235,122,2235,155,1976,155,1976,122xm2368,180l2627,180,2627,230,2368,230,2368,180xm2752,222l3011,222,3011,280,2752,280,2752,222xm3144,230l3403,230,3403,314,3144,314,3144,230xm3537,214l3795,214,3795,322,3537,322,3537,214xm3921,214l4188,214,4188,347,3921,347,3921,214xm4313,247l4572,247,4572,414,4313,414,4313,247xm4705,289l4964,289,4964,481,4705,481,4705,289xm5097,847l5356,847,5356,972,5097,972,5097,847xe" filled="false" stroked="true" strokeweight=".417022pt" strokecolor="#e08ad6">
              <v:path arrowok="t"/>
              <v:stroke dashstyle="solid"/>
            </v:shape>
            <v:line style="position:absolute" from="5477,2277" to="5744,2277" stroked="true" strokeweight=".833528pt" strokecolor="#e08ad6">
              <v:stroke dashstyle="solid"/>
            </v:line>
            <v:line style="position:absolute" from="1584,97" to="1843,97" stroked="true" strokeweight=".833527pt" strokecolor="#8063a1">
              <v:stroke dashstyle="solid"/>
            </v:line>
            <v:line style="position:absolute" from="1976,118" to="2235,118" stroked="true" strokeweight=".416767pt" strokecolor="#8063a1">
              <v:stroke dashstyle="solid"/>
            </v:line>
            <v:shape style="position:absolute;left:2368;top:172;width:643;height:42" coordorigin="2368,172" coordsize="643,42" path="m2368,172l2627,172m2752,214l3011,214e" filled="false" stroked="true" strokeweight=".833527pt" strokecolor="#8063a1">
              <v:path arrowok="t"/>
              <v:stroke dashstyle="solid"/>
            </v:shape>
            <v:shape style="position:absolute;left:3144;top:113;width:1428;height:134" coordorigin="3144,114" coordsize="1428,134" path="m3403,205l3144,205,3144,230,3403,230,3403,205m3795,172l3537,172,3537,214,3795,214,3795,172m4188,139l3921,139,3921,214,4188,214,4188,139m4572,114l4313,114,4313,247,4572,247,4572,114e" filled="true" fillcolor="#8063a1" stroked="false">
              <v:path arrowok="t"/>
              <v:fill type="solid"/>
            </v:shape>
            <v:rect style="position:absolute;left:4705;top:97;width:259;height:192" filled="true" fillcolor="#8063a1" stroked="false">
              <v:fill type="solid"/>
            </v:rect>
            <v:line style="position:absolute" from="5356,739" to="5481,739" stroked="true" strokeweight=".416767pt" strokecolor="#d9d9d9">
              <v:stroke dashstyle="solid"/>
            </v:line>
            <v:rect style="position:absolute;left:5097;top:680;width:259;height:167" filled="true" fillcolor="#8063a1" stroked="false">
              <v:fill type="solid"/>
            </v:rect>
            <v:rect style="position:absolute;left:1579;top:84;width:268;height:25" filled="true" fillcolor="#8063a1" stroked="false">
              <v:fill type="solid"/>
            </v:rect>
            <v:line style="position:absolute" from="1972,118" to="2239,118" stroked="true" strokeweight=".833533pt" strokecolor="#8063a1">
              <v:stroke dashstyle="solid"/>
            </v:line>
            <v:shape style="position:absolute;left:2364;top:159;width:1044;height:76" coordorigin="2364,160" coordsize="1044,76" path="m2631,160l2364,160,2364,185,2631,185,2631,160m3015,201l2748,201,2748,226,3015,226,3015,201m3407,201l3140,201,3140,235,3407,235,3407,201e" filled="true" fillcolor="#8063a1" stroked="false">
              <v:path arrowok="t"/>
              <v:fill type="solid"/>
            </v:shape>
            <v:shape style="position:absolute;left:336503;top:-118660;width:303132;height:125146" coordorigin="336504,-118659" coordsize="303132,125146" path="m3537,172l3795,172,3795,214,3537,214,3537,172xm3921,139l4188,139,4188,214,3921,214,3921,139xm4313,114l4572,114,4572,247,4313,247,4313,114xm4705,97l4964,97,4964,289,4705,289,4705,97xm5097,681l5356,681,5356,847,5097,847,5097,681xe" filled="false" stroked="true" strokeweight=".417024pt" strokecolor="#8063a1">
              <v:path arrowok="t"/>
              <v:stroke dashstyle="solid"/>
            </v:shape>
            <v:line style="position:absolute" from="3921,135" to="4188,135" stroked="true" strokeweight=".416768pt" strokecolor="#c0504d">
              <v:stroke dashstyle="solid"/>
            </v:line>
            <v:shape style="position:absolute;left:5356;top:297;width:126;height:217" coordorigin="5356,297" coordsize="126,217" path="m5356,514l5481,514m5356,297l5481,297e" filled="false" stroked="true" strokeweight=".416767pt" strokecolor="#d9d9d9">
              <v:path arrowok="t"/>
              <v:stroke dashstyle="solid"/>
            </v:shape>
            <v:rect style="position:absolute;left:5097;top:105;width:259;height:576" filled="true" fillcolor="#c0504d" stroked="false">
              <v:fill type="solid"/>
            </v:rect>
            <v:shape style="position:absolute;left:5739;top:297;width:67;height:1776" coordorigin="5740,297" coordsize="67,1776" path="m5740,2073l5807,2073m5740,1848l5807,1848m5740,1622l5807,1622m5740,1406l5807,1406m5740,1181l5807,1181m5740,964l5807,964m5740,739l5807,739m5740,514l5807,514m5740,297l5807,297e" filled="false" stroked="true" strokeweight=".416767pt" strokecolor="#d9d9d9">
              <v:path arrowok="t"/>
              <v:stroke dashstyle="solid"/>
            </v:shape>
            <v:rect style="position:absolute;left:5481;top:130;width:259;height:2151" filled="true" fillcolor="#c0504d" stroked="false">
              <v:fill type="solid"/>
            </v:rect>
            <v:line style="position:absolute" from="3916,135" to="4192,135" stroked="true" strokeweight=".833536pt" strokecolor="#c0504d">
              <v:stroke dashstyle="solid"/>
            </v:line>
            <v:shape style="position:absolute;left:489368;top:-291633;width:87836;height:297728" coordorigin="489368,-291632" coordsize="87836,297728" path="m5097,105l5356,105,5356,681,5097,681,5097,105xm5481,130l5740,130,5740,2281,5481,2281,5481,130xe" filled="false" stroked="true" strokeweight=".417022pt" strokecolor="#c0504d">
              <v:path arrowok="t"/>
              <v:stroke dashstyle="solid"/>
            </v:shape>
            <v:line style="position:absolute" from="1584,85" to="1843,85" stroked="true" strokeweight=".416763pt" strokecolor="#ecb8e7">
              <v:stroke dashstyle="solid"/>
            </v:line>
            <v:shape style="position:absolute;left:1976;top:92;width:2988;height:109" coordorigin="1976,93" coordsize="2988,109" path="m1976,110l2235,110m3144,201l3403,201m3537,168l3795,168m3921,135l4188,135m4313,110l4572,110m4705,93l4964,93e" filled="false" stroked="true" strokeweight=".416763pt" strokecolor="#ecb8e7">
              <v:path arrowok="t"/>
              <v:stroke dashstyle="solid"/>
            </v:shape>
            <v:shape style="position:absolute;left:5097;top:101;width:643;height:25" coordorigin="5097,101" coordsize="643,25" path="m5097,101l5356,101m5481,126l5740,126e" filled="false" stroked="true" strokeweight=".416763pt" strokecolor="#ecb8e7">
              <v:path arrowok="t"/>
              <v:stroke dashstyle="solid"/>
            </v:shape>
            <v:line style="position:absolute" from="1580,85" to="1847,85" stroked="true" strokeweight=".833526pt" strokecolor="#ecb8e7">
              <v:stroke dashstyle="solid"/>
            </v:line>
            <v:shape style="position:absolute;left:1971;top:109;width:1436;height:92" coordorigin="1972,110" coordsize="1436,92" path="m1972,110l2239,110m2364,160l2631,160m2748,201l3015,201m3140,201l3407,201e" filled="false" stroked="true" strokeweight=".833526pt" strokecolor="#ecb8e7">
              <v:path arrowok="t"/>
              <v:stroke dashstyle="solid"/>
            </v:shape>
            <v:line style="position:absolute" from="3533,168" to="3800,168" stroked="true" strokeweight=".833526pt" strokecolor="#ecb8e7">
              <v:stroke dashstyle="solid"/>
            </v:line>
            <v:shape style="position:absolute;left:3916;top:92;width:1828;height:42" coordorigin="3916,93" coordsize="1828,42" path="m3916,135l4192,135m4309,110l4576,110m4701,93l4968,93m5093,101l5360,101m5477,126l5744,126e" filled="false" stroked="true" strokeweight=".833526pt" strokecolor="#ecb8e7">
              <v:path arrowok="t"/>
              <v:stroke dashstyle="solid"/>
            </v:shape>
            <v:line style="position:absolute" from="1584,76" to="1843,76" stroked="true" strokeweight=".416763pt" strokecolor="#938953">
              <v:stroke dashstyle="solid"/>
            </v:line>
            <v:line style="position:absolute" from="1976,89" to="2235,89" stroked="true" strokeweight="1.667052pt" strokecolor="#938953">
              <v:stroke dashstyle="solid"/>
            </v:line>
            <v:shape style="position:absolute;left:2368;top:72;width:2204;height:134" coordorigin="2368,72" coordsize="2204,134" path="m2627,72l2368,72,2368,164,2627,164,2627,72m3011,72l2752,72,2752,205,3011,205,3011,72m3403,72l3144,72,3144,197,3403,197,3403,72m3795,72l3537,72,3537,164,3795,164,3795,72m4188,72l3921,72,3921,130,4188,130,4188,72m4572,72l4313,72,4313,105,4572,105,4572,72e" filled="true" fillcolor="#938953" stroked="false">
              <v:path arrowok="t"/>
              <v:fill type="solid"/>
            </v:shape>
            <v:line style="position:absolute" from="4705,80" to="4964,80" stroked="true" strokeweight=".833526pt" strokecolor="#938953">
              <v:stroke dashstyle="solid"/>
            </v:line>
            <v:shape style="position:absolute;left:5097;top:72;width:643;height:59" coordorigin="5097,72" coordsize="643,59" path="m5356,72l5097,72,5097,97,5356,97,5356,72m5740,72l5481,72,5481,130,5740,130,5740,72e" filled="true" fillcolor="#938953" stroked="false">
              <v:path arrowok="t"/>
              <v:fill type="solid"/>
            </v:shape>
            <v:line style="position:absolute" from="1580,76" to="1847,76" stroked="true" strokeweight=".833526pt" strokecolor="#938953">
              <v:stroke dashstyle="solid"/>
            </v:line>
            <v:shape style="position:absolute;left:70793;top:-9937;width:400308;height:20595" coordorigin="70794,-9936" coordsize="400308,20595" path="m1976,72l2235,72,2235,105,1976,105,1976,72xm2368,72l2627,72,2627,164,2368,164,2368,72xm2752,72l3011,72,3011,205,2752,205,2752,72xm3144,72l3403,72,3403,197,3144,197,3144,72xm3537,72l3795,72,3795,164,3537,164,3537,72xm3921,72l4188,72,4188,130,3921,130,3921,72xm4313,72l4572,72,4572,105,4313,105,4313,72xe" filled="false" stroked="true" strokeweight=".417021pt" strokecolor="#938953">
              <v:path arrowok="t"/>
              <v:stroke dashstyle="solid"/>
            </v:shape>
            <v:shape style="position:absolute;left:4700;top:67;width:660;height:34" coordorigin="4701,68" coordsize="660,34" path="m4968,68l4701,68,4701,93,4968,93,4968,68m5360,68l5093,68,5093,101,5360,101,5360,68e" filled="true" fillcolor="#938953" stroked="false">
              <v:path arrowok="t"/>
              <v:fill type="solid"/>
            </v:shape>
            <v:rect style="position:absolute;left:5481;top:72;width:259;height:59" filled="false" stroked="true" strokeweight=".416788pt" strokecolor="#938953">
              <v:stroke dashstyle="solid"/>
            </v:rect>
            <v:shape style="position:absolute;left:1971;top:67;width:2604;height:2" coordorigin="1972,68" coordsize="2604,0" path="m1972,68l2231,68m2364,68l2623,68m3140,68l3407,68m3533,68l3791,68m4317,68l4576,68e" filled="false" stroked="true" strokeweight=".003817pt" strokecolor="#254478">
              <v:path arrowok="t"/>
              <v:stroke dashstyle="solid"/>
            </v:shape>
            <v:shape style="position:absolute;left:1588;top:21;width:279;height:101" type="#_x0000_t202" filled="false" stroked="false">
              <v:textbox inset="0,0,0,0">
                <w:txbxContent>
                  <w:p>
                    <w:pPr>
                      <w:tabs>
                        <w:tab w:pos="258" w:val="left" w:leader="none"/>
                      </w:tabs>
                      <w:spacing w:line="100" w:lineRule="exact" w:before="0"/>
                      <w:ind w:left="0" w:right="0" w:firstLine="0"/>
                      <w:jc w:val="left"/>
                      <w:rPr>
                        <w:rFonts w:ascii="Calibri"/>
                        <w:sz w:val="10"/>
                      </w:rPr>
                    </w:pPr>
                    <w:r>
                      <w:rPr>
                        <w:rFonts w:ascii="Calibri"/>
                        <w:color w:val="585858"/>
                        <w:w w:val="100"/>
                        <w:sz w:val="10"/>
                        <w:u w:val="single" w:color="254478"/>
                      </w:rPr>
                      <w:t> </w:t>
                    </w:r>
                    <w:r>
                      <w:rPr>
                        <w:rFonts w:ascii="Calibri"/>
                        <w:color w:val="585858"/>
                        <w:sz w:val="10"/>
                        <w:u w:val="single" w:color="254478"/>
                      </w:rPr>
                      <w:tab/>
                    </w:r>
                  </w:p>
                </w:txbxContent>
              </v:textbox>
              <w10:wrap type="none"/>
            </v:shape>
            <v:shape style="position:absolute;left:2756;top:21;width:279;height:101" type="#_x0000_t202" filled="false" stroked="false">
              <v:textbox inset="0,0,0,0">
                <w:txbxContent>
                  <w:p>
                    <w:pPr>
                      <w:tabs>
                        <w:tab w:pos="258" w:val="left" w:leader="none"/>
                      </w:tabs>
                      <w:spacing w:line="100" w:lineRule="exact" w:before="0"/>
                      <w:ind w:left="0" w:right="0" w:firstLine="0"/>
                      <w:jc w:val="left"/>
                      <w:rPr>
                        <w:rFonts w:ascii="Calibri"/>
                        <w:sz w:val="10"/>
                      </w:rPr>
                    </w:pPr>
                    <w:r>
                      <w:rPr>
                        <w:rFonts w:ascii="Calibri"/>
                        <w:color w:val="585858"/>
                        <w:w w:val="100"/>
                        <w:sz w:val="10"/>
                        <w:u w:val="single" w:color="254478"/>
                      </w:rPr>
                      <w:t> </w:t>
                    </w:r>
                    <w:r>
                      <w:rPr>
                        <w:rFonts w:ascii="Calibri"/>
                        <w:color w:val="585858"/>
                        <w:sz w:val="10"/>
                        <w:u w:val="single" w:color="254478"/>
                      </w:rPr>
                      <w:tab/>
                    </w:r>
                  </w:p>
                </w:txbxContent>
              </v:textbox>
              <w10:wrap type="none"/>
            </v:shape>
            <v:shape style="position:absolute;left:3924;top:21;width:279;height:101" type="#_x0000_t202" filled="false" stroked="false">
              <v:textbox inset="0,0,0,0">
                <w:txbxContent>
                  <w:p>
                    <w:pPr>
                      <w:tabs>
                        <w:tab w:pos="258" w:val="left" w:leader="none"/>
                      </w:tabs>
                      <w:spacing w:line="100" w:lineRule="exact" w:before="0"/>
                      <w:ind w:left="0" w:right="0" w:firstLine="0"/>
                      <w:jc w:val="left"/>
                      <w:rPr>
                        <w:rFonts w:ascii="Calibri"/>
                        <w:sz w:val="10"/>
                      </w:rPr>
                    </w:pPr>
                    <w:r>
                      <w:rPr>
                        <w:rFonts w:ascii="Calibri"/>
                        <w:color w:val="585858"/>
                        <w:w w:val="100"/>
                        <w:sz w:val="10"/>
                        <w:u w:val="single" w:color="254478"/>
                      </w:rPr>
                      <w:t> </w:t>
                    </w:r>
                    <w:r>
                      <w:rPr>
                        <w:rFonts w:ascii="Calibri"/>
                        <w:color w:val="585858"/>
                        <w:sz w:val="10"/>
                        <w:u w:val="single" w:color="254478"/>
                      </w:rPr>
                      <w:tab/>
                    </w:r>
                  </w:p>
                </w:txbxContent>
              </v:textbox>
              <w10:wrap type="none"/>
            </v:shape>
            <v:shape style="position:absolute;left:4700;top:21;width:671;height:101" type="#_x0000_t202" filled="false" stroked="false">
              <v:textbox inset="0,0,0,0">
                <w:txbxContent>
                  <w:p>
                    <w:pPr>
                      <w:tabs>
                        <w:tab w:pos="266" w:val="left" w:leader="none"/>
                        <w:tab w:pos="650" w:val="left" w:leader="none"/>
                      </w:tabs>
                      <w:spacing w:line="100" w:lineRule="exact" w:before="0"/>
                      <w:ind w:left="0" w:right="0" w:firstLine="0"/>
                      <w:jc w:val="left"/>
                      <w:rPr>
                        <w:rFonts w:ascii="Calibri"/>
                        <w:sz w:val="10"/>
                      </w:rPr>
                    </w:pPr>
                    <w:r>
                      <w:rPr>
                        <w:rFonts w:ascii="Calibri"/>
                        <w:color w:val="585858"/>
                        <w:w w:val="100"/>
                        <w:sz w:val="10"/>
                        <w:u w:val="single" w:color="254478"/>
                      </w:rPr>
                      <w:t> </w:t>
                    </w:r>
                    <w:r>
                      <w:rPr>
                        <w:rFonts w:ascii="Calibri"/>
                        <w:color w:val="585858"/>
                        <w:sz w:val="10"/>
                        <w:u w:val="single" w:color="254478"/>
                      </w:rPr>
                      <w:tab/>
                    </w:r>
                    <w:r>
                      <w:rPr>
                        <w:rFonts w:ascii="Calibri"/>
                        <w:color w:val="585858"/>
                        <w:sz w:val="10"/>
                      </w:rPr>
                      <w:t>     </w:t>
                    </w:r>
                    <w:r>
                      <w:rPr>
                        <w:rFonts w:ascii="Calibri"/>
                        <w:color w:val="585858"/>
                        <w:spacing w:val="-11"/>
                        <w:sz w:val="10"/>
                      </w:rPr>
                      <w:t> </w:t>
                    </w:r>
                    <w:r>
                      <w:rPr>
                        <w:rFonts w:ascii="Calibri"/>
                        <w:color w:val="585858"/>
                        <w:w w:val="100"/>
                        <w:sz w:val="10"/>
                        <w:u w:val="single" w:color="254478"/>
                      </w:rPr>
                      <w:t> </w:t>
                    </w:r>
                    <w:r>
                      <w:rPr>
                        <w:rFonts w:ascii="Calibri"/>
                        <w:color w:val="585858"/>
                        <w:sz w:val="10"/>
                        <w:u w:val="single" w:color="254478"/>
                      </w:rPr>
                      <w:tab/>
                    </w:r>
                  </w:p>
                </w:txbxContent>
              </v:textbox>
              <w10:wrap type="none"/>
            </v:shape>
            <w10:wrap type="none"/>
          </v:group>
        </w:pict>
      </w:r>
      <w:r>
        <w:rPr>
          <w:rFonts w:ascii="Calibri"/>
          <w:color w:val="585858"/>
          <w:sz w:val="10"/>
        </w:rPr>
        <w:t>100%</w:t>
      </w:r>
    </w:p>
    <w:p>
      <w:pPr>
        <w:pStyle w:val="BodyText"/>
        <w:spacing w:before="2"/>
        <w:rPr>
          <w:rFonts w:ascii="Calibri"/>
          <w:sz w:val="8"/>
        </w:rPr>
      </w:pPr>
    </w:p>
    <w:p>
      <w:pPr>
        <w:spacing w:before="0"/>
        <w:ind w:left="1133" w:right="0" w:firstLine="0"/>
        <w:jc w:val="left"/>
        <w:rPr>
          <w:rFonts w:ascii="Calibri"/>
          <w:sz w:val="10"/>
        </w:rPr>
      </w:pPr>
      <w:r>
        <w:rPr>
          <w:rFonts w:ascii="Calibri"/>
          <w:color w:val="585858"/>
          <w:sz w:val="10"/>
        </w:rPr>
        <w:t>90%</w:t>
      </w:r>
    </w:p>
    <w:p>
      <w:pPr>
        <w:pStyle w:val="BodyText"/>
        <w:spacing w:before="2"/>
        <w:rPr>
          <w:rFonts w:ascii="Calibri"/>
          <w:sz w:val="8"/>
        </w:rPr>
      </w:pPr>
    </w:p>
    <w:p>
      <w:pPr>
        <w:spacing w:before="1"/>
        <w:ind w:left="1133" w:right="0" w:firstLine="0"/>
        <w:jc w:val="left"/>
        <w:rPr>
          <w:rFonts w:ascii="Calibri"/>
          <w:sz w:val="10"/>
        </w:rPr>
      </w:pPr>
      <w:r>
        <w:rPr>
          <w:rFonts w:ascii="Calibri"/>
          <w:color w:val="585858"/>
          <w:sz w:val="10"/>
        </w:rPr>
        <w:t>80%</w:t>
      </w:r>
    </w:p>
    <w:p>
      <w:pPr>
        <w:pStyle w:val="BodyText"/>
        <w:spacing w:before="2"/>
        <w:rPr>
          <w:rFonts w:ascii="Calibri"/>
          <w:sz w:val="8"/>
        </w:rPr>
      </w:pPr>
    </w:p>
    <w:p>
      <w:pPr>
        <w:spacing w:before="0"/>
        <w:ind w:left="1133" w:right="0" w:firstLine="0"/>
        <w:jc w:val="left"/>
        <w:rPr>
          <w:rFonts w:ascii="Calibri"/>
          <w:sz w:val="10"/>
        </w:rPr>
      </w:pPr>
      <w:r>
        <w:rPr>
          <w:rFonts w:ascii="Calibri"/>
          <w:color w:val="585858"/>
          <w:sz w:val="10"/>
        </w:rPr>
        <w:t>70%</w:t>
      </w:r>
    </w:p>
    <w:p>
      <w:pPr>
        <w:pStyle w:val="BodyText"/>
        <w:spacing w:before="2"/>
        <w:rPr>
          <w:rFonts w:ascii="Calibri"/>
          <w:sz w:val="8"/>
        </w:rPr>
      </w:pPr>
    </w:p>
    <w:p>
      <w:pPr>
        <w:spacing w:before="0"/>
        <w:ind w:left="1133" w:right="0" w:firstLine="0"/>
        <w:jc w:val="left"/>
        <w:rPr>
          <w:rFonts w:ascii="Calibri"/>
          <w:sz w:val="10"/>
        </w:rPr>
      </w:pPr>
      <w:r>
        <w:rPr>
          <w:rFonts w:ascii="Calibri"/>
          <w:color w:val="585858"/>
          <w:sz w:val="10"/>
        </w:rPr>
        <w:t>60%</w:t>
      </w:r>
    </w:p>
    <w:p>
      <w:pPr>
        <w:pStyle w:val="BodyText"/>
        <w:spacing w:before="3"/>
        <w:rPr>
          <w:rFonts w:ascii="Calibri"/>
          <w:sz w:val="8"/>
        </w:rPr>
      </w:pPr>
    </w:p>
    <w:p>
      <w:pPr>
        <w:spacing w:before="0"/>
        <w:ind w:left="1133" w:right="0" w:firstLine="0"/>
        <w:jc w:val="left"/>
        <w:rPr>
          <w:rFonts w:ascii="Calibri"/>
          <w:sz w:val="10"/>
        </w:rPr>
      </w:pPr>
      <w:r>
        <w:rPr>
          <w:rFonts w:ascii="Calibri"/>
          <w:color w:val="585858"/>
          <w:sz w:val="10"/>
        </w:rPr>
        <w:t>50%</w:t>
      </w:r>
    </w:p>
    <w:p>
      <w:pPr>
        <w:pStyle w:val="BodyText"/>
        <w:spacing w:before="2"/>
        <w:rPr>
          <w:rFonts w:ascii="Calibri"/>
          <w:sz w:val="8"/>
        </w:rPr>
      </w:pPr>
    </w:p>
    <w:p>
      <w:pPr>
        <w:spacing w:before="0"/>
        <w:ind w:left="1133" w:right="0" w:firstLine="0"/>
        <w:jc w:val="left"/>
        <w:rPr>
          <w:rFonts w:ascii="Calibri"/>
          <w:sz w:val="10"/>
        </w:rPr>
      </w:pPr>
      <w:r>
        <w:rPr>
          <w:rFonts w:ascii="Calibri"/>
          <w:color w:val="585858"/>
          <w:sz w:val="10"/>
        </w:rPr>
        <w:t>40%</w:t>
      </w:r>
    </w:p>
    <w:p>
      <w:pPr>
        <w:pStyle w:val="BodyText"/>
        <w:spacing w:before="3"/>
        <w:rPr>
          <w:rFonts w:ascii="Calibri"/>
          <w:sz w:val="8"/>
        </w:rPr>
      </w:pPr>
    </w:p>
    <w:p>
      <w:pPr>
        <w:spacing w:before="0"/>
        <w:ind w:left="1133" w:right="0" w:firstLine="0"/>
        <w:jc w:val="left"/>
        <w:rPr>
          <w:rFonts w:ascii="Calibri"/>
          <w:sz w:val="10"/>
        </w:rPr>
      </w:pPr>
      <w:r>
        <w:rPr>
          <w:rFonts w:ascii="Calibri"/>
          <w:color w:val="585858"/>
          <w:sz w:val="10"/>
        </w:rPr>
        <w:t>30%</w:t>
      </w:r>
    </w:p>
    <w:p>
      <w:pPr>
        <w:pStyle w:val="BodyText"/>
        <w:spacing w:before="2"/>
        <w:rPr>
          <w:rFonts w:ascii="Calibri"/>
          <w:sz w:val="8"/>
        </w:rPr>
      </w:pPr>
    </w:p>
    <w:p>
      <w:pPr>
        <w:spacing w:before="0"/>
        <w:ind w:left="1133" w:right="0" w:firstLine="0"/>
        <w:jc w:val="left"/>
        <w:rPr>
          <w:rFonts w:ascii="Calibri"/>
          <w:sz w:val="10"/>
        </w:rPr>
      </w:pPr>
      <w:r>
        <w:rPr>
          <w:rFonts w:ascii="Calibri"/>
          <w:color w:val="585858"/>
          <w:sz w:val="10"/>
        </w:rPr>
        <w:t>20%</w:t>
      </w:r>
    </w:p>
    <w:p>
      <w:pPr>
        <w:pStyle w:val="BodyText"/>
        <w:spacing w:before="3"/>
        <w:rPr>
          <w:rFonts w:ascii="Calibri"/>
          <w:sz w:val="8"/>
        </w:rPr>
      </w:pPr>
    </w:p>
    <w:p>
      <w:pPr>
        <w:spacing w:before="0"/>
        <w:ind w:left="1133" w:right="0" w:firstLine="0"/>
        <w:jc w:val="left"/>
        <w:rPr>
          <w:rFonts w:ascii="Calibri"/>
          <w:sz w:val="10"/>
        </w:rPr>
      </w:pPr>
      <w:r>
        <w:rPr>
          <w:rFonts w:ascii="Calibri"/>
          <w:color w:val="585858"/>
          <w:sz w:val="10"/>
        </w:rPr>
        <w:t>10%</w:t>
      </w:r>
    </w:p>
    <w:p>
      <w:pPr>
        <w:pStyle w:val="BodyText"/>
        <w:spacing w:before="2"/>
        <w:rPr>
          <w:rFonts w:ascii="Calibri"/>
          <w:sz w:val="8"/>
        </w:rPr>
      </w:pPr>
    </w:p>
    <w:p>
      <w:pPr>
        <w:spacing w:before="0"/>
        <w:ind w:left="1184" w:right="0" w:firstLine="0"/>
        <w:jc w:val="left"/>
        <w:rPr>
          <w:rFonts w:ascii="Calibri"/>
          <w:sz w:val="10"/>
        </w:rPr>
      </w:pPr>
      <w:r>
        <w:rPr>
          <w:rFonts w:ascii="Calibri"/>
          <w:color w:val="585858"/>
          <w:sz w:val="10"/>
        </w:rPr>
        <w:t>0%</w:t>
      </w:r>
    </w:p>
    <w:p>
      <w:pPr>
        <w:spacing w:before="8"/>
        <w:ind w:left="1452" w:right="0" w:firstLine="0"/>
        <w:jc w:val="left"/>
        <w:rPr>
          <w:rFonts w:ascii="Calibri"/>
          <w:sz w:val="10"/>
        </w:rPr>
      </w:pPr>
      <w:r>
        <w:rPr>
          <w:rFonts w:ascii="Calibri"/>
          <w:color w:val="585858"/>
          <w:sz w:val="10"/>
        </w:rPr>
        <w:t>0 to 20 21 to 25 26 to 30 31 to 35 36 to 40 41 to 45 46 to 50 51 to 55 56 to 60 61 to 65 66 to 100</w:t>
      </w:r>
    </w:p>
    <w:p>
      <w:pPr>
        <w:spacing w:before="27"/>
        <w:ind w:left="2566" w:right="0" w:firstLine="0"/>
        <w:jc w:val="left"/>
        <w:rPr>
          <w:rFonts w:ascii="Calibri"/>
          <w:sz w:val="11"/>
        </w:rPr>
      </w:pPr>
      <w:r>
        <w:rPr>
          <w:rFonts w:ascii="Calibri"/>
          <w:color w:val="585858"/>
          <w:sz w:val="11"/>
        </w:rPr>
        <w:t>Age at first entry to the welfare system</w:t>
      </w:r>
    </w:p>
    <w:p>
      <w:pPr>
        <w:pStyle w:val="BodyText"/>
        <w:spacing w:before="4"/>
        <w:rPr>
          <w:rFonts w:ascii="Calibri"/>
          <w:sz w:val="13"/>
        </w:rPr>
      </w:pPr>
    </w:p>
    <w:p>
      <w:pPr>
        <w:spacing w:before="0"/>
        <w:ind w:left="1033" w:right="0" w:firstLine="0"/>
        <w:jc w:val="left"/>
        <w:rPr>
          <w:rFonts w:ascii="Calibri"/>
          <w:sz w:val="12"/>
        </w:rPr>
      </w:pPr>
      <w:r>
        <w:rPr>
          <w:rFonts w:ascii="Calibri"/>
          <w:sz w:val="12"/>
        </w:rPr>
        <w:t>Class key:</w:t>
      </w:r>
    </w:p>
    <w:p>
      <w:pPr>
        <w:tabs>
          <w:tab w:pos="2696" w:val="left" w:leader="none"/>
          <w:tab w:pos="4142" w:val="left" w:leader="none"/>
          <w:tab w:pos="5588" w:val="left" w:leader="none"/>
          <w:tab w:pos="7034" w:val="left" w:leader="none"/>
          <w:tab w:pos="8480" w:val="left" w:leader="none"/>
        </w:tabs>
        <w:spacing w:before="46"/>
        <w:ind w:left="1251" w:right="0" w:firstLine="0"/>
        <w:jc w:val="left"/>
        <w:rPr>
          <w:rFonts w:ascii="Calibri"/>
          <w:sz w:val="12"/>
        </w:rPr>
      </w:pPr>
      <w:r>
        <w:rPr/>
        <w:pict>
          <v:group style="position:absolute;margin-left:56.853794pt;margin-top:1.603507pt;width:10.95pt;height:18.850pt;mso-position-horizontal-relative:page;mso-position-vertical-relative:paragraph;z-index:251724800" coordorigin="1137,32" coordsize="219,377">
            <v:rect style="position:absolute;left:1137;top:32;width:219;height:169" filled="true" fillcolor="#1f487c" stroked="false">
              <v:fill type="solid"/>
            </v:rect>
            <v:rect style="position:absolute;left:1137;top:240;width:219;height:169" filled="true" fillcolor="#f8a763" stroked="false">
              <v:fill type="solid"/>
            </v:rect>
            <w10:wrap type="none"/>
          </v:group>
        </w:pict>
      </w:r>
      <w:r>
        <w:rPr/>
        <w:pict>
          <v:group style="position:absolute;margin-left:128.739838pt;margin-top:1.603507pt;width:11.35pt;height:18.850pt;mso-position-horizontal-relative:page;mso-position-vertical-relative:paragraph;z-index:-288177152" coordorigin="2575,32" coordsize="227,377">
            <v:rect style="position:absolute;left:2574;top:32;width:227;height:169" filled="true" fillcolor="#009544" stroked="false">
              <v:fill type="solid"/>
            </v:rect>
            <v:rect style="position:absolute;left:2574;top:240;width:227;height:169" filled="true" fillcolor="#ecb8e7" stroked="false">
              <v:fill type="solid"/>
            </v:rect>
            <w10:wrap type="none"/>
          </v:group>
        </w:pict>
      </w:r>
      <w:r>
        <w:rPr/>
        <w:pict>
          <v:group style="position:absolute;margin-left:201.029755pt;margin-top:1.603507pt;width:11.35pt;height:18.850pt;mso-position-horizontal-relative:page;mso-position-vertical-relative:paragraph;z-index:-288176128" coordorigin="4021,32" coordsize="227,377">
            <v:rect style="position:absolute;left:4020;top:32;width:227;height:169" filled="true" fillcolor="#e16b09" stroked="false">
              <v:fill type="solid"/>
            </v:rect>
            <v:rect style="position:absolute;left:4020;top:240;width:227;height:169" filled="true" fillcolor="#938953" stroked="false">
              <v:fill type="solid"/>
            </v:rect>
            <w10:wrap type="none"/>
          </v:group>
        </w:pict>
      </w:r>
      <w:r>
        <w:rPr/>
        <w:pict>
          <v:group style="position:absolute;margin-left:273.319641pt;margin-top:1.603507pt;width:11.35pt;height:18.850pt;mso-position-horizontal-relative:page;mso-position-vertical-relative:paragraph;z-index:-288175104" coordorigin="5466,32" coordsize="227,377">
            <v:rect style="position:absolute;left:5466;top:32;width:227;height:169" filled="true" fillcolor="#e08ad6" stroked="false">
              <v:fill type="solid"/>
            </v:rect>
            <v:rect style="position:absolute;left:5466;top:240;width:227;height:169" filled="true" fillcolor="#ffd600" stroked="false">
              <v:fill type="solid"/>
            </v:rect>
            <w10:wrap type="none"/>
          </v:group>
        </w:pict>
      </w:r>
      <w:r>
        <w:rPr/>
        <w:pict>
          <v:group style="position:absolute;margin-left:345.609558pt;margin-top:1.603507pt;width:11.35pt;height:18.850pt;mso-position-horizontal-relative:page;mso-position-vertical-relative:paragraph;z-index:-288174080" coordorigin="6912,32" coordsize="227,377">
            <v:rect style="position:absolute;left:6912;top:32;width:227;height:169" filled="true" fillcolor="#8063a1" stroked="false">
              <v:fill type="solid"/>
            </v:rect>
            <v:rect style="position:absolute;left:6912;top:240;width:227;height:169" filled="true" fillcolor="#000000" stroked="false">
              <v:fill type="solid"/>
            </v:rect>
            <w10:wrap type="none"/>
          </v:group>
        </w:pict>
      </w:r>
      <w:r>
        <w:rPr/>
        <w:pict>
          <v:group style="position:absolute;margin-left:417.899475pt;margin-top:1.603507pt;width:11.35pt;height:18.850pt;mso-position-horizontal-relative:page;mso-position-vertical-relative:paragraph;z-index:-288173056" coordorigin="8358,32" coordsize="227,377">
            <v:rect style="position:absolute;left:8357;top:32;width:227;height:169" filled="true" fillcolor="#c0504d" stroked="false">
              <v:fill type="solid"/>
            </v:rect>
            <v:rect style="position:absolute;left:8357;top:240;width:227;height:169" filled="true" fillcolor="#ffeb8f" stroked="false">
              <v:fill type="solid"/>
            </v:rect>
            <w10:wrap type="none"/>
          </v:group>
        </w:pict>
      </w:r>
      <w:r>
        <w:rPr>
          <w:rFonts w:ascii="Calibri"/>
          <w:sz w:val="12"/>
        </w:rPr>
        <w:t>1</w:t>
      </w:r>
      <w:r>
        <w:rPr>
          <w:rFonts w:ascii="Calibri"/>
          <w:spacing w:val="-7"/>
          <w:sz w:val="12"/>
        </w:rPr>
        <w:t> </w:t>
      </w:r>
      <w:r>
        <w:rPr>
          <w:rFonts w:ascii="Calibri"/>
          <w:sz w:val="12"/>
        </w:rPr>
        <w:t>-</w:t>
      </w:r>
      <w:r>
        <w:rPr>
          <w:rFonts w:ascii="Calibri"/>
          <w:spacing w:val="2"/>
          <w:sz w:val="12"/>
        </w:rPr>
        <w:t> </w:t>
      </w:r>
      <w:r>
        <w:rPr>
          <w:rFonts w:ascii="Calibri"/>
          <w:sz w:val="12"/>
        </w:rPr>
        <w:t>Studying</w:t>
        <w:tab/>
        <w:t>2 -</w:t>
      </w:r>
      <w:r>
        <w:rPr>
          <w:rFonts w:ascii="Calibri"/>
          <w:spacing w:val="-6"/>
          <w:sz w:val="12"/>
        </w:rPr>
        <w:t> </w:t>
      </w:r>
      <w:r>
        <w:rPr>
          <w:rFonts w:ascii="Calibri"/>
          <w:sz w:val="12"/>
        </w:rPr>
        <w:t>Working</w:t>
      </w:r>
      <w:r>
        <w:rPr>
          <w:rFonts w:ascii="Calibri"/>
          <w:spacing w:val="-3"/>
          <w:sz w:val="12"/>
        </w:rPr>
        <w:t> </w:t>
      </w:r>
      <w:r>
        <w:rPr>
          <w:rFonts w:ascii="Calibri"/>
          <w:sz w:val="12"/>
        </w:rPr>
        <w:t>Age</w:t>
        <w:tab/>
        <w:t>3</w:t>
      </w:r>
      <w:r>
        <w:rPr>
          <w:rFonts w:ascii="Calibri"/>
          <w:spacing w:val="-7"/>
          <w:sz w:val="12"/>
        </w:rPr>
        <w:t> </w:t>
      </w:r>
      <w:r>
        <w:rPr>
          <w:rFonts w:ascii="Calibri"/>
          <w:sz w:val="12"/>
        </w:rPr>
        <w:t>-</w:t>
      </w:r>
      <w:r>
        <w:rPr>
          <w:rFonts w:ascii="Calibri"/>
          <w:spacing w:val="1"/>
          <w:sz w:val="12"/>
        </w:rPr>
        <w:t> </w:t>
      </w:r>
      <w:r>
        <w:rPr>
          <w:rFonts w:ascii="Calibri"/>
          <w:sz w:val="12"/>
        </w:rPr>
        <w:t>Parents</w:t>
        <w:tab/>
        <w:t>4</w:t>
      </w:r>
      <w:r>
        <w:rPr>
          <w:rFonts w:ascii="Calibri"/>
          <w:spacing w:val="-8"/>
          <w:sz w:val="12"/>
        </w:rPr>
        <w:t> </w:t>
      </w:r>
      <w:r>
        <w:rPr>
          <w:rFonts w:ascii="Calibri"/>
          <w:sz w:val="12"/>
        </w:rPr>
        <w:t>- Carers</w:t>
        <w:tab/>
        <w:t>5 -</w:t>
      </w:r>
      <w:r>
        <w:rPr>
          <w:rFonts w:ascii="Calibri"/>
          <w:spacing w:val="-2"/>
          <w:sz w:val="12"/>
        </w:rPr>
        <w:t> </w:t>
      </w:r>
      <w:r>
        <w:rPr>
          <w:rFonts w:ascii="Calibri"/>
          <w:sz w:val="12"/>
        </w:rPr>
        <w:t>Disability</w:t>
      </w:r>
      <w:r>
        <w:rPr>
          <w:rFonts w:ascii="Calibri"/>
          <w:spacing w:val="1"/>
          <w:sz w:val="12"/>
        </w:rPr>
        <w:t> </w:t>
      </w:r>
      <w:r>
        <w:rPr>
          <w:rFonts w:ascii="Calibri"/>
          <w:sz w:val="12"/>
        </w:rPr>
        <w:t>Support</w:t>
        <w:tab/>
        <w:t>6 - Pension</w:t>
      </w:r>
      <w:r>
        <w:rPr>
          <w:rFonts w:ascii="Calibri"/>
          <w:spacing w:val="-11"/>
          <w:sz w:val="12"/>
        </w:rPr>
        <w:t> </w:t>
      </w:r>
      <w:r>
        <w:rPr>
          <w:rFonts w:ascii="Calibri"/>
          <w:sz w:val="12"/>
        </w:rPr>
        <w:t>Age</w:t>
      </w:r>
    </w:p>
    <w:p>
      <w:pPr>
        <w:spacing w:after="0"/>
        <w:jc w:val="left"/>
        <w:rPr>
          <w:rFonts w:ascii="Calibri"/>
          <w:sz w:val="12"/>
        </w:rPr>
        <w:sectPr>
          <w:pgSz w:w="11910" w:h="16850"/>
          <w:pgMar w:header="289" w:footer="298" w:top="500" w:bottom="480" w:left="120" w:right="0"/>
        </w:sectPr>
      </w:pPr>
    </w:p>
    <w:p>
      <w:pPr>
        <w:spacing w:before="62"/>
        <w:ind w:left="1251" w:right="0" w:firstLine="0"/>
        <w:jc w:val="left"/>
        <w:rPr>
          <w:rFonts w:ascii="Calibri"/>
          <w:sz w:val="12"/>
        </w:rPr>
      </w:pPr>
      <w:r>
        <w:rPr>
          <w:rFonts w:ascii="Calibri"/>
          <w:sz w:val="12"/>
        </w:rPr>
        <w:t>7 - Non IS Family</w:t>
      </w:r>
    </w:p>
    <w:p>
      <w:pPr>
        <w:pStyle w:val="ListParagraph"/>
        <w:numPr>
          <w:ilvl w:val="1"/>
          <w:numId w:val="7"/>
        </w:numPr>
        <w:tabs>
          <w:tab w:pos="665" w:val="left" w:leader="none"/>
        </w:tabs>
        <w:spacing w:line="240" w:lineRule="auto" w:before="62" w:after="0"/>
        <w:ind w:left="664" w:right="0" w:hanging="82"/>
        <w:jc w:val="left"/>
        <w:rPr>
          <w:rFonts w:ascii="Calibri"/>
          <w:sz w:val="12"/>
        </w:rPr>
      </w:pPr>
      <w:r>
        <w:rPr>
          <w:rFonts w:ascii="Calibri"/>
          <w:w w:val="100"/>
          <w:sz w:val="12"/>
        </w:rPr>
        <w:br w:type="column"/>
      </w:r>
      <w:r>
        <w:rPr>
          <w:rFonts w:ascii="Calibri"/>
          <w:sz w:val="12"/>
        </w:rPr>
        <w:t>- Non IS</w:t>
      </w:r>
      <w:r>
        <w:rPr>
          <w:rFonts w:ascii="Calibri"/>
          <w:spacing w:val="2"/>
          <w:sz w:val="12"/>
        </w:rPr>
        <w:t> </w:t>
      </w:r>
      <w:r>
        <w:rPr>
          <w:rFonts w:ascii="Calibri"/>
          <w:spacing w:val="-3"/>
          <w:sz w:val="12"/>
        </w:rPr>
        <w:t>Carer</w:t>
      </w:r>
    </w:p>
    <w:p>
      <w:pPr>
        <w:pStyle w:val="ListParagraph"/>
        <w:numPr>
          <w:ilvl w:val="1"/>
          <w:numId w:val="7"/>
        </w:numPr>
        <w:tabs>
          <w:tab w:pos="726" w:val="left" w:leader="none"/>
        </w:tabs>
        <w:spacing w:line="240" w:lineRule="auto" w:before="62" w:after="0"/>
        <w:ind w:left="725" w:right="0" w:hanging="82"/>
        <w:jc w:val="left"/>
        <w:rPr>
          <w:rFonts w:ascii="Calibri"/>
          <w:sz w:val="12"/>
        </w:rPr>
      </w:pPr>
      <w:r>
        <w:rPr>
          <w:rFonts w:ascii="Calibri"/>
          <w:w w:val="100"/>
          <w:sz w:val="12"/>
        </w:rPr>
        <w:br w:type="column"/>
      </w:r>
      <w:r>
        <w:rPr>
          <w:rFonts w:ascii="Calibri"/>
          <w:sz w:val="12"/>
        </w:rPr>
        <w:t>- Non IS</w:t>
      </w:r>
      <w:r>
        <w:rPr>
          <w:rFonts w:ascii="Calibri"/>
          <w:spacing w:val="5"/>
          <w:sz w:val="12"/>
        </w:rPr>
        <w:t> </w:t>
      </w:r>
      <w:r>
        <w:rPr>
          <w:rFonts w:ascii="Calibri"/>
          <w:spacing w:val="-3"/>
          <w:sz w:val="12"/>
        </w:rPr>
        <w:t>Other</w:t>
      </w:r>
    </w:p>
    <w:p>
      <w:pPr>
        <w:pStyle w:val="ListParagraph"/>
        <w:numPr>
          <w:ilvl w:val="1"/>
          <w:numId w:val="7"/>
        </w:numPr>
        <w:tabs>
          <w:tab w:pos="759" w:val="left" w:leader="none"/>
        </w:tabs>
        <w:spacing w:line="261" w:lineRule="auto" w:before="62" w:after="0"/>
        <w:ind w:left="620" w:right="0" w:firstLine="0"/>
        <w:jc w:val="left"/>
        <w:rPr>
          <w:rFonts w:ascii="Calibri"/>
          <w:sz w:val="12"/>
        </w:rPr>
      </w:pPr>
      <w:r>
        <w:rPr>
          <w:rFonts w:ascii="Calibri"/>
          <w:w w:val="100"/>
          <w:sz w:val="12"/>
        </w:rPr>
        <w:br w:type="column"/>
      </w:r>
      <w:r>
        <w:rPr>
          <w:rFonts w:ascii="Calibri"/>
          <w:sz w:val="12"/>
        </w:rPr>
        <w:t>- Previous Welfare Recipient</w:t>
      </w:r>
    </w:p>
    <w:p>
      <w:pPr>
        <w:pStyle w:val="ListParagraph"/>
        <w:numPr>
          <w:ilvl w:val="1"/>
          <w:numId w:val="7"/>
        </w:numPr>
        <w:tabs>
          <w:tab w:pos="482" w:val="left" w:leader="none"/>
        </w:tabs>
        <w:spacing w:line="240" w:lineRule="auto" w:before="62" w:after="0"/>
        <w:ind w:left="481" w:right="0" w:hanging="139"/>
        <w:jc w:val="left"/>
        <w:rPr>
          <w:rFonts w:ascii="Calibri"/>
          <w:sz w:val="12"/>
        </w:rPr>
      </w:pPr>
      <w:r>
        <w:rPr>
          <w:rFonts w:ascii="Calibri"/>
          <w:w w:val="100"/>
          <w:sz w:val="12"/>
        </w:rPr>
        <w:br w:type="column"/>
      </w:r>
      <w:r>
        <w:rPr>
          <w:rFonts w:ascii="Calibri"/>
          <w:sz w:val="12"/>
        </w:rPr>
        <w:t>-</w:t>
      </w:r>
      <w:r>
        <w:rPr>
          <w:rFonts w:ascii="Calibri"/>
          <w:spacing w:val="3"/>
          <w:sz w:val="12"/>
        </w:rPr>
        <w:t> </w:t>
      </w:r>
      <w:r>
        <w:rPr>
          <w:rFonts w:ascii="Calibri"/>
          <w:spacing w:val="-5"/>
          <w:sz w:val="12"/>
        </w:rPr>
        <w:t>Dead</w:t>
      </w:r>
    </w:p>
    <w:p>
      <w:pPr>
        <w:pStyle w:val="ListParagraph"/>
        <w:numPr>
          <w:ilvl w:val="1"/>
          <w:numId w:val="7"/>
        </w:numPr>
        <w:tabs>
          <w:tab w:pos="1084" w:val="left" w:leader="none"/>
        </w:tabs>
        <w:spacing w:line="261" w:lineRule="auto" w:before="62" w:after="0"/>
        <w:ind w:left="946" w:right="2473" w:firstLine="0"/>
        <w:jc w:val="left"/>
        <w:rPr>
          <w:rFonts w:ascii="Calibri"/>
          <w:sz w:val="12"/>
        </w:rPr>
      </w:pPr>
      <w:r>
        <w:rPr>
          <w:rFonts w:ascii="Calibri"/>
          <w:w w:val="100"/>
          <w:sz w:val="12"/>
        </w:rPr>
        <w:br w:type="column"/>
      </w:r>
      <w:r>
        <w:rPr>
          <w:rFonts w:ascii="Calibri"/>
          <w:sz w:val="12"/>
        </w:rPr>
        <w:t>- Rest of Aust. Population</w:t>
      </w:r>
    </w:p>
    <w:p>
      <w:pPr>
        <w:spacing w:after="0" w:line="261" w:lineRule="auto"/>
        <w:jc w:val="left"/>
        <w:rPr>
          <w:rFonts w:ascii="Calibri"/>
          <w:sz w:val="12"/>
        </w:rPr>
        <w:sectPr>
          <w:type w:val="continuous"/>
          <w:pgSz w:w="11910" w:h="16850"/>
          <w:pgMar w:top="1600" w:bottom="280" w:left="120" w:right="0"/>
          <w:cols w:num="6" w:equalWidth="0">
            <w:col w:w="2074" w:space="40"/>
            <w:col w:w="1345" w:space="39"/>
            <w:col w:w="1430" w:space="40"/>
            <w:col w:w="1683" w:space="39"/>
            <w:col w:w="804" w:space="40"/>
            <w:col w:w="4256"/>
          </w:cols>
        </w:sectPr>
      </w:pPr>
    </w:p>
    <w:p>
      <w:pPr>
        <w:pStyle w:val="BodyText"/>
        <w:rPr>
          <w:rFonts w:ascii="Calibri"/>
        </w:rPr>
      </w:pPr>
    </w:p>
    <w:p>
      <w:pPr>
        <w:pStyle w:val="BodyText"/>
        <w:rPr>
          <w:rFonts w:ascii="Calibri"/>
        </w:rPr>
      </w:pPr>
    </w:p>
    <w:p>
      <w:pPr>
        <w:pStyle w:val="BodyText"/>
        <w:spacing w:before="10"/>
        <w:rPr>
          <w:rFonts w:ascii="Calibri"/>
        </w:rPr>
      </w:pPr>
    </w:p>
    <w:p>
      <w:pPr>
        <w:pStyle w:val="Heading4"/>
        <w:spacing w:before="93"/>
      </w:pPr>
      <w:bookmarkStart w:name="How long do refugees tend to stay in the" w:id="28"/>
      <w:bookmarkEnd w:id="28"/>
      <w:r>
        <w:rPr/>
      </w:r>
      <w:r>
        <w:rPr>
          <w:color w:val="DF2F28"/>
        </w:rPr>
        <w:t>How long do refugees tend to stay in the welfare system?</w:t>
      </w:r>
    </w:p>
    <w:p>
      <w:pPr>
        <w:pStyle w:val="BodyText"/>
        <w:spacing w:before="119"/>
        <w:ind w:left="900" w:right="1155"/>
      </w:pPr>
      <w:r>
        <w:rPr>
          <w:color w:val="404040"/>
        </w:rPr>
        <w:t>Below we look at particular cohorts of refugees who entered the system, and their subsequent pathways through welfare.</w:t>
      </w:r>
    </w:p>
    <w:p>
      <w:pPr>
        <w:pStyle w:val="BodyText"/>
        <w:spacing w:before="121"/>
        <w:ind w:left="899" w:right="1244"/>
      </w:pPr>
      <w:r>
        <w:rPr>
          <w:color w:val="404040"/>
        </w:rPr>
        <w:t>The first chart below follows the experience of refugees aged 20 to 40 at first entry in the 10 years following their entry into the </w:t>
      </w:r>
      <w:r>
        <w:rPr>
          <w:b/>
          <w:color w:val="404040"/>
        </w:rPr>
        <w:t>Working Age </w:t>
      </w:r>
      <w:r>
        <w:rPr>
          <w:color w:val="404040"/>
        </w:rPr>
        <w:t>class. For comparison, the experience of non-refugee entrants into Working Age within the same age group is shown in the second chart below.</w:t>
      </w:r>
    </w:p>
    <w:p>
      <w:pPr>
        <w:pStyle w:val="BodyText"/>
        <w:spacing w:before="121"/>
        <w:ind w:left="899" w:right="1327" w:hanging="1"/>
        <w:jc w:val="both"/>
      </w:pPr>
      <w:r>
        <w:rPr>
          <w:color w:val="404040"/>
        </w:rPr>
        <w:t>The analysis shows that these refugees have required more support than non-refugees in the first five years after they enter the system through the Working Age class. The experience for these refugees has improved over time, though their dependence on Working Age payments remains somewhat higher after 10 years.</w:t>
      </w:r>
    </w:p>
    <w:p>
      <w:pPr>
        <w:pStyle w:val="BodyText"/>
        <w:spacing w:line="229" w:lineRule="exact"/>
        <w:ind w:left="899"/>
        <w:jc w:val="both"/>
      </w:pPr>
      <w:r>
        <w:rPr>
          <w:color w:val="404040"/>
        </w:rPr>
        <w:t>Similar experience can be seen for those moving into the Carers or Disability Support classes.</w:t>
      </w:r>
    </w:p>
    <w:p>
      <w:pPr>
        <w:spacing w:after="0" w:line="229" w:lineRule="exact"/>
        <w:jc w:val="both"/>
        <w:sectPr>
          <w:type w:val="continuous"/>
          <w:pgSz w:w="11910" w:h="16850"/>
          <w:pgMar w:top="1600" w:bottom="280" w:left="120" w:right="0"/>
        </w:sectPr>
      </w:pPr>
    </w:p>
    <w:p>
      <w:pPr>
        <w:pStyle w:val="BodyText"/>
      </w:pPr>
    </w:p>
    <w:p>
      <w:pPr>
        <w:pStyle w:val="BodyText"/>
      </w:pPr>
    </w:p>
    <w:p>
      <w:pPr>
        <w:pStyle w:val="BodyText"/>
      </w:pPr>
    </w:p>
    <w:p>
      <w:pPr>
        <w:pStyle w:val="BodyText"/>
        <w:rPr>
          <w:sz w:val="26"/>
        </w:rPr>
      </w:pPr>
    </w:p>
    <w:p>
      <w:pPr>
        <w:pStyle w:val="Heading9"/>
      </w:pPr>
      <w:r>
        <w:rPr>
          <w:color w:val="DF2F1E"/>
        </w:rPr>
        <w:t>Figure 9 Proportion of people entering through Working Age by class and years since first entry</w:t>
      </w:r>
    </w:p>
    <w:p>
      <w:pPr>
        <w:pStyle w:val="BodyText"/>
        <w:spacing w:before="6"/>
        <w:rPr>
          <w:b/>
          <w:sz w:val="23"/>
        </w:rPr>
      </w:pPr>
    </w:p>
    <w:p>
      <w:pPr>
        <w:tabs>
          <w:tab w:pos="4719" w:val="left" w:leader="none"/>
        </w:tabs>
        <w:spacing w:before="1"/>
        <w:ind w:left="0" w:right="188" w:firstLine="0"/>
        <w:jc w:val="center"/>
        <w:rPr>
          <w:b/>
          <w:sz w:val="16"/>
        </w:rPr>
      </w:pPr>
      <w:r>
        <w:rPr>
          <w:b/>
          <w:color w:val="A6A6A6"/>
          <w:sz w:val="16"/>
        </w:rPr>
        <w:t>Refugee</w:t>
        <w:tab/>
        <w:t>Non-refugee</w:t>
      </w:r>
    </w:p>
    <w:p>
      <w:pPr>
        <w:spacing w:after="0"/>
        <w:jc w:val="center"/>
        <w:rPr>
          <w:sz w:val="16"/>
        </w:rPr>
        <w:sectPr>
          <w:pgSz w:w="11910" w:h="16850"/>
          <w:pgMar w:header="289" w:footer="298" w:top="500" w:bottom="480" w:left="120" w:right="0"/>
        </w:sectPr>
      </w:pPr>
    </w:p>
    <w:p>
      <w:pPr>
        <w:pStyle w:val="BodyText"/>
        <w:spacing w:before="3"/>
        <w:rPr>
          <w:b/>
          <w:sz w:val="15"/>
        </w:rPr>
      </w:pPr>
    </w:p>
    <w:p>
      <w:pPr>
        <w:spacing w:before="0"/>
        <w:ind w:left="0" w:right="1" w:firstLine="0"/>
        <w:jc w:val="right"/>
        <w:rPr>
          <w:rFonts w:ascii="Calibri"/>
          <w:sz w:val="13"/>
        </w:rPr>
      </w:pPr>
      <w:r>
        <w:rPr>
          <w:rFonts w:ascii="Calibri"/>
          <w:color w:val="585858"/>
          <w:spacing w:val="-2"/>
          <w:sz w:val="13"/>
        </w:rPr>
        <w:t>100%</w:t>
      </w:r>
    </w:p>
    <w:p>
      <w:pPr>
        <w:spacing w:before="52"/>
        <w:ind w:left="0" w:right="0" w:firstLine="0"/>
        <w:jc w:val="right"/>
        <w:rPr>
          <w:rFonts w:ascii="Calibri"/>
          <w:sz w:val="13"/>
        </w:rPr>
      </w:pPr>
      <w:r>
        <w:rPr>
          <w:rFonts w:ascii="Calibri"/>
          <w:color w:val="585858"/>
          <w:spacing w:val="-2"/>
          <w:sz w:val="13"/>
        </w:rPr>
        <w:t>90%</w:t>
      </w:r>
    </w:p>
    <w:p>
      <w:pPr>
        <w:spacing w:before="52"/>
        <w:ind w:left="0" w:right="0" w:firstLine="0"/>
        <w:jc w:val="right"/>
        <w:rPr>
          <w:rFonts w:ascii="Calibri"/>
          <w:sz w:val="13"/>
        </w:rPr>
      </w:pPr>
      <w:r>
        <w:rPr>
          <w:rFonts w:ascii="Calibri"/>
          <w:color w:val="585858"/>
          <w:spacing w:val="-2"/>
          <w:sz w:val="13"/>
        </w:rPr>
        <w:t>80%</w:t>
      </w:r>
    </w:p>
    <w:p>
      <w:pPr>
        <w:spacing w:before="53"/>
        <w:ind w:left="0" w:right="0" w:firstLine="0"/>
        <w:jc w:val="right"/>
        <w:rPr>
          <w:rFonts w:ascii="Calibri"/>
          <w:sz w:val="13"/>
        </w:rPr>
      </w:pPr>
      <w:r>
        <w:rPr>
          <w:rFonts w:ascii="Calibri"/>
          <w:color w:val="585858"/>
          <w:spacing w:val="-2"/>
          <w:sz w:val="13"/>
        </w:rPr>
        <w:t>70%</w:t>
      </w:r>
    </w:p>
    <w:p>
      <w:pPr>
        <w:spacing w:before="52"/>
        <w:ind w:left="0" w:right="0" w:firstLine="0"/>
        <w:jc w:val="right"/>
        <w:rPr>
          <w:rFonts w:ascii="Calibri"/>
          <w:sz w:val="13"/>
        </w:rPr>
      </w:pPr>
      <w:r>
        <w:rPr>
          <w:rFonts w:ascii="Calibri"/>
          <w:color w:val="585858"/>
          <w:spacing w:val="-2"/>
          <w:sz w:val="13"/>
        </w:rPr>
        <w:t>60%</w:t>
      </w:r>
    </w:p>
    <w:p>
      <w:pPr>
        <w:spacing w:before="52"/>
        <w:ind w:left="0" w:right="0" w:firstLine="0"/>
        <w:jc w:val="right"/>
        <w:rPr>
          <w:rFonts w:ascii="Calibri"/>
          <w:sz w:val="13"/>
        </w:rPr>
      </w:pPr>
      <w:r>
        <w:rPr>
          <w:rFonts w:ascii="Calibri"/>
          <w:color w:val="585858"/>
          <w:spacing w:val="-2"/>
          <w:sz w:val="13"/>
        </w:rPr>
        <w:t>50%</w:t>
      </w:r>
    </w:p>
    <w:p>
      <w:pPr>
        <w:spacing w:before="52"/>
        <w:ind w:left="0" w:right="0" w:firstLine="0"/>
        <w:jc w:val="right"/>
        <w:rPr>
          <w:rFonts w:ascii="Calibri"/>
          <w:sz w:val="13"/>
        </w:rPr>
      </w:pPr>
      <w:r>
        <w:rPr>
          <w:rFonts w:ascii="Calibri"/>
          <w:color w:val="585858"/>
          <w:spacing w:val="-2"/>
          <w:sz w:val="13"/>
        </w:rPr>
        <w:t>40%</w:t>
      </w:r>
    </w:p>
    <w:p>
      <w:pPr>
        <w:spacing w:before="53"/>
        <w:ind w:left="0" w:right="0" w:firstLine="0"/>
        <w:jc w:val="right"/>
        <w:rPr>
          <w:rFonts w:ascii="Calibri"/>
          <w:sz w:val="13"/>
        </w:rPr>
      </w:pPr>
      <w:r>
        <w:rPr>
          <w:rFonts w:ascii="Calibri"/>
          <w:color w:val="585858"/>
          <w:spacing w:val="-2"/>
          <w:sz w:val="13"/>
        </w:rPr>
        <w:t>30%</w:t>
      </w:r>
    </w:p>
    <w:p>
      <w:pPr>
        <w:spacing w:before="52"/>
        <w:ind w:left="0" w:right="0" w:firstLine="0"/>
        <w:jc w:val="right"/>
        <w:rPr>
          <w:rFonts w:ascii="Calibri"/>
          <w:sz w:val="13"/>
        </w:rPr>
      </w:pPr>
      <w:r>
        <w:rPr>
          <w:rFonts w:ascii="Calibri"/>
          <w:color w:val="585858"/>
          <w:spacing w:val="-2"/>
          <w:sz w:val="13"/>
        </w:rPr>
        <w:t>20%</w:t>
      </w:r>
    </w:p>
    <w:p>
      <w:pPr>
        <w:spacing w:before="52"/>
        <w:ind w:left="0" w:right="0" w:firstLine="0"/>
        <w:jc w:val="right"/>
        <w:rPr>
          <w:rFonts w:ascii="Calibri"/>
          <w:sz w:val="13"/>
        </w:rPr>
      </w:pPr>
      <w:r>
        <w:rPr>
          <w:rFonts w:ascii="Calibri"/>
          <w:color w:val="585858"/>
          <w:spacing w:val="-2"/>
          <w:sz w:val="13"/>
        </w:rPr>
        <w:t>10%</w:t>
      </w:r>
    </w:p>
    <w:p>
      <w:pPr>
        <w:spacing w:before="53"/>
        <w:ind w:left="0" w:right="0" w:firstLine="0"/>
        <w:jc w:val="right"/>
        <w:rPr>
          <w:rFonts w:ascii="Calibri"/>
          <w:sz w:val="13"/>
        </w:rPr>
      </w:pPr>
      <w:r>
        <w:rPr>
          <w:rFonts w:ascii="Calibri"/>
          <w:color w:val="585858"/>
          <w:spacing w:val="-1"/>
          <w:sz w:val="13"/>
        </w:rPr>
        <w:t>0%</w:t>
      </w:r>
    </w:p>
    <w:p>
      <w:pPr>
        <w:pStyle w:val="BodyText"/>
        <w:spacing w:before="9" w:after="39"/>
        <w:rPr>
          <w:rFonts w:ascii="Calibri"/>
          <w:sz w:val="17"/>
        </w:rPr>
      </w:pPr>
      <w:r>
        <w:rPr/>
        <w:br w:type="column"/>
      </w:r>
      <w:r>
        <w:rPr>
          <w:rFonts w:ascii="Calibri"/>
          <w:sz w:val="17"/>
        </w:rPr>
      </w:r>
    </w:p>
    <w:p>
      <w:pPr>
        <w:pStyle w:val="BodyText"/>
        <w:ind w:left="83"/>
        <w:rPr>
          <w:rFonts w:ascii="Calibri"/>
        </w:rPr>
      </w:pPr>
      <w:r>
        <w:rPr>
          <w:rFonts w:ascii="Calibri"/>
        </w:rPr>
        <w:pict>
          <v:group style="width:202.2pt;height:106pt;mso-position-horizontal-relative:char;mso-position-vertical-relative:line" coordorigin="0,0" coordsize="4044,2120">
            <v:shape style="position:absolute;left:4;top:4;width:4036;height:2111" coordorigin="4,4" coordsize="4036,2111" path="m4040,2115l4,2115,4,4,404,453,811,877,1211,1168,1618,1351,2018,1475,2426,1542,2825,1600,3233,1625,3632,1641,4040,1641,4040,2115xe" filled="true" fillcolor="#009544" stroked="false">
              <v:path arrowok="t"/>
              <v:fill type="solid"/>
            </v:shape>
            <v:shape style="position:absolute;left:4;top:4;width:4036;height:2111" coordorigin="4,4" coordsize="4036,2111" path="m4,4l404,453,811,877,1211,1168,1618,1351,2018,1475,2426,1542,2825,1600,3233,1625,3632,1641,4040,1641,4040,2115,4,2115,4,4xe" filled="false" stroked="true" strokeweight=".415655pt" strokecolor="#009544">
              <v:path arrowok="t"/>
              <v:stroke dashstyle="solid"/>
            </v:shape>
            <v:shape style="position:absolute;left:4;top:4;width:4036;height:1638" coordorigin="4,4" coordsize="4036,1638" path="m4040,1641l3632,1641,3233,1625,2825,1600,2426,1542,2018,1475,1618,1351,1211,1168,811,877,404,453,4,4,404,345,811,736,1211,1026,1618,1226,2018,1375,2426,1450,2825,1517,3233,1567,3632,1583,4040,1592,4040,1641xe" filled="true" fillcolor="#1f487c" stroked="false">
              <v:path arrowok="t"/>
              <v:fill type="solid"/>
            </v:shape>
            <v:shape style="position:absolute;left:4;top:4;width:4036;height:1638" coordorigin="4,4" coordsize="4036,1638" path="m4,4l404,345,811,736,1211,1026,1618,1226,2018,1375,2426,1450,2825,1517,3233,1567,3632,1583,4040,1592,4040,1641,3632,1641,3233,1625,2825,1600,2426,1542,2018,1475,1618,1351,1211,1168,811,877,404,453,4,4xe" filled="false" stroked="true" strokeweight=".415627pt" strokecolor="#1f487c">
              <v:path arrowok="t"/>
              <v:stroke dashstyle="solid"/>
            </v:shape>
            <v:shape style="position:absolute;left:4;top:4;width:4036;height:1588" coordorigin="4,4" coordsize="4036,1588" path="m4040,1592l3632,1583,3233,1567,2825,1517,2426,1450,2018,1375,1618,1226,1211,1026,811,736,404,345,4,4,404,278,811,627,1211,885,1618,1068,2018,1201,2426,1267,3233,1367,4040,1417,4040,1592xe" filled="true" fillcolor="#e16b09" stroked="false">
              <v:path arrowok="t"/>
              <v:fill type="solid"/>
            </v:shape>
            <v:shape style="position:absolute;left:4;top:4;width:4036;height:1588" coordorigin="4,4" coordsize="4036,1588" path="m4,4l404,278,811,627,1211,885,1618,1068,2018,1201,2426,1267,2825,1317,3233,1367,3632,1392,4040,1417,4040,1592,3632,1583,3233,1567,2825,1517,2426,1450,2018,1375,1618,1226,1211,1026,811,736,404,345,4,4xe" filled="false" stroked="true" strokeweight=".415616pt" strokecolor="#e16b09">
              <v:path arrowok="t"/>
              <v:stroke dashstyle="solid"/>
            </v:shape>
            <v:shape style="position:absolute;left:4;top:4;width:4036;height:1413" coordorigin="4,4" coordsize="4036,1413" path="m4040,1417l3233,1367,2426,1267,2018,1201,1618,1068,1211,885,811,627,404,278,4,4,404,212,811,528,1211,769,1618,943,2018,1076,2426,1134,2825,1184,3233,1226,3632,1251,4040,1284,4040,1417xe" filled="true" fillcolor="#e08ad6" stroked="false">
              <v:path arrowok="t"/>
              <v:fill type="solid"/>
            </v:shape>
            <v:shape style="position:absolute;left:4;top:4;width:4036;height:1413" coordorigin="4,4" coordsize="4036,1413" path="m4,4l404,212,811,528,1211,769,1618,943,2018,1076,2426,1134,2825,1184,3233,1226,3632,1251,4040,1284,4040,1417,3632,1392,3233,1367,2825,1317,2426,1267,2018,1201,1618,1068,1211,885,811,627,404,278,4,4xe" filled="false" stroked="true" strokeweight=".415609pt" strokecolor="#e08ad6">
              <v:path arrowok="t"/>
              <v:stroke dashstyle="solid"/>
            </v:shape>
            <v:shape style="position:absolute;left:4;top:4;width:4036;height:1280" coordorigin="4,4" coordsize="4036,1280" path="m4040,1284l3632,1251,3233,1226,2825,1184,2426,1134,2018,1076,1618,943,1211,769,811,528,404,212,4,4,404,195,811,495,1211,719,1618,885,2018,1001,2426,1051,3233,1118,3632,1134,4040,1159,4040,1284xe" filled="true" fillcolor="#8063a1" stroked="false">
              <v:path arrowok="t"/>
              <v:fill type="solid"/>
            </v:shape>
            <v:shape style="position:absolute;left:4;top:4;width:4036;height:1280" coordorigin="4,4" coordsize="4036,1280" path="m4,4l404,195,811,495,1211,719,1618,885,2018,1001,2426,1051,2825,1085,3233,1118,3632,1134,4040,1159,4040,1284,3632,1251,3233,1226,2825,1184,2426,1134,2018,1076,1618,943,1211,769,811,528,404,212,4,4xe" filled="false" stroked="true" strokeweight=".415598pt" strokecolor="#8063a1">
              <v:path arrowok="t"/>
              <v:stroke dashstyle="solid"/>
            </v:shape>
            <v:shape style="position:absolute;left:4;top:4;width:4036;height:1156" coordorigin="4,4" coordsize="4036,1156" path="m4,4l404,195,811,495,1211,719,1618,885,2018,1001,2426,1051,2825,1085,3233,1118,3632,1134,4040,1159,3632,1134,3233,1118,2825,1085,2426,1051,2018,1001,1618,885,1211,719,811,495,404,195,4,4xe" filled="false" stroked="true" strokeweight=".415593pt" strokecolor="#c0504d">
              <v:path arrowok="t"/>
              <v:stroke dashstyle="solid"/>
            </v:shape>
            <v:shape style="position:absolute;left:4;top:4;width:4036;height:1156" coordorigin="4,4" coordsize="4036,1156" path="m4040,1159l3632,1134,3233,1118,2426,1051,2018,1001,1618,885,1211,719,811,495,404,195,4,4,404,187,811,470,1211,669,1618,802,2018,893,2426,910,3233,927,3632,927,4040,943,4040,1159xe" filled="true" fillcolor="#f8a763" stroked="false">
              <v:path arrowok="t"/>
              <v:fill type="solid"/>
            </v:shape>
            <v:shape style="position:absolute;left:4;top:4;width:4036;height:1156" coordorigin="4,4" coordsize="4036,1156" path="m4,4l404,187,811,470,1211,669,1618,802,2018,893,2426,910,2825,918,3233,927,3632,927,4040,943,4040,1159,3632,1134,3233,1118,2825,1085,2426,1051,2018,1001,1618,885,1211,719,811,495,404,195,4,4xe" filled="false" stroked="true" strokeweight=".415593pt" strokecolor="#f8a763">
              <v:path arrowok="t"/>
              <v:stroke dashstyle="solid"/>
            </v:shape>
            <v:shape style="position:absolute;left:403;top:187;width:3637;height:757" coordorigin="404,187" coordsize="3637,757" path="m1211,669l811,470,404,187,811,461,1211,669xm4040,943l3632,927,3233,927,2426,910,2018,893,1618,802,2018,885,2426,902,2825,902,3233,918,3836,918,4040,927,4040,943xm3836,918l3233,918,3632,910,3836,918xe" filled="true" fillcolor="#ecb8e7" stroked="false">
              <v:path arrowok="t"/>
              <v:fill type="solid"/>
            </v:shape>
            <v:shape style="position:absolute;left:4;top:4;width:4036;height:940" coordorigin="4,4" coordsize="4036,940" path="m4,4l404,187,811,461,1211,669,1618,802,2018,885,2426,902,2825,902,3233,918,3632,910,4040,927,4040,943,3632,927,3233,927,2825,918,2426,910,2018,893,1618,802,1211,669,811,470,404,187,4,4xe" filled="false" stroked="true" strokeweight=".41558pt" strokecolor="#ecb8e7">
              <v:path arrowok="t"/>
              <v:stroke dashstyle="solid"/>
            </v:shape>
            <v:shape style="position:absolute;left:4;top:4;width:4036;height:923" coordorigin="4,4" coordsize="4036,923" path="m3233,918l2825,902,2426,902,2018,885,1618,802,1211,669,811,461,404,187,4,4,404,179,811,445,1211,644,1618,769,2018,852,2426,860,2825,860,3233,877,3836,877,4040,885,4040,910,3632,910,3233,918xm3836,877l3233,877,3632,869,3836,877xm4040,927l3632,910,4040,910,4040,927xe" filled="true" fillcolor="#938953" stroked="false">
              <v:path arrowok="t"/>
              <v:fill type="solid"/>
            </v:shape>
            <v:shape style="position:absolute;left:4;top:4;width:4036;height:923" coordorigin="4,4" coordsize="4036,923" path="m4,4l404,179,811,445,1211,644,1618,769,2018,852,2426,860,2825,860,3233,877,3632,869,4040,885,4040,927,3632,910,3233,918,2825,902,2426,902,2018,885,1618,802,1211,669,811,461,404,187,4,4xe" filled="false" stroked="true" strokeweight=".415579pt" strokecolor="#938953">
              <v:path arrowok="t"/>
              <v:stroke dashstyle="solid"/>
            </v:shape>
            <v:shape style="position:absolute;left:4;top:4;width:4036;height:881" coordorigin="4,4" coordsize="4036,881" path="m3233,877l2825,860,2426,860,2018,852,1618,769,1211,644,811,445,404,179,4,4,4040,4,4040,869,3632,869,3233,877xm4040,885l3632,869,4040,869,4040,885xe" filled="true" fillcolor="#ffd600" stroked="false">
              <v:path arrowok="t"/>
              <v:fill type="solid"/>
            </v:shape>
            <v:shape style="position:absolute;left:4;top:4;width:4036;height:881" coordorigin="4,4" coordsize="4036,881" path="m4,4l4,4,4040,4,4040,885,3632,869,3233,877,2825,860,2426,860,2018,852,1618,769,1211,644,811,445,404,179,4,4xe" filled="false" stroked="true" strokeweight=".415577pt" strokecolor="#ffd600">
              <v:path arrowok="t"/>
              <v:stroke dashstyle="solid"/>
            </v:shape>
            <v:line style="position:absolute" from="4,2115" to="4040,2115" stroked="true" strokeweight=".415552pt" strokecolor="#d9d9d9">
              <v:stroke dashstyle="solid"/>
            </v:line>
          </v:group>
        </w:pict>
      </w:r>
      <w:r>
        <w:rPr>
          <w:rFonts w:ascii="Calibri"/>
        </w:rPr>
      </w:r>
    </w:p>
    <w:p>
      <w:pPr>
        <w:tabs>
          <w:tab w:pos="454" w:val="left" w:leader="none"/>
          <w:tab w:pos="858" w:val="left" w:leader="none"/>
          <w:tab w:pos="1261" w:val="left" w:leader="none"/>
          <w:tab w:pos="1665" w:val="left" w:leader="none"/>
          <w:tab w:pos="2068" w:val="left" w:leader="none"/>
          <w:tab w:pos="2472" w:val="left" w:leader="none"/>
          <w:tab w:pos="2875" w:val="left" w:leader="none"/>
          <w:tab w:pos="3279" w:val="left" w:leader="none"/>
          <w:tab w:pos="3682" w:val="left" w:leader="none"/>
          <w:tab w:pos="4052" w:val="left" w:leader="none"/>
        </w:tabs>
        <w:spacing w:before="45"/>
        <w:ind w:left="51" w:right="0" w:firstLine="0"/>
        <w:jc w:val="center"/>
        <w:rPr>
          <w:rFonts w:ascii="Calibri"/>
          <w:sz w:val="13"/>
        </w:rPr>
      </w:pPr>
      <w:r>
        <w:rPr>
          <w:rFonts w:ascii="Calibri"/>
          <w:color w:val="585858"/>
          <w:sz w:val="13"/>
        </w:rPr>
        <w:t>0</w:t>
        <w:tab/>
        <w:t>1</w:t>
        <w:tab/>
        <w:t>2</w:t>
        <w:tab/>
        <w:t>3</w:t>
        <w:tab/>
        <w:t>4</w:t>
        <w:tab/>
        <w:t>5</w:t>
        <w:tab/>
        <w:t>6</w:t>
        <w:tab/>
        <w:t>7</w:t>
        <w:tab/>
        <w:t>8</w:t>
        <w:tab/>
        <w:t>9</w:t>
        <w:tab/>
      </w:r>
      <w:r>
        <w:rPr>
          <w:rFonts w:ascii="Calibri"/>
          <w:color w:val="585858"/>
          <w:spacing w:val="-11"/>
          <w:sz w:val="13"/>
        </w:rPr>
        <w:t>10</w:t>
      </w:r>
    </w:p>
    <w:p>
      <w:pPr>
        <w:spacing w:before="37"/>
        <w:ind w:left="25" w:right="0" w:firstLine="0"/>
        <w:jc w:val="center"/>
        <w:rPr>
          <w:rFonts w:ascii="Calibri"/>
          <w:sz w:val="13"/>
        </w:rPr>
      </w:pPr>
      <w:r>
        <w:rPr>
          <w:rFonts w:ascii="Calibri"/>
          <w:color w:val="585858"/>
          <w:sz w:val="13"/>
        </w:rPr>
        <w:t>Years Since First Entry</w:t>
      </w:r>
    </w:p>
    <w:p>
      <w:pPr>
        <w:pStyle w:val="BodyText"/>
        <w:spacing w:before="11"/>
        <w:rPr>
          <w:rFonts w:ascii="Calibri"/>
          <w:sz w:val="13"/>
        </w:rPr>
      </w:pPr>
      <w:r>
        <w:rPr/>
        <w:br w:type="column"/>
      </w:r>
      <w:r>
        <w:rPr>
          <w:rFonts w:ascii="Calibri"/>
          <w:sz w:val="13"/>
        </w:rPr>
      </w:r>
    </w:p>
    <w:p>
      <w:pPr>
        <w:spacing w:before="0"/>
        <w:ind w:left="0" w:right="1" w:firstLine="0"/>
        <w:jc w:val="right"/>
        <w:rPr>
          <w:rFonts w:ascii="Calibri"/>
          <w:sz w:val="13"/>
        </w:rPr>
      </w:pPr>
      <w:r>
        <w:rPr>
          <w:rFonts w:ascii="Calibri"/>
          <w:color w:val="585858"/>
          <w:spacing w:val="-1"/>
          <w:sz w:val="13"/>
        </w:rPr>
        <w:t>100%</w:t>
      </w:r>
    </w:p>
    <w:p>
      <w:pPr>
        <w:spacing w:before="53"/>
        <w:ind w:left="0" w:right="0" w:firstLine="0"/>
        <w:jc w:val="right"/>
        <w:rPr>
          <w:rFonts w:ascii="Calibri"/>
          <w:sz w:val="13"/>
        </w:rPr>
      </w:pPr>
      <w:r>
        <w:rPr>
          <w:rFonts w:ascii="Calibri"/>
          <w:color w:val="585858"/>
          <w:spacing w:val="-1"/>
          <w:sz w:val="13"/>
        </w:rPr>
        <w:t>90%</w:t>
      </w:r>
    </w:p>
    <w:p>
      <w:pPr>
        <w:spacing w:before="52"/>
        <w:ind w:left="0" w:right="0" w:firstLine="0"/>
        <w:jc w:val="right"/>
        <w:rPr>
          <w:rFonts w:ascii="Calibri"/>
          <w:sz w:val="13"/>
        </w:rPr>
      </w:pPr>
      <w:r>
        <w:rPr>
          <w:rFonts w:ascii="Calibri"/>
          <w:color w:val="585858"/>
          <w:spacing w:val="-1"/>
          <w:sz w:val="13"/>
        </w:rPr>
        <w:t>80%</w:t>
      </w:r>
    </w:p>
    <w:p>
      <w:pPr>
        <w:spacing w:before="53"/>
        <w:ind w:left="0" w:right="0" w:firstLine="0"/>
        <w:jc w:val="right"/>
        <w:rPr>
          <w:rFonts w:ascii="Calibri"/>
          <w:sz w:val="13"/>
        </w:rPr>
      </w:pPr>
      <w:r>
        <w:rPr>
          <w:rFonts w:ascii="Calibri"/>
          <w:color w:val="585858"/>
          <w:spacing w:val="-1"/>
          <w:sz w:val="13"/>
        </w:rPr>
        <w:t>70%</w:t>
      </w:r>
    </w:p>
    <w:p>
      <w:pPr>
        <w:spacing w:before="53"/>
        <w:ind w:left="0" w:right="0" w:firstLine="0"/>
        <w:jc w:val="right"/>
        <w:rPr>
          <w:rFonts w:ascii="Calibri"/>
          <w:sz w:val="13"/>
        </w:rPr>
      </w:pPr>
      <w:r>
        <w:rPr>
          <w:rFonts w:ascii="Calibri"/>
          <w:color w:val="585858"/>
          <w:spacing w:val="-1"/>
          <w:sz w:val="13"/>
        </w:rPr>
        <w:t>60%</w:t>
      </w:r>
    </w:p>
    <w:p>
      <w:pPr>
        <w:spacing w:before="53"/>
        <w:ind w:left="0" w:right="0" w:firstLine="0"/>
        <w:jc w:val="right"/>
        <w:rPr>
          <w:rFonts w:ascii="Calibri"/>
          <w:sz w:val="13"/>
        </w:rPr>
      </w:pPr>
      <w:r>
        <w:rPr>
          <w:rFonts w:ascii="Calibri"/>
          <w:color w:val="585858"/>
          <w:spacing w:val="-1"/>
          <w:sz w:val="13"/>
        </w:rPr>
        <w:t>50%</w:t>
      </w:r>
    </w:p>
    <w:p>
      <w:pPr>
        <w:spacing w:before="53"/>
        <w:ind w:left="0" w:right="0" w:firstLine="0"/>
        <w:jc w:val="right"/>
        <w:rPr>
          <w:rFonts w:ascii="Calibri"/>
          <w:sz w:val="13"/>
        </w:rPr>
      </w:pPr>
      <w:r>
        <w:rPr>
          <w:rFonts w:ascii="Calibri"/>
          <w:color w:val="585858"/>
          <w:spacing w:val="-1"/>
          <w:sz w:val="13"/>
        </w:rPr>
        <w:t>40%</w:t>
      </w:r>
    </w:p>
    <w:p>
      <w:pPr>
        <w:spacing w:before="53"/>
        <w:ind w:left="0" w:right="0" w:firstLine="0"/>
        <w:jc w:val="right"/>
        <w:rPr>
          <w:rFonts w:ascii="Calibri"/>
          <w:sz w:val="13"/>
        </w:rPr>
      </w:pPr>
      <w:r>
        <w:rPr>
          <w:rFonts w:ascii="Calibri"/>
          <w:color w:val="585858"/>
          <w:spacing w:val="-1"/>
          <w:sz w:val="13"/>
        </w:rPr>
        <w:t>30%</w:t>
      </w:r>
    </w:p>
    <w:p>
      <w:pPr>
        <w:spacing w:before="53"/>
        <w:ind w:left="0" w:right="0" w:firstLine="0"/>
        <w:jc w:val="right"/>
        <w:rPr>
          <w:rFonts w:ascii="Calibri"/>
          <w:sz w:val="13"/>
        </w:rPr>
      </w:pPr>
      <w:r>
        <w:rPr>
          <w:rFonts w:ascii="Calibri"/>
          <w:color w:val="585858"/>
          <w:spacing w:val="-1"/>
          <w:sz w:val="13"/>
        </w:rPr>
        <w:t>20%</w:t>
      </w:r>
    </w:p>
    <w:p>
      <w:pPr>
        <w:spacing w:before="53"/>
        <w:ind w:left="0" w:right="0" w:firstLine="0"/>
        <w:jc w:val="right"/>
        <w:rPr>
          <w:rFonts w:ascii="Calibri"/>
          <w:sz w:val="13"/>
        </w:rPr>
      </w:pPr>
      <w:r>
        <w:rPr>
          <w:rFonts w:ascii="Calibri"/>
          <w:color w:val="585858"/>
          <w:spacing w:val="-1"/>
          <w:sz w:val="13"/>
        </w:rPr>
        <w:t>10%</w:t>
      </w:r>
    </w:p>
    <w:p>
      <w:pPr>
        <w:spacing w:before="53"/>
        <w:ind w:left="0" w:right="0" w:firstLine="0"/>
        <w:jc w:val="right"/>
        <w:rPr>
          <w:rFonts w:ascii="Calibri"/>
          <w:sz w:val="13"/>
        </w:rPr>
      </w:pPr>
      <w:r>
        <w:rPr>
          <w:rFonts w:ascii="Calibri"/>
          <w:color w:val="585858"/>
          <w:spacing w:val="-1"/>
          <w:sz w:val="13"/>
        </w:rPr>
        <w:t>0%</w:t>
      </w:r>
    </w:p>
    <w:p>
      <w:pPr>
        <w:pStyle w:val="BodyText"/>
        <w:spacing w:before="9" w:after="40"/>
        <w:rPr>
          <w:rFonts w:ascii="Calibri"/>
          <w:sz w:val="17"/>
        </w:rPr>
      </w:pPr>
      <w:r>
        <w:rPr/>
        <w:br w:type="column"/>
      </w:r>
      <w:r>
        <w:rPr>
          <w:rFonts w:ascii="Calibri"/>
          <w:sz w:val="17"/>
        </w:rPr>
      </w:r>
    </w:p>
    <w:p>
      <w:pPr>
        <w:pStyle w:val="BodyText"/>
        <w:ind w:left="78"/>
        <w:rPr>
          <w:rFonts w:ascii="Calibri"/>
        </w:rPr>
      </w:pPr>
      <w:r>
        <w:rPr>
          <w:rFonts w:ascii="Calibri"/>
        </w:rPr>
        <w:pict>
          <v:group style="width:202.8pt;height:105.9pt;mso-position-horizontal-relative:char;mso-position-vertical-relative:line" coordorigin="0,0" coordsize="4056,2118">
            <v:shape style="position:absolute;left:4;top:4;width:4048;height:2109" coordorigin="4,4" coordsize="4048,2109" path="m4052,2113l4,2113,4,4,413,1004,814,1480,1223,1621,1623,1705,2032,1746,2433,1763,2842,1788,3242,1805,3651,1813,4052,1813,4052,2113xe" filled="true" fillcolor="#009544" stroked="false">
              <v:path arrowok="t"/>
              <v:fill type="solid"/>
            </v:shape>
            <v:shape style="position:absolute;left:4;top:4;width:4048;height:2109" coordorigin="4,4" coordsize="4048,2109" path="m4,4l413,1004,814,1480,1223,1621,1623,1705,2032,1746,2433,1763,2842,1788,3242,1805,3651,1813,4052,1813,4052,2113,4,2113,4,4xe" filled="false" stroked="true" strokeweight=".41687pt" strokecolor="#009544">
              <v:path arrowok="t"/>
              <v:stroke dashstyle="solid"/>
            </v:shape>
            <v:shape style="position:absolute;left:4;top:4;width:4048;height:1809" coordorigin="4,4" coordsize="4048,1809" path="m4052,1813l3651,1813,3242,1805,2842,1788,2433,1763,2032,1746,1623,1705,1223,1621,814,1480,413,1004,4,4,413,929,814,1388,1223,1530,1623,1630,2032,1688,2842,1755,3242,1780,3651,1788,4052,1788,4052,1813xe" filled="true" fillcolor="#1f487c" stroked="false">
              <v:path arrowok="t"/>
              <v:fill type="solid"/>
            </v:shape>
            <v:shape style="position:absolute;left:4;top:4;width:4048;height:1809" coordorigin="4,4" coordsize="4048,1809" path="m4,4l413,929,814,1388,1223,1530,1623,1630,2032,1688,2433,1721,2842,1755,3242,1780,3651,1788,4052,1788,4052,1813,3651,1813,3242,1805,2842,1788,2433,1763,2032,1746,1623,1705,1223,1621,814,1480,413,1004,4,4xe" filled="false" stroked="true" strokeweight=".41685pt" strokecolor="#1f487c">
              <v:path arrowok="t"/>
              <v:stroke dashstyle="solid"/>
            </v:shape>
            <v:shape style="position:absolute;left:4;top:4;width:4048;height:1784" coordorigin="4,4" coordsize="4048,1784" path="m4052,1788l3651,1788,3242,1780,2842,1755,2032,1688,1623,1630,1223,1530,814,1388,413,929,4,4,413,871,814,1304,1223,1438,1623,1521,2032,1580,2433,1605,2842,1638,3242,1663,3651,1680,4052,1680,4052,1788xe" filled="true" fillcolor="#e16b09" stroked="false">
              <v:path arrowok="t"/>
              <v:fill type="solid"/>
            </v:shape>
            <v:shape style="position:absolute;left:4;top:4;width:4048;height:1784" coordorigin="4,4" coordsize="4048,1784" path="m4,4l413,871,814,1304,1223,1438,1623,1521,2032,1580,2433,1605,2842,1638,3242,1663,3651,1680,4052,1680,4052,1788,3651,1788,3242,1780,2842,1755,2433,1721,2032,1688,1623,1630,1223,1530,814,1388,413,929,4,4xe" filled="false" stroked="true" strokeweight=".416848pt" strokecolor="#e16b09">
              <v:path arrowok="t"/>
              <v:stroke dashstyle="solid"/>
            </v:shape>
            <v:shape style="position:absolute;left:4;top:4;width:4048;height:1676" coordorigin="4,4" coordsize="4048,1676" path="m4052,1680l3651,1680,3242,1663,2842,1638,2433,1605,2032,1580,1623,1521,1223,1438,814,1304,413,871,4,4,413,863,814,1296,1223,1421,1623,1505,2032,1563,3242,1638,3651,1646,4052,1646,4052,1680xe" filled="true" fillcolor="#e08ad6" stroked="false">
              <v:path arrowok="t"/>
              <v:fill type="solid"/>
            </v:shape>
            <v:shape style="position:absolute;left:4;top:4;width:4048;height:1676" coordorigin="4,4" coordsize="4048,1676" path="m4,4l413,863,814,1296,1223,1421,1623,1505,2032,1563,2433,1588,2842,1613,3242,1638,3651,1646,4052,1646,4052,1680,3651,1680,3242,1663,2842,1638,2433,1605,2032,1580,1623,1521,1223,1438,814,1304,413,871,4,4xe" filled="false" stroked="true" strokeweight=".416839pt" strokecolor="#e08ad6">
              <v:path arrowok="t"/>
              <v:stroke dashstyle="solid"/>
            </v:shape>
            <v:shape style="position:absolute;left:4;top:4;width:4048;height:1643" coordorigin="4,4" coordsize="4048,1643" path="m4052,1646l3651,1646,3242,1638,2032,1563,1623,1505,1223,1421,814,1296,413,863,4,4,413,854,814,1271,1223,1388,1623,1463,2032,1513,2433,1530,2842,1538,3242,1555,3651,1563,4052,1563,4052,1646xm4052,1563l3651,1563,4052,1555,4052,1563xe" filled="true" fillcolor="#8063a1" stroked="false">
              <v:path arrowok="t"/>
              <v:fill type="solid"/>
            </v:shape>
            <v:shape style="position:absolute;left:4;top:4;width:4048;height:1643" coordorigin="4,4" coordsize="4048,1643" path="m4,4l413,854,814,1271,1223,1388,1623,1463,2032,1513,2433,1530,2842,1538,3242,1555,3651,1563,4052,1555,4052,1646,3651,1646,3242,1638,2842,1613,2433,1588,2032,1563,1623,1505,1223,1421,814,1296,413,863,4,4xe" filled="false" stroked="true" strokeweight=".416836pt" strokecolor="#8063a1">
              <v:path arrowok="t"/>
              <v:stroke dashstyle="solid"/>
            </v:shape>
            <v:shape style="position:absolute;left:4;top:4;width:4048;height:1559" coordorigin="4,4" coordsize="4048,1559" path="m4,4l413,854,814,1271,1223,1388,1623,1463,2032,1513,2433,1530,2842,1538,3242,1555,3651,1563,4052,1555,3651,1563,3242,1555,2842,1538,2433,1530,2032,1513,1623,1463,1223,1388,814,1271,413,854,4,4xe" filled="false" stroked="true" strokeweight=".416824pt" strokecolor="#c0504d">
              <v:path arrowok="t"/>
              <v:stroke dashstyle="solid"/>
            </v:shape>
            <v:shape style="position:absolute;left:4;top:4;width:4048;height:1559" coordorigin="4,4" coordsize="4048,1559" path="m3651,1563l3242,1555,2842,1538,2433,1530,2032,1513,1623,1463,1223,1388,814,1271,413,854,4,4,413,838,814,1229,1223,1329,1623,1379,2032,1404,4052,1404,4052,1555,3651,1563xm4052,1404l2032,1404,3242,1379,3651,1363,4052,1338,4052,1404xe" filled="true" fillcolor="#f8a763" stroked="false">
              <v:path arrowok="t"/>
              <v:fill type="solid"/>
            </v:shape>
            <v:shape style="position:absolute;left:4;top:4;width:4048;height:1559" coordorigin="4,4" coordsize="4048,1559" path="m4,4l413,838,814,1229,1223,1329,1623,1379,2032,1404,2433,1396,2842,1388,3242,1379,3651,1363,4052,1338,4052,1555,3651,1563,3242,1555,2842,1538,2433,1530,2032,1513,1623,1463,1223,1388,814,1271,413,854,4,4xe" filled="false" stroked="true" strokeweight=".416824pt" strokecolor="#f8a763">
              <v:path arrowok="t"/>
              <v:stroke dashstyle="solid"/>
            </v:shape>
            <v:shape style="position:absolute;left:4;top:4;width:4048;height:1401" coordorigin="4,4" coordsize="4048,1401" path="m814,1229l413,838,4,4,413,829,814,1229xm2433,1396l2032,1396,3242,1371,3651,1354,4052,1321,4052,1338,3651,1363,3242,1379,2433,1396xm2032,1404l1623,1379,2032,1396,2433,1396,2032,1404xe" filled="true" fillcolor="#ecb8e7" stroked="false">
              <v:path arrowok="t"/>
              <v:fill type="solid"/>
            </v:shape>
            <v:shape style="position:absolute;left:4;top:4;width:4048;height:1401" coordorigin="4,4" coordsize="4048,1401" path="m4,4l413,829,814,1229,1223,1329,1623,1379,2032,1396,2433,1388,2842,1379,3242,1371,3651,1354,4052,1321,4052,1338,3651,1363,3242,1379,2842,1388,2433,1396,2032,1404,1623,1379,1223,1329,814,1229,413,838,4,4xe" filled="false" stroked="true" strokeweight=".416816pt" strokecolor="#ecb8e7">
              <v:path arrowok="t"/>
              <v:stroke dashstyle="solid"/>
            </v:shape>
            <v:shape style="position:absolute;left:4;top:4;width:4048;height:1392" coordorigin="4,4" coordsize="4048,1392" path="m2032,1396l1623,1379,1223,1329,814,1229,413,829,4,4,413,813,814,1204,1223,1296,1623,1338,2032,1354,3651,1354,3242,1371,2032,1396xm3651,1354l2032,1354,3242,1329,3651,1304,4052,1271,4052,1321,3651,1354xe" filled="true" fillcolor="#938953" stroked="false">
              <v:path arrowok="t"/>
              <v:fill type="solid"/>
            </v:shape>
            <v:shape style="position:absolute;left:4;top:4;width:4048;height:1392" coordorigin="4,4" coordsize="4048,1392" path="m4,4l413,813,814,1204,1223,1296,1623,1338,2032,1354,2433,1346,2842,1338,3242,1329,3651,1304,4052,1271,4052,1321,3651,1354,3242,1371,2842,1379,2433,1388,2032,1396,1623,1379,1223,1329,814,1229,413,829,4,4xe" filled="false" stroked="true" strokeweight=".416816pt" strokecolor="#938953">
              <v:path arrowok="t"/>
              <v:stroke dashstyle="solid"/>
            </v:shape>
            <v:shape style="position:absolute;left:4;top:4;width:4048;height:1351" coordorigin="4,4" coordsize="4048,1351" path="m2032,1354l1623,1338,1223,1296,814,1204,413,813,4,4,4052,4,4052,1271,3651,1304,3242,1329,2032,1354xe" filled="true" fillcolor="#ffd600" stroked="false">
              <v:path arrowok="t"/>
              <v:fill type="solid"/>
            </v:shape>
            <v:shape style="position:absolute;left:4;top:4;width:4048;height:1351" coordorigin="4,4" coordsize="4048,1351" path="m4,4l4,4,4052,4,4052,1271,3651,1304,3242,1329,2842,1338,2433,1346,2032,1354,1623,1338,1223,1296,814,1204,413,813,4,4xe" filled="false" stroked="true" strokeweight=".416815pt" strokecolor="#ffd600">
              <v:path arrowok="t"/>
              <v:stroke dashstyle="solid"/>
            </v:shape>
            <v:line style="position:absolute" from="4,2113" to="4052,2113" stroked="true" strokeweight=".416761pt" strokecolor="#d9d9d9">
              <v:stroke dashstyle="solid"/>
            </v:line>
          </v:group>
        </w:pict>
      </w:r>
      <w:r>
        <w:rPr>
          <w:rFonts w:ascii="Calibri"/>
        </w:rPr>
      </w:r>
    </w:p>
    <w:p>
      <w:pPr>
        <w:tabs>
          <w:tab w:pos="404" w:val="left" w:leader="none"/>
          <w:tab w:pos="809" w:val="left" w:leader="none"/>
          <w:tab w:pos="1213" w:val="left" w:leader="none"/>
          <w:tab w:pos="1618" w:val="left" w:leader="none"/>
          <w:tab w:pos="2023" w:val="left" w:leader="none"/>
          <w:tab w:pos="2427" w:val="left" w:leader="none"/>
          <w:tab w:pos="2832" w:val="left" w:leader="none"/>
          <w:tab w:pos="3237" w:val="left" w:leader="none"/>
          <w:tab w:pos="3641" w:val="left" w:leader="none"/>
          <w:tab w:pos="4012" w:val="left" w:leader="none"/>
        </w:tabs>
        <w:spacing w:before="46"/>
        <w:ind w:left="0" w:right="1372" w:firstLine="0"/>
        <w:jc w:val="center"/>
        <w:rPr>
          <w:rFonts w:ascii="Calibri"/>
          <w:sz w:val="13"/>
        </w:rPr>
      </w:pPr>
      <w:r>
        <w:rPr>
          <w:rFonts w:ascii="Calibri"/>
          <w:color w:val="585858"/>
          <w:w w:val="105"/>
          <w:sz w:val="13"/>
        </w:rPr>
        <w:t>0</w:t>
        <w:tab/>
        <w:t>1</w:t>
        <w:tab/>
        <w:t>2</w:t>
        <w:tab/>
        <w:t>3</w:t>
        <w:tab/>
        <w:t>4</w:t>
        <w:tab/>
        <w:t>5</w:t>
        <w:tab/>
        <w:t>6</w:t>
        <w:tab/>
        <w:t>7</w:t>
        <w:tab/>
        <w:t>8</w:t>
        <w:tab/>
        <w:t>9</w:t>
        <w:tab/>
        <w:t>10</w:t>
      </w:r>
    </w:p>
    <w:p>
      <w:pPr>
        <w:spacing w:before="37"/>
        <w:ind w:left="0" w:right="1398" w:firstLine="0"/>
        <w:jc w:val="center"/>
        <w:rPr>
          <w:rFonts w:ascii="Calibri"/>
          <w:sz w:val="13"/>
        </w:rPr>
      </w:pPr>
      <w:r>
        <w:rPr>
          <w:rFonts w:ascii="Calibri"/>
          <w:color w:val="585858"/>
          <w:w w:val="105"/>
          <w:sz w:val="13"/>
        </w:rPr>
        <w:t>Years Since First Entry</w:t>
      </w:r>
    </w:p>
    <w:p>
      <w:pPr>
        <w:spacing w:after="0"/>
        <w:jc w:val="center"/>
        <w:rPr>
          <w:rFonts w:ascii="Calibri"/>
          <w:sz w:val="13"/>
        </w:rPr>
        <w:sectPr>
          <w:type w:val="continuous"/>
          <w:pgSz w:w="11910" w:h="16850"/>
          <w:pgMar w:top="1600" w:bottom="280" w:left="120" w:right="0"/>
          <w:cols w:num="4" w:equalWidth="0">
            <w:col w:w="1385" w:space="40"/>
            <w:col w:w="4186" w:space="39"/>
            <w:col w:w="473" w:space="39"/>
            <w:col w:w="5628"/>
          </w:cols>
        </w:sectPr>
      </w:pPr>
    </w:p>
    <w:p>
      <w:pPr>
        <w:pStyle w:val="BodyText"/>
        <w:spacing w:before="11"/>
        <w:rPr>
          <w:rFonts w:ascii="Calibri"/>
          <w:sz w:val="12"/>
        </w:rPr>
      </w:pPr>
    </w:p>
    <w:p>
      <w:pPr>
        <w:spacing w:before="1"/>
        <w:ind w:left="1033" w:right="0" w:firstLine="0"/>
        <w:jc w:val="left"/>
        <w:rPr>
          <w:rFonts w:ascii="Calibri"/>
          <w:sz w:val="12"/>
        </w:rPr>
      </w:pPr>
      <w:r>
        <w:rPr>
          <w:rFonts w:ascii="Calibri"/>
          <w:sz w:val="12"/>
        </w:rPr>
        <w:t>Class key:</w:t>
      </w:r>
    </w:p>
    <w:p>
      <w:pPr>
        <w:tabs>
          <w:tab w:pos="2696" w:val="left" w:leader="none"/>
          <w:tab w:pos="4142" w:val="left" w:leader="none"/>
          <w:tab w:pos="5588" w:val="left" w:leader="none"/>
          <w:tab w:pos="7034" w:val="left" w:leader="none"/>
          <w:tab w:pos="8480" w:val="left" w:leader="none"/>
        </w:tabs>
        <w:spacing w:before="45"/>
        <w:ind w:left="1251" w:right="0" w:firstLine="0"/>
        <w:jc w:val="left"/>
        <w:rPr>
          <w:rFonts w:ascii="Calibri"/>
          <w:sz w:val="12"/>
        </w:rPr>
      </w:pPr>
      <w:r>
        <w:rPr/>
        <w:pict>
          <v:group style="position:absolute;margin-left:56.853794pt;margin-top:1.553462pt;width:10.95pt;height:18.850pt;mso-position-horizontal-relative:page;mso-position-vertical-relative:paragraph;z-index:251732992" coordorigin="1137,31" coordsize="219,377">
            <v:rect style="position:absolute;left:1137;top:31;width:219;height:169" filled="true" fillcolor="#1f487c" stroked="false">
              <v:fill type="solid"/>
            </v:rect>
            <v:rect style="position:absolute;left:1137;top:239;width:219;height:169" filled="true" fillcolor="#f8a763" stroked="false">
              <v:fill type="solid"/>
            </v:rect>
            <w10:wrap type="none"/>
          </v:group>
        </w:pict>
      </w:r>
      <w:r>
        <w:rPr/>
        <w:pict>
          <v:group style="position:absolute;margin-left:128.739838pt;margin-top:1.553462pt;width:11.35pt;height:18.850pt;mso-position-horizontal-relative:page;mso-position-vertical-relative:paragraph;z-index:-288168960" coordorigin="2575,31" coordsize="227,377">
            <v:rect style="position:absolute;left:2574;top:31;width:227;height:169" filled="true" fillcolor="#009544" stroked="false">
              <v:fill type="solid"/>
            </v:rect>
            <v:rect style="position:absolute;left:2574;top:239;width:227;height:169" filled="true" fillcolor="#ecb8e7" stroked="false">
              <v:fill type="solid"/>
            </v:rect>
            <w10:wrap type="none"/>
          </v:group>
        </w:pict>
      </w:r>
      <w:r>
        <w:rPr/>
        <w:pict>
          <v:group style="position:absolute;margin-left:201.029755pt;margin-top:1.553462pt;width:11.35pt;height:18.850pt;mso-position-horizontal-relative:page;mso-position-vertical-relative:paragraph;z-index:-288167936" coordorigin="4021,31" coordsize="227,377">
            <v:rect style="position:absolute;left:4020;top:31;width:227;height:169" filled="true" fillcolor="#e16b09" stroked="false">
              <v:fill type="solid"/>
            </v:rect>
            <v:rect style="position:absolute;left:4020;top:239;width:227;height:169" filled="true" fillcolor="#938953" stroked="false">
              <v:fill type="solid"/>
            </v:rect>
            <w10:wrap type="none"/>
          </v:group>
        </w:pict>
      </w:r>
      <w:r>
        <w:rPr/>
        <w:pict>
          <v:group style="position:absolute;margin-left:273.319641pt;margin-top:1.553462pt;width:11.35pt;height:18.850pt;mso-position-horizontal-relative:page;mso-position-vertical-relative:paragraph;z-index:-288166912" coordorigin="5466,31" coordsize="227,377">
            <v:rect style="position:absolute;left:5466;top:31;width:227;height:169" filled="true" fillcolor="#e08ad6" stroked="false">
              <v:fill type="solid"/>
            </v:rect>
            <v:rect style="position:absolute;left:5466;top:239;width:227;height:169" filled="true" fillcolor="#ffd600" stroked="false">
              <v:fill type="solid"/>
            </v:rect>
            <w10:wrap type="none"/>
          </v:group>
        </w:pict>
      </w:r>
      <w:r>
        <w:rPr/>
        <w:pict>
          <v:group style="position:absolute;margin-left:345.609558pt;margin-top:1.553462pt;width:11.35pt;height:18.850pt;mso-position-horizontal-relative:page;mso-position-vertical-relative:paragraph;z-index:-288165888" coordorigin="6912,31" coordsize="227,377">
            <v:rect style="position:absolute;left:6912;top:31;width:227;height:169" filled="true" fillcolor="#8063a1" stroked="false">
              <v:fill type="solid"/>
            </v:rect>
            <v:rect style="position:absolute;left:6912;top:239;width:227;height:169" filled="true" fillcolor="#000000" stroked="false">
              <v:fill type="solid"/>
            </v:rect>
            <w10:wrap type="none"/>
          </v:group>
        </w:pict>
      </w:r>
      <w:r>
        <w:rPr/>
        <w:pict>
          <v:group style="position:absolute;margin-left:417.899475pt;margin-top:1.553462pt;width:11.35pt;height:18.850pt;mso-position-horizontal-relative:page;mso-position-vertical-relative:paragraph;z-index:-288164864" coordorigin="8358,31" coordsize="227,377">
            <v:rect style="position:absolute;left:8357;top:31;width:227;height:169" filled="true" fillcolor="#c0504d" stroked="false">
              <v:fill type="solid"/>
            </v:rect>
            <v:rect style="position:absolute;left:8357;top:239;width:227;height:169" filled="true" fillcolor="#ffeb8f" stroked="false">
              <v:fill type="solid"/>
            </v:rect>
            <w10:wrap type="none"/>
          </v:group>
        </w:pict>
      </w:r>
      <w:r>
        <w:rPr>
          <w:rFonts w:ascii="Calibri"/>
          <w:sz w:val="12"/>
        </w:rPr>
        <w:t>1</w:t>
      </w:r>
      <w:r>
        <w:rPr>
          <w:rFonts w:ascii="Calibri"/>
          <w:spacing w:val="-7"/>
          <w:sz w:val="12"/>
        </w:rPr>
        <w:t> </w:t>
      </w:r>
      <w:r>
        <w:rPr>
          <w:rFonts w:ascii="Calibri"/>
          <w:sz w:val="12"/>
        </w:rPr>
        <w:t>-</w:t>
      </w:r>
      <w:r>
        <w:rPr>
          <w:rFonts w:ascii="Calibri"/>
          <w:spacing w:val="2"/>
          <w:sz w:val="12"/>
        </w:rPr>
        <w:t> </w:t>
      </w:r>
      <w:r>
        <w:rPr>
          <w:rFonts w:ascii="Calibri"/>
          <w:sz w:val="12"/>
        </w:rPr>
        <w:t>Studying</w:t>
        <w:tab/>
        <w:t>2 -</w:t>
      </w:r>
      <w:r>
        <w:rPr>
          <w:rFonts w:ascii="Calibri"/>
          <w:spacing w:val="-6"/>
          <w:sz w:val="12"/>
        </w:rPr>
        <w:t> </w:t>
      </w:r>
      <w:r>
        <w:rPr>
          <w:rFonts w:ascii="Calibri"/>
          <w:sz w:val="12"/>
        </w:rPr>
        <w:t>Working</w:t>
      </w:r>
      <w:r>
        <w:rPr>
          <w:rFonts w:ascii="Calibri"/>
          <w:spacing w:val="-3"/>
          <w:sz w:val="12"/>
        </w:rPr>
        <w:t> </w:t>
      </w:r>
      <w:r>
        <w:rPr>
          <w:rFonts w:ascii="Calibri"/>
          <w:sz w:val="12"/>
        </w:rPr>
        <w:t>Age</w:t>
        <w:tab/>
        <w:t>3</w:t>
      </w:r>
      <w:r>
        <w:rPr>
          <w:rFonts w:ascii="Calibri"/>
          <w:spacing w:val="-7"/>
          <w:sz w:val="12"/>
        </w:rPr>
        <w:t> </w:t>
      </w:r>
      <w:r>
        <w:rPr>
          <w:rFonts w:ascii="Calibri"/>
          <w:sz w:val="12"/>
        </w:rPr>
        <w:t>-</w:t>
      </w:r>
      <w:r>
        <w:rPr>
          <w:rFonts w:ascii="Calibri"/>
          <w:spacing w:val="1"/>
          <w:sz w:val="12"/>
        </w:rPr>
        <w:t> </w:t>
      </w:r>
      <w:r>
        <w:rPr>
          <w:rFonts w:ascii="Calibri"/>
          <w:sz w:val="12"/>
        </w:rPr>
        <w:t>Parents</w:t>
        <w:tab/>
        <w:t>4</w:t>
      </w:r>
      <w:r>
        <w:rPr>
          <w:rFonts w:ascii="Calibri"/>
          <w:spacing w:val="-8"/>
          <w:sz w:val="12"/>
        </w:rPr>
        <w:t> </w:t>
      </w:r>
      <w:r>
        <w:rPr>
          <w:rFonts w:ascii="Calibri"/>
          <w:sz w:val="12"/>
        </w:rPr>
        <w:t>- Carers</w:t>
        <w:tab/>
        <w:t>5 -</w:t>
      </w:r>
      <w:r>
        <w:rPr>
          <w:rFonts w:ascii="Calibri"/>
          <w:spacing w:val="-2"/>
          <w:sz w:val="12"/>
        </w:rPr>
        <w:t> </w:t>
      </w:r>
      <w:r>
        <w:rPr>
          <w:rFonts w:ascii="Calibri"/>
          <w:sz w:val="12"/>
        </w:rPr>
        <w:t>Disability</w:t>
      </w:r>
      <w:r>
        <w:rPr>
          <w:rFonts w:ascii="Calibri"/>
          <w:spacing w:val="1"/>
          <w:sz w:val="12"/>
        </w:rPr>
        <w:t> </w:t>
      </w:r>
      <w:r>
        <w:rPr>
          <w:rFonts w:ascii="Calibri"/>
          <w:sz w:val="12"/>
        </w:rPr>
        <w:t>Support</w:t>
        <w:tab/>
        <w:t>6 - Pension</w:t>
      </w:r>
      <w:r>
        <w:rPr>
          <w:rFonts w:ascii="Calibri"/>
          <w:spacing w:val="-11"/>
          <w:sz w:val="12"/>
        </w:rPr>
        <w:t> </w:t>
      </w:r>
      <w:r>
        <w:rPr>
          <w:rFonts w:ascii="Calibri"/>
          <w:sz w:val="12"/>
        </w:rPr>
        <w:t>Age</w:t>
      </w:r>
    </w:p>
    <w:p>
      <w:pPr>
        <w:spacing w:after="0"/>
        <w:jc w:val="left"/>
        <w:rPr>
          <w:rFonts w:ascii="Calibri"/>
          <w:sz w:val="12"/>
        </w:rPr>
        <w:sectPr>
          <w:type w:val="continuous"/>
          <w:pgSz w:w="11910" w:h="16850"/>
          <w:pgMar w:top="1600" w:bottom="280" w:left="120" w:right="0"/>
        </w:sectPr>
      </w:pPr>
    </w:p>
    <w:p>
      <w:pPr>
        <w:spacing w:before="62"/>
        <w:ind w:left="1251" w:right="0" w:firstLine="0"/>
        <w:jc w:val="left"/>
        <w:rPr>
          <w:rFonts w:ascii="Calibri"/>
          <w:sz w:val="12"/>
        </w:rPr>
      </w:pPr>
      <w:r>
        <w:rPr>
          <w:rFonts w:ascii="Calibri"/>
          <w:sz w:val="12"/>
        </w:rPr>
        <w:t>7 - Non IS Family</w:t>
      </w:r>
    </w:p>
    <w:p>
      <w:pPr>
        <w:pStyle w:val="ListParagraph"/>
        <w:numPr>
          <w:ilvl w:val="0"/>
          <w:numId w:val="8"/>
        </w:numPr>
        <w:tabs>
          <w:tab w:pos="665" w:val="left" w:leader="none"/>
        </w:tabs>
        <w:spacing w:line="240" w:lineRule="auto" w:before="62" w:after="0"/>
        <w:ind w:left="664" w:right="0" w:hanging="82"/>
        <w:jc w:val="left"/>
        <w:rPr>
          <w:rFonts w:ascii="Calibri"/>
          <w:sz w:val="12"/>
        </w:rPr>
      </w:pPr>
      <w:r>
        <w:rPr>
          <w:rFonts w:ascii="Calibri"/>
          <w:w w:val="100"/>
          <w:sz w:val="12"/>
        </w:rPr>
        <w:br w:type="column"/>
      </w:r>
      <w:r>
        <w:rPr>
          <w:rFonts w:ascii="Calibri"/>
          <w:sz w:val="12"/>
        </w:rPr>
        <w:t>- Non IS</w:t>
      </w:r>
      <w:r>
        <w:rPr>
          <w:rFonts w:ascii="Calibri"/>
          <w:spacing w:val="2"/>
          <w:sz w:val="12"/>
        </w:rPr>
        <w:t> </w:t>
      </w:r>
      <w:r>
        <w:rPr>
          <w:rFonts w:ascii="Calibri"/>
          <w:spacing w:val="-3"/>
          <w:sz w:val="12"/>
        </w:rPr>
        <w:t>Carer</w:t>
      </w:r>
    </w:p>
    <w:p>
      <w:pPr>
        <w:pStyle w:val="ListParagraph"/>
        <w:numPr>
          <w:ilvl w:val="0"/>
          <w:numId w:val="8"/>
        </w:numPr>
        <w:tabs>
          <w:tab w:pos="726" w:val="left" w:leader="none"/>
        </w:tabs>
        <w:spacing w:line="240" w:lineRule="auto" w:before="62" w:after="0"/>
        <w:ind w:left="725" w:right="0" w:hanging="82"/>
        <w:jc w:val="left"/>
        <w:rPr>
          <w:rFonts w:ascii="Calibri"/>
          <w:sz w:val="12"/>
        </w:rPr>
      </w:pPr>
      <w:r>
        <w:rPr>
          <w:rFonts w:ascii="Calibri"/>
          <w:w w:val="100"/>
          <w:sz w:val="12"/>
        </w:rPr>
        <w:br w:type="column"/>
      </w:r>
      <w:r>
        <w:rPr>
          <w:rFonts w:ascii="Calibri"/>
          <w:sz w:val="12"/>
        </w:rPr>
        <w:t>- Non IS</w:t>
      </w:r>
      <w:r>
        <w:rPr>
          <w:rFonts w:ascii="Calibri"/>
          <w:spacing w:val="5"/>
          <w:sz w:val="12"/>
        </w:rPr>
        <w:t> </w:t>
      </w:r>
      <w:r>
        <w:rPr>
          <w:rFonts w:ascii="Calibri"/>
          <w:spacing w:val="-3"/>
          <w:sz w:val="12"/>
        </w:rPr>
        <w:t>Other</w:t>
      </w:r>
    </w:p>
    <w:p>
      <w:pPr>
        <w:pStyle w:val="ListParagraph"/>
        <w:numPr>
          <w:ilvl w:val="0"/>
          <w:numId w:val="8"/>
        </w:numPr>
        <w:tabs>
          <w:tab w:pos="759" w:val="left" w:leader="none"/>
        </w:tabs>
        <w:spacing w:line="261" w:lineRule="auto" w:before="62" w:after="0"/>
        <w:ind w:left="620" w:right="0" w:firstLine="0"/>
        <w:jc w:val="left"/>
        <w:rPr>
          <w:rFonts w:ascii="Calibri"/>
          <w:sz w:val="12"/>
        </w:rPr>
      </w:pPr>
      <w:r>
        <w:rPr>
          <w:rFonts w:ascii="Calibri"/>
          <w:w w:val="100"/>
          <w:sz w:val="12"/>
        </w:rPr>
        <w:br w:type="column"/>
      </w:r>
      <w:r>
        <w:rPr>
          <w:rFonts w:ascii="Calibri"/>
          <w:sz w:val="12"/>
        </w:rPr>
        <w:t>- Previous Welfare Recipient</w:t>
      </w:r>
    </w:p>
    <w:p>
      <w:pPr>
        <w:pStyle w:val="ListParagraph"/>
        <w:numPr>
          <w:ilvl w:val="0"/>
          <w:numId w:val="8"/>
        </w:numPr>
        <w:tabs>
          <w:tab w:pos="482" w:val="left" w:leader="none"/>
        </w:tabs>
        <w:spacing w:line="240" w:lineRule="auto" w:before="62" w:after="0"/>
        <w:ind w:left="481" w:right="0" w:hanging="139"/>
        <w:jc w:val="left"/>
        <w:rPr>
          <w:rFonts w:ascii="Calibri"/>
          <w:sz w:val="12"/>
        </w:rPr>
      </w:pPr>
      <w:r>
        <w:rPr>
          <w:rFonts w:ascii="Calibri"/>
          <w:w w:val="100"/>
          <w:sz w:val="12"/>
        </w:rPr>
        <w:br w:type="column"/>
      </w:r>
      <w:r>
        <w:rPr>
          <w:rFonts w:ascii="Calibri"/>
          <w:sz w:val="12"/>
        </w:rPr>
        <w:t>-</w:t>
      </w:r>
      <w:r>
        <w:rPr>
          <w:rFonts w:ascii="Calibri"/>
          <w:spacing w:val="3"/>
          <w:sz w:val="12"/>
        </w:rPr>
        <w:t> </w:t>
      </w:r>
      <w:r>
        <w:rPr>
          <w:rFonts w:ascii="Calibri"/>
          <w:spacing w:val="-5"/>
          <w:sz w:val="12"/>
        </w:rPr>
        <w:t>Dead</w:t>
      </w:r>
    </w:p>
    <w:p>
      <w:pPr>
        <w:pStyle w:val="ListParagraph"/>
        <w:numPr>
          <w:ilvl w:val="0"/>
          <w:numId w:val="8"/>
        </w:numPr>
        <w:tabs>
          <w:tab w:pos="1084" w:val="left" w:leader="none"/>
        </w:tabs>
        <w:spacing w:line="261" w:lineRule="auto" w:before="62" w:after="0"/>
        <w:ind w:left="946" w:right="2473" w:firstLine="0"/>
        <w:jc w:val="left"/>
        <w:rPr>
          <w:rFonts w:ascii="Calibri"/>
          <w:sz w:val="12"/>
        </w:rPr>
      </w:pPr>
      <w:r>
        <w:rPr>
          <w:rFonts w:ascii="Calibri"/>
          <w:w w:val="100"/>
          <w:sz w:val="12"/>
        </w:rPr>
        <w:br w:type="column"/>
      </w:r>
      <w:r>
        <w:rPr>
          <w:rFonts w:ascii="Calibri"/>
          <w:sz w:val="12"/>
        </w:rPr>
        <w:t>- Rest of Aust. Population</w:t>
      </w:r>
    </w:p>
    <w:p>
      <w:pPr>
        <w:spacing w:after="0" w:line="261" w:lineRule="auto"/>
        <w:jc w:val="left"/>
        <w:rPr>
          <w:rFonts w:ascii="Calibri"/>
          <w:sz w:val="12"/>
        </w:rPr>
        <w:sectPr>
          <w:type w:val="continuous"/>
          <w:pgSz w:w="11910" w:h="16850"/>
          <w:pgMar w:top="1600" w:bottom="280" w:left="120" w:right="0"/>
          <w:cols w:num="6" w:equalWidth="0">
            <w:col w:w="2074" w:space="40"/>
            <w:col w:w="1345" w:space="39"/>
            <w:col w:w="1430" w:space="40"/>
            <w:col w:w="1683" w:space="39"/>
            <w:col w:w="804" w:space="40"/>
            <w:col w:w="4256"/>
          </w:cols>
        </w:sectPr>
      </w:pPr>
    </w:p>
    <w:p>
      <w:pPr>
        <w:pStyle w:val="BodyText"/>
        <w:rPr>
          <w:rFonts w:ascii="Calibri"/>
          <w:sz w:val="23"/>
        </w:rPr>
      </w:pPr>
    </w:p>
    <w:p>
      <w:pPr>
        <w:spacing w:before="92"/>
        <w:ind w:left="900" w:right="0" w:firstLine="0"/>
        <w:jc w:val="left"/>
        <w:rPr>
          <w:sz w:val="28"/>
        </w:rPr>
      </w:pPr>
      <w:bookmarkStart w:name="Working Age recipients" w:id="29"/>
      <w:bookmarkEnd w:id="29"/>
      <w:r>
        <w:rPr/>
      </w:r>
      <w:r>
        <w:rPr>
          <w:color w:val="DF2F28"/>
          <w:sz w:val="28"/>
        </w:rPr>
        <w:t>Working Age recipients</w:t>
      </w:r>
    </w:p>
    <w:p>
      <w:pPr>
        <w:pStyle w:val="BodyText"/>
        <w:spacing w:before="123"/>
        <w:ind w:left="900" w:right="1220"/>
      </w:pPr>
      <w:r>
        <w:rPr>
          <w:color w:val="404040"/>
        </w:rPr>
        <w:t>This year we have included a variable indicating receipt of a payment at the valuation date (as opposed to at any other point during the year). Information on this very recent welfare use has helped to further differentiate which people in each class are likely to have the highest future welfare use. For example, the analysis has shown that:</w:t>
      </w:r>
    </w:p>
    <w:p>
      <w:pPr>
        <w:pStyle w:val="ListParagraph"/>
        <w:numPr>
          <w:ilvl w:val="0"/>
          <w:numId w:val="9"/>
        </w:numPr>
        <w:tabs>
          <w:tab w:pos="1184" w:val="left" w:leader="none"/>
        </w:tabs>
        <w:spacing w:line="240" w:lineRule="auto" w:before="118" w:after="0"/>
        <w:ind w:left="1183" w:right="1078" w:hanging="284"/>
        <w:jc w:val="left"/>
        <w:rPr>
          <w:sz w:val="20"/>
        </w:rPr>
      </w:pPr>
      <w:r>
        <w:rPr>
          <w:color w:val="404040"/>
          <w:sz w:val="20"/>
        </w:rPr>
        <w:t>Of the 1,237,000 people in the Working Age class, 846,000 were in receipt of a payment at the end of the year</w:t>
      </w:r>
      <w:r>
        <w:rPr>
          <w:color w:val="404040"/>
          <w:spacing w:val="-1"/>
          <w:sz w:val="20"/>
        </w:rPr>
        <w:t> </w:t>
      </w:r>
      <w:r>
        <w:rPr>
          <w:color w:val="404040"/>
          <w:sz w:val="20"/>
        </w:rPr>
        <w:t>and</w:t>
      </w:r>
      <w:r>
        <w:rPr>
          <w:color w:val="404040"/>
          <w:spacing w:val="-2"/>
          <w:sz w:val="20"/>
        </w:rPr>
        <w:t> </w:t>
      </w:r>
      <w:r>
        <w:rPr>
          <w:color w:val="404040"/>
          <w:sz w:val="20"/>
        </w:rPr>
        <w:t>722,000</w:t>
      </w:r>
      <w:r>
        <w:rPr>
          <w:color w:val="404040"/>
          <w:spacing w:val="-4"/>
          <w:sz w:val="20"/>
        </w:rPr>
        <w:t> </w:t>
      </w:r>
      <w:r>
        <w:rPr>
          <w:color w:val="404040"/>
          <w:sz w:val="20"/>
        </w:rPr>
        <w:t>of</w:t>
      </w:r>
      <w:r>
        <w:rPr>
          <w:color w:val="404040"/>
          <w:spacing w:val="-2"/>
          <w:sz w:val="20"/>
        </w:rPr>
        <w:t> </w:t>
      </w:r>
      <w:r>
        <w:rPr>
          <w:color w:val="404040"/>
          <w:sz w:val="20"/>
        </w:rPr>
        <w:t>these</w:t>
      </w:r>
      <w:r>
        <w:rPr>
          <w:color w:val="404040"/>
          <w:spacing w:val="-2"/>
          <w:sz w:val="20"/>
        </w:rPr>
        <w:t> </w:t>
      </w:r>
      <w:r>
        <w:rPr>
          <w:color w:val="404040"/>
          <w:sz w:val="20"/>
        </w:rPr>
        <w:t>related</w:t>
      </w:r>
      <w:r>
        <w:rPr>
          <w:color w:val="404040"/>
          <w:spacing w:val="-4"/>
          <w:sz w:val="20"/>
        </w:rPr>
        <w:t> </w:t>
      </w:r>
      <w:r>
        <w:rPr>
          <w:color w:val="404040"/>
          <w:sz w:val="20"/>
        </w:rPr>
        <w:t>to</w:t>
      </w:r>
      <w:r>
        <w:rPr>
          <w:color w:val="404040"/>
          <w:spacing w:val="-4"/>
          <w:sz w:val="20"/>
        </w:rPr>
        <w:t> </w:t>
      </w:r>
      <w:r>
        <w:rPr>
          <w:color w:val="404040"/>
          <w:sz w:val="20"/>
        </w:rPr>
        <w:t>the</w:t>
      </w:r>
      <w:r>
        <w:rPr>
          <w:color w:val="404040"/>
          <w:spacing w:val="-4"/>
          <w:sz w:val="20"/>
        </w:rPr>
        <w:t> </w:t>
      </w:r>
      <w:r>
        <w:rPr>
          <w:color w:val="404040"/>
          <w:sz w:val="20"/>
        </w:rPr>
        <w:t>Newstart</w:t>
      </w:r>
      <w:r>
        <w:rPr>
          <w:color w:val="404040"/>
          <w:spacing w:val="-3"/>
          <w:sz w:val="20"/>
        </w:rPr>
        <w:t> </w:t>
      </w:r>
      <w:r>
        <w:rPr>
          <w:color w:val="404040"/>
          <w:sz w:val="20"/>
        </w:rPr>
        <w:t>Allowance.</w:t>
      </w:r>
      <w:r>
        <w:rPr>
          <w:color w:val="404040"/>
          <w:spacing w:val="-4"/>
          <w:sz w:val="20"/>
        </w:rPr>
        <w:t> </w:t>
      </w:r>
      <w:r>
        <w:rPr>
          <w:color w:val="404040"/>
          <w:sz w:val="20"/>
        </w:rPr>
        <w:t>This</w:t>
      </w:r>
      <w:r>
        <w:rPr>
          <w:color w:val="404040"/>
          <w:spacing w:val="-3"/>
          <w:sz w:val="20"/>
        </w:rPr>
        <w:t> </w:t>
      </w:r>
      <w:r>
        <w:rPr>
          <w:color w:val="404040"/>
          <w:sz w:val="20"/>
        </w:rPr>
        <w:t>number</w:t>
      </w:r>
      <w:r>
        <w:rPr>
          <w:color w:val="404040"/>
          <w:spacing w:val="-3"/>
          <w:sz w:val="20"/>
        </w:rPr>
        <w:t> </w:t>
      </w:r>
      <w:r>
        <w:rPr>
          <w:color w:val="404040"/>
          <w:sz w:val="20"/>
        </w:rPr>
        <w:t>aligns</w:t>
      </w:r>
      <w:r>
        <w:rPr>
          <w:color w:val="404040"/>
          <w:spacing w:val="-1"/>
          <w:sz w:val="20"/>
        </w:rPr>
        <w:t> </w:t>
      </w:r>
      <w:r>
        <w:rPr>
          <w:color w:val="404040"/>
          <w:sz w:val="20"/>
        </w:rPr>
        <w:t>closely</w:t>
      </w:r>
      <w:r>
        <w:rPr>
          <w:color w:val="404040"/>
          <w:spacing w:val="-5"/>
          <w:sz w:val="20"/>
        </w:rPr>
        <w:t> </w:t>
      </w:r>
      <w:r>
        <w:rPr>
          <w:color w:val="404040"/>
          <w:sz w:val="20"/>
        </w:rPr>
        <w:t>with</w:t>
      </w:r>
      <w:r>
        <w:rPr>
          <w:color w:val="404040"/>
          <w:spacing w:val="-3"/>
          <w:sz w:val="20"/>
        </w:rPr>
        <w:t> </w:t>
      </w:r>
      <w:r>
        <w:rPr>
          <w:color w:val="404040"/>
          <w:sz w:val="20"/>
        </w:rPr>
        <w:t>the</w:t>
      </w:r>
      <w:r>
        <w:rPr>
          <w:color w:val="404040"/>
          <w:spacing w:val="-2"/>
          <w:sz w:val="20"/>
        </w:rPr>
        <w:t> </w:t>
      </w:r>
      <w:r>
        <w:rPr>
          <w:color w:val="404040"/>
          <w:sz w:val="20"/>
        </w:rPr>
        <w:t>definitions used in ‘point in time’ counts of Newstart</w:t>
      </w:r>
      <w:r>
        <w:rPr>
          <w:color w:val="404040"/>
          <w:spacing w:val="-6"/>
          <w:sz w:val="20"/>
        </w:rPr>
        <w:t> </w:t>
      </w:r>
      <w:r>
        <w:rPr>
          <w:color w:val="404040"/>
          <w:sz w:val="20"/>
        </w:rPr>
        <w:t>recipients.</w:t>
      </w:r>
    </w:p>
    <w:p>
      <w:pPr>
        <w:pStyle w:val="ListParagraph"/>
        <w:numPr>
          <w:ilvl w:val="0"/>
          <w:numId w:val="9"/>
        </w:numPr>
        <w:tabs>
          <w:tab w:pos="1184" w:val="left" w:leader="none"/>
        </w:tabs>
        <w:spacing w:line="240" w:lineRule="auto" w:before="121" w:after="0"/>
        <w:ind w:left="1183" w:right="1200" w:hanging="284"/>
        <w:jc w:val="left"/>
        <w:rPr>
          <w:sz w:val="20"/>
        </w:rPr>
      </w:pPr>
      <w:r>
        <w:rPr>
          <w:color w:val="404040"/>
          <w:sz w:val="20"/>
        </w:rPr>
        <w:t>The Investment Approach definition includes a further 316,000 people who had received Newstart Allowance earlier in the year but have subsequently stopped receiving any income support, due to gaining employment or other circumstance changes. The modelling shows that this group, while having a lower average lifetime cost, still have significant risk of cycling back onto income support compared to those who have remained off for more than a</w:t>
      </w:r>
      <w:r>
        <w:rPr>
          <w:color w:val="404040"/>
          <w:spacing w:val="-2"/>
          <w:sz w:val="20"/>
        </w:rPr>
        <w:t> </w:t>
      </w:r>
      <w:r>
        <w:rPr>
          <w:color w:val="404040"/>
          <w:sz w:val="20"/>
        </w:rPr>
        <w:t>year.</w:t>
      </w:r>
    </w:p>
    <w:p>
      <w:pPr>
        <w:spacing w:after="0" w:line="240" w:lineRule="auto"/>
        <w:jc w:val="left"/>
        <w:rPr>
          <w:sz w:val="20"/>
        </w:rPr>
        <w:sectPr>
          <w:type w:val="continuous"/>
          <w:pgSz w:w="11910" w:h="16850"/>
          <w:pgMar w:top="1600" w:bottom="280" w:left="120" w:right="0"/>
        </w:sectPr>
      </w:pPr>
    </w:p>
    <w:p>
      <w:pPr>
        <w:pStyle w:val="BodyText"/>
        <w:ind w:left="105"/>
      </w:pPr>
      <w:r>
        <w:rPr/>
        <w:drawing>
          <wp:inline distT="0" distB="0" distL="0" distR="0">
            <wp:extent cx="7250377" cy="5910738"/>
            <wp:effectExtent l="0" t="0" r="0" b="0"/>
            <wp:docPr id="11" name="image8.jpeg" descr="A young man working at a laptop computer, smiling at the camera."/>
            <wp:cNvGraphicFramePr>
              <a:graphicFrameLocks noChangeAspect="1"/>
            </wp:cNvGraphicFramePr>
            <a:graphic>
              <a:graphicData uri="http://schemas.openxmlformats.org/drawingml/2006/picture">
                <pic:pic>
                  <pic:nvPicPr>
                    <pic:cNvPr id="12" name="image8.jpeg"/>
                    <pic:cNvPicPr/>
                  </pic:nvPicPr>
                  <pic:blipFill>
                    <a:blip r:embed="rId18" cstate="print"/>
                    <a:stretch>
                      <a:fillRect/>
                    </a:stretch>
                  </pic:blipFill>
                  <pic:spPr>
                    <a:xfrm>
                      <a:off x="0" y="0"/>
                      <a:ext cx="7250377" cy="5910738"/>
                    </a:xfrm>
                    <a:prstGeom prst="rect">
                      <a:avLst/>
                    </a:prstGeom>
                  </pic:spPr>
                </pic:pic>
              </a:graphicData>
            </a:graphic>
          </wp:inline>
        </w:drawing>
      </w:r>
      <w:r>
        <w:rPr/>
      </w:r>
    </w:p>
    <w:p>
      <w:pPr>
        <w:pStyle w:val="BodyText"/>
      </w:pPr>
    </w:p>
    <w:p>
      <w:pPr>
        <w:pStyle w:val="BodyText"/>
        <w:spacing w:before="2"/>
        <w:rPr>
          <w:sz w:val="23"/>
        </w:rPr>
      </w:pPr>
    </w:p>
    <w:p>
      <w:pPr>
        <w:pStyle w:val="Heading1"/>
      </w:pPr>
      <w:bookmarkStart w:name="Part II: Valuation results" w:id="30"/>
      <w:bookmarkEnd w:id="30"/>
      <w:r>
        <w:rPr/>
      </w:r>
      <w:bookmarkStart w:name="_bookmark2" w:id="31"/>
      <w:bookmarkEnd w:id="31"/>
      <w:r>
        <w:rPr/>
      </w:r>
      <w:r>
        <w:rPr>
          <w:color w:val="DF2F1E"/>
        </w:rPr>
        <w:t>Part II: Valuation results</w:t>
      </w:r>
    </w:p>
    <w:p>
      <w:pPr>
        <w:spacing w:after="0"/>
        <w:sectPr>
          <w:headerReference w:type="default" r:id="rId16"/>
          <w:footerReference w:type="default" r:id="rId17"/>
          <w:pgSz w:w="11910" w:h="16850"/>
          <w:pgMar w:header="0" w:footer="581" w:top="220" w:bottom="780" w:left="120" w:right="0"/>
          <w:pgNumType w:start="19"/>
        </w:sectPr>
      </w:pPr>
    </w:p>
    <w:p>
      <w:pPr>
        <w:pStyle w:val="BodyText"/>
      </w:pPr>
    </w:p>
    <w:p>
      <w:pPr>
        <w:pStyle w:val="BodyText"/>
      </w:pPr>
    </w:p>
    <w:p>
      <w:pPr>
        <w:pStyle w:val="BodyText"/>
        <w:rPr>
          <w:sz w:val="22"/>
        </w:rPr>
      </w:pPr>
    </w:p>
    <w:p>
      <w:pPr>
        <w:pStyle w:val="ListParagraph"/>
        <w:numPr>
          <w:ilvl w:val="0"/>
          <w:numId w:val="10"/>
        </w:numPr>
        <w:tabs>
          <w:tab w:pos="1752" w:val="left" w:leader="none"/>
          <w:tab w:pos="1753" w:val="left" w:leader="none"/>
        </w:tabs>
        <w:spacing w:line="240" w:lineRule="auto" w:before="88" w:after="0"/>
        <w:ind w:left="1752" w:right="0" w:hanging="853"/>
        <w:jc w:val="left"/>
        <w:rPr>
          <w:color w:val="DF2F1E"/>
          <w:sz w:val="40"/>
        </w:rPr>
      </w:pPr>
      <w:bookmarkStart w:name="1 Introduction" w:id="32"/>
      <w:bookmarkEnd w:id="32"/>
      <w:r>
        <w:rPr/>
      </w:r>
      <w:bookmarkStart w:name="_bookmark3" w:id="33"/>
      <w:bookmarkEnd w:id="33"/>
      <w:r>
        <w:rPr/>
      </w:r>
      <w:bookmarkStart w:name="_bookmark3" w:id="34"/>
      <w:bookmarkEnd w:id="34"/>
      <w:r>
        <w:rPr>
          <w:color w:val="DF2F1E"/>
          <w:sz w:val="40"/>
        </w:rPr>
        <w:t>I</w:t>
      </w:r>
      <w:r>
        <w:rPr>
          <w:color w:val="DF2F1E"/>
          <w:sz w:val="40"/>
        </w:rPr>
        <w:t>ntroduction</w:t>
      </w:r>
    </w:p>
    <w:p>
      <w:pPr>
        <w:pStyle w:val="BodyText"/>
        <w:spacing w:before="11"/>
        <w:rPr>
          <w:sz w:val="18"/>
        </w:rPr>
      </w:pPr>
      <w:r>
        <w:rPr/>
        <w:pict>
          <v:shape style="position:absolute;margin-left:51pt;margin-top:12.106035pt;width:493.35pt;height:164.55pt;mso-position-horizontal-relative:page;mso-position-vertical-relative:paragraph;z-index:-251577344;mso-wrap-distance-left:0;mso-wrap-distance-right:0" type="#_x0000_t202" filled="true" fillcolor="#f3aba3" stroked="false">
            <v:textbox inset="0,0,0,0">
              <w:txbxContent>
                <w:p>
                  <w:pPr>
                    <w:spacing w:before="117"/>
                    <w:ind w:left="107" w:right="0" w:firstLine="0"/>
                    <w:jc w:val="left"/>
                    <w:rPr>
                      <w:b/>
                      <w:sz w:val="20"/>
                    </w:rPr>
                  </w:pPr>
                  <w:r>
                    <w:rPr>
                      <w:b/>
                      <w:color w:val="404040"/>
                      <w:sz w:val="20"/>
                    </w:rPr>
                    <w:t>Key points</w:t>
                  </w:r>
                </w:p>
                <w:p>
                  <w:pPr>
                    <w:pStyle w:val="BodyText"/>
                    <w:spacing w:before="123"/>
                    <w:ind w:left="107"/>
                  </w:pPr>
                  <w:r>
                    <w:rPr>
                      <w:color w:val="404040"/>
                    </w:rPr>
                    <w:t>This report presents the 30 June 2018 valuation of the Australian income support and social security system.</w:t>
                  </w:r>
                </w:p>
                <w:p>
                  <w:pPr>
                    <w:pStyle w:val="BodyText"/>
                    <w:numPr>
                      <w:ilvl w:val="0"/>
                      <w:numId w:val="11"/>
                    </w:numPr>
                    <w:tabs>
                      <w:tab w:pos="392" w:val="left" w:leader="none"/>
                    </w:tabs>
                    <w:spacing w:line="240" w:lineRule="auto" w:before="119" w:after="0"/>
                    <w:ind w:left="391" w:right="0" w:hanging="285"/>
                    <w:jc w:val="left"/>
                  </w:pPr>
                  <w:r>
                    <w:rPr>
                      <w:color w:val="404040"/>
                    </w:rPr>
                    <w:t>The 2018 valuation model has retained the same general structure used for previous</w:t>
                  </w:r>
                  <w:r>
                    <w:rPr>
                      <w:color w:val="404040"/>
                      <w:spacing w:val="-22"/>
                    </w:rPr>
                    <w:t> </w:t>
                  </w:r>
                  <w:r>
                    <w:rPr>
                      <w:color w:val="404040"/>
                    </w:rPr>
                    <w:t>valuations.</w:t>
                  </w:r>
                </w:p>
                <w:p>
                  <w:pPr>
                    <w:pStyle w:val="BodyText"/>
                    <w:numPr>
                      <w:ilvl w:val="0"/>
                      <w:numId w:val="11"/>
                    </w:numPr>
                    <w:tabs>
                      <w:tab w:pos="392" w:val="left" w:leader="none"/>
                    </w:tabs>
                    <w:spacing w:line="240" w:lineRule="auto" w:before="117" w:after="0"/>
                    <w:ind w:left="391" w:right="647" w:hanging="284"/>
                    <w:jc w:val="left"/>
                  </w:pPr>
                  <w:r>
                    <w:rPr>
                      <w:color w:val="404040"/>
                    </w:rPr>
                    <w:t>The</w:t>
                  </w:r>
                  <w:r>
                    <w:rPr>
                      <w:color w:val="404040"/>
                      <w:spacing w:val="-7"/>
                    </w:rPr>
                    <w:t> </w:t>
                  </w:r>
                  <w:r>
                    <w:rPr>
                      <w:color w:val="404040"/>
                    </w:rPr>
                    <w:t>model</w:t>
                  </w:r>
                  <w:r>
                    <w:rPr>
                      <w:color w:val="404040"/>
                      <w:spacing w:val="-4"/>
                    </w:rPr>
                    <w:t> </w:t>
                  </w:r>
                  <w:r>
                    <w:rPr>
                      <w:color w:val="404040"/>
                    </w:rPr>
                    <w:t>has</w:t>
                  </w:r>
                  <w:r>
                    <w:rPr>
                      <w:color w:val="404040"/>
                      <w:spacing w:val="-2"/>
                    </w:rPr>
                    <w:t> </w:t>
                  </w:r>
                  <w:r>
                    <w:rPr>
                      <w:color w:val="404040"/>
                    </w:rPr>
                    <w:t>been</w:t>
                  </w:r>
                  <w:r>
                    <w:rPr>
                      <w:color w:val="404040"/>
                      <w:spacing w:val="-3"/>
                    </w:rPr>
                    <w:t> </w:t>
                  </w:r>
                  <w:r>
                    <w:rPr>
                      <w:color w:val="404040"/>
                    </w:rPr>
                    <w:t>extended</w:t>
                  </w:r>
                  <w:r>
                    <w:rPr>
                      <w:color w:val="404040"/>
                      <w:spacing w:val="-3"/>
                    </w:rPr>
                    <w:t> </w:t>
                  </w:r>
                  <w:r>
                    <w:rPr>
                      <w:color w:val="404040"/>
                    </w:rPr>
                    <w:t>to</w:t>
                  </w:r>
                  <w:r>
                    <w:rPr>
                      <w:color w:val="404040"/>
                      <w:spacing w:val="-4"/>
                    </w:rPr>
                    <w:t> </w:t>
                  </w:r>
                  <w:r>
                    <w:rPr>
                      <w:color w:val="404040"/>
                    </w:rPr>
                    <w:t>include information</w:t>
                  </w:r>
                  <w:r>
                    <w:rPr>
                      <w:color w:val="404040"/>
                      <w:spacing w:val="-1"/>
                    </w:rPr>
                    <w:t> </w:t>
                  </w:r>
                  <w:r>
                    <w:rPr>
                      <w:color w:val="404040"/>
                    </w:rPr>
                    <w:t>on</w:t>
                  </w:r>
                  <w:r>
                    <w:rPr>
                      <w:color w:val="404040"/>
                      <w:spacing w:val="-3"/>
                    </w:rPr>
                    <w:t> </w:t>
                  </w:r>
                  <w:r>
                    <w:rPr>
                      <w:color w:val="404040"/>
                    </w:rPr>
                    <w:t>people’s</w:t>
                  </w:r>
                  <w:r>
                    <w:rPr>
                      <w:color w:val="404040"/>
                      <w:spacing w:val="-3"/>
                    </w:rPr>
                    <w:t> </w:t>
                  </w:r>
                  <w:r>
                    <w:rPr>
                      <w:color w:val="404040"/>
                    </w:rPr>
                    <w:t>location,</w:t>
                  </w:r>
                  <w:r>
                    <w:rPr>
                      <w:color w:val="404040"/>
                      <w:spacing w:val="-3"/>
                    </w:rPr>
                    <w:t> </w:t>
                  </w:r>
                  <w:r>
                    <w:rPr>
                      <w:color w:val="404040"/>
                    </w:rPr>
                    <w:t>through</w:t>
                  </w:r>
                  <w:r>
                    <w:rPr>
                      <w:color w:val="404040"/>
                      <w:spacing w:val="-3"/>
                    </w:rPr>
                    <w:t> </w:t>
                  </w:r>
                  <w:r>
                    <w:rPr>
                      <w:color w:val="404040"/>
                    </w:rPr>
                    <w:t>the</w:t>
                  </w:r>
                  <w:r>
                    <w:rPr>
                      <w:color w:val="404040"/>
                      <w:spacing w:val="-1"/>
                    </w:rPr>
                    <w:t> </w:t>
                  </w:r>
                  <w:r>
                    <w:rPr>
                      <w:color w:val="404040"/>
                    </w:rPr>
                    <w:t>inclusion</w:t>
                  </w:r>
                  <w:r>
                    <w:rPr>
                      <w:color w:val="404040"/>
                      <w:spacing w:val="-3"/>
                    </w:rPr>
                    <w:t> </w:t>
                  </w:r>
                  <w:r>
                    <w:rPr>
                      <w:color w:val="404040"/>
                    </w:rPr>
                    <w:t>of</w:t>
                  </w:r>
                  <w:r>
                    <w:rPr>
                      <w:color w:val="404040"/>
                      <w:spacing w:val="-2"/>
                    </w:rPr>
                    <w:t> </w:t>
                  </w:r>
                  <w:r>
                    <w:rPr>
                      <w:color w:val="404040"/>
                    </w:rPr>
                    <w:t>a measure of socio-economic advantage or disadvantage of their residential location; information on whether people entered the country as a refugee or who became a refugee while in Australia; and it considers</w:t>
                  </w:r>
                  <w:r>
                    <w:rPr>
                      <w:color w:val="404040"/>
                      <w:spacing w:val="-1"/>
                    </w:rPr>
                    <w:t> </w:t>
                  </w:r>
                  <w:r>
                    <w:rPr>
                      <w:color w:val="404040"/>
                    </w:rPr>
                    <w:t>whether</w:t>
                  </w:r>
                  <w:r>
                    <w:rPr>
                      <w:color w:val="404040"/>
                      <w:spacing w:val="-4"/>
                    </w:rPr>
                    <w:t> </w:t>
                  </w:r>
                  <w:r>
                    <w:rPr>
                      <w:color w:val="404040"/>
                    </w:rPr>
                    <w:t>recipients</w:t>
                  </w:r>
                  <w:r>
                    <w:rPr>
                      <w:color w:val="404040"/>
                      <w:spacing w:val="-3"/>
                    </w:rPr>
                    <w:t> </w:t>
                  </w:r>
                  <w:r>
                    <w:rPr>
                      <w:color w:val="404040"/>
                    </w:rPr>
                    <w:t>were</w:t>
                  </w:r>
                  <w:r>
                    <w:rPr>
                      <w:color w:val="404040"/>
                      <w:spacing w:val="-2"/>
                    </w:rPr>
                    <w:t> </w:t>
                  </w:r>
                  <w:r>
                    <w:rPr>
                      <w:color w:val="404040"/>
                    </w:rPr>
                    <w:t>in</w:t>
                  </w:r>
                  <w:r>
                    <w:rPr>
                      <w:color w:val="404040"/>
                      <w:spacing w:val="-3"/>
                    </w:rPr>
                    <w:t> </w:t>
                  </w:r>
                  <w:r>
                    <w:rPr>
                      <w:color w:val="404040"/>
                    </w:rPr>
                    <w:t>receipt</w:t>
                  </w:r>
                  <w:r>
                    <w:rPr>
                      <w:color w:val="404040"/>
                      <w:spacing w:val="-4"/>
                    </w:rPr>
                    <w:t> </w:t>
                  </w:r>
                  <w:r>
                    <w:rPr>
                      <w:color w:val="404040"/>
                    </w:rPr>
                    <w:t>of</w:t>
                  </w:r>
                  <w:r>
                    <w:rPr>
                      <w:color w:val="404040"/>
                      <w:spacing w:val="-3"/>
                    </w:rPr>
                    <w:t> </w:t>
                  </w:r>
                  <w:r>
                    <w:rPr>
                      <w:color w:val="404040"/>
                    </w:rPr>
                    <w:t>an</w:t>
                  </w:r>
                  <w:r>
                    <w:rPr>
                      <w:color w:val="404040"/>
                      <w:spacing w:val="-2"/>
                    </w:rPr>
                    <w:t> </w:t>
                  </w:r>
                  <w:r>
                    <w:rPr>
                      <w:color w:val="404040"/>
                    </w:rPr>
                    <w:t>income</w:t>
                  </w:r>
                  <w:r>
                    <w:rPr>
                      <w:color w:val="404040"/>
                      <w:spacing w:val="-5"/>
                    </w:rPr>
                    <w:t> </w:t>
                  </w:r>
                  <w:r>
                    <w:rPr>
                      <w:color w:val="404040"/>
                    </w:rPr>
                    <w:t>support</w:t>
                  </w:r>
                  <w:r>
                    <w:rPr>
                      <w:color w:val="404040"/>
                      <w:spacing w:val="-4"/>
                    </w:rPr>
                    <w:t> </w:t>
                  </w:r>
                  <w:r>
                    <w:rPr>
                      <w:color w:val="404040"/>
                    </w:rPr>
                    <w:t>payment</w:t>
                  </w:r>
                  <w:r>
                    <w:rPr>
                      <w:color w:val="404040"/>
                      <w:spacing w:val="-4"/>
                    </w:rPr>
                    <w:t> </w:t>
                  </w:r>
                  <w:r>
                    <w:rPr>
                      <w:color w:val="404040"/>
                    </w:rPr>
                    <w:t>at</w:t>
                  </w:r>
                  <w:r>
                    <w:rPr>
                      <w:color w:val="404040"/>
                      <w:spacing w:val="-3"/>
                    </w:rPr>
                    <w:t> </w:t>
                  </w:r>
                  <w:r>
                    <w:rPr>
                      <w:color w:val="404040"/>
                    </w:rPr>
                    <w:t>the valuation</w:t>
                  </w:r>
                  <w:r>
                    <w:rPr>
                      <w:color w:val="404040"/>
                      <w:spacing w:val="-4"/>
                    </w:rPr>
                    <w:t> </w:t>
                  </w:r>
                  <w:r>
                    <w:rPr>
                      <w:color w:val="404040"/>
                    </w:rPr>
                    <w:t>date</w:t>
                  </w:r>
                  <w:r>
                    <w:rPr>
                      <w:color w:val="404040"/>
                      <w:spacing w:val="-2"/>
                    </w:rPr>
                    <w:t> </w:t>
                  </w:r>
                  <w:r>
                    <w:rPr>
                      <w:color w:val="404040"/>
                    </w:rPr>
                    <w:t>(as opposed to at some other point during the last</w:t>
                  </w:r>
                  <w:r>
                    <w:rPr>
                      <w:color w:val="404040"/>
                      <w:spacing w:val="2"/>
                    </w:rPr>
                    <w:t> </w:t>
                  </w:r>
                  <w:r>
                    <w:rPr>
                      <w:color w:val="404040"/>
                    </w:rPr>
                    <w:t>year).</w:t>
                  </w:r>
                </w:p>
                <w:p>
                  <w:pPr>
                    <w:pStyle w:val="BodyText"/>
                    <w:numPr>
                      <w:ilvl w:val="0"/>
                      <w:numId w:val="11"/>
                    </w:numPr>
                    <w:tabs>
                      <w:tab w:pos="392" w:val="left" w:leader="none"/>
                    </w:tabs>
                    <w:spacing w:line="240" w:lineRule="auto" w:before="119" w:after="0"/>
                    <w:ind w:left="391" w:right="282" w:hanging="284"/>
                    <w:jc w:val="left"/>
                  </w:pPr>
                  <w:r>
                    <w:rPr>
                      <w:color w:val="404040"/>
                    </w:rPr>
                    <w:t>The model assumptions have been updated to reflect changes in policy settings since the last valuation and</w:t>
                  </w:r>
                  <w:r>
                    <w:rPr>
                      <w:color w:val="404040"/>
                      <w:spacing w:val="-4"/>
                    </w:rPr>
                    <w:t> </w:t>
                  </w:r>
                  <w:r>
                    <w:rPr>
                      <w:color w:val="404040"/>
                    </w:rPr>
                    <w:t>to</w:t>
                  </w:r>
                  <w:r>
                    <w:rPr>
                      <w:color w:val="404040"/>
                      <w:spacing w:val="-3"/>
                    </w:rPr>
                    <w:t> </w:t>
                  </w:r>
                  <w:r>
                    <w:rPr>
                      <w:color w:val="404040"/>
                    </w:rPr>
                    <w:t>reflect</w:t>
                  </w:r>
                  <w:r>
                    <w:rPr>
                      <w:color w:val="404040"/>
                      <w:spacing w:val="-3"/>
                    </w:rPr>
                    <w:t> </w:t>
                  </w:r>
                  <w:r>
                    <w:rPr>
                      <w:color w:val="404040"/>
                    </w:rPr>
                    <w:t>the</w:t>
                  </w:r>
                  <w:r>
                    <w:rPr>
                      <w:color w:val="404040"/>
                      <w:spacing w:val="-4"/>
                    </w:rPr>
                    <w:t> </w:t>
                  </w:r>
                  <w:r>
                    <w:rPr>
                      <w:color w:val="404040"/>
                    </w:rPr>
                    <w:t>experience</w:t>
                  </w:r>
                  <w:r>
                    <w:rPr>
                      <w:color w:val="404040"/>
                      <w:spacing w:val="-3"/>
                    </w:rPr>
                    <w:t> </w:t>
                  </w:r>
                  <w:r>
                    <w:rPr>
                      <w:color w:val="404040"/>
                    </w:rPr>
                    <w:t>over</w:t>
                  </w:r>
                  <w:r>
                    <w:rPr>
                      <w:color w:val="404040"/>
                      <w:spacing w:val="-2"/>
                    </w:rPr>
                    <w:t> </w:t>
                  </w:r>
                  <w:r>
                    <w:rPr>
                      <w:color w:val="404040"/>
                    </w:rPr>
                    <w:t>the</w:t>
                  </w:r>
                  <w:r>
                    <w:rPr>
                      <w:color w:val="404040"/>
                      <w:spacing w:val="-3"/>
                    </w:rPr>
                    <w:t> </w:t>
                  </w:r>
                  <w:r>
                    <w:rPr>
                      <w:color w:val="404040"/>
                    </w:rPr>
                    <w:t>last year,</w:t>
                  </w:r>
                  <w:r>
                    <w:rPr>
                      <w:color w:val="404040"/>
                      <w:spacing w:val="-3"/>
                    </w:rPr>
                    <w:t> </w:t>
                  </w:r>
                  <w:r>
                    <w:rPr>
                      <w:color w:val="404040"/>
                    </w:rPr>
                    <w:t>as</w:t>
                  </w:r>
                  <w:r>
                    <w:rPr>
                      <w:color w:val="404040"/>
                      <w:spacing w:val="1"/>
                    </w:rPr>
                    <w:t> </w:t>
                  </w:r>
                  <w:r>
                    <w:rPr>
                      <w:color w:val="404040"/>
                    </w:rPr>
                    <w:t>well</w:t>
                  </w:r>
                  <w:r>
                    <w:rPr>
                      <w:color w:val="404040"/>
                      <w:spacing w:val="-3"/>
                    </w:rPr>
                    <w:t> </w:t>
                  </w:r>
                  <w:r>
                    <w:rPr>
                      <w:color w:val="404040"/>
                    </w:rPr>
                    <w:t>as</w:t>
                  </w:r>
                  <w:r>
                    <w:rPr>
                      <w:color w:val="404040"/>
                      <w:spacing w:val="-2"/>
                    </w:rPr>
                    <w:t> </w:t>
                  </w:r>
                  <w:r>
                    <w:rPr>
                      <w:color w:val="404040"/>
                    </w:rPr>
                    <w:t>an</w:t>
                  </w:r>
                  <w:r>
                    <w:rPr>
                      <w:color w:val="404040"/>
                      <w:spacing w:val="-1"/>
                    </w:rPr>
                    <w:t> </w:t>
                  </w:r>
                  <w:r>
                    <w:rPr>
                      <w:color w:val="404040"/>
                    </w:rPr>
                    <w:t>updated</w:t>
                  </w:r>
                  <w:r>
                    <w:rPr>
                      <w:color w:val="404040"/>
                      <w:spacing w:val="-2"/>
                    </w:rPr>
                    <w:t> </w:t>
                  </w:r>
                  <w:r>
                    <w:rPr>
                      <w:color w:val="404040"/>
                    </w:rPr>
                    <w:t>scenario</w:t>
                  </w:r>
                  <w:r>
                    <w:rPr>
                      <w:color w:val="404040"/>
                      <w:spacing w:val="-3"/>
                    </w:rPr>
                    <w:t> </w:t>
                  </w:r>
                  <w:r>
                    <w:rPr>
                      <w:color w:val="404040"/>
                    </w:rPr>
                    <w:t>for</w:t>
                  </w:r>
                  <w:r>
                    <w:rPr>
                      <w:color w:val="404040"/>
                      <w:spacing w:val="-2"/>
                    </w:rPr>
                    <w:t> </w:t>
                  </w:r>
                  <w:r>
                    <w:rPr>
                      <w:color w:val="404040"/>
                    </w:rPr>
                    <w:t>the</w:t>
                  </w:r>
                  <w:r>
                    <w:rPr>
                      <w:color w:val="404040"/>
                      <w:spacing w:val="-2"/>
                    </w:rPr>
                    <w:t> </w:t>
                  </w:r>
                  <w:r>
                    <w:rPr>
                      <w:color w:val="404040"/>
                    </w:rPr>
                    <w:t>projected</w:t>
                  </w:r>
                  <w:r>
                    <w:rPr>
                      <w:color w:val="404040"/>
                      <w:spacing w:val="-3"/>
                    </w:rPr>
                    <w:t> </w:t>
                  </w:r>
                  <w:r>
                    <w:rPr>
                      <w:color w:val="404040"/>
                    </w:rPr>
                    <w:t>trend</w:t>
                  </w:r>
                  <w:r>
                    <w:rPr>
                      <w:color w:val="404040"/>
                      <w:spacing w:val="-1"/>
                    </w:rPr>
                    <w:t> </w:t>
                  </w:r>
                  <w:r>
                    <w:rPr>
                      <w:color w:val="404040"/>
                    </w:rPr>
                    <w:t>in Age Pension</w:t>
                  </w:r>
                  <w:r>
                    <w:rPr>
                      <w:color w:val="404040"/>
                      <w:spacing w:val="-1"/>
                    </w:rPr>
                    <w:t> </w:t>
                  </w:r>
                  <w:r>
                    <w:rPr>
                      <w:color w:val="404040"/>
                    </w:rPr>
                    <w:t>use.</w:t>
                  </w:r>
                </w:p>
              </w:txbxContent>
            </v:textbox>
            <v:fill type="solid"/>
            <w10:wrap type="topAndBottom"/>
          </v:shape>
        </w:pict>
      </w:r>
    </w:p>
    <w:p>
      <w:pPr>
        <w:pStyle w:val="BodyText"/>
        <w:spacing w:before="3"/>
        <w:rPr>
          <w:sz w:val="11"/>
        </w:rPr>
      </w:pPr>
    </w:p>
    <w:p>
      <w:pPr>
        <w:pStyle w:val="Heading2"/>
        <w:numPr>
          <w:ilvl w:val="1"/>
          <w:numId w:val="10"/>
        </w:numPr>
        <w:tabs>
          <w:tab w:pos="1752" w:val="left" w:leader="none"/>
          <w:tab w:pos="1753" w:val="left" w:leader="none"/>
        </w:tabs>
        <w:spacing w:line="240" w:lineRule="auto" w:before="92" w:after="0"/>
        <w:ind w:left="1752" w:right="0" w:hanging="853"/>
        <w:jc w:val="left"/>
      </w:pPr>
      <w:bookmarkStart w:name="1.1 Background and Introduction" w:id="35"/>
      <w:bookmarkEnd w:id="35"/>
      <w:r>
        <w:rPr/>
      </w:r>
      <w:bookmarkStart w:name="_bookmark4" w:id="36"/>
      <w:bookmarkEnd w:id="36"/>
      <w:r>
        <w:rPr/>
      </w:r>
      <w:bookmarkStart w:name="_bookmark4" w:id="37"/>
      <w:bookmarkEnd w:id="37"/>
      <w:r>
        <w:rPr>
          <w:color w:val="DF2F28"/>
        </w:rPr>
        <w:t>Ba</w:t>
      </w:r>
      <w:r>
        <w:rPr>
          <w:color w:val="DF2F28"/>
        </w:rPr>
        <w:t>ckground and</w:t>
      </w:r>
      <w:r>
        <w:rPr>
          <w:color w:val="DF2F28"/>
          <w:spacing w:val="-5"/>
        </w:rPr>
        <w:t> </w:t>
      </w:r>
      <w:r>
        <w:rPr>
          <w:color w:val="DF2F28"/>
        </w:rPr>
        <w:t>Introduction</w:t>
      </w:r>
    </w:p>
    <w:p>
      <w:pPr>
        <w:pStyle w:val="BodyText"/>
        <w:spacing w:before="122"/>
        <w:ind w:left="900" w:right="1121"/>
      </w:pPr>
      <w:r>
        <w:rPr>
          <w:color w:val="404040"/>
        </w:rPr>
        <w:t>This report documents the findings of the 30 June 2018 actuarial valuation of the Australian income support and social security system. This valuation is part of the work undertaken by the Department of Social Services (the Department) to implement the Australian Priority Investment Approach to Welfare with the aim of reducing welfare dependency and improving the lifetime wellbeing of people and families in Australia.</w:t>
      </w:r>
    </w:p>
    <w:p>
      <w:pPr>
        <w:pStyle w:val="BodyText"/>
        <w:spacing w:before="122"/>
        <w:ind w:left="900" w:right="1432"/>
      </w:pPr>
      <w:r>
        <w:rPr>
          <w:color w:val="404040"/>
        </w:rPr>
        <w:t>The actuarial valuation provides a long term perspective of the financial commitments implicit in the current welfare system and provides information on:</w:t>
      </w:r>
    </w:p>
    <w:p>
      <w:pPr>
        <w:pStyle w:val="ListParagraph"/>
        <w:numPr>
          <w:ilvl w:val="0"/>
          <w:numId w:val="9"/>
        </w:numPr>
        <w:tabs>
          <w:tab w:pos="1184" w:val="left" w:leader="none"/>
        </w:tabs>
        <w:spacing w:line="240" w:lineRule="auto" w:before="117" w:after="0"/>
        <w:ind w:left="1183" w:right="0" w:hanging="284"/>
        <w:jc w:val="left"/>
        <w:rPr>
          <w:sz w:val="20"/>
        </w:rPr>
      </w:pPr>
      <w:r>
        <w:rPr>
          <w:color w:val="404040"/>
          <w:sz w:val="20"/>
        </w:rPr>
        <w:t>The future cost of the system (lifetime</w:t>
      </w:r>
      <w:r>
        <w:rPr>
          <w:color w:val="404040"/>
          <w:spacing w:val="-4"/>
          <w:sz w:val="20"/>
        </w:rPr>
        <w:t> </w:t>
      </w:r>
      <w:r>
        <w:rPr>
          <w:color w:val="404040"/>
          <w:sz w:val="20"/>
        </w:rPr>
        <w:t>cost).</w:t>
      </w:r>
    </w:p>
    <w:p>
      <w:pPr>
        <w:pStyle w:val="ListParagraph"/>
        <w:numPr>
          <w:ilvl w:val="0"/>
          <w:numId w:val="9"/>
        </w:numPr>
        <w:tabs>
          <w:tab w:pos="1184" w:val="left" w:leader="none"/>
        </w:tabs>
        <w:spacing w:line="240" w:lineRule="auto" w:before="120" w:after="0"/>
        <w:ind w:left="1183" w:right="0" w:hanging="285"/>
        <w:jc w:val="left"/>
        <w:rPr>
          <w:sz w:val="20"/>
        </w:rPr>
      </w:pPr>
      <w:r>
        <w:rPr>
          <w:color w:val="404040"/>
          <w:sz w:val="20"/>
        </w:rPr>
        <w:t>How the different payment types (programs) contribute to this overall</w:t>
      </w:r>
      <w:r>
        <w:rPr>
          <w:color w:val="404040"/>
          <w:spacing w:val="-12"/>
          <w:sz w:val="20"/>
        </w:rPr>
        <w:t> </w:t>
      </w:r>
      <w:r>
        <w:rPr>
          <w:color w:val="404040"/>
          <w:sz w:val="20"/>
        </w:rPr>
        <w:t>cost.</w:t>
      </w:r>
    </w:p>
    <w:p>
      <w:pPr>
        <w:pStyle w:val="ListParagraph"/>
        <w:numPr>
          <w:ilvl w:val="0"/>
          <w:numId w:val="9"/>
        </w:numPr>
        <w:tabs>
          <w:tab w:pos="1184" w:val="left" w:leader="none"/>
        </w:tabs>
        <w:spacing w:line="240" w:lineRule="auto" w:before="117" w:after="0"/>
        <w:ind w:left="1183" w:right="0" w:hanging="285"/>
        <w:jc w:val="left"/>
        <w:rPr>
          <w:sz w:val="20"/>
        </w:rPr>
      </w:pPr>
      <w:r>
        <w:rPr>
          <w:color w:val="404040"/>
          <w:sz w:val="20"/>
        </w:rPr>
        <w:t>The factors that drive the overall lifetime cost and annual</w:t>
      </w:r>
      <w:r>
        <w:rPr>
          <w:color w:val="404040"/>
          <w:spacing w:val="-10"/>
          <w:sz w:val="20"/>
        </w:rPr>
        <w:t> </w:t>
      </w:r>
      <w:r>
        <w:rPr>
          <w:color w:val="404040"/>
          <w:sz w:val="20"/>
        </w:rPr>
        <w:t>expenditures.</w:t>
      </w:r>
    </w:p>
    <w:p>
      <w:pPr>
        <w:pStyle w:val="ListParagraph"/>
        <w:numPr>
          <w:ilvl w:val="0"/>
          <w:numId w:val="9"/>
        </w:numPr>
        <w:tabs>
          <w:tab w:pos="1184" w:val="left" w:leader="none"/>
        </w:tabs>
        <w:spacing w:line="240" w:lineRule="auto" w:before="120" w:after="0"/>
        <w:ind w:left="1183" w:right="0" w:hanging="285"/>
        <w:jc w:val="left"/>
        <w:rPr>
          <w:sz w:val="20"/>
        </w:rPr>
      </w:pPr>
      <w:r>
        <w:rPr>
          <w:color w:val="404040"/>
          <w:sz w:val="20"/>
        </w:rPr>
        <w:t>How the cost is changing over time, which provides information on the financial sustainability of the</w:t>
      </w:r>
      <w:r>
        <w:rPr>
          <w:color w:val="404040"/>
          <w:spacing w:val="-27"/>
          <w:sz w:val="20"/>
        </w:rPr>
        <w:t> </w:t>
      </w:r>
      <w:r>
        <w:rPr>
          <w:color w:val="404040"/>
          <w:sz w:val="20"/>
        </w:rPr>
        <w:t>system.</w:t>
      </w:r>
    </w:p>
    <w:p>
      <w:pPr>
        <w:pStyle w:val="ListParagraph"/>
        <w:numPr>
          <w:ilvl w:val="0"/>
          <w:numId w:val="9"/>
        </w:numPr>
        <w:tabs>
          <w:tab w:pos="1184" w:val="left" w:leader="none"/>
        </w:tabs>
        <w:spacing w:line="240" w:lineRule="auto" w:before="117" w:after="0"/>
        <w:ind w:left="1183" w:right="0" w:hanging="285"/>
        <w:jc w:val="left"/>
        <w:rPr>
          <w:sz w:val="20"/>
        </w:rPr>
      </w:pPr>
      <w:r>
        <w:rPr>
          <w:color w:val="404040"/>
          <w:sz w:val="20"/>
        </w:rPr>
        <w:t>The impact of changes, both to the welfare system and to external drivers of the system</w:t>
      </w:r>
      <w:r>
        <w:rPr>
          <w:color w:val="404040"/>
          <w:spacing w:val="-14"/>
          <w:sz w:val="20"/>
        </w:rPr>
        <w:t> </w:t>
      </w:r>
      <w:r>
        <w:rPr>
          <w:color w:val="404040"/>
          <w:sz w:val="20"/>
        </w:rPr>
        <w:t>experience.</w:t>
      </w:r>
    </w:p>
    <w:p>
      <w:pPr>
        <w:pStyle w:val="ListParagraph"/>
        <w:numPr>
          <w:ilvl w:val="0"/>
          <w:numId w:val="9"/>
        </w:numPr>
        <w:tabs>
          <w:tab w:pos="1184" w:val="left" w:leader="none"/>
        </w:tabs>
        <w:spacing w:line="240" w:lineRule="auto" w:before="120" w:after="0"/>
        <w:ind w:left="1183" w:right="0" w:hanging="285"/>
        <w:jc w:val="left"/>
        <w:rPr>
          <w:sz w:val="20"/>
        </w:rPr>
      </w:pPr>
      <w:r>
        <w:rPr>
          <w:color w:val="404040"/>
          <w:sz w:val="20"/>
        </w:rPr>
        <w:t>How different groups of people within the system contribute to the overall</w:t>
      </w:r>
      <w:r>
        <w:rPr>
          <w:color w:val="404040"/>
          <w:spacing w:val="-7"/>
          <w:sz w:val="20"/>
        </w:rPr>
        <w:t> </w:t>
      </w:r>
      <w:r>
        <w:rPr>
          <w:color w:val="404040"/>
          <w:sz w:val="20"/>
        </w:rPr>
        <w:t>cost.</w:t>
      </w:r>
    </w:p>
    <w:p>
      <w:pPr>
        <w:pStyle w:val="ListParagraph"/>
        <w:numPr>
          <w:ilvl w:val="0"/>
          <w:numId w:val="9"/>
        </w:numPr>
        <w:tabs>
          <w:tab w:pos="1184" w:val="left" w:leader="none"/>
        </w:tabs>
        <w:spacing w:line="240" w:lineRule="auto" w:before="117" w:after="0"/>
        <w:ind w:left="1183" w:right="1389" w:hanging="284"/>
        <w:jc w:val="left"/>
        <w:rPr>
          <w:sz w:val="20"/>
        </w:rPr>
      </w:pPr>
      <w:r>
        <w:rPr>
          <w:color w:val="404040"/>
          <w:sz w:val="20"/>
        </w:rPr>
        <w:t>The</w:t>
      </w:r>
      <w:r>
        <w:rPr>
          <w:color w:val="404040"/>
          <w:spacing w:val="-4"/>
          <w:sz w:val="20"/>
        </w:rPr>
        <w:t> </w:t>
      </w:r>
      <w:r>
        <w:rPr>
          <w:color w:val="404040"/>
          <w:sz w:val="20"/>
        </w:rPr>
        <w:t>factors</w:t>
      </w:r>
      <w:r>
        <w:rPr>
          <w:color w:val="404040"/>
          <w:spacing w:val="-3"/>
          <w:sz w:val="20"/>
        </w:rPr>
        <w:t> </w:t>
      </w:r>
      <w:r>
        <w:rPr>
          <w:color w:val="404040"/>
          <w:sz w:val="20"/>
        </w:rPr>
        <w:t>that</w:t>
      </w:r>
      <w:r>
        <w:rPr>
          <w:color w:val="404040"/>
          <w:spacing w:val="-4"/>
          <w:sz w:val="20"/>
        </w:rPr>
        <w:t> </w:t>
      </w:r>
      <w:r>
        <w:rPr>
          <w:color w:val="404040"/>
          <w:sz w:val="20"/>
        </w:rPr>
        <w:t>explain</w:t>
      </w:r>
      <w:r>
        <w:rPr>
          <w:color w:val="404040"/>
          <w:spacing w:val="-2"/>
          <w:sz w:val="20"/>
        </w:rPr>
        <w:t> </w:t>
      </w:r>
      <w:r>
        <w:rPr>
          <w:color w:val="404040"/>
          <w:sz w:val="20"/>
        </w:rPr>
        <w:t>why</w:t>
      </w:r>
      <w:r>
        <w:rPr>
          <w:color w:val="404040"/>
          <w:spacing w:val="-7"/>
          <w:sz w:val="20"/>
        </w:rPr>
        <w:t> </w:t>
      </w:r>
      <w:r>
        <w:rPr>
          <w:color w:val="404040"/>
          <w:sz w:val="20"/>
        </w:rPr>
        <w:t>some</w:t>
      </w:r>
      <w:r>
        <w:rPr>
          <w:color w:val="404040"/>
          <w:spacing w:val="-3"/>
          <w:sz w:val="20"/>
        </w:rPr>
        <w:t> </w:t>
      </w:r>
      <w:r>
        <w:rPr>
          <w:color w:val="404040"/>
          <w:sz w:val="20"/>
        </w:rPr>
        <w:t>groups</w:t>
      </w:r>
      <w:r>
        <w:rPr>
          <w:color w:val="404040"/>
          <w:spacing w:val="-3"/>
          <w:sz w:val="20"/>
        </w:rPr>
        <w:t> </w:t>
      </w:r>
      <w:r>
        <w:rPr>
          <w:color w:val="404040"/>
          <w:sz w:val="20"/>
        </w:rPr>
        <w:t>of</w:t>
      </w:r>
      <w:r>
        <w:rPr>
          <w:color w:val="404040"/>
          <w:spacing w:val="-2"/>
          <w:sz w:val="20"/>
        </w:rPr>
        <w:t> </w:t>
      </w:r>
      <w:r>
        <w:rPr>
          <w:color w:val="404040"/>
          <w:sz w:val="20"/>
        </w:rPr>
        <w:t>people</w:t>
      </w:r>
      <w:r>
        <w:rPr>
          <w:color w:val="404040"/>
          <w:spacing w:val="-4"/>
          <w:sz w:val="20"/>
        </w:rPr>
        <w:t> </w:t>
      </w:r>
      <w:r>
        <w:rPr>
          <w:color w:val="404040"/>
          <w:sz w:val="20"/>
        </w:rPr>
        <w:t>have</w:t>
      </w:r>
      <w:r>
        <w:rPr>
          <w:color w:val="404040"/>
          <w:spacing w:val="-2"/>
          <w:sz w:val="20"/>
        </w:rPr>
        <w:t> </w:t>
      </w:r>
      <w:r>
        <w:rPr>
          <w:color w:val="404040"/>
          <w:sz w:val="20"/>
        </w:rPr>
        <w:t>different</w:t>
      </w:r>
      <w:r>
        <w:rPr>
          <w:color w:val="404040"/>
          <w:spacing w:val="-4"/>
          <w:sz w:val="20"/>
        </w:rPr>
        <w:t> </w:t>
      </w:r>
      <w:r>
        <w:rPr>
          <w:color w:val="404040"/>
          <w:sz w:val="20"/>
        </w:rPr>
        <w:t>levels</w:t>
      </w:r>
      <w:r>
        <w:rPr>
          <w:color w:val="404040"/>
          <w:spacing w:val="-3"/>
          <w:sz w:val="20"/>
        </w:rPr>
        <w:t> </w:t>
      </w:r>
      <w:r>
        <w:rPr>
          <w:color w:val="404040"/>
          <w:sz w:val="20"/>
        </w:rPr>
        <w:t>of</w:t>
      </w:r>
      <w:r>
        <w:rPr>
          <w:color w:val="404040"/>
          <w:spacing w:val="-2"/>
          <w:sz w:val="20"/>
        </w:rPr>
        <w:t> </w:t>
      </w:r>
      <w:r>
        <w:rPr>
          <w:color w:val="404040"/>
          <w:sz w:val="20"/>
        </w:rPr>
        <w:t>expected</w:t>
      </w:r>
      <w:r>
        <w:rPr>
          <w:color w:val="404040"/>
          <w:spacing w:val="-3"/>
          <w:sz w:val="20"/>
        </w:rPr>
        <w:t> </w:t>
      </w:r>
      <w:r>
        <w:rPr>
          <w:color w:val="404040"/>
          <w:sz w:val="20"/>
        </w:rPr>
        <w:t>payment</w:t>
      </w:r>
      <w:r>
        <w:rPr>
          <w:color w:val="404040"/>
          <w:spacing w:val="-2"/>
          <w:sz w:val="20"/>
        </w:rPr>
        <w:t> </w:t>
      </w:r>
      <w:r>
        <w:rPr>
          <w:color w:val="404040"/>
          <w:sz w:val="20"/>
        </w:rPr>
        <w:t>utilisation than others.</w:t>
      </w:r>
    </w:p>
    <w:p>
      <w:pPr>
        <w:pStyle w:val="BodyText"/>
        <w:spacing w:before="120"/>
        <w:ind w:left="900" w:right="1135"/>
        <w:jc w:val="both"/>
      </w:pPr>
      <w:r>
        <w:rPr>
          <w:color w:val="404040"/>
        </w:rPr>
        <w:t>This is the fourth annual valuation and provides an updated assessment of the lifetime costs for the Australian population, together with information on the changes to the system since the 2017 valuation and other findings emerging from the analysis.</w:t>
      </w:r>
    </w:p>
    <w:p>
      <w:pPr>
        <w:pStyle w:val="BodyText"/>
        <w:spacing w:before="8"/>
      </w:pPr>
    </w:p>
    <w:p>
      <w:pPr>
        <w:pStyle w:val="Heading2"/>
        <w:numPr>
          <w:ilvl w:val="1"/>
          <w:numId w:val="10"/>
        </w:numPr>
        <w:tabs>
          <w:tab w:pos="1752" w:val="left" w:leader="none"/>
          <w:tab w:pos="1753" w:val="left" w:leader="none"/>
        </w:tabs>
        <w:spacing w:line="240" w:lineRule="auto" w:before="0" w:after="0"/>
        <w:ind w:left="1752" w:right="0" w:hanging="853"/>
        <w:jc w:val="left"/>
      </w:pPr>
      <w:bookmarkStart w:name="1.2 Summary of June 2018 valuation model" w:id="38"/>
      <w:bookmarkEnd w:id="38"/>
      <w:r>
        <w:rPr/>
      </w:r>
      <w:bookmarkStart w:name="_bookmark5" w:id="39"/>
      <w:bookmarkEnd w:id="39"/>
      <w:r>
        <w:rPr/>
      </w:r>
      <w:bookmarkStart w:name="_bookmark5" w:id="40"/>
      <w:bookmarkEnd w:id="40"/>
      <w:r>
        <w:rPr>
          <w:color w:val="DF2F28"/>
        </w:rPr>
        <w:t>Su</w:t>
      </w:r>
      <w:r>
        <w:rPr>
          <w:color w:val="DF2F28"/>
        </w:rPr>
        <w:t>mmary of June 2018 valuation model</w:t>
      </w:r>
    </w:p>
    <w:p>
      <w:pPr>
        <w:pStyle w:val="BodyText"/>
        <w:spacing w:before="123"/>
        <w:ind w:left="900" w:right="1155"/>
      </w:pPr>
      <w:r>
        <w:rPr>
          <w:color w:val="404040"/>
        </w:rPr>
        <w:t>The June 2018 valuation model retains the same general structure as used for the previous valuations. It includes the following key components and steps:</w:t>
      </w:r>
    </w:p>
    <w:p>
      <w:pPr>
        <w:pStyle w:val="ListParagraph"/>
        <w:numPr>
          <w:ilvl w:val="0"/>
          <w:numId w:val="9"/>
        </w:numPr>
        <w:tabs>
          <w:tab w:pos="1184" w:val="left" w:leader="none"/>
        </w:tabs>
        <w:spacing w:line="240" w:lineRule="auto" w:before="119" w:after="0"/>
        <w:ind w:left="1183" w:right="1279" w:hanging="284"/>
        <w:jc w:val="left"/>
        <w:rPr>
          <w:sz w:val="20"/>
        </w:rPr>
      </w:pPr>
      <w:r>
        <w:rPr>
          <w:color w:val="404040"/>
          <w:sz w:val="20"/>
        </w:rPr>
        <w:t>There</w:t>
      </w:r>
      <w:r>
        <w:rPr>
          <w:color w:val="404040"/>
          <w:spacing w:val="-5"/>
          <w:sz w:val="20"/>
        </w:rPr>
        <w:t> </w:t>
      </w:r>
      <w:r>
        <w:rPr>
          <w:color w:val="404040"/>
          <w:sz w:val="20"/>
        </w:rPr>
        <w:t>is</w:t>
      </w:r>
      <w:r>
        <w:rPr>
          <w:color w:val="404040"/>
          <w:spacing w:val="-3"/>
          <w:sz w:val="20"/>
        </w:rPr>
        <w:t> </w:t>
      </w:r>
      <w:r>
        <w:rPr>
          <w:color w:val="404040"/>
          <w:sz w:val="20"/>
        </w:rPr>
        <w:t>a</w:t>
      </w:r>
      <w:r>
        <w:rPr>
          <w:color w:val="404040"/>
          <w:spacing w:val="-4"/>
          <w:sz w:val="20"/>
        </w:rPr>
        <w:t> </w:t>
      </w:r>
      <w:r>
        <w:rPr>
          <w:color w:val="404040"/>
          <w:sz w:val="20"/>
        </w:rPr>
        <w:t>population</w:t>
      </w:r>
      <w:r>
        <w:rPr>
          <w:color w:val="404040"/>
          <w:spacing w:val="-4"/>
          <w:sz w:val="20"/>
        </w:rPr>
        <w:t> </w:t>
      </w:r>
      <w:r>
        <w:rPr>
          <w:color w:val="404040"/>
          <w:sz w:val="20"/>
        </w:rPr>
        <w:t>module</w:t>
      </w:r>
      <w:r>
        <w:rPr>
          <w:color w:val="404040"/>
          <w:spacing w:val="-3"/>
          <w:sz w:val="20"/>
        </w:rPr>
        <w:t> </w:t>
      </w:r>
      <w:r>
        <w:rPr>
          <w:color w:val="404040"/>
          <w:sz w:val="20"/>
        </w:rPr>
        <w:t>which</w:t>
      </w:r>
      <w:r>
        <w:rPr>
          <w:color w:val="404040"/>
          <w:spacing w:val="-4"/>
          <w:sz w:val="20"/>
        </w:rPr>
        <w:t> </w:t>
      </w:r>
      <w:r>
        <w:rPr>
          <w:color w:val="404040"/>
          <w:sz w:val="20"/>
        </w:rPr>
        <w:t>represents</w:t>
      </w:r>
      <w:r>
        <w:rPr>
          <w:color w:val="404040"/>
          <w:spacing w:val="-3"/>
          <w:sz w:val="20"/>
        </w:rPr>
        <w:t> </w:t>
      </w:r>
      <w:r>
        <w:rPr>
          <w:color w:val="404040"/>
          <w:sz w:val="20"/>
        </w:rPr>
        <w:t>the</w:t>
      </w:r>
      <w:r>
        <w:rPr>
          <w:color w:val="404040"/>
          <w:spacing w:val="-2"/>
          <w:sz w:val="20"/>
        </w:rPr>
        <w:t> </w:t>
      </w:r>
      <w:r>
        <w:rPr>
          <w:color w:val="404040"/>
          <w:sz w:val="20"/>
        </w:rPr>
        <w:t>population</w:t>
      </w:r>
      <w:r>
        <w:rPr>
          <w:color w:val="404040"/>
          <w:spacing w:val="-5"/>
          <w:sz w:val="20"/>
        </w:rPr>
        <w:t> </w:t>
      </w:r>
      <w:r>
        <w:rPr>
          <w:color w:val="404040"/>
          <w:sz w:val="20"/>
        </w:rPr>
        <w:t>at</w:t>
      </w:r>
      <w:r>
        <w:rPr>
          <w:color w:val="404040"/>
          <w:spacing w:val="-2"/>
          <w:sz w:val="20"/>
        </w:rPr>
        <w:t> </w:t>
      </w:r>
      <w:r>
        <w:rPr>
          <w:color w:val="404040"/>
          <w:sz w:val="20"/>
        </w:rPr>
        <w:t>the</w:t>
      </w:r>
      <w:r>
        <w:rPr>
          <w:color w:val="404040"/>
          <w:spacing w:val="-2"/>
          <w:sz w:val="20"/>
        </w:rPr>
        <w:t> </w:t>
      </w:r>
      <w:r>
        <w:rPr>
          <w:color w:val="404040"/>
          <w:sz w:val="20"/>
        </w:rPr>
        <w:t>valuation</w:t>
      </w:r>
      <w:r>
        <w:rPr>
          <w:color w:val="404040"/>
          <w:spacing w:val="-3"/>
          <w:sz w:val="20"/>
        </w:rPr>
        <w:t> </w:t>
      </w:r>
      <w:r>
        <w:rPr>
          <w:color w:val="404040"/>
          <w:sz w:val="20"/>
        </w:rPr>
        <w:t>date.</w:t>
      </w:r>
      <w:r>
        <w:rPr>
          <w:color w:val="404040"/>
          <w:spacing w:val="-4"/>
          <w:sz w:val="20"/>
        </w:rPr>
        <w:t> </w:t>
      </w:r>
      <w:r>
        <w:rPr>
          <w:color w:val="404040"/>
          <w:sz w:val="20"/>
        </w:rPr>
        <w:t>This</w:t>
      </w:r>
      <w:r>
        <w:rPr>
          <w:color w:val="404040"/>
          <w:spacing w:val="-3"/>
          <w:sz w:val="20"/>
        </w:rPr>
        <w:t> </w:t>
      </w:r>
      <w:r>
        <w:rPr>
          <w:color w:val="404040"/>
          <w:sz w:val="20"/>
        </w:rPr>
        <w:t>contains</w:t>
      </w:r>
      <w:r>
        <w:rPr>
          <w:color w:val="404040"/>
          <w:spacing w:val="-3"/>
          <w:sz w:val="20"/>
        </w:rPr>
        <w:t> </w:t>
      </w:r>
      <w:r>
        <w:rPr>
          <w:color w:val="404040"/>
          <w:sz w:val="20"/>
        </w:rPr>
        <w:t>records for the whole Australian resident population and any overseas payment recipients. The records capture information on each individual’s life situation and welfare</w:t>
      </w:r>
      <w:r>
        <w:rPr>
          <w:color w:val="404040"/>
          <w:spacing w:val="-5"/>
          <w:sz w:val="20"/>
        </w:rPr>
        <w:t> </w:t>
      </w:r>
      <w:r>
        <w:rPr>
          <w:color w:val="404040"/>
          <w:sz w:val="20"/>
        </w:rPr>
        <w:t>history.</w:t>
      </w:r>
    </w:p>
    <w:p>
      <w:pPr>
        <w:pStyle w:val="ListParagraph"/>
        <w:numPr>
          <w:ilvl w:val="0"/>
          <w:numId w:val="9"/>
        </w:numPr>
        <w:tabs>
          <w:tab w:pos="1184" w:val="left" w:leader="none"/>
        </w:tabs>
        <w:spacing w:line="240" w:lineRule="auto" w:before="118" w:after="0"/>
        <w:ind w:left="1183" w:right="1243" w:hanging="284"/>
        <w:jc w:val="left"/>
        <w:rPr>
          <w:sz w:val="20"/>
        </w:rPr>
      </w:pPr>
      <w:r>
        <w:rPr>
          <w:color w:val="404040"/>
          <w:sz w:val="20"/>
        </w:rPr>
        <w:t>The population is projected forward using a simulation approach to show the expected life outcomes for each cohort of people. Simulations are performed on an annual cycle, building iteratively to provide a view of peoples’ entire future lifetimes.</w:t>
      </w:r>
    </w:p>
    <w:p>
      <w:pPr>
        <w:pStyle w:val="ListParagraph"/>
        <w:numPr>
          <w:ilvl w:val="0"/>
          <w:numId w:val="9"/>
        </w:numPr>
        <w:tabs>
          <w:tab w:pos="1184" w:val="left" w:leader="none"/>
        </w:tabs>
        <w:spacing w:line="240" w:lineRule="auto" w:before="119" w:after="0"/>
        <w:ind w:left="1183" w:right="1243" w:hanging="284"/>
        <w:jc w:val="left"/>
        <w:rPr>
          <w:sz w:val="20"/>
        </w:rPr>
      </w:pPr>
      <w:r>
        <w:rPr>
          <w:color w:val="404040"/>
          <w:sz w:val="20"/>
        </w:rPr>
        <w:t>The simulation model draws on detailed assumptions which show how we expect peoples’ characteristics, life situation and welfare use to evolve in each future year.</w:t>
      </w:r>
    </w:p>
    <w:p>
      <w:pPr>
        <w:pStyle w:val="ListParagraph"/>
        <w:numPr>
          <w:ilvl w:val="1"/>
          <w:numId w:val="9"/>
        </w:numPr>
        <w:tabs>
          <w:tab w:pos="1467" w:val="left" w:leader="none"/>
        </w:tabs>
        <w:spacing w:line="240" w:lineRule="auto" w:before="119" w:after="0"/>
        <w:ind w:left="1468" w:right="1346" w:hanging="286"/>
        <w:jc w:val="left"/>
        <w:rPr>
          <w:sz w:val="20"/>
        </w:rPr>
      </w:pPr>
      <w:r>
        <w:rPr>
          <w:color w:val="404040"/>
          <w:sz w:val="20"/>
        </w:rPr>
        <w:t>These assumptions are highly detailed and reflect how the different drivers of experience interact with each</w:t>
      </w:r>
      <w:r>
        <w:rPr>
          <w:color w:val="404040"/>
          <w:spacing w:val="-2"/>
          <w:sz w:val="20"/>
        </w:rPr>
        <w:t> </w:t>
      </w:r>
      <w:r>
        <w:rPr>
          <w:color w:val="404040"/>
          <w:sz w:val="20"/>
        </w:rPr>
        <w:t>other.</w:t>
      </w:r>
    </w:p>
    <w:p>
      <w:pPr>
        <w:spacing w:after="0" w:line="240" w:lineRule="auto"/>
        <w:jc w:val="left"/>
        <w:rPr>
          <w:sz w:val="20"/>
        </w:rPr>
        <w:sectPr>
          <w:headerReference w:type="default" r:id="rId19"/>
          <w:footerReference w:type="default" r:id="rId20"/>
          <w:pgSz w:w="11910" w:h="16850"/>
          <w:pgMar w:header="572" w:footer="581" w:top="780" w:bottom="780" w:left="120" w:right="0"/>
          <w:pgNumType w:start="20"/>
        </w:sectPr>
      </w:pPr>
    </w:p>
    <w:p>
      <w:pPr>
        <w:pStyle w:val="BodyText"/>
      </w:pPr>
    </w:p>
    <w:p>
      <w:pPr>
        <w:pStyle w:val="BodyText"/>
      </w:pPr>
    </w:p>
    <w:p>
      <w:pPr>
        <w:pStyle w:val="BodyText"/>
        <w:spacing w:before="7"/>
        <w:rPr>
          <w:sz w:val="21"/>
        </w:rPr>
      </w:pPr>
    </w:p>
    <w:p>
      <w:pPr>
        <w:pStyle w:val="ListParagraph"/>
        <w:numPr>
          <w:ilvl w:val="1"/>
          <w:numId w:val="9"/>
        </w:numPr>
        <w:tabs>
          <w:tab w:pos="1467" w:val="left" w:leader="none"/>
        </w:tabs>
        <w:spacing w:line="240" w:lineRule="auto" w:before="93" w:after="0"/>
        <w:ind w:left="1468" w:right="1174" w:hanging="286"/>
        <w:jc w:val="left"/>
        <w:rPr>
          <w:sz w:val="20"/>
        </w:rPr>
      </w:pPr>
      <w:r>
        <w:rPr>
          <w:color w:val="404040"/>
          <w:sz w:val="20"/>
        </w:rPr>
        <w:t>The</w:t>
      </w:r>
      <w:r>
        <w:rPr>
          <w:color w:val="404040"/>
          <w:spacing w:val="-5"/>
          <w:sz w:val="20"/>
        </w:rPr>
        <w:t> </w:t>
      </w:r>
      <w:r>
        <w:rPr>
          <w:color w:val="404040"/>
          <w:sz w:val="20"/>
        </w:rPr>
        <w:t>assumptions</w:t>
      </w:r>
      <w:r>
        <w:rPr>
          <w:color w:val="404040"/>
          <w:spacing w:val="-3"/>
          <w:sz w:val="20"/>
        </w:rPr>
        <w:t> </w:t>
      </w:r>
      <w:r>
        <w:rPr>
          <w:color w:val="404040"/>
          <w:sz w:val="20"/>
        </w:rPr>
        <w:t>are</w:t>
      </w:r>
      <w:r>
        <w:rPr>
          <w:color w:val="404040"/>
          <w:spacing w:val="-4"/>
          <w:sz w:val="20"/>
        </w:rPr>
        <w:t> </w:t>
      </w:r>
      <w:r>
        <w:rPr>
          <w:color w:val="404040"/>
          <w:sz w:val="20"/>
        </w:rPr>
        <w:t>reflective</w:t>
      </w:r>
      <w:r>
        <w:rPr>
          <w:color w:val="404040"/>
          <w:spacing w:val="-4"/>
          <w:sz w:val="20"/>
        </w:rPr>
        <w:t> </w:t>
      </w:r>
      <w:r>
        <w:rPr>
          <w:color w:val="404040"/>
          <w:sz w:val="20"/>
        </w:rPr>
        <w:t>of</w:t>
      </w:r>
      <w:r>
        <w:rPr>
          <w:color w:val="404040"/>
          <w:spacing w:val="-2"/>
          <w:sz w:val="20"/>
        </w:rPr>
        <w:t> </w:t>
      </w:r>
      <w:r>
        <w:rPr>
          <w:color w:val="404040"/>
          <w:sz w:val="20"/>
        </w:rPr>
        <w:t>the</w:t>
      </w:r>
      <w:r>
        <w:rPr>
          <w:color w:val="404040"/>
          <w:spacing w:val="1"/>
          <w:sz w:val="20"/>
        </w:rPr>
        <w:t> </w:t>
      </w:r>
      <w:r>
        <w:rPr>
          <w:color w:val="404040"/>
          <w:sz w:val="20"/>
        </w:rPr>
        <w:t>welfare</w:t>
      </w:r>
      <w:r>
        <w:rPr>
          <w:color w:val="404040"/>
          <w:spacing w:val="-4"/>
          <w:sz w:val="20"/>
        </w:rPr>
        <w:t> </w:t>
      </w:r>
      <w:r>
        <w:rPr>
          <w:color w:val="404040"/>
          <w:sz w:val="20"/>
        </w:rPr>
        <w:t>system in</w:t>
      </w:r>
      <w:r>
        <w:rPr>
          <w:color w:val="404040"/>
          <w:spacing w:val="-4"/>
          <w:sz w:val="20"/>
        </w:rPr>
        <w:t> </w:t>
      </w:r>
      <w:r>
        <w:rPr>
          <w:color w:val="404040"/>
          <w:sz w:val="20"/>
        </w:rPr>
        <w:t>place</w:t>
      </w:r>
      <w:r>
        <w:rPr>
          <w:color w:val="404040"/>
          <w:spacing w:val="-4"/>
          <w:sz w:val="20"/>
        </w:rPr>
        <w:t> </w:t>
      </w:r>
      <w:r>
        <w:rPr>
          <w:color w:val="404040"/>
          <w:sz w:val="20"/>
        </w:rPr>
        <w:t>at</w:t>
      </w:r>
      <w:r>
        <w:rPr>
          <w:color w:val="404040"/>
          <w:spacing w:val="-2"/>
          <w:sz w:val="20"/>
        </w:rPr>
        <w:t> </w:t>
      </w:r>
      <w:r>
        <w:rPr>
          <w:color w:val="404040"/>
          <w:sz w:val="20"/>
        </w:rPr>
        <w:t>the</w:t>
      </w:r>
      <w:r>
        <w:rPr>
          <w:color w:val="404040"/>
          <w:spacing w:val="-2"/>
          <w:sz w:val="20"/>
        </w:rPr>
        <w:t> </w:t>
      </w:r>
      <w:r>
        <w:rPr>
          <w:color w:val="404040"/>
          <w:sz w:val="20"/>
        </w:rPr>
        <w:t>valuation</w:t>
      </w:r>
      <w:r>
        <w:rPr>
          <w:color w:val="404040"/>
          <w:spacing w:val="-2"/>
          <w:sz w:val="20"/>
        </w:rPr>
        <w:t> </w:t>
      </w:r>
      <w:r>
        <w:rPr>
          <w:color w:val="404040"/>
          <w:sz w:val="20"/>
        </w:rPr>
        <w:t>date,</w:t>
      </w:r>
      <w:r>
        <w:rPr>
          <w:color w:val="404040"/>
          <w:spacing w:val="-5"/>
          <w:sz w:val="20"/>
        </w:rPr>
        <w:t> </w:t>
      </w:r>
      <w:r>
        <w:rPr>
          <w:color w:val="404040"/>
          <w:sz w:val="20"/>
        </w:rPr>
        <w:t>based</w:t>
      </w:r>
      <w:r>
        <w:rPr>
          <w:color w:val="404040"/>
          <w:spacing w:val="-4"/>
          <w:sz w:val="20"/>
        </w:rPr>
        <w:t> </w:t>
      </w:r>
      <w:r>
        <w:rPr>
          <w:color w:val="404040"/>
          <w:sz w:val="20"/>
        </w:rPr>
        <w:t>on</w:t>
      </w:r>
      <w:r>
        <w:rPr>
          <w:color w:val="404040"/>
          <w:spacing w:val="-4"/>
          <w:sz w:val="20"/>
        </w:rPr>
        <w:t> </w:t>
      </w:r>
      <w:r>
        <w:rPr>
          <w:color w:val="404040"/>
          <w:sz w:val="20"/>
        </w:rPr>
        <w:t>legislation in force at that point in time. More specifically, the assumptions have been updated to reflect any changes in legislation that took place over the</w:t>
      </w:r>
      <w:r>
        <w:rPr>
          <w:color w:val="404040"/>
          <w:spacing w:val="4"/>
          <w:sz w:val="20"/>
        </w:rPr>
        <w:t> </w:t>
      </w:r>
      <w:r>
        <w:rPr>
          <w:color w:val="404040"/>
          <w:sz w:val="20"/>
        </w:rPr>
        <w:t>year.</w:t>
      </w:r>
    </w:p>
    <w:p>
      <w:pPr>
        <w:pStyle w:val="ListParagraph"/>
        <w:numPr>
          <w:ilvl w:val="1"/>
          <w:numId w:val="9"/>
        </w:numPr>
        <w:tabs>
          <w:tab w:pos="1467" w:val="left" w:leader="none"/>
        </w:tabs>
        <w:spacing w:line="240" w:lineRule="auto" w:before="121" w:after="0"/>
        <w:ind w:left="1466" w:right="0" w:hanging="284"/>
        <w:jc w:val="left"/>
        <w:rPr>
          <w:sz w:val="20"/>
        </w:rPr>
      </w:pPr>
      <w:r>
        <w:rPr>
          <w:color w:val="404040"/>
          <w:sz w:val="20"/>
        </w:rPr>
        <w:t>The assumptions are also set to reflect the broader economic environment and economic</w:t>
      </w:r>
      <w:r>
        <w:rPr>
          <w:color w:val="404040"/>
          <w:spacing w:val="-15"/>
          <w:sz w:val="20"/>
        </w:rPr>
        <w:t> </w:t>
      </w:r>
      <w:r>
        <w:rPr>
          <w:color w:val="404040"/>
          <w:sz w:val="20"/>
        </w:rPr>
        <w:t>forecasts.</w:t>
      </w:r>
    </w:p>
    <w:p>
      <w:pPr>
        <w:pStyle w:val="ListParagraph"/>
        <w:numPr>
          <w:ilvl w:val="0"/>
          <w:numId w:val="9"/>
        </w:numPr>
        <w:tabs>
          <w:tab w:pos="1183" w:val="left" w:leader="none"/>
        </w:tabs>
        <w:spacing w:line="240" w:lineRule="auto" w:before="119" w:after="0"/>
        <w:ind w:left="1182" w:right="1079" w:hanging="284"/>
        <w:jc w:val="left"/>
        <w:rPr>
          <w:sz w:val="20"/>
        </w:rPr>
      </w:pPr>
      <w:r>
        <w:rPr>
          <w:color w:val="404040"/>
          <w:sz w:val="20"/>
        </w:rPr>
        <w:t>This</w:t>
      </w:r>
      <w:r>
        <w:rPr>
          <w:color w:val="404040"/>
          <w:spacing w:val="-1"/>
          <w:sz w:val="20"/>
        </w:rPr>
        <w:t> </w:t>
      </w:r>
      <w:r>
        <w:rPr>
          <w:color w:val="404040"/>
          <w:sz w:val="20"/>
        </w:rPr>
        <w:t>year,</w:t>
      </w:r>
      <w:r>
        <w:rPr>
          <w:color w:val="404040"/>
          <w:spacing w:val="-4"/>
          <w:sz w:val="20"/>
        </w:rPr>
        <w:t> </w:t>
      </w:r>
      <w:r>
        <w:rPr>
          <w:color w:val="404040"/>
          <w:sz w:val="20"/>
        </w:rPr>
        <w:t>the</w:t>
      </w:r>
      <w:r>
        <w:rPr>
          <w:color w:val="404040"/>
          <w:spacing w:val="-4"/>
          <w:sz w:val="20"/>
        </w:rPr>
        <w:t> </w:t>
      </w:r>
      <w:r>
        <w:rPr>
          <w:color w:val="404040"/>
          <w:sz w:val="20"/>
        </w:rPr>
        <w:t>model</w:t>
      </w:r>
      <w:r>
        <w:rPr>
          <w:color w:val="404040"/>
          <w:spacing w:val="-3"/>
          <w:sz w:val="20"/>
        </w:rPr>
        <w:t> </w:t>
      </w:r>
      <w:r>
        <w:rPr>
          <w:color w:val="404040"/>
          <w:sz w:val="20"/>
        </w:rPr>
        <w:t>has</w:t>
      </w:r>
      <w:r>
        <w:rPr>
          <w:color w:val="404040"/>
          <w:spacing w:val="-2"/>
          <w:sz w:val="20"/>
        </w:rPr>
        <w:t> </w:t>
      </w:r>
      <w:r>
        <w:rPr>
          <w:color w:val="404040"/>
          <w:sz w:val="20"/>
        </w:rPr>
        <w:t>been</w:t>
      </w:r>
      <w:r>
        <w:rPr>
          <w:color w:val="404040"/>
          <w:spacing w:val="-3"/>
          <w:sz w:val="20"/>
        </w:rPr>
        <w:t> </w:t>
      </w:r>
      <w:r>
        <w:rPr>
          <w:color w:val="404040"/>
          <w:sz w:val="20"/>
        </w:rPr>
        <w:t>extended</w:t>
      </w:r>
      <w:r>
        <w:rPr>
          <w:color w:val="404040"/>
          <w:spacing w:val="-3"/>
          <w:sz w:val="20"/>
        </w:rPr>
        <w:t> </w:t>
      </w:r>
      <w:r>
        <w:rPr>
          <w:color w:val="404040"/>
          <w:sz w:val="20"/>
        </w:rPr>
        <w:t>to</w:t>
      </w:r>
      <w:r>
        <w:rPr>
          <w:color w:val="404040"/>
          <w:spacing w:val="-4"/>
          <w:sz w:val="20"/>
        </w:rPr>
        <w:t> </w:t>
      </w:r>
      <w:r>
        <w:rPr>
          <w:color w:val="404040"/>
          <w:sz w:val="20"/>
        </w:rPr>
        <w:t>include</w:t>
      </w:r>
      <w:r>
        <w:rPr>
          <w:color w:val="404040"/>
          <w:spacing w:val="-2"/>
          <w:sz w:val="20"/>
        </w:rPr>
        <w:t> </w:t>
      </w:r>
      <w:r>
        <w:rPr>
          <w:color w:val="404040"/>
          <w:sz w:val="20"/>
        </w:rPr>
        <w:t>information</w:t>
      </w:r>
      <w:r>
        <w:rPr>
          <w:color w:val="404040"/>
          <w:spacing w:val="-4"/>
          <w:sz w:val="20"/>
        </w:rPr>
        <w:t> </w:t>
      </w:r>
      <w:r>
        <w:rPr>
          <w:color w:val="404040"/>
          <w:sz w:val="20"/>
        </w:rPr>
        <w:t>on</w:t>
      </w:r>
      <w:r>
        <w:rPr>
          <w:color w:val="404040"/>
          <w:spacing w:val="-2"/>
          <w:sz w:val="20"/>
        </w:rPr>
        <w:t> </w:t>
      </w:r>
      <w:r>
        <w:rPr>
          <w:color w:val="404040"/>
          <w:sz w:val="20"/>
        </w:rPr>
        <w:t>people’s</w:t>
      </w:r>
      <w:r>
        <w:rPr>
          <w:color w:val="404040"/>
          <w:spacing w:val="-3"/>
          <w:sz w:val="20"/>
        </w:rPr>
        <w:t> </w:t>
      </w:r>
      <w:r>
        <w:rPr>
          <w:color w:val="404040"/>
          <w:sz w:val="20"/>
        </w:rPr>
        <w:t>location,</w:t>
      </w:r>
      <w:r>
        <w:rPr>
          <w:color w:val="404040"/>
          <w:spacing w:val="-4"/>
          <w:sz w:val="20"/>
        </w:rPr>
        <w:t> </w:t>
      </w:r>
      <w:r>
        <w:rPr>
          <w:color w:val="404040"/>
          <w:sz w:val="20"/>
        </w:rPr>
        <w:t>through</w:t>
      </w:r>
      <w:r>
        <w:rPr>
          <w:color w:val="404040"/>
          <w:spacing w:val="-4"/>
          <w:sz w:val="20"/>
        </w:rPr>
        <w:t> </w:t>
      </w:r>
      <w:r>
        <w:rPr>
          <w:color w:val="404040"/>
          <w:sz w:val="20"/>
        </w:rPr>
        <w:t>the</w:t>
      </w:r>
      <w:r>
        <w:rPr>
          <w:color w:val="404040"/>
          <w:spacing w:val="-4"/>
          <w:sz w:val="20"/>
        </w:rPr>
        <w:t> </w:t>
      </w:r>
      <w:r>
        <w:rPr>
          <w:color w:val="404040"/>
          <w:sz w:val="20"/>
        </w:rPr>
        <w:t>inclusion</w:t>
      </w:r>
      <w:r>
        <w:rPr>
          <w:color w:val="404040"/>
          <w:spacing w:val="-2"/>
          <w:sz w:val="20"/>
        </w:rPr>
        <w:t> </w:t>
      </w:r>
      <w:r>
        <w:rPr>
          <w:color w:val="404040"/>
          <w:sz w:val="20"/>
        </w:rPr>
        <w:t>of a measure of socio-economic advantage or disadvantage of their residential location, at Statistical Areas Level 2 (SA2)</w:t>
      </w:r>
      <w:hyperlink w:history="true" w:anchor="_bookmark6">
        <w:r>
          <w:rPr>
            <w:color w:val="404040"/>
            <w:position w:val="7"/>
            <w:sz w:val="14"/>
          </w:rPr>
          <w:t>2</w:t>
        </w:r>
      </w:hyperlink>
      <w:r>
        <w:rPr>
          <w:color w:val="404040"/>
          <w:sz w:val="20"/>
        </w:rPr>
        <w:t>; and information on whether people entered the country as a refugee </w:t>
      </w:r>
      <w:r>
        <w:rPr>
          <w:rFonts w:ascii="Segoe UI" w:hAnsi="Segoe UI"/>
          <w:sz w:val="21"/>
        </w:rPr>
        <w:t>or who became one post-arrival</w:t>
      </w:r>
      <w:r>
        <w:rPr>
          <w:color w:val="404040"/>
          <w:sz w:val="20"/>
        </w:rPr>
        <w:t>. Additionally we have examined the timing of payments throughout the year, and used an indicator for whether an individual was in receipt of a payment at the valuation date as a predictor in the model.</w:t>
      </w:r>
    </w:p>
    <w:p>
      <w:pPr>
        <w:pStyle w:val="ListParagraph"/>
        <w:numPr>
          <w:ilvl w:val="0"/>
          <w:numId w:val="9"/>
        </w:numPr>
        <w:tabs>
          <w:tab w:pos="1184" w:val="left" w:leader="none"/>
        </w:tabs>
        <w:spacing w:line="240" w:lineRule="auto" w:before="120" w:after="0"/>
        <w:ind w:left="1183" w:right="1498" w:hanging="284"/>
        <w:jc w:val="both"/>
        <w:rPr>
          <w:sz w:val="20"/>
        </w:rPr>
      </w:pPr>
      <w:r>
        <w:rPr>
          <w:color w:val="404040"/>
          <w:sz w:val="20"/>
        </w:rPr>
        <w:t>The key assumptions have also been updated to allow for the most recent experience. This update has included a more extensive investigation and update of the assumptions relating to the forecast of future utilisation of Age Pension.</w:t>
      </w:r>
    </w:p>
    <w:p>
      <w:pPr>
        <w:pStyle w:val="BodyText"/>
        <w:spacing w:before="119"/>
        <w:ind w:left="899" w:right="1099"/>
      </w:pPr>
      <w:r>
        <w:rPr>
          <w:color w:val="404040"/>
        </w:rPr>
        <w:t>The specific items considered in the annual simulation cycle are illustrated in the figure below. This also shows the order in which each variable is simulated.</w:t>
      </w:r>
    </w:p>
    <w:p>
      <w:pPr>
        <w:pStyle w:val="BodyText"/>
        <w:spacing w:before="4"/>
      </w:pPr>
    </w:p>
    <w:p>
      <w:pPr>
        <w:pStyle w:val="Heading9"/>
        <w:spacing w:before="0"/>
        <w:ind w:left="899"/>
      </w:pPr>
      <w:r>
        <w:rPr/>
        <w:pict>
          <v:shape style="position:absolute;margin-left:259.398987pt;margin-top:18.078491pt;width:74.8pt;height:29.7pt;mso-position-horizontal-relative:page;mso-position-vertical-relative:paragraph;z-index:-251576320;mso-wrap-distance-left:0;mso-wrap-distance-right:0" type="#_x0000_t202" filled="false" stroked="true" strokeweight=".571113pt" strokecolor="#a21f1f">
            <v:textbox inset="0,0,0,0">
              <w:txbxContent>
                <w:p>
                  <w:pPr>
                    <w:spacing w:line="266" w:lineRule="auto" w:before="40"/>
                    <w:ind w:left="379" w:right="217" w:hanging="183"/>
                    <w:jc w:val="left"/>
                    <w:rPr>
                      <w:rFonts w:ascii="Georgia"/>
                      <w:b/>
                      <w:i/>
                      <w:sz w:val="10"/>
                    </w:rPr>
                  </w:pPr>
                  <w:r>
                    <w:rPr>
                      <w:rFonts w:ascii="Georgia"/>
                      <w:b/>
                      <w:i/>
                      <w:color w:val="A21F1F"/>
                      <w:sz w:val="10"/>
                    </w:rPr>
                    <w:t>Interge nera tional </w:t>
                  </w:r>
                  <w:r>
                    <w:rPr>
                      <w:rFonts w:ascii="Georgia"/>
                      <w:b/>
                      <w:i/>
                      <w:color w:val="A21F1F"/>
                      <w:w w:val="105"/>
                      <w:sz w:val="10"/>
                    </w:rPr>
                    <w:t>w elfare use</w:t>
                  </w:r>
                </w:p>
                <w:p>
                  <w:pPr>
                    <w:spacing w:line="266" w:lineRule="auto" w:before="34"/>
                    <w:ind w:left="14" w:right="0" w:firstLine="125"/>
                    <w:jc w:val="left"/>
                    <w:rPr>
                      <w:rFonts w:ascii="Georgia"/>
                      <w:sz w:val="10"/>
                    </w:rPr>
                  </w:pPr>
                  <w:r>
                    <w:rPr>
                      <w:rFonts w:ascii="Georgia"/>
                      <w:color w:val="A21F1F"/>
                      <w:w w:val="105"/>
                      <w:sz w:val="10"/>
                    </w:rPr>
                    <w:t>Pr opor tion of childhood suppor ted by income support</w:t>
                  </w:r>
                </w:p>
              </w:txbxContent>
            </v:textbox>
            <v:stroke dashstyle="solid"/>
            <w10:wrap type="topAndBottom"/>
          </v:shape>
        </w:pict>
      </w:r>
      <w:r>
        <w:rPr/>
        <w:pict>
          <v:group style="position:absolute;margin-left:56.44986pt;margin-top:13.794838pt;width:493.25pt;height:315.850pt;mso-position-horizontal-relative:page;mso-position-vertical-relative:paragraph;z-index:-288135168" coordorigin="1129,276" coordsize="9865,6317">
            <v:shape style="position:absolute;left:1608;top:1566;width:4017;height:1883" coordorigin="1609,1567" coordsize="4017,1883" path="m4435,3449l4047,3049,1609,3049,1609,1901,5020,1901,5017,1567,5625,2375,5388,2920,5164,2920,5069,2943,4979,2975,4887,3015,4804,3062,4724,3120,4644,3191,4568,3273,4499,3357,4435,3449xm5221,3304l5164,2920,5388,2920,5221,3304xe" filled="true" fillcolor="#5f221f" stroked="false">
              <v:path arrowok="t"/>
              <v:fill type="solid"/>
            </v:shape>
            <v:shape style="position:absolute;left:5330;top:1886;width:2019;height:1643" coordorigin="5331,1887" coordsize="2019,1643" path="m6860,3529l5780,3526,6141,3316,6075,3240,6004,3172,5929,3109,5846,3051,5761,3004,5669,2965,5574,2933,5477,2915,5714,2361,5331,1887,5475,1889,5619,1905,5761,1931,5898,1968,6035,2015,6167,2068,6295,2133,6418,2207,6539,2288,6650,2377,6756,2474,6855,2579,6943,2692,7025,2807,7255,2807,7193,2931,7033,3230,6860,3529xm7255,2807l7025,2807,7349,2619,7255,2807xe" filled="true" fillcolor="#a21f1f" stroked="false">
              <v:path arrowok="t"/>
              <v:fill type="solid"/>
            </v:shape>
            <v:shape style="position:absolute;left:5913;top:3097;width:1540;height:1974" coordorigin="5913,3097" coordsize="1540,1974" path="m7334,3604l6898,3604,7179,3097,7234,3226,7281,3357,7313,3494,7334,3604xm7310,4349l6240,4349,6280,4263,6305,4168,6327,4074,6336,3977,6338,3879,6331,3782,6315,3685,6289,3593,6898,3604,7334,3604,7339,3633,7356,3772,7360,3914,7356,4053,7342,4192,7310,4349xm6388,5071l5913,4171,6240,4349,7310,4349,7285,4470,7238,4601,7184,4732,7121,4858,7452,5050,6388,5071xe" filled="true" fillcolor="#df2f1e" stroked="false">
              <v:path arrowok="t"/>
              <v:fill type="solid"/>
            </v:shape>
            <v:shape style="position:absolute;left:4931;top:4548;width:2030;height:1814" coordorigin="4931,4548" coordsize="2030,1814" path="m5439,6362l4931,5454,5439,4548,5439,4925,6228,4925,6344,5151,6936,5151,6876,5225,6781,5330,6682,5427,6467,5598,6347,5670,6228,5735,6103,5791,5976,5841,5846,5880,5711,5909,5574,5933,5439,5946,5439,6362xm6228,4925l5439,4925,5534,4909,5621,4885,5706,4854,5791,4817,5869,4767,5945,4717,6009,4664,6065,4609,6228,4925xm6936,5151l6344,5151,6961,5119,6936,5151xe" filled="true" fillcolor="#db526a" stroked="false">
              <v:path arrowok="t"/>
              <v:fill type="solid"/>
            </v:shape>
            <v:shape style="position:absolute;left:3218;top:4331;width:1928;height:1620" coordorigin="3218,4331" coordsize="1928,1620" path="m3218,5147l3895,4331,4923,4526,4602,4647,4677,4713,4763,4776,4850,4826,4947,4871,5044,4903,5146,4924,5100,5008,3594,5008,3218,5147xm5124,5951l4982,5930,4845,5903,4703,5864,4571,5816,4436,5758,4313,5693,4190,5616,4074,5535,3963,5442,3862,5345,3767,5240,3675,5129,3594,5008,5100,5008,4848,5477,5124,5951xe" filled="true" fillcolor="#eb8b00" stroked="false">
              <v:path arrowok="t"/>
              <v:fill type="solid"/>
            </v:shape>
            <v:shape style="position:absolute;left:2900;top:2864;width:2009;height:1322" coordorigin="2900,2864" coordsize="2009,1322" path="m4909,4186l2900,2869,4212,2864,4909,4186xe" filled="true" fillcolor="#ffffff" stroked="false">
              <v:path arrowok="t"/>
              <v:fill type="solid"/>
            </v:shape>
            <v:shape style="position:absolute;left:3115;top:2937;width:1574;height:1803" coordorigin="3116,2937" coordsize="1574,1803" path="m3458,4740l3406,4611,3363,4482,3330,4348,3304,4208,3288,4071,3283,3935,3286,3798,3297,3661,3321,3524,3352,3387,3394,3256,3439,3127,3116,2937,4154,2937,4569,3643,4338,3643,4316,3740,4302,3840,4302,3943,4312,4043,4328,4142,4354,4237,4358,4248,3866,4248,3458,4740xm4689,3845l4338,3643,4569,3643,4689,3845xm4392,4332l3866,4248,4358,4248,4392,4332xe" filled="true" fillcolor="#dc6900" stroked="false">
              <v:path arrowok="t"/>
              <v:fill type="solid"/>
            </v:shape>
            <v:line style="position:absolute" from="5805,1812" to="5919,1355" stroked="true" strokeweight=".570884pt" strokecolor="#a21f1f">
              <v:stroke dashstyle="solid"/>
            </v:line>
            <v:line style="position:absolute" from="6090,1881" to="6627,1378" stroked="true" strokeweight=".571032pt" strokecolor="#a21f1f">
              <v:stroke dashstyle="solid"/>
            </v:line>
            <v:line style="position:absolute" from="6398,2018" to="7357,1435" stroked="true" strokeweight=".571091pt" strokecolor="#a21f1f">
              <v:stroke dashstyle="solid"/>
            </v:line>
            <v:rect style="position:absolute;left:7311;top:1115;width:1119;height:240" filled="false" stroked="true" strokeweight=".57114pt" strokecolor="#a21f1f">
              <v:stroke dashstyle="solid"/>
            </v:rect>
            <v:line style="position:absolute" from="6627,2178" to="7426,1710" stroked="true" strokeweight=".571072pt" strokecolor="#a21f1f">
              <v:stroke dashstyle="solid"/>
            </v:line>
            <v:rect style="position:absolute;left:7528;top:1412;width:2318;height:469" filled="false" stroked="true" strokeweight=".571148pt" strokecolor="#a21f1f">
              <v:stroke dashstyle="solid"/>
            </v:rect>
            <v:line style="position:absolute" from="6832,2383" to="7780,2075" stroked="true" strokeweight=".571142pt" strokecolor="#a21f1f">
              <v:stroke dashstyle="solid"/>
            </v:line>
            <v:rect style="position:absolute;left:7871;top:1903;width:2375;height:252" filled="false" stroked="true" strokeweight=".571155pt" strokecolor="#a21f1f">
              <v:stroke dashstyle="solid"/>
            </v:rect>
            <v:line style="position:absolute" from="7312,3183" to="8065,3000" stroked="true" strokeweight=".571151pt" strokecolor="#ff0000">
              <v:stroke dashstyle="solid"/>
            </v:line>
            <v:rect style="position:absolute;left:8190;top:2806;width:2353;height:343" filled="false" stroked="true" strokeweight=".571153pt" strokecolor="#ff0000">
              <v:stroke dashstyle="solid"/>
            </v:rect>
            <v:line style="position:absolute" from="6330,5776" to="6684,6039" stroked="true" strokeweight=".57107pt" strokecolor="#db526a">
              <v:stroke dashstyle="solid"/>
            </v:line>
            <v:line style="position:absolute" from="3373,5593" to="3841,5468" stroked="true" strokeweight=".571119pt" strokecolor="#be8700">
              <v:stroke dashstyle="solid"/>
            </v:line>
            <v:line style="position:absolute" from="2859,3720" to="3270,3594" stroked="true" strokeweight=".571131pt" strokecolor="#dc6900">
              <v:stroke dashstyle="solid"/>
            </v:line>
            <v:line style="position:absolute" from="7426,3446" to="8020,3332" stroked="true" strokeweight=".571135pt" strokecolor="#ff0000">
              <v:stroke dashstyle="solid"/>
            </v:line>
            <v:line style="position:absolute" from="7414,4440" to="7883,4542" stroked="true" strokeweight=".571123pt" strokecolor="#ff0000">
              <v:stroke dashstyle="solid"/>
            </v:line>
            <v:rect style="position:absolute;left:7962;top:4496;width:3026;height:218" filled="false" stroked="true" strokeweight=".571155pt" strokecolor="#ff0000">
              <v:stroke dashstyle="solid"/>
            </v:rect>
            <v:line style="position:absolute" from="7403,4691" to="7883,4897" stroked="true" strokeweight=".571117pt" strokecolor="#ff0000">
              <v:stroke dashstyle="solid"/>
            </v:line>
            <v:line style="position:absolute" from="4583,1801" to="4583,1161" stroked="true" strokeweight=".570884pt" strokecolor="#a21f1f">
              <v:stroke dashstyle="solid"/>
            </v:line>
            <v:line style="position:absolute" from="5451,1755" to="5519,1058" stroked="true" strokeweight=".570868pt" strokecolor="#a21f1f">
              <v:stroke dashstyle="solid"/>
            </v:line>
            <v:line style="position:absolute" from="7277,4862" to="7803,5182" stroked="true" strokeweight=".571079pt" strokecolor="#ff0000">
              <v:stroke dashstyle="solid"/>
            </v:line>
            <v:line style="position:absolute" from="7472,4234" to="7951,4268" stroked="true" strokeweight=".571132pt" strokecolor="#ff0000">
              <v:stroke dashstyle="solid"/>
            </v:line>
            <v:line style="position:absolute" from="7060,2566" to="7883,2486" stroked="true" strokeweight=".571152pt" strokecolor="#a21f1f">
              <v:stroke dashstyle="solid"/>
            </v:line>
            <v:rect style="position:absolute;left:7985;top:2200;width:2524;height:526" filled="false" stroked="true" strokeweight=".571142pt" strokecolor="#a21f1f">
              <v:stroke dashstyle="solid"/>
            </v:rect>
            <v:shape style="position:absolute;left:7461;top:1197;width:850;height:117" type="#_x0000_t202" filled="false" stroked="false">
              <v:textbox inset="0,0,0,0">
                <w:txbxContent>
                  <w:p>
                    <w:pPr>
                      <w:spacing w:before="2"/>
                      <w:ind w:left="0" w:right="0" w:firstLine="0"/>
                      <w:jc w:val="left"/>
                      <w:rPr>
                        <w:rFonts w:ascii="Georgia"/>
                        <w:b/>
                        <w:i/>
                        <w:sz w:val="10"/>
                      </w:rPr>
                    </w:pPr>
                    <w:r>
                      <w:rPr>
                        <w:rFonts w:ascii="Georgia"/>
                        <w:b/>
                        <w:i/>
                        <w:color w:val="A21F1F"/>
                        <w:w w:val="105"/>
                        <w:sz w:val="10"/>
                      </w:rPr>
                      <w:t>Partner s tatus</w:t>
                    </w:r>
                  </w:p>
                </w:txbxContent>
              </v:textbox>
              <w10:wrap type="none"/>
            </v:shape>
            <v:shape style="position:absolute;left:1837;top:2177;width:1769;height:352" type="#_x0000_t202" filled="false" stroked="false">
              <v:textbox inset="0,0,0,0">
                <w:txbxContent>
                  <w:p>
                    <w:pPr>
                      <w:spacing w:line="256" w:lineRule="auto" w:before="0"/>
                      <w:ind w:left="0" w:right="0" w:firstLine="0"/>
                      <w:jc w:val="left"/>
                      <w:rPr>
                        <w:rFonts w:ascii="Georgia"/>
                        <w:b/>
                        <w:sz w:val="15"/>
                      </w:rPr>
                    </w:pPr>
                    <w:r>
                      <w:rPr>
                        <w:rFonts w:ascii="Georgia"/>
                        <w:b/>
                        <w:color w:val="FFFFFF"/>
                        <w:sz w:val="15"/>
                      </w:rPr>
                      <w:t>Starting population at valuation date (t)</w:t>
                    </w:r>
                  </w:p>
                </w:txbxContent>
              </v:textbox>
              <w10:wrap type="none"/>
            </v:shape>
            <v:shape style="position:absolute;left:5725;top:2463;width:1215;height:535" type="#_x0000_t202" filled="false" stroked="false">
              <v:textbox inset="0,0,0,0">
                <w:txbxContent>
                  <w:p>
                    <w:pPr>
                      <w:spacing w:line="256" w:lineRule="auto" w:before="0"/>
                      <w:ind w:left="0" w:right="0" w:firstLine="228"/>
                      <w:jc w:val="left"/>
                      <w:rPr>
                        <w:rFonts w:ascii="Georgia"/>
                        <w:b/>
                        <w:sz w:val="15"/>
                      </w:rPr>
                    </w:pPr>
                    <w:r>
                      <w:rPr>
                        <w:rFonts w:ascii="Georgia"/>
                        <w:b/>
                        <w:color w:val="FFFFFF"/>
                        <w:sz w:val="15"/>
                      </w:rPr>
                      <w:t>Sim ulate Dem ographic characteristics</w:t>
                    </w:r>
                  </w:p>
                </w:txbxContent>
              </v:textbox>
              <w10:wrap type="none"/>
            </v:shape>
            <v:shape style="position:absolute;left:3362;top:3385;width:888;height:718" type="#_x0000_t202" filled="false" stroked="false">
              <v:textbox inset="0,0,0,0">
                <w:txbxContent>
                  <w:p>
                    <w:pPr>
                      <w:spacing w:line="256" w:lineRule="auto" w:before="0"/>
                      <w:ind w:left="0" w:right="18" w:hanging="18"/>
                      <w:jc w:val="center"/>
                      <w:rPr>
                        <w:rFonts w:ascii="Georgia"/>
                        <w:b/>
                        <w:sz w:val="15"/>
                      </w:rPr>
                    </w:pPr>
                    <w:r>
                      <w:rPr>
                        <w:rFonts w:ascii="Georgia"/>
                        <w:b/>
                        <w:color w:val="FFFFFF"/>
                        <w:sz w:val="15"/>
                      </w:rPr>
                      <w:t>Update </w:t>
                    </w:r>
                    <w:r>
                      <w:rPr>
                        <w:rFonts w:ascii="Georgia"/>
                        <w:b/>
                        <w:color w:val="FFFFFF"/>
                        <w:w w:val="95"/>
                        <w:sz w:val="15"/>
                      </w:rPr>
                      <w:t>population </w:t>
                    </w:r>
                    <w:r>
                      <w:rPr>
                        <w:rFonts w:ascii="Georgia"/>
                        <w:b/>
                        <w:color w:val="FFFFFF"/>
                        <w:sz w:val="15"/>
                      </w:rPr>
                      <w:t>dataset to y ear t+1</w:t>
                    </w:r>
                  </w:p>
                </w:txbxContent>
              </v:textbox>
              <w10:wrap type="none"/>
            </v:shape>
            <v:shape style="position:absolute;left:4849;top:3620;width:1001;height:654" type="#_x0000_t202" filled="false" stroked="false">
              <v:textbox inset="0,0,0,0">
                <w:txbxContent>
                  <w:p>
                    <w:pPr>
                      <w:spacing w:line="261" w:lineRule="auto" w:before="2"/>
                      <w:ind w:left="-1" w:right="18" w:hanging="16"/>
                      <w:jc w:val="center"/>
                      <w:rPr>
                        <w:rFonts w:ascii="Georgia"/>
                        <w:b/>
                        <w:sz w:val="18"/>
                      </w:rPr>
                    </w:pPr>
                    <w:r>
                      <w:rPr>
                        <w:rFonts w:ascii="Georgia"/>
                        <w:b/>
                        <w:sz w:val="18"/>
                      </w:rPr>
                      <w:t>Annual projection cycle</w:t>
                    </w:r>
                  </w:p>
                </w:txbxContent>
              </v:textbox>
              <w10:wrap type="none"/>
            </v:shape>
            <v:shape style="position:absolute;left:6384;top:3732;width:770;height:1083" type="#_x0000_t202" filled="false" stroked="false">
              <v:textbox inset="0,0,0,0">
                <w:txbxContent>
                  <w:p>
                    <w:pPr>
                      <w:spacing w:line="256" w:lineRule="auto" w:before="0"/>
                      <w:ind w:left="0" w:right="18" w:firstLine="9"/>
                      <w:jc w:val="center"/>
                      <w:rPr>
                        <w:rFonts w:ascii="Georgia"/>
                        <w:b/>
                        <w:sz w:val="15"/>
                      </w:rPr>
                    </w:pPr>
                    <w:r>
                      <w:rPr>
                        <w:rFonts w:ascii="Georgia"/>
                        <w:b/>
                        <w:color w:val="FFFFFF"/>
                        <w:sz w:val="15"/>
                      </w:rPr>
                      <w:t>Sim ulate welfare Class and class specific</w:t>
                    </w:r>
                  </w:p>
                  <w:p>
                    <w:pPr>
                      <w:spacing w:line="170" w:lineRule="exact" w:before="0"/>
                      <w:ind w:left="20" w:right="38" w:firstLine="0"/>
                      <w:jc w:val="center"/>
                      <w:rPr>
                        <w:rFonts w:ascii="Georgia"/>
                        <w:b/>
                        <w:sz w:val="15"/>
                      </w:rPr>
                    </w:pPr>
                    <w:r>
                      <w:rPr>
                        <w:rFonts w:ascii="Georgia"/>
                        <w:b/>
                        <w:color w:val="FFFFFF"/>
                        <w:w w:val="95"/>
                        <w:sz w:val="15"/>
                      </w:rPr>
                      <w:t>variables</w:t>
                    </w:r>
                  </w:p>
                </w:txbxContent>
              </v:textbox>
              <w10:wrap type="none"/>
            </v:shape>
            <v:shape style="position:absolute;left:7500;top:3620;width:500;height:208" type="#_x0000_t202" filled="false" stroked="false">
              <v:textbox inset="0,0,0,0">
                <w:txbxContent>
                  <w:p>
                    <w:pPr>
                      <w:tabs>
                        <w:tab w:pos="479" w:val="left" w:leader="none"/>
                      </w:tabs>
                      <w:spacing w:before="2"/>
                      <w:ind w:left="0" w:right="0" w:firstLine="0"/>
                      <w:jc w:val="left"/>
                      <w:rPr>
                        <w:rFonts w:ascii="Georgia"/>
                        <w:b/>
                        <w:sz w:val="18"/>
                      </w:rPr>
                    </w:pPr>
                    <w:r>
                      <w:rPr>
                        <w:rFonts w:ascii="Georgia"/>
                        <w:b/>
                        <w:w w:val="101"/>
                        <w:sz w:val="18"/>
                        <w:u w:val="thick" w:color="FF0000"/>
                      </w:rPr>
                      <w:t> </w:t>
                    </w:r>
                    <w:r>
                      <w:rPr>
                        <w:rFonts w:ascii="Georgia"/>
                        <w:b/>
                        <w:sz w:val="18"/>
                        <w:u w:val="thick" w:color="FF0000"/>
                      </w:rPr>
                      <w:tab/>
                    </w:r>
                  </w:p>
                </w:txbxContent>
              </v:textbox>
              <w10:wrap type="none"/>
            </v:shape>
            <v:shape style="position:absolute;left:8093;top:4564;width:2807;height:117" type="#_x0000_t202" filled="false" stroked="false">
              <v:textbox inset="0,0,0,0">
                <w:txbxContent>
                  <w:p>
                    <w:pPr>
                      <w:spacing w:before="2"/>
                      <w:ind w:left="0" w:right="0" w:firstLine="0"/>
                      <w:jc w:val="left"/>
                      <w:rPr>
                        <w:rFonts w:ascii="Georgia"/>
                        <w:b/>
                        <w:i/>
                        <w:sz w:val="10"/>
                      </w:rPr>
                    </w:pPr>
                    <w:r>
                      <w:rPr>
                        <w:rFonts w:ascii="Georgia"/>
                        <w:b/>
                        <w:i/>
                        <w:color w:val="FF0000"/>
                        <w:w w:val="105"/>
                        <w:sz w:val="10"/>
                      </w:rPr>
                      <w:t>Employ ment earnings indicator (classes 1-5 only)</w:t>
                    </w:r>
                  </w:p>
                </w:txbxContent>
              </v:textbox>
              <w10:wrap type="none"/>
            </v:shape>
            <v:shape style="position:absolute;left:3869;top:4812;width:2280;height:908" type="#_x0000_t202" filled="false" stroked="false">
              <v:textbox inset="0,0,0,0">
                <w:txbxContent>
                  <w:p>
                    <w:pPr>
                      <w:spacing w:line="169" w:lineRule="exact" w:before="0"/>
                      <w:ind w:left="79" w:right="0" w:firstLine="0"/>
                      <w:jc w:val="left"/>
                      <w:rPr>
                        <w:rFonts w:ascii="Georgia"/>
                        <w:b/>
                        <w:sz w:val="15"/>
                      </w:rPr>
                    </w:pPr>
                    <w:r>
                      <w:rPr>
                        <w:rFonts w:ascii="Georgia"/>
                        <w:b/>
                        <w:color w:val="FFFFFF"/>
                        <w:sz w:val="15"/>
                      </w:rPr>
                      <w:t>Sim ulate</w:t>
                    </w:r>
                  </w:p>
                  <w:p>
                    <w:pPr>
                      <w:tabs>
                        <w:tab w:pos="1471" w:val="left" w:leader="none"/>
                      </w:tabs>
                      <w:spacing w:before="10"/>
                      <w:ind w:left="91" w:right="0" w:firstLine="0"/>
                      <w:jc w:val="left"/>
                      <w:rPr>
                        <w:rFonts w:ascii="Georgia"/>
                        <w:b/>
                        <w:sz w:val="15"/>
                      </w:rPr>
                    </w:pPr>
                    <w:r>
                      <w:rPr>
                        <w:rFonts w:ascii="Georgia"/>
                        <w:b/>
                        <w:color w:val="FFFFFF"/>
                        <w:spacing w:val="2"/>
                        <w:position w:val="1"/>
                        <w:sz w:val="15"/>
                      </w:rPr>
                      <w:t>pay</w:t>
                    </w:r>
                    <w:r>
                      <w:rPr>
                        <w:rFonts w:ascii="Georgia"/>
                        <w:b/>
                        <w:color w:val="FFFFFF"/>
                        <w:spacing w:val="-20"/>
                        <w:position w:val="1"/>
                        <w:sz w:val="15"/>
                      </w:rPr>
                      <w:t> </w:t>
                    </w:r>
                    <w:r>
                      <w:rPr>
                        <w:rFonts w:ascii="Georgia"/>
                        <w:b/>
                        <w:color w:val="FFFFFF"/>
                        <w:position w:val="1"/>
                        <w:sz w:val="15"/>
                      </w:rPr>
                      <w:t>m</w:t>
                    </w:r>
                    <w:r>
                      <w:rPr>
                        <w:rFonts w:ascii="Georgia"/>
                        <w:b/>
                        <w:color w:val="FFFFFF"/>
                        <w:spacing w:val="-19"/>
                        <w:position w:val="1"/>
                        <w:sz w:val="15"/>
                      </w:rPr>
                      <w:t> </w:t>
                    </w:r>
                    <w:r>
                      <w:rPr>
                        <w:rFonts w:ascii="Georgia"/>
                        <w:b/>
                        <w:color w:val="FFFFFF"/>
                        <w:spacing w:val="2"/>
                        <w:position w:val="1"/>
                        <w:sz w:val="15"/>
                      </w:rPr>
                      <w:t>ent</w:t>
                      <w:tab/>
                    </w:r>
                    <w:r>
                      <w:rPr>
                        <w:rFonts w:ascii="Georgia"/>
                        <w:b/>
                        <w:color w:val="FFFFFF"/>
                        <w:sz w:val="15"/>
                      </w:rPr>
                      <w:t>Sim</w:t>
                    </w:r>
                    <w:r>
                      <w:rPr>
                        <w:rFonts w:ascii="Georgia"/>
                        <w:b/>
                        <w:color w:val="FFFFFF"/>
                        <w:spacing w:val="-27"/>
                        <w:sz w:val="15"/>
                      </w:rPr>
                      <w:t> </w:t>
                    </w:r>
                    <w:r>
                      <w:rPr>
                        <w:rFonts w:ascii="Georgia"/>
                        <w:b/>
                        <w:color w:val="FFFFFF"/>
                        <w:spacing w:val="6"/>
                        <w:sz w:val="15"/>
                      </w:rPr>
                      <w:t>ulate</w:t>
                    </w:r>
                  </w:p>
                  <w:p>
                    <w:pPr>
                      <w:tabs>
                        <w:tab w:pos="1483" w:val="left" w:leader="none"/>
                      </w:tabs>
                      <w:spacing w:line="256" w:lineRule="auto" w:before="2"/>
                      <w:ind w:left="1483" w:right="73" w:hanging="1484"/>
                      <w:jc w:val="right"/>
                      <w:rPr>
                        <w:rFonts w:ascii="Georgia"/>
                        <w:b/>
                        <w:sz w:val="15"/>
                      </w:rPr>
                    </w:pPr>
                    <w:r>
                      <w:rPr>
                        <w:rFonts w:ascii="Georgia"/>
                        <w:b/>
                        <w:color w:val="FFFFFF"/>
                        <w:spacing w:val="4"/>
                        <w:position w:val="1"/>
                        <w:sz w:val="15"/>
                      </w:rPr>
                      <w:t>category</w:t>
                    </w:r>
                    <w:r>
                      <w:rPr>
                        <w:rFonts w:ascii="Georgia"/>
                        <w:b/>
                        <w:color w:val="FFFFFF"/>
                        <w:spacing w:val="-11"/>
                        <w:position w:val="1"/>
                        <w:sz w:val="15"/>
                      </w:rPr>
                      <w:t> </w:t>
                    </w:r>
                    <w:r>
                      <w:rPr>
                        <w:rFonts w:ascii="Georgia"/>
                        <w:b/>
                        <w:color w:val="FFFFFF"/>
                        <w:position w:val="1"/>
                        <w:sz w:val="15"/>
                      </w:rPr>
                      <w:t>$$</w:t>
                      <w:tab/>
                      <w:tab/>
                    </w:r>
                    <w:r>
                      <w:rPr>
                        <w:rFonts w:ascii="Georgia"/>
                        <w:b/>
                        <w:color w:val="FFFFFF"/>
                        <w:spacing w:val="2"/>
                        <w:sz w:val="15"/>
                      </w:rPr>
                      <w:t>pay</w:t>
                    </w:r>
                    <w:r>
                      <w:rPr>
                        <w:rFonts w:ascii="Georgia"/>
                        <w:b/>
                        <w:color w:val="FFFFFF"/>
                        <w:spacing w:val="-21"/>
                        <w:sz w:val="15"/>
                      </w:rPr>
                      <w:t> </w:t>
                    </w:r>
                    <w:r>
                      <w:rPr>
                        <w:rFonts w:ascii="Georgia"/>
                        <w:b/>
                        <w:color w:val="FFFFFF"/>
                        <w:sz w:val="15"/>
                      </w:rPr>
                      <w:t>m</w:t>
                    </w:r>
                    <w:r>
                      <w:rPr>
                        <w:rFonts w:ascii="Georgia"/>
                        <w:b/>
                        <w:color w:val="FFFFFF"/>
                        <w:spacing w:val="-20"/>
                        <w:sz w:val="15"/>
                      </w:rPr>
                      <w:t> </w:t>
                    </w:r>
                    <w:r>
                      <w:rPr>
                        <w:rFonts w:ascii="Georgia"/>
                        <w:b/>
                        <w:color w:val="FFFFFF"/>
                        <w:spacing w:val="-4"/>
                        <w:sz w:val="15"/>
                      </w:rPr>
                      <w:t>ent</w:t>
                    </w:r>
                    <w:r>
                      <w:rPr>
                        <w:rFonts w:ascii="Georgia"/>
                        <w:b/>
                        <w:color w:val="FFFFFF"/>
                        <w:w w:val="98"/>
                        <w:sz w:val="15"/>
                      </w:rPr>
                      <w:t> </w:t>
                    </w:r>
                    <w:r>
                      <w:rPr>
                        <w:rFonts w:ascii="Georgia"/>
                        <w:b/>
                        <w:color w:val="FFFFFF"/>
                        <w:spacing w:val="5"/>
                        <w:w w:val="95"/>
                        <w:sz w:val="15"/>
                      </w:rPr>
                      <w:t>category</w:t>
                    </w:r>
                  </w:p>
                  <w:p>
                    <w:pPr>
                      <w:spacing w:line="170" w:lineRule="exact" w:before="1"/>
                      <w:ind w:left="0" w:right="18" w:firstLine="0"/>
                      <w:jc w:val="right"/>
                      <w:rPr>
                        <w:rFonts w:ascii="Georgia"/>
                        <w:b/>
                        <w:sz w:val="15"/>
                      </w:rPr>
                    </w:pPr>
                    <w:r>
                      <w:rPr>
                        <w:rFonts w:ascii="Georgia"/>
                        <w:b/>
                        <w:color w:val="FFFFFF"/>
                        <w:w w:val="95"/>
                        <w:sz w:val="15"/>
                      </w:rPr>
                      <w:t>utilisation</w:t>
                    </w:r>
                  </w:p>
                </w:txbxContent>
              </v:textbox>
              <w10:wrap type="none"/>
            </v:shape>
            <v:shape style="position:absolute;left:7991;top:4222;width:2404;height:246" type="#_x0000_t202" filled="false" stroked="true" strokeweight=".571156pt" strokecolor="#ff0000">
              <v:textbox inset="0,0,0,0">
                <w:txbxContent>
                  <w:p>
                    <w:pPr>
                      <w:spacing w:before="59"/>
                      <w:ind w:left="416" w:right="0" w:firstLine="0"/>
                      <w:jc w:val="left"/>
                      <w:rPr>
                        <w:rFonts w:ascii="Georgia"/>
                        <w:b/>
                        <w:i/>
                        <w:sz w:val="10"/>
                      </w:rPr>
                    </w:pPr>
                    <w:r>
                      <w:rPr>
                        <w:rFonts w:ascii="Georgia"/>
                        <w:b/>
                        <w:i/>
                        <w:color w:val="FF0000"/>
                        <w:w w:val="105"/>
                        <w:sz w:val="10"/>
                      </w:rPr>
                      <w:t>PCW category (class 2 only)</w:t>
                    </w:r>
                  </w:p>
                </w:txbxContent>
              </v:textbox>
              <v:stroke dashstyle="solid"/>
              <w10:wrap type="none"/>
            </v:shape>
            <v:shape style="position:absolute;left:8213;top:3183;width:2341;height:252" type="#_x0000_t202" filled="false" stroked="true" strokeweight=".571156pt" strokecolor="#ff0000">
              <v:textbox inset="0,0,0,0">
                <w:txbxContent>
                  <w:p>
                    <w:pPr>
                      <w:spacing w:before="92"/>
                      <w:ind w:left="176" w:right="0" w:firstLine="0"/>
                      <w:jc w:val="left"/>
                      <w:rPr>
                        <w:rFonts w:ascii="Georgia"/>
                        <w:b/>
                        <w:i/>
                        <w:sz w:val="10"/>
                      </w:rPr>
                    </w:pPr>
                    <w:r>
                      <w:rPr>
                        <w:rFonts w:ascii="Georgia"/>
                        <w:b/>
                        <w:i/>
                        <w:color w:val="FF0000"/>
                        <w:w w:val="105"/>
                        <w:sz w:val="10"/>
                      </w:rPr>
                      <w:t>DSP medical condition (class 5 only)</w:t>
                    </w:r>
                  </w:p>
                </w:txbxContent>
              </v:textbox>
              <v:stroke dashstyle="solid"/>
              <w10:wrap type="none"/>
            </v:shape>
            <v:shape style="position:absolute;left:8219;top:2771;width:2330;height:406" type="#_x0000_t202" filled="false" stroked="false">
              <v:textbox inset="0,0,0,0">
                <w:txbxContent>
                  <w:p>
                    <w:pPr>
                      <w:spacing w:before="86"/>
                      <w:ind w:left="69" w:right="82" w:firstLine="0"/>
                      <w:jc w:val="center"/>
                      <w:rPr>
                        <w:rFonts w:ascii="Georgia"/>
                        <w:b/>
                        <w:i/>
                        <w:sz w:val="10"/>
                      </w:rPr>
                    </w:pPr>
                    <w:r>
                      <w:rPr>
                        <w:rFonts w:ascii="Georgia"/>
                        <w:b/>
                        <w:i/>
                        <w:color w:val="FF0000"/>
                        <w:w w:val="105"/>
                        <w:sz w:val="10"/>
                      </w:rPr>
                      <w:t>Welfare class</w:t>
                    </w:r>
                  </w:p>
                  <w:p>
                    <w:pPr>
                      <w:spacing w:before="47"/>
                      <w:ind w:left="77" w:right="82" w:firstLine="0"/>
                      <w:jc w:val="center"/>
                      <w:rPr>
                        <w:rFonts w:ascii="Georgia"/>
                        <w:sz w:val="10"/>
                      </w:rPr>
                    </w:pPr>
                    <w:r>
                      <w:rPr>
                        <w:rFonts w:ascii="Georgia"/>
                        <w:color w:val="FF0000"/>
                        <w:w w:val="105"/>
                        <w:sz w:val="10"/>
                      </w:rPr>
                      <w:t>Does the person change class during the year?</w:t>
                    </w:r>
                  </w:p>
                </w:txbxContent>
              </v:textbox>
              <w10:wrap type="none"/>
            </v:shape>
            <v:shape style="position:absolute;left:7991;top:2183;width:2558;height:577" type="#_x0000_t202" filled="false" stroked="false">
              <v:textbox inset="0,0,0,0">
                <w:txbxContent>
                  <w:p>
                    <w:pPr>
                      <w:spacing w:before="99"/>
                      <w:ind w:left="73" w:right="68" w:firstLine="0"/>
                      <w:jc w:val="center"/>
                      <w:rPr>
                        <w:rFonts w:ascii="Georgia"/>
                        <w:b/>
                        <w:i/>
                        <w:sz w:val="10"/>
                      </w:rPr>
                    </w:pPr>
                    <w:r>
                      <w:rPr>
                        <w:rFonts w:ascii="Georgia"/>
                        <w:b/>
                        <w:i/>
                        <w:color w:val="A21F1F"/>
                        <w:w w:val="105"/>
                        <w:sz w:val="10"/>
                      </w:rPr>
                      <w:t>Location</w:t>
                    </w:r>
                    <w:r>
                      <w:rPr>
                        <w:rFonts w:ascii="Georgia"/>
                        <w:b/>
                        <w:i/>
                        <w:color w:val="A21F1F"/>
                        <w:sz w:val="10"/>
                      </w:rPr>
                      <w:t> </w:t>
                    </w:r>
                  </w:p>
                  <w:p>
                    <w:pPr>
                      <w:spacing w:line="266" w:lineRule="auto" w:before="47"/>
                      <w:ind w:left="73" w:right="81" w:firstLine="0"/>
                      <w:jc w:val="center"/>
                      <w:rPr>
                        <w:rFonts w:ascii="Georgia"/>
                        <w:sz w:val="10"/>
                      </w:rPr>
                    </w:pPr>
                    <w:r>
                      <w:rPr>
                        <w:rFonts w:ascii="Georgia"/>
                        <w:color w:val="A21F1F"/>
                        <w:w w:val="105"/>
                        <w:sz w:val="10"/>
                      </w:rPr>
                      <w:t>Var iable considered r elat es to the socio-economic adv antage or disadvantage of the location (SA 2)</w:t>
                    </w:r>
                  </w:p>
                </w:txbxContent>
              </v:textbox>
              <w10:wrap type="none"/>
            </v:shape>
            <v:shape style="position:absolute;left:7876;top:1897;width:2364;height:275" type="#_x0000_t202" filled="false" stroked="false">
              <v:textbox inset="0,0,0,0">
                <w:txbxContent>
                  <w:p>
                    <w:pPr>
                      <w:spacing w:before="91"/>
                      <w:ind w:left="74" w:right="0" w:firstLine="0"/>
                      <w:jc w:val="left"/>
                      <w:rPr>
                        <w:rFonts w:ascii="Georgia"/>
                        <w:b/>
                        <w:i/>
                        <w:sz w:val="10"/>
                      </w:rPr>
                    </w:pPr>
                    <w:r>
                      <w:rPr>
                        <w:rFonts w:ascii="Georgia"/>
                        <w:b/>
                        <w:i/>
                        <w:color w:val="A21F1F"/>
                        <w:w w:val="105"/>
                        <w:sz w:val="10"/>
                      </w:rPr>
                      <w:t>Lev el of highest educationa l attainme nt</w:t>
                    </w:r>
                  </w:p>
                </w:txbxContent>
              </v:textbox>
              <w10:wrap type="none"/>
            </v:shape>
            <v:shape style="position:absolute;left:7534;top:1418;width:2307;height:469" type="#_x0000_t202" filled="false" stroked="false">
              <v:textbox inset="0,0,0,0">
                <w:txbxContent>
                  <w:p>
                    <w:pPr>
                      <w:spacing w:before="44"/>
                      <w:ind w:left="133" w:right="100" w:firstLine="0"/>
                      <w:jc w:val="center"/>
                      <w:rPr>
                        <w:rFonts w:ascii="Georgia"/>
                        <w:b/>
                        <w:i/>
                        <w:sz w:val="10"/>
                      </w:rPr>
                    </w:pPr>
                    <w:r>
                      <w:rPr>
                        <w:rFonts w:ascii="Georgia"/>
                        <w:b/>
                        <w:i/>
                        <w:color w:val="A21F1F"/>
                        <w:w w:val="105"/>
                        <w:sz w:val="10"/>
                      </w:rPr>
                      <w:t>Children</w:t>
                    </w:r>
                  </w:p>
                  <w:p>
                    <w:pPr>
                      <w:spacing w:line="266" w:lineRule="auto" w:before="46"/>
                      <w:ind w:left="135" w:right="100" w:firstLine="0"/>
                      <w:jc w:val="center"/>
                      <w:rPr>
                        <w:rFonts w:ascii="Georgia"/>
                        <w:sz w:val="10"/>
                      </w:rPr>
                    </w:pPr>
                    <w:r>
                      <w:rPr>
                        <w:rFonts w:ascii="Georgia"/>
                        <w:color w:val="A21F1F"/>
                        <w:w w:val="105"/>
                        <w:sz w:val="10"/>
                      </w:rPr>
                      <w:t>Gai ning and losing children by number and age of children. Changes in child age.</w:t>
                    </w:r>
                  </w:p>
                </w:txbxContent>
              </v:textbox>
              <w10:wrap type="none"/>
            </v:shape>
            <v:shape style="position:absolute;left:6409;top:1052;width:800;height:252" type="#_x0000_t202" filled="false" stroked="true" strokeweight=".571113pt" strokecolor="#a21f1f">
              <v:textbox inset="0,0,0,0">
                <w:txbxContent>
                  <w:p>
                    <w:pPr>
                      <w:spacing w:before="101"/>
                      <w:ind w:left="136" w:right="0" w:firstLine="0"/>
                      <w:jc w:val="left"/>
                      <w:rPr>
                        <w:rFonts w:ascii="Georgia"/>
                        <w:b/>
                        <w:i/>
                        <w:sz w:val="10"/>
                      </w:rPr>
                    </w:pPr>
                    <w:r>
                      <w:rPr>
                        <w:rFonts w:ascii="Georgia"/>
                        <w:b/>
                        <w:i/>
                        <w:color w:val="A21F1F"/>
                        <w:w w:val="105"/>
                        <w:sz w:val="10"/>
                      </w:rPr>
                      <w:t>Mortality</w:t>
                    </w:r>
                  </w:p>
                </w:txbxContent>
              </v:textbox>
              <v:stroke dashstyle="solid"/>
              <w10:wrap type="none"/>
            </v:shape>
            <v:shape style="position:absolute;left:5713;top:1052;width:697;height:252" type="#_x0000_t202" filled="false" stroked="true" strokeweight=".571113pt" strokecolor="#a21f1f">
              <v:textbox inset="0,0,0,0">
                <w:txbxContent>
                  <w:p>
                    <w:pPr>
                      <w:spacing w:before="15"/>
                      <w:ind w:left="107" w:right="0" w:firstLine="0"/>
                      <w:jc w:val="left"/>
                      <w:rPr>
                        <w:rFonts w:ascii="Georgia"/>
                        <w:b/>
                        <w:i/>
                        <w:sz w:val="10"/>
                      </w:rPr>
                    </w:pPr>
                    <w:r>
                      <w:rPr>
                        <w:rFonts w:ascii="Georgia"/>
                        <w:b/>
                        <w:i/>
                        <w:color w:val="A21F1F"/>
                        <w:w w:val="105"/>
                        <w:sz w:val="10"/>
                      </w:rPr>
                      <w:t>Ageing</w:t>
                    </w:r>
                  </w:p>
                </w:txbxContent>
              </v:textbox>
              <v:stroke dashstyle="solid"/>
              <w10:wrap type="none"/>
            </v:shape>
            <v:shape style="position:absolute;left:6786;top:5924;width:1999;height:663" type="#_x0000_t202" filled="false" stroked="true" strokeweight=".571137pt" strokecolor="#db526a">
              <v:textbox inset="0,0,0,0">
                <w:txbxContent>
                  <w:p>
                    <w:pPr>
                      <w:spacing w:before="72"/>
                      <w:ind w:left="172" w:right="0" w:firstLine="0"/>
                      <w:jc w:val="left"/>
                      <w:rPr>
                        <w:rFonts w:ascii="Georgia"/>
                        <w:b/>
                        <w:i/>
                        <w:sz w:val="10"/>
                      </w:rPr>
                    </w:pPr>
                    <w:r>
                      <w:rPr>
                        <w:rFonts w:ascii="Georgia"/>
                        <w:b/>
                        <w:i/>
                        <w:color w:val="BA2740"/>
                        <w:w w:val="105"/>
                        <w:sz w:val="10"/>
                      </w:rPr>
                      <w:t>Payment category utilisation</w:t>
                    </w:r>
                  </w:p>
                  <w:p>
                    <w:pPr>
                      <w:spacing w:line="266" w:lineRule="auto" w:before="46"/>
                      <w:ind w:left="92" w:right="66" w:hanging="2"/>
                      <w:jc w:val="center"/>
                      <w:rPr>
                        <w:rFonts w:ascii="Georgia"/>
                        <w:sz w:val="10"/>
                      </w:rPr>
                    </w:pPr>
                    <w:r>
                      <w:rPr>
                        <w:rFonts w:ascii="Georgia"/>
                        <w:color w:val="BA2740"/>
                        <w:w w:val="105"/>
                        <w:sz w:val="10"/>
                      </w:rPr>
                      <w:t>For each of the 17 payment categories: Does the person r eceive any payments i n this category during the year?</w:t>
                    </w:r>
                  </w:p>
                </w:txbxContent>
              </v:textbox>
              <v:stroke dashstyle="solid"/>
              <w10:wrap type="none"/>
            </v:shape>
            <v:shape style="position:absolute;left:1397;top:5296;width:1919;height:686" type="#_x0000_t202" filled="false" stroked="true" strokeweight=".571121pt" strokecolor="#be8700">
              <v:textbox inset="0,0,0,0">
                <w:txbxContent>
                  <w:p>
                    <w:pPr>
                      <w:spacing w:before="71"/>
                      <w:ind w:left="181" w:right="0" w:firstLine="0"/>
                      <w:jc w:val="left"/>
                      <w:rPr>
                        <w:rFonts w:ascii="Georgia"/>
                        <w:b/>
                        <w:i/>
                        <w:sz w:val="10"/>
                      </w:rPr>
                    </w:pPr>
                    <w:r>
                      <w:rPr>
                        <w:rFonts w:ascii="Georgia"/>
                        <w:b/>
                        <w:i/>
                        <w:color w:val="BE8700"/>
                        <w:w w:val="105"/>
                        <w:sz w:val="10"/>
                      </w:rPr>
                      <w:t>Payment category amounts</w:t>
                    </w:r>
                  </w:p>
                  <w:p>
                    <w:pPr>
                      <w:spacing w:before="47"/>
                      <w:ind w:left="169" w:right="0" w:hanging="92"/>
                      <w:jc w:val="left"/>
                      <w:rPr>
                        <w:rFonts w:ascii="Georgia"/>
                        <w:sz w:val="10"/>
                      </w:rPr>
                    </w:pPr>
                    <w:r>
                      <w:rPr>
                        <w:rFonts w:ascii="Georgia"/>
                        <w:color w:val="BE8700"/>
                        <w:w w:val="105"/>
                        <w:sz w:val="10"/>
                      </w:rPr>
                      <w:t>For each category the p erson utilises:</w:t>
                    </w:r>
                  </w:p>
                  <w:p>
                    <w:pPr>
                      <w:spacing w:line="266" w:lineRule="auto" w:before="46"/>
                      <w:ind w:left="820" w:right="158" w:hanging="651"/>
                      <w:jc w:val="left"/>
                      <w:rPr>
                        <w:rFonts w:ascii="Georgia"/>
                        <w:sz w:val="10"/>
                      </w:rPr>
                    </w:pPr>
                    <w:r>
                      <w:rPr>
                        <w:rFonts w:ascii="Georgia"/>
                        <w:color w:val="BE8700"/>
                        <w:w w:val="105"/>
                        <w:sz w:val="10"/>
                      </w:rPr>
                      <w:t>How much is received during the y ear ?</w:t>
                    </w:r>
                  </w:p>
                </w:txbxContent>
              </v:textbox>
              <v:stroke dashstyle="solid"/>
              <w10:wrap type="none"/>
            </v:shape>
            <v:shape style="position:absolute;left:7871;top:5125;width:2158;height:206" type="#_x0000_t202" filled="false" stroked="true" strokeweight=".571156pt" strokecolor="#ff0000">
              <v:textbox inset="0,0,0,0">
                <w:txbxContent>
                  <w:p>
                    <w:pPr>
                      <w:spacing w:before="57"/>
                      <w:ind w:left="217" w:right="0" w:firstLine="0"/>
                      <w:jc w:val="left"/>
                      <w:rPr>
                        <w:rFonts w:ascii="Georgia"/>
                        <w:b/>
                        <w:i/>
                        <w:sz w:val="10"/>
                      </w:rPr>
                    </w:pPr>
                    <w:r>
                      <w:rPr>
                        <w:rFonts w:ascii="Georgia"/>
                        <w:b/>
                        <w:i/>
                        <w:color w:val="FF0000"/>
                        <w:w w:val="105"/>
                        <w:sz w:val="10"/>
                      </w:rPr>
                      <w:t>Education sector (class 1 only)</w:t>
                    </w:r>
                  </w:p>
                </w:txbxContent>
              </v:textbox>
              <v:stroke dashstyle="solid"/>
              <w10:wrap type="none"/>
            </v:shape>
            <v:shape style="position:absolute;left:7951;top:4828;width:2136;height:218" type="#_x0000_t202" filled="false" stroked="true" strokeweight=".571151pt" strokecolor="#ff0000">
              <v:textbox inset="0,0,0,0">
                <w:txbxContent>
                  <w:p>
                    <w:pPr>
                      <w:spacing w:before="58"/>
                      <w:ind w:left="172" w:right="0" w:firstLine="0"/>
                      <w:jc w:val="left"/>
                      <w:rPr>
                        <w:rFonts w:ascii="Georgia"/>
                        <w:b/>
                        <w:i/>
                        <w:sz w:val="10"/>
                      </w:rPr>
                    </w:pPr>
                    <w:r>
                      <w:rPr>
                        <w:rFonts w:ascii="Georgia"/>
                        <w:b/>
                        <w:i/>
                        <w:color w:val="FF0000"/>
                        <w:w w:val="105"/>
                        <w:sz w:val="10"/>
                      </w:rPr>
                      <w:t>Payment type (classes 1-3 only )</w:t>
                    </w:r>
                  </w:p>
                </w:txbxContent>
              </v:textbox>
              <v:stroke dashstyle="solid"/>
              <w10:wrap type="none"/>
            </v:shape>
            <v:shape style="position:absolute;left:8065;top:3491;width:2809;height:652" type="#_x0000_t202" filled="false" stroked="true" strokeweight=".571138pt" strokecolor="#ff0000">
              <v:textbox inset="0,0,0,0">
                <w:txbxContent>
                  <w:p>
                    <w:pPr>
                      <w:spacing w:before="75"/>
                      <w:ind w:left="159" w:right="142" w:firstLine="0"/>
                      <w:jc w:val="center"/>
                      <w:rPr>
                        <w:rFonts w:ascii="Georgia"/>
                        <w:b/>
                        <w:i/>
                        <w:sz w:val="10"/>
                      </w:rPr>
                    </w:pPr>
                    <w:r>
                      <w:rPr>
                        <w:rFonts w:ascii="Georgia"/>
                        <w:b/>
                        <w:i/>
                        <w:color w:val="FF0000"/>
                        <w:w w:val="105"/>
                        <w:sz w:val="10"/>
                      </w:rPr>
                      <w:t>Care Recipient variables (classes 4 &amp; 8 onl y)</w:t>
                    </w:r>
                  </w:p>
                  <w:p>
                    <w:pPr>
                      <w:spacing w:before="46"/>
                      <w:ind w:left="159" w:right="126" w:firstLine="0"/>
                      <w:jc w:val="center"/>
                      <w:rPr>
                        <w:rFonts w:ascii="Georgia"/>
                        <w:sz w:val="10"/>
                      </w:rPr>
                    </w:pPr>
                    <w:r>
                      <w:rPr>
                        <w:rFonts w:ascii="Georgia"/>
                        <w:color w:val="FF0000"/>
                        <w:w w:val="105"/>
                        <w:sz w:val="10"/>
                      </w:rPr>
                      <w:t>The v ariables considered are care recipient age,</w:t>
                    </w:r>
                  </w:p>
                  <w:p>
                    <w:pPr>
                      <w:spacing w:line="266" w:lineRule="auto" w:before="12"/>
                      <w:ind w:left="71" w:right="0" w:firstLine="68"/>
                      <w:jc w:val="left"/>
                      <w:rPr>
                        <w:rFonts w:ascii="Georgia"/>
                        <w:sz w:val="10"/>
                      </w:rPr>
                    </w:pPr>
                    <w:r>
                      <w:rPr>
                        <w:rFonts w:ascii="Georgia"/>
                        <w:color w:val="FF0000"/>
                        <w:w w:val="105"/>
                        <w:sz w:val="10"/>
                      </w:rPr>
                      <w:t>r el ationship to carer and medical condition for class 4 and number of child and adult care recipients for class 8.</w:t>
                    </w:r>
                  </w:p>
                </w:txbxContent>
              </v:textbox>
              <v:stroke dashstyle="solid"/>
              <w10:wrap type="none"/>
            </v:shape>
            <v:shape style="position:absolute;left:1134;top:3422;width:1679;height:1200" type="#_x0000_t202" filled="false" stroked="true" strokeweight=".571068pt" strokecolor="#dc6900">
              <v:textbox inset="0,0,0,0">
                <w:txbxContent>
                  <w:p>
                    <w:pPr>
                      <w:spacing w:before="70"/>
                      <w:ind w:left="494" w:right="0" w:firstLine="0"/>
                      <w:jc w:val="left"/>
                      <w:rPr>
                        <w:rFonts w:ascii="Georgia"/>
                        <w:b/>
                        <w:i/>
                        <w:sz w:val="10"/>
                      </w:rPr>
                    </w:pPr>
                    <w:r>
                      <w:rPr>
                        <w:rFonts w:ascii="Georgia"/>
                        <w:b/>
                        <w:i/>
                        <w:color w:val="DC6900"/>
                        <w:w w:val="105"/>
                        <w:sz w:val="10"/>
                      </w:rPr>
                      <w:t>Update step</w:t>
                    </w:r>
                  </w:p>
                  <w:p>
                    <w:pPr>
                      <w:spacing w:line="266" w:lineRule="auto" w:before="46"/>
                      <w:ind w:left="128" w:right="0" w:firstLine="45"/>
                      <w:jc w:val="left"/>
                      <w:rPr>
                        <w:rFonts w:ascii="Georgia"/>
                        <w:sz w:val="10"/>
                      </w:rPr>
                    </w:pPr>
                    <w:r>
                      <w:rPr>
                        <w:rFonts w:ascii="Georgia"/>
                        <w:color w:val="DC6900"/>
                        <w:w w:val="105"/>
                        <w:sz w:val="10"/>
                      </w:rPr>
                      <w:t>U pdate data items to r eflect posi tion at the end of the year</w:t>
                    </w:r>
                  </w:p>
                  <w:p>
                    <w:pPr>
                      <w:spacing w:line="290" w:lineRule="auto" w:before="0"/>
                      <w:ind w:left="505" w:right="3" w:hanging="446"/>
                      <w:jc w:val="left"/>
                      <w:rPr>
                        <w:rFonts w:ascii="Georgia"/>
                        <w:sz w:val="10"/>
                      </w:rPr>
                    </w:pPr>
                    <w:r>
                      <w:rPr>
                        <w:rFonts w:ascii="Georgia"/>
                        <w:color w:val="DC6900"/>
                        <w:w w:val="105"/>
                        <w:sz w:val="10"/>
                      </w:rPr>
                      <w:t>(w hi ch then b ecomes the start of the next year)</w:t>
                    </w:r>
                  </w:p>
                  <w:p>
                    <w:pPr>
                      <w:spacing w:line="290" w:lineRule="auto" w:before="10"/>
                      <w:ind w:left="163" w:right="50" w:hanging="103"/>
                      <w:jc w:val="left"/>
                      <w:rPr>
                        <w:rFonts w:ascii="Georgia"/>
                        <w:sz w:val="10"/>
                      </w:rPr>
                    </w:pPr>
                    <w:r>
                      <w:rPr>
                        <w:rFonts w:ascii="Georgia"/>
                        <w:color w:val="DC6900"/>
                        <w:w w:val="105"/>
                        <w:sz w:val="10"/>
                      </w:rPr>
                      <w:t>E.g. update duration in class and i n sy stem or delay since exit</w:t>
                    </w:r>
                  </w:p>
                </w:txbxContent>
              </v:textbox>
              <v:stroke dashstyle="solid"/>
              <w10:wrap type="none"/>
            </v:shape>
            <v:shape style="position:absolute;left:4103;top:304;width:960;height:766" type="#_x0000_t202" filled="false" stroked="true" strokeweight=".571038pt" strokecolor="#a21f1f">
              <v:textbox inset="0,0,0,0">
                <w:txbxContent>
                  <w:p>
                    <w:pPr>
                      <w:spacing w:before="75"/>
                      <w:ind w:left="64" w:right="0" w:firstLine="0"/>
                      <w:jc w:val="left"/>
                      <w:rPr>
                        <w:rFonts w:ascii="Georgia"/>
                        <w:b/>
                        <w:i/>
                        <w:sz w:val="10"/>
                      </w:rPr>
                    </w:pPr>
                    <w:r>
                      <w:rPr>
                        <w:rFonts w:ascii="Georgia"/>
                        <w:b/>
                        <w:i/>
                        <w:color w:val="A21F1F"/>
                        <w:w w:val="105"/>
                        <w:sz w:val="10"/>
                      </w:rPr>
                      <w:t>Data Maturity</w:t>
                    </w:r>
                  </w:p>
                  <w:p>
                    <w:pPr>
                      <w:spacing w:line="266" w:lineRule="auto" w:before="46"/>
                      <w:ind w:left="281" w:right="0" w:hanging="149"/>
                      <w:jc w:val="left"/>
                      <w:rPr>
                        <w:rFonts w:ascii="Georgia"/>
                        <w:sz w:val="10"/>
                      </w:rPr>
                    </w:pPr>
                    <w:r>
                      <w:rPr>
                        <w:rFonts w:ascii="Georgia"/>
                        <w:color w:val="A21F1F"/>
                        <w:w w:val="105"/>
                        <w:sz w:val="10"/>
                      </w:rPr>
                      <w:t>Adjustment to star ting</w:t>
                    </w:r>
                  </w:p>
                  <w:p>
                    <w:pPr>
                      <w:spacing w:line="113" w:lineRule="exact" w:before="0"/>
                      <w:ind w:left="98" w:right="0" w:firstLine="0"/>
                      <w:jc w:val="left"/>
                      <w:rPr>
                        <w:rFonts w:ascii="Georgia"/>
                        <w:sz w:val="10"/>
                      </w:rPr>
                    </w:pPr>
                    <w:r>
                      <w:rPr>
                        <w:rFonts w:ascii="Georgia"/>
                        <w:color w:val="A21F1F"/>
                        <w:w w:val="105"/>
                        <w:sz w:val="10"/>
                      </w:rPr>
                      <w:t>popul ation only</w:t>
                    </w:r>
                  </w:p>
                </w:txbxContent>
              </v:textbox>
              <v:stroke dashstyle="solid"/>
              <w10:wrap type="none"/>
            </v:shape>
            <v:shape style="position:absolute;left:1180;top:281;width:2718;height:1531" type="#_x0000_t202" filled="false" stroked="true" strokeweight=".571091pt" strokecolor="#5f221f">
              <v:textbox inset="0,0,0,0">
                <w:txbxContent>
                  <w:p>
                    <w:pPr>
                      <w:spacing w:before="74"/>
                      <w:ind w:left="795" w:right="0" w:firstLine="0"/>
                      <w:jc w:val="left"/>
                      <w:rPr>
                        <w:rFonts w:ascii="Georgia"/>
                        <w:b/>
                        <w:i/>
                        <w:sz w:val="10"/>
                      </w:rPr>
                    </w:pPr>
                    <w:r>
                      <w:rPr>
                        <w:rFonts w:ascii="Georgia"/>
                        <w:b/>
                        <w:i/>
                        <w:color w:val="5F221F"/>
                        <w:w w:val="105"/>
                        <w:sz w:val="10"/>
                      </w:rPr>
                      <w:t>Starting population</w:t>
                    </w:r>
                  </w:p>
                  <w:p>
                    <w:pPr>
                      <w:spacing w:before="47"/>
                      <w:ind w:left="65" w:right="0" w:firstLine="0"/>
                      <w:jc w:val="left"/>
                      <w:rPr>
                        <w:rFonts w:ascii="Georgia"/>
                        <w:sz w:val="10"/>
                      </w:rPr>
                    </w:pPr>
                    <w:r>
                      <w:rPr>
                        <w:rFonts w:ascii="Georgia"/>
                        <w:color w:val="5F221F"/>
                        <w:w w:val="105"/>
                        <w:sz w:val="10"/>
                      </w:rPr>
                      <w:t>For each person:</w:t>
                    </w:r>
                  </w:p>
                  <w:p>
                    <w:pPr>
                      <w:numPr>
                        <w:ilvl w:val="0"/>
                        <w:numId w:val="12"/>
                      </w:numPr>
                      <w:tabs>
                        <w:tab w:pos="168" w:val="left" w:leader="none"/>
                      </w:tabs>
                      <w:spacing w:line="264" w:lineRule="auto" w:before="44"/>
                      <w:ind w:left="167" w:right="55" w:hanging="103"/>
                      <w:jc w:val="left"/>
                      <w:rPr>
                        <w:rFonts w:ascii="Georgia"/>
                        <w:sz w:val="10"/>
                      </w:rPr>
                    </w:pPr>
                    <w:r>
                      <w:rPr>
                        <w:rFonts w:ascii="Georgia"/>
                        <w:color w:val="5F221F"/>
                        <w:w w:val="105"/>
                        <w:sz w:val="10"/>
                      </w:rPr>
                      <w:t>W</w:t>
                    </w:r>
                    <w:r>
                      <w:rPr>
                        <w:rFonts w:ascii="Georgia"/>
                        <w:color w:val="5F221F"/>
                        <w:spacing w:val="-14"/>
                        <w:w w:val="105"/>
                        <w:sz w:val="10"/>
                      </w:rPr>
                      <w:t> </w:t>
                    </w:r>
                    <w:r>
                      <w:rPr>
                        <w:rFonts w:ascii="Georgia"/>
                        <w:color w:val="5F221F"/>
                        <w:spacing w:val="4"/>
                        <w:w w:val="105"/>
                        <w:sz w:val="10"/>
                      </w:rPr>
                      <w:t>hat</w:t>
                    </w:r>
                    <w:r>
                      <w:rPr>
                        <w:rFonts w:ascii="Georgia"/>
                        <w:color w:val="5F221F"/>
                        <w:spacing w:val="3"/>
                        <w:w w:val="105"/>
                        <w:sz w:val="10"/>
                      </w:rPr>
                      <w:t> </w:t>
                    </w:r>
                    <w:r>
                      <w:rPr>
                        <w:rFonts w:ascii="Georgia"/>
                        <w:color w:val="5F221F"/>
                        <w:spacing w:val="2"/>
                        <w:w w:val="105"/>
                        <w:sz w:val="10"/>
                      </w:rPr>
                      <w:t>are</w:t>
                    </w:r>
                    <w:r>
                      <w:rPr>
                        <w:rFonts w:ascii="Georgia"/>
                        <w:color w:val="5F221F"/>
                        <w:spacing w:val="1"/>
                        <w:w w:val="105"/>
                        <w:sz w:val="10"/>
                      </w:rPr>
                      <w:t> </w:t>
                    </w:r>
                    <w:r>
                      <w:rPr>
                        <w:rFonts w:ascii="Georgia"/>
                        <w:color w:val="5F221F"/>
                        <w:w w:val="105"/>
                        <w:sz w:val="10"/>
                      </w:rPr>
                      <w:t>their</w:t>
                    </w:r>
                    <w:r>
                      <w:rPr>
                        <w:rFonts w:ascii="Georgia"/>
                        <w:color w:val="5F221F"/>
                        <w:spacing w:val="-2"/>
                        <w:w w:val="105"/>
                        <w:sz w:val="10"/>
                      </w:rPr>
                      <w:t> </w:t>
                    </w:r>
                    <w:r>
                      <w:rPr>
                        <w:rFonts w:ascii="Georgia"/>
                        <w:color w:val="5F221F"/>
                        <w:w w:val="105"/>
                        <w:sz w:val="10"/>
                      </w:rPr>
                      <w:t>current</w:t>
                    </w:r>
                    <w:r>
                      <w:rPr>
                        <w:rFonts w:ascii="Georgia"/>
                        <w:color w:val="5F221F"/>
                        <w:spacing w:val="-6"/>
                        <w:w w:val="105"/>
                        <w:sz w:val="10"/>
                      </w:rPr>
                      <w:t> </w:t>
                    </w:r>
                    <w:r>
                      <w:rPr>
                        <w:rFonts w:ascii="Georgia"/>
                        <w:color w:val="5F221F"/>
                        <w:spacing w:val="2"/>
                        <w:w w:val="105"/>
                        <w:sz w:val="10"/>
                      </w:rPr>
                      <w:t>demographic</w:t>
                    </w:r>
                    <w:r>
                      <w:rPr>
                        <w:rFonts w:ascii="Georgia"/>
                        <w:color w:val="5F221F"/>
                        <w:spacing w:val="-7"/>
                        <w:w w:val="105"/>
                        <w:sz w:val="10"/>
                      </w:rPr>
                      <w:t> </w:t>
                    </w:r>
                    <w:r>
                      <w:rPr>
                        <w:rFonts w:ascii="Georgia"/>
                        <w:color w:val="5F221F"/>
                        <w:w w:val="105"/>
                        <w:sz w:val="10"/>
                      </w:rPr>
                      <w:t>characteristics? </w:t>
                    </w:r>
                    <w:r>
                      <w:rPr>
                        <w:rFonts w:ascii="Georgia"/>
                        <w:color w:val="5F221F"/>
                        <w:spacing w:val="2"/>
                        <w:w w:val="105"/>
                        <w:sz w:val="10"/>
                      </w:rPr>
                      <w:t>(age,</w:t>
                    </w:r>
                    <w:r>
                      <w:rPr>
                        <w:rFonts w:ascii="Georgia"/>
                        <w:color w:val="5F221F"/>
                        <w:spacing w:val="-10"/>
                        <w:w w:val="105"/>
                        <w:sz w:val="10"/>
                      </w:rPr>
                      <w:t> </w:t>
                    </w:r>
                    <w:r>
                      <w:rPr>
                        <w:rFonts w:ascii="Georgia"/>
                        <w:color w:val="5F221F"/>
                        <w:spacing w:val="3"/>
                        <w:w w:val="105"/>
                        <w:sz w:val="10"/>
                      </w:rPr>
                      <w:t>gender</w:t>
                    </w:r>
                    <w:r>
                      <w:rPr>
                        <w:rFonts w:ascii="Georgia"/>
                        <w:color w:val="5F221F"/>
                        <w:spacing w:val="-12"/>
                        <w:w w:val="105"/>
                        <w:sz w:val="10"/>
                      </w:rPr>
                      <w:t> </w:t>
                    </w:r>
                    <w:r>
                      <w:rPr>
                        <w:rFonts w:ascii="Georgia"/>
                        <w:color w:val="5F221F"/>
                        <w:w w:val="105"/>
                        <w:sz w:val="10"/>
                      </w:rPr>
                      <w:t>,</w:t>
                    </w:r>
                    <w:r>
                      <w:rPr>
                        <w:rFonts w:ascii="Georgia"/>
                        <w:color w:val="5F221F"/>
                        <w:spacing w:val="-9"/>
                        <w:w w:val="105"/>
                        <w:sz w:val="10"/>
                      </w:rPr>
                      <w:t> </w:t>
                    </w:r>
                    <w:r>
                      <w:rPr>
                        <w:rFonts w:ascii="Georgia"/>
                        <w:color w:val="5F221F"/>
                        <w:w w:val="105"/>
                        <w:sz w:val="10"/>
                      </w:rPr>
                      <w:t>i</w:t>
                    </w:r>
                    <w:r>
                      <w:rPr>
                        <w:rFonts w:ascii="Georgia"/>
                        <w:color w:val="5F221F"/>
                        <w:spacing w:val="-11"/>
                        <w:w w:val="105"/>
                        <w:sz w:val="10"/>
                      </w:rPr>
                      <w:t> </w:t>
                    </w:r>
                    <w:r>
                      <w:rPr>
                        <w:rFonts w:ascii="Georgia"/>
                        <w:color w:val="5F221F"/>
                        <w:w w:val="105"/>
                        <w:sz w:val="10"/>
                      </w:rPr>
                      <w:t>ndigenous</w:t>
                    </w:r>
                    <w:r>
                      <w:rPr>
                        <w:rFonts w:ascii="Georgia"/>
                        <w:color w:val="5F221F"/>
                        <w:spacing w:val="-3"/>
                        <w:w w:val="105"/>
                        <w:sz w:val="10"/>
                      </w:rPr>
                      <w:t> </w:t>
                    </w:r>
                    <w:r>
                      <w:rPr>
                        <w:rFonts w:ascii="Georgia"/>
                        <w:color w:val="5F221F"/>
                        <w:w w:val="105"/>
                        <w:sz w:val="10"/>
                      </w:rPr>
                      <w:t>statu</w:t>
                    </w:r>
                    <w:r>
                      <w:rPr>
                        <w:rFonts w:ascii="Georgia"/>
                        <w:color w:val="5F221F"/>
                        <w:spacing w:val="-16"/>
                        <w:w w:val="105"/>
                        <w:sz w:val="10"/>
                      </w:rPr>
                      <w:t> </w:t>
                    </w:r>
                    <w:r>
                      <w:rPr>
                        <w:rFonts w:ascii="Georgia"/>
                        <w:color w:val="5F221F"/>
                        <w:w w:val="105"/>
                        <w:sz w:val="10"/>
                      </w:rPr>
                      <w:t>s,</w:t>
                    </w:r>
                    <w:r>
                      <w:rPr>
                        <w:rFonts w:ascii="Georgia"/>
                        <w:color w:val="5F221F"/>
                        <w:spacing w:val="-10"/>
                        <w:w w:val="105"/>
                        <w:sz w:val="10"/>
                      </w:rPr>
                      <w:t> </w:t>
                    </w:r>
                    <w:r>
                      <w:rPr>
                        <w:rFonts w:ascii="Georgia"/>
                        <w:color w:val="5F221F"/>
                        <w:w w:val="105"/>
                        <w:sz w:val="10"/>
                      </w:rPr>
                      <w:t>refugee</w:t>
                    </w:r>
                    <w:r>
                      <w:rPr>
                        <w:rFonts w:ascii="Georgia"/>
                        <w:color w:val="5F221F"/>
                        <w:spacing w:val="3"/>
                        <w:w w:val="105"/>
                        <w:sz w:val="10"/>
                      </w:rPr>
                      <w:t> </w:t>
                    </w:r>
                    <w:r>
                      <w:rPr>
                        <w:rFonts w:ascii="Georgia"/>
                        <w:color w:val="5F221F"/>
                        <w:w w:val="105"/>
                        <w:sz w:val="10"/>
                      </w:rPr>
                      <w:t>statu</w:t>
                    </w:r>
                    <w:r>
                      <w:rPr>
                        <w:rFonts w:ascii="Georgia"/>
                        <w:color w:val="5F221F"/>
                        <w:spacing w:val="-16"/>
                        <w:w w:val="105"/>
                        <w:sz w:val="10"/>
                      </w:rPr>
                      <w:t> </w:t>
                    </w:r>
                    <w:r>
                      <w:rPr>
                        <w:rFonts w:ascii="Georgia"/>
                        <w:color w:val="5F221F"/>
                        <w:w w:val="105"/>
                        <w:sz w:val="10"/>
                      </w:rPr>
                      <w:t>s</w:t>
                    </w:r>
                    <w:r>
                      <w:rPr>
                        <w:rFonts w:ascii="Georgia"/>
                        <w:color w:val="5F221F"/>
                        <w:spacing w:val="-3"/>
                        <w:w w:val="105"/>
                        <w:sz w:val="10"/>
                      </w:rPr>
                      <w:t> </w:t>
                    </w:r>
                    <w:r>
                      <w:rPr>
                        <w:rFonts w:ascii="Georgia"/>
                        <w:color w:val="5F221F"/>
                        <w:w w:val="105"/>
                        <w:sz w:val="10"/>
                      </w:rPr>
                      <w:t>etc.)</w:t>
                    </w:r>
                  </w:p>
                  <w:p>
                    <w:pPr>
                      <w:numPr>
                        <w:ilvl w:val="0"/>
                        <w:numId w:val="12"/>
                      </w:numPr>
                      <w:tabs>
                        <w:tab w:pos="168" w:val="left" w:leader="none"/>
                      </w:tabs>
                      <w:spacing w:line="264" w:lineRule="auto" w:before="33"/>
                      <w:ind w:left="167" w:right="54" w:hanging="103"/>
                      <w:jc w:val="left"/>
                      <w:rPr>
                        <w:rFonts w:ascii="Georgia"/>
                        <w:sz w:val="10"/>
                      </w:rPr>
                    </w:pPr>
                    <w:r>
                      <w:rPr>
                        <w:rFonts w:ascii="Georgia"/>
                        <w:color w:val="5F221F"/>
                        <w:w w:val="105"/>
                        <w:sz w:val="10"/>
                      </w:rPr>
                      <w:t>W </w:t>
                    </w:r>
                    <w:r>
                      <w:rPr>
                        <w:rFonts w:ascii="Georgia"/>
                        <w:color w:val="5F221F"/>
                        <w:spacing w:val="4"/>
                        <w:w w:val="105"/>
                        <w:sz w:val="10"/>
                      </w:rPr>
                      <w:t>hat </w:t>
                    </w:r>
                    <w:r>
                      <w:rPr>
                        <w:rFonts w:ascii="Georgia"/>
                        <w:color w:val="5F221F"/>
                        <w:w w:val="105"/>
                        <w:sz w:val="10"/>
                      </w:rPr>
                      <w:t>is </w:t>
                    </w:r>
                    <w:r>
                      <w:rPr>
                        <w:rFonts w:ascii="Georgia"/>
                        <w:color w:val="5F221F"/>
                        <w:spacing w:val="3"/>
                        <w:w w:val="105"/>
                        <w:sz w:val="10"/>
                      </w:rPr>
                      <w:t>their </w:t>
                    </w:r>
                    <w:r>
                      <w:rPr>
                        <w:rFonts w:ascii="Georgia"/>
                        <w:color w:val="5F221F"/>
                        <w:spacing w:val="2"/>
                        <w:w w:val="105"/>
                        <w:sz w:val="10"/>
                      </w:rPr>
                      <w:t>current </w:t>
                    </w:r>
                    <w:r>
                      <w:rPr>
                        <w:rFonts w:ascii="Georgia"/>
                        <w:color w:val="5F221F"/>
                        <w:spacing w:val="4"/>
                        <w:w w:val="105"/>
                        <w:sz w:val="10"/>
                      </w:rPr>
                      <w:t>and </w:t>
                    </w:r>
                    <w:r>
                      <w:rPr>
                        <w:rFonts w:ascii="Georgia"/>
                        <w:color w:val="5F221F"/>
                        <w:w w:val="105"/>
                        <w:sz w:val="10"/>
                      </w:rPr>
                      <w:t>past interaction with </w:t>
                    </w:r>
                    <w:r>
                      <w:rPr>
                        <w:rFonts w:ascii="Georgia"/>
                        <w:color w:val="5F221F"/>
                        <w:spacing w:val="2"/>
                        <w:w w:val="105"/>
                        <w:sz w:val="10"/>
                      </w:rPr>
                      <w:t>the </w:t>
                    </w:r>
                    <w:r>
                      <w:rPr>
                        <w:rFonts w:ascii="Georgia"/>
                        <w:color w:val="5F221F"/>
                        <w:w w:val="105"/>
                        <w:sz w:val="10"/>
                      </w:rPr>
                      <w:t>w</w:t>
                    </w:r>
                    <w:r>
                      <w:rPr>
                        <w:rFonts w:ascii="Georgia"/>
                        <w:color w:val="5F221F"/>
                        <w:spacing w:val="-11"/>
                        <w:w w:val="105"/>
                        <w:sz w:val="10"/>
                      </w:rPr>
                      <w:t> </w:t>
                    </w:r>
                    <w:r>
                      <w:rPr>
                        <w:rFonts w:ascii="Georgia"/>
                        <w:color w:val="5F221F"/>
                        <w:spacing w:val="3"/>
                        <w:w w:val="105"/>
                        <w:sz w:val="10"/>
                      </w:rPr>
                      <w:t>el</w:t>
                    </w:r>
                    <w:r>
                      <w:rPr>
                        <w:rFonts w:ascii="Georgia"/>
                        <w:color w:val="5F221F"/>
                        <w:spacing w:val="-10"/>
                        <w:w w:val="105"/>
                        <w:sz w:val="10"/>
                      </w:rPr>
                      <w:t> </w:t>
                    </w:r>
                    <w:r>
                      <w:rPr>
                        <w:rFonts w:ascii="Georgia"/>
                        <w:color w:val="5F221F"/>
                        <w:w w:val="105"/>
                        <w:sz w:val="10"/>
                      </w:rPr>
                      <w:t>fare</w:t>
                    </w:r>
                    <w:r>
                      <w:rPr>
                        <w:rFonts w:ascii="Georgia"/>
                        <w:color w:val="5F221F"/>
                        <w:spacing w:val="4"/>
                        <w:w w:val="105"/>
                        <w:sz w:val="10"/>
                      </w:rPr>
                      <w:t> </w:t>
                    </w:r>
                    <w:r>
                      <w:rPr>
                        <w:rFonts w:ascii="Georgia"/>
                        <w:color w:val="5F221F"/>
                        <w:w w:val="105"/>
                        <w:sz w:val="10"/>
                      </w:rPr>
                      <w:t>system?</w:t>
                    </w:r>
                    <w:r>
                      <w:rPr>
                        <w:rFonts w:ascii="Georgia"/>
                        <w:color w:val="5F221F"/>
                        <w:spacing w:val="-7"/>
                        <w:w w:val="105"/>
                        <w:sz w:val="10"/>
                      </w:rPr>
                      <w:t> </w:t>
                    </w:r>
                    <w:r>
                      <w:rPr>
                        <w:rFonts w:ascii="Georgia"/>
                        <w:color w:val="5F221F"/>
                        <w:w w:val="105"/>
                        <w:sz w:val="10"/>
                      </w:rPr>
                      <w:t>(current</w:t>
                    </w:r>
                    <w:r>
                      <w:rPr>
                        <w:rFonts w:ascii="Georgia"/>
                        <w:color w:val="5F221F"/>
                        <w:spacing w:val="-5"/>
                        <w:w w:val="105"/>
                        <w:sz w:val="10"/>
                      </w:rPr>
                      <w:t> </w:t>
                    </w:r>
                    <w:r>
                      <w:rPr>
                        <w:rFonts w:ascii="Georgia"/>
                        <w:color w:val="5F221F"/>
                        <w:w w:val="105"/>
                        <w:sz w:val="10"/>
                      </w:rPr>
                      <w:t>class,</w:t>
                    </w:r>
                    <w:r>
                      <w:rPr>
                        <w:rFonts w:ascii="Georgia"/>
                        <w:color w:val="5F221F"/>
                        <w:spacing w:val="-8"/>
                        <w:w w:val="105"/>
                        <w:sz w:val="10"/>
                      </w:rPr>
                      <w:t> </w:t>
                    </w:r>
                    <w:r>
                      <w:rPr>
                        <w:rFonts w:ascii="Georgia"/>
                        <w:color w:val="5F221F"/>
                        <w:spacing w:val="2"/>
                        <w:w w:val="105"/>
                        <w:sz w:val="10"/>
                      </w:rPr>
                      <w:t>dur</w:t>
                    </w:r>
                    <w:r>
                      <w:rPr>
                        <w:rFonts w:ascii="Georgia"/>
                        <w:color w:val="5F221F"/>
                        <w:spacing w:val="-12"/>
                        <w:w w:val="105"/>
                        <w:sz w:val="10"/>
                      </w:rPr>
                      <w:t> </w:t>
                    </w:r>
                    <w:r>
                      <w:rPr>
                        <w:rFonts w:ascii="Georgia"/>
                        <w:color w:val="5F221F"/>
                        <w:w w:val="105"/>
                        <w:sz w:val="10"/>
                      </w:rPr>
                      <w:t>ation</w:t>
                    </w:r>
                    <w:r>
                      <w:rPr>
                        <w:rFonts w:ascii="Georgia"/>
                        <w:color w:val="5F221F"/>
                        <w:spacing w:val="4"/>
                        <w:w w:val="105"/>
                        <w:sz w:val="10"/>
                      </w:rPr>
                      <w:t> </w:t>
                    </w:r>
                    <w:r>
                      <w:rPr>
                        <w:rFonts w:ascii="Georgia"/>
                        <w:color w:val="5F221F"/>
                        <w:w w:val="105"/>
                        <w:sz w:val="10"/>
                      </w:rPr>
                      <w:t>in</w:t>
                    </w:r>
                    <w:r>
                      <w:rPr>
                        <w:rFonts w:ascii="Georgia"/>
                        <w:color w:val="5F221F"/>
                        <w:spacing w:val="-7"/>
                        <w:w w:val="105"/>
                        <w:sz w:val="10"/>
                      </w:rPr>
                      <w:t> </w:t>
                    </w:r>
                    <w:r>
                      <w:rPr>
                        <w:rFonts w:ascii="Georgia"/>
                        <w:color w:val="5F221F"/>
                        <w:w w:val="105"/>
                        <w:sz w:val="10"/>
                      </w:rPr>
                      <w:t>class,</w:t>
                    </w:r>
                    <w:r>
                      <w:rPr>
                        <w:rFonts w:ascii="Georgia"/>
                        <w:color w:val="5F221F"/>
                        <w:spacing w:val="-9"/>
                        <w:w w:val="105"/>
                        <w:sz w:val="10"/>
                      </w:rPr>
                      <w:t> </w:t>
                    </w:r>
                    <w:r>
                      <w:rPr>
                        <w:rFonts w:ascii="Georgia"/>
                        <w:color w:val="5F221F"/>
                        <w:spacing w:val="3"/>
                        <w:w w:val="105"/>
                        <w:sz w:val="10"/>
                      </w:rPr>
                      <w:t>age </w:t>
                    </w:r>
                    <w:r>
                      <w:rPr>
                        <w:rFonts w:ascii="Georgia"/>
                        <w:color w:val="5F221F"/>
                        <w:spacing w:val="2"/>
                        <w:w w:val="105"/>
                        <w:sz w:val="10"/>
                      </w:rPr>
                      <w:t>at </w:t>
                    </w:r>
                    <w:r>
                      <w:rPr>
                        <w:rFonts w:ascii="Georgia"/>
                        <w:color w:val="5F221F"/>
                        <w:spacing w:val="5"/>
                        <w:w w:val="105"/>
                        <w:sz w:val="10"/>
                      </w:rPr>
                      <w:t>entry </w:t>
                    </w:r>
                    <w:r>
                      <w:rPr>
                        <w:rFonts w:ascii="Georgia"/>
                        <w:color w:val="5F221F"/>
                        <w:w w:val="105"/>
                        <w:sz w:val="10"/>
                      </w:rPr>
                      <w:t>to system,</w:t>
                    </w:r>
                    <w:r>
                      <w:rPr>
                        <w:rFonts w:ascii="Georgia"/>
                        <w:color w:val="5F221F"/>
                        <w:spacing w:val="-7"/>
                        <w:w w:val="105"/>
                        <w:sz w:val="10"/>
                      </w:rPr>
                      <w:t> </w:t>
                    </w:r>
                    <w:r>
                      <w:rPr>
                        <w:rFonts w:ascii="Georgia"/>
                        <w:color w:val="5F221F"/>
                        <w:spacing w:val="2"/>
                        <w:w w:val="105"/>
                        <w:sz w:val="10"/>
                      </w:rPr>
                      <w:t>etc.)</w:t>
                    </w:r>
                  </w:p>
                  <w:p>
                    <w:pPr>
                      <w:numPr>
                        <w:ilvl w:val="0"/>
                        <w:numId w:val="12"/>
                      </w:numPr>
                      <w:tabs>
                        <w:tab w:pos="168" w:val="left" w:leader="none"/>
                      </w:tabs>
                      <w:spacing w:line="264" w:lineRule="auto" w:before="34"/>
                      <w:ind w:left="167" w:right="37" w:hanging="103"/>
                      <w:jc w:val="left"/>
                      <w:rPr>
                        <w:rFonts w:ascii="Georgia"/>
                        <w:sz w:val="10"/>
                      </w:rPr>
                    </w:pPr>
                    <w:r>
                      <w:rPr>
                        <w:rFonts w:ascii="Georgia"/>
                        <w:color w:val="5F221F"/>
                        <w:w w:val="105"/>
                        <w:sz w:val="10"/>
                      </w:rPr>
                      <w:t>W</w:t>
                    </w:r>
                    <w:r>
                      <w:rPr>
                        <w:rFonts w:ascii="Georgia"/>
                        <w:color w:val="5F221F"/>
                        <w:spacing w:val="-16"/>
                        <w:w w:val="105"/>
                        <w:sz w:val="10"/>
                      </w:rPr>
                      <w:t> </w:t>
                    </w:r>
                    <w:r>
                      <w:rPr>
                        <w:rFonts w:ascii="Georgia"/>
                        <w:color w:val="5F221F"/>
                        <w:spacing w:val="4"/>
                        <w:w w:val="105"/>
                        <w:sz w:val="10"/>
                      </w:rPr>
                      <w:t>hi</w:t>
                    </w:r>
                    <w:r>
                      <w:rPr>
                        <w:rFonts w:ascii="Georgia"/>
                        <w:color w:val="5F221F"/>
                        <w:spacing w:val="-14"/>
                        <w:w w:val="105"/>
                        <w:sz w:val="10"/>
                      </w:rPr>
                      <w:t> </w:t>
                    </w:r>
                    <w:r>
                      <w:rPr>
                        <w:rFonts w:ascii="Georgia"/>
                        <w:color w:val="5F221F"/>
                        <w:w w:val="105"/>
                        <w:sz w:val="10"/>
                      </w:rPr>
                      <w:t>ch</w:t>
                    </w:r>
                    <w:r>
                      <w:rPr>
                        <w:rFonts w:ascii="Georgia"/>
                        <w:color w:val="5F221F"/>
                        <w:spacing w:val="-1"/>
                        <w:w w:val="105"/>
                        <w:sz w:val="10"/>
                      </w:rPr>
                      <w:t> </w:t>
                    </w:r>
                    <w:r>
                      <w:rPr>
                        <w:rFonts w:ascii="Georgia"/>
                        <w:color w:val="5F221F"/>
                        <w:w w:val="105"/>
                        <w:sz w:val="10"/>
                      </w:rPr>
                      <w:t>payment</w:t>
                    </w:r>
                    <w:r>
                      <w:rPr>
                        <w:rFonts w:ascii="Georgia"/>
                        <w:color w:val="5F221F"/>
                        <w:spacing w:val="-9"/>
                        <w:w w:val="105"/>
                        <w:sz w:val="10"/>
                      </w:rPr>
                      <w:t> </w:t>
                    </w:r>
                    <w:r>
                      <w:rPr>
                        <w:rFonts w:ascii="Georgia"/>
                        <w:color w:val="5F221F"/>
                        <w:w w:val="105"/>
                        <w:sz w:val="10"/>
                      </w:rPr>
                      <w:t>cat</w:t>
                    </w:r>
                    <w:r>
                      <w:rPr>
                        <w:rFonts w:ascii="Georgia"/>
                        <w:color w:val="5F221F"/>
                        <w:spacing w:val="-18"/>
                        <w:w w:val="105"/>
                        <w:sz w:val="10"/>
                      </w:rPr>
                      <w:t> </w:t>
                    </w:r>
                    <w:r>
                      <w:rPr>
                        <w:rFonts w:ascii="Georgia"/>
                        <w:color w:val="5F221F"/>
                        <w:w w:val="105"/>
                        <w:sz w:val="10"/>
                      </w:rPr>
                      <w:t>egories</w:t>
                    </w:r>
                    <w:r>
                      <w:rPr>
                        <w:rFonts w:ascii="Georgia"/>
                        <w:color w:val="5F221F"/>
                        <w:spacing w:val="-7"/>
                        <w:w w:val="105"/>
                        <w:sz w:val="10"/>
                      </w:rPr>
                      <w:t> </w:t>
                    </w:r>
                    <w:r>
                      <w:rPr>
                        <w:rFonts w:ascii="Georgia"/>
                        <w:color w:val="5F221F"/>
                        <w:w w:val="105"/>
                        <w:sz w:val="10"/>
                      </w:rPr>
                      <w:t>did</w:t>
                    </w:r>
                    <w:r>
                      <w:rPr>
                        <w:rFonts w:ascii="Georgia"/>
                        <w:color w:val="5F221F"/>
                        <w:spacing w:val="-10"/>
                        <w:w w:val="105"/>
                        <w:sz w:val="10"/>
                      </w:rPr>
                      <w:t> </w:t>
                    </w:r>
                    <w:r>
                      <w:rPr>
                        <w:rFonts w:ascii="Georgia"/>
                        <w:color w:val="5F221F"/>
                        <w:spacing w:val="3"/>
                        <w:w w:val="105"/>
                        <w:sz w:val="10"/>
                      </w:rPr>
                      <w:t>they</w:t>
                    </w:r>
                    <w:r>
                      <w:rPr>
                        <w:rFonts w:ascii="Georgia"/>
                        <w:color w:val="5F221F"/>
                        <w:spacing w:val="-3"/>
                        <w:w w:val="105"/>
                        <w:sz w:val="10"/>
                      </w:rPr>
                      <w:t> </w:t>
                    </w:r>
                    <w:r>
                      <w:rPr>
                        <w:rFonts w:ascii="Georgia"/>
                        <w:color w:val="5F221F"/>
                        <w:w w:val="105"/>
                        <w:sz w:val="10"/>
                      </w:rPr>
                      <w:t>rec</w:t>
                    </w:r>
                    <w:r>
                      <w:rPr>
                        <w:rFonts w:ascii="Georgia"/>
                        <w:color w:val="5F221F"/>
                        <w:spacing w:val="-18"/>
                        <w:w w:val="105"/>
                        <w:sz w:val="10"/>
                      </w:rPr>
                      <w:t> </w:t>
                    </w:r>
                    <w:r>
                      <w:rPr>
                        <w:rFonts w:ascii="Georgia"/>
                        <w:color w:val="5F221F"/>
                        <w:w w:val="105"/>
                        <w:sz w:val="10"/>
                      </w:rPr>
                      <w:t>eive</w:t>
                    </w:r>
                    <w:r>
                      <w:rPr>
                        <w:rFonts w:ascii="Georgia"/>
                        <w:color w:val="5F221F"/>
                        <w:spacing w:val="-2"/>
                        <w:w w:val="105"/>
                        <w:sz w:val="10"/>
                      </w:rPr>
                      <w:t> </w:t>
                    </w:r>
                    <w:r>
                      <w:rPr>
                        <w:rFonts w:ascii="Georgia"/>
                        <w:color w:val="5F221F"/>
                        <w:w w:val="105"/>
                        <w:sz w:val="10"/>
                      </w:rPr>
                      <w:t>payments </w:t>
                    </w:r>
                    <w:r>
                      <w:rPr>
                        <w:rFonts w:ascii="Georgia"/>
                        <w:color w:val="5F221F"/>
                        <w:spacing w:val="4"/>
                        <w:w w:val="105"/>
                        <w:sz w:val="10"/>
                      </w:rPr>
                      <w:t>for </w:t>
                    </w:r>
                    <w:r>
                      <w:rPr>
                        <w:rFonts w:ascii="Georgia"/>
                        <w:color w:val="5F221F"/>
                        <w:w w:val="105"/>
                        <w:sz w:val="10"/>
                      </w:rPr>
                      <w:t>l ast</w:t>
                    </w:r>
                    <w:r>
                      <w:rPr>
                        <w:rFonts w:ascii="Georgia"/>
                        <w:color w:val="5F221F"/>
                        <w:spacing w:val="5"/>
                        <w:w w:val="105"/>
                        <w:sz w:val="10"/>
                      </w:rPr>
                      <w:t> </w:t>
                    </w:r>
                    <w:r>
                      <w:rPr>
                        <w:rFonts w:ascii="Georgia"/>
                        <w:color w:val="5F221F"/>
                        <w:w w:val="105"/>
                        <w:sz w:val="10"/>
                      </w:rPr>
                      <w:t>year?</w:t>
                    </w:r>
                  </w:p>
                </w:txbxContent>
              </v:textbox>
              <v:stroke dashstyle="solid"/>
              <w10:wrap type="none"/>
            </v:shape>
            <w10:wrap type="none"/>
          </v:group>
        </w:pict>
      </w:r>
      <w:r>
        <w:rPr>
          <w:color w:val="DF2F1E"/>
        </w:rPr>
        <w:t>Figure 10: Illustration of the simulation model structure</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4"/>
        <w:rPr>
          <w:b/>
          <w:sz w:val="27"/>
        </w:rPr>
      </w:pPr>
      <w:r>
        <w:rPr/>
        <w:pict>
          <v:shape style="position:absolute;margin-left:51pt;margin-top:17.890238pt;width:144pt;height:.1pt;mso-position-horizontal-relative:page;mso-position-vertical-relative:paragraph;z-index:-251575296;mso-wrap-distance-left:0;mso-wrap-distance-right:0" coordorigin="1020,358" coordsize="2880,0" path="m1020,358l3900,358e" filled="false" stroked="true" strokeweight=".36pt" strokecolor="#404040">
            <v:path arrowok="t"/>
            <v:stroke dashstyle="solid"/>
            <w10:wrap type="topAndBottom"/>
          </v:shape>
        </w:pict>
      </w:r>
    </w:p>
    <w:p>
      <w:pPr>
        <w:pStyle w:val="BodyText"/>
        <w:spacing w:before="1"/>
        <w:rPr>
          <w:b/>
          <w:sz w:val="25"/>
        </w:rPr>
      </w:pPr>
    </w:p>
    <w:p>
      <w:pPr>
        <w:pStyle w:val="ListParagraph"/>
        <w:numPr>
          <w:ilvl w:val="0"/>
          <w:numId w:val="10"/>
        </w:numPr>
        <w:tabs>
          <w:tab w:pos="1023" w:val="left" w:leader="none"/>
        </w:tabs>
        <w:spacing w:line="240" w:lineRule="auto" w:before="95" w:after="0"/>
        <w:ind w:left="1022" w:right="0" w:hanging="123"/>
        <w:jc w:val="left"/>
        <w:rPr>
          <w:color w:val="404040"/>
          <w:sz w:val="14"/>
        </w:rPr>
      </w:pPr>
      <w:bookmarkStart w:name="_bookmark6" w:id="41"/>
      <w:bookmarkEnd w:id="41"/>
      <w:r>
        <w:rPr/>
      </w:r>
      <w:bookmarkStart w:name="_bookmark6" w:id="42"/>
      <w:bookmarkEnd w:id="42"/>
      <w:r>
        <w:rPr>
          <w:color w:val="404040"/>
          <w:sz w:val="16"/>
        </w:rPr>
        <w:t>St</w:t>
      </w:r>
      <w:r>
        <w:rPr>
          <w:color w:val="404040"/>
          <w:sz w:val="16"/>
        </w:rPr>
        <w:t>atistical Areas Level 2 (SA2) is an area type which falls under the Australian Bureau of Statistics (ABS) Structures hierarchy of</w:t>
      </w:r>
      <w:r>
        <w:rPr>
          <w:color w:val="404040"/>
          <w:spacing w:val="-29"/>
          <w:sz w:val="16"/>
        </w:rPr>
        <w:t> </w:t>
      </w:r>
      <w:r>
        <w:rPr>
          <w:color w:val="404040"/>
          <w:sz w:val="16"/>
        </w:rPr>
        <w:t>areas.</w:t>
      </w:r>
    </w:p>
    <w:p>
      <w:pPr>
        <w:spacing w:before="10"/>
        <w:ind w:left="1127" w:right="1010" w:firstLine="0"/>
        <w:jc w:val="left"/>
        <w:rPr>
          <w:sz w:val="16"/>
        </w:rPr>
      </w:pPr>
      <w:r>
        <w:rPr>
          <w:color w:val="404040"/>
          <w:sz w:val="16"/>
        </w:rPr>
        <w:t>SA2 are medium-sized general-purpose areas which generally have a population range of 3,000 to 25,000 people. They are designed to reflect functional areas that represent a community that interacts together socially and economically. There are 2,310 SA2 regions covering Australia.</w:t>
      </w:r>
    </w:p>
    <w:p>
      <w:pPr>
        <w:spacing w:after="0"/>
        <w:jc w:val="left"/>
        <w:rPr>
          <w:sz w:val="16"/>
        </w:rPr>
        <w:sectPr>
          <w:pgSz w:w="11910" w:h="16850"/>
          <w:pgMar w:header="572" w:footer="581" w:top="780" w:bottom="780" w:left="120" w:right="0"/>
        </w:sectPr>
      </w:pPr>
    </w:p>
    <w:p>
      <w:pPr>
        <w:pStyle w:val="BodyText"/>
      </w:pPr>
    </w:p>
    <w:p>
      <w:pPr>
        <w:pStyle w:val="BodyText"/>
      </w:pPr>
    </w:p>
    <w:p>
      <w:pPr>
        <w:pStyle w:val="BodyText"/>
        <w:spacing w:before="7"/>
        <w:rPr>
          <w:sz w:val="21"/>
        </w:rPr>
      </w:pPr>
    </w:p>
    <w:p>
      <w:pPr>
        <w:pStyle w:val="Heading6"/>
        <w:spacing w:before="94"/>
        <w:rPr>
          <w:i/>
        </w:rPr>
      </w:pPr>
      <w:r>
        <w:rPr>
          <w:i/>
          <w:color w:val="DF2F1E"/>
        </w:rPr>
        <w:t>Welfare classes</w:t>
      </w:r>
    </w:p>
    <w:p>
      <w:pPr>
        <w:pStyle w:val="BodyText"/>
        <w:spacing w:before="121"/>
        <w:ind w:left="900" w:right="1065"/>
      </w:pPr>
      <w:r>
        <w:rPr>
          <w:color w:val="404040"/>
        </w:rPr>
        <w:t>The simulation model structure above refers to welfare classes which are defined based on the types of payments received over the last year. The classes are hierarchical, so that being in an income support class (classes 1 to 6) will take precedence over being in a non income support class (classes 7 to 9) where someone receives multiple payments during a year. The class definitions are described in the table below.</w:t>
      </w:r>
    </w:p>
    <w:p>
      <w:pPr>
        <w:pStyle w:val="Heading9"/>
        <w:spacing w:before="174" w:after="56"/>
      </w:pPr>
      <w:r>
        <w:rPr>
          <w:color w:val="DF2F1E"/>
        </w:rPr>
        <w:t>Table 4: Welfare classes</w:t>
      </w:r>
    </w:p>
    <w:tbl>
      <w:tblPr>
        <w:tblW w:w="0" w:type="auto"/>
        <w:jc w:val="left"/>
        <w:tblInd w:w="1001" w:type="dxa"/>
        <w:tblBorders>
          <w:top w:val="single" w:sz="4" w:space="0" w:color="DF2F1E"/>
          <w:left w:val="single" w:sz="4" w:space="0" w:color="DF2F1E"/>
          <w:bottom w:val="single" w:sz="4" w:space="0" w:color="DF2F1E"/>
          <w:right w:val="single" w:sz="4" w:space="0" w:color="DF2F1E"/>
          <w:insideH w:val="single" w:sz="4" w:space="0" w:color="DF2F1E"/>
          <w:insideV w:val="single" w:sz="4" w:space="0" w:color="DF2F1E"/>
        </w:tblBorders>
        <w:tblLayout w:type="fixed"/>
        <w:tblCellMar>
          <w:top w:w="0" w:type="dxa"/>
          <w:left w:w="0" w:type="dxa"/>
          <w:bottom w:w="0" w:type="dxa"/>
          <w:right w:w="0" w:type="dxa"/>
        </w:tblCellMar>
        <w:tblLook w:val="01E0"/>
      </w:tblPr>
      <w:tblGrid>
        <w:gridCol w:w="3482"/>
        <w:gridCol w:w="3324"/>
        <w:gridCol w:w="2503"/>
      </w:tblGrid>
      <w:tr>
        <w:trPr>
          <w:trHeight w:val="268" w:hRule="atLeast"/>
        </w:trPr>
        <w:tc>
          <w:tcPr>
            <w:tcW w:w="3482" w:type="dxa"/>
            <w:tcBorders>
              <w:top w:val="nil"/>
              <w:left w:val="nil"/>
              <w:bottom w:val="nil"/>
              <w:right w:val="nil"/>
            </w:tcBorders>
            <w:shd w:val="clear" w:color="auto" w:fill="DF2F1E"/>
          </w:tcPr>
          <w:p>
            <w:pPr>
              <w:pStyle w:val="TableParagraph"/>
              <w:spacing w:before="34"/>
              <w:ind w:left="667"/>
              <w:rPr>
                <w:b/>
                <w:sz w:val="16"/>
              </w:rPr>
            </w:pPr>
            <w:r>
              <w:rPr>
                <w:b/>
                <w:color w:val="FFFFFF"/>
                <w:sz w:val="16"/>
              </w:rPr>
              <w:t>Active – income support (IS)</w:t>
            </w:r>
          </w:p>
        </w:tc>
        <w:tc>
          <w:tcPr>
            <w:tcW w:w="3324" w:type="dxa"/>
            <w:tcBorders>
              <w:top w:val="nil"/>
              <w:left w:val="nil"/>
              <w:bottom w:val="nil"/>
              <w:right w:val="nil"/>
            </w:tcBorders>
            <w:shd w:val="clear" w:color="auto" w:fill="DF2F1E"/>
          </w:tcPr>
          <w:p>
            <w:pPr>
              <w:pStyle w:val="TableParagraph"/>
              <w:spacing w:before="34"/>
              <w:ind w:left="235"/>
              <w:rPr>
                <w:b/>
                <w:sz w:val="16"/>
              </w:rPr>
            </w:pPr>
            <w:r>
              <w:rPr>
                <w:b/>
                <w:color w:val="FFFFFF"/>
                <w:sz w:val="16"/>
              </w:rPr>
              <w:t>Active – non income support (Non IS)</w:t>
            </w:r>
          </w:p>
        </w:tc>
        <w:tc>
          <w:tcPr>
            <w:tcW w:w="2503" w:type="dxa"/>
            <w:tcBorders>
              <w:top w:val="nil"/>
              <w:left w:val="nil"/>
              <w:bottom w:val="nil"/>
              <w:right w:val="nil"/>
            </w:tcBorders>
            <w:shd w:val="clear" w:color="auto" w:fill="DF2F1E"/>
          </w:tcPr>
          <w:p>
            <w:pPr>
              <w:pStyle w:val="TableParagraph"/>
              <w:spacing w:before="34"/>
              <w:ind w:left="641"/>
              <w:rPr>
                <w:b/>
                <w:sz w:val="16"/>
              </w:rPr>
            </w:pPr>
            <w:r>
              <w:rPr>
                <w:b/>
                <w:color w:val="FFFFFF"/>
                <w:sz w:val="16"/>
              </w:rPr>
              <w:t>Inactive classes</w:t>
            </w:r>
          </w:p>
        </w:tc>
      </w:tr>
      <w:tr>
        <w:trPr>
          <w:trHeight w:val="1175" w:hRule="atLeast"/>
        </w:trPr>
        <w:tc>
          <w:tcPr>
            <w:tcW w:w="3482" w:type="dxa"/>
            <w:tcBorders>
              <w:top w:val="nil"/>
              <w:left w:val="nil"/>
            </w:tcBorders>
          </w:tcPr>
          <w:p>
            <w:pPr>
              <w:pStyle w:val="TableParagraph"/>
              <w:spacing w:before="39"/>
              <w:ind w:left="122"/>
              <w:jc w:val="both"/>
              <w:rPr>
                <w:b/>
                <w:sz w:val="16"/>
              </w:rPr>
            </w:pPr>
            <w:r>
              <w:rPr>
                <w:b/>
                <w:color w:val="404040"/>
                <w:sz w:val="16"/>
              </w:rPr>
              <w:t>1 Studying</w:t>
            </w:r>
          </w:p>
          <w:p>
            <w:pPr>
              <w:pStyle w:val="TableParagraph"/>
              <w:spacing w:before="44"/>
              <w:ind w:left="122" w:right="497"/>
              <w:jc w:val="both"/>
              <w:rPr>
                <w:sz w:val="16"/>
              </w:rPr>
            </w:pPr>
            <w:r>
              <w:rPr>
                <w:color w:val="404040"/>
                <w:sz w:val="16"/>
              </w:rPr>
              <w:t>People receiving Austudy, ABSTUDY or Youth Allowance (Student) as their most recent income support payment.</w:t>
            </w:r>
          </w:p>
        </w:tc>
        <w:tc>
          <w:tcPr>
            <w:tcW w:w="3324" w:type="dxa"/>
            <w:tcBorders>
              <w:top w:val="nil"/>
            </w:tcBorders>
          </w:tcPr>
          <w:p>
            <w:pPr>
              <w:pStyle w:val="TableParagraph"/>
              <w:spacing w:before="39"/>
              <w:ind w:left="103"/>
              <w:rPr>
                <w:b/>
                <w:sz w:val="16"/>
              </w:rPr>
            </w:pPr>
            <w:r>
              <w:rPr>
                <w:b/>
                <w:color w:val="404040"/>
                <w:sz w:val="16"/>
              </w:rPr>
              <w:t>7 Non IS Family</w:t>
            </w:r>
          </w:p>
          <w:p>
            <w:pPr>
              <w:pStyle w:val="TableParagraph"/>
              <w:spacing w:before="44"/>
              <w:ind w:left="103" w:right="122"/>
              <w:rPr>
                <w:sz w:val="16"/>
              </w:rPr>
            </w:pPr>
            <w:r>
              <w:rPr>
                <w:color w:val="404040"/>
                <w:sz w:val="16"/>
              </w:rPr>
              <w:t>People not receiving any Carer payments but receiving one or more family supplement payments e.g. FTB, Child Care Benefit in the previous year.</w:t>
            </w:r>
          </w:p>
        </w:tc>
        <w:tc>
          <w:tcPr>
            <w:tcW w:w="2503" w:type="dxa"/>
            <w:tcBorders>
              <w:top w:val="nil"/>
              <w:right w:val="nil"/>
            </w:tcBorders>
          </w:tcPr>
          <w:p>
            <w:pPr>
              <w:pStyle w:val="TableParagraph"/>
              <w:spacing w:before="39"/>
              <w:ind w:left="105"/>
              <w:rPr>
                <w:b/>
                <w:sz w:val="16"/>
              </w:rPr>
            </w:pPr>
            <w:r>
              <w:rPr>
                <w:b/>
                <w:color w:val="404040"/>
                <w:sz w:val="16"/>
              </w:rPr>
              <w:t>10 Previous welfare recipient*</w:t>
            </w:r>
          </w:p>
          <w:p>
            <w:pPr>
              <w:pStyle w:val="TableParagraph"/>
              <w:spacing w:before="44"/>
              <w:ind w:left="105" w:right="95"/>
              <w:rPr>
                <w:sz w:val="16"/>
              </w:rPr>
            </w:pPr>
            <w:r>
              <w:rPr>
                <w:color w:val="404040"/>
                <w:sz w:val="16"/>
              </w:rPr>
              <w:t>People who were previously in one of classes 1 to 9 but are not for the latest year.</w:t>
            </w:r>
          </w:p>
          <w:p>
            <w:pPr>
              <w:pStyle w:val="TableParagraph"/>
              <w:spacing w:before="40"/>
              <w:ind w:left="105" w:right="218"/>
              <w:rPr>
                <w:i/>
                <w:sz w:val="12"/>
              </w:rPr>
            </w:pPr>
            <w:r>
              <w:rPr>
                <w:i/>
                <w:color w:val="404040"/>
                <w:sz w:val="12"/>
              </w:rPr>
              <w:t>*These are people who were captured in </w:t>
            </w:r>
            <w:r>
              <w:rPr>
                <w:i/>
                <w:color w:val="404040"/>
                <w:sz w:val="12"/>
              </w:rPr>
              <w:t>classes 1 to 9 from 2001/02 onwards.</w:t>
            </w:r>
          </w:p>
        </w:tc>
      </w:tr>
      <w:tr>
        <w:trPr>
          <w:trHeight w:val="1225" w:hRule="atLeast"/>
        </w:trPr>
        <w:tc>
          <w:tcPr>
            <w:tcW w:w="3482" w:type="dxa"/>
            <w:tcBorders>
              <w:left w:val="nil"/>
            </w:tcBorders>
          </w:tcPr>
          <w:p>
            <w:pPr>
              <w:pStyle w:val="TableParagraph"/>
              <w:ind w:left="122"/>
              <w:rPr>
                <w:b/>
                <w:sz w:val="16"/>
              </w:rPr>
            </w:pPr>
            <w:r>
              <w:rPr>
                <w:b/>
                <w:color w:val="404040"/>
                <w:sz w:val="16"/>
              </w:rPr>
              <w:t>2 Working Age</w:t>
            </w:r>
          </w:p>
          <w:p>
            <w:pPr>
              <w:pStyle w:val="TableParagraph"/>
              <w:spacing w:before="41"/>
              <w:ind w:left="122" w:right="117"/>
              <w:rPr>
                <w:sz w:val="16"/>
              </w:rPr>
            </w:pPr>
            <w:r>
              <w:rPr>
                <w:color w:val="404040"/>
                <w:sz w:val="16"/>
              </w:rPr>
              <w:t>People receiving Newstart Allowance or Youth Allowance (Other) as their most recent income support payment (a small number of other recipients are also included in this class</w:t>
            </w:r>
          </w:p>
          <w:p>
            <w:pPr>
              <w:pStyle w:val="TableParagraph"/>
              <w:spacing w:line="182" w:lineRule="exact" w:before="0"/>
              <w:ind w:left="122"/>
              <w:rPr>
                <w:sz w:val="16"/>
              </w:rPr>
            </w:pPr>
            <w:r>
              <w:rPr>
                <w:color w:val="404040"/>
                <w:sz w:val="16"/>
              </w:rPr>
              <w:t>– see section </w:t>
            </w:r>
            <w:hyperlink w:history="true" w:anchor="_bookmark42">
              <w:r>
                <w:rPr>
                  <w:color w:val="404040"/>
                  <w:sz w:val="16"/>
                </w:rPr>
                <w:t>6.2 </w:t>
              </w:r>
            </w:hyperlink>
            <w:r>
              <w:rPr>
                <w:color w:val="404040"/>
                <w:sz w:val="16"/>
              </w:rPr>
              <w:t>for details).</w:t>
            </w:r>
          </w:p>
        </w:tc>
        <w:tc>
          <w:tcPr>
            <w:tcW w:w="3324" w:type="dxa"/>
          </w:tcPr>
          <w:p>
            <w:pPr>
              <w:pStyle w:val="TableParagraph"/>
              <w:ind w:left="103"/>
              <w:rPr>
                <w:b/>
                <w:sz w:val="16"/>
              </w:rPr>
            </w:pPr>
            <w:r>
              <w:rPr>
                <w:b/>
                <w:color w:val="404040"/>
                <w:sz w:val="16"/>
              </w:rPr>
              <w:t>8 Non IS Carer</w:t>
            </w:r>
          </w:p>
          <w:p>
            <w:pPr>
              <w:pStyle w:val="TableParagraph"/>
              <w:spacing w:before="41"/>
              <w:ind w:left="103"/>
              <w:rPr>
                <w:sz w:val="16"/>
              </w:rPr>
            </w:pPr>
            <w:r>
              <w:rPr>
                <w:color w:val="404040"/>
                <w:sz w:val="16"/>
              </w:rPr>
              <w:t>People receiving Carer Allowance.</w:t>
            </w:r>
          </w:p>
        </w:tc>
        <w:tc>
          <w:tcPr>
            <w:tcW w:w="2503" w:type="dxa"/>
            <w:tcBorders>
              <w:right w:val="nil"/>
            </w:tcBorders>
          </w:tcPr>
          <w:p>
            <w:pPr>
              <w:pStyle w:val="TableParagraph"/>
              <w:ind w:left="105"/>
              <w:rPr>
                <w:b/>
                <w:sz w:val="16"/>
              </w:rPr>
            </w:pPr>
            <w:r>
              <w:rPr>
                <w:b/>
                <w:color w:val="404040"/>
                <w:sz w:val="16"/>
              </w:rPr>
              <w:t>11 Dead</w:t>
            </w:r>
          </w:p>
          <w:p>
            <w:pPr>
              <w:pStyle w:val="TableParagraph"/>
              <w:spacing w:before="41"/>
              <w:ind w:left="105" w:right="309"/>
              <w:rPr>
                <w:sz w:val="16"/>
              </w:rPr>
            </w:pPr>
            <w:r>
              <w:rPr>
                <w:color w:val="404040"/>
                <w:sz w:val="16"/>
              </w:rPr>
              <w:t>People who have died during the previous year or in prior years.</w:t>
            </w:r>
          </w:p>
        </w:tc>
      </w:tr>
      <w:tr>
        <w:trPr>
          <w:trHeight w:val="854" w:hRule="atLeast"/>
        </w:trPr>
        <w:tc>
          <w:tcPr>
            <w:tcW w:w="3482" w:type="dxa"/>
            <w:tcBorders>
              <w:left w:val="nil"/>
            </w:tcBorders>
          </w:tcPr>
          <w:p>
            <w:pPr>
              <w:pStyle w:val="TableParagraph"/>
              <w:spacing w:before="34"/>
              <w:ind w:left="122"/>
              <w:rPr>
                <w:b/>
                <w:sz w:val="16"/>
              </w:rPr>
            </w:pPr>
            <w:r>
              <w:rPr>
                <w:b/>
                <w:color w:val="404040"/>
                <w:sz w:val="16"/>
              </w:rPr>
              <w:t>3 Parenting</w:t>
            </w:r>
          </w:p>
          <w:p>
            <w:pPr>
              <w:pStyle w:val="TableParagraph"/>
              <w:spacing w:before="42"/>
              <w:ind w:left="122" w:right="400"/>
              <w:rPr>
                <w:sz w:val="16"/>
              </w:rPr>
            </w:pPr>
            <w:r>
              <w:rPr>
                <w:color w:val="404040"/>
                <w:sz w:val="16"/>
              </w:rPr>
              <w:t>People receiving Parenting Payment (Partnered or Single) as their most recent income support payment.</w:t>
            </w:r>
          </w:p>
        </w:tc>
        <w:tc>
          <w:tcPr>
            <w:tcW w:w="3324" w:type="dxa"/>
          </w:tcPr>
          <w:p>
            <w:pPr>
              <w:pStyle w:val="TableParagraph"/>
              <w:spacing w:before="34"/>
              <w:ind w:left="103"/>
              <w:rPr>
                <w:b/>
                <w:sz w:val="16"/>
              </w:rPr>
            </w:pPr>
            <w:r>
              <w:rPr>
                <w:b/>
                <w:color w:val="404040"/>
                <w:sz w:val="16"/>
              </w:rPr>
              <w:t>9 Non IS Other</w:t>
            </w:r>
          </w:p>
          <w:p>
            <w:pPr>
              <w:pStyle w:val="TableParagraph"/>
              <w:spacing w:before="42"/>
              <w:ind w:left="103" w:right="264"/>
              <w:rPr>
                <w:sz w:val="16"/>
              </w:rPr>
            </w:pPr>
            <w:r>
              <w:rPr>
                <w:color w:val="404040"/>
                <w:sz w:val="16"/>
              </w:rPr>
              <w:t>People receiving payments but not in any other welfare recipient class.</w:t>
            </w:r>
          </w:p>
        </w:tc>
        <w:tc>
          <w:tcPr>
            <w:tcW w:w="2503" w:type="dxa"/>
            <w:tcBorders>
              <w:right w:val="nil"/>
            </w:tcBorders>
          </w:tcPr>
          <w:p>
            <w:pPr>
              <w:pStyle w:val="TableParagraph"/>
              <w:spacing w:before="34"/>
              <w:ind w:left="105"/>
              <w:rPr>
                <w:b/>
                <w:sz w:val="16"/>
              </w:rPr>
            </w:pPr>
            <w:r>
              <w:rPr>
                <w:b/>
                <w:color w:val="404040"/>
                <w:sz w:val="16"/>
              </w:rPr>
              <w:t>12 Rest of Aust. population</w:t>
            </w:r>
          </w:p>
          <w:p>
            <w:pPr>
              <w:pStyle w:val="TableParagraph"/>
              <w:spacing w:before="42"/>
              <w:ind w:left="105"/>
              <w:rPr>
                <w:sz w:val="16"/>
              </w:rPr>
            </w:pPr>
            <w:r>
              <w:rPr>
                <w:color w:val="404040"/>
                <w:sz w:val="16"/>
              </w:rPr>
              <w:t>Rest of modelled population.</w:t>
            </w:r>
          </w:p>
        </w:tc>
      </w:tr>
      <w:tr>
        <w:trPr>
          <w:trHeight w:val="673" w:hRule="atLeast"/>
        </w:trPr>
        <w:tc>
          <w:tcPr>
            <w:tcW w:w="3482" w:type="dxa"/>
            <w:tcBorders>
              <w:left w:val="nil"/>
            </w:tcBorders>
          </w:tcPr>
          <w:p>
            <w:pPr>
              <w:pStyle w:val="TableParagraph"/>
              <w:ind w:left="122"/>
              <w:rPr>
                <w:b/>
                <w:sz w:val="16"/>
              </w:rPr>
            </w:pPr>
            <w:r>
              <w:rPr>
                <w:b/>
                <w:color w:val="404040"/>
                <w:sz w:val="16"/>
              </w:rPr>
              <w:t>4 Carers</w:t>
            </w:r>
          </w:p>
          <w:p>
            <w:pPr>
              <w:pStyle w:val="TableParagraph"/>
              <w:spacing w:before="41"/>
              <w:ind w:left="122" w:right="462"/>
              <w:rPr>
                <w:sz w:val="16"/>
              </w:rPr>
            </w:pPr>
            <w:r>
              <w:rPr>
                <w:color w:val="404040"/>
                <w:sz w:val="16"/>
              </w:rPr>
              <w:t>People receiving Carer Payment as their most recent income support payment.</w:t>
            </w:r>
          </w:p>
        </w:tc>
        <w:tc>
          <w:tcPr>
            <w:tcW w:w="3324" w:type="dxa"/>
          </w:tcPr>
          <w:p>
            <w:pPr>
              <w:pStyle w:val="TableParagraph"/>
              <w:spacing w:before="0"/>
              <w:rPr>
                <w:rFonts w:ascii="Times New Roman"/>
                <w:sz w:val="18"/>
              </w:rPr>
            </w:pPr>
          </w:p>
        </w:tc>
        <w:tc>
          <w:tcPr>
            <w:tcW w:w="2503" w:type="dxa"/>
            <w:tcBorders>
              <w:right w:val="nil"/>
            </w:tcBorders>
          </w:tcPr>
          <w:p>
            <w:pPr>
              <w:pStyle w:val="TableParagraph"/>
              <w:spacing w:before="0"/>
              <w:rPr>
                <w:rFonts w:ascii="Times New Roman"/>
                <w:sz w:val="18"/>
              </w:rPr>
            </w:pPr>
          </w:p>
        </w:tc>
      </w:tr>
      <w:tr>
        <w:trPr>
          <w:trHeight w:val="671" w:hRule="atLeast"/>
        </w:trPr>
        <w:tc>
          <w:tcPr>
            <w:tcW w:w="3482" w:type="dxa"/>
            <w:tcBorders>
              <w:left w:val="nil"/>
            </w:tcBorders>
          </w:tcPr>
          <w:p>
            <w:pPr>
              <w:pStyle w:val="TableParagraph"/>
              <w:spacing w:before="34"/>
              <w:ind w:left="122"/>
              <w:rPr>
                <w:b/>
                <w:sz w:val="16"/>
              </w:rPr>
            </w:pPr>
            <w:r>
              <w:rPr>
                <w:b/>
                <w:color w:val="404040"/>
                <w:sz w:val="16"/>
              </w:rPr>
              <w:t>5 Disability support</w:t>
            </w:r>
          </w:p>
          <w:p>
            <w:pPr>
              <w:pStyle w:val="TableParagraph"/>
              <w:spacing w:before="42"/>
              <w:ind w:left="122" w:right="90"/>
              <w:rPr>
                <w:sz w:val="16"/>
              </w:rPr>
            </w:pPr>
            <w:r>
              <w:rPr>
                <w:color w:val="404040"/>
                <w:sz w:val="16"/>
              </w:rPr>
              <w:t>People receiving Disability Support Pension as their most recent income support payment.</w:t>
            </w:r>
          </w:p>
        </w:tc>
        <w:tc>
          <w:tcPr>
            <w:tcW w:w="3324" w:type="dxa"/>
          </w:tcPr>
          <w:p>
            <w:pPr>
              <w:pStyle w:val="TableParagraph"/>
              <w:spacing w:before="0"/>
              <w:rPr>
                <w:rFonts w:ascii="Times New Roman"/>
                <w:sz w:val="18"/>
              </w:rPr>
            </w:pPr>
          </w:p>
        </w:tc>
        <w:tc>
          <w:tcPr>
            <w:tcW w:w="2503" w:type="dxa"/>
            <w:tcBorders>
              <w:right w:val="nil"/>
            </w:tcBorders>
          </w:tcPr>
          <w:p>
            <w:pPr>
              <w:pStyle w:val="TableParagraph"/>
              <w:spacing w:before="0"/>
              <w:rPr>
                <w:rFonts w:ascii="Times New Roman"/>
                <w:sz w:val="18"/>
              </w:rPr>
            </w:pPr>
          </w:p>
        </w:tc>
      </w:tr>
      <w:tr>
        <w:trPr>
          <w:trHeight w:val="1223" w:hRule="atLeast"/>
        </w:trPr>
        <w:tc>
          <w:tcPr>
            <w:tcW w:w="3482" w:type="dxa"/>
            <w:tcBorders>
              <w:left w:val="nil"/>
            </w:tcBorders>
          </w:tcPr>
          <w:p>
            <w:pPr>
              <w:pStyle w:val="TableParagraph"/>
              <w:spacing w:before="34"/>
              <w:ind w:left="122"/>
              <w:rPr>
                <w:b/>
                <w:sz w:val="16"/>
              </w:rPr>
            </w:pPr>
            <w:r>
              <w:rPr>
                <w:b/>
                <w:color w:val="404040"/>
                <w:sz w:val="16"/>
              </w:rPr>
              <w:t>6 Pension Age</w:t>
            </w:r>
          </w:p>
          <w:p>
            <w:pPr>
              <w:pStyle w:val="TableParagraph"/>
              <w:spacing w:before="44"/>
              <w:ind w:left="122" w:right="98"/>
              <w:rPr>
                <w:sz w:val="16"/>
              </w:rPr>
            </w:pPr>
            <w:r>
              <w:rPr>
                <w:color w:val="404040"/>
                <w:sz w:val="16"/>
              </w:rPr>
              <w:t>People receiving any Age Pension as their most recent income support payment (a small number of Widow B Pension and Wife Pension recipients are also included in this class).</w:t>
            </w:r>
          </w:p>
        </w:tc>
        <w:tc>
          <w:tcPr>
            <w:tcW w:w="3324" w:type="dxa"/>
          </w:tcPr>
          <w:p>
            <w:pPr>
              <w:pStyle w:val="TableParagraph"/>
              <w:spacing w:before="0"/>
              <w:rPr>
                <w:rFonts w:ascii="Times New Roman"/>
                <w:sz w:val="18"/>
              </w:rPr>
            </w:pPr>
          </w:p>
        </w:tc>
        <w:tc>
          <w:tcPr>
            <w:tcW w:w="2503" w:type="dxa"/>
            <w:tcBorders>
              <w:right w:val="nil"/>
            </w:tcBorders>
          </w:tcPr>
          <w:p>
            <w:pPr>
              <w:pStyle w:val="TableParagraph"/>
              <w:spacing w:before="0"/>
              <w:rPr>
                <w:rFonts w:ascii="Times New Roman"/>
                <w:sz w:val="18"/>
              </w:rPr>
            </w:pPr>
          </w:p>
        </w:tc>
      </w:tr>
    </w:tbl>
    <w:p>
      <w:pPr>
        <w:pStyle w:val="BodyText"/>
        <w:spacing w:before="7"/>
        <w:rPr>
          <w:b/>
        </w:rPr>
      </w:pPr>
    </w:p>
    <w:p>
      <w:pPr>
        <w:pStyle w:val="Heading6"/>
        <w:jc w:val="both"/>
        <w:rPr>
          <w:i/>
        </w:rPr>
      </w:pPr>
      <w:r>
        <w:rPr>
          <w:i/>
          <w:color w:val="DF2F1E"/>
        </w:rPr>
        <w:t>Payment categories</w:t>
      </w:r>
    </w:p>
    <w:p>
      <w:pPr>
        <w:pStyle w:val="BodyText"/>
        <w:spacing w:before="121"/>
        <w:ind w:left="900" w:right="1227"/>
        <w:jc w:val="both"/>
      </w:pPr>
      <w:r>
        <w:rPr>
          <w:color w:val="404040"/>
        </w:rPr>
        <w:t>There are around 85 individual payment types included in the scope of the model. These have been grouped into 17 payment categories for modelling, seven of which relate to income support payments and ten relate to non income support payments.</w:t>
      </w:r>
    </w:p>
    <w:p>
      <w:pPr>
        <w:pStyle w:val="BodyText"/>
        <w:spacing w:before="122"/>
        <w:ind w:left="899" w:right="1009"/>
      </w:pPr>
      <w:r>
        <w:rPr>
          <w:color w:val="404040"/>
        </w:rPr>
        <w:t>Note that while each person is allocated to a single unique class in a year, the model simulates the possibility of payment utilisation for each possible payment category. As such the model allows for individuals to receive multiple payments in the same year.</w:t>
      </w:r>
    </w:p>
    <w:p>
      <w:pPr>
        <w:pStyle w:val="BodyText"/>
        <w:spacing w:before="5"/>
      </w:pPr>
    </w:p>
    <w:p>
      <w:pPr>
        <w:pStyle w:val="Heading2"/>
        <w:numPr>
          <w:ilvl w:val="1"/>
          <w:numId w:val="13"/>
        </w:numPr>
        <w:tabs>
          <w:tab w:pos="1752" w:val="left" w:leader="none"/>
          <w:tab w:pos="1753" w:val="left" w:leader="none"/>
        </w:tabs>
        <w:spacing w:line="240" w:lineRule="auto" w:before="0" w:after="0"/>
        <w:ind w:left="1752" w:right="0" w:hanging="853"/>
        <w:jc w:val="left"/>
      </w:pPr>
      <w:bookmarkStart w:name="1.3 Model uses" w:id="43"/>
      <w:bookmarkEnd w:id="43"/>
      <w:r>
        <w:rPr/>
      </w:r>
      <w:bookmarkStart w:name="_bookmark7" w:id="44"/>
      <w:bookmarkEnd w:id="44"/>
      <w:r>
        <w:rPr/>
      </w:r>
      <w:bookmarkStart w:name="_bookmark7" w:id="45"/>
      <w:bookmarkEnd w:id="45"/>
      <w:r>
        <w:rPr>
          <w:color w:val="DF2F28"/>
        </w:rPr>
        <w:t>M</w:t>
      </w:r>
      <w:r>
        <w:rPr>
          <w:color w:val="DF2F28"/>
        </w:rPr>
        <w:t>odel uses</w:t>
      </w:r>
    </w:p>
    <w:p>
      <w:pPr>
        <w:pStyle w:val="BodyText"/>
        <w:spacing w:before="123"/>
        <w:ind w:left="899" w:right="1032"/>
      </w:pPr>
      <w:r>
        <w:rPr>
          <w:color w:val="404040"/>
        </w:rPr>
        <w:t>The actuarial valuation model is designed as a whole of population model with the purpose of providing a tool for understanding the welfare system and long term impact of decisions made today and in the future, at a fairly high “system” level, as well as for smaller groups of interest. The valuation model provides a flexible framework for exploring welfare system dynamics and the related lifetime cost outcomes.</w:t>
      </w:r>
    </w:p>
    <w:p>
      <w:pPr>
        <w:pStyle w:val="BodyText"/>
        <w:spacing w:before="122"/>
        <w:ind w:left="899" w:right="1021"/>
      </w:pPr>
      <w:r>
        <w:rPr>
          <w:color w:val="404040"/>
        </w:rPr>
        <w:t>The main results provide information on the current Australian population, which groups of people are utilising welfare now and how the types and amounts of welfare payments vary across different groups of the population. They also provide information on the lifetime cost for different groups and their expected future pathways through the welfare system. This information can be examined further for groups of people defined by age, gender, current payment or a range of other</w:t>
      </w:r>
      <w:r>
        <w:rPr>
          <w:color w:val="404040"/>
          <w:spacing w:val="-5"/>
        </w:rPr>
        <w:t> </w:t>
      </w:r>
      <w:r>
        <w:rPr>
          <w:color w:val="404040"/>
        </w:rPr>
        <w:t>characteristics.</w:t>
      </w:r>
    </w:p>
    <w:p>
      <w:pPr>
        <w:pStyle w:val="BodyText"/>
        <w:spacing w:before="120"/>
        <w:ind w:left="899" w:right="1021"/>
      </w:pPr>
      <w:r>
        <w:rPr>
          <w:color w:val="404040"/>
        </w:rPr>
        <w:t>The model can be used at a “system level” to consider the likely future welfare utilisation of the Australian population as it grows and the demographic profile shifts over the coming years. We know that the population is expected to both grow and age; by considering which people within the population are more likely to draw on</w:t>
      </w:r>
    </w:p>
    <w:p>
      <w:pPr>
        <w:spacing w:after="0"/>
        <w:sectPr>
          <w:pgSz w:w="11910" w:h="16850"/>
          <w:pgMar w:header="572" w:footer="581" w:top="780" w:bottom="780" w:left="120" w:right="0"/>
        </w:sectPr>
      </w:pPr>
    </w:p>
    <w:p>
      <w:pPr>
        <w:pStyle w:val="BodyText"/>
      </w:pPr>
    </w:p>
    <w:p>
      <w:pPr>
        <w:pStyle w:val="BodyText"/>
      </w:pPr>
    </w:p>
    <w:p>
      <w:pPr>
        <w:pStyle w:val="BodyText"/>
        <w:spacing w:before="7"/>
        <w:rPr>
          <w:sz w:val="21"/>
        </w:rPr>
      </w:pPr>
    </w:p>
    <w:p>
      <w:pPr>
        <w:pStyle w:val="BodyText"/>
        <w:spacing w:before="93"/>
        <w:ind w:left="900" w:right="1042"/>
      </w:pPr>
      <w:r>
        <w:rPr>
          <w:color w:val="404040"/>
        </w:rPr>
        <w:t>supports from the welfare system we can see how the numbers of people seeking to access different payments may vary in future. The model can also be used for diving deeper into sufficiently sized groups of interest to explore their specific welfare interactions over time.</w:t>
      </w:r>
    </w:p>
    <w:p>
      <w:pPr>
        <w:pStyle w:val="BodyText"/>
        <w:spacing w:before="121"/>
        <w:ind w:left="900" w:right="1064"/>
      </w:pPr>
      <w:r>
        <w:rPr>
          <w:color w:val="404040"/>
        </w:rPr>
        <w:t>The valuation provides the ability to explore the sensitivity of the model results to changes in the model assumptions. This provides a platform through which different scenarios can be explored and their potential impact assessed over both the short and longer term. For example, the model could be used to explore the impact of different economic scenarios, changes in payment design (payment eligibility, amounts or indexation) or changes in fertility rates or the retirement age.</w:t>
      </w:r>
    </w:p>
    <w:p>
      <w:pPr>
        <w:pStyle w:val="BodyText"/>
        <w:spacing w:before="120"/>
        <w:ind w:left="900" w:right="1331"/>
      </w:pPr>
      <w:r>
        <w:rPr>
          <w:color w:val="404040"/>
        </w:rPr>
        <w:t>The model also has a potentially valuable role to play in measuring the effectiveness of evidence based interventions. The model can be used as a “scenario” tool to quantify the likely long term impacts of different policy changes or interventions; and the projections generated by the model can be used as a “baseline” against which to monitor and quantify the impact of interventions over time.</w:t>
      </w:r>
    </w:p>
    <w:p>
      <w:pPr>
        <w:pStyle w:val="BodyText"/>
        <w:spacing w:before="9"/>
      </w:pPr>
    </w:p>
    <w:p>
      <w:pPr>
        <w:pStyle w:val="Heading2"/>
        <w:numPr>
          <w:ilvl w:val="1"/>
          <w:numId w:val="13"/>
        </w:numPr>
        <w:tabs>
          <w:tab w:pos="1752" w:val="left" w:leader="none"/>
          <w:tab w:pos="1753" w:val="left" w:leader="none"/>
        </w:tabs>
        <w:spacing w:line="240" w:lineRule="auto" w:before="0" w:after="0"/>
        <w:ind w:left="1752" w:right="0" w:hanging="853"/>
        <w:jc w:val="left"/>
      </w:pPr>
      <w:bookmarkStart w:name="1.4 Model limitations" w:id="46"/>
      <w:bookmarkEnd w:id="46"/>
      <w:r>
        <w:rPr/>
      </w:r>
      <w:bookmarkStart w:name="_bookmark8" w:id="47"/>
      <w:bookmarkEnd w:id="47"/>
      <w:r>
        <w:rPr/>
      </w:r>
      <w:bookmarkStart w:name="_bookmark8" w:id="48"/>
      <w:bookmarkEnd w:id="48"/>
      <w:r>
        <w:rPr>
          <w:color w:val="DF2F28"/>
        </w:rPr>
        <w:t>M</w:t>
      </w:r>
      <w:r>
        <w:rPr>
          <w:color w:val="DF2F28"/>
        </w:rPr>
        <w:t>odel limitations</w:t>
      </w:r>
    </w:p>
    <w:p>
      <w:pPr>
        <w:pStyle w:val="BodyText"/>
        <w:spacing w:before="122"/>
        <w:ind w:left="900" w:right="1153"/>
      </w:pPr>
      <w:r>
        <w:rPr>
          <w:color w:val="404040"/>
        </w:rPr>
        <w:t>While the model captures the different risk characteristics that are important at a population or group level, it does not reflect all the factors that may result in different outcomes for individual people. Accordingly, it is able to produce population and population group information rather than information about individuals.</w:t>
      </w:r>
    </w:p>
    <w:p>
      <w:pPr>
        <w:pStyle w:val="BodyText"/>
        <w:spacing w:before="119"/>
        <w:ind w:left="899" w:right="1210"/>
      </w:pPr>
      <w:r>
        <w:rPr>
          <w:color w:val="404040"/>
        </w:rPr>
        <w:t>There is a limitation on the accuracy of the results contained in this report because of the inherent uncertainty of any estimation of such long term costs. The issue of uncertainty is expanded upon in the results section of this report.</w:t>
      </w:r>
    </w:p>
    <w:p>
      <w:pPr>
        <w:pStyle w:val="BodyText"/>
        <w:spacing w:before="8"/>
      </w:pPr>
    </w:p>
    <w:p>
      <w:pPr>
        <w:pStyle w:val="Heading2"/>
        <w:numPr>
          <w:ilvl w:val="1"/>
          <w:numId w:val="13"/>
        </w:numPr>
        <w:tabs>
          <w:tab w:pos="1752" w:val="left" w:leader="none"/>
          <w:tab w:pos="1753" w:val="left" w:leader="none"/>
        </w:tabs>
        <w:spacing w:line="240" w:lineRule="auto" w:before="0" w:after="0"/>
        <w:ind w:left="1752" w:right="0" w:hanging="853"/>
        <w:jc w:val="left"/>
      </w:pPr>
      <w:bookmarkStart w:name="1.5 Reliances" w:id="49"/>
      <w:bookmarkEnd w:id="49"/>
      <w:r>
        <w:rPr/>
      </w:r>
      <w:bookmarkStart w:name="_bookmark9" w:id="50"/>
      <w:bookmarkEnd w:id="50"/>
      <w:r>
        <w:rPr/>
      </w:r>
      <w:bookmarkStart w:name="_bookmark9" w:id="51"/>
      <w:bookmarkEnd w:id="51"/>
      <w:r>
        <w:rPr>
          <w:color w:val="DF2F28"/>
        </w:rPr>
        <w:t>R</w:t>
      </w:r>
      <w:r>
        <w:rPr>
          <w:color w:val="DF2F28"/>
        </w:rPr>
        <w:t>eliances</w:t>
      </w:r>
    </w:p>
    <w:p>
      <w:pPr>
        <w:pStyle w:val="BodyText"/>
        <w:spacing w:before="123"/>
        <w:ind w:left="899" w:right="1165"/>
      </w:pPr>
      <w:r>
        <w:rPr>
          <w:color w:val="404040"/>
        </w:rPr>
        <w:t>This report has been prepared by PricewaterhouseCoopers (PwC) at the request of the Department to document the actuarial valuation of Australia’s social security and income support system as at 30 June 2018. It is not intended, or necessarily suitable, for any other purpose.</w:t>
      </w:r>
    </w:p>
    <w:p>
      <w:pPr>
        <w:pStyle w:val="BodyText"/>
        <w:spacing w:before="119"/>
        <w:ind w:left="899" w:right="1150"/>
        <w:jc w:val="both"/>
      </w:pPr>
      <w:r>
        <w:rPr>
          <w:color w:val="404040"/>
        </w:rPr>
        <w:t>The report relies on the completeness and accuracy of information compiled and provided by the Department. We have not verified that data is accurate or complete, but we have checked it for internal consistency and for consistency with other information summaries produced by the Department. We note that the Department also does not give any warranty as to the reliability or accuracy of the data provided to PwC for the valuation.</w:t>
      </w:r>
    </w:p>
    <w:p>
      <w:pPr>
        <w:pStyle w:val="BodyText"/>
        <w:spacing w:before="120"/>
        <w:ind w:left="899" w:right="1021"/>
      </w:pPr>
      <w:r>
        <w:rPr>
          <w:color w:val="404040"/>
        </w:rPr>
        <w:t>We accept no liability for loss or damage howsoever arising in the use of this report by the Department for other than the purpose stated above, nor for any use of this report, without full understanding of the reliances and limitations noted above, or for errors or omissions arising from the provision of inaccurate or incomplete information to us. We accept no liability for loss or damages howsoever arising in the use of this report by third parties.</w:t>
      </w:r>
    </w:p>
    <w:p>
      <w:pPr>
        <w:pStyle w:val="BodyText"/>
        <w:spacing w:before="8"/>
      </w:pPr>
    </w:p>
    <w:p>
      <w:pPr>
        <w:pStyle w:val="Heading2"/>
        <w:numPr>
          <w:ilvl w:val="1"/>
          <w:numId w:val="13"/>
        </w:numPr>
        <w:tabs>
          <w:tab w:pos="1752" w:val="left" w:leader="none"/>
          <w:tab w:pos="1753" w:val="left" w:leader="none"/>
        </w:tabs>
        <w:spacing w:line="240" w:lineRule="auto" w:before="0" w:after="0"/>
        <w:ind w:left="1752" w:right="0" w:hanging="853"/>
        <w:jc w:val="left"/>
      </w:pPr>
      <w:bookmarkStart w:name="1.6 Professional standards" w:id="52"/>
      <w:bookmarkEnd w:id="52"/>
      <w:r>
        <w:rPr/>
      </w:r>
      <w:bookmarkStart w:name="_bookmark10" w:id="53"/>
      <w:bookmarkEnd w:id="53"/>
      <w:r>
        <w:rPr/>
      </w:r>
      <w:bookmarkStart w:name="_bookmark10" w:id="54"/>
      <w:bookmarkEnd w:id="54"/>
      <w:r>
        <w:rPr>
          <w:color w:val="DF2F28"/>
        </w:rPr>
        <w:t>P</w:t>
      </w:r>
      <w:r>
        <w:rPr>
          <w:color w:val="DF2F28"/>
        </w:rPr>
        <w:t>rofessional</w:t>
      </w:r>
      <w:r>
        <w:rPr>
          <w:color w:val="DF2F28"/>
          <w:spacing w:val="-2"/>
        </w:rPr>
        <w:t> </w:t>
      </w:r>
      <w:r>
        <w:rPr>
          <w:color w:val="DF2F28"/>
        </w:rPr>
        <w:t>standards</w:t>
      </w:r>
    </w:p>
    <w:p>
      <w:pPr>
        <w:pStyle w:val="BodyText"/>
        <w:spacing w:before="123"/>
        <w:ind w:left="900" w:right="1698"/>
      </w:pPr>
      <w:r>
        <w:rPr>
          <w:color w:val="404040"/>
        </w:rPr>
        <w:t>The advice in this report is intended to satisfy the Code of Professional Conduct issued by the Actuaries Institute. No other Australian Professional Standards are relevant to this work.</w:t>
      </w:r>
    </w:p>
    <w:p>
      <w:pPr>
        <w:pStyle w:val="BodyText"/>
        <w:spacing w:before="119"/>
        <w:ind w:left="900" w:right="1046"/>
      </w:pPr>
      <w:r>
        <w:rPr>
          <w:color w:val="404040"/>
        </w:rPr>
        <w:t>The International Actuarial Association has published an International Standard of Actuarial Practice 2 (ISAP 2) “Financial Analysis of Social Security Programs”. It provides guidance to actuaries performing financial analyses of Social Security Programs (SSPs), or reviewing, advising on, or opining on such analyses. It is our view that the standard is not intended to cover the type of social benefit system in Australia and as such, we do not consider it directly relevant to this valuation. Nonetheless, we have considered the appropriate practices set out in the standard and consider that the approach adopted in this valuation aligns with the practices that are relevant to our</w:t>
      </w:r>
      <w:r>
        <w:rPr>
          <w:color w:val="404040"/>
          <w:spacing w:val="3"/>
        </w:rPr>
        <w:t> </w:t>
      </w:r>
      <w:r>
        <w:rPr>
          <w:color w:val="404040"/>
        </w:rPr>
        <w:t>work.</w:t>
      </w:r>
    </w:p>
    <w:p>
      <w:pPr>
        <w:spacing w:after="0"/>
        <w:sectPr>
          <w:pgSz w:w="11910" w:h="16850"/>
          <w:pgMar w:header="572" w:footer="581" w:top="780" w:bottom="780" w:left="120" w:right="0"/>
        </w:sectPr>
      </w:pPr>
    </w:p>
    <w:p>
      <w:pPr>
        <w:pStyle w:val="BodyText"/>
      </w:pPr>
      <w:r>
        <w:rPr/>
        <w:pict>
          <v:group style="position:absolute;margin-left:51pt;margin-top:114.359978pt;width:493.35pt;height:652.950pt;mso-position-horizontal-relative:page;mso-position-vertical-relative:page;z-index:-288134144" coordorigin="1020,2287" coordsize="9867,13059">
            <v:rect style="position:absolute;left:1020;top:2287;width:9867;height:58" filled="true" fillcolor="#f3aba3" stroked="false">
              <v:fill type="solid"/>
            </v:rect>
            <v:line style="position:absolute" from="1128,2310" to="10778,2310" stroked="true" strokeweight="2.280pt" strokecolor="#f3aba3">
              <v:stroke dashstyle="solid"/>
            </v:line>
            <v:shape style="position:absolute;left:1020;top:2344;width:9867;height:13001" coordorigin="1020,2345" coordsize="9867,13001" path="m10886,2345l10778,2345,1128,2345,1020,2345,1020,15346,1128,15346,10778,15346,10886,15346,10886,2345e" filled="true" fillcolor="#f3aba3" stroked="false">
              <v:path arrowok="t"/>
              <v:fill type="solid"/>
            </v:shape>
            <w10:wrap type="none"/>
          </v:group>
        </w:pict>
      </w:r>
    </w:p>
    <w:p>
      <w:pPr>
        <w:pStyle w:val="BodyText"/>
      </w:pPr>
    </w:p>
    <w:p>
      <w:pPr>
        <w:pStyle w:val="BodyText"/>
        <w:rPr>
          <w:sz w:val="22"/>
        </w:rPr>
      </w:pPr>
    </w:p>
    <w:p>
      <w:pPr>
        <w:tabs>
          <w:tab w:pos="1752" w:val="left" w:leader="none"/>
        </w:tabs>
        <w:spacing w:before="88"/>
        <w:ind w:left="900" w:right="0" w:firstLine="0"/>
        <w:jc w:val="left"/>
        <w:rPr>
          <w:sz w:val="40"/>
        </w:rPr>
      </w:pPr>
      <w:bookmarkStart w:name="2 Developments and new insights" w:id="55"/>
      <w:bookmarkEnd w:id="55"/>
      <w:r>
        <w:rPr/>
      </w:r>
      <w:bookmarkStart w:name="_bookmark11" w:id="56"/>
      <w:bookmarkEnd w:id="56"/>
      <w:r>
        <w:rPr/>
      </w:r>
      <w:r>
        <w:rPr>
          <w:color w:val="DF2F1E"/>
          <w:sz w:val="40"/>
        </w:rPr>
        <w:t>2</w:t>
        <w:tab/>
        <w:t>Developments and new</w:t>
      </w:r>
      <w:r>
        <w:rPr>
          <w:color w:val="DF2F1E"/>
          <w:spacing w:val="-2"/>
          <w:sz w:val="40"/>
        </w:rPr>
        <w:t> </w:t>
      </w:r>
      <w:r>
        <w:rPr>
          <w:color w:val="DF2F1E"/>
          <w:sz w:val="40"/>
        </w:rPr>
        <w:t>insights</w:t>
      </w:r>
    </w:p>
    <w:p>
      <w:pPr>
        <w:pStyle w:val="BodyText"/>
        <w:spacing w:before="2"/>
        <w:rPr>
          <w:sz w:val="28"/>
        </w:rPr>
      </w:pPr>
    </w:p>
    <w:p>
      <w:pPr>
        <w:pStyle w:val="Heading9"/>
        <w:ind w:left="1008"/>
      </w:pPr>
      <w:r>
        <w:rPr>
          <w:color w:val="404040"/>
        </w:rPr>
        <w:t>Key points</w:t>
      </w:r>
    </w:p>
    <w:p>
      <w:pPr>
        <w:pStyle w:val="BodyText"/>
        <w:spacing w:before="122"/>
        <w:ind w:left="1008" w:right="1145"/>
      </w:pPr>
      <w:r>
        <w:rPr>
          <w:color w:val="404040"/>
        </w:rPr>
        <w:t>As part of ongoing model development, we have added a number of new variables that allow the model to take into account differences in trajectories for people depending on the socio-economic advantage / disadvantage of their region of residence and their refugee status. We have also examined the timing of payments throughout the year, and used an indicator for whether an individual was in receipt of a payment at the valuation date as a predictor in the model. This extension of the model has allowed us to bring the following new insights:</w:t>
      </w:r>
    </w:p>
    <w:p>
      <w:pPr>
        <w:pStyle w:val="ListParagraph"/>
        <w:numPr>
          <w:ilvl w:val="0"/>
          <w:numId w:val="14"/>
        </w:numPr>
        <w:tabs>
          <w:tab w:pos="1292" w:val="left" w:leader="none"/>
        </w:tabs>
        <w:spacing w:line="240" w:lineRule="auto" w:before="119" w:after="0"/>
        <w:ind w:left="1291" w:right="1267" w:hanging="284"/>
        <w:jc w:val="left"/>
        <w:rPr>
          <w:sz w:val="20"/>
        </w:rPr>
      </w:pPr>
      <w:r>
        <w:rPr>
          <w:color w:val="404040"/>
          <w:sz w:val="20"/>
        </w:rPr>
        <w:t>The inclusion of this region based measure of socio-economic advantage / disadvantage has allowed for greater differentiation in the model at a geographical level. Additionally, we have explored the historical geographical data during our analysis. This work has</w:t>
      </w:r>
      <w:r>
        <w:rPr>
          <w:color w:val="404040"/>
          <w:spacing w:val="-1"/>
          <w:sz w:val="20"/>
        </w:rPr>
        <w:t> </w:t>
      </w:r>
      <w:r>
        <w:rPr>
          <w:color w:val="404040"/>
          <w:sz w:val="20"/>
        </w:rPr>
        <w:t>shown:</w:t>
      </w:r>
    </w:p>
    <w:p>
      <w:pPr>
        <w:pStyle w:val="ListParagraph"/>
        <w:numPr>
          <w:ilvl w:val="1"/>
          <w:numId w:val="14"/>
        </w:numPr>
        <w:tabs>
          <w:tab w:pos="1575" w:val="left" w:leader="none"/>
        </w:tabs>
        <w:spacing w:line="240" w:lineRule="auto" w:before="120" w:after="0"/>
        <w:ind w:left="1576" w:right="1136" w:hanging="286"/>
        <w:jc w:val="left"/>
        <w:rPr>
          <w:sz w:val="20"/>
        </w:rPr>
      </w:pPr>
      <w:r>
        <w:rPr>
          <w:color w:val="404040"/>
          <w:sz w:val="20"/>
        </w:rPr>
        <w:t>People living in areas with the highest level of socio-economic disadvantage are over three times more likely to be in receipt of income support than those living in areas with the lowest level of socio- economic disadvantage. The difference is greatest for recipients of Parenting and Carer payments; people in areas with the highest level of socio-economic disadvantage are almost ten times more likely to be in receipt of these payments than those living in areas with the lowest level of socio-economic disadvantage.</w:t>
      </w:r>
    </w:p>
    <w:p>
      <w:pPr>
        <w:pStyle w:val="ListParagraph"/>
        <w:numPr>
          <w:ilvl w:val="1"/>
          <w:numId w:val="14"/>
        </w:numPr>
        <w:tabs>
          <w:tab w:pos="1575" w:val="left" w:leader="none"/>
        </w:tabs>
        <w:spacing w:line="240" w:lineRule="auto" w:before="120" w:after="0"/>
        <w:ind w:left="1576" w:right="1495" w:hanging="286"/>
        <w:jc w:val="left"/>
        <w:rPr>
          <w:sz w:val="20"/>
        </w:rPr>
      </w:pPr>
      <w:r>
        <w:rPr>
          <w:color w:val="404040"/>
          <w:sz w:val="20"/>
        </w:rPr>
        <w:t>The level of welfare dependence tends to be higher in remote regions. Within major cities, welfare dependence tends to be higher further away from the city centre. This was evident when looking at welfare dependence across a variety of measures and cohorts</w:t>
      </w:r>
      <w:r>
        <w:rPr>
          <w:color w:val="404040"/>
          <w:spacing w:val="-11"/>
          <w:sz w:val="20"/>
        </w:rPr>
        <w:t> </w:t>
      </w:r>
      <w:r>
        <w:rPr>
          <w:color w:val="404040"/>
          <w:sz w:val="20"/>
        </w:rPr>
        <w:t>including:</w:t>
      </w:r>
    </w:p>
    <w:p>
      <w:pPr>
        <w:pStyle w:val="ListParagraph"/>
        <w:numPr>
          <w:ilvl w:val="2"/>
          <w:numId w:val="14"/>
        </w:numPr>
        <w:tabs>
          <w:tab w:pos="1859" w:val="left" w:leader="none"/>
          <w:tab w:pos="1860" w:val="left" w:leader="none"/>
        </w:tabs>
        <w:spacing w:line="240" w:lineRule="auto" w:before="119" w:after="0"/>
        <w:ind w:left="1860" w:right="0" w:hanging="284"/>
        <w:jc w:val="left"/>
        <w:rPr>
          <w:sz w:val="20"/>
        </w:rPr>
      </w:pPr>
      <w:r>
        <w:rPr>
          <w:color w:val="404040"/>
          <w:sz w:val="20"/>
        </w:rPr>
        <w:t>the proportion of 16 to 64 year olds currently in an income support class (excluding Pension</w:t>
      </w:r>
      <w:r>
        <w:rPr>
          <w:color w:val="404040"/>
          <w:spacing w:val="-17"/>
          <w:sz w:val="20"/>
        </w:rPr>
        <w:t> </w:t>
      </w:r>
      <w:r>
        <w:rPr>
          <w:color w:val="404040"/>
          <w:sz w:val="20"/>
        </w:rPr>
        <w:t>Age);</w:t>
      </w:r>
    </w:p>
    <w:p>
      <w:pPr>
        <w:pStyle w:val="ListParagraph"/>
        <w:numPr>
          <w:ilvl w:val="2"/>
          <w:numId w:val="14"/>
        </w:numPr>
        <w:tabs>
          <w:tab w:pos="1859" w:val="left" w:leader="none"/>
          <w:tab w:pos="1860" w:val="left" w:leader="none"/>
        </w:tabs>
        <w:spacing w:line="240" w:lineRule="auto" w:before="120" w:after="0"/>
        <w:ind w:left="1860" w:right="0" w:hanging="284"/>
        <w:jc w:val="left"/>
        <w:rPr>
          <w:sz w:val="20"/>
        </w:rPr>
      </w:pPr>
      <w:r>
        <w:rPr>
          <w:color w:val="404040"/>
          <w:sz w:val="20"/>
        </w:rPr>
        <w:t>the proportion of 11 to 17 year olds with a high level of intergenerational welfare dependency;</w:t>
      </w:r>
      <w:r>
        <w:rPr>
          <w:color w:val="404040"/>
          <w:spacing w:val="-16"/>
          <w:sz w:val="20"/>
        </w:rPr>
        <w:t> </w:t>
      </w:r>
      <w:r>
        <w:rPr>
          <w:color w:val="404040"/>
          <w:sz w:val="20"/>
        </w:rPr>
        <w:t>and</w:t>
      </w:r>
    </w:p>
    <w:p>
      <w:pPr>
        <w:pStyle w:val="ListParagraph"/>
        <w:numPr>
          <w:ilvl w:val="2"/>
          <w:numId w:val="14"/>
        </w:numPr>
        <w:tabs>
          <w:tab w:pos="1859" w:val="left" w:leader="none"/>
          <w:tab w:pos="1860" w:val="left" w:leader="none"/>
        </w:tabs>
        <w:spacing w:line="240" w:lineRule="auto" w:before="121" w:after="0"/>
        <w:ind w:left="1860" w:right="0" w:hanging="284"/>
        <w:jc w:val="left"/>
        <w:rPr>
          <w:sz w:val="20"/>
        </w:rPr>
      </w:pPr>
      <w:r>
        <w:rPr>
          <w:color w:val="404040"/>
          <w:sz w:val="20"/>
        </w:rPr>
        <w:t>the pre-retirement average lifetime cost for 11 to 17 year</w:t>
      </w:r>
      <w:r>
        <w:rPr>
          <w:color w:val="404040"/>
          <w:spacing w:val="-5"/>
          <w:sz w:val="20"/>
        </w:rPr>
        <w:t> </w:t>
      </w:r>
      <w:r>
        <w:rPr>
          <w:color w:val="404040"/>
          <w:sz w:val="20"/>
        </w:rPr>
        <w:t>olds.</w:t>
      </w:r>
    </w:p>
    <w:p>
      <w:pPr>
        <w:pStyle w:val="ListParagraph"/>
        <w:numPr>
          <w:ilvl w:val="1"/>
          <w:numId w:val="14"/>
        </w:numPr>
        <w:tabs>
          <w:tab w:pos="1575" w:val="left" w:leader="none"/>
        </w:tabs>
        <w:spacing w:line="240" w:lineRule="auto" w:before="120" w:after="0"/>
        <w:ind w:left="1576" w:right="1283" w:hanging="286"/>
        <w:jc w:val="left"/>
        <w:rPr>
          <w:sz w:val="20"/>
        </w:rPr>
      </w:pPr>
      <w:r>
        <w:rPr>
          <w:color w:val="404040"/>
          <w:sz w:val="20"/>
        </w:rPr>
        <w:t>Higher pre-retirement average lifetime costs, as well as higher variability in average lifetime costs, for individuals living in socio-economically disadvantaged</w:t>
      </w:r>
      <w:r>
        <w:rPr>
          <w:color w:val="404040"/>
          <w:spacing w:val="-1"/>
          <w:sz w:val="20"/>
        </w:rPr>
        <w:t> </w:t>
      </w:r>
      <w:r>
        <w:rPr>
          <w:color w:val="404040"/>
          <w:sz w:val="20"/>
        </w:rPr>
        <w:t>areas.</w:t>
      </w:r>
    </w:p>
    <w:p>
      <w:pPr>
        <w:pStyle w:val="ListParagraph"/>
        <w:numPr>
          <w:ilvl w:val="0"/>
          <w:numId w:val="14"/>
        </w:numPr>
        <w:tabs>
          <w:tab w:pos="1292" w:val="left" w:leader="none"/>
        </w:tabs>
        <w:spacing w:line="240" w:lineRule="auto" w:before="117" w:after="0"/>
        <w:ind w:left="1291" w:right="1134" w:hanging="284"/>
        <w:jc w:val="left"/>
        <w:rPr>
          <w:sz w:val="20"/>
        </w:rPr>
      </w:pPr>
      <w:r>
        <w:rPr>
          <w:color w:val="404040"/>
          <w:sz w:val="20"/>
        </w:rPr>
        <w:t>The inclusion of refugee-specific variables in the model has allowed for greater differentiation in the model for this group, and has allowed for the detailed analysis of their experience through the welfare</w:t>
      </w:r>
      <w:r>
        <w:rPr>
          <w:color w:val="404040"/>
          <w:spacing w:val="-31"/>
          <w:sz w:val="20"/>
        </w:rPr>
        <w:t> </w:t>
      </w:r>
      <w:r>
        <w:rPr>
          <w:color w:val="404040"/>
          <w:sz w:val="20"/>
        </w:rPr>
        <w:t>system:</w:t>
      </w:r>
    </w:p>
    <w:p>
      <w:pPr>
        <w:pStyle w:val="ListParagraph"/>
        <w:numPr>
          <w:ilvl w:val="1"/>
          <w:numId w:val="14"/>
        </w:numPr>
        <w:tabs>
          <w:tab w:pos="1575" w:val="left" w:leader="none"/>
        </w:tabs>
        <w:spacing w:line="240" w:lineRule="auto" w:before="122" w:after="0"/>
        <w:ind w:left="1576" w:right="1467" w:hanging="286"/>
        <w:jc w:val="left"/>
        <w:rPr>
          <w:sz w:val="20"/>
        </w:rPr>
      </w:pPr>
      <w:r>
        <w:rPr>
          <w:color w:val="404040"/>
          <w:sz w:val="20"/>
        </w:rPr>
        <w:t>Refugees</w:t>
      </w:r>
      <w:r>
        <w:rPr>
          <w:color w:val="404040"/>
          <w:spacing w:val="-3"/>
          <w:sz w:val="20"/>
        </w:rPr>
        <w:t> </w:t>
      </w:r>
      <w:r>
        <w:rPr>
          <w:color w:val="404040"/>
          <w:sz w:val="20"/>
        </w:rPr>
        <w:t>tend</w:t>
      </w:r>
      <w:r>
        <w:rPr>
          <w:color w:val="404040"/>
          <w:spacing w:val="-4"/>
          <w:sz w:val="20"/>
        </w:rPr>
        <w:t> </w:t>
      </w:r>
      <w:r>
        <w:rPr>
          <w:color w:val="404040"/>
          <w:sz w:val="20"/>
        </w:rPr>
        <w:t>to</w:t>
      </w:r>
      <w:r>
        <w:rPr>
          <w:color w:val="404040"/>
          <w:spacing w:val="-4"/>
          <w:sz w:val="20"/>
        </w:rPr>
        <w:t> </w:t>
      </w:r>
      <w:r>
        <w:rPr>
          <w:color w:val="404040"/>
          <w:sz w:val="20"/>
        </w:rPr>
        <w:t>enter</w:t>
      </w:r>
      <w:r>
        <w:rPr>
          <w:color w:val="404040"/>
          <w:spacing w:val="-3"/>
          <w:sz w:val="20"/>
        </w:rPr>
        <w:t> </w:t>
      </w:r>
      <w:r>
        <w:rPr>
          <w:color w:val="404040"/>
          <w:sz w:val="20"/>
        </w:rPr>
        <w:t>the</w:t>
      </w:r>
      <w:r>
        <w:rPr>
          <w:color w:val="404040"/>
          <w:spacing w:val="-2"/>
          <w:sz w:val="20"/>
        </w:rPr>
        <w:t> </w:t>
      </w:r>
      <w:r>
        <w:rPr>
          <w:color w:val="404040"/>
          <w:sz w:val="20"/>
        </w:rPr>
        <w:t>welfare</w:t>
      </w:r>
      <w:r>
        <w:rPr>
          <w:color w:val="404040"/>
          <w:spacing w:val="-3"/>
          <w:sz w:val="20"/>
        </w:rPr>
        <w:t> </w:t>
      </w:r>
      <w:r>
        <w:rPr>
          <w:color w:val="404040"/>
          <w:sz w:val="20"/>
        </w:rPr>
        <w:t>system</w:t>
      </w:r>
      <w:r>
        <w:rPr>
          <w:color w:val="404040"/>
          <w:spacing w:val="1"/>
          <w:sz w:val="20"/>
        </w:rPr>
        <w:t> </w:t>
      </w:r>
      <w:r>
        <w:rPr>
          <w:color w:val="404040"/>
          <w:sz w:val="20"/>
        </w:rPr>
        <w:t>through</w:t>
      </w:r>
      <w:r>
        <w:rPr>
          <w:color w:val="404040"/>
          <w:spacing w:val="-4"/>
          <w:sz w:val="20"/>
        </w:rPr>
        <w:t> </w:t>
      </w:r>
      <w:r>
        <w:rPr>
          <w:color w:val="404040"/>
          <w:sz w:val="20"/>
        </w:rPr>
        <w:t>income</w:t>
      </w:r>
      <w:r>
        <w:rPr>
          <w:color w:val="404040"/>
          <w:spacing w:val="-4"/>
          <w:sz w:val="20"/>
        </w:rPr>
        <w:t> </w:t>
      </w:r>
      <w:r>
        <w:rPr>
          <w:color w:val="404040"/>
          <w:sz w:val="20"/>
        </w:rPr>
        <w:t>support</w:t>
      </w:r>
      <w:r>
        <w:rPr>
          <w:color w:val="404040"/>
          <w:spacing w:val="-4"/>
          <w:sz w:val="20"/>
        </w:rPr>
        <w:t> </w:t>
      </w:r>
      <w:r>
        <w:rPr>
          <w:color w:val="404040"/>
          <w:sz w:val="20"/>
        </w:rPr>
        <w:t>payments</w:t>
      </w:r>
      <w:r>
        <w:rPr>
          <w:color w:val="404040"/>
          <w:spacing w:val="-3"/>
          <w:sz w:val="20"/>
        </w:rPr>
        <w:t> </w:t>
      </w:r>
      <w:r>
        <w:rPr>
          <w:color w:val="404040"/>
          <w:sz w:val="20"/>
        </w:rPr>
        <w:t>more</w:t>
      </w:r>
      <w:r>
        <w:rPr>
          <w:color w:val="404040"/>
          <w:spacing w:val="-3"/>
          <w:sz w:val="20"/>
        </w:rPr>
        <w:t> </w:t>
      </w:r>
      <w:r>
        <w:rPr>
          <w:color w:val="404040"/>
          <w:sz w:val="20"/>
        </w:rPr>
        <w:t>often</w:t>
      </w:r>
      <w:r>
        <w:rPr>
          <w:color w:val="404040"/>
          <w:spacing w:val="-4"/>
          <w:sz w:val="20"/>
        </w:rPr>
        <w:t> </w:t>
      </w:r>
      <w:r>
        <w:rPr>
          <w:color w:val="404040"/>
          <w:sz w:val="20"/>
        </w:rPr>
        <w:t>than</w:t>
      </w:r>
      <w:r>
        <w:rPr>
          <w:color w:val="404040"/>
          <w:spacing w:val="-2"/>
          <w:sz w:val="20"/>
        </w:rPr>
        <w:t> </w:t>
      </w:r>
      <w:r>
        <w:rPr>
          <w:color w:val="404040"/>
          <w:sz w:val="20"/>
        </w:rPr>
        <w:t>non- refugees.</w:t>
      </w:r>
    </w:p>
    <w:p>
      <w:pPr>
        <w:pStyle w:val="ListParagraph"/>
        <w:numPr>
          <w:ilvl w:val="1"/>
          <w:numId w:val="14"/>
        </w:numPr>
        <w:tabs>
          <w:tab w:pos="1575" w:val="left" w:leader="none"/>
        </w:tabs>
        <w:spacing w:line="240" w:lineRule="auto" w:before="118" w:after="0"/>
        <w:ind w:left="1576" w:right="1160" w:hanging="286"/>
        <w:jc w:val="left"/>
        <w:rPr>
          <w:sz w:val="20"/>
        </w:rPr>
      </w:pPr>
      <w:r>
        <w:rPr>
          <w:color w:val="404040"/>
          <w:sz w:val="20"/>
        </w:rPr>
        <w:t>Refugees entering through the Studying class between the ages of 18 and 25 tend to stay on Studying payments for longer, and are more likely to transition onto Working Age payments in the short</w:t>
      </w:r>
      <w:r>
        <w:rPr>
          <w:color w:val="404040"/>
          <w:spacing w:val="-34"/>
          <w:sz w:val="20"/>
        </w:rPr>
        <w:t> </w:t>
      </w:r>
      <w:r>
        <w:rPr>
          <w:color w:val="404040"/>
          <w:sz w:val="20"/>
        </w:rPr>
        <w:t>term.</w:t>
      </w:r>
    </w:p>
    <w:p>
      <w:pPr>
        <w:pStyle w:val="BodyText"/>
        <w:spacing w:before="1"/>
        <w:ind w:left="1576" w:right="1329"/>
      </w:pPr>
      <w:r>
        <w:rPr>
          <w:color w:val="404040"/>
        </w:rPr>
        <w:t>Over time, the experience for refugees has improved, however their dependence on welfare tends to stay higher than non-refugees. For example, historically we have seen that 10 years after their first entry into the system, 43% of refugees no longer receive any form of welfare, compared to 77% of non-refugees at the same point.</w:t>
      </w:r>
    </w:p>
    <w:p>
      <w:pPr>
        <w:pStyle w:val="ListParagraph"/>
        <w:numPr>
          <w:ilvl w:val="1"/>
          <w:numId w:val="14"/>
        </w:numPr>
        <w:tabs>
          <w:tab w:pos="1575" w:val="left" w:leader="none"/>
        </w:tabs>
        <w:spacing w:line="240" w:lineRule="auto" w:before="119" w:after="0"/>
        <w:ind w:left="1576" w:right="1140" w:hanging="286"/>
        <w:jc w:val="left"/>
        <w:rPr>
          <w:sz w:val="20"/>
        </w:rPr>
      </w:pPr>
      <w:r>
        <w:rPr>
          <w:color w:val="404040"/>
          <w:sz w:val="20"/>
        </w:rPr>
        <w:t>Refugees entering through the Working Age class between the ages of 20 and 40 tend to require more support in the short term than non-refugees. Though this has improved over time, the level of dependence for refugees tends to remain higher after 10 years (historically, we have seen that 23% of refugees remain in the Working Age class after 10 years, compared to 14% of non-refugees after the same period of</w:t>
      </w:r>
      <w:r>
        <w:rPr>
          <w:color w:val="404040"/>
          <w:spacing w:val="-2"/>
          <w:sz w:val="20"/>
        </w:rPr>
        <w:t> </w:t>
      </w:r>
      <w:r>
        <w:rPr>
          <w:color w:val="404040"/>
          <w:sz w:val="20"/>
        </w:rPr>
        <w:t>time).</w:t>
      </w:r>
    </w:p>
    <w:p>
      <w:pPr>
        <w:pStyle w:val="ListParagraph"/>
        <w:numPr>
          <w:ilvl w:val="0"/>
          <w:numId w:val="14"/>
        </w:numPr>
        <w:tabs>
          <w:tab w:pos="1292" w:val="left" w:leader="none"/>
        </w:tabs>
        <w:spacing w:line="240" w:lineRule="auto" w:before="118" w:after="0"/>
        <w:ind w:left="1291" w:right="1370" w:hanging="284"/>
        <w:jc w:val="left"/>
        <w:rPr>
          <w:sz w:val="20"/>
        </w:rPr>
      </w:pPr>
      <w:r>
        <w:rPr>
          <w:color w:val="404040"/>
          <w:sz w:val="20"/>
        </w:rPr>
        <w:t>The</w:t>
      </w:r>
      <w:r>
        <w:rPr>
          <w:color w:val="404040"/>
          <w:spacing w:val="-4"/>
          <w:sz w:val="20"/>
        </w:rPr>
        <w:t> </w:t>
      </w:r>
      <w:r>
        <w:rPr>
          <w:color w:val="404040"/>
          <w:sz w:val="20"/>
        </w:rPr>
        <w:t>inclusion</w:t>
      </w:r>
      <w:r>
        <w:rPr>
          <w:color w:val="404040"/>
          <w:spacing w:val="-2"/>
          <w:sz w:val="20"/>
        </w:rPr>
        <w:t> </w:t>
      </w:r>
      <w:r>
        <w:rPr>
          <w:color w:val="404040"/>
          <w:sz w:val="20"/>
        </w:rPr>
        <w:t>of</w:t>
      </w:r>
      <w:r>
        <w:rPr>
          <w:color w:val="404040"/>
          <w:spacing w:val="-2"/>
          <w:sz w:val="20"/>
        </w:rPr>
        <w:t> </w:t>
      </w:r>
      <w:r>
        <w:rPr>
          <w:color w:val="404040"/>
          <w:sz w:val="20"/>
        </w:rPr>
        <w:t>a</w:t>
      </w:r>
      <w:r>
        <w:rPr>
          <w:color w:val="404040"/>
          <w:spacing w:val="-3"/>
          <w:sz w:val="20"/>
        </w:rPr>
        <w:t> </w:t>
      </w:r>
      <w:r>
        <w:rPr>
          <w:color w:val="404040"/>
          <w:sz w:val="20"/>
        </w:rPr>
        <w:t>variable</w:t>
      </w:r>
      <w:r>
        <w:rPr>
          <w:color w:val="404040"/>
          <w:spacing w:val="-1"/>
          <w:sz w:val="20"/>
        </w:rPr>
        <w:t> </w:t>
      </w:r>
      <w:r>
        <w:rPr>
          <w:color w:val="404040"/>
          <w:sz w:val="20"/>
        </w:rPr>
        <w:t>indicating</w:t>
      </w:r>
      <w:r>
        <w:rPr>
          <w:color w:val="404040"/>
          <w:spacing w:val="-4"/>
          <w:sz w:val="20"/>
        </w:rPr>
        <w:t> </w:t>
      </w:r>
      <w:r>
        <w:rPr>
          <w:color w:val="404040"/>
          <w:sz w:val="20"/>
        </w:rPr>
        <w:t>receipt</w:t>
      </w:r>
      <w:r>
        <w:rPr>
          <w:color w:val="404040"/>
          <w:spacing w:val="-3"/>
          <w:sz w:val="20"/>
        </w:rPr>
        <w:t> </w:t>
      </w:r>
      <w:r>
        <w:rPr>
          <w:color w:val="404040"/>
          <w:sz w:val="20"/>
        </w:rPr>
        <w:t>of</w:t>
      </w:r>
      <w:r>
        <w:rPr>
          <w:color w:val="404040"/>
          <w:spacing w:val="-2"/>
          <w:sz w:val="20"/>
        </w:rPr>
        <w:t> </w:t>
      </w:r>
      <w:r>
        <w:rPr>
          <w:color w:val="404040"/>
          <w:sz w:val="20"/>
        </w:rPr>
        <w:t>a</w:t>
      </w:r>
      <w:r>
        <w:rPr>
          <w:color w:val="404040"/>
          <w:spacing w:val="-2"/>
          <w:sz w:val="20"/>
        </w:rPr>
        <w:t> </w:t>
      </w:r>
      <w:r>
        <w:rPr>
          <w:color w:val="404040"/>
          <w:sz w:val="20"/>
        </w:rPr>
        <w:t>payment</w:t>
      </w:r>
      <w:r>
        <w:rPr>
          <w:color w:val="404040"/>
          <w:spacing w:val="-4"/>
          <w:sz w:val="20"/>
        </w:rPr>
        <w:t> </w:t>
      </w:r>
      <w:r>
        <w:rPr>
          <w:color w:val="404040"/>
          <w:sz w:val="20"/>
        </w:rPr>
        <w:t>at</w:t>
      </w:r>
      <w:r>
        <w:rPr>
          <w:color w:val="404040"/>
          <w:spacing w:val="-3"/>
          <w:sz w:val="20"/>
        </w:rPr>
        <w:t> </w:t>
      </w:r>
      <w:r>
        <w:rPr>
          <w:color w:val="404040"/>
          <w:sz w:val="20"/>
        </w:rPr>
        <w:t>the</w:t>
      </w:r>
      <w:r>
        <w:rPr>
          <w:color w:val="404040"/>
          <w:spacing w:val="-4"/>
          <w:sz w:val="20"/>
        </w:rPr>
        <w:t> </w:t>
      </w:r>
      <w:r>
        <w:rPr>
          <w:color w:val="404040"/>
          <w:sz w:val="20"/>
        </w:rPr>
        <w:t>end</w:t>
      </w:r>
      <w:r>
        <w:rPr>
          <w:color w:val="404040"/>
          <w:spacing w:val="-4"/>
          <w:sz w:val="20"/>
        </w:rPr>
        <w:t> </w:t>
      </w:r>
      <w:r>
        <w:rPr>
          <w:color w:val="404040"/>
          <w:sz w:val="20"/>
        </w:rPr>
        <w:t>of</w:t>
      </w:r>
      <w:r>
        <w:rPr>
          <w:color w:val="404040"/>
          <w:spacing w:val="-1"/>
          <w:sz w:val="20"/>
        </w:rPr>
        <w:t> </w:t>
      </w:r>
      <w:r>
        <w:rPr>
          <w:color w:val="404040"/>
          <w:sz w:val="20"/>
        </w:rPr>
        <w:t>the</w:t>
      </w:r>
      <w:r>
        <w:rPr>
          <w:color w:val="404040"/>
          <w:spacing w:val="-2"/>
          <w:sz w:val="20"/>
        </w:rPr>
        <w:t> </w:t>
      </w:r>
      <w:r>
        <w:rPr>
          <w:color w:val="404040"/>
          <w:sz w:val="20"/>
        </w:rPr>
        <w:t>financial year</w:t>
      </w:r>
      <w:r>
        <w:rPr>
          <w:color w:val="404040"/>
          <w:spacing w:val="-1"/>
          <w:sz w:val="20"/>
        </w:rPr>
        <w:t> </w:t>
      </w:r>
      <w:r>
        <w:rPr>
          <w:color w:val="404040"/>
          <w:sz w:val="20"/>
        </w:rPr>
        <w:t>has</w:t>
      </w:r>
      <w:r>
        <w:rPr>
          <w:color w:val="404040"/>
          <w:spacing w:val="-3"/>
          <w:sz w:val="20"/>
        </w:rPr>
        <w:t> </w:t>
      </w:r>
      <w:r>
        <w:rPr>
          <w:color w:val="404040"/>
          <w:sz w:val="20"/>
        </w:rPr>
        <w:t>helped</w:t>
      </w:r>
      <w:r>
        <w:rPr>
          <w:color w:val="404040"/>
          <w:spacing w:val="-1"/>
          <w:sz w:val="20"/>
        </w:rPr>
        <w:t> </w:t>
      </w:r>
      <w:r>
        <w:rPr>
          <w:color w:val="404040"/>
          <w:sz w:val="20"/>
        </w:rPr>
        <w:t>us further differentiate which people in each class are likely to have the highest cost over their future lifetimes. For example, when looking at the Working Age class, the analysis has shown</w:t>
      </w:r>
      <w:r>
        <w:rPr>
          <w:color w:val="404040"/>
          <w:spacing w:val="-24"/>
          <w:sz w:val="20"/>
        </w:rPr>
        <w:t> </w:t>
      </w:r>
      <w:r>
        <w:rPr>
          <w:color w:val="404040"/>
          <w:sz w:val="20"/>
        </w:rPr>
        <w:t>that:</w:t>
      </w:r>
    </w:p>
    <w:p>
      <w:pPr>
        <w:pStyle w:val="ListParagraph"/>
        <w:numPr>
          <w:ilvl w:val="1"/>
          <w:numId w:val="14"/>
        </w:numPr>
        <w:tabs>
          <w:tab w:pos="1575" w:val="left" w:leader="none"/>
        </w:tabs>
        <w:spacing w:line="240" w:lineRule="auto" w:before="120" w:after="0"/>
        <w:ind w:left="1576" w:right="1245" w:hanging="286"/>
        <w:jc w:val="left"/>
        <w:rPr>
          <w:sz w:val="20"/>
        </w:rPr>
      </w:pPr>
      <w:r>
        <w:rPr>
          <w:color w:val="404040"/>
          <w:sz w:val="20"/>
        </w:rPr>
        <w:t>Of</w:t>
      </w:r>
      <w:r>
        <w:rPr>
          <w:color w:val="404040"/>
          <w:spacing w:val="-2"/>
          <w:sz w:val="20"/>
        </w:rPr>
        <w:t> </w:t>
      </w:r>
      <w:r>
        <w:rPr>
          <w:color w:val="404040"/>
          <w:sz w:val="20"/>
        </w:rPr>
        <w:t>the</w:t>
      </w:r>
      <w:r>
        <w:rPr>
          <w:color w:val="404040"/>
          <w:spacing w:val="-3"/>
          <w:sz w:val="20"/>
        </w:rPr>
        <w:t> </w:t>
      </w:r>
      <w:r>
        <w:rPr>
          <w:color w:val="404040"/>
          <w:sz w:val="20"/>
        </w:rPr>
        <w:t>1,237,000</w:t>
      </w:r>
      <w:r>
        <w:rPr>
          <w:color w:val="404040"/>
          <w:spacing w:val="-2"/>
          <w:sz w:val="20"/>
        </w:rPr>
        <w:t> </w:t>
      </w:r>
      <w:r>
        <w:rPr>
          <w:color w:val="404040"/>
          <w:sz w:val="20"/>
        </w:rPr>
        <w:t>people</w:t>
      </w:r>
      <w:r>
        <w:rPr>
          <w:color w:val="404040"/>
          <w:spacing w:val="-2"/>
          <w:sz w:val="20"/>
        </w:rPr>
        <w:t> </w:t>
      </w:r>
      <w:r>
        <w:rPr>
          <w:color w:val="404040"/>
          <w:sz w:val="20"/>
        </w:rPr>
        <w:t>in</w:t>
      </w:r>
      <w:r>
        <w:rPr>
          <w:color w:val="404040"/>
          <w:spacing w:val="-1"/>
          <w:sz w:val="20"/>
        </w:rPr>
        <w:t> </w:t>
      </w:r>
      <w:r>
        <w:rPr>
          <w:color w:val="404040"/>
          <w:sz w:val="20"/>
        </w:rPr>
        <w:t>the</w:t>
      </w:r>
      <w:r>
        <w:rPr>
          <w:color w:val="404040"/>
          <w:spacing w:val="-5"/>
          <w:sz w:val="20"/>
        </w:rPr>
        <w:t> </w:t>
      </w:r>
      <w:r>
        <w:rPr>
          <w:color w:val="404040"/>
          <w:sz w:val="20"/>
        </w:rPr>
        <w:t>Working</w:t>
      </w:r>
      <w:r>
        <w:rPr>
          <w:color w:val="404040"/>
          <w:spacing w:val="-3"/>
          <w:sz w:val="20"/>
        </w:rPr>
        <w:t> </w:t>
      </w:r>
      <w:r>
        <w:rPr>
          <w:color w:val="404040"/>
          <w:sz w:val="20"/>
        </w:rPr>
        <w:t>Age</w:t>
      </w:r>
      <w:r>
        <w:rPr>
          <w:color w:val="404040"/>
          <w:spacing w:val="-2"/>
          <w:sz w:val="20"/>
        </w:rPr>
        <w:t> </w:t>
      </w:r>
      <w:r>
        <w:rPr>
          <w:color w:val="404040"/>
          <w:sz w:val="20"/>
        </w:rPr>
        <w:t>class,</w:t>
      </w:r>
      <w:r>
        <w:rPr>
          <w:color w:val="404040"/>
          <w:spacing w:val="-3"/>
          <w:sz w:val="20"/>
        </w:rPr>
        <w:t> </w:t>
      </w:r>
      <w:r>
        <w:rPr>
          <w:color w:val="404040"/>
          <w:sz w:val="20"/>
        </w:rPr>
        <w:t>846,000</w:t>
      </w:r>
      <w:r>
        <w:rPr>
          <w:color w:val="404040"/>
          <w:spacing w:val="-1"/>
          <w:sz w:val="20"/>
        </w:rPr>
        <w:t> </w:t>
      </w:r>
      <w:r>
        <w:rPr>
          <w:color w:val="404040"/>
          <w:sz w:val="20"/>
        </w:rPr>
        <w:t>were</w:t>
      </w:r>
      <w:r>
        <w:rPr>
          <w:color w:val="404040"/>
          <w:spacing w:val="-2"/>
          <w:sz w:val="20"/>
        </w:rPr>
        <w:t> </w:t>
      </w:r>
      <w:r>
        <w:rPr>
          <w:color w:val="404040"/>
          <w:sz w:val="20"/>
        </w:rPr>
        <w:t>in</w:t>
      </w:r>
      <w:r>
        <w:rPr>
          <w:color w:val="404040"/>
          <w:spacing w:val="-3"/>
          <w:sz w:val="20"/>
        </w:rPr>
        <w:t> </w:t>
      </w:r>
      <w:r>
        <w:rPr>
          <w:color w:val="404040"/>
          <w:sz w:val="20"/>
        </w:rPr>
        <w:t>receipt</w:t>
      </w:r>
      <w:r>
        <w:rPr>
          <w:color w:val="404040"/>
          <w:spacing w:val="-1"/>
          <w:sz w:val="20"/>
        </w:rPr>
        <w:t> </w:t>
      </w:r>
      <w:r>
        <w:rPr>
          <w:color w:val="404040"/>
          <w:sz w:val="20"/>
        </w:rPr>
        <w:t>of</w:t>
      </w:r>
      <w:r>
        <w:rPr>
          <w:color w:val="404040"/>
          <w:spacing w:val="-1"/>
          <w:sz w:val="20"/>
        </w:rPr>
        <w:t> </w:t>
      </w:r>
      <w:r>
        <w:rPr>
          <w:color w:val="404040"/>
          <w:sz w:val="20"/>
        </w:rPr>
        <w:t>a</w:t>
      </w:r>
      <w:r>
        <w:rPr>
          <w:color w:val="404040"/>
          <w:spacing w:val="-3"/>
          <w:sz w:val="20"/>
        </w:rPr>
        <w:t> </w:t>
      </w:r>
      <w:r>
        <w:rPr>
          <w:color w:val="404040"/>
          <w:sz w:val="20"/>
        </w:rPr>
        <w:t>payment</w:t>
      </w:r>
      <w:r>
        <w:rPr>
          <w:color w:val="404040"/>
          <w:spacing w:val="-3"/>
          <w:sz w:val="20"/>
        </w:rPr>
        <w:t> </w:t>
      </w:r>
      <w:r>
        <w:rPr>
          <w:color w:val="404040"/>
          <w:sz w:val="20"/>
        </w:rPr>
        <w:t>at</w:t>
      </w:r>
      <w:r>
        <w:rPr>
          <w:color w:val="404040"/>
          <w:spacing w:val="-3"/>
          <w:sz w:val="20"/>
        </w:rPr>
        <w:t> </w:t>
      </w:r>
      <w:r>
        <w:rPr>
          <w:color w:val="404040"/>
          <w:sz w:val="20"/>
        </w:rPr>
        <w:t>the</w:t>
      </w:r>
      <w:r>
        <w:rPr>
          <w:color w:val="404040"/>
          <w:spacing w:val="-3"/>
          <w:sz w:val="20"/>
        </w:rPr>
        <w:t> </w:t>
      </w:r>
      <w:r>
        <w:rPr>
          <w:color w:val="404040"/>
          <w:sz w:val="20"/>
        </w:rPr>
        <w:t>end</w:t>
      </w:r>
      <w:r>
        <w:rPr>
          <w:color w:val="404040"/>
          <w:spacing w:val="-3"/>
          <w:sz w:val="20"/>
        </w:rPr>
        <w:t> </w:t>
      </w:r>
      <w:r>
        <w:rPr>
          <w:color w:val="404040"/>
          <w:sz w:val="20"/>
        </w:rPr>
        <w:t>of the year and 722,000 of these related to the Newstart Allowance. This number aligns closely with the definitions used in ‘point in time’ counts of Newstart</w:t>
      </w:r>
      <w:r>
        <w:rPr>
          <w:color w:val="404040"/>
          <w:spacing w:val="-4"/>
          <w:sz w:val="20"/>
        </w:rPr>
        <w:t> </w:t>
      </w:r>
      <w:r>
        <w:rPr>
          <w:color w:val="404040"/>
          <w:sz w:val="20"/>
        </w:rPr>
        <w:t>recipients.</w:t>
      </w:r>
    </w:p>
    <w:p>
      <w:pPr>
        <w:pStyle w:val="ListParagraph"/>
        <w:numPr>
          <w:ilvl w:val="1"/>
          <w:numId w:val="14"/>
        </w:numPr>
        <w:tabs>
          <w:tab w:pos="1575" w:val="left" w:leader="none"/>
        </w:tabs>
        <w:spacing w:line="240" w:lineRule="auto" w:before="121" w:after="0"/>
        <w:ind w:left="1576" w:right="1548" w:hanging="286"/>
        <w:jc w:val="both"/>
        <w:rPr>
          <w:sz w:val="20"/>
        </w:rPr>
      </w:pPr>
      <w:r>
        <w:rPr>
          <w:color w:val="404040"/>
          <w:sz w:val="20"/>
        </w:rPr>
        <w:t>The Investment Approach definition includes a further 316,000 people who had received Newstart Allowance earlier in the year but have subsequently stopped receiving any income support, due to gaining employment or other circumstance changes. The modelling shows that this group,</w:t>
      </w:r>
      <w:r>
        <w:rPr>
          <w:color w:val="404040"/>
          <w:spacing w:val="-31"/>
          <w:sz w:val="20"/>
        </w:rPr>
        <w:t> </w:t>
      </w:r>
      <w:r>
        <w:rPr>
          <w:color w:val="404040"/>
          <w:sz w:val="20"/>
        </w:rPr>
        <w:t>while</w:t>
      </w:r>
    </w:p>
    <w:p>
      <w:pPr>
        <w:spacing w:after="0" w:line="240" w:lineRule="auto"/>
        <w:jc w:val="both"/>
        <w:rPr>
          <w:sz w:val="20"/>
        </w:rPr>
        <w:sectPr>
          <w:headerReference w:type="default" r:id="rId21"/>
          <w:footerReference w:type="default" r:id="rId22"/>
          <w:pgSz w:w="11910" w:h="16850"/>
          <w:pgMar w:header="572" w:footer="581" w:top="780" w:bottom="780" w:left="120" w:right="0"/>
          <w:pgNumType w:start="24"/>
        </w:sectPr>
      </w:pPr>
    </w:p>
    <w:p>
      <w:pPr>
        <w:pStyle w:val="BodyText"/>
      </w:pPr>
    </w:p>
    <w:p>
      <w:pPr>
        <w:pStyle w:val="BodyText"/>
      </w:pPr>
    </w:p>
    <w:p>
      <w:pPr>
        <w:pStyle w:val="BodyText"/>
        <w:spacing w:before="11"/>
        <w:rPr>
          <w:sz w:val="29"/>
        </w:rPr>
      </w:pPr>
    </w:p>
    <w:p>
      <w:pPr>
        <w:pStyle w:val="BodyText"/>
        <w:ind w:left="900"/>
      </w:pPr>
      <w:r>
        <w:rPr/>
        <w:pict>
          <v:shape style="width:493.35pt;height:31.8pt;mso-position-horizontal-relative:char;mso-position-vertical-relative:line" type="#_x0000_t202" filled="true" fillcolor="#f3aba3" stroked="false">
            <w10:anchorlock/>
            <v:textbox inset="0,0,0,0">
              <w:txbxContent>
                <w:p>
                  <w:pPr>
                    <w:pStyle w:val="BodyText"/>
                    <w:spacing w:before="55"/>
                    <w:ind w:left="676" w:right="555"/>
                  </w:pPr>
                  <w:r>
                    <w:rPr>
                      <w:color w:val="404040"/>
                    </w:rPr>
                    <w:t>having a lower average lifetime cost, still have significant risk of cycling back onto income support compared to those who have remained off for more than a year.</w:t>
                  </w:r>
                </w:p>
              </w:txbxContent>
            </v:textbox>
            <v:fill type="solid"/>
          </v:shape>
        </w:pict>
      </w:r>
      <w:r>
        <w:rPr/>
      </w:r>
    </w:p>
    <w:p>
      <w:pPr>
        <w:pStyle w:val="BodyText"/>
        <w:spacing w:before="6"/>
        <w:rPr>
          <w:sz w:val="10"/>
        </w:rPr>
      </w:pPr>
    </w:p>
    <w:p>
      <w:pPr>
        <w:pStyle w:val="ListParagraph"/>
        <w:numPr>
          <w:ilvl w:val="1"/>
          <w:numId w:val="15"/>
        </w:numPr>
        <w:tabs>
          <w:tab w:pos="1752" w:val="left" w:leader="none"/>
          <w:tab w:pos="1753" w:val="left" w:leader="none"/>
        </w:tabs>
        <w:spacing w:line="240" w:lineRule="auto" w:before="91" w:after="0"/>
        <w:ind w:left="1752" w:right="0" w:hanging="853"/>
        <w:jc w:val="left"/>
        <w:rPr>
          <w:sz w:val="28"/>
        </w:rPr>
      </w:pPr>
      <w:bookmarkStart w:name="2.1 Overview of model developments for t" w:id="57"/>
      <w:bookmarkEnd w:id="57"/>
      <w:r>
        <w:rPr/>
      </w:r>
      <w:bookmarkStart w:name="_bookmark12" w:id="58"/>
      <w:bookmarkEnd w:id="58"/>
      <w:r>
        <w:rPr/>
      </w:r>
      <w:bookmarkStart w:name="_bookmark12" w:id="59"/>
      <w:bookmarkEnd w:id="59"/>
      <w:r>
        <w:rPr>
          <w:color w:val="DF2F28"/>
          <w:sz w:val="28"/>
        </w:rPr>
        <w:t>O</w:t>
      </w:r>
      <w:r>
        <w:rPr>
          <w:color w:val="DF2F28"/>
          <w:sz w:val="28"/>
        </w:rPr>
        <w:t>verview of model developments for the 2018</w:t>
      </w:r>
      <w:r>
        <w:rPr>
          <w:color w:val="DF2F28"/>
          <w:spacing w:val="-7"/>
          <w:sz w:val="28"/>
        </w:rPr>
        <w:t> </w:t>
      </w:r>
      <w:r>
        <w:rPr>
          <w:color w:val="DF2F28"/>
          <w:sz w:val="28"/>
        </w:rPr>
        <w:t>valuation</w:t>
      </w:r>
    </w:p>
    <w:p>
      <w:pPr>
        <w:pStyle w:val="Heading4"/>
        <w:spacing w:before="241"/>
      </w:pPr>
      <w:bookmarkStart w:name="Major developments" w:id="60"/>
      <w:bookmarkEnd w:id="60"/>
      <w:r>
        <w:rPr/>
      </w:r>
      <w:r>
        <w:rPr>
          <w:color w:val="DF2F28"/>
        </w:rPr>
        <w:t>Major developments</w:t>
      </w:r>
    </w:p>
    <w:p>
      <w:pPr>
        <w:pStyle w:val="BodyText"/>
        <w:spacing w:before="122"/>
        <w:ind w:left="900" w:right="1043"/>
      </w:pPr>
      <w:r>
        <w:rPr>
          <w:color w:val="404040"/>
        </w:rPr>
        <w:t>The model projects individuals’ trajectories through life and their interactions with the welfare system. As part of ongoing model development we have made a number of extensions and developments to the model for the June 2018 valuation. The most significant of these developments are the addition of three new variables into the model:</w:t>
      </w:r>
    </w:p>
    <w:p>
      <w:pPr>
        <w:pStyle w:val="ListParagraph"/>
        <w:numPr>
          <w:ilvl w:val="0"/>
          <w:numId w:val="9"/>
        </w:numPr>
        <w:tabs>
          <w:tab w:pos="1184" w:val="left" w:leader="none"/>
        </w:tabs>
        <w:spacing w:line="240" w:lineRule="auto" w:before="120" w:after="0"/>
        <w:ind w:left="1183" w:right="1331" w:hanging="284"/>
        <w:jc w:val="left"/>
        <w:rPr>
          <w:sz w:val="20"/>
        </w:rPr>
      </w:pPr>
      <w:r>
        <w:rPr>
          <w:color w:val="404040"/>
          <w:sz w:val="20"/>
        </w:rPr>
        <w:t>a variable that places individuals into deciles of socio-economic advantage / disadvantage based on their place of</w:t>
      </w:r>
      <w:r>
        <w:rPr>
          <w:color w:val="404040"/>
          <w:spacing w:val="1"/>
          <w:sz w:val="20"/>
        </w:rPr>
        <w:t> </w:t>
      </w:r>
      <w:r>
        <w:rPr>
          <w:color w:val="404040"/>
          <w:sz w:val="20"/>
        </w:rPr>
        <w:t>residence;</w:t>
      </w:r>
    </w:p>
    <w:p>
      <w:pPr>
        <w:pStyle w:val="ListParagraph"/>
        <w:numPr>
          <w:ilvl w:val="0"/>
          <w:numId w:val="9"/>
        </w:numPr>
        <w:tabs>
          <w:tab w:pos="1184" w:val="left" w:leader="none"/>
        </w:tabs>
        <w:spacing w:line="240" w:lineRule="auto" w:before="118" w:after="0"/>
        <w:ind w:left="1183" w:right="0" w:hanging="284"/>
        <w:jc w:val="left"/>
        <w:rPr>
          <w:sz w:val="20"/>
        </w:rPr>
      </w:pPr>
      <w:r>
        <w:rPr>
          <w:color w:val="404040"/>
          <w:sz w:val="20"/>
        </w:rPr>
        <w:t>refugee status;</w:t>
      </w:r>
      <w:r>
        <w:rPr>
          <w:color w:val="404040"/>
          <w:spacing w:val="-1"/>
          <w:sz w:val="20"/>
        </w:rPr>
        <w:t> </w:t>
      </w:r>
      <w:r>
        <w:rPr>
          <w:color w:val="404040"/>
          <w:sz w:val="20"/>
        </w:rPr>
        <w:t>and</w:t>
      </w:r>
    </w:p>
    <w:p>
      <w:pPr>
        <w:pStyle w:val="ListParagraph"/>
        <w:numPr>
          <w:ilvl w:val="0"/>
          <w:numId w:val="9"/>
        </w:numPr>
        <w:tabs>
          <w:tab w:pos="1184" w:val="left" w:leader="none"/>
        </w:tabs>
        <w:spacing w:line="240" w:lineRule="auto" w:before="117" w:after="0"/>
        <w:ind w:left="1183" w:right="0" w:hanging="284"/>
        <w:jc w:val="left"/>
        <w:rPr>
          <w:sz w:val="20"/>
        </w:rPr>
      </w:pPr>
      <w:r>
        <w:rPr>
          <w:color w:val="404040"/>
          <w:sz w:val="20"/>
        </w:rPr>
        <w:t>a variable that captures whether or not an individual was in receipt of a payment at the end of a given</w:t>
      </w:r>
      <w:r>
        <w:rPr>
          <w:color w:val="404040"/>
          <w:spacing w:val="-21"/>
          <w:sz w:val="20"/>
        </w:rPr>
        <w:t> </w:t>
      </w:r>
      <w:r>
        <w:rPr>
          <w:color w:val="404040"/>
          <w:sz w:val="20"/>
        </w:rPr>
        <w:t>year.</w:t>
      </w:r>
    </w:p>
    <w:p>
      <w:pPr>
        <w:pStyle w:val="BodyText"/>
        <w:spacing w:before="119"/>
        <w:ind w:left="900" w:right="1197"/>
      </w:pPr>
      <w:r>
        <w:rPr>
          <w:color w:val="404040"/>
        </w:rPr>
        <w:t>These variables have helped to improve the model’s ability to differentiate between groups of people, facilitating further analysis which has provided helpful information and insights. The new variables and related insights are discussed in sections 2.2 to 2.4 below.</w:t>
      </w:r>
    </w:p>
    <w:p>
      <w:pPr>
        <w:pStyle w:val="BodyText"/>
        <w:spacing w:before="10"/>
      </w:pPr>
    </w:p>
    <w:p>
      <w:pPr>
        <w:pStyle w:val="Heading4"/>
      </w:pPr>
      <w:bookmarkStart w:name="Updates and refinements" w:id="61"/>
      <w:bookmarkEnd w:id="61"/>
      <w:r>
        <w:rPr/>
      </w:r>
      <w:r>
        <w:rPr>
          <w:color w:val="DF2F28"/>
        </w:rPr>
        <w:t>Updates and refinements</w:t>
      </w:r>
    </w:p>
    <w:p>
      <w:pPr>
        <w:pStyle w:val="BodyText"/>
        <w:spacing w:before="122"/>
        <w:ind w:left="900" w:right="1375"/>
      </w:pPr>
      <w:r>
        <w:rPr>
          <w:color w:val="404040"/>
        </w:rPr>
        <w:t>There have also been a number of other developments to the model and supporting assumptions to take account of updated information about the welfare system and model population. The table below provides a summary of these developments, together with the component of the modelling work they relate to.</w:t>
      </w:r>
    </w:p>
    <w:p>
      <w:pPr>
        <w:pStyle w:val="Heading9"/>
        <w:spacing w:before="176" w:after="44"/>
      </w:pPr>
      <w:r>
        <w:rPr>
          <w:color w:val="DF2F1E"/>
        </w:rPr>
        <w:t>Table 5: Summary of other model developments for 2018 valuation</w:t>
      </w:r>
    </w:p>
    <w:tbl>
      <w:tblPr>
        <w:tblW w:w="0" w:type="auto"/>
        <w:jc w:val="left"/>
        <w:tblInd w:w="1028" w:type="dxa"/>
        <w:tblBorders>
          <w:top w:val="single" w:sz="8" w:space="0" w:color="DF2F1E"/>
          <w:left w:val="single" w:sz="8" w:space="0" w:color="DF2F1E"/>
          <w:bottom w:val="single" w:sz="8" w:space="0" w:color="DF2F1E"/>
          <w:right w:val="single" w:sz="8" w:space="0" w:color="DF2F1E"/>
          <w:insideH w:val="single" w:sz="8" w:space="0" w:color="DF2F1E"/>
          <w:insideV w:val="single" w:sz="8" w:space="0" w:color="DF2F1E"/>
        </w:tblBorders>
        <w:tblLayout w:type="fixed"/>
        <w:tblCellMar>
          <w:top w:w="0" w:type="dxa"/>
          <w:left w:w="0" w:type="dxa"/>
          <w:bottom w:w="0" w:type="dxa"/>
          <w:right w:w="0" w:type="dxa"/>
        </w:tblCellMar>
        <w:tblLook w:val="01E0"/>
      </w:tblPr>
      <w:tblGrid>
        <w:gridCol w:w="1704"/>
        <w:gridCol w:w="7796"/>
      </w:tblGrid>
      <w:tr>
        <w:trPr>
          <w:trHeight w:val="302" w:hRule="atLeast"/>
        </w:trPr>
        <w:tc>
          <w:tcPr>
            <w:tcW w:w="1704" w:type="dxa"/>
            <w:tcBorders>
              <w:top w:val="nil"/>
              <w:left w:val="nil"/>
              <w:bottom w:val="nil"/>
              <w:right w:val="nil"/>
            </w:tcBorders>
            <w:shd w:val="clear" w:color="auto" w:fill="DF2F1E"/>
          </w:tcPr>
          <w:p>
            <w:pPr>
              <w:pStyle w:val="TableParagraph"/>
              <w:spacing w:before="56"/>
              <w:ind w:left="120"/>
              <w:rPr>
                <w:sz w:val="16"/>
              </w:rPr>
            </w:pPr>
            <w:r>
              <w:rPr>
                <w:color w:val="FFFFFF"/>
                <w:sz w:val="16"/>
              </w:rPr>
              <w:t>Item</w:t>
            </w:r>
          </w:p>
        </w:tc>
        <w:tc>
          <w:tcPr>
            <w:tcW w:w="7796" w:type="dxa"/>
            <w:tcBorders>
              <w:top w:val="nil"/>
              <w:left w:val="nil"/>
              <w:bottom w:val="nil"/>
              <w:right w:val="nil"/>
            </w:tcBorders>
            <w:shd w:val="clear" w:color="auto" w:fill="DF2F1E"/>
          </w:tcPr>
          <w:p>
            <w:pPr>
              <w:pStyle w:val="TableParagraph"/>
              <w:spacing w:before="56"/>
              <w:ind w:left="115"/>
              <w:rPr>
                <w:sz w:val="16"/>
              </w:rPr>
            </w:pPr>
            <w:r>
              <w:rPr>
                <w:color w:val="FFFFFF"/>
                <w:sz w:val="16"/>
              </w:rPr>
              <w:t>Details</w:t>
            </w:r>
          </w:p>
        </w:tc>
      </w:tr>
      <w:tr>
        <w:trPr>
          <w:trHeight w:val="1041" w:hRule="atLeast"/>
        </w:trPr>
        <w:tc>
          <w:tcPr>
            <w:tcW w:w="1704" w:type="dxa"/>
            <w:tcBorders>
              <w:top w:val="nil"/>
              <w:right w:val="nil"/>
            </w:tcBorders>
          </w:tcPr>
          <w:p>
            <w:pPr>
              <w:pStyle w:val="TableParagraph"/>
              <w:ind w:left="110"/>
              <w:rPr>
                <w:b/>
                <w:sz w:val="16"/>
              </w:rPr>
            </w:pPr>
            <w:r>
              <w:rPr>
                <w:b/>
                <w:color w:val="404040"/>
                <w:sz w:val="16"/>
              </w:rPr>
              <w:t>Policy settings</w:t>
            </w:r>
          </w:p>
        </w:tc>
        <w:tc>
          <w:tcPr>
            <w:tcW w:w="7796" w:type="dxa"/>
            <w:tcBorders>
              <w:top w:val="nil"/>
              <w:left w:val="nil"/>
            </w:tcBorders>
          </w:tcPr>
          <w:p>
            <w:pPr>
              <w:pStyle w:val="TableParagraph"/>
              <w:spacing w:before="39"/>
              <w:ind w:left="115" w:right="260"/>
              <w:rPr>
                <w:sz w:val="16"/>
              </w:rPr>
            </w:pPr>
            <w:r>
              <w:rPr>
                <w:color w:val="404040"/>
                <w:sz w:val="16"/>
              </w:rPr>
              <w:t>The projected trajectories and payments in the model will vary if policy changes are made. A given set of policy settings must therefore be assumed in the model and adjustments made to reflect this.</w:t>
            </w:r>
          </w:p>
          <w:p>
            <w:pPr>
              <w:pStyle w:val="TableParagraph"/>
              <w:spacing w:before="40"/>
              <w:ind w:left="115"/>
              <w:rPr>
                <w:sz w:val="16"/>
              </w:rPr>
            </w:pPr>
            <w:r>
              <w:rPr>
                <w:color w:val="404040"/>
                <w:sz w:val="16"/>
              </w:rPr>
              <w:t>We have made adjustments for new policy changes (those occurring between 1 July 2017 and</w:t>
            </w:r>
          </w:p>
          <w:p>
            <w:pPr>
              <w:pStyle w:val="TableParagraph"/>
              <w:spacing w:before="1"/>
              <w:ind w:left="115" w:right="331" w:hanging="1"/>
              <w:rPr>
                <w:sz w:val="16"/>
              </w:rPr>
            </w:pPr>
            <w:r>
              <w:rPr>
                <w:color w:val="404040"/>
                <w:sz w:val="16"/>
              </w:rPr>
              <w:t>30 June 2018). The adjustments made for policy changes occurring up to 30 June 2017 have also been reviewed and updated. See section </w:t>
            </w:r>
            <w:hyperlink w:history="true" w:anchor="_bookmark22">
              <w:r>
                <w:rPr>
                  <w:color w:val="404040"/>
                  <w:sz w:val="16"/>
                </w:rPr>
                <w:t>3.2 </w:t>
              </w:r>
            </w:hyperlink>
            <w:r>
              <w:rPr>
                <w:color w:val="404040"/>
                <w:sz w:val="16"/>
              </w:rPr>
              <w:t>for further details.</w:t>
            </w:r>
          </w:p>
        </w:tc>
      </w:tr>
      <w:tr>
        <w:trPr>
          <w:trHeight w:val="1184" w:hRule="atLeast"/>
        </w:trPr>
        <w:tc>
          <w:tcPr>
            <w:tcW w:w="1704" w:type="dxa"/>
            <w:tcBorders>
              <w:right w:val="nil"/>
            </w:tcBorders>
          </w:tcPr>
          <w:p>
            <w:pPr>
              <w:pStyle w:val="TableParagraph"/>
              <w:spacing w:before="34"/>
              <w:ind w:left="110"/>
              <w:rPr>
                <w:b/>
                <w:sz w:val="16"/>
              </w:rPr>
            </w:pPr>
            <w:r>
              <w:rPr>
                <w:b/>
                <w:color w:val="404040"/>
                <w:sz w:val="16"/>
              </w:rPr>
              <w:t>Data</w:t>
            </w:r>
          </w:p>
        </w:tc>
        <w:tc>
          <w:tcPr>
            <w:tcW w:w="7796" w:type="dxa"/>
            <w:tcBorders>
              <w:left w:val="nil"/>
            </w:tcBorders>
          </w:tcPr>
          <w:p>
            <w:pPr>
              <w:pStyle w:val="TableParagraph"/>
              <w:spacing w:before="36"/>
              <w:ind w:left="115" w:right="109"/>
              <w:rPr>
                <w:sz w:val="16"/>
              </w:rPr>
            </w:pPr>
            <w:r>
              <w:rPr>
                <w:color w:val="404040"/>
                <w:sz w:val="16"/>
              </w:rPr>
              <w:t>The model is supported by a longitudinal dataset covering welfare use in Australia, as well as the 2011 Census, 2016 Census and other supplementary population level data. This dataset has been extended to include</w:t>
            </w:r>
            <w:r>
              <w:rPr>
                <w:color w:val="404040"/>
                <w:spacing w:val="-2"/>
                <w:sz w:val="16"/>
              </w:rPr>
              <w:t> </w:t>
            </w:r>
            <w:r>
              <w:rPr>
                <w:color w:val="404040"/>
                <w:sz w:val="16"/>
              </w:rPr>
              <w:t>a</w:t>
            </w:r>
            <w:r>
              <w:rPr>
                <w:color w:val="404040"/>
                <w:spacing w:val="-4"/>
                <w:sz w:val="16"/>
              </w:rPr>
              <w:t> </w:t>
            </w:r>
            <w:r>
              <w:rPr>
                <w:color w:val="404040"/>
                <w:sz w:val="16"/>
              </w:rPr>
              <w:t>number</w:t>
            </w:r>
            <w:r>
              <w:rPr>
                <w:color w:val="404040"/>
                <w:spacing w:val="-2"/>
                <w:sz w:val="16"/>
              </w:rPr>
              <w:t> </w:t>
            </w:r>
            <w:r>
              <w:rPr>
                <w:color w:val="404040"/>
                <w:sz w:val="16"/>
              </w:rPr>
              <w:t>of</w:t>
            </w:r>
            <w:r>
              <w:rPr>
                <w:color w:val="404040"/>
                <w:spacing w:val="-2"/>
                <w:sz w:val="16"/>
              </w:rPr>
              <w:t> </w:t>
            </w:r>
            <w:r>
              <w:rPr>
                <w:color w:val="404040"/>
                <w:sz w:val="16"/>
              </w:rPr>
              <w:t>additional</w:t>
            </w:r>
            <w:r>
              <w:rPr>
                <w:color w:val="404040"/>
                <w:spacing w:val="-3"/>
                <w:sz w:val="16"/>
              </w:rPr>
              <w:t> </w:t>
            </w:r>
            <w:r>
              <w:rPr>
                <w:color w:val="404040"/>
                <w:sz w:val="16"/>
              </w:rPr>
              <w:t>data</w:t>
            </w:r>
            <w:r>
              <w:rPr>
                <w:color w:val="404040"/>
                <w:spacing w:val="-2"/>
                <w:sz w:val="16"/>
              </w:rPr>
              <w:t> </w:t>
            </w:r>
            <w:r>
              <w:rPr>
                <w:color w:val="404040"/>
                <w:sz w:val="16"/>
              </w:rPr>
              <w:t>variables</w:t>
            </w:r>
            <w:r>
              <w:rPr>
                <w:color w:val="404040"/>
                <w:spacing w:val="-2"/>
                <w:sz w:val="16"/>
              </w:rPr>
              <w:t> </w:t>
            </w:r>
            <w:r>
              <w:rPr>
                <w:color w:val="404040"/>
                <w:sz w:val="16"/>
              </w:rPr>
              <w:t>to</w:t>
            </w:r>
            <w:r>
              <w:rPr>
                <w:color w:val="404040"/>
                <w:spacing w:val="-2"/>
                <w:sz w:val="16"/>
              </w:rPr>
              <w:t> </w:t>
            </w:r>
            <w:r>
              <w:rPr>
                <w:color w:val="404040"/>
                <w:sz w:val="16"/>
              </w:rPr>
              <w:t>facilitate</w:t>
            </w:r>
            <w:r>
              <w:rPr>
                <w:color w:val="404040"/>
                <w:spacing w:val="-4"/>
                <w:sz w:val="16"/>
              </w:rPr>
              <w:t> </w:t>
            </w:r>
            <w:r>
              <w:rPr>
                <w:color w:val="404040"/>
                <w:sz w:val="16"/>
              </w:rPr>
              <w:t>extensions</w:t>
            </w:r>
            <w:r>
              <w:rPr>
                <w:color w:val="404040"/>
                <w:spacing w:val="-5"/>
                <w:sz w:val="16"/>
              </w:rPr>
              <w:t> </w:t>
            </w:r>
            <w:r>
              <w:rPr>
                <w:color w:val="404040"/>
                <w:sz w:val="16"/>
              </w:rPr>
              <w:t>to</w:t>
            </w:r>
            <w:r>
              <w:rPr>
                <w:color w:val="404040"/>
                <w:spacing w:val="-1"/>
                <w:sz w:val="16"/>
              </w:rPr>
              <w:t> </w:t>
            </w:r>
            <w:r>
              <w:rPr>
                <w:color w:val="404040"/>
                <w:sz w:val="16"/>
              </w:rPr>
              <w:t>the</w:t>
            </w:r>
            <w:r>
              <w:rPr>
                <w:color w:val="404040"/>
                <w:spacing w:val="-7"/>
                <w:sz w:val="16"/>
              </w:rPr>
              <w:t> </w:t>
            </w:r>
            <w:r>
              <w:rPr>
                <w:color w:val="404040"/>
                <w:sz w:val="16"/>
              </w:rPr>
              <w:t>model.</w:t>
            </w:r>
            <w:r>
              <w:rPr>
                <w:color w:val="404040"/>
                <w:spacing w:val="-3"/>
                <w:sz w:val="16"/>
              </w:rPr>
              <w:t> </w:t>
            </w:r>
            <w:r>
              <w:rPr>
                <w:color w:val="404040"/>
                <w:sz w:val="16"/>
              </w:rPr>
              <w:t>At</w:t>
            </w:r>
            <w:r>
              <w:rPr>
                <w:color w:val="404040"/>
                <w:spacing w:val="-2"/>
                <w:sz w:val="16"/>
              </w:rPr>
              <w:t> </w:t>
            </w:r>
            <w:r>
              <w:rPr>
                <w:color w:val="404040"/>
                <w:sz w:val="16"/>
              </w:rPr>
              <w:t>this valuation</w:t>
            </w:r>
            <w:r>
              <w:rPr>
                <w:color w:val="404040"/>
                <w:spacing w:val="-2"/>
                <w:sz w:val="16"/>
              </w:rPr>
              <w:t> </w:t>
            </w:r>
            <w:r>
              <w:rPr>
                <w:color w:val="404040"/>
                <w:sz w:val="16"/>
              </w:rPr>
              <w:t>we</w:t>
            </w:r>
            <w:r>
              <w:rPr>
                <w:color w:val="404040"/>
                <w:spacing w:val="-2"/>
                <w:sz w:val="16"/>
              </w:rPr>
              <w:t> </w:t>
            </w:r>
            <w:r>
              <w:rPr>
                <w:color w:val="404040"/>
                <w:sz w:val="16"/>
              </w:rPr>
              <w:t>have also used a later data extraction date of 30 September rather than 30 June. This does not have a direct impact on the results, however, it reduces the extent of maturity adjustments and provides more certainty in the recent experience. See section </w:t>
            </w:r>
            <w:hyperlink w:history="true" w:anchor="_bookmark23">
              <w:r>
                <w:rPr>
                  <w:color w:val="404040"/>
                  <w:sz w:val="16"/>
                </w:rPr>
                <w:t>3.3 </w:t>
              </w:r>
            </w:hyperlink>
            <w:r>
              <w:rPr>
                <w:color w:val="404040"/>
                <w:sz w:val="16"/>
              </w:rPr>
              <w:t>for further</w:t>
            </w:r>
            <w:r>
              <w:rPr>
                <w:color w:val="404040"/>
                <w:spacing w:val="-7"/>
                <w:sz w:val="16"/>
              </w:rPr>
              <w:t> </w:t>
            </w:r>
            <w:r>
              <w:rPr>
                <w:color w:val="404040"/>
                <w:sz w:val="16"/>
              </w:rPr>
              <w:t>details.</w:t>
            </w:r>
          </w:p>
        </w:tc>
      </w:tr>
      <w:tr>
        <w:trPr>
          <w:trHeight w:val="447" w:hRule="atLeast"/>
        </w:trPr>
        <w:tc>
          <w:tcPr>
            <w:tcW w:w="1704" w:type="dxa"/>
            <w:tcBorders>
              <w:right w:val="nil"/>
            </w:tcBorders>
          </w:tcPr>
          <w:p>
            <w:pPr>
              <w:pStyle w:val="TableParagraph"/>
              <w:spacing w:before="34"/>
              <w:ind w:left="110"/>
              <w:rPr>
                <w:b/>
                <w:sz w:val="16"/>
              </w:rPr>
            </w:pPr>
            <w:r>
              <w:rPr>
                <w:b/>
                <w:color w:val="404040"/>
                <w:sz w:val="16"/>
              </w:rPr>
              <w:t>Population module</w:t>
            </w:r>
          </w:p>
        </w:tc>
        <w:tc>
          <w:tcPr>
            <w:tcW w:w="7796" w:type="dxa"/>
            <w:tcBorders>
              <w:left w:val="nil"/>
            </w:tcBorders>
          </w:tcPr>
          <w:p>
            <w:pPr>
              <w:pStyle w:val="TableParagraph"/>
              <w:spacing w:before="36"/>
              <w:ind w:left="115" w:right="713"/>
              <w:rPr>
                <w:sz w:val="16"/>
              </w:rPr>
            </w:pPr>
            <w:r>
              <w:rPr>
                <w:color w:val="404040"/>
                <w:sz w:val="16"/>
              </w:rPr>
              <w:t>The 2018 population module has been extended to include information on regional levels of socio- economic advantage / disadvantage and a person’s refugee status.</w:t>
            </w:r>
          </w:p>
        </w:tc>
      </w:tr>
      <w:tr>
        <w:trPr>
          <w:trHeight w:val="855" w:hRule="atLeast"/>
        </w:trPr>
        <w:tc>
          <w:tcPr>
            <w:tcW w:w="1704" w:type="dxa"/>
            <w:tcBorders>
              <w:right w:val="nil"/>
            </w:tcBorders>
          </w:tcPr>
          <w:p>
            <w:pPr>
              <w:pStyle w:val="TableParagraph"/>
              <w:spacing w:before="34"/>
              <w:ind w:left="110" w:right="149"/>
              <w:rPr>
                <w:b/>
                <w:sz w:val="16"/>
              </w:rPr>
            </w:pPr>
            <w:r>
              <w:rPr>
                <w:b/>
                <w:color w:val="404040"/>
                <w:sz w:val="16"/>
              </w:rPr>
              <w:t>Assumptions for class characteristic data variables</w:t>
            </w:r>
          </w:p>
        </w:tc>
        <w:tc>
          <w:tcPr>
            <w:tcW w:w="7796" w:type="dxa"/>
            <w:tcBorders>
              <w:left w:val="nil"/>
            </w:tcBorders>
          </w:tcPr>
          <w:p>
            <w:pPr>
              <w:pStyle w:val="TableParagraph"/>
              <w:spacing w:before="36"/>
              <w:ind w:left="115"/>
              <w:jc w:val="both"/>
              <w:rPr>
                <w:sz w:val="16"/>
              </w:rPr>
            </w:pPr>
            <w:r>
              <w:rPr>
                <w:color w:val="404040"/>
                <w:sz w:val="16"/>
              </w:rPr>
              <w:t>The assumptions have all been updated to reflect recent experience and current policy settings.</w:t>
            </w:r>
          </w:p>
          <w:p>
            <w:pPr>
              <w:pStyle w:val="TableParagraph"/>
              <w:spacing w:before="42"/>
              <w:ind w:left="115" w:right="495"/>
              <w:jc w:val="both"/>
              <w:rPr>
                <w:sz w:val="16"/>
              </w:rPr>
            </w:pPr>
            <w:r>
              <w:rPr>
                <w:color w:val="404040"/>
                <w:sz w:val="16"/>
              </w:rPr>
              <w:t>Further work has been undertaken for classes 1, 2 and 3 to refine the class characteristic assumption models to allow for the interaction of the new region based socio-economic advantage / disadvantage variable.</w:t>
            </w:r>
          </w:p>
        </w:tc>
      </w:tr>
      <w:tr>
        <w:trPr>
          <w:trHeight w:val="815" w:hRule="atLeast"/>
        </w:trPr>
        <w:tc>
          <w:tcPr>
            <w:tcW w:w="1704" w:type="dxa"/>
            <w:tcBorders>
              <w:right w:val="nil"/>
            </w:tcBorders>
          </w:tcPr>
          <w:p>
            <w:pPr>
              <w:pStyle w:val="TableParagraph"/>
              <w:spacing w:before="34"/>
              <w:ind w:left="110" w:right="292"/>
              <w:rPr>
                <w:b/>
                <w:sz w:val="16"/>
              </w:rPr>
            </w:pPr>
            <w:r>
              <w:rPr>
                <w:b/>
                <w:color w:val="404040"/>
                <w:sz w:val="16"/>
              </w:rPr>
              <w:t>Class movement assumptions</w:t>
            </w:r>
          </w:p>
        </w:tc>
        <w:tc>
          <w:tcPr>
            <w:tcW w:w="7796" w:type="dxa"/>
            <w:tcBorders>
              <w:left w:val="nil"/>
            </w:tcBorders>
          </w:tcPr>
          <w:p>
            <w:pPr>
              <w:pStyle w:val="TableParagraph"/>
              <w:spacing w:before="36"/>
              <w:ind w:left="115" w:right="117"/>
              <w:rPr>
                <w:sz w:val="16"/>
              </w:rPr>
            </w:pPr>
            <w:r>
              <w:rPr>
                <w:color w:val="404040"/>
                <w:sz w:val="16"/>
              </w:rPr>
              <w:t>These assumptions have all been updated to reflect recent experience and current policy settings. They have also been refined to consider the influence of the new region based socio-economic advantage / disadvantage variable, refugee variables and the variable indicating whether an individual was on payment as at the valuation date.</w:t>
            </w:r>
          </w:p>
        </w:tc>
      </w:tr>
      <w:tr>
        <w:trPr>
          <w:trHeight w:val="632" w:hRule="atLeast"/>
        </w:trPr>
        <w:tc>
          <w:tcPr>
            <w:tcW w:w="1704" w:type="dxa"/>
            <w:tcBorders>
              <w:right w:val="nil"/>
            </w:tcBorders>
          </w:tcPr>
          <w:p>
            <w:pPr>
              <w:pStyle w:val="TableParagraph"/>
              <w:spacing w:before="34"/>
              <w:ind w:left="110" w:right="97"/>
              <w:rPr>
                <w:b/>
                <w:sz w:val="16"/>
              </w:rPr>
            </w:pPr>
            <w:r>
              <w:rPr>
                <w:b/>
                <w:color w:val="404040"/>
                <w:sz w:val="16"/>
              </w:rPr>
              <w:t>Payment utilisation and payment size assumptions</w:t>
            </w:r>
          </w:p>
        </w:tc>
        <w:tc>
          <w:tcPr>
            <w:tcW w:w="7796" w:type="dxa"/>
            <w:tcBorders>
              <w:left w:val="nil"/>
            </w:tcBorders>
          </w:tcPr>
          <w:p>
            <w:pPr>
              <w:pStyle w:val="TableParagraph"/>
              <w:spacing w:before="36"/>
              <w:ind w:left="115" w:right="322"/>
              <w:rPr>
                <w:sz w:val="16"/>
              </w:rPr>
            </w:pPr>
            <w:r>
              <w:rPr>
                <w:color w:val="404040"/>
                <w:sz w:val="16"/>
              </w:rPr>
              <w:t>These assumptions have all been updated to reflect recent experience and current policy settings. They have also been refined to consider the influence of the new region based socio-economic advantage / disadvantage variable and refugee variables on payment utilisation and size.</w:t>
            </w:r>
          </w:p>
        </w:tc>
      </w:tr>
      <w:tr>
        <w:trPr>
          <w:trHeight w:val="630" w:hRule="atLeast"/>
        </w:trPr>
        <w:tc>
          <w:tcPr>
            <w:tcW w:w="1704" w:type="dxa"/>
            <w:tcBorders>
              <w:right w:val="nil"/>
            </w:tcBorders>
          </w:tcPr>
          <w:p>
            <w:pPr>
              <w:pStyle w:val="TableParagraph"/>
              <w:spacing w:before="34"/>
              <w:ind w:left="110" w:right="595"/>
              <w:rPr>
                <w:b/>
                <w:sz w:val="16"/>
              </w:rPr>
            </w:pPr>
            <w:r>
              <w:rPr>
                <w:b/>
                <w:color w:val="404040"/>
                <w:sz w:val="16"/>
              </w:rPr>
              <w:t>Adjustments module</w:t>
            </w:r>
          </w:p>
        </w:tc>
        <w:tc>
          <w:tcPr>
            <w:tcW w:w="7796" w:type="dxa"/>
            <w:tcBorders>
              <w:left w:val="nil"/>
            </w:tcBorders>
          </w:tcPr>
          <w:p>
            <w:pPr>
              <w:pStyle w:val="TableParagraph"/>
              <w:spacing w:before="36"/>
              <w:ind w:left="115" w:right="482"/>
              <w:rPr>
                <w:sz w:val="16"/>
              </w:rPr>
            </w:pPr>
            <w:r>
              <w:rPr>
                <w:color w:val="404040"/>
                <w:sz w:val="16"/>
              </w:rPr>
              <w:t>The economic adjustments have been updated to reflect more recent macro-economic forecasts. The adjustments module has also been recalibrated to reflect more recent experience and align with the updated class movement assumptions.</w:t>
            </w:r>
          </w:p>
        </w:tc>
      </w:tr>
      <w:tr>
        <w:trPr>
          <w:trHeight w:val="817" w:hRule="atLeast"/>
        </w:trPr>
        <w:tc>
          <w:tcPr>
            <w:tcW w:w="1704" w:type="dxa"/>
            <w:tcBorders>
              <w:right w:val="nil"/>
            </w:tcBorders>
          </w:tcPr>
          <w:p>
            <w:pPr>
              <w:pStyle w:val="TableParagraph"/>
              <w:spacing w:before="36"/>
              <w:ind w:left="110"/>
              <w:rPr>
                <w:b/>
                <w:sz w:val="16"/>
              </w:rPr>
            </w:pPr>
            <w:r>
              <w:rPr>
                <w:b/>
                <w:color w:val="404040"/>
                <w:sz w:val="16"/>
              </w:rPr>
              <w:t>Age Pension model</w:t>
            </w:r>
          </w:p>
        </w:tc>
        <w:tc>
          <w:tcPr>
            <w:tcW w:w="7796" w:type="dxa"/>
            <w:tcBorders>
              <w:left w:val="nil"/>
            </w:tcBorders>
          </w:tcPr>
          <w:p>
            <w:pPr>
              <w:pStyle w:val="TableParagraph"/>
              <w:spacing w:before="39"/>
              <w:ind w:left="115" w:right="90"/>
              <w:rPr>
                <w:sz w:val="16"/>
              </w:rPr>
            </w:pPr>
            <w:r>
              <w:rPr>
                <w:color w:val="404040"/>
                <w:sz w:val="16"/>
              </w:rPr>
              <w:t>As part of the 2018 valuation the assumptions relating to the forecast future utilisation of Age Pension have been updated. To support the revised assumptions, we further analysed the Age Pension experience and have undertaken a review of the external information available to support these assumptions. See section</w:t>
            </w:r>
          </w:p>
          <w:p>
            <w:pPr>
              <w:pStyle w:val="TableParagraph"/>
              <w:spacing w:line="181" w:lineRule="exact" w:before="0"/>
              <w:ind w:left="115"/>
              <w:rPr>
                <w:sz w:val="16"/>
              </w:rPr>
            </w:pPr>
            <w:hyperlink w:history="true" w:anchor="_bookmark23">
              <w:r>
                <w:rPr>
                  <w:color w:val="404040"/>
                  <w:sz w:val="16"/>
                </w:rPr>
                <w:t>3.3 </w:t>
              </w:r>
            </w:hyperlink>
            <w:r>
              <w:rPr>
                <w:color w:val="404040"/>
                <w:sz w:val="16"/>
              </w:rPr>
              <w:t>for further details.</w:t>
            </w:r>
          </w:p>
        </w:tc>
      </w:tr>
    </w:tbl>
    <w:p>
      <w:pPr>
        <w:spacing w:after="0" w:line="181" w:lineRule="exact"/>
        <w:rPr>
          <w:sz w:val="16"/>
        </w:rPr>
        <w:sectPr>
          <w:pgSz w:w="11910" w:h="16850"/>
          <w:pgMar w:header="572" w:footer="581" w:top="780" w:bottom="780" w:left="120" w:right="0"/>
        </w:sectPr>
      </w:pPr>
    </w:p>
    <w:p>
      <w:pPr>
        <w:pStyle w:val="BodyText"/>
        <w:rPr>
          <w:b/>
        </w:rPr>
      </w:pPr>
    </w:p>
    <w:p>
      <w:pPr>
        <w:pStyle w:val="BodyText"/>
        <w:rPr>
          <w:b/>
        </w:rPr>
      </w:pPr>
    </w:p>
    <w:p>
      <w:pPr>
        <w:pStyle w:val="BodyText"/>
        <w:spacing w:before="8"/>
        <w:rPr>
          <w:b/>
          <w:sz w:val="21"/>
        </w:rPr>
      </w:pPr>
    </w:p>
    <w:p>
      <w:pPr>
        <w:pStyle w:val="ListParagraph"/>
        <w:numPr>
          <w:ilvl w:val="1"/>
          <w:numId w:val="15"/>
        </w:numPr>
        <w:tabs>
          <w:tab w:pos="1752" w:val="left" w:leader="none"/>
          <w:tab w:pos="1753" w:val="left" w:leader="none"/>
        </w:tabs>
        <w:spacing w:line="240" w:lineRule="auto" w:before="91" w:after="0"/>
        <w:ind w:left="1752" w:right="0" w:hanging="853"/>
        <w:jc w:val="left"/>
        <w:rPr>
          <w:sz w:val="28"/>
        </w:rPr>
      </w:pPr>
      <w:bookmarkStart w:name="2.2 Geographical insights" w:id="62"/>
      <w:bookmarkEnd w:id="62"/>
      <w:r>
        <w:rPr/>
      </w:r>
      <w:bookmarkStart w:name="_bookmark13" w:id="63"/>
      <w:bookmarkEnd w:id="63"/>
      <w:r>
        <w:rPr/>
      </w:r>
      <w:bookmarkStart w:name="_bookmark13" w:id="64"/>
      <w:bookmarkEnd w:id="64"/>
      <w:r>
        <w:rPr>
          <w:color w:val="DF2F28"/>
          <w:sz w:val="28"/>
        </w:rPr>
        <w:t>G</w:t>
      </w:r>
      <w:r>
        <w:rPr>
          <w:color w:val="DF2F28"/>
          <w:sz w:val="28"/>
        </w:rPr>
        <w:t>eographical</w:t>
      </w:r>
      <w:r>
        <w:rPr>
          <w:color w:val="DF2F28"/>
          <w:spacing w:val="-2"/>
          <w:sz w:val="28"/>
        </w:rPr>
        <w:t> </w:t>
      </w:r>
      <w:r>
        <w:rPr>
          <w:color w:val="DF2F28"/>
          <w:sz w:val="28"/>
        </w:rPr>
        <w:t>insights</w:t>
      </w:r>
    </w:p>
    <w:p>
      <w:pPr>
        <w:pStyle w:val="BodyText"/>
        <w:spacing w:before="123"/>
        <w:ind w:left="900" w:right="1087"/>
      </w:pPr>
      <w:r>
        <w:rPr>
          <w:color w:val="404040"/>
        </w:rPr>
        <w:t>Regional variations in the level and type of welfare use within Australia are often of key interest from a policy and intervention development standpoint. While these differences in welfare usage can be partially explained by demographic factors that are available in the data (such as age, gender, educational attainment and earnings indicators amongst others), there are a number of other socio-economic factors outside of the welfare dataset that can influence the levels of welfare utilisation at a regional level.</w:t>
      </w:r>
    </w:p>
    <w:p>
      <w:pPr>
        <w:pStyle w:val="BodyText"/>
        <w:spacing w:before="120"/>
        <w:ind w:left="899" w:right="1120"/>
      </w:pPr>
      <w:r>
        <w:rPr>
          <w:color w:val="404040"/>
        </w:rPr>
        <w:t>Given the importance of differentiating welfare outcomes geographically, the 2018 model for the first time includes a variable that serves as a proxy at the regional level for a number of socio-economic factors relating to place of residence; some of these factors are not available in the data. This factor is based on one of the ABS produced Socio-Economic Indices for Areas (SEIFA), and has been used to place individuals into one of ten deciles based on the collective socio-economic advantage / disadvantage of their region of residence. The types of variables considered in SEIFA include those relating to income, education, employment, occupation and housing. The ABS’ Statistical Area 2 (SA2) boundaries have been used to define regions for this purpose (there are 2,310 SA2s across Australia). Additionally, we have considered the ABS’ Statistical Area 3 (SA3) boundaries for the purposes of the maps used in this section. There are 358 SA3 regions, and these are made up of small groups of SA2 regions.</w:t>
      </w:r>
    </w:p>
    <w:p>
      <w:pPr>
        <w:pStyle w:val="BodyText"/>
        <w:spacing w:before="120"/>
        <w:ind w:left="899" w:right="1154"/>
      </w:pPr>
      <w:r>
        <w:rPr>
          <w:color w:val="404040"/>
        </w:rPr>
        <w:t>It is important to note that while SEIFA deciles have been assigned to individuals, the deciles do not represent the socio-economic advantage / disadvantage of that individual specifically. Rather, they represent the socio- economic advantage / disadvantage of the region in which that individual resides. Individuals living in socio- economically disadvantaged areas can still have high levels of socio-economic advantage / disadvantage themselves, and vice versa.</w:t>
      </w:r>
    </w:p>
    <w:p>
      <w:pPr>
        <w:pStyle w:val="BodyText"/>
        <w:spacing w:before="120"/>
        <w:ind w:left="899" w:right="1242"/>
      </w:pPr>
      <w:r>
        <w:rPr>
          <w:color w:val="404040"/>
        </w:rPr>
        <w:t>Nonetheless, the inclusion of SEIFA in the model this year is an important addition that allows for greater differentiation in projected welfare outcomes for cohorts of people at a geographical level, and highlights the complex interplay between these outcomes and regional levels of socio-economic advantage / disadvantage. We look to explore these relationships in detail below.</w:t>
      </w:r>
    </w:p>
    <w:p>
      <w:pPr>
        <w:pStyle w:val="BodyText"/>
        <w:spacing w:before="9"/>
      </w:pPr>
    </w:p>
    <w:p>
      <w:pPr>
        <w:pStyle w:val="Heading4"/>
      </w:pPr>
      <w:bookmarkStart w:name="How does welfare use currently vary by r" w:id="65"/>
      <w:bookmarkEnd w:id="65"/>
      <w:r>
        <w:rPr/>
      </w:r>
      <w:r>
        <w:rPr>
          <w:color w:val="DF2F28"/>
        </w:rPr>
        <w:t>How does welfare use currently vary by region?</w:t>
      </w:r>
    </w:p>
    <w:p>
      <w:pPr>
        <w:pStyle w:val="BodyText"/>
        <w:spacing w:before="119"/>
        <w:ind w:left="899" w:right="1298"/>
      </w:pPr>
      <w:r>
        <w:rPr>
          <w:color w:val="404040"/>
        </w:rPr>
        <w:t>The map below shows the proportion of people aged between 16 and 64 who are in a pre-retirement income support class by region, and highlights the differences in the utilisation of income support across Australia.</w:t>
      </w:r>
    </w:p>
    <w:p>
      <w:pPr>
        <w:pStyle w:val="Heading9"/>
        <w:spacing w:before="176"/>
        <w:ind w:left="899"/>
      </w:pPr>
      <w:r>
        <w:rPr/>
        <w:drawing>
          <wp:anchor distT="0" distB="0" distL="0" distR="0" allowOverlap="1" layoutInCell="1" locked="0" behindDoc="0" simplePos="0" relativeHeight="110">
            <wp:simplePos x="0" y="0"/>
            <wp:positionH relativeFrom="page">
              <wp:posOffset>783328</wp:posOffset>
            </wp:positionH>
            <wp:positionV relativeFrom="paragraph">
              <wp:posOffset>287243</wp:posOffset>
            </wp:positionV>
            <wp:extent cx="5147341" cy="3669791"/>
            <wp:effectExtent l="0" t="0" r="0" b="0"/>
            <wp:wrapTopAndBottom/>
            <wp:docPr id="13" name="image6.jpeg" descr="This figure shows a map of Australia accompanied by an enlarged view of each capital city.  The map is segmented into regions by ABS statistical area level 3 (SA3).  Regions are coloured by the relative proportion of people aged between 16 and 64 who are in a pre-retirement income support class.  The shading on the map highlights the differences in the utilisation of income support across Australia.  The darker shade denotes that a higher proportion of the region’s population are in an income support class.  The map shows that the per capita usage of pre-retirement income support varies considerably both across Australia and within each major population centre.  Further details about this map are discussed in the accompanying text within the report. "/>
            <wp:cNvGraphicFramePr>
              <a:graphicFrameLocks noChangeAspect="1"/>
            </wp:cNvGraphicFramePr>
            <a:graphic>
              <a:graphicData uri="http://schemas.openxmlformats.org/drawingml/2006/picture">
                <pic:pic>
                  <pic:nvPicPr>
                    <pic:cNvPr id="14" name="image6.jpeg"/>
                    <pic:cNvPicPr/>
                  </pic:nvPicPr>
                  <pic:blipFill>
                    <a:blip r:embed="rId14" cstate="print"/>
                    <a:stretch>
                      <a:fillRect/>
                    </a:stretch>
                  </pic:blipFill>
                  <pic:spPr>
                    <a:xfrm>
                      <a:off x="0" y="0"/>
                      <a:ext cx="5147341" cy="3669791"/>
                    </a:xfrm>
                    <a:prstGeom prst="rect">
                      <a:avLst/>
                    </a:prstGeom>
                  </pic:spPr>
                </pic:pic>
              </a:graphicData>
            </a:graphic>
          </wp:anchor>
        </w:drawing>
      </w:r>
      <w:r>
        <w:rPr>
          <w:color w:val="DF2F1E"/>
        </w:rPr>
        <w:t>Figure 11: Proportion of 16 to 64 year olds in an income support class by SA3 region</w:t>
      </w:r>
    </w:p>
    <w:p>
      <w:pPr>
        <w:spacing w:after="0"/>
        <w:sectPr>
          <w:pgSz w:w="11910" w:h="16850"/>
          <w:pgMar w:header="572" w:footer="581" w:top="780" w:bottom="780" w:left="120" w:right="0"/>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7"/>
        <w:rPr>
          <w:b/>
          <w:sz w:val="22"/>
        </w:rPr>
      </w:pPr>
    </w:p>
    <w:p>
      <w:pPr>
        <w:pStyle w:val="BodyText"/>
        <w:spacing w:before="92"/>
        <w:ind w:left="900" w:right="1219"/>
      </w:pPr>
      <w:r>
        <w:rPr>
          <w:color w:val="404040"/>
        </w:rPr>
        <w:t>We can see that the per capita usage of pre-retirement income support varies considerably both across Australia and within each major population centre. There are areas of higher dependence in each region, and dependence tends to increase as the remoteness of a region increases. Even at a local level within major cities, income support dependency tends to increase in areas further from the city centre. We also noted that the areas with higher use of pre-retirement income support was well correlated with areas of higher socio- economic disadvantage.</w:t>
      </w:r>
    </w:p>
    <w:p>
      <w:pPr>
        <w:pStyle w:val="BodyText"/>
        <w:spacing w:before="121"/>
        <w:ind w:left="899" w:right="1292"/>
        <w:jc w:val="both"/>
      </w:pPr>
      <w:r>
        <w:rPr>
          <w:color w:val="404040"/>
        </w:rPr>
        <w:t>Approaching this from another viewpoint, we can also look at the regions utilising welfare through the lens of their relative level of socio-economic advantage or disadvantage. The graph below looks at the mix of SEIFA deciles within each welfare class at June 2018.</w:t>
      </w:r>
    </w:p>
    <w:p>
      <w:pPr>
        <w:pStyle w:val="Heading9"/>
        <w:spacing w:before="176"/>
        <w:jc w:val="both"/>
      </w:pPr>
      <w:r>
        <w:rPr>
          <w:color w:val="DF2F1E"/>
        </w:rPr>
        <w:t>Figure 12: SEIFA decile distributions by class</w:t>
      </w:r>
    </w:p>
    <w:p>
      <w:pPr>
        <w:spacing w:before="121"/>
        <w:ind w:left="1107" w:right="0" w:firstLine="0"/>
        <w:jc w:val="left"/>
        <w:rPr>
          <w:rFonts w:ascii="Calibri"/>
          <w:sz w:val="13"/>
        </w:rPr>
      </w:pPr>
      <w:r>
        <w:rPr/>
        <w:pict>
          <v:line style="position:absolute;mso-position-horizontal-relative:page;mso-position-vertical-relative:paragraph;z-index:251772928" from="79.370544pt,10.441482pt" to="410.44657pt,10.441482pt" stroked="true" strokeweight=".564948pt" strokecolor="#d9d9d9">
            <v:stroke dashstyle="solid"/>
            <w10:wrap type="none"/>
          </v:line>
        </w:pict>
      </w:r>
      <w:r>
        <w:rPr>
          <w:rFonts w:ascii="Calibri"/>
          <w:color w:val="585858"/>
          <w:w w:val="105"/>
          <w:sz w:val="13"/>
        </w:rPr>
        <w:t>25%</w:t>
      </w:r>
    </w:p>
    <w:p>
      <w:pPr>
        <w:pStyle w:val="BodyText"/>
        <w:spacing w:before="1"/>
        <w:rPr>
          <w:rFonts w:ascii="Calibri"/>
          <w:sz w:val="14"/>
        </w:rPr>
      </w:pPr>
    </w:p>
    <w:p>
      <w:pPr>
        <w:spacing w:before="78"/>
        <w:ind w:left="1107" w:right="0" w:firstLine="0"/>
        <w:jc w:val="left"/>
        <w:rPr>
          <w:rFonts w:ascii="Calibri"/>
          <w:sz w:val="13"/>
        </w:rPr>
      </w:pPr>
      <w:r>
        <w:rPr/>
        <w:pict>
          <v:group style="position:absolute;margin-left:79.370544pt;margin-top:-.593851pt;width:331.1pt;height:91pt;mso-position-horizontal-relative:page;mso-position-vertical-relative:paragraph;z-index:251771904" coordorigin="1587,-12" coordsize="6622,1820">
            <v:shape style="position:absolute;left:0;top:11505;width:633197;height:38966" coordorigin="0,11506" coordsize="633197,38966" path="m1587,1395l8209,1395m1587,988l8209,988e" filled="false" stroked="true" strokeweight=".565443pt" strokecolor="#d9d9d9">
              <v:path arrowok="t"/>
              <v:stroke dashstyle="solid"/>
            </v:shape>
            <v:line style="position:absolute" from="1655,994" to="1655,1807" stroked="true" strokeweight="1.697824pt" strokecolor="#a0521e">
              <v:stroke dashstyle="solid"/>
            </v:line>
            <v:shape style="position:absolute;left:0;top:89437;width:633197;height:40049" coordorigin="0,89438" coordsize="633197,40049" path="m1587,581l8209,581m1587,163l8209,163e" filled="false" stroked="true" strokeweight=".565443pt" strokecolor="#d9d9d9">
              <v:path arrowok="t"/>
              <v:stroke dashstyle="solid"/>
            </v:shape>
            <v:line style="position:absolute" from="2255,146" to="2255,1807" stroked="true" strokeweight="1.697814pt" strokecolor="#a0521e">
              <v:stroke dashstyle="solid"/>
            </v:line>
            <v:line style="position:absolute" from="2855,67" to="2855,1807" stroked="true" strokeweight="1.697824pt" strokecolor="#a0521e">
              <v:stroke dashstyle="solid"/>
            </v:line>
            <v:line style="position:absolute" from="3461,-12" to="3461,1807" stroked="true" strokeweight="2.263769pt" strokecolor="#a0521e">
              <v:stroke dashstyle="solid"/>
            </v:line>
            <v:line style="position:absolute" from="4061,203" to="4061,1807" stroked="true" strokeweight="2.263769pt" strokecolor="#a0521e">
              <v:stroke dashstyle="solid"/>
            </v:line>
            <v:line style="position:absolute" from="4660,813" to="4660,1807" stroked="true" strokeweight="2.263759pt" strokecolor="#a0521e">
              <v:stroke dashstyle="solid"/>
            </v:line>
            <v:line style="position:absolute" from="5260,1163" to="5260,1807" stroked="true" strokeweight="2.263759pt" strokecolor="#a0521e">
              <v:stroke dashstyle="solid"/>
            </v:line>
            <v:line style="position:absolute" from="5866,1073" to="5866,1807" stroked="true" strokeweight="1.697824pt" strokecolor="#a0521e">
              <v:stroke dashstyle="solid"/>
            </v:line>
            <v:line style="position:absolute" from="6466,1175" to="6466,1807" stroked="true" strokeweight="1.697824pt" strokecolor="#a0521e">
              <v:stroke dashstyle="solid"/>
            </v:line>
            <v:shape style="position:absolute;left:7071;top:1061;width:600;height:746" coordorigin="7071,1062" coordsize="600,746" path="m7071,1152l7071,1807m7671,1062l7671,1807e" filled="false" stroked="true" strokeweight="2.263759pt" strokecolor="#a0521e">
              <v:path arrowok="t"/>
              <v:stroke dashstyle="solid"/>
            </v:shape>
            <v:shape style="position:absolute;left:1706;top:530;width:1200;height:1277" coordorigin="1706,530" coordsize="1200,1277" path="m1706,1107l1706,1807m2306,598l2306,1807m2906,530l2906,1807e" filled="false" stroked="true" strokeweight="2.263759pt" strokecolor="#b65e22">
              <v:path arrowok="t"/>
              <v:stroke dashstyle="solid"/>
            </v:shape>
            <v:shape style="position:absolute;left:3511;top:383;width:600;height:1424" coordorigin="3512,384" coordsize="600,1424" path="m3512,384l3512,1807m4111,519l4111,1807e" filled="false" stroked="true" strokeweight="1.697809pt" strokecolor="#b65e22">
              <v:path arrowok="t"/>
              <v:stroke dashstyle="solid"/>
            </v:shape>
            <v:line style="position:absolute" from="4717,677" to="4717,1807" stroked="true" strokeweight="2.263759pt" strokecolor="#b65e22">
              <v:stroke dashstyle="solid"/>
            </v:line>
            <v:shape style="position:absolute;left:5316;top:948;width:1200;height:859" coordorigin="5317,949" coordsize="1200,859" path="m5317,1095l5317,1807m5917,949l5917,1807m6517,1050l6517,1807e" filled="false" stroked="true" strokeweight="2.263769pt" strokecolor="#b65e22">
              <v:path arrowok="t"/>
              <v:stroke dashstyle="solid"/>
            </v:shape>
            <v:shape style="position:absolute;left:7122;top:1050;width:600;height:758" coordorigin="7122,1050" coordsize="600,758" path="m7122,1107l7122,1807m7722,1050l7722,1807e" filled="false" stroked="true" strokeweight="1.697829pt" strokecolor="#b65e22">
              <v:path arrowok="t"/>
              <v:stroke dashstyle="solid"/>
            </v:shape>
            <v:line style="position:absolute" from="1757,1107" to="1757,1807" stroked="true" strokeweight="1.697811pt" strokecolor="#c76828">
              <v:stroke dashstyle="solid"/>
            </v:line>
            <v:line style="position:absolute" from="2363,768" to="2363,1807" stroked="true" strokeweight="2.263755pt" strokecolor="#c76828">
              <v:stroke dashstyle="solid"/>
            </v:line>
            <v:line style="position:absolute" from="2963,700" to="2963,1807" stroked="true" strokeweight="2.263755pt" strokecolor="#c76828">
              <v:stroke dashstyle="solid"/>
            </v:line>
            <v:line style="position:absolute" from="3563,666" to="3563,1807" stroked="true" strokeweight="2.263745pt" strokecolor="#c76828">
              <v:stroke dashstyle="solid"/>
            </v:line>
            <v:line style="position:absolute" from="4162,711" to="4162,1807" stroked="true" strokeweight="2.263755pt" strokecolor="#c76828">
              <v:stroke dashstyle="solid"/>
            </v:line>
            <v:line style="position:absolute" from="4768,813" to="4768,1807" stroked="true" strokeweight="1.697811pt" strokecolor="#c76828">
              <v:stroke dashstyle="solid"/>
            </v:line>
            <v:line style="position:absolute" from="5368,1028" to="5368,1807" stroked="true" strokeweight="1.697801pt" strokecolor="#c76828">
              <v:stroke dashstyle="solid"/>
            </v:line>
            <v:line style="position:absolute" from="5973,926" to="5973,1807" stroked="true" strokeweight="2.263745pt" strokecolor="#c76828">
              <v:stroke dashstyle="solid"/>
            </v:line>
            <v:line style="position:absolute" from="6573,1028" to="6573,1807" stroked="true" strokeweight="2.263765pt" strokecolor="#c76828">
              <v:stroke dashstyle="solid"/>
            </v:line>
            <v:line style="position:absolute" from="7173,1073" to="7173,1807" stroked="true" strokeweight="2.263745pt" strokecolor="#c76828">
              <v:stroke dashstyle="solid"/>
            </v:line>
            <v:line style="position:absolute" from="7773,1028" to="7773,1807" stroked="true" strokeweight="2.263745pt" strokecolor="#c76828">
              <v:stroke dashstyle="solid"/>
            </v:line>
            <v:line style="position:absolute" from="1808,1073" to="1808,1807" stroked="true" strokeweight="2.263771pt" strokecolor="#d6702b">
              <v:stroke dashstyle="solid"/>
            </v:line>
            <v:line style="position:absolute" from="2414,892" to="2414,1807" stroked="true" strokeweight="1.697823pt" strokecolor="#d6702b">
              <v:stroke dashstyle="solid"/>
            </v:line>
            <v:line style="position:absolute" from="3014,836" to="3014,1807" stroked="true" strokeweight="1.697823pt" strokecolor="#d6702b">
              <v:stroke dashstyle="solid"/>
            </v:line>
            <v:line style="position:absolute" from="3619,926" to="3619,1807" stroked="true" strokeweight="2.263761pt" strokecolor="#d6702b">
              <v:stroke dashstyle="solid"/>
            </v:line>
            <v:shape style="position:absolute;left:4219;top:903;width:600;height:904" coordorigin="4219,903" coordsize="600,904" path="m4219,915l4219,1807m4819,903l4819,1807e" filled="false" stroked="true" strokeweight="2.263771pt" strokecolor="#d6702b">
              <v:path arrowok="t"/>
              <v:stroke dashstyle="solid"/>
            </v:shape>
            <v:line style="position:absolute" from="5419,994" to="5419,1807" stroked="true" strokeweight="2.263761pt" strokecolor="#d6702b">
              <v:stroke dashstyle="solid"/>
            </v:line>
            <v:line style="position:absolute" from="6024,960" to="6024,1807" stroked="true" strokeweight="1.697823pt" strokecolor="#d6702b">
              <v:stroke dashstyle="solid"/>
            </v:line>
            <v:line style="position:absolute" from="6624,1005" to="6624,1807" stroked="true" strokeweight="1.697823pt" strokecolor="#d6702b">
              <v:stroke dashstyle="solid"/>
            </v:line>
            <v:line style="position:absolute" from="7224,1050" to="7224,1807" stroked="true" strokeweight="1.697823pt" strokecolor="#d6702b">
              <v:stroke dashstyle="solid"/>
            </v:line>
            <v:line style="position:absolute" from="7830,1016" to="7830,1807" stroked="true" strokeweight="2.263781pt" strokecolor="#d6702b">
              <v:stroke dashstyle="solid"/>
            </v:line>
            <v:line style="position:absolute" from="1865,1005" to="1865,1807" stroked="true" strokeweight="2.263764pt" strokecolor="#e6792e">
              <v:stroke dashstyle="solid"/>
            </v:line>
            <v:shape style="position:absolute;left:2464;top:959;width:1200;height:848" coordorigin="2465,960" coordsize="1200,848" path="m2465,971l2465,1807m3065,960l3065,1807m3664,994l3664,1807e" filled="false" stroked="true" strokeweight="2.263764pt" strokecolor="#e6792e">
              <v:path arrowok="t"/>
              <v:stroke dashstyle="solid"/>
            </v:shape>
            <v:line style="position:absolute" from="4270,1005" to="4270,1807" stroked="true" strokeweight="1.69782pt" strokecolor="#e6792e">
              <v:stroke dashstyle="solid"/>
            </v:line>
            <v:line style="position:absolute" from="4870,982" to="4870,1807" stroked="true" strokeweight="1.69782pt" strokecolor="#e6792e">
              <v:stroke dashstyle="solid"/>
            </v:line>
            <v:shape style="position:absolute;left:5475;top:914;width:600;height:893" coordorigin="5475,915" coordsize="600,893" path="m5475,926l5475,1807m6075,915l6075,1807e" filled="false" stroked="true" strokeweight="2.263764pt" strokecolor="#e6792e">
              <v:path arrowok="t"/>
              <v:stroke dashstyle="solid"/>
            </v:shape>
            <v:line style="position:absolute" from="6675,1039" to="6675,1807" stroked="true" strokeweight="2.263784pt" strokecolor="#e6792e">
              <v:stroke dashstyle="solid"/>
            </v:line>
            <v:line style="position:absolute" from="7275,1028" to="7275,1807" stroked="true" strokeweight="2.263764pt" strokecolor="#e6792e">
              <v:stroke dashstyle="solid"/>
            </v:line>
            <v:line style="position:absolute" from="7881,994" to="7881,1807" stroked="true" strokeweight="1.69782pt" strokecolor="#e6792e">
              <v:stroke dashstyle="solid"/>
            </v:line>
            <v:shape style="position:absolute;left:1915;top:1005;width:600;height:803" coordorigin="1916,1005" coordsize="600,803" path="m1916,1005l1916,1807m2516,1118l2516,1807e" filled="false" stroked="true" strokeweight="1.697823pt" strokecolor="#ed8953">
              <v:path arrowok="t"/>
              <v:stroke dashstyle="solid"/>
            </v:shape>
            <v:shape style="position:absolute;left:3121;top:1061;width:600;height:746" coordorigin="3121,1062" coordsize="600,746" path="m3121,1062l3121,1807m3721,1163l3721,1807e" filled="false" stroked="true" strokeweight="2.263764pt" strokecolor="#ed8953">
              <v:path arrowok="t"/>
              <v:stroke dashstyle="solid"/>
            </v:shape>
            <v:line style="position:absolute" from="4321,1175" to="4321,1807" stroked="true" strokeweight="2.263764pt" strokecolor="#ed8953">
              <v:stroke dashstyle="solid"/>
            </v:line>
            <v:line style="position:absolute" from="4921,1062" to="4921,1807" stroked="true" strokeweight="2.263774pt" strokecolor="#ed8953">
              <v:stroke dashstyle="solid"/>
            </v:line>
            <v:shape style="position:absolute;left:5526;top:858;width:600;height:950" coordorigin="5526,858" coordsize="600,950" path="m5526,858l5526,1807m6126,949l6126,1807e" filled="false" stroked="true" strokeweight="1.697813pt" strokecolor="#ed8953">
              <v:path arrowok="t"/>
              <v:stroke dashstyle="solid"/>
            </v:shape>
            <v:line style="position:absolute" from="6732,982" to="6732,1807" stroked="true" strokeweight="2.263764pt" strokecolor="#ed8953">
              <v:stroke dashstyle="solid"/>
            </v:line>
            <v:line style="position:absolute" from="7332,1005" to="7332,1807" stroked="true" strokeweight="2.263764pt" strokecolor="#ed8953">
              <v:stroke dashstyle="solid"/>
            </v:line>
            <v:line style="position:absolute" from="7932,982" to="7932,1807" stroked="true" strokeweight="2.263744pt" strokecolor="#ed8953">
              <v:stroke dashstyle="solid"/>
            </v:line>
            <v:shape style="position:absolute;left:1966;top:892;width:600;height:916" coordorigin="1967,892" coordsize="600,916" path="m1967,892l1967,1807m2566,1197l2566,1807e" filled="false" stroked="true" strokeweight="2.263754pt" strokecolor="#f0a080">
              <v:path arrowok="t"/>
              <v:stroke dashstyle="solid"/>
            </v:shape>
            <v:line style="position:absolute" from="3172,1220" to="3172,1807" stroked="true" strokeweight="1.697813pt" strokecolor="#f0a080">
              <v:stroke dashstyle="solid"/>
            </v:line>
            <v:line style="position:absolute" from="3772,1231" to="3772,1807" stroked="true" strokeweight="1.697823pt" strokecolor="#f0a080">
              <v:stroke dashstyle="solid"/>
            </v:line>
            <v:line style="position:absolute" from="4377,1242" to="4377,1807" stroked="true" strokeweight="2.263744pt" strokecolor="#f0a080">
              <v:stroke dashstyle="solid"/>
            </v:line>
            <v:line style="position:absolute" from="4977,1118" to="4977,1807" stroked="true" strokeweight="2.263744pt" strokecolor="#f0a080">
              <v:stroke dashstyle="solid"/>
            </v:line>
            <v:line style="position:absolute" from="5577,881" to="5577,1807" stroked="true" strokeweight="2.263765pt" strokecolor="#f0a080">
              <v:stroke dashstyle="solid"/>
            </v:line>
            <v:line style="position:absolute" from="6177,937" to="6177,1807" stroked="true" strokeweight="2.263744pt" strokecolor="#f0a080">
              <v:stroke dashstyle="solid"/>
            </v:line>
            <v:line style="position:absolute" from="6783,982" to="6783,1807" stroked="true" strokeweight="1.697823pt" strokecolor="#f0a080">
              <v:stroke dashstyle="solid"/>
            </v:line>
            <v:line style="position:absolute" from="7383,971" to="7383,1807" stroked="true" strokeweight="1.697803pt" strokecolor="#f0a080">
              <v:stroke dashstyle="solid"/>
            </v:line>
            <v:line style="position:absolute" from="7983,960" to="7983,1807" stroked="true" strokeweight="1.697823pt" strokecolor="#f0a080">
              <v:stroke dashstyle="solid"/>
            </v:line>
            <v:line style="position:absolute" from="2018,915" to="2018,1807" stroked="true" strokeweight="1.697831pt" strokecolor="#f3b39c">
              <v:stroke dashstyle="solid"/>
            </v:line>
            <v:shape style="position:absolute;left:2623;top:1298;width:600;height:509" coordorigin="2623,1299" coordsize="600,509" path="m2623,1299l2623,1807m3223,1367l3223,1807e" filled="false" stroked="true" strokeweight="2.263768pt" strokecolor="#f3b39c">
              <v:path arrowok="t"/>
              <v:stroke dashstyle="solid"/>
            </v:shape>
            <v:line style="position:absolute" from="3823,1401" to="3823,1807" stroked="true" strokeweight="2.263779pt" strokecolor="#f3b39c">
              <v:stroke dashstyle="solid"/>
            </v:line>
            <v:line style="position:absolute" from="4428,1333" to="4428,1807" stroked="true" strokeweight="1.697831pt" strokecolor="#f3b39c">
              <v:stroke dashstyle="solid"/>
            </v:line>
            <v:line style="position:absolute" from="5028,1152" to="5028,1807" stroked="true" strokeweight="1.697842pt" strokecolor="#f3b39c">
              <v:stroke dashstyle="solid"/>
            </v:line>
            <v:line style="position:absolute" from="5628,915" to="5628,1807" stroked="true" strokeweight="1.697821pt" strokecolor="#f3b39c">
              <v:stroke dashstyle="solid"/>
            </v:line>
            <v:line style="position:absolute" from="6234,949" to="6234,1807" stroked="true" strokeweight="2.263779pt" strokecolor="#f3b39c">
              <v:stroke dashstyle="solid"/>
            </v:line>
            <v:line style="position:absolute" from="6834,926" to="6834,1807" stroked="true" strokeweight="2.263758pt" strokecolor="#f3b39c">
              <v:stroke dashstyle="solid"/>
            </v:line>
            <v:line style="position:absolute" from="7434,903" to="7434,1807" stroked="true" strokeweight="2.263779pt" strokecolor="#f3b39c">
              <v:stroke dashstyle="solid"/>
            </v:line>
            <v:line style="position:absolute" from="8033,937" to="8033,1807" stroked="true" strokeweight="2.263779pt" strokecolor="#f3b39c">
              <v:stroke dashstyle="solid"/>
            </v:line>
            <v:line style="position:absolute" from="2068,779" to="2068,1807" stroked="true" strokeweight="2.263765pt" strokecolor="#f5c4b4">
              <v:stroke dashstyle="solid"/>
            </v:line>
            <v:shape style="position:absolute;left:2674;top:1355;width:600;height:452" coordorigin="2674,1355" coordsize="600,452" path="m2674,1355l2674,1807m3274,1513l3274,1807e" filled="false" stroked="true" strokeweight="1.697826pt" strokecolor="#f5c4b4">
              <v:path arrowok="t"/>
              <v:stroke dashstyle="solid"/>
            </v:shape>
            <v:line style="position:absolute" from="3879,1491" to="3879,1807" stroked="true" strokeweight="2.263775pt" strokecolor="#f5c4b4">
              <v:stroke dashstyle="solid"/>
            </v:line>
            <v:line style="position:absolute" from="4479,1344" to="4479,1807" stroked="true" strokeweight="2.263775pt" strokecolor="#f5c4b4">
              <v:stroke dashstyle="solid"/>
            </v:line>
            <v:line style="position:absolute" from="5079,1242" to="5079,1807" stroked="true" strokeweight="2.263765pt" strokecolor="#f5c4b4">
              <v:stroke dashstyle="solid"/>
            </v:line>
            <v:line style="position:absolute" from="5679,1016" to="5679,1807" stroked="true" strokeweight="2.263765pt" strokecolor="#f5c4b4">
              <v:stroke dashstyle="solid"/>
            </v:line>
            <v:line style="position:absolute" from="6285,1073" to="6285,1807" stroked="true" strokeweight="1.697816pt" strokecolor="#f5c4b4">
              <v:stroke dashstyle="solid"/>
            </v:line>
            <v:line style="position:absolute" from="6885,892" to="6885,1807" stroked="true" strokeweight="1.697837pt" strokecolor="#f5c4b4">
              <v:stroke dashstyle="solid"/>
            </v:line>
            <v:line style="position:absolute" from="7490,802" to="7490,1807" stroked="true" strokeweight="2.263786pt" strokecolor="#f5c4b4">
              <v:stroke dashstyle="solid"/>
            </v:line>
            <v:line style="position:absolute" from="8090,926" to="8090,1807" stroked="true" strokeweight="2.263765pt" strokecolor="#f5c4b4">
              <v:stroke dashstyle="solid"/>
            </v:line>
            <v:shape style="position:absolute;left:2125;top:982;width:1200;height:825" coordorigin="2125,982" coordsize="1200,825" path="m2125,982l2125,1807m2725,1525l2725,1807m3325,1626l3325,1807e" filled="false" stroked="true" strokeweight="2.263762pt" strokecolor="#f7d3c8">
              <v:path arrowok="t"/>
              <v:stroke dashstyle="solid"/>
            </v:shape>
            <v:line style="position:absolute" from="3930,1626" to="3930,1807" stroked="true" strokeweight="1.697827pt" strokecolor="#f7d3c8">
              <v:stroke dashstyle="solid"/>
            </v:line>
            <v:line style="position:absolute" from="4530,1502" to="4530,1807" stroked="true" strokeweight="1.697816pt" strokecolor="#f7d3c8">
              <v:stroke dashstyle="solid"/>
            </v:line>
            <v:line style="position:absolute" from="5136,1378" to="5136,1807" stroked="true" strokeweight="2.263762pt" strokecolor="#f7d3c8">
              <v:stroke dashstyle="solid"/>
            </v:line>
            <v:line style="position:absolute" from="5736,1016" to="5736,1807" stroked="true" strokeweight="2.263783pt" strokecolor="#f7d3c8">
              <v:stroke dashstyle="solid"/>
            </v:line>
            <v:shape style="position:absolute;left:6335;top:812;width:600;height:995" coordorigin="6336,813" coordsize="600,995" path="m6336,1152l6336,1807m6936,813l6936,1807e" filled="false" stroked="true" strokeweight="2.263762pt" strokecolor="#f7d3c8">
              <v:path arrowok="t"/>
              <v:stroke dashstyle="solid"/>
            </v:shape>
            <v:shape style="position:absolute;left:7541;top:767;width:600;height:1040" coordorigin="7541,768" coordsize="600,1040" path="m7541,768l7541,1807m8141,892l8141,1807e" filled="false" stroked="true" strokeweight="1.697827pt" strokecolor="#f7d3c8">
              <v:path arrowok="t"/>
              <v:stroke dashstyle="solid"/>
            </v:shape>
            <v:line style="position:absolute" from="1587,1802" to="8209,1802" stroked="true" strokeweight=".564952pt" strokecolor="#d9d9d9">
              <v:stroke dashstyle="solid"/>
            </v:line>
            <w10:wrap type="none"/>
          </v:group>
        </w:pict>
      </w:r>
      <w:r>
        <w:rPr>
          <w:rFonts w:ascii="Calibri"/>
          <w:color w:val="585858"/>
          <w:w w:val="105"/>
          <w:sz w:val="13"/>
        </w:rPr>
        <w:t>20%</w:t>
      </w:r>
    </w:p>
    <w:p>
      <w:pPr>
        <w:pStyle w:val="BodyText"/>
        <w:spacing w:before="2"/>
        <w:rPr>
          <w:rFonts w:ascii="Calibri"/>
          <w:sz w:val="14"/>
        </w:rPr>
      </w:pPr>
    </w:p>
    <w:p>
      <w:pPr>
        <w:spacing w:before="78"/>
        <w:ind w:left="1107" w:right="0" w:firstLine="0"/>
        <w:jc w:val="left"/>
        <w:rPr>
          <w:rFonts w:ascii="Calibri"/>
          <w:sz w:val="13"/>
        </w:rPr>
      </w:pPr>
      <w:r>
        <w:rPr>
          <w:rFonts w:ascii="Calibri"/>
          <w:color w:val="585858"/>
          <w:w w:val="105"/>
          <w:sz w:val="13"/>
        </w:rPr>
        <w:t>15%</w:t>
      </w:r>
    </w:p>
    <w:p>
      <w:pPr>
        <w:pStyle w:val="BodyText"/>
        <w:spacing w:before="2"/>
        <w:rPr>
          <w:rFonts w:ascii="Calibri"/>
          <w:sz w:val="14"/>
        </w:rPr>
      </w:pPr>
    </w:p>
    <w:p>
      <w:pPr>
        <w:spacing w:before="78"/>
        <w:ind w:left="1107" w:right="0" w:firstLine="0"/>
        <w:jc w:val="left"/>
        <w:rPr>
          <w:rFonts w:ascii="Calibri"/>
          <w:sz w:val="13"/>
        </w:rPr>
      </w:pPr>
      <w:r>
        <w:rPr>
          <w:rFonts w:ascii="Calibri"/>
          <w:color w:val="585858"/>
          <w:w w:val="105"/>
          <w:sz w:val="13"/>
        </w:rPr>
        <w:t>10%</w:t>
      </w:r>
    </w:p>
    <w:p>
      <w:pPr>
        <w:pStyle w:val="BodyText"/>
        <w:spacing w:before="1"/>
        <w:rPr>
          <w:rFonts w:ascii="Calibri"/>
          <w:sz w:val="14"/>
        </w:rPr>
      </w:pPr>
    </w:p>
    <w:p>
      <w:pPr>
        <w:spacing w:before="79"/>
        <w:ind w:left="1175" w:right="0" w:firstLine="0"/>
        <w:jc w:val="left"/>
        <w:rPr>
          <w:rFonts w:ascii="Calibri"/>
          <w:sz w:val="13"/>
        </w:rPr>
      </w:pPr>
      <w:r>
        <w:rPr>
          <w:rFonts w:ascii="Calibri"/>
          <w:color w:val="585858"/>
          <w:w w:val="105"/>
          <w:sz w:val="13"/>
        </w:rPr>
        <w:t>5%</w:t>
      </w:r>
    </w:p>
    <w:p>
      <w:pPr>
        <w:pStyle w:val="BodyText"/>
        <w:spacing w:before="1"/>
        <w:rPr>
          <w:rFonts w:ascii="Calibri"/>
          <w:sz w:val="14"/>
        </w:rPr>
      </w:pPr>
    </w:p>
    <w:p>
      <w:pPr>
        <w:spacing w:after="0"/>
        <w:rPr>
          <w:rFonts w:ascii="Calibri"/>
          <w:sz w:val="14"/>
        </w:rPr>
        <w:sectPr>
          <w:pgSz w:w="11910" w:h="16850"/>
          <w:pgMar w:header="572" w:footer="581" w:top="780" w:bottom="780" w:left="120" w:right="0"/>
        </w:sectPr>
      </w:pPr>
    </w:p>
    <w:p>
      <w:pPr>
        <w:spacing w:before="78"/>
        <w:ind w:left="1156" w:right="1644" w:firstLine="0"/>
        <w:jc w:val="center"/>
        <w:rPr>
          <w:rFonts w:ascii="Calibri"/>
          <w:sz w:val="13"/>
        </w:rPr>
      </w:pPr>
      <w:r>
        <w:rPr>
          <w:rFonts w:ascii="Calibri"/>
          <w:color w:val="585858"/>
          <w:w w:val="105"/>
          <w:sz w:val="13"/>
        </w:rPr>
        <w:t>0%</w:t>
      </w:r>
    </w:p>
    <w:p>
      <w:pPr>
        <w:tabs>
          <w:tab w:pos="3006" w:val="right" w:leader="none"/>
        </w:tabs>
        <w:spacing w:before="18"/>
        <w:ind w:left="1479" w:right="0" w:firstLine="0"/>
        <w:jc w:val="center"/>
        <w:rPr>
          <w:rFonts w:ascii="Calibri"/>
          <w:sz w:val="13"/>
        </w:rPr>
      </w:pPr>
      <w:r>
        <w:rPr>
          <w:rFonts w:ascii="Calibri"/>
          <w:color w:val="585858"/>
          <w:w w:val="105"/>
          <w:sz w:val="13"/>
        </w:rPr>
        <w:t>1 Studying</w:t>
      </w:r>
      <w:r>
        <w:rPr>
          <w:rFonts w:ascii="Calibri"/>
          <w:color w:val="585858"/>
          <w:spacing w:val="-1"/>
          <w:w w:val="105"/>
          <w:sz w:val="13"/>
        </w:rPr>
        <w:t> </w:t>
      </w:r>
      <w:r>
        <w:rPr>
          <w:rFonts w:ascii="Calibri"/>
          <w:color w:val="585858"/>
          <w:w w:val="105"/>
          <w:sz w:val="13"/>
        </w:rPr>
        <w:t>2</w:t>
      </w:r>
      <w:r>
        <w:rPr>
          <w:rFonts w:ascii="Calibri"/>
          <w:color w:val="585858"/>
          <w:spacing w:val="-1"/>
          <w:w w:val="105"/>
          <w:sz w:val="13"/>
        </w:rPr>
        <w:t> </w:t>
      </w:r>
      <w:r>
        <w:rPr>
          <w:rFonts w:ascii="Calibri"/>
          <w:color w:val="585858"/>
          <w:w w:val="105"/>
          <w:sz w:val="13"/>
        </w:rPr>
        <w:t>Working</w:t>
        <w:tab/>
        <w:t>3</w:t>
      </w:r>
    </w:p>
    <w:p>
      <w:pPr>
        <w:tabs>
          <w:tab w:pos="1163" w:val="right" w:leader="none"/>
        </w:tabs>
        <w:spacing w:before="255"/>
        <w:ind w:left="301" w:right="0" w:firstLine="0"/>
        <w:jc w:val="left"/>
        <w:rPr>
          <w:rFonts w:ascii="Calibri"/>
          <w:sz w:val="13"/>
        </w:rPr>
      </w:pPr>
      <w:r>
        <w:rPr/>
        <w:br w:type="column"/>
      </w:r>
      <w:r>
        <w:rPr>
          <w:rFonts w:ascii="Calibri"/>
          <w:color w:val="585858"/>
          <w:w w:val="105"/>
          <w:sz w:val="13"/>
        </w:rPr>
        <w:t>4 Carers</w:t>
        <w:tab/>
        <w:t>5</w:t>
      </w:r>
    </w:p>
    <w:p>
      <w:pPr>
        <w:spacing w:before="255"/>
        <w:ind w:left="242" w:right="0" w:firstLine="0"/>
        <w:jc w:val="left"/>
        <w:rPr>
          <w:rFonts w:ascii="Calibri"/>
          <w:sz w:val="13"/>
        </w:rPr>
      </w:pPr>
      <w:r>
        <w:rPr/>
        <w:br w:type="column"/>
      </w:r>
      <w:r>
        <w:rPr>
          <w:rFonts w:ascii="Calibri"/>
          <w:color w:val="585858"/>
          <w:w w:val="105"/>
          <w:sz w:val="13"/>
        </w:rPr>
        <w:t>6. Pension 7 Non IS</w:t>
      </w:r>
    </w:p>
    <w:p>
      <w:pPr>
        <w:pStyle w:val="ListParagraph"/>
        <w:numPr>
          <w:ilvl w:val="0"/>
          <w:numId w:val="16"/>
        </w:numPr>
        <w:tabs>
          <w:tab w:pos="206" w:val="left" w:leader="none"/>
        </w:tabs>
        <w:spacing w:line="240" w:lineRule="auto" w:before="255" w:after="0"/>
        <w:ind w:left="205" w:right="0" w:hanging="103"/>
        <w:jc w:val="left"/>
        <w:rPr>
          <w:rFonts w:ascii="Calibri"/>
          <w:sz w:val="13"/>
        </w:rPr>
      </w:pPr>
      <w:r>
        <w:rPr>
          <w:rFonts w:ascii="Calibri"/>
          <w:color w:val="585858"/>
          <w:spacing w:val="2"/>
          <w:w w:val="104"/>
          <w:sz w:val="13"/>
        </w:rPr>
        <w:br w:type="column"/>
      </w:r>
      <w:r>
        <w:rPr>
          <w:rFonts w:ascii="Calibri"/>
          <w:color w:val="585858"/>
          <w:w w:val="105"/>
          <w:sz w:val="13"/>
        </w:rPr>
        <w:t>Non</w:t>
      </w:r>
      <w:r>
        <w:rPr>
          <w:rFonts w:ascii="Calibri"/>
          <w:color w:val="585858"/>
          <w:spacing w:val="-2"/>
          <w:w w:val="105"/>
          <w:sz w:val="13"/>
        </w:rPr>
        <w:t> </w:t>
      </w:r>
      <w:r>
        <w:rPr>
          <w:rFonts w:ascii="Calibri"/>
          <w:color w:val="585858"/>
          <w:spacing w:val="-10"/>
          <w:w w:val="105"/>
          <w:sz w:val="13"/>
        </w:rPr>
        <w:t>IS</w:t>
      </w:r>
    </w:p>
    <w:p>
      <w:pPr>
        <w:pStyle w:val="ListParagraph"/>
        <w:numPr>
          <w:ilvl w:val="0"/>
          <w:numId w:val="16"/>
        </w:numPr>
        <w:tabs>
          <w:tab w:pos="206" w:val="left" w:leader="none"/>
        </w:tabs>
        <w:spacing w:line="240" w:lineRule="auto" w:before="255" w:after="0"/>
        <w:ind w:left="205" w:right="0" w:hanging="103"/>
        <w:jc w:val="left"/>
        <w:rPr>
          <w:rFonts w:ascii="Calibri"/>
          <w:sz w:val="13"/>
        </w:rPr>
      </w:pPr>
      <w:r>
        <w:rPr>
          <w:rFonts w:ascii="Calibri"/>
          <w:color w:val="585858"/>
          <w:spacing w:val="2"/>
          <w:w w:val="104"/>
          <w:sz w:val="13"/>
        </w:rPr>
        <w:br w:type="column"/>
      </w:r>
      <w:r>
        <w:rPr>
          <w:rFonts w:ascii="Calibri"/>
          <w:color w:val="585858"/>
          <w:w w:val="105"/>
          <w:sz w:val="13"/>
        </w:rPr>
        <w:t>Non</w:t>
      </w:r>
      <w:r>
        <w:rPr>
          <w:rFonts w:ascii="Calibri"/>
          <w:color w:val="585858"/>
          <w:spacing w:val="-2"/>
          <w:w w:val="105"/>
          <w:sz w:val="13"/>
        </w:rPr>
        <w:t> </w:t>
      </w:r>
      <w:r>
        <w:rPr>
          <w:rFonts w:ascii="Calibri"/>
          <w:color w:val="585858"/>
          <w:spacing w:val="-10"/>
          <w:w w:val="105"/>
          <w:sz w:val="13"/>
        </w:rPr>
        <w:t>IS</w:t>
      </w:r>
    </w:p>
    <w:p>
      <w:pPr>
        <w:pStyle w:val="ListParagraph"/>
        <w:numPr>
          <w:ilvl w:val="0"/>
          <w:numId w:val="16"/>
        </w:numPr>
        <w:tabs>
          <w:tab w:pos="657" w:val="left" w:leader="none"/>
          <w:tab w:pos="658" w:val="left" w:leader="none"/>
        </w:tabs>
        <w:spacing w:line="240" w:lineRule="auto" w:before="255" w:after="0"/>
        <w:ind w:left="657" w:right="0" w:hanging="395"/>
        <w:jc w:val="left"/>
        <w:rPr>
          <w:rFonts w:ascii="Calibri"/>
          <w:sz w:val="13"/>
        </w:rPr>
      </w:pPr>
      <w:r>
        <w:rPr>
          <w:rFonts w:ascii="Calibri"/>
          <w:color w:val="585858"/>
          <w:spacing w:val="-1"/>
          <w:w w:val="104"/>
          <w:sz w:val="13"/>
        </w:rPr>
        <w:br w:type="column"/>
      </w:r>
      <w:r>
        <w:rPr>
          <w:rFonts w:ascii="Calibri"/>
          <w:color w:val="585858"/>
          <w:w w:val="105"/>
          <w:sz w:val="13"/>
        </w:rPr>
        <w:t>12 Rest</w:t>
      </w:r>
      <w:r>
        <w:rPr>
          <w:rFonts w:ascii="Calibri"/>
          <w:color w:val="585858"/>
          <w:spacing w:val="3"/>
          <w:w w:val="105"/>
          <w:sz w:val="13"/>
        </w:rPr>
        <w:t> </w:t>
      </w:r>
      <w:r>
        <w:rPr>
          <w:rFonts w:ascii="Calibri"/>
          <w:color w:val="585858"/>
          <w:w w:val="105"/>
          <w:sz w:val="13"/>
        </w:rPr>
        <w:t>of</w:t>
      </w:r>
    </w:p>
    <w:p>
      <w:pPr>
        <w:spacing w:after="0" w:line="240" w:lineRule="auto"/>
        <w:jc w:val="left"/>
        <w:rPr>
          <w:rFonts w:ascii="Calibri"/>
          <w:sz w:val="13"/>
        </w:rPr>
        <w:sectPr>
          <w:type w:val="continuous"/>
          <w:pgSz w:w="11910" w:h="16850"/>
          <w:pgMar w:top="1600" w:bottom="280" w:left="120" w:right="0"/>
          <w:cols w:num="6" w:equalWidth="0">
            <w:col w:w="3007" w:space="40"/>
            <w:col w:w="1164" w:space="39"/>
            <w:col w:w="1359" w:space="40"/>
            <w:col w:w="562" w:space="39"/>
            <w:col w:w="562" w:space="40"/>
            <w:col w:w="4938"/>
          </w:cols>
        </w:sectPr>
      </w:pPr>
    </w:p>
    <w:p>
      <w:pPr>
        <w:spacing w:before="6"/>
        <w:ind w:left="0" w:right="0" w:firstLine="0"/>
        <w:jc w:val="right"/>
        <w:rPr>
          <w:rFonts w:ascii="Calibri"/>
          <w:sz w:val="13"/>
        </w:rPr>
      </w:pPr>
      <w:r>
        <w:rPr>
          <w:rFonts w:ascii="Calibri"/>
          <w:color w:val="585858"/>
          <w:w w:val="105"/>
          <w:sz w:val="13"/>
        </w:rPr>
        <w:t>Age</w:t>
      </w:r>
    </w:p>
    <w:p>
      <w:pPr>
        <w:spacing w:before="6"/>
        <w:ind w:left="185" w:right="0" w:firstLine="0"/>
        <w:jc w:val="left"/>
        <w:rPr>
          <w:rFonts w:ascii="Calibri"/>
          <w:sz w:val="13"/>
        </w:rPr>
      </w:pPr>
      <w:r>
        <w:rPr/>
        <w:br w:type="column"/>
      </w:r>
      <w:r>
        <w:rPr>
          <w:rFonts w:ascii="Calibri"/>
          <w:color w:val="585858"/>
          <w:spacing w:val="-2"/>
          <w:w w:val="105"/>
          <w:sz w:val="13"/>
        </w:rPr>
        <w:t>Parenting</w:t>
      </w:r>
    </w:p>
    <w:p>
      <w:pPr>
        <w:spacing w:before="6"/>
        <w:ind w:left="653" w:right="0" w:firstLine="0"/>
        <w:jc w:val="left"/>
        <w:rPr>
          <w:rFonts w:ascii="Calibri"/>
          <w:sz w:val="13"/>
        </w:rPr>
      </w:pPr>
      <w:r>
        <w:rPr/>
        <w:br w:type="column"/>
      </w:r>
      <w:r>
        <w:rPr>
          <w:rFonts w:ascii="Calibri"/>
          <w:color w:val="585858"/>
          <w:spacing w:val="-1"/>
          <w:w w:val="105"/>
          <w:sz w:val="13"/>
        </w:rPr>
        <w:t>Disability</w:t>
      </w:r>
    </w:p>
    <w:p>
      <w:pPr>
        <w:spacing w:before="6"/>
        <w:ind w:left="206" w:right="0" w:firstLine="0"/>
        <w:jc w:val="left"/>
        <w:rPr>
          <w:rFonts w:ascii="Calibri"/>
          <w:sz w:val="13"/>
        </w:rPr>
      </w:pPr>
      <w:r>
        <w:rPr/>
        <w:br w:type="column"/>
      </w:r>
      <w:r>
        <w:rPr>
          <w:rFonts w:ascii="Calibri"/>
          <w:color w:val="585858"/>
          <w:w w:val="105"/>
          <w:sz w:val="13"/>
        </w:rPr>
        <w:t>Age</w:t>
      </w:r>
    </w:p>
    <w:p>
      <w:pPr>
        <w:spacing w:before="6"/>
        <w:ind w:left="272" w:right="0" w:firstLine="0"/>
        <w:jc w:val="left"/>
        <w:rPr>
          <w:rFonts w:ascii="Calibri"/>
          <w:sz w:val="13"/>
        </w:rPr>
      </w:pPr>
      <w:r>
        <w:rPr/>
        <w:br w:type="column"/>
      </w:r>
      <w:r>
        <w:rPr>
          <w:rFonts w:ascii="Calibri"/>
          <w:color w:val="585858"/>
          <w:sz w:val="13"/>
        </w:rPr>
        <w:t>Family</w:t>
      </w:r>
    </w:p>
    <w:p>
      <w:pPr>
        <w:spacing w:before="6"/>
        <w:ind w:left="235" w:right="0" w:firstLine="0"/>
        <w:jc w:val="left"/>
        <w:rPr>
          <w:rFonts w:ascii="Calibri"/>
          <w:sz w:val="13"/>
        </w:rPr>
      </w:pPr>
      <w:r>
        <w:rPr/>
        <w:br w:type="column"/>
      </w:r>
      <w:r>
        <w:rPr>
          <w:rFonts w:ascii="Calibri"/>
          <w:color w:val="585858"/>
          <w:spacing w:val="-1"/>
          <w:w w:val="105"/>
          <w:sz w:val="13"/>
        </w:rPr>
        <w:t>Carer</w:t>
      </w:r>
    </w:p>
    <w:p>
      <w:pPr>
        <w:spacing w:before="6"/>
        <w:ind w:left="254" w:right="0" w:firstLine="0"/>
        <w:jc w:val="left"/>
        <w:rPr>
          <w:rFonts w:ascii="Calibri"/>
          <w:sz w:val="13"/>
        </w:rPr>
      </w:pPr>
      <w:r>
        <w:rPr/>
        <w:br w:type="column"/>
      </w:r>
      <w:r>
        <w:rPr>
          <w:rFonts w:ascii="Calibri"/>
          <w:color w:val="585858"/>
          <w:spacing w:val="-1"/>
          <w:w w:val="105"/>
          <w:sz w:val="13"/>
        </w:rPr>
        <w:t>Other</w:t>
      </w:r>
    </w:p>
    <w:p>
      <w:pPr>
        <w:spacing w:before="6"/>
        <w:ind w:left="166" w:right="0" w:firstLine="0"/>
        <w:jc w:val="left"/>
        <w:rPr>
          <w:rFonts w:ascii="Calibri"/>
          <w:sz w:val="13"/>
        </w:rPr>
      </w:pPr>
      <w:r>
        <w:rPr/>
        <w:br w:type="column"/>
      </w:r>
      <w:r>
        <w:rPr>
          <w:rFonts w:ascii="Calibri"/>
          <w:color w:val="585858"/>
          <w:spacing w:val="-1"/>
          <w:w w:val="105"/>
          <w:sz w:val="13"/>
        </w:rPr>
        <w:t>Previous</w:t>
      </w:r>
    </w:p>
    <w:p>
      <w:pPr>
        <w:spacing w:before="6"/>
        <w:ind w:left="185" w:right="0" w:firstLine="0"/>
        <w:jc w:val="left"/>
        <w:rPr>
          <w:rFonts w:ascii="Calibri"/>
          <w:sz w:val="13"/>
        </w:rPr>
      </w:pPr>
      <w:r>
        <w:rPr/>
        <w:br w:type="column"/>
      </w:r>
      <w:r>
        <w:rPr>
          <w:rFonts w:ascii="Calibri"/>
          <w:color w:val="585858"/>
          <w:w w:val="105"/>
          <w:sz w:val="13"/>
        </w:rPr>
        <w:t>Aust.</w:t>
      </w:r>
    </w:p>
    <w:p>
      <w:pPr>
        <w:spacing w:after="0"/>
        <w:jc w:val="left"/>
        <w:rPr>
          <w:rFonts w:ascii="Calibri"/>
          <w:sz w:val="13"/>
        </w:rPr>
        <w:sectPr>
          <w:type w:val="continuous"/>
          <w:pgSz w:w="11910" w:h="16850"/>
          <w:pgMar w:top="1600" w:bottom="280" w:left="120" w:right="0"/>
          <w:cols w:num="9" w:equalWidth="0">
            <w:col w:w="2481" w:space="40"/>
            <w:col w:w="710" w:space="39"/>
            <w:col w:w="1157" w:space="39"/>
            <w:col w:w="421" w:space="40"/>
            <w:col w:w="628" w:space="40"/>
            <w:col w:w="533" w:space="40"/>
            <w:col w:w="574" w:space="39"/>
            <w:col w:w="639" w:space="39"/>
            <w:col w:w="4331"/>
          </w:cols>
        </w:sectPr>
      </w:pPr>
    </w:p>
    <w:p>
      <w:pPr>
        <w:spacing w:before="7"/>
        <w:ind w:left="0" w:right="0" w:firstLine="0"/>
        <w:jc w:val="right"/>
        <w:rPr>
          <w:rFonts w:ascii="Calibri"/>
          <w:sz w:val="13"/>
        </w:rPr>
      </w:pPr>
      <w:r>
        <w:rPr>
          <w:rFonts w:ascii="Calibri"/>
          <w:color w:val="585858"/>
          <w:w w:val="105"/>
          <w:sz w:val="13"/>
        </w:rPr>
        <w:t>Support</w:t>
      </w:r>
    </w:p>
    <w:p>
      <w:pPr>
        <w:spacing w:line="249" w:lineRule="auto" w:before="7"/>
        <w:ind w:left="2462" w:right="3196" w:firstLine="64"/>
        <w:jc w:val="left"/>
        <w:rPr>
          <w:rFonts w:ascii="Calibri"/>
          <w:sz w:val="13"/>
        </w:rPr>
      </w:pPr>
      <w:r>
        <w:rPr/>
        <w:br w:type="column"/>
      </w:r>
      <w:r>
        <w:rPr>
          <w:rFonts w:ascii="Calibri"/>
          <w:color w:val="585858"/>
          <w:w w:val="105"/>
          <w:sz w:val="13"/>
        </w:rPr>
        <w:t>Welfare Population Recipients</w:t>
      </w:r>
    </w:p>
    <w:p>
      <w:pPr>
        <w:spacing w:after="0" w:line="249" w:lineRule="auto"/>
        <w:jc w:val="left"/>
        <w:rPr>
          <w:rFonts w:ascii="Calibri"/>
          <w:sz w:val="13"/>
        </w:rPr>
        <w:sectPr>
          <w:type w:val="continuous"/>
          <w:pgSz w:w="11910" w:h="16850"/>
          <w:pgMar w:top="1600" w:bottom="280" w:left="120" w:right="0"/>
          <w:cols w:num="2" w:equalWidth="0">
            <w:col w:w="4397" w:space="40"/>
            <w:col w:w="7353"/>
          </w:cols>
        </w:sectPr>
      </w:pPr>
    </w:p>
    <w:p>
      <w:pPr>
        <w:pStyle w:val="BodyText"/>
        <w:spacing w:before="1"/>
        <w:rPr>
          <w:rFonts w:ascii="Calibri"/>
          <w:sz w:val="11"/>
        </w:rPr>
      </w:pPr>
    </w:p>
    <w:p>
      <w:pPr>
        <w:spacing w:before="1"/>
        <w:ind w:left="1578" w:right="0" w:firstLine="0"/>
        <w:jc w:val="left"/>
        <w:rPr>
          <w:rFonts w:ascii="Calibri"/>
          <w:sz w:val="13"/>
        </w:rPr>
      </w:pPr>
      <w:r>
        <w:rPr/>
        <w:pict>
          <v:rect style="position:absolute;margin-left:79.653473pt;margin-top:2.882367pt;width:3.960495pt;height:3.388995pt;mso-position-horizontal-relative:page;mso-position-vertical-relative:paragraph;z-index:251773952" filled="true" fillcolor="#a0521e" stroked="false">
            <v:fill type="solid"/>
            <w10:wrap type="none"/>
          </v:rect>
        </w:pict>
      </w:r>
      <w:r>
        <w:rPr/>
        <w:pict>
          <v:rect style="position:absolute;margin-left:111.346146pt;margin-top:2.882367pt;width:3.960495pt;height:3.388995pt;mso-position-horizontal-relative:page;mso-position-vertical-relative:paragraph;z-index:-288128000" filled="true" fillcolor="#b65e22" stroked="false">
            <v:fill type="solid"/>
            <w10:wrap type="none"/>
          </v:rect>
        </w:pict>
      </w:r>
      <w:r>
        <w:rPr/>
        <w:pict>
          <v:rect style="position:absolute;margin-left:143.604736pt;margin-top:2.882367pt;width:3.960495pt;height:3.388995pt;mso-position-horizontal-relative:page;mso-position-vertical-relative:paragraph;z-index:-288126976" filled="true" fillcolor="#c76828" stroked="false">
            <v:fill type="solid"/>
            <w10:wrap type="none"/>
          </v:rect>
        </w:pict>
      </w:r>
      <w:r>
        <w:rPr/>
        <w:pict>
          <v:rect style="position:absolute;margin-left:175.863342pt;margin-top:2.882367pt;width:3.39471pt;height:3.388995pt;mso-position-horizontal-relative:page;mso-position-vertical-relative:paragraph;z-index:-288125952" filled="true" fillcolor="#d6702b" stroked="false">
            <v:fill type="solid"/>
            <w10:wrap type="none"/>
          </v:rect>
        </w:pict>
      </w:r>
      <w:r>
        <w:rPr/>
        <w:pict>
          <v:rect style="position:absolute;margin-left:207.556pt;margin-top:2.882367pt;width:3.960495pt;height:3.388995pt;mso-position-horizontal-relative:page;mso-position-vertical-relative:paragraph;z-index:-288124928" filled="true" fillcolor="#e6792e" stroked="false">
            <v:fill type="solid"/>
            <w10:wrap type="none"/>
          </v:rect>
        </w:pict>
      </w:r>
      <w:r>
        <w:rPr/>
        <w:pict>
          <v:rect style="position:absolute;margin-left:239.814606pt;margin-top:2.882367pt;width:3.39471pt;height:3.388995pt;mso-position-horizontal-relative:page;mso-position-vertical-relative:paragraph;z-index:-288123904" filled="true" fillcolor="#ed8953" stroked="false">
            <v:fill type="solid"/>
            <w10:wrap type="none"/>
          </v:rect>
        </w:pict>
      </w:r>
      <w:r>
        <w:rPr/>
        <w:pict>
          <v:rect style="position:absolute;margin-left:271.507263pt;margin-top:2.882367pt;width:3.960495pt;height:3.388995pt;mso-position-horizontal-relative:page;mso-position-vertical-relative:paragraph;z-index:-288122880" filled="true" fillcolor="#f0a080" stroked="false">
            <v:fill type="solid"/>
            <w10:wrap type="none"/>
          </v:rect>
        </w:pict>
      </w:r>
      <w:r>
        <w:rPr/>
        <w:pict>
          <v:rect style="position:absolute;margin-left:303.765869pt;margin-top:2.882367pt;width:3.39471pt;height:3.388995pt;mso-position-horizontal-relative:page;mso-position-vertical-relative:paragraph;z-index:-288121856" filled="true" fillcolor="#f3b39c" stroked="false">
            <v:fill type="solid"/>
            <w10:wrap type="none"/>
          </v:rect>
        </w:pict>
      </w:r>
      <w:r>
        <w:rPr/>
        <w:pict>
          <v:rect style="position:absolute;margin-left:335.458527pt;margin-top:2.882367pt;width:3.960495pt;height:3.388995pt;mso-position-horizontal-relative:page;mso-position-vertical-relative:paragraph;z-index:-288120832" filled="true" fillcolor="#f5c4b4" stroked="false">
            <v:fill type="solid"/>
            <w10:wrap type="none"/>
          </v:rect>
        </w:pict>
      </w:r>
      <w:r>
        <w:rPr/>
        <w:pict>
          <v:rect style="position:absolute;margin-left:367.717133pt;margin-top:2.882367pt;width:3.39471pt;height:3.388995pt;mso-position-horizontal-relative:page;mso-position-vertical-relative:paragraph;z-index:-288119808" filled="true" fillcolor="#f7d3c8" stroked="false">
            <v:fill type="solid"/>
            <w10:wrap type="none"/>
          </v:rect>
        </w:pict>
      </w:r>
      <w:r>
        <w:rPr>
          <w:rFonts w:ascii="Calibri"/>
          <w:color w:val="585858"/>
          <w:w w:val="105"/>
          <w:sz w:val="13"/>
        </w:rPr>
        <w:t>Decile 1 Decile 2 Decile 3 Decile 4 Decile 5 Decile 6 Decile 7 Decile 8 Decile 9 Decile 10</w:t>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3"/>
        <w:rPr>
          <w:rFonts w:ascii="Calibri"/>
          <w:sz w:val="13"/>
        </w:rPr>
      </w:pPr>
    </w:p>
    <w:p>
      <w:pPr>
        <w:pStyle w:val="BodyText"/>
        <w:spacing w:before="1"/>
        <w:ind w:left="900" w:right="1075"/>
      </w:pPr>
      <w:r>
        <w:rPr>
          <w:color w:val="404040"/>
        </w:rPr>
        <w:t>Of particular note is the distribution of SEIFA deciles within the Working Age, Parenting, Carers and Disability Support classes where a heavy skew exists toward individuals residing in areas with high levels of socio- economic disadvantage. For instance, more than 20% of recipients in the Working Age class live in areas with the highest level of socio-economic disadvantage (SEIFA decile 1), whereas less than 4% of recipients in this class live in areas with the lowest level of socio-economic disadvantage (SEIFA decile 10). This is a significant over representation given that only 10% of the Australian population as a whole live in SEIFA Decile 1 areas. A similar trend, though less pronounced is also seen in the Pension Age class.</w:t>
      </w:r>
    </w:p>
    <w:p>
      <w:pPr>
        <w:pStyle w:val="BodyText"/>
        <w:spacing w:before="121"/>
        <w:ind w:left="899" w:right="1204"/>
      </w:pPr>
      <w:r>
        <w:rPr>
          <w:color w:val="404040"/>
        </w:rPr>
        <w:t>Of the income support classes, the Studying class is the only one with a skew towards individuals residing in socio-economically advantaged areas. This potentially reflects a number of factors, including the correlation between education, household income and socio-economic advantage / disadvantage, as well as the fact that students tend to move closer to educational institutions which may be in higher SEIFA areas.</w:t>
      </w:r>
    </w:p>
    <w:p>
      <w:pPr>
        <w:pStyle w:val="BodyText"/>
        <w:spacing w:before="119"/>
        <w:ind w:left="899" w:right="1077"/>
      </w:pPr>
      <w:r>
        <w:rPr>
          <w:color w:val="404040"/>
        </w:rPr>
        <w:t>Overall, people living in areas with the highest level of socio-economic disadvantage are over three times more likely to be in receipt of income support than those living in areas with the lowest level of socio-economic disadvantage. The difference is greatest for recipients of Parenting and Carer payments; people in areas with the highest level of socio-economic disadvantage are almost ten times more likely to be in receipt of these payments than those living in areas with the lowest level of socio-economic disadvantage.</w:t>
      </w:r>
    </w:p>
    <w:p>
      <w:pPr>
        <w:pStyle w:val="BodyText"/>
        <w:spacing w:before="120"/>
        <w:ind w:left="899" w:right="1088"/>
      </w:pPr>
      <w:r>
        <w:rPr>
          <w:color w:val="404040"/>
        </w:rPr>
        <w:t>In the non income support classes, the distribution of SEIFA tends to be more even. For the Non IS Family class, we see fewer individuals reside in low SEIFA areas, reflecting the fact that individuals residing in low SEIFA areas are more likely to receive an income support payment along with family supplements, and therefore, will be present in the income support classes rather than in the Non IS Family class. We also see fewer individuals living in areas with higher SEIFAs, reflecting the relatively higher incomes of these individuals combined with the effects of income testing for payments such as the Family Tax Benefit.</w:t>
      </w:r>
    </w:p>
    <w:p>
      <w:pPr>
        <w:pStyle w:val="BodyText"/>
        <w:spacing w:before="121"/>
        <w:ind w:left="899" w:right="1021"/>
      </w:pPr>
      <w:r>
        <w:rPr>
          <w:color w:val="404040"/>
        </w:rPr>
        <w:t>Outside of the welfare system, there tend to be higher proportions of people living in high SEIFA areas as expected. We can see that this skew is more prevalent for people in the Previous Welfare Recipients class than it is in the rest of the population, which is in part due to the difference in age mix between these classes. In</w:t>
      </w:r>
    </w:p>
    <w:p>
      <w:pPr>
        <w:spacing w:after="0"/>
        <w:sectPr>
          <w:type w:val="continuous"/>
          <w:pgSz w:w="11910" w:h="16850"/>
          <w:pgMar w:top="1600" w:bottom="280" w:left="120" w:right="0"/>
        </w:sectPr>
      </w:pPr>
    </w:p>
    <w:p>
      <w:pPr>
        <w:pStyle w:val="BodyText"/>
      </w:pPr>
    </w:p>
    <w:p>
      <w:pPr>
        <w:pStyle w:val="BodyText"/>
      </w:pPr>
    </w:p>
    <w:p>
      <w:pPr>
        <w:pStyle w:val="BodyText"/>
        <w:spacing w:before="7"/>
        <w:rPr>
          <w:sz w:val="21"/>
        </w:rPr>
      </w:pPr>
    </w:p>
    <w:p>
      <w:pPr>
        <w:pStyle w:val="BodyText"/>
        <w:spacing w:before="93"/>
        <w:ind w:left="900" w:right="1208"/>
      </w:pPr>
      <w:r>
        <w:rPr>
          <w:color w:val="404040"/>
        </w:rPr>
        <w:t>particular, older people tend to live in much more socio-economically advantaged areas than very young people– an effect due in part to their accumulation of assets over a longer period of time, as well as intergenerational differences in economic factors such as housing affordability. The Previous Welfare Recipients class has a much older age profile than the Rest of Australian Population class, leading to a larger proportion of people living in socio-economically advantaged areas within this class.</w:t>
      </w:r>
    </w:p>
    <w:p>
      <w:pPr>
        <w:pStyle w:val="BodyText"/>
        <w:spacing w:before="10"/>
      </w:pPr>
    </w:p>
    <w:p>
      <w:pPr>
        <w:pStyle w:val="Heading4"/>
        <w:spacing w:before="1"/>
      </w:pPr>
      <w:bookmarkStart w:name="How does intergenerational welfare depen" w:id="66"/>
      <w:bookmarkEnd w:id="66"/>
      <w:r>
        <w:rPr/>
      </w:r>
      <w:r>
        <w:rPr>
          <w:color w:val="DF2F28"/>
        </w:rPr>
        <w:t>How does intergenerational welfare dependency vary by region?</w:t>
      </w:r>
    </w:p>
    <w:p>
      <w:pPr>
        <w:pStyle w:val="BodyText"/>
        <w:spacing w:before="121"/>
        <w:ind w:left="899" w:right="1098"/>
      </w:pPr>
      <w:r>
        <w:rPr>
          <w:color w:val="404040"/>
        </w:rPr>
        <w:t>In 2017, a measure of intergenerational welfare use was introduced in the model for the first time. The graph below looks at how the proportion of current 11 to 17 year olds with high intergenerational welfare dependency varies by region. In the figure below, a child is considered to have high intergenerational welfare dependency if their parents were dependent on pre-retirement income support for more than 35% of the life of the child up to age 15. This definition includes approximately 24% of children in the 11 to 17 year old age range.</w:t>
      </w:r>
    </w:p>
    <w:p>
      <w:pPr>
        <w:pStyle w:val="Heading9"/>
        <w:spacing w:before="178"/>
        <w:ind w:left="899" w:right="1155"/>
      </w:pPr>
      <w:r>
        <w:rPr/>
        <w:drawing>
          <wp:anchor distT="0" distB="0" distL="0" distR="0" allowOverlap="1" layoutInCell="1" locked="0" behindDoc="0" simplePos="0" relativeHeight="123">
            <wp:simplePos x="0" y="0"/>
            <wp:positionH relativeFrom="page">
              <wp:posOffset>783328</wp:posOffset>
            </wp:positionH>
            <wp:positionV relativeFrom="paragraph">
              <wp:posOffset>431971</wp:posOffset>
            </wp:positionV>
            <wp:extent cx="5267011" cy="3755136"/>
            <wp:effectExtent l="0" t="0" r="0" b="0"/>
            <wp:wrapTopAndBottom/>
            <wp:docPr id="15" name="image9.jpeg" descr="This figure shows a map of Australia accompanied by an enlarged view of each capital city.  The map is segmented into regions by ABS statistical area level 3 (SA3).  Regions are coloured by the relative proportion of people currently aged between the ages of 11 and 17 who have high intergenerational welfare dependency.  The darker shade denotes that a higher proportion of this population have high intergenerational welfare dependency.   The map shows that remote regions tend to have higher proportions of children with very high intergenerational welfare dependency.  Further details about this figure and a definition for high intergenerational welfare dependency is included in the accompanying text within the report. "/>
            <wp:cNvGraphicFramePr>
              <a:graphicFrameLocks noChangeAspect="1"/>
            </wp:cNvGraphicFramePr>
            <a:graphic>
              <a:graphicData uri="http://schemas.openxmlformats.org/drawingml/2006/picture">
                <pic:pic>
                  <pic:nvPicPr>
                    <pic:cNvPr id="16" name="image9.jpeg"/>
                    <pic:cNvPicPr/>
                  </pic:nvPicPr>
                  <pic:blipFill>
                    <a:blip r:embed="rId23" cstate="print"/>
                    <a:stretch>
                      <a:fillRect/>
                    </a:stretch>
                  </pic:blipFill>
                  <pic:spPr>
                    <a:xfrm>
                      <a:off x="0" y="0"/>
                      <a:ext cx="5267011" cy="3755136"/>
                    </a:xfrm>
                    <a:prstGeom prst="rect">
                      <a:avLst/>
                    </a:prstGeom>
                  </pic:spPr>
                </pic:pic>
              </a:graphicData>
            </a:graphic>
          </wp:anchor>
        </w:drawing>
      </w:r>
      <w:r>
        <w:rPr>
          <w:color w:val="DF2F1E"/>
        </w:rPr>
        <w:t>Figure 13: Proportion of 11 to 17 year olds with high intergenerational welfare dependency by SA3 region</w:t>
      </w:r>
    </w:p>
    <w:p>
      <w:pPr>
        <w:pStyle w:val="BodyText"/>
        <w:spacing w:before="2"/>
        <w:rPr>
          <w:b/>
          <w:sz w:val="31"/>
        </w:rPr>
      </w:pPr>
    </w:p>
    <w:p>
      <w:pPr>
        <w:pStyle w:val="BodyText"/>
        <w:ind w:left="900" w:right="1342"/>
      </w:pPr>
      <w:r>
        <w:rPr>
          <w:color w:val="404040"/>
        </w:rPr>
        <w:t>A similar pattern has emerged to the previous charts on income support use by region, and this time we can see that remote regions tend to have higher proportions of children with very high intergenerational welfare dependency. On a local level, clustering amongst regions of high intergenerational welfare dependency is evident, with outer suburban areas tending to have higher intergenerational welfare dependency than inner suburban areas within the same city.</w:t>
      </w:r>
    </w:p>
    <w:p>
      <w:pPr>
        <w:pStyle w:val="BodyText"/>
        <w:spacing w:before="8"/>
      </w:pPr>
    </w:p>
    <w:p>
      <w:pPr>
        <w:pStyle w:val="Heading4"/>
      </w:pPr>
      <w:bookmarkStart w:name="What does the model tell us about region" w:id="67"/>
      <w:bookmarkEnd w:id="67"/>
      <w:r>
        <w:rPr/>
      </w:r>
      <w:r>
        <w:rPr>
          <w:color w:val="DF2F28"/>
        </w:rPr>
        <w:t>What does the model tell us about regional welfare use going forward?</w:t>
      </w:r>
    </w:p>
    <w:p>
      <w:pPr>
        <w:pStyle w:val="BodyText"/>
        <w:spacing w:before="10"/>
      </w:pPr>
    </w:p>
    <w:p>
      <w:pPr>
        <w:pStyle w:val="Heading6"/>
        <w:rPr>
          <w:i/>
        </w:rPr>
      </w:pPr>
      <w:r>
        <w:rPr>
          <w:i/>
          <w:color w:val="DF2F1E"/>
        </w:rPr>
        <w:t>Effect on transitions through the welfare system</w:t>
      </w:r>
    </w:p>
    <w:p>
      <w:pPr>
        <w:pStyle w:val="BodyText"/>
        <w:spacing w:before="121"/>
        <w:ind w:left="900" w:right="1198"/>
      </w:pPr>
      <w:r>
        <w:rPr>
          <w:color w:val="404040"/>
        </w:rPr>
        <w:t>The level of socio-economic advantage or disadvantage of a region is a strong predictor within the model. For those individuals who have never accessed welfare, the likelihood of entering the system for the first time through a Working Age payment increases significantly with the level of socio-economic disadvantage of their region of residence. A similar effect is observed for entries into the Parenting, Carers and Disability Support classes. For example, this is reflected in the finding that, when looking at 20 to 25 year olds in the rest of the Australian population, those in the most disadvantaged socio-economic areas have 23% higher average lifetime costs than those in the least disadvantaged socio-economic areas. Specifically, the 20% of areas</w:t>
      </w:r>
    </w:p>
    <w:p>
      <w:pPr>
        <w:spacing w:after="0"/>
        <w:sectPr>
          <w:pgSz w:w="11910" w:h="16850"/>
          <w:pgMar w:header="572" w:footer="581" w:top="780" w:bottom="780" w:left="120" w:right="0"/>
        </w:sectPr>
      </w:pPr>
    </w:p>
    <w:p>
      <w:pPr>
        <w:pStyle w:val="BodyText"/>
      </w:pPr>
    </w:p>
    <w:p>
      <w:pPr>
        <w:pStyle w:val="BodyText"/>
      </w:pPr>
    </w:p>
    <w:p>
      <w:pPr>
        <w:pStyle w:val="BodyText"/>
        <w:spacing w:before="7"/>
        <w:rPr>
          <w:sz w:val="21"/>
        </w:rPr>
      </w:pPr>
    </w:p>
    <w:p>
      <w:pPr>
        <w:pStyle w:val="BodyText"/>
        <w:spacing w:before="93"/>
        <w:ind w:left="900" w:right="1041"/>
      </w:pPr>
      <w:r>
        <w:rPr>
          <w:color w:val="404040"/>
        </w:rPr>
        <w:t>considered most disadvantaged have an average lifetime cost of $221,000 and the 20% of least disadvantaged areas have an average lifetime cost of $180,000 – see section </w:t>
      </w:r>
      <w:hyperlink w:history="true" w:anchor="_bookmark54">
        <w:r>
          <w:rPr>
            <w:color w:val="404040"/>
          </w:rPr>
          <w:t>8.2.</w:t>
        </w:r>
      </w:hyperlink>
    </w:p>
    <w:p>
      <w:pPr>
        <w:pStyle w:val="BodyText"/>
        <w:spacing w:before="121"/>
        <w:ind w:left="900" w:right="1076"/>
      </w:pPr>
      <w:r>
        <w:rPr>
          <w:color w:val="404040"/>
        </w:rPr>
        <w:t>For individuals already in the Working Age class, the likelihood of transitioning into the Parenting class significantly increases with the level of socio-economic disadvantage, while the likelihood of exiting the system or moving on to Studying payments decreases. Again, this is reflected in significant differences in lifetime costs within the Working Age class for people living different socio-economic areas. In this case, when looking at the group of 20 to 25 year old Working Age payment recipients, those in the most disadvantaged socio-economic areas have 39% higher average lifetime costs than those in the least disadvantaged socio-economic areas.</w:t>
      </w:r>
    </w:p>
    <w:p>
      <w:pPr>
        <w:pStyle w:val="BodyText"/>
        <w:spacing w:before="1"/>
        <w:ind w:left="900" w:right="1208"/>
      </w:pPr>
      <w:r>
        <w:rPr>
          <w:color w:val="404040"/>
        </w:rPr>
        <w:t>Specifically, the 20% of areas considered most disadvantaged have an average lifetime cost of $381,000 and the 20% of least disadvantaged areas have an average lifetime cost of $274,000 – see section </w:t>
      </w:r>
      <w:hyperlink w:history="true" w:anchor="_bookmark42">
        <w:r>
          <w:rPr>
            <w:color w:val="404040"/>
          </w:rPr>
          <w:t>6.2.</w:t>
        </w:r>
      </w:hyperlink>
    </w:p>
    <w:p>
      <w:pPr>
        <w:pStyle w:val="BodyText"/>
        <w:spacing w:before="8"/>
      </w:pPr>
    </w:p>
    <w:p>
      <w:pPr>
        <w:pStyle w:val="Heading6"/>
        <w:rPr>
          <w:i/>
        </w:rPr>
      </w:pPr>
      <w:r>
        <w:rPr>
          <w:i/>
          <w:color w:val="DF2F1E"/>
        </w:rPr>
        <w:t>Average lifetime cost by region of residence</w:t>
      </w:r>
    </w:p>
    <w:p>
      <w:pPr>
        <w:pStyle w:val="BodyText"/>
        <w:spacing w:before="121"/>
        <w:ind w:left="899" w:right="1209"/>
      </w:pPr>
      <w:r>
        <w:rPr>
          <w:color w:val="404040"/>
        </w:rPr>
        <w:t>The map below shows how the pre-retirement average lifetime cost varies by region for current 11 to 17 year olds. It is important to note that these costs have been mapped using the region of residence for these individuals as at June 2018, as opposed to the region of residence at the point in which welfare payments are received during their lifetimes. The average lifetime cost for this group is around $115,000.</w:t>
      </w:r>
    </w:p>
    <w:p>
      <w:pPr>
        <w:pStyle w:val="Heading9"/>
        <w:spacing w:before="177"/>
        <w:ind w:left="899"/>
      </w:pPr>
      <w:r>
        <w:rPr/>
        <w:drawing>
          <wp:anchor distT="0" distB="0" distL="0" distR="0" allowOverlap="1" layoutInCell="1" locked="0" behindDoc="0" simplePos="0" relativeHeight="124">
            <wp:simplePos x="0" y="0"/>
            <wp:positionH relativeFrom="page">
              <wp:posOffset>783328</wp:posOffset>
            </wp:positionH>
            <wp:positionV relativeFrom="paragraph">
              <wp:posOffset>286440</wp:posOffset>
            </wp:positionV>
            <wp:extent cx="5266784" cy="3755136"/>
            <wp:effectExtent l="0" t="0" r="0" b="0"/>
            <wp:wrapTopAndBottom/>
            <wp:docPr id="17" name="image7.jpeg" descr="This figure shows a map of Australia accompanied by an enlarged view of each capital city.  The map is segmented into regions by ABS statistical area level 3 (SA3).  Regions are coloured by the pre-retirement average lifetime cost for current 11 to 17 year olds.  The darker shade denotes that the region has a higher pre-retirement lifetime cost.   The map shows that the pre-retirement average lifetime cost is significantly higher in remote regions when compared to the major cities.  Further details about this map are discussed in the accompanying text within the report. "/>
            <wp:cNvGraphicFramePr>
              <a:graphicFrameLocks noChangeAspect="1"/>
            </wp:cNvGraphicFramePr>
            <a:graphic>
              <a:graphicData uri="http://schemas.openxmlformats.org/drawingml/2006/picture">
                <pic:pic>
                  <pic:nvPicPr>
                    <pic:cNvPr id="18" name="image7.jpeg"/>
                    <pic:cNvPicPr/>
                  </pic:nvPicPr>
                  <pic:blipFill>
                    <a:blip r:embed="rId15" cstate="print"/>
                    <a:stretch>
                      <a:fillRect/>
                    </a:stretch>
                  </pic:blipFill>
                  <pic:spPr>
                    <a:xfrm>
                      <a:off x="0" y="0"/>
                      <a:ext cx="5266784" cy="3755136"/>
                    </a:xfrm>
                    <a:prstGeom prst="rect">
                      <a:avLst/>
                    </a:prstGeom>
                  </pic:spPr>
                </pic:pic>
              </a:graphicData>
            </a:graphic>
          </wp:anchor>
        </w:drawing>
      </w:r>
      <w:r>
        <w:rPr>
          <w:color w:val="DF2F1E"/>
        </w:rPr>
        <w:t>Figure 14: Pre-retirement average lifetime cost by SA3 region (11 to 17 year olds)</w:t>
      </w:r>
    </w:p>
    <w:p>
      <w:pPr>
        <w:pStyle w:val="BodyText"/>
        <w:rPr>
          <w:b/>
          <w:sz w:val="22"/>
        </w:rPr>
      </w:pPr>
    </w:p>
    <w:p>
      <w:pPr>
        <w:pStyle w:val="BodyText"/>
        <w:rPr>
          <w:b/>
          <w:sz w:val="22"/>
        </w:rPr>
      </w:pPr>
    </w:p>
    <w:p>
      <w:pPr>
        <w:pStyle w:val="BodyText"/>
        <w:spacing w:before="8"/>
        <w:rPr>
          <w:b/>
          <w:sz w:val="17"/>
        </w:rPr>
      </w:pPr>
    </w:p>
    <w:p>
      <w:pPr>
        <w:pStyle w:val="BodyText"/>
        <w:ind w:left="899" w:right="1177"/>
      </w:pPr>
      <w:r>
        <w:rPr>
          <w:color w:val="404040"/>
        </w:rPr>
        <w:t>We can see that the pre-retirement average lifetime cost is significantly higher in remote regions when compared to the major cities. Within the major cities, we note that the average lifetime cost tends to be high in clusters of nearby regions, and that the cost tends to increase the further a region is from a major city centre.</w:t>
      </w:r>
    </w:p>
    <w:p>
      <w:pPr>
        <w:pStyle w:val="BodyText"/>
        <w:spacing w:before="119"/>
        <w:ind w:left="899" w:right="1198"/>
      </w:pPr>
      <w:r>
        <w:rPr>
          <w:color w:val="404040"/>
        </w:rPr>
        <w:t>The chart below illustrates the extent to which the regional variation in pre-retirement average lifetime cost is related to the level of socio-economic advantage or disadvantage in that area. Each bubble in the chart below represents a different region (as defined by the ABS’ Statistical Area 2 boundaries, which make up 2,310</w:t>
      </w:r>
    </w:p>
    <w:p>
      <w:pPr>
        <w:spacing w:after="0"/>
        <w:sectPr>
          <w:pgSz w:w="11910" w:h="16850"/>
          <w:pgMar w:header="572" w:footer="581" w:top="780" w:bottom="780" w:left="120" w:right="0"/>
        </w:sectPr>
      </w:pPr>
    </w:p>
    <w:p>
      <w:pPr>
        <w:pStyle w:val="BodyText"/>
      </w:pPr>
    </w:p>
    <w:p>
      <w:pPr>
        <w:pStyle w:val="BodyText"/>
      </w:pPr>
    </w:p>
    <w:p>
      <w:pPr>
        <w:pStyle w:val="BodyText"/>
        <w:spacing w:before="11"/>
      </w:pPr>
    </w:p>
    <w:p>
      <w:pPr>
        <w:pStyle w:val="BodyText"/>
        <w:spacing w:line="244" w:lineRule="auto" w:before="94"/>
        <w:ind w:left="899" w:right="1309"/>
      </w:pPr>
      <w:r>
        <w:rPr>
          <w:color w:val="404040"/>
        </w:rPr>
        <w:t>different regions</w:t>
      </w:r>
      <w:hyperlink w:history="true" w:anchor="_bookmark15">
        <w:r>
          <w:rPr>
            <w:color w:val="404040"/>
            <w:position w:val="7"/>
            <w:sz w:val="14"/>
          </w:rPr>
          <w:t>3</w:t>
        </w:r>
      </w:hyperlink>
      <w:r>
        <w:rPr>
          <w:color w:val="404040"/>
        </w:rPr>
        <w:t>). The size of the bubble represents the number of people in that area, while darker regions represent clusters of regions with similar average lifetime costs.</w:t>
      </w:r>
    </w:p>
    <w:p>
      <w:pPr>
        <w:pStyle w:val="Heading9"/>
        <w:spacing w:before="174"/>
        <w:ind w:left="899" w:right="1046"/>
      </w:pPr>
      <w:r>
        <w:rPr>
          <w:color w:val="DF2F1E"/>
        </w:rPr>
        <w:t>Figure 15: Distribution of pre-retirement average lifetime cost for each SA2 location by SEIFA decile (11 to 17 year old)</w:t>
      </w:r>
    </w:p>
    <w:p>
      <w:pPr>
        <w:pStyle w:val="BodyText"/>
        <w:spacing w:before="11"/>
        <w:rPr>
          <w:b/>
          <w:sz w:val="27"/>
        </w:rPr>
      </w:pPr>
    </w:p>
    <w:p>
      <w:pPr>
        <w:spacing w:before="0"/>
        <w:ind w:left="1533" w:right="0" w:firstLine="0"/>
        <w:jc w:val="left"/>
        <w:rPr>
          <w:rFonts w:ascii="Calibri"/>
          <w:sz w:val="17"/>
        </w:rPr>
      </w:pPr>
      <w:r>
        <w:rPr/>
        <w:pict>
          <v:group style="position:absolute;margin-left:140.152954pt;margin-top:15.840698pt;width:7.1pt;height:7.8pt;mso-position-horizontal-relative:page;mso-position-vertical-relative:paragraph;z-index:-251530240;mso-wrap-distance-left:0;mso-wrap-distance-right:0" coordorigin="2803,317" coordsize="142,156">
            <v:shape style="position:absolute;left:2817;top:316;width:114;height:114" coordorigin="2817,317" coordsize="114,114" path="m2874,430l2852,426,2834,414,2822,396,2817,373,2822,351,2834,333,2852,321,2874,317,2896,321,2914,333,2926,351,2931,373,2926,396,2914,414,2896,426,2874,430xe" filled="true" fillcolor="#c0504d" stroked="false">
              <v:path arrowok="t"/>
              <v:fill opacity="49087f" type="solid"/>
            </v:shape>
            <v:shape style="position:absolute;left:2803;top:345;width:142;height:128" coordorigin="2803,345" coordsize="142,128" path="m2874,473l2846,468,2824,454,2809,434,2803,409,2809,384,2824,364,2846,350,2874,345,2902,350,2924,364,2939,384,2945,409,2939,434,2924,454,2902,468,2874,473xe" filled="true" fillcolor="#c0504d" stroked="false">
              <v:path arrowok="t"/>
              <v:fill opacity="49087f" type="solid"/>
            </v:shape>
            <w10:wrap type="topAndBottom"/>
          </v:group>
        </w:pict>
      </w:r>
      <w:r>
        <w:rPr/>
        <w:pict>
          <v:shape style="position:absolute;margin-left:65.794571pt;margin-top:6.368619pt;width:11.25pt;height:154.3pt;mso-position-horizontal-relative:page;mso-position-vertical-relative:paragraph;z-index:251797504" type="#_x0000_t202" filled="false" stroked="false">
            <v:textbox inset="0,0,0,0" style="layout-flow:vertical;mso-layout-flow-alt:bottom-to-top">
              <w:txbxContent>
                <w:p>
                  <w:pPr>
                    <w:spacing w:line="207" w:lineRule="exact" w:before="0"/>
                    <w:ind w:left="20" w:right="0" w:firstLine="0"/>
                    <w:jc w:val="left"/>
                    <w:rPr>
                      <w:rFonts w:ascii="Calibri"/>
                      <w:sz w:val="18"/>
                    </w:rPr>
                  </w:pPr>
                  <w:r>
                    <w:rPr>
                      <w:rFonts w:ascii="Calibri"/>
                      <w:color w:val="585858"/>
                      <w:sz w:val="18"/>
                    </w:rPr>
                    <w:t>Pre-retirement average lifetime cost ($)</w:t>
                  </w:r>
                </w:p>
              </w:txbxContent>
            </v:textbox>
            <w10:wrap type="none"/>
          </v:shape>
        </w:pict>
      </w:r>
      <w:r>
        <w:rPr/>
        <w:pict>
          <v:shape style="position:absolute;margin-left:118.163223pt;margin-top:-3.997285pt;width:264.95pt;height:152.35pt;mso-position-horizontal-relative:page;mso-position-vertical-relative:paragraph;z-index:251798528" type="#_x0000_t202" filled="false" stroked="false">
            <v:textbox inset="0,0,0,0">
              <w:txbxContent>
                <w:tbl>
                  <w:tblPr>
                    <w:tblW w:w="0" w:type="auto"/>
                    <w:jc w:val="left"/>
                    <w:tblInd w:w="7" w:type="dxa"/>
                    <w:tblBorders>
                      <w:top w:val="single" w:sz="6" w:space="0" w:color="BEBEBE"/>
                      <w:left w:val="single" w:sz="6" w:space="0" w:color="BEBEBE"/>
                      <w:bottom w:val="single" w:sz="6" w:space="0" w:color="BEBEBE"/>
                      <w:right w:val="single" w:sz="6" w:space="0" w:color="BEBEBE"/>
                      <w:insideH w:val="single" w:sz="6" w:space="0" w:color="BEBEBE"/>
                      <w:insideV w:val="single" w:sz="6" w:space="0" w:color="BEBEBE"/>
                    </w:tblBorders>
                    <w:tblLayout w:type="fixed"/>
                    <w:tblCellMar>
                      <w:top w:w="0" w:type="dxa"/>
                      <w:left w:w="0" w:type="dxa"/>
                      <w:bottom w:w="0" w:type="dxa"/>
                      <w:right w:w="0" w:type="dxa"/>
                    </w:tblCellMar>
                    <w:tblLook w:val="01E0"/>
                  </w:tblPr>
                  <w:tblGrid>
                    <w:gridCol w:w="497"/>
                    <w:gridCol w:w="511"/>
                    <w:gridCol w:w="497"/>
                    <w:gridCol w:w="511"/>
                    <w:gridCol w:w="497"/>
                    <w:gridCol w:w="497"/>
                    <w:gridCol w:w="511"/>
                    <w:gridCol w:w="497"/>
                    <w:gridCol w:w="511"/>
                    <w:gridCol w:w="497"/>
                    <w:gridCol w:w="256"/>
                  </w:tblGrid>
                  <w:tr>
                    <w:trPr>
                      <w:trHeight w:val="190" w:hRule="atLeast"/>
                    </w:trPr>
                    <w:tc>
                      <w:tcPr>
                        <w:tcW w:w="497" w:type="dxa"/>
                        <w:tcBorders>
                          <w:top w:val="nil"/>
                          <w:bottom w:val="single" w:sz="6" w:space="0" w:color="D9D9D9"/>
                          <w:right w:val="single" w:sz="6" w:space="0" w:color="D9D9D9"/>
                        </w:tcBorders>
                      </w:tcPr>
                      <w:p>
                        <w:pPr>
                          <w:pStyle w:val="TableParagraph"/>
                          <w:spacing w:before="0"/>
                          <w:rPr>
                            <w:rFonts w:ascii="Times New Roman"/>
                            <w:sz w:val="12"/>
                          </w:rPr>
                        </w:pPr>
                      </w:p>
                    </w:tc>
                    <w:tc>
                      <w:tcPr>
                        <w:tcW w:w="511" w:type="dxa"/>
                        <w:tcBorders>
                          <w:top w:val="nil"/>
                          <w:left w:val="single" w:sz="6" w:space="0" w:color="D9D9D9"/>
                          <w:bottom w:val="single" w:sz="6" w:space="0" w:color="D9D9D9"/>
                          <w:right w:val="single" w:sz="6" w:space="0" w:color="D9D9D9"/>
                        </w:tcBorders>
                      </w:tcPr>
                      <w:p>
                        <w:pPr>
                          <w:pStyle w:val="TableParagraph"/>
                          <w:spacing w:before="0"/>
                          <w:rPr>
                            <w:rFonts w:ascii="Times New Roman"/>
                            <w:sz w:val="12"/>
                          </w:rPr>
                        </w:pPr>
                      </w:p>
                    </w:tc>
                    <w:tc>
                      <w:tcPr>
                        <w:tcW w:w="497" w:type="dxa"/>
                        <w:tcBorders>
                          <w:top w:val="nil"/>
                          <w:left w:val="single" w:sz="6" w:space="0" w:color="D9D9D9"/>
                          <w:bottom w:val="single" w:sz="6" w:space="0" w:color="D9D9D9"/>
                          <w:right w:val="single" w:sz="6" w:space="0" w:color="D9D9D9"/>
                        </w:tcBorders>
                      </w:tcPr>
                      <w:p>
                        <w:pPr>
                          <w:pStyle w:val="TableParagraph"/>
                          <w:spacing w:before="0"/>
                          <w:rPr>
                            <w:rFonts w:ascii="Times New Roman"/>
                            <w:sz w:val="12"/>
                          </w:rPr>
                        </w:pPr>
                      </w:p>
                    </w:tc>
                    <w:tc>
                      <w:tcPr>
                        <w:tcW w:w="511" w:type="dxa"/>
                        <w:tcBorders>
                          <w:top w:val="nil"/>
                          <w:left w:val="single" w:sz="6" w:space="0" w:color="D9D9D9"/>
                          <w:bottom w:val="single" w:sz="6" w:space="0" w:color="D9D9D9"/>
                          <w:right w:val="single" w:sz="6" w:space="0" w:color="D9D9D9"/>
                        </w:tcBorders>
                      </w:tcPr>
                      <w:p>
                        <w:pPr>
                          <w:pStyle w:val="TableParagraph"/>
                          <w:spacing w:before="0"/>
                          <w:rPr>
                            <w:rFonts w:ascii="Times New Roman"/>
                            <w:sz w:val="12"/>
                          </w:rPr>
                        </w:pPr>
                      </w:p>
                    </w:tc>
                    <w:tc>
                      <w:tcPr>
                        <w:tcW w:w="497" w:type="dxa"/>
                        <w:tcBorders>
                          <w:top w:val="nil"/>
                          <w:left w:val="single" w:sz="6" w:space="0" w:color="D9D9D9"/>
                          <w:bottom w:val="single" w:sz="6" w:space="0" w:color="D9D9D9"/>
                          <w:right w:val="single" w:sz="6" w:space="0" w:color="D9D9D9"/>
                        </w:tcBorders>
                      </w:tcPr>
                      <w:p>
                        <w:pPr>
                          <w:pStyle w:val="TableParagraph"/>
                          <w:spacing w:before="0"/>
                          <w:rPr>
                            <w:rFonts w:ascii="Times New Roman"/>
                            <w:sz w:val="12"/>
                          </w:rPr>
                        </w:pPr>
                      </w:p>
                    </w:tc>
                    <w:tc>
                      <w:tcPr>
                        <w:tcW w:w="497" w:type="dxa"/>
                        <w:tcBorders>
                          <w:top w:val="nil"/>
                          <w:left w:val="single" w:sz="6" w:space="0" w:color="D9D9D9"/>
                          <w:bottom w:val="single" w:sz="6" w:space="0" w:color="D9D9D9"/>
                          <w:right w:val="single" w:sz="6" w:space="0" w:color="D9D9D9"/>
                        </w:tcBorders>
                      </w:tcPr>
                      <w:p>
                        <w:pPr>
                          <w:pStyle w:val="TableParagraph"/>
                          <w:spacing w:before="0"/>
                          <w:rPr>
                            <w:rFonts w:ascii="Times New Roman"/>
                            <w:sz w:val="12"/>
                          </w:rPr>
                        </w:pPr>
                      </w:p>
                    </w:tc>
                    <w:tc>
                      <w:tcPr>
                        <w:tcW w:w="511" w:type="dxa"/>
                        <w:tcBorders>
                          <w:top w:val="nil"/>
                          <w:left w:val="single" w:sz="6" w:space="0" w:color="D9D9D9"/>
                          <w:bottom w:val="single" w:sz="6" w:space="0" w:color="D9D9D9"/>
                          <w:right w:val="single" w:sz="6" w:space="0" w:color="D9D9D9"/>
                        </w:tcBorders>
                      </w:tcPr>
                      <w:p>
                        <w:pPr>
                          <w:pStyle w:val="TableParagraph"/>
                          <w:spacing w:before="0"/>
                          <w:rPr>
                            <w:rFonts w:ascii="Times New Roman"/>
                            <w:sz w:val="12"/>
                          </w:rPr>
                        </w:pPr>
                      </w:p>
                    </w:tc>
                    <w:tc>
                      <w:tcPr>
                        <w:tcW w:w="497" w:type="dxa"/>
                        <w:tcBorders>
                          <w:top w:val="nil"/>
                          <w:left w:val="single" w:sz="6" w:space="0" w:color="D9D9D9"/>
                          <w:bottom w:val="single" w:sz="6" w:space="0" w:color="D9D9D9"/>
                          <w:right w:val="single" w:sz="6" w:space="0" w:color="D9D9D9"/>
                        </w:tcBorders>
                      </w:tcPr>
                      <w:p>
                        <w:pPr>
                          <w:pStyle w:val="TableParagraph"/>
                          <w:spacing w:before="0"/>
                          <w:rPr>
                            <w:rFonts w:ascii="Times New Roman"/>
                            <w:sz w:val="12"/>
                          </w:rPr>
                        </w:pPr>
                      </w:p>
                    </w:tc>
                    <w:tc>
                      <w:tcPr>
                        <w:tcW w:w="511" w:type="dxa"/>
                        <w:tcBorders>
                          <w:top w:val="nil"/>
                          <w:left w:val="single" w:sz="6" w:space="0" w:color="D9D9D9"/>
                          <w:bottom w:val="single" w:sz="6" w:space="0" w:color="D9D9D9"/>
                          <w:right w:val="single" w:sz="6" w:space="0" w:color="D9D9D9"/>
                        </w:tcBorders>
                      </w:tcPr>
                      <w:p>
                        <w:pPr>
                          <w:pStyle w:val="TableParagraph"/>
                          <w:spacing w:before="0"/>
                          <w:rPr>
                            <w:rFonts w:ascii="Times New Roman"/>
                            <w:sz w:val="12"/>
                          </w:rPr>
                        </w:pPr>
                      </w:p>
                    </w:tc>
                    <w:tc>
                      <w:tcPr>
                        <w:tcW w:w="497" w:type="dxa"/>
                        <w:tcBorders>
                          <w:top w:val="nil"/>
                          <w:left w:val="single" w:sz="6" w:space="0" w:color="D9D9D9"/>
                          <w:bottom w:val="single" w:sz="6" w:space="0" w:color="D9D9D9"/>
                          <w:right w:val="single" w:sz="6" w:space="0" w:color="D9D9D9"/>
                        </w:tcBorders>
                      </w:tcPr>
                      <w:p>
                        <w:pPr>
                          <w:pStyle w:val="TableParagraph"/>
                          <w:spacing w:before="0"/>
                          <w:rPr>
                            <w:rFonts w:ascii="Times New Roman"/>
                            <w:sz w:val="12"/>
                          </w:rPr>
                        </w:pPr>
                      </w:p>
                    </w:tc>
                    <w:tc>
                      <w:tcPr>
                        <w:tcW w:w="256" w:type="dxa"/>
                        <w:tcBorders>
                          <w:top w:val="nil"/>
                          <w:left w:val="single" w:sz="6" w:space="0" w:color="D9D9D9"/>
                          <w:bottom w:val="single" w:sz="6" w:space="0" w:color="D9D9D9"/>
                          <w:right w:val="nil"/>
                        </w:tcBorders>
                      </w:tcPr>
                      <w:p>
                        <w:pPr>
                          <w:pStyle w:val="TableParagraph"/>
                          <w:spacing w:before="0"/>
                          <w:rPr>
                            <w:rFonts w:ascii="Times New Roman"/>
                            <w:sz w:val="12"/>
                          </w:rPr>
                        </w:pPr>
                      </w:p>
                    </w:tc>
                  </w:tr>
                  <w:tr>
                    <w:trPr>
                      <w:trHeight w:val="452" w:hRule="atLeast"/>
                    </w:trPr>
                    <w:tc>
                      <w:tcPr>
                        <w:tcW w:w="497" w:type="dxa"/>
                        <w:tcBorders>
                          <w:top w:val="single" w:sz="6" w:space="0" w:color="D9D9D9"/>
                          <w:bottom w:val="single" w:sz="6" w:space="0" w:color="D9D9D9"/>
                          <w:right w:val="single" w:sz="6" w:space="0" w:color="D9D9D9"/>
                        </w:tcBorders>
                      </w:tcPr>
                      <w:p>
                        <w:pPr>
                          <w:pStyle w:val="TableParagraph"/>
                          <w:spacing w:before="0"/>
                          <w:rPr>
                            <w:rFonts w:ascii="Times New Roman"/>
                            <w:sz w:val="18"/>
                          </w:rPr>
                        </w:pPr>
                      </w:p>
                    </w:tc>
                    <w:tc>
                      <w:tcPr>
                        <w:tcW w:w="511" w:type="dxa"/>
                        <w:tcBorders>
                          <w:top w:val="single" w:sz="6" w:space="0" w:color="D9D9D9"/>
                          <w:left w:val="single" w:sz="6" w:space="0" w:color="D9D9D9"/>
                          <w:bottom w:val="single" w:sz="6" w:space="0" w:color="D9D9D9"/>
                          <w:right w:val="single" w:sz="6" w:space="0" w:color="D9D9D9"/>
                        </w:tcBorders>
                      </w:tcPr>
                      <w:p>
                        <w:pPr>
                          <w:pStyle w:val="TableParagraph"/>
                          <w:spacing w:before="0"/>
                          <w:rPr>
                            <w:rFonts w:ascii="Times New Roman"/>
                            <w:sz w:val="18"/>
                          </w:rPr>
                        </w:pPr>
                      </w:p>
                    </w:tc>
                    <w:tc>
                      <w:tcPr>
                        <w:tcW w:w="497" w:type="dxa"/>
                        <w:tcBorders>
                          <w:top w:val="single" w:sz="6" w:space="0" w:color="D9D9D9"/>
                          <w:left w:val="single" w:sz="6" w:space="0" w:color="D9D9D9"/>
                          <w:bottom w:val="single" w:sz="6" w:space="0" w:color="D9D9D9"/>
                          <w:right w:val="single" w:sz="6" w:space="0" w:color="D9D9D9"/>
                        </w:tcBorders>
                      </w:tcPr>
                      <w:p>
                        <w:pPr>
                          <w:pStyle w:val="TableParagraph"/>
                          <w:spacing w:before="0"/>
                          <w:rPr>
                            <w:rFonts w:ascii="Times New Roman"/>
                            <w:sz w:val="18"/>
                          </w:rPr>
                        </w:pPr>
                      </w:p>
                    </w:tc>
                    <w:tc>
                      <w:tcPr>
                        <w:tcW w:w="511" w:type="dxa"/>
                        <w:tcBorders>
                          <w:top w:val="single" w:sz="6" w:space="0" w:color="D9D9D9"/>
                          <w:left w:val="single" w:sz="6" w:space="0" w:color="D9D9D9"/>
                          <w:bottom w:val="single" w:sz="6" w:space="0" w:color="D9D9D9"/>
                          <w:right w:val="single" w:sz="6" w:space="0" w:color="D9D9D9"/>
                        </w:tcBorders>
                      </w:tcPr>
                      <w:p>
                        <w:pPr>
                          <w:pStyle w:val="TableParagraph"/>
                          <w:spacing w:before="0"/>
                          <w:rPr>
                            <w:rFonts w:ascii="Times New Roman"/>
                            <w:sz w:val="18"/>
                          </w:rPr>
                        </w:pPr>
                      </w:p>
                    </w:tc>
                    <w:tc>
                      <w:tcPr>
                        <w:tcW w:w="497" w:type="dxa"/>
                        <w:tcBorders>
                          <w:top w:val="single" w:sz="6" w:space="0" w:color="D9D9D9"/>
                          <w:left w:val="single" w:sz="6" w:space="0" w:color="D9D9D9"/>
                          <w:bottom w:val="single" w:sz="6" w:space="0" w:color="D9D9D9"/>
                          <w:right w:val="single" w:sz="6" w:space="0" w:color="D9D9D9"/>
                        </w:tcBorders>
                      </w:tcPr>
                      <w:p>
                        <w:pPr>
                          <w:pStyle w:val="TableParagraph"/>
                          <w:spacing w:before="0"/>
                          <w:rPr>
                            <w:rFonts w:ascii="Times New Roman"/>
                            <w:sz w:val="18"/>
                          </w:rPr>
                        </w:pPr>
                      </w:p>
                    </w:tc>
                    <w:tc>
                      <w:tcPr>
                        <w:tcW w:w="497" w:type="dxa"/>
                        <w:tcBorders>
                          <w:top w:val="single" w:sz="6" w:space="0" w:color="D9D9D9"/>
                          <w:left w:val="single" w:sz="6" w:space="0" w:color="D9D9D9"/>
                          <w:bottom w:val="single" w:sz="6" w:space="0" w:color="D9D9D9"/>
                          <w:right w:val="single" w:sz="6" w:space="0" w:color="D9D9D9"/>
                        </w:tcBorders>
                      </w:tcPr>
                      <w:p>
                        <w:pPr>
                          <w:pStyle w:val="TableParagraph"/>
                          <w:spacing w:before="0"/>
                          <w:rPr>
                            <w:rFonts w:ascii="Times New Roman"/>
                            <w:sz w:val="18"/>
                          </w:rPr>
                        </w:pPr>
                      </w:p>
                    </w:tc>
                    <w:tc>
                      <w:tcPr>
                        <w:tcW w:w="511" w:type="dxa"/>
                        <w:tcBorders>
                          <w:top w:val="single" w:sz="6" w:space="0" w:color="D9D9D9"/>
                          <w:left w:val="single" w:sz="6" w:space="0" w:color="D9D9D9"/>
                          <w:bottom w:val="single" w:sz="6" w:space="0" w:color="D9D9D9"/>
                          <w:right w:val="single" w:sz="6" w:space="0" w:color="D9D9D9"/>
                        </w:tcBorders>
                      </w:tcPr>
                      <w:p>
                        <w:pPr>
                          <w:pStyle w:val="TableParagraph"/>
                          <w:spacing w:before="0"/>
                          <w:rPr>
                            <w:rFonts w:ascii="Times New Roman"/>
                            <w:sz w:val="18"/>
                          </w:rPr>
                        </w:pPr>
                      </w:p>
                    </w:tc>
                    <w:tc>
                      <w:tcPr>
                        <w:tcW w:w="497" w:type="dxa"/>
                        <w:tcBorders>
                          <w:top w:val="single" w:sz="6" w:space="0" w:color="D9D9D9"/>
                          <w:left w:val="single" w:sz="6" w:space="0" w:color="D9D9D9"/>
                          <w:bottom w:val="single" w:sz="6" w:space="0" w:color="D9D9D9"/>
                          <w:right w:val="single" w:sz="6" w:space="0" w:color="D9D9D9"/>
                        </w:tcBorders>
                      </w:tcPr>
                      <w:p>
                        <w:pPr>
                          <w:pStyle w:val="TableParagraph"/>
                          <w:spacing w:before="0"/>
                          <w:rPr>
                            <w:rFonts w:ascii="Times New Roman"/>
                            <w:sz w:val="18"/>
                          </w:rPr>
                        </w:pPr>
                      </w:p>
                    </w:tc>
                    <w:tc>
                      <w:tcPr>
                        <w:tcW w:w="511" w:type="dxa"/>
                        <w:tcBorders>
                          <w:top w:val="single" w:sz="6" w:space="0" w:color="D9D9D9"/>
                          <w:left w:val="single" w:sz="6" w:space="0" w:color="D9D9D9"/>
                          <w:bottom w:val="single" w:sz="6" w:space="0" w:color="D9D9D9"/>
                          <w:right w:val="single" w:sz="6" w:space="0" w:color="D9D9D9"/>
                        </w:tcBorders>
                      </w:tcPr>
                      <w:p>
                        <w:pPr>
                          <w:pStyle w:val="TableParagraph"/>
                          <w:spacing w:before="0"/>
                          <w:rPr>
                            <w:rFonts w:ascii="Times New Roman"/>
                            <w:sz w:val="18"/>
                          </w:rPr>
                        </w:pPr>
                      </w:p>
                    </w:tc>
                    <w:tc>
                      <w:tcPr>
                        <w:tcW w:w="497" w:type="dxa"/>
                        <w:tcBorders>
                          <w:top w:val="single" w:sz="6" w:space="0" w:color="D9D9D9"/>
                          <w:left w:val="single" w:sz="6" w:space="0" w:color="D9D9D9"/>
                          <w:bottom w:val="single" w:sz="6" w:space="0" w:color="D9D9D9"/>
                          <w:right w:val="single" w:sz="6" w:space="0" w:color="D9D9D9"/>
                        </w:tcBorders>
                      </w:tcPr>
                      <w:p>
                        <w:pPr>
                          <w:pStyle w:val="TableParagraph"/>
                          <w:spacing w:before="0"/>
                          <w:rPr>
                            <w:rFonts w:ascii="Times New Roman"/>
                            <w:sz w:val="18"/>
                          </w:rPr>
                        </w:pPr>
                      </w:p>
                    </w:tc>
                    <w:tc>
                      <w:tcPr>
                        <w:tcW w:w="256" w:type="dxa"/>
                        <w:tcBorders>
                          <w:top w:val="single" w:sz="6" w:space="0" w:color="D9D9D9"/>
                          <w:left w:val="single" w:sz="6" w:space="0" w:color="D9D9D9"/>
                          <w:bottom w:val="single" w:sz="6" w:space="0" w:color="D9D9D9"/>
                          <w:right w:val="nil"/>
                        </w:tcBorders>
                      </w:tcPr>
                      <w:p>
                        <w:pPr>
                          <w:pStyle w:val="TableParagraph"/>
                          <w:spacing w:before="0"/>
                          <w:rPr>
                            <w:rFonts w:ascii="Times New Roman"/>
                            <w:sz w:val="18"/>
                          </w:rPr>
                        </w:pPr>
                      </w:p>
                    </w:tc>
                  </w:tr>
                  <w:tr>
                    <w:trPr>
                      <w:trHeight w:val="452" w:hRule="atLeast"/>
                    </w:trPr>
                    <w:tc>
                      <w:tcPr>
                        <w:tcW w:w="497" w:type="dxa"/>
                        <w:tcBorders>
                          <w:top w:val="single" w:sz="6" w:space="0" w:color="D9D9D9"/>
                          <w:bottom w:val="single" w:sz="6" w:space="0" w:color="D9D9D9"/>
                          <w:right w:val="single" w:sz="6" w:space="0" w:color="D9D9D9"/>
                        </w:tcBorders>
                      </w:tcPr>
                      <w:p>
                        <w:pPr>
                          <w:pStyle w:val="TableParagraph"/>
                          <w:spacing w:before="0"/>
                          <w:rPr>
                            <w:rFonts w:ascii="Times New Roman"/>
                            <w:sz w:val="18"/>
                          </w:rPr>
                        </w:pPr>
                      </w:p>
                    </w:tc>
                    <w:tc>
                      <w:tcPr>
                        <w:tcW w:w="511" w:type="dxa"/>
                        <w:tcBorders>
                          <w:top w:val="single" w:sz="6" w:space="0" w:color="D9D9D9"/>
                          <w:left w:val="single" w:sz="6" w:space="0" w:color="D9D9D9"/>
                          <w:bottom w:val="single" w:sz="6" w:space="0" w:color="D9D9D9"/>
                          <w:right w:val="single" w:sz="6" w:space="0" w:color="D9D9D9"/>
                        </w:tcBorders>
                      </w:tcPr>
                      <w:p>
                        <w:pPr>
                          <w:pStyle w:val="TableParagraph"/>
                          <w:spacing w:before="0"/>
                          <w:rPr>
                            <w:rFonts w:ascii="Times New Roman"/>
                            <w:sz w:val="18"/>
                          </w:rPr>
                        </w:pPr>
                      </w:p>
                    </w:tc>
                    <w:tc>
                      <w:tcPr>
                        <w:tcW w:w="497" w:type="dxa"/>
                        <w:tcBorders>
                          <w:top w:val="single" w:sz="6" w:space="0" w:color="D9D9D9"/>
                          <w:left w:val="single" w:sz="6" w:space="0" w:color="D9D9D9"/>
                          <w:bottom w:val="single" w:sz="6" w:space="0" w:color="D9D9D9"/>
                          <w:right w:val="single" w:sz="6" w:space="0" w:color="D9D9D9"/>
                        </w:tcBorders>
                      </w:tcPr>
                      <w:p>
                        <w:pPr>
                          <w:pStyle w:val="TableParagraph"/>
                          <w:spacing w:before="0"/>
                          <w:rPr>
                            <w:rFonts w:ascii="Times New Roman"/>
                            <w:sz w:val="18"/>
                          </w:rPr>
                        </w:pPr>
                      </w:p>
                    </w:tc>
                    <w:tc>
                      <w:tcPr>
                        <w:tcW w:w="511" w:type="dxa"/>
                        <w:tcBorders>
                          <w:top w:val="single" w:sz="6" w:space="0" w:color="D9D9D9"/>
                          <w:left w:val="single" w:sz="6" w:space="0" w:color="D9D9D9"/>
                          <w:bottom w:val="single" w:sz="6" w:space="0" w:color="D9D9D9"/>
                          <w:right w:val="single" w:sz="6" w:space="0" w:color="D9D9D9"/>
                        </w:tcBorders>
                      </w:tcPr>
                      <w:p>
                        <w:pPr>
                          <w:pStyle w:val="TableParagraph"/>
                          <w:spacing w:before="0"/>
                          <w:rPr>
                            <w:rFonts w:ascii="Times New Roman"/>
                            <w:sz w:val="18"/>
                          </w:rPr>
                        </w:pPr>
                      </w:p>
                    </w:tc>
                    <w:tc>
                      <w:tcPr>
                        <w:tcW w:w="497" w:type="dxa"/>
                        <w:tcBorders>
                          <w:top w:val="single" w:sz="6" w:space="0" w:color="D9D9D9"/>
                          <w:left w:val="single" w:sz="6" w:space="0" w:color="D9D9D9"/>
                          <w:bottom w:val="single" w:sz="6" w:space="0" w:color="D9D9D9"/>
                          <w:right w:val="single" w:sz="6" w:space="0" w:color="D9D9D9"/>
                        </w:tcBorders>
                      </w:tcPr>
                      <w:p>
                        <w:pPr>
                          <w:pStyle w:val="TableParagraph"/>
                          <w:spacing w:before="0"/>
                          <w:rPr>
                            <w:rFonts w:ascii="Times New Roman"/>
                            <w:sz w:val="18"/>
                          </w:rPr>
                        </w:pPr>
                      </w:p>
                    </w:tc>
                    <w:tc>
                      <w:tcPr>
                        <w:tcW w:w="497" w:type="dxa"/>
                        <w:tcBorders>
                          <w:top w:val="single" w:sz="6" w:space="0" w:color="D9D9D9"/>
                          <w:left w:val="single" w:sz="6" w:space="0" w:color="D9D9D9"/>
                          <w:bottom w:val="single" w:sz="6" w:space="0" w:color="D9D9D9"/>
                          <w:right w:val="single" w:sz="6" w:space="0" w:color="D9D9D9"/>
                        </w:tcBorders>
                      </w:tcPr>
                      <w:p>
                        <w:pPr>
                          <w:pStyle w:val="TableParagraph"/>
                          <w:spacing w:before="0"/>
                          <w:rPr>
                            <w:rFonts w:ascii="Times New Roman"/>
                            <w:sz w:val="18"/>
                          </w:rPr>
                        </w:pPr>
                      </w:p>
                    </w:tc>
                    <w:tc>
                      <w:tcPr>
                        <w:tcW w:w="511" w:type="dxa"/>
                        <w:tcBorders>
                          <w:top w:val="single" w:sz="6" w:space="0" w:color="D9D9D9"/>
                          <w:left w:val="single" w:sz="6" w:space="0" w:color="D9D9D9"/>
                          <w:bottom w:val="single" w:sz="6" w:space="0" w:color="D9D9D9"/>
                          <w:right w:val="single" w:sz="6" w:space="0" w:color="D9D9D9"/>
                        </w:tcBorders>
                      </w:tcPr>
                      <w:p>
                        <w:pPr>
                          <w:pStyle w:val="TableParagraph"/>
                          <w:spacing w:before="0"/>
                          <w:rPr>
                            <w:rFonts w:ascii="Times New Roman"/>
                            <w:sz w:val="18"/>
                          </w:rPr>
                        </w:pPr>
                      </w:p>
                    </w:tc>
                    <w:tc>
                      <w:tcPr>
                        <w:tcW w:w="497" w:type="dxa"/>
                        <w:tcBorders>
                          <w:top w:val="single" w:sz="6" w:space="0" w:color="D9D9D9"/>
                          <w:left w:val="single" w:sz="6" w:space="0" w:color="D9D9D9"/>
                          <w:bottom w:val="single" w:sz="6" w:space="0" w:color="D9D9D9"/>
                          <w:right w:val="single" w:sz="6" w:space="0" w:color="D9D9D9"/>
                        </w:tcBorders>
                      </w:tcPr>
                      <w:p>
                        <w:pPr>
                          <w:pStyle w:val="TableParagraph"/>
                          <w:spacing w:before="0"/>
                          <w:rPr>
                            <w:rFonts w:ascii="Times New Roman"/>
                            <w:sz w:val="18"/>
                          </w:rPr>
                        </w:pPr>
                      </w:p>
                    </w:tc>
                    <w:tc>
                      <w:tcPr>
                        <w:tcW w:w="511" w:type="dxa"/>
                        <w:tcBorders>
                          <w:top w:val="single" w:sz="6" w:space="0" w:color="D9D9D9"/>
                          <w:left w:val="single" w:sz="6" w:space="0" w:color="D9D9D9"/>
                          <w:bottom w:val="single" w:sz="6" w:space="0" w:color="D9D9D9"/>
                          <w:right w:val="single" w:sz="6" w:space="0" w:color="D9D9D9"/>
                        </w:tcBorders>
                      </w:tcPr>
                      <w:p>
                        <w:pPr>
                          <w:pStyle w:val="TableParagraph"/>
                          <w:spacing w:before="0"/>
                          <w:rPr>
                            <w:rFonts w:ascii="Times New Roman"/>
                            <w:sz w:val="18"/>
                          </w:rPr>
                        </w:pPr>
                      </w:p>
                    </w:tc>
                    <w:tc>
                      <w:tcPr>
                        <w:tcW w:w="497" w:type="dxa"/>
                        <w:tcBorders>
                          <w:top w:val="single" w:sz="6" w:space="0" w:color="D9D9D9"/>
                          <w:left w:val="single" w:sz="6" w:space="0" w:color="D9D9D9"/>
                          <w:bottom w:val="single" w:sz="6" w:space="0" w:color="D9D9D9"/>
                          <w:right w:val="single" w:sz="6" w:space="0" w:color="D9D9D9"/>
                        </w:tcBorders>
                      </w:tcPr>
                      <w:p>
                        <w:pPr>
                          <w:pStyle w:val="TableParagraph"/>
                          <w:spacing w:before="0"/>
                          <w:rPr>
                            <w:rFonts w:ascii="Times New Roman"/>
                            <w:sz w:val="18"/>
                          </w:rPr>
                        </w:pPr>
                      </w:p>
                    </w:tc>
                    <w:tc>
                      <w:tcPr>
                        <w:tcW w:w="256" w:type="dxa"/>
                        <w:tcBorders>
                          <w:top w:val="single" w:sz="6" w:space="0" w:color="D9D9D9"/>
                          <w:left w:val="single" w:sz="6" w:space="0" w:color="D9D9D9"/>
                          <w:bottom w:val="single" w:sz="6" w:space="0" w:color="D9D9D9"/>
                          <w:right w:val="nil"/>
                        </w:tcBorders>
                      </w:tcPr>
                      <w:p>
                        <w:pPr>
                          <w:pStyle w:val="TableParagraph"/>
                          <w:spacing w:before="0"/>
                          <w:rPr>
                            <w:rFonts w:ascii="Times New Roman"/>
                            <w:sz w:val="18"/>
                          </w:rPr>
                        </w:pPr>
                      </w:p>
                    </w:tc>
                  </w:tr>
                  <w:tr>
                    <w:trPr>
                      <w:trHeight w:val="466" w:hRule="atLeast"/>
                    </w:trPr>
                    <w:tc>
                      <w:tcPr>
                        <w:tcW w:w="497" w:type="dxa"/>
                        <w:tcBorders>
                          <w:top w:val="single" w:sz="6" w:space="0" w:color="D9D9D9"/>
                          <w:bottom w:val="single" w:sz="6" w:space="0" w:color="D9D9D9"/>
                          <w:right w:val="single" w:sz="6" w:space="0" w:color="D9D9D9"/>
                        </w:tcBorders>
                      </w:tcPr>
                      <w:p>
                        <w:pPr>
                          <w:pStyle w:val="TableParagraph"/>
                          <w:spacing w:before="0"/>
                          <w:rPr>
                            <w:rFonts w:ascii="Times New Roman"/>
                            <w:sz w:val="18"/>
                          </w:rPr>
                        </w:pPr>
                      </w:p>
                    </w:tc>
                    <w:tc>
                      <w:tcPr>
                        <w:tcW w:w="511" w:type="dxa"/>
                        <w:tcBorders>
                          <w:top w:val="single" w:sz="6" w:space="0" w:color="D9D9D9"/>
                          <w:left w:val="single" w:sz="6" w:space="0" w:color="D9D9D9"/>
                          <w:bottom w:val="single" w:sz="6" w:space="0" w:color="D9D9D9"/>
                          <w:right w:val="single" w:sz="6" w:space="0" w:color="D9D9D9"/>
                        </w:tcBorders>
                      </w:tcPr>
                      <w:p>
                        <w:pPr>
                          <w:pStyle w:val="TableParagraph"/>
                          <w:spacing w:before="0"/>
                          <w:rPr>
                            <w:rFonts w:ascii="Times New Roman"/>
                            <w:sz w:val="18"/>
                          </w:rPr>
                        </w:pPr>
                      </w:p>
                    </w:tc>
                    <w:tc>
                      <w:tcPr>
                        <w:tcW w:w="497" w:type="dxa"/>
                        <w:tcBorders>
                          <w:top w:val="single" w:sz="6" w:space="0" w:color="D9D9D9"/>
                          <w:left w:val="single" w:sz="6" w:space="0" w:color="D9D9D9"/>
                          <w:bottom w:val="single" w:sz="6" w:space="0" w:color="D9D9D9"/>
                          <w:right w:val="single" w:sz="6" w:space="0" w:color="D9D9D9"/>
                        </w:tcBorders>
                      </w:tcPr>
                      <w:p>
                        <w:pPr>
                          <w:pStyle w:val="TableParagraph"/>
                          <w:spacing w:before="0"/>
                          <w:rPr>
                            <w:rFonts w:ascii="Times New Roman"/>
                            <w:sz w:val="18"/>
                          </w:rPr>
                        </w:pPr>
                      </w:p>
                    </w:tc>
                    <w:tc>
                      <w:tcPr>
                        <w:tcW w:w="511" w:type="dxa"/>
                        <w:tcBorders>
                          <w:top w:val="single" w:sz="6" w:space="0" w:color="D9D9D9"/>
                          <w:left w:val="single" w:sz="6" w:space="0" w:color="D9D9D9"/>
                          <w:bottom w:val="single" w:sz="6" w:space="0" w:color="D9D9D9"/>
                          <w:right w:val="single" w:sz="6" w:space="0" w:color="D9D9D9"/>
                        </w:tcBorders>
                      </w:tcPr>
                      <w:p>
                        <w:pPr>
                          <w:pStyle w:val="TableParagraph"/>
                          <w:spacing w:before="0"/>
                          <w:rPr>
                            <w:rFonts w:ascii="Times New Roman"/>
                            <w:sz w:val="18"/>
                          </w:rPr>
                        </w:pPr>
                      </w:p>
                    </w:tc>
                    <w:tc>
                      <w:tcPr>
                        <w:tcW w:w="497" w:type="dxa"/>
                        <w:tcBorders>
                          <w:top w:val="single" w:sz="6" w:space="0" w:color="D9D9D9"/>
                          <w:left w:val="single" w:sz="6" w:space="0" w:color="D9D9D9"/>
                          <w:bottom w:val="single" w:sz="6" w:space="0" w:color="D9D9D9"/>
                          <w:right w:val="single" w:sz="6" w:space="0" w:color="D9D9D9"/>
                        </w:tcBorders>
                      </w:tcPr>
                      <w:p>
                        <w:pPr>
                          <w:pStyle w:val="TableParagraph"/>
                          <w:spacing w:before="0"/>
                          <w:rPr>
                            <w:rFonts w:ascii="Times New Roman"/>
                            <w:sz w:val="18"/>
                          </w:rPr>
                        </w:pPr>
                      </w:p>
                    </w:tc>
                    <w:tc>
                      <w:tcPr>
                        <w:tcW w:w="497" w:type="dxa"/>
                        <w:tcBorders>
                          <w:top w:val="single" w:sz="6" w:space="0" w:color="D9D9D9"/>
                          <w:left w:val="single" w:sz="6" w:space="0" w:color="D9D9D9"/>
                          <w:bottom w:val="single" w:sz="6" w:space="0" w:color="D9D9D9"/>
                          <w:right w:val="single" w:sz="6" w:space="0" w:color="D9D9D9"/>
                        </w:tcBorders>
                      </w:tcPr>
                      <w:p>
                        <w:pPr>
                          <w:pStyle w:val="TableParagraph"/>
                          <w:spacing w:before="0"/>
                          <w:rPr>
                            <w:rFonts w:ascii="Times New Roman"/>
                            <w:sz w:val="18"/>
                          </w:rPr>
                        </w:pPr>
                      </w:p>
                    </w:tc>
                    <w:tc>
                      <w:tcPr>
                        <w:tcW w:w="511" w:type="dxa"/>
                        <w:tcBorders>
                          <w:top w:val="single" w:sz="6" w:space="0" w:color="D9D9D9"/>
                          <w:left w:val="single" w:sz="6" w:space="0" w:color="D9D9D9"/>
                          <w:bottom w:val="single" w:sz="6" w:space="0" w:color="D9D9D9"/>
                          <w:right w:val="single" w:sz="6" w:space="0" w:color="D9D9D9"/>
                        </w:tcBorders>
                      </w:tcPr>
                      <w:p>
                        <w:pPr>
                          <w:pStyle w:val="TableParagraph"/>
                          <w:spacing w:before="0"/>
                          <w:rPr>
                            <w:rFonts w:ascii="Times New Roman"/>
                            <w:sz w:val="18"/>
                          </w:rPr>
                        </w:pPr>
                      </w:p>
                    </w:tc>
                    <w:tc>
                      <w:tcPr>
                        <w:tcW w:w="497" w:type="dxa"/>
                        <w:tcBorders>
                          <w:top w:val="single" w:sz="6" w:space="0" w:color="D9D9D9"/>
                          <w:left w:val="single" w:sz="6" w:space="0" w:color="D9D9D9"/>
                          <w:bottom w:val="single" w:sz="6" w:space="0" w:color="D9D9D9"/>
                          <w:right w:val="single" w:sz="6" w:space="0" w:color="D9D9D9"/>
                        </w:tcBorders>
                      </w:tcPr>
                      <w:p>
                        <w:pPr>
                          <w:pStyle w:val="TableParagraph"/>
                          <w:spacing w:before="0"/>
                          <w:rPr>
                            <w:rFonts w:ascii="Times New Roman"/>
                            <w:sz w:val="18"/>
                          </w:rPr>
                        </w:pPr>
                      </w:p>
                    </w:tc>
                    <w:tc>
                      <w:tcPr>
                        <w:tcW w:w="511" w:type="dxa"/>
                        <w:tcBorders>
                          <w:top w:val="single" w:sz="6" w:space="0" w:color="D9D9D9"/>
                          <w:left w:val="single" w:sz="6" w:space="0" w:color="D9D9D9"/>
                          <w:bottom w:val="single" w:sz="6" w:space="0" w:color="D9D9D9"/>
                          <w:right w:val="single" w:sz="6" w:space="0" w:color="D9D9D9"/>
                        </w:tcBorders>
                      </w:tcPr>
                      <w:p>
                        <w:pPr>
                          <w:pStyle w:val="TableParagraph"/>
                          <w:spacing w:before="0"/>
                          <w:rPr>
                            <w:rFonts w:ascii="Times New Roman"/>
                            <w:sz w:val="18"/>
                          </w:rPr>
                        </w:pPr>
                      </w:p>
                    </w:tc>
                    <w:tc>
                      <w:tcPr>
                        <w:tcW w:w="497" w:type="dxa"/>
                        <w:tcBorders>
                          <w:top w:val="single" w:sz="6" w:space="0" w:color="D9D9D9"/>
                          <w:left w:val="single" w:sz="6" w:space="0" w:color="D9D9D9"/>
                          <w:bottom w:val="single" w:sz="6" w:space="0" w:color="D9D9D9"/>
                          <w:right w:val="single" w:sz="6" w:space="0" w:color="D9D9D9"/>
                        </w:tcBorders>
                      </w:tcPr>
                      <w:p>
                        <w:pPr>
                          <w:pStyle w:val="TableParagraph"/>
                          <w:spacing w:before="0"/>
                          <w:rPr>
                            <w:rFonts w:ascii="Times New Roman"/>
                            <w:sz w:val="18"/>
                          </w:rPr>
                        </w:pPr>
                      </w:p>
                    </w:tc>
                    <w:tc>
                      <w:tcPr>
                        <w:tcW w:w="256" w:type="dxa"/>
                        <w:tcBorders>
                          <w:top w:val="single" w:sz="6" w:space="0" w:color="D9D9D9"/>
                          <w:left w:val="single" w:sz="6" w:space="0" w:color="D9D9D9"/>
                          <w:bottom w:val="single" w:sz="6" w:space="0" w:color="D9D9D9"/>
                          <w:right w:val="nil"/>
                        </w:tcBorders>
                      </w:tcPr>
                      <w:p>
                        <w:pPr>
                          <w:pStyle w:val="TableParagraph"/>
                          <w:spacing w:before="0"/>
                          <w:rPr>
                            <w:rFonts w:ascii="Times New Roman"/>
                            <w:sz w:val="18"/>
                          </w:rPr>
                        </w:pPr>
                      </w:p>
                    </w:tc>
                  </w:tr>
                  <w:tr>
                    <w:trPr>
                      <w:trHeight w:val="452" w:hRule="atLeast"/>
                    </w:trPr>
                    <w:tc>
                      <w:tcPr>
                        <w:tcW w:w="497" w:type="dxa"/>
                        <w:tcBorders>
                          <w:top w:val="single" w:sz="6" w:space="0" w:color="D9D9D9"/>
                          <w:bottom w:val="single" w:sz="6" w:space="0" w:color="D9D9D9"/>
                          <w:right w:val="single" w:sz="6" w:space="0" w:color="D9D9D9"/>
                        </w:tcBorders>
                      </w:tcPr>
                      <w:p>
                        <w:pPr>
                          <w:pStyle w:val="TableParagraph"/>
                          <w:spacing w:before="0"/>
                          <w:rPr>
                            <w:rFonts w:ascii="Times New Roman"/>
                            <w:sz w:val="18"/>
                          </w:rPr>
                        </w:pPr>
                      </w:p>
                    </w:tc>
                    <w:tc>
                      <w:tcPr>
                        <w:tcW w:w="511" w:type="dxa"/>
                        <w:tcBorders>
                          <w:top w:val="single" w:sz="6" w:space="0" w:color="D9D9D9"/>
                          <w:left w:val="single" w:sz="6" w:space="0" w:color="D9D9D9"/>
                          <w:bottom w:val="single" w:sz="6" w:space="0" w:color="D9D9D9"/>
                          <w:right w:val="single" w:sz="6" w:space="0" w:color="D9D9D9"/>
                        </w:tcBorders>
                      </w:tcPr>
                      <w:p>
                        <w:pPr>
                          <w:pStyle w:val="TableParagraph"/>
                          <w:spacing w:before="0"/>
                          <w:rPr>
                            <w:rFonts w:ascii="Times New Roman"/>
                            <w:sz w:val="18"/>
                          </w:rPr>
                        </w:pPr>
                      </w:p>
                    </w:tc>
                    <w:tc>
                      <w:tcPr>
                        <w:tcW w:w="497" w:type="dxa"/>
                        <w:tcBorders>
                          <w:top w:val="single" w:sz="6" w:space="0" w:color="D9D9D9"/>
                          <w:left w:val="single" w:sz="6" w:space="0" w:color="D9D9D9"/>
                          <w:bottom w:val="single" w:sz="6" w:space="0" w:color="D9D9D9"/>
                          <w:right w:val="single" w:sz="6" w:space="0" w:color="D9D9D9"/>
                        </w:tcBorders>
                      </w:tcPr>
                      <w:p>
                        <w:pPr>
                          <w:pStyle w:val="TableParagraph"/>
                          <w:spacing w:before="0"/>
                          <w:rPr>
                            <w:rFonts w:ascii="Times New Roman"/>
                            <w:sz w:val="18"/>
                          </w:rPr>
                        </w:pPr>
                      </w:p>
                    </w:tc>
                    <w:tc>
                      <w:tcPr>
                        <w:tcW w:w="511" w:type="dxa"/>
                        <w:tcBorders>
                          <w:top w:val="single" w:sz="6" w:space="0" w:color="D9D9D9"/>
                          <w:left w:val="single" w:sz="6" w:space="0" w:color="D9D9D9"/>
                          <w:bottom w:val="single" w:sz="6" w:space="0" w:color="D9D9D9"/>
                          <w:right w:val="single" w:sz="6" w:space="0" w:color="D9D9D9"/>
                        </w:tcBorders>
                      </w:tcPr>
                      <w:p>
                        <w:pPr>
                          <w:pStyle w:val="TableParagraph"/>
                          <w:spacing w:before="0"/>
                          <w:rPr>
                            <w:rFonts w:ascii="Times New Roman"/>
                            <w:sz w:val="18"/>
                          </w:rPr>
                        </w:pPr>
                      </w:p>
                    </w:tc>
                    <w:tc>
                      <w:tcPr>
                        <w:tcW w:w="497" w:type="dxa"/>
                        <w:tcBorders>
                          <w:top w:val="single" w:sz="6" w:space="0" w:color="D9D9D9"/>
                          <w:left w:val="single" w:sz="6" w:space="0" w:color="D9D9D9"/>
                          <w:bottom w:val="single" w:sz="6" w:space="0" w:color="D9D9D9"/>
                          <w:right w:val="single" w:sz="6" w:space="0" w:color="D9D9D9"/>
                        </w:tcBorders>
                      </w:tcPr>
                      <w:p>
                        <w:pPr>
                          <w:pStyle w:val="TableParagraph"/>
                          <w:spacing w:before="0"/>
                          <w:rPr>
                            <w:rFonts w:ascii="Times New Roman"/>
                            <w:sz w:val="18"/>
                          </w:rPr>
                        </w:pPr>
                      </w:p>
                    </w:tc>
                    <w:tc>
                      <w:tcPr>
                        <w:tcW w:w="497" w:type="dxa"/>
                        <w:tcBorders>
                          <w:top w:val="single" w:sz="6" w:space="0" w:color="D9D9D9"/>
                          <w:left w:val="single" w:sz="6" w:space="0" w:color="D9D9D9"/>
                          <w:bottom w:val="single" w:sz="6" w:space="0" w:color="D9D9D9"/>
                          <w:right w:val="single" w:sz="6" w:space="0" w:color="D9D9D9"/>
                        </w:tcBorders>
                      </w:tcPr>
                      <w:p>
                        <w:pPr>
                          <w:pStyle w:val="TableParagraph"/>
                          <w:spacing w:before="0"/>
                          <w:rPr>
                            <w:rFonts w:ascii="Times New Roman"/>
                            <w:sz w:val="18"/>
                          </w:rPr>
                        </w:pPr>
                      </w:p>
                    </w:tc>
                    <w:tc>
                      <w:tcPr>
                        <w:tcW w:w="511" w:type="dxa"/>
                        <w:tcBorders>
                          <w:top w:val="single" w:sz="6" w:space="0" w:color="D9D9D9"/>
                          <w:left w:val="single" w:sz="6" w:space="0" w:color="D9D9D9"/>
                          <w:bottom w:val="single" w:sz="6" w:space="0" w:color="D9D9D9"/>
                          <w:right w:val="single" w:sz="6" w:space="0" w:color="D9D9D9"/>
                        </w:tcBorders>
                      </w:tcPr>
                      <w:p>
                        <w:pPr>
                          <w:pStyle w:val="TableParagraph"/>
                          <w:spacing w:before="0"/>
                          <w:rPr>
                            <w:rFonts w:ascii="Times New Roman"/>
                            <w:sz w:val="18"/>
                          </w:rPr>
                        </w:pPr>
                      </w:p>
                    </w:tc>
                    <w:tc>
                      <w:tcPr>
                        <w:tcW w:w="497" w:type="dxa"/>
                        <w:tcBorders>
                          <w:top w:val="single" w:sz="6" w:space="0" w:color="D9D9D9"/>
                          <w:left w:val="single" w:sz="6" w:space="0" w:color="D9D9D9"/>
                          <w:bottom w:val="single" w:sz="6" w:space="0" w:color="D9D9D9"/>
                          <w:right w:val="single" w:sz="6" w:space="0" w:color="D9D9D9"/>
                        </w:tcBorders>
                      </w:tcPr>
                      <w:p>
                        <w:pPr>
                          <w:pStyle w:val="TableParagraph"/>
                          <w:spacing w:before="0"/>
                          <w:rPr>
                            <w:rFonts w:ascii="Times New Roman"/>
                            <w:sz w:val="18"/>
                          </w:rPr>
                        </w:pPr>
                      </w:p>
                    </w:tc>
                    <w:tc>
                      <w:tcPr>
                        <w:tcW w:w="511" w:type="dxa"/>
                        <w:tcBorders>
                          <w:top w:val="single" w:sz="6" w:space="0" w:color="D9D9D9"/>
                          <w:left w:val="single" w:sz="6" w:space="0" w:color="D9D9D9"/>
                          <w:bottom w:val="single" w:sz="6" w:space="0" w:color="D9D9D9"/>
                          <w:right w:val="single" w:sz="6" w:space="0" w:color="D9D9D9"/>
                        </w:tcBorders>
                      </w:tcPr>
                      <w:p>
                        <w:pPr>
                          <w:pStyle w:val="TableParagraph"/>
                          <w:spacing w:before="0"/>
                          <w:rPr>
                            <w:rFonts w:ascii="Times New Roman"/>
                            <w:sz w:val="18"/>
                          </w:rPr>
                        </w:pPr>
                      </w:p>
                    </w:tc>
                    <w:tc>
                      <w:tcPr>
                        <w:tcW w:w="497" w:type="dxa"/>
                        <w:tcBorders>
                          <w:top w:val="single" w:sz="6" w:space="0" w:color="D9D9D9"/>
                          <w:left w:val="single" w:sz="6" w:space="0" w:color="D9D9D9"/>
                          <w:bottom w:val="single" w:sz="6" w:space="0" w:color="D9D9D9"/>
                          <w:right w:val="single" w:sz="6" w:space="0" w:color="D9D9D9"/>
                        </w:tcBorders>
                      </w:tcPr>
                      <w:p>
                        <w:pPr>
                          <w:pStyle w:val="TableParagraph"/>
                          <w:spacing w:before="0"/>
                          <w:rPr>
                            <w:rFonts w:ascii="Times New Roman"/>
                            <w:sz w:val="18"/>
                          </w:rPr>
                        </w:pPr>
                      </w:p>
                    </w:tc>
                    <w:tc>
                      <w:tcPr>
                        <w:tcW w:w="256" w:type="dxa"/>
                        <w:tcBorders>
                          <w:top w:val="single" w:sz="6" w:space="0" w:color="D9D9D9"/>
                          <w:left w:val="single" w:sz="6" w:space="0" w:color="D9D9D9"/>
                          <w:bottom w:val="single" w:sz="6" w:space="0" w:color="D9D9D9"/>
                          <w:right w:val="nil"/>
                        </w:tcBorders>
                      </w:tcPr>
                      <w:p>
                        <w:pPr>
                          <w:pStyle w:val="TableParagraph"/>
                          <w:spacing w:before="0"/>
                          <w:rPr>
                            <w:rFonts w:ascii="Times New Roman"/>
                            <w:sz w:val="18"/>
                          </w:rPr>
                        </w:pPr>
                      </w:p>
                    </w:tc>
                  </w:tr>
                  <w:tr>
                    <w:trPr>
                      <w:trHeight w:val="466" w:hRule="atLeast"/>
                    </w:trPr>
                    <w:tc>
                      <w:tcPr>
                        <w:tcW w:w="497" w:type="dxa"/>
                        <w:tcBorders>
                          <w:top w:val="single" w:sz="6" w:space="0" w:color="D9D9D9"/>
                          <w:bottom w:val="single" w:sz="6" w:space="0" w:color="D9D9D9"/>
                          <w:right w:val="single" w:sz="6" w:space="0" w:color="D9D9D9"/>
                        </w:tcBorders>
                      </w:tcPr>
                      <w:p>
                        <w:pPr>
                          <w:pStyle w:val="TableParagraph"/>
                          <w:spacing w:before="0"/>
                          <w:rPr>
                            <w:rFonts w:ascii="Times New Roman"/>
                            <w:sz w:val="18"/>
                          </w:rPr>
                        </w:pPr>
                      </w:p>
                    </w:tc>
                    <w:tc>
                      <w:tcPr>
                        <w:tcW w:w="511" w:type="dxa"/>
                        <w:tcBorders>
                          <w:top w:val="single" w:sz="6" w:space="0" w:color="D9D9D9"/>
                          <w:left w:val="single" w:sz="6" w:space="0" w:color="D9D9D9"/>
                          <w:bottom w:val="single" w:sz="6" w:space="0" w:color="D9D9D9"/>
                          <w:right w:val="single" w:sz="6" w:space="0" w:color="D9D9D9"/>
                        </w:tcBorders>
                      </w:tcPr>
                      <w:p>
                        <w:pPr>
                          <w:pStyle w:val="TableParagraph"/>
                          <w:spacing w:before="0"/>
                          <w:rPr>
                            <w:rFonts w:ascii="Times New Roman"/>
                            <w:sz w:val="18"/>
                          </w:rPr>
                        </w:pPr>
                      </w:p>
                    </w:tc>
                    <w:tc>
                      <w:tcPr>
                        <w:tcW w:w="497" w:type="dxa"/>
                        <w:tcBorders>
                          <w:top w:val="single" w:sz="6" w:space="0" w:color="D9D9D9"/>
                          <w:left w:val="single" w:sz="6" w:space="0" w:color="D9D9D9"/>
                          <w:bottom w:val="single" w:sz="6" w:space="0" w:color="D9D9D9"/>
                          <w:right w:val="single" w:sz="6" w:space="0" w:color="D9D9D9"/>
                        </w:tcBorders>
                      </w:tcPr>
                      <w:p>
                        <w:pPr>
                          <w:pStyle w:val="TableParagraph"/>
                          <w:spacing w:before="0"/>
                          <w:rPr>
                            <w:rFonts w:ascii="Times New Roman"/>
                            <w:sz w:val="18"/>
                          </w:rPr>
                        </w:pPr>
                      </w:p>
                    </w:tc>
                    <w:tc>
                      <w:tcPr>
                        <w:tcW w:w="511" w:type="dxa"/>
                        <w:tcBorders>
                          <w:top w:val="single" w:sz="6" w:space="0" w:color="D9D9D9"/>
                          <w:left w:val="single" w:sz="6" w:space="0" w:color="D9D9D9"/>
                          <w:bottom w:val="single" w:sz="6" w:space="0" w:color="D9D9D9"/>
                          <w:right w:val="single" w:sz="6" w:space="0" w:color="D9D9D9"/>
                        </w:tcBorders>
                      </w:tcPr>
                      <w:p>
                        <w:pPr>
                          <w:pStyle w:val="TableParagraph"/>
                          <w:spacing w:before="0"/>
                          <w:rPr>
                            <w:rFonts w:ascii="Times New Roman"/>
                            <w:sz w:val="18"/>
                          </w:rPr>
                        </w:pPr>
                      </w:p>
                    </w:tc>
                    <w:tc>
                      <w:tcPr>
                        <w:tcW w:w="497" w:type="dxa"/>
                        <w:tcBorders>
                          <w:top w:val="single" w:sz="6" w:space="0" w:color="D9D9D9"/>
                          <w:left w:val="single" w:sz="6" w:space="0" w:color="D9D9D9"/>
                          <w:bottom w:val="single" w:sz="6" w:space="0" w:color="D9D9D9"/>
                          <w:right w:val="single" w:sz="6" w:space="0" w:color="D9D9D9"/>
                        </w:tcBorders>
                      </w:tcPr>
                      <w:p>
                        <w:pPr>
                          <w:pStyle w:val="TableParagraph"/>
                          <w:spacing w:before="0"/>
                          <w:rPr>
                            <w:rFonts w:ascii="Times New Roman"/>
                            <w:sz w:val="18"/>
                          </w:rPr>
                        </w:pPr>
                      </w:p>
                    </w:tc>
                    <w:tc>
                      <w:tcPr>
                        <w:tcW w:w="497" w:type="dxa"/>
                        <w:tcBorders>
                          <w:top w:val="single" w:sz="6" w:space="0" w:color="D9D9D9"/>
                          <w:left w:val="single" w:sz="6" w:space="0" w:color="D9D9D9"/>
                          <w:bottom w:val="single" w:sz="6" w:space="0" w:color="D9D9D9"/>
                          <w:right w:val="single" w:sz="6" w:space="0" w:color="D9D9D9"/>
                        </w:tcBorders>
                      </w:tcPr>
                      <w:p>
                        <w:pPr>
                          <w:pStyle w:val="TableParagraph"/>
                          <w:spacing w:before="0"/>
                          <w:rPr>
                            <w:rFonts w:ascii="Times New Roman"/>
                            <w:sz w:val="18"/>
                          </w:rPr>
                        </w:pPr>
                      </w:p>
                    </w:tc>
                    <w:tc>
                      <w:tcPr>
                        <w:tcW w:w="511" w:type="dxa"/>
                        <w:tcBorders>
                          <w:top w:val="single" w:sz="6" w:space="0" w:color="D9D9D9"/>
                          <w:left w:val="single" w:sz="6" w:space="0" w:color="D9D9D9"/>
                          <w:bottom w:val="single" w:sz="6" w:space="0" w:color="D9D9D9"/>
                          <w:right w:val="single" w:sz="6" w:space="0" w:color="D9D9D9"/>
                        </w:tcBorders>
                      </w:tcPr>
                      <w:p>
                        <w:pPr>
                          <w:pStyle w:val="TableParagraph"/>
                          <w:spacing w:before="0"/>
                          <w:rPr>
                            <w:rFonts w:ascii="Times New Roman"/>
                            <w:sz w:val="18"/>
                          </w:rPr>
                        </w:pPr>
                      </w:p>
                    </w:tc>
                    <w:tc>
                      <w:tcPr>
                        <w:tcW w:w="497" w:type="dxa"/>
                        <w:tcBorders>
                          <w:top w:val="single" w:sz="6" w:space="0" w:color="D9D9D9"/>
                          <w:left w:val="single" w:sz="6" w:space="0" w:color="D9D9D9"/>
                          <w:bottom w:val="single" w:sz="6" w:space="0" w:color="D9D9D9"/>
                          <w:right w:val="single" w:sz="6" w:space="0" w:color="D9D9D9"/>
                        </w:tcBorders>
                      </w:tcPr>
                      <w:p>
                        <w:pPr>
                          <w:pStyle w:val="TableParagraph"/>
                          <w:spacing w:before="0"/>
                          <w:rPr>
                            <w:rFonts w:ascii="Times New Roman"/>
                            <w:sz w:val="18"/>
                          </w:rPr>
                        </w:pPr>
                      </w:p>
                    </w:tc>
                    <w:tc>
                      <w:tcPr>
                        <w:tcW w:w="511" w:type="dxa"/>
                        <w:tcBorders>
                          <w:top w:val="single" w:sz="6" w:space="0" w:color="D9D9D9"/>
                          <w:left w:val="single" w:sz="6" w:space="0" w:color="D9D9D9"/>
                          <w:bottom w:val="single" w:sz="6" w:space="0" w:color="D9D9D9"/>
                          <w:right w:val="single" w:sz="6" w:space="0" w:color="D9D9D9"/>
                        </w:tcBorders>
                      </w:tcPr>
                      <w:p>
                        <w:pPr>
                          <w:pStyle w:val="TableParagraph"/>
                          <w:spacing w:before="0"/>
                          <w:rPr>
                            <w:rFonts w:ascii="Times New Roman"/>
                            <w:sz w:val="18"/>
                          </w:rPr>
                        </w:pPr>
                      </w:p>
                    </w:tc>
                    <w:tc>
                      <w:tcPr>
                        <w:tcW w:w="497" w:type="dxa"/>
                        <w:tcBorders>
                          <w:top w:val="single" w:sz="6" w:space="0" w:color="D9D9D9"/>
                          <w:left w:val="single" w:sz="6" w:space="0" w:color="D9D9D9"/>
                          <w:bottom w:val="single" w:sz="6" w:space="0" w:color="D9D9D9"/>
                          <w:right w:val="single" w:sz="6" w:space="0" w:color="D9D9D9"/>
                        </w:tcBorders>
                      </w:tcPr>
                      <w:p>
                        <w:pPr>
                          <w:pStyle w:val="TableParagraph"/>
                          <w:spacing w:before="0"/>
                          <w:rPr>
                            <w:rFonts w:ascii="Times New Roman"/>
                            <w:sz w:val="18"/>
                          </w:rPr>
                        </w:pPr>
                      </w:p>
                    </w:tc>
                    <w:tc>
                      <w:tcPr>
                        <w:tcW w:w="256" w:type="dxa"/>
                        <w:tcBorders>
                          <w:top w:val="single" w:sz="6" w:space="0" w:color="D9D9D9"/>
                          <w:left w:val="single" w:sz="6" w:space="0" w:color="D9D9D9"/>
                          <w:bottom w:val="single" w:sz="6" w:space="0" w:color="D9D9D9"/>
                          <w:right w:val="nil"/>
                        </w:tcBorders>
                      </w:tcPr>
                      <w:p>
                        <w:pPr>
                          <w:pStyle w:val="TableParagraph"/>
                          <w:spacing w:before="0"/>
                          <w:rPr>
                            <w:rFonts w:ascii="Times New Roman"/>
                            <w:sz w:val="18"/>
                          </w:rPr>
                        </w:pPr>
                      </w:p>
                    </w:tc>
                  </w:tr>
                  <w:tr>
                    <w:trPr>
                      <w:trHeight w:val="452" w:hRule="atLeast"/>
                    </w:trPr>
                    <w:tc>
                      <w:tcPr>
                        <w:tcW w:w="497" w:type="dxa"/>
                        <w:tcBorders>
                          <w:top w:val="single" w:sz="6" w:space="0" w:color="D9D9D9"/>
                          <w:right w:val="single" w:sz="6" w:space="0" w:color="D9D9D9"/>
                        </w:tcBorders>
                      </w:tcPr>
                      <w:p>
                        <w:pPr>
                          <w:pStyle w:val="TableParagraph"/>
                          <w:spacing w:before="0"/>
                          <w:rPr>
                            <w:rFonts w:ascii="Times New Roman"/>
                            <w:sz w:val="18"/>
                          </w:rPr>
                        </w:pPr>
                      </w:p>
                    </w:tc>
                    <w:tc>
                      <w:tcPr>
                        <w:tcW w:w="511" w:type="dxa"/>
                        <w:tcBorders>
                          <w:top w:val="single" w:sz="6" w:space="0" w:color="D9D9D9"/>
                          <w:left w:val="single" w:sz="6" w:space="0" w:color="D9D9D9"/>
                          <w:right w:val="single" w:sz="6" w:space="0" w:color="D9D9D9"/>
                        </w:tcBorders>
                      </w:tcPr>
                      <w:p>
                        <w:pPr>
                          <w:pStyle w:val="TableParagraph"/>
                          <w:spacing w:before="0"/>
                          <w:rPr>
                            <w:rFonts w:ascii="Times New Roman"/>
                            <w:sz w:val="18"/>
                          </w:rPr>
                        </w:pPr>
                      </w:p>
                    </w:tc>
                    <w:tc>
                      <w:tcPr>
                        <w:tcW w:w="497" w:type="dxa"/>
                        <w:tcBorders>
                          <w:top w:val="single" w:sz="6" w:space="0" w:color="D9D9D9"/>
                          <w:left w:val="single" w:sz="6" w:space="0" w:color="D9D9D9"/>
                          <w:right w:val="single" w:sz="6" w:space="0" w:color="D9D9D9"/>
                        </w:tcBorders>
                      </w:tcPr>
                      <w:p>
                        <w:pPr>
                          <w:pStyle w:val="TableParagraph"/>
                          <w:spacing w:before="0"/>
                          <w:rPr>
                            <w:rFonts w:ascii="Times New Roman"/>
                            <w:sz w:val="18"/>
                          </w:rPr>
                        </w:pPr>
                      </w:p>
                    </w:tc>
                    <w:tc>
                      <w:tcPr>
                        <w:tcW w:w="511" w:type="dxa"/>
                        <w:tcBorders>
                          <w:top w:val="single" w:sz="6" w:space="0" w:color="D9D9D9"/>
                          <w:left w:val="single" w:sz="6" w:space="0" w:color="D9D9D9"/>
                          <w:right w:val="single" w:sz="6" w:space="0" w:color="D9D9D9"/>
                        </w:tcBorders>
                      </w:tcPr>
                      <w:p>
                        <w:pPr>
                          <w:pStyle w:val="TableParagraph"/>
                          <w:spacing w:before="0"/>
                          <w:rPr>
                            <w:rFonts w:ascii="Times New Roman"/>
                            <w:sz w:val="18"/>
                          </w:rPr>
                        </w:pPr>
                      </w:p>
                    </w:tc>
                    <w:tc>
                      <w:tcPr>
                        <w:tcW w:w="497" w:type="dxa"/>
                        <w:tcBorders>
                          <w:top w:val="single" w:sz="6" w:space="0" w:color="D9D9D9"/>
                          <w:left w:val="single" w:sz="6" w:space="0" w:color="D9D9D9"/>
                          <w:right w:val="single" w:sz="6" w:space="0" w:color="D9D9D9"/>
                        </w:tcBorders>
                      </w:tcPr>
                      <w:p>
                        <w:pPr>
                          <w:pStyle w:val="TableParagraph"/>
                          <w:spacing w:before="0"/>
                          <w:rPr>
                            <w:rFonts w:ascii="Times New Roman"/>
                            <w:sz w:val="18"/>
                          </w:rPr>
                        </w:pPr>
                      </w:p>
                    </w:tc>
                    <w:tc>
                      <w:tcPr>
                        <w:tcW w:w="497" w:type="dxa"/>
                        <w:tcBorders>
                          <w:top w:val="single" w:sz="6" w:space="0" w:color="D9D9D9"/>
                          <w:left w:val="single" w:sz="6" w:space="0" w:color="D9D9D9"/>
                          <w:right w:val="single" w:sz="6" w:space="0" w:color="D9D9D9"/>
                        </w:tcBorders>
                      </w:tcPr>
                      <w:p>
                        <w:pPr>
                          <w:pStyle w:val="TableParagraph"/>
                          <w:spacing w:before="0"/>
                          <w:rPr>
                            <w:rFonts w:ascii="Times New Roman"/>
                            <w:sz w:val="18"/>
                          </w:rPr>
                        </w:pPr>
                      </w:p>
                    </w:tc>
                    <w:tc>
                      <w:tcPr>
                        <w:tcW w:w="511" w:type="dxa"/>
                        <w:tcBorders>
                          <w:top w:val="single" w:sz="6" w:space="0" w:color="D9D9D9"/>
                          <w:left w:val="single" w:sz="6" w:space="0" w:color="D9D9D9"/>
                          <w:right w:val="single" w:sz="6" w:space="0" w:color="D9D9D9"/>
                        </w:tcBorders>
                      </w:tcPr>
                      <w:p>
                        <w:pPr>
                          <w:pStyle w:val="TableParagraph"/>
                          <w:spacing w:before="0"/>
                          <w:rPr>
                            <w:rFonts w:ascii="Times New Roman"/>
                            <w:sz w:val="18"/>
                          </w:rPr>
                        </w:pPr>
                      </w:p>
                    </w:tc>
                    <w:tc>
                      <w:tcPr>
                        <w:tcW w:w="497" w:type="dxa"/>
                        <w:tcBorders>
                          <w:top w:val="single" w:sz="6" w:space="0" w:color="D9D9D9"/>
                          <w:left w:val="single" w:sz="6" w:space="0" w:color="D9D9D9"/>
                          <w:right w:val="single" w:sz="6" w:space="0" w:color="D9D9D9"/>
                        </w:tcBorders>
                      </w:tcPr>
                      <w:p>
                        <w:pPr>
                          <w:pStyle w:val="TableParagraph"/>
                          <w:spacing w:before="0"/>
                          <w:rPr>
                            <w:rFonts w:ascii="Times New Roman"/>
                            <w:sz w:val="18"/>
                          </w:rPr>
                        </w:pPr>
                      </w:p>
                    </w:tc>
                    <w:tc>
                      <w:tcPr>
                        <w:tcW w:w="511" w:type="dxa"/>
                        <w:tcBorders>
                          <w:top w:val="single" w:sz="6" w:space="0" w:color="D9D9D9"/>
                          <w:left w:val="single" w:sz="6" w:space="0" w:color="D9D9D9"/>
                          <w:right w:val="single" w:sz="6" w:space="0" w:color="D9D9D9"/>
                        </w:tcBorders>
                      </w:tcPr>
                      <w:p>
                        <w:pPr>
                          <w:pStyle w:val="TableParagraph"/>
                          <w:spacing w:before="0"/>
                          <w:rPr>
                            <w:rFonts w:ascii="Times New Roman"/>
                            <w:sz w:val="18"/>
                          </w:rPr>
                        </w:pPr>
                      </w:p>
                    </w:tc>
                    <w:tc>
                      <w:tcPr>
                        <w:tcW w:w="497" w:type="dxa"/>
                        <w:tcBorders>
                          <w:top w:val="single" w:sz="6" w:space="0" w:color="D9D9D9"/>
                          <w:left w:val="single" w:sz="6" w:space="0" w:color="D9D9D9"/>
                          <w:right w:val="single" w:sz="6" w:space="0" w:color="D9D9D9"/>
                        </w:tcBorders>
                      </w:tcPr>
                      <w:p>
                        <w:pPr>
                          <w:pStyle w:val="TableParagraph"/>
                          <w:spacing w:before="0"/>
                          <w:rPr>
                            <w:rFonts w:ascii="Times New Roman"/>
                            <w:sz w:val="18"/>
                          </w:rPr>
                        </w:pPr>
                      </w:p>
                    </w:tc>
                    <w:tc>
                      <w:tcPr>
                        <w:tcW w:w="256" w:type="dxa"/>
                        <w:tcBorders>
                          <w:top w:val="single" w:sz="6" w:space="0" w:color="D9D9D9"/>
                          <w:left w:val="single" w:sz="6" w:space="0" w:color="D9D9D9"/>
                          <w:right w:val="nil"/>
                        </w:tcBorders>
                      </w:tcPr>
                      <w:p>
                        <w:pPr>
                          <w:pStyle w:val="TableParagraph"/>
                          <w:spacing w:before="0"/>
                          <w:rPr>
                            <w:rFonts w:ascii="Times New Roman"/>
                            <w:sz w:val="18"/>
                          </w:rPr>
                        </w:pPr>
                      </w:p>
                    </w:tc>
                  </w:tr>
                </w:tbl>
                <w:p>
                  <w:pPr>
                    <w:pStyle w:val="BodyText"/>
                  </w:pPr>
                </w:p>
              </w:txbxContent>
            </v:textbox>
            <w10:wrap type="none"/>
          </v:shape>
        </w:pict>
      </w:r>
      <w:r>
        <w:rPr>
          <w:rFonts w:ascii="Calibri"/>
          <w:color w:val="585858"/>
          <w:sz w:val="17"/>
        </w:rPr>
        <w:t>300,000</w:t>
      </w:r>
    </w:p>
    <w:p>
      <w:pPr>
        <w:spacing w:before="0"/>
        <w:ind w:left="1533" w:right="0" w:firstLine="0"/>
        <w:jc w:val="left"/>
        <w:rPr>
          <w:rFonts w:ascii="Calibri"/>
          <w:sz w:val="17"/>
        </w:rPr>
      </w:pPr>
      <w:r>
        <w:rPr>
          <w:rFonts w:ascii="Calibri"/>
          <w:color w:val="585858"/>
          <w:sz w:val="17"/>
        </w:rPr>
        <w:t>250,000</w:t>
      </w:r>
    </w:p>
    <w:p>
      <w:pPr>
        <w:pStyle w:val="BodyText"/>
        <w:spacing w:before="10"/>
        <w:rPr>
          <w:rFonts w:ascii="Calibri"/>
          <w:sz w:val="21"/>
        </w:rPr>
      </w:pPr>
    </w:p>
    <w:p>
      <w:pPr>
        <w:tabs>
          <w:tab w:pos="5194" w:val="left" w:leader="none"/>
        </w:tabs>
        <w:spacing w:before="0"/>
        <w:ind w:left="1533" w:right="0" w:firstLine="0"/>
        <w:jc w:val="left"/>
        <w:rPr>
          <w:rFonts w:ascii="Calibri"/>
          <w:sz w:val="17"/>
        </w:rPr>
      </w:pPr>
      <w:r>
        <w:rPr/>
        <w:drawing>
          <wp:anchor distT="0" distB="0" distL="0" distR="0" allowOverlap="1" layoutInCell="1" locked="0" behindDoc="1" simplePos="0" relativeHeight="215201792">
            <wp:simplePos x="0" y="0"/>
            <wp:positionH relativeFrom="page">
              <wp:posOffset>1761925</wp:posOffset>
            </wp:positionH>
            <wp:positionV relativeFrom="paragraph">
              <wp:posOffset>21984</wp:posOffset>
            </wp:positionV>
            <wp:extent cx="126112" cy="575857"/>
            <wp:effectExtent l="0" t="0" r="0" b="0"/>
            <wp:wrapNone/>
            <wp:docPr id="19" name="image10.png"/>
            <wp:cNvGraphicFramePr>
              <a:graphicFrameLocks noChangeAspect="1"/>
            </wp:cNvGraphicFramePr>
            <a:graphic>
              <a:graphicData uri="http://schemas.openxmlformats.org/drawingml/2006/picture">
                <pic:pic>
                  <pic:nvPicPr>
                    <pic:cNvPr id="20" name="image10.png"/>
                    <pic:cNvPicPr/>
                  </pic:nvPicPr>
                  <pic:blipFill>
                    <a:blip r:embed="rId24" cstate="print"/>
                    <a:stretch>
                      <a:fillRect/>
                    </a:stretch>
                  </pic:blipFill>
                  <pic:spPr>
                    <a:xfrm>
                      <a:off x="0" y="0"/>
                      <a:ext cx="126112" cy="575857"/>
                    </a:xfrm>
                    <a:prstGeom prst="rect">
                      <a:avLst/>
                    </a:prstGeom>
                  </pic:spPr>
                </pic:pic>
              </a:graphicData>
            </a:graphic>
          </wp:anchor>
        </w:drawing>
      </w:r>
      <w:r>
        <w:rPr/>
        <w:drawing>
          <wp:anchor distT="0" distB="0" distL="0" distR="0" allowOverlap="1" layoutInCell="1" locked="0" behindDoc="1" simplePos="0" relativeHeight="215204864">
            <wp:simplePos x="0" y="0"/>
            <wp:positionH relativeFrom="page">
              <wp:posOffset>2716849</wp:posOffset>
            </wp:positionH>
            <wp:positionV relativeFrom="paragraph">
              <wp:posOffset>174945</wp:posOffset>
            </wp:positionV>
            <wp:extent cx="126113" cy="503871"/>
            <wp:effectExtent l="0" t="0" r="0" b="0"/>
            <wp:wrapNone/>
            <wp:docPr id="21" name="image11.png"/>
            <wp:cNvGraphicFramePr>
              <a:graphicFrameLocks noChangeAspect="1"/>
            </wp:cNvGraphicFramePr>
            <a:graphic>
              <a:graphicData uri="http://schemas.openxmlformats.org/drawingml/2006/picture">
                <pic:pic>
                  <pic:nvPicPr>
                    <pic:cNvPr id="22" name="image11.png"/>
                    <pic:cNvPicPr/>
                  </pic:nvPicPr>
                  <pic:blipFill>
                    <a:blip r:embed="rId25" cstate="print"/>
                    <a:stretch>
                      <a:fillRect/>
                    </a:stretch>
                  </pic:blipFill>
                  <pic:spPr>
                    <a:xfrm>
                      <a:off x="0" y="0"/>
                      <a:ext cx="126113" cy="503871"/>
                    </a:xfrm>
                    <a:prstGeom prst="rect">
                      <a:avLst/>
                    </a:prstGeom>
                  </pic:spPr>
                </pic:pic>
              </a:graphicData>
            </a:graphic>
          </wp:anchor>
        </w:drawing>
      </w:r>
      <w:r>
        <w:rPr>
          <w:rFonts w:ascii="Calibri"/>
          <w:color w:val="585858"/>
          <w:spacing w:val="-2"/>
          <w:sz w:val="17"/>
        </w:rPr>
        <w:t>200,000</w:t>
        <w:tab/>
      </w:r>
      <w:r>
        <w:rPr>
          <w:rFonts w:ascii="Calibri"/>
          <w:color w:val="585858"/>
          <w:position w:val="-2"/>
          <w:sz w:val="17"/>
        </w:rPr>
        <w:drawing>
          <wp:inline distT="0" distB="0" distL="0" distR="0">
            <wp:extent cx="90096" cy="89975"/>
            <wp:effectExtent l="0" t="0" r="0" b="0"/>
            <wp:docPr id="23" name="image12.png"/>
            <wp:cNvGraphicFramePr>
              <a:graphicFrameLocks noChangeAspect="1"/>
            </wp:cNvGraphicFramePr>
            <a:graphic>
              <a:graphicData uri="http://schemas.openxmlformats.org/drawingml/2006/picture">
                <pic:pic>
                  <pic:nvPicPr>
                    <pic:cNvPr id="24" name="image12.png"/>
                    <pic:cNvPicPr/>
                  </pic:nvPicPr>
                  <pic:blipFill>
                    <a:blip r:embed="rId26" cstate="print"/>
                    <a:stretch>
                      <a:fillRect/>
                    </a:stretch>
                  </pic:blipFill>
                  <pic:spPr>
                    <a:xfrm>
                      <a:off x="0" y="0"/>
                      <a:ext cx="90096" cy="89975"/>
                    </a:xfrm>
                    <a:prstGeom prst="rect">
                      <a:avLst/>
                    </a:prstGeom>
                  </pic:spPr>
                </pic:pic>
              </a:graphicData>
            </a:graphic>
          </wp:inline>
        </w:drawing>
      </w:r>
      <w:r>
        <w:rPr>
          <w:rFonts w:ascii="Calibri"/>
          <w:color w:val="585858"/>
          <w:position w:val="-2"/>
          <w:sz w:val="17"/>
        </w:rPr>
      </w:r>
    </w:p>
    <w:p>
      <w:pPr>
        <w:pStyle w:val="BodyText"/>
        <w:spacing w:before="10"/>
        <w:rPr>
          <w:rFonts w:ascii="Calibri"/>
          <w:sz w:val="21"/>
        </w:rPr>
      </w:pPr>
    </w:p>
    <w:p>
      <w:pPr>
        <w:spacing w:before="0"/>
        <w:ind w:left="1533" w:right="0" w:firstLine="0"/>
        <w:jc w:val="left"/>
        <w:rPr>
          <w:rFonts w:ascii="Calibri"/>
          <w:sz w:val="17"/>
        </w:rPr>
      </w:pPr>
      <w:r>
        <w:rPr/>
        <w:drawing>
          <wp:anchor distT="0" distB="0" distL="0" distR="0" allowOverlap="1" layoutInCell="1" locked="0" behindDoc="1" simplePos="0" relativeHeight="215202816">
            <wp:simplePos x="0" y="0"/>
            <wp:positionH relativeFrom="page">
              <wp:posOffset>2077230</wp:posOffset>
            </wp:positionH>
            <wp:positionV relativeFrom="paragraph">
              <wp:posOffset>-81107</wp:posOffset>
            </wp:positionV>
            <wp:extent cx="135129" cy="422896"/>
            <wp:effectExtent l="0" t="0" r="0" b="0"/>
            <wp:wrapNone/>
            <wp:docPr id="25" name="image13.png"/>
            <wp:cNvGraphicFramePr>
              <a:graphicFrameLocks noChangeAspect="1"/>
            </wp:cNvGraphicFramePr>
            <a:graphic>
              <a:graphicData uri="http://schemas.openxmlformats.org/drawingml/2006/picture">
                <pic:pic>
                  <pic:nvPicPr>
                    <pic:cNvPr id="26" name="image13.png"/>
                    <pic:cNvPicPr/>
                  </pic:nvPicPr>
                  <pic:blipFill>
                    <a:blip r:embed="rId27" cstate="print"/>
                    <a:stretch>
                      <a:fillRect/>
                    </a:stretch>
                  </pic:blipFill>
                  <pic:spPr>
                    <a:xfrm>
                      <a:off x="0" y="0"/>
                      <a:ext cx="135129" cy="422896"/>
                    </a:xfrm>
                    <a:prstGeom prst="rect">
                      <a:avLst/>
                    </a:prstGeom>
                  </pic:spPr>
                </pic:pic>
              </a:graphicData>
            </a:graphic>
          </wp:anchor>
        </w:drawing>
      </w:r>
      <w:r>
        <w:rPr/>
        <w:drawing>
          <wp:anchor distT="0" distB="0" distL="0" distR="0" allowOverlap="1" layoutInCell="1" locked="0" behindDoc="1" simplePos="0" relativeHeight="215203840">
            <wp:simplePos x="0" y="0"/>
            <wp:positionH relativeFrom="page">
              <wp:posOffset>2392535</wp:posOffset>
            </wp:positionH>
            <wp:positionV relativeFrom="paragraph">
              <wp:posOffset>8869</wp:posOffset>
            </wp:positionV>
            <wp:extent cx="135129" cy="341912"/>
            <wp:effectExtent l="0" t="0" r="0" b="0"/>
            <wp:wrapNone/>
            <wp:docPr id="27" name="image14.png"/>
            <wp:cNvGraphicFramePr>
              <a:graphicFrameLocks noChangeAspect="1"/>
            </wp:cNvGraphicFramePr>
            <a:graphic>
              <a:graphicData uri="http://schemas.openxmlformats.org/drawingml/2006/picture">
                <pic:pic>
                  <pic:nvPicPr>
                    <pic:cNvPr id="28" name="image14.png"/>
                    <pic:cNvPicPr/>
                  </pic:nvPicPr>
                  <pic:blipFill>
                    <a:blip r:embed="rId28" cstate="print"/>
                    <a:stretch>
                      <a:fillRect/>
                    </a:stretch>
                  </pic:blipFill>
                  <pic:spPr>
                    <a:xfrm>
                      <a:off x="0" y="0"/>
                      <a:ext cx="135129" cy="341912"/>
                    </a:xfrm>
                    <a:prstGeom prst="rect">
                      <a:avLst/>
                    </a:prstGeom>
                  </pic:spPr>
                </pic:pic>
              </a:graphicData>
            </a:graphic>
          </wp:anchor>
        </w:drawing>
      </w:r>
      <w:r>
        <w:rPr/>
        <w:drawing>
          <wp:anchor distT="0" distB="0" distL="0" distR="0" allowOverlap="1" layoutInCell="1" locked="0" behindDoc="0" simplePos="0" relativeHeight="251794432">
            <wp:simplePos x="0" y="0"/>
            <wp:positionH relativeFrom="page">
              <wp:posOffset>4014104</wp:posOffset>
            </wp:positionH>
            <wp:positionV relativeFrom="paragraph">
              <wp:posOffset>116842</wp:posOffset>
            </wp:positionV>
            <wp:extent cx="81081" cy="80972"/>
            <wp:effectExtent l="0" t="0" r="0" b="0"/>
            <wp:wrapNone/>
            <wp:docPr id="29" name="image15.png"/>
            <wp:cNvGraphicFramePr>
              <a:graphicFrameLocks noChangeAspect="1"/>
            </wp:cNvGraphicFramePr>
            <a:graphic>
              <a:graphicData uri="http://schemas.openxmlformats.org/drawingml/2006/picture">
                <pic:pic>
                  <pic:nvPicPr>
                    <pic:cNvPr id="30" name="image15.png"/>
                    <pic:cNvPicPr/>
                  </pic:nvPicPr>
                  <pic:blipFill>
                    <a:blip r:embed="rId29" cstate="print"/>
                    <a:stretch>
                      <a:fillRect/>
                    </a:stretch>
                  </pic:blipFill>
                  <pic:spPr>
                    <a:xfrm>
                      <a:off x="0" y="0"/>
                      <a:ext cx="81081" cy="80972"/>
                    </a:xfrm>
                    <a:prstGeom prst="rect">
                      <a:avLst/>
                    </a:prstGeom>
                  </pic:spPr>
                </pic:pic>
              </a:graphicData>
            </a:graphic>
          </wp:anchor>
        </w:drawing>
      </w:r>
      <w:r>
        <w:rPr>
          <w:rFonts w:ascii="Calibri"/>
          <w:color w:val="585858"/>
          <w:sz w:val="17"/>
        </w:rPr>
        <w:t>150,000</w:t>
      </w:r>
    </w:p>
    <w:p>
      <w:pPr>
        <w:tabs>
          <w:tab w:pos="4654" w:val="left" w:leader="none"/>
        </w:tabs>
        <w:spacing w:before="19"/>
        <w:ind w:left="1533" w:right="0" w:firstLine="0"/>
        <w:jc w:val="left"/>
        <w:rPr>
          <w:rFonts w:ascii="Times New Roman"/>
          <w:sz w:val="17"/>
        </w:rPr>
      </w:pPr>
      <w:r>
        <w:rPr/>
        <w:drawing>
          <wp:anchor distT="0" distB="0" distL="0" distR="0" allowOverlap="1" layoutInCell="1" locked="0" behindDoc="0" simplePos="0" relativeHeight="251792384">
            <wp:simplePos x="0" y="0"/>
            <wp:positionH relativeFrom="page">
              <wp:posOffset>3671773</wp:posOffset>
            </wp:positionH>
            <wp:positionV relativeFrom="paragraph">
              <wp:posOffset>138033</wp:posOffset>
            </wp:positionV>
            <wp:extent cx="135129" cy="206946"/>
            <wp:effectExtent l="0" t="0" r="0" b="0"/>
            <wp:wrapNone/>
            <wp:docPr id="31" name="image16.png"/>
            <wp:cNvGraphicFramePr>
              <a:graphicFrameLocks noChangeAspect="1"/>
            </wp:cNvGraphicFramePr>
            <a:graphic>
              <a:graphicData uri="http://schemas.openxmlformats.org/drawingml/2006/picture">
                <pic:pic>
                  <pic:nvPicPr>
                    <pic:cNvPr id="32" name="image16.png"/>
                    <pic:cNvPicPr/>
                  </pic:nvPicPr>
                  <pic:blipFill>
                    <a:blip r:embed="rId30" cstate="print"/>
                    <a:stretch>
                      <a:fillRect/>
                    </a:stretch>
                  </pic:blipFill>
                  <pic:spPr>
                    <a:xfrm>
                      <a:off x="0" y="0"/>
                      <a:ext cx="135129" cy="206946"/>
                    </a:xfrm>
                    <a:prstGeom prst="rect">
                      <a:avLst/>
                    </a:prstGeom>
                  </pic:spPr>
                </pic:pic>
              </a:graphicData>
            </a:graphic>
          </wp:anchor>
        </w:drawing>
      </w:r>
      <w:r>
        <w:rPr/>
        <w:drawing>
          <wp:anchor distT="0" distB="0" distL="0" distR="0" allowOverlap="1" layoutInCell="1" locked="0" behindDoc="0" simplePos="0" relativeHeight="251793408">
            <wp:simplePos x="0" y="0"/>
            <wp:positionH relativeFrom="page">
              <wp:posOffset>3996087</wp:posOffset>
            </wp:positionH>
            <wp:positionV relativeFrom="paragraph">
              <wp:posOffset>174024</wp:posOffset>
            </wp:positionV>
            <wp:extent cx="126112" cy="197948"/>
            <wp:effectExtent l="0" t="0" r="0" b="0"/>
            <wp:wrapNone/>
            <wp:docPr id="33" name="image17.png"/>
            <wp:cNvGraphicFramePr>
              <a:graphicFrameLocks noChangeAspect="1"/>
            </wp:cNvGraphicFramePr>
            <a:graphic>
              <a:graphicData uri="http://schemas.openxmlformats.org/drawingml/2006/picture">
                <pic:pic>
                  <pic:nvPicPr>
                    <pic:cNvPr id="34" name="image17.png"/>
                    <pic:cNvPicPr/>
                  </pic:nvPicPr>
                  <pic:blipFill>
                    <a:blip r:embed="rId31" cstate="print"/>
                    <a:stretch>
                      <a:fillRect/>
                    </a:stretch>
                  </pic:blipFill>
                  <pic:spPr>
                    <a:xfrm>
                      <a:off x="0" y="0"/>
                      <a:ext cx="126112" cy="197948"/>
                    </a:xfrm>
                    <a:prstGeom prst="rect">
                      <a:avLst/>
                    </a:prstGeom>
                  </pic:spPr>
                </pic:pic>
              </a:graphicData>
            </a:graphic>
          </wp:anchor>
        </w:drawing>
      </w:r>
      <w:r>
        <w:rPr/>
        <w:drawing>
          <wp:anchor distT="0" distB="0" distL="0" distR="0" allowOverlap="1" layoutInCell="1" locked="0" behindDoc="0" simplePos="0" relativeHeight="251795456">
            <wp:simplePos x="0" y="0"/>
            <wp:positionH relativeFrom="page">
              <wp:posOffset>4311391</wp:posOffset>
            </wp:positionH>
            <wp:positionV relativeFrom="paragraph">
              <wp:posOffset>165026</wp:posOffset>
            </wp:positionV>
            <wp:extent cx="126113" cy="242941"/>
            <wp:effectExtent l="0" t="0" r="0" b="0"/>
            <wp:wrapNone/>
            <wp:docPr id="35" name="image18.png"/>
            <wp:cNvGraphicFramePr>
              <a:graphicFrameLocks noChangeAspect="1"/>
            </wp:cNvGraphicFramePr>
            <a:graphic>
              <a:graphicData uri="http://schemas.openxmlformats.org/drawingml/2006/picture">
                <pic:pic>
                  <pic:nvPicPr>
                    <pic:cNvPr id="36" name="image18.png"/>
                    <pic:cNvPicPr/>
                  </pic:nvPicPr>
                  <pic:blipFill>
                    <a:blip r:embed="rId32" cstate="print"/>
                    <a:stretch>
                      <a:fillRect/>
                    </a:stretch>
                  </pic:blipFill>
                  <pic:spPr>
                    <a:xfrm>
                      <a:off x="0" y="0"/>
                      <a:ext cx="126113" cy="242941"/>
                    </a:xfrm>
                    <a:prstGeom prst="rect">
                      <a:avLst/>
                    </a:prstGeom>
                  </pic:spPr>
                </pic:pic>
              </a:graphicData>
            </a:graphic>
          </wp:anchor>
        </w:drawing>
      </w:r>
      <w:r>
        <w:rPr/>
        <w:drawing>
          <wp:anchor distT="0" distB="0" distL="0" distR="0" allowOverlap="1" layoutInCell="1" locked="0" behindDoc="0" simplePos="0" relativeHeight="251796480">
            <wp:simplePos x="0" y="0"/>
            <wp:positionH relativeFrom="page">
              <wp:posOffset>4635705</wp:posOffset>
            </wp:positionH>
            <wp:positionV relativeFrom="paragraph">
              <wp:posOffset>228010</wp:posOffset>
            </wp:positionV>
            <wp:extent cx="117124" cy="215948"/>
            <wp:effectExtent l="0" t="0" r="0" b="0"/>
            <wp:wrapNone/>
            <wp:docPr id="37" name="image19.png"/>
            <wp:cNvGraphicFramePr>
              <a:graphicFrameLocks noChangeAspect="1"/>
            </wp:cNvGraphicFramePr>
            <a:graphic>
              <a:graphicData uri="http://schemas.openxmlformats.org/drawingml/2006/picture">
                <pic:pic>
                  <pic:nvPicPr>
                    <pic:cNvPr id="38" name="image19.png"/>
                    <pic:cNvPicPr/>
                  </pic:nvPicPr>
                  <pic:blipFill>
                    <a:blip r:embed="rId33" cstate="print"/>
                    <a:stretch>
                      <a:fillRect/>
                    </a:stretch>
                  </pic:blipFill>
                  <pic:spPr>
                    <a:xfrm>
                      <a:off x="0" y="0"/>
                      <a:ext cx="117124" cy="215948"/>
                    </a:xfrm>
                    <a:prstGeom prst="rect">
                      <a:avLst/>
                    </a:prstGeom>
                  </pic:spPr>
                </pic:pic>
              </a:graphicData>
            </a:graphic>
          </wp:anchor>
        </w:drawing>
      </w:r>
      <w:r>
        <w:rPr>
          <w:rFonts w:ascii="Calibri"/>
          <w:color w:val="585858"/>
          <w:spacing w:val="-2"/>
          <w:sz w:val="17"/>
        </w:rPr>
        <w:t>100,000</w:t>
        <w:tab/>
      </w:r>
      <w:r>
        <w:rPr>
          <w:rFonts w:ascii="Calibri"/>
          <w:color w:val="585858"/>
          <w:position w:val="-2"/>
          <w:sz w:val="17"/>
        </w:rPr>
        <w:drawing>
          <wp:inline distT="0" distB="0" distL="0" distR="0">
            <wp:extent cx="135120" cy="278928"/>
            <wp:effectExtent l="0" t="0" r="0" b="0"/>
            <wp:docPr id="39" name="image20.png"/>
            <wp:cNvGraphicFramePr>
              <a:graphicFrameLocks noChangeAspect="1"/>
            </wp:cNvGraphicFramePr>
            <a:graphic>
              <a:graphicData uri="http://schemas.openxmlformats.org/drawingml/2006/picture">
                <pic:pic>
                  <pic:nvPicPr>
                    <pic:cNvPr id="40" name="image20.png"/>
                    <pic:cNvPicPr/>
                  </pic:nvPicPr>
                  <pic:blipFill>
                    <a:blip r:embed="rId34" cstate="print"/>
                    <a:stretch>
                      <a:fillRect/>
                    </a:stretch>
                  </pic:blipFill>
                  <pic:spPr>
                    <a:xfrm>
                      <a:off x="0" y="0"/>
                      <a:ext cx="135120" cy="278928"/>
                    </a:xfrm>
                    <a:prstGeom prst="rect">
                      <a:avLst/>
                    </a:prstGeom>
                  </pic:spPr>
                </pic:pic>
              </a:graphicData>
            </a:graphic>
          </wp:inline>
        </w:drawing>
      </w:r>
      <w:r>
        <w:rPr>
          <w:rFonts w:ascii="Calibri"/>
          <w:color w:val="585858"/>
          <w:position w:val="-2"/>
          <w:sz w:val="17"/>
        </w:rPr>
      </w:r>
      <w:r>
        <w:rPr>
          <w:rFonts w:ascii="Times New Roman"/>
          <w:color w:val="585858"/>
          <w:position w:val="-5"/>
          <w:sz w:val="17"/>
        </w:rPr>
        <w:t>      </w:t>
      </w:r>
      <w:r>
        <w:rPr>
          <w:rFonts w:ascii="Times New Roman"/>
          <w:color w:val="585858"/>
          <w:spacing w:val="-14"/>
          <w:position w:val="-5"/>
          <w:sz w:val="17"/>
        </w:rPr>
        <w:t> </w:t>
      </w:r>
      <w:r>
        <w:rPr>
          <w:rFonts w:ascii="Times New Roman"/>
          <w:color w:val="585858"/>
          <w:spacing w:val="-14"/>
          <w:position w:val="-5"/>
          <w:sz w:val="17"/>
        </w:rPr>
        <w:drawing>
          <wp:inline distT="0" distB="0" distL="0" distR="0">
            <wp:extent cx="144137" cy="251935"/>
            <wp:effectExtent l="0" t="0" r="0" b="0"/>
            <wp:docPr id="41" name="image21.png"/>
            <wp:cNvGraphicFramePr>
              <a:graphicFrameLocks noChangeAspect="1"/>
            </wp:cNvGraphicFramePr>
            <a:graphic>
              <a:graphicData uri="http://schemas.openxmlformats.org/drawingml/2006/picture">
                <pic:pic>
                  <pic:nvPicPr>
                    <pic:cNvPr id="42" name="image21.png"/>
                    <pic:cNvPicPr/>
                  </pic:nvPicPr>
                  <pic:blipFill>
                    <a:blip r:embed="rId35" cstate="print"/>
                    <a:stretch>
                      <a:fillRect/>
                    </a:stretch>
                  </pic:blipFill>
                  <pic:spPr>
                    <a:xfrm>
                      <a:off x="0" y="0"/>
                      <a:ext cx="144137" cy="251935"/>
                    </a:xfrm>
                    <a:prstGeom prst="rect">
                      <a:avLst/>
                    </a:prstGeom>
                  </pic:spPr>
                </pic:pic>
              </a:graphicData>
            </a:graphic>
          </wp:inline>
        </w:drawing>
      </w:r>
      <w:r>
        <w:rPr>
          <w:rFonts w:ascii="Times New Roman"/>
          <w:color w:val="585858"/>
          <w:spacing w:val="-14"/>
          <w:position w:val="-5"/>
          <w:sz w:val="17"/>
        </w:rPr>
      </w:r>
    </w:p>
    <w:p>
      <w:pPr>
        <w:spacing w:before="254"/>
        <w:ind w:left="1619" w:right="0" w:firstLine="0"/>
        <w:jc w:val="left"/>
        <w:rPr>
          <w:rFonts w:ascii="Calibri"/>
          <w:sz w:val="17"/>
        </w:rPr>
      </w:pPr>
      <w:r>
        <w:rPr>
          <w:rFonts w:ascii="Calibri"/>
          <w:color w:val="585858"/>
          <w:sz w:val="17"/>
        </w:rPr>
        <w:t>50,000</w:t>
      </w:r>
    </w:p>
    <w:p>
      <w:pPr>
        <w:pStyle w:val="BodyText"/>
        <w:spacing w:before="6"/>
        <w:rPr>
          <w:rFonts w:ascii="Calibri"/>
          <w:sz w:val="16"/>
        </w:rPr>
      </w:pPr>
    </w:p>
    <w:p>
      <w:pPr>
        <w:spacing w:before="65"/>
        <w:ind w:left="2006" w:right="0" w:firstLine="0"/>
        <w:jc w:val="left"/>
        <w:rPr>
          <w:rFonts w:ascii="Calibri"/>
          <w:sz w:val="17"/>
        </w:rPr>
      </w:pPr>
      <w:r>
        <w:rPr>
          <w:rFonts w:ascii="Calibri"/>
          <w:color w:val="585858"/>
          <w:w w:val="100"/>
          <w:sz w:val="17"/>
        </w:rPr>
        <w:t>0</w:t>
      </w:r>
    </w:p>
    <w:p>
      <w:pPr>
        <w:tabs>
          <w:tab w:pos="3212" w:val="left" w:leader="none"/>
          <w:tab w:pos="3714" w:val="left" w:leader="none"/>
          <w:tab w:pos="4216" w:val="left" w:leader="none"/>
          <w:tab w:pos="4718" w:val="left" w:leader="none"/>
          <w:tab w:pos="5221" w:val="left" w:leader="none"/>
          <w:tab w:pos="5723" w:val="left" w:leader="none"/>
          <w:tab w:pos="6225" w:val="left" w:leader="none"/>
          <w:tab w:pos="6727" w:val="left" w:leader="none"/>
          <w:tab w:pos="7186" w:val="left" w:leader="none"/>
        </w:tabs>
        <w:spacing w:before="14"/>
        <w:ind w:left="2710" w:right="0" w:firstLine="0"/>
        <w:jc w:val="left"/>
        <w:rPr>
          <w:rFonts w:ascii="Calibri"/>
          <w:sz w:val="17"/>
        </w:rPr>
      </w:pPr>
      <w:r>
        <w:rPr>
          <w:rFonts w:ascii="Calibri"/>
          <w:color w:val="585858"/>
          <w:sz w:val="17"/>
        </w:rPr>
        <w:t>1</w:t>
        <w:tab/>
        <w:t>2</w:t>
        <w:tab/>
        <w:t>3</w:t>
        <w:tab/>
        <w:t>4</w:t>
        <w:tab/>
        <w:t>5</w:t>
        <w:tab/>
        <w:t>6</w:t>
        <w:tab/>
        <w:t>7</w:t>
        <w:tab/>
        <w:t>8</w:t>
        <w:tab/>
        <w:t>9</w:t>
        <w:tab/>
        <w:t>10</w:t>
      </w:r>
    </w:p>
    <w:p>
      <w:pPr>
        <w:spacing w:before="76"/>
        <w:ind w:left="162" w:right="2164" w:firstLine="0"/>
        <w:jc w:val="center"/>
        <w:rPr>
          <w:rFonts w:ascii="Calibri"/>
          <w:sz w:val="18"/>
        </w:rPr>
      </w:pPr>
      <w:r>
        <w:rPr>
          <w:rFonts w:ascii="Calibri"/>
          <w:color w:val="585858"/>
          <w:sz w:val="18"/>
        </w:rPr>
        <w:t>SEIFA decile</w:t>
      </w:r>
    </w:p>
    <w:p>
      <w:pPr>
        <w:pStyle w:val="BodyText"/>
        <w:rPr>
          <w:rFonts w:ascii="Calibri"/>
        </w:rPr>
      </w:pPr>
    </w:p>
    <w:p>
      <w:pPr>
        <w:pStyle w:val="BodyText"/>
        <w:spacing w:before="1"/>
        <w:rPr>
          <w:rFonts w:ascii="Calibri"/>
        </w:rPr>
      </w:pPr>
    </w:p>
    <w:p>
      <w:pPr>
        <w:pStyle w:val="BodyText"/>
        <w:spacing w:before="93"/>
        <w:ind w:left="899" w:right="1066"/>
      </w:pPr>
      <w:r>
        <w:rPr>
          <w:color w:val="404040"/>
        </w:rPr>
        <w:t>We can see that the pre-retirement average lifetime cost is significantly higher in regions with the lowest SEIFA decile (highest level of disadvantage), and that this cost reduces gradually for regions categorised in higher SEIFA deciles.</w:t>
      </w:r>
    </w:p>
    <w:p>
      <w:pPr>
        <w:pStyle w:val="BodyText"/>
        <w:spacing w:before="121"/>
        <w:ind w:left="900" w:right="1152"/>
      </w:pPr>
      <w:r>
        <w:rPr>
          <w:color w:val="404040"/>
        </w:rPr>
        <w:t>We can also see that the variability of pre-retirement average lifetime cost tends to be significantly greater for more disadvantaged areas. For instance, in the lowest SEIFA decile, the pre-retirement average lifetime costs range from around $120,000 to over $250,000 per person. The higher points on the chart are likely to relate to locations where there are cumulative factors of disadvantage that increase the average lifetime costs in these locations.</w:t>
      </w:r>
    </w:p>
    <w:p>
      <w:pPr>
        <w:pStyle w:val="BodyText"/>
        <w:spacing w:before="120"/>
        <w:ind w:left="900" w:right="1187"/>
      </w:pPr>
      <w:r>
        <w:rPr>
          <w:color w:val="404040"/>
        </w:rPr>
        <w:t>In comparison, for areas in the highest SEIFA decile, the range of pre-retirement average lifetime costs varies between $70,000 and $100,000.</w:t>
      </w:r>
    </w:p>
    <w:p>
      <w:pPr>
        <w:pStyle w:val="BodyText"/>
        <w:spacing w:before="7"/>
      </w:pPr>
    </w:p>
    <w:p>
      <w:pPr>
        <w:pStyle w:val="ListParagraph"/>
        <w:numPr>
          <w:ilvl w:val="1"/>
          <w:numId w:val="15"/>
        </w:numPr>
        <w:tabs>
          <w:tab w:pos="1752" w:val="left" w:leader="none"/>
          <w:tab w:pos="1753" w:val="left" w:leader="none"/>
        </w:tabs>
        <w:spacing w:line="240" w:lineRule="auto" w:before="0" w:after="0"/>
        <w:ind w:left="1752" w:right="0" w:hanging="853"/>
        <w:jc w:val="left"/>
        <w:rPr>
          <w:sz w:val="28"/>
        </w:rPr>
      </w:pPr>
      <w:bookmarkStart w:name="2.3 Refugees" w:id="68"/>
      <w:bookmarkEnd w:id="68"/>
      <w:r>
        <w:rPr/>
      </w:r>
      <w:bookmarkStart w:name="_bookmark14" w:id="69"/>
      <w:bookmarkEnd w:id="69"/>
      <w:r>
        <w:rPr/>
      </w:r>
      <w:bookmarkStart w:name="_bookmark14" w:id="70"/>
      <w:bookmarkEnd w:id="70"/>
      <w:r>
        <w:rPr>
          <w:color w:val="DF2F28"/>
          <w:sz w:val="28"/>
        </w:rPr>
        <w:t>R</w:t>
      </w:r>
      <w:r>
        <w:rPr>
          <w:color w:val="DF2F28"/>
          <w:sz w:val="28"/>
        </w:rPr>
        <w:t>efugees</w:t>
      </w:r>
    </w:p>
    <w:p>
      <w:pPr>
        <w:pStyle w:val="BodyText"/>
        <w:spacing w:before="123"/>
        <w:ind w:left="899" w:right="1598"/>
      </w:pPr>
      <w:r>
        <w:rPr>
          <w:color w:val="404040"/>
        </w:rPr>
        <w:t>As part of the 2018 Valuation, an exercise was undertaken to better understand the welfare outcomes for refugees in the Australian population. For the purpose of the valuation, refugees were defined as any individuals who were granted a humanitarian visa up until June 2018.</w:t>
      </w:r>
    </w:p>
    <w:p>
      <w:pPr>
        <w:pStyle w:val="BodyText"/>
        <w:spacing w:before="119"/>
        <w:ind w:left="899" w:right="1087"/>
      </w:pPr>
      <w:r>
        <w:rPr>
          <w:color w:val="404040"/>
        </w:rPr>
        <w:t>Unlike other migrants, refugees are not selected on the basis of their potential contribution to Australia, but rather primarily for humanitarian reasons. Refugees can be at high risk of welfare dependency as they often face multiple disadvantages because of their pre-migration experiences, including mental health issues, torture and trauma, physical disabilities, low literacy and limited previous opportunities to gain skills and work experience.</w:t>
      </w:r>
    </w:p>
    <w:p>
      <w:pPr>
        <w:pStyle w:val="BodyText"/>
        <w:spacing w:before="122"/>
        <w:ind w:left="899" w:right="1044"/>
      </w:pPr>
      <w:r>
        <w:rPr>
          <w:color w:val="404040"/>
        </w:rPr>
        <w:t>There were 243,000 refugees in the model population as at June 2018. This is just under 1% of the population. Of these refugees, almost 95% had either a Refugee Visa, a Special Humanitarian Visa or a </w:t>
      </w:r>
      <w:r>
        <w:rPr>
          <w:rFonts w:ascii="Segoe UI"/>
          <w:sz w:val="21"/>
        </w:rPr>
        <w:t>Permanent </w:t>
      </w:r>
      <w:r>
        <w:rPr>
          <w:color w:val="404040"/>
        </w:rPr>
        <w:t>Protection Visa. The remaining people mostly had a Women at Risk Visa, and there were also small numbers of people who entered the country with various historical visa subclasses (many of which have now been repealed). </w:t>
      </w:r>
      <w:r>
        <w:rPr>
          <w:color w:val="404040"/>
          <w:spacing w:val="4"/>
        </w:rPr>
        <w:t>We </w:t>
      </w:r>
      <w:r>
        <w:rPr>
          <w:color w:val="404040"/>
        </w:rPr>
        <w:t>note that differences will exist between the circumstances of people using different visa types, and</w:t>
      </w:r>
      <w:r>
        <w:rPr>
          <w:color w:val="404040"/>
          <w:spacing w:val="-4"/>
        </w:rPr>
        <w:t> </w:t>
      </w:r>
      <w:r>
        <w:rPr>
          <w:color w:val="404040"/>
        </w:rPr>
        <w:t>this will</w:t>
      </w:r>
      <w:r>
        <w:rPr>
          <w:color w:val="404040"/>
          <w:spacing w:val="-5"/>
        </w:rPr>
        <w:t> </w:t>
      </w:r>
      <w:r>
        <w:rPr>
          <w:color w:val="404040"/>
        </w:rPr>
        <w:t>likely</w:t>
      </w:r>
      <w:r>
        <w:rPr>
          <w:color w:val="404040"/>
          <w:spacing w:val="-5"/>
        </w:rPr>
        <w:t> </w:t>
      </w:r>
      <w:r>
        <w:rPr>
          <w:color w:val="404040"/>
        </w:rPr>
        <w:t>impact</w:t>
      </w:r>
      <w:r>
        <w:rPr>
          <w:color w:val="404040"/>
          <w:spacing w:val="-4"/>
        </w:rPr>
        <w:t> </w:t>
      </w:r>
      <w:r>
        <w:rPr>
          <w:color w:val="404040"/>
        </w:rPr>
        <w:t>how</w:t>
      </w:r>
      <w:r>
        <w:rPr>
          <w:color w:val="404040"/>
          <w:spacing w:val="-5"/>
        </w:rPr>
        <w:t> </w:t>
      </w:r>
      <w:r>
        <w:rPr>
          <w:color w:val="404040"/>
        </w:rPr>
        <w:t>these</w:t>
      </w:r>
      <w:r>
        <w:rPr>
          <w:color w:val="404040"/>
          <w:spacing w:val="-4"/>
        </w:rPr>
        <w:t> </w:t>
      </w:r>
      <w:r>
        <w:rPr>
          <w:color w:val="404040"/>
        </w:rPr>
        <w:t>people</w:t>
      </w:r>
      <w:r>
        <w:rPr>
          <w:color w:val="404040"/>
          <w:spacing w:val="-2"/>
        </w:rPr>
        <w:t> </w:t>
      </w:r>
      <w:r>
        <w:rPr>
          <w:color w:val="404040"/>
        </w:rPr>
        <w:t>interact</w:t>
      </w:r>
      <w:r>
        <w:rPr>
          <w:color w:val="404040"/>
          <w:spacing w:val="-2"/>
        </w:rPr>
        <w:t> </w:t>
      </w:r>
      <w:r>
        <w:rPr>
          <w:color w:val="404040"/>
        </w:rPr>
        <w:t>with</w:t>
      </w:r>
      <w:r>
        <w:rPr>
          <w:color w:val="404040"/>
          <w:spacing w:val="-4"/>
        </w:rPr>
        <w:t> </w:t>
      </w:r>
      <w:r>
        <w:rPr>
          <w:color w:val="404040"/>
        </w:rPr>
        <w:t>the</w:t>
      </w:r>
      <w:r>
        <w:rPr>
          <w:color w:val="404040"/>
          <w:spacing w:val="-1"/>
        </w:rPr>
        <w:t> </w:t>
      </w:r>
      <w:r>
        <w:rPr>
          <w:color w:val="404040"/>
        </w:rPr>
        <w:t>welfare</w:t>
      </w:r>
      <w:r>
        <w:rPr>
          <w:color w:val="404040"/>
          <w:spacing w:val="-4"/>
        </w:rPr>
        <w:t> </w:t>
      </w:r>
      <w:r>
        <w:rPr>
          <w:color w:val="404040"/>
        </w:rPr>
        <w:t>system.</w:t>
      </w:r>
      <w:r>
        <w:rPr>
          <w:color w:val="404040"/>
          <w:spacing w:val="-4"/>
        </w:rPr>
        <w:t> </w:t>
      </w:r>
      <w:r>
        <w:rPr>
          <w:color w:val="404040"/>
        </w:rPr>
        <w:t>For</w:t>
      </w:r>
      <w:r>
        <w:rPr>
          <w:color w:val="404040"/>
          <w:spacing w:val="-3"/>
        </w:rPr>
        <w:t> </w:t>
      </w:r>
      <w:r>
        <w:rPr>
          <w:color w:val="404040"/>
        </w:rPr>
        <w:t>example</w:t>
      </w:r>
      <w:r>
        <w:rPr>
          <w:color w:val="404040"/>
          <w:spacing w:val="-4"/>
        </w:rPr>
        <w:t> </w:t>
      </w:r>
      <w:r>
        <w:rPr>
          <w:color w:val="404040"/>
        </w:rPr>
        <w:t>Permanent</w:t>
      </w:r>
      <w:r>
        <w:rPr>
          <w:color w:val="404040"/>
          <w:spacing w:val="-2"/>
        </w:rPr>
        <w:t> </w:t>
      </w:r>
      <w:r>
        <w:rPr>
          <w:color w:val="404040"/>
        </w:rPr>
        <w:t>Protection</w:t>
      </w:r>
    </w:p>
    <w:p>
      <w:pPr>
        <w:pStyle w:val="BodyText"/>
      </w:pPr>
    </w:p>
    <w:p>
      <w:pPr>
        <w:pStyle w:val="BodyText"/>
      </w:pPr>
    </w:p>
    <w:p>
      <w:pPr>
        <w:pStyle w:val="BodyText"/>
        <w:spacing w:before="8"/>
        <w:rPr>
          <w:sz w:val="23"/>
        </w:rPr>
      </w:pPr>
      <w:r>
        <w:rPr/>
        <w:pict>
          <v:shape style="position:absolute;margin-left:51pt;margin-top:15.793742pt;width:144pt;height:.1pt;mso-position-horizontal-relative:page;mso-position-vertical-relative:paragraph;z-index:-251529216;mso-wrap-distance-left:0;mso-wrap-distance-right:0" coordorigin="1020,316" coordsize="2880,0" path="m1020,316l3900,316e" filled="false" stroked="true" strokeweight=".36pt" strokecolor="#404040">
            <v:path arrowok="t"/>
            <v:stroke dashstyle="solid"/>
            <w10:wrap type="topAndBottom"/>
          </v:shape>
        </w:pict>
      </w:r>
    </w:p>
    <w:p>
      <w:pPr>
        <w:pStyle w:val="BodyText"/>
        <w:spacing w:before="1"/>
        <w:rPr>
          <w:sz w:val="25"/>
        </w:rPr>
      </w:pPr>
    </w:p>
    <w:p>
      <w:pPr>
        <w:spacing w:before="95"/>
        <w:ind w:left="900" w:right="0" w:firstLine="0"/>
        <w:jc w:val="left"/>
        <w:rPr>
          <w:sz w:val="16"/>
        </w:rPr>
      </w:pPr>
      <w:bookmarkStart w:name="_bookmark15" w:id="71"/>
      <w:bookmarkEnd w:id="71"/>
      <w:r>
        <w:rPr/>
      </w:r>
      <w:r>
        <w:rPr>
          <w:color w:val="404040"/>
          <w:position w:val="7"/>
          <w:sz w:val="14"/>
        </w:rPr>
        <w:t>3 </w:t>
      </w:r>
      <w:r>
        <w:rPr>
          <w:color w:val="404040"/>
          <w:sz w:val="16"/>
        </w:rPr>
        <w:t>Note that SA3 areas with less than 1,000 people aged 11 to 17 have been excluded from the chart.</w:t>
      </w:r>
    </w:p>
    <w:p>
      <w:pPr>
        <w:spacing w:after="0"/>
        <w:jc w:val="left"/>
        <w:rPr>
          <w:sz w:val="16"/>
        </w:rPr>
        <w:sectPr>
          <w:pgSz w:w="11910" w:h="16850"/>
          <w:pgMar w:header="572" w:footer="581" w:top="780" w:bottom="780" w:left="120" w:right="0"/>
        </w:sectPr>
      </w:pPr>
    </w:p>
    <w:p>
      <w:pPr>
        <w:pStyle w:val="BodyText"/>
      </w:pPr>
    </w:p>
    <w:p>
      <w:pPr>
        <w:pStyle w:val="BodyText"/>
      </w:pPr>
    </w:p>
    <w:p>
      <w:pPr>
        <w:pStyle w:val="BodyText"/>
        <w:spacing w:before="7"/>
        <w:rPr>
          <w:sz w:val="21"/>
        </w:rPr>
      </w:pPr>
    </w:p>
    <w:p>
      <w:pPr>
        <w:pStyle w:val="BodyText"/>
        <w:spacing w:before="93"/>
        <w:ind w:left="900" w:right="1259"/>
        <w:jc w:val="both"/>
      </w:pPr>
      <w:r>
        <w:rPr>
          <w:color w:val="404040"/>
        </w:rPr>
        <w:t>Visas are for people who have already arrived legally in Australia on a valid visa, whereas Refugee Visas are for people outside Australia. We have not explored these differences in detail for the 2018 report.</w:t>
      </w:r>
    </w:p>
    <w:p>
      <w:pPr>
        <w:pStyle w:val="BodyText"/>
        <w:spacing w:before="121"/>
        <w:ind w:left="900" w:right="1330"/>
        <w:jc w:val="both"/>
      </w:pPr>
      <w:r>
        <w:rPr>
          <w:color w:val="404040"/>
        </w:rPr>
        <w:t>In the following sections, we look at the interactions of these refugees with the welfare system. Note that the analysis</w:t>
      </w:r>
      <w:r>
        <w:rPr>
          <w:color w:val="404040"/>
          <w:spacing w:val="-1"/>
        </w:rPr>
        <w:t> </w:t>
      </w:r>
      <w:r>
        <w:rPr>
          <w:color w:val="404040"/>
        </w:rPr>
        <w:t>only</w:t>
      </w:r>
      <w:r>
        <w:rPr>
          <w:color w:val="404040"/>
          <w:spacing w:val="-6"/>
        </w:rPr>
        <w:t> </w:t>
      </w:r>
      <w:r>
        <w:rPr>
          <w:color w:val="404040"/>
        </w:rPr>
        <w:t>includes</w:t>
      </w:r>
      <w:r>
        <w:rPr>
          <w:color w:val="404040"/>
          <w:spacing w:val="-3"/>
        </w:rPr>
        <w:t> </w:t>
      </w:r>
      <w:r>
        <w:rPr>
          <w:color w:val="404040"/>
        </w:rPr>
        <w:t>refugees</w:t>
      </w:r>
      <w:r>
        <w:rPr>
          <w:color w:val="404040"/>
          <w:spacing w:val="-1"/>
        </w:rPr>
        <w:t> </w:t>
      </w:r>
      <w:r>
        <w:rPr>
          <w:color w:val="404040"/>
        </w:rPr>
        <w:t>who</w:t>
      </w:r>
      <w:r>
        <w:rPr>
          <w:color w:val="404040"/>
          <w:spacing w:val="-3"/>
        </w:rPr>
        <w:t> </w:t>
      </w:r>
      <w:r>
        <w:rPr>
          <w:color w:val="404040"/>
        </w:rPr>
        <w:t>have</w:t>
      </w:r>
      <w:r>
        <w:rPr>
          <w:color w:val="404040"/>
          <w:spacing w:val="-3"/>
        </w:rPr>
        <w:t> </w:t>
      </w:r>
      <w:r>
        <w:rPr>
          <w:color w:val="404040"/>
        </w:rPr>
        <w:t>interacted</w:t>
      </w:r>
      <w:r>
        <w:rPr>
          <w:color w:val="404040"/>
          <w:spacing w:val="1"/>
        </w:rPr>
        <w:t> </w:t>
      </w:r>
      <w:r>
        <w:rPr>
          <w:color w:val="404040"/>
        </w:rPr>
        <w:t>with</w:t>
      </w:r>
      <w:r>
        <w:rPr>
          <w:color w:val="404040"/>
          <w:spacing w:val="-5"/>
        </w:rPr>
        <w:t> </w:t>
      </w:r>
      <w:r>
        <w:rPr>
          <w:color w:val="404040"/>
        </w:rPr>
        <w:t>the</w:t>
      </w:r>
      <w:r>
        <w:rPr>
          <w:color w:val="404040"/>
          <w:spacing w:val="-3"/>
        </w:rPr>
        <w:t> </w:t>
      </w:r>
      <w:r>
        <w:rPr>
          <w:color w:val="404040"/>
        </w:rPr>
        <w:t>welfare</w:t>
      </w:r>
      <w:r>
        <w:rPr>
          <w:color w:val="404040"/>
          <w:spacing w:val="-4"/>
        </w:rPr>
        <w:t> </w:t>
      </w:r>
      <w:r>
        <w:rPr>
          <w:color w:val="404040"/>
        </w:rPr>
        <w:t>system at</w:t>
      </w:r>
      <w:r>
        <w:rPr>
          <w:color w:val="404040"/>
          <w:spacing w:val="-5"/>
        </w:rPr>
        <w:t> </w:t>
      </w:r>
      <w:r>
        <w:rPr>
          <w:color w:val="404040"/>
        </w:rPr>
        <w:t>some</w:t>
      </w:r>
      <w:r>
        <w:rPr>
          <w:color w:val="404040"/>
          <w:spacing w:val="-4"/>
        </w:rPr>
        <w:t> </w:t>
      </w:r>
      <w:r>
        <w:rPr>
          <w:color w:val="404040"/>
        </w:rPr>
        <w:t>point</w:t>
      </w:r>
      <w:r>
        <w:rPr>
          <w:color w:val="404040"/>
          <w:spacing w:val="-5"/>
        </w:rPr>
        <w:t> </w:t>
      </w:r>
      <w:r>
        <w:rPr>
          <w:color w:val="404040"/>
        </w:rPr>
        <w:t>since</w:t>
      </w:r>
      <w:r>
        <w:rPr>
          <w:color w:val="404040"/>
          <w:spacing w:val="-2"/>
        </w:rPr>
        <w:t> </w:t>
      </w:r>
      <w:r>
        <w:rPr>
          <w:color w:val="404040"/>
        </w:rPr>
        <w:t>2003</w:t>
      </w:r>
      <w:r>
        <w:rPr>
          <w:color w:val="404040"/>
          <w:spacing w:val="-5"/>
        </w:rPr>
        <w:t> </w:t>
      </w:r>
      <w:r>
        <w:rPr>
          <w:color w:val="404040"/>
        </w:rPr>
        <w:t>given the limited availability of both refugee and welfare data prior to this</w:t>
      </w:r>
      <w:r>
        <w:rPr>
          <w:color w:val="404040"/>
          <w:spacing w:val="-4"/>
        </w:rPr>
        <w:t> </w:t>
      </w:r>
      <w:r>
        <w:rPr>
          <w:color w:val="404040"/>
        </w:rPr>
        <w:t>point.</w:t>
      </w:r>
    </w:p>
    <w:p>
      <w:pPr>
        <w:pStyle w:val="BodyText"/>
        <w:spacing w:before="9"/>
      </w:pPr>
    </w:p>
    <w:p>
      <w:pPr>
        <w:pStyle w:val="Heading4"/>
        <w:spacing w:before="1"/>
        <w:jc w:val="both"/>
      </w:pPr>
      <w:bookmarkStart w:name="How do refugees first interact with the " w:id="72"/>
      <w:bookmarkEnd w:id="72"/>
      <w:r>
        <w:rPr/>
      </w:r>
      <w:r>
        <w:rPr>
          <w:color w:val="DF2F28"/>
        </w:rPr>
        <w:t>How do refugees first interact with the welfare system?</w:t>
      </w:r>
    </w:p>
    <w:p>
      <w:pPr>
        <w:pStyle w:val="BodyText"/>
        <w:spacing w:before="121"/>
        <w:ind w:left="899" w:right="1332"/>
      </w:pPr>
      <w:r>
        <w:rPr>
          <w:color w:val="404040"/>
        </w:rPr>
        <w:t>Due to the nature of the support provided to refugees to assist them upon entering the country (for example newly arrived resident’s waiting period and qualifying residence requirements are not applied in the case of refugees or humanitarian visa holders), most refugees enter the welfare system soon after their arrival. In particular, for refugees with a known date of first residency, roughly 70% were observed to have entered the system within their first two years of being in the country, and this increases to approximately 90% after 10 years. Note that the increase seen over this period would in part reflect refugees who enter Australia as children, and then during this 10 year period become adults and enter the welfare system in their own right.</w:t>
      </w:r>
    </w:p>
    <w:p>
      <w:pPr>
        <w:pStyle w:val="BodyText"/>
        <w:spacing w:before="119"/>
        <w:ind w:left="899" w:right="1330"/>
        <w:jc w:val="both"/>
      </w:pPr>
      <w:r>
        <w:rPr>
          <w:color w:val="404040"/>
        </w:rPr>
        <w:t>The following analysis focuses on the experience of refugees who entered the welfare system from the point they entered. The chart below looks at the types of welfare that recent refugees utilised when they first enter the welfare system, and splits out this experience by their age of first entry into the welfare system.</w:t>
      </w:r>
    </w:p>
    <w:p>
      <w:pPr>
        <w:pStyle w:val="Heading9"/>
        <w:spacing w:before="176"/>
        <w:ind w:left="899"/>
      </w:pPr>
      <w:r>
        <w:rPr>
          <w:color w:val="DF2F1E"/>
        </w:rPr>
        <w:t>Figure 16: Proportion of refugees by class of first entry and age of first entry</w:t>
      </w:r>
    </w:p>
    <w:p>
      <w:pPr>
        <w:pStyle w:val="BodyText"/>
        <w:rPr>
          <w:b/>
        </w:rPr>
      </w:pPr>
    </w:p>
    <w:p>
      <w:pPr>
        <w:pStyle w:val="BodyText"/>
        <w:rPr>
          <w:b/>
          <w:sz w:val="10"/>
        </w:rPr>
      </w:pPr>
    </w:p>
    <w:p>
      <w:pPr>
        <w:pStyle w:val="BodyText"/>
        <w:spacing w:before="8"/>
        <w:rPr>
          <w:b/>
          <w:sz w:val="8"/>
        </w:rPr>
      </w:pPr>
    </w:p>
    <w:p>
      <w:pPr>
        <w:spacing w:before="0"/>
        <w:ind w:left="1082" w:right="0" w:firstLine="0"/>
        <w:jc w:val="left"/>
        <w:rPr>
          <w:rFonts w:ascii="Calibri"/>
          <w:sz w:val="10"/>
        </w:rPr>
      </w:pPr>
      <w:r>
        <w:rPr/>
        <w:pict>
          <v:group style="position:absolute;margin-left:75.853317pt;margin-top:3.345489pt;width:214.5pt;height:111.3pt;mso-position-horizontal-relative:page;mso-position-vertical-relative:paragraph;z-index:251799552" coordorigin="1517,67" coordsize="4290,2226">
            <v:line style="position:absolute" from="1517,2288" to="5807,2288" stroked="true" strokeweight=".416767pt" strokecolor="#d9d9d9">
              <v:stroke dashstyle="solid"/>
            </v:line>
            <v:shape style="position:absolute;left:1517;top:737;width:459;height:1334" coordorigin="1517,738" coordsize="459,1334" path="m1843,2072l1976,2072m1517,2072l1584,2072m1843,1847l1976,1847m1517,1847l1584,1847m1843,1621l1976,1621m1517,1621l1584,1621m1843,1405l1976,1405m1517,1405l1584,1405m1843,1180l1976,1180m1517,1180l1584,1180m1843,963l1976,963m1517,963l1584,963m1843,738l1976,738m1517,738l1584,738e" filled="false" stroked="true" strokeweight=".416767pt" strokecolor="#d9d9d9">
              <v:path arrowok="t"/>
              <v:stroke dashstyle="solid"/>
            </v:shape>
            <v:rect style="position:absolute;left:1583;top:779;width:259;height:1509" filled="true" fillcolor="#1f487c" stroked="false">
              <v:fill type="solid"/>
            </v:rect>
            <v:line style="position:absolute" from="2235,2072" to="2368,2072" stroked="true" strokeweight=".416767pt" strokecolor="#d9d9d9">
              <v:stroke dashstyle="solid"/>
            </v:line>
            <v:rect style="position:absolute;left:1976;top:2096;width:259;height:192" filled="true" fillcolor="#1f487c" stroked="false">
              <v:fill type="solid"/>
            </v:rect>
            <v:shape style="position:absolute;left:2368;top:2238;width:643;height:50" coordorigin="2368,2238" coordsize="643,50" path="m2627,2238l2368,2238,2368,2288,2627,2288,2627,2238m3011,2255l2752,2255,2752,2288,3011,2288,3011,2255e" filled="true" fillcolor="#1f487c" stroked="false">
              <v:path arrowok="t"/>
              <v:fill type="solid"/>
            </v:shape>
            <v:shape style="position:absolute;left:3144;top:2279;width:651;height:2" coordorigin="3144,2280" coordsize="651,0" path="m3144,2280l3403,2280m3537,2280l3795,2280e" filled="false" stroked="true" strokeweight=".833528pt" strokecolor="#1f487c">
              <v:path arrowok="t"/>
              <v:stroke dashstyle="solid"/>
            </v:shape>
            <v:line style="position:absolute" from="3921,2284" to="4188,2284" stroked="true" strokeweight=".416761pt" strokecolor="#1f487c">
              <v:stroke dashstyle="solid"/>
            </v:line>
            <v:shape style="position:absolute;left:9832;top:-316846;width:210165;height:222455" coordorigin="9832,-316845" coordsize="210165,222455" path="m1584,780l1843,780,1843,2288,1584,2288,1584,780xm1976,2097l2235,2097,2235,2288,1976,2288,1976,2097xm2368,2238l2627,2238,2627,2288,2368,2288,2368,2238xm2752,2255l3011,2255,3011,2288,2752,2288,2752,2255xe" filled="false" stroked="true" strokeweight=".417022pt" strokecolor="#1f487c">
              <v:path arrowok="t"/>
              <v:stroke dashstyle="solid"/>
            </v:shape>
            <v:shape style="position:absolute;left:3140;top:2267;width:660;height:26" coordorigin="3140,2267" coordsize="660,26" path="m3407,2267l3140,2267,3140,2292,3407,2292,3407,2267m3800,2267l3533,2267,3533,2292,3800,2292,3800,2267e" filled="true" fillcolor="#1f487c" stroked="false">
              <v:path arrowok="t"/>
              <v:fill type="solid"/>
            </v:shape>
            <v:shape style="position:absolute;left:3916;top:2284;width:1444;height:2" coordorigin="3916,2284" coordsize="1444,0" path="m3916,2284l4192,2284m4309,2284l4576,2284m4701,2284l4968,2284m5093,2284l5360,2284e" filled="false" stroked="true" strokeweight=".833528pt" strokecolor="#1f487c">
              <v:path arrowok="t"/>
              <v:stroke dashstyle="solid"/>
            </v:shape>
            <v:shape style="position:absolute;left:1517;top:296;width:459;height:217" coordorigin="1517,296" coordsize="459,217" path="m1843,513l1976,513m1517,513l1584,513m1843,296l1976,296m1517,296l1584,296e" filled="false" stroked="true" strokeweight=".416767pt" strokecolor="#d9d9d9">
              <v:path arrowok="t"/>
              <v:stroke dashstyle="solid"/>
            </v:shape>
            <v:rect style="position:absolute;left:1583;top:162;width:259;height:617" filled="true" fillcolor="#009544" stroked="false">
              <v:fill type="solid"/>
            </v:rect>
            <v:shape style="position:absolute;left:2234;top:512;width:134;height:1334" coordorigin="2235,513" coordsize="134,1334" path="m2235,1847l2368,1847m2235,1621l2368,1621m2235,1405l2368,1405m2235,1180l2368,1180m2235,963l2368,963m2235,738l2368,738m2235,513l2368,513e" filled="false" stroked="true" strokeweight=".416767pt" strokecolor="#d9d9d9">
              <v:path arrowok="t"/>
              <v:stroke dashstyle="solid"/>
            </v:shape>
            <v:rect style="position:absolute;left:1976;top:504;width:259;height:1593" filled="true" fillcolor="#009544" stroked="false">
              <v:fill type="solid"/>
            </v:rect>
            <v:shape style="position:absolute;left:2627;top:737;width:126;height:1334" coordorigin="2627,738" coordsize="126,1334" path="m2627,2072l2752,2072m2627,1847l2752,1847m2627,1621l2752,1621m2627,1405l2752,1405m2627,1180l2752,1180m2627,963l2752,963m2627,738l2752,738e" filled="false" stroked="true" strokeweight=".416767pt" strokecolor="#d9d9d9">
              <v:path arrowok="t"/>
              <v:stroke dashstyle="solid"/>
            </v:shape>
            <v:rect style="position:absolute;left:2368;top:762;width:259;height:1476" filled="true" fillcolor="#009544" stroked="false">
              <v:fill type="solid"/>
            </v:rect>
            <v:shape style="position:absolute;left:3010;top:962;width:134;height:1109" coordorigin="3011,963" coordsize="134,1109" path="m3011,2072l3144,2072m3011,1847l3144,1847m3011,1621l3144,1621m3011,1405l3144,1405m3011,1180l3144,1180m3011,963l3144,963e" filled="false" stroked="true" strokeweight=".416767pt" strokecolor="#d9d9d9">
              <v:path arrowok="t"/>
              <v:stroke dashstyle="solid"/>
            </v:shape>
            <v:rect style="position:absolute;left:2752;top:846;width:259;height:1409" filled="true" fillcolor="#009544" stroked="false">
              <v:fill type="solid"/>
            </v:rect>
            <v:shape style="position:absolute;left:3010;top:737;width:526;height:1334" coordorigin="3011,738" coordsize="526,1334" path="m3403,2072l3537,2072m3403,1847l3537,1847m3403,1621l3537,1621m3403,1405l3537,1405m3403,1180l3537,1180m3403,963l3537,963m3403,738l3537,738m3011,738l3144,738e" filled="false" stroked="true" strokeweight=".416767pt" strokecolor="#d9d9d9">
              <v:path arrowok="t"/>
              <v:stroke dashstyle="solid"/>
            </v:shape>
            <v:rect style="position:absolute;left:3144;top:762;width:259;height:1509" filled="true" fillcolor="#009544" stroked="false">
              <v:fill type="solid"/>
            </v:rect>
            <v:shape style="position:absolute;left:3795;top:737;width:126;height:1334" coordorigin="3795,738" coordsize="126,1334" path="m3795,2072l3921,2072m3795,1847l3921,1847m3795,1621l3921,1621m3795,1405l3921,1405m3795,1180l3921,1180m3795,963l3921,963m3795,738l3921,738e" filled="false" stroked="true" strokeweight=".416767pt" strokecolor="#d9d9d9">
              <v:path arrowok="t"/>
              <v:stroke dashstyle="solid"/>
            </v:shape>
            <v:rect style="position:absolute;left:3536;top:629;width:259;height:1643" filled="true" fillcolor="#009544" stroked="false">
              <v:fill type="solid"/>
            </v:rect>
            <v:shape style="position:absolute;left:3795;top:512;width:518;height:1559" coordorigin="3795,513" coordsize="518,1559" path="m4188,2072l4313,2072m4188,1847l4313,1847m4188,1621l4313,1621m4188,1405l4313,1405m4188,1180l4313,1180m4188,963l4313,963m4188,738l4313,738m4188,513l4313,513m3795,513l3921,513e" filled="false" stroked="true" strokeweight=".416767pt" strokecolor="#d9d9d9">
              <v:path arrowok="t"/>
              <v:stroke dashstyle="solid"/>
            </v:shape>
            <v:rect style="position:absolute;left:3920;top:496;width:268;height:1784" filled="true" fillcolor="#009544" stroked="false">
              <v:fill type="solid"/>
            </v:rect>
            <v:shape style="position:absolute;left:4571;top:512;width:134;height:1559" coordorigin="4572,513" coordsize="134,1559" path="m4572,2072l4705,2072m4572,1847l4705,1847m4572,1621l4705,1621m4572,1405l4705,1405m4572,1180l4705,1180m4572,963l4705,963m4572,738l4705,738m4572,513l4705,513e" filled="false" stroked="true" strokeweight=".416767pt" strokecolor="#d9d9d9">
              <v:path arrowok="t"/>
              <v:stroke dashstyle="solid"/>
            </v:shape>
            <v:rect style="position:absolute;left:4312;top:471;width:259;height:1818" filled="true" fillcolor="#009544" stroked="false">
              <v:fill type="solid"/>
            </v:rect>
            <v:shape style="position:absolute;left:4963;top:512;width:134;height:1559" coordorigin="4964,513" coordsize="134,1559" path="m4964,2072l5097,2072m4964,1847l5097,1847m4964,1621l5097,1621m4964,1405l5097,1405m4964,1180l5097,1180m4964,963l5097,963m4964,738l5097,738m4964,513l5097,513e" filled="false" stroked="true" strokeweight=".416767pt" strokecolor="#d9d9d9">
              <v:path arrowok="t"/>
              <v:stroke dashstyle="solid"/>
            </v:shape>
            <v:rect style="position:absolute;left:4705;top:504;width:259;height:1784" filled="true" fillcolor="#009544" stroked="false">
              <v:fill type="solid"/>
            </v:rect>
            <v:shape style="position:absolute;left:5356;top:962;width:126;height:1109" coordorigin="5356,963" coordsize="126,1109" path="m5356,2072l5481,2072m5356,1847l5481,1847m5356,1621l5481,1621m5356,1405l5481,1405m5356,1180l5481,1180m5356,963l5481,963e" filled="false" stroked="true" strokeweight=".416767pt" strokecolor="#d9d9d9">
              <v:path arrowok="t"/>
              <v:stroke dashstyle="solid"/>
            </v:shape>
            <v:rect style="position:absolute;left:5097;top:979;width:259;height:1309" filled="true" fillcolor="#009544" stroked="false">
              <v:fill type="solid"/>
            </v:rect>
            <v:line style="position:absolute" from="5481,2284" to="5740,2284" stroked="true" strokeweight=".416768pt" strokecolor="#009544">
              <v:stroke dashstyle="solid"/>
            </v:line>
            <v:shape style="position:absolute;left:9125;top:-293354;width:515605;height:290884" coordorigin="9126,-293354" coordsize="515605,290884" path="m1584,163l1843,163,1843,780,1584,780,1584,163xm1976,505l2235,505,2235,2097,1976,2097,1976,505xm2368,763l2627,763,2627,2238,2368,2238,2368,763xm2752,846l3011,846,3011,2255,2752,2255,2752,846xm3144,763l3403,763,3403,2272,3144,2272,3144,763xm3537,630l3795,630,3795,2272,3537,2272,3537,630xm3921,496l4188,496,4188,2280,3921,2280,3921,496xm4313,471l4572,471,4572,2288,4313,2288,4313,471xm4705,505l4964,505,4964,2288,4705,2288,4705,505xm5097,980l5356,980,5356,2288,5097,2288,5097,980xe" filled="false" stroked="true" strokeweight=".417022pt" strokecolor="#009544">
              <v:path arrowok="t"/>
              <v:stroke dashstyle="solid"/>
            </v:shape>
            <v:line style="position:absolute" from="5477,2284" to="5744,2284" stroked="true" strokeweight=".833536pt" strokecolor="#009544">
              <v:stroke dashstyle="solid"/>
            </v:line>
            <v:line style="position:absolute" from="1517,71" to="5807,71" stroked="true" strokeweight=".416767pt" strokecolor="#d9d9d9">
              <v:stroke dashstyle="solid"/>
            </v:line>
            <v:rect style="position:absolute;left:1583;top:121;width:259;height:42" filled="true" fillcolor="#e16b09" stroked="false">
              <v:fill type="solid"/>
            </v:rect>
            <v:line style="position:absolute" from="2235,296" to="2368,296" stroked="true" strokeweight=".416767pt" strokecolor="#d9d9d9">
              <v:stroke dashstyle="solid"/>
            </v:line>
            <v:rect style="position:absolute;left:1976;top:154;width:259;height:351" filled="true" fillcolor="#e16b09" stroked="false">
              <v:fill type="solid"/>
            </v:rect>
            <v:shape style="position:absolute;left:2627;top:296;width:126;height:217" coordorigin="2627,296" coordsize="126,217" path="m2627,513l2752,513m2627,296l2752,296e" filled="false" stroked="true" strokeweight=".416767pt" strokecolor="#d9d9d9">
              <v:path arrowok="t"/>
              <v:stroke dashstyle="solid"/>
            </v:shape>
            <v:rect style="position:absolute;left:2368;top:229;width:259;height:534" filled="true" fillcolor="#e16b09" stroked="false">
              <v:fill type="solid"/>
            </v:rect>
            <v:shape style="position:absolute;left:3010;top:296;width:134;height:217" coordorigin="3011,296" coordsize="134,217" path="m3011,513l3144,513m3011,296l3144,296e" filled="false" stroked="true" strokeweight=".416767pt" strokecolor="#d9d9d9">
              <v:path arrowok="t"/>
              <v:stroke dashstyle="solid"/>
            </v:shape>
            <v:rect style="position:absolute;left:2752;top:279;width:259;height:567" filled="true" fillcolor="#e16b09" stroked="false">
              <v:fill type="solid"/>
            </v:rect>
            <v:shape style="position:absolute;left:3403;top:296;width:134;height:217" coordorigin="3403,296" coordsize="134,217" path="m3403,513l3537,513m3403,296l3537,296e" filled="false" stroked="true" strokeweight=".416767pt" strokecolor="#d9d9d9">
              <v:path arrowok="t"/>
              <v:stroke dashstyle="solid"/>
            </v:shape>
            <v:rect style="position:absolute;left:3144;top:312;width:259;height:451" filled="true" fillcolor="#e16b09" stroked="false">
              <v:fill type="solid"/>
            </v:rect>
            <v:line style="position:absolute" from="3795,296" to="3921,296" stroked="true" strokeweight=".416767pt" strokecolor="#d9d9d9">
              <v:stroke dashstyle="solid"/>
            </v:line>
            <v:rect style="position:absolute;left:3536;top:321;width:259;height:309" filled="true" fillcolor="#e16b09" stroked="false">
              <v:fill type="solid"/>
            </v:rect>
            <v:line style="position:absolute" from="4188,296" to="4313,296" stroked="true" strokeweight=".416767pt" strokecolor="#d9d9d9">
              <v:stroke dashstyle="solid"/>
            </v:line>
            <v:rect style="position:absolute;left:3920;top:346;width:268;height:151" filled="true" fillcolor="#e16b09" stroked="false">
              <v:fill type="solid"/>
            </v:rect>
            <v:shape style="position:absolute;left:4312;top:412;width:651;height:92" coordorigin="4313,413" coordsize="651,92" path="m4572,413l4313,413,4313,471,4572,471,4572,413m4964,480l4705,480,4705,505,4964,505,4964,480e" filled="true" fillcolor="#e16b09" stroked="false">
              <v:path arrowok="t"/>
              <v:fill type="solid"/>
            </v:shape>
            <v:line style="position:absolute" from="5097,975" to="5356,975" stroked="true" strokeweight=".416768pt" strokecolor="#e16b09">
              <v:stroke dashstyle="solid"/>
            </v:line>
            <v:shape style="position:absolute;left:9125;top:-96010;width:408378;height:99243" coordorigin="9126,-96009" coordsize="408378,99243" path="m1584,121l1843,121,1843,163,1584,163,1584,121xm1976,154l2235,154,2235,505,1976,505,1976,154xm2368,229l2627,229,2627,763,2368,763,2368,229xm2752,279l3011,279,3011,846,2752,846,2752,279xm3144,313l3403,313,3403,763,3144,763,3144,313xm3537,321l3795,321,3795,630,3537,630,3537,321xm3921,346l4188,346,4188,496,3921,496,3921,346xm4313,413l4572,413,4572,471,4313,471,4313,413xe" filled="false" stroked="true" strokeweight=".417022pt" strokecolor="#e16b09">
              <v:path arrowok="t"/>
              <v:stroke dashstyle="solid"/>
            </v:shape>
            <v:rect style="position:absolute;left:4700;top:475;width:268;height:34" filled="true" fillcolor="#e16b09" stroked="false">
              <v:fill type="solid"/>
            </v:rect>
            <v:line style="position:absolute" from="5093,975" to="5360,975" stroked="true" strokeweight=".833536pt" strokecolor="#e16b09">
              <v:stroke dashstyle="solid"/>
            </v:line>
            <v:line style="position:absolute" from="5477,2276" to="5744,2276" stroked="true" strokeweight=".833528pt" strokecolor="#e16b09">
              <v:stroke dashstyle="solid"/>
            </v:line>
            <v:line style="position:absolute" from="1584,113" to="1843,113" stroked="true" strokeweight=".833536pt" strokecolor="#e08ad6">
              <v:stroke dashstyle="solid"/>
            </v:line>
            <v:shape style="position:absolute;left:1976;top:121;width:2212;height:226" coordorigin="1976,121" coordsize="2212,226" path="m2235,121l1976,121,1976,154,2235,154,2235,121m2627,179l2368,179,2368,229,2627,229,2627,179m3011,221l2752,221,2752,279,3011,279,3011,221m3403,229l3144,229,3144,313,3403,313,3403,229m3795,213l3537,213,3537,321,3795,321,3795,213m4188,213l3921,213,3921,346,4188,346,4188,213e" filled="true" fillcolor="#e08ad6" stroked="false">
              <v:path arrowok="t"/>
              <v:fill type="solid"/>
            </v:shape>
            <v:line style="position:absolute" from="4572,296" to="4705,296" stroked="true" strokeweight=".416767pt" strokecolor="#d9d9d9">
              <v:stroke dashstyle="solid"/>
            </v:line>
            <v:rect style="position:absolute;left:4312;top:246;width:259;height:167" filled="true" fillcolor="#e08ad6" stroked="false">
              <v:fill type="solid"/>
            </v:rect>
            <v:line style="position:absolute" from="4964,296" to="5097,296" stroked="true" strokeweight=".416767pt" strokecolor="#d9d9d9">
              <v:stroke dashstyle="solid"/>
            </v:line>
            <v:rect style="position:absolute;left:4705;top:287;width:259;height:192" filled="true" fillcolor="#e08ad6" stroked="false">
              <v:fill type="solid"/>
            </v:rect>
            <v:rect style="position:absolute;left:5097;top:846;width:259;height:126" filled="true" fillcolor="#e08ad6" stroked="false">
              <v:fill type="solid"/>
            </v:rect>
            <v:rect style="position:absolute;left:1579;top:100;width:268;height:25" filled="true" fillcolor="#e08ad6" stroked="false">
              <v:fill type="solid"/>
            </v:rect>
            <v:shape style="position:absolute;left:62739;top:-113121;width:461992;height:116354" coordorigin="62740,-113120" coordsize="461992,116354" path="m1976,121l2235,121,2235,154,1976,154,1976,121xm2368,179l2627,179,2627,229,2368,229,2368,179xm2752,221l3011,221,3011,279,2752,279,2752,221xm3144,229l3403,229,3403,313,3144,313,3144,229xm3537,213l3795,213,3795,321,3537,321,3537,213xm3921,213l4188,213,4188,346,3921,346,3921,213xm4313,246l4572,246,4572,413,4313,413,4313,246xm4705,288l4964,288,4964,480,4705,480,4705,288xm5097,846l5356,846,5356,971,5097,971,5097,846xe" filled="false" stroked="true" strokeweight=".417022pt" strokecolor="#e08ad6">
              <v:path arrowok="t"/>
              <v:stroke dashstyle="solid"/>
            </v:shape>
            <v:line style="position:absolute" from="5477,2276" to="5744,2276" stroked="true" strokeweight=".833528pt" strokecolor="#e08ad6">
              <v:stroke dashstyle="solid"/>
            </v:line>
            <v:line style="position:absolute" from="1584,96" to="1843,96" stroked="true" strokeweight=".833527pt" strokecolor="#8063a1">
              <v:stroke dashstyle="solid"/>
            </v:line>
            <v:line style="position:absolute" from="1976,117" to="2235,117" stroked="true" strokeweight=".416767pt" strokecolor="#8063a1">
              <v:stroke dashstyle="solid"/>
            </v:line>
            <v:shape style="position:absolute;left:2368;top:171;width:643;height:42" coordorigin="2368,171" coordsize="643,42" path="m2368,171l2627,171m2752,213l3011,213e" filled="false" stroked="true" strokeweight=".833527pt" strokecolor="#8063a1">
              <v:path arrowok="t"/>
              <v:stroke dashstyle="solid"/>
            </v:shape>
            <v:shape style="position:absolute;left:3144;top:112;width:1428;height:134" coordorigin="3144,113" coordsize="1428,134" path="m3403,204l3144,204,3144,229,3403,229,3403,204m3795,171l3537,171,3537,213,3795,213,3795,171m4188,138l3921,138,3921,213,4188,213,4188,138m4572,113l4313,113,4313,246,4572,246,4572,113e" filled="true" fillcolor="#8063a1" stroked="false">
              <v:path arrowok="t"/>
              <v:fill type="solid"/>
            </v:shape>
            <v:rect style="position:absolute;left:4705;top:96;width:259;height:192" filled="true" fillcolor="#8063a1" stroked="false">
              <v:fill type="solid"/>
            </v:rect>
            <v:line style="position:absolute" from="5356,738" to="5481,738" stroked="true" strokeweight=".416767pt" strokecolor="#d9d9d9">
              <v:stroke dashstyle="solid"/>
            </v:line>
            <v:rect style="position:absolute;left:5097;top:679;width:259;height:167" filled="true" fillcolor="#8063a1" stroked="false">
              <v:fill type="solid"/>
            </v:rect>
            <v:rect style="position:absolute;left:1579;top:83;width:268;height:25" filled="true" fillcolor="#8063a1" stroked="false">
              <v:fill type="solid"/>
            </v:rect>
            <v:line style="position:absolute" from="1972,117" to="2239,117" stroked="true" strokeweight=".833533pt" strokecolor="#8063a1">
              <v:stroke dashstyle="solid"/>
            </v:line>
            <v:shape style="position:absolute;left:2364;top:158;width:1044;height:76" coordorigin="2364,159" coordsize="1044,76" path="m2631,159l2364,159,2364,184,2631,184,2631,159m3015,200l2748,200,2748,225,3015,225,3015,200m3407,200l3140,200,3140,234,3407,234,3407,200e" filled="true" fillcolor="#8063a1" stroked="false">
              <v:path arrowok="t"/>
              <v:fill type="solid"/>
            </v:shape>
            <v:shape style="position:absolute;left:336503;top:-119241;width:303132;height:125146" coordorigin="336504,-119240" coordsize="303132,125146" path="m3537,171l3795,171,3795,213,3537,213,3537,171xm3921,138l4188,138,4188,213,3921,213,3921,138xm4313,113l4572,113,4572,246,4313,246,4313,113xm4705,96l4964,96,4964,288,4705,288,4705,96xm5097,680l5356,680,5356,846,5097,846,5097,680xe" filled="false" stroked="true" strokeweight=".417024pt" strokecolor="#8063a1">
              <v:path arrowok="t"/>
              <v:stroke dashstyle="solid"/>
            </v:shape>
            <v:line style="position:absolute" from="3921,134" to="4188,134" stroked="true" strokeweight=".416768pt" strokecolor="#c0504d">
              <v:stroke dashstyle="solid"/>
            </v:line>
            <v:shape style="position:absolute;left:5356;top:296;width:126;height:217" coordorigin="5356,296" coordsize="126,217" path="m5356,513l5481,513m5356,296l5481,296e" filled="false" stroked="true" strokeweight=".416767pt" strokecolor="#d9d9d9">
              <v:path arrowok="t"/>
              <v:stroke dashstyle="solid"/>
            </v:shape>
            <v:rect style="position:absolute;left:5097;top:104;width:259;height:576" filled="true" fillcolor="#c0504d" stroked="false">
              <v:fill type="solid"/>
            </v:rect>
            <v:shape style="position:absolute;left:5739;top:296;width:67;height:1776" coordorigin="5740,296" coordsize="67,1776" path="m5740,2072l5807,2072m5740,1847l5807,1847m5740,1621l5807,1621m5740,1405l5807,1405m5740,1180l5807,1180m5740,963l5807,963m5740,738l5807,738m5740,513l5807,513m5740,296l5807,296e" filled="false" stroked="true" strokeweight=".416767pt" strokecolor="#d9d9d9">
              <v:path arrowok="t"/>
              <v:stroke dashstyle="solid"/>
            </v:shape>
            <v:rect style="position:absolute;left:5481;top:129;width:259;height:2151" filled="true" fillcolor="#c0504d" stroked="false">
              <v:fill type="solid"/>
            </v:rect>
            <v:line style="position:absolute" from="3916,134" to="4192,134" stroked="true" strokeweight=".833536pt" strokecolor="#c0504d">
              <v:stroke dashstyle="solid"/>
            </v:line>
            <v:shape style="position:absolute;left:489368;top:-292214;width:87836;height:297728" coordorigin="489368,-292213" coordsize="87836,297728" path="m5097,104l5356,104,5356,680,5097,680,5097,104xm5481,129l5740,129,5740,2280,5481,2280,5481,129xe" filled="false" stroked="true" strokeweight=".417022pt" strokecolor="#c0504d">
              <v:path arrowok="t"/>
              <v:stroke dashstyle="solid"/>
            </v:shape>
            <v:shape style="position:absolute;left:1583;top:83;width:2212;height:117" coordorigin="1584,84" coordsize="2212,117" path="m1584,84l1843,84m1976,109l2235,109m3144,200l3403,200m3537,167l3795,167e" filled="false" stroked="true" strokeweight=".416763pt" strokecolor="#ecb8e7">
              <v:path arrowok="t"/>
              <v:stroke dashstyle="solid"/>
            </v:shape>
            <v:line style="position:absolute" from="3921,134" to="4188,134" stroked="true" strokeweight=".416763pt" strokecolor="#ecb8e7">
              <v:stroke dashstyle="solid"/>
            </v:line>
            <v:shape style="position:absolute;left:4312;top:91;width:1428;height:34" coordorigin="4313,92" coordsize="1428,34" path="m4313,109l4572,109m4705,92l4964,92m5097,100l5356,100m5481,125l5740,125e" filled="false" stroked="true" strokeweight=".416763pt" strokecolor="#ecb8e7">
              <v:path arrowok="t"/>
              <v:stroke dashstyle="solid"/>
            </v:shape>
            <v:line style="position:absolute" from="1580,84" to="1847,84" stroked="true" strokeweight=".833526pt" strokecolor="#ecb8e7">
              <v:stroke dashstyle="solid"/>
            </v:line>
            <v:line style="position:absolute" from="1972,109" to="2239,109" stroked="true" strokeweight=".833526pt" strokecolor="#ecb8e7">
              <v:stroke dashstyle="solid"/>
            </v:line>
            <v:line style="position:absolute" from="2364,159" to="2631,159" stroked="true" strokeweight=".833526pt" strokecolor="#ecb8e7">
              <v:stroke dashstyle="solid"/>
            </v:line>
            <v:shape style="position:absolute;left:2748;top:91;width:2220;height:109" coordorigin="2748,92" coordsize="2220,109" path="m2748,200l3015,200m3140,200l3407,200m3533,167l3800,167m3916,134l4192,134m4309,109l4576,109m4701,92l4968,92e" filled="false" stroked="true" strokeweight=".833526pt" strokecolor="#ecb8e7">
              <v:path arrowok="t"/>
              <v:stroke dashstyle="solid"/>
            </v:shape>
            <v:shape style="position:absolute;left:5093;top:100;width:651;height:25" coordorigin="5093,100" coordsize="651,25" path="m5093,100l5360,100m5477,125l5744,125e" filled="false" stroked="true" strokeweight=".833526pt" strokecolor="#ecb8e7">
              <v:path arrowok="t"/>
              <v:stroke dashstyle="solid"/>
            </v:shape>
            <v:line style="position:absolute" from="1584,75" to="1843,75" stroked="true" strokeweight=".416763pt" strokecolor="#938953">
              <v:stroke dashstyle="solid"/>
            </v:line>
            <v:line style="position:absolute" from="1976,88" to="2235,88" stroked="true" strokeweight="1.667052pt" strokecolor="#938953">
              <v:stroke dashstyle="solid"/>
            </v:line>
            <v:shape style="position:absolute;left:2368;top:71;width:2204;height:134" coordorigin="2368,71" coordsize="2204,134" path="m2627,71l2368,71,2368,163,2627,163,2627,71m3011,71l2752,71,2752,204,3011,204,3011,71m3403,71l3144,71,3144,196,3403,196,3403,71m3795,71l3537,71,3537,163,3795,163,3795,71m4188,71l3921,71,3921,129,4188,129,4188,71m4572,71l4313,71,4313,104,4572,104,4572,71e" filled="true" fillcolor="#938953" stroked="false">
              <v:path arrowok="t"/>
              <v:fill type="solid"/>
            </v:shape>
            <v:line style="position:absolute" from="4705,79" to="4964,79" stroked="true" strokeweight=".833526pt" strokecolor="#938953">
              <v:stroke dashstyle="solid"/>
            </v:line>
            <v:shape style="position:absolute;left:5097;top:71;width:643;height:59" coordorigin="5097,71" coordsize="643,59" path="m5356,71l5097,71,5097,96,5356,96,5356,71m5740,71l5481,71,5481,129,5740,129,5740,71e" filled="true" fillcolor="#938953" stroked="false">
              <v:path arrowok="t"/>
              <v:fill type="solid"/>
            </v:shape>
            <v:line style="position:absolute" from="1580,75" to="1847,75" stroked="true" strokeweight=".833526pt" strokecolor="#938953">
              <v:stroke dashstyle="solid"/>
            </v:line>
            <v:shape style="position:absolute;left:70793;top:-10518;width:400308;height:20595" coordorigin="70794,-10517" coordsize="400308,20595" path="m1976,71l2235,71,2235,104,1976,104,1976,71xm2368,71l2627,71,2627,163,2368,163,2368,71xm2752,71l3011,71,3011,204,2752,204,2752,71xm3144,71l3403,71,3403,196,3144,196,3144,71xm3537,71l3795,71,3795,163,3537,163,3537,71xm3921,71l4188,71,4188,129,3921,129,3921,71xm4313,71l4572,71,4572,104,4313,104,4313,71xe" filled="false" stroked="true" strokeweight=".417021pt" strokecolor="#938953">
              <v:path arrowok="t"/>
              <v:stroke dashstyle="solid"/>
            </v:shape>
            <v:shape style="position:absolute;left:4700;top:66;width:660;height:34" coordorigin="4701,67" coordsize="660,34" path="m4968,67l4701,67,4701,92,4968,92,4968,67m5360,67l5093,67,5093,100,5360,100,5360,67e" filled="true" fillcolor="#938953" stroked="false">
              <v:path arrowok="t"/>
              <v:fill type="solid"/>
            </v:shape>
            <v:rect style="position:absolute;left:5481;top:71;width:259;height:59" filled="false" stroked="true" strokeweight=".416788pt" strokecolor="#938953">
              <v:stroke dashstyle="solid"/>
            </v:rect>
            <w10:wrap type="none"/>
          </v:group>
        </w:pict>
      </w:r>
      <w:r>
        <w:rPr>
          <w:rFonts w:ascii="Calibri"/>
          <w:color w:val="585858"/>
          <w:sz w:val="10"/>
        </w:rPr>
        <w:t>100%</w:t>
      </w:r>
    </w:p>
    <w:p>
      <w:pPr>
        <w:pStyle w:val="BodyText"/>
        <w:spacing w:before="2"/>
        <w:rPr>
          <w:rFonts w:ascii="Calibri"/>
          <w:sz w:val="8"/>
        </w:rPr>
      </w:pPr>
    </w:p>
    <w:p>
      <w:pPr>
        <w:spacing w:before="0"/>
        <w:ind w:left="1133" w:right="0" w:firstLine="0"/>
        <w:jc w:val="left"/>
        <w:rPr>
          <w:rFonts w:ascii="Calibri"/>
          <w:sz w:val="10"/>
        </w:rPr>
      </w:pPr>
      <w:r>
        <w:rPr>
          <w:rFonts w:ascii="Calibri"/>
          <w:color w:val="585858"/>
          <w:sz w:val="10"/>
        </w:rPr>
        <w:t>90%</w:t>
      </w:r>
    </w:p>
    <w:p>
      <w:pPr>
        <w:pStyle w:val="BodyText"/>
        <w:spacing w:before="3"/>
        <w:rPr>
          <w:rFonts w:ascii="Calibri"/>
          <w:sz w:val="8"/>
        </w:rPr>
      </w:pPr>
    </w:p>
    <w:p>
      <w:pPr>
        <w:spacing w:before="0"/>
        <w:ind w:left="1133" w:right="0" w:firstLine="0"/>
        <w:jc w:val="left"/>
        <w:rPr>
          <w:rFonts w:ascii="Calibri"/>
          <w:sz w:val="10"/>
        </w:rPr>
      </w:pPr>
      <w:r>
        <w:rPr>
          <w:rFonts w:ascii="Calibri"/>
          <w:color w:val="585858"/>
          <w:sz w:val="10"/>
        </w:rPr>
        <w:t>80%</w:t>
      </w:r>
    </w:p>
    <w:p>
      <w:pPr>
        <w:pStyle w:val="BodyText"/>
        <w:spacing w:before="2"/>
        <w:rPr>
          <w:rFonts w:ascii="Calibri"/>
          <w:sz w:val="8"/>
        </w:rPr>
      </w:pPr>
    </w:p>
    <w:p>
      <w:pPr>
        <w:spacing w:before="0"/>
        <w:ind w:left="1133" w:right="0" w:firstLine="0"/>
        <w:jc w:val="left"/>
        <w:rPr>
          <w:rFonts w:ascii="Calibri"/>
          <w:sz w:val="10"/>
        </w:rPr>
      </w:pPr>
      <w:r>
        <w:rPr>
          <w:rFonts w:ascii="Calibri"/>
          <w:color w:val="585858"/>
          <w:sz w:val="10"/>
        </w:rPr>
        <w:t>70%</w:t>
      </w:r>
    </w:p>
    <w:p>
      <w:pPr>
        <w:pStyle w:val="BodyText"/>
        <w:spacing w:before="3"/>
        <w:rPr>
          <w:rFonts w:ascii="Calibri"/>
          <w:sz w:val="8"/>
        </w:rPr>
      </w:pPr>
    </w:p>
    <w:p>
      <w:pPr>
        <w:spacing w:before="0"/>
        <w:ind w:left="1133" w:right="0" w:firstLine="0"/>
        <w:jc w:val="left"/>
        <w:rPr>
          <w:rFonts w:ascii="Calibri"/>
          <w:sz w:val="10"/>
        </w:rPr>
      </w:pPr>
      <w:r>
        <w:rPr>
          <w:rFonts w:ascii="Calibri"/>
          <w:color w:val="585858"/>
          <w:sz w:val="10"/>
        </w:rPr>
        <w:t>60%</w:t>
      </w:r>
    </w:p>
    <w:p>
      <w:pPr>
        <w:pStyle w:val="BodyText"/>
        <w:spacing w:before="2"/>
        <w:rPr>
          <w:rFonts w:ascii="Calibri"/>
          <w:sz w:val="8"/>
        </w:rPr>
      </w:pPr>
    </w:p>
    <w:p>
      <w:pPr>
        <w:spacing w:before="0"/>
        <w:ind w:left="1133" w:right="0" w:firstLine="0"/>
        <w:jc w:val="left"/>
        <w:rPr>
          <w:rFonts w:ascii="Calibri"/>
          <w:sz w:val="10"/>
        </w:rPr>
      </w:pPr>
      <w:r>
        <w:rPr>
          <w:rFonts w:ascii="Calibri"/>
          <w:color w:val="585858"/>
          <w:sz w:val="10"/>
        </w:rPr>
        <w:t>50%</w:t>
      </w:r>
    </w:p>
    <w:p>
      <w:pPr>
        <w:pStyle w:val="BodyText"/>
        <w:spacing w:before="3"/>
        <w:rPr>
          <w:rFonts w:ascii="Calibri"/>
          <w:sz w:val="8"/>
        </w:rPr>
      </w:pPr>
    </w:p>
    <w:p>
      <w:pPr>
        <w:spacing w:before="0"/>
        <w:ind w:left="1133" w:right="0" w:firstLine="0"/>
        <w:jc w:val="left"/>
        <w:rPr>
          <w:rFonts w:ascii="Calibri"/>
          <w:sz w:val="10"/>
        </w:rPr>
      </w:pPr>
      <w:r>
        <w:rPr>
          <w:rFonts w:ascii="Calibri"/>
          <w:color w:val="585858"/>
          <w:sz w:val="10"/>
        </w:rPr>
        <w:t>40%</w:t>
      </w:r>
    </w:p>
    <w:p>
      <w:pPr>
        <w:pStyle w:val="BodyText"/>
        <w:spacing w:before="2"/>
        <w:rPr>
          <w:rFonts w:ascii="Calibri"/>
          <w:sz w:val="8"/>
        </w:rPr>
      </w:pPr>
    </w:p>
    <w:p>
      <w:pPr>
        <w:spacing w:before="0"/>
        <w:ind w:left="1133" w:right="0" w:firstLine="0"/>
        <w:jc w:val="left"/>
        <w:rPr>
          <w:rFonts w:ascii="Calibri"/>
          <w:sz w:val="10"/>
        </w:rPr>
      </w:pPr>
      <w:r>
        <w:rPr>
          <w:rFonts w:ascii="Calibri"/>
          <w:color w:val="585858"/>
          <w:sz w:val="10"/>
        </w:rPr>
        <w:t>30%</w:t>
      </w:r>
    </w:p>
    <w:p>
      <w:pPr>
        <w:pStyle w:val="BodyText"/>
        <w:spacing w:before="2"/>
        <w:rPr>
          <w:rFonts w:ascii="Calibri"/>
          <w:sz w:val="8"/>
        </w:rPr>
      </w:pPr>
    </w:p>
    <w:p>
      <w:pPr>
        <w:spacing w:before="1"/>
        <w:ind w:left="1133" w:right="0" w:firstLine="0"/>
        <w:jc w:val="left"/>
        <w:rPr>
          <w:rFonts w:ascii="Calibri"/>
          <w:sz w:val="10"/>
        </w:rPr>
      </w:pPr>
      <w:r>
        <w:rPr>
          <w:rFonts w:ascii="Calibri"/>
          <w:color w:val="585858"/>
          <w:sz w:val="10"/>
        </w:rPr>
        <w:t>20%</w:t>
      </w:r>
    </w:p>
    <w:p>
      <w:pPr>
        <w:pStyle w:val="BodyText"/>
        <w:spacing w:before="2"/>
        <w:rPr>
          <w:rFonts w:ascii="Calibri"/>
          <w:sz w:val="8"/>
        </w:rPr>
      </w:pPr>
    </w:p>
    <w:p>
      <w:pPr>
        <w:spacing w:before="0"/>
        <w:ind w:left="1133" w:right="0" w:firstLine="0"/>
        <w:jc w:val="left"/>
        <w:rPr>
          <w:rFonts w:ascii="Calibri"/>
          <w:sz w:val="10"/>
        </w:rPr>
      </w:pPr>
      <w:r>
        <w:rPr>
          <w:rFonts w:ascii="Calibri"/>
          <w:color w:val="585858"/>
          <w:sz w:val="10"/>
        </w:rPr>
        <w:t>10%</w:t>
      </w:r>
    </w:p>
    <w:p>
      <w:pPr>
        <w:pStyle w:val="BodyText"/>
        <w:spacing w:before="2"/>
        <w:rPr>
          <w:rFonts w:ascii="Calibri"/>
          <w:sz w:val="8"/>
        </w:rPr>
      </w:pPr>
    </w:p>
    <w:p>
      <w:pPr>
        <w:spacing w:before="1"/>
        <w:ind w:left="1184" w:right="0" w:firstLine="0"/>
        <w:jc w:val="left"/>
        <w:rPr>
          <w:rFonts w:ascii="Calibri"/>
          <w:sz w:val="10"/>
        </w:rPr>
      </w:pPr>
      <w:r>
        <w:rPr>
          <w:rFonts w:ascii="Calibri"/>
          <w:color w:val="585858"/>
          <w:sz w:val="10"/>
        </w:rPr>
        <w:t>0%</w:t>
      </w:r>
    </w:p>
    <w:p>
      <w:pPr>
        <w:spacing w:before="8"/>
        <w:ind w:left="1452" w:right="0" w:firstLine="0"/>
        <w:jc w:val="left"/>
        <w:rPr>
          <w:rFonts w:ascii="Calibri"/>
          <w:sz w:val="10"/>
        </w:rPr>
      </w:pPr>
      <w:r>
        <w:rPr>
          <w:rFonts w:ascii="Calibri"/>
          <w:color w:val="585858"/>
          <w:sz w:val="10"/>
        </w:rPr>
        <w:t>0 to 20 21 to 25 26 to 30 31 to 35 36 to 40 41 to 45 46 to 50 51 to 55 56 to 60 61 to 65 66 to 100</w:t>
      </w:r>
    </w:p>
    <w:p>
      <w:pPr>
        <w:spacing w:before="26"/>
        <w:ind w:left="2566" w:right="0" w:firstLine="0"/>
        <w:jc w:val="left"/>
        <w:rPr>
          <w:rFonts w:ascii="Calibri"/>
          <w:sz w:val="11"/>
        </w:rPr>
      </w:pPr>
      <w:r>
        <w:rPr>
          <w:rFonts w:ascii="Calibri"/>
          <w:color w:val="585858"/>
          <w:sz w:val="11"/>
        </w:rPr>
        <w:t>Age at first entry to the welfare system</w:t>
      </w:r>
    </w:p>
    <w:p>
      <w:pPr>
        <w:pStyle w:val="BodyText"/>
        <w:spacing w:before="4"/>
        <w:rPr>
          <w:rFonts w:ascii="Calibri"/>
          <w:sz w:val="13"/>
        </w:rPr>
      </w:pPr>
    </w:p>
    <w:p>
      <w:pPr>
        <w:spacing w:before="1"/>
        <w:ind w:left="1033" w:right="0" w:firstLine="0"/>
        <w:jc w:val="left"/>
        <w:rPr>
          <w:rFonts w:ascii="Calibri"/>
          <w:sz w:val="12"/>
        </w:rPr>
      </w:pPr>
      <w:r>
        <w:rPr>
          <w:rFonts w:ascii="Calibri"/>
          <w:sz w:val="12"/>
        </w:rPr>
        <w:t>Class key:</w:t>
      </w:r>
    </w:p>
    <w:p>
      <w:pPr>
        <w:tabs>
          <w:tab w:pos="2696" w:val="left" w:leader="none"/>
          <w:tab w:pos="4142" w:val="left" w:leader="none"/>
          <w:tab w:pos="5588" w:val="left" w:leader="none"/>
          <w:tab w:pos="7034" w:val="left" w:leader="none"/>
          <w:tab w:pos="8480" w:val="left" w:leader="none"/>
        </w:tabs>
        <w:spacing w:before="45"/>
        <w:ind w:left="1251" w:right="0" w:firstLine="0"/>
        <w:jc w:val="left"/>
        <w:rPr>
          <w:rFonts w:ascii="Calibri"/>
          <w:sz w:val="12"/>
        </w:rPr>
      </w:pPr>
      <w:r>
        <w:rPr/>
        <w:pict>
          <v:group style="position:absolute;margin-left:56.853794pt;margin-top:1.553512pt;width:10.95pt;height:18.850pt;mso-position-horizontal-relative:page;mso-position-vertical-relative:paragraph;z-index:251800576" coordorigin="1137,31" coordsize="219,377">
            <v:rect style="position:absolute;left:1137;top:31;width:219;height:169" filled="true" fillcolor="#1f487c" stroked="false">
              <v:fill type="solid"/>
            </v:rect>
            <v:rect style="position:absolute;left:1137;top:239;width:219;height:169" filled="true" fillcolor="#f8a763" stroked="false">
              <v:fill type="solid"/>
            </v:rect>
            <w10:wrap type="none"/>
          </v:group>
        </w:pict>
      </w:r>
      <w:r>
        <w:rPr/>
        <w:pict>
          <v:group style="position:absolute;margin-left:128.739838pt;margin-top:1.553512pt;width:11.35pt;height:18.850pt;mso-position-horizontal-relative:page;mso-position-vertical-relative:paragraph;z-index:-288101376" coordorigin="2575,31" coordsize="227,377">
            <v:rect style="position:absolute;left:2574;top:31;width:227;height:169" filled="true" fillcolor="#009544" stroked="false">
              <v:fill type="solid"/>
            </v:rect>
            <v:rect style="position:absolute;left:2574;top:239;width:227;height:169" filled="true" fillcolor="#ecb8e7" stroked="false">
              <v:fill type="solid"/>
            </v:rect>
            <w10:wrap type="none"/>
          </v:group>
        </w:pict>
      </w:r>
      <w:r>
        <w:rPr/>
        <w:pict>
          <v:group style="position:absolute;margin-left:201.029755pt;margin-top:1.553512pt;width:11.35pt;height:18.850pt;mso-position-horizontal-relative:page;mso-position-vertical-relative:paragraph;z-index:-288100352" coordorigin="4021,31" coordsize="227,377">
            <v:rect style="position:absolute;left:4020;top:31;width:227;height:169" filled="true" fillcolor="#e16b09" stroked="false">
              <v:fill type="solid"/>
            </v:rect>
            <v:rect style="position:absolute;left:4020;top:239;width:227;height:169" filled="true" fillcolor="#938953" stroked="false">
              <v:fill type="solid"/>
            </v:rect>
            <w10:wrap type="none"/>
          </v:group>
        </w:pict>
      </w:r>
      <w:r>
        <w:rPr/>
        <w:pict>
          <v:group style="position:absolute;margin-left:273.319641pt;margin-top:1.553512pt;width:11.35pt;height:18.850pt;mso-position-horizontal-relative:page;mso-position-vertical-relative:paragraph;z-index:-288099328" coordorigin="5466,31" coordsize="227,377">
            <v:rect style="position:absolute;left:5466;top:31;width:227;height:169" filled="true" fillcolor="#e08ad6" stroked="false">
              <v:fill type="solid"/>
            </v:rect>
            <v:rect style="position:absolute;left:5466;top:239;width:227;height:169" filled="true" fillcolor="#ffd600" stroked="false">
              <v:fill type="solid"/>
            </v:rect>
            <w10:wrap type="none"/>
          </v:group>
        </w:pict>
      </w:r>
      <w:r>
        <w:rPr/>
        <w:pict>
          <v:group style="position:absolute;margin-left:345.609558pt;margin-top:1.553512pt;width:11.35pt;height:18.850pt;mso-position-horizontal-relative:page;mso-position-vertical-relative:paragraph;z-index:-288098304" coordorigin="6912,31" coordsize="227,377">
            <v:rect style="position:absolute;left:6912;top:31;width:227;height:169" filled="true" fillcolor="#8063a1" stroked="false">
              <v:fill type="solid"/>
            </v:rect>
            <v:rect style="position:absolute;left:6912;top:239;width:227;height:169" filled="true" fillcolor="#000000" stroked="false">
              <v:fill type="solid"/>
            </v:rect>
            <w10:wrap type="none"/>
          </v:group>
        </w:pict>
      </w:r>
      <w:r>
        <w:rPr/>
        <w:pict>
          <v:group style="position:absolute;margin-left:417.899475pt;margin-top:1.553512pt;width:11.35pt;height:18.850pt;mso-position-horizontal-relative:page;mso-position-vertical-relative:paragraph;z-index:-288097280" coordorigin="8358,31" coordsize="227,377">
            <v:rect style="position:absolute;left:8357;top:31;width:227;height:169" filled="true" fillcolor="#c0504d" stroked="false">
              <v:fill type="solid"/>
            </v:rect>
            <v:rect style="position:absolute;left:8357;top:239;width:227;height:169" filled="true" fillcolor="#ffeb8f" stroked="false">
              <v:fill type="solid"/>
            </v:rect>
            <w10:wrap type="none"/>
          </v:group>
        </w:pict>
      </w:r>
      <w:r>
        <w:rPr>
          <w:rFonts w:ascii="Calibri"/>
          <w:sz w:val="12"/>
        </w:rPr>
        <w:t>1</w:t>
      </w:r>
      <w:r>
        <w:rPr>
          <w:rFonts w:ascii="Calibri"/>
          <w:spacing w:val="-7"/>
          <w:sz w:val="12"/>
        </w:rPr>
        <w:t> </w:t>
      </w:r>
      <w:r>
        <w:rPr>
          <w:rFonts w:ascii="Calibri"/>
          <w:sz w:val="12"/>
        </w:rPr>
        <w:t>-</w:t>
      </w:r>
      <w:r>
        <w:rPr>
          <w:rFonts w:ascii="Calibri"/>
          <w:spacing w:val="2"/>
          <w:sz w:val="12"/>
        </w:rPr>
        <w:t> </w:t>
      </w:r>
      <w:r>
        <w:rPr>
          <w:rFonts w:ascii="Calibri"/>
          <w:sz w:val="12"/>
        </w:rPr>
        <w:t>Studying</w:t>
        <w:tab/>
        <w:t>2 -</w:t>
      </w:r>
      <w:r>
        <w:rPr>
          <w:rFonts w:ascii="Calibri"/>
          <w:spacing w:val="-6"/>
          <w:sz w:val="12"/>
        </w:rPr>
        <w:t> </w:t>
      </w:r>
      <w:r>
        <w:rPr>
          <w:rFonts w:ascii="Calibri"/>
          <w:sz w:val="12"/>
        </w:rPr>
        <w:t>Working</w:t>
      </w:r>
      <w:r>
        <w:rPr>
          <w:rFonts w:ascii="Calibri"/>
          <w:spacing w:val="-3"/>
          <w:sz w:val="12"/>
        </w:rPr>
        <w:t> </w:t>
      </w:r>
      <w:r>
        <w:rPr>
          <w:rFonts w:ascii="Calibri"/>
          <w:sz w:val="12"/>
        </w:rPr>
        <w:t>Age</w:t>
        <w:tab/>
        <w:t>3</w:t>
      </w:r>
      <w:r>
        <w:rPr>
          <w:rFonts w:ascii="Calibri"/>
          <w:spacing w:val="-7"/>
          <w:sz w:val="12"/>
        </w:rPr>
        <w:t> </w:t>
      </w:r>
      <w:r>
        <w:rPr>
          <w:rFonts w:ascii="Calibri"/>
          <w:sz w:val="12"/>
        </w:rPr>
        <w:t>-</w:t>
      </w:r>
      <w:r>
        <w:rPr>
          <w:rFonts w:ascii="Calibri"/>
          <w:spacing w:val="1"/>
          <w:sz w:val="12"/>
        </w:rPr>
        <w:t> </w:t>
      </w:r>
      <w:r>
        <w:rPr>
          <w:rFonts w:ascii="Calibri"/>
          <w:sz w:val="12"/>
        </w:rPr>
        <w:t>Parents</w:t>
        <w:tab/>
        <w:t>4</w:t>
      </w:r>
      <w:r>
        <w:rPr>
          <w:rFonts w:ascii="Calibri"/>
          <w:spacing w:val="-8"/>
          <w:sz w:val="12"/>
        </w:rPr>
        <w:t> </w:t>
      </w:r>
      <w:r>
        <w:rPr>
          <w:rFonts w:ascii="Calibri"/>
          <w:sz w:val="12"/>
        </w:rPr>
        <w:t>- Carers</w:t>
        <w:tab/>
        <w:t>5 -</w:t>
      </w:r>
      <w:r>
        <w:rPr>
          <w:rFonts w:ascii="Calibri"/>
          <w:spacing w:val="-2"/>
          <w:sz w:val="12"/>
        </w:rPr>
        <w:t> </w:t>
      </w:r>
      <w:r>
        <w:rPr>
          <w:rFonts w:ascii="Calibri"/>
          <w:sz w:val="12"/>
        </w:rPr>
        <w:t>Disability</w:t>
      </w:r>
      <w:r>
        <w:rPr>
          <w:rFonts w:ascii="Calibri"/>
          <w:spacing w:val="1"/>
          <w:sz w:val="12"/>
        </w:rPr>
        <w:t> </w:t>
      </w:r>
      <w:r>
        <w:rPr>
          <w:rFonts w:ascii="Calibri"/>
          <w:sz w:val="12"/>
        </w:rPr>
        <w:t>Support</w:t>
        <w:tab/>
        <w:t>6 - Pension</w:t>
      </w:r>
      <w:r>
        <w:rPr>
          <w:rFonts w:ascii="Calibri"/>
          <w:spacing w:val="-11"/>
          <w:sz w:val="12"/>
        </w:rPr>
        <w:t> </w:t>
      </w:r>
      <w:r>
        <w:rPr>
          <w:rFonts w:ascii="Calibri"/>
          <w:sz w:val="12"/>
        </w:rPr>
        <w:t>Age</w:t>
      </w:r>
    </w:p>
    <w:p>
      <w:pPr>
        <w:spacing w:after="0"/>
        <w:jc w:val="left"/>
        <w:rPr>
          <w:rFonts w:ascii="Calibri"/>
          <w:sz w:val="12"/>
        </w:rPr>
        <w:sectPr>
          <w:pgSz w:w="11910" w:h="16850"/>
          <w:pgMar w:header="572" w:footer="581" w:top="780" w:bottom="780" w:left="120" w:right="0"/>
        </w:sectPr>
      </w:pPr>
    </w:p>
    <w:p>
      <w:pPr>
        <w:spacing w:before="62"/>
        <w:ind w:left="1251" w:right="0" w:firstLine="0"/>
        <w:jc w:val="left"/>
        <w:rPr>
          <w:rFonts w:ascii="Calibri"/>
          <w:sz w:val="12"/>
        </w:rPr>
      </w:pPr>
      <w:r>
        <w:rPr>
          <w:rFonts w:ascii="Calibri"/>
          <w:sz w:val="12"/>
        </w:rPr>
        <w:t>7 - Non IS Family</w:t>
      </w:r>
    </w:p>
    <w:p>
      <w:pPr>
        <w:pStyle w:val="ListParagraph"/>
        <w:numPr>
          <w:ilvl w:val="1"/>
          <w:numId w:val="16"/>
        </w:numPr>
        <w:tabs>
          <w:tab w:pos="665" w:val="left" w:leader="none"/>
        </w:tabs>
        <w:spacing w:line="240" w:lineRule="auto" w:before="62" w:after="0"/>
        <w:ind w:left="664" w:right="0" w:hanging="82"/>
        <w:jc w:val="left"/>
        <w:rPr>
          <w:rFonts w:ascii="Calibri"/>
          <w:sz w:val="12"/>
        </w:rPr>
      </w:pPr>
      <w:r>
        <w:rPr>
          <w:rFonts w:ascii="Calibri"/>
          <w:w w:val="100"/>
          <w:sz w:val="12"/>
        </w:rPr>
        <w:br w:type="column"/>
      </w:r>
      <w:r>
        <w:rPr>
          <w:rFonts w:ascii="Calibri"/>
          <w:sz w:val="12"/>
        </w:rPr>
        <w:t>- Non IS</w:t>
      </w:r>
      <w:r>
        <w:rPr>
          <w:rFonts w:ascii="Calibri"/>
          <w:spacing w:val="2"/>
          <w:sz w:val="12"/>
        </w:rPr>
        <w:t> </w:t>
      </w:r>
      <w:r>
        <w:rPr>
          <w:rFonts w:ascii="Calibri"/>
          <w:spacing w:val="-3"/>
          <w:sz w:val="12"/>
        </w:rPr>
        <w:t>Carer</w:t>
      </w:r>
    </w:p>
    <w:p>
      <w:pPr>
        <w:pStyle w:val="ListParagraph"/>
        <w:numPr>
          <w:ilvl w:val="1"/>
          <w:numId w:val="16"/>
        </w:numPr>
        <w:tabs>
          <w:tab w:pos="726" w:val="left" w:leader="none"/>
        </w:tabs>
        <w:spacing w:line="240" w:lineRule="auto" w:before="62" w:after="0"/>
        <w:ind w:left="725" w:right="0" w:hanging="82"/>
        <w:jc w:val="left"/>
        <w:rPr>
          <w:rFonts w:ascii="Calibri"/>
          <w:sz w:val="12"/>
        </w:rPr>
      </w:pPr>
      <w:r>
        <w:rPr>
          <w:rFonts w:ascii="Calibri"/>
          <w:w w:val="100"/>
          <w:sz w:val="12"/>
        </w:rPr>
        <w:br w:type="column"/>
      </w:r>
      <w:r>
        <w:rPr>
          <w:rFonts w:ascii="Calibri"/>
          <w:sz w:val="12"/>
        </w:rPr>
        <w:t>- Non IS</w:t>
      </w:r>
      <w:r>
        <w:rPr>
          <w:rFonts w:ascii="Calibri"/>
          <w:spacing w:val="5"/>
          <w:sz w:val="12"/>
        </w:rPr>
        <w:t> </w:t>
      </w:r>
      <w:r>
        <w:rPr>
          <w:rFonts w:ascii="Calibri"/>
          <w:spacing w:val="-3"/>
          <w:sz w:val="12"/>
        </w:rPr>
        <w:t>Other</w:t>
      </w:r>
    </w:p>
    <w:p>
      <w:pPr>
        <w:pStyle w:val="ListParagraph"/>
        <w:numPr>
          <w:ilvl w:val="1"/>
          <w:numId w:val="16"/>
        </w:numPr>
        <w:tabs>
          <w:tab w:pos="759" w:val="left" w:leader="none"/>
        </w:tabs>
        <w:spacing w:line="261" w:lineRule="auto" w:before="62" w:after="0"/>
        <w:ind w:left="620" w:right="0" w:firstLine="0"/>
        <w:jc w:val="left"/>
        <w:rPr>
          <w:rFonts w:ascii="Calibri"/>
          <w:sz w:val="12"/>
        </w:rPr>
      </w:pPr>
      <w:r>
        <w:rPr>
          <w:rFonts w:ascii="Calibri"/>
          <w:w w:val="100"/>
          <w:sz w:val="12"/>
        </w:rPr>
        <w:br w:type="column"/>
      </w:r>
      <w:r>
        <w:rPr>
          <w:rFonts w:ascii="Calibri"/>
          <w:sz w:val="12"/>
        </w:rPr>
        <w:t>- Previous Welfare Recipient</w:t>
      </w:r>
    </w:p>
    <w:p>
      <w:pPr>
        <w:pStyle w:val="ListParagraph"/>
        <w:numPr>
          <w:ilvl w:val="1"/>
          <w:numId w:val="16"/>
        </w:numPr>
        <w:tabs>
          <w:tab w:pos="482" w:val="left" w:leader="none"/>
        </w:tabs>
        <w:spacing w:line="240" w:lineRule="auto" w:before="62" w:after="0"/>
        <w:ind w:left="481" w:right="0" w:hanging="139"/>
        <w:jc w:val="left"/>
        <w:rPr>
          <w:rFonts w:ascii="Calibri"/>
          <w:sz w:val="12"/>
        </w:rPr>
      </w:pPr>
      <w:r>
        <w:rPr>
          <w:rFonts w:ascii="Calibri"/>
          <w:w w:val="100"/>
          <w:sz w:val="12"/>
        </w:rPr>
        <w:br w:type="column"/>
      </w:r>
      <w:r>
        <w:rPr>
          <w:rFonts w:ascii="Calibri"/>
          <w:sz w:val="12"/>
        </w:rPr>
        <w:t>-</w:t>
      </w:r>
      <w:r>
        <w:rPr>
          <w:rFonts w:ascii="Calibri"/>
          <w:spacing w:val="3"/>
          <w:sz w:val="12"/>
        </w:rPr>
        <w:t> </w:t>
      </w:r>
      <w:r>
        <w:rPr>
          <w:rFonts w:ascii="Calibri"/>
          <w:spacing w:val="-5"/>
          <w:sz w:val="12"/>
        </w:rPr>
        <w:t>Dead</w:t>
      </w:r>
    </w:p>
    <w:p>
      <w:pPr>
        <w:pStyle w:val="ListParagraph"/>
        <w:numPr>
          <w:ilvl w:val="1"/>
          <w:numId w:val="16"/>
        </w:numPr>
        <w:tabs>
          <w:tab w:pos="1084" w:val="left" w:leader="none"/>
        </w:tabs>
        <w:spacing w:line="261" w:lineRule="auto" w:before="62" w:after="0"/>
        <w:ind w:left="946" w:right="2473" w:firstLine="0"/>
        <w:jc w:val="left"/>
        <w:rPr>
          <w:rFonts w:ascii="Calibri"/>
          <w:sz w:val="12"/>
        </w:rPr>
      </w:pPr>
      <w:r>
        <w:rPr>
          <w:rFonts w:ascii="Calibri"/>
          <w:w w:val="100"/>
          <w:sz w:val="12"/>
        </w:rPr>
        <w:br w:type="column"/>
      </w:r>
      <w:r>
        <w:rPr>
          <w:rFonts w:ascii="Calibri"/>
          <w:sz w:val="12"/>
        </w:rPr>
        <w:t>- Rest of Aust. Population</w:t>
      </w:r>
    </w:p>
    <w:p>
      <w:pPr>
        <w:spacing w:after="0" w:line="261" w:lineRule="auto"/>
        <w:jc w:val="left"/>
        <w:rPr>
          <w:rFonts w:ascii="Calibri"/>
          <w:sz w:val="12"/>
        </w:rPr>
        <w:sectPr>
          <w:type w:val="continuous"/>
          <w:pgSz w:w="11910" w:h="16850"/>
          <w:pgMar w:top="1600" w:bottom="280" w:left="120" w:right="0"/>
          <w:cols w:num="6" w:equalWidth="0">
            <w:col w:w="2074" w:space="40"/>
            <w:col w:w="1345" w:space="39"/>
            <w:col w:w="1430" w:space="40"/>
            <w:col w:w="1683" w:space="39"/>
            <w:col w:w="804" w:space="40"/>
            <w:col w:w="4256"/>
          </w:cols>
        </w:sectPr>
      </w:pPr>
    </w:p>
    <w:p>
      <w:pPr>
        <w:pStyle w:val="BodyText"/>
        <w:spacing w:before="5"/>
        <w:rPr>
          <w:rFonts w:ascii="Calibri"/>
          <w:sz w:val="13"/>
        </w:rPr>
      </w:pPr>
    </w:p>
    <w:p>
      <w:pPr>
        <w:pStyle w:val="BodyText"/>
        <w:spacing w:before="93"/>
        <w:ind w:left="899" w:right="1020"/>
      </w:pPr>
      <w:r>
        <w:rPr>
          <w:color w:val="404040"/>
        </w:rPr>
        <w:t>Across all ages, refugees have tended to enter the system through income support, and particularly through the Working Age and Parenting classes</w:t>
      </w:r>
    </w:p>
    <w:p>
      <w:pPr>
        <w:pStyle w:val="BodyText"/>
        <w:spacing w:before="7"/>
      </w:pPr>
    </w:p>
    <w:p>
      <w:pPr>
        <w:pStyle w:val="Heading4"/>
        <w:jc w:val="both"/>
      </w:pPr>
      <w:bookmarkStart w:name="How long do refugees tend to stay in the" w:id="73"/>
      <w:bookmarkEnd w:id="73"/>
      <w:r>
        <w:rPr/>
      </w:r>
      <w:r>
        <w:rPr>
          <w:color w:val="DF2F28"/>
        </w:rPr>
        <w:t>How long do refugees tend to stay in the welfare system?</w:t>
      </w:r>
    </w:p>
    <w:p>
      <w:pPr>
        <w:pStyle w:val="BodyText"/>
        <w:spacing w:before="122"/>
        <w:ind w:left="900" w:right="1008"/>
      </w:pPr>
      <w:r>
        <w:rPr>
          <w:color w:val="404040"/>
        </w:rPr>
        <w:t>To analyse the pathways that refugees take through the welfare system, we have looked at particular cohorts of refugees and analysed their experience in the welfare system. The following sections focus on the two cohorts listed below:</w:t>
      </w:r>
    </w:p>
    <w:p>
      <w:pPr>
        <w:pStyle w:val="ListParagraph"/>
        <w:numPr>
          <w:ilvl w:val="0"/>
          <w:numId w:val="17"/>
        </w:numPr>
        <w:tabs>
          <w:tab w:pos="1184" w:val="left" w:leader="none"/>
        </w:tabs>
        <w:spacing w:line="240" w:lineRule="auto" w:before="119" w:after="0"/>
        <w:ind w:left="1183" w:right="0" w:hanging="285"/>
        <w:jc w:val="left"/>
        <w:rPr>
          <w:sz w:val="20"/>
        </w:rPr>
      </w:pPr>
      <w:r>
        <w:rPr>
          <w:color w:val="404040"/>
          <w:sz w:val="20"/>
        </w:rPr>
        <w:t>Refugees entering the welfare system through the Studying class (aged 15 to 25 at first</w:t>
      </w:r>
      <w:r>
        <w:rPr>
          <w:color w:val="404040"/>
          <w:spacing w:val="-9"/>
          <w:sz w:val="20"/>
        </w:rPr>
        <w:t> </w:t>
      </w:r>
      <w:r>
        <w:rPr>
          <w:color w:val="404040"/>
          <w:sz w:val="20"/>
        </w:rPr>
        <w:t>entry)</w:t>
      </w:r>
    </w:p>
    <w:p>
      <w:pPr>
        <w:pStyle w:val="ListParagraph"/>
        <w:numPr>
          <w:ilvl w:val="0"/>
          <w:numId w:val="17"/>
        </w:numPr>
        <w:tabs>
          <w:tab w:pos="1184" w:val="left" w:leader="none"/>
        </w:tabs>
        <w:spacing w:line="240" w:lineRule="auto" w:before="118" w:after="0"/>
        <w:ind w:left="1183" w:right="0" w:hanging="284"/>
        <w:jc w:val="left"/>
        <w:rPr>
          <w:sz w:val="20"/>
        </w:rPr>
      </w:pPr>
      <w:r>
        <w:rPr>
          <w:color w:val="404040"/>
          <w:sz w:val="20"/>
        </w:rPr>
        <w:t>Refugees entering the welfare system through the Working Age class (aged 20 to 40 at first</w:t>
      </w:r>
      <w:r>
        <w:rPr>
          <w:color w:val="404040"/>
          <w:spacing w:val="-16"/>
          <w:sz w:val="20"/>
        </w:rPr>
        <w:t> </w:t>
      </w:r>
      <w:r>
        <w:rPr>
          <w:color w:val="404040"/>
          <w:sz w:val="20"/>
        </w:rPr>
        <w:t>entry)</w:t>
      </w:r>
    </w:p>
    <w:p>
      <w:pPr>
        <w:pStyle w:val="BodyText"/>
        <w:spacing w:before="9"/>
      </w:pPr>
    </w:p>
    <w:p>
      <w:pPr>
        <w:pStyle w:val="Heading6"/>
        <w:jc w:val="both"/>
        <w:rPr>
          <w:i/>
        </w:rPr>
      </w:pPr>
      <w:r>
        <w:rPr>
          <w:i/>
          <w:color w:val="DF2F1E"/>
        </w:rPr>
        <w:t>Trends for refugees entering into Studying</w:t>
      </w:r>
    </w:p>
    <w:p>
      <w:pPr>
        <w:pStyle w:val="BodyText"/>
        <w:spacing w:before="121"/>
        <w:ind w:left="900" w:right="1405"/>
        <w:jc w:val="both"/>
      </w:pPr>
      <w:r>
        <w:rPr>
          <w:color w:val="404040"/>
        </w:rPr>
        <w:t>The first chart below follows the experience of refugees aged 18 to 25 at first entry in the 10 years following their entry into the Studying class. For comparison, the experience of non-refugee entrants in the same age cohort is shown in the second chart below.</w:t>
      </w:r>
    </w:p>
    <w:p>
      <w:pPr>
        <w:spacing w:after="0"/>
        <w:jc w:val="both"/>
        <w:sectPr>
          <w:type w:val="continuous"/>
          <w:pgSz w:w="11910" w:h="16850"/>
          <w:pgMar w:top="1600" w:bottom="280" w:left="120" w:right="0"/>
        </w:sectPr>
      </w:pPr>
    </w:p>
    <w:p>
      <w:pPr>
        <w:pStyle w:val="BodyText"/>
      </w:pPr>
    </w:p>
    <w:p>
      <w:pPr>
        <w:pStyle w:val="BodyText"/>
      </w:pPr>
    </w:p>
    <w:p>
      <w:pPr>
        <w:pStyle w:val="BodyText"/>
        <w:spacing w:before="5"/>
        <w:rPr>
          <w:sz w:val="21"/>
        </w:rPr>
      </w:pPr>
    </w:p>
    <w:p>
      <w:pPr>
        <w:pStyle w:val="Heading9"/>
      </w:pPr>
      <w:r>
        <w:rPr>
          <w:color w:val="DF2F1E"/>
        </w:rPr>
        <w:t>Figure 17: Experience over first 10 years since entry for Studying recipients aged 18 to 25</w:t>
      </w:r>
    </w:p>
    <w:p>
      <w:pPr>
        <w:tabs>
          <w:tab w:pos="4675" w:val="left" w:leader="none"/>
        </w:tabs>
        <w:spacing w:before="155"/>
        <w:ind w:left="0" w:right="241" w:firstLine="0"/>
        <w:jc w:val="center"/>
        <w:rPr>
          <w:b/>
          <w:sz w:val="16"/>
        </w:rPr>
      </w:pPr>
      <w:r>
        <w:rPr>
          <w:b/>
          <w:color w:val="A6A6A6"/>
          <w:sz w:val="16"/>
        </w:rPr>
        <w:t>Refugee</w:t>
        <w:tab/>
        <w:t>Non-refugee</w:t>
      </w:r>
    </w:p>
    <w:p>
      <w:pPr>
        <w:spacing w:after="0"/>
        <w:jc w:val="center"/>
        <w:rPr>
          <w:sz w:val="16"/>
        </w:rPr>
        <w:sectPr>
          <w:pgSz w:w="11910" w:h="16850"/>
          <w:pgMar w:header="572" w:footer="581" w:top="780" w:bottom="780" w:left="120" w:right="0"/>
        </w:sectPr>
      </w:pPr>
    </w:p>
    <w:p>
      <w:pPr>
        <w:spacing w:before="51"/>
        <w:ind w:left="0" w:right="1" w:firstLine="0"/>
        <w:jc w:val="right"/>
        <w:rPr>
          <w:rFonts w:ascii="Calibri"/>
          <w:sz w:val="13"/>
        </w:rPr>
      </w:pPr>
      <w:r>
        <w:rPr>
          <w:rFonts w:ascii="Calibri"/>
          <w:color w:val="585858"/>
          <w:spacing w:val="-2"/>
          <w:sz w:val="13"/>
        </w:rPr>
        <w:t>100%</w:t>
      </w:r>
    </w:p>
    <w:p>
      <w:pPr>
        <w:spacing w:before="53"/>
        <w:ind w:left="0" w:right="0" w:firstLine="0"/>
        <w:jc w:val="right"/>
        <w:rPr>
          <w:rFonts w:ascii="Calibri"/>
          <w:sz w:val="13"/>
        </w:rPr>
      </w:pPr>
      <w:r>
        <w:rPr>
          <w:rFonts w:ascii="Calibri"/>
          <w:color w:val="585858"/>
          <w:spacing w:val="-1"/>
          <w:sz w:val="13"/>
        </w:rPr>
        <w:t>90%</w:t>
      </w:r>
    </w:p>
    <w:p>
      <w:pPr>
        <w:spacing w:before="53"/>
        <w:ind w:left="0" w:right="0" w:firstLine="0"/>
        <w:jc w:val="right"/>
        <w:rPr>
          <w:rFonts w:ascii="Calibri"/>
          <w:sz w:val="13"/>
        </w:rPr>
      </w:pPr>
      <w:r>
        <w:rPr>
          <w:rFonts w:ascii="Calibri"/>
          <w:color w:val="585858"/>
          <w:spacing w:val="-1"/>
          <w:sz w:val="13"/>
        </w:rPr>
        <w:t>80%</w:t>
      </w:r>
    </w:p>
    <w:p>
      <w:pPr>
        <w:spacing w:before="53"/>
        <w:ind w:left="0" w:right="0" w:firstLine="0"/>
        <w:jc w:val="right"/>
        <w:rPr>
          <w:rFonts w:ascii="Calibri"/>
          <w:sz w:val="13"/>
        </w:rPr>
      </w:pPr>
      <w:r>
        <w:rPr>
          <w:rFonts w:ascii="Calibri"/>
          <w:color w:val="585858"/>
          <w:spacing w:val="-1"/>
          <w:sz w:val="13"/>
        </w:rPr>
        <w:t>70%</w:t>
      </w:r>
    </w:p>
    <w:p>
      <w:pPr>
        <w:spacing w:before="53"/>
        <w:ind w:left="0" w:right="0" w:firstLine="0"/>
        <w:jc w:val="right"/>
        <w:rPr>
          <w:rFonts w:ascii="Calibri"/>
          <w:sz w:val="13"/>
        </w:rPr>
      </w:pPr>
      <w:r>
        <w:rPr>
          <w:rFonts w:ascii="Calibri"/>
          <w:color w:val="585858"/>
          <w:spacing w:val="-1"/>
          <w:sz w:val="13"/>
        </w:rPr>
        <w:t>60%</w:t>
      </w:r>
    </w:p>
    <w:p>
      <w:pPr>
        <w:spacing w:before="53"/>
        <w:ind w:left="0" w:right="0" w:firstLine="0"/>
        <w:jc w:val="right"/>
        <w:rPr>
          <w:rFonts w:ascii="Calibri"/>
          <w:sz w:val="13"/>
        </w:rPr>
      </w:pPr>
      <w:r>
        <w:rPr>
          <w:rFonts w:ascii="Calibri"/>
          <w:color w:val="585858"/>
          <w:spacing w:val="-1"/>
          <w:sz w:val="13"/>
        </w:rPr>
        <w:t>50%</w:t>
      </w:r>
    </w:p>
    <w:p>
      <w:pPr>
        <w:spacing w:before="53"/>
        <w:ind w:left="0" w:right="0" w:firstLine="0"/>
        <w:jc w:val="right"/>
        <w:rPr>
          <w:rFonts w:ascii="Calibri"/>
          <w:sz w:val="13"/>
        </w:rPr>
      </w:pPr>
      <w:r>
        <w:rPr>
          <w:rFonts w:ascii="Calibri"/>
          <w:color w:val="585858"/>
          <w:spacing w:val="-1"/>
          <w:sz w:val="13"/>
        </w:rPr>
        <w:t>40%</w:t>
      </w:r>
    </w:p>
    <w:p>
      <w:pPr>
        <w:spacing w:before="52"/>
        <w:ind w:left="0" w:right="0" w:firstLine="0"/>
        <w:jc w:val="right"/>
        <w:rPr>
          <w:rFonts w:ascii="Calibri"/>
          <w:sz w:val="13"/>
        </w:rPr>
      </w:pPr>
      <w:r>
        <w:rPr>
          <w:rFonts w:ascii="Calibri"/>
          <w:color w:val="585858"/>
          <w:spacing w:val="-1"/>
          <w:sz w:val="13"/>
        </w:rPr>
        <w:t>30%</w:t>
      </w:r>
    </w:p>
    <w:p>
      <w:pPr>
        <w:spacing w:before="53"/>
        <w:ind w:left="0" w:right="0" w:firstLine="0"/>
        <w:jc w:val="right"/>
        <w:rPr>
          <w:rFonts w:ascii="Calibri"/>
          <w:sz w:val="13"/>
        </w:rPr>
      </w:pPr>
      <w:r>
        <w:rPr>
          <w:rFonts w:ascii="Calibri"/>
          <w:color w:val="585858"/>
          <w:spacing w:val="-1"/>
          <w:sz w:val="13"/>
        </w:rPr>
        <w:t>20%</w:t>
      </w:r>
    </w:p>
    <w:p>
      <w:pPr>
        <w:spacing w:before="53"/>
        <w:ind w:left="0" w:right="0" w:firstLine="0"/>
        <w:jc w:val="right"/>
        <w:rPr>
          <w:rFonts w:ascii="Calibri"/>
          <w:sz w:val="13"/>
        </w:rPr>
      </w:pPr>
      <w:r>
        <w:rPr>
          <w:rFonts w:ascii="Calibri"/>
          <w:color w:val="585858"/>
          <w:spacing w:val="-1"/>
          <w:sz w:val="13"/>
        </w:rPr>
        <w:t>10%</w:t>
      </w:r>
    </w:p>
    <w:p>
      <w:pPr>
        <w:spacing w:before="53"/>
        <w:ind w:left="0" w:right="0" w:firstLine="0"/>
        <w:jc w:val="right"/>
        <w:rPr>
          <w:rFonts w:ascii="Calibri"/>
          <w:sz w:val="13"/>
        </w:rPr>
      </w:pPr>
      <w:r>
        <w:rPr>
          <w:rFonts w:ascii="Calibri"/>
          <w:color w:val="585858"/>
          <w:spacing w:val="-2"/>
          <w:sz w:val="13"/>
        </w:rPr>
        <w:t>0%</w:t>
      </w:r>
    </w:p>
    <w:p>
      <w:pPr>
        <w:pStyle w:val="BodyText"/>
        <w:spacing w:before="2"/>
        <w:rPr>
          <w:rFonts w:ascii="Calibri"/>
          <w:sz w:val="11"/>
        </w:rPr>
      </w:pPr>
      <w:r>
        <w:rPr/>
        <w:br w:type="column"/>
      </w:r>
      <w:r>
        <w:rPr>
          <w:rFonts w:ascii="Calibri"/>
          <w:sz w:val="11"/>
        </w:rPr>
      </w:r>
    </w:p>
    <w:p>
      <w:pPr>
        <w:pStyle w:val="BodyText"/>
        <w:ind w:left="77" w:right="-15"/>
        <w:rPr>
          <w:rFonts w:ascii="Calibri"/>
        </w:rPr>
      </w:pPr>
      <w:r>
        <w:rPr>
          <w:rFonts w:ascii="Calibri"/>
        </w:rPr>
        <w:pict>
          <v:group style="width:203.35pt;height:105.9pt;mso-position-horizontal-relative:char;mso-position-vertical-relative:line" coordorigin="0,0" coordsize="4067,2118">
            <v:shape style="position:absolute;left:4;top:4;width:4059;height:2109" coordorigin="4,4" coordsize="4059,2109" path="m4063,2113l4,2113,4,4,413,529,814,896,1223,1238,1624,1505,2033,1663,2434,1805,2843,1880,3253,1946,3653,1988,4063,2021,4063,2113xe" filled="true" fillcolor="#1f487c" stroked="false">
              <v:path arrowok="t"/>
              <v:fill type="solid"/>
            </v:shape>
            <v:shape style="position:absolute;left:4;top:4;width:4059;height:2109" coordorigin="4,4" coordsize="4059,2109" path="m4,4l413,529,814,896,1223,1238,1624,1505,2033,1663,2434,1805,2843,1880,3253,1946,3653,1988,4063,2021,4063,2113,4,2113,4,4xe" filled="false" stroked="true" strokeweight=".416929pt" strokecolor="#1f487c">
              <v:path arrowok="t"/>
              <v:stroke dashstyle="solid"/>
            </v:shape>
            <v:shape style="position:absolute;left:4;top:4;width:4059;height:2018" coordorigin="4,4" coordsize="4059,2018" path="m4063,2021l3653,1988,3253,1946,2843,1880,2434,1805,2033,1663,1624,1505,1223,1238,814,896,413,529,4,4,413,104,814,346,1223,621,1624,846,2033,1038,2434,1204,2843,1363,3253,1488,4063,1621,4063,2021xe" filled="true" fillcolor="#009544" stroked="false">
              <v:path arrowok="t"/>
              <v:fill type="solid"/>
            </v:shape>
            <v:shape style="position:absolute;left:4;top:4;width:4059;height:2018" coordorigin="4,4" coordsize="4059,2018" path="m4,4l413,104,814,346,1223,621,1624,846,2033,1038,2434,1204,2843,1363,3253,1488,3653,1555,4063,1621,4063,2021,3653,1988,3253,1946,2843,1880,2434,1805,2033,1663,1624,1505,1223,1238,814,896,413,529,4,4xe" filled="false" stroked="true" strokeweight=".416921pt" strokecolor="#009544">
              <v:path arrowok="t"/>
              <v:stroke dashstyle="solid"/>
            </v:shape>
            <v:shape style="position:absolute;left:4;top:4;width:4059;height:1618" coordorigin="4,4" coordsize="4059,1618" path="m4063,1621l3253,1488,2843,1363,2434,1204,2033,1038,1624,846,1223,621,814,346,413,104,4,4,413,79,814,304,1223,529,1624,721,2033,871,2434,1004,2843,1121,3253,1213,3653,1254,4063,1313,4063,1621xe" filled="true" fillcolor="#e16b09" stroked="false">
              <v:path arrowok="t"/>
              <v:fill type="solid"/>
            </v:shape>
            <v:shape style="position:absolute;left:4;top:4;width:4059;height:1618" coordorigin="4,4" coordsize="4059,1618" path="m4,4l413,79,814,304,1223,529,1624,721,2033,871,2434,1004,2843,1121,3253,1213,3653,1254,4063,1313,4063,1621,3653,1555,3253,1488,2843,1363,2434,1204,2033,1038,1624,846,1223,621,814,346,413,104,4,4xe" filled="false" stroked="true" strokeweight=".416872pt" strokecolor="#e16b09">
              <v:path arrowok="t"/>
              <v:stroke dashstyle="solid"/>
            </v:shape>
            <v:shape style="position:absolute;left:4;top:4;width:4059;height:1309" coordorigin="4,4" coordsize="4059,1309" path="m4063,1313l3653,1254,3253,1213,2843,1121,2434,1004,2033,871,1624,721,1223,529,814,304,413,79,4,4,413,63,814,263,1223,471,1624,654,2033,788,2434,913,2843,1013,3253,1104,3653,1138,4063,1213,4063,1313xe" filled="true" fillcolor="#e08ad6" stroked="false">
              <v:path arrowok="t"/>
              <v:fill type="solid"/>
            </v:shape>
            <v:shape style="position:absolute;left:4;top:4;width:4059;height:1309" coordorigin="4,4" coordsize="4059,1309" path="m4,4l413,63,814,263,1223,471,1624,654,2033,788,2434,913,2843,1013,3253,1104,3653,1138,4063,1213,4063,1313,3653,1254,3253,1213,2843,1121,2434,1004,2033,871,1624,721,1223,529,814,304,413,79,4,4xe" filled="false" stroked="true" strokeweight=".416838pt" strokecolor="#e08ad6">
              <v:path arrowok="t"/>
              <v:stroke dashstyle="solid"/>
            </v:shape>
            <v:shape style="position:absolute;left:814;top:262;width:3249;height:951" coordorigin="814,263" coordsize="3249,951" path="m4063,1213l3653,1138,3253,1104,2843,1013,2434,913,2033,788,1624,654,1223,471,814,263,1223,463,1624,638,2033,779,2434,896,2843,996,3253,1088,3653,1121,4063,1188,4063,1213xe" filled="true" fillcolor="#8063a1" stroked="false">
              <v:path arrowok="t"/>
              <v:fill type="solid"/>
            </v:shape>
            <v:shape style="position:absolute;left:4;top:4;width:4059;height:1209" coordorigin="4,4" coordsize="4059,1209" path="m4,4l413,63,814,263,1223,463,1624,638,2033,779,2434,896,2843,996,3253,1088,3653,1121,4063,1188,4063,1213,3653,1138,3253,1104,2843,1013,2434,913,2033,788,1624,654,1223,471,814,263,413,63,4,4xe" filled="false" stroked="true" strokeweight=".416826pt" strokecolor="#8063a1">
              <v:path arrowok="t"/>
              <v:stroke dashstyle="solid"/>
            </v:shape>
            <v:shape style="position:absolute;left:4;top:4;width:4059;height:1184" coordorigin="4,4" coordsize="4059,1184" path="m4,4l413,63,814,263,1223,463,1624,638,2033,779,2434,896,2843,996,3253,1088,3653,1121,4063,1188,3653,1121,3253,1088,2843,996,2434,896,2033,779,1624,638,1223,463,814,263,413,63,4,4xe" filled="false" stroked="true" strokeweight=".416824pt" strokecolor="#c0504d">
              <v:path arrowok="t"/>
              <v:stroke dashstyle="solid"/>
            </v:shape>
            <v:shape style="position:absolute;left:413;top:62;width:3650;height:1126" coordorigin="413,63" coordsize="3650,1126" path="m1223,463l814,263,413,63,814,254,1223,463xm4063,1188l3653,1121,3253,1088,2843,996,2434,896,2033,779,1624,638,1223,463,1624,621,2033,746,2434,838,2843,913,3253,971,3756,971,4063,996,4063,1188xm3756,971l3253,971,3653,963,3756,971xe" filled="true" fillcolor="#f8a763" stroked="false">
              <v:path arrowok="t"/>
              <v:fill type="solid"/>
            </v:shape>
            <v:shape style="position:absolute;left:4;top:4;width:4059;height:1184" coordorigin="4,4" coordsize="4059,1184" path="m4,4l413,63,814,254,1223,463,1624,621,2033,746,2434,838,2843,913,3253,971,3653,963,4063,996,4063,1188,3653,1121,3253,1088,2843,996,2434,896,2033,779,1624,638,1223,463,814,263,413,63,4,4xe" filled="false" stroked="true" strokeweight=".416824pt" strokecolor="#f8a763">
              <v:path arrowok="t"/>
              <v:stroke dashstyle="solid"/>
            </v:shape>
            <v:shape style="position:absolute;left:814;top:254;width:3249;height:742" coordorigin="814,254" coordsize="3249,742" path="m3253,971l2843,913,2434,838,2033,746,1624,621,1223,463,814,254,1223,454,1624,613,2033,738,2434,829,2843,904,3253,954,3756,954,3858,963,3653,963,3253,971xm3756,954l3253,954,3653,946,3756,954xm4063,996l3653,963,3858,963,4063,979,4063,996xe" filled="true" fillcolor="#ecb8e7" stroked="false">
              <v:path arrowok="t"/>
              <v:fill type="solid"/>
            </v:shape>
            <v:shape style="position:absolute;left:4;top:4;width:4059;height:992" coordorigin="4,4" coordsize="4059,992" path="m4,4l413,63,814,254,1223,454,1624,613,2033,738,2434,829,2843,904,3253,954,3653,946,4063,979,4063,996,3653,963,3253,971,2843,913,2434,838,2033,746,1624,621,1223,463,814,254,413,63,4,4xe" filled="false" stroked="true" strokeweight=".41681pt" strokecolor="#ecb8e7">
              <v:path arrowok="t"/>
              <v:stroke dashstyle="solid"/>
            </v:shape>
            <v:shape style="position:absolute;left:4;top:4;width:4059;height:976" coordorigin="4,4" coordsize="4059,976" path="m814,254l413,63,4,4,413,54,814,254xm3253,954l2843,904,2434,829,2033,738,1624,613,1223,454,814,254,1223,446,1624,596,2033,713,2434,796,2843,871,3253,896,3653,896,4063,921,4063,946,3653,946,3253,954xm4063,979l3653,946,4063,946,4063,979xe" filled="true" fillcolor="#938953" stroked="false">
              <v:path arrowok="t"/>
              <v:fill type="solid"/>
            </v:shape>
            <v:shape style="position:absolute;left:4;top:4;width:4059;height:976" coordorigin="4,4" coordsize="4059,976" path="m4,4l413,54,814,254,1223,446,1624,596,2033,713,2434,796,2843,871,3253,896,3653,896,4063,921,4063,979,3653,946,3253,954,2843,904,2434,829,2033,738,1624,613,1223,454,814,254,413,63,4,4xe" filled="false" stroked="true" strokeweight=".416809pt" strokecolor="#938953">
              <v:path arrowok="t"/>
              <v:stroke dashstyle="solid"/>
            </v:shape>
            <v:shape style="position:absolute;left:4;top:4;width:4059;height:917" coordorigin="4,4" coordsize="4059,917" path="m4063,921l3653,896,3253,896,2843,871,2434,796,2033,713,1624,596,1223,446,814,254,413,54,4,4,4063,4,4063,921xe" filled="true" fillcolor="#ffd600" stroked="false">
              <v:path arrowok="t"/>
              <v:fill type="solid"/>
            </v:shape>
            <v:shape style="position:absolute;left:4;top:4;width:4059;height:917" coordorigin="4,4" coordsize="4059,917" path="m4,4l4,4,4063,4,4063,921,3653,896,3253,896,2843,871,2434,796,2033,713,1624,596,1223,446,814,254,413,54,4,4xe" filled="false" stroked="true" strokeweight=".416801pt" strokecolor="#ffd600">
              <v:path arrowok="t"/>
              <v:stroke dashstyle="solid"/>
            </v:shape>
            <v:line style="position:absolute" from="4,2113" to="4063,2113" stroked="true" strokeweight=".416763pt" strokecolor="#d9d9d9">
              <v:stroke dashstyle="solid"/>
            </v:line>
          </v:group>
        </w:pict>
      </w:r>
      <w:r>
        <w:rPr>
          <w:rFonts w:ascii="Calibri"/>
        </w:rPr>
      </w:r>
    </w:p>
    <w:p>
      <w:pPr>
        <w:tabs>
          <w:tab w:pos="456" w:val="left" w:leader="none"/>
          <w:tab w:pos="862" w:val="left" w:leader="none"/>
          <w:tab w:pos="1267" w:val="left" w:leader="none"/>
          <w:tab w:pos="1672" w:val="left" w:leader="none"/>
          <w:tab w:pos="2077" w:val="left" w:leader="none"/>
          <w:tab w:pos="2482" w:val="left" w:leader="none"/>
          <w:tab w:pos="2887" w:val="left" w:leader="none"/>
          <w:tab w:pos="3292" w:val="left" w:leader="none"/>
          <w:tab w:pos="3698" w:val="left" w:leader="none"/>
          <w:tab w:pos="4069" w:val="left" w:leader="none"/>
        </w:tabs>
        <w:spacing w:before="48"/>
        <w:ind w:left="51" w:right="0" w:firstLine="0"/>
        <w:jc w:val="center"/>
        <w:rPr>
          <w:rFonts w:ascii="Calibri"/>
          <w:sz w:val="13"/>
        </w:rPr>
      </w:pPr>
      <w:r>
        <w:rPr>
          <w:rFonts w:ascii="Calibri"/>
          <w:color w:val="585858"/>
          <w:w w:val="105"/>
          <w:sz w:val="13"/>
        </w:rPr>
        <w:t>0</w:t>
        <w:tab/>
        <w:t>1</w:t>
        <w:tab/>
        <w:t>2</w:t>
        <w:tab/>
        <w:t>3</w:t>
        <w:tab/>
        <w:t>4</w:t>
        <w:tab/>
        <w:t>5</w:t>
        <w:tab/>
        <w:t>6</w:t>
        <w:tab/>
        <w:t>7</w:t>
        <w:tab/>
        <w:t>8</w:t>
        <w:tab/>
        <w:t>9</w:t>
        <w:tab/>
      </w:r>
      <w:r>
        <w:rPr>
          <w:rFonts w:ascii="Calibri"/>
          <w:color w:val="585858"/>
          <w:spacing w:val="-11"/>
          <w:w w:val="105"/>
          <w:sz w:val="13"/>
        </w:rPr>
        <w:t>10</w:t>
      </w:r>
    </w:p>
    <w:p>
      <w:pPr>
        <w:spacing w:before="37"/>
        <w:ind w:left="23" w:right="0" w:firstLine="0"/>
        <w:jc w:val="center"/>
        <w:rPr>
          <w:rFonts w:ascii="Calibri"/>
          <w:sz w:val="13"/>
        </w:rPr>
      </w:pPr>
      <w:r>
        <w:rPr>
          <w:rFonts w:ascii="Calibri"/>
          <w:color w:val="585858"/>
          <w:w w:val="105"/>
          <w:sz w:val="13"/>
        </w:rPr>
        <w:t>Years Since First Entry</w:t>
      </w:r>
    </w:p>
    <w:p>
      <w:pPr>
        <w:spacing w:before="53"/>
        <w:ind w:left="0" w:right="1" w:firstLine="0"/>
        <w:jc w:val="right"/>
        <w:rPr>
          <w:rFonts w:ascii="Calibri"/>
          <w:sz w:val="13"/>
        </w:rPr>
      </w:pPr>
      <w:r>
        <w:rPr/>
        <w:br w:type="column"/>
      </w:r>
      <w:r>
        <w:rPr>
          <w:rFonts w:ascii="Calibri"/>
          <w:color w:val="585858"/>
          <w:spacing w:val="-1"/>
          <w:sz w:val="13"/>
        </w:rPr>
        <w:t>100%</w:t>
      </w:r>
    </w:p>
    <w:p>
      <w:pPr>
        <w:spacing w:before="53"/>
        <w:ind w:left="0" w:right="0" w:firstLine="0"/>
        <w:jc w:val="right"/>
        <w:rPr>
          <w:rFonts w:ascii="Calibri"/>
          <w:sz w:val="13"/>
        </w:rPr>
      </w:pPr>
      <w:r>
        <w:rPr>
          <w:rFonts w:ascii="Calibri"/>
          <w:color w:val="585858"/>
          <w:spacing w:val="-2"/>
          <w:sz w:val="13"/>
        </w:rPr>
        <w:t>90%</w:t>
      </w:r>
    </w:p>
    <w:p>
      <w:pPr>
        <w:spacing w:before="53"/>
        <w:ind w:left="0" w:right="0" w:firstLine="0"/>
        <w:jc w:val="right"/>
        <w:rPr>
          <w:rFonts w:ascii="Calibri"/>
          <w:sz w:val="13"/>
        </w:rPr>
      </w:pPr>
      <w:r>
        <w:rPr>
          <w:rFonts w:ascii="Calibri"/>
          <w:color w:val="585858"/>
          <w:spacing w:val="-2"/>
          <w:sz w:val="13"/>
        </w:rPr>
        <w:t>80%</w:t>
      </w:r>
    </w:p>
    <w:p>
      <w:pPr>
        <w:spacing w:before="53"/>
        <w:ind w:left="0" w:right="0" w:firstLine="0"/>
        <w:jc w:val="right"/>
        <w:rPr>
          <w:rFonts w:ascii="Calibri"/>
          <w:sz w:val="13"/>
        </w:rPr>
      </w:pPr>
      <w:r>
        <w:rPr>
          <w:rFonts w:ascii="Calibri"/>
          <w:color w:val="585858"/>
          <w:spacing w:val="-2"/>
          <w:sz w:val="13"/>
        </w:rPr>
        <w:t>70%</w:t>
      </w:r>
    </w:p>
    <w:p>
      <w:pPr>
        <w:spacing w:before="53"/>
        <w:ind w:left="0" w:right="0" w:firstLine="0"/>
        <w:jc w:val="right"/>
        <w:rPr>
          <w:rFonts w:ascii="Calibri"/>
          <w:sz w:val="13"/>
        </w:rPr>
      </w:pPr>
      <w:r>
        <w:rPr>
          <w:rFonts w:ascii="Calibri"/>
          <w:color w:val="585858"/>
          <w:spacing w:val="-2"/>
          <w:sz w:val="13"/>
        </w:rPr>
        <w:t>60%</w:t>
      </w:r>
    </w:p>
    <w:p>
      <w:pPr>
        <w:spacing w:before="53"/>
        <w:ind w:left="0" w:right="0" w:firstLine="0"/>
        <w:jc w:val="right"/>
        <w:rPr>
          <w:rFonts w:ascii="Calibri"/>
          <w:sz w:val="13"/>
        </w:rPr>
      </w:pPr>
      <w:r>
        <w:rPr>
          <w:rFonts w:ascii="Calibri"/>
          <w:color w:val="585858"/>
          <w:spacing w:val="-2"/>
          <w:sz w:val="13"/>
        </w:rPr>
        <w:t>50%</w:t>
      </w:r>
    </w:p>
    <w:p>
      <w:pPr>
        <w:spacing w:before="53"/>
        <w:ind w:left="0" w:right="0" w:firstLine="0"/>
        <w:jc w:val="right"/>
        <w:rPr>
          <w:rFonts w:ascii="Calibri"/>
          <w:sz w:val="13"/>
        </w:rPr>
      </w:pPr>
      <w:r>
        <w:rPr>
          <w:rFonts w:ascii="Calibri"/>
          <w:color w:val="585858"/>
          <w:spacing w:val="-2"/>
          <w:sz w:val="13"/>
        </w:rPr>
        <w:t>40%</w:t>
      </w:r>
    </w:p>
    <w:p>
      <w:pPr>
        <w:spacing w:before="52"/>
        <w:ind w:left="0" w:right="0" w:firstLine="0"/>
        <w:jc w:val="right"/>
        <w:rPr>
          <w:rFonts w:ascii="Calibri"/>
          <w:sz w:val="13"/>
        </w:rPr>
      </w:pPr>
      <w:r>
        <w:rPr>
          <w:rFonts w:ascii="Calibri"/>
          <w:color w:val="585858"/>
          <w:spacing w:val="-2"/>
          <w:sz w:val="13"/>
        </w:rPr>
        <w:t>30%</w:t>
      </w:r>
    </w:p>
    <w:p>
      <w:pPr>
        <w:spacing w:before="53"/>
        <w:ind w:left="0" w:right="0" w:firstLine="0"/>
        <w:jc w:val="right"/>
        <w:rPr>
          <w:rFonts w:ascii="Calibri"/>
          <w:sz w:val="13"/>
        </w:rPr>
      </w:pPr>
      <w:r>
        <w:rPr>
          <w:rFonts w:ascii="Calibri"/>
          <w:color w:val="585858"/>
          <w:spacing w:val="-2"/>
          <w:sz w:val="13"/>
        </w:rPr>
        <w:t>20%</w:t>
      </w:r>
    </w:p>
    <w:p>
      <w:pPr>
        <w:spacing w:before="53"/>
        <w:ind w:left="0" w:right="0" w:firstLine="0"/>
        <w:jc w:val="right"/>
        <w:rPr>
          <w:rFonts w:ascii="Calibri"/>
          <w:sz w:val="13"/>
        </w:rPr>
      </w:pPr>
      <w:r>
        <w:rPr>
          <w:rFonts w:ascii="Calibri"/>
          <w:color w:val="585858"/>
          <w:spacing w:val="-2"/>
          <w:sz w:val="13"/>
        </w:rPr>
        <w:t>10%</w:t>
      </w:r>
    </w:p>
    <w:p>
      <w:pPr>
        <w:spacing w:before="53"/>
        <w:ind w:left="0" w:right="0" w:firstLine="0"/>
        <w:jc w:val="right"/>
        <w:rPr>
          <w:rFonts w:ascii="Calibri"/>
          <w:sz w:val="13"/>
        </w:rPr>
      </w:pPr>
      <w:r>
        <w:rPr>
          <w:rFonts w:ascii="Calibri"/>
          <w:color w:val="585858"/>
          <w:spacing w:val="-1"/>
          <w:sz w:val="13"/>
        </w:rPr>
        <w:t>0%</w:t>
      </w:r>
    </w:p>
    <w:p>
      <w:pPr>
        <w:pStyle w:val="BodyText"/>
        <w:spacing w:before="2"/>
        <w:rPr>
          <w:rFonts w:ascii="Calibri"/>
          <w:sz w:val="11"/>
        </w:rPr>
      </w:pPr>
      <w:r>
        <w:rPr/>
        <w:br w:type="column"/>
      </w:r>
      <w:r>
        <w:rPr>
          <w:rFonts w:ascii="Calibri"/>
          <w:sz w:val="11"/>
        </w:rPr>
      </w:r>
    </w:p>
    <w:p>
      <w:pPr>
        <w:pStyle w:val="BodyText"/>
        <w:ind w:left="76"/>
        <w:rPr>
          <w:rFonts w:ascii="Calibri"/>
        </w:rPr>
      </w:pPr>
      <w:r>
        <w:rPr>
          <w:rFonts w:ascii="Calibri"/>
        </w:rPr>
        <w:pict>
          <v:group style="width:201.8pt;height:106.3pt;mso-position-horizontal-relative:char;mso-position-vertical-relative:line" coordorigin="0,0" coordsize="4036,2126">
            <v:shape style="position:absolute;left:4;top:4;width:4027;height:2118" coordorigin="4,4" coordsize="4027,2118" path="m4031,2121l4,2121,4,4,414,446,815,988,1216,1346,1617,1646,2018,1855,2427,1955,2828,2013,3229,2046,3630,2071,4031,2088,4031,2121xe" filled="true" fillcolor="#1f487c" stroked="false">
              <v:path arrowok="t"/>
              <v:fill type="solid"/>
            </v:shape>
            <v:shape style="position:absolute;left:4;top:4;width:4027;height:2118" coordorigin="4,4" coordsize="4027,2118" path="m4,4l414,446,815,988,1216,1346,1617,1646,2018,1855,2427,1955,2828,2013,3229,2046,3630,2071,4031,2088,4031,2121,4,2121,4,4xe" filled="false" stroked="true" strokeweight=".416975pt" strokecolor="#1f487c">
              <v:path arrowok="t"/>
              <v:stroke dashstyle="solid"/>
            </v:shape>
            <v:shape style="position:absolute;left:4;top:4;width:4027;height:2084" coordorigin="4,4" coordsize="4027,2084" path="m4031,2088l3630,2071,3229,2046,2828,2013,2427,1955,2018,1855,1617,1646,1216,1346,815,988,414,446,4,4,414,238,815,763,1216,1113,1617,1421,2018,1663,2427,1796,2828,1888,3229,1946,3630,1988,4031,2013,4031,2088xe" filled="true" fillcolor="#009544" stroked="false">
              <v:path arrowok="t"/>
              <v:fill type="solid"/>
            </v:shape>
            <v:shape style="position:absolute;left:4;top:4;width:4027;height:2084" coordorigin="4,4" coordsize="4027,2084" path="m4,4l414,238,815,763,1216,1113,1617,1421,2018,1663,2427,1796,2828,1888,3229,1946,3630,1988,4031,2013,4031,2088,3630,2071,3229,2046,2828,2013,2427,1955,2018,1855,1617,1646,1216,1346,815,988,414,446,4,4xe" filled="false" stroked="true" strokeweight=".416972pt" strokecolor="#009544">
              <v:path arrowok="t"/>
              <v:stroke dashstyle="solid"/>
            </v:shape>
            <v:shape style="position:absolute;left:4;top:4;width:4027;height:2009" coordorigin="4,4" coordsize="4027,2009" path="m4031,2013l3630,1988,3229,1946,2828,1888,2427,1796,2018,1663,1617,1421,1216,1113,815,763,414,238,4,4,414,229,815,746,1216,1096,1617,1396,2018,1638,2427,1763,2828,1846,3229,1905,3630,1938,4031,1963,4031,2013xe" filled="true" fillcolor="#e16b09" stroked="false">
              <v:path arrowok="t"/>
              <v:fill type="solid"/>
            </v:shape>
            <v:shape style="position:absolute;left:4;top:4;width:4027;height:2009" coordorigin="4,4" coordsize="4027,2009" path="m4,4l414,229,815,746,1216,1096,1617,1396,2018,1638,2427,1763,2828,1846,3229,1905,3630,1938,4031,1963,4031,2013,3630,1988,3229,1946,2828,1888,2427,1796,2018,1663,1617,1421,1216,1113,815,763,414,238,4,4xe" filled="false" stroked="true" strokeweight=".416958pt" strokecolor="#e16b09">
              <v:path arrowok="t"/>
              <v:stroke dashstyle="solid"/>
            </v:shape>
            <v:shape style="position:absolute;left:1616;top:1396;width:811;height:367" coordorigin="1617,1396" coordsize="811,367" path="m2427,1763l2018,1638,1617,1396,2018,1630,2427,1763xe" filled="true" fillcolor="#e08ad6" stroked="false">
              <v:path arrowok="t"/>
              <v:fill type="solid"/>
            </v:shape>
            <v:shape style="position:absolute;left:4;top:4;width:4027;height:1959" coordorigin="4,4" coordsize="4027,1959" path="m4,4l414,229,815,746,1216,1096,1617,1396,2018,1630,2427,1763,2828,1846,3229,1905,3630,1938,4031,1963,3630,1938,3229,1905,2828,1846,2427,1763,2018,1638,1617,1396,1216,1096,815,746,414,229,4,4xe" filled="false" stroked="true" strokeweight=".416954pt" strokecolor="#e08ad6">
              <v:path arrowok="t"/>
              <v:stroke dashstyle="solid"/>
            </v:shape>
            <v:shape style="position:absolute;left:814;top:746;width:3217;height:1217" coordorigin="815,746" coordsize="3217,1217" path="m2018,1630l1617,1396,1216,1096,815,746,1216,1088,1617,1388,2018,1630xm4031,1963l3630,1938,3229,1905,2828,1846,2427,1763,2018,1630,2427,1755,2828,1838,3229,1896,3630,1930,4031,1946,4031,1963xe" filled="true" fillcolor="#8063a1" stroked="false">
              <v:path arrowok="t"/>
              <v:fill type="solid"/>
            </v:shape>
            <v:shape style="position:absolute;left:4;top:4;width:4027;height:1959" coordorigin="4,4" coordsize="4027,1959" path="m4,4l414,229,815,746,1216,1088,1617,1388,2018,1630,2427,1755,2828,1838,3229,1896,3630,1930,4031,1946,4031,1963,3630,1938,3229,1905,2828,1846,2427,1763,2018,1630,1617,1396,1216,1096,815,746,414,229,4,4xe" filled="false" stroked="true" strokeweight=".416954pt" strokecolor="#8063a1">
              <v:path arrowok="t"/>
              <v:stroke dashstyle="solid"/>
            </v:shape>
            <v:shape style="position:absolute;left:4;top:4;width:4027;height:1943" coordorigin="4,4" coordsize="4027,1943" path="m4,4l414,229,815,746,1216,1088,1617,1388,2018,1630,2427,1755,2828,1838,3229,1896,3630,1930,4031,1946,3630,1930,3229,1896,2828,1838,2427,1755,2018,1630,1617,1388,1216,1088,815,746,414,229,4,4xe" filled="false" stroked="true" strokeweight=".416952pt" strokecolor="#c0504d">
              <v:path arrowok="t"/>
              <v:stroke dashstyle="solid"/>
            </v:shape>
            <v:shape style="position:absolute;left:413;top:229;width:3618;height:1718" coordorigin="414,229" coordsize="3618,1718" path="m4031,1946l3630,1930,3229,1896,2828,1838,2427,1755,2018,1630,1617,1388,1216,1088,815,746,414,229,815,738,1216,1079,1617,1371,2018,1588,2427,1696,2828,1738,3229,1755,4031,1755,4031,1946xm4031,1755l3229,1755,3630,1721,4031,1671,4031,1755xe" filled="true" fillcolor="#f8a763" stroked="false">
              <v:path arrowok="t"/>
              <v:fill type="solid"/>
            </v:shape>
            <v:shape style="position:absolute;left:4;top:4;width:4027;height:1943" coordorigin="4,4" coordsize="4027,1943" path="m4,4l414,229,815,738,1216,1079,1617,1371,2018,1588,2427,1696,2828,1738,3229,1755,3630,1721,4031,1671,4031,1946,3630,1930,3229,1896,2828,1838,2427,1755,2018,1630,1617,1388,1216,1088,815,746,414,229,4,4xe" filled="false" stroked="true" strokeweight=".416952pt" strokecolor="#f8a763">
              <v:path arrowok="t"/>
              <v:stroke dashstyle="solid"/>
            </v:shape>
            <v:shape style="position:absolute;left:1215;top:1079;width:2816;height:676" coordorigin="1216,1079" coordsize="2816,676" path="m2018,1588l1617,1371,1216,1079,1617,1363,2018,1588xm2828,1738l2427,1696,2018,1588,2427,1688,2828,1738xm3630,1721l4031,1663,4031,1671,3630,1721xm3329,1746l3229,1746,3630,1721,3329,1746xm3229,1755l2828,1738,3229,1746,3329,1746,3229,1755xe" filled="true" fillcolor="#ecb8e7" stroked="false">
              <v:path arrowok="t"/>
              <v:fill type="solid"/>
            </v:shape>
            <v:shape style="position:absolute;left:4;top:4;width:4027;height:1751" coordorigin="4,4" coordsize="4027,1751" path="m4,4l414,229,815,738,1216,1079,1617,1363,2018,1588,2427,1688,2828,1738,3229,1746,3630,1721,4031,1663,4031,1671,3630,1721,3229,1755,2828,1738,2427,1696,2018,1588,1617,1371,1216,1079,815,738,414,229,4,4xe" filled="false" stroked="true" strokeweight=".416919pt" strokecolor="#ecb8e7">
              <v:path arrowok="t"/>
              <v:stroke dashstyle="solid"/>
            </v:shape>
            <v:shape style="position:absolute;left:4;top:4;width:4027;height:1743" coordorigin="4,4" coordsize="4027,1743" path="m3229,1746l2828,1738,2427,1688,2018,1588,1617,1363,1216,1079,815,738,414,229,4,4,414,221,815,729,1216,1063,1617,1346,2018,1563,2427,1646,2828,1680,3917,1680,3630,1721,3229,1746xm3917,1680l2828,1680,3229,1671,3630,1630,4031,1555,4031,1663,3917,1680xe" filled="true" fillcolor="#938953" stroked="false">
              <v:path arrowok="t"/>
              <v:fill type="solid"/>
            </v:shape>
            <v:shape style="position:absolute;left:4;top:4;width:4027;height:1743" coordorigin="4,4" coordsize="4027,1743" path="m4,4l414,221,815,729,1216,1063,1617,1346,2018,1563,2427,1646,2828,1680,3229,1671,3630,1630,4031,1555,4031,1663,3630,1721,3229,1746,2828,1738,2427,1688,2018,1588,1617,1363,1216,1079,815,738,414,229,4,4xe" filled="false" stroked="true" strokeweight=".416918pt" strokecolor="#938953">
              <v:path arrowok="t"/>
              <v:stroke dashstyle="solid"/>
            </v:shape>
            <v:shape style="position:absolute;left:4;top:4;width:4027;height:1676" coordorigin="4,4" coordsize="4027,1676" path="m2828,1680l2427,1646,2018,1563,1617,1346,1216,1063,815,729,414,221,4,4,4031,4,4031,1555,3630,1630,3229,1671,2828,1680xe" filled="true" fillcolor="#ffd600" stroked="false">
              <v:path arrowok="t"/>
              <v:fill type="solid"/>
            </v:shape>
            <v:shape style="position:absolute;left:4;top:4;width:4027;height:1676" coordorigin="4,4" coordsize="4027,1676" path="m4,4l4,4,4031,4,4031,1555,3630,1630,3229,1671,2828,1680,2427,1646,2018,1563,1617,1346,1216,1063,815,729,414,221,4,4xe" filled="false" stroked="true" strokeweight=".416903pt" strokecolor="#ffd600">
              <v:path arrowok="t"/>
              <v:stroke dashstyle="solid"/>
            </v:shape>
            <v:line style="position:absolute" from="4,2121" to="4031,2121" stroked="true" strokeweight=".416761pt" strokecolor="#d9d9d9">
              <v:stroke dashstyle="solid"/>
            </v:line>
          </v:group>
        </w:pict>
      </w:r>
      <w:r>
        <w:rPr>
          <w:rFonts w:ascii="Calibri"/>
        </w:rPr>
      </w:r>
    </w:p>
    <w:p>
      <w:pPr>
        <w:tabs>
          <w:tab w:pos="402" w:val="left" w:leader="none"/>
          <w:tab w:pos="804" w:val="left" w:leader="none"/>
          <w:tab w:pos="1207" w:val="left" w:leader="none"/>
          <w:tab w:pos="1609" w:val="left" w:leader="none"/>
          <w:tab w:pos="2012" w:val="left" w:leader="none"/>
          <w:tab w:pos="2414" w:val="left" w:leader="none"/>
          <w:tab w:pos="2817" w:val="left" w:leader="none"/>
          <w:tab w:pos="3219" w:val="left" w:leader="none"/>
          <w:tab w:pos="3622" w:val="left" w:leader="none"/>
          <w:tab w:pos="3991" w:val="left" w:leader="none"/>
        </w:tabs>
        <w:spacing w:before="49"/>
        <w:ind w:left="0" w:right="1392" w:firstLine="0"/>
        <w:jc w:val="center"/>
        <w:rPr>
          <w:rFonts w:ascii="Calibri"/>
          <w:sz w:val="13"/>
        </w:rPr>
      </w:pPr>
      <w:r>
        <w:rPr>
          <w:rFonts w:ascii="Calibri"/>
          <w:color w:val="585858"/>
          <w:w w:val="105"/>
          <w:sz w:val="13"/>
        </w:rPr>
        <w:t>0</w:t>
        <w:tab/>
        <w:t>1</w:t>
        <w:tab/>
        <w:t>2</w:t>
        <w:tab/>
        <w:t>3</w:t>
        <w:tab/>
        <w:t>4</w:t>
        <w:tab/>
        <w:t>5</w:t>
        <w:tab/>
        <w:t>6</w:t>
        <w:tab/>
        <w:t>7</w:t>
        <w:tab/>
        <w:t>8</w:t>
        <w:tab/>
        <w:t>9</w:t>
        <w:tab/>
        <w:t>10</w:t>
      </w:r>
    </w:p>
    <w:p>
      <w:pPr>
        <w:spacing w:before="38"/>
        <w:ind w:left="0" w:right="1431" w:firstLine="0"/>
        <w:jc w:val="center"/>
        <w:rPr>
          <w:rFonts w:ascii="Calibri"/>
          <w:sz w:val="13"/>
        </w:rPr>
      </w:pPr>
      <w:r>
        <w:rPr>
          <w:rFonts w:ascii="Calibri"/>
          <w:color w:val="585858"/>
          <w:w w:val="105"/>
          <w:sz w:val="13"/>
        </w:rPr>
        <w:t>Years Since First Entry</w:t>
      </w:r>
    </w:p>
    <w:p>
      <w:pPr>
        <w:spacing w:after="0"/>
        <w:jc w:val="center"/>
        <w:rPr>
          <w:rFonts w:ascii="Calibri"/>
          <w:sz w:val="13"/>
        </w:rPr>
        <w:sectPr>
          <w:type w:val="continuous"/>
          <w:pgSz w:w="11910" w:h="16850"/>
          <w:pgMar w:top="1600" w:bottom="280" w:left="120" w:right="0"/>
          <w:cols w:num="4" w:equalWidth="0">
            <w:col w:w="1379" w:space="40"/>
            <w:col w:w="4204" w:space="39"/>
            <w:col w:w="462" w:space="39"/>
            <w:col w:w="5627"/>
          </w:cols>
        </w:sectPr>
      </w:pPr>
    </w:p>
    <w:p>
      <w:pPr>
        <w:pStyle w:val="BodyText"/>
        <w:spacing w:before="3"/>
        <w:rPr>
          <w:rFonts w:ascii="Calibri"/>
          <w:sz w:val="16"/>
        </w:rPr>
      </w:pPr>
    </w:p>
    <w:p>
      <w:pPr>
        <w:spacing w:before="76"/>
        <w:ind w:left="1028" w:right="0" w:firstLine="0"/>
        <w:jc w:val="left"/>
        <w:rPr>
          <w:rFonts w:ascii="Calibri"/>
          <w:sz w:val="12"/>
        </w:rPr>
      </w:pPr>
      <w:r>
        <w:rPr>
          <w:rFonts w:ascii="Calibri"/>
          <w:sz w:val="12"/>
        </w:rPr>
        <w:t>Class key:</w:t>
      </w:r>
    </w:p>
    <w:p>
      <w:pPr>
        <w:tabs>
          <w:tab w:pos="2691" w:val="left" w:leader="none"/>
          <w:tab w:pos="4137" w:val="left" w:leader="none"/>
          <w:tab w:pos="5583" w:val="left" w:leader="none"/>
          <w:tab w:pos="7029" w:val="left" w:leader="none"/>
          <w:tab w:pos="8475" w:val="left" w:leader="none"/>
        </w:tabs>
        <w:spacing w:before="46"/>
        <w:ind w:left="1246" w:right="0" w:firstLine="0"/>
        <w:jc w:val="left"/>
        <w:rPr>
          <w:rFonts w:ascii="Calibri"/>
          <w:sz w:val="12"/>
        </w:rPr>
      </w:pPr>
      <w:r>
        <w:rPr/>
        <w:pict>
          <v:group style="position:absolute;margin-left:56.603809pt;margin-top:1.604233pt;width:10.95pt;height:18.850pt;mso-position-horizontal-relative:page;mso-position-vertical-relative:paragraph;z-index:251810816" coordorigin="1132,32" coordsize="219,377">
            <v:rect style="position:absolute;left:1132;top:32;width:219;height:169" filled="true" fillcolor="#1f487c" stroked="false">
              <v:fill type="solid"/>
            </v:rect>
            <v:rect style="position:absolute;left:1132;top:240;width:219;height:169" filled="true" fillcolor="#f8a763" stroked="false">
              <v:fill type="solid"/>
            </v:rect>
            <w10:wrap type="none"/>
          </v:group>
        </w:pict>
      </w:r>
      <w:r>
        <w:rPr/>
        <w:pict>
          <v:group style="position:absolute;margin-left:128.489853pt;margin-top:1.604172pt;width:11.35pt;height:18.850pt;mso-position-horizontal-relative:page;mso-position-vertical-relative:paragraph;z-index:-288091136" coordorigin="2570,32" coordsize="227,377">
            <v:rect style="position:absolute;left:2569;top:32;width:227;height:169" filled="true" fillcolor="#009544" stroked="false">
              <v:fill type="solid"/>
            </v:rect>
            <v:rect style="position:absolute;left:2569;top:240;width:227;height:169" filled="true" fillcolor="#ecb8e7" stroked="false">
              <v:fill type="solid"/>
            </v:rect>
            <w10:wrap type="none"/>
          </v:group>
        </w:pict>
      </w:r>
      <w:r>
        <w:rPr/>
        <w:pict>
          <v:group style="position:absolute;margin-left:200.77977pt;margin-top:1.604111pt;width:11.35pt;height:18.850pt;mso-position-horizontal-relative:page;mso-position-vertical-relative:paragraph;z-index:-288090112" coordorigin="4016,32" coordsize="227,377">
            <v:rect style="position:absolute;left:4015;top:32;width:227;height:169" filled="true" fillcolor="#e16b09" stroked="false">
              <v:fill type="solid"/>
            </v:rect>
            <v:rect style="position:absolute;left:4015;top:240;width:227;height:169" filled="true" fillcolor="#938953" stroked="false">
              <v:fill type="solid"/>
            </v:rect>
            <w10:wrap type="none"/>
          </v:group>
        </w:pict>
      </w:r>
      <w:r>
        <w:rPr/>
        <w:pict>
          <v:group style="position:absolute;margin-left:273.069672pt;margin-top:1.60405pt;width:11.35pt;height:18.850pt;mso-position-horizontal-relative:page;mso-position-vertical-relative:paragraph;z-index:-288089088" coordorigin="5461,32" coordsize="227,377">
            <v:rect style="position:absolute;left:5461;top:32;width:227;height:169" filled="true" fillcolor="#e08ad6" stroked="false">
              <v:fill type="solid"/>
            </v:rect>
            <v:rect style="position:absolute;left:5461;top:240;width:227;height:169" filled="true" fillcolor="#ffd600" stroked="false">
              <v:fill type="solid"/>
            </v:rect>
            <w10:wrap type="none"/>
          </v:group>
        </w:pict>
      </w:r>
      <w:r>
        <w:rPr/>
        <w:pict>
          <v:group style="position:absolute;margin-left:345.359558pt;margin-top:1.603989pt;width:11.35pt;height:18.850pt;mso-position-horizontal-relative:page;mso-position-vertical-relative:paragraph;z-index:-288088064" coordorigin="6907,32" coordsize="227,377">
            <v:rect style="position:absolute;left:6907;top:32;width:227;height:169" filled="true" fillcolor="#8063a1" stroked="false">
              <v:fill type="solid"/>
            </v:rect>
            <v:rect style="position:absolute;left:6907;top:240;width:227;height:169" filled="true" fillcolor="#000000" stroked="false">
              <v:fill type="solid"/>
            </v:rect>
            <w10:wrap type="none"/>
          </v:group>
        </w:pict>
      </w:r>
      <w:r>
        <w:rPr/>
        <w:pict>
          <v:group style="position:absolute;margin-left:417.649475pt;margin-top:1.603928pt;width:11.35pt;height:18.850pt;mso-position-horizontal-relative:page;mso-position-vertical-relative:paragraph;z-index:-288087040" coordorigin="8353,32" coordsize="227,377">
            <v:rect style="position:absolute;left:8352;top:32;width:227;height:169" filled="true" fillcolor="#c0504d" stroked="false">
              <v:fill type="solid"/>
            </v:rect>
            <v:rect style="position:absolute;left:8352;top:240;width:227;height:169" filled="true" fillcolor="#ffeb8f" stroked="false">
              <v:fill type="solid"/>
            </v:rect>
            <w10:wrap type="none"/>
          </v:group>
        </w:pict>
      </w:r>
      <w:r>
        <w:rPr>
          <w:rFonts w:ascii="Calibri"/>
          <w:sz w:val="12"/>
        </w:rPr>
        <w:t>1</w:t>
      </w:r>
      <w:r>
        <w:rPr>
          <w:rFonts w:ascii="Calibri"/>
          <w:spacing w:val="-7"/>
          <w:sz w:val="12"/>
        </w:rPr>
        <w:t> </w:t>
      </w:r>
      <w:r>
        <w:rPr>
          <w:rFonts w:ascii="Calibri"/>
          <w:sz w:val="12"/>
        </w:rPr>
        <w:t>-</w:t>
      </w:r>
      <w:r>
        <w:rPr>
          <w:rFonts w:ascii="Calibri"/>
          <w:spacing w:val="2"/>
          <w:sz w:val="12"/>
        </w:rPr>
        <w:t> </w:t>
      </w:r>
      <w:r>
        <w:rPr>
          <w:rFonts w:ascii="Calibri"/>
          <w:sz w:val="12"/>
        </w:rPr>
        <w:t>Studying</w:t>
        <w:tab/>
        <w:t>2 -</w:t>
      </w:r>
      <w:r>
        <w:rPr>
          <w:rFonts w:ascii="Calibri"/>
          <w:spacing w:val="-6"/>
          <w:sz w:val="12"/>
        </w:rPr>
        <w:t> </w:t>
      </w:r>
      <w:r>
        <w:rPr>
          <w:rFonts w:ascii="Calibri"/>
          <w:sz w:val="12"/>
        </w:rPr>
        <w:t>Working</w:t>
      </w:r>
      <w:r>
        <w:rPr>
          <w:rFonts w:ascii="Calibri"/>
          <w:spacing w:val="-3"/>
          <w:sz w:val="12"/>
        </w:rPr>
        <w:t> </w:t>
      </w:r>
      <w:r>
        <w:rPr>
          <w:rFonts w:ascii="Calibri"/>
          <w:sz w:val="12"/>
        </w:rPr>
        <w:t>Age</w:t>
        <w:tab/>
        <w:t>3</w:t>
      </w:r>
      <w:r>
        <w:rPr>
          <w:rFonts w:ascii="Calibri"/>
          <w:spacing w:val="-7"/>
          <w:sz w:val="12"/>
        </w:rPr>
        <w:t> </w:t>
      </w:r>
      <w:r>
        <w:rPr>
          <w:rFonts w:ascii="Calibri"/>
          <w:sz w:val="12"/>
        </w:rPr>
        <w:t>-</w:t>
      </w:r>
      <w:r>
        <w:rPr>
          <w:rFonts w:ascii="Calibri"/>
          <w:spacing w:val="1"/>
          <w:sz w:val="12"/>
        </w:rPr>
        <w:t> </w:t>
      </w:r>
      <w:r>
        <w:rPr>
          <w:rFonts w:ascii="Calibri"/>
          <w:sz w:val="12"/>
        </w:rPr>
        <w:t>Parents</w:t>
        <w:tab/>
        <w:t>4</w:t>
      </w:r>
      <w:r>
        <w:rPr>
          <w:rFonts w:ascii="Calibri"/>
          <w:spacing w:val="-8"/>
          <w:sz w:val="12"/>
        </w:rPr>
        <w:t> </w:t>
      </w:r>
      <w:r>
        <w:rPr>
          <w:rFonts w:ascii="Calibri"/>
          <w:sz w:val="12"/>
        </w:rPr>
        <w:t>- Carers</w:t>
        <w:tab/>
        <w:t>5 -</w:t>
      </w:r>
      <w:r>
        <w:rPr>
          <w:rFonts w:ascii="Calibri"/>
          <w:spacing w:val="-2"/>
          <w:sz w:val="12"/>
        </w:rPr>
        <w:t> </w:t>
      </w:r>
      <w:r>
        <w:rPr>
          <w:rFonts w:ascii="Calibri"/>
          <w:sz w:val="12"/>
        </w:rPr>
        <w:t>Disability</w:t>
      </w:r>
      <w:r>
        <w:rPr>
          <w:rFonts w:ascii="Calibri"/>
          <w:spacing w:val="1"/>
          <w:sz w:val="12"/>
        </w:rPr>
        <w:t> </w:t>
      </w:r>
      <w:r>
        <w:rPr>
          <w:rFonts w:ascii="Calibri"/>
          <w:sz w:val="12"/>
        </w:rPr>
        <w:t>Support</w:t>
        <w:tab/>
        <w:t>6 - Pension</w:t>
      </w:r>
      <w:r>
        <w:rPr>
          <w:rFonts w:ascii="Calibri"/>
          <w:spacing w:val="-11"/>
          <w:sz w:val="12"/>
        </w:rPr>
        <w:t> </w:t>
      </w:r>
      <w:r>
        <w:rPr>
          <w:rFonts w:ascii="Calibri"/>
          <w:sz w:val="12"/>
        </w:rPr>
        <w:t>Age</w:t>
      </w:r>
    </w:p>
    <w:p>
      <w:pPr>
        <w:spacing w:after="0"/>
        <w:jc w:val="left"/>
        <w:rPr>
          <w:rFonts w:ascii="Calibri"/>
          <w:sz w:val="12"/>
        </w:rPr>
        <w:sectPr>
          <w:type w:val="continuous"/>
          <w:pgSz w:w="11910" w:h="16850"/>
          <w:pgMar w:top="1600" w:bottom="280" w:left="120" w:right="0"/>
        </w:sectPr>
      </w:pPr>
    </w:p>
    <w:p>
      <w:pPr>
        <w:spacing w:before="62"/>
        <w:ind w:left="1246" w:right="0" w:firstLine="0"/>
        <w:jc w:val="left"/>
        <w:rPr>
          <w:rFonts w:ascii="Calibri"/>
          <w:sz w:val="12"/>
        </w:rPr>
      </w:pPr>
      <w:r>
        <w:rPr>
          <w:rFonts w:ascii="Calibri"/>
          <w:sz w:val="12"/>
        </w:rPr>
        <w:t>7 - Non IS Family</w:t>
      </w:r>
    </w:p>
    <w:p>
      <w:pPr>
        <w:pStyle w:val="ListParagraph"/>
        <w:numPr>
          <w:ilvl w:val="0"/>
          <w:numId w:val="18"/>
        </w:numPr>
        <w:tabs>
          <w:tab w:pos="665" w:val="left" w:leader="none"/>
        </w:tabs>
        <w:spacing w:line="240" w:lineRule="auto" w:before="62" w:after="0"/>
        <w:ind w:left="664" w:right="0" w:hanging="82"/>
        <w:jc w:val="left"/>
        <w:rPr>
          <w:rFonts w:ascii="Calibri"/>
          <w:sz w:val="12"/>
        </w:rPr>
      </w:pPr>
      <w:r>
        <w:rPr>
          <w:rFonts w:ascii="Calibri"/>
          <w:w w:val="100"/>
          <w:sz w:val="12"/>
        </w:rPr>
        <w:br w:type="column"/>
      </w:r>
      <w:r>
        <w:rPr>
          <w:rFonts w:ascii="Calibri"/>
          <w:sz w:val="12"/>
        </w:rPr>
        <w:t>- Non IS</w:t>
      </w:r>
      <w:r>
        <w:rPr>
          <w:rFonts w:ascii="Calibri"/>
          <w:spacing w:val="2"/>
          <w:sz w:val="12"/>
        </w:rPr>
        <w:t> </w:t>
      </w:r>
      <w:r>
        <w:rPr>
          <w:rFonts w:ascii="Calibri"/>
          <w:spacing w:val="-3"/>
          <w:sz w:val="12"/>
        </w:rPr>
        <w:t>Carer</w:t>
      </w:r>
    </w:p>
    <w:p>
      <w:pPr>
        <w:pStyle w:val="ListParagraph"/>
        <w:numPr>
          <w:ilvl w:val="0"/>
          <w:numId w:val="18"/>
        </w:numPr>
        <w:tabs>
          <w:tab w:pos="726" w:val="left" w:leader="none"/>
        </w:tabs>
        <w:spacing w:line="240" w:lineRule="auto" w:before="62" w:after="0"/>
        <w:ind w:left="725" w:right="0" w:hanging="82"/>
        <w:jc w:val="left"/>
        <w:rPr>
          <w:rFonts w:ascii="Calibri"/>
          <w:sz w:val="12"/>
        </w:rPr>
      </w:pPr>
      <w:r>
        <w:rPr>
          <w:rFonts w:ascii="Calibri"/>
          <w:w w:val="100"/>
          <w:sz w:val="12"/>
        </w:rPr>
        <w:br w:type="column"/>
      </w:r>
      <w:r>
        <w:rPr>
          <w:rFonts w:ascii="Calibri"/>
          <w:sz w:val="12"/>
        </w:rPr>
        <w:t>- Non IS</w:t>
      </w:r>
      <w:r>
        <w:rPr>
          <w:rFonts w:ascii="Calibri"/>
          <w:spacing w:val="5"/>
          <w:sz w:val="12"/>
        </w:rPr>
        <w:t> </w:t>
      </w:r>
      <w:r>
        <w:rPr>
          <w:rFonts w:ascii="Calibri"/>
          <w:spacing w:val="-3"/>
          <w:sz w:val="12"/>
        </w:rPr>
        <w:t>Other</w:t>
      </w:r>
    </w:p>
    <w:p>
      <w:pPr>
        <w:pStyle w:val="ListParagraph"/>
        <w:numPr>
          <w:ilvl w:val="0"/>
          <w:numId w:val="18"/>
        </w:numPr>
        <w:tabs>
          <w:tab w:pos="759" w:val="left" w:leader="none"/>
        </w:tabs>
        <w:spacing w:line="261" w:lineRule="auto" w:before="62" w:after="0"/>
        <w:ind w:left="620" w:right="0" w:firstLine="0"/>
        <w:jc w:val="left"/>
        <w:rPr>
          <w:rFonts w:ascii="Calibri"/>
          <w:sz w:val="12"/>
        </w:rPr>
      </w:pPr>
      <w:r>
        <w:rPr>
          <w:rFonts w:ascii="Calibri"/>
          <w:w w:val="100"/>
          <w:sz w:val="12"/>
        </w:rPr>
        <w:br w:type="column"/>
      </w:r>
      <w:r>
        <w:rPr>
          <w:rFonts w:ascii="Calibri"/>
          <w:sz w:val="12"/>
        </w:rPr>
        <w:t>- Previous Welfare Recipient</w:t>
      </w:r>
    </w:p>
    <w:p>
      <w:pPr>
        <w:pStyle w:val="ListParagraph"/>
        <w:numPr>
          <w:ilvl w:val="0"/>
          <w:numId w:val="18"/>
        </w:numPr>
        <w:tabs>
          <w:tab w:pos="482" w:val="left" w:leader="none"/>
        </w:tabs>
        <w:spacing w:line="240" w:lineRule="auto" w:before="62" w:after="0"/>
        <w:ind w:left="481" w:right="0" w:hanging="139"/>
        <w:jc w:val="left"/>
        <w:rPr>
          <w:rFonts w:ascii="Calibri"/>
          <w:sz w:val="12"/>
        </w:rPr>
      </w:pPr>
      <w:r>
        <w:rPr>
          <w:rFonts w:ascii="Calibri"/>
          <w:w w:val="100"/>
          <w:sz w:val="12"/>
        </w:rPr>
        <w:br w:type="column"/>
      </w:r>
      <w:r>
        <w:rPr>
          <w:rFonts w:ascii="Calibri"/>
          <w:sz w:val="12"/>
        </w:rPr>
        <w:t>-</w:t>
      </w:r>
      <w:r>
        <w:rPr>
          <w:rFonts w:ascii="Calibri"/>
          <w:spacing w:val="3"/>
          <w:sz w:val="12"/>
        </w:rPr>
        <w:t> </w:t>
      </w:r>
      <w:r>
        <w:rPr>
          <w:rFonts w:ascii="Calibri"/>
          <w:spacing w:val="-5"/>
          <w:sz w:val="12"/>
        </w:rPr>
        <w:t>Dead</w:t>
      </w:r>
    </w:p>
    <w:p>
      <w:pPr>
        <w:pStyle w:val="ListParagraph"/>
        <w:numPr>
          <w:ilvl w:val="0"/>
          <w:numId w:val="18"/>
        </w:numPr>
        <w:tabs>
          <w:tab w:pos="1084" w:val="left" w:leader="none"/>
        </w:tabs>
        <w:spacing w:line="261" w:lineRule="auto" w:before="62" w:after="0"/>
        <w:ind w:left="946" w:right="2478" w:firstLine="0"/>
        <w:jc w:val="left"/>
        <w:rPr>
          <w:rFonts w:ascii="Calibri"/>
          <w:sz w:val="12"/>
        </w:rPr>
      </w:pPr>
      <w:r>
        <w:rPr>
          <w:rFonts w:ascii="Calibri"/>
          <w:w w:val="100"/>
          <w:sz w:val="12"/>
        </w:rPr>
        <w:br w:type="column"/>
      </w:r>
      <w:r>
        <w:rPr>
          <w:rFonts w:ascii="Calibri"/>
          <w:sz w:val="12"/>
        </w:rPr>
        <w:t>- Rest of Aust. Population</w:t>
      </w:r>
    </w:p>
    <w:p>
      <w:pPr>
        <w:spacing w:after="0" w:line="261" w:lineRule="auto"/>
        <w:jc w:val="left"/>
        <w:rPr>
          <w:rFonts w:ascii="Calibri"/>
          <w:sz w:val="12"/>
        </w:rPr>
        <w:sectPr>
          <w:type w:val="continuous"/>
          <w:pgSz w:w="11910" w:h="16850"/>
          <w:pgMar w:top="1600" w:bottom="280" w:left="120" w:right="0"/>
          <w:cols w:num="6" w:equalWidth="0">
            <w:col w:w="2069" w:space="40"/>
            <w:col w:w="1345" w:space="39"/>
            <w:col w:w="1430" w:space="40"/>
            <w:col w:w="1683" w:space="39"/>
            <w:col w:w="804" w:space="40"/>
            <w:col w:w="4261"/>
          </w:cols>
        </w:sectPr>
      </w:pPr>
    </w:p>
    <w:p>
      <w:pPr>
        <w:pStyle w:val="BodyText"/>
        <w:rPr>
          <w:rFonts w:ascii="Calibri"/>
        </w:rPr>
      </w:pPr>
    </w:p>
    <w:p>
      <w:pPr>
        <w:pStyle w:val="BodyText"/>
        <w:rPr>
          <w:rFonts w:ascii="Calibri"/>
          <w:sz w:val="22"/>
        </w:rPr>
      </w:pPr>
    </w:p>
    <w:p>
      <w:pPr>
        <w:pStyle w:val="BodyText"/>
        <w:spacing w:before="93"/>
        <w:ind w:left="900" w:right="1047"/>
      </w:pPr>
      <w:r>
        <w:rPr>
          <w:color w:val="404040"/>
        </w:rPr>
        <w:t>Note that the charts above are representative of studying payment recipients (i.e. Youth Allowance (student), Austudy and ABSTUDY recipients), rather than of all students. In particular, a parental income test applies for Youth Allowance where a person is considered as not independent, and this restricts access to Youth Allowance, only for those under the age of 22. This will impact on the group of people who are considered in the charts above. In the years initially following entry into the system, refugees tend to stay in the Studying class for longer, and are more likely to transition into the Working Age and Parenting classes than non- refugees. Over time, the experience for refugees has improved, however their dependence on welfare tends to stay higher than non-refugees. In particular, we can see that 10 years after their first entry into the system, 43% of refugees no longer receive any form of welfare, compared to 77% of non-refugees at the same</w:t>
      </w:r>
      <w:r>
        <w:rPr>
          <w:color w:val="404040"/>
          <w:spacing w:val="-26"/>
        </w:rPr>
        <w:t> </w:t>
      </w:r>
      <w:r>
        <w:rPr>
          <w:color w:val="404040"/>
        </w:rPr>
        <w:t>point.</w:t>
      </w:r>
    </w:p>
    <w:p>
      <w:pPr>
        <w:pStyle w:val="BodyText"/>
        <w:spacing w:before="7"/>
      </w:pPr>
    </w:p>
    <w:p>
      <w:pPr>
        <w:pStyle w:val="Heading6"/>
        <w:rPr>
          <w:i/>
        </w:rPr>
      </w:pPr>
      <w:r>
        <w:rPr>
          <w:i/>
          <w:color w:val="DF2F1E"/>
        </w:rPr>
        <w:t>Trends for refugees entering into Working Age</w:t>
      </w:r>
    </w:p>
    <w:p>
      <w:pPr>
        <w:pStyle w:val="BodyText"/>
        <w:spacing w:before="124"/>
        <w:ind w:left="900" w:right="1331"/>
      </w:pPr>
      <w:r>
        <w:rPr>
          <w:color w:val="404040"/>
        </w:rPr>
        <w:t>The first chart below follows the experience of refugees aged 20 to 40 at first entry in the 10 years following their entry into the Working Age class. For comparison, the experience of non-refugee entrants into Working Age within the same age group is shown in the second chart below.</w:t>
      </w:r>
    </w:p>
    <w:p>
      <w:pPr>
        <w:pStyle w:val="Heading9"/>
        <w:spacing w:before="174"/>
      </w:pPr>
      <w:r>
        <w:rPr>
          <w:color w:val="DF2F1E"/>
        </w:rPr>
        <w:t>Figure 18: Experience over first 10 years since entry for Working Age recipients aged 20 to 40</w:t>
      </w:r>
    </w:p>
    <w:p>
      <w:pPr>
        <w:pStyle w:val="BodyText"/>
        <w:spacing w:before="6"/>
        <w:rPr>
          <w:b/>
          <w:sz w:val="19"/>
        </w:rPr>
      </w:pPr>
    </w:p>
    <w:p>
      <w:pPr>
        <w:tabs>
          <w:tab w:pos="4716" w:val="left" w:leader="none"/>
        </w:tabs>
        <w:spacing w:before="0"/>
        <w:ind w:left="0" w:right="287" w:firstLine="0"/>
        <w:jc w:val="center"/>
        <w:rPr>
          <w:b/>
          <w:sz w:val="16"/>
        </w:rPr>
      </w:pPr>
      <w:r>
        <w:rPr>
          <w:b/>
          <w:color w:val="A6A6A6"/>
          <w:sz w:val="16"/>
        </w:rPr>
        <w:t>Refugee</w:t>
        <w:tab/>
        <w:t>Non-refugee</w:t>
      </w:r>
    </w:p>
    <w:p>
      <w:pPr>
        <w:spacing w:after="0"/>
        <w:jc w:val="center"/>
        <w:rPr>
          <w:sz w:val="16"/>
        </w:rPr>
        <w:sectPr>
          <w:type w:val="continuous"/>
          <w:pgSz w:w="11910" w:h="16850"/>
          <w:pgMar w:top="1600" w:bottom="280" w:left="120" w:right="0"/>
        </w:sectPr>
      </w:pPr>
    </w:p>
    <w:p>
      <w:pPr>
        <w:pStyle w:val="BodyText"/>
        <w:spacing w:before="4"/>
        <w:rPr>
          <w:b/>
          <w:sz w:val="15"/>
        </w:rPr>
      </w:pPr>
    </w:p>
    <w:p>
      <w:pPr>
        <w:spacing w:before="0"/>
        <w:ind w:left="0" w:right="1" w:firstLine="0"/>
        <w:jc w:val="right"/>
        <w:rPr>
          <w:rFonts w:ascii="Calibri"/>
          <w:sz w:val="13"/>
        </w:rPr>
      </w:pPr>
      <w:r>
        <w:rPr>
          <w:rFonts w:ascii="Calibri"/>
          <w:color w:val="585858"/>
          <w:spacing w:val="-2"/>
          <w:sz w:val="13"/>
        </w:rPr>
        <w:t>100%</w:t>
      </w:r>
    </w:p>
    <w:p>
      <w:pPr>
        <w:spacing w:before="53"/>
        <w:ind w:left="0" w:right="0" w:firstLine="0"/>
        <w:jc w:val="right"/>
        <w:rPr>
          <w:rFonts w:ascii="Calibri"/>
          <w:sz w:val="13"/>
        </w:rPr>
      </w:pPr>
      <w:r>
        <w:rPr>
          <w:rFonts w:ascii="Calibri"/>
          <w:color w:val="585858"/>
          <w:spacing w:val="-2"/>
          <w:sz w:val="13"/>
        </w:rPr>
        <w:t>90%</w:t>
      </w:r>
    </w:p>
    <w:p>
      <w:pPr>
        <w:spacing w:before="52"/>
        <w:ind w:left="0" w:right="0" w:firstLine="0"/>
        <w:jc w:val="right"/>
        <w:rPr>
          <w:rFonts w:ascii="Calibri"/>
          <w:sz w:val="13"/>
        </w:rPr>
      </w:pPr>
      <w:r>
        <w:rPr>
          <w:rFonts w:ascii="Calibri"/>
          <w:color w:val="585858"/>
          <w:spacing w:val="-2"/>
          <w:sz w:val="13"/>
        </w:rPr>
        <w:t>80%</w:t>
      </w:r>
    </w:p>
    <w:p>
      <w:pPr>
        <w:spacing w:before="52"/>
        <w:ind w:left="0" w:right="0" w:firstLine="0"/>
        <w:jc w:val="right"/>
        <w:rPr>
          <w:rFonts w:ascii="Calibri"/>
          <w:sz w:val="13"/>
        </w:rPr>
      </w:pPr>
      <w:r>
        <w:rPr>
          <w:rFonts w:ascii="Calibri"/>
          <w:color w:val="585858"/>
          <w:spacing w:val="-2"/>
          <w:sz w:val="13"/>
        </w:rPr>
        <w:t>70%</w:t>
      </w:r>
    </w:p>
    <w:p>
      <w:pPr>
        <w:spacing w:before="53"/>
        <w:ind w:left="0" w:right="0" w:firstLine="0"/>
        <w:jc w:val="right"/>
        <w:rPr>
          <w:rFonts w:ascii="Calibri"/>
          <w:sz w:val="13"/>
        </w:rPr>
      </w:pPr>
      <w:r>
        <w:rPr>
          <w:rFonts w:ascii="Calibri"/>
          <w:color w:val="585858"/>
          <w:spacing w:val="-2"/>
          <w:sz w:val="13"/>
        </w:rPr>
        <w:t>60%</w:t>
      </w:r>
    </w:p>
    <w:p>
      <w:pPr>
        <w:spacing w:before="52"/>
        <w:ind w:left="0" w:right="0" w:firstLine="0"/>
        <w:jc w:val="right"/>
        <w:rPr>
          <w:rFonts w:ascii="Calibri"/>
          <w:sz w:val="13"/>
        </w:rPr>
      </w:pPr>
      <w:r>
        <w:rPr>
          <w:rFonts w:ascii="Calibri"/>
          <w:color w:val="585858"/>
          <w:spacing w:val="-2"/>
          <w:sz w:val="13"/>
        </w:rPr>
        <w:t>50%</w:t>
      </w:r>
    </w:p>
    <w:p>
      <w:pPr>
        <w:spacing w:before="52"/>
        <w:ind w:left="0" w:right="0" w:firstLine="0"/>
        <w:jc w:val="right"/>
        <w:rPr>
          <w:rFonts w:ascii="Calibri"/>
          <w:sz w:val="13"/>
        </w:rPr>
      </w:pPr>
      <w:r>
        <w:rPr>
          <w:rFonts w:ascii="Calibri"/>
          <w:color w:val="585858"/>
          <w:spacing w:val="-2"/>
          <w:sz w:val="13"/>
        </w:rPr>
        <w:t>40%</w:t>
      </w:r>
    </w:p>
    <w:p>
      <w:pPr>
        <w:spacing w:before="52"/>
        <w:ind w:left="0" w:right="0" w:firstLine="0"/>
        <w:jc w:val="right"/>
        <w:rPr>
          <w:rFonts w:ascii="Calibri"/>
          <w:sz w:val="13"/>
        </w:rPr>
      </w:pPr>
      <w:r>
        <w:rPr>
          <w:rFonts w:ascii="Calibri"/>
          <w:color w:val="585858"/>
          <w:spacing w:val="-2"/>
          <w:sz w:val="13"/>
        </w:rPr>
        <w:t>30%</w:t>
      </w:r>
    </w:p>
    <w:p>
      <w:pPr>
        <w:spacing w:before="53"/>
        <w:ind w:left="0" w:right="0" w:firstLine="0"/>
        <w:jc w:val="right"/>
        <w:rPr>
          <w:rFonts w:ascii="Calibri"/>
          <w:sz w:val="13"/>
        </w:rPr>
      </w:pPr>
      <w:r>
        <w:rPr>
          <w:rFonts w:ascii="Calibri"/>
          <w:color w:val="585858"/>
          <w:spacing w:val="-2"/>
          <w:sz w:val="13"/>
        </w:rPr>
        <w:t>20%</w:t>
      </w:r>
    </w:p>
    <w:p>
      <w:pPr>
        <w:spacing w:before="52"/>
        <w:ind w:left="0" w:right="0" w:firstLine="0"/>
        <w:jc w:val="right"/>
        <w:rPr>
          <w:rFonts w:ascii="Calibri"/>
          <w:sz w:val="13"/>
        </w:rPr>
      </w:pPr>
      <w:r>
        <w:rPr>
          <w:rFonts w:ascii="Calibri"/>
          <w:color w:val="585858"/>
          <w:spacing w:val="-2"/>
          <w:sz w:val="13"/>
        </w:rPr>
        <w:t>10%</w:t>
      </w:r>
    </w:p>
    <w:p>
      <w:pPr>
        <w:spacing w:before="52"/>
        <w:ind w:left="0" w:right="0" w:firstLine="0"/>
        <w:jc w:val="right"/>
        <w:rPr>
          <w:rFonts w:ascii="Calibri"/>
          <w:sz w:val="13"/>
        </w:rPr>
      </w:pPr>
      <w:r>
        <w:rPr>
          <w:rFonts w:ascii="Calibri"/>
          <w:color w:val="585858"/>
          <w:spacing w:val="-1"/>
          <w:sz w:val="13"/>
        </w:rPr>
        <w:t>0%</w:t>
      </w:r>
    </w:p>
    <w:p>
      <w:pPr>
        <w:pStyle w:val="BodyText"/>
        <w:spacing w:before="10" w:after="40"/>
        <w:rPr>
          <w:rFonts w:ascii="Calibri"/>
          <w:sz w:val="17"/>
        </w:rPr>
      </w:pPr>
      <w:r>
        <w:rPr/>
        <w:br w:type="column"/>
      </w:r>
      <w:r>
        <w:rPr>
          <w:rFonts w:ascii="Calibri"/>
          <w:sz w:val="17"/>
        </w:rPr>
      </w:r>
    </w:p>
    <w:p>
      <w:pPr>
        <w:pStyle w:val="BodyText"/>
        <w:ind w:left="83"/>
        <w:rPr>
          <w:rFonts w:ascii="Calibri"/>
        </w:rPr>
      </w:pPr>
      <w:r>
        <w:rPr>
          <w:rFonts w:ascii="Calibri"/>
        </w:rPr>
        <w:pict>
          <v:group style="width:202.2pt;height:106pt;mso-position-horizontal-relative:char;mso-position-vertical-relative:line" coordorigin="0,0" coordsize="4044,2120">
            <v:shape style="position:absolute;left:4;top:4;width:4036;height:2111" coordorigin="4,4" coordsize="4036,2111" path="m4040,2115l4,2115,4,4,404,453,811,877,1211,1168,1618,1351,2018,1475,2426,1542,2825,1600,3233,1625,3632,1641,4040,1641,4040,2115xe" filled="true" fillcolor="#009544" stroked="false">
              <v:path arrowok="t"/>
              <v:fill type="solid"/>
            </v:shape>
            <v:shape style="position:absolute;left:4;top:4;width:4036;height:2111" coordorigin="4,4" coordsize="4036,2111" path="m4,4l404,453,811,877,1211,1168,1618,1351,2018,1475,2426,1542,2825,1600,3233,1625,3632,1641,4040,1641,4040,2115,4,2115,4,4xe" filled="false" stroked="true" strokeweight=".415655pt" strokecolor="#009544">
              <v:path arrowok="t"/>
              <v:stroke dashstyle="solid"/>
            </v:shape>
            <v:shape style="position:absolute;left:4;top:4;width:4036;height:1638" coordorigin="4,4" coordsize="4036,1638" path="m4040,1641l3632,1641,3233,1625,2825,1600,2426,1542,2018,1475,1618,1351,1211,1168,811,877,404,453,4,4,404,345,811,736,1211,1026,1618,1226,2018,1375,2426,1450,2825,1517,3233,1567,3632,1583,4040,1592,4040,1641xe" filled="true" fillcolor="#1f487c" stroked="false">
              <v:path arrowok="t"/>
              <v:fill type="solid"/>
            </v:shape>
            <v:shape style="position:absolute;left:4;top:4;width:4036;height:1638" coordorigin="4,4" coordsize="4036,1638" path="m4,4l404,345,811,736,1211,1026,1618,1226,2018,1375,2426,1450,2825,1517,3233,1567,3632,1583,4040,1592,4040,1641,3632,1641,3233,1625,2825,1600,2426,1542,2018,1475,1618,1351,1211,1168,811,877,404,453,4,4xe" filled="false" stroked="true" strokeweight=".415627pt" strokecolor="#1f487c">
              <v:path arrowok="t"/>
              <v:stroke dashstyle="solid"/>
            </v:shape>
            <v:shape style="position:absolute;left:4;top:4;width:4036;height:1588" coordorigin="4,4" coordsize="4036,1588" path="m4040,1592l3632,1583,3233,1567,2825,1517,2426,1450,2018,1375,1618,1226,1211,1026,811,736,404,345,4,4,404,278,811,627,1211,885,1618,1068,2018,1201,2426,1267,3233,1367,4040,1417,4040,1592xe" filled="true" fillcolor="#e16b09" stroked="false">
              <v:path arrowok="t"/>
              <v:fill type="solid"/>
            </v:shape>
            <v:shape style="position:absolute;left:4;top:4;width:4036;height:1588" coordorigin="4,4" coordsize="4036,1588" path="m4,4l404,278,811,627,1211,885,1618,1068,2018,1201,2426,1267,2825,1317,3233,1367,3632,1392,4040,1417,4040,1592,3632,1583,3233,1567,2825,1517,2426,1450,2018,1375,1618,1226,1211,1026,811,736,404,345,4,4xe" filled="false" stroked="true" strokeweight=".415616pt" strokecolor="#e16b09">
              <v:path arrowok="t"/>
              <v:stroke dashstyle="solid"/>
            </v:shape>
            <v:shape style="position:absolute;left:4;top:4;width:4036;height:1413" coordorigin="4,4" coordsize="4036,1413" path="m4040,1417l3233,1367,2426,1267,2018,1201,1618,1068,1211,885,811,627,404,278,4,4,404,212,811,528,1211,769,1618,943,2018,1076,2426,1134,2825,1184,3233,1226,3632,1251,4040,1284,4040,1417xe" filled="true" fillcolor="#e08ad6" stroked="false">
              <v:path arrowok="t"/>
              <v:fill type="solid"/>
            </v:shape>
            <v:shape style="position:absolute;left:4;top:4;width:4036;height:1413" coordorigin="4,4" coordsize="4036,1413" path="m4,4l404,212,811,528,1211,769,1618,943,2018,1076,2426,1134,2825,1184,3233,1226,3632,1251,4040,1284,4040,1417,3632,1392,3233,1367,2825,1317,2426,1267,2018,1201,1618,1068,1211,885,811,627,404,278,4,4xe" filled="false" stroked="true" strokeweight=".415609pt" strokecolor="#e08ad6">
              <v:path arrowok="t"/>
              <v:stroke dashstyle="solid"/>
            </v:shape>
            <v:shape style="position:absolute;left:4;top:4;width:4036;height:1280" coordorigin="4,4" coordsize="4036,1280" path="m4040,1284l3632,1251,3233,1226,2825,1184,2426,1134,2018,1076,1618,943,1211,769,811,528,404,212,4,4,404,195,811,495,1211,719,1618,885,2018,1001,2426,1051,3233,1118,3632,1134,4040,1159,4040,1284xe" filled="true" fillcolor="#8063a1" stroked="false">
              <v:path arrowok="t"/>
              <v:fill type="solid"/>
            </v:shape>
            <v:shape style="position:absolute;left:4;top:4;width:4036;height:1280" coordorigin="4,4" coordsize="4036,1280" path="m4,4l404,195,811,495,1211,719,1618,885,2018,1001,2426,1051,2825,1085,3233,1118,3632,1134,4040,1159,4040,1284,3632,1251,3233,1226,2825,1184,2426,1134,2018,1076,1618,943,1211,769,811,528,404,212,4,4xe" filled="false" stroked="true" strokeweight=".415598pt" strokecolor="#8063a1">
              <v:path arrowok="t"/>
              <v:stroke dashstyle="solid"/>
            </v:shape>
            <v:shape style="position:absolute;left:4;top:4;width:4036;height:1156" coordorigin="4,4" coordsize="4036,1156" path="m4,4l404,195,811,495,1211,719,1618,885,2018,1001,2426,1051,2825,1085,3233,1118,3632,1134,4040,1159,3632,1134,3233,1118,2825,1085,2426,1051,2018,1001,1618,885,1211,719,811,495,404,195,4,4xe" filled="false" stroked="true" strokeweight=".415593pt" strokecolor="#c0504d">
              <v:path arrowok="t"/>
              <v:stroke dashstyle="solid"/>
            </v:shape>
            <v:shape style="position:absolute;left:4;top:4;width:4036;height:1156" coordorigin="4,4" coordsize="4036,1156" path="m4040,1159l3632,1134,3233,1118,2426,1051,2018,1001,1618,885,1211,719,811,495,404,195,4,4,404,187,811,470,1211,669,1618,802,2018,893,2426,910,3233,927,3632,927,4040,943,4040,1159xe" filled="true" fillcolor="#f8a763" stroked="false">
              <v:path arrowok="t"/>
              <v:fill type="solid"/>
            </v:shape>
            <v:shape style="position:absolute;left:4;top:4;width:4036;height:1156" coordorigin="4,4" coordsize="4036,1156" path="m4,4l404,187,811,470,1211,669,1618,802,2018,893,2426,910,2825,918,3233,927,3632,927,4040,943,4040,1159,3632,1134,3233,1118,2825,1085,2426,1051,2018,1001,1618,885,1211,719,811,495,404,195,4,4xe" filled="false" stroked="true" strokeweight=".415593pt" strokecolor="#f8a763">
              <v:path arrowok="t"/>
              <v:stroke dashstyle="solid"/>
            </v:shape>
            <v:shape style="position:absolute;left:403;top:187;width:3637;height:757" coordorigin="404,187" coordsize="3637,757" path="m1211,669l811,470,404,187,811,461,1211,669xm4040,943l3632,927,3233,927,2426,910,2018,893,1618,802,2018,885,2426,902,2825,902,3233,918,3836,918,4040,927,4040,943xm3836,918l3233,918,3632,910,3836,918xe" filled="true" fillcolor="#ecb8e7" stroked="false">
              <v:path arrowok="t"/>
              <v:fill type="solid"/>
            </v:shape>
            <v:shape style="position:absolute;left:4;top:4;width:4036;height:940" coordorigin="4,4" coordsize="4036,940" path="m4,4l404,187,811,461,1211,669,1618,802,2018,885,2426,902,2825,902,3233,918,3632,910,4040,927,4040,943,3632,927,3233,927,2825,918,2426,910,2018,893,1618,802,1211,669,811,470,404,187,4,4xe" filled="false" stroked="true" strokeweight=".41558pt" strokecolor="#ecb8e7">
              <v:path arrowok="t"/>
              <v:stroke dashstyle="solid"/>
            </v:shape>
            <v:shape style="position:absolute;left:4;top:4;width:4036;height:923" coordorigin="4,4" coordsize="4036,923" path="m3233,918l2825,902,2426,902,2018,885,1618,802,1211,669,811,461,404,187,4,4,404,179,811,445,1211,644,1618,769,2018,852,2426,860,2825,860,3233,877,3836,877,4040,885,4040,910,3632,910,3233,918xm3836,877l3233,877,3632,869,3836,877xm4040,927l3632,910,4040,910,4040,927xe" filled="true" fillcolor="#938953" stroked="false">
              <v:path arrowok="t"/>
              <v:fill type="solid"/>
            </v:shape>
            <v:shape style="position:absolute;left:4;top:4;width:4036;height:923" coordorigin="4,4" coordsize="4036,923" path="m4,4l404,179,811,445,1211,644,1618,769,2018,852,2426,860,2825,860,3233,877,3632,869,4040,885,4040,927,3632,910,3233,918,2825,902,2426,902,2018,885,1618,802,1211,669,811,461,404,187,4,4xe" filled="false" stroked="true" strokeweight=".415579pt" strokecolor="#938953">
              <v:path arrowok="t"/>
              <v:stroke dashstyle="solid"/>
            </v:shape>
            <v:shape style="position:absolute;left:4;top:4;width:4036;height:881" coordorigin="4,4" coordsize="4036,881" path="m3233,877l2825,860,2426,860,2018,852,1618,769,1211,644,811,445,404,179,4,4,4040,4,4040,869,3632,869,3233,877xm4040,885l3632,869,4040,869,4040,885xe" filled="true" fillcolor="#ffd600" stroked="false">
              <v:path arrowok="t"/>
              <v:fill type="solid"/>
            </v:shape>
            <v:shape style="position:absolute;left:4;top:4;width:4036;height:881" coordorigin="4,4" coordsize="4036,881" path="m4,4l4,4,4040,4,4040,885,3632,869,3233,877,2825,860,2426,860,2018,852,1618,769,1211,644,811,445,404,179,4,4xe" filled="false" stroked="true" strokeweight=".415577pt" strokecolor="#ffd600">
              <v:path arrowok="t"/>
              <v:stroke dashstyle="solid"/>
            </v:shape>
            <v:line style="position:absolute" from="4,2115" to="4040,2115" stroked="true" strokeweight=".415552pt" strokecolor="#d9d9d9">
              <v:stroke dashstyle="solid"/>
            </v:line>
          </v:group>
        </w:pict>
      </w:r>
      <w:r>
        <w:rPr>
          <w:rFonts w:ascii="Calibri"/>
        </w:rPr>
      </w:r>
    </w:p>
    <w:p>
      <w:pPr>
        <w:tabs>
          <w:tab w:pos="454" w:val="left" w:leader="none"/>
          <w:tab w:pos="858" w:val="left" w:leader="none"/>
          <w:tab w:pos="1261" w:val="left" w:leader="none"/>
          <w:tab w:pos="1665" w:val="left" w:leader="none"/>
          <w:tab w:pos="2068" w:val="left" w:leader="none"/>
          <w:tab w:pos="2472" w:val="left" w:leader="none"/>
          <w:tab w:pos="2875" w:val="left" w:leader="none"/>
          <w:tab w:pos="3279" w:val="left" w:leader="none"/>
          <w:tab w:pos="3682" w:val="left" w:leader="none"/>
          <w:tab w:pos="4052" w:val="left" w:leader="none"/>
        </w:tabs>
        <w:spacing w:before="45"/>
        <w:ind w:left="51" w:right="0" w:firstLine="0"/>
        <w:jc w:val="center"/>
        <w:rPr>
          <w:rFonts w:ascii="Calibri"/>
          <w:sz w:val="13"/>
        </w:rPr>
      </w:pPr>
      <w:r>
        <w:rPr>
          <w:rFonts w:ascii="Calibri"/>
          <w:color w:val="585858"/>
          <w:sz w:val="13"/>
        </w:rPr>
        <w:t>0</w:t>
        <w:tab/>
        <w:t>1</w:t>
        <w:tab/>
        <w:t>2</w:t>
        <w:tab/>
        <w:t>3</w:t>
        <w:tab/>
        <w:t>4</w:t>
        <w:tab/>
        <w:t>5</w:t>
        <w:tab/>
        <w:t>6</w:t>
        <w:tab/>
        <w:t>7</w:t>
        <w:tab/>
        <w:t>8</w:t>
        <w:tab/>
        <w:t>9</w:t>
        <w:tab/>
      </w:r>
      <w:r>
        <w:rPr>
          <w:rFonts w:ascii="Calibri"/>
          <w:color w:val="585858"/>
          <w:spacing w:val="-11"/>
          <w:sz w:val="13"/>
        </w:rPr>
        <w:t>10</w:t>
      </w:r>
    </w:p>
    <w:p>
      <w:pPr>
        <w:spacing w:before="37"/>
        <w:ind w:left="25" w:right="0" w:firstLine="0"/>
        <w:jc w:val="center"/>
        <w:rPr>
          <w:rFonts w:ascii="Calibri"/>
          <w:sz w:val="13"/>
        </w:rPr>
      </w:pPr>
      <w:r>
        <w:rPr>
          <w:rFonts w:ascii="Calibri"/>
          <w:color w:val="585858"/>
          <w:sz w:val="13"/>
        </w:rPr>
        <w:t>Years Since First Entry</w:t>
      </w:r>
    </w:p>
    <w:p>
      <w:pPr>
        <w:pStyle w:val="BodyText"/>
        <w:rPr>
          <w:rFonts w:ascii="Calibri"/>
          <w:sz w:val="14"/>
        </w:rPr>
      </w:pPr>
      <w:r>
        <w:rPr/>
        <w:br w:type="column"/>
      </w:r>
      <w:r>
        <w:rPr>
          <w:rFonts w:ascii="Calibri"/>
          <w:sz w:val="14"/>
        </w:rPr>
      </w:r>
    </w:p>
    <w:p>
      <w:pPr>
        <w:spacing w:before="0"/>
        <w:ind w:left="0" w:right="1" w:firstLine="0"/>
        <w:jc w:val="right"/>
        <w:rPr>
          <w:rFonts w:ascii="Calibri"/>
          <w:sz w:val="13"/>
        </w:rPr>
      </w:pPr>
      <w:r>
        <w:rPr>
          <w:rFonts w:ascii="Calibri"/>
          <w:color w:val="585858"/>
          <w:spacing w:val="-1"/>
          <w:sz w:val="13"/>
        </w:rPr>
        <w:t>100%</w:t>
      </w:r>
    </w:p>
    <w:p>
      <w:pPr>
        <w:spacing w:before="53"/>
        <w:ind w:left="0" w:right="0" w:firstLine="0"/>
        <w:jc w:val="right"/>
        <w:rPr>
          <w:rFonts w:ascii="Calibri"/>
          <w:sz w:val="13"/>
        </w:rPr>
      </w:pPr>
      <w:r>
        <w:rPr>
          <w:rFonts w:ascii="Calibri"/>
          <w:color w:val="585858"/>
          <w:spacing w:val="-1"/>
          <w:sz w:val="13"/>
        </w:rPr>
        <w:t>90%</w:t>
      </w:r>
    </w:p>
    <w:p>
      <w:pPr>
        <w:spacing w:before="53"/>
        <w:ind w:left="0" w:right="0" w:firstLine="0"/>
        <w:jc w:val="right"/>
        <w:rPr>
          <w:rFonts w:ascii="Calibri"/>
          <w:sz w:val="13"/>
        </w:rPr>
      </w:pPr>
      <w:r>
        <w:rPr>
          <w:rFonts w:ascii="Calibri"/>
          <w:color w:val="585858"/>
          <w:spacing w:val="-1"/>
          <w:sz w:val="13"/>
        </w:rPr>
        <w:t>80%</w:t>
      </w:r>
    </w:p>
    <w:p>
      <w:pPr>
        <w:spacing w:before="53"/>
        <w:ind w:left="0" w:right="0" w:firstLine="0"/>
        <w:jc w:val="right"/>
        <w:rPr>
          <w:rFonts w:ascii="Calibri"/>
          <w:sz w:val="13"/>
        </w:rPr>
      </w:pPr>
      <w:r>
        <w:rPr>
          <w:rFonts w:ascii="Calibri"/>
          <w:color w:val="585858"/>
          <w:spacing w:val="-1"/>
          <w:sz w:val="13"/>
        </w:rPr>
        <w:t>70%</w:t>
      </w:r>
    </w:p>
    <w:p>
      <w:pPr>
        <w:spacing w:before="53"/>
        <w:ind w:left="0" w:right="0" w:firstLine="0"/>
        <w:jc w:val="right"/>
        <w:rPr>
          <w:rFonts w:ascii="Calibri"/>
          <w:sz w:val="13"/>
        </w:rPr>
      </w:pPr>
      <w:r>
        <w:rPr>
          <w:rFonts w:ascii="Calibri"/>
          <w:color w:val="585858"/>
          <w:spacing w:val="-1"/>
          <w:sz w:val="13"/>
        </w:rPr>
        <w:t>60%</w:t>
      </w:r>
    </w:p>
    <w:p>
      <w:pPr>
        <w:spacing w:before="53"/>
        <w:ind w:left="0" w:right="0" w:firstLine="0"/>
        <w:jc w:val="right"/>
        <w:rPr>
          <w:rFonts w:ascii="Calibri"/>
          <w:sz w:val="13"/>
        </w:rPr>
      </w:pPr>
      <w:r>
        <w:rPr>
          <w:rFonts w:ascii="Calibri"/>
          <w:color w:val="585858"/>
          <w:spacing w:val="-1"/>
          <w:sz w:val="13"/>
        </w:rPr>
        <w:t>50%</w:t>
      </w:r>
    </w:p>
    <w:p>
      <w:pPr>
        <w:spacing w:before="52"/>
        <w:ind w:left="0" w:right="0" w:firstLine="0"/>
        <w:jc w:val="right"/>
        <w:rPr>
          <w:rFonts w:ascii="Calibri"/>
          <w:sz w:val="13"/>
        </w:rPr>
      </w:pPr>
      <w:r>
        <w:rPr>
          <w:rFonts w:ascii="Calibri"/>
          <w:color w:val="585858"/>
          <w:spacing w:val="-1"/>
          <w:sz w:val="13"/>
        </w:rPr>
        <w:t>40%</w:t>
      </w:r>
    </w:p>
    <w:p>
      <w:pPr>
        <w:spacing w:before="53"/>
        <w:ind w:left="0" w:right="0" w:firstLine="0"/>
        <w:jc w:val="right"/>
        <w:rPr>
          <w:rFonts w:ascii="Calibri"/>
          <w:sz w:val="13"/>
        </w:rPr>
      </w:pPr>
      <w:r>
        <w:rPr>
          <w:rFonts w:ascii="Calibri"/>
          <w:color w:val="585858"/>
          <w:spacing w:val="-1"/>
          <w:sz w:val="13"/>
        </w:rPr>
        <w:t>30%</w:t>
      </w:r>
    </w:p>
    <w:p>
      <w:pPr>
        <w:spacing w:before="53"/>
        <w:ind w:left="0" w:right="0" w:firstLine="0"/>
        <w:jc w:val="right"/>
        <w:rPr>
          <w:rFonts w:ascii="Calibri"/>
          <w:sz w:val="13"/>
        </w:rPr>
      </w:pPr>
      <w:r>
        <w:rPr>
          <w:rFonts w:ascii="Calibri"/>
          <w:color w:val="585858"/>
          <w:spacing w:val="-1"/>
          <w:sz w:val="13"/>
        </w:rPr>
        <w:t>20%</w:t>
      </w:r>
    </w:p>
    <w:p>
      <w:pPr>
        <w:spacing w:before="53"/>
        <w:ind w:left="0" w:right="0" w:firstLine="0"/>
        <w:jc w:val="right"/>
        <w:rPr>
          <w:rFonts w:ascii="Calibri"/>
          <w:sz w:val="13"/>
        </w:rPr>
      </w:pPr>
      <w:r>
        <w:rPr>
          <w:rFonts w:ascii="Calibri"/>
          <w:color w:val="585858"/>
          <w:spacing w:val="-1"/>
          <w:sz w:val="13"/>
        </w:rPr>
        <w:t>10%</w:t>
      </w:r>
    </w:p>
    <w:p>
      <w:pPr>
        <w:spacing w:before="53"/>
        <w:ind w:left="0" w:right="0" w:firstLine="0"/>
        <w:jc w:val="right"/>
        <w:rPr>
          <w:rFonts w:ascii="Calibri"/>
          <w:sz w:val="13"/>
        </w:rPr>
      </w:pPr>
      <w:r>
        <w:rPr>
          <w:rFonts w:ascii="Calibri"/>
          <w:color w:val="585858"/>
          <w:spacing w:val="-1"/>
          <w:sz w:val="13"/>
        </w:rPr>
        <w:t>0%</w:t>
      </w:r>
    </w:p>
    <w:p>
      <w:pPr>
        <w:pStyle w:val="BodyText"/>
        <w:spacing w:before="11" w:after="39"/>
        <w:rPr>
          <w:rFonts w:ascii="Calibri"/>
          <w:sz w:val="17"/>
        </w:rPr>
      </w:pPr>
      <w:r>
        <w:rPr/>
        <w:br w:type="column"/>
      </w:r>
      <w:r>
        <w:rPr>
          <w:rFonts w:ascii="Calibri"/>
          <w:sz w:val="17"/>
        </w:rPr>
      </w:r>
    </w:p>
    <w:p>
      <w:pPr>
        <w:pStyle w:val="BodyText"/>
        <w:ind w:left="78"/>
        <w:rPr>
          <w:rFonts w:ascii="Calibri"/>
        </w:rPr>
      </w:pPr>
      <w:r>
        <w:rPr>
          <w:rFonts w:ascii="Calibri"/>
        </w:rPr>
        <w:pict>
          <v:group style="width:202.8pt;height:105.9pt;mso-position-horizontal-relative:char;mso-position-vertical-relative:line" coordorigin="0,0" coordsize="4056,2118">
            <v:shape style="position:absolute;left:4;top:4;width:4048;height:2109" coordorigin="4,4" coordsize="4048,2109" path="m4052,2113l4,2113,4,4,413,1004,814,1480,1223,1621,1623,1705,2032,1746,2433,1763,2842,1788,3242,1805,3651,1813,4052,1813,4052,2113xe" filled="true" fillcolor="#009544" stroked="false">
              <v:path arrowok="t"/>
              <v:fill type="solid"/>
            </v:shape>
            <v:shape style="position:absolute;left:4;top:4;width:4048;height:2109" coordorigin="4,4" coordsize="4048,2109" path="m4,4l413,1004,814,1480,1223,1621,1623,1705,2032,1746,2433,1763,2842,1788,3242,1805,3651,1813,4052,1813,4052,2113,4,2113,4,4xe" filled="false" stroked="true" strokeweight=".41687pt" strokecolor="#009544">
              <v:path arrowok="t"/>
              <v:stroke dashstyle="solid"/>
            </v:shape>
            <v:shape style="position:absolute;left:4;top:4;width:4048;height:1809" coordorigin="4,4" coordsize="4048,1809" path="m4052,1813l3651,1813,3242,1805,2842,1788,2433,1763,2032,1746,1623,1705,1223,1621,814,1480,413,1004,4,4,413,929,814,1388,1223,1530,1623,1630,2032,1688,2842,1755,3242,1780,3651,1788,4052,1788,4052,1813xe" filled="true" fillcolor="#1f487c" stroked="false">
              <v:path arrowok="t"/>
              <v:fill type="solid"/>
            </v:shape>
            <v:shape style="position:absolute;left:4;top:4;width:4048;height:1809" coordorigin="4,4" coordsize="4048,1809" path="m4,4l413,929,814,1388,1223,1530,1623,1630,2032,1688,2433,1721,2842,1755,3242,1780,3651,1788,4052,1788,4052,1813,3651,1813,3242,1805,2842,1788,2433,1763,2032,1746,1623,1705,1223,1621,814,1480,413,1004,4,4xe" filled="false" stroked="true" strokeweight=".41685pt" strokecolor="#1f487c">
              <v:path arrowok="t"/>
              <v:stroke dashstyle="solid"/>
            </v:shape>
            <v:shape style="position:absolute;left:4;top:4;width:4048;height:1784" coordorigin="4,4" coordsize="4048,1784" path="m4052,1788l3651,1788,3242,1780,2842,1755,2032,1688,1623,1630,1223,1530,814,1388,413,929,4,4,413,871,814,1304,1223,1438,1623,1521,2032,1580,2433,1605,2842,1638,3242,1663,3651,1680,4052,1680,4052,1788xe" filled="true" fillcolor="#e16b09" stroked="false">
              <v:path arrowok="t"/>
              <v:fill type="solid"/>
            </v:shape>
            <v:shape style="position:absolute;left:4;top:4;width:4048;height:1784" coordorigin="4,4" coordsize="4048,1784" path="m4,4l413,871,814,1304,1223,1438,1623,1521,2032,1580,2433,1605,2842,1638,3242,1663,3651,1680,4052,1680,4052,1788,3651,1788,3242,1780,2842,1755,2433,1721,2032,1688,1623,1630,1223,1530,814,1388,413,929,4,4xe" filled="false" stroked="true" strokeweight=".416848pt" strokecolor="#e16b09">
              <v:path arrowok="t"/>
              <v:stroke dashstyle="solid"/>
            </v:shape>
            <v:shape style="position:absolute;left:4;top:4;width:4048;height:1676" coordorigin="4,4" coordsize="4048,1676" path="m4052,1680l3651,1680,3242,1663,2842,1638,2433,1605,2032,1580,1623,1521,1223,1438,814,1304,413,871,4,4,413,863,814,1296,1223,1421,1623,1505,2032,1563,3242,1638,3651,1646,4052,1646,4052,1680xe" filled="true" fillcolor="#e08ad6" stroked="false">
              <v:path arrowok="t"/>
              <v:fill type="solid"/>
            </v:shape>
            <v:shape style="position:absolute;left:4;top:4;width:4048;height:1676" coordorigin="4,4" coordsize="4048,1676" path="m4,4l413,863,814,1296,1223,1421,1623,1505,2032,1563,2433,1588,2842,1613,3242,1638,3651,1646,4052,1646,4052,1680,3651,1680,3242,1663,2842,1638,2433,1605,2032,1580,1623,1521,1223,1438,814,1304,413,871,4,4xe" filled="false" stroked="true" strokeweight=".416839pt" strokecolor="#e08ad6">
              <v:path arrowok="t"/>
              <v:stroke dashstyle="solid"/>
            </v:shape>
            <v:shape style="position:absolute;left:4;top:4;width:4048;height:1643" coordorigin="4,4" coordsize="4048,1643" path="m4052,1646l3651,1646,3242,1638,2032,1563,1623,1505,1223,1421,814,1296,413,863,4,4,413,854,814,1271,1223,1388,1623,1463,2032,1513,2433,1530,2842,1538,3242,1555,3651,1563,4052,1563,4052,1646xm4052,1563l3651,1563,4052,1555,4052,1563xe" filled="true" fillcolor="#8063a1" stroked="false">
              <v:path arrowok="t"/>
              <v:fill type="solid"/>
            </v:shape>
            <v:shape style="position:absolute;left:4;top:4;width:4048;height:1643" coordorigin="4,4" coordsize="4048,1643" path="m4,4l413,854,814,1271,1223,1388,1623,1463,2032,1513,2433,1530,2842,1538,3242,1555,3651,1563,4052,1555,4052,1646,3651,1646,3242,1638,2842,1613,2433,1588,2032,1563,1623,1505,1223,1421,814,1296,413,863,4,4xe" filled="false" stroked="true" strokeweight=".416836pt" strokecolor="#8063a1">
              <v:path arrowok="t"/>
              <v:stroke dashstyle="solid"/>
            </v:shape>
            <v:shape style="position:absolute;left:4;top:4;width:4048;height:1559" coordorigin="4,4" coordsize="4048,1559" path="m4,4l413,854,814,1271,1223,1388,1623,1463,2032,1513,2433,1530,2842,1538,3242,1555,3651,1563,4052,1555,3651,1563,3242,1555,2842,1538,2433,1530,2032,1513,1623,1463,1223,1388,814,1271,413,854,4,4xe" filled="false" stroked="true" strokeweight=".416824pt" strokecolor="#c0504d">
              <v:path arrowok="t"/>
              <v:stroke dashstyle="solid"/>
            </v:shape>
            <v:shape style="position:absolute;left:4;top:4;width:4048;height:1559" coordorigin="4,4" coordsize="4048,1559" path="m3651,1563l3242,1555,2842,1538,2433,1530,2032,1513,1623,1463,1223,1388,814,1271,413,854,4,4,413,838,814,1229,1223,1329,1623,1379,2032,1404,4052,1404,4052,1555,3651,1563xm4052,1404l2032,1404,3242,1379,3651,1363,4052,1338,4052,1404xe" filled="true" fillcolor="#f8a763" stroked="false">
              <v:path arrowok="t"/>
              <v:fill type="solid"/>
            </v:shape>
            <v:shape style="position:absolute;left:4;top:4;width:4048;height:1559" coordorigin="4,4" coordsize="4048,1559" path="m4,4l413,838,814,1229,1223,1329,1623,1379,2032,1404,2433,1396,2842,1388,3242,1379,3651,1363,4052,1338,4052,1555,3651,1563,3242,1555,2842,1538,2433,1530,2032,1513,1623,1463,1223,1388,814,1271,413,854,4,4xe" filled="false" stroked="true" strokeweight=".416824pt" strokecolor="#f8a763">
              <v:path arrowok="t"/>
              <v:stroke dashstyle="solid"/>
            </v:shape>
            <v:shape style="position:absolute;left:4;top:4;width:4048;height:1401" coordorigin="4,4" coordsize="4048,1401" path="m814,1229l413,838,4,4,413,829,814,1229xm2433,1396l2032,1396,3242,1371,3651,1354,4052,1321,4052,1338,3651,1363,3242,1379,2433,1396xm2032,1404l1623,1379,2032,1396,2433,1396,2032,1404xe" filled="true" fillcolor="#ecb8e7" stroked="false">
              <v:path arrowok="t"/>
              <v:fill type="solid"/>
            </v:shape>
            <v:shape style="position:absolute;left:4;top:4;width:4048;height:1401" coordorigin="4,4" coordsize="4048,1401" path="m4,4l413,829,814,1229,1223,1329,1623,1379,2032,1396,2433,1388,2842,1379,3242,1371,3651,1354,4052,1321,4052,1338,3651,1363,3242,1379,2842,1388,2433,1396,2032,1404,1623,1379,1223,1329,814,1229,413,838,4,4xe" filled="false" stroked="true" strokeweight=".416816pt" strokecolor="#ecb8e7">
              <v:path arrowok="t"/>
              <v:stroke dashstyle="solid"/>
            </v:shape>
            <v:shape style="position:absolute;left:4;top:4;width:4048;height:1392" coordorigin="4,4" coordsize="4048,1392" path="m2032,1396l1623,1379,1223,1329,814,1229,413,829,4,4,413,813,814,1204,1223,1296,1623,1338,2032,1354,3651,1354,3242,1371,2032,1396xm3651,1354l2032,1354,3242,1329,3651,1304,4052,1271,4052,1321,3651,1354xe" filled="true" fillcolor="#938953" stroked="false">
              <v:path arrowok="t"/>
              <v:fill type="solid"/>
            </v:shape>
            <v:shape style="position:absolute;left:4;top:4;width:4048;height:1392" coordorigin="4,4" coordsize="4048,1392" path="m4,4l413,813,814,1204,1223,1296,1623,1338,2032,1354,2433,1346,2842,1338,3242,1329,3651,1304,4052,1271,4052,1321,3651,1354,3242,1371,2842,1379,2433,1388,2032,1396,1623,1379,1223,1329,814,1229,413,829,4,4xe" filled="false" stroked="true" strokeweight=".416816pt" strokecolor="#938953">
              <v:path arrowok="t"/>
              <v:stroke dashstyle="solid"/>
            </v:shape>
            <v:shape style="position:absolute;left:4;top:4;width:4048;height:1351" coordorigin="4,4" coordsize="4048,1351" path="m2032,1354l1623,1338,1223,1296,814,1204,413,813,4,4,4052,4,4052,1271,3651,1304,3242,1329,2032,1354xe" filled="true" fillcolor="#ffd600" stroked="false">
              <v:path arrowok="t"/>
              <v:fill type="solid"/>
            </v:shape>
            <v:shape style="position:absolute;left:4;top:4;width:4048;height:1351" coordorigin="4,4" coordsize="4048,1351" path="m4,4l4,4,4052,4,4052,1271,3651,1304,3242,1329,2842,1338,2433,1346,2032,1354,1623,1338,1223,1296,814,1204,413,813,4,4xe" filled="false" stroked="true" strokeweight=".416815pt" strokecolor="#ffd600">
              <v:path arrowok="t"/>
              <v:stroke dashstyle="solid"/>
            </v:shape>
            <v:line style="position:absolute" from="4,2113" to="4052,2113" stroked="true" strokeweight=".416761pt" strokecolor="#d9d9d9">
              <v:stroke dashstyle="solid"/>
            </v:line>
          </v:group>
        </w:pict>
      </w:r>
      <w:r>
        <w:rPr>
          <w:rFonts w:ascii="Calibri"/>
        </w:rPr>
      </w:r>
    </w:p>
    <w:p>
      <w:pPr>
        <w:tabs>
          <w:tab w:pos="404" w:val="left" w:leader="none"/>
          <w:tab w:pos="809" w:val="left" w:leader="none"/>
          <w:tab w:pos="1213" w:val="left" w:leader="none"/>
          <w:tab w:pos="1618" w:val="left" w:leader="none"/>
          <w:tab w:pos="2023" w:val="left" w:leader="none"/>
          <w:tab w:pos="2427" w:val="left" w:leader="none"/>
          <w:tab w:pos="2832" w:val="left" w:leader="none"/>
          <w:tab w:pos="3237" w:val="left" w:leader="none"/>
          <w:tab w:pos="3641" w:val="left" w:leader="none"/>
          <w:tab w:pos="4012" w:val="left" w:leader="none"/>
        </w:tabs>
        <w:spacing w:before="46"/>
        <w:ind w:left="0" w:right="1377" w:firstLine="0"/>
        <w:jc w:val="center"/>
        <w:rPr>
          <w:rFonts w:ascii="Calibri"/>
          <w:sz w:val="13"/>
        </w:rPr>
      </w:pPr>
      <w:r>
        <w:rPr>
          <w:rFonts w:ascii="Calibri"/>
          <w:color w:val="585858"/>
          <w:w w:val="105"/>
          <w:sz w:val="13"/>
        </w:rPr>
        <w:t>0</w:t>
        <w:tab/>
        <w:t>1</w:t>
        <w:tab/>
        <w:t>2</w:t>
        <w:tab/>
        <w:t>3</w:t>
        <w:tab/>
        <w:t>4</w:t>
        <w:tab/>
        <w:t>5</w:t>
        <w:tab/>
        <w:t>6</w:t>
        <w:tab/>
        <w:t>7</w:t>
        <w:tab/>
        <w:t>8</w:t>
        <w:tab/>
        <w:t>9</w:t>
        <w:tab/>
        <w:t>10</w:t>
      </w:r>
    </w:p>
    <w:p>
      <w:pPr>
        <w:spacing w:before="37"/>
        <w:ind w:left="0" w:right="1403" w:firstLine="0"/>
        <w:jc w:val="center"/>
        <w:rPr>
          <w:rFonts w:ascii="Calibri"/>
          <w:sz w:val="13"/>
        </w:rPr>
      </w:pPr>
      <w:r>
        <w:rPr>
          <w:rFonts w:ascii="Calibri"/>
          <w:color w:val="585858"/>
          <w:w w:val="105"/>
          <w:sz w:val="13"/>
        </w:rPr>
        <w:t>Years Since First Entry</w:t>
      </w:r>
    </w:p>
    <w:p>
      <w:pPr>
        <w:spacing w:after="0"/>
        <w:jc w:val="center"/>
        <w:rPr>
          <w:rFonts w:ascii="Calibri"/>
          <w:sz w:val="13"/>
        </w:rPr>
        <w:sectPr>
          <w:type w:val="continuous"/>
          <w:pgSz w:w="11910" w:h="16850"/>
          <w:pgMar w:top="1600" w:bottom="280" w:left="120" w:right="0"/>
          <w:cols w:num="4" w:equalWidth="0">
            <w:col w:w="1380" w:space="40"/>
            <w:col w:w="4186" w:space="39"/>
            <w:col w:w="473" w:space="39"/>
            <w:col w:w="5633"/>
          </w:cols>
        </w:sectPr>
      </w:pPr>
    </w:p>
    <w:p>
      <w:pPr>
        <w:pStyle w:val="BodyText"/>
        <w:spacing w:before="11"/>
        <w:rPr>
          <w:rFonts w:ascii="Calibri"/>
          <w:sz w:val="12"/>
        </w:rPr>
      </w:pPr>
    </w:p>
    <w:p>
      <w:pPr>
        <w:spacing w:before="1"/>
        <w:ind w:left="1028" w:right="0" w:firstLine="0"/>
        <w:jc w:val="left"/>
        <w:rPr>
          <w:rFonts w:ascii="Calibri"/>
          <w:sz w:val="12"/>
        </w:rPr>
      </w:pPr>
      <w:r>
        <w:rPr>
          <w:rFonts w:ascii="Calibri"/>
          <w:sz w:val="12"/>
        </w:rPr>
        <w:t>Class key:</w:t>
      </w:r>
    </w:p>
    <w:p>
      <w:pPr>
        <w:tabs>
          <w:tab w:pos="2691" w:val="left" w:leader="none"/>
          <w:tab w:pos="4137" w:val="left" w:leader="none"/>
          <w:tab w:pos="5583" w:val="left" w:leader="none"/>
          <w:tab w:pos="7029" w:val="left" w:leader="none"/>
          <w:tab w:pos="8475" w:val="left" w:leader="none"/>
        </w:tabs>
        <w:spacing w:before="45"/>
        <w:ind w:left="1246" w:right="0" w:firstLine="0"/>
        <w:jc w:val="left"/>
        <w:rPr>
          <w:rFonts w:ascii="Calibri"/>
          <w:sz w:val="12"/>
        </w:rPr>
      </w:pPr>
      <w:r>
        <w:rPr/>
        <w:pict>
          <v:group style="position:absolute;margin-left:56.603809pt;margin-top:1.553503pt;width:10.95pt;height:18.850pt;mso-position-horizontal-relative:page;mso-position-vertical-relative:paragraph;z-index:251816960" coordorigin="1132,31" coordsize="219,377">
            <v:rect style="position:absolute;left:1132;top:31;width:219;height:169" filled="true" fillcolor="#1f487c" stroked="false">
              <v:fill type="solid"/>
            </v:rect>
            <v:rect style="position:absolute;left:1132;top:239;width:219;height:169" filled="true" fillcolor="#f8a763" stroked="false">
              <v:fill type="solid"/>
            </v:rect>
            <w10:wrap type="none"/>
          </v:group>
        </w:pict>
      </w:r>
      <w:r>
        <w:rPr/>
        <w:pict>
          <v:group style="position:absolute;margin-left:128.489853pt;margin-top:1.553503pt;width:11.35pt;height:18.850pt;mso-position-horizontal-relative:page;mso-position-vertical-relative:paragraph;z-index:-288084992" coordorigin="2570,31" coordsize="227,377">
            <v:rect style="position:absolute;left:2569;top:31;width:227;height:169" filled="true" fillcolor="#009544" stroked="false">
              <v:fill type="solid"/>
            </v:rect>
            <v:rect style="position:absolute;left:2569;top:239;width:227;height:169" filled="true" fillcolor="#ecb8e7" stroked="false">
              <v:fill type="solid"/>
            </v:rect>
            <w10:wrap type="none"/>
          </v:group>
        </w:pict>
      </w:r>
      <w:r>
        <w:rPr/>
        <w:pict>
          <v:group style="position:absolute;margin-left:200.77977pt;margin-top:1.553503pt;width:11.35pt;height:18.850pt;mso-position-horizontal-relative:page;mso-position-vertical-relative:paragraph;z-index:-288083968" coordorigin="4016,31" coordsize="227,377">
            <v:rect style="position:absolute;left:4015;top:31;width:227;height:169" filled="true" fillcolor="#e16b09" stroked="false">
              <v:fill type="solid"/>
            </v:rect>
            <v:rect style="position:absolute;left:4015;top:239;width:227;height:169" filled="true" fillcolor="#938953" stroked="false">
              <v:fill type="solid"/>
            </v:rect>
            <w10:wrap type="none"/>
          </v:group>
        </w:pict>
      </w:r>
      <w:r>
        <w:rPr/>
        <w:pict>
          <v:group style="position:absolute;margin-left:273.069672pt;margin-top:1.553503pt;width:11.35pt;height:18.850pt;mso-position-horizontal-relative:page;mso-position-vertical-relative:paragraph;z-index:-288082944" coordorigin="5461,31" coordsize="227,377">
            <v:rect style="position:absolute;left:5461;top:31;width:227;height:169" filled="true" fillcolor="#e08ad6" stroked="false">
              <v:fill type="solid"/>
            </v:rect>
            <v:rect style="position:absolute;left:5461;top:239;width:227;height:169" filled="true" fillcolor="#ffd600" stroked="false">
              <v:fill type="solid"/>
            </v:rect>
            <w10:wrap type="none"/>
          </v:group>
        </w:pict>
      </w:r>
      <w:r>
        <w:rPr/>
        <w:pict>
          <v:group style="position:absolute;margin-left:345.359558pt;margin-top:1.553503pt;width:11.35pt;height:18.850pt;mso-position-horizontal-relative:page;mso-position-vertical-relative:paragraph;z-index:-288081920" coordorigin="6907,31" coordsize="227,377">
            <v:rect style="position:absolute;left:6907;top:31;width:227;height:169" filled="true" fillcolor="#8063a1" stroked="false">
              <v:fill type="solid"/>
            </v:rect>
            <v:rect style="position:absolute;left:6907;top:239;width:227;height:169" filled="true" fillcolor="#000000" stroked="false">
              <v:fill type="solid"/>
            </v:rect>
            <w10:wrap type="none"/>
          </v:group>
        </w:pict>
      </w:r>
      <w:r>
        <w:rPr/>
        <w:pict>
          <v:group style="position:absolute;margin-left:417.649475pt;margin-top:1.553503pt;width:11.35pt;height:18.850pt;mso-position-horizontal-relative:page;mso-position-vertical-relative:paragraph;z-index:-288080896" coordorigin="8353,31" coordsize="227,377">
            <v:rect style="position:absolute;left:8352;top:31;width:227;height:169" filled="true" fillcolor="#c0504d" stroked="false">
              <v:fill type="solid"/>
            </v:rect>
            <v:rect style="position:absolute;left:8352;top:239;width:227;height:169" filled="true" fillcolor="#ffeb8f" stroked="false">
              <v:fill type="solid"/>
            </v:rect>
            <w10:wrap type="none"/>
          </v:group>
        </w:pict>
      </w:r>
      <w:r>
        <w:rPr>
          <w:rFonts w:ascii="Calibri"/>
          <w:sz w:val="12"/>
        </w:rPr>
        <w:t>1</w:t>
      </w:r>
      <w:r>
        <w:rPr>
          <w:rFonts w:ascii="Calibri"/>
          <w:spacing w:val="-7"/>
          <w:sz w:val="12"/>
        </w:rPr>
        <w:t> </w:t>
      </w:r>
      <w:r>
        <w:rPr>
          <w:rFonts w:ascii="Calibri"/>
          <w:sz w:val="12"/>
        </w:rPr>
        <w:t>-</w:t>
      </w:r>
      <w:r>
        <w:rPr>
          <w:rFonts w:ascii="Calibri"/>
          <w:spacing w:val="2"/>
          <w:sz w:val="12"/>
        </w:rPr>
        <w:t> </w:t>
      </w:r>
      <w:r>
        <w:rPr>
          <w:rFonts w:ascii="Calibri"/>
          <w:sz w:val="12"/>
        </w:rPr>
        <w:t>Studying</w:t>
        <w:tab/>
        <w:t>2 -</w:t>
      </w:r>
      <w:r>
        <w:rPr>
          <w:rFonts w:ascii="Calibri"/>
          <w:spacing w:val="-6"/>
          <w:sz w:val="12"/>
        </w:rPr>
        <w:t> </w:t>
      </w:r>
      <w:r>
        <w:rPr>
          <w:rFonts w:ascii="Calibri"/>
          <w:sz w:val="12"/>
        </w:rPr>
        <w:t>Working</w:t>
      </w:r>
      <w:r>
        <w:rPr>
          <w:rFonts w:ascii="Calibri"/>
          <w:spacing w:val="-3"/>
          <w:sz w:val="12"/>
        </w:rPr>
        <w:t> </w:t>
      </w:r>
      <w:r>
        <w:rPr>
          <w:rFonts w:ascii="Calibri"/>
          <w:sz w:val="12"/>
        </w:rPr>
        <w:t>Age</w:t>
        <w:tab/>
        <w:t>3</w:t>
      </w:r>
      <w:r>
        <w:rPr>
          <w:rFonts w:ascii="Calibri"/>
          <w:spacing w:val="-7"/>
          <w:sz w:val="12"/>
        </w:rPr>
        <w:t> </w:t>
      </w:r>
      <w:r>
        <w:rPr>
          <w:rFonts w:ascii="Calibri"/>
          <w:sz w:val="12"/>
        </w:rPr>
        <w:t>-</w:t>
      </w:r>
      <w:r>
        <w:rPr>
          <w:rFonts w:ascii="Calibri"/>
          <w:spacing w:val="1"/>
          <w:sz w:val="12"/>
        </w:rPr>
        <w:t> </w:t>
      </w:r>
      <w:r>
        <w:rPr>
          <w:rFonts w:ascii="Calibri"/>
          <w:sz w:val="12"/>
        </w:rPr>
        <w:t>Parents</w:t>
        <w:tab/>
        <w:t>4</w:t>
      </w:r>
      <w:r>
        <w:rPr>
          <w:rFonts w:ascii="Calibri"/>
          <w:spacing w:val="-8"/>
          <w:sz w:val="12"/>
        </w:rPr>
        <w:t> </w:t>
      </w:r>
      <w:r>
        <w:rPr>
          <w:rFonts w:ascii="Calibri"/>
          <w:sz w:val="12"/>
        </w:rPr>
        <w:t>- Carers</w:t>
        <w:tab/>
        <w:t>5 -</w:t>
      </w:r>
      <w:r>
        <w:rPr>
          <w:rFonts w:ascii="Calibri"/>
          <w:spacing w:val="-2"/>
          <w:sz w:val="12"/>
        </w:rPr>
        <w:t> </w:t>
      </w:r>
      <w:r>
        <w:rPr>
          <w:rFonts w:ascii="Calibri"/>
          <w:sz w:val="12"/>
        </w:rPr>
        <w:t>Disability</w:t>
      </w:r>
      <w:r>
        <w:rPr>
          <w:rFonts w:ascii="Calibri"/>
          <w:spacing w:val="1"/>
          <w:sz w:val="12"/>
        </w:rPr>
        <w:t> </w:t>
      </w:r>
      <w:r>
        <w:rPr>
          <w:rFonts w:ascii="Calibri"/>
          <w:sz w:val="12"/>
        </w:rPr>
        <w:t>Support</w:t>
        <w:tab/>
        <w:t>6 - Pension</w:t>
      </w:r>
      <w:r>
        <w:rPr>
          <w:rFonts w:ascii="Calibri"/>
          <w:spacing w:val="-11"/>
          <w:sz w:val="12"/>
        </w:rPr>
        <w:t> </w:t>
      </w:r>
      <w:r>
        <w:rPr>
          <w:rFonts w:ascii="Calibri"/>
          <w:sz w:val="12"/>
        </w:rPr>
        <w:t>Age</w:t>
      </w:r>
    </w:p>
    <w:p>
      <w:pPr>
        <w:spacing w:after="0"/>
        <w:jc w:val="left"/>
        <w:rPr>
          <w:rFonts w:ascii="Calibri"/>
          <w:sz w:val="12"/>
        </w:rPr>
        <w:sectPr>
          <w:type w:val="continuous"/>
          <w:pgSz w:w="11910" w:h="16850"/>
          <w:pgMar w:top="1600" w:bottom="280" w:left="120" w:right="0"/>
        </w:sectPr>
      </w:pPr>
    </w:p>
    <w:p>
      <w:pPr>
        <w:spacing w:before="62"/>
        <w:ind w:left="1246" w:right="0" w:firstLine="0"/>
        <w:jc w:val="left"/>
        <w:rPr>
          <w:rFonts w:ascii="Calibri"/>
          <w:sz w:val="12"/>
        </w:rPr>
      </w:pPr>
      <w:r>
        <w:rPr>
          <w:rFonts w:ascii="Calibri"/>
          <w:sz w:val="12"/>
        </w:rPr>
        <w:t>7 - Non IS Family</w:t>
      </w:r>
    </w:p>
    <w:p>
      <w:pPr>
        <w:pStyle w:val="ListParagraph"/>
        <w:numPr>
          <w:ilvl w:val="0"/>
          <w:numId w:val="19"/>
        </w:numPr>
        <w:tabs>
          <w:tab w:pos="665" w:val="left" w:leader="none"/>
        </w:tabs>
        <w:spacing w:line="240" w:lineRule="auto" w:before="62" w:after="0"/>
        <w:ind w:left="664" w:right="0" w:hanging="82"/>
        <w:jc w:val="left"/>
        <w:rPr>
          <w:rFonts w:ascii="Calibri"/>
          <w:sz w:val="12"/>
        </w:rPr>
      </w:pPr>
      <w:r>
        <w:rPr>
          <w:rFonts w:ascii="Calibri"/>
          <w:w w:val="100"/>
          <w:sz w:val="12"/>
        </w:rPr>
        <w:br w:type="column"/>
      </w:r>
      <w:r>
        <w:rPr>
          <w:rFonts w:ascii="Calibri"/>
          <w:sz w:val="12"/>
        </w:rPr>
        <w:t>- Non IS</w:t>
      </w:r>
      <w:r>
        <w:rPr>
          <w:rFonts w:ascii="Calibri"/>
          <w:spacing w:val="2"/>
          <w:sz w:val="12"/>
        </w:rPr>
        <w:t> </w:t>
      </w:r>
      <w:r>
        <w:rPr>
          <w:rFonts w:ascii="Calibri"/>
          <w:spacing w:val="-3"/>
          <w:sz w:val="12"/>
        </w:rPr>
        <w:t>Carer</w:t>
      </w:r>
    </w:p>
    <w:p>
      <w:pPr>
        <w:pStyle w:val="ListParagraph"/>
        <w:numPr>
          <w:ilvl w:val="0"/>
          <w:numId w:val="19"/>
        </w:numPr>
        <w:tabs>
          <w:tab w:pos="726" w:val="left" w:leader="none"/>
        </w:tabs>
        <w:spacing w:line="240" w:lineRule="auto" w:before="62" w:after="0"/>
        <w:ind w:left="725" w:right="0" w:hanging="82"/>
        <w:jc w:val="left"/>
        <w:rPr>
          <w:rFonts w:ascii="Calibri"/>
          <w:sz w:val="12"/>
        </w:rPr>
      </w:pPr>
      <w:r>
        <w:rPr>
          <w:rFonts w:ascii="Calibri"/>
          <w:w w:val="100"/>
          <w:sz w:val="12"/>
        </w:rPr>
        <w:br w:type="column"/>
      </w:r>
      <w:r>
        <w:rPr>
          <w:rFonts w:ascii="Calibri"/>
          <w:sz w:val="12"/>
        </w:rPr>
        <w:t>- Non IS</w:t>
      </w:r>
      <w:r>
        <w:rPr>
          <w:rFonts w:ascii="Calibri"/>
          <w:spacing w:val="5"/>
          <w:sz w:val="12"/>
        </w:rPr>
        <w:t> </w:t>
      </w:r>
      <w:r>
        <w:rPr>
          <w:rFonts w:ascii="Calibri"/>
          <w:spacing w:val="-3"/>
          <w:sz w:val="12"/>
        </w:rPr>
        <w:t>Other</w:t>
      </w:r>
    </w:p>
    <w:p>
      <w:pPr>
        <w:pStyle w:val="ListParagraph"/>
        <w:numPr>
          <w:ilvl w:val="0"/>
          <w:numId w:val="19"/>
        </w:numPr>
        <w:tabs>
          <w:tab w:pos="759" w:val="left" w:leader="none"/>
        </w:tabs>
        <w:spacing w:line="261" w:lineRule="auto" w:before="62" w:after="0"/>
        <w:ind w:left="620" w:right="0" w:firstLine="0"/>
        <w:jc w:val="left"/>
        <w:rPr>
          <w:rFonts w:ascii="Calibri"/>
          <w:sz w:val="12"/>
        </w:rPr>
      </w:pPr>
      <w:r>
        <w:rPr>
          <w:rFonts w:ascii="Calibri"/>
          <w:w w:val="100"/>
          <w:sz w:val="12"/>
        </w:rPr>
        <w:br w:type="column"/>
      </w:r>
      <w:r>
        <w:rPr>
          <w:rFonts w:ascii="Calibri"/>
          <w:sz w:val="12"/>
        </w:rPr>
        <w:t>- Previous Welfare Recipient</w:t>
      </w:r>
    </w:p>
    <w:p>
      <w:pPr>
        <w:pStyle w:val="ListParagraph"/>
        <w:numPr>
          <w:ilvl w:val="0"/>
          <w:numId w:val="19"/>
        </w:numPr>
        <w:tabs>
          <w:tab w:pos="482" w:val="left" w:leader="none"/>
        </w:tabs>
        <w:spacing w:line="240" w:lineRule="auto" w:before="62" w:after="0"/>
        <w:ind w:left="481" w:right="0" w:hanging="139"/>
        <w:jc w:val="left"/>
        <w:rPr>
          <w:rFonts w:ascii="Calibri"/>
          <w:sz w:val="12"/>
        </w:rPr>
      </w:pPr>
      <w:r>
        <w:rPr>
          <w:rFonts w:ascii="Calibri"/>
          <w:w w:val="100"/>
          <w:sz w:val="12"/>
        </w:rPr>
        <w:br w:type="column"/>
      </w:r>
      <w:r>
        <w:rPr>
          <w:rFonts w:ascii="Calibri"/>
          <w:sz w:val="12"/>
        </w:rPr>
        <w:t>-</w:t>
      </w:r>
      <w:r>
        <w:rPr>
          <w:rFonts w:ascii="Calibri"/>
          <w:spacing w:val="3"/>
          <w:sz w:val="12"/>
        </w:rPr>
        <w:t> </w:t>
      </w:r>
      <w:r>
        <w:rPr>
          <w:rFonts w:ascii="Calibri"/>
          <w:spacing w:val="-5"/>
          <w:sz w:val="12"/>
        </w:rPr>
        <w:t>Dead</w:t>
      </w:r>
    </w:p>
    <w:p>
      <w:pPr>
        <w:pStyle w:val="ListParagraph"/>
        <w:numPr>
          <w:ilvl w:val="0"/>
          <w:numId w:val="19"/>
        </w:numPr>
        <w:tabs>
          <w:tab w:pos="1084" w:val="left" w:leader="none"/>
        </w:tabs>
        <w:spacing w:line="261" w:lineRule="auto" w:before="62" w:after="0"/>
        <w:ind w:left="946" w:right="2478" w:firstLine="0"/>
        <w:jc w:val="left"/>
        <w:rPr>
          <w:rFonts w:ascii="Calibri"/>
          <w:sz w:val="12"/>
        </w:rPr>
      </w:pPr>
      <w:r>
        <w:rPr>
          <w:rFonts w:ascii="Calibri"/>
          <w:w w:val="100"/>
          <w:sz w:val="12"/>
        </w:rPr>
        <w:br w:type="column"/>
      </w:r>
      <w:r>
        <w:rPr>
          <w:rFonts w:ascii="Calibri"/>
          <w:sz w:val="12"/>
        </w:rPr>
        <w:t>- Rest of Aust. Population</w:t>
      </w:r>
    </w:p>
    <w:p>
      <w:pPr>
        <w:spacing w:after="0" w:line="261" w:lineRule="auto"/>
        <w:jc w:val="left"/>
        <w:rPr>
          <w:rFonts w:ascii="Calibri"/>
          <w:sz w:val="12"/>
        </w:rPr>
        <w:sectPr>
          <w:type w:val="continuous"/>
          <w:pgSz w:w="11910" w:h="16850"/>
          <w:pgMar w:top="1600" w:bottom="280" w:left="120" w:right="0"/>
          <w:cols w:num="6" w:equalWidth="0">
            <w:col w:w="2069" w:space="40"/>
            <w:col w:w="1345" w:space="39"/>
            <w:col w:w="1430" w:space="40"/>
            <w:col w:w="1683" w:space="39"/>
            <w:col w:w="804" w:space="40"/>
            <w:col w:w="4261"/>
          </w:cols>
        </w:sectPr>
      </w:pPr>
    </w:p>
    <w:p>
      <w:pPr>
        <w:pStyle w:val="BodyText"/>
        <w:spacing w:before="4"/>
        <w:rPr>
          <w:rFonts w:ascii="Calibri"/>
          <w:sz w:val="13"/>
        </w:rPr>
      </w:pPr>
    </w:p>
    <w:p>
      <w:pPr>
        <w:pStyle w:val="BodyText"/>
        <w:spacing w:before="93"/>
        <w:ind w:left="900" w:right="1325" w:hanging="1"/>
        <w:jc w:val="both"/>
      </w:pPr>
      <w:r>
        <w:rPr>
          <w:color w:val="404040"/>
        </w:rPr>
        <w:t>The analysis shows that these refugees have required more support than non-refugees in the first five years after they enter the system through the Working Age class. The experience for these refugees has improved over time, though their dependence on Working Age payments remains somewhat higher after 10 years. In</w:t>
      </w:r>
    </w:p>
    <w:p>
      <w:pPr>
        <w:spacing w:after="0"/>
        <w:jc w:val="both"/>
        <w:sectPr>
          <w:type w:val="continuous"/>
          <w:pgSz w:w="11910" w:h="16850"/>
          <w:pgMar w:top="1600" w:bottom="280" w:left="120" w:right="0"/>
        </w:sectPr>
      </w:pPr>
    </w:p>
    <w:p>
      <w:pPr>
        <w:pStyle w:val="BodyText"/>
      </w:pPr>
    </w:p>
    <w:p>
      <w:pPr>
        <w:pStyle w:val="BodyText"/>
      </w:pPr>
    </w:p>
    <w:p>
      <w:pPr>
        <w:pStyle w:val="BodyText"/>
        <w:spacing w:before="7"/>
        <w:rPr>
          <w:sz w:val="21"/>
        </w:rPr>
      </w:pPr>
    </w:p>
    <w:p>
      <w:pPr>
        <w:pStyle w:val="BodyText"/>
        <w:spacing w:before="93"/>
        <w:ind w:left="900" w:right="1406" w:hanging="1"/>
      </w:pPr>
      <w:r>
        <w:rPr>
          <w:color w:val="404040"/>
        </w:rPr>
        <w:t>particular, 23% of these refugees still require Working Age support after 10 years. This compares to 14% of non-refugees still in the Working Age class after a similar period of time.</w:t>
      </w:r>
    </w:p>
    <w:p>
      <w:pPr>
        <w:pStyle w:val="BodyText"/>
        <w:spacing w:before="121"/>
        <w:ind w:left="900" w:right="1029"/>
      </w:pPr>
      <w:r>
        <w:rPr>
          <w:color w:val="404040"/>
        </w:rPr>
        <w:t>The experience for this cohort of refugees also differs from non-refugees when looking at the proportion moving into the Carers and Disability Support classes. When compared to non-refugees, the charts above show a larger proportion of refugees in the Carers and Disability Support classes 15 years after entering the system.</w:t>
      </w:r>
    </w:p>
    <w:p>
      <w:pPr>
        <w:pStyle w:val="BodyText"/>
        <w:spacing w:before="8"/>
      </w:pPr>
    </w:p>
    <w:p>
      <w:pPr>
        <w:pStyle w:val="ListParagraph"/>
        <w:numPr>
          <w:ilvl w:val="1"/>
          <w:numId w:val="15"/>
        </w:numPr>
        <w:tabs>
          <w:tab w:pos="1752" w:val="left" w:leader="none"/>
          <w:tab w:pos="1753" w:val="left" w:leader="none"/>
        </w:tabs>
        <w:spacing w:line="240" w:lineRule="auto" w:before="0" w:after="0"/>
        <w:ind w:left="1752" w:right="0" w:hanging="853"/>
        <w:jc w:val="left"/>
        <w:rPr>
          <w:sz w:val="28"/>
        </w:rPr>
      </w:pPr>
      <w:bookmarkStart w:name="2.4 Working Age recipients" w:id="74"/>
      <w:bookmarkEnd w:id="74"/>
      <w:r>
        <w:rPr/>
      </w:r>
      <w:bookmarkStart w:name="_bookmark16" w:id="75"/>
      <w:bookmarkEnd w:id="75"/>
      <w:r>
        <w:rPr/>
      </w:r>
      <w:bookmarkStart w:name="_bookmark16" w:id="76"/>
      <w:bookmarkEnd w:id="76"/>
      <w:r>
        <w:rPr>
          <w:color w:val="DF2F28"/>
          <w:sz w:val="28"/>
        </w:rPr>
        <w:t>W</w:t>
      </w:r>
      <w:r>
        <w:rPr>
          <w:color w:val="DF2F28"/>
          <w:sz w:val="28"/>
        </w:rPr>
        <w:t>orking Age</w:t>
      </w:r>
      <w:r>
        <w:rPr>
          <w:color w:val="DF2F28"/>
          <w:spacing w:val="-5"/>
          <w:sz w:val="28"/>
        </w:rPr>
        <w:t> </w:t>
      </w:r>
      <w:r>
        <w:rPr>
          <w:color w:val="DF2F28"/>
          <w:sz w:val="28"/>
        </w:rPr>
        <w:t>recipients</w:t>
      </w:r>
    </w:p>
    <w:p>
      <w:pPr>
        <w:pStyle w:val="BodyText"/>
        <w:spacing w:before="123"/>
        <w:ind w:left="900" w:right="1305"/>
        <w:jc w:val="both"/>
      </w:pPr>
      <w:r>
        <w:rPr>
          <w:color w:val="404040"/>
        </w:rPr>
        <w:t>The class definition in the valuation model looks at payments people have received during the last year. This allows the model to classify people into unique categories based on their use of welfare throughout the year, rather than at one point in time.</w:t>
      </w:r>
    </w:p>
    <w:p>
      <w:pPr>
        <w:pStyle w:val="BodyText"/>
        <w:spacing w:before="119"/>
        <w:ind w:left="900" w:right="1153"/>
      </w:pPr>
      <w:r>
        <w:rPr>
          <w:color w:val="404040"/>
        </w:rPr>
        <w:t>In practice, however, some welfare recipients will have episodes of payments throughout a year and the same people may come off payments and back on again. Others may stay on the same payment for extended periods of time. For Working Age recipients in particular, it is interesting to understand the breakdown of the class between long term recipients, recipients who cycle on and off payment, and recipients who have one episode of payment, exit and remain off payment. These people may have different needs, and different long term outcomes, and it is difficult with point in time reporting to understand the dynamics of these different groups.</w:t>
      </w:r>
    </w:p>
    <w:p>
      <w:pPr>
        <w:pStyle w:val="BodyText"/>
        <w:spacing w:line="237" w:lineRule="auto" w:before="123"/>
        <w:ind w:left="900" w:right="1153"/>
      </w:pPr>
      <w:r>
        <w:rPr>
          <w:color w:val="404040"/>
        </w:rPr>
        <w:t>Due to its longer term focus, the Investment Approach model allows us to bring some further insights on these groups. We have explored the different groups of people accessing Working Age payments over the year by examining the number of people in receipt of a payment at the valuation date. Using this as an additional predictor in the model, and looking at the count of people on payments at a single point of time (rather than during a year), has allowed us to reconcile the Investment Approach definition broadly with other welfare recipient reporting</w:t>
      </w:r>
      <w:hyperlink w:history="true" w:anchor="_bookmark17">
        <w:r>
          <w:rPr>
            <w:color w:val="404040"/>
            <w:position w:val="7"/>
            <w:sz w:val="14"/>
          </w:rPr>
          <w:t>4</w:t>
        </w:r>
      </w:hyperlink>
      <w:r>
        <w:rPr>
          <w:color w:val="404040"/>
        </w:rPr>
        <w:t>.</w:t>
      </w:r>
    </w:p>
    <w:p>
      <w:pPr>
        <w:pStyle w:val="BodyText"/>
        <w:spacing w:before="129"/>
        <w:ind w:left="899" w:right="1065"/>
      </w:pPr>
      <w:r>
        <w:rPr>
          <w:color w:val="404040"/>
        </w:rPr>
        <w:t>This year, the valuation models have been updated to consider whether or not people in each of the pre- retirement income support classes were in receipt of a payment at the valuation date. We discuss some of the additional differentiation which can be seen from this in the Working Age class below, as well as in sections </w:t>
      </w:r>
      <w:hyperlink w:history="true" w:anchor="_bookmark41">
        <w:r>
          <w:rPr>
            <w:color w:val="404040"/>
          </w:rPr>
          <w:t>6.1</w:t>
        </w:r>
      </w:hyperlink>
      <w:r>
        <w:rPr>
          <w:color w:val="404040"/>
        </w:rPr>
        <w:t> to </w:t>
      </w:r>
      <w:hyperlink w:history="true" w:anchor="_bookmark45">
        <w:r>
          <w:rPr>
            <w:color w:val="404040"/>
          </w:rPr>
          <w:t>6.5.</w:t>
        </w:r>
      </w:hyperlink>
    </w:p>
    <w:p>
      <w:pPr>
        <w:pStyle w:val="BodyText"/>
        <w:spacing w:before="8"/>
      </w:pPr>
    </w:p>
    <w:p>
      <w:pPr>
        <w:pStyle w:val="Heading4"/>
      </w:pPr>
      <w:bookmarkStart w:name="Working Age recipient insights" w:id="77"/>
      <w:bookmarkEnd w:id="77"/>
      <w:r>
        <w:rPr/>
      </w:r>
      <w:r>
        <w:rPr>
          <w:color w:val="DF2F28"/>
        </w:rPr>
        <w:t>Working Age recipient insights</w:t>
      </w:r>
    </w:p>
    <w:p>
      <w:pPr>
        <w:pStyle w:val="BodyText"/>
        <w:spacing w:line="242" w:lineRule="auto" w:before="115"/>
        <w:ind w:left="899" w:right="1365"/>
      </w:pPr>
      <w:r>
        <w:rPr>
          <w:color w:val="404040"/>
        </w:rPr>
        <w:t>The chart below shows a breakdown of people in class 2 – Working Age</w:t>
      </w:r>
      <w:hyperlink w:history="true" w:anchor="_bookmark18">
        <w:r>
          <w:rPr>
            <w:color w:val="404040"/>
            <w:position w:val="7"/>
            <w:sz w:val="14"/>
          </w:rPr>
          <w:t>5</w:t>
        </w:r>
      </w:hyperlink>
      <w:r>
        <w:rPr>
          <w:color w:val="404040"/>
        </w:rPr>
        <w:t>, by whether or not they were in receipt of a payment at the valuation date, and also by whether they received employment earnings while in receipt of income support payments. The chart also includes the number of people and the average lifetime cost (‘ave LTC’) associated with the different groups.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19"/>
        </w:rPr>
      </w:pPr>
      <w:r>
        <w:rPr/>
        <w:pict>
          <v:shape style="position:absolute;margin-left:51pt;margin-top:13.604404pt;width:144pt;height:.1pt;mso-position-horizontal-relative:page;mso-position-vertical-relative:paragraph;z-index:-251493376;mso-wrap-distance-left:0;mso-wrap-distance-right:0" coordorigin="1020,272" coordsize="2880,0" path="m1020,272l3900,272e" filled="false" stroked="true" strokeweight=".36pt" strokecolor="#404040">
            <v:path arrowok="t"/>
            <v:stroke dashstyle="solid"/>
            <w10:wrap type="topAndBottom"/>
          </v:shape>
        </w:pict>
      </w:r>
    </w:p>
    <w:p>
      <w:pPr>
        <w:pStyle w:val="BodyText"/>
        <w:spacing w:before="1"/>
        <w:rPr>
          <w:sz w:val="25"/>
        </w:rPr>
      </w:pPr>
    </w:p>
    <w:p>
      <w:pPr>
        <w:pStyle w:val="ListParagraph"/>
        <w:numPr>
          <w:ilvl w:val="0"/>
          <w:numId w:val="20"/>
        </w:numPr>
        <w:tabs>
          <w:tab w:pos="1023" w:val="left" w:leader="none"/>
        </w:tabs>
        <w:spacing w:line="240" w:lineRule="auto" w:before="95" w:after="0"/>
        <w:ind w:left="1022" w:right="0" w:hanging="123"/>
        <w:jc w:val="left"/>
        <w:rPr>
          <w:sz w:val="16"/>
        </w:rPr>
      </w:pPr>
      <w:bookmarkStart w:name="_bookmark17" w:id="78"/>
      <w:bookmarkEnd w:id="78"/>
      <w:r>
        <w:rPr/>
      </w:r>
      <w:bookmarkStart w:name="_bookmark17" w:id="79"/>
      <w:bookmarkEnd w:id="79"/>
      <w:r>
        <w:rPr>
          <w:color w:val="404040"/>
          <w:sz w:val="16"/>
        </w:rPr>
        <w:t>F</w:t>
      </w:r>
      <w:r>
        <w:rPr>
          <w:color w:val="404040"/>
          <w:sz w:val="16"/>
        </w:rPr>
        <w:t>or example, the DSS Payment Demographic Data published on</w:t>
      </w:r>
      <w:r>
        <w:rPr>
          <w:color w:val="404040"/>
          <w:spacing w:val="-4"/>
          <w:sz w:val="16"/>
        </w:rPr>
        <w:t> </w:t>
      </w:r>
      <w:r>
        <w:rPr>
          <w:color w:val="404040"/>
          <w:sz w:val="16"/>
        </w:rPr>
        <w:t>data.gov.au.</w:t>
      </w:r>
    </w:p>
    <w:p>
      <w:pPr>
        <w:pStyle w:val="ListParagraph"/>
        <w:numPr>
          <w:ilvl w:val="0"/>
          <w:numId w:val="20"/>
        </w:numPr>
        <w:tabs>
          <w:tab w:pos="1023" w:val="left" w:leader="none"/>
        </w:tabs>
        <w:spacing w:line="244" w:lineRule="auto" w:before="86" w:after="0"/>
        <w:ind w:left="1128" w:right="1093" w:hanging="229"/>
        <w:jc w:val="left"/>
        <w:rPr>
          <w:sz w:val="16"/>
        </w:rPr>
      </w:pPr>
      <w:bookmarkStart w:name="_bookmark18" w:id="80"/>
      <w:bookmarkEnd w:id="80"/>
      <w:r>
        <w:rPr/>
      </w:r>
      <w:bookmarkStart w:name="_bookmark18" w:id="81"/>
      <w:bookmarkEnd w:id="81"/>
      <w:r>
        <w:rPr>
          <w:color w:val="404040"/>
          <w:sz w:val="16"/>
        </w:rPr>
        <w:t>T</w:t>
      </w:r>
      <w:r>
        <w:rPr>
          <w:color w:val="404040"/>
          <w:sz w:val="16"/>
        </w:rPr>
        <w:t>he Working Age class relates to people who received a payment in the ‘IS Working Age’ payment category during the year, as well as a small number of people who received a payment in the ‘IS Dependant’ payment category during the year. The ‘IS Working Age’ payment category includes ABSTUDY – working, Austudy – working, Newstart Allowance, Sickness Allowance, Special Benefit and Youth Allowance (Other). The ‘IS Dependant’ payment category includes Partner Allowance and Widow</w:t>
      </w:r>
      <w:r>
        <w:rPr>
          <w:color w:val="404040"/>
          <w:spacing w:val="-22"/>
          <w:sz w:val="16"/>
        </w:rPr>
        <w:t> </w:t>
      </w:r>
      <w:r>
        <w:rPr>
          <w:color w:val="404040"/>
          <w:sz w:val="16"/>
        </w:rPr>
        <w:t>Allowance.</w:t>
      </w:r>
    </w:p>
    <w:p>
      <w:pPr>
        <w:spacing w:after="0" w:line="244" w:lineRule="auto"/>
        <w:jc w:val="left"/>
        <w:rPr>
          <w:sz w:val="16"/>
        </w:rPr>
        <w:sectPr>
          <w:pgSz w:w="11910" w:h="16850"/>
          <w:pgMar w:header="572" w:footer="581" w:top="780" w:bottom="780" w:left="120" w:right="0"/>
        </w:sectPr>
      </w:pPr>
    </w:p>
    <w:p>
      <w:pPr>
        <w:pStyle w:val="BodyText"/>
      </w:pPr>
    </w:p>
    <w:p>
      <w:pPr>
        <w:pStyle w:val="BodyText"/>
      </w:pPr>
    </w:p>
    <w:p>
      <w:pPr>
        <w:pStyle w:val="BodyText"/>
        <w:spacing w:before="5"/>
        <w:rPr>
          <w:sz w:val="21"/>
        </w:rPr>
      </w:pPr>
    </w:p>
    <w:p>
      <w:pPr>
        <w:pStyle w:val="Heading9"/>
      </w:pPr>
      <w:r>
        <w:rPr>
          <w:color w:val="DF2F1E"/>
        </w:rPr>
        <w:t>Figure 19: Breakdown of Working Age class for 2017/18</w:t>
      </w:r>
    </w:p>
    <w:p>
      <w:pPr>
        <w:spacing w:before="97"/>
        <w:ind w:left="2194" w:right="7728" w:firstLine="0"/>
        <w:jc w:val="left"/>
        <w:rPr>
          <w:rFonts w:ascii="Calibri"/>
          <w:b/>
          <w:sz w:val="17"/>
        </w:rPr>
      </w:pPr>
      <w:r>
        <w:rPr>
          <w:rFonts w:ascii="Calibri"/>
          <w:b/>
          <w:color w:val="7B7B7B"/>
          <w:sz w:val="17"/>
        </w:rPr>
        <w:t>Income support recipients earlier in the year -</w:t>
      </w:r>
    </w:p>
    <w:p>
      <w:pPr>
        <w:spacing w:after="0"/>
        <w:jc w:val="left"/>
        <w:rPr>
          <w:rFonts w:ascii="Calibri"/>
          <w:sz w:val="17"/>
        </w:rPr>
        <w:sectPr>
          <w:pgSz w:w="11910" w:h="16850"/>
          <w:pgMar w:header="572" w:footer="581" w:top="780" w:bottom="780" w:left="120" w:right="0"/>
        </w:sectPr>
      </w:pPr>
    </w:p>
    <w:p>
      <w:pPr>
        <w:spacing w:line="237" w:lineRule="auto" w:before="0"/>
        <w:ind w:left="2194" w:right="-19" w:firstLine="0"/>
        <w:jc w:val="left"/>
        <w:rPr>
          <w:rFonts w:ascii="Calibri"/>
          <w:b/>
          <w:i/>
          <w:sz w:val="17"/>
        </w:rPr>
      </w:pPr>
      <w:r>
        <w:rPr/>
        <w:pict>
          <v:group style="position:absolute;margin-left:121.116997pt;margin-top:22.417847pt;width:179.15pt;height:178.4pt;mso-position-horizontal-relative:page;mso-position-vertical-relative:paragraph;z-index:-288078848" coordorigin="2422,448" coordsize="3583,3568">
            <v:shape style="position:absolute;left:4093;top:448;width:1900;height:2013" type="#_x0000_t75" alt="This figure shows a pie chart that represents all people who received working age payments during the 2017/18 year.  It is broken into four segments, two shaded grey and two shaded green.  The two grey segments represent the people who received working age payments during the year but were not receiving them at the valuation date, either with earnings (259,000 or 21% of people with an average lifetime cost of $302,000) or without earnings (132,000 or 11% of people with an average lifetime cost of $313,000). The two green segments represent the people who were still in receipt of working age payments at the valuation date, either with earnings (323,000 or 26% of people  with an average lifetime cost of $397,000) or without earnings (523,000 or 42% of people with an average lifetime cost of $427,000).  " stroked="false">
              <v:imagedata r:id="rId36" o:title=""/>
            </v:shape>
            <v:shape style="position:absolute;left:2548;top:2128;width:3457;height:1887" type="#_x0000_t75" alt="This figure shows a pie chart that represents all people who received working age payments during the 2017/18 year.  It is broken into four segments, two shaded grey and two shaded green.  The two grey segments represent the people who received working age payments during the year but were not receiving them at the valuation date, either with earnings (259,000 or 21% of people with an average lifetime cost of $302,000) or without earnings (132,000 or 11% of people with an average lifetime cost of $313,000). The two green segments represent the people who were still in receipt of working age payments at the valuation date, either with earnings (323,000 or 26% of people  with an average lifetime cost of $397,000) or without earnings (523,000 or 42% of people with an average lifetime cost of $427,000).  " stroked="false">
              <v:imagedata r:id="rId37" o:title=""/>
            </v:shape>
            <v:shape style="position:absolute;left:2422;top:814;width:1889;height:2207" type="#_x0000_t75" alt="This figure shows a pie chart that represents all people who received working age payments during the 2017/18 year.  It is broken into four segments, two shaded grey and two shaded green.  The two grey segments represent the people who received working age payments during the year but were not receiving them at the valuation date, either with earnings (259,000 or 21% of people with an average lifetime cost of $302,000) or without earnings (132,000 or 11% of people with an average lifetime cost of $313,000). The two green segments represent the people who were still in receipt of working age payments at the valuation date, either with earnings (323,000 or 26% of people  with an average lifetime cost of $397,000) or without earnings (523,000 or 42% of people with an average lifetime cost of $427,000).  " stroked="false">
              <v:imagedata r:id="rId38" o:title=""/>
            </v:shape>
            <v:shape style="position:absolute;left:3063;top:448;width:1248;height:1898" type="#_x0000_t75" alt="This figure shows a pie chart that represents all people who received working age payments during the 2017/18 year.  It is broken into four segments, two shaded grey and two shaded green.  The two grey segments represent the people who received working age payments during the year but were not receiving them at the valuation date, either with earnings (259,000 or 21% of people with an average lifetime cost of $302,000) or without earnings (132,000 or 11% of people with an average lifetime cost of $313,000). The two green segments represent the people who were still in receipt of working age payments at the valuation date, either with earnings (323,000 or 26% of people  with an average lifetime cost of $397,000) or without earnings (523,000 or 42% of people with an average lifetime cost of $427,000).  " stroked="false">
              <v:imagedata r:id="rId39" o:title=""/>
            </v:shape>
            <v:shape style="position:absolute;left:4204;top:562;width:1677;height:1792" coordorigin="4204,562" coordsize="1677,1792" path="m5877,2354l4204,2237,4204,562,4281,564,4357,569,4432,578,4505,589,4578,604,4650,622,4720,643,4789,667,4857,694,4923,724,4987,756,5050,791,5112,829,5171,869,5229,911,5284,956,5338,1003,5390,1053,5439,1104,5486,1158,5531,1214,5574,1271,5614,1331,5652,1392,5687,1455,5719,1519,5749,1585,5776,1653,5800,1722,5821,1792,5839,1863,5854,1936,5866,2010,5874,2085,5879,2161,5881,2237,5881,2267,5880,2296,5879,2325,5877,2354xe" filled="true" fillcolor="#385622" stroked="false">
              <v:path arrowok="t"/>
              <v:fill type="solid"/>
            </v:shape>
            <v:shape style="position:absolute;left:2669;top:2237;width:3208;height:1675" coordorigin="2670,2237" coordsize="3208,1675" path="m4240,3912l4164,3912,4087,3908,4010,3901,3933,3890,3858,3876,3784,3859,3711,3838,3639,3814,3568,3787,3499,3757,3432,3724,3366,3688,3302,3649,3240,3608,3179,3563,3121,3516,3065,3466,3011,3414,2959,3359,2910,3302,2863,3243,2819,3181,2777,3117,2738,3051,2703,2983,2670,2913,4204,2237,5877,2354,5870,2431,5859,2506,5846,2580,5829,2653,5809,2724,5786,2794,5760,2863,5731,2930,5700,2995,5666,3059,5629,3121,5589,3182,5547,3240,5503,3296,5457,3351,5408,3403,5357,3453,5304,3501,5249,3547,5192,3591,5134,3631,5073,3670,5011,3706,4947,3739,4882,3770,4815,3797,4747,3822,4678,3844,4607,3864,4536,3880,4463,3893,4390,3902,4315,3909,4240,3912xe" filled="true" fillcolor="#538235" stroked="false">
              <v:path arrowok="t"/>
              <v:fill type="solid"/>
            </v:shape>
            <v:shape style="position:absolute;left:2527;top:924;width:1677;height:1989" coordorigin="2527,925" coordsize="1677,1989" path="m2670,2913l2641,2843,2615,2772,2592,2701,2573,2629,2558,2556,2545,2484,2536,2411,2530,2338,2527,2265,2528,2193,2531,2120,2538,2048,2548,1977,2560,1905,2576,1835,2595,1765,2617,1696,2642,1628,2670,1562,2700,1496,2734,1431,2770,1368,2810,1307,2852,1247,2897,1188,2944,1131,2995,1077,3048,1024,3104,973,3162,925,4204,2237,2670,2913xe" filled="true" fillcolor="#7b7b7b" stroked="false">
              <v:path arrowok="t"/>
              <v:fill type="solid"/>
            </v:shape>
            <v:shape style="position:absolute;left:3162;top:562;width:1042;height:1676" coordorigin="3162,562" coordsize="1042,1676" path="m4204,2237l3162,925,3227,876,3293,831,3362,789,3432,750,3504,715,3577,684,3652,655,3728,631,3806,610,3884,593,3963,580,4043,570,4123,564,4204,562,4204,2237xe" filled="true" fillcolor="#a4a4a4" stroked="false">
              <v:path arrowok="t"/>
              <v:fill type="solid"/>
            </v:shape>
            <w10:wrap type="none"/>
          </v:group>
        </w:pict>
      </w:r>
      <w:r>
        <w:rPr>
          <w:rFonts w:ascii="Calibri"/>
          <w:b/>
          <w:color w:val="7B7B7B"/>
          <w:sz w:val="17"/>
        </w:rPr>
        <w:t>without earnings: 132,000 people </w:t>
      </w:r>
      <w:r>
        <w:rPr>
          <w:rFonts w:ascii="Calibri"/>
          <w:b/>
          <w:i/>
          <w:color w:val="7B7B7B"/>
          <w:sz w:val="17"/>
        </w:rPr>
        <w:t>($313k ave LTC)</w:t>
      </w:r>
    </w:p>
    <w:p>
      <w:pPr>
        <w:pStyle w:val="BodyText"/>
        <w:rPr>
          <w:rFonts w:ascii="Calibri"/>
          <w:b/>
          <w:i/>
          <w:sz w:val="16"/>
        </w:rPr>
      </w:pPr>
    </w:p>
    <w:p>
      <w:pPr>
        <w:pStyle w:val="BodyText"/>
        <w:rPr>
          <w:rFonts w:ascii="Calibri"/>
          <w:b/>
          <w:i/>
          <w:sz w:val="16"/>
        </w:rPr>
      </w:pPr>
    </w:p>
    <w:p>
      <w:pPr>
        <w:pStyle w:val="BodyText"/>
        <w:spacing w:before="5"/>
        <w:rPr>
          <w:rFonts w:ascii="Calibri"/>
          <w:b/>
          <w:i/>
          <w:sz w:val="23"/>
        </w:rPr>
      </w:pPr>
    </w:p>
    <w:p>
      <w:pPr>
        <w:spacing w:before="1"/>
        <w:ind w:left="1122" w:right="532" w:firstLine="0"/>
        <w:jc w:val="left"/>
        <w:rPr>
          <w:rFonts w:ascii="Calibri"/>
          <w:b/>
          <w:sz w:val="17"/>
        </w:rPr>
      </w:pPr>
      <w:r>
        <w:rPr>
          <w:rFonts w:ascii="Calibri"/>
          <w:b/>
          <w:color w:val="525252"/>
          <w:sz w:val="17"/>
        </w:rPr>
        <w:t>Income support recipients</w:t>
      </w:r>
    </w:p>
    <w:p>
      <w:pPr>
        <w:pStyle w:val="BodyText"/>
        <w:rPr>
          <w:rFonts w:ascii="Calibri"/>
          <w:b/>
          <w:sz w:val="14"/>
        </w:rPr>
      </w:pPr>
      <w:r>
        <w:rPr/>
        <w:br w:type="column"/>
      </w:r>
      <w:r>
        <w:rPr>
          <w:rFonts w:ascii="Calibri"/>
          <w:b/>
          <w:sz w:val="14"/>
        </w:rPr>
      </w:r>
    </w:p>
    <w:p>
      <w:pPr>
        <w:pStyle w:val="BodyText"/>
        <w:rPr>
          <w:rFonts w:ascii="Calibri"/>
          <w:b/>
          <w:sz w:val="14"/>
        </w:rPr>
      </w:pPr>
    </w:p>
    <w:p>
      <w:pPr>
        <w:pStyle w:val="BodyText"/>
        <w:rPr>
          <w:rFonts w:ascii="Calibri"/>
          <w:b/>
          <w:sz w:val="14"/>
        </w:rPr>
      </w:pPr>
    </w:p>
    <w:p>
      <w:pPr>
        <w:pStyle w:val="BodyText"/>
        <w:spacing w:before="8"/>
        <w:rPr>
          <w:rFonts w:ascii="Calibri"/>
          <w:b/>
          <w:sz w:val="18"/>
        </w:rPr>
      </w:pPr>
    </w:p>
    <w:p>
      <w:pPr>
        <w:spacing w:before="1"/>
        <w:ind w:left="-22" w:right="0" w:firstLine="0"/>
        <w:jc w:val="left"/>
        <w:rPr>
          <w:rFonts w:ascii="Calibri"/>
          <w:b/>
          <w:sz w:val="15"/>
        </w:rPr>
      </w:pPr>
      <w:r>
        <w:rPr>
          <w:rFonts w:ascii="Calibri"/>
          <w:b/>
          <w:color w:val="FFFFFF"/>
          <w:sz w:val="15"/>
        </w:rPr>
        <w:t>11%</w:t>
      </w:r>
    </w:p>
    <w:p>
      <w:pPr>
        <w:pStyle w:val="BodyText"/>
        <w:rPr>
          <w:rFonts w:ascii="Calibri"/>
          <w:b/>
          <w:sz w:val="14"/>
        </w:rPr>
      </w:pPr>
      <w:r>
        <w:rPr/>
        <w:br w:type="column"/>
      </w:r>
      <w:r>
        <w:rPr>
          <w:rFonts w:ascii="Calibri"/>
          <w:b/>
          <w:sz w:val="14"/>
        </w:rPr>
      </w:r>
    </w:p>
    <w:p>
      <w:pPr>
        <w:pStyle w:val="BodyText"/>
        <w:rPr>
          <w:rFonts w:ascii="Calibri"/>
          <w:b/>
          <w:sz w:val="14"/>
        </w:rPr>
      </w:pPr>
    </w:p>
    <w:p>
      <w:pPr>
        <w:pStyle w:val="BodyText"/>
        <w:rPr>
          <w:rFonts w:ascii="Calibri"/>
          <w:b/>
          <w:sz w:val="14"/>
        </w:rPr>
      </w:pPr>
    </w:p>
    <w:p>
      <w:pPr>
        <w:pStyle w:val="BodyText"/>
        <w:rPr>
          <w:rFonts w:ascii="Calibri"/>
          <w:b/>
          <w:sz w:val="14"/>
        </w:rPr>
      </w:pPr>
    </w:p>
    <w:p>
      <w:pPr>
        <w:pStyle w:val="BodyText"/>
        <w:rPr>
          <w:rFonts w:ascii="Calibri"/>
          <w:b/>
          <w:sz w:val="14"/>
        </w:rPr>
      </w:pPr>
    </w:p>
    <w:p>
      <w:pPr>
        <w:pStyle w:val="BodyText"/>
        <w:rPr>
          <w:rFonts w:ascii="Calibri"/>
          <w:b/>
          <w:sz w:val="14"/>
        </w:rPr>
      </w:pPr>
    </w:p>
    <w:p>
      <w:pPr>
        <w:pStyle w:val="BodyText"/>
        <w:spacing w:before="4"/>
        <w:rPr>
          <w:rFonts w:ascii="Calibri"/>
          <w:b/>
          <w:sz w:val="11"/>
        </w:rPr>
      </w:pPr>
    </w:p>
    <w:p>
      <w:pPr>
        <w:spacing w:before="1"/>
        <w:ind w:left="0" w:right="0" w:firstLine="0"/>
        <w:jc w:val="right"/>
        <w:rPr>
          <w:rFonts w:ascii="Calibri"/>
          <w:b/>
          <w:sz w:val="15"/>
        </w:rPr>
      </w:pPr>
      <w:r>
        <w:rPr>
          <w:rFonts w:ascii="Calibri"/>
          <w:b/>
          <w:color w:val="FFFFFF"/>
          <w:w w:val="95"/>
          <w:sz w:val="15"/>
        </w:rPr>
        <w:t>26%</w:t>
      </w:r>
    </w:p>
    <w:p>
      <w:pPr>
        <w:spacing w:before="85"/>
        <w:ind w:left="236" w:right="4447" w:firstLine="0"/>
        <w:jc w:val="left"/>
        <w:rPr>
          <w:rFonts w:ascii="Calibri"/>
          <w:b/>
          <w:sz w:val="17"/>
        </w:rPr>
      </w:pPr>
      <w:r>
        <w:rPr/>
        <w:br w:type="column"/>
      </w:r>
      <w:r>
        <w:rPr>
          <w:rFonts w:ascii="Calibri"/>
          <w:b/>
          <w:color w:val="385622"/>
          <w:sz w:val="17"/>
        </w:rPr>
        <w:t>Income support recipients at the valuation date - with earnings:</w:t>
      </w:r>
    </w:p>
    <w:p>
      <w:pPr>
        <w:spacing w:line="200" w:lineRule="exact" w:before="0"/>
        <w:ind w:left="236" w:right="0" w:firstLine="0"/>
        <w:jc w:val="left"/>
        <w:rPr>
          <w:rFonts w:ascii="Calibri"/>
          <w:b/>
          <w:sz w:val="17"/>
        </w:rPr>
      </w:pPr>
      <w:r>
        <w:rPr>
          <w:rFonts w:ascii="Calibri"/>
          <w:b/>
          <w:color w:val="385622"/>
          <w:spacing w:val="-5"/>
          <w:sz w:val="17"/>
        </w:rPr>
        <w:t>323,000 </w:t>
      </w:r>
      <w:r>
        <w:rPr>
          <w:rFonts w:ascii="Calibri"/>
          <w:b/>
          <w:color w:val="385622"/>
          <w:spacing w:val="5"/>
          <w:sz w:val="17"/>
        </w:rPr>
        <w:t> </w:t>
      </w:r>
      <w:r>
        <w:rPr>
          <w:rFonts w:ascii="Calibri"/>
          <w:b/>
          <w:color w:val="385622"/>
          <w:sz w:val="17"/>
        </w:rPr>
        <w:t>people</w:t>
      </w:r>
    </w:p>
    <w:p>
      <w:pPr>
        <w:spacing w:line="207" w:lineRule="exact" w:before="0"/>
        <w:ind w:left="236" w:right="0" w:firstLine="0"/>
        <w:jc w:val="left"/>
        <w:rPr>
          <w:rFonts w:ascii="Calibri"/>
          <w:b/>
          <w:i/>
          <w:sz w:val="17"/>
        </w:rPr>
      </w:pPr>
      <w:r>
        <w:rPr>
          <w:rFonts w:ascii="Calibri"/>
          <w:b/>
          <w:i/>
          <w:color w:val="385622"/>
          <w:spacing w:val="-5"/>
          <w:sz w:val="17"/>
        </w:rPr>
        <w:t>($397k  </w:t>
      </w:r>
      <w:r>
        <w:rPr>
          <w:rFonts w:ascii="Calibri"/>
          <w:b/>
          <w:i/>
          <w:color w:val="385622"/>
          <w:sz w:val="17"/>
        </w:rPr>
        <w:t>ave</w:t>
      </w:r>
      <w:r>
        <w:rPr>
          <w:rFonts w:ascii="Calibri"/>
          <w:b/>
          <w:i/>
          <w:color w:val="385622"/>
          <w:spacing w:val="-15"/>
          <w:sz w:val="17"/>
        </w:rPr>
        <w:t> </w:t>
      </w:r>
      <w:r>
        <w:rPr>
          <w:rFonts w:ascii="Calibri"/>
          <w:b/>
          <w:i/>
          <w:color w:val="385622"/>
          <w:sz w:val="17"/>
        </w:rPr>
        <w:t>LTC)</w:t>
      </w:r>
    </w:p>
    <w:p>
      <w:pPr>
        <w:spacing w:after="0" w:line="207" w:lineRule="exact"/>
        <w:jc w:val="left"/>
        <w:rPr>
          <w:rFonts w:ascii="Calibri"/>
          <w:sz w:val="17"/>
        </w:rPr>
        <w:sectPr>
          <w:type w:val="continuous"/>
          <w:pgSz w:w="11910" w:h="16850"/>
          <w:pgMar w:top="1600" w:bottom="280" w:left="120" w:right="0"/>
          <w:cols w:num="4" w:equalWidth="0">
            <w:col w:w="3444" w:space="40"/>
            <w:col w:w="288" w:space="115"/>
            <w:col w:w="1391" w:space="39"/>
            <w:col w:w="6473"/>
          </w:cols>
        </w:sectPr>
      </w:pPr>
    </w:p>
    <w:p>
      <w:pPr>
        <w:spacing w:line="235" w:lineRule="auto" w:before="0"/>
        <w:ind w:left="1122" w:right="0" w:firstLine="0"/>
        <w:jc w:val="left"/>
        <w:rPr>
          <w:rFonts w:ascii="Calibri"/>
          <w:b/>
          <w:i/>
          <w:sz w:val="17"/>
        </w:rPr>
      </w:pPr>
      <w:r>
        <w:rPr>
          <w:rFonts w:ascii="Calibri"/>
          <w:b/>
          <w:color w:val="525252"/>
          <w:sz w:val="17"/>
        </w:rPr>
        <w:t>earlier in the year - with earnings: </w:t>
      </w:r>
      <w:r>
        <w:rPr>
          <w:rFonts w:ascii="Calibri"/>
          <w:b/>
          <w:color w:val="525252"/>
          <w:spacing w:val="-5"/>
          <w:sz w:val="17"/>
        </w:rPr>
        <w:t>259,000 </w:t>
      </w:r>
      <w:r>
        <w:rPr>
          <w:rFonts w:ascii="Calibri"/>
          <w:b/>
          <w:color w:val="525252"/>
          <w:spacing w:val="-3"/>
          <w:sz w:val="17"/>
        </w:rPr>
        <w:t>people </w:t>
      </w:r>
      <w:r>
        <w:rPr>
          <w:rFonts w:ascii="Calibri"/>
          <w:b/>
          <w:i/>
          <w:color w:val="525252"/>
          <w:spacing w:val="-5"/>
          <w:sz w:val="17"/>
        </w:rPr>
        <w:t>($302k </w:t>
      </w:r>
      <w:r>
        <w:rPr>
          <w:rFonts w:ascii="Calibri"/>
          <w:b/>
          <w:i/>
          <w:color w:val="525252"/>
          <w:sz w:val="17"/>
        </w:rPr>
        <w:t>ave </w:t>
      </w:r>
      <w:r>
        <w:rPr>
          <w:rFonts w:ascii="Calibri"/>
          <w:b/>
          <w:i/>
          <w:color w:val="525252"/>
          <w:spacing w:val="-6"/>
          <w:sz w:val="17"/>
        </w:rPr>
        <w:t>LTC)</w:t>
      </w:r>
    </w:p>
    <w:p>
      <w:pPr>
        <w:spacing w:before="96"/>
        <w:ind w:left="306" w:right="0" w:firstLine="0"/>
        <w:jc w:val="left"/>
        <w:rPr>
          <w:rFonts w:ascii="Calibri"/>
          <w:b/>
          <w:sz w:val="15"/>
        </w:rPr>
      </w:pPr>
      <w:r>
        <w:rPr/>
        <w:br w:type="column"/>
      </w:r>
      <w:r>
        <w:rPr>
          <w:rFonts w:ascii="Calibri"/>
          <w:b/>
          <w:color w:val="FFFFFF"/>
          <w:sz w:val="15"/>
        </w:rPr>
        <w:t>21%</w:t>
      </w:r>
    </w:p>
    <w:p>
      <w:pPr>
        <w:spacing w:after="0"/>
        <w:jc w:val="left"/>
        <w:rPr>
          <w:rFonts w:ascii="Calibri"/>
          <w:sz w:val="15"/>
        </w:rPr>
        <w:sectPr>
          <w:type w:val="continuous"/>
          <w:pgSz w:w="11910" w:h="16850"/>
          <w:pgMar w:top="1600" w:bottom="280" w:left="120" w:right="0"/>
          <w:cols w:num="2" w:equalWidth="0">
            <w:col w:w="2218" w:space="40"/>
            <w:col w:w="9532"/>
          </w:cols>
        </w:sectPr>
      </w:pPr>
    </w:p>
    <w:p>
      <w:pPr>
        <w:pStyle w:val="BodyText"/>
        <w:rPr>
          <w:rFonts w:ascii="Calibri"/>
          <w:b/>
        </w:rPr>
      </w:pPr>
    </w:p>
    <w:p>
      <w:pPr>
        <w:pStyle w:val="BodyText"/>
        <w:rPr>
          <w:rFonts w:ascii="Calibri"/>
          <w:b/>
        </w:rPr>
      </w:pPr>
    </w:p>
    <w:p>
      <w:pPr>
        <w:pStyle w:val="BodyText"/>
        <w:rPr>
          <w:rFonts w:ascii="Calibri"/>
          <w:b/>
          <w:sz w:val="19"/>
        </w:rPr>
      </w:pPr>
    </w:p>
    <w:p>
      <w:pPr>
        <w:spacing w:after="0"/>
        <w:rPr>
          <w:rFonts w:ascii="Calibri"/>
          <w:sz w:val="19"/>
        </w:rPr>
        <w:sectPr>
          <w:type w:val="continuous"/>
          <w:pgSz w:w="11910" w:h="16850"/>
          <w:pgMar w:top="1600" w:bottom="280" w:left="120" w:right="0"/>
        </w:sectPr>
      </w:pPr>
    </w:p>
    <w:p>
      <w:pPr>
        <w:pStyle w:val="BodyText"/>
        <w:spacing w:before="5"/>
        <w:rPr>
          <w:rFonts w:ascii="Calibri"/>
          <w:b/>
          <w:sz w:val="14"/>
        </w:rPr>
      </w:pPr>
    </w:p>
    <w:p>
      <w:pPr>
        <w:spacing w:before="0"/>
        <w:ind w:left="0" w:right="0" w:firstLine="0"/>
        <w:jc w:val="right"/>
        <w:rPr>
          <w:rFonts w:ascii="Calibri"/>
          <w:b/>
          <w:sz w:val="15"/>
        </w:rPr>
      </w:pPr>
      <w:r>
        <w:rPr>
          <w:rFonts w:ascii="Calibri"/>
          <w:b/>
          <w:color w:val="FFFFFF"/>
          <w:w w:val="95"/>
          <w:sz w:val="15"/>
        </w:rPr>
        <w:t>42%</w:t>
      </w:r>
    </w:p>
    <w:p>
      <w:pPr>
        <w:spacing w:before="67"/>
        <w:ind w:left="730" w:right="4751" w:firstLine="0"/>
        <w:jc w:val="left"/>
        <w:rPr>
          <w:rFonts w:ascii="Calibri"/>
          <w:b/>
          <w:sz w:val="17"/>
        </w:rPr>
      </w:pPr>
      <w:r>
        <w:rPr/>
        <w:br w:type="column"/>
      </w:r>
      <w:r>
        <w:rPr>
          <w:rFonts w:ascii="Calibri"/>
          <w:b/>
          <w:color w:val="538235"/>
          <w:sz w:val="17"/>
        </w:rPr>
        <w:t>Income support recipients at the valuation date - without earnings:</w:t>
      </w:r>
    </w:p>
    <w:p>
      <w:pPr>
        <w:spacing w:line="200" w:lineRule="exact" w:before="0"/>
        <w:ind w:left="730" w:right="0" w:firstLine="0"/>
        <w:jc w:val="left"/>
        <w:rPr>
          <w:rFonts w:ascii="Calibri"/>
          <w:b/>
          <w:sz w:val="17"/>
        </w:rPr>
      </w:pPr>
      <w:r>
        <w:rPr>
          <w:rFonts w:ascii="Calibri"/>
          <w:b/>
          <w:color w:val="538235"/>
          <w:spacing w:val="-5"/>
          <w:sz w:val="17"/>
        </w:rPr>
        <w:t>523,000 </w:t>
      </w:r>
      <w:r>
        <w:rPr>
          <w:rFonts w:ascii="Calibri"/>
          <w:b/>
          <w:color w:val="538235"/>
          <w:spacing w:val="5"/>
          <w:sz w:val="17"/>
        </w:rPr>
        <w:t> </w:t>
      </w:r>
      <w:r>
        <w:rPr>
          <w:rFonts w:ascii="Calibri"/>
          <w:b/>
          <w:color w:val="538235"/>
          <w:sz w:val="17"/>
        </w:rPr>
        <w:t>people</w:t>
      </w:r>
    </w:p>
    <w:p>
      <w:pPr>
        <w:spacing w:line="207" w:lineRule="exact" w:before="0"/>
        <w:ind w:left="730" w:right="0" w:firstLine="0"/>
        <w:jc w:val="left"/>
        <w:rPr>
          <w:rFonts w:ascii="Calibri"/>
          <w:b/>
          <w:i/>
          <w:sz w:val="17"/>
        </w:rPr>
      </w:pPr>
      <w:r>
        <w:rPr>
          <w:rFonts w:ascii="Calibri"/>
          <w:b/>
          <w:i/>
          <w:color w:val="538235"/>
          <w:spacing w:val="-5"/>
          <w:sz w:val="17"/>
        </w:rPr>
        <w:t>($427k  </w:t>
      </w:r>
      <w:r>
        <w:rPr>
          <w:rFonts w:ascii="Calibri"/>
          <w:b/>
          <w:i/>
          <w:color w:val="538235"/>
          <w:sz w:val="17"/>
        </w:rPr>
        <w:t>ave</w:t>
      </w:r>
      <w:r>
        <w:rPr>
          <w:rFonts w:ascii="Calibri"/>
          <w:b/>
          <w:i/>
          <w:color w:val="538235"/>
          <w:spacing w:val="-15"/>
          <w:sz w:val="17"/>
        </w:rPr>
        <w:t> </w:t>
      </w:r>
      <w:r>
        <w:rPr>
          <w:rFonts w:ascii="Calibri"/>
          <w:b/>
          <w:i/>
          <w:color w:val="538235"/>
          <w:sz w:val="17"/>
        </w:rPr>
        <w:t>LTC)</w:t>
      </w:r>
    </w:p>
    <w:p>
      <w:pPr>
        <w:spacing w:after="0" w:line="207" w:lineRule="exact"/>
        <w:jc w:val="left"/>
        <w:rPr>
          <w:rFonts w:ascii="Calibri"/>
          <w:sz w:val="17"/>
        </w:rPr>
        <w:sectPr>
          <w:type w:val="continuous"/>
          <w:pgSz w:w="11910" w:h="16850"/>
          <w:pgMar w:top="1600" w:bottom="280" w:left="120" w:right="0"/>
          <w:cols w:num="2" w:equalWidth="0">
            <w:col w:w="4479" w:space="40"/>
            <w:col w:w="7271"/>
          </w:cols>
        </w:sectPr>
      </w:pPr>
    </w:p>
    <w:p>
      <w:pPr>
        <w:pStyle w:val="BodyText"/>
        <w:rPr>
          <w:rFonts w:ascii="Calibri"/>
          <w:b/>
          <w:i/>
        </w:rPr>
      </w:pPr>
    </w:p>
    <w:p>
      <w:pPr>
        <w:pStyle w:val="BodyText"/>
        <w:spacing w:before="10"/>
        <w:rPr>
          <w:rFonts w:ascii="Calibri"/>
          <w:b/>
          <w:i/>
          <w:sz w:val="14"/>
        </w:rPr>
      </w:pPr>
    </w:p>
    <w:p>
      <w:pPr>
        <w:pStyle w:val="BodyText"/>
        <w:spacing w:before="93"/>
        <w:ind w:left="900" w:right="1020" w:firstLine="55"/>
      </w:pPr>
      <w:r>
        <w:rPr>
          <w:color w:val="404040"/>
        </w:rPr>
        <w:t>As expected, recipients who were in receipt of income support at the valuation date (the green segments) have a higher lifetime cost than those who only received income support earlier in the year and then exited (the grey segments). This would include long-term Jobseekers.</w:t>
      </w:r>
    </w:p>
    <w:p>
      <w:pPr>
        <w:pStyle w:val="BodyText"/>
        <w:spacing w:before="119"/>
        <w:ind w:left="899" w:right="1100"/>
      </w:pPr>
      <w:r>
        <w:rPr>
          <w:color w:val="404040"/>
        </w:rPr>
        <w:t>However, the average lifetime cost for the ‘income support recipients earlier in the year’ is still well in excess of the average for people who left the system more than a year ago (i.e. the previous welfare recipients class which has an average lifetime cost of $187,000 – see section </w:t>
      </w:r>
      <w:hyperlink w:history="true" w:anchor="_bookmark53">
        <w:r>
          <w:rPr>
            <w:color w:val="404040"/>
          </w:rPr>
          <w:t>8.1)</w:t>
        </w:r>
      </w:hyperlink>
      <w:r>
        <w:rPr>
          <w:color w:val="404040"/>
        </w:rPr>
        <w:t>. This reflects the observation that many Working Age recipients have tended to come in and out of the welfare system quite frequently, and so this group have quite a high chance of re-entering.</w:t>
      </w:r>
    </w:p>
    <w:p>
      <w:pPr>
        <w:pStyle w:val="BodyText"/>
        <w:spacing w:before="120"/>
        <w:ind w:left="900" w:right="1142"/>
      </w:pPr>
      <w:r>
        <w:rPr>
          <w:color w:val="404040"/>
        </w:rPr>
        <w:t>Looking further within these groups, in each case people without employment earnings recorded while on welfare have a higher average lifetime cost that those with employment earnings recorded. This would also be expected.</w:t>
      </w:r>
    </w:p>
    <w:p>
      <w:pPr>
        <w:pStyle w:val="BodyText"/>
        <w:spacing w:before="9"/>
      </w:pPr>
    </w:p>
    <w:p>
      <w:pPr>
        <w:pStyle w:val="Heading4"/>
      </w:pPr>
      <w:bookmarkStart w:name="Average lifetime cost for different paym" w:id="82"/>
      <w:bookmarkEnd w:id="82"/>
      <w:r>
        <w:rPr/>
      </w:r>
      <w:r>
        <w:rPr>
          <w:color w:val="DF2F28"/>
        </w:rPr>
        <w:t>Average lifetime cost for different payment types</w:t>
      </w:r>
    </w:p>
    <w:p>
      <w:pPr>
        <w:pStyle w:val="BodyText"/>
        <w:spacing w:before="122"/>
        <w:ind w:left="900" w:right="1042"/>
      </w:pPr>
      <w:r>
        <w:rPr>
          <w:color w:val="404040"/>
        </w:rPr>
        <w:t>The table below shows a breakdown of the number of people and average Lifetime Cost (Ave LTC) of class 2 – Working Age recipients. This shows how the lifetime cost varies depending on whether or not people were in receipt of payments at the valuation date, and also how it varies across the main individual payment types within the class.</w:t>
      </w:r>
    </w:p>
    <w:p>
      <w:pPr>
        <w:pStyle w:val="Heading9"/>
        <w:spacing w:before="174" w:after="57"/>
      </w:pPr>
      <w:r>
        <w:rPr>
          <w:color w:val="DF2F1E"/>
        </w:rPr>
        <w:t>Table 6: Breakdown of pre-retirement income support numbers and lifetime costs at June 2018</w:t>
      </w:r>
    </w:p>
    <w:tbl>
      <w:tblPr>
        <w:tblW w:w="0" w:type="auto"/>
        <w:jc w:val="left"/>
        <w:tblInd w:w="1020" w:type="dxa"/>
        <w:tblBorders>
          <w:top w:val="single" w:sz="4" w:space="0" w:color="DF2F1E"/>
          <w:left w:val="single" w:sz="4" w:space="0" w:color="DF2F1E"/>
          <w:bottom w:val="single" w:sz="4" w:space="0" w:color="DF2F1E"/>
          <w:right w:val="single" w:sz="4" w:space="0" w:color="DF2F1E"/>
          <w:insideH w:val="single" w:sz="4" w:space="0" w:color="DF2F1E"/>
          <w:insideV w:val="single" w:sz="4" w:space="0" w:color="DF2F1E"/>
        </w:tblBorders>
        <w:tblLayout w:type="fixed"/>
        <w:tblCellMar>
          <w:top w:w="0" w:type="dxa"/>
          <w:left w:w="0" w:type="dxa"/>
          <w:bottom w:w="0" w:type="dxa"/>
          <w:right w:w="0" w:type="dxa"/>
        </w:tblCellMar>
        <w:tblLook w:val="01E0"/>
      </w:tblPr>
      <w:tblGrid>
        <w:gridCol w:w="2609"/>
        <w:gridCol w:w="1265"/>
        <w:gridCol w:w="1174"/>
        <w:gridCol w:w="1242"/>
        <w:gridCol w:w="1197"/>
        <w:gridCol w:w="1260"/>
        <w:gridCol w:w="1180"/>
      </w:tblGrid>
      <w:tr>
        <w:trPr>
          <w:trHeight w:val="1002" w:hRule="atLeast"/>
        </w:trPr>
        <w:tc>
          <w:tcPr>
            <w:tcW w:w="2609" w:type="dxa"/>
            <w:tcBorders>
              <w:top w:val="nil"/>
              <w:left w:val="nil"/>
              <w:bottom w:val="nil"/>
              <w:right w:val="nil"/>
            </w:tcBorders>
            <w:shd w:val="clear" w:color="auto" w:fill="DF2F1E"/>
          </w:tcPr>
          <w:p>
            <w:pPr>
              <w:pStyle w:val="TableParagraph"/>
              <w:ind w:left="112"/>
              <w:rPr>
                <w:sz w:val="16"/>
              </w:rPr>
            </w:pPr>
            <w:r>
              <w:rPr>
                <w:color w:val="FFFFFF"/>
                <w:sz w:val="16"/>
              </w:rPr>
              <w:t>Payment</w:t>
            </w:r>
          </w:p>
        </w:tc>
        <w:tc>
          <w:tcPr>
            <w:tcW w:w="1265" w:type="dxa"/>
            <w:tcBorders>
              <w:top w:val="nil"/>
              <w:left w:val="nil"/>
              <w:bottom w:val="nil"/>
              <w:right w:val="nil"/>
            </w:tcBorders>
            <w:shd w:val="clear" w:color="auto" w:fill="DF2F1E"/>
          </w:tcPr>
          <w:p>
            <w:pPr>
              <w:pStyle w:val="TableParagraph"/>
              <w:ind w:left="129" w:right="134" w:firstLine="79"/>
              <w:jc w:val="both"/>
              <w:rPr>
                <w:sz w:val="16"/>
              </w:rPr>
            </w:pPr>
            <w:r>
              <w:rPr>
                <w:color w:val="FFFFFF"/>
                <w:sz w:val="16"/>
              </w:rPr>
              <w:t>In receipt of payments at valuation date</w:t>
            </w:r>
          </w:p>
          <w:p>
            <w:pPr>
              <w:pStyle w:val="TableParagraph"/>
              <w:spacing w:line="182" w:lineRule="exact" w:before="0"/>
              <w:ind w:left="338"/>
              <w:jc w:val="both"/>
              <w:rPr>
                <w:sz w:val="16"/>
              </w:rPr>
            </w:pPr>
            <w:r>
              <w:rPr>
                <w:color w:val="FFFFFF"/>
                <w:sz w:val="16"/>
              </w:rPr>
              <w:t>- people</w:t>
            </w:r>
          </w:p>
        </w:tc>
        <w:tc>
          <w:tcPr>
            <w:tcW w:w="1174" w:type="dxa"/>
            <w:tcBorders>
              <w:top w:val="nil"/>
              <w:left w:val="nil"/>
              <w:bottom w:val="nil"/>
              <w:right w:val="nil"/>
            </w:tcBorders>
            <w:shd w:val="clear" w:color="auto" w:fill="DF2F1E"/>
          </w:tcPr>
          <w:p>
            <w:pPr>
              <w:pStyle w:val="TableParagraph"/>
              <w:ind w:left="145" w:right="153" w:hanging="3"/>
              <w:jc w:val="center"/>
              <w:rPr>
                <w:i/>
                <w:sz w:val="16"/>
              </w:rPr>
            </w:pPr>
            <w:r>
              <w:rPr>
                <w:i/>
                <w:color w:val="FFFFFF"/>
                <w:sz w:val="16"/>
              </w:rPr>
              <w:t>In receipt of </w:t>
            </w:r>
            <w:r>
              <w:rPr>
                <w:i/>
                <w:color w:val="FFFFFF"/>
                <w:sz w:val="16"/>
              </w:rPr>
              <w:t>payments at valuation date – Ave LTC</w:t>
            </w:r>
          </w:p>
        </w:tc>
        <w:tc>
          <w:tcPr>
            <w:tcW w:w="1242" w:type="dxa"/>
            <w:tcBorders>
              <w:top w:val="nil"/>
              <w:left w:val="nil"/>
              <w:bottom w:val="nil"/>
              <w:right w:val="nil"/>
            </w:tcBorders>
            <w:shd w:val="clear" w:color="auto" w:fill="DF2F1E"/>
          </w:tcPr>
          <w:p>
            <w:pPr>
              <w:pStyle w:val="TableParagraph"/>
              <w:ind w:left="143" w:right="124" w:hanging="5"/>
              <w:jc w:val="center"/>
              <w:rPr>
                <w:sz w:val="16"/>
              </w:rPr>
            </w:pPr>
            <w:r>
              <w:rPr>
                <w:color w:val="FFFFFF"/>
                <w:sz w:val="16"/>
              </w:rPr>
              <w:t>Not in receipt of payments at valuation date – people</w:t>
            </w:r>
          </w:p>
        </w:tc>
        <w:tc>
          <w:tcPr>
            <w:tcW w:w="1197" w:type="dxa"/>
            <w:tcBorders>
              <w:top w:val="nil"/>
              <w:left w:val="nil"/>
              <w:bottom w:val="nil"/>
              <w:right w:val="nil"/>
            </w:tcBorders>
            <w:shd w:val="clear" w:color="auto" w:fill="DF2F1E"/>
          </w:tcPr>
          <w:p>
            <w:pPr>
              <w:pStyle w:val="TableParagraph"/>
              <w:ind w:left="132" w:right="118"/>
              <w:jc w:val="center"/>
              <w:rPr>
                <w:i/>
                <w:sz w:val="16"/>
              </w:rPr>
            </w:pPr>
            <w:r>
              <w:rPr>
                <w:i/>
                <w:color w:val="FFFFFF"/>
                <w:sz w:val="16"/>
              </w:rPr>
              <w:t>Not in receipt </w:t>
            </w:r>
            <w:r>
              <w:rPr>
                <w:i/>
                <w:color w:val="FFFFFF"/>
                <w:sz w:val="16"/>
              </w:rPr>
              <w:t>of payments at valuation date – Ave LTC</w:t>
            </w:r>
          </w:p>
        </w:tc>
        <w:tc>
          <w:tcPr>
            <w:tcW w:w="1260" w:type="dxa"/>
            <w:tcBorders>
              <w:top w:val="nil"/>
              <w:left w:val="nil"/>
              <w:bottom w:val="nil"/>
              <w:right w:val="nil"/>
            </w:tcBorders>
            <w:shd w:val="clear" w:color="auto" w:fill="DF2F1E"/>
          </w:tcPr>
          <w:p>
            <w:pPr>
              <w:pStyle w:val="TableParagraph"/>
              <w:spacing w:before="34"/>
              <w:ind w:left="88" w:right="94"/>
              <w:jc w:val="center"/>
              <w:rPr>
                <w:b/>
                <w:sz w:val="16"/>
              </w:rPr>
            </w:pPr>
            <w:r>
              <w:rPr>
                <w:b/>
                <w:color w:val="FFFFFF"/>
                <w:sz w:val="16"/>
              </w:rPr>
              <w:t>Total in class at June 2018</w:t>
            </w:r>
          </w:p>
          <w:p>
            <w:pPr>
              <w:pStyle w:val="TableParagraph"/>
              <w:spacing w:line="183" w:lineRule="exact" w:before="0"/>
              <w:ind w:left="88" w:right="88"/>
              <w:jc w:val="center"/>
              <w:rPr>
                <w:b/>
                <w:sz w:val="16"/>
              </w:rPr>
            </w:pPr>
            <w:r>
              <w:rPr>
                <w:b/>
                <w:color w:val="FFFFFF"/>
                <w:sz w:val="16"/>
              </w:rPr>
              <w:t>– people</w:t>
            </w:r>
          </w:p>
        </w:tc>
        <w:tc>
          <w:tcPr>
            <w:tcW w:w="1180" w:type="dxa"/>
            <w:tcBorders>
              <w:top w:val="nil"/>
              <w:left w:val="nil"/>
              <w:bottom w:val="nil"/>
              <w:right w:val="nil"/>
            </w:tcBorders>
            <w:shd w:val="clear" w:color="auto" w:fill="DF2F1E"/>
          </w:tcPr>
          <w:p>
            <w:pPr>
              <w:pStyle w:val="TableParagraph"/>
              <w:ind w:left="128" w:right="139" w:firstLine="1"/>
              <w:jc w:val="center"/>
              <w:rPr>
                <w:b/>
                <w:i/>
                <w:sz w:val="16"/>
              </w:rPr>
            </w:pPr>
            <w:r>
              <w:rPr>
                <w:b/>
                <w:i/>
                <w:color w:val="FFFFFF"/>
                <w:sz w:val="16"/>
              </w:rPr>
              <w:t>Total in </w:t>
            </w:r>
            <w:r>
              <w:rPr>
                <w:b/>
                <w:i/>
                <w:color w:val="FFFFFF"/>
                <w:sz w:val="16"/>
              </w:rPr>
              <w:t>class at June 2018 – Ave LTC</w:t>
            </w:r>
          </w:p>
        </w:tc>
      </w:tr>
      <w:tr>
        <w:trPr>
          <w:trHeight w:val="261" w:hRule="atLeast"/>
        </w:trPr>
        <w:tc>
          <w:tcPr>
            <w:tcW w:w="2609" w:type="dxa"/>
            <w:tcBorders>
              <w:top w:val="nil"/>
              <w:right w:val="single" w:sz="8" w:space="0" w:color="DF2F1E"/>
            </w:tcBorders>
          </w:tcPr>
          <w:p>
            <w:pPr>
              <w:pStyle w:val="TableParagraph"/>
              <w:spacing w:before="32"/>
              <w:ind w:left="107"/>
              <w:rPr>
                <w:b/>
                <w:sz w:val="16"/>
              </w:rPr>
            </w:pPr>
            <w:r>
              <w:rPr>
                <w:b/>
                <w:color w:val="404040"/>
                <w:sz w:val="16"/>
              </w:rPr>
              <w:t>Newstart Allowance</w:t>
            </w:r>
          </w:p>
        </w:tc>
        <w:tc>
          <w:tcPr>
            <w:tcW w:w="1265" w:type="dxa"/>
            <w:tcBorders>
              <w:top w:val="nil"/>
              <w:left w:val="single" w:sz="8" w:space="0" w:color="DF2F1E"/>
              <w:right w:val="nil"/>
            </w:tcBorders>
          </w:tcPr>
          <w:p>
            <w:pPr>
              <w:pStyle w:val="TableParagraph"/>
              <w:spacing w:before="34"/>
              <w:ind w:right="437"/>
              <w:jc w:val="right"/>
              <w:rPr>
                <w:sz w:val="16"/>
              </w:rPr>
            </w:pPr>
            <w:r>
              <w:rPr>
                <w:color w:val="404040"/>
                <w:sz w:val="16"/>
              </w:rPr>
              <w:t>722,000</w:t>
            </w:r>
          </w:p>
        </w:tc>
        <w:tc>
          <w:tcPr>
            <w:tcW w:w="1174" w:type="dxa"/>
            <w:tcBorders>
              <w:top w:val="nil"/>
              <w:left w:val="nil"/>
              <w:right w:val="single" w:sz="4" w:space="0" w:color="FF0000"/>
            </w:tcBorders>
          </w:tcPr>
          <w:p>
            <w:pPr>
              <w:pStyle w:val="TableParagraph"/>
              <w:spacing w:before="34"/>
              <w:ind w:left="335"/>
              <w:rPr>
                <w:i/>
                <w:sz w:val="16"/>
              </w:rPr>
            </w:pPr>
            <w:r>
              <w:rPr>
                <w:i/>
                <w:color w:val="404040"/>
                <w:sz w:val="16"/>
              </w:rPr>
              <w:t>$420k</w:t>
            </w:r>
          </w:p>
        </w:tc>
        <w:tc>
          <w:tcPr>
            <w:tcW w:w="1242" w:type="dxa"/>
            <w:tcBorders>
              <w:left w:val="single" w:sz="4" w:space="0" w:color="FF0000"/>
              <w:right w:val="nil"/>
            </w:tcBorders>
          </w:tcPr>
          <w:p>
            <w:pPr>
              <w:pStyle w:val="TableParagraph"/>
              <w:spacing w:before="34"/>
              <w:ind w:right="396"/>
              <w:jc w:val="right"/>
              <w:rPr>
                <w:sz w:val="16"/>
              </w:rPr>
            </w:pPr>
            <w:r>
              <w:rPr>
                <w:color w:val="404040"/>
                <w:sz w:val="16"/>
              </w:rPr>
              <w:t>316,000</w:t>
            </w:r>
          </w:p>
        </w:tc>
        <w:tc>
          <w:tcPr>
            <w:tcW w:w="1197" w:type="dxa"/>
            <w:tcBorders>
              <w:left w:val="nil"/>
              <w:right w:val="single" w:sz="4" w:space="0" w:color="FF0000"/>
            </w:tcBorders>
          </w:tcPr>
          <w:p>
            <w:pPr>
              <w:pStyle w:val="TableParagraph"/>
              <w:spacing w:before="34"/>
              <w:ind w:left="357"/>
              <w:rPr>
                <w:i/>
                <w:sz w:val="16"/>
              </w:rPr>
            </w:pPr>
            <w:r>
              <w:rPr>
                <w:i/>
                <w:color w:val="404040"/>
                <w:sz w:val="16"/>
              </w:rPr>
              <w:t>$308k</w:t>
            </w:r>
          </w:p>
        </w:tc>
        <w:tc>
          <w:tcPr>
            <w:tcW w:w="1260" w:type="dxa"/>
            <w:tcBorders>
              <w:left w:val="single" w:sz="4" w:space="0" w:color="FF0000"/>
              <w:right w:val="nil"/>
            </w:tcBorders>
          </w:tcPr>
          <w:p>
            <w:pPr>
              <w:pStyle w:val="TableParagraph"/>
              <w:spacing w:before="32"/>
              <w:ind w:right="415"/>
              <w:jc w:val="right"/>
              <w:rPr>
                <w:b/>
                <w:sz w:val="16"/>
              </w:rPr>
            </w:pPr>
            <w:r>
              <w:rPr>
                <w:b/>
                <w:color w:val="404040"/>
                <w:sz w:val="16"/>
              </w:rPr>
              <w:t>1,038,000</w:t>
            </w:r>
          </w:p>
        </w:tc>
        <w:tc>
          <w:tcPr>
            <w:tcW w:w="1180" w:type="dxa"/>
            <w:tcBorders>
              <w:left w:val="nil"/>
            </w:tcBorders>
          </w:tcPr>
          <w:p>
            <w:pPr>
              <w:pStyle w:val="TableParagraph"/>
              <w:spacing w:before="34"/>
              <w:ind w:left="310" w:right="379"/>
              <w:jc w:val="center"/>
              <w:rPr>
                <w:b/>
                <w:i/>
                <w:sz w:val="16"/>
              </w:rPr>
            </w:pPr>
            <w:r>
              <w:rPr>
                <w:b/>
                <w:i/>
                <w:color w:val="404040"/>
                <w:sz w:val="16"/>
              </w:rPr>
              <w:t>$386k</w:t>
            </w:r>
          </w:p>
        </w:tc>
      </w:tr>
      <w:tr>
        <w:trPr>
          <w:trHeight w:val="263" w:hRule="atLeast"/>
        </w:trPr>
        <w:tc>
          <w:tcPr>
            <w:tcW w:w="2609" w:type="dxa"/>
            <w:tcBorders>
              <w:right w:val="single" w:sz="8" w:space="0" w:color="DF2F1E"/>
            </w:tcBorders>
          </w:tcPr>
          <w:p>
            <w:pPr>
              <w:pStyle w:val="TableParagraph"/>
              <w:spacing w:before="34"/>
              <w:ind w:left="107"/>
              <w:rPr>
                <w:b/>
                <w:sz w:val="16"/>
              </w:rPr>
            </w:pPr>
            <w:r>
              <w:rPr>
                <w:b/>
                <w:color w:val="404040"/>
                <w:sz w:val="16"/>
              </w:rPr>
              <w:t>Youth Allowance (other)</w:t>
            </w:r>
          </w:p>
        </w:tc>
        <w:tc>
          <w:tcPr>
            <w:tcW w:w="1265" w:type="dxa"/>
            <w:tcBorders>
              <w:left w:val="single" w:sz="8" w:space="0" w:color="DF2F1E"/>
              <w:right w:val="nil"/>
            </w:tcBorders>
          </w:tcPr>
          <w:p>
            <w:pPr>
              <w:pStyle w:val="TableParagraph"/>
              <w:ind w:right="437"/>
              <w:jc w:val="right"/>
              <w:rPr>
                <w:sz w:val="16"/>
              </w:rPr>
            </w:pPr>
            <w:r>
              <w:rPr>
                <w:color w:val="404040"/>
                <w:sz w:val="16"/>
              </w:rPr>
              <w:t>94,000</w:t>
            </w:r>
          </w:p>
        </w:tc>
        <w:tc>
          <w:tcPr>
            <w:tcW w:w="1174" w:type="dxa"/>
            <w:tcBorders>
              <w:left w:val="nil"/>
              <w:right w:val="single" w:sz="4" w:space="0" w:color="FF0000"/>
            </w:tcBorders>
          </w:tcPr>
          <w:p>
            <w:pPr>
              <w:pStyle w:val="TableParagraph"/>
              <w:ind w:left="335"/>
              <w:rPr>
                <w:i/>
                <w:sz w:val="16"/>
              </w:rPr>
            </w:pPr>
            <w:r>
              <w:rPr>
                <w:i/>
                <w:color w:val="404040"/>
                <w:sz w:val="16"/>
              </w:rPr>
              <w:t>$392k</w:t>
            </w:r>
          </w:p>
        </w:tc>
        <w:tc>
          <w:tcPr>
            <w:tcW w:w="1242" w:type="dxa"/>
            <w:tcBorders>
              <w:left w:val="single" w:sz="4" w:space="0" w:color="FF0000"/>
              <w:right w:val="nil"/>
            </w:tcBorders>
          </w:tcPr>
          <w:p>
            <w:pPr>
              <w:pStyle w:val="TableParagraph"/>
              <w:ind w:right="396"/>
              <w:jc w:val="right"/>
              <w:rPr>
                <w:sz w:val="16"/>
              </w:rPr>
            </w:pPr>
            <w:r>
              <w:rPr>
                <w:color w:val="404040"/>
                <w:sz w:val="16"/>
              </w:rPr>
              <w:t>61,000</w:t>
            </w:r>
          </w:p>
        </w:tc>
        <w:tc>
          <w:tcPr>
            <w:tcW w:w="1197" w:type="dxa"/>
            <w:tcBorders>
              <w:left w:val="nil"/>
              <w:right w:val="single" w:sz="4" w:space="0" w:color="FF0000"/>
            </w:tcBorders>
          </w:tcPr>
          <w:p>
            <w:pPr>
              <w:pStyle w:val="TableParagraph"/>
              <w:ind w:left="357"/>
              <w:rPr>
                <w:i/>
                <w:sz w:val="16"/>
              </w:rPr>
            </w:pPr>
            <w:r>
              <w:rPr>
                <w:i/>
                <w:color w:val="404040"/>
                <w:sz w:val="16"/>
              </w:rPr>
              <w:t>$298k</w:t>
            </w:r>
          </w:p>
        </w:tc>
        <w:tc>
          <w:tcPr>
            <w:tcW w:w="1260" w:type="dxa"/>
            <w:tcBorders>
              <w:left w:val="single" w:sz="4" w:space="0" w:color="FF0000"/>
              <w:right w:val="nil"/>
            </w:tcBorders>
          </w:tcPr>
          <w:p>
            <w:pPr>
              <w:pStyle w:val="TableParagraph"/>
              <w:spacing w:before="34"/>
              <w:ind w:right="414"/>
              <w:jc w:val="right"/>
              <w:rPr>
                <w:b/>
                <w:sz w:val="16"/>
              </w:rPr>
            </w:pPr>
            <w:r>
              <w:rPr>
                <w:b/>
                <w:color w:val="404040"/>
                <w:sz w:val="16"/>
              </w:rPr>
              <w:t>155,000</w:t>
            </w:r>
          </w:p>
        </w:tc>
        <w:tc>
          <w:tcPr>
            <w:tcW w:w="1180" w:type="dxa"/>
            <w:tcBorders>
              <w:left w:val="nil"/>
            </w:tcBorders>
          </w:tcPr>
          <w:p>
            <w:pPr>
              <w:pStyle w:val="TableParagraph"/>
              <w:ind w:left="310" w:right="379"/>
              <w:jc w:val="center"/>
              <w:rPr>
                <w:b/>
                <w:i/>
                <w:sz w:val="16"/>
              </w:rPr>
            </w:pPr>
            <w:r>
              <w:rPr>
                <w:b/>
                <w:i/>
                <w:color w:val="404040"/>
                <w:sz w:val="16"/>
              </w:rPr>
              <w:t>$354k</w:t>
            </w:r>
          </w:p>
        </w:tc>
      </w:tr>
      <w:tr>
        <w:trPr>
          <w:trHeight w:val="263" w:hRule="atLeast"/>
        </w:trPr>
        <w:tc>
          <w:tcPr>
            <w:tcW w:w="2609" w:type="dxa"/>
            <w:tcBorders>
              <w:right w:val="single" w:sz="8" w:space="0" w:color="DF2F1E"/>
            </w:tcBorders>
          </w:tcPr>
          <w:p>
            <w:pPr>
              <w:pStyle w:val="TableParagraph"/>
              <w:spacing w:before="34"/>
              <w:ind w:left="107"/>
              <w:rPr>
                <w:b/>
                <w:sz w:val="16"/>
              </w:rPr>
            </w:pPr>
            <w:r>
              <w:rPr>
                <w:b/>
                <w:color w:val="404040"/>
                <w:sz w:val="16"/>
              </w:rPr>
              <w:t>Other Class 2 payments</w:t>
            </w:r>
          </w:p>
        </w:tc>
        <w:tc>
          <w:tcPr>
            <w:tcW w:w="1265" w:type="dxa"/>
            <w:tcBorders>
              <w:left w:val="single" w:sz="8" w:space="0" w:color="DF2F1E"/>
              <w:right w:val="nil"/>
            </w:tcBorders>
          </w:tcPr>
          <w:p>
            <w:pPr>
              <w:pStyle w:val="TableParagraph"/>
              <w:ind w:right="437"/>
              <w:jc w:val="right"/>
              <w:rPr>
                <w:sz w:val="16"/>
              </w:rPr>
            </w:pPr>
            <w:r>
              <w:rPr>
                <w:color w:val="404040"/>
                <w:sz w:val="16"/>
              </w:rPr>
              <w:t>30,000</w:t>
            </w:r>
          </w:p>
        </w:tc>
        <w:tc>
          <w:tcPr>
            <w:tcW w:w="1174" w:type="dxa"/>
            <w:tcBorders>
              <w:left w:val="nil"/>
              <w:right w:val="single" w:sz="4" w:space="0" w:color="FF0000"/>
            </w:tcBorders>
          </w:tcPr>
          <w:p>
            <w:pPr>
              <w:pStyle w:val="TableParagraph"/>
              <w:ind w:left="335"/>
              <w:rPr>
                <w:i/>
                <w:sz w:val="16"/>
              </w:rPr>
            </w:pPr>
            <w:r>
              <w:rPr>
                <w:i/>
                <w:color w:val="404040"/>
                <w:sz w:val="16"/>
              </w:rPr>
              <w:t>$368k</w:t>
            </w:r>
          </w:p>
        </w:tc>
        <w:tc>
          <w:tcPr>
            <w:tcW w:w="1242" w:type="dxa"/>
            <w:tcBorders>
              <w:left w:val="single" w:sz="4" w:space="0" w:color="FF0000"/>
              <w:right w:val="nil"/>
            </w:tcBorders>
          </w:tcPr>
          <w:p>
            <w:pPr>
              <w:pStyle w:val="TableParagraph"/>
              <w:ind w:right="396"/>
              <w:jc w:val="right"/>
              <w:rPr>
                <w:sz w:val="16"/>
              </w:rPr>
            </w:pPr>
            <w:r>
              <w:rPr>
                <w:color w:val="404040"/>
                <w:sz w:val="16"/>
              </w:rPr>
              <w:t>14,000</w:t>
            </w:r>
          </w:p>
        </w:tc>
        <w:tc>
          <w:tcPr>
            <w:tcW w:w="1197" w:type="dxa"/>
            <w:tcBorders>
              <w:left w:val="nil"/>
              <w:right w:val="single" w:sz="4" w:space="0" w:color="FF0000"/>
            </w:tcBorders>
          </w:tcPr>
          <w:p>
            <w:pPr>
              <w:pStyle w:val="TableParagraph"/>
              <w:ind w:left="357"/>
              <w:rPr>
                <w:i/>
                <w:sz w:val="16"/>
              </w:rPr>
            </w:pPr>
            <w:r>
              <w:rPr>
                <w:i/>
                <w:color w:val="404040"/>
                <w:sz w:val="16"/>
              </w:rPr>
              <w:t>$284k</w:t>
            </w:r>
          </w:p>
        </w:tc>
        <w:tc>
          <w:tcPr>
            <w:tcW w:w="1260" w:type="dxa"/>
            <w:tcBorders>
              <w:left w:val="single" w:sz="4" w:space="0" w:color="FF0000"/>
              <w:right w:val="nil"/>
            </w:tcBorders>
          </w:tcPr>
          <w:p>
            <w:pPr>
              <w:pStyle w:val="TableParagraph"/>
              <w:spacing w:before="34"/>
              <w:ind w:right="414"/>
              <w:jc w:val="right"/>
              <w:rPr>
                <w:b/>
                <w:sz w:val="16"/>
              </w:rPr>
            </w:pPr>
            <w:r>
              <w:rPr>
                <w:b/>
                <w:color w:val="404040"/>
                <w:sz w:val="16"/>
              </w:rPr>
              <w:t>44,000</w:t>
            </w:r>
          </w:p>
        </w:tc>
        <w:tc>
          <w:tcPr>
            <w:tcW w:w="1180" w:type="dxa"/>
            <w:tcBorders>
              <w:left w:val="nil"/>
            </w:tcBorders>
          </w:tcPr>
          <w:p>
            <w:pPr>
              <w:pStyle w:val="TableParagraph"/>
              <w:ind w:left="310" w:right="379"/>
              <w:jc w:val="center"/>
              <w:rPr>
                <w:b/>
                <w:i/>
                <w:sz w:val="16"/>
              </w:rPr>
            </w:pPr>
            <w:r>
              <w:rPr>
                <w:b/>
                <w:i/>
                <w:color w:val="404040"/>
                <w:sz w:val="16"/>
              </w:rPr>
              <w:t>$341k</w:t>
            </w:r>
          </w:p>
        </w:tc>
      </w:tr>
      <w:tr>
        <w:trPr>
          <w:trHeight w:val="263" w:hRule="atLeast"/>
        </w:trPr>
        <w:tc>
          <w:tcPr>
            <w:tcW w:w="2609" w:type="dxa"/>
            <w:tcBorders>
              <w:right w:val="single" w:sz="8" w:space="0" w:color="DF2F1E"/>
            </w:tcBorders>
            <w:shd w:val="clear" w:color="auto" w:fill="F3ABA3"/>
          </w:tcPr>
          <w:p>
            <w:pPr>
              <w:pStyle w:val="TableParagraph"/>
              <w:spacing w:before="34"/>
              <w:ind w:left="107"/>
              <w:rPr>
                <w:b/>
                <w:sz w:val="16"/>
              </w:rPr>
            </w:pPr>
            <w:r>
              <w:rPr>
                <w:b/>
                <w:color w:val="404040"/>
                <w:sz w:val="16"/>
              </w:rPr>
              <w:t>Total Class 2 - Working Age</w:t>
            </w:r>
          </w:p>
        </w:tc>
        <w:tc>
          <w:tcPr>
            <w:tcW w:w="1265" w:type="dxa"/>
            <w:tcBorders>
              <w:left w:val="single" w:sz="8" w:space="0" w:color="DF2F1E"/>
              <w:right w:val="nil"/>
            </w:tcBorders>
            <w:shd w:val="clear" w:color="auto" w:fill="F3ABA3"/>
          </w:tcPr>
          <w:p>
            <w:pPr>
              <w:pStyle w:val="TableParagraph"/>
              <w:ind w:right="437"/>
              <w:jc w:val="right"/>
              <w:rPr>
                <w:sz w:val="16"/>
              </w:rPr>
            </w:pPr>
            <w:r>
              <w:rPr>
                <w:color w:val="404040"/>
                <w:sz w:val="16"/>
              </w:rPr>
              <w:t>846,000</w:t>
            </w:r>
          </w:p>
        </w:tc>
        <w:tc>
          <w:tcPr>
            <w:tcW w:w="1174" w:type="dxa"/>
            <w:tcBorders>
              <w:left w:val="nil"/>
              <w:right w:val="single" w:sz="4" w:space="0" w:color="FF0000"/>
            </w:tcBorders>
            <w:shd w:val="clear" w:color="auto" w:fill="F3ABA3"/>
          </w:tcPr>
          <w:p>
            <w:pPr>
              <w:pStyle w:val="TableParagraph"/>
              <w:ind w:left="335"/>
              <w:rPr>
                <w:i/>
                <w:sz w:val="16"/>
              </w:rPr>
            </w:pPr>
            <w:r>
              <w:rPr>
                <w:i/>
                <w:color w:val="404040"/>
                <w:sz w:val="16"/>
              </w:rPr>
              <w:t>$415k</w:t>
            </w:r>
          </w:p>
        </w:tc>
        <w:tc>
          <w:tcPr>
            <w:tcW w:w="1242" w:type="dxa"/>
            <w:tcBorders>
              <w:left w:val="single" w:sz="4" w:space="0" w:color="FF0000"/>
              <w:right w:val="nil"/>
            </w:tcBorders>
            <w:shd w:val="clear" w:color="auto" w:fill="F3ABA3"/>
          </w:tcPr>
          <w:p>
            <w:pPr>
              <w:pStyle w:val="TableParagraph"/>
              <w:ind w:right="396"/>
              <w:jc w:val="right"/>
              <w:rPr>
                <w:sz w:val="16"/>
              </w:rPr>
            </w:pPr>
            <w:r>
              <w:rPr>
                <w:color w:val="404040"/>
                <w:sz w:val="16"/>
              </w:rPr>
              <w:t>391,000</w:t>
            </w:r>
          </w:p>
        </w:tc>
        <w:tc>
          <w:tcPr>
            <w:tcW w:w="1197" w:type="dxa"/>
            <w:tcBorders>
              <w:left w:val="nil"/>
              <w:right w:val="single" w:sz="4" w:space="0" w:color="FF0000"/>
            </w:tcBorders>
            <w:shd w:val="clear" w:color="auto" w:fill="F3ABA3"/>
          </w:tcPr>
          <w:p>
            <w:pPr>
              <w:pStyle w:val="TableParagraph"/>
              <w:ind w:left="357"/>
              <w:rPr>
                <w:i/>
                <w:sz w:val="16"/>
              </w:rPr>
            </w:pPr>
            <w:r>
              <w:rPr>
                <w:i/>
                <w:color w:val="404040"/>
                <w:sz w:val="16"/>
              </w:rPr>
              <w:t>$306k</w:t>
            </w:r>
          </w:p>
        </w:tc>
        <w:tc>
          <w:tcPr>
            <w:tcW w:w="1260" w:type="dxa"/>
            <w:tcBorders>
              <w:left w:val="single" w:sz="4" w:space="0" w:color="FF0000"/>
              <w:right w:val="nil"/>
            </w:tcBorders>
            <w:shd w:val="clear" w:color="auto" w:fill="F3ABA3"/>
          </w:tcPr>
          <w:p>
            <w:pPr>
              <w:pStyle w:val="TableParagraph"/>
              <w:spacing w:before="34"/>
              <w:ind w:right="414"/>
              <w:jc w:val="right"/>
              <w:rPr>
                <w:b/>
                <w:sz w:val="16"/>
              </w:rPr>
            </w:pPr>
            <w:r>
              <w:rPr>
                <w:b/>
                <w:color w:val="404040"/>
                <w:sz w:val="16"/>
              </w:rPr>
              <w:t>1,237,000</w:t>
            </w:r>
          </w:p>
        </w:tc>
        <w:tc>
          <w:tcPr>
            <w:tcW w:w="1180" w:type="dxa"/>
            <w:tcBorders>
              <w:left w:val="nil"/>
            </w:tcBorders>
            <w:shd w:val="clear" w:color="auto" w:fill="F3ABA3"/>
          </w:tcPr>
          <w:p>
            <w:pPr>
              <w:pStyle w:val="TableParagraph"/>
              <w:ind w:left="310" w:right="379"/>
              <w:jc w:val="center"/>
              <w:rPr>
                <w:b/>
                <w:i/>
                <w:sz w:val="16"/>
              </w:rPr>
            </w:pPr>
            <w:r>
              <w:rPr>
                <w:b/>
                <w:i/>
                <w:color w:val="404040"/>
                <w:sz w:val="16"/>
              </w:rPr>
              <w:t>$380k</w:t>
            </w:r>
          </w:p>
        </w:tc>
      </w:tr>
    </w:tbl>
    <w:p>
      <w:pPr>
        <w:spacing w:before="78"/>
        <w:ind w:left="900" w:right="1247" w:hanging="1"/>
        <w:jc w:val="left"/>
        <w:rPr>
          <w:sz w:val="16"/>
        </w:rPr>
      </w:pPr>
      <w:r>
        <w:rPr>
          <w:color w:val="DF2F1E"/>
          <w:sz w:val="16"/>
        </w:rPr>
        <w:t>The table above does not consider supplements where being in receipt of a payment at the valuation date is not as easily defined – for example FTB payments relate to a tax year rather than a point in time. We have also not considered the Age Pension, for which the vast majority of the population would be on payment at the year end given the rate of exits from this class.</w:t>
      </w:r>
    </w:p>
    <w:p>
      <w:pPr>
        <w:spacing w:after="0"/>
        <w:jc w:val="left"/>
        <w:rPr>
          <w:sz w:val="16"/>
        </w:rPr>
        <w:sectPr>
          <w:type w:val="continuous"/>
          <w:pgSz w:w="11910" w:h="16850"/>
          <w:pgMar w:top="1600" w:bottom="280" w:left="120" w:right="0"/>
        </w:sectPr>
      </w:pPr>
    </w:p>
    <w:p>
      <w:pPr>
        <w:pStyle w:val="BodyText"/>
      </w:pPr>
    </w:p>
    <w:p>
      <w:pPr>
        <w:pStyle w:val="BodyText"/>
      </w:pPr>
    </w:p>
    <w:p>
      <w:pPr>
        <w:pStyle w:val="BodyText"/>
        <w:spacing w:before="2"/>
        <w:rPr>
          <w:sz w:val="21"/>
        </w:rPr>
      </w:pPr>
    </w:p>
    <w:p>
      <w:pPr>
        <w:pStyle w:val="ListParagraph"/>
        <w:numPr>
          <w:ilvl w:val="0"/>
          <w:numId w:val="21"/>
        </w:numPr>
        <w:tabs>
          <w:tab w:pos="1184" w:val="left" w:leader="none"/>
        </w:tabs>
        <w:spacing w:line="240" w:lineRule="auto" w:before="99" w:after="0"/>
        <w:ind w:left="1183" w:right="1218" w:hanging="284"/>
        <w:jc w:val="left"/>
        <w:rPr>
          <w:sz w:val="20"/>
        </w:rPr>
      </w:pPr>
      <w:r>
        <w:rPr>
          <w:color w:val="404040"/>
          <w:sz w:val="20"/>
        </w:rPr>
        <w:t>Of the 1,237,000 people in this class, 846,000 were in receipt of a payment at the end of the year and 722,000 of these related to the Newstart Allowance. This number should align closely with the definitions used in ‘point in time’ counts of Newstart recipients. The DSS Payment Demographic Data, for example, showed 728,000 Newstart recipients at June 2018 compared to 722,000 in the table above, confirming the close</w:t>
      </w:r>
      <w:r>
        <w:rPr>
          <w:color w:val="404040"/>
          <w:spacing w:val="-2"/>
          <w:sz w:val="20"/>
        </w:rPr>
        <w:t> </w:t>
      </w:r>
      <w:r>
        <w:rPr>
          <w:color w:val="404040"/>
          <w:sz w:val="20"/>
        </w:rPr>
        <w:t>alignment.</w:t>
      </w:r>
    </w:p>
    <w:p>
      <w:pPr>
        <w:pStyle w:val="ListParagraph"/>
        <w:numPr>
          <w:ilvl w:val="0"/>
          <w:numId w:val="21"/>
        </w:numPr>
        <w:tabs>
          <w:tab w:pos="1184" w:val="left" w:leader="none"/>
        </w:tabs>
        <w:spacing w:line="240" w:lineRule="auto" w:before="117" w:after="0"/>
        <w:ind w:left="1183" w:right="1243" w:hanging="284"/>
        <w:jc w:val="left"/>
        <w:rPr>
          <w:sz w:val="20"/>
        </w:rPr>
      </w:pPr>
      <w:r>
        <w:rPr>
          <w:color w:val="404040"/>
          <w:sz w:val="20"/>
        </w:rPr>
        <w:t>The Investment Approach definition includes a further 316,000 people who had received Newstart Allowance earlier in the year but have subsequently stopped receiving any income support, due to gaining sufficient employment so as to exit payment or other circumstance changes. As discussed earlier, the modelling shows that this group, while having a lower average lifetime cost, still have significant risk of cycling back onto income support compared to those who have remained off for more than a</w:t>
      </w:r>
      <w:r>
        <w:rPr>
          <w:color w:val="404040"/>
          <w:spacing w:val="-24"/>
          <w:sz w:val="20"/>
        </w:rPr>
        <w:t> </w:t>
      </w:r>
      <w:r>
        <w:rPr>
          <w:color w:val="404040"/>
          <w:sz w:val="20"/>
        </w:rPr>
        <w:t>year.</w:t>
      </w:r>
    </w:p>
    <w:p>
      <w:pPr>
        <w:pStyle w:val="ListParagraph"/>
        <w:numPr>
          <w:ilvl w:val="0"/>
          <w:numId w:val="21"/>
        </w:numPr>
        <w:tabs>
          <w:tab w:pos="1184" w:val="left" w:leader="none"/>
        </w:tabs>
        <w:spacing w:line="240" w:lineRule="auto" w:before="119" w:after="0"/>
        <w:ind w:left="1183" w:right="1133" w:hanging="284"/>
        <w:jc w:val="left"/>
        <w:rPr>
          <w:sz w:val="20"/>
        </w:rPr>
      </w:pPr>
      <w:r>
        <w:rPr>
          <w:color w:val="404040"/>
          <w:sz w:val="20"/>
        </w:rPr>
        <w:t>The average lifetime cost is highest for Newstart Allowance recipients (at $386,000). This is in part due to a higher expected persistency on income support for Newstart recipients, when compared to the average for this class. This also in part reflects the higher average age of the Newstart Allowance recipients, which means that there is less discounting for the projected Age Pension</w:t>
      </w:r>
      <w:r>
        <w:rPr>
          <w:color w:val="404040"/>
          <w:spacing w:val="-8"/>
          <w:sz w:val="20"/>
        </w:rPr>
        <w:t> </w:t>
      </w:r>
      <w:r>
        <w:rPr>
          <w:color w:val="404040"/>
          <w:sz w:val="20"/>
        </w:rPr>
        <w:t>payments.</w:t>
      </w:r>
    </w:p>
    <w:p>
      <w:pPr>
        <w:pStyle w:val="BodyText"/>
        <w:spacing w:before="7"/>
      </w:pPr>
    </w:p>
    <w:p>
      <w:pPr>
        <w:pStyle w:val="ListParagraph"/>
        <w:numPr>
          <w:ilvl w:val="1"/>
          <w:numId w:val="15"/>
        </w:numPr>
        <w:tabs>
          <w:tab w:pos="1752" w:val="left" w:leader="none"/>
          <w:tab w:pos="1753" w:val="left" w:leader="none"/>
        </w:tabs>
        <w:spacing w:line="240" w:lineRule="auto" w:before="0" w:after="0"/>
        <w:ind w:left="1752" w:right="0" w:hanging="853"/>
        <w:jc w:val="left"/>
        <w:rPr>
          <w:sz w:val="28"/>
        </w:rPr>
      </w:pPr>
      <w:bookmarkStart w:name="2.5 Drivers of lifetime cost" w:id="83"/>
      <w:bookmarkEnd w:id="83"/>
      <w:r>
        <w:rPr/>
      </w:r>
      <w:bookmarkStart w:name="_bookmark19" w:id="84"/>
      <w:bookmarkEnd w:id="84"/>
      <w:r>
        <w:rPr/>
      </w:r>
      <w:bookmarkStart w:name="_bookmark19" w:id="85"/>
      <w:bookmarkEnd w:id="85"/>
      <w:r>
        <w:rPr>
          <w:color w:val="DF2F28"/>
          <w:sz w:val="28"/>
        </w:rPr>
        <w:t>D</w:t>
      </w:r>
      <w:r>
        <w:rPr>
          <w:color w:val="DF2F28"/>
          <w:sz w:val="28"/>
        </w:rPr>
        <w:t>rivers of lifetime</w:t>
      </w:r>
      <w:r>
        <w:rPr>
          <w:color w:val="DF2F28"/>
          <w:spacing w:val="1"/>
          <w:sz w:val="28"/>
        </w:rPr>
        <w:t> </w:t>
      </w:r>
      <w:r>
        <w:rPr>
          <w:color w:val="DF2F28"/>
          <w:sz w:val="28"/>
        </w:rPr>
        <w:t>cost</w:t>
      </w:r>
    </w:p>
    <w:p>
      <w:pPr>
        <w:pStyle w:val="BodyText"/>
        <w:spacing w:before="122"/>
        <w:ind w:left="899" w:right="1199"/>
      </w:pPr>
      <w:r>
        <w:rPr>
          <w:color w:val="404040"/>
        </w:rPr>
        <w:t>Lifetime cost is predicted to vary significantly for people, based on their circumstances or characteristics and the extent to which these are shown by the analysis to be important differentiators of welfare utilisation or payment size. Although the underlying model is complex and takes into account many interactions, it is useful to identify and understand in more simple terms the key drivers that differentiate the lifetime cost of an individual. These drivers vary for the different segments of the population.</w:t>
      </w:r>
    </w:p>
    <w:p>
      <w:pPr>
        <w:pStyle w:val="BodyText"/>
        <w:spacing w:before="120"/>
        <w:ind w:left="899" w:right="1275"/>
        <w:jc w:val="both"/>
      </w:pPr>
      <w:r>
        <w:rPr>
          <w:color w:val="404040"/>
        </w:rPr>
        <w:t>The following charts present a summary of the key drivers of the lifetime cost for each pre-retirement income support class (classes 1 to 5). The bars represent the importance of each variable (in terms of predicting the lifetime cost), relative to the most significant variable for that class. Variables are shown below a dotted line if they do not feature in the top ten most predictive variables but are of specific interest.</w:t>
      </w:r>
    </w:p>
    <w:p>
      <w:pPr>
        <w:pStyle w:val="BodyText"/>
        <w:spacing w:before="120"/>
        <w:ind w:left="899" w:right="1499"/>
      </w:pPr>
      <w:r>
        <w:rPr>
          <w:color w:val="404040"/>
        </w:rPr>
        <w:t>We have also shown a table next to each chart, providing details of the specific characteristics within each variable that are associated with higher (or lower) lifetime costs.</w:t>
      </w:r>
    </w:p>
    <w:p>
      <w:pPr>
        <w:spacing w:after="0"/>
        <w:sectPr>
          <w:pgSz w:w="11910" w:h="16850"/>
          <w:pgMar w:header="572" w:footer="581" w:top="780" w:bottom="780" w:left="120" w:right="0"/>
        </w:sectPr>
      </w:pPr>
    </w:p>
    <w:p>
      <w:pPr>
        <w:pStyle w:val="BodyText"/>
      </w:pPr>
    </w:p>
    <w:p>
      <w:pPr>
        <w:pStyle w:val="BodyText"/>
      </w:pPr>
    </w:p>
    <w:p>
      <w:pPr>
        <w:pStyle w:val="BodyText"/>
        <w:spacing w:before="5"/>
        <w:rPr>
          <w:sz w:val="21"/>
        </w:rPr>
      </w:pPr>
    </w:p>
    <w:p>
      <w:pPr>
        <w:pStyle w:val="Heading9"/>
      </w:pPr>
      <w:r>
        <w:rPr>
          <w:color w:val="DF2F1E"/>
        </w:rPr>
        <w:t>Figure 20: Key drivers of lifetime cost by welfare class</w:t>
      </w:r>
    </w:p>
    <w:p>
      <w:pPr>
        <w:pStyle w:val="BodyText"/>
        <w:spacing w:before="4"/>
        <w:rPr>
          <w:b/>
          <w:sz w:val="13"/>
        </w:rPr>
      </w:pPr>
    </w:p>
    <w:p>
      <w:pPr>
        <w:tabs>
          <w:tab w:pos="4236" w:val="left" w:leader="none"/>
          <w:tab w:pos="5578" w:val="left" w:leader="none"/>
          <w:tab w:pos="7417" w:val="left" w:leader="none"/>
          <w:tab w:pos="9493" w:val="left" w:leader="none"/>
        </w:tabs>
        <w:spacing w:before="73"/>
        <w:ind w:left="2399" w:right="0" w:firstLine="0"/>
        <w:jc w:val="left"/>
        <w:rPr>
          <w:rFonts w:ascii="Calibri"/>
          <w:sz w:val="15"/>
        </w:rPr>
      </w:pPr>
      <w:r>
        <w:rPr/>
        <w:pict>
          <v:rect style="position:absolute;margin-left:119.783447pt;margin-top:6.462279pt;width:4.280468pt;height:4.20861pt;mso-position-horizontal-relative:page;mso-position-vertical-relative:paragraph;z-index:251854848" filled="true" fillcolor="#4f81bc" stroked="false">
            <v:fill type="solid"/>
            <w10:wrap type="none"/>
          </v:rect>
        </w:pict>
      </w:r>
      <w:r>
        <w:rPr/>
        <w:pict>
          <v:rect style="position:absolute;margin-left:211.695343pt;margin-top:6.462279pt;width:4.222568pt;height:4.20861pt;mso-position-horizontal-relative:page;mso-position-vertical-relative:paragraph;z-index:-288047104" filled="true" fillcolor="#8063a1" stroked="false">
            <v:fill type="solid"/>
            <w10:wrap type="none"/>
          </v:rect>
        </w:pict>
      </w:r>
      <w:r>
        <w:rPr/>
        <w:pict>
          <v:rect style="position:absolute;margin-left:278.734863pt;margin-top:6.462279pt;width:4.22251pt;height:4.20861pt;mso-position-horizontal-relative:page;mso-position-vertical-relative:paragraph;z-index:-288046080" filled="true" fillcolor="#c0504d" stroked="false">
            <v:fill type="solid"/>
            <w10:wrap type="none"/>
          </v:rect>
        </w:pict>
      </w:r>
      <w:r>
        <w:rPr/>
        <w:pict>
          <v:rect style="position:absolute;margin-left:370.704712pt;margin-top:6.462279pt;width:4.222568pt;height:4.20861pt;mso-position-horizontal-relative:page;mso-position-vertical-relative:paragraph;z-index:-288045056" filled="true" fillcolor="#4aacc5" stroked="false">
            <v:fill type="solid"/>
            <w10:wrap type="none"/>
          </v:rect>
        </w:pict>
      </w:r>
      <w:r>
        <w:rPr/>
        <w:pict>
          <v:rect style="position:absolute;margin-left:474.532074pt;margin-top:6.462279pt;width:4.22251pt;height:4.20861pt;mso-position-horizontal-relative:page;mso-position-vertical-relative:paragraph;z-index:-288044032" filled="true" fillcolor="#9bba58" stroked="false">
            <v:fill type="solid"/>
            <w10:wrap type="none"/>
          </v:rect>
        </w:pict>
      </w:r>
      <w:r>
        <w:rPr>
          <w:rFonts w:ascii="Calibri"/>
          <w:w w:val="105"/>
          <w:sz w:val="15"/>
        </w:rPr>
        <w:t>Demographic</w:t>
      </w:r>
      <w:r>
        <w:rPr>
          <w:rFonts w:ascii="Calibri"/>
          <w:spacing w:val="-12"/>
          <w:w w:val="105"/>
          <w:sz w:val="15"/>
        </w:rPr>
        <w:t> </w:t>
      </w:r>
      <w:r>
        <w:rPr>
          <w:rFonts w:ascii="Calibri"/>
          <w:w w:val="105"/>
          <w:sz w:val="15"/>
        </w:rPr>
        <w:t>attributes</w:t>
        <w:tab/>
        <w:t>Family</w:t>
      </w:r>
      <w:r>
        <w:rPr>
          <w:rFonts w:ascii="Calibri"/>
          <w:spacing w:val="-9"/>
          <w:w w:val="105"/>
          <w:sz w:val="15"/>
        </w:rPr>
        <w:t> </w:t>
      </w:r>
      <w:r>
        <w:rPr>
          <w:rFonts w:ascii="Calibri"/>
          <w:w w:val="105"/>
          <w:sz w:val="15"/>
        </w:rPr>
        <w:t>situation</w:t>
        <w:tab/>
        <w:t>Welfare use</w:t>
      </w:r>
      <w:r>
        <w:rPr>
          <w:rFonts w:ascii="Calibri"/>
          <w:spacing w:val="-16"/>
          <w:w w:val="105"/>
          <w:sz w:val="15"/>
        </w:rPr>
        <w:t> </w:t>
      </w:r>
      <w:r>
        <w:rPr>
          <w:rFonts w:ascii="Calibri"/>
          <w:w w:val="105"/>
          <w:sz w:val="15"/>
        </w:rPr>
        <w:t>and</w:t>
      </w:r>
      <w:r>
        <w:rPr>
          <w:rFonts w:ascii="Calibri"/>
          <w:spacing w:val="-8"/>
          <w:w w:val="105"/>
          <w:sz w:val="15"/>
        </w:rPr>
        <w:t> </w:t>
      </w:r>
      <w:r>
        <w:rPr>
          <w:rFonts w:ascii="Calibri"/>
          <w:w w:val="105"/>
          <w:sz w:val="15"/>
        </w:rPr>
        <w:t>history</w:t>
        <w:tab/>
        <w:t>Education</w:t>
      </w:r>
      <w:r>
        <w:rPr>
          <w:rFonts w:ascii="Calibri"/>
          <w:spacing w:val="-11"/>
          <w:w w:val="105"/>
          <w:sz w:val="15"/>
        </w:rPr>
        <w:t> </w:t>
      </w:r>
      <w:r>
        <w:rPr>
          <w:rFonts w:ascii="Calibri"/>
          <w:w w:val="105"/>
          <w:sz w:val="15"/>
        </w:rPr>
        <w:t>and</w:t>
      </w:r>
      <w:r>
        <w:rPr>
          <w:rFonts w:ascii="Calibri"/>
          <w:spacing w:val="-11"/>
          <w:w w:val="105"/>
          <w:sz w:val="15"/>
        </w:rPr>
        <w:t> </w:t>
      </w:r>
      <w:r>
        <w:rPr>
          <w:rFonts w:ascii="Calibri"/>
          <w:w w:val="105"/>
          <w:sz w:val="15"/>
        </w:rPr>
        <w:t>Employment</w:t>
        <w:tab/>
        <w:t>Other</w:t>
      </w:r>
    </w:p>
    <w:p>
      <w:pPr>
        <w:pStyle w:val="BodyText"/>
        <w:spacing w:before="3"/>
        <w:rPr>
          <w:rFonts w:ascii="Calibri"/>
          <w:sz w:val="14"/>
        </w:rPr>
      </w:pPr>
    </w:p>
    <w:p>
      <w:pPr>
        <w:spacing w:before="93"/>
        <w:ind w:left="1602" w:right="1301" w:firstLine="0"/>
        <w:jc w:val="center"/>
        <w:rPr>
          <w:b/>
          <w:i/>
          <w:sz w:val="20"/>
        </w:rPr>
      </w:pPr>
      <w:r>
        <w:rPr/>
        <w:pict>
          <v:group style="position:absolute;margin-left:51.049786pt;margin-top:19.207674pt;width:513.8pt;height:158.35pt;mso-position-horizontal-relative:page;mso-position-vertical-relative:paragraph;z-index:-251480064;mso-wrap-distance-left:0;mso-wrap-distance-right:0" coordorigin="1021,384" coordsize="10276,3167">
            <v:rect style="position:absolute;left:1028;top:391;width:10268;height:624" filled="true" fillcolor="#808080" stroked="false">
              <v:fill type="solid"/>
            </v:rect>
            <v:line style="position:absolute" from="1029,2958" to="6862,2958" stroked="true" strokeweight="0pt" strokecolor="#808080">
              <v:stroke dashstyle="solid"/>
            </v:line>
            <v:shape style="position:absolute;left:1028;top:2957;width:5833;height:8" type="#_x0000_t75" stroked="false">
              <v:imagedata r:id="rId40" o:title=""/>
            </v:shape>
            <v:line style="position:absolute" from="1021,384" to="1021,3550" stroked="true" strokeweight="0pt" strokecolor="#808080">
              <v:stroke dashstyle="solid"/>
            </v:line>
            <v:line style="position:absolute" from="1025,384" to="1025,3550" stroked="true" strokeweight=".390805pt" strokecolor="#808080">
              <v:stroke dashstyle="solid"/>
            </v:line>
            <v:line style="position:absolute" from="6862,1016" to="6862,3550" stroked="true" strokeweight="0pt" strokecolor="#808080">
              <v:stroke dashstyle="solid"/>
            </v:line>
            <v:line style="position:absolute" from="6866,1016" to="6866,3550" stroked="true" strokeweight=".390805pt" strokecolor="#808080">
              <v:stroke dashstyle="solid"/>
            </v:line>
            <v:line style="position:absolute" from="11289,1016" to="11289,3550" stroked="true" strokeweight="0pt" strokecolor="#808080">
              <v:stroke dashstyle="solid"/>
            </v:line>
            <v:line style="position:absolute" from="11293,1016" to="11293,3550" stroked="true" strokeweight=".390805pt" strokecolor="#808080">
              <v:stroke dashstyle="solid"/>
            </v:line>
            <v:line style="position:absolute" from="1029,384" to="11297,384" stroked="true" strokeweight="0pt" strokecolor="#808080">
              <v:stroke dashstyle="solid"/>
            </v:line>
            <v:line style="position:absolute" from="1029,388" to="11297,388" stroked="true" strokeweight=".389936pt" strokecolor="#808080">
              <v:stroke dashstyle="solid"/>
            </v:line>
            <v:line style="position:absolute" from="1029,1008" to="11297,1008" stroked="true" strokeweight="0pt" strokecolor="#808080">
              <v:stroke dashstyle="solid"/>
            </v:line>
            <v:line style="position:absolute" from="1029,1012" to="11297,1012" stroked="true" strokeweight=".390326pt" strokecolor="#808080">
              <v:stroke dashstyle="solid"/>
            </v:line>
            <v:line style="position:absolute" from="6869,2958" to="11289,2958" stroked="true" strokeweight="0pt" strokecolor="#808080">
              <v:stroke dashstyle="solid"/>
            </v:line>
            <v:shape style="position:absolute;left:6869;top:2957;width:4420;height:8" type="#_x0000_t75" stroked="false">
              <v:imagedata r:id="rId41" o:title=""/>
            </v:shape>
            <v:line style="position:absolute" from="1029,3543" to="11297,3543" stroked="true" strokeweight="0pt" strokecolor="#808080">
              <v:stroke dashstyle="solid"/>
            </v:line>
            <v:line style="position:absolute" from="1029,3547" to="11297,3547" stroked="true" strokeweight=".389936pt" strokecolor="#808080">
              <v:stroke dashstyle="solid"/>
            </v:line>
            <v:line style="position:absolute" from="3789,1012" to="3789,3539" stroked="true" strokeweight=".390415pt" strokecolor="#d9d9d9">
              <v:stroke dashstyle="solid"/>
            </v:line>
            <v:line style="position:absolute" from="4554,1012" to="4554,1039" stroked="true" strokeweight=".390415pt" strokecolor="#d9d9d9">
              <v:stroke dashstyle="solid"/>
            </v:line>
            <v:line style="position:absolute" from="4554,1180" to="4554,1234" stroked="true" strokeweight=".390415pt" strokecolor="#d9d9d9">
              <v:stroke dashstyle="solid"/>
            </v:line>
            <v:line style="position:absolute" from="4554,1375" to="4554,1429" stroked="true" strokeweight=".390415pt" strokecolor="#d9d9d9">
              <v:stroke dashstyle="solid"/>
            </v:line>
            <v:line style="position:absolute" from="4554,1570" to="4554,1624" stroked="true" strokeweight=".390415pt" strokecolor="#d9d9d9">
              <v:stroke dashstyle="solid"/>
            </v:line>
            <v:line style="position:absolute" from="4554,1765" to="4554,1819" stroked="true" strokeweight=".390415pt" strokecolor="#d9d9d9">
              <v:stroke dashstyle="solid"/>
            </v:line>
            <v:line style="position:absolute" from="4554,1952" to="4554,2014" stroked="true" strokeweight=".390415pt" strokecolor="#d9d9d9">
              <v:stroke dashstyle="solid"/>
            </v:line>
            <v:line style="position:absolute" from="4554,2147" to="4554,2201" stroked="true" strokeweight=".390415pt" strokecolor="#d9d9d9">
              <v:stroke dashstyle="solid"/>
            </v:line>
            <v:line style="position:absolute" from="4554,2342" to="4554,2396" stroked="true" strokeweight=".390415pt" strokecolor="#d9d9d9">
              <v:stroke dashstyle="solid"/>
            </v:line>
            <v:line style="position:absolute" from="4554,2537" to="4554,2591" stroked="true" strokeweight=".390415pt" strokecolor="#d9d9d9">
              <v:stroke dashstyle="solid"/>
            </v:line>
            <v:line style="position:absolute" from="4554,2732" to="4554,3539" stroked="true" strokeweight=".390415pt" strokecolor="#d9d9d9">
              <v:stroke dashstyle="solid"/>
            </v:line>
            <v:line style="position:absolute" from="5312,1012" to="5312,1039" stroked="true" strokeweight=".390415pt" strokecolor="#d9d9d9">
              <v:stroke dashstyle="solid"/>
            </v:line>
            <v:line style="position:absolute" from="5312,1180" to="5312,1234" stroked="true" strokeweight=".390415pt" strokecolor="#d9d9d9">
              <v:stroke dashstyle="solid"/>
            </v:line>
            <v:line style="position:absolute" from="5312,1375" to="5312,1429" stroked="true" strokeweight=".390415pt" strokecolor="#d9d9d9">
              <v:stroke dashstyle="solid"/>
            </v:line>
            <v:line style="position:absolute" from="5312,1570" to="5312,1624" stroked="true" strokeweight=".390415pt" strokecolor="#d9d9d9">
              <v:stroke dashstyle="solid"/>
            </v:line>
            <v:line style="position:absolute" from="5312,1765" to="5312,3539" stroked="true" strokeweight=".390415pt" strokecolor="#d9d9d9">
              <v:stroke dashstyle="solid"/>
            </v:line>
            <v:line style="position:absolute" from="6077,1012" to="6077,1039" stroked="true" strokeweight=".390415pt" strokecolor="#d9d9d9">
              <v:stroke dashstyle="solid"/>
            </v:line>
            <v:line style="position:absolute" from="6077,1180" to="6077,1234" stroked="true" strokeweight=".390415pt" strokecolor="#d9d9d9">
              <v:stroke dashstyle="solid"/>
            </v:line>
            <v:line style="position:absolute" from="6077,1375" to="6077,3539" stroked="true" strokeweight=".390415pt" strokecolor="#d9d9d9">
              <v:stroke dashstyle="solid"/>
            </v:line>
            <v:line style="position:absolute" from="6834,1012" to="6834,1039" stroked="true" strokeweight=".390415pt" strokecolor="#d9d9d9">
              <v:stroke dashstyle="solid"/>
            </v:line>
            <v:line style="position:absolute" from="6834,1180" to="6834,3539" stroked="true" strokeweight=".390415pt" strokecolor="#d9d9d9">
              <v:stroke dashstyle="solid"/>
            </v:line>
            <v:rect style="position:absolute;left:3792;top:1039;width:3046;height:141" filled="true" fillcolor="#4f81bc" stroked="false">
              <v:fill type="solid"/>
            </v:rect>
            <v:rect style="position:absolute;left:3792;top:1234;width:2413;height:141" filled="true" fillcolor="#4f81bc" stroked="false">
              <v:fill type="solid"/>
            </v:rect>
            <v:rect style="position:absolute;left:3792;top:1429;width:1867;height:141" filled="true" fillcolor="#4f81bc" stroked="false">
              <v:fill type="solid"/>
            </v:rect>
            <v:rect style="position:absolute;left:3792;top:1624;width:1671;height:141" filled="true" fillcolor="#4f81bc" stroked="false">
              <v:fill type="solid"/>
            </v:rect>
            <v:rect style="position:absolute;left:3792;top:3371;width:563;height:141" filled="true" fillcolor="#4f81bc" stroked="false">
              <v:fill type="solid"/>
            </v:rect>
            <v:rect style="position:absolute;left:3792;top:2201;width:1156;height:141" filled="true" fillcolor="#c0504d" stroked="false">
              <v:fill type="solid"/>
            </v:rect>
            <v:rect style="position:absolute;left:3792;top:2981;width:641;height:141" filled="true" fillcolor="#c0504d" stroked="false">
              <v:fill type="solid"/>
            </v:rect>
            <v:line style="position:absolute" from="3793,1885" to="5144,1885" stroked="true" strokeweight="6.628993pt" strokecolor="#8063a1">
              <v:stroke dashstyle="solid"/>
            </v:line>
            <v:rect style="position:absolute;left:3792;top:2591;width:820;height:141" filled="true" fillcolor="#8063a1" stroked="false">
              <v:fill type="solid"/>
            </v:rect>
            <v:rect style="position:absolute;left:3792;top:2786;width:664;height:141" filled="true" fillcolor="#8063a1" stroked="false">
              <v:fill type="solid"/>
            </v:rect>
            <v:line style="position:absolute" from="3793,2080" to="4964,2080" stroked="true" strokeweight="6.62891pt" strokecolor="#4aacc5">
              <v:stroke dashstyle="solid"/>
            </v:line>
            <v:rect style="position:absolute;left:3792;top:2396;width:937;height:141" filled="true" fillcolor="#4aacc5" stroked="false">
              <v:fill type="solid"/>
            </v:rect>
            <v:rect style="position:absolute;left:3792;top:3176;width:586;height:141" filled="true" fillcolor="#4aacc5" stroked="false">
              <v:fill type="solid"/>
            </v:rect>
            <v:shape style="position:absolute;left:6049;top:2827;width:71;height:102" type="#_x0000_t202" filled="false" stroked="false">
              <v:textbox inset="0,0,0,0">
                <w:txbxContent>
                  <w:p>
                    <w:pPr>
                      <w:spacing w:line="101" w:lineRule="exact" w:before="0"/>
                      <w:ind w:left="0" w:right="0" w:firstLine="0"/>
                      <w:jc w:val="left"/>
                      <w:rPr>
                        <w:rFonts w:ascii="Calibri"/>
                        <w:b/>
                        <w:sz w:val="10"/>
                      </w:rPr>
                    </w:pPr>
                    <w:r>
                      <w:rPr>
                        <w:rFonts w:ascii="Calibri"/>
                        <w:b/>
                        <w:color w:val="7E7E7E"/>
                        <w:w w:val="101"/>
                        <w:sz w:val="10"/>
                      </w:rPr>
                      <w:t>T</w:t>
                    </w:r>
                  </w:p>
                </w:txbxContent>
              </v:textbox>
              <w10:wrap type="none"/>
            </v:shape>
            <v:shape style="position:absolute;left:6853;top:2965;width:4436;height:578" type="#_x0000_t202" filled="false" stroked="false">
              <v:textbox inset="0,0,0,0">
                <w:txbxContent>
                  <w:p>
                    <w:pPr>
                      <w:spacing w:before="5"/>
                      <w:ind w:left="39" w:right="0" w:firstLine="0"/>
                      <w:jc w:val="left"/>
                      <w:rPr>
                        <w:rFonts w:ascii="Calibri"/>
                        <w:sz w:val="15"/>
                      </w:rPr>
                    </w:pPr>
                    <w:r>
                      <w:rPr>
                        <w:rFonts w:ascii="Calibri"/>
                        <w:color w:val="585858"/>
                        <w:sz w:val="15"/>
                      </w:rPr>
                      <w:t>Parenting (Rest of population)</w:t>
                    </w:r>
                  </w:p>
                  <w:p>
                    <w:pPr>
                      <w:spacing w:line="254" w:lineRule="auto" w:before="12"/>
                      <w:ind w:left="38" w:right="701" w:firstLine="0"/>
                      <w:jc w:val="left"/>
                      <w:rPr>
                        <w:rFonts w:ascii="Calibri"/>
                        <w:sz w:val="15"/>
                      </w:rPr>
                    </w:pPr>
                    <w:r>
                      <w:rPr>
                        <w:rFonts w:ascii="Calibri"/>
                        <w:color w:val="585858"/>
                        <w:sz w:val="15"/>
                      </w:rPr>
                      <w:t>Not employed for several years (Employed for several years) Refugee (Non-refugee)</w:t>
                    </w:r>
                  </w:p>
                </w:txbxContent>
              </v:textbox>
              <w10:wrap type="none"/>
            </v:shape>
            <v:shape style="position:absolute;left:6080;top:2965;width:766;height:578" type="#_x0000_t202" filled="false" stroked="false">
              <v:textbox inset="0,0,0,0">
                <w:txbxContent>
                  <w:p>
                    <w:pPr>
                      <w:spacing w:before="32"/>
                      <w:ind w:left="23" w:right="0" w:firstLine="0"/>
                      <w:jc w:val="left"/>
                      <w:rPr>
                        <w:rFonts w:ascii="Symbol" w:hAnsi="Symbol"/>
                        <w:sz w:val="10"/>
                      </w:rPr>
                    </w:pPr>
                    <w:r>
                      <w:rPr>
                        <w:rFonts w:ascii="Calibri" w:hAnsi="Calibri"/>
                        <w:b/>
                        <w:color w:val="7E7E7E"/>
                        <w:sz w:val="10"/>
                      </w:rPr>
                      <w:t>ected Others </w:t>
                    </w:r>
                    <w:r>
                      <w:rPr>
                        <w:rFonts w:ascii="Symbol" w:hAnsi="Symbol"/>
                        <w:color w:val="7E7E7E"/>
                        <w:sz w:val="10"/>
                      </w:rPr>
                      <w:t></w:t>
                    </w:r>
                  </w:p>
                </w:txbxContent>
              </v:textbox>
              <w10:wrap type="none"/>
            </v:shape>
            <v:shape style="position:absolute;left:5979;top:3022;width:150;height:102" type="#_x0000_t202" filled="false" stroked="false">
              <v:textbox inset="0,0,0,0">
                <w:txbxContent>
                  <w:p>
                    <w:pPr>
                      <w:spacing w:line="101" w:lineRule="exact" w:before="0"/>
                      <w:ind w:left="0" w:right="0" w:firstLine="0"/>
                      <w:jc w:val="left"/>
                      <w:rPr>
                        <w:rFonts w:ascii="Calibri"/>
                        <w:b/>
                        <w:sz w:val="10"/>
                      </w:rPr>
                    </w:pPr>
                    <w:r>
                      <w:rPr>
                        <w:rFonts w:ascii="Calibri"/>
                        <w:b/>
                        <w:color w:val="7E7E7E"/>
                        <w:sz w:val="10"/>
                      </w:rPr>
                      <w:t>Sel</w:t>
                    </w:r>
                  </w:p>
                </w:txbxContent>
              </v:textbox>
              <w10:wrap type="none"/>
            </v:shape>
            <v:shape style="position:absolute;left:1028;top:2965;width:2757;height:578" type="#_x0000_t202" filled="false" stroked="false">
              <v:textbox inset="0,0,0,0">
                <w:txbxContent>
                  <w:p>
                    <w:pPr>
                      <w:spacing w:line="254" w:lineRule="auto" w:before="5"/>
                      <w:ind w:left="109" w:right="71" w:firstLine="1249"/>
                      <w:jc w:val="right"/>
                      <w:rPr>
                        <w:rFonts w:ascii="Calibri"/>
                        <w:sz w:val="15"/>
                      </w:rPr>
                    </w:pPr>
                    <w:r>
                      <w:rPr>
                        <w:rFonts w:ascii="Calibri"/>
                        <w:color w:val="585858"/>
                        <w:sz w:val="15"/>
                      </w:rPr>
                      <w:t>Previous</w:t>
                    </w:r>
                    <w:r>
                      <w:rPr>
                        <w:rFonts w:ascii="Calibri"/>
                        <w:color w:val="585858"/>
                        <w:spacing w:val="-10"/>
                        <w:sz w:val="15"/>
                      </w:rPr>
                      <w:t> </w:t>
                    </w:r>
                    <w:r>
                      <w:rPr>
                        <w:rFonts w:ascii="Calibri"/>
                        <w:color w:val="585858"/>
                        <w:sz w:val="15"/>
                      </w:rPr>
                      <w:t>welfare</w:t>
                    </w:r>
                    <w:r>
                      <w:rPr>
                        <w:rFonts w:ascii="Calibri"/>
                        <w:color w:val="585858"/>
                        <w:spacing w:val="-15"/>
                        <w:sz w:val="15"/>
                      </w:rPr>
                      <w:t> </w:t>
                    </w:r>
                    <w:r>
                      <w:rPr>
                        <w:rFonts w:ascii="Calibri"/>
                        <w:color w:val="585858"/>
                        <w:sz w:val="15"/>
                      </w:rPr>
                      <w:t>class</w:t>
                    </w:r>
                    <w:r>
                      <w:rPr>
                        <w:rFonts w:ascii="Calibri"/>
                        <w:color w:val="585858"/>
                        <w:w w:val="98"/>
                        <w:sz w:val="15"/>
                      </w:rPr>
                      <w:t> </w:t>
                    </w:r>
                    <w:r>
                      <w:rPr>
                        <w:rFonts w:ascii="Calibri"/>
                        <w:color w:val="585858"/>
                        <w:sz w:val="15"/>
                      </w:rPr>
                      <w:t>Employment</w:t>
                    </w:r>
                    <w:r>
                      <w:rPr>
                        <w:rFonts w:ascii="Calibri"/>
                        <w:color w:val="585858"/>
                        <w:spacing w:val="-19"/>
                        <w:sz w:val="15"/>
                      </w:rPr>
                      <w:t> </w:t>
                    </w:r>
                    <w:r>
                      <w:rPr>
                        <w:rFonts w:ascii="Calibri"/>
                        <w:color w:val="585858"/>
                        <w:sz w:val="15"/>
                      </w:rPr>
                      <w:t>earnings</w:t>
                    </w:r>
                    <w:r>
                      <w:rPr>
                        <w:rFonts w:ascii="Calibri"/>
                        <w:color w:val="585858"/>
                        <w:spacing w:val="-16"/>
                        <w:sz w:val="15"/>
                      </w:rPr>
                      <w:t> </w:t>
                    </w:r>
                    <w:r>
                      <w:rPr>
                        <w:rFonts w:ascii="Calibri"/>
                        <w:color w:val="585858"/>
                        <w:sz w:val="15"/>
                      </w:rPr>
                      <w:t>indicator</w:t>
                    </w:r>
                    <w:r>
                      <w:rPr>
                        <w:rFonts w:ascii="Calibri"/>
                        <w:color w:val="585858"/>
                        <w:spacing w:val="-15"/>
                        <w:sz w:val="15"/>
                      </w:rPr>
                      <w:t> </w:t>
                    </w:r>
                    <w:r>
                      <w:rPr>
                        <w:rFonts w:ascii="Calibri"/>
                        <w:color w:val="585858"/>
                        <w:sz w:val="15"/>
                      </w:rPr>
                      <w:t>and</w:t>
                    </w:r>
                    <w:r>
                      <w:rPr>
                        <w:rFonts w:ascii="Calibri"/>
                        <w:color w:val="585858"/>
                        <w:spacing w:val="-18"/>
                        <w:sz w:val="15"/>
                      </w:rPr>
                      <w:t> </w:t>
                    </w:r>
                    <w:r>
                      <w:rPr>
                        <w:rFonts w:ascii="Calibri"/>
                        <w:color w:val="585858"/>
                        <w:sz w:val="15"/>
                      </w:rPr>
                      <w:t>history</w:t>
                    </w:r>
                  </w:p>
                  <w:p>
                    <w:pPr>
                      <w:spacing w:line="182" w:lineRule="exact" w:before="2"/>
                      <w:ind w:left="0" w:right="72" w:firstLine="0"/>
                      <w:jc w:val="right"/>
                      <w:rPr>
                        <w:rFonts w:ascii="Calibri"/>
                        <w:sz w:val="15"/>
                      </w:rPr>
                    </w:pPr>
                    <w:r>
                      <w:rPr>
                        <w:rFonts w:ascii="Calibri"/>
                        <w:color w:val="585858"/>
                        <w:w w:val="95"/>
                        <w:sz w:val="15"/>
                      </w:rPr>
                      <w:t>Refugee</w:t>
                    </w:r>
                    <w:r>
                      <w:rPr>
                        <w:rFonts w:ascii="Calibri"/>
                        <w:color w:val="585858"/>
                        <w:spacing w:val="15"/>
                        <w:w w:val="95"/>
                        <w:sz w:val="15"/>
                      </w:rPr>
                      <w:t> </w:t>
                    </w:r>
                    <w:r>
                      <w:rPr>
                        <w:rFonts w:ascii="Calibri"/>
                        <w:color w:val="585858"/>
                        <w:w w:val="95"/>
                        <w:sz w:val="15"/>
                      </w:rPr>
                      <w:t>status</w:t>
                    </w:r>
                  </w:p>
                </w:txbxContent>
              </v:textbox>
              <w10:wrap type="none"/>
            </v:shape>
            <v:shape style="position:absolute;left:6080;top:1429;width:766;height:1529" type="#_x0000_t202" filled="false" stroked="false">
              <v:textbox inset="0,0,0,0">
                <w:txbxContent>
                  <w:p>
                    <w:pPr>
                      <w:spacing w:line="240" w:lineRule="auto" w:before="0"/>
                      <w:rPr>
                        <w:b/>
                        <w:i/>
                        <w:sz w:val="12"/>
                      </w:rPr>
                    </w:pPr>
                  </w:p>
                  <w:p>
                    <w:pPr>
                      <w:spacing w:line="240" w:lineRule="auto" w:before="0"/>
                      <w:rPr>
                        <w:b/>
                        <w:i/>
                        <w:sz w:val="12"/>
                      </w:rPr>
                    </w:pPr>
                  </w:p>
                  <w:p>
                    <w:pPr>
                      <w:spacing w:line="240" w:lineRule="auto" w:before="0"/>
                      <w:rPr>
                        <w:b/>
                        <w:i/>
                        <w:sz w:val="12"/>
                      </w:rPr>
                    </w:pPr>
                  </w:p>
                  <w:p>
                    <w:pPr>
                      <w:spacing w:line="240" w:lineRule="auto" w:before="0"/>
                      <w:rPr>
                        <w:b/>
                        <w:i/>
                        <w:sz w:val="12"/>
                      </w:rPr>
                    </w:pPr>
                  </w:p>
                  <w:p>
                    <w:pPr>
                      <w:spacing w:line="240" w:lineRule="auto" w:before="0"/>
                      <w:rPr>
                        <w:b/>
                        <w:i/>
                        <w:sz w:val="12"/>
                      </w:rPr>
                    </w:pPr>
                  </w:p>
                  <w:p>
                    <w:pPr>
                      <w:spacing w:line="240" w:lineRule="auto" w:before="0"/>
                      <w:rPr>
                        <w:b/>
                        <w:i/>
                        <w:sz w:val="12"/>
                      </w:rPr>
                    </w:pPr>
                  </w:p>
                  <w:p>
                    <w:pPr>
                      <w:spacing w:line="240" w:lineRule="auto" w:before="0"/>
                      <w:rPr>
                        <w:b/>
                        <w:i/>
                        <w:sz w:val="12"/>
                      </w:rPr>
                    </w:pPr>
                  </w:p>
                  <w:p>
                    <w:pPr>
                      <w:spacing w:line="240" w:lineRule="auto" w:before="0"/>
                      <w:rPr>
                        <w:b/>
                        <w:i/>
                        <w:sz w:val="12"/>
                      </w:rPr>
                    </w:pPr>
                  </w:p>
                  <w:p>
                    <w:pPr>
                      <w:spacing w:line="240" w:lineRule="auto" w:before="0"/>
                      <w:rPr>
                        <w:b/>
                        <w:i/>
                        <w:sz w:val="12"/>
                      </w:rPr>
                    </w:pPr>
                  </w:p>
                  <w:p>
                    <w:pPr>
                      <w:spacing w:line="240" w:lineRule="auto" w:before="5"/>
                      <w:rPr>
                        <w:b/>
                        <w:i/>
                        <w:sz w:val="11"/>
                      </w:rPr>
                    </w:pPr>
                  </w:p>
                  <w:p>
                    <w:pPr>
                      <w:spacing w:before="0"/>
                      <w:ind w:left="15" w:right="0" w:firstLine="0"/>
                      <w:jc w:val="left"/>
                      <w:rPr>
                        <w:rFonts w:ascii="Symbol" w:hAnsi="Symbol"/>
                        <w:sz w:val="10"/>
                      </w:rPr>
                    </w:pPr>
                    <w:r>
                      <w:rPr>
                        <w:rFonts w:ascii="Calibri" w:hAnsi="Calibri"/>
                        <w:b/>
                        <w:color w:val="7E7E7E"/>
                        <w:sz w:val="10"/>
                      </w:rPr>
                      <w:t>op 10 Drivers </w:t>
                    </w:r>
                    <w:r>
                      <w:rPr>
                        <w:rFonts w:ascii="Symbol" w:hAnsi="Symbol"/>
                        <w:color w:val="7E7E7E"/>
                        <w:sz w:val="10"/>
                      </w:rPr>
                      <w:t></w:t>
                    </w:r>
                  </w:p>
                </w:txbxContent>
              </v:textbox>
              <w10:wrap type="none"/>
            </v:shape>
            <v:shape style="position:absolute;left:6853;top:1008;width:4436;height:1950" type="#_x0000_t202" filled="false" stroked="false">
              <v:textbox inset="0,0,0,0">
                <w:txbxContent>
                  <w:p>
                    <w:pPr>
                      <w:spacing w:before="13"/>
                      <w:ind w:left="39" w:right="0" w:firstLine="0"/>
                      <w:jc w:val="left"/>
                      <w:rPr>
                        <w:rFonts w:ascii="Calibri"/>
                        <w:sz w:val="15"/>
                      </w:rPr>
                    </w:pPr>
                    <w:r>
                      <w:rPr>
                        <w:rFonts w:ascii="Calibri"/>
                        <w:color w:val="585858"/>
                        <w:sz w:val="15"/>
                      </w:rPr>
                      <w:t>Females (Males)</w:t>
                    </w:r>
                  </w:p>
                  <w:p>
                    <w:pPr>
                      <w:spacing w:line="254" w:lineRule="auto" w:before="12"/>
                      <w:ind w:left="39" w:right="963" w:firstLine="0"/>
                      <w:jc w:val="left"/>
                      <w:rPr>
                        <w:rFonts w:ascii="Calibri"/>
                        <w:sz w:val="15"/>
                      </w:rPr>
                    </w:pPr>
                    <w:r>
                      <w:rPr>
                        <w:rFonts w:ascii="Calibri"/>
                        <w:color w:val="585858"/>
                        <w:sz w:val="15"/>
                      </w:rPr>
                      <w:t>Indigenous Australian (Not Indigenous Australian) Teenagers</w:t>
                    </w:r>
                    <w:r>
                      <w:rPr>
                        <w:rFonts w:ascii="Calibri"/>
                        <w:color w:val="585858"/>
                        <w:spacing w:val="-12"/>
                        <w:sz w:val="15"/>
                      </w:rPr>
                      <w:t> </w:t>
                    </w:r>
                    <w:r>
                      <w:rPr>
                        <w:rFonts w:ascii="Calibri"/>
                        <w:color w:val="585858"/>
                        <w:sz w:val="15"/>
                      </w:rPr>
                      <w:t>and</w:t>
                    </w:r>
                    <w:r>
                      <w:rPr>
                        <w:rFonts w:ascii="Calibri"/>
                        <w:color w:val="585858"/>
                        <w:spacing w:val="-15"/>
                        <w:sz w:val="15"/>
                      </w:rPr>
                      <w:t> </w:t>
                    </w:r>
                    <w:r>
                      <w:rPr>
                        <w:rFonts w:ascii="Calibri"/>
                        <w:color w:val="585858"/>
                        <w:sz w:val="15"/>
                      </w:rPr>
                      <w:t>people</w:t>
                    </w:r>
                    <w:r>
                      <w:rPr>
                        <w:rFonts w:ascii="Calibri"/>
                        <w:color w:val="585858"/>
                        <w:spacing w:val="-17"/>
                        <w:sz w:val="15"/>
                      </w:rPr>
                      <w:t> </w:t>
                    </w:r>
                    <w:r>
                      <w:rPr>
                        <w:rFonts w:ascii="Calibri"/>
                        <w:color w:val="585858"/>
                        <w:sz w:val="15"/>
                      </w:rPr>
                      <w:t>near</w:t>
                    </w:r>
                    <w:r>
                      <w:rPr>
                        <w:rFonts w:ascii="Calibri"/>
                        <w:color w:val="585858"/>
                        <w:spacing w:val="-12"/>
                        <w:sz w:val="15"/>
                      </w:rPr>
                      <w:t> </w:t>
                    </w:r>
                    <w:r>
                      <w:rPr>
                        <w:rFonts w:ascii="Calibri"/>
                        <w:color w:val="585858"/>
                        <w:sz w:val="15"/>
                      </w:rPr>
                      <w:t>retirement</w:t>
                    </w:r>
                    <w:r>
                      <w:rPr>
                        <w:rFonts w:ascii="Calibri"/>
                        <w:color w:val="585858"/>
                        <w:spacing w:val="-17"/>
                        <w:sz w:val="15"/>
                      </w:rPr>
                      <w:t> </w:t>
                    </w:r>
                    <w:r>
                      <w:rPr>
                        <w:rFonts w:ascii="Calibri"/>
                        <w:color w:val="585858"/>
                        <w:sz w:val="15"/>
                      </w:rPr>
                      <w:t>age</w:t>
                    </w:r>
                    <w:r>
                      <w:rPr>
                        <w:rFonts w:ascii="Calibri"/>
                        <w:color w:val="585858"/>
                        <w:spacing w:val="-17"/>
                        <w:sz w:val="15"/>
                      </w:rPr>
                      <w:t> </w:t>
                    </w:r>
                    <w:r>
                      <w:rPr>
                        <w:rFonts w:ascii="Calibri"/>
                        <w:color w:val="585858"/>
                        <w:sz w:val="15"/>
                      </w:rPr>
                      <w:t>(Young</w:t>
                    </w:r>
                    <w:r>
                      <w:rPr>
                        <w:rFonts w:ascii="Calibri"/>
                        <w:color w:val="585858"/>
                        <w:spacing w:val="-14"/>
                        <w:sz w:val="15"/>
                      </w:rPr>
                      <w:t> </w:t>
                    </w:r>
                    <w:r>
                      <w:rPr>
                        <w:rFonts w:ascii="Calibri"/>
                        <w:color w:val="585858"/>
                        <w:sz w:val="15"/>
                      </w:rPr>
                      <w:t>adults) Lower SEIFA decile (Higher SEIFA</w:t>
                    </w:r>
                    <w:r>
                      <w:rPr>
                        <w:rFonts w:ascii="Calibri"/>
                        <w:color w:val="585858"/>
                        <w:spacing w:val="-16"/>
                        <w:sz w:val="15"/>
                      </w:rPr>
                      <w:t> </w:t>
                    </w:r>
                    <w:r>
                      <w:rPr>
                        <w:rFonts w:ascii="Calibri"/>
                        <w:color w:val="585858"/>
                        <w:spacing w:val="-3"/>
                        <w:sz w:val="15"/>
                      </w:rPr>
                      <w:t>decile)</w:t>
                    </w:r>
                  </w:p>
                  <w:p>
                    <w:pPr>
                      <w:spacing w:line="254" w:lineRule="auto" w:before="2"/>
                      <w:ind w:left="39" w:right="183" w:firstLine="0"/>
                      <w:jc w:val="left"/>
                      <w:rPr>
                        <w:rFonts w:ascii="Calibri"/>
                        <w:sz w:val="15"/>
                      </w:rPr>
                    </w:pPr>
                    <w:r>
                      <w:rPr>
                        <w:rFonts w:ascii="Calibri"/>
                        <w:color w:val="585858"/>
                        <w:sz w:val="15"/>
                      </w:rPr>
                      <w:t>High</w:t>
                    </w:r>
                    <w:r>
                      <w:rPr>
                        <w:rFonts w:ascii="Calibri"/>
                        <w:color w:val="585858"/>
                        <w:spacing w:val="-16"/>
                        <w:sz w:val="15"/>
                      </w:rPr>
                      <w:t> </w:t>
                    </w:r>
                    <w:r>
                      <w:rPr>
                        <w:rFonts w:ascii="Calibri"/>
                        <w:color w:val="585858"/>
                        <w:sz w:val="15"/>
                      </w:rPr>
                      <w:t>parental</w:t>
                    </w:r>
                    <w:r>
                      <w:rPr>
                        <w:rFonts w:ascii="Calibri"/>
                        <w:color w:val="585858"/>
                        <w:spacing w:val="-18"/>
                        <w:sz w:val="15"/>
                      </w:rPr>
                      <w:t> </w:t>
                    </w:r>
                    <w:r>
                      <w:rPr>
                        <w:rFonts w:ascii="Calibri"/>
                        <w:color w:val="585858"/>
                        <w:sz w:val="15"/>
                      </w:rPr>
                      <w:t>welfare</w:t>
                    </w:r>
                    <w:r>
                      <w:rPr>
                        <w:rFonts w:ascii="Calibri"/>
                        <w:color w:val="585858"/>
                        <w:spacing w:val="-18"/>
                        <w:sz w:val="15"/>
                      </w:rPr>
                      <w:t> </w:t>
                    </w:r>
                    <w:r>
                      <w:rPr>
                        <w:rFonts w:ascii="Calibri"/>
                        <w:color w:val="585858"/>
                        <w:sz w:val="15"/>
                      </w:rPr>
                      <w:t>dependence</w:t>
                    </w:r>
                    <w:r>
                      <w:rPr>
                        <w:rFonts w:ascii="Calibri"/>
                        <w:color w:val="585858"/>
                        <w:spacing w:val="-19"/>
                        <w:sz w:val="15"/>
                      </w:rPr>
                      <w:t> </w:t>
                    </w:r>
                    <w:r>
                      <w:rPr>
                        <w:rFonts w:ascii="Calibri"/>
                        <w:color w:val="585858"/>
                        <w:sz w:val="15"/>
                      </w:rPr>
                      <w:t>(Low</w:t>
                    </w:r>
                    <w:r>
                      <w:rPr>
                        <w:rFonts w:ascii="Calibri"/>
                        <w:color w:val="585858"/>
                        <w:spacing w:val="-14"/>
                        <w:sz w:val="15"/>
                      </w:rPr>
                      <w:t> </w:t>
                    </w:r>
                    <w:r>
                      <w:rPr>
                        <w:rFonts w:ascii="Calibri"/>
                        <w:color w:val="585858"/>
                        <w:sz w:val="15"/>
                      </w:rPr>
                      <w:t>parental</w:t>
                    </w:r>
                    <w:r>
                      <w:rPr>
                        <w:rFonts w:ascii="Calibri"/>
                        <w:color w:val="585858"/>
                        <w:spacing w:val="-18"/>
                        <w:sz w:val="15"/>
                      </w:rPr>
                      <w:t> </w:t>
                    </w:r>
                    <w:r>
                      <w:rPr>
                        <w:rFonts w:ascii="Calibri"/>
                        <w:color w:val="585858"/>
                        <w:sz w:val="15"/>
                      </w:rPr>
                      <w:t>welfare</w:t>
                    </w:r>
                    <w:r>
                      <w:rPr>
                        <w:rFonts w:ascii="Calibri"/>
                        <w:color w:val="585858"/>
                        <w:spacing w:val="-18"/>
                        <w:sz w:val="15"/>
                      </w:rPr>
                      <w:t> </w:t>
                    </w:r>
                    <w:r>
                      <w:rPr>
                        <w:rFonts w:ascii="Calibri"/>
                        <w:color w:val="585858"/>
                        <w:sz w:val="15"/>
                      </w:rPr>
                      <w:t>dependence) Lower</w:t>
                    </w:r>
                    <w:r>
                      <w:rPr>
                        <w:rFonts w:ascii="Calibri"/>
                        <w:color w:val="585858"/>
                        <w:spacing w:val="-3"/>
                        <w:sz w:val="15"/>
                      </w:rPr>
                      <w:t> </w:t>
                    </w:r>
                    <w:r>
                      <w:rPr>
                        <w:rFonts w:ascii="Calibri"/>
                        <w:color w:val="585858"/>
                        <w:sz w:val="15"/>
                      </w:rPr>
                      <w:t>level</w:t>
                    </w:r>
                    <w:r>
                      <w:rPr>
                        <w:rFonts w:ascii="Calibri"/>
                        <w:color w:val="585858"/>
                        <w:spacing w:val="-7"/>
                        <w:sz w:val="15"/>
                      </w:rPr>
                      <w:t> </w:t>
                    </w:r>
                    <w:r>
                      <w:rPr>
                        <w:rFonts w:ascii="Calibri"/>
                        <w:color w:val="585858"/>
                        <w:sz w:val="15"/>
                      </w:rPr>
                      <w:t>of</w:t>
                    </w:r>
                    <w:r>
                      <w:rPr>
                        <w:rFonts w:ascii="Calibri"/>
                        <w:color w:val="585858"/>
                        <w:spacing w:val="-4"/>
                        <w:sz w:val="15"/>
                      </w:rPr>
                      <w:t> </w:t>
                    </w:r>
                    <w:r>
                      <w:rPr>
                        <w:rFonts w:ascii="Calibri"/>
                        <w:color w:val="585858"/>
                        <w:sz w:val="15"/>
                      </w:rPr>
                      <w:t>education</w:t>
                    </w:r>
                    <w:r>
                      <w:rPr>
                        <w:rFonts w:ascii="Calibri"/>
                        <w:color w:val="585858"/>
                        <w:spacing w:val="-5"/>
                        <w:sz w:val="15"/>
                      </w:rPr>
                      <w:t> </w:t>
                    </w:r>
                    <w:r>
                      <w:rPr>
                        <w:rFonts w:ascii="Calibri"/>
                        <w:color w:val="585858"/>
                        <w:sz w:val="15"/>
                      </w:rPr>
                      <w:t>(Higher</w:t>
                    </w:r>
                    <w:r>
                      <w:rPr>
                        <w:rFonts w:ascii="Calibri"/>
                        <w:color w:val="585858"/>
                        <w:spacing w:val="-2"/>
                        <w:sz w:val="15"/>
                      </w:rPr>
                      <w:t> </w:t>
                    </w:r>
                    <w:r>
                      <w:rPr>
                        <w:rFonts w:ascii="Calibri"/>
                        <w:color w:val="585858"/>
                        <w:sz w:val="15"/>
                      </w:rPr>
                      <w:t>level</w:t>
                    </w:r>
                    <w:r>
                      <w:rPr>
                        <w:rFonts w:ascii="Calibri"/>
                        <w:color w:val="585858"/>
                        <w:spacing w:val="-8"/>
                        <w:sz w:val="15"/>
                      </w:rPr>
                      <w:t> </w:t>
                    </w:r>
                    <w:r>
                      <w:rPr>
                        <w:rFonts w:ascii="Calibri"/>
                        <w:color w:val="585858"/>
                        <w:sz w:val="15"/>
                      </w:rPr>
                      <w:t>of</w:t>
                    </w:r>
                    <w:r>
                      <w:rPr>
                        <w:rFonts w:ascii="Calibri"/>
                        <w:color w:val="585858"/>
                        <w:spacing w:val="-4"/>
                        <w:sz w:val="15"/>
                      </w:rPr>
                      <w:t> </w:t>
                    </w:r>
                    <w:r>
                      <w:rPr>
                        <w:rFonts w:ascii="Calibri"/>
                        <w:color w:val="585858"/>
                        <w:sz w:val="15"/>
                      </w:rPr>
                      <w:t>education)</w:t>
                    </w:r>
                  </w:p>
                  <w:p>
                    <w:pPr>
                      <w:spacing w:line="254" w:lineRule="auto" w:before="2"/>
                      <w:ind w:left="39" w:right="448" w:firstLine="0"/>
                      <w:jc w:val="left"/>
                      <w:rPr>
                        <w:rFonts w:ascii="Calibri"/>
                        <w:sz w:val="15"/>
                      </w:rPr>
                    </w:pPr>
                    <w:r>
                      <w:rPr>
                        <w:rFonts w:ascii="Calibri"/>
                        <w:color w:val="585858"/>
                        <w:sz w:val="15"/>
                      </w:rPr>
                      <w:t>More years on income support (Fewer years on income support) School and VET (Higher education)</w:t>
                    </w:r>
                  </w:p>
                  <w:p>
                    <w:pPr>
                      <w:spacing w:before="2"/>
                      <w:ind w:left="39" w:right="0" w:firstLine="0"/>
                      <w:jc w:val="left"/>
                      <w:rPr>
                        <w:rFonts w:ascii="Calibri"/>
                        <w:sz w:val="15"/>
                      </w:rPr>
                    </w:pPr>
                    <w:r>
                      <w:rPr>
                        <w:rFonts w:ascii="Calibri"/>
                        <w:color w:val="585858"/>
                        <w:sz w:val="15"/>
                      </w:rPr>
                      <w:t>At least 1 child (No children)</w:t>
                    </w:r>
                  </w:p>
                  <w:p>
                    <w:pPr>
                      <w:spacing w:line="182" w:lineRule="exact" w:before="12"/>
                      <w:ind w:left="39" w:right="0" w:firstLine="0"/>
                      <w:jc w:val="left"/>
                      <w:rPr>
                        <w:rFonts w:ascii="Calibri"/>
                        <w:sz w:val="15"/>
                      </w:rPr>
                    </w:pPr>
                    <w:r>
                      <w:rPr>
                        <w:rFonts w:ascii="Calibri"/>
                        <w:color w:val="585858"/>
                        <w:sz w:val="15"/>
                      </w:rPr>
                      <w:t>Single for several years (Partnered for several years)</w:t>
                    </w:r>
                  </w:p>
                </w:txbxContent>
              </v:textbox>
              <w10:wrap type="none"/>
            </v:shape>
            <v:shape style="position:absolute;left:1028;top:1008;width:2757;height:1950" type="#_x0000_t202" filled="false" stroked="false">
              <v:textbox inset="0,0,0,0">
                <w:txbxContent>
                  <w:p>
                    <w:pPr>
                      <w:spacing w:line="254" w:lineRule="auto" w:before="13"/>
                      <w:ind w:left="1616" w:right="71" w:firstLine="624"/>
                      <w:jc w:val="right"/>
                      <w:rPr>
                        <w:rFonts w:ascii="Calibri"/>
                        <w:sz w:val="15"/>
                      </w:rPr>
                    </w:pPr>
                    <w:r>
                      <w:rPr>
                        <w:rFonts w:ascii="Calibri"/>
                        <w:color w:val="585858"/>
                        <w:spacing w:val="-2"/>
                        <w:w w:val="95"/>
                        <w:sz w:val="15"/>
                      </w:rPr>
                      <w:t>Gender </w:t>
                    </w:r>
                    <w:r>
                      <w:rPr>
                        <w:rFonts w:ascii="Calibri"/>
                        <w:color w:val="585858"/>
                        <w:sz w:val="15"/>
                      </w:rPr>
                      <w:t>Indigenous</w:t>
                    </w:r>
                    <w:r>
                      <w:rPr>
                        <w:rFonts w:ascii="Calibri"/>
                        <w:color w:val="585858"/>
                        <w:spacing w:val="-6"/>
                        <w:sz w:val="15"/>
                      </w:rPr>
                      <w:t> </w:t>
                    </w:r>
                    <w:r>
                      <w:rPr>
                        <w:rFonts w:ascii="Calibri"/>
                        <w:color w:val="585858"/>
                        <w:spacing w:val="-3"/>
                        <w:sz w:val="15"/>
                      </w:rPr>
                      <w:t>status</w:t>
                    </w:r>
                  </w:p>
                  <w:p>
                    <w:pPr>
                      <w:spacing w:line="254" w:lineRule="auto" w:before="2"/>
                      <w:ind w:left="2342" w:right="64" w:firstLine="117"/>
                      <w:jc w:val="right"/>
                      <w:rPr>
                        <w:rFonts w:ascii="Calibri"/>
                        <w:sz w:val="15"/>
                      </w:rPr>
                    </w:pPr>
                    <w:r>
                      <w:rPr>
                        <w:rFonts w:ascii="Calibri"/>
                        <w:color w:val="585858"/>
                        <w:w w:val="95"/>
                        <w:sz w:val="15"/>
                      </w:rPr>
                      <w:t>Age </w:t>
                    </w:r>
                    <w:r>
                      <w:rPr>
                        <w:rFonts w:ascii="Calibri"/>
                        <w:color w:val="585858"/>
                        <w:sz w:val="15"/>
                      </w:rPr>
                      <w:t>SEIFA</w:t>
                    </w:r>
                  </w:p>
                  <w:p>
                    <w:pPr>
                      <w:spacing w:line="254" w:lineRule="auto" w:before="1"/>
                      <w:ind w:left="991" w:right="65" w:firstLine="257"/>
                      <w:jc w:val="right"/>
                      <w:rPr>
                        <w:rFonts w:ascii="Calibri"/>
                        <w:sz w:val="15"/>
                      </w:rPr>
                    </w:pPr>
                    <w:r>
                      <w:rPr>
                        <w:rFonts w:ascii="Calibri"/>
                        <w:color w:val="585858"/>
                        <w:sz w:val="15"/>
                      </w:rPr>
                      <w:t>Parental</w:t>
                    </w:r>
                    <w:r>
                      <w:rPr>
                        <w:rFonts w:ascii="Calibri"/>
                        <w:color w:val="585858"/>
                        <w:spacing w:val="-19"/>
                        <w:sz w:val="15"/>
                      </w:rPr>
                      <w:t> </w:t>
                    </w:r>
                    <w:r>
                      <w:rPr>
                        <w:rFonts w:ascii="Calibri"/>
                        <w:color w:val="585858"/>
                        <w:sz w:val="15"/>
                      </w:rPr>
                      <w:t>welfare</w:t>
                    </w:r>
                    <w:r>
                      <w:rPr>
                        <w:rFonts w:ascii="Calibri"/>
                        <w:color w:val="585858"/>
                        <w:spacing w:val="-19"/>
                        <w:sz w:val="15"/>
                      </w:rPr>
                      <w:t> </w:t>
                    </w:r>
                    <w:r>
                      <w:rPr>
                        <w:rFonts w:ascii="Calibri"/>
                        <w:color w:val="585858"/>
                        <w:sz w:val="15"/>
                      </w:rPr>
                      <w:t>history</w:t>
                    </w:r>
                    <w:r>
                      <w:rPr>
                        <w:rFonts w:ascii="Calibri"/>
                        <w:color w:val="585858"/>
                        <w:w w:val="98"/>
                        <w:sz w:val="15"/>
                      </w:rPr>
                      <w:t> </w:t>
                    </w:r>
                    <w:r>
                      <w:rPr>
                        <w:rFonts w:ascii="Calibri"/>
                        <w:color w:val="585858"/>
                        <w:spacing w:val="-1"/>
                        <w:w w:val="95"/>
                        <w:sz w:val="15"/>
                      </w:rPr>
                      <w:t>Education</w:t>
                    </w:r>
                    <w:r>
                      <w:rPr>
                        <w:rFonts w:ascii="Calibri"/>
                        <w:color w:val="585858"/>
                        <w:spacing w:val="29"/>
                        <w:w w:val="95"/>
                        <w:sz w:val="15"/>
                      </w:rPr>
                      <w:t> </w:t>
                    </w:r>
                    <w:r>
                      <w:rPr>
                        <w:rFonts w:ascii="Calibri"/>
                        <w:color w:val="585858"/>
                        <w:w w:val="95"/>
                        <w:sz w:val="15"/>
                      </w:rPr>
                      <w:t>attainment</w:t>
                    </w:r>
                    <w:r>
                      <w:rPr>
                        <w:rFonts w:ascii="Calibri"/>
                        <w:color w:val="585858"/>
                        <w:w w:val="98"/>
                        <w:sz w:val="15"/>
                      </w:rPr>
                      <w:t> </w:t>
                    </w:r>
                    <w:r>
                      <w:rPr>
                        <w:rFonts w:ascii="Calibri"/>
                        <w:color w:val="585858"/>
                        <w:sz w:val="15"/>
                      </w:rPr>
                      <w:t>Duration</w:t>
                    </w:r>
                    <w:r>
                      <w:rPr>
                        <w:rFonts w:ascii="Calibri"/>
                        <w:color w:val="585858"/>
                        <w:spacing w:val="-12"/>
                        <w:sz w:val="15"/>
                      </w:rPr>
                      <w:t> </w:t>
                    </w:r>
                    <w:r>
                      <w:rPr>
                        <w:rFonts w:ascii="Calibri"/>
                        <w:color w:val="585858"/>
                        <w:sz w:val="15"/>
                      </w:rPr>
                      <w:t>on</w:t>
                    </w:r>
                    <w:r>
                      <w:rPr>
                        <w:rFonts w:ascii="Calibri"/>
                        <w:color w:val="585858"/>
                        <w:spacing w:val="-12"/>
                        <w:sz w:val="15"/>
                      </w:rPr>
                      <w:t> </w:t>
                    </w:r>
                    <w:r>
                      <w:rPr>
                        <w:rFonts w:ascii="Calibri"/>
                        <w:color w:val="585858"/>
                        <w:sz w:val="15"/>
                      </w:rPr>
                      <w:t>income</w:t>
                    </w:r>
                    <w:r>
                      <w:rPr>
                        <w:rFonts w:ascii="Calibri"/>
                        <w:color w:val="585858"/>
                        <w:spacing w:val="-14"/>
                        <w:sz w:val="15"/>
                      </w:rPr>
                      <w:t> </w:t>
                    </w:r>
                    <w:r>
                      <w:rPr>
                        <w:rFonts w:ascii="Calibri"/>
                        <w:color w:val="585858"/>
                        <w:sz w:val="15"/>
                      </w:rPr>
                      <w:t>support</w:t>
                    </w:r>
                  </w:p>
                  <w:p>
                    <w:pPr>
                      <w:spacing w:line="254" w:lineRule="auto" w:before="3"/>
                      <w:ind w:left="944" w:right="68" w:firstLine="741"/>
                      <w:jc w:val="right"/>
                      <w:rPr>
                        <w:rFonts w:ascii="Calibri"/>
                        <w:sz w:val="15"/>
                      </w:rPr>
                    </w:pPr>
                    <w:r>
                      <w:rPr>
                        <w:rFonts w:ascii="Calibri"/>
                        <w:color w:val="585858"/>
                        <w:w w:val="95"/>
                        <w:sz w:val="15"/>
                      </w:rPr>
                      <w:t>Education</w:t>
                    </w:r>
                    <w:r>
                      <w:rPr>
                        <w:rFonts w:ascii="Calibri"/>
                        <w:color w:val="585858"/>
                        <w:spacing w:val="20"/>
                        <w:w w:val="95"/>
                        <w:sz w:val="15"/>
                      </w:rPr>
                      <w:t> </w:t>
                    </w:r>
                    <w:r>
                      <w:rPr>
                        <w:rFonts w:ascii="Calibri"/>
                        <w:color w:val="585858"/>
                        <w:w w:val="95"/>
                        <w:sz w:val="15"/>
                      </w:rPr>
                      <w:t>sector</w:t>
                    </w:r>
                    <w:r>
                      <w:rPr>
                        <w:rFonts w:ascii="Calibri"/>
                        <w:color w:val="585858"/>
                        <w:w w:val="98"/>
                        <w:sz w:val="15"/>
                      </w:rPr>
                      <w:t> </w:t>
                    </w:r>
                    <w:r>
                      <w:rPr>
                        <w:rFonts w:ascii="Calibri"/>
                        <w:color w:val="585858"/>
                        <w:sz w:val="15"/>
                      </w:rPr>
                      <w:t>Number</w:t>
                    </w:r>
                    <w:r>
                      <w:rPr>
                        <w:rFonts w:ascii="Calibri"/>
                        <w:color w:val="585858"/>
                        <w:spacing w:val="-17"/>
                        <w:sz w:val="15"/>
                      </w:rPr>
                      <w:t> </w:t>
                    </w:r>
                    <w:r>
                      <w:rPr>
                        <w:rFonts w:ascii="Calibri"/>
                        <w:color w:val="585858"/>
                        <w:sz w:val="15"/>
                      </w:rPr>
                      <w:t>of</w:t>
                    </w:r>
                    <w:r>
                      <w:rPr>
                        <w:rFonts w:ascii="Calibri"/>
                        <w:color w:val="585858"/>
                        <w:spacing w:val="-17"/>
                        <w:sz w:val="15"/>
                      </w:rPr>
                      <w:t> </w:t>
                    </w:r>
                    <w:r>
                      <w:rPr>
                        <w:rFonts w:ascii="Calibri"/>
                        <w:color w:val="585858"/>
                        <w:sz w:val="15"/>
                      </w:rPr>
                      <w:t>children</w:t>
                    </w:r>
                    <w:r>
                      <w:rPr>
                        <w:rFonts w:ascii="Calibri"/>
                        <w:color w:val="585858"/>
                        <w:w w:val="98"/>
                        <w:sz w:val="15"/>
                      </w:rPr>
                      <w:t> </w:t>
                    </w:r>
                    <w:r>
                      <w:rPr>
                        <w:rFonts w:ascii="Calibri"/>
                        <w:color w:val="585858"/>
                        <w:sz w:val="15"/>
                      </w:rPr>
                      <w:t>Partnering</w:t>
                    </w:r>
                    <w:r>
                      <w:rPr>
                        <w:rFonts w:ascii="Calibri"/>
                        <w:color w:val="585858"/>
                        <w:spacing w:val="-13"/>
                        <w:sz w:val="15"/>
                      </w:rPr>
                      <w:t> </w:t>
                    </w:r>
                    <w:r>
                      <w:rPr>
                        <w:rFonts w:ascii="Calibri"/>
                        <w:color w:val="585858"/>
                        <w:sz w:val="15"/>
                      </w:rPr>
                      <w:t>status</w:t>
                    </w:r>
                    <w:r>
                      <w:rPr>
                        <w:rFonts w:ascii="Calibri"/>
                        <w:color w:val="585858"/>
                        <w:spacing w:val="-9"/>
                        <w:sz w:val="15"/>
                      </w:rPr>
                      <w:t> </w:t>
                    </w:r>
                    <w:r>
                      <w:rPr>
                        <w:rFonts w:ascii="Calibri"/>
                        <w:color w:val="585858"/>
                        <w:sz w:val="15"/>
                      </w:rPr>
                      <w:t>and</w:t>
                    </w:r>
                    <w:r>
                      <w:rPr>
                        <w:rFonts w:ascii="Calibri"/>
                        <w:color w:val="585858"/>
                        <w:spacing w:val="-13"/>
                        <w:sz w:val="15"/>
                      </w:rPr>
                      <w:t> </w:t>
                    </w:r>
                    <w:r>
                      <w:rPr>
                        <w:rFonts w:ascii="Calibri"/>
                        <w:color w:val="585858"/>
                        <w:sz w:val="15"/>
                      </w:rPr>
                      <w:t>history</w:t>
                    </w:r>
                  </w:p>
                </w:txbxContent>
              </v:textbox>
              <w10:wrap type="none"/>
            </v:shape>
            <v:shape style="position:absolute;left:6892;top:639;width:3726;height:149" type="#_x0000_t202" filled="false" stroked="false">
              <v:textbox inset="0,0,0,0">
                <w:txbxContent>
                  <w:p>
                    <w:pPr>
                      <w:spacing w:line="148" w:lineRule="exact" w:before="0"/>
                      <w:ind w:left="0" w:right="0" w:firstLine="0"/>
                      <w:jc w:val="left"/>
                      <w:rPr>
                        <w:rFonts w:ascii="Calibri"/>
                        <w:b/>
                        <w:sz w:val="15"/>
                      </w:rPr>
                    </w:pPr>
                    <w:r>
                      <w:rPr>
                        <w:rFonts w:ascii="Calibri"/>
                        <w:b/>
                        <w:color w:val="FFFFFF"/>
                        <w:sz w:val="15"/>
                      </w:rPr>
                      <w:t>Characteristics associated with higher (lower) lifetime costs</w:t>
                    </w:r>
                  </w:p>
                </w:txbxContent>
              </v:textbox>
              <w10:wrap type="none"/>
            </v:shape>
            <v:shape style="position:absolute;left:3769;top:639;width:1274;height:149" type="#_x0000_t202" filled="false" stroked="false">
              <v:textbox inset="0,0,0,0">
                <w:txbxContent>
                  <w:p>
                    <w:pPr>
                      <w:spacing w:line="148" w:lineRule="exact" w:before="0"/>
                      <w:ind w:left="0" w:right="0" w:firstLine="0"/>
                      <w:jc w:val="left"/>
                      <w:rPr>
                        <w:rFonts w:ascii="Calibri"/>
                        <w:b/>
                        <w:sz w:val="15"/>
                      </w:rPr>
                    </w:pPr>
                    <w:r>
                      <w:rPr>
                        <w:rFonts w:ascii="Calibri"/>
                        <w:b/>
                        <w:color w:val="FFFFFF"/>
                        <w:sz w:val="15"/>
                      </w:rPr>
                      <w:t>Variable importance</w:t>
                    </w:r>
                  </w:p>
                </w:txbxContent>
              </v:textbox>
              <w10:wrap type="none"/>
            </v:shape>
            <v:shape style="position:absolute;left:1926;top:639;width:939;height:149" type="#_x0000_t202" filled="false" stroked="false">
              <v:textbox inset="0,0,0,0">
                <w:txbxContent>
                  <w:p>
                    <w:pPr>
                      <w:spacing w:line="148" w:lineRule="exact" w:before="0"/>
                      <w:ind w:left="0" w:right="0" w:firstLine="0"/>
                      <w:jc w:val="left"/>
                      <w:rPr>
                        <w:rFonts w:ascii="Calibri"/>
                        <w:b/>
                        <w:sz w:val="15"/>
                      </w:rPr>
                    </w:pPr>
                    <w:r>
                      <w:rPr>
                        <w:rFonts w:ascii="Calibri"/>
                        <w:b/>
                        <w:color w:val="FFFFFF"/>
                        <w:sz w:val="15"/>
                      </w:rPr>
                      <w:t>Driver variable</w:t>
                    </w:r>
                  </w:p>
                </w:txbxContent>
              </v:textbox>
              <w10:wrap type="none"/>
            </v:shape>
            <w10:wrap type="topAndBottom"/>
          </v:group>
        </w:pict>
      </w:r>
      <w:r>
        <w:rPr>
          <w:b/>
          <w:i/>
          <w:color w:val="404040"/>
          <w:sz w:val="20"/>
        </w:rPr>
        <w:t>Class 1 Studying</w:t>
      </w:r>
    </w:p>
    <w:p>
      <w:pPr>
        <w:pStyle w:val="BodyText"/>
        <w:rPr>
          <w:b/>
          <w:i/>
          <w:sz w:val="22"/>
        </w:rPr>
      </w:pPr>
    </w:p>
    <w:p>
      <w:pPr>
        <w:spacing w:before="137"/>
        <w:ind w:left="1602" w:right="1302" w:firstLine="0"/>
        <w:jc w:val="center"/>
        <w:rPr>
          <w:b/>
          <w:i/>
          <w:sz w:val="20"/>
        </w:rPr>
      </w:pPr>
      <w:r>
        <w:rPr/>
        <w:pict>
          <v:group style="position:absolute;margin-left:51.049786pt;margin-top:21.365875pt;width:513.8pt;height:158.35pt;mso-position-horizontal-relative:page;mso-position-vertical-relative:paragraph;z-index:-251468800;mso-wrap-distance-left:0;mso-wrap-distance-right:0" coordorigin="1021,427" coordsize="10276,3167">
            <v:rect style="position:absolute;left:1028;top:435;width:10268;height:624" filled="true" fillcolor="#808080" stroked="false">
              <v:fill type="solid"/>
            </v:rect>
            <v:line style="position:absolute" from="1029,3001" to="6862,3001" stroked="true" strokeweight="0pt" strokecolor="#808080">
              <v:stroke dashstyle="solid"/>
            </v:line>
            <v:shape style="position:absolute;left:1028;top:3000;width:5833;height:8" type="#_x0000_t75" stroked="false">
              <v:imagedata r:id="rId42" o:title=""/>
            </v:shape>
            <v:line style="position:absolute" from="1021,427" to="1021,3594" stroked="true" strokeweight="0pt" strokecolor="#808080">
              <v:stroke dashstyle="solid"/>
            </v:line>
            <v:line style="position:absolute" from="1025,427" to="1025,3594" stroked="true" strokeweight=".390805pt" strokecolor="#808080">
              <v:stroke dashstyle="solid"/>
            </v:line>
            <v:line style="position:absolute" from="6862,1059" to="6862,3594" stroked="true" strokeweight="0pt" strokecolor="#808080">
              <v:stroke dashstyle="solid"/>
            </v:line>
            <v:line style="position:absolute" from="6866,1059" to="6866,3594" stroked="true" strokeweight=".390805pt" strokecolor="#808080">
              <v:stroke dashstyle="solid"/>
            </v:line>
            <v:line style="position:absolute" from="11289,1059" to="11289,3594" stroked="true" strokeweight="0pt" strokecolor="#808080">
              <v:stroke dashstyle="solid"/>
            </v:line>
            <v:line style="position:absolute" from="11293,1059" to="11293,3594" stroked="true" strokeweight=".390805pt" strokecolor="#808080">
              <v:stroke dashstyle="solid"/>
            </v:line>
            <v:line style="position:absolute" from="1029,427" to="11297,427" stroked="true" strokeweight="0pt" strokecolor="#808080">
              <v:stroke dashstyle="solid"/>
            </v:line>
            <v:line style="position:absolute" from="1029,431" to="11297,431" stroked="true" strokeweight=".389936pt" strokecolor="#808080">
              <v:stroke dashstyle="solid"/>
            </v:line>
            <v:line style="position:absolute" from="1029,1051" to="11297,1051" stroked="true" strokeweight="0pt" strokecolor="#808080">
              <v:stroke dashstyle="solid"/>
            </v:line>
            <v:line style="position:absolute" from="1029,1055" to="11297,1055" stroked="true" strokeweight=".389936pt" strokecolor="#808080">
              <v:stroke dashstyle="solid"/>
            </v:line>
            <v:line style="position:absolute" from="6869,3001" to="11289,3001" stroked="true" strokeweight="0pt" strokecolor="#808080">
              <v:stroke dashstyle="solid"/>
            </v:line>
            <v:shape style="position:absolute;left:6869;top:3000;width:4420;height:8" type="#_x0000_t75" stroked="false">
              <v:imagedata r:id="rId43" o:title=""/>
            </v:shape>
            <v:line style="position:absolute" from="1029,3586" to="11297,3586" stroked="true" strokeweight="0pt" strokecolor="#808080">
              <v:stroke dashstyle="solid"/>
            </v:line>
            <v:line style="position:absolute" from="1029,3590" to="11297,3590" stroked="true" strokeweight=".389936pt" strokecolor="#808080">
              <v:stroke dashstyle="solid"/>
            </v:line>
            <v:line style="position:absolute" from="3789,1055" to="3789,3582" stroked="true" strokeweight=".390415pt" strokecolor="#d9d9d9">
              <v:stroke dashstyle="solid"/>
            </v:line>
            <v:line style="position:absolute" from="4554,1055" to="4554,1082" stroked="true" strokeweight=".390415pt" strokecolor="#d9d9d9">
              <v:stroke dashstyle="solid"/>
            </v:line>
            <v:line style="position:absolute" from="4554,1223" to="4554,1277" stroked="true" strokeweight=".390415pt" strokecolor="#d9d9d9">
              <v:stroke dashstyle="solid"/>
            </v:line>
            <v:line style="position:absolute" from="4554,1418" to="4554,1472" stroked="true" strokeweight=".390415pt" strokecolor="#d9d9d9">
              <v:stroke dashstyle="solid"/>
            </v:line>
            <v:line style="position:absolute" from="4554,1613" to="4554,1667" stroked="true" strokeweight=".390415pt" strokecolor="#d9d9d9">
              <v:stroke dashstyle="solid"/>
            </v:line>
            <v:line style="position:absolute" from="4554,1808" to="4554,1862" stroked="true" strokeweight=".390415pt" strokecolor="#d9d9d9">
              <v:stroke dashstyle="solid"/>
            </v:line>
            <v:line style="position:absolute" from="4554,2003" to="4554,2057" stroked="true" strokeweight=".390415pt" strokecolor="#d9d9d9">
              <v:stroke dashstyle="solid"/>
            </v:line>
            <v:line style="position:absolute" from="4554,2190" to="4554,2252" stroked="true" strokeweight=".390415pt" strokecolor="#d9d9d9">
              <v:stroke dashstyle="solid"/>
            </v:line>
            <v:line style="position:absolute" from="4554,2385" to="4554,2439" stroked="true" strokeweight=".390415pt" strokecolor="#d9d9d9">
              <v:stroke dashstyle="solid"/>
            </v:line>
            <v:line style="position:absolute" from="4554,2580" to="4554,2634" stroked="true" strokeweight=".390415pt" strokecolor="#d9d9d9">
              <v:stroke dashstyle="solid"/>
            </v:line>
            <v:line style="position:absolute" from="4554,2775" to="4554,2829" stroked="true" strokeweight=".390415pt" strokecolor="#d9d9d9">
              <v:stroke dashstyle="solid"/>
            </v:line>
            <v:line style="position:absolute" from="4554,2970" to="4554,3024" stroked="true" strokeweight=".390415pt" strokecolor="#d9d9d9">
              <v:stroke dashstyle="solid"/>
            </v:line>
            <v:line style="position:absolute" from="4554,3165" to="4554,3219" stroked="true" strokeweight=".390415pt" strokecolor="#d9d9d9">
              <v:stroke dashstyle="solid"/>
            </v:line>
            <v:line style="position:absolute" from="4554,3360" to="4554,3582" stroked="true" strokeweight=".390415pt" strokecolor="#d9d9d9">
              <v:stroke dashstyle="solid"/>
            </v:line>
            <v:line style="position:absolute" from="5312,1055" to="5312,1082" stroked="true" strokeweight=".390415pt" strokecolor="#d9d9d9">
              <v:stroke dashstyle="solid"/>
            </v:line>
            <v:line style="position:absolute" from="5312,1223" to="5312,1277" stroked="true" strokeweight=".390415pt" strokecolor="#d9d9d9">
              <v:stroke dashstyle="solid"/>
            </v:line>
            <v:line style="position:absolute" from="5312,1418" to="5312,1472" stroked="true" strokeweight=".390415pt" strokecolor="#d9d9d9">
              <v:stroke dashstyle="solid"/>
            </v:line>
            <v:line style="position:absolute" from="5312,1613" to="5312,1667" stroked="true" strokeweight=".390415pt" strokecolor="#d9d9d9">
              <v:stroke dashstyle="solid"/>
            </v:line>
            <v:line style="position:absolute" from="5312,1808" to="5312,1862" stroked="true" strokeweight=".390415pt" strokecolor="#d9d9d9">
              <v:stroke dashstyle="solid"/>
            </v:line>
            <v:line style="position:absolute" from="5312,2003" to="5312,2057" stroked="true" strokeweight=".390415pt" strokecolor="#d9d9d9">
              <v:stroke dashstyle="solid"/>
            </v:line>
            <v:line style="position:absolute" from="5312,2190" to="5312,2252" stroked="true" strokeweight=".390415pt" strokecolor="#d9d9d9">
              <v:stroke dashstyle="solid"/>
            </v:line>
            <v:line style="position:absolute" from="5312,2385" to="5312,2439" stroked="true" strokeweight=".390415pt" strokecolor="#d9d9d9">
              <v:stroke dashstyle="solid"/>
            </v:line>
            <v:line style="position:absolute" from="5312,2580" to="5312,2634" stroked="true" strokeweight=".390415pt" strokecolor="#d9d9d9">
              <v:stroke dashstyle="solid"/>
            </v:line>
            <v:line style="position:absolute" from="5312,2775" to="5312,2829" stroked="true" strokeweight=".390415pt" strokecolor="#d9d9d9">
              <v:stroke dashstyle="solid"/>
            </v:line>
            <v:line style="position:absolute" from="5312,2970" to="5312,3582" stroked="true" strokeweight=".390415pt" strokecolor="#d9d9d9">
              <v:stroke dashstyle="solid"/>
            </v:line>
            <v:line style="position:absolute" from="6069,1055" to="6069,1082" stroked="true" strokeweight=".390415pt" strokecolor="#d9d9d9">
              <v:stroke dashstyle="solid"/>
            </v:line>
            <v:line style="position:absolute" from="6069,1223" to="6069,1277" stroked="true" strokeweight=".390415pt" strokecolor="#d9d9d9">
              <v:stroke dashstyle="solid"/>
            </v:line>
            <v:line style="position:absolute" from="6069,1418" to="6069,3582" stroked="true" strokeweight=".390415pt" strokecolor="#d9d9d9">
              <v:stroke dashstyle="solid"/>
            </v:line>
            <v:line style="position:absolute" from="6834,1055" to="6834,3582" stroked="true" strokeweight=".390415pt" strokecolor="#d9d9d9">
              <v:stroke dashstyle="solid"/>
            </v:line>
            <v:rect style="position:absolute;left:3792;top:1082;width:3038;height:141" filled="true" fillcolor="#4f81bc" stroked="false">
              <v:fill type="solid"/>
            </v:rect>
            <v:rect style="position:absolute;left:3792;top:1277;width:3007;height:141" filled="true" fillcolor="#4f81bc" stroked="false">
              <v:fill type="solid"/>
            </v:rect>
            <v:rect style="position:absolute;left:3792;top:1667;width:1992;height:141" filled="true" fillcolor="#4f81bc" stroked="false">
              <v:fill type="solid"/>
            </v:rect>
            <v:line style="position:absolute" from="3793,2319" to="5565,2319" stroked="true" strokeweight="6.628898pt" strokecolor="#4f81bc">
              <v:stroke dashstyle="solid"/>
            </v:line>
            <v:rect style="position:absolute;left:3792;top:3414;width:407;height:141" filled="true" fillcolor="#4f81bc" stroked="false">
              <v:fill type="solid"/>
            </v:rect>
            <v:rect style="position:absolute;left:3792;top:1862;width:1773;height:141" filled="true" fillcolor="#c0504d" stroked="false">
              <v:fill type="solid"/>
            </v:rect>
            <v:line style="position:absolute" from="3793,2124" to="5565,2124" stroked="true" strokeweight="6.628862pt" strokecolor="#c0504d">
              <v:stroke dashstyle="solid"/>
            </v:line>
            <v:rect style="position:absolute;left:3792;top:3024;width:1250;height:141" filled="true" fillcolor="#c0504d" stroked="false">
              <v:fill type="solid"/>
            </v:rect>
            <v:rect style="position:absolute;left:3792;top:1472;width:2156;height:141" filled="true" fillcolor="#9bba58" stroked="false">
              <v:fill type="solid"/>
            </v:rect>
            <v:rect style="position:absolute;left:3792;top:2439;width:1711;height:141" filled="true" fillcolor="#8063a1" stroked="false">
              <v:fill type="solid"/>
            </v:rect>
            <v:rect style="position:absolute;left:3792;top:3219;width:805;height:141" filled="true" fillcolor="#8063a1" stroked="false">
              <v:fill type="solid"/>
            </v:rect>
            <v:rect style="position:absolute;left:3792;top:2634;width:1671;height:141" filled="true" fillcolor="#4aacc5" stroked="false">
              <v:fill type="solid"/>
            </v:rect>
            <v:rect style="position:absolute;left:3792;top:2829;width:1601;height:141" filled="true" fillcolor="#4aacc5" stroked="false">
              <v:fill type="solid"/>
            </v:rect>
            <v:shape style="position:absolute;left:6853;top:3008;width:4436;height:578" type="#_x0000_t202" filled="false" stroked="false">
              <v:textbox inset="0,0,0,0">
                <w:txbxContent>
                  <w:p>
                    <w:pPr>
                      <w:spacing w:before="5"/>
                      <w:ind w:left="39" w:right="0" w:firstLine="0"/>
                      <w:jc w:val="left"/>
                      <w:rPr>
                        <w:rFonts w:ascii="Calibri"/>
                        <w:sz w:val="15"/>
                      </w:rPr>
                    </w:pPr>
                    <w:r>
                      <w:rPr>
                        <w:rFonts w:ascii="Calibri"/>
                        <w:color w:val="585858"/>
                        <w:sz w:val="15"/>
                      </w:rPr>
                      <w:t>Younger entrants (Older entrants)</w:t>
                    </w:r>
                  </w:p>
                  <w:p>
                    <w:pPr>
                      <w:spacing w:line="254" w:lineRule="auto" w:before="12"/>
                      <w:ind w:left="39" w:right="1562" w:firstLine="0"/>
                      <w:jc w:val="left"/>
                      <w:rPr>
                        <w:rFonts w:ascii="Calibri"/>
                        <w:sz w:val="15"/>
                      </w:rPr>
                    </w:pPr>
                    <w:r>
                      <w:rPr>
                        <w:rFonts w:ascii="Calibri"/>
                        <w:color w:val="585858"/>
                        <w:sz w:val="15"/>
                      </w:rPr>
                      <w:t>8 to 11 years old (Very young children) Refugee (Non-refugee)</w:t>
                    </w:r>
                  </w:p>
                </w:txbxContent>
              </v:textbox>
              <w10:wrap type="none"/>
            </v:shape>
            <v:shape style="position:absolute;left:6072;top:3008;width:774;height:578" type="#_x0000_t202" filled="false" stroked="false">
              <v:textbox inset="0,0,0,0">
                <w:txbxContent>
                  <w:p>
                    <w:pPr>
                      <w:spacing w:before="32"/>
                      <w:ind w:left="31" w:right="0" w:firstLine="0"/>
                      <w:jc w:val="left"/>
                      <w:rPr>
                        <w:rFonts w:ascii="Symbol" w:hAnsi="Symbol"/>
                        <w:sz w:val="10"/>
                      </w:rPr>
                    </w:pPr>
                    <w:r>
                      <w:rPr>
                        <w:rFonts w:ascii="Calibri" w:hAnsi="Calibri"/>
                        <w:b/>
                        <w:color w:val="7E7E7E"/>
                        <w:sz w:val="10"/>
                      </w:rPr>
                      <w:t>ected Others </w:t>
                    </w:r>
                    <w:r>
                      <w:rPr>
                        <w:rFonts w:ascii="Symbol" w:hAnsi="Symbol"/>
                        <w:color w:val="7E7E7E"/>
                        <w:sz w:val="10"/>
                      </w:rPr>
                      <w:t></w:t>
                    </w:r>
                  </w:p>
                </w:txbxContent>
              </v:textbox>
              <w10:wrap type="none"/>
            </v:shape>
            <v:shape style="position:absolute;left:5979;top:3065;width:150;height:102" type="#_x0000_t202" filled="false" stroked="false">
              <v:textbox inset="0,0,0,0">
                <w:txbxContent>
                  <w:p>
                    <w:pPr>
                      <w:spacing w:line="101" w:lineRule="exact" w:before="0"/>
                      <w:ind w:left="0" w:right="0" w:firstLine="0"/>
                      <w:jc w:val="left"/>
                      <w:rPr>
                        <w:rFonts w:ascii="Calibri"/>
                        <w:b/>
                        <w:sz w:val="10"/>
                      </w:rPr>
                    </w:pPr>
                    <w:r>
                      <w:rPr>
                        <w:rFonts w:ascii="Calibri"/>
                        <w:b/>
                        <w:color w:val="7E7E7E"/>
                        <w:sz w:val="10"/>
                      </w:rPr>
                      <w:t>Sel</w:t>
                    </w:r>
                  </w:p>
                </w:txbxContent>
              </v:textbox>
              <w10:wrap type="none"/>
            </v:shape>
            <v:shape style="position:absolute;left:1028;top:3008;width:2757;height:578" type="#_x0000_t202" filled="false" stroked="false">
              <v:textbox inset="0,0,0,0">
                <w:txbxContent>
                  <w:p>
                    <w:pPr>
                      <w:spacing w:before="5"/>
                      <w:ind w:left="0" w:right="69" w:firstLine="0"/>
                      <w:jc w:val="right"/>
                      <w:rPr>
                        <w:rFonts w:ascii="Calibri"/>
                        <w:sz w:val="15"/>
                      </w:rPr>
                    </w:pPr>
                    <w:r>
                      <w:rPr>
                        <w:rFonts w:ascii="Calibri"/>
                        <w:color w:val="585858"/>
                        <w:sz w:val="15"/>
                      </w:rPr>
                      <w:t>Age</w:t>
                    </w:r>
                    <w:r>
                      <w:rPr>
                        <w:rFonts w:ascii="Calibri"/>
                        <w:color w:val="585858"/>
                        <w:spacing w:val="-15"/>
                        <w:sz w:val="15"/>
                      </w:rPr>
                      <w:t> </w:t>
                    </w:r>
                    <w:r>
                      <w:rPr>
                        <w:rFonts w:ascii="Calibri"/>
                        <w:color w:val="585858"/>
                        <w:sz w:val="15"/>
                      </w:rPr>
                      <w:t>first</w:t>
                    </w:r>
                    <w:r>
                      <w:rPr>
                        <w:rFonts w:ascii="Calibri"/>
                        <w:color w:val="585858"/>
                        <w:spacing w:val="-14"/>
                        <w:sz w:val="15"/>
                      </w:rPr>
                      <w:t> </w:t>
                    </w:r>
                    <w:r>
                      <w:rPr>
                        <w:rFonts w:ascii="Calibri"/>
                        <w:color w:val="585858"/>
                        <w:sz w:val="15"/>
                      </w:rPr>
                      <w:t>entered</w:t>
                    </w:r>
                    <w:r>
                      <w:rPr>
                        <w:rFonts w:ascii="Calibri"/>
                        <w:color w:val="585858"/>
                        <w:spacing w:val="-11"/>
                        <w:sz w:val="15"/>
                      </w:rPr>
                      <w:t> </w:t>
                    </w:r>
                    <w:r>
                      <w:rPr>
                        <w:rFonts w:ascii="Calibri"/>
                        <w:color w:val="585858"/>
                        <w:sz w:val="15"/>
                      </w:rPr>
                      <w:t>welfare</w:t>
                    </w:r>
                    <w:r>
                      <w:rPr>
                        <w:rFonts w:ascii="Calibri"/>
                        <w:color w:val="585858"/>
                        <w:spacing w:val="-15"/>
                        <w:sz w:val="15"/>
                      </w:rPr>
                      <w:t> </w:t>
                    </w:r>
                    <w:r>
                      <w:rPr>
                        <w:rFonts w:ascii="Calibri"/>
                        <w:color w:val="585858"/>
                        <w:sz w:val="15"/>
                      </w:rPr>
                      <w:t>system</w:t>
                    </w:r>
                  </w:p>
                  <w:p>
                    <w:pPr>
                      <w:spacing w:before="12"/>
                      <w:ind w:left="0" w:right="71" w:firstLine="0"/>
                      <w:jc w:val="right"/>
                      <w:rPr>
                        <w:rFonts w:ascii="Calibri"/>
                        <w:sz w:val="15"/>
                      </w:rPr>
                    </w:pPr>
                    <w:r>
                      <w:rPr>
                        <w:rFonts w:ascii="Calibri"/>
                        <w:color w:val="585858"/>
                        <w:sz w:val="15"/>
                      </w:rPr>
                      <w:t>Age</w:t>
                    </w:r>
                    <w:r>
                      <w:rPr>
                        <w:rFonts w:ascii="Calibri"/>
                        <w:color w:val="585858"/>
                        <w:spacing w:val="-14"/>
                        <w:sz w:val="15"/>
                      </w:rPr>
                      <w:t> </w:t>
                    </w:r>
                    <w:r>
                      <w:rPr>
                        <w:rFonts w:ascii="Calibri"/>
                        <w:color w:val="585858"/>
                        <w:sz w:val="15"/>
                      </w:rPr>
                      <w:t>of</w:t>
                    </w:r>
                    <w:r>
                      <w:rPr>
                        <w:rFonts w:ascii="Calibri"/>
                        <w:color w:val="585858"/>
                        <w:spacing w:val="-11"/>
                        <w:sz w:val="15"/>
                      </w:rPr>
                      <w:t> </w:t>
                    </w:r>
                    <w:r>
                      <w:rPr>
                        <w:rFonts w:ascii="Calibri"/>
                        <w:color w:val="585858"/>
                        <w:sz w:val="15"/>
                      </w:rPr>
                      <w:t>youngest</w:t>
                    </w:r>
                    <w:r>
                      <w:rPr>
                        <w:rFonts w:ascii="Calibri"/>
                        <w:color w:val="585858"/>
                        <w:spacing w:val="-13"/>
                        <w:sz w:val="15"/>
                      </w:rPr>
                      <w:t> </w:t>
                    </w:r>
                    <w:r>
                      <w:rPr>
                        <w:rFonts w:ascii="Calibri"/>
                        <w:color w:val="585858"/>
                        <w:sz w:val="15"/>
                      </w:rPr>
                      <w:t>child</w:t>
                    </w:r>
                  </w:p>
                  <w:p>
                    <w:pPr>
                      <w:spacing w:line="182" w:lineRule="exact" w:before="12"/>
                      <w:ind w:left="0" w:right="72" w:firstLine="0"/>
                      <w:jc w:val="right"/>
                      <w:rPr>
                        <w:rFonts w:ascii="Calibri"/>
                        <w:sz w:val="15"/>
                      </w:rPr>
                    </w:pPr>
                    <w:r>
                      <w:rPr>
                        <w:rFonts w:ascii="Calibri"/>
                        <w:color w:val="585858"/>
                        <w:w w:val="95"/>
                        <w:sz w:val="15"/>
                      </w:rPr>
                      <w:t>Refugee</w:t>
                    </w:r>
                    <w:r>
                      <w:rPr>
                        <w:rFonts w:ascii="Calibri"/>
                        <w:color w:val="585858"/>
                        <w:spacing w:val="15"/>
                        <w:w w:val="95"/>
                        <w:sz w:val="15"/>
                      </w:rPr>
                      <w:t> </w:t>
                    </w:r>
                    <w:r>
                      <w:rPr>
                        <w:rFonts w:ascii="Calibri"/>
                        <w:color w:val="585858"/>
                        <w:w w:val="95"/>
                        <w:sz w:val="15"/>
                      </w:rPr>
                      <w:t>status</w:t>
                    </w:r>
                  </w:p>
                </w:txbxContent>
              </v:textbox>
              <w10:wrap type="none"/>
            </v:shape>
            <v:shape style="position:absolute;left:6072;top:1472;width:774;height:1529" type="#_x0000_t202" filled="false" stroked="false">
              <v:textbox inset="0,0,0,0">
                <w:txbxContent>
                  <w:p>
                    <w:pPr>
                      <w:spacing w:line="240" w:lineRule="auto" w:before="0"/>
                      <w:rPr>
                        <w:b/>
                        <w:i/>
                        <w:sz w:val="12"/>
                      </w:rPr>
                    </w:pPr>
                  </w:p>
                  <w:p>
                    <w:pPr>
                      <w:spacing w:line="240" w:lineRule="auto" w:before="0"/>
                      <w:rPr>
                        <w:b/>
                        <w:i/>
                        <w:sz w:val="12"/>
                      </w:rPr>
                    </w:pPr>
                  </w:p>
                  <w:p>
                    <w:pPr>
                      <w:spacing w:line="240" w:lineRule="auto" w:before="0"/>
                      <w:rPr>
                        <w:b/>
                        <w:i/>
                        <w:sz w:val="12"/>
                      </w:rPr>
                    </w:pPr>
                  </w:p>
                  <w:p>
                    <w:pPr>
                      <w:spacing w:line="240" w:lineRule="auto" w:before="0"/>
                      <w:rPr>
                        <w:b/>
                        <w:i/>
                        <w:sz w:val="12"/>
                      </w:rPr>
                    </w:pPr>
                  </w:p>
                  <w:p>
                    <w:pPr>
                      <w:spacing w:line="240" w:lineRule="auto" w:before="0"/>
                      <w:rPr>
                        <w:b/>
                        <w:i/>
                        <w:sz w:val="12"/>
                      </w:rPr>
                    </w:pPr>
                  </w:p>
                  <w:p>
                    <w:pPr>
                      <w:spacing w:line="240" w:lineRule="auto" w:before="0"/>
                      <w:rPr>
                        <w:b/>
                        <w:i/>
                        <w:sz w:val="12"/>
                      </w:rPr>
                    </w:pPr>
                  </w:p>
                  <w:p>
                    <w:pPr>
                      <w:spacing w:line="240" w:lineRule="auto" w:before="0"/>
                      <w:rPr>
                        <w:b/>
                        <w:i/>
                        <w:sz w:val="12"/>
                      </w:rPr>
                    </w:pPr>
                  </w:p>
                  <w:p>
                    <w:pPr>
                      <w:spacing w:line="240" w:lineRule="auto" w:before="0"/>
                      <w:rPr>
                        <w:b/>
                        <w:i/>
                        <w:sz w:val="12"/>
                      </w:rPr>
                    </w:pPr>
                  </w:p>
                  <w:p>
                    <w:pPr>
                      <w:spacing w:line="240" w:lineRule="auto" w:before="0"/>
                      <w:rPr>
                        <w:b/>
                        <w:i/>
                        <w:sz w:val="12"/>
                      </w:rPr>
                    </w:pPr>
                  </w:p>
                  <w:p>
                    <w:pPr>
                      <w:spacing w:line="240" w:lineRule="auto" w:before="5"/>
                      <w:rPr>
                        <w:b/>
                        <w:i/>
                        <w:sz w:val="11"/>
                      </w:rPr>
                    </w:pPr>
                  </w:p>
                  <w:p>
                    <w:pPr>
                      <w:spacing w:before="0"/>
                      <w:ind w:left="-24" w:right="0" w:firstLine="0"/>
                      <w:jc w:val="left"/>
                      <w:rPr>
                        <w:rFonts w:ascii="Symbol" w:hAnsi="Symbol"/>
                        <w:sz w:val="10"/>
                      </w:rPr>
                    </w:pPr>
                    <w:r>
                      <w:rPr>
                        <w:rFonts w:ascii="Calibri" w:hAnsi="Calibri"/>
                        <w:b/>
                        <w:color w:val="7E7E7E"/>
                        <w:sz w:val="10"/>
                      </w:rPr>
                      <w:t>Top 10 Drivers </w:t>
                    </w:r>
                    <w:r>
                      <w:rPr>
                        <w:rFonts w:ascii="Symbol" w:hAnsi="Symbol"/>
                        <w:color w:val="7E7E7E"/>
                        <w:sz w:val="10"/>
                      </w:rPr>
                      <w:t></w:t>
                    </w:r>
                  </w:p>
                </w:txbxContent>
              </v:textbox>
              <w10:wrap type="none"/>
            </v:shape>
            <v:shape style="position:absolute;left:6853;top:1051;width:4436;height:1950" type="#_x0000_t202" filled="false" stroked="false">
              <v:textbox inset="0,0,0,0">
                <w:txbxContent>
                  <w:p>
                    <w:pPr>
                      <w:spacing w:before="13"/>
                      <w:ind w:left="39" w:right="0" w:firstLine="0"/>
                      <w:jc w:val="left"/>
                      <w:rPr>
                        <w:rFonts w:ascii="Calibri"/>
                        <w:sz w:val="15"/>
                      </w:rPr>
                    </w:pPr>
                    <w:r>
                      <w:rPr>
                        <w:rFonts w:ascii="Calibri"/>
                        <w:color w:val="585858"/>
                        <w:sz w:val="15"/>
                      </w:rPr>
                      <w:t>Females (Males)</w:t>
                    </w:r>
                  </w:p>
                  <w:p>
                    <w:pPr>
                      <w:spacing w:before="12"/>
                      <w:ind w:left="39" w:right="0" w:firstLine="0"/>
                      <w:jc w:val="left"/>
                      <w:rPr>
                        <w:rFonts w:ascii="Calibri"/>
                        <w:sz w:val="15"/>
                      </w:rPr>
                    </w:pPr>
                    <w:r>
                      <w:rPr>
                        <w:rFonts w:ascii="Calibri"/>
                        <w:color w:val="585858"/>
                        <w:sz w:val="15"/>
                      </w:rPr>
                      <w:t>Middle aged people (Young adults)</w:t>
                    </w:r>
                  </w:p>
                  <w:p>
                    <w:pPr>
                      <w:spacing w:line="254" w:lineRule="auto" w:before="12"/>
                      <w:ind w:left="39" w:right="1391" w:firstLine="0"/>
                      <w:jc w:val="left"/>
                      <w:rPr>
                        <w:rFonts w:ascii="Calibri"/>
                        <w:sz w:val="15"/>
                      </w:rPr>
                    </w:pPr>
                    <w:r>
                      <w:rPr>
                        <w:rFonts w:ascii="Calibri"/>
                        <w:color w:val="585858"/>
                        <w:sz w:val="15"/>
                      </w:rPr>
                      <w:t>Lower capacity to work (Higher capacity to work) Lower SEIFA decile (Higher SEIFA decile)</w:t>
                    </w:r>
                  </w:p>
                  <w:p>
                    <w:pPr>
                      <w:spacing w:line="254" w:lineRule="auto" w:before="1"/>
                      <w:ind w:left="39" w:right="571" w:firstLine="0"/>
                      <w:jc w:val="left"/>
                      <w:rPr>
                        <w:rFonts w:ascii="Calibri"/>
                        <w:sz w:val="15"/>
                      </w:rPr>
                    </w:pPr>
                    <w:r>
                      <w:rPr>
                        <w:rFonts w:ascii="Calibri"/>
                        <w:color w:val="585858"/>
                        <w:sz w:val="15"/>
                      </w:rPr>
                      <w:t>More years on income support (Less years on income support) Parenting and Carers (Studying and Rest of population)</w:t>
                    </w:r>
                  </w:p>
                  <w:p>
                    <w:pPr>
                      <w:spacing w:line="254" w:lineRule="auto" w:before="2"/>
                      <w:ind w:left="39" w:right="1025" w:firstLine="0"/>
                      <w:jc w:val="left"/>
                      <w:rPr>
                        <w:rFonts w:ascii="Calibri"/>
                        <w:sz w:val="15"/>
                      </w:rPr>
                    </w:pPr>
                    <w:r>
                      <w:rPr>
                        <w:rFonts w:ascii="Calibri"/>
                        <w:color w:val="585858"/>
                        <w:sz w:val="15"/>
                      </w:rPr>
                      <w:t>Indigenous Australian (Not Indigenous Australian) Single for several years (Partnered for several years) Lower level of education (Higher level of education)</w:t>
                    </w:r>
                  </w:p>
                  <w:p>
                    <w:pPr>
                      <w:spacing w:line="182" w:lineRule="exact" w:before="3"/>
                      <w:ind w:left="39" w:right="0" w:firstLine="0"/>
                      <w:jc w:val="left"/>
                      <w:rPr>
                        <w:rFonts w:ascii="Calibri"/>
                        <w:sz w:val="15"/>
                      </w:rPr>
                    </w:pPr>
                    <w:r>
                      <w:rPr>
                        <w:rFonts w:ascii="Calibri"/>
                        <w:color w:val="585858"/>
                        <w:sz w:val="15"/>
                      </w:rPr>
                      <w:t>Not employed for several years (Employed for several years)</w:t>
                    </w:r>
                  </w:p>
                </w:txbxContent>
              </v:textbox>
              <w10:wrap type="none"/>
            </v:shape>
            <v:shape style="position:absolute;left:1028;top:1051;width:2757;height:1950" type="#_x0000_t202" filled="false" stroked="false">
              <v:textbox inset="0,0,0,0">
                <w:txbxContent>
                  <w:p>
                    <w:pPr>
                      <w:spacing w:before="13"/>
                      <w:ind w:left="0" w:right="71" w:firstLine="0"/>
                      <w:jc w:val="right"/>
                      <w:rPr>
                        <w:rFonts w:ascii="Calibri"/>
                        <w:sz w:val="15"/>
                      </w:rPr>
                    </w:pPr>
                    <w:r>
                      <w:rPr>
                        <w:rFonts w:ascii="Calibri"/>
                        <w:color w:val="585858"/>
                        <w:spacing w:val="-2"/>
                        <w:w w:val="95"/>
                        <w:sz w:val="15"/>
                      </w:rPr>
                      <w:t>Gender</w:t>
                    </w:r>
                  </w:p>
                  <w:p>
                    <w:pPr>
                      <w:spacing w:line="254" w:lineRule="auto" w:before="12"/>
                      <w:ind w:left="1678" w:right="64" w:firstLine="780"/>
                      <w:jc w:val="right"/>
                      <w:rPr>
                        <w:rFonts w:ascii="Calibri"/>
                        <w:sz w:val="15"/>
                      </w:rPr>
                    </w:pPr>
                    <w:r>
                      <w:rPr>
                        <w:rFonts w:ascii="Calibri"/>
                        <w:color w:val="585858"/>
                        <w:w w:val="95"/>
                        <w:sz w:val="15"/>
                      </w:rPr>
                      <w:t>Age </w:t>
                    </w:r>
                    <w:r>
                      <w:rPr>
                        <w:rFonts w:ascii="Calibri"/>
                        <w:color w:val="585858"/>
                        <w:sz w:val="15"/>
                      </w:rPr>
                      <w:t>Capacity to</w:t>
                    </w:r>
                    <w:r>
                      <w:rPr>
                        <w:rFonts w:ascii="Calibri"/>
                        <w:color w:val="585858"/>
                        <w:spacing w:val="-24"/>
                        <w:sz w:val="15"/>
                      </w:rPr>
                      <w:t> </w:t>
                    </w:r>
                    <w:r>
                      <w:rPr>
                        <w:rFonts w:ascii="Calibri"/>
                        <w:color w:val="585858"/>
                        <w:sz w:val="15"/>
                      </w:rPr>
                      <w:t>work</w:t>
                    </w:r>
                  </w:p>
                  <w:p>
                    <w:pPr>
                      <w:spacing w:before="1"/>
                      <w:ind w:left="0" w:right="68" w:firstLine="0"/>
                      <w:jc w:val="right"/>
                      <w:rPr>
                        <w:rFonts w:ascii="Calibri"/>
                        <w:sz w:val="15"/>
                      </w:rPr>
                    </w:pPr>
                    <w:r>
                      <w:rPr>
                        <w:rFonts w:ascii="Calibri"/>
                        <w:color w:val="585858"/>
                        <w:sz w:val="15"/>
                      </w:rPr>
                      <w:t>SEIFA</w:t>
                    </w:r>
                  </w:p>
                  <w:p>
                    <w:pPr>
                      <w:spacing w:line="254" w:lineRule="auto" w:before="12"/>
                      <w:ind w:left="1358" w:right="66" w:hanging="368"/>
                      <w:jc w:val="right"/>
                      <w:rPr>
                        <w:rFonts w:ascii="Calibri"/>
                        <w:sz w:val="15"/>
                      </w:rPr>
                    </w:pPr>
                    <w:r>
                      <w:rPr>
                        <w:rFonts w:ascii="Calibri"/>
                        <w:color w:val="585858"/>
                        <w:sz w:val="15"/>
                      </w:rPr>
                      <w:t>Duration on</w:t>
                    </w:r>
                    <w:r>
                      <w:rPr>
                        <w:rFonts w:ascii="Calibri"/>
                        <w:color w:val="585858"/>
                        <w:spacing w:val="-24"/>
                        <w:sz w:val="15"/>
                      </w:rPr>
                      <w:t> </w:t>
                    </w:r>
                    <w:r>
                      <w:rPr>
                        <w:rFonts w:ascii="Calibri"/>
                        <w:color w:val="585858"/>
                        <w:sz w:val="15"/>
                      </w:rPr>
                      <w:t>income</w:t>
                    </w:r>
                    <w:r>
                      <w:rPr>
                        <w:rFonts w:ascii="Calibri"/>
                        <w:color w:val="585858"/>
                        <w:spacing w:val="-14"/>
                        <w:sz w:val="15"/>
                      </w:rPr>
                      <w:t> </w:t>
                    </w:r>
                    <w:r>
                      <w:rPr>
                        <w:rFonts w:ascii="Calibri"/>
                        <w:color w:val="585858"/>
                        <w:sz w:val="15"/>
                      </w:rPr>
                      <w:t>support</w:t>
                    </w:r>
                    <w:r>
                      <w:rPr>
                        <w:rFonts w:ascii="Calibri"/>
                        <w:color w:val="585858"/>
                        <w:w w:val="98"/>
                        <w:sz w:val="15"/>
                      </w:rPr>
                      <w:t> </w:t>
                    </w:r>
                    <w:r>
                      <w:rPr>
                        <w:rFonts w:ascii="Calibri"/>
                        <w:color w:val="585858"/>
                        <w:sz w:val="15"/>
                      </w:rPr>
                      <w:t>Previous</w:t>
                    </w:r>
                    <w:r>
                      <w:rPr>
                        <w:rFonts w:ascii="Calibri"/>
                        <w:color w:val="585858"/>
                        <w:spacing w:val="-10"/>
                        <w:sz w:val="15"/>
                      </w:rPr>
                      <w:t> </w:t>
                    </w:r>
                    <w:r>
                      <w:rPr>
                        <w:rFonts w:ascii="Calibri"/>
                        <w:color w:val="585858"/>
                        <w:sz w:val="15"/>
                      </w:rPr>
                      <w:t>welfare</w:t>
                    </w:r>
                    <w:r>
                      <w:rPr>
                        <w:rFonts w:ascii="Calibri"/>
                        <w:color w:val="585858"/>
                        <w:spacing w:val="-15"/>
                        <w:sz w:val="15"/>
                      </w:rPr>
                      <w:t> </w:t>
                    </w:r>
                    <w:r>
                      <w:rPr>
                        <w:rFonts w:ascii="Calibri"/>
                        <w:color w:val="585858"/>
                        <w:sz w:val="15"/>
                      </w:rPr>
                      <w:t>class</w:t>
                    </w:r>
                    <w:r>
                      <w:rPr>
                        <w:rFonts w:ascii="Calibri"/>
                        <w:color w:val="585858"/>
                        <w:w w:val="98"/>
                        <w:sz w:val="15"/>
                      </w:rPr>
                      <w:t> </w:t>
                    </w:r>
                    <w:r>
                      <w:rPr>
                        <w:rFonts w:ascii="Calibri"/>
                        <w:color w:val="585858"/>
                        <w:sz w:val="15"/>
                      </w:rPr>
                      <w:t>Indigenous</w:t>
                    </w:r>
                    <w:r>
                      <w:rPr>
                        <w:rFonts w:ascii="Calibri"/>
                        <w:color w:val="585858"/>
                        <w:spacing w:val="-13"/>
                        <w:sz w:val="15"/>
                      </w:rPr>
                      <w:t> </w:t>
                    </w:r>
                    <w:r>
                      <w:rPr>
                        <w:rFonts w:ascii="Calibri"/>
                        <w:color w:val="585858"/>
                        <w:sz w:val="15"/>
                      </w:rPr>
                      <w:t>status</w:t>
                    </w:r>
                  </w:p>
                  <w:p>
                    <w:pPr>
                      <w:spacing w:line="254" w:lineRule="auto" w:before="3"/>
                      <w:ind w:left="1405" w:right="65" w:hanging="461"/>
                      <w:jc w:val="right"/>
                      <w:rPr>
                        <w:rFonts w:ascii="Calibri"/>
                        <w:sz w:val="15"/>
                      </w:rPr>
                    </w:pPr>
                    <w:r>
                      <w:rPr>
                        <w:rFonts w:ascii="Calibri"/>
                        <w:color w:val="585858"/>
                        <w:sz w:val="15"/>
                      </w:rPr>
                      <w:t>Partnering status</w:t>
                    </w:r>
                    <w:r>
                      <w:rPr>
                        <w:rFonts w:ascii="Calibri"/>
                        <w:color w:val="585858"/>
                        <w:spacing w:val="-22"/>
                        <w:sz w:val="15"/>
                      </w:rPr>
                      <w:t> </w:t>
                    </w:r>
                    <w:r>
                      <w:rPr>
                        <w:rFonts w:ascii="Calibri"/>
                        <w:color w:val="585858"/>
                        <w:sz w:val="15"/>
                      </w:rPr>
                      <w:t>and</w:t>
                    </w:r>
                    <w:r>
                      <w:rPr>
                        <w:rFonts w:ascii="Calibri"/>
                        <w:color w:val="585858"/>
                        <w:spacing w:val="-13"/>
                        <w:sz w:val="15"/>
                      </w:rPr>
                      <w:t> </w:t>
                    </w:r>
                    <w:r>
                      <w:rPr>
                        <w:rFonts w:ascii="Calibri"/>
                        <w:color w:val="585858"/>
                        <w:sz w:val="15"/>
                      </w:rPr>
                      <w:t>history</w:t>
                    </w:r>
                    <w:r>
                      <w:rPr>
                        <w:rFonts w:ascii="Calibri"/>
                        <w:color w:val="585858"/>
                        <w:w w:val="98"/>
                        <w:sz w:val="15"/>
                      </w:rPr>
                      <w:t> </w:t>
                    </w:r>
                    <w:r>
                      <w:rPr>
                        <w:rFonts w:ascii="Calibri"/>
                        <w:color w:val="585858"/>
                        <w:sz w:val="15"/>
                      </w:rPr>
                      <w:t>Education</w:t>
                    </w:r>
                    <w:r>
                      <w:rPr>
                        <w:rFonts w:ascii="Calibri"/>
                        <w:color w:val="585858"/>
                        <w:spacing w:val="-18"/>
                        <w:sz w:val="15"/>
                      </w:rPr>
                      <w:t> </w:t>
                    </w:r>
                    <w:r>
                      <w:rPr>
                        <w:rFonts w:ascii="Calibri"/>
                        <w:color w:val="585858"/>
                        <w:spacing w:val="-4"/>
                        <w:sz w:val="15"/>
                      </w:rPr>
                      <w:t>attainment</w:t>
                    </w:r>
                  </w:p>
                  <w:p>
                    <w:pPr>
                      <w:spacing w:line="182" w:lineRule="exact" w:before="2"/>
                      <w:ind w:left="0" w:right="71" w:firstLine="0"/>
                      <w:jc w:val="right"/>
                      <w:rPr>
                        <w:rFonts w:ascii="Calibri"/>
                        <w:sz w:val="15"/>
                      </w:rPr>
                    </w:pPr>
                    <w:r>
                      <w:rPr>
                        <w:rFonts w:ascii="Calibri"/>
                        <w:color w:val="585858"/>
                        <w:sz w:val="15"/>
                      </w:rPr>
                      <w:t>Employment</w:t>
                    </w:r>
                    <w:r>
                      <w:rPr>
                        <w:rFonts w:ascii="Calibri"/>
                        <w:color w:val="585858"/>
                        <w:spacing w:val="-19"/>
                        <w:sz w:val="15"/>
                      </w:rPr>
                      <w:t> </w:t>
                    </w:r>
                    <w:r>
                      <w:rPr>
                        <w:rFonts w:ascii="Calibri"/>
                        <w:color w:val="585858"/>
                        <w:sz w:val="15"/>
                      </w:rPr>
                      <w:t>earnings</w:t>
                    </w:r>
                    <w:r>
                      <w:rPr>
                        <w:rFonts w:ascii="Calibri"/>
                        <w:color w:val="585858"/>
                        <w:spacing w:val="-16"/>
                        <w:sz w:val="15"/>
                      </w:rPr>
                      <w:t> </w:t>
                    </w:r>
                    <w:r>
                      <w:rPr>
                        <w:rFonts w:ascii="Calibri"/>
                        <w:color w:val="585858"/>
                        <w:sz w:val="15"/>
                      </w:rPr>
                      <w:t>indicator</w:t>
                    </w:r>
                    <w:r>
                      <w:rPr>
                        <w:rFonts w:ascii="Calibri"/>
                        <w:color w:val="585858"/>
                        <w:spacing w:val="-15"/>
                        <w:sz w:val="15"/>
                      </w:rPr>
                      <w:t> </w:t>
                    </w:r>
                    <w:r>
                      <w:rPr>
                        <w:rFonts w:ascii="Calibri"/>
                        <w:color w:val="585858"/>
                        <w:sz w:val="15"/>
                      </w:rPr>
                      <w:t>and</w:t>
                    </w:r>
                    <w:r>
                      <w:rPr>
                        <w:rFonts w:ascii="Calibri"/>
                        <w:color w:val="585858"/>
                        <w:spacing w:val="-18"/>
                        <w:sz w:val="15"/>
                      </w:rPr>
                      <w:t> </w:t>
                    </w:r>
                    <w:r>
                      <w:rPr>
                        <w:rFonts w:ascii="Calibri"/>
                        <w:color w:val="585858"/>
                        <w:sz w:val="15"/>
                      </w:rPr>
                      <w:t>history</w:t>
                    </w:r>
                  </w:p>
                </w:txbxContent>
              </v:textbox>
              <w10:wrap type="none"/>
            </v:shape>
            <v:shape style="position:absolute;left:6892;top:682;width:3726;height:149" type="#_x0000_t202" filled="false" stroked="false">
              <v:textbox inset="0,0,0,0">
                <w:txbxContent>
                  <w:p>
                    <w:pPr>
                      <w:spacing w:line="148" w:lineRule="exact" w:before="0"/>
                      <w:ind w:left="0" w:right="0" w:firstLine="0"/>
                      <w:jc w:val="left"/>
                      <w:rPr>
                        <w:rFonts w:ascii="Calibri"/>
                        <w:b/>
                        <w:sz w:val="15"/>
                      </w:rPr>
                    </w:pPr>
                    <w:r>
                      <w:rPr>
                        <w:rFonts w:ascii="Calibri"/>
                        <w:b/>
                        <w:color w:val="FFFFFF"/>
                        <w:sz w:val="15"/>
                      </w:rPr>
                      <w:t>Characteristics associated with higher (lower) lifetime costs</w:t>
                    </w:r>
                  </w:p>
                </w:txbxContent>
              </v:textbox>
              <w10:wrap type="none"/>
            </v:shape>
            <v:shape style="position:absolute;left:3769;top:682;width:1274;height:149" type="#_x0000_t202" filled="false" stroked="false">
              <v:textbox inset="0,0,0,0">
                <w:txbxContent>
                  <w:p>
                    <w:pPr>
                      <w:spacing w:line="148" w:lineRule="exact" w:before="0"/>
                      <w:ind w:left="0" w:right="0" w:firstLine="0"/>
                      <w:jc w:val="left"/>
                      <w:rPr>
                        <w:rFonts w:ascii="Calibri"/>
                        <w:b/>
                        <w:sz w:val="15"/>
                      </w:rPr>
                    </w:pPr>
                    <w:r>
                      <w:rPr>
                        <w:rFonts w:ascii="Calibri"/>
                        <w:b/>
                        <w:color w:val="FFFFFF"/>
                        <w:sz w:val="15"/>
                      </w:rPr>
                      <w:t>Variable importance</w:t>
                    </w:r>
                  </w:p>
                </w:txbxContent>
              </v:textbox>
              <w10:wrap type="none"/>
            </v:shape>
            <v:shape style="position:absolute;left:1926;top:682;width:939;height:149" type="#_x0000_t202" filled="false" stroked="false">
              <v:textbox inset="0,0,0,0">
                <w:txbxContent>
                  <w:p>
                    <w:pPr>
                      <w:spacing w:line="148" w:lineRule="exact" w:before="0"/>
                      <w:ind w:left="0" w:right="0" w:firstLine="0"/>
                      <w:jc w:val="left"/>
                      <w:rPr>
                        <w:rFonts w:ascii="Calibri"/>
                        <w:b/>
                        <w:sz w:val="15"/>
                      </w:rPr>
                    </w:pPr>
                    <w:r>
                      <w:rPr>
                        <w:rFonts w:ascii="Calibri"/>
                        <w:b/>
                        <w:color w:val="FFFFFF"/>
                        <w:sz w:val="15"/>
                      </w:rPr>
                      <w:t>Driver variable</w:t>
                    </w:r>
                  </w:p>
                </w:txbxContent>
              </v:textbox>
              <w10:wrap type="none"/>
            </v:shape>
            <w10:wrap type="topAndBottom"/>
          </v:group>
        </w:pict>
      </w:r>
      <w:r>
        <w:rPr>
          <w:b/>
          <w:i/>
          <w:color w:val="404040"/>
          <w:sz w:val="20"/>
        </w:rPr>
        <w:t>Class 2 Working Age</w:t>
      </w:r>
    </w:p>
    <w:p>
      <w:pPr>
        <w:pStyle w:val="BodyText"/>
        <w:rPr>
          <w:b/>
          <w:i/>
          <w:sz w:val="22"/>
        </w:rPr>
      </w:pPr>
    </w:p>
    <w:p>
      <w:pPr>
        <w:spacing w:before="138"/>
        <w:ind w:left="1602" w:right="1302" w:firstLine="0"/>
        <w:jc w:val="center"/>
        <w:rPr>
          <w:b/>
          <w:i/>
          <w:sz w:val="20"/>
        </w:rPr>
      </w:pPr>
      <w:r>
        <w:rPr/>
        <w:pict>
          <v:group style="position:absolute;margin-left:52.949902pt;margin-top:21.373278pt;width:510.2pt;height:158.35pt;mso-position-horizontal-relative:page;mso-position-vertical-relative:paragraph;z-index:-251462656;mso-wrap-distance-left:0;mso-wrap-distance-right:0" coordorigin="1059,427" coordsize="10204,3167">
            <v:rect style="position:absolute;left:1066;top:435;width:10196;height:620" filled="true" fillcolor="#808080" stroked="false">
              <v:fill type="solid"/>
            </v:rect>
            <v:line style="position:absolute" from="1067,2982" to="6859,2982" stroked="true" strokeweight="0pt" strokecolor="#808080">
              <v:stroke dashstyle="solid"/>
            </v:line>
            <v:shape style="position:absolute;left:1066;top:2982;width:5792;height:8" type="#_x0000_t75" stroked="false">
              <v:imagedata r:id="rId44" o:title=""/>
            </v:shape>
            <v:line style="position:absolute" from="1059,427" to="1059,3594" stroked="true" strokeweight="0pt" strokecolor="#808080">
              <v:stroke dashstyle="solid"/>
            </v:line>
            <v:line style="position:absolute" from="1063,427" to="1063,3594" stroked="true" strokeweight=".387678pt" strokecolor="#808080">
              <v:stroke dashstyle="solid"/>
            </v:line>
            <v:line style="position:absolute" from="6859,1055" to="6859,3594" stroked="true" strokeweight="0pt" strokecolor="#808080">
              <v:stroke dashstyle="solid"/>
            </v:line>
            <v:line style="position:absolute" from="6863,1055" to="6863,3594" stroked="true" strokeweight=".387678pt" strokecolor="#808080">
              <v:stroke dashstyle="solid"/>
            </v:line>
            <v:line style="position:absolute" from="11255,1055" to="11255,3594" stroked="true" strokeweight="0pt" strokecolor="#808080">
              <v:stroke dashstyle="solid"/>
            </v:line>
            <v:line style="position:absolute" from="11259,1055" to="11259,3594" stroked="true" strokeweight=".387291pt" strokecolor="#808080">
              <v:stroke dashstyle="solid"/>
            </v:line>
            <v:line style="position:absolute" from="1067,427" to="11263,427" stroked="true" strokeweight="0pt" strokecolor="#808080">
              <v:stroke dashstyle="solid"/>
            </v:line>
            <v:line style="position:absolute" from="1067,431" to="11263,431" stroked="true" strokeweight=".386308pt" strokecolor="#808080">
              <v:stroke dashstyle="solid"/>
            </v:line>
            <v:line style="position:absolute" from="1067,1047" to="11263,1047" stroked="true" strokeweight="0pt" strokecolor="#808080">
              <v:stroke dashstyle="solid"/>
            </v:line>
            <v:line style="position:absolute" from="1067,1051" to="11263,1051" stroked="true" strokeweight=".387083pt" strokecolor="#808080">
              <v:stroke dashstyle="solid"/>
            </v:line>
            <v:line style="position:absolute" from="6866,2982" to="11255,2982" stroked="true" strokeweight="0pt" strokecolor="#808080">
              <v:stroke dashstyle="solid"/>
            </v:line>
            <v:shape style="position:absolute;left:6866;top:2982;width:4389;height:8" type="#_x0000_t75" stroked="false">
              <v:imagedata r:id="rId45" o:title=""/>
            </v:shape>
            <v:line style="position:absolute" from="1067,3586" to="11263,3586" stroked="true" strokeweight="0pt" strokecolor="#808080">
              <v:stroke dashstyle="solid"/>
            </v:line>
            <v:line style="position:absolute" from="1067,3590" to="11263,3590" stroked="true" strokeweight=".387083pt" strokecolor="#808080">
              <v:stroke dashstyle="solid"/>
            </v:line>
            <v:line style="position:absolute" from="3808,1051" to="3808,3559" stroked="true" strokeweight=".38768pt" strokecolor="#d9d9d9">
              <v:stroke dashstyle="solid"/>
            </v:line>
            <v:line style="position:absolute" from="4567,1051" to="4567,1078" stroked="true" strokeweight=".38768pt" strokecolor="#d9d9d9">
              <v:stroke dashstyle="solid"/>
            </v:line>
            <v:line style="position:absolute" from="4567,1217" to="4567,1271" stroked="true" strokeweight=".38768pt" strokecolor="#d9d9d9">
              <v:stroke dashstyle="solid"/>
            </v:line>
            <v:line style="position:absolute" from="4567,1411" to="4567,1465" stroked="true" strokeweight=".38768pt" strokecolor="#d9d9d9">
              <v:stroke dashstyle="solid"/>
            </v:line>
            <v:line style="position:absolute" from="4567,1604" to="4567,1658" stroked="true" strokeweight=".38768pt" strokecolor="#d9d9d9">
              <v:stroke dashstyle="solid"/>
            </v:line>
            <v:line style="position:absolute" from="4567,1798" to="4567,1852" stroked="true" strokeweight=".38768pt" strokecolor="#d9d9d9">
              <v:stroke dashstyle="solid"/>
            </v:line>
            <v:line style="position:absolute" from="4567,1984" to="4567,2045" stroked="true" strokeweight=".38768pt" strokecolor="#d9d9d9">
              <v:stroke dashstyle="solid"/>
            </v:line>
            <v:line style="position:absolute" from="4567,2177" to="4567,2231" stroked="true" strokeweight=".38768pt" strokecolor="#d9d9d9">
              <v:stroke dashstyle="solid"/>
            </v:line>
            <v:line style="position:absolute" from="4567,2371" to="4567,2425" stroked="true" strokeweight=".38768pt" strokecolor="#d9d9d9">
              <v:stroke dashstyle="solid"/>
            </v:line>
            <v:line style="position:absolute" from="4567,2564" to="4567,2618" stroked="true" strokeweight=".38768pt" strokecolor="#d9d9d9">
              <v:stroke dashstyle="solid"/>
            </v:line>
            <v:line style="position:absolute" from="4567,2758" to="4567,2812" stroked="true" strokeweight=".38768pt" strokecolor="#d9d9d9">
              <v:stroke dashstyle="solid"/>
            </v:line>
            <v:line style="position:absolute" from="4567,2951" to="4567,3005" stroked="true" strokeweight=".38768pt" strokecolor="#d9d9d9">
              <v:stroke dashstyle="solid"/>
            </v:line>
            <v:line style="position:absolute" from="4567,3145" to="4567,3559" stroked="true" strokeweight=".38768pt" strokecolor="#d9d9d9">
              <v:stroke dashstyle="solid"/>
            </v:line>
            <v:line style="position:absolute" from="5320,1051" to="5320,1078" stroked="true" strokeweight=".38768pt" strokecolor="#d9d9d9">
              <v:stroke dashstyle="solid"/>
            </v:line>
            <v:line style="position:absolute" from="5320,1217" to="5320,1271" stroked="true" strokeweight=".38768pt" strokecolor="#d9d9d9">
              <v:stroke dashstyle="solid"/>
            </v:line>
            <v:line style="position:absolute" from="5320,1411" to="5320,1465" stroked="true" strokeweight=".38768pt" strokecolor="#d9d9d9">
              <v:stroke dashstyle="solid"/>
            </v:line>
            <v:line style="position:absolute" from="5320,1604" to="5320,1658" stroked="true" strokeweight=".38768pt" strokecolor="#d9d9d9">
              <v:stroke dashstyle="solid"/>
            </v:line>
            <v:line style="position:absolute" from="5320,1798" to="5320,1852" stroked="true" strokeweight=".38768pt" strokecolor="#d9d9d9">
              <v:stroke dashstyle="solid"/>
            </v:line>
            <v:line style="position:absolute" from="5320,1984" to="5320,3559" stroked="true" strokeweight=".38768pt" strokecolor="#d9d9d9">
              <v:stroke dashstyle="solid"/>
            </v:line>
            <v:line style="position:absolute" from="6079,1051" to="6079,1078" stroked="true" strokeweight=".38768pt" strokecolor="#d9d9d9">
              <v:stroke dashstyle="solid"/>
            </v:line>
            <v:line style="position:absolute" from="6079,1217" to="6079,1271" stroked="true" strokeweight=".38768pt" strokecolor="#d9d9d9">
              <v:stroke dashstyle="solid"/>
            </v:line>
            <v:line style="position:absolute" from="6079,1411" to="6079,1465" stroked="true" strokeweight=".38768pt" strokecolor="#d9d9d9">
              <v:stroke dashstyle="solid"/>
            </v:line>
            <v:line style="position:absolute" from="6079,1604" to="6079,3559" stroked="true" strokeweight=".38768pt" strokecolor="#d9d9d9">
              <v:stroke dashstyle="solid"/>
            </v:line>
            <v:line style="position:absolute" from="6832,1051" to="6832,1078" stroked="true" strokeweight=".38768pt" strokecolor="#d9d9d9">
              <v:stroke dashstyle="solid"/>
            </v:line>
            <v:line style="position:absolute" from="6832,1217" to="6832,3559" stroked="true" strokeweight=".38768pt" strokecolor="#d9d9d9">
              <v:stroke dashstyle="solid"/>
            </v:line>
            <v:rect style="position:absolute;left:3811;top:1464;width:2536;height:140" filled="true" fillcolor="#4f81bc" stroked="false">
              <v:fill type="solid"/>
            </v:rect>
            <v:line style="position:absolute" from="3812,2111" to="5238,2111" stroked="true" strokeweight="6.580428pt" strokecolor="#4f81bc">
              <v:stroke dashstyle="solid"/>
            </v:line>
            <v:rect style="position:absolute;left:3811;top:2231;width:1295;height:140" filled="true" fillcolor="#4f81bc" stroked="false">
              <v:fill type="solid"/>
            </v:rect>
            <v:rect style="position:absolute;left:3811;top:3005;width:970;height:140" filled="true" fillcolor="#4f81bc" stroked="false">
              <v:fill type="solid"/>
            </v:rect>
            <v:rect style="position:absolute;left:3811;top:3199;width:590;height:140" filled="true" fillcolor="#4f81bc" stroked="false">
              <v:fill type="solid"/>
            </v:rect>
            <v:rect style="position:absolute;left:3811;top:1658;width:1869;height:140" filled="true" fillcolor="#c0504d" stroked="false">
              <v:fill type="solid"/>
            </v:rect>
            <v:rect style="position:absolute;left:3811;top:3392;width:427;height:140" filled="true" fillcolor="#c0504d" stroked="false">
              <v:fill type="solid"/>
            </v:rect>
            <v:rect style="position:absolute;left:3811;top:1077;width:3024;height:140" filled="true" fillcolor="#8063a1" stroked="false">
              <v:fill type="solid"/>
            </v:rect>
            <v:rect style="position:absolute;left:3811;top:1271;width:2691;height:140" filled="true" fillcolor="#8063a1" stroked="false">
              <v:fill type="solid"/>
            </v:rect>
            <v:line style="position:absolute" from="3812,1918" to="5494,1918" stroked="true" strokeweight="6.580441pt" strokecolor="#8063a1">
              <v:stroke dashstyle="solid"/>
            </v:line>
            <v:rect style="position:absolute;left:3811;top:2811;width:1001;height:140" filled="true" fillcolor="#8063a1" stroked="false">
              <v:fill type="solid"/>
            </v:rect>
            <v:rect style="position:absolute;left:3811;top:2424;width:1164;height:140" filled="true" fillcolor="#4aacc5" stroked="false">
              <v:fill type="solid"/>
            </v:rect>
            <v:rect style="position:absolute;left:3811;top:2618;width:1078;height:140" filled="true" fillcolor="#4aacc5" stroked="false">
              <v:fill type="solid"/>
            </v:rect>
            <v:shape style="position:absolute;left:1958;top:681;width:932;height:148" type="#_x0000_t202" filled="false" stroked="false">
              <v:textbox inset="0,0,0,0">
                <w:txbxContent>
                  <w:p>
                    <w:pPr>
                      <w:spacing w:line="147" w:lineRule="exact" w:before="0"/>
                      <w:ind w:left="0" w:right="0" w:firstLine="0"/>
                      <w:jc w:val="left"/>
                      <w:rPr>
                        <w:rFonts w:ascii="Calibri"/>
                        <w:b/>
                        <w:sz w:val="14"/>
                      </w:rPr>
                    </w:pPr>
                    <w:r>
                      <w:rPr>
                        <w:rFonts w:ascii="Calibri"/>
                        <w:b/>
                        <w:color w:val="FFFFFF"/>
                        <w:w w:val="105"/>
                        <w:sz w:val="14"/>
                      </w:rPr>
                      <w:t>Driver variable</w:t>
                    </w:r>
                  </w:p>
                </w:txbxContent>
              </v:textbox>
              <w10:wrap type="none"/>
            </v:shape>
            <v:shape style="position:absolute;left:3788;top:681;width:1266;height:148" type="#_x0000_t202" filled="false" stroked="false">
              <v:textbox inset="0,0,0,0">
                <w:txbxContent>
                  <w:p>
                    <w:pPr>
                      <w:spacing w:line="147" w:lineRule="exact" w:before="0"/>
                      <w:ind w:left="0" w:right="0" w:firstLine="0"/>
                      <w:jc w:val="left"/>
                      <w:rPr>
                        <w:rFonts w:ascii="Calibri"/>
                        <w:b/>
                        <w:sz w:val="14"/>
                      </w:rPr>
                    </w:pPr>
                    <w:r>
                      <w:rPr>
                        <w:rFonts w:ascii="Calibri"/>
                        <w:b/>
                        <w:color w:val="FFFFFF"/>
                        <w:w w:val="105"/>
                        <w:sz w:val="14"/>
                      </w:rPr>
                      <w:t>Variable importance</w:t>
                    </w:r>
                  </w:p>
                </w:txbxContent>
              </v:textbox>
              <w10:wrap type="none"/>
            </v:shape>
            <v:shape style="position:absolute;left:6889;top:681;width:3700;height:148" type="#_x0000_t202" filled="false" stroked="false">
              <v:textbox inset="0,0,0,0">
                <w:txbxContent>
                  <w:p>
                    <w:pPr>
                      <w:spacing w:line="147" w:lineRule="exact" w:before="0"/>
                      <w:ind w:left="0" w:right="0" w:firstLine="0"/>
                      <w:jc w:val="left"/>
                      <w:rPr>
                        <w:rFonts w:ascii="Calibri"/>
                        <w:b/>
                        <w:sz w:val="14"/>
                      </w:rPr>
                    </w:pPr>
                    <w:r>
                      <w:rPr>
                        <w:rFonts w:ascii="Calibri"/>
                        <w:b/>
                        <w:color w:val="FFFFFF"/>
                        <w:w w:val="105"/>
                        <w:sz w:val="14"/>
                      </w:rPr>
                      <w:t>Characteristics associated with higher (lower) lifetime costs</w:t>
                    </w:r>
                  </w:p>
                </w:txbxContent>
              </v:textbox>
              <w10:wrap type="none"/>
            </v:shape>
            <v:shape style="position:absolute;left:1175;top:1091;width:2583;height:2486" type="#_x0000_t202" filled="false" stroked="false">
              <v:textbox inset="0,0,0,0">
                <w:txbxContent>
                  <w:p>
                    <w:pPr>
                      <w:spacing w:line="148" w:lineRule="exact" w:before="0"/>
                      <w:ind w:left="0" w:right="24" w:firstLine="0"/>
                      <w:jc w:val="right"/>
                      <w:rPr>
                        <w:rFonts w:ascii="Calibri"/>
                        <w:sz w:val="14"/>
                      </w:rPr>
                    </w:pPr>
                    <w:r>
                      <w:rPr>
                        <w:rFonts w:ascii="Calibri"/>
                        <w:color w:val="585858"/>
                        <w:w w:val="105"/>
                        <w:sz w:val="14"/>
                      </w:rPr>
                      <w:t>Age of youngest</w:t>
                    </w:r>
                    <w:r>
                      <w:rPr>
                        <w:rFonts w:ascii="Calibri"/>
                        <w:color w:val="585858"/>
                        <w:spacing w:val="-20"/>
                        <w:w w:val="105"/>
                        <w:sz w:val="14"/>
                      </w:rPr>
                      <w:t> </w:t>
                    </w:r>
                    <w:r>
                      <w:rPr>
                        <w:rFonts w:ascii="Calibri"/>
                        <w:color w:val="585858"/>
                        <w:w w:val="105"/>
                        <w:sz w:val="14"/>
                      </w:rPr>
                      <w:t>child</w:t>
                    </w:r>
                  </w:p>
                  <w:p>
                    <w:pPr>
                      <w:spacing w:before="22"/>
                      <w:ind w:left="0" w:right="24" w:firstLine="0"/>
                      <w:jc w:val="right"/>
                      <w:rPr>
                        <w:rFonts w:ascii="Calibri"/>
                        <w:sz w:val="14"/>
                      </w:rPr>
                    </w:pPr>
                    <w:r>
                      <w:rPr>
                        <w:rFonts w:ascii="Calibri"/>
                        <w:color w:val="585858"/>
                        <w:w w:val="105"/>
                        <w:sz w:val="14"/>
                      </w:rPr>
                      <w:t>Partnering status and</w:t>
                    </w:r>
                    <w:r>
                      <w:rPr>
                        <w:rFonts w:ascii="Calibri"/>
                        <w:color w:val="585858"/>
                        <w:spacing w:val="-12"/>
                        <w:w w:val="105"/>
                        <w:sz w:val="14"/>
                      </w:rPr>
                      <w:t> </w:t>
                    </w:r>
                    <w:r>
                      <w:rPr>
                        <w:rFonts w:ascii="Calibri"/>
                        <w:color w:val="585858"/>
                        <w:w w:val="105"/>
                        <w:sz w:val="14"/>
                      </w:rPr>
                      <w:t>history</w:t>
                    </w:r>
                  </w:p>
                  <w:p>
                    <w:pPr>
                      <w:spacing w:line="271" w:lineRule="auto" w:before="23"/>
                      <w:ind w:left="876" w:right="18" w:firstLine="1457"/>
                      <w:jc w:val="right"/>
                      <w:rPr>
                        <w:rFonts w:ascii="Calibri"/>
                        <w:sz w:val="14"/>
                      </w:rPr>
                    </w:pPr>
                    <w:r>
                      <w:rPr>
                        <w:rFonts w:ascii="Calibri"/>
                        <w:color w:val="585858"/>
                        <w:w w:val="105"/>
                        <w:sz w:val="14"/>
                      </w:rPr>
                      <w:t>Age</w:t>
                    </w:r>
                    <w:r>
                      <w:rPr>
                        <w:rFonts w:ascii="Calibri"/>
                        <w:color w:val="585858"/>
                        <w:w w:val="105"/>
                        <w:sz w:val="14"/>
                      </w:rPr>
                      <w:t> </w:t>
                    </w:r>
                    <w:r>
                      <w:rPr>
                        <w:rFonts w:ascii="Calibri"/>
                        <w:color w:val="585858"/>
                        <w:spacing w:val="2"/>
                        <w:w w:val="105"/>
                        <w:sz w:val="14"/>
                      </w:rPr>
                      <w:t>                          </w:t>
                    </w:r>
                    <w:r>
                      <w:rPr>
                        <w:rFonts w:ascii="Calibri"/>
                        <w:color w:val="585858"/>
                        <w:w w:val="105"/>
                        <w:sz w:val="14"/>
                      </w:rPr>
                      <w:t>Duration on income</w:t>
                    </w:r>
                    <w:r>
                      <w:rPr>
                        <w:rFonts w:ascii="Calibri"/>
                        <w:color w:val="585858"/>
                        <w:spacing w:val="-16"/>
                        <w:w w:val="105"/>
                        <w:sz w:val="14"/>
                      </w:rPr>
                      <w:t> </w:t>
                    </w:r>
                    <w:r>
                      <w:rPr>
                        <w:rFonts w:ascii="Calibri"/>
                        <w:color w:val="585858"/>
                        <w:w w:val="105"/>
                        <w:sz w:val="14"/>
                      </w:rPr>
                      <w:t>support</w:t>
                    </w:r>
                  </w:p>
                  <w:p>
                    <w:pPr>
                      <w:spacing w:before="1"/>
                      <w:ind w:left="0" w:right="22" w:firstLine="0"/>
                      <w:jc w:val="right"/>
                      <w:rPr>
                        <w:rFonts w:ascii="Calibri"/>
                        <w:sz w:val="14"/>
                      </w:rPr>
                    </w:pPr>
                    <w:r>
                      <w:rPr>
                        <w:rFonts w:ascii="Calibri"/>
                        <w:color w:val="585858"/>
                        <w:w w:val="105"/>
                        <w:sz w:val="14"/>
                      </w:rPr>
                      <w:t>Number of</w:t>
                    </w:r>
                    <w:r>
                      <w:rPr>
                        <w:rFonts w:ascii="Calibri"/>
                        <w:color w:val="585858"/>
                        <w:spacing w:val="-18"/>
                        <w:w w:val="105"/>
                        <w:sz w:val="14"/>
                      </w:rPr>
                      <w:t> </w:t>
                    </w:r>
                    <w:r>
                      <w:rPr>
                        <w:rFonts w:ascii="Calibri"/>
                        <w:color w:val="585858"/>
                        <w:w w:val="105"/>
                        <w:sz w:val="14"/>
                      </w:rPr>
                      <w:t>children</w:t>
                    </w:r>
                  </w:p>
                  <w:p>
                    <w:pPr>
                      <w:spacing w:before="23"/>
                      <w:ind w:left="0" w:right="21" w:firstLine="0"/>
                      <w:jc w:val="right"/>
                      <w:rPr>
                        <w:rFonts w:ascii="Calibri"/>
                        <w:sz w:val="14"/>
                      </w:rPr>
                    </w:pPr>
                    <w:r>
                      <w:rPr>
                        <w:rFonts w:ascii="Calibri"/>
                        <w:color w:val="585858"/>
                        <w:w w:val="105"/>
                        <w:sz w:val="14"/>
                      </w:rPr>
                      <w:t>SEIFA</w:t>
                    </w:r>
                  </w:p>
                  <w:p>
                    <w:pPr>
                      <w:spacing w:line="271" w:lineRule="auto" w:before="22"/>
                      <w:ind w:left="1286" w:right="18" w:firstLine="829"/>
                      <w:jc w:val="right"/>
                      <w:rPr>
                        <w:rFonts w:ascii="Calibri"/>
                        <w:sz w:val="14"/>
                      </w:rPr>
                    </w:pPr>
                    <w:r>
                      <w:rPr>
                        <w:rFonts w:ascii="Calibri"/>
                        <w:color w:val="585858"/>
                        <w:spacing w:val="-2"/>
                        <w:w w:val="105"/>
                        <w:sz w:val="14"/>
                      </w:rPr>
                      <w:t>Gender </w:t>
                    </w:r>
                    <w:r>
                      <w:rPr>
                        <w:rFonts w:ascii="Calibri"/>
                        <w:color w:val="585858"/>
                        <w:w w:val="105"/>
                        <w:sz w:val="14"/>
                      </w:rPr>
                      <w:t>Education</w:t>
                    </w:r>
                    <w:r>
                      <w:rPr>
                        <w:rFonts w:ascii="Calibri"/>
                        <w:color w:val="585858"/>
                        <w:spacing w:val="-9"/>
                        <w:w w:val="105"/>
                        <w:sz w:val="14"/>
                      </w:rPr>
                      <w:t> </w:t>
                    </w:r>
                    <w:r>
                      <w:rPr>
                        <w:rFonts w:ascii="Calibri"/>
                        <w:color w:val="585858"/>
                        <w:spacing w:val="-3"/>
                        <w:w w:val="105"/>
                        <w:sz w:val="14"/>
                      </w:rPr>
                      <w:t>attainment</w:t>
                    </w:r>
                  </w:p>
                  <w:p>
                    <w:pPr>
                      <w:spacing w:before="1"/>
                      <w:ind w:left="0" w:right="25" w:firstLine="0"/>
                      <w:jc w:val="right"/>
                      <w:rPr>
                        <w:rFonts w:ascii="Calibri"/>
                        <w:sz w:val="14"/>
                      </w:rPr>
                    </w:pPr>
                    <w:r>
                      <w:rPr>
                        <w:rFonts w:ascii="Calibri"/>
                        <w:color w:val="585858"/>
                        <w:w w:val="105"/>
                        <w:sz w:val="14"/>
                      </w:rPr>
                      <w:t>Employment</w:t>
                    </w:r>
                    <w:r>
                      <w:rPr>
                        <w:rFonts w:ascii="Calibri"/>
                        <w:color w:val="585858"/>
                        <w:spacing w:val="-12"/>
                        <w:w w:val="105"/>
                        <w:sz w:val="14"/>
                      </w:rPr>
                      <w:t> </w:t>
                    </w:r>
                    <w:r>
                      <w:rPr>
                        <w:rFonts w:ascii="Calibri"/>
                        <w:color w:val="585858"/>
                        <w:w w:val="105"/>
                        <w:sz w:val="14"/>
                      </w:rPr>
                      <w:t>earnings</w:t>
                    </w:r>
                    <w:r>
                      <w:rPr>
                        <w:rFonts w:ascii="Calibri"/>
                        <w:color w:val="585858"/>
                        <w:spacing w:val="-6"/>
                        <w:w w:val="105"/>
                        <w:sz w:val="14"/>
                      </w:rPr>
                      <w:t> </w:t>
                    </w:r>
                    <w:r>
                      <w:rPr>
                        <w:rFonts w:ascii="Calibri"/>
                        <w:color w:val="585858"/>
                        <w:w w:val="105"/>
                        <w:sz w:val="14"/>
                      </w:rPr>
                      <w:t>indicator</w:t>
                    </w:r>
                    <w:r>
                      <w:rPr>
                        <w:rFonts w:ascii="Calibri"/>
                        <w:color w:val="585858"/>
                        <w:spacing w:val="-6"/>
                        <w:w w:val="105"/>
                        <w:sz w:val="14"/>
                      </w:rPr>
                      <w:t> </w:t>
                    </w:r>
                    <w:r>
                      <w:rPr>
                        <w:rFonts w:ascii="Calibri"/>
                        <w:color w:val="585858"/>
                        <w:w w:val="105"/>
                        <w:sz w:val="14"/>
                      </w:rPr>
                      <w:t>and</w:t>
                    </w:r>
                    <w:r>
                      <w:rPr>
                        <w:rFonts w:ascii="Calibri"/>
                        <w:color w:val="585858"/>
                        <w:spacing w:val="-10"/>
                        <w:w w:val="105"/>
                        <w:sz w:val="14"/>
                      </w:rPr>
                      <w:t> </w:t>
                    </w:r>
                    <w:r>
                      <w:rPr>
                        <w:rFonts w:ascii="Calibri"/>
                        <w:color w:val="585858"/>
                        <w:w w:val="105"/>
                        <w:sz w:val="14"/>
                      </w:rPr>
                      <w:t>history</w:t>
                    </w:r>
                  </w:p>
                  <w:p>
                    <w:pPr>
                      <w:spacing w:line="276" w:lineRule="auto" w:before="23"/>
                      <w:ind w:left="1496" w:right="24" w:hanging="365"/>
                      <w:jc w:val="right"/>
                      <w:rPr>
                        <w:rFonts w:ascii="Calibri"/>
                        <w:sz w:val="14"/>
                      </w:rPr>
                    </w:pPr>
                    <w:r>
                      <w:rPr>
                        <w:rFonts w:ascii="Calibri"/>
                        <w:color w:val="585858"/>
                        <w:w w:val="105"/>
                        <w:sz w:val="14"/>
                      </w:rPr>
                      <w:t>Parental</w:t>
                    </w:r>
                    <w:r>
                      <w:rPr>
                        <w:rFonts w:ascii="Calibri"/>
                        <w:color w:val="585858"/>
                        <w:spacing w:val="-9"/>
                        <w:w w:val="105"/>
                        <w:sz w:val="14"/>
                      </w:rPr>
                      <w:t> </w:t>
                    </w:r>
                    <w:r>
                      <w:rPr>
                        <w:rFonts w:ascii="Calibri"/>
                        <w:color w:val="585858"/>
                        <w:w w:val="105"/>
                        <w:sz w:val="14"/>
                      </w:rPr>
                      <w:t>welfare</w:t>
                    </w:r>
                    <w:r>
                      <w:rPr>
                        <w:rFonts w:ascii="Calibri"/>
                        <w:color w:val="585858"/>
                        <w:spacing w:val="-10"/>
                        <w:w w:val="105"/>
                        <w:sz w:val="14"/>
                      </w:rPr>
                      <w:t> </w:t>
                    </w:r>
                    <w:r>
                      <w:rPr>
                        <w:rFonts w:ascii="Calibri"/>
                        <w:color w:val="585858"/>
                        <w:w w:val="105"/>
                        <w:sz w:val="14"/>
                      </w:rPr>
                      <w:t>history</w:t>
                    </w:r>
                    <w:r>
                      <w:rPr>
                        <w:rFonts w:ascii="Calibri"/>
                        <w:color w:val="585858"/>
                        <w:w w:val="105"/>
                        <w:sz w:val="14"/>
                      </w:rPr>
                      <w:t> </w:t>
                    </w:r>
                    <w:r>
                      <w:rPr>
                        <w:rFonts w:ascii="Calibri"/>
                        <w:color w:val="585858"/>
                        <w:w w:val="105"/>
                        <w:sz w:val="14"/>
                      </w:rPr>
                      <w:t>Indigenous</w:t>
                    </w:r>
                    <w:r>
                      <w:rPr>
                        <w:rFonts w:ascii="Calibri"/>
                        <w:color w:val="585858"/>
                        <w:spacing w:val="8"/>
                        <w:w w:val="105"/>
                        <w:sz w:val="14"/>
                      </w:rPr>
                      <w:t> </w:t>
                    </w:r>
                    <w:r>
                      <w:rPr>
                        <w:rFonts w:ascii="Calibri"/>
                        <w:color w:val="585858"/>
                        <w:spacing w:val="-3"/>
                        <w:w w:val="105"/>
                        <w:sz w:val="14"/>
                      </w:rPr>
                      <w:t>status</w:t>
                    </w:r>
                    <w:r>
                      <w:rPr>
                        <w:rFonts w:ascii="Calibri"/>
                        <w:color w:val="585858"/>
                        <w:w w:val="105"/>
                        <w:sz w:val="14"/>
                      </w:rPr>
                      <w:t> </w:t>
                    </w:r>
                    <w:r>
                      <w:rPr>
                        <w:rFonts w:ascii="Calibri"/>
                        <w:color w:val="585858"/>
                        <w:w w:val="105"/>
                        <w:sz w:val="14"/>
                      </w:rPr>
                      <w:t>Refugee</w:t>
                    </w:r>
                    <w:r>
                      <w:rPr>
                        <w:rFonts w:ascii="Calibri"/>
                        <w:color w:val="585858"/>
                        <w:spacing w:val="-18"/>
                        <w:w w:val="105"/>
                        <w:sz w:val="14"/>
                      </w:rPr>
                      <w:t> </w:t>
                    </w:r>
                    <w:r>
                      <w:rPr>
                        <w:rFonts w:ascii="Calibri"/>
                        <w:color w:val="585858"/>
                        <w:w w:val="105"/>
                        <w:sz w:val="14"/>
                      </w:rPr>
                      <w:t>status</w:t>
                    </w:r>
                  </w:p>
                  <w:p>
                    <w:pPr>
                      <w:spacing w:line="170" w:lineRule="exact" w:before="6"/>
                      <w:ind w:left="0" w:right="22" w:firstLine="0"/>
                      <w:jc w:val="right"/>
                      <w:rPr>
                        <w:rFonts w:ascii="Calibri"/>
                        <w:sz w:val="14"/>
                      </w:rPr>
                    </w:pPr>
                    <w:r>
                      <w:rPr>
                        <w:rFonts w:ascii="Calibri"/>
                        <w:color w:val="585858"/>
                        <w:w w:val="105"/>
                        <w:sz w:val="14"/>
                      </w:rPr>
                      <w:t>Age</w:t>
                    </w:r>
                    <w:r>
                      <w:rPr>
                        <w:rFonts w:ascii="Calibri"/>
                        <w:color w:val="585858"/>
                        <w:spacing w:val="-9"/>
                        <w:w w:val="105"/>
                        <w:sz w:val="14"/>
                      </w:rPr>
                      <w:t> </w:t>
                    </w:r>
                    <w:r>
                      <w:rPr>
                        <w:rFonts w:ascii="Calibri"/>
                        <w:color w:val="585858"/>
                        <w:w w:val="105"/>
                        <w:sz w:val="14"/>
                      </w:rPr>
                      <w:t>first</w:t>
                    </w:r>
                    <w:r>
                      <w:rPr>
                        <w:rFonts w:ascii="Calibri"/>
                        <w:color w:val="585858"/>
                        <w:spacing w:val="-7"/>
                        <w:w w:val="105"/>
                        <w:sz w:val="14"/>
                      </w:rPr>
                      <w:t> </w:t>
                    </w:r>
                    <w:r>
                      <w:rPr>
                        <w:rFonts w:ascii="Calibri"/>
                        <w:color w:val="585858"/>
                        <w:w w:val="105"/>
                        <w:sz w:val="14"/>
                      </w:rPr>
                      <w:t>entered</w:t>
                    </w:r>
                    <w:r>
                      <w:rPr>
                        <w:rFonts w:ascii="Calibri"/>
                        <w:color w:val="585858"/>
                        <w:spacing w:val="-5"/>
                        <w:w w:val="105"/>
                        <w:sz w:val="14"/>
                      </w:rPr>
                      <w:t> </w:t>
                    </w:r>
                    <w:r>
                      <w:rPr>
                        <w:rFonts w:ascii="Calibri"/>
                        <w:color w:val="585858"/>
                        <w:w w:val="105"/>
                        <w:sz w:val="14"/>
                      </w:rPr>
                      <w:t>welfare</w:t>
                    </w:r>
                    <w:r>
                      <w:rPr>
                        <w:rFonts w:ascii="Calibri"/>
                        <w:color w:val="585858"/>
                        <w:spacing w:val="-7"/>
                        <w:w w:val="105"/>
                        <w:sz w:val="14"/>
                      </w:rPr>
                      <w:t> </w:t>
                    </w:r>
                    <w:r>
                      <w:rPr>
                        <w:rFonts w:ascii="Calibri"/>
                        <w:color w:val="585858"/>
                        <w:w w:val="105"/>
                        <w:sz w:val="14"/>
                      </w:rPr>
                      <w:t>system</w:t>
                    </w:r>
                  </w:p>
                </w:txbxContent>
              </v:textbox>
              <w10:wrap type="none"/>
            </v:shape>
            <v:shape style="position:absolute;left:5982;top:1091;width:5103;height:2486" type="#_x0000_t202" filled="false" stroked="false">
              <v:textbox inset="0,0,0,0">
                <w:txbxContent>
                  <w:p>
                    <w:pPr>
                      <w:spacing w:line="148" w:lineRule="exact" w:before="0"/>
                      <w:ind w:left="907" w:right="0" w:firstLine="0"/>
                      <w:jc w:val="left"/>
                      <w:rPr>
                        <w:rFonts w:ascii="Calibri"/>
                        <w:sz w:val="14"/>
                      </w:rPr>
                    </w:pPr>
                    <w:r>
                      <w:rPr>
                        <w:rFonts w:ascii="Calibri"/>
                        <w:color w:val="585858"/>
                        <w:w w:val="105"/>
                        <w:sz w:val="14"/>
                      </w:rPr>
                      <w:t>Younger children (Older children)</w:t>
                    </w:r>
                  </w:p>
                  <w:p>
                    <w:pPr>
                      <w:spacing w:line="271" w:lineRule="auto" w:before="22"/>
                      <w:ind w:left="907" w:right="1064" w:firstLine="0"/>
                      <w:jc w:val="left"/>
                      <w:rPr>
                        <w:rFonts w:ascii="Calibri"/>
                        <w:sz w:val="14"/>
                      </w:rPr>
                    </w:pPr>
                    <w:r>
                      <w:rPr>
                        <w:rFonts w:ascii="Calibri"/>
                        <w:color w:val="585858"/>
                        <w:w w:val="105"/>
                        <w:sz w:val="14"/>
                      </w:rPr>
                      <w:t>Single for several years (Partnered for several years) Teenagers (Middle aged)</w:t>
                    </w:r>
                  </w:p>
                  <w:p>
                    <w:pPr>
                      <w:spacing w:line="271" w:lineRule="auto" w:before="1"/>
                      <w:ind w:left="907" w:right="446" w:firstLine="0"/>
                      <w:jc w:val="left"/>
                      <w:rPr>
                        <w:rFonts w:ascii="Calibri"/>
                        <w:sz w:val="14"/>
                      </w:rPr>
                    </w:pPr>
                    <w:r>
                      <w:rPr>
                        <w:rFonts w:ascii="Calibri"/>
                        <w:color w:val="585858"/>
                        <w:w w:val="105"/>
                        <w:sz w:val="14"/>
                      </w:rPr>
                      <w:t>More years on income support (Less years on income support) More children (Fewer children )</w:t>
                    </w:r>
                  </w:p>
                  <w:p>
                    <w:pPr>
                      <w:spacing w:line="271" w:lineRule="auto" w:before="1"/>
                      <w:ind w:left="907" w:right="1338" w:firstLine="0"/>
                      <w:jc w:val="left"/>
                      <w:rPr>
                        <w:rFonts w:ascii="Calibri"/>
                        <w:sz w:val="14"/>
                      </w:rPr>
                    </w:pPr>
                    <w:r>
                      <w:rPr>
                        <w:rFonts w:ascii="Calibri"/>
                        <w:color w:val="585858"/>
                        <w:w w:val="105"/>
                        <w:sz w:val="14"/>
                      </w:rPr>
                      <w:t>Lower SEIFA decile (Higher SEIFA decile) Females (Males)</w:t>
                    </w:r>
                  </w:p>
                  <w:p>
                    <w:pPr>
                      <w:spacing w:before="1"/>
                      <w:ind w:left="907" w:right="0" w:firstLine="0"/>
                      <w:jc w:val="left"/>
                      <w:rPr>
                        <w:rFonts w:ascii="Calibri"/>
                        <w:sz w:val="14"/>
                      </w:rPr>
                    </w:pPr>
                    <w:r>
                      <w:rPr>
                        <w:rFonts w:ascii="Calibri"/>
                        <w:color w:val="585858"/>
                        <w:w w:val="105"/>
                        <w:sz w:val="14"/>
                      </w:rPr>
                      <w:t>Lower level of education (Higher level of education)</w:t>
                    </w:r>
                  </w:p>
                  <w:p>
                    <w:pPr>
                      <w:spacing w:before="23"/>
                      <w:ind w:left="907" w:right="0" w:firstLine="0"/>
                      <w:jc w:val="left"/>
                      <w:rPr>
                        <w:rFonts w:ascii="Calibri"/>
                        <w:sz w:val="14"/>
                      </w:rPr>
                    </w:pPr>
                    <w:r>
                      <w:rPr>
                        <w:rFonts w:ascii="Calibri"/>
                        <w:color w:val="585858"/>
                        <w:w w:val="105"/>
                        <w:sz w:val="14"/>
                      </w:rPr>
                      <w:t>Not employed for several years (Employed for several years)</w:t>
                    </w:r>
                  </w:p>
                  <w:p>
                    <w:pPr>
                      <w:spacing w:before="22"/>
                      <w:ind w:left="69" w:right="0" w:firstLine="0"/>
                      <w:jc w:val="left"/>
                      <w:rPr>
                        <w:rFonts w:ascii="Calibri" w:hAnsi="Calibri"/>
                        <w:sz w:val="14"/>
                      </w:rPr>
                    </w:pPr>
                    <w:r>
                      <w:rPr>
                        <w:rFonts w:ascii="Calibri" w:hAnsi="Calibri"/>
                        <w:b/>
                        <w:color w:val="7E7E7E"/>
                        <w:w w:val="105"/>
                        <w:position w:val="2"/>
                        <w:sz w:val="10"/>
                      </w:rPr>
                      <w:t>Top 10 Drivers </w:t>
                    </w:r>
                    <w:r>
                      <w:rPr>
                        <w:rFonts w:ascii="Symbol" w:hAnsi="Symbol"/>
                        <w:color w:val="7E7E7E"/>
                        <w:w w:val="105"/>
                        <w:position w:val="2"/>
                        <w:sz w:val="10"/>
                      </w:rPr>
                      <w:t></w:t>
                    </w:r>
                    <w:r>
                      <w:rPr>
                        <w:rFonts w:ascii="Times New Roman" w:hAnsi="Times New Roman"/>
                        <w:color w:val="7E7E7E"/>
                        <w:w w:val="105"/>
                        <w:position w:val="2"/>
                        <w:sz w:val="10"/>
                      </w:rPr>
                      <w:t> </w:t>
                    </w:r>
                    <w:r>
                      <w:rPr>
                        <w:rFonts w:ascii="Calibri" w:hAnsi="Calibri"/>
                        <w:color w:val="585858"/>
                        <w:w w:val="105"/>
                        <w:sz w:val="14"/>
                      </w:rPr>
                      <w:t>High parental welfare dependence (Low parental welfare dependence)</w:t>
                    </w:r>
                  </w:p>
                  <w:p>
                    <w:pPr>
                      <w:spacing w:line="283" w:lineRule="auto" w:before="23"/>
                      <w:ind w:left="907" w:right="1064" w:hanging="908"/>
                      <w:jc w:val="left"/>
                      <w:rPr>
                        <w:rFonts w:ascii="Calibri" w:hAnsi="Calibri"/>
                        <w:sz w:val="14"/>
                      </w:rPr>
                    </w:pPr>
                    <w:r>
                      <w:rPr>
                        <w:rFonts w:ascii="Calibri" w:hAnsi="Calibri"/>
                        <w:b/>
                        <w:color w:val="7E7E7E"/>
                        <w:w w:val="105"/>
                        <w:position w:val="2"/>
                        <w:sz w:val="10"/>
                      </w:rPr>
                      <w:t>Selected Others </w:t>
                    </w:r>
                    <w:r>
                      <w:rPr>
                        <w:rFonts w:ascii="Symbol" w:hAnsi="Symbol"/>
                        <w:color w:val="7E7E7E"/>
                        <w:w w:val="105"/>
                        <w:position w:val="2"/>
                        <w:sz w:val="10"/>
                      </w:rPr>
                      <w:t></w:t>
                    </w:r>
                    <w:r>
                      <w:rPr>
                        <w:rFonts w:ascii="Times New Roman" w:hAnsi="Times New Roman"/>
                        <w:color w:val="7E7E7E"/>
                        <w:w w:val="105"/>
                        <w:position w:val="2"/>
                        <w:sz w:val="10"/>
                      </w:rPr>
                      <w:t> </w:t>
                    </w:r>
                    <w:r>
                      <w:rPr>
                        <w:rFonts w:ascii="Calibri" w:hAnsi="Calibri"/>
                        <w:color w:val="585858"/>
                        <w:w w:val="105"/>
                        <w:sz w:val="14"/>
                      </w:rPr>
                      <w:t>Indigenous Australian (Not Indigenous Australian) Refugee (Non-refugee)</w:t>
                    </w:r>
                  </w:p>
                  <w:p>
                    <w:pPr>
                      <w:spacing w:line="169" w:lineRule="exact" w:before="0"/>
                      <w:ind w:left="907" w:right="0" w:firstLine="0"/>
                      <w:jc w:val="left"/>
                      <w:rPr>
                        <w:rFonts w:ascii="Calibri"/>
                        <w:sz w:val="14"/>
                      </w:rPr>
                    </w:pPr>
                    <w:r>
                      <w:rPr>
                        <w:rFonts w:ascii="Calibri"/>
                        <w:color w:val="585858"/>
                        <w:w w:val="105"/>
                        <w:sz w:val="14"/>
                      </w:rPr>
                      <w:t>Younger entrants (Older entrants)</w:t>
                    </w:r>
                  </w:p>
                </w:txbxContent>
              </v:textbox>
              <w10:wrap type="none"/>
            </v:shape>
            <w10:wrap type="topAndBottom"/>
          </v:group>
        </w:pict>
      </w:r>
      <w:r>
        <w:rPr>
          <w:b/>
          <w:i/>
          <w:color w:val="404040"/>
          <w:sz w:val="20"/>
        </w:rPr>
        <w:t>Class 3 Parents</w:t>
      </w:r>
    </w:p>
    <w:p>
      <w:pPr>
        <w:spacing w:after="0"/>
        <w:jc w:val="center"/>
        <w:rPr>
          <w:sz w:val="20"/>
        </w:rPr>
        <w:sectPr>
          <w:pgSz w:w="11910" w:h="16850"/>
          <w:pgMar w:header="572" w:footer="581" w:top="780" w:bottom="780" w:left="120" w:right="0"/>
        </w:sectPr>
      </w:pPr>
    </w:p>
    <w:p>
      <w:pPr>
        <w:pStyle w:val="BodyText"/>
        <w:rPr>
          <w:b/>
          <w:i/>
        </w:rPr>
      </w:pPr>
    </w:p>
    <w:p>
      <w:pPr>
        <w:pStyle w:val="BodyText"/>
        <w:rPr>
          <w:b/>
          <w:i/>
        </w:rPr>
      </w:pPr>
    </w:p>
    <w:p>
      <w:pPr>
        <w:pStyle w:val="BodyText"/>
        <w:rPr>
          <w:b/>
          <w:i/>
        </w:rPr>
      </w:pPr>
    </w:p>
    <w:p>
      <w:pPr>
        <w:pStyle w:val="BodyText"/>
        <w:spacing w:before="5"/>
        <w:rPr>
          <w:b/>
          <w:i/>
          <w:sz w:val="19"/>
        </w:rPr>
      </w:pPr>
    </w:p>
    <w:p>
      <w:pPr>
        <w:tabs>
          <w:tab w:pos="4236" w:val="left" w:leader="none"/>
          <w:tab w:pos="5578" w:val="left" w:leader="none"/>
          <w:tab w:pos="7417" w:val="left" w:leader="none"/>
          <w:tab w:pos="9493" w:val="left" w:leader="none"/>
        </w:tabs>
        <w:spacing w:before="72"/>
        <w:ind w:left="2399" w:right="0" w:firstLine="0"/>
        <w:jc w:val="left"/>
        <w:rPr>
          <w:rFonts w:ascii="Calibri"/>
          <w:sz w:val="15"/>
        </w:rPr>
      </w:pPr>
      <w:r>
        <w:rPr/>
        <w:pict>
          <v:rect style="position:absolute;margin-left:119.783394pt;margin-top:6.412397pt;width:4.280352pt;height:4.208437pt;mso-position-horizontal-relative:page;mso-position-vertical-relative:paragraph;z-index:251878400" filled="true" fillcolor="#4f81bc" stroked="false">
            <v:fill type="solid"/>
            <w10:wrap type="none"/>
          </v:rect>
        </w:pict>
      </w:r>
      <w:r>
        <w:rPr/>
        <w:pict>
          <v:rect style="position:absolute;margin-left:211.695404pt;margin-top:6.412397pt;width:4.222568pt;height:4.208437pt;mso-position-horizontal-relative:page;mso-position-vertical-relative:paragraph;z-index:-288023552" filled="true" fillcolor="#8063a1" stroked="false">
            <v:fill type="solid"/>
            <w10:wrap type="none"/>
          </v:rect>
        </w:pict>
      </w:r>
      <w:r>
        <w:rPr/>
        <w:pict>
          <v:rect style="position:absolute;margin-left:278.734924pt;margin-top:6.412397pt;width:4.222568pt;height:4.208437pt;mso-position-horizontal-relative:page;mso-position-vertical-relative:paragraph;z-index:-288022528" filled="true" fillcolor="#c0504d" stroked="false">
            <v:fill type="solid"/>
            <w10:wrap type="none"/>
          </v:rect>
        </w:pict>
      </w:r>
      <w:r>
        <w:rPr/>
        <w:pict>
          <v:rect style="position:absolute;margin-left:370.704712pt;margin-top:6.412397pt;width:4.222394pt;height:4.208437pt;mso-position-horizontal-relative:page;mso-position-vertical-relative:paragraph;z-index:-288021504" filled="true" fillcolor="#4aacc5" stroked="false">
            <v:fill type="solid"/>
            <w10:wrap type="none"/>
          </v:rect>
        </w:pict>
      </w:r>
      <w:r>
        <w:rPr/>
        <w:pict>
          <v:rect style="position:absolute;margin-left:474.532074pt;margin-top:6.412397pt;width:4.222568pt;height:4.208437pt;mso-position-horizontal-relative:page;mso-position-vertical-relative:paragraph;z-index:-288020480" filled="true" fillcolor="#9bba58" stroked="false">
            <v:fill type="solid"/>
            <w10:wrap type="none"/>
          </v:rect>
        </w:pict>
      </w:r>
      <w:r>
        <w:rPr>
          <w:rFonts w:ascii="Calibri"/>
          <w:w w:val="105"/>
          <w:sz w:val="15"/>
        </w:rPr>
        <w:t>Demographic</w:t>
      </w:r>
      <w:r>
        <w:rPr>
          <w:rFonts w:ascii="Calibri"/>
          <w:spacing w:val="-12"/>
          <w:w w:val="105"/>
          <w:sz w:val="15"/>
        </w:rPr>
        <w:t> </w:t>
      </w:r>
      <w:r>
        <w:rPr>
          <w:rFonts w:ascii="Calibri"/>
          <w:w w:val="105"/>
          <w:sz w:val="15"/>
        </w:rPr>
        <w:t>attributes</w:t>
        <w:tab/>
        <w:t>Family</w:t>
      </w:r>
      <w:r>
        <w:rPr>
          <w:rFonts w:ascii="Calibri"/>
          <w:spacing w:val="-9"/>
          <w:w w:val="105"/>
          <w:sz w:val="15"/>
        </w:rPr>
        <w:t> </w:t>
      </w:r>
      <w:r>
        <w:rPr>
          <w:rFonts w:ascii="Calibri"/>
          <w:w w:val="105"/>
          <w:sz w:val="15"/>
        </w:rPr>
        <w:t>situation</w:t>
        <w:tab/>
        <w:t>Welfare use</w:t>
      </w:r>
      <w:r>
        <w:rPr>
          <w:rFonts w:ascii="Calibri"/>
          <w:spacing w:val="-16"/>
          <w:w w:val="105"/>
          <w:sz w:val="15"/>
        </w:rPr>
        <w:t> </w:t>
      </w:r>
      <w:r>
        <w:rPr>
          <w:rFonts w:ascii="Calibri"/>
          <w:w w:val="105"/>
          <w:sz w:val="15"/>
        </w:rPr>
        <w:t>and</w:t>
      </w:r>
      <w:r>
        <w:rPr>
          <w:rFonts w:ascii="Calibri"/>
          <w:spacing w:val="-8"/>
          <w:w w:val="105"/>
          <w:sz w:val="15"/>
        </w:rPr>
        <w:t> </w:t>
      </w:r>
      <w:r>
        <w:rPr>
          <w:rFonts w:ascii="Calibri"/>
          <w:w w:val="105"/>
          <w:sz w:val="15"/>
        </w:rPr>
        <w:t>history</w:t>
        <w:tab/>
        <w:t>Education</w:t>
      </w:r>
      <w:r>
        <w:rPr>
          <w:rFonts w:ascii="Calibri"/>
          <w:spacing w:val="-11"/>
          <w:w w:val="105"/>
          <w:sz w:val="15"/>
        </w:rPr>
        <w:t> </w:t>
      </w:r>
      <w:r>
        <w:rPr>
          <w:rFonts w:ascii="Calibri"/>
          <w:w w:val="105"/>
          <w:sz w:val="15"/>
        </w:rPr>
        <w:t>and</w:t>
      </w:r>
      <w:r>
        <w:rPr>
          <w:rFonts w:ascii="Calibri"/>
          <w:spacing w:val="-11"/>
          <w:w w:val="105"/>
          <w:sz w:val="15"/>
        </w:rPr>
        <w:t> </w:t>
      </w:r>
      <w:r>
        <w:rPr>
          <w:rFonts w:ascii="Calibri"/>
          <w:w w:val="105"/>
          <w:sz w:val="15"/>
        </w:rPr>
        <w:t>Employment</w:t>
        <w:tab/>
        <w:t>Other</w:t>
      </w:r>
    </w:p>
    <w:p>
      <w:pPr>
        <w:pStyle w:val="BodyText"/>
        <w:spacing w:before="5"/>
        <w:rPr>
          <w:rFonts w:ascii="Calibri"/>
          <w:sz w:val="14"/>
        </w:rPr>
      </w:pPr>
    </w:p>
    <w:p>
      <w:pPr>
        <w:spacing w:before="93"/>
        <w:ind w:left="1602" w:right="1302" w:firstLine="0"/>
        <w:jc w:val="center"/>
        <w:rPr>
          <w:b/>
          <w:i/>
          <w:sz w:val="20"/>
        </w:rPr>
      </w:pPr>
      <w:r>
        <w:rPr/>
        <w:pict>
          <v:group style="position:absolute;margin-left:52.949902pt;margin-top:19.147577pt;width:510.2pt;height:158.35pt;mso-position-horizontal-relative:page;mso-position-vertical-relative:paragraph;z-index:-251451392;mso-wrap-distance-left:0;mso-wrap-distance-right:0" coordorigin="1059,383" coordsize="10204,3167">
            <v:rect style="position:absolute;left:1066;top:390;width:10196;height:620" filled="true" fillcolor="#808080" stroked="false">
              <v:fill type="solid"/>
            </v:rect>
            <v:line style="position:absolute" from="1067,2938" to="6859,2938" stroked="true" strokeweight="0pt" strokecolor="#808080">
              <v:stroke dashstyle="solid"/>
            </v:line>
            <v:shape style="position:absolute;left:1066;top:2937;width:5792;height:8" type="#_x0000_t75" stroked="false">
              <v:imagedata r:id="rId46" o:title=""/>
            </v:shape>
            <v:line style="position:absolute" from="1059,383" to="1059,3549" stroked="true" strokeweight="0pt" strokecolor="#808080">
              <v:stroke dashstyle="solid"/>
            </v:line>
            <v:line style="position:absolute" from="1063,383" to="1063,3549" stroked="true" strokeweight=".387678pt" strokecolor="#808080">
              <v:stroke dashstyle="solid"/>
            </v:line>
            <v:line style="position:absolute" from="6859,1010" to="6859,3549" stroked="true" strokeweight="0pt" strokecolor="#808080">
              <v:stroke dashstyle="solid"/>
            </v:line>
            <v:line style="position:absolute" from="6863,1010" to="6863,3549" stroked="true" strokeweight=".387678pt" strokecolor="#808080">
              <v:stroke dashstyle="solid"/>
            </v:line>
            <v:line style="position:absolute" from="11255,1010" to="11255,3549" stroked="true" strokeweight="0pt" strokecolor="#808080">
              <v:stroke dashstyle="solid"/>
            </v:line>
            <v:line style="position:absolute" from="11259,1010" to="11259,3549" stroked="true" strokeweight=".387291pt" strokecolor="#808080">
              <v:stroke dashstyle="solid"/>
            </v:line>
            <v:line style="position:absolute" from="1067,383" to="11263,383" stroked="true" strokeweight="0pt" strokecolor="#808080">
              <v:stroke dashstyle="solid"/>
            </v:line>
            <v:line style="position:absolute" from="1067,387" to="11263,387" stroked="true" strokeweight=".386308pt" strokecolor="#808080">
              <v:stroke dashstyle="solid"/>
            </v:line>
            <v:line style="position:absolute" from="1067,1002" to="11263,1002" stroked="true" strokeweight="0pt" strokecolor="#808080">
              <v:stroke dashstyle="solid"/>
            </v:line>
            <v:line style="position:absolute" from="1067,1006" to="11263,1006" stroked="true" strokeweight=".387083pt" strokecolor="#808080">
              <v:stroke dashstyle="solid"/>
            </v:line>
            <v:line style="position:absolute" from="6866,2938" to="11255,2938" stroked="true" strokeweight="0pt" strokecolor="#808080">
              <v:stroke dashstyle="solid"/>
            </v:line>
            <v:shape style="position:absolute;left:6866;top:2937;width:4389;height:8" type="#_x0000_t75" stroked="false">
              <v:imagedata r:id="rId47" o:title=""/>
            </v:shape>
            <v:line style="position:absolute" from="1067,3542" to="11263,3542" stroked="true" strokeweight="0pt" strokecolor="#808080">
              <v:stroke dashstyle="solid"/>
            </v:line>
            <v:line style="position:absolute" from="1067,3545" to="11263,3545" stroked="true" strokeweight=".387083pt" strokecolor="#808080">
              <v:stroke dashstyle="solid"/>
            </v:line>
            <v:line style="position:absolute" from="3808,1006" to="3808,3514" stroked="true" strokeweight=".38768pt" strokecolor="#d9d9d9">
              <v:stroke dashstyle="solid"/>
            </v:line>
            <v:line style="position:absolute" from="4567,1006" to="4567,1033" stroked="true" strokeweight=".38768pt" strokecolor="#d9d9d9">
              <v:stroke dashstyle="solid"/>
            </v:line>
            <v:line style="position:absolute" from="4567,1173" to="4567,1227" stroked="true" strokeweight=".38768pt" strokecolor="#d9d9d9">
              <v:stroke dashstyle="solid"/>
            </v:line>
            <v:line style="position:absolute" from="4567,1366" to="4567,1420" stroked="true" strokeweight=".38768pt" strokecolor="#d9d9d9">
              <v:stroke dashstyle="solid"/>
            </v:line>
            <v:line style="position:absolute" from="4567,1560" to="4567,3514" stroked="true" strokeweight=".38768pt" strokecolor="#d9d9d9">
              <v:stroke dashstyle="solid"/>
            </v:line>
            <v:line style="position:absolute" from="5320,1006" to="5320,1033" stroked="true" strokeweight=".38768pt" strokecolor="#d9d9d9">
              <v:stroke dashstyle="solid"/>
            </v:line>
            <v:line style="position:absolute" from="5320,1173" to="5320,3514" stroked="true" strokeweight=".38768pt" strokecolor="#d9d9d9">
              <v:stroke dashstyle="solid"/>
            </v:line>
            <v:line style="position:absolute" from="6079,1006" to="6079,1033" stroked="true" strokeweight=".38768pt" strokecolor="#d9d9d9">
              <v:stroke dashstyle="solid"/>
            </v:line>
            <v:line style="position:absolute" from="6079,1173" to="6079,3514" stroked="true" strokeweight=".38768pt" strokecolor="#d9d9d9">
              <v:stroke dashstyle="solid"/>
            </v:line>
            <v:line style="position:absolute" from="6832,1006" to="6832,1033" stroked="true" strokeweight=".38768pt" strokecolor="#d9d9d9">
              <v:stroke dashstyle="solid"/>
            </v:line>
            <v:line style="position:absolute" from="6832,1173" to="6832,3514" stroked="true" strokeweight=".38768pt" strokecolor="#d9d9d9">
              <v:stroke dashstyle="solid"/>
            </v:line>
            <v:rect style="position:absolute;left:3811;top:1033;width:3024;height:140" filled="true" fillcolor="#4f81bc" stroked="false">
              <v:fill type="solid"/>
            </v:rect>
            <v:rect style="position:absolute;left:3811;top:1226;width:1195;height:140" filled="true" fillcolor="#4f81bc" stroked="false">
              <v:fill type="solid"/>
            </v:rect>
            <v:rect style="position:absolute;left:3811;top:2186;width:605;height:140" filled="true" fillcolor="#4f81bc" stroked="false">
              <v:fill type="solid"/>
            </v:rect>
            <v:rect style="position:absolute;left:3811;top:2960;width:311;height:140" filled="true" fillcolor="#4f81bc" stroked="false">
              <v:fill type="solid"/>
            </v:rect>
            <v:line style="position:absolute" from="3862,3348" to="3862,3487" stroked="true" strokeweight="5.039846pt" strokecolor="#4f81bc">
              <v:stroke dashstyle="solid"/>
            </v:line>
            <v:rect style="position:absolute;left:3811;top:1613;width:737;height:140" filled="true" fillcolor="#c0504d" stroked="false">
              <v:fill type="solid"/>
            </v:rect>
            <v:line style="position:absolute" from="3812,2067" to="4440,2067" stroked="true" strokeweight="6.580505pt" strokecolor="#c0504d">
              <v:stroke dashstyle="solid"/>
            </v:line>
            <v:rect style="position:absolute;left:3811;top:1420;width:1016;height:140" filled="true" fillcolor="#9bba58" stroked="false">
              <v:fill type="solid"/>
            </v:rect>
            <v:rect style="position:absolute;left:3811;top:2767;width:504;height:140" filled="true" fillcolor="#9bba58" stroked="false">
              <v:fill type="solid"/>
            </v:rect>
            <v:rect style="position:absolute;left:3811;top:3154;width:264;height:140" filled="true" fillcolor="#9bba58" stroked="false">
              <v:fill type="solid"/>
            </v:rect>
            <v:line style="position:absolute" from="3812,1873" to="4478,1873" stroked="true" strokeweight="6.580555pt" strokecolor="#8063a1">
              <v:stroke dashstyle="solid"/>
            </v:line>
            <v:rect style="position:absolute;left:3811;top:2380;width:535;height:140" filled="true" fillcolor="#4aacc5" stroked="false">
              <v:fill type="solid"/>
            </v:rect>
            <v:rect style="position:absolute;left:3811;top:2573;width:512;height:140" filled="true" fillcolor="#4aacc5" stroked="false">
              <v:fill type="solid"/>
            </v:rect>
            <v:shape style="position:absolute;left:1958;top:636;width:932;height:148" type="#_x0000_t202" filled="false" stroked="false">
              <v:textbox inset="0,0,0,0">
                <w:txbxContent>
                  <w:p>
                    <w:pPr>
                      <w:spacing w:line="147" w:lineRule="exact" w:before="0"/>
                      <w:ind w:left="0" w:right="0" w:firstLine="0"/>
                      <w:jc w:val="left"/>
                      <w:rPr>
                        <w:rFonts w:ascii="Calibri"/>
                        <w:b/>
                        <w:sz w:val="14"/>
                      </w:rPr>
                    </w:pPr>
                    <w:r>
                      <w:rPr>
                        <w:rFonts w:ascii="Calibri"/>
                        <w:b/>
                        <w:color w:val="FFFFFF"/>
                        <w:w w:val="105"/>
                        <w:sz w:val="14"/>
                      </w:rPr>
                      <w:t>Driver variable</w:t>
                    </w:r>
                  </w:p>
                </w:txbxContent>
              </v:textbox>
              <w10:wrap type="none"/>
            </v:shape>
            <v:shape style="position:absolute;left:3788;top:636;width:1266;height:148" type="#_x0000_t202" filled="false" stroked="false">
              <v:textbox inset="0,0,0,0">
                <w:txbxContent>
                  <w:p>
                    <w:pPr>
                      <w:spacing w:line="147" w:lineRule="exact" w:before="0"/>
                      <w:ind w:left="0" w:right="0" w:firstLine="0"/>
                      <w:jc w:val="left"/>
                      <w:rPr>
                        <w:rFonts w:ascii="Calibri"/>
                        <w:b/>
                        <w:sz w:val="14"/>
                      </w:rPr>
                    </w:pPr>
                    <w:r>
                      <w:rPr>
                        <w:rFonts w:ascii="Calibri"/>
                        <w:b/>
                        <w:color w:val="FFFFFF"/>
                        <w:w w:val="105"/>
                        <w:sz w:val="14"/>
                      </w:rPr>
                      <w:t>Variable importance</w:t>
                    </w:r>
                  </w:p>
                </w:txbxContent>
              </v:textbox>
              <w10:wrap type="none"/>
            </v:shape>
            <v:shape style="position:absolute;left:6889;top:636;width:3700;height:148" type="#_x0000_t202" filled="false" stroked="false">
              <v:textbox inset="0,0,0,0">
                <w:txbxContent>
                  <w:p>
                    <w:pPr>
                      <w:spacing w:line="147" w:lineRule="exact" w:before="0"/>
                      <w:ind w:left="0" w:right="0" w:firstLine="0"/>
                      <w:jc w:val="left"/>
                      <w:rPr>
                        <w:rFonts w:ascii="Calibri"/>
                        <w:b/>
                        <w:sz w:val="14"/>
                      </w:rPr>
                    </w:pPr>
                    <w:r>
                      <w:rPr>
                        <w:rFonts w:ascii="Calibri"/>
                        <w:b/>
                        <w:color w:val="FFFFFF"/>
                        <w:w w:val="105"/>
                        <w:sz w:val="14"/>
                      </w:rPr>
                      <w:t>Characteristics associated with higher (lower) lifetime costs</w:t>
                    </w:r>
                  </w:p>
                </w:txbxContent>
              </v:textbox>
              <w10:wrap type="none"/>
            </v:shape>
            <v:shape style="position:absolute;left:1175;top:1046;width:2583;height:2486" type="#_x0000_t202" filled="false" stroked="false">
              <v:textbox inset="0,0,0,0">
                <w:txbxContent>
                  <w:p>
                    <w:pPr>
                      <w:spacing w:line="148" w:lineRule="exact" w:before="0"/>
                      <w:ind w:left="0" w:right="18" w:firstLine="0"/>
                      <w:jc w:val="right"/>
                      <w:rPr>
                        <w:rFonts w:ascii="Calibri"/>
                        <w:sz w:val="14"/>
                      </w:rPr>
                    </w:pPr>
                    <w:r>
                      <w:rPr>
                        <w:rFonts w:ascii="Calibri"/>
                        <w:color w:val="585858"/>
                        <w:w w:val="105"/>
                        <w:sz w:val="14"/>
                      </w:rPr>
                      <w:t>Age</w:t>
                    </w:r>
                  </w:p>
                  <w:p>
                    <w:pPr>
                      <w:spacing w:line="271" w:lineRule="auto" w:before="22"/>
                      <w:ind w:left="1977" w:right="18" w:firstLine="139"/>
                      <w:jc w:val="both"/>
                      <w:rPr>
                        <w:rFonts w:ascii="Calibri"/>
                        <w:sz w:val="14"/>
                      </w:rPr>
                    </w:pPr>
                    <w:r>
                      <w:rPr>
                        <w:rFonts w:ascii="Calibri"/>
                        <w:color w:val="585858"/>
                        <w:spacing w:val="-1"/>
                        <w:w w:val="105"/>
                        <w:sz w:val="14"/>
                      </w:rPr>
                      <w:t>Gender </w:t>
                    </w:r>
                    <w:r>
                      <w:rPr>
                        <w:rFonts w:ascii="Calibri"/>
                        <w:color w:val="585858"/>
                        <w:w w:val="105"/>
                        <w:sz w:val="14"/>
                      </w:rPr>
                      <w:t>Caree</w:t>
                    </w:r>
                    <w:r>
                      <w:rPr>
                        <w:rFonts w:ascii="Calibri"/>
                        <w:color w:val="585858"/>
                        <w:spacing w:val="-7"/>
                        <w:w w:val="105"/>
                        <w:sz w:val="14"/>
                      </w:rPr>
                      <w:t> </w:t>
                    </w:r>
                    <w:r>
                      <w:rPr>
                        <w:rFonts w:ascii="Calibri"/>
                        <w:color w:val="585858"/>
                        <w:spacing w:val="-6"/>
                        <w:w w:val="105"/>
                        <w:sz w:val="14"/>
                      </w:rPr>
                      <w:t>age</w:t>
                    </w:r>
                  </w:p>
                  <w:p>
                    <w:pPr>
                      <w:spacing w:line="271" w:lineRule="auto" w:before="1"/>
                      <w:ind w:left="829" w:right="19" w:firstLine="411"/>
                      <w:jc w:val="both"/>
                      <w:rPr>
                        <w:rFonts w:ascii="Calibri"/>
                        <w:sz w:val="14"/>
                      </w:rPr>
                    </w:pPr>
                    <w:r>
                      <w:rPr>
                        <w:rFonts w:ascii="Calibri"/>
                        <w:color w:val="585858"/>
                        <w:w w:val="105"/>
                        <w:sz w:val="14"/>
                      </w:rPr>
                      <w:t>Previous welfare class Partnering status and history Duration on income</w:t>
                    </w:r>
                    <w:r>
                      <w:rPr>
                        <w:rFonts w:ascii="Calibri"/>
                        <w:color w:val="585858"/>
                        <w:spacing w:val="-14"/>
                        <w:w w:val="105"/>
                        <w:sz w:val="14"/>
                      </w:rPr>
                      <w:t> </w:t>
                    </w:r>
                    <w:r>
                      <w:rPr>
                        <w:rFonts w:ascii="Calibri"/>
                        <w:color w:val="585858"/>
                        <w:w w:val="105"/>
                        <w:sz w:val="14"/>
                      </w:rPr>
                      <w:t>support</w:t>
                    </w:r>
                  </w:p>
                  <w:p>
                    <w:pPr>
                      <w:spacing w:before="2"/>
                      <w:ind w:left="0" w:right="21" w:firstLine="0"/>
                      <w:jc w:val="right"/>
                      <w:rPr>
                        <w:rFonts w:ascii="Calibri"/>
                        <w:sz w:val="14"/>
                      </w:rPr>
                    </w:pPr>
                    <w:r>
                      <w:rPr>
                        <w:rFonts w:ascii="Calibri"/>
                        <w:color w:val="585858"/>
                        <w:w w:val="105"/>
                        <w:sz w:val="14"/>
                      </w:rPr>
                      <w:t>SEIFA</w:t>
                    </w:r>
                  </w:p>
                  <w:p>
                    <w:pPr>
                      <w:spacing w:before="22"/>
                      <w:ind w:left="0" w:right="25" w:firstLine="0"/>
                      <w:jc w:val="right"/>
                      <w:rPr>
                        <w:rFonts w:ascii="Calibri"/>
                        <w:sz w:val="14"/>
                      </w:rPr>
                    </w:pPr>
                    <w:r>
                      <w:rPr>
                        <w:rFonts w:ascii="Calibri"/>
                        <w:color w:val="585858"/>
                        <w:w w:val="105"/>
                        <w:sz w:val="14"/>
                      </w:rPr>
                      <w:t>Employment</w:t>
                    </w:r>
                    <w:r>
                      <w:rPr>
                        <w:rFonts w:ascii="Calibri"/>
                        <w:color w:val="585858"/>
                        <w:spacing w:val="-12"/>
                        <w:w w:val="105"/>
                        <w:sz w:val="14"/>
                      </w:rPr>
                      <w:t> </w:t>
                    </w:r>
                    <w:r>
                      <w:rPr>
                        <w:rFonts w:ascii="Calibri"/>
                        <w:color w:val="585858"/>
                        <w:w w:val="105"/>
                        <w:sz w:val="14"/>
                      </w:rPr>
                      <w:t>earnings</w:t>
                    </w:r>
                    <w:r>
                      <w:rPr>
                        <w:rFonts w:ascii="Calibri"/>
                        <w:color w:val="585858"/>
                        <w:spacing w:val="-6"/>
                        <w:w w:val="105"/>
                        <w:sz w:val="14"/>
                      </w:rPr>
                      <w:t> </w:t>
                    </w:r>
                    <w:r>
                      <w:rPr>
                        <w:rFonts w:ascii="Calibri"/>
                        <w:color w:val="585858"/>
                        <w:w w:val="105"/>
                        <w:sz w:val="14"/>
                      </w:rPr>
                      <w:t>indicator</w:t>
                    </w:r>
                    <w:r>
                      <w:rPr>
                        <w:rFonts w:ascii="Calibri"/>
                        <w:color w:val="585858"/>
                        <w:spacing w:val="-6"/>
                        <w:w w:val="105"/>
                        <w:sz w:val="14"/>
                      </w:rPr>
                      <w:t> </w:t>
                    </w:r>
                    <w:r>
                      <w:rPr>
                        <w:rFonts w:ascii="Calibri"/>
                        <w:color w:val="585858"/>
                        <w:w w:val="105"/>
                        <w:sz w:val="14"/>
                      </w:rPr>
                      <w:t>and</w:t>
                    </w:r>
                    <w:r>
                      <w:rPr>
                        <w:rFonts w:ascii="Calibri"/>
                        <w:color w:val="585858"/>
                        <w:spacing w:val="-10"/>
                        <w:w w:val="105"/>
                        <w:sz w:val="14"/>
                      </w:rPr>
                      <w:t> </w:t>
                    </w:r>
                    <w:r>
                      <w:rPr>
                        <w:rFonts w:ascii="Calibri"/>
                        <w:color w:val="585858"/>
                        <w:w w:val="105"/>
                        <w:sz w:val="14"/>
                      </w:rPr>
                      <w:t>history</w:t>
                    </w:r>
                  </w:p>
                  <w:p>
                    <w:pPr>
                      <w:spacing w:line="271" w:lineRule="auto" w:before="23"/>
                      <w:ind w:left="1139" w:right="18" w:firstLine="147"/>
                      <w:jc w:val="right"/>
                      <w:rPr>
                        <w:rFonts w:ascii="Calibri"/>
                        <w:sz w:val="14"/>
                      </w:rPr>
                    </w:pPr>
                    <w:r>
                      <w:rPr>
                        <w:rFonts w:ascii="Calibri"/>
                        <w:color w:val="585858"/>
                        <w:spacing w:val="-1"/>
                        <w:w w:val="105"/>
                        <w:sz w:val="14"/>
                      </w:rPr>
                      <w:t>Education</w:t>
                    </w:r>
                    <w:r>
                      <w:rPr>
                        <w:rFonts w:ascii="Calibri"/>
                        <w:color w:val="585858"/>
                        <w:spacing w:val="-20"/>
                        <w:w w:val="105"/>
                        <w:sz w:val="14"/>
                      </w:rPr>
                      <w:t> </w:t>
                    </w:r>
                    <w:r>
                      <w:rPr>
                        <w:rFonts w:ascii="Calibri"/>
                        <w:color w:val="585858"/>
                        <w:w w:val="105"/>
                        <w:sz w:val="14"/>
                      </w:rPr>
                      <w:t>attainment</w:t>
                    </w:r>
                    <w:r>
                      <w:rPr>
                        <w:rFonts w:ascii="Calibri"/>
                        <w:color w:val="585858"/>
                        <w:w w:val="105"/>
                        <w:sz w:val="14"/>
                      </w:rPr>
                      <w:t> </w:t>
                    </w:r>
                    <w:r>
                      <w:rPr>
                        <w:rFonts w:ascii="Calibri"/>
                        <w:color w:val="585858"/>
                        <w:w w:val="105"/>
                        <w:sz w:val="14"/>
                      </w:rPr>
                      <w:t>Caree</w:t>
                    </w:r>
                    <w:r>
                      <w:rPr>
                        <w:rFonts w:ascii="Calibri"/>
                        <w:color w:val="585858"/>
                        <w:spacing w:val="-19"/>
                        <w:w w:val="105"/>
                        <w:sz w:val="14"/>
                      </w:rPr>
                      <w:t> </w:t>
                    </w:r>
                    <w:r>
                      <w:rPr>
                        <w:rFonts w:ascii="Calibri"/>
                        <w:color w:val="585858"/>
                        <w:w w:val="105"/>
                        <w:sz w:val="14"/>
                      </w:rPr>
                      <w:t>medical</w:t>
                    </w:r>
                    <w:r>
                      <w:rPr>
                        <w:rFonts w:ascii="Calibri"/>
                        <w:color w:val="585858"/>
                        <w:spacing w:val="-19"/>
                        <w:w w:val="105"/>
                        <w:sz w:val="14"/>
                      </w:rPr>
                      <w:t> </w:t>
                    </w:r>
                    <w:r>
                      <w:rPr>
                        <w:rFonts w:ascii="Calibri"/>
                        <w:color w:val="585858"/>
                        <w:w w:val="105"/>
                        <w:sz w:val="14"/>
                      </w:rPr>
                      <w:t>condition</w:t>
                    </w:r>
                    <w:r>
                      <w:rPr>
                        <w:rFonts w:ascii="Calibri"/>
                        <w:color w:val="585858"/>
                        <w:w w:val="105"/>
                        <w:sz w:val="14"/>
                      </w:rPr>
                      <w:t> </w:t>
                    </w:r>
                    <w:r>
                      <w:rPr>
                        <w:rFonts w:ascii="Calibri"/>
                        <w:color w:val="585858"/>
                        <w:w w:val="105"/>
                        <w:sz w:val="14"/>
                      </w:rPr>
                      <w:t>Indigenous</w:t>
                    </w:r>
                    <w:r>
                      <w:rPr>
                        <w:rFonts w:ascii="Calibri"/>
                        <w:color w:val="585858"/>
                        <w:spacing w:val="1"/>
                        <w:w w:val="105"/>
                        <w:sz w:val="14"/>
                      </w:rPr>
                      <w:t> </w:t>
                    </w:r>
                    <w:r>
                      <w:rPr>
                        <w:rFonts w:ascii="Calibri"/>
                        <w:color w:val="585858"/>
                        <w:w w:val="105"/>
                        <w:sz w:val="14"/>
                      </w:rPr>
                      <w:t>status</w:t>
                    </w:r>
                  </w:p>
                  <w:p>
                    <w:pPr>
                      <w:spacing w:before="9"/>
                      <w:ind w:left="0" w:right="21" w:firstLine="0"/>
                      <w:jc w:val="right"/>
                      <w:rPr>
                        <w:rFonts w:ascii="Calibri"/>
                        <w:sz w:val="14"/>
                      </w:rPr>
                    </w:pPr>
                    <w:r>
                      <w:rPr>
                        <w:rFonts w:ascii="Calibri"/>
                        <w:color w:val="585858"/>
                        <w:w w:val="105"/>
                        <w:sz w:val="14"/>
                      </w:rPr>
                      <w:t>Carer</w:t>
                    </w:r>
                    <w:r>
                      <w:rPr>
                        <w:rFonts w:ascii="Calibri"/>
                        <w:color w:val="585858"/>
                        <w:spacing w:val="-7"/>
                        <w:w w:val="105"/>
                        <w:sz w:val="14"/>
                      </w:rPr>
                      <w:t> </w:t>
                    </w:r>
                    <w:r>
                      <w:rPr>
                        <w:rFonts w:ascii="Calibri"/>
                        <w:color w:val="585858"/>
                        <w:w w:val="105"/>
                        <w:sz w:val="14"/>
                      </w:rPr>
                      <w:t>and</w:t>
                    </w:r>
                    <w:r>
                      <w:rPr>
                        <w:rFonts w:ascii="Calibri"/>
                        <w:color w:val="585858"/>
                        <w:spacing w:val="-9"/>
                        <w:w w:val="105"/>
                        <w:sz w:val="14"/>
                      </w:rPr>
                      <w:t> </w:t>
                    </w:r>
                    <w:r>
                      <w:rPr>
                        <w:rFonts w:ascii="Calibri"/>
                        <w:color w:val="585858"/>
                        <w:w w:val="105"/>
                        <w:sz w:val="14"/>
                      </w:rPr>
                      <w:t>caree</w:t>
                    </w:r>
                    <w:r>
                      <w:rPr>
                        <w:rFonts w:ascii="Calibri"/>
                        <w:color w:val="585858"/>
                        <w:spacing w:val="-12"/>
                        <w:w w:val="105"/>
                        <w:sz w:val="14"/>
                      </w:rPr>
                      <w:t> </w:t>
                    </w:r>
                    <w:r>
                      <w:rPr>
                        <w:rFonts w:ascii="Calibri"/>
                        <w:color w:val="585858"/>
                        <w:w w:val="105"/>
                        <w:sz w:val="14"/>
                      </w:rPr>
                      <w:t>relationship</w:t>
                    </w:r>
                  </w:p>
                  <w:p>
                    <w:pPr>
                      <w:spacing w:line="170" w:lineRule="exact" w:before="30"/>
                      <w:ind w:left="0" w:right="25" w:firstLine="0"/>
                      <w:jc w:val="right"/>
                      <w:rPr>
                        <w:rFonts w:ascii="Calibri"/>
                        <w:sz w:val="14"/>
                      </w:rPr>
                    </w:pPr>
                    <w:r>
                      <w:rPr>
                        <w:rFonts w:ascii="Calibri"/>
                        <w:color w:val="585858"/>
                        <w:w w:val="105"/>
                        <w:sz w:val="14"/>
                      </w:rPr>
                      <w:t>Refugee</w:t>
                    </w:r>
                    <w:r>
                      <w:rPr>
                        <w:rFonts w:ascii="Calibri"/>
                        <w:color w:val="585858"/>
                        <w:spacing w:val="-18"/>
                        <w:w w:val="105"/>
                        <w:sz w:val="14"/>
                      </w:rPr>
                      <w:t> </w:t>
                    </w:r>
                    <w:r>
                      <w:rPr>
                        <w:rFonts w:ascii="Calibri"/>
                        <w:color w:val="585858"/>
                        <w:w w:val="105"/>
                        <w:sz w:val="14"/>
                      </w:rPr>
                      <w:t>status</w:t>
                    </w:r>
                  </w:p>
                </w:txbxContent>
              </v:textbox>
              <w10:wrap type="none"/>
            </v:shape>
            <v:shape style="position:absolute;left:5982;top:1046;width:4778;height:2486" type="#_x0000_t202" filled="false" stroked="false">
              <v:textbox inset="0,0,0,0">
                <w:txbxContent>
                  <w:p>
                    <w:pPr>
                      <w:spacing w:line="148" w:lineRule="exact" w:before="0"/>
                      <w:ind w:left="907" w:right="0" w:firstLine="0"/>
                      <w:jc w:val="left"/>
                      <w:rPr>
                        <w:rFonts w:ascii="Calibri"/>
                        <w:sz w:val="14"/>
                      </w:rPr>
                    </w:pPr>
                    <w:r>
                      <w:rPr>
                        <w:rFonts w:ascii="Calibri"/>
                        <w:color w:val="585858"/>
                        <w:w w:val="105"/>
                        <w:sz w:val="14"/>
                      </w:rPr>
                      <w:t>Younger and middle aged people (Older people)</w:t>
                    </w:r>
                  </w:p>
                  <w:p>
                    <w:pPr>
                      <w:spacing w:before="22"/>
                      <w:ind w:left="907" w:right="0" w:firstLine="0"/>
                      <w:jc w:val="left"/>
                      <w:rPr>
                        <w:rFonts w:ascii="Calibri"/>
                        <w:sz w:val="14"/>
                      </w:rPr>
                    </w:pPr>
                    <w:r>
                      <w:rPr>
                        <w:rFonts w:ascii="Calibri"/>
                        <w:color w:val="585858"/>
                        <w:w w:val="105"/>
                        <w:sz w:val="14"/>
                      </w:rPr>
                      <w:t>Females (Males)</w:t>
                    </w:r>
                  </w:p>
                  <w:p>
                    <w:pPr>
                      <w:spacing w:before="23"/>
                      <w:ind w:left="907" w:right="0" w:firstLine="0"/>
                      <w:jc w:val="left"/>
                      <w:rPr>
                        <w:rFonts w:ascii="Calibri"/>
                        <w:sz w:val="14"/>
                      </w:rPr>
                    </w:pPr>
                    <w:r>
                      <w:rPr>
                        <w:rFonts w:ascii="Calibri"/>
                        <w:color w:val="585858"/>
                        <w:w w:val="105"/>
                        <w:sz w:val="14"/>
                      </w:rPr>
                      <w:t>Younger carees (Older carees)</w:t>
                    </w:r>
                  </w:p>
                  <w:p>
                    <w:pPr>
                      <w:spacing w:line="271" w:lineRule="auto" w:before="23"/>
                      <w:ind w:left="907" w:right="0" w:firstLine="0"/>
                      <w:jc w:val="left"/>
                      <w:rPr>
                        <w:rFonts w:ascii="Calibri"/>
                        <w:sz w:val="14"/>
                      </w:rPr>
                    </w:pPr>
                    <w:r>
                      <w:rPr>
                        <w:rFonts w:ascii="Calibri"/>
                        <w:color w:val="585858"/>
                        <w:w w:val="105"/>
                        <w:sz w:val="14"/>
                      </w:rPr>
                      <w:t>Parenting</w:t>
                    </w:r>
                    <w:r>
                      <w:rPr>
                        <w:rFonts w:ascii="Calibri"/>
                        <w:color w:val="585858"/>
                        <w:spacing w:val="-5"/>
                        <w:w w:val="105"/>
                        <w:sz w:val="14"/>
                      </w:rPr>
                      <w:t> </w:t>
                    </w:r>
                    <w:r>
                      <w:rPr>
                        <w:rFonts w:ascii="Calibri"/>
                        <w:color w:val="585858"/>
                        <w:w w:val="105"/>
                        <w:sz w:val="14"/>
                      </w:rPr>
                      <w:t>or</w:t>
                    </w:r>
                    <w:r>
                      <w:rPr>
                        <w:rFonts w:ascii="Calibri"/>
                        <w:color w:val="585858"/>
                        <w:spacing w:val="-2"/>
                        <w:w w:val="105"/>
                        <w:sz w:val="14"/>
                      </w:rPr>
                      <w:t> </w:t>
                    </w:r>
                    <w:r>
                      <w:rPr>
                        <w:rFonts w:ascii="Calibri"/>
                        <w:color w:val="585858"/>
                        <w:w w:val="105"/>
                        <w:sz w:val="14"/>
                      </w:rPr>
                      <w:t>Studying</w:t>
                    </w:r>
                    <w:r>
                      <w:rPr>
                        <w:rFonts w:ascii="Calibri"/>
                        <w:color w:val="585858"/>
                        <w:spacing w:val="-5"/>
                        <w:w w:val="105"/>
                        <w:sz w:val="14"/>
                      </w:rPr>
                      <w:t> </w:t>
                    </w:r>
                    <w:r>
                      <w:rPr>
                        <w:rFonts w:ascii="Calibri"/>
                        <w:color w:val="585858"/>
                        <w:w w:val="105"/>
                        <w:sz w:val="14"/>
                      </w:rPr>
                      <w:t>(Pension</w:t>
                    </w:r>
                    <w:r>
                      <w:rPr>
                        <w:rFonts w:ascii="Calibri"/>
                        <w:color w:val="585858"/>
                        <w:spacing w:val="-4"/>
                        <w:w w:val="105"/>
                        <w:sz w:val="14"/>
                      </w:rPr>
                      <w:t> </w:t>
                    </w:r>
                    <w:r>
                      <w:rPr>
                        <w:rFonts w:ascii="Calibri"/>
                        <w:color w:val="585858"/>
                        <w:w w:val="105"/>
                        <w:sz w:val="14"/>
                      </w:rPr>
                      <w:t>Age</w:t>
                    </w:r>
                    <w:r>
                      <w:rPr>
                        <w:rFonts w:ascii="Calibri"/>
                        <w:color w:val="585858"/>
                        <w:spacing w:val="-9"/>
                        <w:w w:val="105"/>
                        <w:sz w:val="14"/>
                      </w:rPr>
                      <w:t> </w:t>
                    </w:r>
                    <w:r>
                      <w:rPr>
                        <w:rFonts w:ascii="Calibri"/>
                        <w:color w:val="585858"/>
                        <w:w w:val="105"/>
                        <w:sz w:val="14"/>
                      </w:rPr>
                      <w:t>and</w:t>
                    </w:r>
                    <w:r>
                      <w:rPr>
                        <w:rFonts w:ascii="Calibri"/>
                        <w:color w:val="585858"/>
                        <w:spacing w:val="-5"/>
                        <w:w w:val="105"/>
                        <w:sz w:val="14"/>
                      </w:rPr>
                      <w:t> </w:t>
                    </w:r>
                    <w:r>
                      <w:rPr>
                        <w:rFonts w:ascii="Calibri"/>
                        <w:color w:val="585858"/>
                        <w:w w:val="105"/>
                        <w:sz w:val="14"/>
                      </w:rPr>
                      <w:t>Rest</w:t>
                    </w:r>
                    <w:r>
                      <w:rPr>
                        <w:rFonts w:ascii="Calibri"/>
                        <w:color w:val="585858"/>
                        <w:spacing w:val="-7"/>
                        <w:w w:val="105"/>
                        <w:sz w:val="14"/>
                      </w:rPr>
                      <w:t> </w:t>
                    </w:r>
                    <w:r>
                      <w:rPr>
                        <w:rFonts w:ascii="Calibri"/>
                        <w:color w:val="585858"/>
                        <w:w w:val="105"/>
                        <w:sz w:val="14"/>
                      </w:rPr>
                      <w:t>of</w:t>
                    </w:r>
                    <w:r>
                      <w:rPr>
                        <w:rFonts w:ascii="Calibri"/>
                        <w:color w:val="585858"/>
                        <w:spacing w:val="-4"/>
                        <w:w w:val="105"/>
                        <w:sz w:val="14"/>
                      </w:rPr>
                      <w:t> </w:t>
                    </w:r>
                    <w:r>
                      <w:rPr>
                        <w:rFonts w:ascii="Calibri"/>
                        <w:color w:val="585858"/>
                        <w:w w:val="105"/>
                        <w:sz w:val="14"/>
                      </w:rPr>
                      <w:t>Aust.</w:t>
                    </w:r>
                    <w:r>
                      <w:rPr>
                        <w:rFonts w:ascii="Calibri"/>
                        <w:color w:val="585858"/>
                        <w:spacing w:val="-3"/>
                        <w:w w:val="105"/>
                        <w:sz w:val="14"/>
                      </w:rPr>
                      <w:t> </w:t>
                    </w:r>
                    <w:r>
                      <w:rPr>
                        <w:rFonts w:ascii="Calibri"/>
                        <w:color w:val="585858"/>
                        <w:w w:val="105"/>
                        <w:sz w:val="14"/>
                      </w:rPr>
                      <w:t>population) Single for several years (Partnered for several</w:t>
                    </w:r>
                    <w:r>
                      <w:rPr>
                        <w:rFonts w:ascii="Calibri"/>
                        <w:color w:val="585858"/>
                        <w:spacing w:val="-18"/>
                        <w:w w:val="105"/>
                        <w:sz w:val="14"/>
                      </w:rPr>
                      <w:t> </w:t>
                    </w:r>
                    <w:r>
                      <w:rPr>
                        <w:rFonts w:ascii="Calibri"/>
                        <w:color w:val="585858"/>
                        <w:w w:val="105"/>
                        <w:sz w:val="14"/>
                      </w:rPr>
                      <w:t>years)</w:t>
                    </w:r>
                  </w:p>
                  <w:p>
                    <w:pPr>
                      <w:spacing w:line="271" w:lineRule="auto" w:before="1"/>
                      <w:ind w:left="907" w:right="1" w:firstLine="0"/>
                      <w:jc w:val="left"/>
                      <w:rPr>
                        <w:rFonts w:ascii="Calibri"/>
                        <w:sz w:val="14"/>
                      </w:rPr>
                    </w:pPr>
                    <w:r>
                      <w:rPr>
                        <w:rFonts w:ascii="Calibri"/>
                        <w:color w:val="585858"/>
                        <w:w w:val="105"/>
                        <w:sz w:val="14"/>
                      </w:rPr>
                      <w:t>More years on income support (Fewer years on income support) Lower SEIFA decile (Higher SEIFA decile)</w:t>
                    </w:r>
                  </w:p>
                  <w:p>
                    <w:pPr>
                      <w:spacing w:line="271" w:lineRule="auto" w:before="1"/>
                      <w:ind w:left="907" w:right="481" w:firstLine="0"/>
                      <w:jc w:val="left"/>
                      <w:rPr>
                        <w:rFonts w:ascii="Calibri"/>
                        <w:sz w:val="14"/>
                      </w:rPr>
                    </w:pPr>
                    <w:r>
                      <w:rPr>
                        <w:rFonts w:ascii="Calibri"/>
                        <w:color w:val="585858"/>
                        <w:w w:val="105"/>
                        <w:sz w:val="14"/>
                      </w:rPr>
                      <w:t>Umployed for several years (Employed for several years) Lower level of education (Higher level of education)</w:t>
                    </w:r>
                  </w:p>
                  <w:p>
                    <w:pPr>
                      <w:spacing w:before="0"/>
                      <w:ind w:left="69" w:right="0" w:firstLine="0"/>
                      <w:jc w:val="left"/>
                      <w:rPr>
                        <w:rFonts w:ascii="Calibri" w:hAnsi="Calibri"/>
                        <w:sz w:val="14"/>
                      </w:rPr>
                    </w:pPr>
                    <w:r>
                      <w:rPr>
                        <w:rFonts w:ascii="Calibri" w:hAnsi="Calibri"/>
                        <w:b/>
                        <w:color w:val="7E7E7E"/>
                        <w:w w:val="105"/>
                        <w:position w:val="2"/>
                        <w:sz w:val="10"/>
                      </w:rPr>
                      <w:t>Top 10 Drivers </w:t>
                    </w:r>
                    <w:r>
                      <w:rPr>
                        <w:rFonts w:ascii="Symbol" w:hAnsi="Symbol"/>
                        <w:color w:val="7E7E7E"/>
                        <w:w w:val="105"/>
                        <w:position w:val="2"/>
                        <w:sz w:val="10"/>
                      </w:rPr>
                      <w:t></w:t>
                    </w:r>
                    <w:r>
                      <w:rPr>
                        <w:rFonts w:ascii="Times New Roman" w:hAnsi="Times New Roman"/>
                        <w:color w:val="7E7E7E"/>
                        <w:w w:val="105"/>
                        <w:position w:val="2"/>
                        <w:sz w:val="10"/>
                      </w:rPr>
                      <w:t> </w:t>
                    </w:r>
                    <w:r>
                      <w:rPr>
                        <w:rFonts w:ascii="Calibri" w:hAnsi="Calibri"/>
                        <w:color w:val="585858"/>
                        <w:w w:val="105"/>
                        <w:sz w:val="14"/>
                      </w:rPr>
                      <w:t>Congenital anomalies, Intellectual (Cancer, Musculo-skeletal)</w:t>
                    </w:r>
                  </w:p>
                  <w:p>
                    <w:pPr>
                      <w:spacing w:before="23"/>
                      <w:ind w:left="0" w:right="0" w:firstLine="0"/>
                      <w:jc w:val="left"/>
                      <w:rPr>
                        <w:rFonts w:ascii="Calibri" w:hAnsi="Calibri"/>
                        <w:sz w:val="14"/>
                      </w:rPr>
                    </w:pPr>
                    <w:r>
                      <w:rPr>
                        <w:rFonts w:ascii="Calibri" w:hAnsi="Calibri"/>
                        <w:b/>
                        <w:color w:val="7E7E7E"/>
                        <w:w w:val="105"/>
                        <w:position w:val="2"/>
                        <w:sz w:val="10"/>
                      </w:rPr>
                      <w:t>Selected Others </w:t>
                    </w:r>
                    <w:r>
                      <w:rPr>
                        <w:rFonts w:ascii="Symbol" w:hAnsi="Symbol"/>
                        <w:color w:val="7E7E7E"/>
                        <w:w w:val="105"/>
                        <w:position w:val="2"/>
                        <w:sz w:val="10"/>
                      </w:rPr>
                      <w:t></w:t>
                    </w:r>
                    <w:r>
                      <w:rPr>
                        <w:rFonts w:ascii="Times New Roman" w:hAnsi="Times New Roman"/>
                        <w:color w:val="7E7E7E"/>
                        <w:w w:val="105"/>
                        <w:position w:val="2"/>
                        <w:sz w:val="10"/>
                      </w:rPr>
                      <w:t> </w:t>
                    </w:r>
                    <w:r>
                      <w:rPr>
                        <w:rFonts w:ascii="Calibri" w:hAnsi="Calibri"/>
                        <w:color w:val="585858"/>
                        <w:w w:val="105"/>
                        <w:sz w:val="14"/>
                      </w:rPr>
                      <w:t>Indigenous Australian (Not Indigenous Australian)</w:t>
                    </w:r>
                  </w:p>
                  <w:p>
                    <w:pPr>
                      <w:spacing w:line="200" w:lineRule="atLeast" w:before="1"/>
                      <w:ind w:left="907" w:right="0" w:firstLine="0"/>
                      <w:jc w:val="left"/>
                      <w:rPr>
                        <w:rFonts w:ascii="Calibri"/>
                        <w:sz w:val="14"/>
                      </w:rPr>
                    </w:pPr>
                    <w:r>
                      <w:rPr>
                        <w:rFonts w:ascii="Calibri"/>
                        <w:color w:val="585858"/>
                        <w:w w:val="105"/>
                        <w:sz w:val="14"/>
                      </w:rPr>
                      <w:t>Carer is the parent or guardian of caree (Partner or Unrelated) Refugee (Non-refugee)</w:t>
                    </w:r>
                  </w:p>
                </w:txbxContent>
              </v:textbox>
              <w10:wrap type="none"/>
            </v:shape>
            <w10:wrap type="topAndBottom"/>
          </v:group>
        </w:pict>
      </w:r>
      <w:r>
        <w:rPr>
          <w:b/>
          <w:i/>
          <w:color w:val="404040"/>
          <w:sz w:val="20"/>
        </w:rPr>
        <w:t>Class 4 Carers</w:t>
      </w:r>
    </w:p>
    <w:p>
      <w:pPr>
        <w:pStyle w:val="BodyText"/>
        <w:rPr>
          <w:b/>
          <w:i/>
          <w:sz w:val="22"/>
        </w:rPr>
      </w:pPr>
    </w:p>
    <w:p>
      <w:pPr>
        <w:spacing w:before="136"/>
        <w:ind w:left="1602" w:right="1299" w:firstLine="0"/>
        <w:jc w:val="center"/>
        <w:rPr>
          <w:b/>
          <w:i/>
          <w:sz w:val="20"/>
        </w:rPr>
      </w:pPr>
      <w:r>
        <w:rPr/>
        <w:pict>
          <v:group style="position:absolute;margin-left:51.800095pt;margin-top:21.37678pt;width:512.15pt;height:158.4pt;mso-position-horizontal-relative:page;mso-position-vertical-relative:paragraph;z-index:-251439104;mso-wrap-distance-left:0;mso-wrap-distance-right:0" coordorigin="1036,428" coordsize="10243,3168">
            <v:rect style="position:absolute;left:1043;top:435;width:10235;height:622" filled="true" fillcolor="#808080" stroked="false">
              <v:fill type="solid"/>
            </v:rect>
            <v:line style="position:absolute" from="1044,2993" to="6857,2993" stroked="true" strokeweight="0pt" strokecolor="#808080">
              <v:stroke dashstyle="solid"/>
            </v:line>
            <v:shape style="position:absolute;left:1043;top:2992;width:5814;height:8" type="#_x0000_t75" stroked="false">
              <v:imagedata r:id="rId48" o:title=""/>
            </v:shape>
            <v:line style="position:absolute" from="1036,428" to="1036,3405" stroked="true" strokeweight="0pt" strokecolor="#808080">
              <v:stroke dashstyle="solid"/>
            </v:line>
            <v:line style="position:absolute" from="1040,428" to="1040,3405" stroked="true" strokeweight=".388747pt" strokecolor="#808080">
              <v:stroke dashstyle="solid"/>
            </v:line>
            <v:line style="position:absolute" from="6857,3401" to="11278,3401" stroked="true" strokeweight=".388662pt" strokecolor="#ffff00">
              <v:stroke dashstyle="solid"/>
            </v:line>
            <v:line style="position:absolute" from="6857,1057" to="6857,3405" stroked="true" strokeweight="0pt" strokecolor="#808080">
              <v:stroke dashstyle="solid"/>
            </v:line>
            <v:line style="position:absolute" from="6861,1057" to="6861,3405" stroked="true" strokeweight=".389136pt" strokecolor="#808080">
              <v:stroke dashstyle="solid"/>
            </v:line>
            <v:line style="position:absolute" from="11270,1057" to="11270,3405" stroked="true" strokeweight="0pt" strokecolor="#808080">
              <v:stroke dashstyle="solid"/>
            </v:line>
            <v:line style="position:absolute" from="11274,1057" to="11274,3405" stroked="true" strokeweight=".389136pt" strokecolor="#808080">
              <v:stroke dashstyle="solid"/>
            </v:line>
            <v:line style="position:absolute" from="1044,428" to="11278,428" stroked="true" strokeweight="0pt" strokecolor="#808080">
              <v:stroke dashstyle="solid"/>
            </v:line>
            <v:line style="position:absolute" from="1044,431" to="11278,431" stroked="true" strokeweight=".388273pt" strokecolor="#808080">
              <v:stroke dashstyle="solid"/>
            </v:line>
            <v:line style="position:absolute" from="1044,1049" to="11278,1049" stroked="true" strokeweight="0pt" strokecolor="#808080">
              <v:stroke dashstyle="solid"/>
            </v:line>
            <v:line style="position:absolute" from="1044,1053" to="11278,1053" stroked="true" strokeweight=".388662pt" strokecolor="#808080">
              <v:stroke dashstyle="solid"/>
            </v:line>
            <v:line style="position:absolute" from="6865,2993" to="11270,2993" stroked="true" strokeweight="0pt" strokecolor="#808080">
              <v:stroke dashstyle="solid"/>
            </v:line>
            <v:shape style="position:absolute;left:6865;top:2992;width:4406;height:8" type="#_x0000_t75" stroked="false">
              <v:imagedata r:id="rId49" o:title=""/>
            </v:shape>
            <v:line style="position:absolute" from="1044,3397" to="11278,3397" stroked="true" strokeweight="0pt" strokecolor="#808080">
              <v:stroke dashstyle="solid"/>
            </v:line>
            <v:line style="position:absolute" from="1044,3401" to="11278,3401" stroked="true" strokeweight=".388662pt" strokecolor="#808080">
              <v:stroke dashstyle="solid"/>
            </v:line>
            <v:line style="position:absolute" from="3795,1053" to="3795,3595" stroked="true" strokeweight=".389134pt" strokecolor="#d9d9d9">
              <v:stroke dashstyle="solid"/>
            </v:line>
            <v:line style="position:absolute" from="4558,1053" to="4558,1080" stroked="true" strokeweight=".389134pt" strokecolor="#d9d9d9">
              <v:stroke dashstyle="solid"/>
            </v:line>
            <v:line style="position:absolute" from="4558,1220" to="4558,1275" stroked="true" strokeweight=".389134pt" strokecolor="#d9d9d9">
              <v:stroke dashstyle="solid"/>
            </v:line>
            <v:line style="position:absolute" from="4558,1415" to="4558,1469" stroked="true" strokeweight=".389134pt" strokecolor="#d9d9d9">
              <v:stroke dashstyle="solid"/>
            </v:line>
            <v:line style="position:absolute" from="4558,1609" to="4558,3595" stroked="true" strokeweight=".389134pt" strokecolor="#d9d9d9">
              <v:stroke dashstyle="solid"/>
            </v:line>
            <v:line style="position:absolute" from="5313,1053" to="5313,1080" stroked="true" strokeweight=".389134pt" strokecolor="#d9d9d9">
              <v:stroke dashstyle="solid"/>
            </v:line>
            <v:line style="position:absolute" from="5313,1220" to="5313,3595" stroked="true" strokeweight=".389134pt" strokecolor="#d9d9d9">
              <v:stroke dashstyle="solid"/>
            </v:line>
            <v:line style="position:absolute" from="6075,1053" to="6075,1080" stroked="true" strokeweight=".389134pt" strokecolor="#d9d9d9">
              <v:stroke dashstyle="solid"/>
            </v:line>
            <v:line style="position:absolute" from="6075,1220" to="6075,3595" stroked="true" strokeweight=".389134pt" strokecolor="#d9d9d9">
              <v:stroke dashstyle="solid"/>
            </v:line>
            <v:line style="position:absolute" from="6830,1053" to="6830,1080" stroked="true" strokeweight=".389134pt" strokecolor="#d9d9d9">
              <v:stroke dashstyle="solid"/>
            </v:line>
            <v:line style="position:absolute" from="6830,1220" to="6830,3595" stroked="true" strokeweight=".389134pt" strokecolor="#d9d9d9">
              <v:stroke dashstyle="solid"/>
            </v:line>
            <v:rect style="position:absolute;left:3798;top:1080;width:3036;height:140" filled="true" fillcolor="#4f81bc" stroked="false">
              <v:fill type="solid"/>
            </v:rect>
            <v:rect style="position:absolute;left:3798;top:1671;width:732;height:140" filled="true" fillcolor="#4f81bc" stroked="false">
              <v:fill type="solid"/>
            </v:rect>
            <v:rect style="position:absolute;left:3798;top:1865;width:506;height:140" filled="true" fillcolor="#4f81bc" stroked="false">
              <v:fill type="solid"/>
            </v:rect>
            <v:rect style="position:absolute;left:3798;top:2059;width:467;height:140" filled="true" fillcolor="#4f81bc" stroked="false">
              <v:fill type="solid"/>
            </v:rect>
            <v:rect style="position:absolute;left:3798;top:2448;width:421;height:140" filled="true" fillcolor="#c0504d" stroked="false">
              <v:fill type="solid"/>
            </v:rect>
            <v:rect style="position:absolute;left:3798;top:2642;width:413;height:140" filled="true" fillcolor="#c0504d" stroked="false">
              <v:fill type="solid"/>
            </v:rect>
            <v:rect style="position:absolute;left:3798;top:1274;width:958;height:140" filled="true" fillcolor="#9bba58" stroked="false">
              <v:fill type="solid"/>
            </v:rect>
            <v:rect style="position:absolute;left:3798;top:1469;width:942;height:140" filled="true" fillcolor="#8063a1" stroked="false">
              <v:fill type="solid"/>
            </v:rect>
            <v:rect style="position:absolute;left:3798;top:2845;width:312;height:140" filled="true" fillcolor="#8063a1" stroked="false">
              <v:fill type="solid"/>
            </v:rect>
            <v:rect style="position:absolute;left:3798;top:3233;width:257;height:140" filled="true" fillcolor="#8063a1" stroked="false">
              <v:fill type="solid"/>
            </v:rect>
            <v:rect style="position:absolute;left:3798;top:2254;width:460;height:140" filled="true" fillcolor="#4aacc5" stroked="false">
              <v:fill type="solid"/>
            </v:rect>
            <v:rect style="position:absolute;left:3798;top:3039;width:288;height:140" filled="true" fillcolor="#4aacc5" stroked="false">
              <v:fill type="solid"/>
            </v:rect>
            <v:shape style="position:absolute;left:6048;top:2862;width:71;height:102" type="#_x0000_t202" filled="false" stroked="false">
              <v:textbox inset="0,0,0,0">
                <w:txbxContent>
                  <w:p>
                    <w:pPr>
                      <w:spacing w:line="101" w:lineRule="exact" w:before="0"/>
                      <w:ind w:left="0" w:right="0" w:firstLine="0"/>
                      <w:jc w:val="left"/>
                      <w:rPr>
                        <w:rFonts w:ascii="Calibri"/>
                        <w:b/>
                        <w:sz w:val="10"/>
                      </w:rPr>
                    </w:pPr>
                    <w:r>
                      <w:rPr>
                        <w:rFonts w:ascii="Calibri"/>
                        <w:b/>
                        <w:color w:val="7E7E7E"/>
                        <w:w w:val="101"/>
                        <w:sz w:val="10"/>
                      </w:rPr>
                      <w:t>T</w:t>
                    </w:r>
                  </w:p>
                </w:txbxContent>
              </v:textbox>
              <w10:wrap type="none"/>
            </v:shape>
            <v:shape style="position:absolute;left:6849;top:3000;width:4421;height:397" type="#_x0000_t202" filled="false" stroked="false">
              <v:textbox inset="0,0,0,0">
                <w:txbxContent>
                  <w:p>
                    <w:pPr>
                      <w:spacing w:before="14"/>
                      <w:ind w:left="38" w:right="0" w:firstLine="0"/>
                      <w:jc w:val="left"/>
                      <w:rPr>
                        <w:rFonts w:ascii="Calibri"/>
                        <w:sz w:val="14"/>
                      </w:rPr>
                    </w:pPr>
                    <w:r>
                      <w:rPr>
                        <w:rFonts w:ascii="Calibri"/>
                        <w:color w:val="585858"/>
                        <w:w w:val="105"/>
                        <w:sz w:val="14"/>
                      </w:rPr>
                      <w:t>Employed for more years (Unemployed for longer)</w:t>
                    </w:r>
                  </w:p>
                  <w:p>
                    <w:pPr>
                      <w:spacing w:before="31"/>
                      <w:ind w:left="38" w:right="0" w:firstLine="0"/>
                      <w:jc w:val="left"/>
                      <w:rPr>
                        <w:rFonts w:ascii="Calibri"/>
                        <w:sz w:val="14"/>
                      </w:rPr>
                    </w:pPr>
                    <w:r>
                      <w:rPr>
                        <w:rFonts w:ascii="Calibri"/>
                        <w:color w:val="585858"/>
                        <w:w w:val="105"/>
                        <w:sz w:val="14"/>
                      </w:rPr>
                      <w:t>High parental welfare dependence (No parental welfare dependence)</w:t>
                    </w:r>
                  </w:p>
                </w:txbxContent>
              </v:textbox>
              <w10:wrap type="none"/>
            </v:shape>
            <v:shape style="position:absolute;left:6079;top:3000;width:763;height:397" type="#_x0000_t202" filled="false" stroked="false">
              <v:textbox inset="0,0,0,0">
                <w:txbxContent>
                  <w:p>
                    <w:pPr>
                      <w:spacing w:before="31"/>
                      <w:ind w:left="23" w:right="0" w:firstLine="0"/>
                      <w:jc w:val="left"/>
                      <w:rPr>
                        <w:rFonts w:ascii="Symbol" w:hAnsi="Symbol"/>
                        <w:sz w:val="10"/>
                      </w:rPr>
                    </w:pPr>
                    <w:r>
                      <w:rPr>
                        <w:rFonts w:ascii="Calibri" w:hAnsi="Calibri"/>
                        <w:b/>
                        <w:color w:val="7E7E7E"/>
                        <w:sz w:val="10"/>
                      </w:rPr>
                      <w:t>ected Others </w:t>
                    </w:r>
                    <w:r>
                      <w:rPr>
                        <w:rFonts w:ascii="Symbol" w:hAnsi="Symbol"/>
                        <w:color w:val="7E7E7E"/>
                        <w:sz w:val="10"/>
                      </w:rPr>
                      <w:t></w:t>
                    </w:r>
                  </w:p>
                </w:txbxContent>
              </v:textbox>
              <w10:wrap type="none"/>
            </v:shape>
            <v:shape style="position:absolute;left:5978;top:3056;width:150;height:102" type="#_x0000_t202" filled="false" stroked="false">
              <v:textbox inset="0,0,0,0">
                <w:txbxContent>
                  <w:p>
                    <w:pPr>
                      <w:spacing w:line="101" w:lineRule="exact" w:before="0"/>
                      <w:ind w:left="0" w:right="0" w:firstLine="0"/>
                      <w:jc w:val="left"/>
                      <w:rPr>
                        <w:rFonts w:ascii="Calibri"/>
                        <w:b/>
                        <w:sz w:val="10"/>
                      </w:rPr>
                    </w:pPr>
                    <w:r>
                      <w:rPr>
                        <w:rFonts w:ascii="Calibri"/>
                        <w:b/>
                        <w:color w:val="7E7E7E"/>
                        <w:sz w:val="10"/>
                      </w:rPr>
                      <w:t>Sel</w:t>
                    </w:r>
                  </w:p>
                </w:txbxContent>
              </v:textbox>
              <w10:wrap type="none"/>
            </v:shape>
            <v:shape style="position:absolute;left:1043;top:3000;width:2748;height:397" type="#_x0000_t202" filled="false" stroked="false">
              <v:textbox inset="0,0,0,0">
                <w:txbxContent>
                  <w:p>
                    <w:pPr>
                      <w:spacing w:before="14"/>
                      <w:ind w:left="0" w:right="71" w:firstLine="0"/>
                      <w:jc w:val="right"/>
                      <w:rPr>
                        <w:rFonts w:ascii="Calibri"/>
                        <w:sz w:val="14"/>
                      </w:rPr>
                    </w:pPr>
                    <w:r>
                      <w:rPr>
                        <w:rFonts w:ascii="Calibri"/>
                        <w:color w:val="585858"/>
                        <w:w w:val="105"/>
                        <w:sz w:val="14"/>
                      </w:rPr>
                      <w:t>Employment earnings indicator and</w:t>
                    </w:r>
                    <w:r>
                      <w:rPr>
                        <w:rFonts w:ascii="Calibri"/>
                        <w:color w:val="585858"/>
                        <w:spacing w:val="-24"/>
                        <w:w w:val="105"/>
                        <w:sz w:val="14"/>
                      </w:rPr>
                      <w:t> </w:t>
                    </w:r>
                    <w:r>
                      <w:rPr>
                        <w:rFonts w:ascii="Calibri"/>
                        <w:color w:val="585858"/>
                        <w:w w:val="105"/>
                        <w:sz w:val="14"/>
                      </w:rPr>
                      <w:t>history</w:t>
                    </w:r>
                  </w:p>
                  <w:p>
                    <w:pPr>
                      <w:spacing w:before="31"/>
                      <w:ind w:left="0" w:right="71" w:firstLine="0"/>
                      <w:jc w:val="right"/>
                      <w:rPr>
                        <w:rFonts w:ascii="Calibri"/>
                        <w:sz w:val="14"/>
                      </w:rPr>
                    </w:pPr>
                    <w:r>
                      <w:rPr>
                        <w:rFonts w:ascii="Calibri"/>
                        <w:color w:val="585858"/>
                        <w:w w:val="105"/>
                        <w:sz w:val="14"/>
                      </w:rPr>
                      <w:t>Parental welfare</w:t>
                    </w:r>
                    <w:r>
                      <w:rPr>
                        <w:rFonts w:ascii="Calibri"/>
                        <w:color w:val="585858"/>
                        <w:spacing w:val="-13"/>
                        <w:w w:val="105"/>
                        <w:sz w:val="14"/>
                      </w:rPr>
                      <w:t> </w:t>
                    </w:r>
                    <w:r>
                      <w:rPr>
                        <w:rFonts w:ascii="Calibri"/>
                        <w:color w:val="585858"/>
                        <w:w w:val="105"/>
                        <w:sz w:val="14"/>
                      </w:rPr>
                      <w:t>history</w:t>
                    </w:r>
                  </w:p>
                </w:txbxContent>
              </v:textbox>
              <w10:wrap type="none"/>
            </v:shape>
            <v:shape style="position:absolute;left:6079;top:1274;width:763;height:1718" type="#_x0000_t202" filled="false" stroked="false">
              <v:textbox inset="0,0,0,0">
                <w:txbxContent>
                  <w:p>
                    <w:pPr>
                      <w:spacing w:line="240" w:lineRule="auto" w:before="0"/>
                      <w:rPr>
                        <w:b/>
                        <w:i/>
                        <w:sz w:val="12"/>
                      </w:rPr>
                    </w:pPr>
                  </w:p>
                  <w:p>
                    <w:pPr>
                      <w:spacing w:line="240" w:lineRule="auto" w:before="0"/>
                      <w:rPr>
                        <w:b/>
                        <w:i/>
                        <w:sz w:val="12"/>
                      </w:rPr>
                    </w:pPr>
                  </w:p>
                  <w:p>
                    <w:pPr>
                      <w:spacing w:line="240" w:lineRule="auto" w:before="0"/>
                      <w:rPr>
                        <w:b/>
                        <w:i/>
                        <w:sz w:val="12"/>
                      </w:rPr>
                    </w:pPr>
                  </w:p>
                  <w:p>
                    <w:pPr>
                      <w:spacing w:line="240" w:lineRule="auto" w:before="0"/>
                      <w:rPr>
                        <w:b/>
                        <w:i/>
                        <w:sz w:val="12"/>
                      </w:rPr>
                    </w:pPr>
                  </w:p>
                  <w:p>
                    <w:pPr>
                      <w:spacing w:line="240" w:lineRule="auto" w:before="0"/>
                      <w:rPr>
                        <w:b/>
                        <w:i/>
                        <w:sz w:val="12"/>
                      </w:rPr>
                    </w:pPr>
                  </w:p>
                  <w:p>
                    <w:pPr>
                      <w:spacing w:line="240" w:lineRule="auto" w:before="0"/>
                      <w:rPr>
                        <w:b/>
                        <w:i/>
                        <w:sz w:val="12"/>
                      </w:rPr>
                    </w:pPr>
                  </w:p>
                  <w:p>
                    <w:pPr>
                      <w:spacing w:line="240" w:lineRule="auto" w:before="0"/>
                      <w:rPr>
                        <w:b/>
                        <w:i/>
                        <w:sz w:val="12"/>
                      </w:rPr>
                    </w:pPr>
                  </w:p>
                  <w:p>
                    <w:pPr>
                      <w:spacing w:line="240" w:lineRule="auto" w:before="0"/>
                      <w:rPr>
                        <w:b/>
                        <w:i/>
                        <w:sz w:val="12"/>
                      </w:rPr>
                    </w:pPr>
                  </w:p>
                  <w:p>
                    <w:pPr>
                      <w:spacing w:line="240" w:lineRule="auto" w:before="0"/>
                      <w:rPr>
                        <w:b/>
                        <w:i/>
                        <w:sz w:val="12"/>
                      </w:rPr>
                    </w:pPr>
                  </w:p>
                  <w:p>
                    <w:pPr>
                      <w:spacing w:line="240" w:lineRule="auto" w:before="0"/>
                      <w:rPr>
                        <w:b/>
                        <w:i/>
                        <w:sz w:val="12"/>
                      </w:rPr>
                    </w:pPr>
                  </w:p>
                  <w:p>
                    <w:pPr>
                      <w:spacing w:line="240" w:lineRule="auto" w:before="10"/>
                      <w:rPr>
                        <w:b/>
                        <w:i/>
                        <w:sz w:val="15"/>
                      </w:rPr>
                    </w:pPr>
                  </w:p>
                  <w:p>
                    <w:pPr>
                      <w:spacing w:before="0"/>
                      <w:ind w:left="15" w:right="0" w:firstLine="0"/>
                      <w:jc w:val="left"/>
                      <w:rPr>
                        <w:rFonts w:ascii="Symbol" w:hAnsi="Symbol"/>
                        <w:sz w:val="10"/>
                      </w:rPr>
                    </w:pPr>
                    <w:r>
                      <w:rPr>
                        <w:rFonts w:ascii="Calibri" w:hAnsi="Calibri"/>
                        <w:b/>
                        <w:color w:val="7E7E7E"/>
                        <w:sz w:val="10"/>
                      </w:rPr>
                      <w:t>op 10 Drivers </w:t>
                    </w:r>
                    <w:r>
                      <w:rPr>
                        <w:rFonts w:ascii="Symbol" w:hAnsi="Symbol"/>
                        <w:color w:val="7E7E7E"/>
                        <w:sz w:val="10"/>
                      </w:rPr>
                      <w:t></w:t>
                    </w:r>
                  </w:p>
                </w:txbxContent>
              </v:textbox>
              <w10:wrap type="none"/>
            </v:shape>
            <v:shape style="position:absolute;left:6849;top:1049;width:4421;height:1944" type="#_x0000_t202" filled="false" stroked="false">
              <v:textbox inset="0,0,0,0">
                <w:txbxContent>
                  <w:p>
                    <w:pPr>
                      <w:spacing w:before="22"/>
                      <w:ind w:left="38" w:right="0" w:firstLine="0"/>
                      <w:jc w:val="left"/>
                      <w:rPr>
                        <w:rFonts w:ascii="Calibri"/>
                        <w:sz w:val="14"/>
                      </w:rPr>
                    </w:pPr>
                    <w:r>
                      <w:rPr>
                        <w:rFonts w:ascii="Calibri"/>
                        <w:color w:val="585858"/>
                        <w:w w:val="105"/>
                        <w:sz w:val="14"/>
                      </w:rPr>
                      <w:t>Younger people (Older people)</w:t>
                    </w:r>
                  </w:p>
                  <w:p>
                    <w:pPr>
                      <w:spacing w:line="273" w:lineRule="auto" w:before="23"/>
                      <w:ind w:left="38" w:right="1770" w:firstLine="0"/>
                      <w:jc w:val="left"/>
                      <w:rPr>
                        <w:rFonts w:ascii="Calibri"/>
                        <w:sz w:val="14"/>
                      </w:rPr>
                    </w:pPr>
                    <w:r>
                      <w:rPr>
                        <w:rFonts w:ascii="Calibri"/>
                        <w:color w:val="585858"/>
                        <w:w w:val="105"/>
                        <w:sz w:val="14"/>
                      </w:rPr>
                      <w:t>Intellectual disability (Cancer/tumour) Single people (People partnered for longer) Females (Males)</w:t>
                    </w:r>
                  </w:p>
                  <w:p>
                    <w:pPr>
                      <w:spacing w:line="273" w:lineRule="auto" w:before="0"/>
                      <w:ind w:left="38" w:right="1064" w:firstLine="0"/>
                      <w:jc w:val="left"/>
                      <w:rPr>
                        <w:rFonts w:ascii="Calibri"/>
                        <w:sz w:val="14"/>
                      </w:rPr>
                    </w:pPr>
                    <w:r>
                      <w:rPr>
                        <w:rFonts w:ascii="Calibri"/>
                        <w:color w:val="585858"/>
                        <w:w w:val="105"/>
                        <w:sz w:val="14"/>
                      </w:rPr>
                      <w:t>Indigenous Australian (Not Indigenous Australian) Lower SEIFA decile (Higher SEIFA decile)</w:t>
                    </w:r>
                  </w:p>
                  <w:p>
                    <w:pPr>
                      <w:spacing w:line="273" w:lineRule="auto" w:before="0"/>
                      <w:ind w:left="38" w:right="1064" w:firstLine="0"/>
                      <w:jc w:val="left"/>
                      <w:rPr>
                        <w:rFonts w:ascii="Calibri"/>
                        <w:sz w:val="14"/>
                      </w:rPr>
                    </w:pPr>
                    <w:r>
                      <w:rPr>
                        <w:rFonts w:ascii="Calibri"/>
                        <w:color w:val="585858"/>
                        <w:w w:val="105"/>
                        <w:sz w:val="14"/>
                      </w:rPr>
                      <w:t>Lower level of education (Higher level of education) More years in class (Fewer years in class)</w:t>
                    </w:r>
                  </w:p>
                  <w:p>
                    <w:pPr>
                      <w:spacing w:line="273" w:lineRule="auto" w:before="0"/>
                      <w:ind w:left="38" w:right="633" w:firstLine="0"/>
                      <w:jc w:val="left"/>
                      <w:rPr>
                        <w:rFonts w:ascii="Calibri"/>
                        <w:sz w:val="14"/>
                      </w:rPr>
                    </w:pPr>
                    <w:r>
                      <w:rPr>
                        <w:rFonts w:ascii="Calibri"/>
                        <w:color w:val="585858"/>
                        <w:w w:val="105"/>
                        <w:sz w:val="14"/>
                      </w:rPr>
                      <w:t>More years on income support (Less years on income support) No children or a lot of children (Some children)</w:t>
                    </w:r>
                  </w:p>
                </w:txbxContent>
              </v:textbox>
              <w10:wrap type="none"/>
            </v:shape>
            <v:shape style="position:absolute;left:1043;top:1049;width:2748;height:1944" type="#_x0000_t202" filled="false" stroked="false">
              <v:textbox inset="0,0,0,0">
                <w:txbxContent>
                  <w:p>
                    <w:pPr>
                      <w:spacing w:line="273" w:lineRule="auto" w:before="22"/>
                      <w:ind w:left="941" w:right="64" w:firstLine="1509"/>
                      <w:jc w:val="right"/>
                      <w:rPr>
                        <w:rFonts w:ascii="Calibri"/>
                        <w:sz w:val="14"/>
                      </w:rPr>
                    </w:pPr>
                    <w:r>
                      <w:rPr>
                        <w:rFonts w:ascii="Calibri"/>
                        <w:color w:val="585858"/>
                        <w:w w:val="105"/>
                        <w:sz w:val="14"/>
                      </w:rPr>
                      <w:t>Age</w:t>
                    </w:r>
                    <w:r>
                      <w:rPr>
                        <w:rFonts w:ascii="Calibri"/>
                        <w:color w:val="585858"/>
                        <w:w w:val="105"/>
                        <w:sz w:val="14"/>
                      </w:rPr>
                      <w:t> </w:t>
                    </w:r>
                    <w:r>
                      <w:rPr>
                        <w:rFonts w:ascii="Calibri"/>
                        <w:color w:val="585858"/>
                        <w:spacing w:val="2"/>
                        <w:w w:val="105"/>
                        <w:sz w:val="14"/>
                      </w:rPr>
                      <w:t>                           </w:t>
                    </w:r>
                    <w:r>
                      <w:rPr>
                        <w:rFonts w:ascii="Calibri"/>
                        <w:color w:val="585858"/>
                        <w:w w:val="105"/>
                        <w:sz w:val="14"/>
                      </w:rPr>
                      <w:t>Disability</w:t>
                    </w:r>
                    <w:r>
                      <w:rPr>
                        <w:rFonts w:ascii="Calibri"/>
                        <w:color w:val="585858"/>
                        <w:spacing w:val="-13"/>
                        <w:w w:val="105"/>
                        <w:sz w:val="14"/>
                      </w:rPr>
                      <w:t> </w:t>
                    </w:r>
                    <w:r>
                      <w:rPr>
                        <w:rFonts w:ascii="Calibri"/>
                        <w:color w:val="585858"/>
                        <w:w w:val="105"/>
                        <w:sz w:val="14"/>
                      </w:rPr>
                      <w:t>medical</w:t>
                    </w:r>
                    <w:r>
                      <w:rPr>
                        <w:rFonts w:ascii="Calibri"/>
                        <w:color w:val="585858"/>
                        <w:spacing w:val="-16"/>
                        <w:w w:val="105"/>
                        <w:sz w:val="14"/>
                      </w:rPr>
                      <w:t> </w:t>
                    </w:r>
                    <w:r>
                      <w:rPr>
                        <w:rFonts w:ascii="Calibri"/>
                        <w:color w:val="585858"/>
                        <w:w w:val="105"/>
                        <w:sz w:val="14"/>
                      </w:rPr>
                      <w:t>condition</w:t>
                    </w:r>
                    <w:r>
                      <w:rPr>
                        <w:rFonts w:ascii="Calibri"/>
                        <w:color w:val="585858"/>
                        <w:w w:val="105"/>
                        <w:sz w:val="14"/>
                      </w:rPr>
                      <w:t> </w:t>
                    </w:r>
                    <w:r>
                      <w:rPr>
                        <w:rFonts w:ascii="Calibri"/>
                        <w:color w:val="585858"/>
                        <w:w w:val="105"/>
                        <w:sz w:val="14"/>
                      </w:rPr>
                      <w:t>Partnering status and</w:t>
                    </w:r>
                    <w:r>
                      <w:rPr>
                        <w:rFonts w:ascii="Calibri"/>
                        <w:color w:val="585858"/>
                        <w:spacing w:val="-6"/>
                        <w:w w:val="105"/>
                        <w:sz w:val="14"/>
                      </w:rPr>
                      <w:t> </w:t>
                    </w:r>
                    <w:r>
                      <w:rPr>
                        <w:rFonts w:ascii="Calibri"/>
                        <w:color w:val="585858"/>
                        <w:w w:val="105"/>
                        <w:sz w:val="14"/>
                      </w:rPr>
                      <w:t>history</w:t>
                    </w:r>
                  </w:p>
                  <w:p>
                    <w:pPr>
                      <w:spacing w:line="273" w:lineRule="auto" w:before="0"/>
                      <w:ind w:left="1611" w:right="71" w:firstLine="622"/>
                      <w:jc w:val="right"/>
                      <w:rPr>
                        <w:rFonts w:ascii="Calibri"/>
                        <w:sz w:val="14"/>
                      </w:rPr>
                    </w:pPr>
                    <w:r>
                      <w:rPr>
                        <w:rFonts w:ascii="Calibri"/>
                        <w:color w:val="585858"/>
                        <w:spacing w:val="-2"/>
                        <w:w w:val="105"/>
                        <w:sz w:val="14"/>
                      </w:rPr>
                      <w:t>Gender </w:t>
                    </w:r>
                    <w:r>
                      <w:rPr>
                        <w:rFonts w:ascii="Calibri"/>
                        <w:color w:val="585858"/>
                        <w:w w:val="105"/>
                        <w:sz w:val="14"/>
                      </w:rPr>
                      <w:t>Indigenous</w:t>
                    </w:r>
                    <w:r>
                      <w:rPr>
                        <w:rFonts w:ascii="Calibri"/>
                        <w:color w:val="585858"/>
                        <w:spacing w:val="11"/>
                        <w:w w:val="105"/>
                        <w:sz w:val="14"/>
                      </w:rPr>
                      <w:t> </w:t>
                    </w:r>
                    <w:r>
                      <w:rPr>
                        <w:rFonts w:ascii="Calibri"/>
                        <w:color w:val="585858"/>
                        <w:spacing w:val="-3"/>
                        <w:w w:val="105"/>
                        <w:sz w:val="14"/>
                      </w:rPr>
                      <w:t>status</w:t>
                    </w:r>
                  </w:p>
                  <w:p>
                    <w:pPr>
                      <w:spacing w:line="170" w:lineRule="exact" w:before="0"/>
                      <w:ind w:left="0" w:right="68" w:firstLine="0"/>
                      <w:jc w:val="right"/>
                      <w:rPr>
                        <w:rFonts w:ascii="Calibri"/>
                        <w:sz w:val="14"/>
                      </w:rPr>
                    </w:pPr>
                    <w:r>
                      <w:rPr>
                        <w:rFonts w:ascii="Calibri"/>
                        <w:color w:val="585858"/>
                        <w:w w:val="105"/>
                        <w:sz w:val="14"/>
                      </w:rPr>
                      <w:t>SEIFA</w:t>
                    </w:r>
                  </w:p>
                  <w:p>
                    <w:pPr>
                      <w:spacing w:line="273" w:lineRule="auto" w:before="22"/>
                      <w:ind w:left="1688" w:right="65" w:hanging="289"/>
                      <w:jc w:val="right"/>
                      <w:rPr>
                        <w:rFonts w:ascii="Calibri"/>
                        <w:sz w:val="14"/>
                      </w:rPr>
                    </w:pPr>
                    <w:r>
                      <w:rPr>
                        <w:rFonts w:ascii="Calibri"/>
                        <w:color w:val="585858"/>
                        <w:spacing w:val="-1"/>
                        <w:w w:val="105"/>
                        <w:sz w:val="14"/>
                      </w:rPr>
                      <w:t>Education</w:t>
                    </w:r>
                    <w:r>
                      <w:rPr>
                        <w:rFonts w:ascii="Calibri"/>
                        <w:color w:val="585858"/>
                        <w:spacing w:val="-16"/>
                        <w:w w:val="105"/>
                        <w:sz w:val="14"/>
                      </w:rPr>
                      <w:t> </w:t>
                    </w:r>
                    <w:r>
                      <w:rPr>
                        <w:rFonts w:ascii="Calibri"/>
                        <w:color w:val="585858"/>
                        <w:w w:val="105"/>
                        <w:sz w:val="14"/>
                      </w:rPr>
                      <w:t>attainment</w:t>
                    </w:r>
                    <w:r>
                      <w:rPr>
                        <w:rFonts w:ascii="Calibri"/>
                        <w:color w:val="585858"/>
                        <w:w w:val="105"/>
                        <w:sz w:val="14"/>
                      </w:rPr>
                      <w:t> </w:t>
                    </w:r>
                    <w:r>
                      <w:rPr>
                        <w:rFonts w:ascii="Calibri"/>
                        <w:color w:val="585858"/>
                        <w:w w:val="105"/>
                        <w:sz w:val="14"/>
                      </w:rPr>
                      <w:t>Duration in</w:t>
                    </w:r>
                    <w:r>
                      <w:rPr>
                        <w:rFonts w:ascii="Calibri"/>
                        <w:color w:val="585858"/>
                        <w:spacing w:val="-8"/>
                        <w:w w:val="105"/>
                        <w:sz w:val="14"/>
                      </w:rPr>
                      <w:t> </w:t>
                    </w:r>
                    <w:r>
                      <w:rPr>
                        <w:rFonts w:ascii="Calibri"/>
                        <w:color w:val="585858"/>
                        <w:w w:val="105"/>
                        <w:sz w:val="14"/>
                      </w:rPr>
                      <w:t>class</w:t>
                    </w:r>
                  </w:p>
                  <w:p>
                    <w:pPr>
                      <w:spacing w:line="170" w:lineRule="exact" w:before="0"/>
                      <w:ind w:left="0" w:right="65" w:firstLine="0"/>
                      <w:jc w:val="right"/>
                      <w:rPr>
                        <w:rFonts w:ascii="Calibri"/>
                        <w:sz w:val="14"/>
                      </w:rPr>
                    </w:pPr>
                    <w:r>
                      <w:rPr>
                        <w:rFonts w:ascii="Calibri"/>
                        <w:color w:val="585858"/>
                        <w:w w:val="105"/>
                        <w:sz w:val="14"/>
                      </w:rPr>
                      <w:t>Duration on income</w:t>
                    </w:r>
                    <w:r>
                      <w:rPr>
                        <w:rFonts w:ascii="Calibri"/>
                        <w:color w:val="585858"/>
                        <w:spacing w:val="-10"/>
                        <w:w w:val="105"/>
                        <w:sz w:val="14"/>
                      </w:rPr>
                      <w:t> </w:t>
                    </w:r>
                    <w:r>
                      <w:rPr>
                        <w:rFonts w:ascii="Calibri"/>
                        <w:color w:val="585858"/>
                        <w:w w:val="105"/>
                        <w:sz w:val="14"/>
                      </w:rPr>
                      <w:t>support</w:t>
                    </w:r>
                  </w:p>
                  <w:p>
                    <w:pPr>
                      <w:spacing w:before="23"/>
                      <w:ind w:left="0" w:right="68" w:firstLine="0"/>
                      <w:jc w:val="right"/>
                      <w:rPr>
                        <w:rFonts w:ascii="Calibri"/>
                        <w:sz w:val="14"/>
                      </w:rPr>
                    </w:pPr>
                    <w:r>
                      <w:rPr>
                        <w:rFonts w:ascii="Calibri"/>
                        <w:color w:val="585858"/>
                        <w:w w:val="105"/>
                        <w:sz w:val="14"/>
                      </w:rPr>
                      <w:t>Number of</w:t>
                    </w:r>
                    <w:r>
                      <w:rPr>
                        <w:rFonts w:ascii="Calibri"/>
                        <w:color w:val="585858"/>
                        <w:spacing w:val="-13"/>
                        <w:w w:val="105"/>
                        <w:sz w:val="14"/>
                      </w:rPr>
                      <w:t> </w:t>
                    </w:r>
                    <w:r>
                      <w:rPr>
                        <w:rFonts w:ascii="Calibri"/>
                        <w:color w:val="585858"/>
                        <w:w w:val="105"/>
                        <w:sz w:val="14"/>
                      </w:rPr>
                      <w:t>children</w:t>
                    </w:r>
                  </w:p>
                </w:txbxContent>
              </v:textbox>
              <w10:wrap type="none"/>
            </v:shape>
            <v:shape style="position:absolute;left:6888;top:682;width:3713;height:148" type="#_x0000_t202" filled="false" stroked="false">
              <v:textbox inset="0,0,0,0">
                <w:txbxContent>
                  <w:p>
                    <w:pPr>
                      <w:spacing w:line="148" w:lineRule="exact" w:before="0"/>
                      <w:ind w:left="0" w:right="0" w:firstLine="0"/>
                      <w:jc w:val="left"/>
                      <w:rPr>
                        <w:rFonts w:ascii="Calibri"/>
                        <w:b/>
                        <w:sz w:val="14"/>
                      </w:rPr>
                    </w:pPr>
                    <w:r>
                      <w:rPr>
                        <w:rFonts w:ascii="Calibri"/>
                        <w:b/>
                        <w:color w:val="FFFFFF"/>
                        <w:w w:val="105"/>
                        <w:sz w:val="14"/>
                      </w:rPr>
                      <w:t>Characteristics associated with higher (lower) lifetime costs</w:t>
                    </w:r>
                  </w:p>
                </w:txbxContent>
              </v:textbox>
              <w10:wrap type="none"/>
            </v:shape>
            <v:shape style="position:absolute;left:3775;top:682;width:1270;height:148" type="#_x0000_t202" filled="false" stroked="false">
              <v:textbox inset="0,0,0,0">
                <w:txbxContent>
                  <w:p>
                    <w:pPr>
                      <w:spacing w:line="148" w:lineRule="exact" w:before="0"/>
                      <w:ind w:left="0" w:right="0" w:firstLine="0"/>
                      <w:jc w:val="left"/>
                      <w:rPr>
                        <w:rFonts w:ascii="Calibri"/>
                        <w:b/>
                        <w:sz w:val="14"/>
                      </w:rPr>
                    </w:pPr>
                    <w:r>
                      <w:rPr>
                        <w:rFonts w:ascii="Calibri"/>
                        <w:b/>
                        <w:color w:val="FFFFFF"/>
                        <w:w w:val="105"/>
                        <w:sz w:val="14"/>
                      </w:rPr>
                      <w:t>Variable importance</w:t>
                    </w:r>
                  </w:p>
                </w:txbxContent>
              </v:textbox>
              <w10:wrap type="none"/>
            </v:shape>
            <v:shape style="position:absolute;left:1938;top:682;width:936;height:148" type="#_x0000_t202" filled="false" stroked="false">
              <v:textbox inset="0,0,0,0">
                <w:txbxContent>
                  <w:p>
                    <w:pPr>
                      <w:spacing w:line="148" w:lineRule="exact" w:before="0"/>
                      <w:ind w:left="0" w:right="0" w:firstLine="0"/>
                      <w:jc w:val="left"/>
                      <w:rPr>
                        <w:rFonts w:ascii="Calibri"/>
                        <w:b/>
                        <w:sz w:val="14"/>
                      </w:rPr>
                    </w:pPr>
                    <w:r>
                      <w:rPr>
                        <w:rFonts w:ascii="Calibri"/>
                        <w:b/>
                        <w:color w:val="FFFFFF"/>
                        <w:w w:val="105"/>
                        <w:sz w:val="14"/>
                      </w:rPr>
                      <w:t>Driver variable</w:t>
                    </w:r>
                  </w:p>
                </w:txbxContent>
              </v:textbox>
              <w10:wrap type="none"/>
            </v:shape>
            <w10:wrap type="topAndBottom"/>
          </v:group>
        </w:pict>
      </w:r>
      <w:r>
        <w:rPr>
          <w:b/>
          <w:i/>
          <w:color w:val="404040"/>
          <w:sz w:val="20"/>
        </w:rPr>
        <w:t>Class 5 Disability Support</w:t>
      </w:r>
    </w:p>
    <w:p>
      <w:pPr>
        <w:spacing w:before="107"/>
        <w:ind w:left="900" w:right="1024" w:firstLine="0"/>
        <w:jc w:val="left"/>
        <w:rPr>
          <w:sz w:val="16"/>
        </w:rPr>
      </w:pPr>
      <w:r>
        <w:rPr>
          <w:color w:val="DF2F1E"/>
          <w:sz w:val="16"/>
        </w:rPr>
        <w:t>The drivers and their importance may be expected to change each year due to the addition of new variables, the refitting of parameters, the details of how variable importance is attributed between correlated variables, and other technical considerations.</w:t>
      </w:r>
    </w:p>
    <w:p>
      <w:pPr>
        <w:pStyle w:val="BodyText"/>
        <w:spacing w:before="120"/>
        <w:ind w:left="900"/>
      </w:pPr>
      <w:r>
        <w:rPr>
          <w:color w:val="404040"/>
        </w:rPr>
        <w:t>We observe:</w:t>
      </w:r>
    </w:p>
    <w:p>
      <w:pPr>
        <w:pStyle w:val="ListParagraph"/>
        <w:numPr>
          <w:ilvl w:val="0"/>
          <w:numId w:val="21"/>
        </w:numPr>
        <w:tabs>
          <w:tab w:pos="1184" w:val="left" w:leader="none"/>
        </w:tabs>
        <w:spacing w:line="240" w:lineRule="auto" w:before="121" w:after="0"/>
        <w:ind w:left="1183" w:right="0" w:hanging="284"/>
        <w:jc w:val="left"/>
        <w:rPr>
          <w:sz w:val="20"/>
        </w:rPr>
      </w:pPr>
      <w:r>
        <w:rPr>
          <w:color w:val="404040"/>
          <w:sz w:val="20"/>
        </w:rPr>
        <w:t>Across all the classes, the attributes identified as significant are the factors that</w:t>
      </w:r>
      <w:r>
        <w:rPr>
          <w:color w:val="404040"/>
          <w:spacing w:val="-8"/>
          <w:sz w:val="20"/>
        </w:rPr>
        <w:t> </w:t>
      </w:r>
      <w:r>
        <w:rPr>
          <w:color w:val="404040"/>
          <w:sz w:val="20"/>
        </w:rPr>
        <w:t>either:</w:t>
      </w:r>
    </w:p>
    <w:p>
      <w:pPr>
        <w:pStyle w:val="ListParagraph"/>
        <w:numPr>
          <w:ilvl w:val="1"/>
          <w:numId w:val="21"/>
        </w:numPr>
        <w:tabs>
          <w:tab w:pos="1467" w:val="left" w:leader="none"/>
        </w:tabs>
        <w:spacing w:line="240" w:lineRule="auto" w:before="119" w:after="0"/>
        <w:ind w:left="1468" w:right="1208" w:hanging="286"/>
        <w:jc w:val="left"/>
        <w:rPr>
          <w:sz w:val="20"/>
        </w:rPr>
      </w:pPr>
      <w:r>
        <w:rPr>
          <w:color w:val="404040"/>
          <w:sz w:val="20"/>
        </w:rPr>
        <w:t>reflect</w:t>
      </w:r>
      <w:r>
        <w:rPr>
          <w:color w:val="404040"/>
          <w:spacing w:val="-4"/>
          <w:sz w:val="20"/>
        </w:rPr>
        <w:t> </w:t>
      </w:r>
      <w:r>
        <w:rPr>
          <w:color w:val="404040"/>
          <w:sz w:val="20"/>
        </w:rPr>
        <w:t>the</w:t>
      </w:r>
      <w:r>
        <w:rPr>
          <w:color w:val="404040"/>
          <w:spacing w:val="-4"/>
          <w:sz w:val="20"/>
        </w:rPr>
        <w:t> </w:t>
      </w:r>
      <w:r>
        <w:rPr>
          <w:color w:val="404040"/>
          <w:sz w:val="20"/>
        </w:rPr>
        <w:t>structure</w:t>
      </w:r>
      <w:r>
        <w:rPr>
          <w:color w:val="404040"/>
          <w:spacing w:val="-3"/>
          <w:sz w:val="20"/>
        </w:rPr>
        <w:t> </w:t>
      </w:r>
      <w:r>
        <w:rPr>
          <w:color w:val="404040"/>
          <w:sz w:val="20"/>
        </w:rPr>
        <w:t>of</w:t>
      </w:r>
      <w:r>
        <w:rPr>
          <w:color w:val="404040"/>
          <w:spacing w:val="-2"/>
          <w:sz w:val="20"/>
        </w:rPr>
        <w:t> </w:t>
      </w:r>
      <w:r>
        <w:rPr>
          <w:color w:val="404040"/>
          <w:sz w:val="20"/>
        </w:rPr>
        <w:t>the</w:t>
      </w:r>
      <w:r>
        <w:rPr>
          <w:color w:val="404040"/>
          <w:spacing w:val="-4"/>
          <w:sz w:val="20"/>
        </w:rPr>
        <w:t> </w:t>
      </w:r>
      <w:r>
        <w:rPr>
          <w:color w:val="404040"/>
          <w:sz w:val="20"/>
        </w:rPr>
        <w:t>benefit</w:t>
      </w:r>
      <w:r>
        <w:rPr>
          <w:color w:val="404040"/>
          <w:spacing w:val="-4"/>
          <w:sz w:val="20"/>
        </w:rPr>
        <w:t> </w:t>
      </w:r>
      <w:r>
        <w:rPr>
          <w:color w:val="404040"/>
          <w:sz w:val="20"/>
        </w:rPr>
        <w:t>system</w:t>
      </w:r>
      <w:r>
        <w:rPr>
          <w:color w:val="404040"/>
          <w:spacing w:val="1"/>
          <w:sz w:val="20"/>
        </w:rPr>
        <w:t> </w:t>
      </w:r>
      <w:r>
        <w:rPr>
          <w:color w:val="404040"/>
          <w:sz w:val="20"/>
        </w:rPr>
        <w:t>and</w:t>
      </w:r>
      <w:r>
        <w:rPr>
          <w:color w:val="404040"/>
          <w:spacing w:val="-4"/>
          <w:sz w:val="20"/>
        </w:rPr>
        <w:t> </w:t>
      </w:r>
      <w:r>
        <w:rPr>
          <w:color w:val="404040"/>
          <w:sz w:val="20"/>
        </w:rPr>
        <w:t>how</w:t>
      </w:r>
      <w:r>
        <w:rPr>
          <w:color w:val="404040"/>
          <w:spacing w:val="-4"/>
          <w:sz w:val="20"/>
        </w:rPr>
        <w:t> </w:t>
      </w:r>
      <w:r>
        <w:rPr>
          <w:color w:val="404040"/>
          <w:sz w:val="20"/>
        </w:rPr>
        <w:t>long</w:t>
      </w:r>
      <w:r>
        <w:rPr>
          <w:color w:val="404040"/>
          <w:spacing w:val="-2"/>
          <w:sz w:val="20"/>
        </w:rPr>
        <w:t> </w:t>
      </w:r>
      <w:r>
        <w:rPr>
          <w:color w:val="404040"/>
          <w:sz w:val="20"/>
        </w:rPr>
        <w:t>people</w:t>
      </w:r>
      <w:r>
        <w:rPr>
          <w:color w:val="404040"/>
          <w:spacing w:val="-2"/>
          <w:sz w:val="20"/>
        </w:rPr>
        <w:t> </w:t>
      </w:r>
      <w:r>
        <w:rPr>
          <w:color w:val="404040"/>
          <w:sz w:val="20"/>
        </w:rPr>
        <w:t>are</w:t>
      </w:r>
      <w:r>
        <w:rPr>
          <w:color w:val="404040"/>
          <w:spacing w:val="-2"/>
          <w:sz w:val="20"/>
        </w:rPr>
        <w:t> </w:t>
      </w:r>
      <w:r>
        <w:rPr>
          <w:color w:val="404040"/>
          <w:sz w:val="20"/>
        </w:rPr>
        <w:t>eligible</w:t>
      </w:r>
      <w:r>
        <w:rPr>
          <w:color w:val="404040"/>
          <w:spacing w:val="-4"/>
          <w:sz w:val="20"/>
        </w:rPr>
        <w:t> </w:t>
      </w:r>
      <w:r>
        <w:rPr>
          <w:color w:val="404040"/>
          <w:sz w:val="20"/>
        </w:rPr>
        <w:t>to</w:t>
      </w:r>
      <w:r>
        <w:rPr>
          <w:color w:val="404040"/>
          <w:spacing w:val="-4"/>
          <w:sz w:val="20"/>
        </w:rPr>
        <w:t> </w:t>
      </w:r>
      <w:r>
        <w:rPr>
          <w:color w:val="404040"/>
          <w:sz w:val="20"/>
        </w:rPr>
        <w:t>receive</w:t>
      </w:r>
      <w:r>
        <w:rPr>
          <w:color w:val="404040"/>
          <w:spacing w:val="-2"/>
          <w:sz w:val="20"/>
        </w:rPr>
        <w:t> </w:t>
      </w:r>
      <w:r>
        <w:rPr>
          <w:color w:val="404040"/>
          <w:sz w:val="20"/>
        </w:rPr>
        <w:t>benefits</w:t>
      </w:r>
      <w:r>
        <w:rPr>
          <w:color w:val="404040"/>
          <w:spacing w:val="-3"/>
          <w:sz w:val="20"/>
        </w:rPr>
        <w:t> </w:t>
      </w:r>
      <w:r>
        <w:rPr>
          <w:color w:val="404040"/>
          <w:sz w:val="20"/>
        </w:rPr>
        <w:t>(e.g.</w:t>
      </w:r>
      <w:r>
        <w:rPr>
          <w:color w:val="404040"/>
          <w:spacing w:val="-4"/>
          <w:sz w:val="20"/>
        </w:rPr>
        <w:t> </w:t>
      </w:r>
      <w:r>
        <w:rPr>
          <w:color w:val="404040"/>
          <w:sz w:val="20"/>
        </w:rPr>
        <w:t>age, age of youngest</w:t>
      </w:r>
      <w:r>
        <w:rPr>
          <w:color w:val="404040"/>
          <w:spacing w:val="3"/>
          <w:sz w:val="20"/>
        </w:rPr>
        <w:t> </w:t>
      </w:r>
      <w:r>
        <w:rPr>
          <w:color w:val="404040"/>
          <w:sz w:val="20"/>
        </w:rPr>
        <w:t>child)</w:t>
      </w:r>
    </w:p>
    <w:p>
      <w:pPr>
        <w:pStyle w:val="ListParagraph"/>
        <w:numPr>
          <w:ilvl w:val="1"/>
          <w:numId w:val="21"/>
        </w:numPr>
        <w:tabs>
          <w:tab w:pos="1467" w:val="left" w:leader="none"/>
        </w:tabs>
        <w:spacing w:line="240" w:lineRule="auto" w:before="121" w:after="0"/>
        <w:ind w:left="1468" w:right="1294" w:hanging="286"/>
        <w:jc w:val="left"/>
        <w:rPr>
          <w:sz w:val="20"/>
        </w:rPr>
      </w:pPr>
      <w:r>
        <w:rPr>
          <w:color w:val="404040"/>
          <w:sz w:val="20"/>
        </w:rPr>
        <w:t>capture other information which is important in determining people’s expected persistency on payment (e.g. age first entered welfare system, duration on income</w:t>
      </w:r>
      <w:r>
        <w:rPr>
          <w:color w:val="404040"/>
          <w:spacing w:val="-10"/>
          <w:sz w:val="20"/>
        </w:rPr>
        <w:t> </w:t>
      </w:r>
      <w:r>
        <w:rPr>
          <w:color w:val="404040"/>
          <w:sz w:val="20"/>
        </w:rPr>
        <w:t>support)</w:t>
      </w:r>
    </w:p>
    <w:p>
      <w:pPr>
        <w:pStyle w:val="ListParagraph"/>
        <w:numPr>
          <w:ilvl w:val="1"/>
          <w:numId w:val="21"/>
        </w:numPr>
        <w:tabs>
          <w:tab w:pos="1466" w:val="left" w:leader="none"/>
        </w:tabs>
        <w:spacing w:line="240" w:lineRule="auto" w:before="118" w:after="0"/>
        <w:ind w:left="1465" w:right="0" w:hanging="284"/>
        <w:jc w:val="left"/>
        <w:rPr>
          <w:sz w:val="20"/>
        </w:rPr>
      </w:pPr>
      <w:r>
        <w:rPr>
          <w:color w:val="404040"/>
          <w:sz w:val="20"/>
        </w:rPr>
        <w:t>reflect the different levels of payments made to people in the class (e.g. gender, partnering</w:t>
      </w:r>
      <w:r>
        <w:rPr>
          <w:color w:val="404040"/>
          <w:spacing w:val="-21"/>
          <w:sz w:val="20"/>
        </w:rPr>
        <w:t> </w:t>
      </w:r>
      <w:r>
        <w:rPr>
          <w:color w:val="404040"/>
          <w:sz w:val="20"/>
        </w:rPr>
        <w:t>status).</w:t>
      </w:r>
    </w:p>
    <w:p>
      <w:pPr>
        <w:pStyle w:val="BodyText"/>
        <w:spacing w:before="121"/>
        <w:ind w:left="899" w:right="1277"/>
      </w:pPr>
      <w:r>
        <w:rPr>
          <w:color w:val="404040"/>
        </w:rPr>
        <w:t>Some of the drivers are significant for more than one of these reasons. Further commentary for each class is provided below.</w:t>
      </w:r>
    </w:p>
    <w:p>
      <w:pPr>
        <w:pStyle w:val="ListParagraph"/>
        <w:numPr>
          <w:ilvl w:val="0"/>
          <w:numId w:val="21"/>
        </w:numPr>
        <w:tabs>
          <w:tab w:pos="1183" w:val="left" w:leader="none"/>
        </w:tabs>
        <w:spacing w:line="240" w:lineRule="auto" w:before="119" w:after="0"/>
        <w:ind w:left="1182" w:right="0" w:hanging="284"/>
        <w:jc w:val="left"/>
        <w:rPr>
          <w:sz w:val="20"/>
        </w:rPr>
      </w:pPr>
      <w:r>
        <w:rPr>
          <w:color w:val="404040"/>
          <w:sz w:val="20"/>
        </w:rPr>
        <w:t>For class</w:t>
      </w:r>
      <w:r>
        <w:rPr>
          <w:color w:val="404040"/>
          <w:spacing w:val="-1"/>
          <w:sz w:val="20"/>
        </w:rPr>
        <w:t> </w:t>
      </w:r>
      <w:r>
        <w:rPr>
          <w:color w:val="404040"/>
          <w:sz w:val="20"/>
        </w:rPr>
        <w:t>1:</w:t>
      </w:r>
    </w:p>
    <w:p>
      <w:pPr>
        <w:pStyle w:val="ListParagraph"/>
        <w:numPr>
          <w:ilvl w:val="1"/>
          <w:numId w:val="21"/>
        </w:numPr>
        <w:tabs>
          <w:tab w:pos="1466" w:val="left" w:leader="none"/>
        </w:tabs>
        <w:spacing w:line="240" w:lineRule="auto" w:before="119" w:after="0"/>
        <w:ind w:left="1468" w:right="1077" w:hanging="286"/>
        <w:jc w:val="left"/>
        <w:rPr>
          <w:sz w:val="20"/>
        </w:rPr>
      </w:pPr>
      <w:r>
        <w:rPr>
          <w:color w:val="404040"/>
          <w:sz w:val="20"/>
        </w:rPr>
        <w:t>Gender is the most significant variable and reflects the higher level of family payments that are generally expected to be made to women over their future lifetimes. This is relatively more important in the Studying class because although many men and women exit income support from this class, many more women than men then go on to receive family payments during their</w:t>
      </w:r>
      <w:r>
        <w:rPr>
          <w:color w:val="404040"/>
          <w:spacing w:val="-15"/>
          <w:sz w:val="20"/>
        </w:rPr>
        <w:t> </w:t>
      </w:r>
      <w:r>
        <w:rPr>
          <w:color w:val="404040"/>
          <w:sz w:val="20"/>
        </w:rPr>
        <w:t>lives.</w:t>
      </w:r>
    </w:p>
    <w:p>
      <w:pPr>
        <w:pStyle w:val="ListParagraph"/>
        <w:numPr>
          <w:ilvl w:val="1"/>
          <w:numId w:val="21"/>
        </w:numPr>
        <w:tabs>
          <w:tab w:pos="1466" w:val="left" w:leader="none"/>
        </w:tabs>
        <w:spacing w:line="240" w:lineRule="auto" w:before="120" w:after="0"/>
        <w:ind w:left="1467" w:right="1238" w:hanging="286"/>
        <w:jc w:val="left"/>
        <w:rPr>
          <w:sz w:val="20"/>
        </w:rPr>
      </w:pPr>
      <w:r>
        <w:rPr>
          <w:color w:val="404040"/>
          <w:sz w:val="20"/>
        </w:rPr>
        <w:t>The drivers that have the next significance are Indigenous status, age and SEIFA. Indigenous status reflects eligibility of Indigenous Australians to receive ABSTUDY and the structure of this payment type whereby eligibility is at younger ages than for the other studying payment types. SEIFA is likely to</w:t>
      </w:r>
      <w:r>
        <w:rPr>
          <w:color w:val="404040"/>
          <w:spacing w:val="-34"/>
          <w:sz w:val="20"/>
        </w:rPr>
        <w:t> </w:t>
      </w:r>
      <w:r>
        <w:rPr>
          <w:color w:val="404040"/>
          <w:sz w:val="20"/>
        </w:rPr>
        <w:t>be</w:t>
      </w:r>
    </w:p>
    <w:p>
      <w:pPr>
        <w:spacing w:after="0" w:line="240" w:lineRule="auto"/>
        <w:jc w:val="left"/>
        <w:rPr>
          <w:sz w:val="20"/>
        </w:rPr>
        <w:sectPr>
          <w:pgSz w:w="11910" w:h="16850"/>
          <w:pgMar w:header="572" w:footer="581" w:top="780" w:bottom="780" w:left="120" w:right="0"/>
        </w:sectPr>
      </w:pPr>
    </w:p>
    <w:p>
      <w:pPr>
        <w:pStyle w:val="BodyText"/>
      </w:pPr>
    </w:p>
    <w:p>
      <w:pPr>
        <w:pStyle w:val="BodyText"/>
      </w:pPr>
    </w:p>
    <w:p>
      <w:pPr>
        <w:pStyle w:val="BodyText"/>
        <w:spacing w:before="7"/>
        <w:rPr>
          <w:sz w:val="21"/>
        </w:rPr>
      </w:pPr>
    </w:p>
    <w:p>
      <w:pPr>
        <w:pStyle w:val="BodyText"/>
        <w:spacing w:before="93"/>
        <w:ind w:left="1468" w:right="1310" w:hanging="1"/>
      </w:pPr>
      <w:r>
        <w:rPr>
          <w:color w:val="404040"/>
        </w:rPr>
        <w:t>reflective of financial circumstances of families, which feed into eligibility criteria. Age is important as it acts as a proxy for people’s progress through their studies.</w:t>
      </w:r>
    </w:p>
    <w:p>
      <w:pPr>
        <w:pStyle w:val="ListParagraph"/>
        <w:numPr>
          <w:ilvl w:val="1"/>
          <w:numId w:val="21"/>
        </w:numPr>
        <w:tabs>
          <w:tab w:pos="1467" w:val="left" w:leader="none"/>
        </w:tabs>
        <w:spacing w:line="240" w:lineRule="auto" w:before="121" w:after="0"/>
        <w:ind w:left="1468" w:right="1520" w:hanging="286"/>
        <w:jc w:val="left"/>
        <w:rPr>
          <w:sz w:val="20"/>
        </w:rPr>
      </w:pPr>
      <w:r>
        <w:rPr>
          <w:color w:val="404040"/>
          <w:sz w:val="20"/>
        </w:rPr>
        <w:t>While relatively less significant, the remaining variables shown in the chart are factors helpful in differentiating which people have a higher expected lifetime cost, all other things being equal. For instance, people with lower levels of educational attainment, on average, have higher lifetime</w:t>
      </w:r>
      <w:r>
        <w:rPr>
          <w:color w:val="404040"/>
          <w:spacing w:val="-40"/>
          <w:sz w:val="20"/>
        </w:rPr>
        <w:t> </w:t>
      </w:r>
      <w:r>
        <w:rPr>
          <w:color w:val="404040"/>
          <w:sz w:val="20"/>
        </w:rPr>
        <w:t>costs.</w:t>
      </w:r>
    </w:p>
    <w:p>
      <w:pPr>
        <w:pStyle w:val="ListParagraph"/>
        <w:numPr>
          <w:ilvl w:val="1"/>
          <w:numId w:val="21"/>
        </w:numPr>
        <w:tabs>
          <w:tab w:pos="1467" w:val="left" w:leader="none"/>
        </w:tabs>
        <w:spacing w:line="240" w:lineRule="auto" w:before="121" w:after="0"/>
        <w:ind w:left="1466" w:right="0" w:hanging="285"/>
        <w:jc w:val="left"/>
        <w:rPr>
          <w:sz w:val="20"/>
        </w:rPr>
      </w:pPr>
      <w:r>
        <w:rPr>
          <w:color w:val="404040"/>
          <w:sz w:val="20"/>
        </w:rPr>
        <w:t>Refugee status has a lower variable importance, but is still quite an important</w:t>
      </w:r>
      <w:r>
        <w:rPr>
          <w:color w:val="404040"/>
          <w:spacing w:val="-4"/>
          <w:sz w:val="20"/>
        </w:rPr>
        <w:t> </w:t>
      </w:r>
      <w:r>
        <w:rPr>
          <w:color w:val="404040"/>
          <w:sz w:val="20"/>
        </w:rPr>
        <w:t>factor.</w:t>
      </w:r>
    </w:p>
    <w:p>
      <w:pPr>
        <w:pStyle w:val="ListParagraph"/>
        <w:numPr>
          <w:ilvl w:val="0"/>
          <w:numId w:val="21"/>
        </w:numPr>
        <w:tabs>
          <w:tab w:pos="1183" w:val="left" w:leader="none"/>
        </w:tabs>
        <w:spacing w:line="240" w:lineRule="auto" w:before="119" w:after="0"/>
        <w:ind w:left="1182" w:right="0" w:hanging="284"/>
        <w:jc w:val="left"/>
        <w:rPr>
          <w:sz w:val="20"/>
        </w:rPr>
      </w:pPr>
      <w:r>
        <w:rPr>
          <w:color w:val="404040"/>
          <w:sz w:val="20"/>
        </w:rPr>
        <w:t>For class</w:t>
      </w:r>
      <w:r>
        <w:rPr>
          <w:color w:val="404040"/>
          <w:spacing w:val="-1"/>
          <w:sz w:val="20"/>
        </w:rPr>
        <w:t> </w:t>
      </w:r>
      <w:r>
        <w:rPr>
          <w:color w:val="404040"/>
          <w:sz w:val="20"/>
        </w:rPr>
        <w:t>2:</w:t>
      </w:r>
    </w:p>
    <w:p>
      <w:pPr>
        <w:pStyle w:val="ListParagraph"/>
        <w:numPr>
          <w:ilvl w:val="1"/>
          <w:numId w:val="21"/>
        </w:numPr>
        <w:tabs>
          <w:tab w:pos="1466" w:val="left" w:leader="none"/>
        </w:tabs>
        <w:spacing w:line="240" w:lineRule="auto" w:before="119" w:after="0"/>
        <w:ind w:left="1468" w:right="1306" w:hanging="286"/>
        <w:jc w:val="left"/>
        <w:rPr>
          <w:sz w:val="20"/>
        </w:rPr>
      </w:pPr>
      <w:r>
        <w:rPr>
          <w:color w:val="404040"/>
          <w:sz w:val="20"/>
        </w:rPr>
        <w:t>Gender and age are the most significant variables and the analysis shows they have a similar variable importance.</w:t>
      </w:r>
    </w:p>
    <w:p>
      <w:pPr>
        <w:pStyle w:val="ListParagraph"/>
        <w:numPr>
          <w:ilvl w:val="1"/>
          <w:numId w:val="21"/>
        </w:numPr>
        <w:tabs>
          <w:tab w:pos="1466" w:val="left" w:leader="none"/>
        </w:tabs>
        <w:spacing w:line="240" w:lineRule="auto" w:before="121" w:after="0"/>
        <w:ind w:left="1468" w:right="1268" w:hanging="286"/>
        <w:jc w:val="left"/>
        <w:rPr>
          <w:sz w:val="20"/>
        </w:rPr>
      </w:pPr>
      <w:r>
        <w:rPr>
          <w:color w:val="404040"/>
          <w:sz w:val="20"/>
        </w:rPr>
        <w:t>Gender is again significant because it reflects the higher level of family payments that are generally expected to be made to women over the future lifetimes. In relation to age, middle aged people tend to have higher average lifetime costs as they are closer to retirement, and so the possible receipt of the Age Pension in the relatively near future is</w:t>
      </w:r>
      <w:r>
        <w:rPr>
          <w:color w:val="404040"/>
          <w:spacing w:val="-6"/>
          <w:sz w:val="20"/>
        </w:rPr>
        <w:t> </w:t>
      </w:r>
      <w:r>
        <w:rPr>
          <w:color w:val="404040"/>
          <w:sz w:val="20"/>
        </w:rPr>
        <w:t>significant.</w:t>
      </w:r>
    </w:p>
    <w:p>
      <w:pPr>
        <w:pStyle w:val="ListParagraph"/>
        <w:numPr>
          <w:ilvl w:val="1"/>
          <w:numId w:val="21"/>
        </w:numPr>
        <w:tabs>
          <w:tab w:pos="1466" w:val="left" w:leader="none"/>
        </w:tabs>
        <w:spacing w:line="240" w:lineRule="auto" w:before="120" w:after="0"/>
        <w:ind w:left="1465" w:right="0" w:hanging="284"/>
        <w:jc w:val="left"/>
        <w:rPr>
          <w:sz w:val="20"/>
        </w:rPr>
      </w:pPr>
      <w:r>
        <w:rPr>
          <w:color w:val="404040"/>
          <w:sz w:val="20"/>
        </w:rPr>
        <w:t>Capacity to work is also a significant variable, as would be expected, as well as</w:t>
      </w:r>
      <w:r>
        <w:rPr>
          <w:color w:val="404040"/>
          <w:spacing w:val="-4"/>
          <w:sz w:val="20"/>
        </w:rPr>
        <w:t> </w:t>
      </w:r>
      <w:r>
        <w:rPr>
          <w:color w:val="404040"/>
          <w:sz w:val="20"/>
        </w:rPr>
        <w:t>SEIFA.</w:t>
      </w:r>
    </w:p>
    <w:p>
      <w:pPr>
        <w:pStyle w:val="ListParagraph"/>
        <w:numPr>
          <w:ilvl w:val="0"/>
          <w:numId w:val="21"/>
        </w:numPr>
        <w:tabs>
          <w:tab w:pos="1183" w:val="left" w:leader="none"/>
        </w:tabs>
        <w:spacing w:line="240" w:lineRule="auto" w:before="118" w:after="0"/>
        <w:ind w:left="1182" w:right="0" w:hanging="284"/>
        <w:jc w:val="left"/>
        <w:rPr>
          <w:sz w:val="20"/>
        </w:rPr>
      </w:pPr>
      <w:r>
        <w:rPr>
          <w:color w:val="404040"/>
          <w:sz w:val="20"/>
        </w:rPr>
        <w:t>For class</w:t>
      </w:r>
      <w:r>
        <w:rPr>
          <w:color w:val="404040"/>
          <w:spacing w:val="-1"/>
          <w:sz w:val="20"/>
        </w:rPr>
        <w:t> </w:t>
      </w:r>
      <w:r>
        <w:rPr>
          <w:color w:val="404040"/>
          <w:sz w:val="20"/>
        </w:rPr>
        <w:t>3:</w:t>
      </w:r>
    </w:p>
    <w:p>
      <w:pPr>
        <w:pStyle w:val="ListParagraph"/>
        <w:numPr>
          <w:ilvl w:val="1"/>
          <w:numId w:val="21"/>
        </w:numPr>
        <w:tabs>
          <w:tab w:pos="1466" w:val="left" w:leader="none"/>
        </w:tabs>
        <w:spacing w:line="240" w:lineRule="auto" w:before="119" w:after="0"/>
        <w:ind w:left="1467" w:right="1250" w:hanging="286"/>
        <w:jc w:val="left"/>
        <w:rPr>
          <w:sz w:val="20"/>
        </w:rPr>
      </w:pPr>
      <w:r>
        <w:rPr>
          <w:color w:val="404040"/>
          <w:sz w:val="20"/>
        </w:rPr>
        <w:t>The age of a recipient’s youngest child is the most important driver and this is reflective of the payment eligibility criteria which are linked to this information and recognise the expected duration of people’s future caring</w:t>
      </w:r>
      <w:r>
        <w:rPr>
          <w:color w:val="404040"/>
          <w:spacing w:val="-3"/>
          <w:sz w:val="20"/>
        </w:rPr>
        <w:t> </w:t>
      </w:r>
      <w:r>
        <w:rPr>
          <w:color w:val="404040"/>
          <w:sz w:val="20"/>
        </w:rPr>
        <w:t>responsibilities.</w:t>
      </w:r>
    </w:p>
    <w:p>
      <w:pPr>
        <w:pStyle w:val="ListParagraph"/>
        <w:numPr>
          <w:ilvl w:val="1"/>
          <w:numId w:val="21"/>
        </w:numPr>
        <w:tabs>
          <w:tab w:pos="1466" w:val="left" w:leader="none"/>
        </w:tabs>
        <w:spacing w:line="240" w:lineRule="auto" w:before="122" w:after="0"/>
        <w:ind w:left="1467" w:right="1113" w:hanging="286"/>
        <w:jc w:val="left"/>
        <w:rPr>
          <w:sz w:val="20"/>
        </w:rPr>
      </w:pPr>
      <w:r>
        <w:rPr>
          <w:color w:val="404040"/>
          <w:sz w:val="20"/>
        </w:rPr>
        <w:t>A person’s partner status and partnering history (‘partnering status and history’) is also a key driver of lifetime cost for class 3. This is because single people have a longer eligibility for Parenting Payments, and also because single people receive a higher rate of payment. Payment type distinguishes whether a recipient is receiving Parenting Payment Single or Parenting Payment Partnered. As a result, this is picking up similar information to partnering status and history, and so is also coming through as an important</w:t>
      </w:r>
      <w:r>
        <w:rPr>
          <w:color w:val="404040"/>
          <w:spacing w:val="-2"/>
          <w:sz w:val="20"/>
        </w:rPr>
        <w:t> </w:t>
      </w:r>
      <w:r>
        <w:rPr>
          <w:color w:val="404040"/>
          <w:sz w:val="20"/>
        </w:rPr>
        <w:t>driver.</w:t>
      </w:r>
    </w:p>
    <w:p>
      <w:pPr>
        <w:pStyle w:val="ListParagraph"/>
        <w:numPr>
          <w:ilvl w:val="0"/>
          <w:numId w:val="21"/>
        </w:numPr>
        <w:tabs>
          <w:tab w:pos="1183" w:val="left" w:leader="none"/>
        </w:tabs>
        <w:spacing w:line="240" w:lineRule="auto" w:before="119" w:after="0"/>
        <w:ind w:left="1182" w:right="0" w:hanging="285"/>
        <w:jc w:val="left"/>
        <w:rPr>
          <w:sz w:val="20"/>
        </w:rPr>
      </w:pPr>
      <w:r>
        <w:rPr>
          <w:color w:val="404040"/>
          <w:sz w:val="20"/>
        </w:rPr>
        <w:t>For class</w:t>
      </w:r>
      <w:r>
        <w:rPr>
          <w:color w:val="404040"/>
          <w:spacing w:val="-1"/>
          <w:sz w:val="20"/>
        </w:rPr>
        <w:t> </w:t>
      </w:r>
      <w:r>
        <w:rPr>
          <w:color w:val="404040"/>
          <w:sz w:val="20"/>
        </w:rPr>
        <w:t>4:</w:t>
      </w:r>
    </w:p>
    <w:p>
      <w:pPr>
        <w:pStyle w:val="ListParagraph"/>
        <w:numPr>
          <w:ilvl w:val="1"/>
          <w:numId w:val="21"/>
        </w:numPr>
        <w:tabs>
          <w:tab w:pos="1466" w:val="left" w:leader="none"/>
        </w:tabs>
        <w:spacing w:line="240" w:lineRule="auto" w:before="118" w:after="0"/>
        <w:ind w:left="1467" w:right="1364" w:hanging="286"/>
        <w:jc w:val="left"/>
        <w:rPr>
          <w:sz w:val="20"/>
        </w:rPr>
      </w:pPr>
      <w:r>
        <w:rPr>
          <w:color w:val="404040"/>
          <w:sz w:val="20"/>
        </w:rPr>
        <w:t>Age</w:t>
      </w:r>
      <w:r>
        <w:rPr>
          <w:color w:val="404040"/>
          <w:spacing w:val="-2"/>
          <w:sz w:val="20"/>
        </w:rPr>
        <w:t> </w:t>
      </w:r>
      <w:r>
        <w:rPr>
          <w:color w:val="404040"/>
          <w:sz w:val="20"/>
        </w:rPr>
        <w:t>is</w:t>
      </w:r>
      <w:r>
        <w:rPr>
          <w:color w:val="404040"/>
          <w:spacing w:val="-2"/>
          <w:sz w:val="20"/>
        </w:rPr>
        <w:t> </w:t>
      </w:r>
      <w:r>
        <w:rPr>
          <w:color w:val="404040"/>
          <w:sz w:val="20"/>
        </w:rPr>
        <w:t>the</w:t>
      </w:r>
      <w:r>
        <w:rPr>
          <w:color w:val="404040"/>
          <w:spacing w:val="-4"/>
          <w:sz w:val="20"/>
        </w:rPr>
        <w:t> </w:t>
      </w:r>
      <w:r>
        <w:rPr>
          <w:color w:val="404040"/>
          <w:sz w:val="20"/>
        </w:rPr>
        <w:t>most</w:t>
      </w:r>
      <w:r>
        <w:rPr>
          <w:color w:val="404040"/>
          <w:spacing w:val="-3"/>
          <w:sz w:val="20"/>
        </w:rPr>
        <w:t> </w:t>
      </w:r>
      <w:r>
        <w:rPr>
          <w:color w:val="404040"/>
          <w:sz w:val="20"/>
        </w:rPr>
        <w:t>important</w:t>
      </w:r>
      <w:r>
        <w:rPr>
          <w:color w:val="404040"/>
          <w:spacing w:val="-3"/>
          <w:sz w:val="20"/>
        </w:rPr>
        <w:t> </w:t>
      </w:r>
      <w:r>
        <w:rPr>
          <w:color w:val="404040"/>
          <w:sz w:val="20"/>
        </w:rPr>
        <w:t>driver,</w:t>
      </w:r>
      <w:r>
        <w:rPr>
          <w:color w:val="404040"/>
          <w:spacing w:val="-4"/>
          <w:sz w:val="20"/>
        </w:rPr>
        <w:t> </w:t>
      </w:r>
      <w:r>
        <w:rPr>
          <w:color w:val="404040"/>
          <w:sz w:val="20"/>
        </w:rPr>
        <w:t>reflecting</w:t>
      </w:r>
      <w:r>
        <w:rPr>
          <w:color w:val="404040"/>
          <w:spacing w:val="-3"/>
          <w:sz w:val="20"/>
        </w:rPr>
        <w:t> </w:t>
      </w:r>
      <w:r>
        <w:rPr>
          <w:color w:val="404040"/>
          <w:sz w:val="20"/>
        </w:rPr>
        <w:t>the</w:t>
      </w:r>
      <w:r>
        <w:rPr>
          <w:color w:val="404040"/>
          <w:spacing w:val="-3"/>
          <w:sz w:val="20"/>
        </w:rPr>
        <w:t> </w:t>
      </w:r>
      <w:r>
        <w:rPr>
          <w:color w:val="404040"/>
          <w:sz w:val="20"/>
        </w:rPr>
        <w:t>high</w:t>
      </w:r>
      <w:r>
        <w:rPr>
          <w:color w:val="404040"/>
          <w:spacing w:val="-2"/>
          <w:sz w:val="20"/>
        </w:rPr>
        <w:t> </w:t>
      </w:r>
      <w:r>
        <w:rPr>
          <w:color w:val="404040"/>
          <w:sz w:val="20"/>
        </w:rPr>
        <w:t>persistency</w:t>
      </w:r>
      <w:r>
        <w:rPr>
          <w:color w:val="404040"/>
          <w:spacing w:val="-4"/>
          <w:sz w:val="20"/>
        </w:rPr>
        <w:t> </w:t>
      </w:r>
      <w:r>
        <w:rPr>
          <w:color w:val="404040"/>
          <w:sz w:val="20"/>
        </w:rPr>
        <w:t>of</w:t>
      </w:r>
      <w:r>
        <w:rPr>
          <w:color w:val="404040"/>
          <w:spacing w:val="-3"/>
          <w:sz w:val="20"/>
        </w:rPr>
        <w:t> </w:t>
      </w:r>
      <w:r>
        <w:rPr>
          <w:color w:val="404040"/>
          <w:sz w:val="20"/>
        </w:rPr>
        <w:t>most</w:t>
      </w:r>
      <w:r>
        <w:rPr>
          <w:color w:val="404040"/>
          <w:spacing w:val="-4"/>
          <w:sz w:val="20"/>
        </w:rPr>
        <w:t> </w:t>
      </w:r>
      <w:r>
        <w:rPr>
          <w:color w:val="404040"/>
          <w:sz w:val="20"/>
        </w:rPr>
        <w:t>people</w:t>
      </w:r>
      <w:r>
        <w:rPr>
          <w:color w:val="404040"/>
          <w:spacing w:val="-1"/>
          <w:sz w:val="20"/>
        </w:rPr>
        <w:t> </w:t>
      </w:r>
      <w:r>
        <w:rPr>
          <w:color w:val="404040"/>
          <w:sz w:val="20"/>
        </w:rPr>
        <w:t>in</w:t>
      </w:r>
      <w:r>
        <w:rPr>
          <w:color w:val="404040"/>
          <w:spacing w:val="-3"/>
          <w:sz w:val="20"/>
        </w:rPr>
        <w:t> </w:t>
      </w:r>
      <w:r>
        <w:rPr>
          <w:color w:val="404040"/>
          <w:sz w:val="20"/>
        </w:rPr>
        <w:t>this</w:t>
      </w:r>
      <w:r>
        <w:rPr>
          <w:color w:val="404040"/>
          <w:spacing w:val="-3"/>
          <w:sz w:val="20"/>
        </w:rPr>
        <w:t> </w:t>
      </w:r>
      <w:r>
        <w:rPr>
          <w:color w:val="404040"/>
          <w:sz w:val="20"/>
        </w:rPr>
        <w:t>class.</w:t>
      </w:r>
      <w:r>
        <w:rPr>
          <w:color w:val="404040"/>
          <w:spacing w:val="-3"/>
          <w:sz w:val="20"/>
        </w:rPr>
        <w:t> </w:t>
      </w:r>
      <w:r>
        <w:rPr>
          <w:color w:val="404040"/>
          <w:sz w:val="20"/>
        </w:rPr>
        <w:t>This</w:t>
      </w:r>
      <w:r>
        <w:rPr>
          <w:color w:val="404040"/>
          <w:spacing w:val="-2"/>
          <w:sz w:val="20"/>
        </w:rPr>
        <w:t> </w:t>
      </w:r>
      <w:r>
        <w:rPr>
          <w:color w:val="404040"/>
          <w:sz w:val="20"/>
        </w:rPr>
        <w:t>high persistency results in younger people generally having a higher lifetime cost as they have a longer expected future lifetime during which they can receive</w:t>
      </w:r>
      <w:r>
        <w:rPr>
          <w:color w:val="404040"/>
          <w:spacing w:val="-5"/>
          <w:sz w:val="20"/>
        </w:rPr>
        <w:t> </w:t>
      </w:r>
      <w:r>
        <w:rPr>
          <w:color w:val="404040"/>
          <w:sz w:val="20"/>
        </w:rPr>
        <w:t>payment.</w:t>
      </w:r>
    </w:p>
    <w:p>
      <w:pPr>
        <w:pStyle w:val="ListParagraph"/>
        <w:numPr>
          <w:ilvl w:val="1"/>
          <w:numId w:val="21"/>
        </w:numPr>
        <w:tabs>
          <w:tab w:pos="1466" w:val="left" w:leader="none"/>
        </w:tabs>
        <w:spacing w:line="240" w:lineRule="auto" w:before="120" w:after="0"/>
        <w:ind w:left="1467" w:right="1083" w:hanging="286"/>
        <w:jc w:val="left"/>
        <w:rPr>
          <w:sz w:val="20"/>
        </w:rPr>
      </w:pPr>
      <w:r>
        <w:rPr>
          <w:color w:val="404040"/>
          <w:sz w:val="20"/>
        </w:rPr>
        <w:t>Gender and caree age are also important drivers. Gender is predictive of different levels of expected use of family payments, as discussed above. Caree age gives an indication of whether the carer is likely to be the parent of the person they are caring for. People caring for a child, on average, have a higher lifetime</w:t>
      </w:r>
      <w:r>
        <w:rPr>
          <w:color w:val="404040"/>
          <w:spacing w:val="-2"/>
          <w:sz w:val="20"/>
        </w:rPr>
        <w:t> </w:t>
      </w:r>
      <w:r>
        <w:rPr>
          <w:color w:val="404040"/>
          <w:sz w:val="20"/>
        </w:rPr>
        <w:t>cost.</w:t>
      </w:r>
    </w:p>
    <w:p>
      <w:pPr>
        <w:pStyle w:val="ListParagraph"/>
        <w:numPr>
          <w:ilvl w:val="0"/>
          <w:numId w:val="21"/>
        </w:numPr>
        <w:tabs>
          <w:tab w:pos="1182" w:val="left" w:leader="none"/>
        </w:tabs>
        <w:spacing w:line="240" w:lineRule="auto" w:before="120" w:after="0"/>
        <w:ind w:left="1181" w:right="0" w:hanging="284"/>
        <w:jc w:val="left"/>
        <w:rPr>
          <w:sz w:val="20"/>
        </w:rPr>
      </w:pPr>
      <w:r>
        <w:rPr>
          <w:color w:val="404040"/>
          <w:sz w:val="20"/>
        </w:rPr>
        <w:t>For class</w:t>
      </w:r>
      <w:r>
        <w:rPr>
          <w:color w:val="404040"/>
          <w:spacing w:val="-1"/>
          <w:sz w:val="20"/>
        </w:rPr>
        <w:t> </w:t>
      </w:r>
      <w:r>
        <w:rPr>
          <w:color w:val="404040"/>
          <w:sz w:val="20"/>
        </w:rPr>
        <w:t>5:</w:t>
      </w:r>
    </w:p>
    <w:p>
      <w:pPr>
        <w:pStyle w:val="ListParagraph"/>
        <w:numPr>
          <w:ilvl w:val="1"/>
          <w:numId w:val="21"/>
        </w:numPr>
        <w:tabs>
          <w:tab w:pos="1465" w:val="left" w:leader="none"/>
        </w:tabs>
        <w:spacing w:line="240" w:lineRule="auto" w:before="119" w:after="0"/>
        <w:ind w:left="1467" w:right="1271" w:hanging="286"/>
        <w:jc w:val="left"/>
        <w:rPr>
          <w:sz w:val="20"/>
        </w:rPr>
      </w:pPr>
      <w:r>
        <w:rPr>
          <w:color w:val="404040"/>
          <w:sz w:val="20"/>
        </w:rPr>
        <w:t>Age is the most important driver, again reflecting the high persistency of most people in this class, with younger people in this class generally having a higher lifetime</w:t>
      </w:r>
      <w:r>
        <w:rPr>
          <w:color w:val="404040"/>
          <w:spacing w:val="-6"/>
          <w:sz w:val="20"/>
        </w:rPr>
        <w:t> </w:t>
      </w:r>
      <w:r>
        <w:rPr>
          <w:color w:val="404040"/>
          <w:sz w:val="20"/>
        </w:rPr>
        <w:t>cost.</w:t>
      </w:r>
    </w:p>
    <w:p>
      <w:pPr>
        <w:pStyle w:val="ListParagraph"/>
        <w:numPr>
          <w:ilvl w:val="1"/>
          <w:numId w:val="21"/>
        </w:numPr>
        <w:tabs>
          <w:tab w:pos="1465" w:val="left" w:leader="none"/>
        </w:tabs>
        <w:spacing w:line="240" w:lineRule="auto" w:before="121" w:after="0"/>
        <w:ind w:left="1466" w:right="1100" w:hanging="286"/>
        <w:jc w:val="left"/>
        <w:rPr>
          <w:sz w:val="20"/>
        </w:rPr>
      </w:pPr>
      <w:r>
        <w:rPr>
          <w:color w:val="404040"/>
          <w:sz w:val="20"/>
        </w:rPr>
        <w:t>Disability medical condition is the next most important driver. This reflects the different expected outcomes for people with different conditions and the different ages at which types of conditions typically emerge. For example, people with congenital conditions typically enter the system at young ages and remain on benefit for some time, whereas cancers </w:t>
      </w:r>
      <w:r>
        <w:rPr>
          <w:color w:val="404040"/>
          <w:spacing w:val="2"/>
          <w:sz w:val="20"/>
        </w:rPr>
        <w:t>may </w:t>
      </w:r>
      <w:r>
        <w:rPr>
          <w:color w:val="404040"/>
          <w:sz w:val="20"/>
        </w:rPr>
        <w:t>trigger disability later in life and be shorter term conditions.</w:t>
      </w:r>
    </w:p>
    <w:p>
      <w:pPr>
        <w:pStyle w:val="BodyText"/>
        <w:spacing w:before="120"/>
        <w:ind w:left="897" w:right="1500"/>
      </w:pPr>
      <w:r>
        <w:rPr>
          <w:color w:val="404040"/>
        </w:rPr>
        <w:t>It should be noted that while parental welfare dependence does not appear to be as significant a driver of lifetime costs as some other variables, its impact is likely understated. This is because parental welfare information was only available for a subset of the population, and was only able to be used in the model to project future welfare dependency up to the age of 25.</w:t>
      </w:r>
    </w:p>
    <w:p>
      <w:pPr>
        <w:spacing w:after="0"/>
        <w:sectPr>
          <w:pgSz w:w="11910" w:h="16850"/>
          <w:pgMar w:header="572" w:footer="581" w:top="780" w:bottom="780" w:left="120" w:right="0"/>
        </w:sectPr>
      </w:pPr>
    </w:p>
    <w:p>
      <w:pPr>
        <w:pStyle w:val="BodyText"/>
      </w:pPr>
    </w:p>
    <w:p>
      <w:pPr>
        <w:pStyle w:val="BodyText"/>
      </w:pPr>
    </w:p>
    <w:p>
      <w:pPr>
        <w:pStyle w:val="BodyText"/>
        <w:rPr>
          <w:sz w:val="22"/>
        </w:rPr>
      </w:pPr>
    </w:p>
    <w:p>
      <w:pPr>
        <w:pStyle w:val="ListParagraph"/>
        <w:numPr>
          <w:ilvl w:val="0"/>
          <w:numId w:val="22"/>
        </w:numPr>
        <w:tabs>
          <w:tab w:pos="1752" w:val="left" w:leader="none"/>
          <w:tab w:pos="1753" w:val="left" w:leader="none"/>
        </w:tabs>
        <w:spacing w:line="240" w:lineRule="auto" w:before="88" w:after="0"/>
        <w:ind w:left="1752" w:right="0" w:hanging="853"/>
        <w:jc w:val="left"/>
        <w:rPr>
          <w:color w:val="DF2F1E"/>
          <w:sz w:val="40"/>
        </w:rPr>
      </w:pPr>
      <w:bookmarkStart w:name="3 Other key changes for this valuation" w:id="86"/>
      <w:bookmarkEnd w:id="86"/>
      <w:r>
        <w:rPr/>
      </w:r>
      <w:bookmarkStart w:name="_bookmark20" w:id="87"/>
      <w:bookmarkEnd w:id="87"/>
      <w:r>
        <w:rPr/>
      </w:r>
      <w:bookmarkStart w:name="_bookmark20" w:id="88"/>
      <w:bookmarkEnd w:id="88"/>
      <w:r>
        <w:rPr>
          <w:color w:val="DF2F1E"/>
          <w:sz w:val="40"/>
        </w:rPr>
        <w:t>O</w:t>
      </w:r>
      <w:r>
        <w:rPr>
          <w:color w:val="DF2F1E"/>
          <w:sz w:val="40"/>
        </w:rPr>
        <w:t>ther key changes for this</w:t>
      </w:r>
      <w:r>
        <w:rPr>
          <w:color w:val="DF2F1E"/>
          <w:spacing w:val="-5"/>
          <w:sz w:val="40"/>
        </w:rPr>
        <w:t> </w:t>
      </w:r>
      <w:r>
        <w:rPr>
          <w:color w:val="DF2F1E"/>
          <w:sz w:val="40"/>
        </w:rPr>
        <w:t>valuation</w:t>
      </w:r>
    </w:p>
    <w:p>
      <w:pPr>
        <w:pStyle w:val="BodyText"/>
        <w:spacing w:before="11"/>
        <w:rPr>
          <w:sz w:val="18"/>
        </w:rPr>
      </w:pPr>
      <w:r>
        <w:rPr/>
        <w:pict>
          <v:shape style="position:absolute;margin-left:51pt;margin-top:12.106035pt;width:493.35pt;height:199.7pt;mso-position-horizontal-relative:page;mso-position-vertical-relative:paragraph;z-index:-251432960;mso-wrap-distance-left:0;mso-wrap-distance-right:0" type="#_x0000_t202" filled="true" fillcolor="#f3aba3" stroked="false">
            <v:textbox inset="0,0,0,0">
              <w:txbxContent>
                <w:p>
                  <w:pPr>
                    <w:spacing w:before="117"/>
                    <w:ind w:left="107" w:right="0" w:firstLine="0"/>
                    <w:jc w:val="left"/>
                    <w:rPr>
                      <w:b/>
                      <w:sz w:val="20"/>
                    </w:rPr>
                  </w:pPr>
                  <w:r>
                    <w:rPr>
                      <w:b/>
                      <w:color w:val="404040"/>
                      <w:sz w:val="20"/>
                    </w:rPr>
                    <w:t>Key points</w:t>
                  </w:r>
                </w:p>
                <w:p>
                  <w:pPr>
                    <w:pStyle w:val="BodyText"/>
                    <w:numPr>
                      <w:ilvl w:val="0"/>
                      <w:numId w:val="23"/>
                    </w:numPr>
                    <w:tabs>
                      <w:tab w:pos="392" w:val="left" w:leader="none"/>
                    </w:tabs>
                    <w:spacing w:line="240" w:lineRule="auto" w:before="121" w:after="0"/>
                    <w:ind w:left="391" w:right="197" w:hanging="284"/>
                    <w:jc w:val="left"/>
                  </w:pPr>
                  <w:r>
                    <w:rPr>
                      <w:color w:val="404040"/>
                    </w:rPr>
                    <w:t>The</w:t>
                  </w:r>
                  <w:r>
                    <w:rPr>
                      <w:color w:val="404040"/>
                      <w:spacing w:val="-4"/>
                    </w:rPr>
                    <w:t> </w:t>
                  </w:r>
                  <w:r>
                    <w:rPr>
                      <w:color w:val="404040"/>
                    </w:rPr>
                    <w:t>actuarial</w:t>
                  </w:r>
                  <w:r>
                    <w:rPr>
                      <w:color w:val="404040"/>
                      <w:spacing w:val="-3"/>
                    </w:rPr>
                    <w:t> </w:t>
                  </w:r>
                  <w:r>
                    <w:rPr>
                      <w:color w:val="404040"/>
                    </w:rPr>
                    <w:t>valuation</w:t>
                  </w:r>
                  <w:r>
                    <w:rPr>
                      <w:color w:val="404040"/>
                      <w:spacing w:val="-4"/>
                    </w:rPr>
                    <w:t> </w:t>
                  </w:r>
                  <w:r>
                    <w:rPr>
                      <w:color w:val="404040"/>
                    </w:rPr>
                    <w:t>reflects</w:t>
                  </w:r>
                  <w:r>
                    <w:rPr>
                      <w:color w:val="404040"/>
                      <w:spacing w:val="-3"/>
                    </w:rPr>
                    <w:t> </w:t>
                  </w:r>
                  <w:r>
                    <w:rPr>
                      <w:color w:val="404040"/>
                    </w:rPr>
                    <w:t>policy</w:t>
                  </w:r>
                  <w:r>
                    <w:rPr>
                      <w:color w:val="404040"/>
                      <w:spacing w:val="-5"/>
                    </w:rPr>
                    <w:t> </w:t>
                  </w:r>
                  <w:r>
                    <w:rPr>
                      <w:color w:val="404040"/>
                    </w:rPr>
                    <w:t>as</w:t>
                  </w:r>
                  <w:r>
                    <w:rPr>
                      <w:color w:val="404040"/>
                      <w:spacing w:val="-3"/>
                    </w:rPr>
                    <w:t> </w:t>
                  </w:r>
                  <w:r>
                    <w:rPr>
                      <w:color w:val="404040"/>
                    </w:rPr>
                    <w:t>legislated</w:t>
                  </w:r>
                  <w:r>
                    <w:rPr>
                      <w:color w:val="404040"/>
                      <w:spacing w:val="-3"/>
                    </w:rPr>
                    <w:t> </w:t>
                  </w:r>
                  <w:r>
                    <w:rPr>
                      <w:color w:val="404040"/>
                    </w:rPr>
                    <w:t>at</w:t>
                  </w:r>
                  <w:r>
                    <w:rPr>
                      <w:color w:val="404040"/>
                      <w:spacing w:val="-4"/>
                    </w:rPr>
                    <w:t> </w:t>
                  </w:r>
                  <w:r>
                    <w:rPr>
                      <w:color w:val="404040"/>
                    </w:rPr>
                    <w:t>the</w:t>
                  </w:r>
                  <w:r>
                    <w:rPr>
                      <w:color w:val="404040"/>
                      <w:spacing w:val="-2"/>
                    </w:rPr>
                    <w:t> </w:t>
                  </w:r>
                  <w:r>
                    <w:rPr>
                      <w:color w:val="404040"/>
                    </w:rPr>
                    <w:t>valuation</w:t>
                  </w:r>
                  <w:r>
                    <w:rPr>
                      <w:color w:val="404040"/>
                      <w:spacing w:val="-2"/>
                    </w:rPr>
                    <w:t> </w:t>
                  </w:r>
                  <w:r>
                    <w:rPr>
                      <w:color w:val="404040"/>
                    </w:rPr>
                    <w:t>date</w:t>
                  </w:r>
                  <w:r>
                    <w:rPr>
                      <w:color w:val="404040"/>
                      <w:spacing w:val="-4"/>
                    </w:rPr>
                    <w:t> </w:t>
                  </w:r>
                  <w:r>
                    <w:rPr>
                      <w:color w:val="404040"/>
                    </w:rPr>
                    <w:t>and</w:t>
                  </w:r>
                  <w:r>
                    <w:rPr>
                      <w:color w:val="404040"/>
                      <w:spacing w:val="-4"/>
                    </w:rPr>
                    <w:t> </w:t>
                  </w:r>
                  <w:r>
                    <w:rPr>
                      <w:color w:val="404040"/>
                    </w:rPr>
                    <w:t>the</w:t>
                  </w:r>
                  <w:r>
                    <w:rPr>
                      <w:color w:val="404040"/>
                      <w:spacing w:val="-2"/>
                    </w:rPr>
                    <w:t> </w:t>
                  </w:r>
                  <w:r>
                    <w:rPr>
                      <w:color w:val="404040"/>
                    </w:rPr>
                    <w:t>model</w:t>
                  </w:r>
                  <w:r>
                    <w:rPr>
                      <w:color w:val="404040"/>
                      <w:spacing w:val="-5"/>
                    </w:rPr>
                    <w:t> </w:t>
                  </w:r>
                  <w:r>
                    <w:rPr>
                      <w:color w:val="404040"/>
                    </w:rPr>
                    <w:t>has</w:t>
                  </w:r>
                  <w:r>
                    <w:rPr>
                      <w:color w:val="404040"/>
                      <w:spacing w:val="-3"/>
                    </w:rPr>
                    <w:t> </w:t>
                  </w:r>
                  <w:r>
                    <w:rPr>
                      <w:color w:val="404040"/>
                    </w:rPr>
                    <w:t>been</w:t>
                  </w:r>
                  <w:r>
                    <w:rPr>
                      <w:color w:val="404040"/>
                      <w:spacing w:val="-1"/>
                    </w:rPr>
                    <w:t> </w:t>
                  </w:r>
                  <w:r>
                    <w:rPr>
                      <w:color w:val="404040"/>
                    </w:rPr>
                    <w:t>updated to reflect new policy changes over the</w:t>
                  </w:r>
                  <w:r>
                    <w:rPr>
                      <w:color w:val="404040"/>
                      <w:spacing w:val="-6"/>
                    </w:rPr>
                    <w:t> </w:t>
                  </w:r>
                  <w:r>
                    <w:rPr>
                      <w:color w:val="404040"/>
                    </w:rPr>
                    <w:t>year.</w:t>
                  </w:r>
                </w:p>
                <w:p>
                  <w:pPr>
                    <w:pStyle w:val="BodyText"/>
                    <w:numPr>
                      <w:ilvl w:val="0"/>
                      <w:numId w:val="23"/>
                    </w:numPr>
                    <w:tabs>
                      <w:tab w:pos="392" w:val="left" w:leader="none"/>
                    </w:tabs>
                    <w:spacing w:line="240" w:lineRule="auto" w:before="118" w:after="0"/>
                    <w:ind w:left="391" w:right="316" w:hanging="284"/>
                    <w:jc w:val="left"/>
                  </w:pPr>
                  <w:r>
                    <w:rPr>
                      <w:color w:val="404040"/>
                    </w:rPr>
                    <w:t>The</w:t>
                  </w:r>
                  <w:r>
                    <w:rPr>
                      <w:color w:val="404040"/>
                      <w:spacing w:val="-7"/>
                    </w:rPr>
                    <w:t> </w:t>
                  </w:r>
                  <w:r>
                    <w:rPr>
                      <w:color w:val="404040"/>
                    </w:rPr>
                    <w:t>main</w:t>
                  </w:r>
                  <w:r>
                    <w:rPr>
                      <w:color w:val="404040"/>
                      <w:spacing w:val="-3"/>
                    </w:rPr>
                    <w:t> </w:t>
                  </w:r>
                  <w:r>
                    <w:rPr>
                      <w:color w:val="404040"/>
                    </w:rPr>
                    <w:t>policy</w:t>
                  </w:r>
                  <w:r>
                    <w:rPr>
                      <w:color w:val="404040"/>
                      <w:spacing w:val="-6"/>
                    </w:rPr>
                    <w:t> </w:t>
                  </w:r>
                  <w:r>
                    <w:rPr>
                      <w:color w:val="404040"/>
                    </w:rPr>
                    <w:t>change</w:t>
                  </w:r>
                  <w:r>
                    <w:rPr>
                      <w:color w:val="404040"/>
                      <w:spacing w:val="-1"/>
                    </w:rPr>
                    <w:t> </w:t>
                  </w:r>
                  <w:r>
                    <w:rPr>
                      <w:color w:val="404040"/>
                    </w:rPr>
                    <w:t>expected</w:t>
                  </w:r>
                  <w:r>
                    <w:rPr>
                      <w:color w:val="404040"/>
                      <w:spacing w:val="-1"/>
                    </w:rPr>
                    <w:t> </w:t>
                  </w:r>
                  <w:r>
                    <w:rPr>
                      <w:color w:val="404040"/>
                    </w:rPr>
                    <w:t>to</w:t>
                  </w:r>
                  <w:r>
                    <w:rPr>
                      <w:color w:val="404040"/>
                      <w:spacing w:val="-2"/>
                    </w:rPr>
                    <w:t> </w:t>
                  </w:r>
                  <w:r>
                    <w:rPr>
                      <w:color w:val="404040"/>
                    </w:rPr>
                    <w:t>impact</w:t>
                  </w:r>
                  <w:r>
                    <w:rPr>
                      <w:color w:val="404040"/>
                      <w:spacing w:val="-3"/>
                    </w:rPr>
                    <w:t> </w:t>
                  </w:r>
                  <w:r>
                    <w:rPr>
                      <w:color w:val="404040"/>
                    </w:rPr>
                    <w:t>the</w:t>
                  </w:r>
                  <w:r>
                    <w:rPr>
                      <w:color w:val="404040"/>
                      <w:spacing w:val="-3"/>
                    </w:rPr>
                    <w:t> </w:t>
                  </w:r>
                  <w:r>
                    <w:rPr>
                      <w:color w:val="404040"/>
                    </w:rPr>
                    <w:t>lifetime</w:t>
                  </w:r>
                  <w:r>
                    <w:rPr>
                      <w:color w:val="404040"/>
                      <w:spacing w:val="-3"/>
                    </w:rPr>
                    <w:t> </w:t>
                  </w:r>
                  <w:r>
                    <w:rPr>
                      <w:color w:val="404040"/>
                    </w:rPr>
                    <w:t>cost</w:t>
                  </w:r>
                  <w:r>
                    <w:rPr>
                      <w:color w:val="404040"/>
                      <w:spacing w:val="-3"/>
                    </w:rPr>
                    <w:t> </w:t>
                  </w:r>
                  <w:r>
                    <w:rPr>
                      <w:color w:val="404040"/>
                    </w:rPr>
                    <w:t>is</w:t>
                  </w:r>
                  <w:r>
                    <w:rPr>
                      <w:color w:val="404040"/>
                      <w:spacing w:val="-3"/>
                    </w:rPr>
                    <w:t> </w:t>
                  </w:r>
                  <w:r>
                    <w:rPr>
                      <w:color w:val="404040"/>
                    </w:rPr>
                    <w:t>the</w:t>
                  </w:r>
                  <w:r>
                    <w:rPr>
                      <w:color w:val="404040"/>
                      <w:spacing w:val="-3"/>
                    </w:rPr>
                    <w:t> </w:t>
                  </w:r>
                  <w:r>
                    <w:rPr>
                      <w:color w:val="404040"/>
                    </w:rPr>
                    <w:t>introduction</w:t>
                  </w:r>
                  <w:r>
                    <w:rPr>
                      <w:color w:val="404040"/>
                      <w:spacing w:val="-3"/>
                    </w:rPr>
                    <w:t> </w:t>
                  </w:r>
                  <w:r>
                    <w:rPr>
                      <w:color w:val="404040"/>
                    </w:rPr>
                    <w:t>of</w:t>
                  </w:r>
                  <w:r>
                    <w:rPr>
                      <w:color w:val="404040"/>
                      <w:spacing w:val="2"/>
                    </w:rPr>
                    <w:t> </w:t>
                  </w:r>
                  <w:r>
                    <w:rPr>
                      <w:color w:val="404040"/>
                    </w:rPr>
                    <w:t>a</w:t>
                  </w:r>
                  <w:r>
                    <w:rPr>
                      <w:color w:val="404040"/>
                      <w:spacing w:val="-4"/>
                    </w:rPr>
                    <w:t> </w:t>
                  </w:r>
                  <w:r>
                    <w:rPr>
                      <w:color w:val="404040"/>
                    </w:rPr>
                    <w:t>targeted</w:t>
                  </w:r>
                  <w:r>
                    <w:rPr>
                      <w:color w:val="404040"/>
                      <w:spacing w:val="-3"/>
                    </w:rPr>
                    <w:t> </w:t>
                  </w:r>
                  <w:r>
                    <w:rPr>
                      <w:color w:val="404040"/>
                    </w:rPr>
                    <w:t>compliance framework which will apply strong penalties to job seekers who persistently and deliberately do not comply with their employment pathway plan (EPP)</w:t>
                  </w:r>
                  <w:r>
                    <w:rPr>
                      <w:color w:val="404040"/>
                      <w:spacing w:val="-7"/>
                    </w:rPr>
                    <w:t> </w:t>
                  </w:r>
                  <w:r>
                    <w:rPr>
                      <w:color w:val="404040"/>
                    </w:rPr>
                    <w:t>requirements.</w:t>
                  </w:r>
                </w:p>
                <w:p>
                  <w:pPr>
                    <w:pStyle w:val="BodyText"/>
                    <w:numPr>
                      <w:ilvl w:val="0"/>
                      <w:numId w:val="23"/>
                    </w:numPr>
                    <w:tabs>
                      <w:tab w:pos="392" w:val="left" w:leader="none"/>
                    </w:tabs>
                    <w:spacing w:line="240" w:lineRule="auto" w:before="118" w:after="0"/>
                    <w:ind w:left="391" w:right="262" w:hanging="284"/>
                    <w:jc w:val="left"/>
                  </w:pPr>
                  <w:r>
                    <w:rPr>
                      <w:color w:val="404040"/>
                    </w:rPr>
                    <w:t>The 2018 valuation allows for updated assumptions relating to the forecast future utilisation of Age Pension.</w:t>
                  </w:r>
                  <w:r>
                    <w:rPr>
                      <w:color w:val="404040"/>
                      <w:spacing w:val="-5"/>
                    </w:rPr>
                    <w:t> </w:t>
                  </w:r>
                  <w:r>
                    <w:rPr>
                      <w:color w:val="404040"/>
                    </w:rPr>
                    <w:t>This</w:t>
                  </w:r>
                  <w:r>
                    <w:rPr>
                      <w:color w:val="404040"/>
                      <w:spacing w:val="-3"/>
                    </w:rPr>
                    <w:t> </w:t>
                  </w:r>
                  <w:r>
                    <w:rPr>
                      <w:color w:val="404040"/>
                    </w:rPr>
                    <w:t>forecast</w:t>
                  </w:r>
                  <w:r>
                    <w:rPr>
                      <w:color w:val="404040"/>
                      <w:spacing w:val="-3"/>
                    </w:rPr>
                    <w:t> </w:t>
                  </w:r>
                  <w:r>
                    <w:rPr>
                      <w:color w:val="404040"/>
                    </w:rPr>
                    <w:t>was updated</w:t>
                  </w:r>
                  <w:r>
                    <w:rPr>
                      <w:color w:val="404040"/>
                      <w:spacing w:val="-4"/>
                    </w:rPr>
                    <w:t> </w:t>
                  </w:r>
                  <w:r>
                    <w:rPr>
                      <w:color w:val="404040"/>
                    </w:rPr>
                    <w:t>following</w:t>
                  </w:r>
                  <w:r>
                    <w:rPr>
                      <w:color w:val="404040"/>
                      <w:spacing w:val="-5"/>
                    </w:rPr>
                    <w:t> </w:t>
                  </w:r>
                  <w:r>
                    <w:rPr>
                      <w:color w:val="404040"/>
                    </w:rPr>
                    <w:t>a</w:t>
                  </w:r>
                  <w:r>
                    <w:rPr>
                      <w:color w:val="404040"/>
                      <w:spacing w:val="-4"/>
                    </w:rPr>
                    <w:t> </w:t>
                  </w:r>
                  <w:r>
                    <w:rPr>
                      <w:color w:val="404040"/>
                    </w:rPr>
                    <w:t>review</w:t>
                  </w:r>
                  <w:r>
                    <w:rPr>
                      <w:color w:val="404040"/>
                      <w:spacing w:val="-4"/>
                    </w:rPr>
                    <w:t> </w:t>
                  </w:r>
                  <w:r>
                    <w:rPr>
                      <w:color w:val="404040"/>
                    </w:rPr>
                    <w:t>of</w:t>
                  </w:r>
                  <w:r>
                    <w:rPr>
                      <w:color w:val="404040"/>
                      <w:spacing w:val="-3"/>
                    </w:rPr>
                    <w:t> </w:t>
                  </w:r>
                  <w:r>
                    <w:rPr>
                      <w:color w:val="404040"/>
                    </w:rPr>
                    <w:t>welfare</w:t>
                  </w:r>
                  <w:r>
                    <w:rPr>
                      <w:color w:val="404040"/>
                      <w:spacing w:val="-4"/>
                    </w:rPr>
                    <w:t> </w:t>
                  </w:r>
                  <w:r>
                    <w:rPr>
                      <w:color w:val="404040"/>
                    </w:rPr>
                    <w:t>experience,</w:t>
                  </w:r>
                  <w:r>
                    <w:rPr>
                      <w:color w:val="404040"/>
                      <w:spacing w:val="-2"/>
                    </w:rPr>
                    <w:t> </w:t>
                  </w:r>
                  <w:r>
                    <w:rPr>
                      <w:color w:val="404040"/>
                    </w:rPr>
                    <w:t>as</w:t>
                  </w:r>
                  <w:r>
                    <w:rPr>
                      <w:color w:val="404040"/>
                      <w:spacing w:val="-1"/>
                    </w:rPr>
                    <w:t> </w:t>
                  </w:r>
                  <w:r>
                    <w:rPr>
                      <w:color w:val="404040"/>
                    </w:rPr>
                    <w:t>well</w:t>
                  </w:r>
                  <w:r>
                    <w:rPr>
                      <w:color w:val="404040"/>
                      <w:spacing w:val="-3"/>
                    </w:rPr>
                    <w:t> </w:t>
                  </w:r>
                  <w:r>
                    <w:rPr>
                      <w:color w:val="404040"/>
                    </w:rPr>
                    <w:t>as</w:t>
                  </w:r>
                  <w:r>
                    <w:rPr>
                      <w:color w:val="404040"/>
                      <w:spacing w:val="-4"/>
                    </w:rPr>
                    <w:t> </w:t>
                  </w:r>
                  <w:r>
                    <w:rPr>
                      <w:color w:val="404040"/>
                    </w:rPr>
                    <w:t>consideration</w:t>
                  </w:r>
                  <w:r>
                    <w:rPr>
                      <w:color w:val="404040"/>
                      <w:spacing w:val="-2"/>
                    </w:rPr>
                    <w:t> </w:t>
                  </w:r>
                  <w:r>
                    <w:rPr>
                      <w:color w:val="404040"/>
                    </w:rPr>
                    <w:t>of relevant external factors such as workforce participation, levels of home ownership and levels of superannuation and other</w:t>
                  </w:r>
                  <w:r>
                    <w:rPr>
                      <w:color w:val="404040"/>
                      <w:spacing w:val="-3"/>
                    </w:rPr>
                    <w:t> </w:t>
                  </w:r>
                  <w:r>
                    <w:rPr>
                      <w:color w:val="404040"/>
                    </w:rPr>
                    <w:t>savings.</w:t>
                  </w:r>
                </w:p>
                <w:p>
                  <w:pPr>
                    <w:pStyle w:val="BodyText"/>
                    <w:numPr>
                      <w:ilvl w:val="0"/>
                      <w:numId w:val="23"/>
                    </w:numPr>
                    <w:tabs>
                      <w:tab w:pos="392" w:val="left" w:leader="none"/>
                    </w:tabs>
                    <w:spacing w:line="240" w:lineRule="auto" w:before="119" w:after="0"/>
                    <w:ind w:left="391" w:right="459" w:hanging="284"/>
                    <w:jc w:val="left"/>
                  </w:pPr>
                  <w:r>
                    <w:rPr>
                      <w:color w:val="404040"/>
                    </w:rPr>
                    <w:t>The discount rate, which is used to discount projected payments to current dollar values, has been updated this year following an update from Treasury</w:t>
                  </w:r>
                  <w:r>
                    <w:rPr>
                      <w:color w:val="404040"/>
                      <w:spacing w:val="-41"/>
                    </w:rPr>
                    <w:t> </w:t>
                  </w:r>
                  <w:r>
                    <w:rPr>
                      <w:color w:val="404040"/>
                    </w:rPr>
                    <w:t>on the long term discount rate set out in the Long Term Cost Report. This change does not impact the projected cashflows but leads to a significant increase in the lifetime</w:t>
                  </w:r>
                  <w:r>
                    <w:rPr>
                      <w:color w:val="404040"/>
                      <w:spacing w:val="-1"/>
                    </w:rPr>
                    <w:t> </w:t>
                  </w:r>
                  <w:r>
                    <w:rPr>
                      <w:color w:val="404040"/>
                    </w:rPr>
                    <w:t>cost.</w:t>
                  </w:r>
                </w:p>
              </w:txbxContent>
            </v:textbox>
            <v:fill type="solid"/>
            <w10:wrap type="topAndBottom"/>
          </v:shape>
        </w:pict>
      </w:r>
    </w:p>
    <w:p>
      <w:pPr>
        <w:pStyle w:val="BodyText"/>
        <w:spacing w:before="3"/>
        <w:rPr>
          <w:sz w:val="11"/>
        </w:rPr>
      </w:pPr>
    </w:p>
    <w:p>
      <w:pPr>
        <w:pStyle w:val="ListParagraph"/>
        <w:numPr>
          <w:ilvl w:val="1"/>
          <w:numId w:val="22"/>
        </w:numPr>
        <w:tabs>
          <w:tab w:pos="1752" w:val="left" w:leader="none"/>
          <w:tab w:pos="1753" w:val="left" w:leader="none"/>
        </w:tabs>
        <w:spacing w:line="240" w:lineRule="auto" w:before="92" w:after="0"/>
        <w:ind w:left="1752" w:right="0" w:hanging="853"/>
        <w:jc w:val="left"/>
        <w:rPr>
          <w:sz w:val="28"/>
        </w:rPr>
      </w:pPr>
      <w:bookmarkStart w:name="3.1 Introduction" w:id="89"/>
      <w:bookmarkEnd w:id="89"/>
      <w:r>
        <w:rPr/>
      </w:r>
      <w:bookmarkStart w:name="_bookmark21" w:id="90"/>
      <w:bookmarkEnd w:id="90"/>
      <w:r>
        <w:rPr/>
      </w:r>
      <w:bookmarkStart w:name="_bookmark21" w:id="91"/>
      <w:bookmarkEnd w:id="91"/>
      <w:r>
        <w:rPr>
          <w:color w:val="DF2F28"/>
          <w:sz w:val="28"/>
        </w:rPr>
        <w:t>I</w:t>
      </w:r>
      <w:r>
        <w:rPr>
          <w:color w:val="DF2F28"/>
          <w:sz w:val="28"/>
        </w:rPr>
        <w:t>ntroduction</w:t>
      </w:r>
    </w:p>
    <w:p>
      <w:pPr>
        <w:pStyle w:val="BodyText"/>
        <w:spacing w:before="122"/>
        <w:ind w:left="900" w:right="1119"/>
      </w:pPr>
      <w:r>
        <w:rPr>
          <w:color w:val="404040"/>
        </w:rPr>
        <w:t>The June 2018 valuation provides an updated assessment of the expected future use of the Australian welfare system. This assessment recognises a number of different sources of change since the previous valuation (June 2017):</w:t>
      </w:r>
    </w:p>
    <w:p>
      <w:pPr>
        <w:pStyle w:val="ListParagraph"/>
        <w:numPr>
          <w:ilvl w:val="0"/>
          <w:numId w:val="21"/>
        </w:numPr>
        <w:tabs>
          <w:tab w:pos="1184" w:val="left" w:leader="none"/>
        </w:tabs>
        <w:spacing w:line="240" w:lineRule="auto" w:before="120" w:after="0"/>
        <w:ind w:left="1183" w:right="1117" w:hanging="284"/>
        <w:jc w:val="left"/>
        <w:rPr>
          <w:sz w:val="20"/>
        </w:rPr>
      </w:pPr>
      <w:r>
        <w:rPr>
          <w:color w:val="404040"/>
          <w:sz w:val="20"/>
        </w:rPr>
        <w:t>Change to the welfare system itself. This includes changes to the types of payments available, the eligibility criteria and payment levels. These are discussed</w:t>
      </w:r>
      <w:r>
        <w:rPr>
          <w:color w:val="404040"/>
          <w:spacing w:val="-2"/>
          <w:sz w:val="20"/>
        </w:rPr>
        <w:t> </w:t>
      </w:r>
      <w:r>
        <w:rPr>
          <w:color w:val="404040"/>
          <w:sz w:val="20"/>
        </w:rPr>
        <w:t>below.</w:t>
      </w:r>
    </w:p>
    <w:p>
      <w:pPr>
        <w:pStyle w:val="ListParagraph"/>
        <w:numPr>
          <w:ilvl w:val="0"/>
          <w:numId w:val="21"/>
        </w:numPr>
        <w:tabs>
          <w:tab w:pos="1184" w:val="left" w:leader="none"/>
        </w:tabs>
        <w:spacing w:line="240" w:lineRule="auto" w:before="118" w:after="0"/>
        <w:ind w:left="1183" w:right="1084" w:hanging="284"/>
        <w:jc w:val="left"/>
        <w:rPr>
          <w:sz w:val="20"/>
        </w:rPr>
      </w:pPr>
      <w:r>
        <w:rPr>
          <w:color w:val="404040"/>
          <w:sz w:val="20"/>
        </w:rPr>
        <w:t>Changes to how the population is utilising the system. For instance how the number of people accessing each payment type has been changing over time or how the level of payments received by each group of people</w:t>
      </w:r>
      <w:r>
        <w:rPr>
          <w:color w:val="404040"/>
          <w:spacing w:val="-2"/>
          <w:sz w:val="20"/>
        </w:rPr>
        <w:t> </w:t>
      </w:r>
      <w:r>
        <w:rPr>
          <w:color w:val="404040"/>
          <w:sz w:val="20"/>
        </w:rPr>
        <w:t>is</w:t>
      </w:r>
      <w:r>
        <w:rPr>
          <w:color w:val="404040"/>
          <w:spacing w:val="-3"/>
          <w:sz w:val="20"/>
        </w:rPr>
        <w:t> </w:t>
      </w:r>
      <w:r>
        <w:rPr>
          <w:color w:val="404040"/>
          <w:sz w:val="20"/>
        </w:rPr>
        <w:t>changing.</w:t>
      </w:r>
      <w:r>
        <w:rPr>
          <w:color w:val="404040"/>
          <w:spacing w:val="-5"/>
          <w:sz w:val="20"/>
        </w:rPr>
        <w:t> </w:t>
      </w:r>
      <w:r>
        <w:rPr>
          <w:color w:val="404040"/>
          <w:spacing w:val="4"/>
          <w:sz w:val="20"/>
        </w:rPr>
        <w:t>We</w:t>
      </w:r>
      <w:r>
        <w:rPr>
          <w:color w:val="404040"/>
          <w:spacing w:val="-4"/>
          <w:sz w:val="20"/>
        </w:rPr>
        <w:t> </w:t>
      </w:r>
      <w:r>
        <w:rPr>
          <w:color w:val="404040"/>
          <w:sz w:val="20"/>
        </w:rPr>
        <w:t>refer</w:t>
      </w:r>
      <w:r>
        <w:rPr>
          <w:color w:val="404040"/>
          <w:spacing w:val="-3"/>
          <w:sz w:val="20"/>
        </w:rPr>
        <w:t> </w:t>
      </w:r>
      <w:r>
        <w:rPr>
          <w:color w:val="404040"/>
          <w:sz w:val="20"/>
        </w:rPr>
        <w:t>to</w:t>
      </w:r>
      <w:r>
        <w:rPr>
          <w:color w:val="404040"/>
          <w:spacing w:val="-3"/>
          <w:sz w:val="20"/>
        </w:rPr>
        <w:t> </w:t>
      </w:r>
      <w:r>
        <w:rPr>
          <w:color w:val="404040"/>
          <w:sz w:val="20"/>
        </w:rPr>
        <w:t>this</w:t>
      </w:r>
      <w:r>
        <w:rPr>
          <w:color w:val="404040"/>
          <w:spacing w:val="-3"/>
          <w:sz w:val="20"/>
        </w:rPr>
        <w:t> </w:t>
      </w:r>
      <w:r>
        <w:rPr>
          <w:color w:val="404040"/>
          <w:sz w:val="20"/>
        </w:rPr>
        <w:t>as</w:t>
      </w:r>
      <w:r>
        <w:rPr>
          <w:color w:val="404040"/>
          <w:spacing w:val="-3"/>
          <w:sz w:val="20"/>
        </w:rPr>
        <w:t> </w:t>
      </w:r>
      <w:r>
        <w:rPr>
          <w:color w:val="404040"/>
          <w:sz w:val="20"/>
        </w:rPr>
        <w:t>changes</w:t>
      </w:r>
      <w:r>
        <w:rPr>
          <w:color w:val="404040"/>
          <w:spacing w:val="1"/>
          <w:sz w:val="20"/>
        </w:rPr>
        <w:t> </w:t>
      </w:r>
      <w:r>
        <w:rPr>
          <w:color w:val="404040"/>
          <w:sz w:val="20"/>
        </w:rPr>
        <w:t>in</w:t>
      </w:r>
      <w:r>
        <w:rPr>
          <w:color w:val="404040"/>
          <w:spacing w:val="-4"/>
          <w:sz w:val="20"/>
        </w:rPr>
        <w:t> </w:t>
      </w:r>
      <w:r>
        <w:rPr>
          <w:color w:val="404040"/>
          <w:sz w:val="20"/>
        </w:rPr>
        <w:t>the</w:t>
      </w:r>
      <w:r>
        <w:rPr>
          <w:color w:val="404040"/>
          <w:spacing w:val="-2"/>
          <w:sz w:val="20"/>
        </w:rPr>
        <w:t> </w:t>
      </w:r>
      <w:r>
        <w:rPr>
          <w:color w:val="404040"/>
          <w:sz w:val="20"/>
        </w:rPr>
        <w:t>experience.</w:t>
      </w:r>
      <w:r>
        <w:rPr>
          <w:color w:val="404040"/>
          <w:spacing w:val="-4"/>
          <w:sz w:val="20"/>
        </w:rPr>
        <w:t> </w:t>
      </w:r>
      <w:r>
        <w:rPr>
          <w:color w:val="404040"/>
          <w:spacing w:val="4"/>
          <w:sz w:val="20"/>
        </w:rPr>
        <w:t>We</w:t>
      </w:r>
      <w:r>
        <w:rPr>
          <w:color w:val="404040"/>
          <w:spacing w:val="-4"/>
          <w:sz w:val="20"/>
        </w:rPr>
        <w:t> </w:t>
      </w:r>
      <w:r>
        <w:rPr>
          <w:color w:val="404040"/>
          <w:sz w:val="20"/>
        </w:rPr>
        <w:t>discuss</w:t>
      </w:r>
      <w:r>
        <w:rPr>
          <w:color w:val="404040"/>
          <w:spacing w:val="-3"/>
          <w:sz w:val="20"/>
        </w:rPr>
        <w:t> </w:t>
      </w:r>
      <w:r>
        <w:rPr>
          <w:color w:val="404040"/>
          <w:sz w:val="20"/>
        </w:rPr>
        <w:t>the</w:t>
      </w:r>
      <w:r>
        <w:rPr>
          <w:color w:val="404040"/>
          <w:spacing w:val="-3"/>
          <w:sz w:val="20"/>
        </w:rPr>
        <w:t> </w:t>
      </w:r>
      <w:r>
        <w:rPr>
          <w:color w:val="404040"/>
          <w:sz w:val="20"/>
        </w:rPr>
        <w:t>second</w:t>
      </w:r>
      <w:r>
        <w:rPr>
          <w:color w:val="404040"/>
          <w:spacing w:val="-4"/>
          <w:sz w:val="20"/>
        </w:rPr>
        <w:t> </w:t>
      </w:r>
      <w:r>
        <w:rPr>
          <w:color w:val="404040"/>
          <w:sz w:val="20"/>
        </w:rPr>
        <w:t>point</w:t>
      </w:r>
      <w:r>
        <w:rPr>
          <w:color w:val="404040"/>
          <w:spacing w:val="-4"/>
          <w:sz w:val="20"/>
        </w:rPr>
        <w:t> </w:t>
      </w:r>
      <w:r>
        <w:rPr>
          <w:color w:val="404040"/>
          <w:sz w:val="20"/>
        </w:rPr>
        <w:t>in</w:t>
      </w:r>
      <w:r>
        <w:rPr>
          <w:color w:val="404040"/>
          <w:spacing w:val="-3"/>
          <w:sz w:val="20"/>
        </w:rPr>
        <w:t> </w:t>
      </w:r>
      <w:r>
        <w:rPr>
          <w:color w:val="404040"/>
          <w:sz w:val="20"/>
        </w:rPr>
        <w:t>section</w:t>
      </w:r>
      <w:r>
        <w:rPr>
          <w:color w:val="404040"/>
          <w:spacing w:val="-1"/>
          <w:sz w:val="20"/>
        </w:rPr>
        <w:t> </w:t>
      </w:r>
      <w:hyperlink w:history="true" w:anchor="_bookmark25">
        <w:r>
          <w:rPr>
            <w:color w:val="404040"/>
            <w:sz w:val="20"/>
          </w:rPr>
          <w:t>4</w:t>
        </w:r>
      </w:hyperlink>
    </w:p>
    <w:p>
      <w:pPr>
        <w:pStyle w:val="ListParagraph"/>
        <w:numPr>
          <w:ilvl w:val="0"/>
          <w:numId w:val="21"/>
        </w:numPr>
        <w:tabs>
          <w:tab w:pos="1184" w:val="left" w:leader="none"/>
        </w:tabs>
        <w:spacing w:line="240" w:lineRule="auto" w:before="118" w:after="0"/>
        <w:ind w:left="1183" w:right="1032" w:hanging="284"/>
        <w:jc w:val="left"/>
        <w:rPr>
          <w:sz w:val="20"/>
        </w:rPr>
      </w:pPr>
      <w:r>
        <w:rPr>
          <w:color w:val="404040"/>
          <w:sz w:val="20"/>
        </w:rPr>
        <w:t>Changes to external drivers of the valuation. This includes changes to the size and profile of the Australian population modelling approach or the economic environment. One particular change this year was a decrease in the discount rate, which is used to discount projected payments to current dollar values, in order to determine the lifetime cost. This change is discussed</w:t>
      </w:r>
      <w:r>
        <w:rPr>
          <w:color w:val="404040"/>
          <w:spacing w:val="-6"/>
          <w:sz w:val="20"/>
        </w:rPr>
        <w:t> </w:t>
      </w:r>
      <w:r>
        <w:rPr>
          <w:color w:val="404040"/>
          <w:sz w:val="20"/>
        </w:rPr>
        <w:t>below.</w:t>
      </w:r>
    </w:p>
    <w:p>
      <w:pPr>
        <w:pStyle w:val="ListParagraph"/>
        <w:numPr>
          <w:ilvl w:val="0"/>
          <w:numId w:val="21"/>
        </w:numPr>
        <w:tabs>
          <w:tab w:pos="1184" w:val="left" w:leader="none"/>
        </w:tabs>
        <w:spacing w:line="240" w:lineRule="auto" w:before="119" w:after="0"/>
        <w:ind w:left="1183" w:right="1145" w:hanging="284"/>
        <w:jc w:val="left"/>
        <w:rPr>
          <w:sz w:val="20"/>
        </w:rPr>
      </w:pPr>
      <w:r>
        <w:rPr>
          <w:color w:val="404040"/>
          <w:sz w:val="20"/>
        </w:rPr>
        <w:t>Methodology updates. This relates to refinements to existing modelling, and the main updates relate to the Age</w:t>
      </w:r>
      <w:r>
        <w:rPr>
          <w:color w:val="404040"/>
          <w:spacing w:val="-2"/>
          <w:sz w:val="20"/>
        </w:rPr>
        <w:t> </w:t>
      </w:r>
      <w:r>
        <w:rPr>
          <w:color w:val="404040"/>
          <w:sz w:val="20"/>
        </w:rPr>
        <w:t>Pension</w:t>
      </w:r>
      <w:r>
        <w:rPr>
          <w:color w:val="404040"/>
          <w:spacing w:val="-4"/>
          <w:sz w:val="20"/>
        </w:rPr>
        <w:t> </w:t>
      </w:r>
      <w:r>
        <w:rPr>
          <w:color w:val="404040"/>
          <w:sz w:val="20"/>
        </w:rPr>
        <w:t>model,</w:t>
      </w:r>
      <w:r>
        <w:rPr>
          <w:color w:val="404040"/>
          <w:spacing w:val="-3"/>
          <w:sz w:val="20"/>
        </w:rPr>
        <w:t> </w:t>
      </w:r>
      <w:r>
        <w:rPr>
          <w:color w:val="404040"/>
          <w:sz w:val="20"/>
        </w:rPr>
        <w:t>as well</w:t>
      </w:r>
      <w:r>
        <w:rPr>
          <w:color w:val="404040"/>
          <w:spacing w:val="-4"/>
          <w:sz w:val="20"/>
        </w:rPr>
        <w:t> </w:t>
      </w:r>
      <w:r>
        <w:rPr>
          <w:color w:val="404040"/>
          <w:sz w:val="20"/>
        </w:rPr>
        <w:t>as</w:t>
      </w:r>
      <w:r>
        <w:rPr>
          <w:color w:val="404040"/>
          <w:spacing w:val="-3"/>
          <w:sz w:val="20"/>
        </w:rPr>
        <w:t> </w:t>
      </w:r>
      <w:r>
        <w:rPr>
          <w:color w:val="404040"/>
          <w:sz w:val="20"/>
        </w:rPr>
        <w:t>a</w:t>
      </w:r>
      <w:r>
        <w:rPr>
          <w:color w:val="404040"/>
          <w:spacing w:val="-3"/>
          <w:sz w:val="20"/>
        </w:rPr>
        <w:t> </w:t>
      </w:r>
      <w:r>
        <w:rPr>
          <w:color w:val="404040"/>
          <w:sz w:val="20"/>
        </w:rPr>
        <w:t>refinement</w:t>
      </w:r>
      <w:r>
        <w:rPr>
          <w:color w:val="404040"/>
          <w:spacing w:val="-3"/>
          <w:sz w:val="20"/>
        </w:rPr>
        <w:t> </w:t>
      </w:r>
      <w:r>
        <w:rPr>
          <w:color w:val="404040"/>
          <w:sz w:val="20"/>
        </w:rPr>
        <w:t>to</w:t>
      </w:r>
      <w:r>
        <w:rPr>
          <w:color w:val="404040"/>
          <w:spacing w:val="-4"/>
          <w:sz w:val="20"/>
        </w:rPr>
        <w:t> </w:t>
      </w:r>
      <w:r>
        <w:rPr>
          <w:color w:val="404040"/>
          <w:sz w:val="20"/>
        </w:rPr>
        <w:t>the</w:t>
      </w:r>
      <w:r>
        <w:rPr>
          <w:color w:val="404040"/>
          <w:spacing w:val="-1"/>
          <w:sz w:val="20"/>
        </w:rPr>
        <w:t> </w:t>
      </w:r>
      <w:r>
        <w:rPr>
          <w:color w:val="404040"/>
          <w:sz w:val="20"/>
        </w:rPr>
        <w:t>valuation</w:t>
      </w:r>
      <w:r>
        <w:rPr>
          <w:color w:val="404040"/>
          <w:spacing w:val="-2"/>
          <w:sz w:val="20"/>
        </w:rPr>
        <w:t> </w:t>
      </w:r>
      <w:r>
        <w:rPr>
          <w:color w:val="404040"/>
          <w:sz w:val="20"/>
        </w:rPr>
        <w:t>data.</w:t>
      </w:r>
      <w:r>
        <w:rPr>
          <w:color w:val="404040"/>
          <w:spacing w:val="-8"/>
          <w:sz w:val="20"/>
        </w:rPr>
        <w:t> </w:t>
      </w:r>
      <w:r>
        <w:rPr>
          <w:color w:val="404040"/>
          <w:spacing w:val="5"/>
          <w:sz w:val="20"/>
        </w:rPr>
        <w:t>We</w:t>
      </w:r>
      <w:r>
        <w:rPr>
          <w:color w:val="404040"/>
          <w:spacing w:val="-4"/>
          <w:sz w:val="20"/>
        </w:rPr>
        <w:t> </w:t>
      </w:r>
      <w:r>
        <w:rPr>
          <w:color w:val="404040"/>
          <w:sz w:val="20"/>
        </w:rPr>
        <w:t>previously</w:t>
      </w:r>
      <w:r>
        <w:rPr>
          <w:color w:val="404040"/>
          <w:spacing w:val="-4"/>
          <w:sz w:val="20"/>
        </w:rPr>
        <w:t> </w:t>
      </w:r>
      <w:r>
        <w:rPr>
          <w:color w:val="404040"/>
          <w:sz w:val="20"/>
        </w:rPr>
        <w:t>discussed</w:t>
      </w:r>
      <w:r>
        <w:rPr>
          <w:color w:val="404040"/>
          <w:spacing w:val="-4"/>
          <w:sz w:val="20"/>
        </w:rPr>
        <w:t> </w:t>
      </w:r>
      <w:r>
        <w:rPr>
          <w:color w:val="404040"/>
          <w:sz w:val="20"/>
        </w:rPr>
        <w:t>in</w:t>
      </w:r>
      <w:r>
        <w:rPr>
          <w:color w:val="404040"/>
          <w:spacing w:val="-3"/>
          <w:sz w:val="20"/>
        </w:rPr>
        <w:t> </w:t>
      </w:r>
      <w:r>
        <w:rPr>
          <w:color w:val="404040"/>
          <w:sz w:val="20"/>
        </w:rPr>
        <w:t>section</w:t>
      </w:r>
      <w:r>
        <w:rPr>
          <w:color w:val="404040"/>
          <w:spacing w:val="-4"/>
          <w:sz w:val="20"/>
        </w:rPr>
        <w:t> </w:t>
      </w:r>
      <w:hyperlink w:history="true" w:anchor="_bookmark11">
        <w:r>
          <w:rPr>
            <w:color w:val="404040"/>
            <w:sz w:val="20"/>
          </w:rPr>
          <w:t>2</w:t>
        </w:r>
        <w:r>
          <w:rPr>
            <w:color w:val="404040"/>
            <w:spacing w:val="1"/>
            <w:sz w:val="20"/>
          </w:rPr>
          <w:t> </w:t>
        </w:r>
      </w:hyperlink>
      <w:r>
        <w:rPr>
          <w:color w:val="404040"/>
          <w:sz w:val="20"/>
        </w:rPr>
        <w:t>the development of new model</w:t>
      </w:r>
      <w:r>
        <w:rPr>
          <w:color w:val="404040"/>
          <w:spacing w:val="-3"/>
          <w:sz w:val="20"/>
        </w:rPr>
        <w:t> </w:t>
      </w:r>
      <w:r>
        <w:rPr>
          <w:color w:val="404040"/>
          <w:sz w:val="20"/>
        </w:rPr>
        <w:t>insights.</w:t>
      </w:r>
    </w:p>
    <w:p>
      <w:pPr>
        <w:pStyle w:val="BodyText"/>
        <w:spacing w:before="6"/>
      </w:pPr>
    </w:p>
    <w:p>
      <w:pPr>
        <w:pStyle w:val="ListParagraph"/>
        <w:numPr>
          <w:ilvl w:val="1"/>
          <w:numId w:val="22"/>
        </w:numPr>
        <w:tabs>
          <w:tab w:pos="1752" w:val="left" w:leader="none"/>
          <w:tab w:pos="1753" w:val="left" w:leader="none"/>
        </w:tabs>
        <w:spacing w:line="240" w:lineRule="auto" w:before="1" w:after="0"/>
        <w:ind w:left="1752" w:right="0" w:hanging="853"/>
        <w:jc w:val="left"/>
        <w:rPr>
          <w:sz w:val="28"/>
        </w:rPr>
      </w:pPr>
      <w:bookmarkStart w:name="3.2 Changes to the welfare system" w:id="92"/>
      <w:bookmarkEnd w:id="92"/>
      <w:r>
        <w:rPr/>
      </w:r>
      <w:bookmarkStart w:name="_bookmark22" w:id="93"/>
      <w:bookmarkEnd w:id="93"/>
      <w:r>
        <w:rPr/>
      </w:r>
      <w:bookmarkStart w:name="_bookmark22" w:id="94"/>
      <w:bookmarkEnd w:id="94"/>
      <w:r>
        <w:rPr>
          <w:color w:val="DF2F28"/>
          <w:sz w:val="28"/>
        </w:rPr>
        <w:t>C</w:t>
      </w:r>
      <w:r>
        <w:rPr>
          <w:color w:val="DF2F28"/>
          <w:sz w:val="28"/>
        </w:rPr>
        <w:t>hanges to the welfare</w:t>
      </w:r>
      <w:r>
        <w:rPr>
          <w:color w:val="DF2F28"/>
          <w:spacing w:val="-4"/>
          <w:sz w:val="28"/>
        </w:rPr>
        <w:t> </w:t>
      </w:r>
      <w:r>
        <w:rPr>
          <w:color w:val="DF2F28"/>
          <w:sz w:val="28"/>
        </w:rPr>
        <w:t>system</w:t>
      </w:r>
    </w:p>
    <w:p>
      <w:pPr>
        <w:pStyle w:val="BodyText"/>
        <w:spacing w:before="122"/>
        <w:ind w:left="900" w:right="1653"/>
      </w:pPr>
      <w:r>
        <w:rPr>
          <w:color w:val="404040"/>
        </w:rPr>
        <w:t>The actuarial valuation reflects the policy as legislated at the valuation date. It assumes that these policy settings will persist in perpetuity.</w:t>
      </w:r>
    </w:p>
    <w:p>
      <w:pPr>
        <w:pStyle w:val="BodyText"/>
        <w:spacing w:before="121"/>
        <w:ind w:left="900" w:right="1164"/>
      </w:pPr>
      <w:r>
        <w:rPr>
          <w:color w:val="404040"/>
        </w:rPr>
        <w:t>This means future changes in payment design or eligibility have been allowed for in the valuation if the related legislation is in place, however changes still being debated are not included.</w:t>
      </w:r>
    </w:p>
    <w:p>
      <w:pPr>
        <w:pStyle w:val="BodyText"/>
        <w:spacing w:before="121"/>
        <w:ind w:left="899" w:right="1043"/>
      </w:pPr>
      <w:r>
        <w:rPr>
          <w:color w:val="404040"/>
        </w:rPr>
        <w:t>Each year, there are many new changes to policy settings which have resulted in some changes to previously expected impacts. We have captured these in </w:t>
      </w:r>
      <w:hyperlink w:history="true" w:anchor="_bookmark57">
        <w:r>
          <w:rPr>
            <w:color w:val="404040"/>
          </w:rPr>
          <w:t>Appendix B. </w:t>
        </w:r>
      </w:hyperlink>
      <w:r>
        <w:rPr>
          <w:color w:val="404040"/>
        </w:rPr>
        <w:t>In the valuation, we make explicit allowances for only the more material changes to policy. The allowances reflect the estimated direct impact of the changes; no second order allowance has been made to account for any flow-on impacts or behavioural responses to the changes. These will be reflected in the emerging experience as they take effect.</w:t>
      </w:r>
    </w:p>
    <w:p>
      <w:pPr>
        <w:spacing w:after="0"/>
        <w:sectPr>
          <w:headerReference w:type="default" r:id="rId50"/>
          <w:footerReference w:type="default" r:id="rId51"/>
          <w:pgSz w:w="11910" w:h="16850"/>
          <w:pgMar w:header="572" w:footer="581" w:top="780" w:bottom="780" w:left="120" w:right="0"/>
          <w:pgNumType w:start="39"/>
        </w:sectPr>
      </w:pPr>
    </w:p>
    <w:p>
      <w:pPr>
        <w:pStyle w:val="BodyText"/>
      </w:pPr>
    </w:p>
    <w:p>
      <w:pPr>
        <w:pStyle w:val="BodyText"/>
      </w:pPr>
    </w:p>
    <w:p>
      <w:pPr>
        <w:pStyle w:val="BodyText"/>
        <w:spacing w:before="7"/>
        <w:rPr>
          <w:sz w:val="21"/>
        </w:rPr>
      </w:pPr>
    </w:p>
    <w:p>
      <w:pPr>
        <w:pStyle w:val="BodyText"/>
        <w:spacing w:before="93"/>
        <w:ind w:left="899" w:right="1131"/>
      </w:pPr>
      <w:r>
        <w:rPr>
          <w:color w:val="404040"/>
        </w:rPr>
        <w:t>We outline below three significant policy changes that have occurred since the 2017 valuation, along with their expected influence on the welfare system.</w:t>
      </w:r>
    </w:p>
    <w:p>
      <w:pPr>
        <w:pStyle w:val="Heading9"/>
        <w:spacing w:before="176" w:after="47"/>
        <w:ind w:left="899"/>
      </w:pPr>
      <w:r>
        <w:rPr>
          <w:color w:val="DF2F1E"/>
        </w:rPr>
        <w:t>Table 7: Summary of main material policy changes (legislated 1 July 2017 to 30 June 2018)</w:t>
      </w:r>
    </w:p>
    <w:tbl>
      <w:tblPr>
        <w:tblW w:w="0" w:type="auto"/>
        <w:jc w:val="left"/>
        <w:tblInd w:w="1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94"/>
        <w:gridCol w:w="3826"/>
        <w:gridCol w:w="3454"/>
      </w:tblGrid>
      <w:tr>
        <w:trPr>
          <w:trHeight w:val="283" w:hRule="atLeast"/>
        </w:trPr>
        <w:tc>
          <w:tcPr>
            <w:tcW w:w="2694" w:type="dxa"/>
            <w:shd w:val="clear" w:color="auto" w:fill="DF2F1E"/>
          </w:tcPr>
          <w:p>
            <w:pPr>
              <w:pStyle w:val="TableParagraph"/>
              <w:spacing w:before="46"/>
              <w:ind w:left="112"/>
              <w:rPr>
                <w:sz w:val="16"/>
              </w:rPr>
            </w:pPr>
            <w:r>
              <w:rPr>
                <w:color w:val="FFFFFF"/>
                <w:sz w:val="16"/>
              </w:rPr>
              <w:t>Policy change</w:t>
            </w:r>
          </w:p>
        </w:tc>
        <w:tc>
          <w:tcPr>
            <w:tcW w:w="3826" w:type="dxa"/>
            <w:shd w:val="clear" w:color="auto" w:fill="DF2F1E"/>
          </w:tcPr>
          <w:p>
            <w:pPr>
              <w:pStyle w:val="TableParagraph"/>
              <w:spacing w:before="46"/>
              <w:ind w:left="133"/>
              <w:rPr>
                <w:sz w:val="16"/>
              </w:rPr>
            </w:pPr>
            <w:r>
              <w:rPr>
                <w:color w:val="FFFFFF"/>
                <w:sz w:val="16"/>
              </w:rPr>
              <w:t>Description of policy change</w:t>
            </w:r>
          </w:p>
        </w:tc>
        <w:tc>
          <w:tcPr>
            <w:tcW w:w="3454" w:type="dxa"/>
            <w:shd w:val="clear" w:color="auto" w:fill="DF2F1E"/>
          </w:tcPr>
          <w:p>
            <w:pPr>
              <w:pStyle w:val="TableParagraph"/>
              <w:spacing w:before="46"/>
              <w:ind w:left="116"/>
              <w:rPr>
                <w:sz w:val="16"/>
              </w:rPr>
            </w:pPr>
            <w:r>
              <w:rPr>
                <w:color w:val="FFFFFF"/>
                <w:sz w:val="16"/>
              </w:rPr>
              <w:t>Expected influence on the welfare system</w:t>
            </w:r>
          </w:p>
        </w:tc>
      </w:tr>
      <w:tr>
        <w:trPr>
          <w:trHeight w:val="2287" w:hRule="atLeast"/>
        </w:trPr>
        <w:tc>
          <w:tcPr>
            <w:tcW w:w="2694" w:type="dxa"/>
            <w:tcBorders>
              <w:left w:val="single" w:sz="4" w:space="0" w:color="DF2F1E"/>
              <w:bottom w:val="single" w:sz="4" w:space="0" w:color="DF2F1E"/>
            </w:tcBorders>
          </w:tcPr>
          <w:p>
            <w:pPr>
              <w:pStyle w:val="TableParagraph"/>
              <w:spacing w:before="34"/>
              <w:ind w:left="107" w:right="597"/>
              <w:rPr>
                <w:b/>
                <w:sz w:val="16"/>
              </w:rPr>
            </w:pPr>
            <w:r>
              <w:rPr>
                <w:b/>
                <w:color w:val="404040"/>
                <w:sz w:val="16"/>
              </w:rPr>
              <w:t>Creation of the Jobseeker Payment</w:t>
            </w:r>
          </w:p>
        </w:tc>
        <w:tc>
          <w:tcPr>
            <w:tcW w:w="3826" w:type="dxa"/>
            <w:tcBorders>
              <w:bottom w:val="single" w:sz="4" w:space="0" w:color="DF2F1E"/>
            </w:tcBorders>
          </w:tcPr>
          <w:p>
            <w:pPr>
              <w:pStyle w:val="TableParagraph"/>
              <w:ind w:left="133" w:right="97"/>
              <w:rPr>
                <w:sz w:val="16"/>
              </w:rPr>
            </w:pPr>
            <w:r>
              <w:rPr>
                <w:color w:val="404040"/>
                <w:sz w:val="16"/>
              </w:rPr>
              <w:t>Seven current working age payments will be consolidated into the new Jobseeker Payment, creating a single payment for those of working age with capacity to work now or in the future. From</w:t>
            </w:r>
          </w:p>
          <w:p>
            <w:pPr>
              <w:pStyle w:val="TableParagraph"/>
              <w:spacing w:before="1"/>
              <w:ind w:left="133" w:right="88"/>
              <w:rPr>
                <w:sz w:val="16"/>
              </w:rPr>
            </w:pPr>
            <w:r>
              <w:rPr>
                <w:color w:val="404040"/>
                <w:sz w:val="16"/>
              </w:rPr>
              <w:t>20 March 2020, recipients of Newstart Allowance, Sickness Allowance, Wife Pension, Bereavement Allowance and Widow B Pension will be transitioned into Jobseeker Payment, Age Pension or Carer Payment depending on their circumstances. From 1 January 2022, recipients of Widow Allowance and Partner Allowance will transition to Age Pension.</w:t>
            </w:r>
          </w:p>
        </w:tc>
        <w:tc>
          <w:tcPr>
            <w:tcW w:w="3454" w:type="dxa"/>
            <w:tcBorders>
              <w:bottom w:val="single" w:sz="4" w:space="0" w:color="DF2F1E"/>
              <w:right w:val="single" w:sz="4" w:space="0" w:color="DF2F1E"/>
            </w:tcBorders>
          </w:tcPr>
          <w:p>
            <w:pPr>
              <w:pStyle w:val="TableParagraph"/>
              <w:spacing w:before="36"/>
              <w:ind w:left="116" w:right="147"/>
              <w:rPr>
                <w:sz w:val="16"/>
              </w:rPr>
            </w:pPr>
            <w:r>
              <w:rPr>
                <w:color w:val="404040"/>
                <w:sz w:val="16"/>
              </w:rPr>
              <w:t>The Jobseeker Payment is designed to simplify the income support system and treat people in similar circumstances consistently. The new consolidated payment fits well into the model class structure, and as such explicit model changes were not generally required.</w:t>
            </w:r>
          </w:p>
        </w:tc>
      </w:tr>
      <w:tr>
        <w:trPr>
          <w:trHeight w:val="1000" w:hRule="atLeast"/>
        </w:trPr>
        <w:tc>
          <w:tcPr>
            <w:tcW w:w="2694" w:type="dxa"/>
            <w:tcBorders>
              <w:top w:val="single" w:sz="4" w:space="0" w:color="DF2F1E"/>
              <w:left w:val="single" w:sz="4" w:space="0" w:color="DF2F1E"/>
              <w:bottom w:val="single" w:sz="4" w:space="0" w:color="DF2F1E"/>
            </w:tcBorders>
          </w:tcPr>
          <w:p>
            <w:pPr>
              <w:pStyle w:val="TableParagraph"/>
              <w:ind w:left="107"/>
              <w:rPr>
                <w:b/>
                <w:sz w:val="16"/>
              </w:rPr>
            </w:pPr>
            <w:r>
              <w:rPr>
                <w:b/>
                <w:color w:val="404040"/>
                <w:sz w:val="16"/>
              </w:rPr>
              <w:t>Targeted compliance framework</w:t>
            </w:r>
          </w:p>
        </w:tc>
        <w:tc>
          <w:tcPr>
            <w:tcW w:w="3826" w:type="dxa"/>
            <w:tcBorders>
              <w:top w:val="single" w:sz="4" w:space="0" w:color="DF2F1E"/>
              <w:bottom w:val="single" w:sz="4" w:space="0" w:color="DF2F1E"/>
            </w:tcBorders>
          </w:tcPr>
          <w:p>
            <w:pPr>
              <w:pStyle w:val="TableParagraph"/>
              <w:spacing w:before="39"/>
              <w:ind w:left="133" w:right="311"/>
              <w:rPr>
                <w:sz w:val="16"/>
              </w:rPr>
            </w:pPr>
            <w:r>
              <w:rPr>
                <w:color w:val="404040"/>
                <w:sz w:val="16"/>
              </w:rPr>
              <w:t>From 1 July 2018, a two-phase compliance framework will be introduced which will apply strong penalties to job seekers who persistently and deliberately do not comply with their employment pathway plan (EPP) requirements.</w:t>
            </w:r>
          </w:p>
        </w:tc>
        <w:tc>
          <w:tcPr>
            <w:tcW w:w="3454" w:type="dxa"/>
            <w:tcBorders>
              <w:top w:val="single" w:sz="4" w:space="0" w:color="DF2F1E"/>
              <w:bottom w:val="single" w:sz="4" w:space="0" w:color="DF2F1E"/>
              <w:right w:val="single" w:sz="4" w:space="0" w:color="DF2F1E"/>
            </w:tcBorders>
          </w:tcPr>
          <w:p>
            <w:pPr>
              <w:pStyle w:val="TableParagraph"/>
              <w:spacing w:before="39"/>
              <w:ind w:left="116" w:right="253"/>
              <w:rPr>
                <w:sz w:val="16"/>
              </w:rPr>
            </w:pPr>
            <w:r>
              <w:rPr>
                <w:color w:val="404040"/>
                <w:sz w:val="16"/>
              </w:rPr>
              <w:t>Stronger penalties will be put in place for failure to comply with EPP requirements, including loss of income support payments.</w:t>
            </w:r>
          </w:p>
        </w:tc>
      </w:tr>
      <w:tr>
        <w:trPr>
          <w:trHeight w:val="1552" w:hRule="atLeast"/>
        </w:trPr>
        <w:tc>
          <w:tcPr>
            <w:tcW w:w="2694" w:type="dxa"/>
            <w:tcBorders>
              <w:top w:val="single" w:sz="4" w:space="0" w:color="DF2F1E"/>
              <w:left w:val="single" w:sz="4" w:space="0" w:color="DF2F1E"/>
              <w:bottom w:val="single" w:sz="4" w:space="0" w:color="DF2F1E"/>
            </w:tcBorders>
          </w:tcPr>
          <w:p>
            <w:pPr>
              <w:pStyle w:val="TableParagraph"/>
              <w:spacing w:before="34"/>
              <w:ind w:left="107"/>
              <w:rPr>
                <w:b/>
                <w:sz w:val="16"/>
              </w:rPr>
            </w:pPr>
            <w:r>
              <w:rPr>
                <w:b/>
                <w:color w:val="404040"/>
                <w:sz w:val="16"/>
              </w:rPr>
              <w:t>Ordinary Waiting period</w:t>
            </w:r>
          </w:p>
        </w:tc>
        <w:tc>
          <w:tcPr>
            <w:tcW w:w="3826" w:type="dxa"/>
            <w:tcBorders>
              <w:top w:val="single" w:sz="4" w:space="0" w:color="DF2F1E"/>
              <w:bottom w:val="single" w:sz="4" w:space="0" w:color="DF2F1E"/>
            </w:tcBorders>
          </w:tcPr>
          <w:p>
            <w:pPr>
              <w:pStyle w:val="TableParagraph"/>
              <w:ind w:left="133" w:right="124"/>
              <w:rPr>
                <w:sz w:val="16"/>
              </w:rPr>
            </w:pPr>
            <w:r>
              <w:rPr>
                <w:color w:val="404040"/>
                <w:sz w:val="16"/>
              </w:rPr>
              <w:t>Creates a new ordinary waiting period for Parenting Payment, and for Youth Allowance for a person who is not undertaking full-time study and is not a new apprentice (referred to as Youth Allowance (Other)).</w:t>
            </w:r>
          </w:p>
        </w:tc>
        <w:tc>
          <w:tcPr>
            <w:tcW w:w="3454" w:type="dxa"/>
            <w:tcBorders>
              <w:top w:val="single" w:sz="4" w:space="0" w:color="DF2F1E"/>
              <w:bottom w:val="single" w:sz="4" w:space="0" w:color="DF2F1E"/>
              <w:right w:val="single" w:sz="4" w:space="0" w:color="DF2F1E"/>
            </w:tcBorders>
          </w:tcPr>
          <w:p>
            <w:pPr>
              <w:pStyle w:val="TableParagraph"/>
              <w:spacing w:before="36"/>
              <w:ind w:left="115" w:right="112"/>
              <w:rPr>
                <w:sz w:val="16"/>
              </w:rPr>
            </w:pPr>
            <w:r>
              <w:rPr>
                <w:color w:val="404040"/>
                <w:sz w:val="16"/>
              </w:rPr>
              <w:t>The ordinary waiting period is a period of one week that recipients are required to serve unless exempted. This may delay the commencement of some payments. This change is not expected to have a material impact on total payments, however it may slightly influence experience coming through from 1 July 2017.</w:t>
            </w:r>
          </w:p>
        </w:tc>
      </w:tr>
    </w:tbl>
    <w:p>
      <w:pPr>
        <w:pStyle w:val="BodyText"/>
        <w:spacing w:before="119"/>
        <w:ind w:left="899" w:right="1255"/>
      </w:pPr>
      <w:r>
        <w:rPr>
          <w:color w:val="404040"/>
        </w:rPr>
        <w:t>The creation of the Jobseeker Payment is a material change from an operational point of view; however, it is not expected to be material in terms of lifetime cost, as it mainly represents a consolidation of payments. The introduction of the targeted compliance framework is expected to be more material from a lifetime cost perspective.</w:t>
      </w:r>
    </w:p>
    <w:p>
      <w:pPr>
        <w:pStyle w:val="BodyText"/>
        <w:spacing w:before="120"/>
        <w:ind w:left="899" w:right="1521"/>
      </w:pPr>
      <w:r>
        <w:rPr>
          <w:color w:val="404040"/>
        </w:rPr>
        <w:t>Over recent years, changes to the eligibility criteria for Disability Support Pension and a new Job Capacity Assessment that tests applicants’ capacity to work, have seen fewer people qualifying for DSP.</w:t>
      </w:r>
    </w:p>
    <w:p>
      <w:pPr>
        <w:pStyle w:val="BodyText"/>
        <w:spacing w:before="7"/>
      </w:pPr>
    </w:p>
    <w:p>
      <w:pPr>
        <w:pStyle w:val="ListParagraph"/>
        <w:numPr>
          <w:ilvl w:val="1"/>
          <w:numId w:val="22"/>
        </w:numPr>
        <w:tabs>
          <w:tab w:pos="1752" w:val="left" w:leader="none"/>
          <w:tab w:pos="1753" w:val="left" w:leader="none"/>
        </w:tabs>
        <w:spacing w:line="240" w:lineRule="auto" w:before="0" w:after="0"/>
        <w:ind w:left="1752" w:right="0" w:hanging="853"/>
        <w:jc w:val="left"/>
        <w:rPr>
          <w:sz w:val="28"/>
        </w:rPr>
      </w:pPr>
      <w:bookmarkStart w:name="3.3 Methodology updates" w:id="95"/>
      <w:bookmarkEnd w:id="95"/>
      <w:r>
        <w:rPr/>
      </w:r>
      <w:bookmarkStart w:name="_bookmark23" w:id="96"/>
      <w:bookmarkEnd w:id="96"/>
      <w:r>
        <w:rPr/>
      </w:r>
      <w:bookmarkStart w:name="_bookmark23" w:id="97"/>
      <w:bookmarkEnd w:id="97"/>
      <w:r>
        <w:rPr>
          <w:color w:val="DF2F28"/>
          <w:sz w:val="28"/>
        </w:rPr>
        <w:t>M</w:t>
      </w:r>
      <w:r>
        <w:rPr>
          <w:color w:val="DF2F28"/>
          <w:sz w:val="28"/>
        </w:rPr>
        <w:t>ethodology</w:t>
      </w:r>
      <w:r>
        <w:rPr>
          <w:color w:val="DF2F28"/>
          <w:spacing w:val="-4"/>
          <w:sz w:val="28"/>
        </w:rPr>
        <w:t> </w:t>
      </w:r>
      <w:r>
        <w:rPr>
          <w:color w:val="DF2F28"/>
          <w:sz w:val="28"/>
        </w:rPr>
        <w:t>updates</w:t>
      </w:r>
    </w:p>
    <w:p>
      <w:pPr>
        <w:pStyle w:val="Heading4"/>
        <w:spacing w:before="242"/>
      </w:pPr>
      <w:bookmarkStart w:name="Age Pension" w:id="98"/>
      <w:bookmarkEnd w:id="98"/>
      <w:r>
        <w:rPr/>
      </w:r>
      <w:r>
        <w:rPr>
          <w:color w:val="DF2F28"/>
        </w:rPr>
        <w:t>Age Pension</w:t>
      </w:r>
    </w:p>
    <w:p>
      <w:pPr>
        <w:pStyle w:val="BodyText"/>
        <w:spacing w:before="121"/>
        <w:ind w:left="900" w:right="1074" w:hanging="1"/>
      </w:pPr>
      <w:r>
        <w:rPr>
          <w:color w:val="404040"/>
        </w:rPr>
        <w:t>As part of the 2018 valuation, the assumptions relating to the forecast future utilisation of Age Pension have been updated. To support the revised assumptions, we further analysed the Age Pension experience and have undertaken a review of the external information available to support these assumptions.</w:t>
      </w:r>
    </w:p>
    <w:p>
      <w:pPr>
        <w:pStyle w:val="BodyText"/>
        <w:spacing w:before="121"/>
        <w:ind w:left="900" w:right="1098" w:hanging="1"/>
      </w:pPr>
      <w:r>
        <w:rPr>
          <w:color w:val="404040"/>
        </w:rPr>
        <w:t>The modelling of Age Pension is an inherently challenging part of the valuation. It is challenging because it reflects payments that for some people are many decades into the future and there are many factors which will influence the demand for Age Pension. This includes demographic trends, the economic environment and the returns on superannuation savings. It is also challenging because the data available to support our analysis does not include information on some key drivers such as levels of superannuation savings and home ownership.</w:t>
      </w:r>
    </w:p>
    <w:p>
      <w:pPr>
        <w:pStyle w:val="BodyText"/>
        <w:spacing w:before="8"/>
      </w:pPr>
    </w:p>
    <w:p>
      <w:pPr>
        <w:pStyle w:val="Heading6"/>
        <w:spacing w:before="1"/>
        <w:rPr>
          <w:i/>
        </w:rPr>
      </w:pPr>
      <w:r>
        <w:rPr>
          <w:i/>
          <w:color w:val="DF2F1E"/>
        </w:rPr>
        <w:t>Recap on previous modelling approach</w:t>
      </w:r>
    </w:p>
    <w:p>
      <w:pPr>
        <w:pStyle w:val="BodyText"/>
        <w:spacing w:before="121"/>
        <w:ind w:left="900" w:right="1253"/>
      </w:pPr>
      <w:r>
        <w:rPr>
          <w:color w:val="404040"/>
        </w:rPr>
        <w:t>The approach previously used for modelling the Age Pension was developed as part of the 2015 baseline valuation and retained for the 2016 and 2017 valuations. This referenced the recent experience to determine how likely different groups of people are to access the Age Pension; the age at which they would first receive the pension; and the level of pension they would receive.</w:t>
      </w:r>
    </w:p>
    <w:p>
      <w:pPr>
        <w:pStyle w:val="BodyText"/>
        <w:spacing w:before="119"/>
        <w:ind w:left="900"/>
      </w:pPr>
      <w:r>
        <w:rPr>
          <w:color w:val="404040"/>
        </w:rPr>
        <w:t>Two key trends were adjusted for:</w:t>
      </w:r>
    </w:p>
    <w:p>
      <w:pPr>
        <w:pStyle w:val="ListParagraph"/>
        <w:numPr>
          <w:ilvl w:val="0"/>
          <w:numId w:val="21"/>
        </w:numPr>
        <w:tabs>
          <w:tab w:pos="1184" w:val="left" w:leader="none"/>
        </w:tabs>
        <w:spacing w:line="240" w:lineRule="auto" w:before="119" w:after="0"/>
        <w:ind w:left="1184" w:right="1376" w:hanging="284"/>
        <w:jc w:val="left"/>
        <w:rPr>
          <w:sz w:val="20"/>
        </w:rPr>
      </w:pPr>
      <w:r>
        <w:rPr>
          <w:color w:val="404040"/>
          <w:sz w:val="20"/>
        </w:rPr>
        <w:t>At age pension qualifying age (APQA): the expected future trend in reducing eligibility to Age Pension as people reach retirement age with greater levels of</w:t>
      </w:r>
      <w:r>
        <w:rPr>
          <w:color w:val="404040"/>
          <w:spacing w:val="-2"/>
          <w:sz w:val="20"/>
        </w:rPr>
        <w:t> </w:t>
      </w:r>
      <w:r>
        <w:rPr>
          <w:color w:val="404040"/>
          <w:sz w:val="20"/>
        </w:rPr>
        <w:t>superannuation.</w:t>
      </w:r>
    </w:p>
    <w:p>
      <w:pPr>
        <w:spacing w:after="0" w:line="240" w:lineRule="auto"/>
        <w:jc w:val="left"/>
        <w:rPr>
          <w:sz w:val="20"/>
        </w:rPr>
        <w:sectPr>
          <w:pgSz w:w="11910" w:h="16850"/>
          <w:pgMar w:header="572" w:footer="581" w:top="780" w:bottom="780" w:left="120" w:right="0"/>
        </w:sectPr>
      </w:pPr>
    </w:p>
    <w:p>
      <w:pPr>
        <w:pStyle w:val="BodyText"/>
      </w:pPr>
    </w:p>
    <w:p>
      <w:pPr>
        <w:pStyle w:val="BodyText"/>
      </w:pPr>
    </w:p>
    <w:p>
      <w:pPr>
        <w:pStyle w:val="BodyText"/>
        <w:spacing w:before="2"/>
        <w:rPr>
          <w:sz w:val="21"/>
        </w:rPr>
      </w:pPr>
    </w:p>
    <w:p>
      <w:pPr>
        <w:pStyle w:val="ListParagraph"/>
        <w:numPr>
          <w:ilvl w:val="0"/>
          <w:numId w:val="21"/>
        </w:numPr>
        <w:tabs>
          <w:tab w:pos="1184" w:val="left" w:leader="none"/>
        </w:tabs>
        <w:spacing w:line="240" w:lineRule="auto" w:before="99" w:after="0"/>
        <w:ind w:left="1183" w:right="1387" w:hanging="284"/>
        <w:jc w:val="left"/>
        <w:rPr>
          <w:sz w:val="20"/>
        </w:rPr>
      </w:pPr>
      <w:r>
        <w:rPr>
          <w:color w:val="404040"/>
          <w:sz w:val="20"/>
        </w:rPr>
        <w:t>Post APQA: an allowance for an individual’s assets eroding, or otherwise, as they progress through their retirement and the resulting trend in Age Pension payment</w:t>
      </w:r>
      <w:r>
        <w:rPr>
          <w:color w:val="404040"/>
          <w:spacing w:val="-3"/>
          <w:sz w:val="20"/>
        </w:rPr>
        <w:t> </w:t>
      </w:r>
      <w:r>
        <w:rPr>
          <w:color w:val="404040"/>
          <w:sz w:val="20"/>
        </w:rPr>
        <w:t>levels.</w:t>
      </w:r>
    </w:p>
    <w:p>
      <w:pPr>
        <w:pStyle w:val="BodyText"/>
        <w:spacing w:before="119"/>
        <w:ind w:left="900" w:right="1165" w:hanging="1"/>
      </w:pPr>
      <w:r>
        <w:rPr>
          <w:color w:val="404040"/>
        </w:rPr>
        <w:t>The at APQA trend was modelled as an explicit scenario of a reduction in Age Pension entries over the period from 2015 to 2030. This adjustment was based, in part, on external research; however, it was acknowledged that there is a high level of uncertainty in the adjustment and that it simply represents a scenario that makes a plausible allowance for the potential impact of the expected trend. The post retirement trend was modelled by reference to the past experience.</w:t>
      </w:r>
    </w:p>
    <w:p>
      <w:pPr>
        <w:pStyle w:val="BodyText"/>
        <w:spacing w:before="8"/>
      </w:pPr>
    </w:p>
    <w:p>
      <w:pPr>
        <w:pStyle w:val="Heading6"/>
        <w:rPr>
          <w:i/>
        </w:rPr>
      </w:pPr>
      <w:r>
        <w:rPr>
          <w:i/>
          <w:color w:val="DF2F1E"/>
        </w:rPr>
        <w:t>Age Pension experience and drivers</w:t>
      </w:r>
    </w:p>
    <w:p>
      <w:pPr>
        <w:pStyle w:val="BodyText"/>
        <w:spacing w:before="121"/>
        <w:ind w:left="900" w:right="1064"/>
      </w:pPr>
      <w:r>
        <w:rPr>
          <w:color w:val="404040"/>
        </w:rPr>
        <w:t>We reviewed the DSS data, as well as publicly available data published by ABS and the Department of Veterans’ Affairs (DVA), to better understand the recent trends in pension utilisation. We analysed the trends in the proportions of people accessing all types of pensions (including service pensions administered by DVA) as they achieved retirement age and beyond. We considered the variations in trends by gender and differential experience of different birth cohorts. We also considered how this experience has been impacted by the January 2017 change in assets test and the recent increase in APQA to 65.5.</w:t>
      </w:r>
    </w:p>
    <w:p>
      <w:pPr>
        <w:pStyle w:val="BodyText"/>
        <w:spacing w:before="121"/>
        <w:ind w:left="900" w:right="1097"/>
      </w:pPr>
      <w:r>
        <w:rPr>
          <w:color w:val="404040"/>
        </w:rPr>
        <w:t>This analysis identified that there has been a recent reduction in the proportion of people who access any Age Pension in the first few years after reaching APQA. In particular, there has been a significant reduction in the proportion of full pensioners within these cohorts. Conversely, the proportion of part pensioners has been quite stable.</w:t>
      </w:r>
    </w:p>
    <w:p>
      <w:pPr>
        <w:pStyle w:val="BodyText"/>
        <w:spacing w:before="121"/>
        <w:ind w:left="899" w:right="1087"/>
      </w:pPr>
      <w:r>
        <w:rPr>
          <w:color w:val="404040"/>
        </w:rPr>
        <w:t>We also reviewed the external data and research available on trends in other drivers of future Age Pension utilisation, including trends in workforce participation, levels of home ownership and levels of superannuation and other savings. This supported our understanding that levels of superannuation savings are increasing over time (both from the maturing of the superannuation system and increasing workforce participation of women). However, there has also been a material reduction in levels of home ownership, especially for younger generations.</w:t>
      </w:r>
    </w:p>
    <w:p>
      <w:pPr>
        <w:pStyle w:val="BodyText"/>
        <w:spacing w:before="119"/>
        <w:ind w:left="899" w:right="1410"/>
      </w:pPr>
      <w:r>
        <w:rPr>
          <w:color w:val="404040"/>
        </w:rPr>
        <w:t>Finally, we refreshed our theoretical model of superannuation savings accumulation. This indicated that the maturing of the superannuation system will be largely complete by 2035. By this time, workers reaching retirement will have been accumulating superannuation for their whole working lives. Beyond this time, we expect there will be a smaller increasing trend in superannuation savings accumulation, reflecting past increases in the Superannuation Guarantee rate.</w:t>
      </w:r>
    </w:p>
    <w:p>
      <w:pPr>
        <w:pStyle w:val="BodyText"/>
        <w:spacing w:before="9"/>
      </w:pPr>
    </w:p>
    <w:p>
      <w:pPr>
        <w:pStyle w:val="Heading6"/>
        <w:rPr>
          <w:i/>
        </w:rPr>
      </w:pPr>
      <w:r>
        <w:rPr>
          <w:i/>
          <w:color w:val="DF2F1E"/>
        </w:rPr>
        <w:t>Revised modelling approach</w:t>
      </w:r>
    </w:p>
    <w:p>
      <w:pPr>
        <w:pStyle w:val="BodyText"/>
        <w:spacing w:before="121"/>
        <w:ind w:left="900" w:right="1065" w:hanging="1"/>
      </w:pPr>
      <w:r>
        <w:rPr>
          <w:color w:val="404040"/>
        </w:rPr>
        <w:t>For this valuation we developed a revised Age Pension modelling approach and scenario to better reflect these trends. This approach continues to reference the recent experience to determine how likely different groups of people are to access the Age Pension; the age at which they would first receive the pension; and the level of pension they would receive.</w:t>
      </w:r>
    </w:p>
    <w:p>
      <w:pPr>
        <w:pStyle w:val="BodyText"/>
        <w:spacing w:before="119"/>
        <w:ind w:left="900" w:right="1075"/>
      </w:pPr>
      <w:r>
        <w:rPr>
          <w:color w:val="404040"/>
        </w:rPr>
        <w:t>The at-retirement trend has been refined to allow for a greater reduction in the proportion of people accessing any Age Pension at APQA and in their early years post APQA. This adjustment has been extended to now occur over the period to 2035. We have added a supplementary adjustment to allow for some of these non- pensioners to start accessing the Age Pension as they progress through their retirement years and their assets erode.</w:t>
      </w:r>
    </w:p>
    <w:p>
      <w:pPr>
        <w:pStyle w:val="BodyText"/>
        <w:spacing w:before="120"/>
        <w:ind w:left="900" w:right="1020"/>
      </w:pPr>
      <w:r>
        <w:rPr>
          <w:color w:val="404040"/>
        </w:rPr>
        <w:t>Post retirement, we have continued to incorporate an allowance for an individual’s assets eroding, or otherwise, as they progress through their retirement, and have retained our previous modelling approach for this trend.</w:t>
      </w:r>
    </w:p>
    <w:p>
      <w:pPr>
        <w:pStyle w:val="BodyText"/>
        <w:spacing w:before="121"/>
        <w:ind w:left="900" w:right="1309"/>
      </w:pPr>
      <w:r>
        <w:rPr>
          <w:color w:val="404040"/>
        </w:rPr>
        <w:t>We have calibrated these models to maintain a broadly constant level of part pensioners, consistent with the experience we have observed. Hence, where there are changes in the proportions of a birth cohort not accessing any pension, there will generally be an offsetting trend in the proportion of full pensioners.</w:t>
      </w:r>
    </w:p>
    <w:p>
      <w:pPr>
        <w:pStyle w:val="BodyText"/>
        <w:spacing w:before="121"/>
        <w:ind w:left="900" w:right="1187"/>
      </w:pPr>
      <w:r>
        <w:rPr>
          <w:color w:val="404040"/>
        </w:rPr>
        <w:t>The impacts of this revised scenario are discussed in the overall results and age pensioner results sections of this report.</w:t>
      </w:r>
    </w:p>
    <w:p>
      <w:pPr>
        <w:pStyle w:val="BodyText"/>
        <w:spacing w:before="6"/>
      </w:pPr>
    </w:p>
    <w:p>
      <w:pPr>
        <w:pStyle w:val="Heading4"/>
        <w:spacing w:before="1"/>
      </w:pPr>
      <w:bookmarkStart w:name="Refinement of valuation data" w:id="99"/>
      <w:bookmarkEnd w:id="99"/>
      <w:r>
        <w:rPr/>
      </w:r>
      <w:r>
        <w:rPr>
          <w:color w:val="DF2F28"/>
        </w:rPr>
        <w:t>Refinement of valuation data</w:t>
      </w:r>
    </w:p>
    <w:p>
      <w:pPr>
        <w:pStyle w:val="BodyText"/>
        <w:spacing w:before="121"/>
        <w:ind w:left="900"/>
      </w:pPr>
      <w:r>
        <w:rPr>
          <w:color w:val="404040"/>
        </w:rPr>
        <w:t>For this valuation there were two small updates to the data.</w:t>
      </w:r>
    </w:p>
    <w:p>
      <w:pPr>
        <w:pStyle w:val="BodyText"/>
        <w:spacing w:before="121"/>
        <w:ind w:left="899" w:right="1066"/>
      </w:pPr>
      <w:r>
        <w:rPr>
          <w:color w:val="404040"/>
        </w:rPr>
        <w:t>The first update was to the extraction date. For previous valuations, the data was extracted at the valuation date</w:t>
      </w:r>
      <w:r>
        <w:rPr>
          <w:color w:val="404040"/>
          <w:spacing w:val="-3"/>
        </w:rPr>
        <w:t> </w:t>
      </w:r>
      <w:r>
        <w:rPr>
          <w:color w:val="404040"/>
        </w:rPr>
        <w:t>of</w:t>
      </w:r>
      <w:r>
        <w:rPr>
          <w:color w:val="404040"/>
          <w:spacing w:val="-2"/>
        </w:rPr>
        <w:t> </w:t>
      </w:r>
      <w:r>
        <w:rPr>
          <w:color w:val="404040"/>
        </w:rPr>
        <w:t>30</w:t>
      </w:r>
      <w:r>
        <w:rPr>
          <w:color w:val="404040"/>
          <w:spacing w:val="-4"/>
        </w:rPr>
        <w:t> </w:t>
      </w:r>
      <w:r>
        <w:rPr>
          <w:color w:val="404040"/>
        </w:rPr>
        <w:t>June.</w:t>
      </w:r>
      <w:r>
        <w:rPr>
          <w:color w:val="404040"/>
          <w:spacing w:val="-5"/>
        </w:rPr>
        <w:t> </w:t>
      </w:r>
      <w:r>
        <w:rPr>
          <w:color w:val="404040"/>
        </w:rPr>
        <w:t>Information</w:t>
      </w:r>
      <w:r>
        <w:rPr>
          <w:color w:val="404040"/>
          <w:spacing w:val="-4"/>
        </w:rPr>
        <w:t> </w:t>
      </w:r>
      <w:r>
        <w:rPr>
          <w:color w:val="404040"/>
        </w:rPr>
        <w:t>revived</w:t>
      </w:r>
      <w:r>
        <w:rPr>
          <w:color w:val="404040"/>
          <w:spacing w:val="-2"/>
        </w:rPr>
        <w:t> </w:t>
      </w:r>
      <w:r>
        <w:rPr>
          <w:color w:val="404040"/>
        </w:rPr>
        <w:t>after</w:t>
      </w:r>
      <w:r>
        <w:rPr>
          <w:color w:val="404040"/>
          <w:spacing w:val="-4"/>
        </w:rPr>
        <w:t> </w:t>
      </w:r>
      <w:r>
        <w:rPr>
          <w:color w:val="404040"/>
        </w:rPr>
        <w:t>this</w:t>
      </w:r>
      <w:r>
        <w:rPr>
          <w:color w:val="404040"/>
          <w:spacing w:val="-3"/>
        </w:rPr>
        <w:t> </w:t>
      </w:r>
      <w:r>
        <w:rPr>
          <w:color w:val="404040"/>
        </w:rPr>
        <w:t>date</w:t>
      </w:r>
      <w:r>
        <w:rPr>
          <w:color w:val="404040"/>
          <w:spacing w:val="-4"/>
        </w:rPr>
        <w:t> </w:t>
      </w:r>
      <w:r>
        <w:rPr>
          <w:color w:val="404040"/>
        </w:rPr>
        <w:t>relating</w:t>
      </w:r>
      <w:r>
        <w:rPr>
          <w:color w:val="404040"/>
          <w:spacing w:val="-4"/>
        </w:rPr>
        <w:t> </w:t>
      </w:r>
      <w:r>
        <w:rPr>
          <w:color w:val="404040"/>
        </w:rPr>
        <w:t>to</w:t>
      </w:r>
      <w:r>
        <w:rPr>
          <w:color w:val="404040"/>
          <w:spacing w:val="-3"/>
        </w:rPr>
        <w:t> </w:t>
      </w:r>
      <w:r>
        <w:rPr>
          <w:color w:val="404040"/>
        </w:rPr>
        <w:t>historical</w:t>
      </w:r>
      <w:r>
        <w:rPr>
          <w:color w:val="404040"/>
          <w:spacing w:val="-3"/>
        </w:rPr>
        <w:t> </w:t>
      </w:r>
      <w:r>
        <w:rPr>
          <w:color w:val="404040"/>
        </w:rPr>
        <w:t>entitlements</w:t>
      </w:r>
      <w:r>
        <w:rPr>
          <w:color w:val="404040"/>
          <w:spacing w:val="-3"/>
        </w:rPr>
        <w:t> </w:t>
      </w:r>
      <w:r>
        <w:rPr>
          <w:color w:val="404040"/>
        </w:rPr>
        <w:t>is</w:t>
      </w:r>
      <w:r>
        <w:rPr>
          <w:color w:val="404040"/>
          <w:spacing w:val="-4"/>
        </w:rPr>
        <w:t> </w:t>
      </w:r>
      <w:r>
        <w:rPr>
          <w:color w:val="404040"/>
        </w:rPr>
        <w:t>not</w:t>
      </w:r>
      <w:r>
        <w:rPr>
          <w:color w:val="404040"/>
          <w:spacing w:val="-4"/>
        </w:rPr>
        <w:t> </w:t>
      </w:r>
      <w:r>
        <w:rPr>
          <w:color w:val="404040"/>
        </w:rPr>
        <w:t>incorporated</w:t>
      </w:r>
      <w:r>
        <w:rPr>
          <w:color w:val="404040"/>
          <w:spacing w:val="-4"/>
        </w:rPr>
        <w:t> </w:t>
      </w:r>
      <w:r>
        <w:rPr>
          <w:color w:val="404040"/>
        </w:rPr>
        <w:t>and</w:t>
      </w:r>
      <w:r>
        <w:rPr>
          <w:color w:val="404040"/>
          <w:spacing w:val="-2"/>
        </w:rPr>
        <w:t> </w:t>
      </w:r>
      <w:r>
        <w:rPr>
          <w:color w:val="404040"/>
        </w:rPr>
        <w:t>this</w:t>
      </w:r>
    </w:p>
    <w:p>
      <w:pPr>
        <w:spacing w:after="0"/>
        <w:sectPr>
          <w:pgSz w:w="11910" w:h="16850"/>
          <w:pgMar w:header="572" w:footer="581" w:top="780" w:bottom="780" w:left="120" w:right="0"/>
        </w:sectPr>
      </w:pPr>
    </w:p>
    <w:p>
      <w:pPr>
        <w:pStyle w:val="BodyText"/>
      </w:pPr>
    </w:p>
    <w:p>
      <w:pPr>
        <w:pStyle w:val="BodyText"/>
      </w:pPr>
    </w:p>
    <w:p>
      <w:pPr>
        <w:pStyle w:val="BodyText"/>
        <w:spacing w:before="7"/>
        <w:rPr>
          <w:sz w:val="21"/>
        </w:rPr>
      </w:pPr>
    </w:p>
    <w:p>
      <w:pPr>
        <w:pStyle w:val="BodyText"/>
        <w:spacing w:before="93"/>
        <w:ind w:left="899" w:right="1210"/>
      </w:pPr>
      <w:r>
        <w:rPr>
          <w:color w:val="404040"/>
        </w:rPr>
        <w:t>particularly impacts the most recent year. The issue of not all information being known at the valuation date is known as a data maturity issue.</w:t>
      </w:r>
    </w:p>
    <w:p>
      <w:pPr>
        <w:pStyle w:val="BodyText"/>
        <w:spacing w:before="121"/>
        <w:ind w:left="900" w:right="1476" w:hanging="1"/>
      </w:pPr>
      <w:r>
        <w:rPr>
          <w:color w:val="404040"/>
        </w:rPr>
        <w:t>For this valuation, the data was instead extracted 3 months after the valuation date, at 30 September. This does not have a direct impact on the results; however, it reduces the extent of maturity adjustments and provides more certainty in the recent experience.</w:t>
      </w:r>
    </w:p>
    <w:p>
      <w:pPr>
        <w:pStyle w:val="BodyText"/>
        <w:spacing w:before="121"/>
        <w:ind w:left="900" w:right="1141"/>
      </w:pPr>
      <w:r>
        <w:rPr>
          <w:color w:val="404040"/>
        </w:rPr>
        <w:t>The second update relates to the number of people included in the classes. In particular, there has been a change in the treatment of a group of people who received a particular payment who were then subsequently confirmed as no longer being entitled to receive any amount under that payment type (the ‘zero entitlement’ group). In the previous 2017 valuation, these people remained in their allocated model class within the welfare system and were allocated a zero payment amount. For this valuation, we have now excluded this zero entitlement group from the classes within the welfare system, and instead they are included in the rest of the population. This is a small modelling refinement, which does not impact the overall lifetime costs being modelled; however, it does result in a small decrease in the number of people in the class, offset by a small increase in average payment size.</w:t>
      </w:r>
    </w:p>
    <w:p>
      <w:pPr>
        <w:pStyle w:val="BodyText"/>
        <w:spacing w:before="120"/>
        <w:ind w:left="900" w:right="979"/>
      </w:pPr>
      <w:r>
        <w:rPr>
          <w:color w:val="404040"/>
        </w:rPr>
        <w:t>The most material impact is on Class 3 – Parents, for which it results in a reduction of the number of people in the class of around 30,000 people (or 7%), along with an offsetting increase in average sizes. For the other income support classes the impact is less than 1%.</w:t>
      </w:r>
    </w:p>
    <w:p>
      <w:pPr>
        <w:pStyle w:val="BodyText"/>
        <w:spacing w:before="7"/>
      </w:pPr>
    </w:p>
    <w:p>
      <w:pPr>
        <w:pStyle w:val="ListParagraph"/>
        <w:numPr>
          <w:ilvl w:val="1"/>
          <w:numId w:val="22"/>
        </w:numPr>
        <w:tabs>
          <w:tab w:pos="1752" w:val="left" w:leader="none"/>
          <w:tab w:pos="1753" w:val="left" w:leader="none"/>
        </w:tabs>
        <w:spacing w:line="240" w:lineRule="auto" w:before="0" w:after="0"/>
        <w:ind w:left="1752" w:right="0" w:hanging="853"/>
        <w:jc w:val="left"/>
        <w:rPr>
          <w:sz w:val="28"/>
        </w:rPr>
      </w:pPr>
      <w:bookmarkStart w:name="3.4 Changes to the discount rate" w:id="100"/>
      <w:bookmarkEnd w:id="100"/>
      <w:r>
        <w:rPr/>
      </w:r>
      <w:bookmarkStart w:name="_bookmark24" w:id="101"/>
      <w:bookmarkEnd w:id="101"/>
      <w:r>
        <w:rPr/>
      </w:r>
      <w:bookmarkStart w:name="_bookmark24" w:id="102"/>
      <w:bookmarkEnd w:id="102"/>
      <w:r>
        <w:rPr>
          <w:color w:val="DF2F28"/>
          <w:sz w:val="28"/>
        </w:rPr>
        <w:t>C</w:t>
      </w:r>
      <w:r>
        <w:rPr>
          <w:color w:val="DF2F28"/>
          <w:sz w:val="28"/>
        </w:rPr>
        <w:t>hanges to the discount rate</w:t>
      </w:r>
    </w:p>
    <w:p>
      <w:pPr>
        <w:pStyle w:val="BodyText"/>
        <w:spacing w:before="123"/>
        <w:ind w:left="899" w:right="1088"/>
      </w:pPr>
      <w:r>
        <w:rPr>
          <w:color w:val="404040"/>
        </w:rPr>
        <w:t>The discount rate is one of the external drivers that impact the valuation results. Discounting is applied to the forecast future payments to calculate their net present value. We refer to this as the lifetime cost. This provides an important reference point for applying and understanding the results of the investment approach.</w:t>
      </w:r>
    </w:p>
    <w:p>
      <w:pPr>
        <w:pStyle w:val="BodyText"/>
        <w:ind w:left="899" w:right="1443"/>
      </w:pPr>
      <w:r>
        <w:rPr>
          <w:color w:val="404040"/>
        </w:rPr>
        <w:t>Discounting takes into account the time value of money, ensuring policy interventions can be identified and prioritised. It also allows discounted costs to be compared at different points in time to assess progress.</w:t>
      </w:r>
    </w:p>
    <w:p>
      <w:pPr>
        <w:pStyle w:val="BodyText"/>
        <w:spacing w:before="120"/>
        <w:ind w:left="899" w:right="1120"/>
      </w:pPr>
      <w:r>
        <w:rPr>
          <w:color w:val="404040"/>
        </w:rPr>
        <w:t>In the 2015 baseline valuation, a discount rate of 6% was adopted. While a number of factors were considered in making this choice, the adopted discount rate of 6% is consistent with that used by The Treasury in assessing other long term Commonwealth Government liabilities, in particular Commonwealth superannuation liabilities. This rate was a long term selection which then held fixed for the 2016 and 2017 valuations and has supported the comparability of the results over time.</w:t>
      </w:r>
    </w:p>
    <w:p>
      <w:pPr>
        <w:pStyle w:val="BodyText"/>
        <w:spacing w:before="120"/>
        <w:ind w:left="899" w:right="1018"/>
      </w:pPr>
      <w:r>
        <w:rPr>
          <w:color w:val="404040"/>
        </w:rPr>
        <w:t>In the 2018-19 Budget and through related discussions, The Treasury advised that the long term discount rate set out in the Long Term Cost Report and used for assessing superannuation liabilities has been reduced to 5%. We understand that this change is to reflect the current estimated costs of long term debt noting there have been persistent low interest rates and there is uncertainty whether the higher averages observed in the past will return.</w:t>
      </w:r>
    </w:p>
    <w:p>
      <w:pPr>
        <w:pStyle w:val="BodyText"/>
        <w:spacing w:before="120"/>
        <w:ind w:left="899" w:right="1331"/>
      </w:pPr>
      <w:r>
        <w:rPr>
          <w:color w:val="404040"/>
        </w:rPr>
        <w:t>Following this change, the discount rate used for this valuation has also been reduced to 5%. The change in discount rate has no impact on future cashflows; however, it does impact the net present value of these cashflows i.e. the lifetime cost.</w:t>
      </w:r>
    </w:p>
    <w:p>
      <w:pPr>
        <w:pStyle w:val="BodyText"/>
        <w:spacing w:before="121"/>
        <w:ind w:left="899" w:right="1043"/>
      </w:pPr>
      <w:r>
        <w:rPr>
          <w:color w:val="404040"/>
        </w:rPr>
        <w:t>To enable the comparability of results over time, we have reproduced the results from the 2017 valuation with a 5% discount rate (referred to as June 2017 rebased) and used this as a point of comparison in presenting the overall and class results.</w:t>
      </w:r>
    </w:p>
    <w:p>
      <w:pPr>
        <w:spacing w:after="0"/>
        <w:sectPr>
          <w:pgSz w:w="11910" w:h="16850"/>
          <w:pgMar w:header="572" w:footer="581" w:top="780" w:bottom="780" w:left="120" w:right="0"/>
        </w:sectPr>
      </w:pPr>
    </w:p>
    <w:p>
      <w:pPr>
        <w:pStyle w:val="BodyText"/>
      </w:pPr>
    </w:p>
    <w:p>
      <w:pPr>
        <w:pStyle w:val="BodyText"/>
      </w:pPr>
    </w:p>
    <w:p>
      <w:pPr>
        <w:pStyle w:val="BodyText"/>
        <w:rPr>
          <w:sz w:val="22"/>
        </w:rPr>
      </w:pPr>
    </w:p>
    <w:p>
      <w:pPr>
        <w:pStyle w:val="ListParagraph"/>
        <w:numPr>
          <w:ilvl w:val="0"/>
          <w:numId w:val="22"/>
        </w:numPr>
        <w:tabs>
          <w:tab w:pos="1752" w:val="left" w:leader="none"/>
          <w:tab w:pos="1753" w:val="left" w:leader="none"/>
        </w:tabs>
        <w:spacing w:line="240" w:lineRule="auto" w:before="88" w:after="0"/>
        <w:ind w:left="1752" w:right="0" w:hanging="853"/>
        <w:jc w:val="left"/>
        <w:rPr>
          <w:color w:val="DF2F1E"/>
          <w:sz w:val="40"/>
        </w:rPr>
      </w:pPr>
      <w:bookmarkStart w:name="4 Summary of recent experience" w:id="103"/>
      <w:bookmarkEnd w:id="103"/>
      <w:r>
        <w:rPr/>
      </w:r>
      <w:bookmarkStart w:name="_bookmark25" w:id="104"/>
      <w:bookmarkEnd w:id="104"/>
      <w:r>
        <w:rPr/>
      </w:r>
      <w:bookmarkStart w:name="_bookmark25" w:id="105"/>
      <w:bookmarkEnd w:id="105"/>
      <w:r>
        <w:rPr>
          <w:color w:val="DF2F1E"/>
          <w:sz w:val="40"/>
        </w:rPr>
        <w:t>S</w:t>
      </w:r>
      <w:r>
        <w:rPr>
          <w:color w:val="DF2F1E"/>
          <w:sz w:val="40"/>
        </w:rPr>
        <w:t>ummary of recent</w:t>
      </w:r>
      <w:r>
        <w:rPr>
          <w:color w:val="DF2F1E"/>
          <w:spacing w:val="-7"/>
          <w:sz w:val="40"/>
        </w:rPr>
        <w:t> </w:t>
      </w:r>
      <w:r>
        <w:rPr>
          <w:color w:val="DF2F1E"/>
          <w:sz w:val="40"/>
        </w:rPr>
        <w:t>experience</w:t>
      </w:r>
    </w:p>
    <w:p>
      <w:pPr>
        <w:pStyle w:val="BodyText"/>
        <w:spacing w:before="11"/>
        <w:rPr>
          <w:sz w:val="18"/>
        </w:rPr>
      </w:pPr>
      <w:r>
        <w:rPr/>
        <w:pict>
          <v:shape style="position:absolute;margin-left:51pt;margin-top:12.106035pt;width:493.35pt;height:247.6pt;mso-position-horizontal-relative:page;mso-position-vertical-relative:paragraph;z-index:-251431936;mso-wrap-distance-left:0;mso-wrap-distance-right:0" type="#_x0000_t202" filled="true" fillcolor="#f3aba3" stroked="false">
            <v:textbox inset="0,0,0,0">
              <w:txbxContent>
                <w:p>
                  <w:pPr>
                    <w:spacing w:before="117"/>
                    <w:ind w:left="107" w:right="0" w:firstLine="0"/>
                    <w:jc w:val="left"/>
                    <w:rPr>
                      <w:b/>
                      <w:sz w:val="20"/>
                    </w:rPr>
                  </w:pPr>
                  <w:r>
                    <w:rPr>
                      <w:b/>
                      <w:color w:val="404040"/>
                      <w:sz w:val="20"/>
                    </w:rPr>
                    <w:t>Key points</w:t>
                  </w:r>
                </w:p>
                <w:p>
                  <w:pPr>
                    <w:pStyle w:val="BodyText"/>
                    <w:numPr>
                      <w:ilvl w:val="0"/>
                      <w:numId w:val="24"/>
                    </w:numPr>
                    <w:tabs>
                      <w:tab w:pos="392" w:val="left" w:leader="none"/>
                    </w:tabs>
                    <w:spacing w:line="240" w:lineRule="auto" w:before="121" w:after="0"/>
                    <w:ind w:left="391" w:right="161" w:hanging="284"/>
                    <w:jc w:val="left"/>
                  </w:pPr>
                  <w:r>
                    <w:rPr>
                      <w:color w:val="404040"/>
                    </w:rPr>
                    <w:t>The total model population of 25.0 million people comprises the 24.9 million resident population of Australia,</w:t>
                  </w:r>
                  <w:r>
                    <w:rPr>
                      <w:color w:val="404040"/>
                      <w:spacing w:val="-3"/>
                    </w:rPr>
                    <w:t> </w:t>
                  </w:r>
                  <w:r>
                    <w:rPr>
                      <w:color w:val="404040"/>
                    </w:rPr>
                    <w:t>as</w:t>
                  </w:r>
                  <w:r>
                    <w:rPr>
                      <w:color w:val="404040"/>
                      <w:spacing w:val="-1"/>
                    </w:rPr>
                    <w:t> </w:t>
                  </w:r>
                  <w:r>
                    <w:rPr>
                      <w:color w:val="404040"/>
                    </w:rPr>
                    <w:t>well</w:t>
                  </w:r>
                  <w:r>
                    <w:rPr>
                      <w:color w:val="404040"/>
                      <w:spacing w:val="-4"/>
                    </w:rPr>
                    <w:t> </w:t>
                  </w:r>
                  <w:r>
                    <w:rPr>
                      <w:color w:val="404040"/>
                    </w:rPr>
                    <w:t>as</w:t>
                  </w:r>
                  <w:r>
                    <w:rPr>
                      <w:color w:val="404040"/>
                      <w:spacing w:val="-4"/>
                    </w:rPr>
                    <w:t> </w:t>
                  </w:r>
                  <w:r>
                    <w:rPr>
                      <w:color w:val="404040"/>
                    </w:rPr>
                    <w:t>0.1</w:t>
                  </w:r>
                  <w:r>
                    <w:rPr>
                      <w:color w:val="404040"/>
                      <w:spacing w:val="-3"/>
                    </w:rPr>
                    <w:t> </w:t>
                  </w:r>
                  <w:r>
                    <w:rPr>
                      <w:color w:val="404040"/>
                    </w:rPr>
                    <w:t>million</w:t>
                  </w:r>
                  <w:r>
                    <w:rPr>
                      <w:color w:val="404040"/>
                      <w:spacing w:val="-4"/>
                    </w:rPr>
                    <w:t> </w:t>
                  </w:r>
                  <w:r>
                    <w:rPr>
                      <w:color w:val="404040"/>
                    </w:rPr>
                    <w:t>current</w:t>
                  </w:r>
                  <w:r>
                    <w:rPr>
                      <w:color w:val="404040"/>
                      <w:spacing w:val="-3"/>
                    </w:rPr>
                    <w:t> </w:t>
                  </w:r>
                  <w:r>
                    <w:rPr>
                      <w:color w:val="404040"/>
                    </w:rPr>
                    <w:t>welfare</w:t>
                  </w:r>
                  <w:r>
                    <w:rPr>
                      <w:color w:val="404040"/>
                      <w:spacing w:val="-5"/>
                    </w:rPr>
                    <w:t> </w:t>
                  </w:r>
                  <w:r>
                    <w:rPr>
                      <w:color w:val="404040"/>
                    </w:rPr>
                    <w:t>recipients</w:t>
                  </w:r>
                  <w:r>
                    <w:rPr>
                      <w:color w:val="404040"/>
                      <w:spacing w:val="-3"/>
                    </w:rPr>
                    <w:t> </w:t>
                  </w:r>
                  <w:r>
                    <w:rPr>
                      <w:color w:val="404040"/>
                    </w:rPr>
                    <w:t>residing</w:t>
                  </w:r>
                  <w:r>
                    <w:rPr>
                      <w:color w:val="404040"/>
                      <w:spacing w:val="-5"/>
                    </w:rPr>
                    <w:t> </w:t>
                  </w:r>
                  <w:r>
                    <w:rPr>
                      <w:color w:val="404040"/>
                    </w:rPr>
                    <w:t>overseas</w:t>
                  </w:r>
                  <w:r>
                    <w:rPr>
                      <w:color w:val="404040"/>
                      <w:spacing w:val="-2"/>
                    </w:rPr>
                    <w:t> </w:t>
                  </w:r>
                  <w:r>
                    <w:rPr>
                      <w:color w:val="404040"/>
                    </w:rPr>
                    <w:t>(mostly</w:t>
                  </w:r>
                  <w:r>
                    <w:rPr>
                      <w:color w:val="404040"/>
                      <w:spacing w:val="-6"/>
                    </w:rPr>
                    <w:t> </w:t>
                  </w:r>
                  <w:r>
                    <w:rPr>
                      <w:color w:val="404040"/>
                    </w:rPr>
                    <w:t>age</w:t>
                  </w:r>
                  <w:r>
                    <w:rPr>
                      <w:color w:val="404040"/>
                      <w:spacing w:val="-4"/>
                    </w:rPr>
                    <w:t> </w:t>
                  </w:r>
                  <w:r>
                    <w:rPr>
                      <w:color w:val="404040"/>
                    </w:rPr>
                    <w:t>pensioners).</w:t>
                  </w:r>
                  <w:r>
                    <w:rPr>
                      <w:color w:val="404040"/>
                      <w:spacing w:val="-5"/>
                    </w:rPr>
                    <w:t> </w:t>
                  </w:r>
                  <w:r>
                    <w:rPr>
                      <w:color w:val="404040"/>
                    </w:rPr>
                    <w:t>This has increased by 0.3 million since June 2017 which reflects population growth over the</w:t>
                  </w:r>
                  <w:r>
                    <w:rPr>
                      <w:color w:val="404040"/>
                      <w:spacing w:val="-16"/>
                    </w:rPr>
                    <w:t> </w:t>
                  </w:r>
                  <w:r>
                    <w:rPr>
                      <w:color w:val="404040"/>
                    </w:rPr>
                    <w:t>year.</w:t>
                  </w:r>
                </w:p>
                <w:p>
                  <w:pPr>
                    <w:pStyle w:val="BodyText"/>
                    <w:numPr>
                      <w:ilvl w:val="0"/>
                      <w:numId w:val="24"/>
                    </w:numPr>
                    <w:tabs>
                      <w:tab w:pos="392" w:val="left" w:leader="none"/>
                    </w:tabs>
                    <w:spacing w:line="240" w:lineRule="auto" w:before="118" w:after="0"/>
                    <w:ind w:left="391" w:right="270" w:hanging="284"/>
                    <w:jc w:val="left"/>
                  </w:pPr>
                  <w:r>
                    <w:rPr>
                      <w:color w:val="404040"/>
                    </w:rPr>
                    <w:t>The</w:t>
                  </w:r>
                  <w:r>
                    <w:rPr>
                      <w:color w:val="404040"/>
                      <w:spacing w:val="-5"/>
                    </w:rPr>
                    <w:t> </w:t>
                  </w:r>
                  <w:r>
                    <w:rPr>
                      <w:color w:val="404040"/>
                    </w:rPr>
                    <w:t>number</w:t>
                  </w:r>
                  <w:r>
                    <w:rPr>
                      <w:color w:val="404040"/>
                      <w:spacing w:val="-3"/>
                    </w:rPr>
                    <w:t> </w:t>
                  </w:r>
                  <w:r>
                    <w:rPr>
                      <w:color w:val="404040"/>
                    </w:rPr>
                    <w:t>of</w:t>
                  </w:r>
                  <w:r>
                    <w:rPr>
                      <w:color w:val="404040"/>
                      <w:spacing w:val="-3"/>
                    </w:rPr>
                    <w:t> </w:t>
                  </w:r>
                  <w:r>
                    <w:rPr>
                      <w:color w:val="404040"/>
                    </w:rPr>
                    <w:t>entries</w:t>
                  </w:r>
                  <w:r>
                    <w:rPr>
                      <w:color w:val="404040"/>
                      <w:spacing w:val="-3"/>
                    </w:rPr>
                    <w:t> </w:t>
                  </w:r>
                  <w:r>
                    <w:rPr>
                      <w:color w:val="404040"/>
                    </w:rPr>
                    <w:t>into</w:t>
                  </w:r>
                  <w:r>
                    <w:rPr>
                      <w:color w:val="404040"/>
                      <w:spacing w:val="-5"/>
                    </w:rPr>
                    <w:t> </w:t>
                  </w:r>
                  <w:r>
                    <w:rPr>
                      <w:color w:val="404040"/>
                    </w:rPr>
                    <w:t>the</w:t>
                  </w:r>
                  <w:r>
                    <w:rPr>
                      <w:color w:val="404040"/>
                      <w:spacing w:val="-2"/>
                    </w:rPr>
                    <w:t> </w:t>
                  </w:r>
                  <w:r>
                    <w:rPr>
                      <w:color w:val="404040"/>
                    </w:rPr>
                    <w:t>welfare</w:t>
                  </w:r>
                  <w:r>
                    <w:rPr>
                      <w:color w:val="404040"/>
                      <w:spacing w:val="-5"/>
                    </w:rPr>
                    <w:t> </w:t>
                  </w:r>
                  <w:r>
                    <w:rPr>
                      <w:color w:val="404040"/>
                    </w:rPr>
                    <w:t>system</w:t>
                  </w:r>
                  <w:r>
                    <w:rPr>
                      <w:color w:val="404040"/>
                      <w:spacing w:val="1"/>
                    </w:rPr>
                    <w:t> </w:t>
                  </w:r>
                  <w:r>
                    <w:rPr>
                      <w:color w:val="404040"/>
                    </w:rPr>
                    <w:t>has</w:t>
                  </w:r>
                  <w:r>
                    <w:rPr>
                      <w:color w:val="404040"/>
                      <w:spacing w:val="-4"/>
                    </w:rPr>
                    <w:t> </w:t>
                  </w:r>
                  <w:r>
                    <w:rPr>
                      <w:color w:val="404040"/>
                    </w:rPr>
                    <w:t>been</w:t>
                  </w:r>
                  <w:r>
                    <w:rPr>
                      <w:color w:val="404040"/>
                      <w:spacing w:val="-4"/>
                    </w:rPr>
                    <w:t> </w:t>
                  </w:r>
                  <w:r>
                    <w:rPr>
                      <w:color w:val="404040"/>
                    </w:rPr>
                    <w:t>decreasing</w:t>
                  </w:r>
                  <w:r>
                    <w:rPr>
                      <w:color w:val="404040"/>
                      <w:spacing w:val="-3"/>
                    </w:rPr>
                    <w:t> </w:t>
                  </w:r>
                  <w:r>
                    <w:rPr>
                      <w:color w:val="404040"/>
                    </w:rPr>
                    <w:t>over</w:t>
                  </w:r>
                  <w:r>
                    <w:rPr>
                      <w:color w:val="404040"/>
                      <w:spacing w:val="-3"/>
                    </w:rPr>
                    <w:t> </w:t>
                  </w:r>
                  <w:r>
                    <w:rPr>
                      <w:color w:val="404040"/>
                    </w:rPr>
                    <w:t>recent years,</w:t>
                  </w:r>
                  <w:r>
                    <w:rPr>
                      <w:color w:val="404040"/>
                      <w:spacing w:val="-3"/>
                    </w:rPr>
                    <w:t> </w:t>
                  </w:r>
                  <w:r>
                    <w:rPr>
                      <w:color w:val="404040"/>
                    </w:rPr>
                    <w:t>while</w:t>
                  </w:r>
                  <w:r>
                    <w:rPr>
                      <w:color w:val="404040"/>
                      <w:spacing w:val="-2"/>
                    </w:rPr>
                    <w:t> </w:t>
                  </w:r>
                  <w:r>
                    <w:rPr>
                      <w:color w:val="404040"/>
                    </w:rPr>
                    <w:t>the</w:t>
                  </w:r>
                  <w:r>
                    <w:rPr>
                      <w:color w:val="404040"/>
                      <w:spacing w:val="-3"/>
                    </w:rPr>
                    <w:t> </w:t>
                  </w:r>
                  <w:r>
                    <w:rPr>
                      <w:color w:val="404040"/>
                    </w:rPr>
                    <w:t>number of people exiting the welfare system has been increasing. These factors have driven a decrease in the total number of welfare recipients from 8.04 million in 2017 to 7.95 million in</w:t>
                  </w:r>
                  <w:r>
                    <w:rPr>
                      <w:color w:val="404040"/>
                      <w:spacing w:val="-11"/>
                    </w:rPr>
                    <w:t> </w:t>
                  </w:r>
                  <w:r>
                    <w:rPr>
                      <w:color w:val="404040"/>
                    </w:rPr>
                    <w:t>2018.</w:t>
                  </w:r>
                </w:p>
                <w:p>
                  <w:pPr>
                    <w:pStyle w:val="BodyText"/>
                    <w:numPr>
                      <w:ilvl w:val="0"/>
                      <w:numId w:val="24"/>
                    </w:numPr>
                    <w:tabs>
                      <w:tab w:pos="392" w:val="left" w:leader="none"/>
                    </w:tabs>
                    <w:spacing w:line="240" w:lineRule="auto" w:before="119" w:after="0"/>
                    <w:ind w:left="391" w:right="406" w:hanging="284"/>
                    <w:jc w:val="left"/>
                  </w:pPr>
                  <w:r>
                    <w:rPr>
                      <w:color w:val="404040"/>
                    </w:rPr>
                    <w:t>This</w:t>
                  </w:r>
                  <w:r>
                    <w:rPr>
                      <w:color w:val="404040"/>
                      <w:spacing w:val="-4"/>
                    </w:rPr>
                    <w:t> </w:t>
                  </w:r>
                  <w:r>
                    <w:rPr>
                      <w:color w:val="404040"/>
                    </w:rPr>
                    <w:t>decrease</w:t>
                  </w:r>
                  <w:r>
                    <w:rPr>
                      <w:color w:val="404040"/>
                      <w:spacing w:val="-4"/>
                    </w:rPr>
                    <w:t> </w:t>
                  </w:r>
                  <w:r>
                    <w:rPr>
                      <w:color w:val="404040"/>
                    </w:rPr>
                    <w:t>in</w:t>
                  </w:r>
                  <w:r>
                    <w:rPr>
                      <w:color w:val="404040"/>
                      <w:spacing w:val="-3"/>
                    </w:rPr>
                    <w:t> </w:t>
                  </w:r>
                  <w:r>
                    <w:rPr>
                      <w:color w:val="404040"/>
                    </w:rPr>
                    <w:t>the</w:t>
                  </w:r>
                  <w:r>
                    <w:rPr>
                      <w:color w:val="404040"/>
                      <w:spacing w:val="1"/>
                    </w:rPr>
                    <w:t> </w:t>
                  </w:r>
                  <w:r>
                    <w:rPr>
                      <w:color w:val="404040"/>
                    </w:rPr>
                    <w:t>welfare</w:t>
                  </w:r>
                  <w:r>
                    <w:rPr>
                      <w:color w:val="404040"/>
                      <w:spacing w:val="-4"/>
                    </w:rPr>
                    <w:t> </w:t>
                  </w:r>
                  <w:r>
                    <w:rPr>
                      <w:color w:val="404040"/>
                    </w:rPr>
                    <w:t>population</w:t>
                  </w:r>
                  <w:r>
                    <w:rPr>
                      <w:color w:val="404040"/>
                      <w:spacing w:val="-3"/>
                    </w:rPr>
                    <w:t> </w:t>
                  </w:r>
                  <w:r>
                    <w:rPr>
                      <w:color w:val="404040"/>
                    </w:rPr>
                    <w:t>over</w:t>
                  </w:r>
                  <w:r>
                    <w:rPr>
                      <w:color w:val="404040"/>
                      <w:spacing w:val="-3"/>
                    </w:rPr>
                    <w:t> </w:t>
                  </w:r>
                  <w:r>
                    <w:rPr>
                      <w:color w:val="404040"/>
                    </w:rPr>
                    <w:t>the</w:t>
                  </w:r>
                  <w:r>
                    <w:rPr>
                      <w:color w:val="404040"/>
                      <w:spacing w:val="-3"/>
                    </w:rPr>
                    <w:t> </w:t>
                  </w:r>
                  <w:r>
                    <w:rPr>
                      <w:color w:val="404040"/>
                    </w:rPr>
                    <w:t>last</w:t>
                  </w:r>
                  <w:r>
                    <w:rPr>
                      <w:color w:val="404040"/>
                      <w:spacing w:val="1"/>
                    </w:rPr>
                    <w:t> </w:t>
                  </w:r>
                  <w:r>
                    <w:rPr>
                      <w:color w:val="404040"/>
                    </w:rPr>
                    <w:t>year</w:t>
                  </w:r>
                  <w:r>
                    <w:rPr>
                      <w:color w:val="404040"/>
                      <w:spacing w:val="-4"/>
                    </w:rPr>
                    <w:t> </w:t>
                  </w:r>
                  <w:r>
                    <w:rPr>
                      <w:color w:val="404040"/>
                    </w:rPr>
                    <w:t>is</w:t>
                  </w:r>
                  <w:r>
                    <w:rPr>
                      <w:color w:val="404040"/>
                      <w:spacing w:val="-3"/>
                    </w:rPr>
                    <w:t> </w:t>
                  </w:r>
                  <w:r>
                    <w:rPr>
                      <w:color w:val="404040"/>
                    </w:rPr>
                    <w:t>despite</w:t>
                  </w:r>
                  <w:r>
                    <w:rPr>
                      <w:color w:val="404040"/>
                      <w:spacing w:val="-4"/>
                    </w:rPr>
                    <w:t> </w:t>
                  </w:r>
                  <w:r>
                    <w:rPr>
                      <w:color w:val="404040"/>
                    </w:rPr>
                    <w:t>growth</w:t>
                  </w:r>
                  <w:r>
                    <w:rPr>
                      <w:color w:val="404040"/>
                      <w:spacing w:val="-3"/>
                    </w:rPr>
                    <w:t> </w:t>
                  </w:r>
                  <w:r>
                    <w:rPr>
                      <w:color w:val="404040"/>
                    </w:rPr>
                    <w:t>in</w:t>
                  </w:r>
                  <w:r>
                    <w:rPr>
                      <w:color w:val="404040"/>
                      <w:spacing w:val="-4"/>
                    </w:rPr>
                    <w:t> </w:t>
                  </w:r>
                  <w:r>
                    <w:rPr>
                      <w:color w:val="404040"/>
                    </w:rPr>
                    <w:t>the</w:t>
                  </w:r>
                  <w:r>
                    <w:rPr>
                      <w:color w:val="404040"/>
                      <w:spacing w:val="-2"/>
                    </w:rPr>
                    <w:t> </w:t>
                  </w:r>
                  <w:r>
                    <w:rPr>
                      <w:color w:val="404040"/>
                    </w:rPr>
                    <w:t>number</w:t>
                  </w:r>
                  <w:r>
                    <w:rPr>
                      <w:color w:val="404040"/>
                      <w:spacing w:val="-4"/>
                    </w:rPr>
                    <w:t> </w:t>
                  </w:r>
                  <w:r>
                    <w:rPr>
                      <w:color w:val="404040"/>
                    </w:rPr>
                    <w:t>of</w:t>
                  </w:r>
                  <w:r>
                    <w:rPr>
                      <w:color w:val="404040"/>
                      <w:spacing w:val="-2"/>
                    </w:rPr>
                    <w:t> </w:t>
                  </w:r>
                  <w:r>
                    <w:rPr>
                      <w:color w:val="404040"/>
                    </w:rPr>
                    <w:t>Australian residents. Welfare recipients now make up 31.8% of the population, down from 32.6% at June 2017. Income support recipients now make up 22.1% of the population, down from 23.3% at June</w:t>
                  </w:r>
                  <w:r>
                    <w:rPr>
                      <w:color w:val="404040"/>
                      <w:spacing w:val="-29"/>
                    </w:rPr>
                    <w:t> </w:t>
                  </w:r>
                  <w:r>
                    <w:rPr>
                      <w:color w:val="404040"/>
                    </w:rPr>
                    <w:t>2017.</w:t>
                  </w:r>
                </w:p>
                <w:p>
                  <w:pPr>
                    <w:pStyle w:val="BodyText"/>
                    <w:numPr>
                      <w:ilvl w:val="0"/>
                      <w:numId w:val="24"/>
                    </w:numPr>
                    <w:tabs>
                      <w:tab w:pos="392" w:val="left" w:leader="none"/>
                    </w:tabs>
                    <w:spacing w:line="240" w:lineRule="auto" w:before="118" w:after="0"/>
                    <w:ind w:left="391" w:right="381" w:hanging="284"/>
                    <w:jc w:val="left"/>
                  </w:pPr>
                  <w:r>
                    <w:rPr>
                      <w:color w:val="404040"/>
                    </w:rPr>
                    <w:t>The</w:t>
                  </w:r>
                  <w:r>
                    <w:rPr>
                      <w:color w:val="404040"/>
                      <w:spacing w:val="-4"/>
                    </w:rPr>
                    <w:t> </w:t>
                  </w:r>
                  <w:r>
                    <w:rPr>
                      <w:color w:val="404040"/>
                    </w:rPr>
                    <w:t>numbers</w:t>
                  </w:r>
                  <w:r>
                    <w:rPr>
                      <w:color w:val="404040"/>
                      <w:spacing w:val="-2"/>
                    </w:rPr>
                    <w:t> </w:t>
                  </w:r>
                  <w:r>
                    <w:rPr>
                      <w:color w:val="404040"/>
                    </w:rPr>
                    <w:t>of</w:t>
                  </w:r>
                  <w:r>
                    <w:rPr>
                      <w:color w:val="404040"/>
                      <w:spacing w:val="-1"/>
                    </w:rPr>
                    <w:t> </w:t>
                  </w:r>
                  <w:r>
                    <w:rPr>
                      <w:color w:val="404040"/>
                    </w:rPr>
                    <w:t>people</w:t>
                  </w:r>
                  <w:r>
                    <w:rPr>
                      <w:color w:val="404040"/>
                      <w:spacing w:val="-2"/>
                    </w:rPr>
                    <w:t> </w:t>
                  </w:r>
                  <w:r>
                    <w:rPr>
                      <w:color w:val="404040"/>
                    </w:rPr>
                    <w:t>in</w:t>
                  </w:r>
                  <w:r>
                    <w:rPr>
                      <w:color w:val="404040"/>
                      <w:spacing w:val="-1"/>
                    </w:rPr>
                    <w:t> </w:t>
                  </w:r>
                  <w:r>
                    <w:rPr>
                      <w:color w:val="404040"/>
                    </w:rPr>
                    <w:t>most</w:t>
                  </w:r>
                  <w:r>
                    <w:rPr>
                      <w:color w:val="404040"/>
                      <w:spacing w:val="-3"/>
                    </w:rPr>
                    <w:t> </w:t>
                  </w:r>
                  <w:r>
                    <w:rPr>
                      <w:color w:val="404040"/>
                    </w:rPr>
                    <w:t>income</w:t>
                  </w:r>
                  <w:r>
                    <w:rPr>
                      <w:color w:val="404040"/>
                      <w:spacing w:val="-4"/>
                    </w:rPr>
                    <w:t> </w:t>
                  </w:r>
                  <w:r>
                    <w:rPr>
                      <w:color w:val="404040"/>
                    </w:rPr>
                    <w:t>support</w:t>
                  </w:r>
                  <w:r>
                    <w:rPr>
                      <w:color w:val="404040"/>
                      <w:spacing w:val="-3"/>
                    </w:rPr>
                    <w:t> </w:t>
                  </w:r>
                  <w:r>
                    <w:rPr>
                      <w:color w:val="404040"/>
                    </w:rPr>
                    <w:t>classes</w:t>
                  </w:r>
                  <w:r>
                    <w:rPr>
                      <w:color w:val="404040"/>
                      <w:spacing w:val="-2"/>
                    </w:rPr>
                    <w:t> </w:t>
                  </w:r>
                  <w:r>
                    <w:rPr>
                      <w:color w:val="404040"/>
                    </w:rPr>
                    <w:t>have</w:t>
                  </w:r>
                  <w:r>
                    <w:rPr>
                      <w:color w:val="404040"/>
                      <w:spacing w:val="-4"/>
                    </w:rPr>
                    <w:t> </w:t>
                  </w:r>
                  <w:r>
                    <w:rPr>
                      <w:color w:val="404040"/>
                    </w:rPr>
                    <w:t>reduced</w:t>
                  </w:r>
                  <w:r>
                    <w:rPr>
                      <w:color w:val="404040"/>
                      <w:spacing w:val="-3"/>
                    </w:rPr>
                    <w:t> </w:t>
                  </w:r>
                  <w:r>
                    <w:rPr>
                      <w:color w:val="404040"/>
                    </w:rPr>
                    <w:t>compared</w:t>
                  </w:r>
                  <w:r>
                    <w:rPr>
                      <w:color w:val="404040"/>
                      <w:spacing w:val="-1"/>
                    </w:rPr>
                    <w:t> </w:t>
                  </w:r>
                  <w:r>
                    <w:rPr>
                      <w:color w:val="404040"/>
                    </w:rPr>
                    <w:t>to</w:t>
                  </w:r>
                  <w:r>
                    <w:rPr>
                      <w:color w:val="404040"/>
                      <w:spacing w:val="-4"/>
                    </w:rPr>
                    <w:t> </w:t>
                  </w:r>
                  <w:r>
                    <w:rPr>
                      <w:color w:val="404040"/>
                    </w:rPr>
                    <w:t>last</w:t>
                  </w:r>
                  <w:r>
                    <w:rPr>
                      <w:color w:val="404040"/>
                      <w:spacing w:val="-1"/>
                    </w:rPr>
                    <w:t> </w:t>
                  </w:r>
                  <w:r>
                    <w:rPr>
                      <w:color w:val="404040"/>
                    </w:rPr>
                    <w:t>year.</w:t>
                  </w:r>
                  <w:r>
                    <w:rPr>
                      <w:color w:val="404040"/>
                      <w:spacing w:val="-3"/>
                    </w:rPr>
                    <w:t> </w:t>
                  </w:r>
                  <w:r>
                    <w:rPr>
                      <w:color w:val="404040"/>
                    </w:rPr>
                    <w:t>The</w:t>
                  </w:r>
                  <w:r>
                    <w:rPr>
                      <w:color w:val="404040"/>
                      <w:spacing w:val="-3"/>
                    </w:rPr>
                    <w:t> </w:t>
                  </w:r>
                  <w:r>
                    <w:rPr>
                      <w:color w:val="404040"/>
                    </w:rPr>
                    <w:t>main exception to this is the Carers class, which has continued to</w:t>
                  </w:r>
                  <w:r>
                    <w:rPr>
                      <w:color w:val="404040"/>
                      <w:spacing w:val="-6"/>
                    </w:rPr>
                    <w:t> </w:t>
                  </w:r>
                  <w:r>
                    <w:rPr>
                      <w:color w:val="404040"/>
                    </w:rPr>
                    <w:t>grow.</w:t>
                  </w:r>
                </w:p>
                <w:p>
                  <w:pPr>
                    <w:pStyle w:val="BodyText"/>
                    <w:numPr>
                      <w:ilvl w:val="0"/>
                      <w:numId w:val="24"/>
                    </w:numPr>
                    <w:tabs>
                      <w:tab w:pos="392" w:val="left" w:leader="none"/>
                    </w:tabs>
                    <w:spacing w:line="240" w:lineRule="auto" w:before="120" w:after="0"/>
                    <w:ind w:left="391" w:right="301" w:hanging="284"/>
                    <w:jc w:val="left"/>
                  </w:pPr>
                  <w:r>
                    <w:rPr>
                      <w:color w:val="404040"/>
                    </w:rPr>
                    <w:t>The number of entrants into DSP remained at much lower levels as a result of the tightening of eligibility criteria over recent</w:t>
                  </w:r>
                  <w:r>
                    <w:rPr>
                      <w:color w:val="404040"/>
                      <w:spacing w:val="4"/>
                    </w:rPr>
                    <w:t> </w:t>
                  </w:r>
                  <w:r>
                    <w:rPr>
                      <w:color w:val="404040"/>
                    </w:rPr>
                    <w:t>years.</w:t>
                  </w:r>
                </w:p>
                <w:p>
                  <w:pPr>
                    <w:pStyle w:val="BodyText"/>
                    <w:numPr>
                      <w:ilvl w:val="0"/>
                      <w:numId w:val="24"/>
                    </w:numPr>
                    <w:tabs>
                      <w:tab w:pos="392" w:val="left" w:leader="none"/>
                    </w:tabs>
                    <w:spacing w:line="240" w:lineRule="auto" w:before="118" w:after="0"/>
                    <w:ind w:left="391" w:right="446" w:hanging="284"/>
                    <w:jc w:val="left"/>
                  </w:pPr>
                  <w:r>
                    <w:rPr>
                      <w:color w:val="404040"/>
                    </w:rPr>
                    <w:t>The number of people entering the Age Pension has reduced, in part as a result of the changes in the pensions assets test. Movements into Age Pension also reduced as a result of the increase in the Age Pension age from 65 to 65.5 in</w:t>
                  </w:r>
                  <w:r>
                    <w:rPr>
                      <w:color w:val="404040"/>
                      <w:spacing w:val="2"/>
                    </w:rPr>
                    <w:t> </w:t>
                  </w:r>
                  <w:r>
                    <w:rPr>
                      <w:color w:val="404040"/>
                    </w:rPr>
                    <w:t>2018.</w:t>
                  </w:r>
                </w:p>
              </w:txbxContent>
            </v:textbox>
            <v:fill type="solid"/>
            <w10:wrap type="topAndBottom"/>
          </v:shape>
        </w:pict>
      </w:r>
    </w:p>
    <w:p>
      <w:pPr>
        <w:pStyle w:val="BodyText"/>
        <w:spacing w:before="3"/>
        <w:rPr>
          <w:sz w:val="11"/>
        </w:rPr>
      </w:pPr>
    </w:p>
    <w:p>
      <w:pPr>
        <w:pStyle w:val="ListParagraph"/>
        <w:numPr>
          <w:ilvl w:val="1"/>
          <w:numId w:val="22"/>
        </w:numPr>
        <w:tabs>
          <w:tab w:pos="1752" w:val="left" w:leader="none"/>
          <w:tab w:pos="1753" w:val="left" w:leader="none"/>
        </w:tabs>
        <w:spacing w:line="240" w:lineRule="auto" w:before="92" w:after="0"/>
        <w:ind w:left="1752" w:right="0" w:hanging="853"/>
        <w:jc w:val="left"/>
        <w:rPr>
          <w:sz w:val="28"/>
        </w:rPr>
      </w:pPr>
      <w:bookmarkStart w:name="4.1 Summary of model population" w:id="106"/>
      <w:bookmarkEnd w:id="106"/>
      <w:r>
        <w:rPr/>
      </w:r>
      <w:bookmarkStart w:name="_bookmark26" w:id="107"/>
      <w:bookmarkEnd w:id="107"/>
      <w:r>
        <w:rPr/>
      </w:r>
      <w:bookmarkStart w:name="_bookmark26" w:id="108"/>
      <w:bookmarkEnd w:id="108"/>
      <w:r>
        <w:rPr>
          <w:color w:val="DF2F28"/>
          <w:sz w:val="28"/>
        </w:rPr>
        <w:t>Su</w:t>
      </w:r>
      <w:r>
        <w:rPr>
          <w:color w:val="DF2F28"/>
          <w:sz w:val="28"/>
        </w:rPr>
        <w:t>mmary of model</w:t>
      </w:r>
      <w:r>
        <w:rPr>
          <w:color w:val="DF2F28"/>
          <w:spacing w:val="-3"/>
          <w:sz w:val="28"/>
        </w:rPr>
        <w:t> </w:t>
      </w:r>
      <w:r>
        <w:rPr>
          <w:color w:val="DF2F28"/>
          <w:sz w:val="28"/>
        </w:rPr>
        <w:t>population</w:t>
      </w:r>
    </w:p>
    <w:p>
      <w:pPr>
        <w:pStyle w:val="BodyText"/>
        <w:spacing w:before="122"/>
        <w:ind w:left="899" w:right="1121"/>
      </w:pPr>
      <w:r>
        <w:rPr>
          <w:color w:val="404040"/>
        </w:rPr>
        <w:t>The scope of the population for the 2018 valuation includes all Australian residents at 30 June 2018 and overseas welfare recipients who received a payment in the 2017/18 year. Future migrants and unborn children are not included in the model, but will appear in future valuations once they migrate or are born.</w:t>
      </w:r>
    </w:p>
    <w:p>
      <w:pPr>
        <w:pStyle w:val="BodyText"/>
        <w:spacing w:line="242" w:lineRule="auto" w:before="113"/>
        <w:ind w:left="899" w:right="1454" w:hanging="1"/>
      </w:pPr>
      <w:r>
        <w:rPr>
          <w:color w:val="404040"/>
        </w:rPr>
        <w:t>The Australian estimated resident population (ERP) at 30 June 2018 is 24.9 million people.</w:t>
      </w:r>
      <w:hyperlink w:history="true" w:anchor="_bookmark27">
        <w:r>
          <w:rPr>
            <w:color w:val="404040"/>
            <w:position w:val="7"/>
            <w:sz w:val="14"/>
          </w:rPr>
          <w:t>6 </w:t>
        </w:r>
      </w:hyperlink>
      <w:r>
        <w:rPr>
          <w:color w:val="404040"/>
        </w:rPr>
        <w:t>The model population is 25.0 million people; this is slightly larger than the resident population owing to the inclusion of overseas residents who currently receive welfare payments as represented below.</w:t>
      </w:r>
    </w:p>
    <w:p>
      <w:pPr>
        <w:pStyle w:val="Heading9"/>
        <w:spacing w:before="174"/>
        <w:ind w:left="899"/>
      </w:pPr>
      <w:r>
        <w:rPr>
          <w:color w:val="DF2F1E"/>
        </w:rPr>
        <w:t>Figure 21: Population at 30 June 2018</w:t>
      </w:r>
    </w:p>
    <w:p>
      <w:pPr>
        <w:pStyle w:val="Heading8"/>
        <w:spacing w:before="138"/>
      </w:pPr>
      <w:r>
        <w:rPr/>
        <w:pict>
          <v:group style="position:absolute;margin-left:56.449917pt;margin-top:4.927863pt;width:224.2pt;height:193pt;mso-position-horizontal-relative:page;mso-position-vertical-relative:paragraph;z-index:251889664" coordorigin="1129,99" coordsize="4484,3860">
            <v:shape style="position:absolute;left:5599;top:98;width:2;height:601" coordorigin="5599,99" coordsize="0,601" path="m5599,99l5599,700,5599,99xe" filled="false" stroked="true" strokeweight="1.338381pt" strokecolor="#eb8b00">
              <v:path arrowok="t"/>
              <v:stroke dashstyle="solid"/>
            </v:shape>
            <v:shape style="position:absolute;left:3242;top:211;width:2358;height:369" coordorigin="3242,211" coordsize="2358,369" path="m5599,211l5211,211,3242,579e" filled="false" stroked="true" strokeweight="1.335598pt" strokecolor="#eb8b00">
              <v:path arrowok="t"/>
              <v:stroke dashstyle="solid"/>
            </v:shape>
            <v:shape style="position:absolute;left:1129;top:419;width:3547;height:3540" coordorigin="1129,419" coordsize="3547,3540" path="m2902,3958l2825,3957,2749,3952,2674,3944,2600,3933,2527,3919,2455,3901,2384,3881,2314,3859,2246,3833,2179,3805,2113,3774,2049,3740,1987,3704,1926,3666,1867,3625,1809,3582,1754,3537,1700,3490,1648,3440,1599,3388,1551,3335,1506,3279,1463,3222,1422,3163,1383,3102,1347,3040,1314,2976,1283,2911,1255,2844,1229,2776,1206,2706,1186,2635,1169,2563,1155,2490,1144,2416,1136,2341,1131,2265,1129,2189,1131,2112,1136,2036,1144,1961,1155,1887,1169,1814,1186,1742,1206,1671,1229,1602,1255,1533,1283,1467,1314,1401,1347,1337,1383,1275,1422,1214,1463,1155,1506,1098,1551,1042,1599,989,1648,937,1700,888,1754,840,1809,795,1867,752,1926,711,1987,673,2049,637,2113,604,2179,573,2246,544,2314,519,2384,496,2455,476,2527,459,2600,445,2674,434,2749,426,2825,421,2902,419,2979,421,3055,426,3131,434,3205,445,3278,459,3350,476,3421,496,3491,519,3559,544,3626,573,3692,604,3756,637,3818,673,3879,711,3938,752,3995,795,4051,840,4105,888,4156,937,4206,989,4254,1042,4299,1098,4342,1155,4383,1214,4421,1275,4457,1337,4491,1401,4522,1467,4550,1533,4576,1602,4599,1671,4619,1742,4636,1814,4650,1887,4661,1961,4669,2036,4674,2112,4676,2189,4674,2265,4669,2341,4661,2416,4650,2490,4636,2563,4619,2635,4599,2706,4576,2776,4550,2844,4522,2911,4491,2976,4457,3040,4421,3102,4383,3163,4342,3222,4299,3279,4254,3335,4206,3388,4156,3440,4105,3490,4051,3537,3995,3582,3938,3625,3879,3666,3818,3704,3756,3740,3692,3774,3626,3805,3559,3833,3491,3859,3421,3881,3350,3901,3278,3919,3205,3933,3131,3944,3055,3952,2979,3957,2902,3958xe" filled="true" fillcolor="#eb8b00" stroked="false">
              <v:path arrowok="t"/>
              <v:fill type="solid"/>
            </v:shape>
            <v:shape style="position:absolute;left:3083;top:712;width:1232;height:1229" coordorigin="3083,713" coordsize="1232,1229" path="m3699,1942l3621,1937,3547,1923,3476,1900,3409,1870,3347,1832,3290,1787,3238,1735,3193,1678,3155,1616,3124,1549,3102,1479,3088,1404,3083,1327,3088,1250,3102,1176,3124,1105,3155,1038,3193,976,3238,919,3290,868,3347,823,3409,785,3476,754,3547,732,3621,718,3699,713,3776,718,3850,732,3921,754,3988,785,4050,823,4108,868,4159,919,4204,976,4242,1038,4273,1105,4296,1176,4310,1250,4314,1327,4310,1404,4296,1479,4273,1549,4242,1616,4204,1678,4159,1735,4108,1787,4050,1832,3988,1870,3921,1900,3850,1923,3776,1937,3699,1942xe" filled="true" fillcolor="#585858" stroked="false">
              <v:path arrowok="t"/>
              <v:fill type="solid"/>
            </v:shape>
            <v:shape style="position:absolute;left:3083;top:2008;width:1694;height:1690" coordorigin="3083,2008" coordsize="1694,1690" path="m4776,2853l4771,2764,4758,2678,4735,2596,4705,2517,4666,2442,4665,2446,4654,2425,4615,2365,4571,2308,4522,2255,4470,2206,4413,2162,4352,2123,4288,2089,4220,2061,4150,2038,4078,2022,4003,2012,3926,2008,3850,2012,3775,2022,3702,2038,3632,2061,3565,2089,3501,2123,3440,2162,3383,2206,3330,2255,3281,2308,3237,2365,3198,2425,3164,2489,3136,2556,3113,2626,3097,2699,3087,2773,3083,2850,3087,2926,3097,3001,3113,3073,3136,3143,3164,3210,3198,3274,3237,3335,3281,3392,3330,3445,3383,3493,3440,3537,3501,3576,3565,3610,3632,3639,3702,3661,3775,3678,3850,3688,3870,3689,3866,3691,3932,3698,4009,3694,4084,3684,4157,3668,4227,3645,4294,3616,4358,3582,4419,3543,4476,3499,4529,3450,4578,3397,4622,3340,4661,3279,4695,3215,4723,3148,4746,3077,4763,3005,4773,2930,4776,2853e" filled="true" fillcolor="#a6a6a6" stroked="false">
              <v:path arrowok="t"/>
              <v:fill type="solid"/>
            </v:shape>
            <v:shape style="position:absolute;left:3866;top:2442;width:911;height:1256" coordorigin="3866,2442" coordsize="911,1256" path="m4666,2442l4705,2517,4735,2596,4758,2678,4771,2764,4776,2853,4773,2930,4763,3005,4746,3077,4723,3148,4695,3215,4661,3279,4622,3340,4578,3397,4529,3450,4476,3499,4419,3543,4358,3582,4294,3616,4227,3645,4157,3668,4084,3684,4009,3694,3932,3698,3866,3691,3929,3649,3990,3604,4049,3557,4106,3507,4161,3455,4214,3400,4264,3344,4311,3285,4357,3224,4399,3161,4439,3097,4476,3030,4511,2962,4542,2892,4571,2821,4596,2748,4618,2673,4637,2598,4653,2521,4666,2442xe" filled="false" stroked="true" strokeweight=".668695pt" strokecolor="#ffffff">
              <v:path arrowok="t"/>
              <v:stroke dashstyle="solid"/>
            </v:shape>
            <v:shape style="position:absolute;left:5575;top:1888;width:2;height:601" coordorigin="5576,1888" coordsize="0,601" path="m5576,1888l5576,2489,5576,1888xe" filled="false" stroked="true" strokeweight="1.338381pt" strokecolor="#a6a6a6">
              <v:path arrowok="t"/>
              <v:stroke dashstyle="solid"/>
            </v:shape>
            <v:shape style="position:absolute;left:4446;top:2097;width:1130;height:212" coordorigin="4446,2097" coordsize="1130,212" path="m5576,2105l5188,2097,4446,2308e" filled="false" stroked="true" strokeweight="1.335612pt" strokecolor="#a6a6a6">
              <v:path arrowok="t"/>
              <v:stroke dashstyle="solid"/>
            </v:shape>
            <v:shape style="position:absolute;left:5599;top:993;width:2;height:601" coordorigin="5599,993" coordsize="0,601" path="m5599,993l5599,1594,5599,993xe" filled="false" stroked="true" strokeweight="1.338381pt" strokecolor="#585858">
              <v:path arrowok="t"/>
              <v:stroke dashstyle="solid"/>
            </v:shape>
            <v:shape style="position:absolute;left:4273;top:1106;width:1326;height:229" coordorigin="4274,1106" coordsize="1326,229" path="m5599,1106l5211,1106,4274,1335e" filled="false" stroked="true" strokeweight="1.335638pt" strokecolor="#585858">
              <v:path arrowok="t"/>
              <v:stroke dashstyle="solid"/>
            </v:shape>
            <v:shape style="position:absolute;left:1563;top:1565;width:1301;height:995" type="#_x0000_t202" filled="false" stroked="false">
              <v:textbox inset="0,0,0,0">
                <w:txbxContent>
                  <w:p>
                    <w:pPr>
                      <w:spacing w:line="254" w:lineRule="auto" w:before="0"/>
                      <w:ind w:left="-1" w:right="18" w:firstLine="13"/>
                      <w:jc w:val="center"/>
                      <w:rPr>
                        <w:sz w:val="28"/>
                      </w:rPr>
                    </w:pPr>
                    <w:r>
                      <w:rPr>
                        <w:color w:val="FFFFFF"/>
                        <w:spacing w:val="-1"/>
                        <w:sz w:val="28"/>
                      </w:rPr>
                      <w:t>Australian </w:t>
                    </w:r>
                    <w:r>
                      <w:rPr>
                        <w:color w:val="FFFFFF"/>
                        <w:sz w:val="28"/>
                      </w:rPr>
                      <w:t>resident </w:t>
                    </w:r>
                    <w:r>
                      <w:rPr>
                        <w:color w:val="FFFFFF"/>
                        <w:spacing w:val="-3"/>
                        <w:sz w:val="28"/>
                      </w:rPr>
                      <w:t>population</w:t>
                    </w:r>
                  </w:p>
                </w:txbxContent>
              </v:textbox>
              <w10:wrap type="none"/>
            </v:shape>
            <v:shape style="position:absolute;left:3339;top:864;width:736;height:885" type="#_x0000_t202" filled="false" stroked="false">
              <v:textbox inset="0,0,0,0">
                <w:txbxContent>
                  <w:p>
                    <w:pPr>
                      <w:spacing w:line="256" w:lineRule="auto" w:before="0"/>
                      <w:ind w:left="93" w:right="108" w:firstLine="13"/>
                      <w:jc w:val="left"/>
                      <w:rPr>
                        <w:sz w:val="25"/>
                      </w:rPr>
                    </w:pPr>
                    <w:r>
                      <w:rPr>
                        <w:color w:val="FFFFFF"/>
                        <w:sz w:val="25"/>
                      </w:rPr>
                      <w:t>Past DSS</w:t>
                    </w:r>
                  </w:p>
                  <w:p>
                    <w:pPr>
                      <w:spacing w:line="273" w:lineRule="exact" w:before="0"/>
                      <w:ind w:left="0" w:right="0" w:firstLine="0"/>
                      <w:jc w:val="left"/>
                      <w:rPr>
                        <w:sz w:val="25"/>
                      </w:rPr>
                    </w:pPr>
                    <w:r>
                      <w:rPr>
                        <w:color w:val="FFFFFF"/>
                        <w:sz w:val="25"/>
                      </w:rPr>
                      <w:t>clients</w:t>
                    </w:r>
                  </w:p>
                </w:txbxContent>
              </v:textbox>
              <w10:wrap type="none"/>
            </v:shape>
            <v:shape style="position:absolute;left:3195;top:2080;width:1539;height:1419" type="#_x0000_t202" filled="false" stroked="false">
              <v:textbox inset="0,0,0,0">
                <w:txbxContent>
                  <w:p>
                    <w:pPr>
                      <w:spacing w:line="237" w:lineRule="auto" w:before="0"/>
                      <w:ind w:left="0" w:right="0" w:firstLine="347"/>
                      <w:jc w:val="left"/>
                      <w:rPr>
                        <w:sz w:val="25"/>
                      </w:rPr>
                    </w:pPr>
                    <w:r>
                      <w:rPr>
                        <w:color w:val="FFFFFF"/>
                        <w:sz w:val="25"/>
                      </w:rPr>
                      <w:t>Current DSS clients (Australian and overseas</w:t>
                    </w:r>
                  </w:p>
                  <w:p>
                    <w:pPr>
                      <w:spacing w:line="282" w:lineRule="exact" w:before="0"/>
                      <w:ind w:left="200" w:right="0" w:firstLine="0"/>
                      <w:jc w:val="left"/>
                      <w:rPr>
                        <w:sz w:val="25"/>
                      </w:rPr>
                    </w:pPr>
                    <w:r>
                      <w:rPr>
                        <w:color w:val="FFFFFF"/>
                        <w:sz w:val="25"/>
                      </w:rPr>
                      <w:t>residents)</w:t>
                    </w:r>
                  </w:p>
                </w:txbxContent>
              </v:textbox>
              <w10:wrap type="none"/>
            </v:shape>
            <w10:wrap type="none"/>
          </v:group>
        </w:pict>
      </w:r>
      <w:r>
        <w:rPr>
          <w:color w:val="404040"/>
        </w:rPr>
        <w:t>24.93 million Australian residents, of which</w:t>
      </w:r>
    </w:p>
    <w:p>
      <w:pPr>
        <w:pStyle w:val="Heading8"/>
        <w:spacing w:before="12"/>
      </w:pPr>
      <w:r>
        <w:rPr>
          <w:color w:val="404040"/>
        </w:rPr>
        <w:t>12.27 million are not current or past DSS clients</w:t>
      </w:r>
    </w:p>
    <w:p>
      <w:pPr>
        <w:pStyle w:val="BodyText"/>
        <w:spacing w:before="8"/>
        <w:rPr>
          <w:sz w:val="34"/>
        </w:rPr>
      </w:pPr>
    </w:p>
    <w:p>
      <w:pPr>
        <w:pStyle w:val="Heading8"/>
        <w:spacing w:line="252" w:lineRule="auto"/>
        <w:ind w:right="1329"/>
      </w:pPr>
      <w:r>
        <w:rPr>
          <w:color w:val="404040"/>
        </w:rPr>
        <w:t>4.82 million past clients (Australian residents only)</w:t>
      </w:r>
    </w:p>
    <w:p>
      <w:pPr>
        <w:pStyle w:val="BodyText"/>
        <w:spacing w:before="7"/>
        <w:rPr>
          <w:sz w:val="33"/>
        </w:rPr>
      </w:pPr>
    </w:p>
    <w:p>
      <w:pPr>
        <w:pStyle w:val="Heading8"/>
        <w:spacing w:line="252" w:lineRule="auto"/>
        <w:ind w:right="1155"/>
      </w:pPr>
      <w:r>
        <w:rPr>
          <w:color w:val="404040"/>
        </w:rPr>
        <w:t>7.95 million current clients, of which 0.10 million currently reside overseas</w:t>
      </w:r>
    </w:p>
    <w:p>
      <w:pPr>
        <w:pStyle w:val="BodyText"/>
      </w:pPr>
    </w:p>
    <w:p>
      <w:pPr>
        <w:pStyle w:val="BodyText"/>
        <w:spacing w:before="4"/>
        <w:rPr>
          <w:sz w:val="17"/>
        </w:rPr>
      </w:pPr>
    </w:p>
    <w:p>
      <w:pPr>
        <w:pStyle w:val="Heading7"/>
      </w:pPr>
      <w:r>
        <w:rPr/>
        <w:t>25.03 million total model population</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
        <w:rPr>
          <w:b/>
          <w:sz w:val="18"/>
        </w:rPr>
      </w:pPr>
      <w:r>
        <w:rPr/>
        <w:pict>
          <v:shape style="position:absolute;margin-left:51pt;margin-top:13.071054pt;width:144pt;height:.1pt;mso-position-horizontal-relative:page;mso-position-vertical-relative:paragraph;z-index:-251430912;mso-wrap-distance-left:0;mso-wrap-distance-right:0" coordorigin="1020,261" coordsize="2880,0" path="m1020,261l3900,261e" filled="false" stroked="true" strokeweight=".36pt" strokecolor="#404040">
            <v:path arrowok="t"/>
            <v:stroke dashstyle="solid"/>
            <w10:wrap type="topAndBottom"/>
          </v:shape>
        </w:pict>
      </w:r>
    </w:p>
    <w:p>
      <w:pPr>
        <w:pStyle w:val="BodyText"/>
        <w:spacing w:before="4"/>
        <w:rPr>
          <w:b/>
          <w:sz w:val="33"/>
        </w:rPr>
      </w:pPr>
    </w:p>
    <w:p>
      <w:pPr>
        <w:spacing w:before="0"/>
        <w:ind w:left="900" w:right="0" w:firstLine="0"/>
        <w:jc w:val="left"/>
        <w:rPr>
          <w:sz w:val="16"/>
        </w:rPr>
      </w:pPr>
      <w:bookmarkStart w:name="_bookmark27" w:id="109"/>
      <w:bookmarkEnd w:id="109"/>
      <w:r>
        <w:rPr/>
      </w:r>
      <w:r>
        <w:rPr>
          <w:color w:val="404040"/>
          <w:position w:val="7"/>
          <w:sz w:val="14"/>
        </w:rPr>
        <w:t>6 </w:t>
      </w:r>
      <w:r>
        <w:rPr>
          <w:color w:val="404040"/>
          <w:sz w:val="16"/>
        </w:rPr>
        <w:t>Source: ABS – 2017 estimated resident population projected to 2018 by PwC</w:t>
      </w:r>
    </w:p>
    <w:p>
      <w:pPr>
        <w:spacing w:after="0"/>
        <w:jc w:val="left"/>
        <w:rPr>
          <w:sz w:val="16"/>
        </w:rPr>
        <w:sectPr>
          <w:headerReference w:type="default" r:id="rId52"/>
          <w:footerReference w:type="default" r:id="rId53"/>
          <w:pgSz w:w="11910" w:h="16850"/>
          <w:pgMar w:header="572" w:footer="581" w:top="780" w:bottom="780" w:left="120" w:right="0"/>
          <w:pgNumType w:start="43"/>
        </w:sectPr>
      </w:pPr>
    </w:p>
    <w:p>
      <w:pPr>
        <w:pStyle w:val="BodyText"/>
      </w:pPr>
    </w:p>
    <w:p>
      <w:pPr>
        <w:pStyle w:val="BodyText"/>
      </w:pPr>
    </w:p>
    <w:p>
      <w:pPr>
        <w:pStyle w:val="BodyText"/>
      </w:pPr>
    </w:p>
    <w:p>
      <w:pPr>
        <w:pStyle w:val="BodyText"/>
      </w:pPr>
    </w:p>
    <w:p>
      <w:pPr>
        <w:pStyle w:val="BodyText"/>
        <w:spacing w:before="2"/>
      </w:pPr>
    </w:p>
    <w:p>
      <w:pPr>
        <w:pStyle w:val="BodyText"/>
        <w:ind w:left="899" w:right="1076"/>
      </w:pPr>
      <w:r>
        <w:rPr>
          <w:color w:val="404040"/>
        </w:rPr>
        <w:t>The total model population of 25.03 million is 0.38 million higher than at June 2017. Despite this population growth the number of current welfare recipients has decreased from 8.04 million at June 2017 to 7.95 million at June 2018.</w:t>
      </w:r>
    </w:p>
    <w:p>
      <w:pPr>
        <w:pStyle w:val="BodyText"/>
        <w:spacing w:before="121"/>
        <w:ind w:left="899" w:right="1155"/>
      </w:pPr>
      <w:r>
        <w:rPr>
          <w:color w:val="404040"/>
        </w:rPr>
        <w:t>The remainder of the section provides more details on the population and changes since our previous valuation.</w:t>
      </w:r>
    </w:p>
    <w:p>
      <w:pPr>
        <w:pStyle w:val="BodyText"/>
        <w:spacing w:before="8"/>
      </w:pPr>
    </w:p>
    <w:p>
      <w:pPr>
        <w:pStyle w:val="ListParagraph"/>
        <w:numPr>
          <w:ilvl w:val="1"/>
          <w:numId w:val="22"/>
        </w:numPr>
        <w:tabs>
          <w:tab w:pos="1752" w:val="left" w:leader="none"/>
          <w:tab w:pos="1753" w:val="left" w:leader="none"/>
        </w:tabs>
        <w:spacing w:line="240" w:lineRule="auto" w:before="0" w:after="0"/>
        <w:ind w:left="1752" w:right="0" w:hanging="853"/>
        <w:jc w:val="left"/>
        <w:rPr>
          <w:sz w:val="28"/>
        </w:rPr>
      </w:pPr>
      <w:bookmarkStart w:name="4.2 Summary of experience over the last " w:id="110"/>
      <w:bookmarkEnd w:id="110"/>
      <w:r>
        <w:rPr/>
      </w:r>
      <w:bookmarkStart w:name="_bookmark28" w:id="111"/>
      <w:bookmarkEnd w:id="111"/>
      <w:r>
        <w:rPr/>
      </w:r>
      <w:bookmarkStart w:name="_bookmark28" w:id="112"/>
      <w:bookmarkEnd w:id="112"/>
      <w:r>
        <w:rPr>
          <w:color w:val="DF2F28"/>
          <w:sz w:val="28"/>
        </w:rPr>
        <w:t>Su</w:t>
      </w:r>
      <w:r>
        <w:rPr>
          <w:color w:val="DF2F28"/>
          <w:sz w:val="28"/>
        </w:rPr>
        <w:t>mmary of experience over the last</w:t>
      </w:r>
      <w:r>
        <w:rPr>
          <w:color w:val="DF2F28"/>
          <w:spacing w:val="-6"/>
          <w:sz w:val="28"/>
        </w:rPr>
        <w:t> </w:t>
      </w:r>
      <w:r>
        <w:rPr>
          <w:color w:val="DF2F28"/>
          <w:sz w:val="28"/>
        </w:rPr>
        <w:t>year</w:t>
      </w:r>
    </w:p>
    <w:p>
      <w:pPr>
        <w:pStyle w:val="BodyText"/>
        <w:spacing w:before="123"/>
        <w:ind w:left="900" w:right="1120"/>
      </w:pPr>
      <w:r>
        <w:rPr>
          <w:color w:val="404040"/>
        </w:rPr>
        <w:t>The way in which the population utilises the welfare system changes over time. This may include behavioural responses to changes in policy settings, or more general changes in societal trends over time. We discuss this below in terms of the numbers of people accessing payments, and the average payment sizes.</w:t>
      </w:r>
    </w:p>
    <w:p>
      <w:pPr>
        <w:pStyle w:val="BodyText"/>
        <w:spacing w:before="7"/>
      </w:pPr>
    </w:p>
    <w:p>
      <w:pPr>
        <w:pStyle w:val="Heading4"/>
      </w:pPr>
      <w:bookmarkStart w:name="Number of people accessing payments" w:id="113"/>
      <w:bookmarkEnd w:id="113"/>
      <w:r>
        <w:rPr/>
      </w:r>
      <w:r>
        <w:rPr>
          <w:color w:val="DF2F28"/>
        </w:rPr>
        <w:t>Number of people accessing payments</w:t>
      </w:r>
    </w:p>
    <w:p>
      <w:pPr>
        <w:pStyle w:val="BodyText"/>
        <w:spacing w:before="122"/>
        <w:ind w:left="899" w:right="1665"/>
      </w:pPr>
      <w:r>
        <w:rPr>
          <w:color w:val="404040"/>
        </w:rPr>
        <w:t>Since the previous valuation, we observed the following key trends with regards to the number of people accessing each payment type:</w:t>
      </w:r>
    </w:p>
    <w:p>
      <w:pPr>
        <w:pStyle w:val="ListParagraph"/>
        <w:numPr>
          <w:ilvl w:val="0"/>
          <w:numId w:val="21"/>
        </w:numPr>
        <w:tabs>
          <w:tab w:pos="1184" w:val="left" w:leader="none"/>
        </w:tabs>
        <w:spacing w:line="240" w:lineRule="auto" w:before="119" w:after="0"/>
        <w:ind w:left="1183" w:right="0" w:hanging="285"/>
        <w:jc w:val="left"/>
        <w:rPr>
          <w:sz w:val="20"/>
        </w:rPr>
      </w:pPr>
      <w:r>
        <w:rPr>
          <w:color w:val="404040"/>
          <w:sz w:val="20"/>
        </w:rPr>
        <w:t>Total entries into the welfare system have continued to decrease over the past</w:t>
      </w:r>
      <w:r>
        <w:rPr>
          <w:color w:val="404040"/>
          <w:spacing w:val="-3"/>
          <w:sz w:val="20"/>
        </w:rPr>
        <w:t> </w:t>
      </w:r>
      <w:r>
        <w:rPr>
          <w:color w:val="404040"/>
          <w:sz w:val="20"/>
        </w:rPr>
        <w:t>year;</w:t>
      </w:r>
    </w:p>
    <w:p>
      <w:pPr>
        <w:pStyle w:val="ListParagraph"/>
        <w:numPr>
          <w:ilvl w:val="0"/>
          <w:numId w:val="21"/>
        </w:numPr>
        <w:tabs>
          <w:tab w:pos="1184" w:val="left" w:leader="none"/>
        </w:tabs>
        <w:spacing w:line="240" w:lineRule="auto" w:before="117" w:after="0"/>
        <w:ind w:left="1183" w:right="0" w:hanging="285"/>
        <w:jc w:val="left"/>
        <w:rPr>
          <w:sz w:val="20"/>
        </w:rPr>
      </w:pPr>
      <w:r>
        <w:rPr>
          <w:color w:val="404040"/>
          <w:sz w:val="20"/>
        </w:rPr>
        <w:t>The number of people exiting the welfare system has increased;</w:t>
      </w:r>
    </w:p>
    <w:p>
      <w:pPr>
        <w:pStyle w:val="ListParagraph"/>
        <w:numPr>
          <w:ilvl w:val="0"/>
          <w:numId w:val="21"/>
        </w:numPr>
        <w:tabs>
          <w:tab w:pos="1184" w:val="left" w:leader="none"/>
        </w:tabs>
        <w:spacing w:line="240" w:lineRule="auto" w:before="120" w:after="0"/>
        <w:ind w:left="1183" w:right="0" w:hanging="285"/>
        <w:jc w:val="left"/>
        <w:rPr>
          <w:sz w:val="20"/>
        </w:rPr>
      </w:pPr>
      <w:r>
        <w:rPr>
          <w:color w:val="404040"/>
          <w:sz w:val="20"/>
        </w:rPr>
        <w:t>The number of people entering into the Working Age class has</w:t>
      </w:r>
      <w:r>
        <w:rPr>
          <w:color w:val="404040"/>
          <w:spacing w:val="-8"/>
          <w:sz w:val="20"/>
        </w:rPr>
        <w:t> </w:t>
      </w:r>
      <w:r>
        <w:rPr>
          <w:color w:val="404040"/>
          <w:sz w:val="20"/>
        </w:rPr>
        <w:t>decreased;</w:t>
      </w:r>
    </w:p>
    <w:p>
      <w:pPr>
        <w:pStyle w:val="ListParagraph"/>
        <w:numPr>
          <w:ilvl w:val="0"/>
          <w:numId w:val="21"/>
        </w:numPr>
        <w:tabs>
          <w:tab w:pos="1184" w:val="left" w:leader="none"/>
        </w:tabs>
        <w:spacing w:line="240" w:lineRule="auto" w:before="117" w:after="0"/>
        <w:ind w:left="1183" w:right="1578" w:hanging="284"/>
        <w:jc w:val="both"/>
        <w:rPr>
          <w:sz w:val="20"/>
        </w:rPr>
      </w:pPr>
      <w:r>
        <w:rPr>
          <w:color w:val="404040"/>
          <w:sz w:val="20"/>
        </w:rPr>
        <w:t>The</w:t>
      </w:r>
      <w:r>
        <w:rPr>
          <w:color w:val="404040"/>
          <w:spacing w:val="-5"/>
          <w:sz w:val="20"/>
        </w:rPr>
        <w:t> </w:t>
      </w:r>
      <w:r>
        <w:rPr>
          <w:color w:val="404040"/>
          <w:sz w:val="20"/>
        </w:rPr>
        <w:t>number</w:t>
      </w:r>
      <w:r>
        <w:rPr>
          <w:color w:val="404040"/>
          <w:spacing w:val="-3"/>
          <w:sz w:val="20"/>
        </w:rPr>
        <w:t> </w:t>
      </w:r>
      <w:r>
        <w:rPr>
          <w:color w:val="404040"/>
          <w:sz w:val="20"/>
        </w:rPr>
        <w:t>of</w:t>
      </w:r>
      <w:r>
        <w:rPr>
          <w:color w:val="404040"/>
          <w:spacing w:val="-2"/>
          <w:sz w:val="20"/>
        </w:rPr>
        <w:t> </w:t>
      </w:r>
      <w:r>
        <w:rPr>
          <w:color w:val="404040"/>
          <w:sz w:val="20"/>
        </w:rPr>
        <w:t>entrants</w:t>
      </w:r>
      <w:r>
        <w:rPr>
          <w:color w:val="404040"/>
          <w:spacing w:val="-3"/>
          <w:sz w:val="20"/>
        </w:rPr>
        <w:t> </w:t>
      </w:r>
      <w:r>
        <w:rPr>
          <w:color w:val="404040"/>
          <w:sz w:val="20"/>
        </w:rPr>
        <w:t>into</w:t>
      </w:r>
      <w:r>
        <w:rPr>
          <w:color w:val="404040"/>
          <w:spacing w:val="-5"/>
          <w:sz w:val="20"/>
        </w:rPr>
        <w:t> </w:t>
      </w:r>
      <w:r>
        <w:rPr>
          <w:color w:val="404040"/>
          <w:sz w:val="20"/>
        </w:rPr>
        <w:t>the</w:t>
      </w:r>
      <w:r>
        <w:rPr>
          <w:color w:val="404040"/>
          <w:spacing w:val="-2"/>
          <w:sz w:val="20"/>
        </w:rPr>
        <w:t> </w:t>
      </w:r>
      <w:r>
        <w:rPr>
          <w:color w:val="404040"/>
          <w:sz w:val="20"/>
        </w:rPr>
        <w:t>Disability</w:t>
      </w:r>
      <w:r>
        <w:rPr>
          <w:color w:val="404040"/>
          <w:spacing w:val="-5"/>
          <w:sz w:val="20"/>
        </w:rPr>
        <w:t> </w:t>
      </w:r>
      <w:r>
        <w:rPr>
          <w:color w:val="404040"/>
          <w:sz w:val="20"/>
        </w:rPr>
        <w:t>Support</w:t>
      </w:r>
      <w:r>
        <w:rPr>
          <w:color w:val="404040"/>
          <w:spacing w:val="-2"/>
          <w:sz w:val="20"/>
        </w:rPr>
        <w:t> </w:t>
      </w:r>
      <w:r>
        <w:rPr>
          <w:color w:val="404040"/>
          <w:sz w:val="20"/>
        </w:rPr>
        <w:t>Pension</w:t>
      </w:r>
      <w:r>
        <w:rPr>
          <w:color w:val="404040"/>
          <w:spacing w:val="-4"/>
          <w:sz w:val="20"/>
        </w:rPr>
        <w:t> </w:t>
      </w:r>
      <w:r>
        <w:rPr>
          <w:color w:val="404040"/>
          <w:sz w:val="20"/>
        </w:rPr>
        <w:t>class</w:t>
      </w:r>
      <w:r>
        <w:rPr>
          <w:color w:val="404040"/>
          <w:spacing w:val="-2"/>
          <w:sz w:val="20"/>
        </w:rPr>
        <w:t> </w:t>
      </w:r>
      <w:r>
        <w:rPr>
          <w:color w:val="404040"/>
          <w:sz w:val="20"/>
        </w:rPr>
        <w:t>has</w:t>
      </w:r>
      <w:r>
        <w:rPr>
          <w:color w:val="404040"/>
          <w:spacing w:val="-3"/>
          <w:sz w:val="20"/>
        </w:rPr>
        <w:t> </w:t>
      </w:r>
      <w:r>
        <w:rPr>
          <w:color w:val="404040"/>
          <w:sz w:val="20"/>
        </w:rPr>
        <w:t>continued</w:t>
      </w:r>
      <w:r>
        <w:rPr>
          <w:color w:val="404040"/>
          <w:spacing w:val="-2"/>
          <w:sz w:val="20"/>
        </w:rPr>
        <w:t> </w:t>
      </w:r>
      <w:r>
        <w:rPr>
          <w:color w:val="404040"/>
          <w:sz w:val="20"/>
        </w:rPr>
        <w:t>to</w:t>
      </w:r>
      <w:r>
        <w:rPr>
          <w:color w:val="404040"/>
          <w:spacing w:val="-4"/>
          <w:sz w:val="20"/>
        </w:rPr>
        <w:t> </w:t>
      </w:r>
      <w:r>
        <w:rPr>
          <w:color w:val="404040"/>
          <w:sz w:val="20"/>
        </w:rPr>
        <w:t>reduce</w:t>
      </w:r>
      <w:r>
        <w:rPr>
          <w:color w:val="404040"/>
          <w:spacing w:val="-5"/>
          <w:sz w:val="20"/>
        </w:rPr>
        <w:t> </w:t>
      </w:r>
      <w:r>
        <w:rPr>
          <w:color w:val="404040"/>
          <w:sz w:val="20"/>
        </w:rPr>
        <w:t>significantly, following the tightening of DSP eligibility criteria;</w:t>
      </w:r>
      <w:r>
        <w:rPr>
          <w:color w:val="404040"/>
          <w:spacing w:val="-2"/>
          <w:sz w:val="20"/>
        </w:rPr>
        <w:t> </w:t>
      </w:r>
      <w:r>
        <w:rPr>
          <w:color w:val="404040"/>
          <w:sz w:val="20"/>
        </w:rPr>
        <w:t>and</w:t>
      </w:r>
    </w:p>
    <w:p>
      <w:pPr>
        <w:pStyle w:val="ListParagraph"/>
        <w:numPr>
          <w:ilvl w:val="0"/>
          <w:numId w:val="21"/>
        </w:numPr>
        <w:tabs>
          <w:tab w:pos="1184" w:val="left" w:leader="none"/>
        </w:tabs>
        <w:spacing w:line="240" w:lineRule="auto" w:before="118" w:after="0"/>
        <w:ind w:left="1183" w:right="1596" w:hanging="284"/>
        <w:jc w:val="both"/>
        <w:rPr>
          <w:sz w:val="20"/>
        </w:rPr>
      </w:pPr>
      <w:r>
        <w:rPr>
          <w:color w:val="404040"/>
          <w:sz w:val="20"/>
        </w:rPr>
        <w:t>The number of people entering the Age Pension has reduced, in part as a result of the changes in the pensions assets test. The experience for entries into Age Pension was also lower this year as the Age Pension age increased from 65 to 65.5 in</w:t>
      </w:r>
      <w:r>
        <w:rPr>
          <w:color w:val="404040"/>
          <w:spacing w:val="2"/>
          <w:sz w:val="20"/>
        </w:rPr>
        <w:t> </w:t>
      </w:r>
      <w:r>
        <w:rPr>
          <w:color w:val="404040"/>
          <w:sz w:val="20"/>
        </w:rPr>
        <w:t>2018.</w:t>
      </w:r>
    </w:p>
    <w:p>
      <w:pPr>
        <w:pStyle w:val="BodyText"/>
        <w:spacing w:before="11"/>
      </w:pPr>
    </w:p>
    <w:p>
      <w:pPr>
        <w:pStyle w:val="Heading4"/>
      </w:pPr>
      <w:bookmarkStart w:name="Average payment sizes" w:id="114"/>
      <w:bookmarkEnd w:id="114"/>
      <w:r>
        <w:rPr/>
      </w:r>
      <w:r>
        <w:rPr>
          <w:color w:val="DF2F28"/>
        </w:rPr>
        <w:t>Average payment sizes</w:t>
      </w:r>
    </w:p>
    <w:p>
      <w:pPr>
        <w:pStyle w:val="BodyText"/>
        <w:spacing w:before="119"/>
        <w:ind w:left="900" w:right="1275"/>
      </w:pPr>
      <w:r>
        <w:rPr>
          <w:color w:val="404040"/>
        </w:rPr>
        <w:t>We have also noted the following main feature of the experience in relation to the average payment amounts made to welfare recipients:</w:t>
      </w:r>
    </w:p>
    <w:p>
      <w:pPr>
        <w:pStyle w:val="ListParagraph"/>
        <w:numPr>
          <w:ilvl w:val="0"/>
          <w:numId w:val="21"/>
        </w:numPr>
        <w:tabs>
          <w:tab w:pos="1184" w:val="left" w:leader="none"/>
        </w:tabs>
        <w:spacing w:line="240" w:lineRule="auto" w:before="119" w:after="0"/>
        <w:ind w:left="1183" w:right="1132" w:hanging="284"/>
        <w:jc w:val="left"/>
        <w:rPr>
          <w:sz w:val="20"/>
        </w:rPr>
      </w:pPr>
      <w:r>
        <w:rPr>
          <w:color w:val="404040"/>
          <w:sz w:val="20"/>
        </w:rPr>
        <w:t>Average Family Tax Benefit (FTB) and Other Family payments have continued to gradually reduce, likely in part a result of a number of policy changes in recent years;</w:t>
      </w:r>
      <w:r>
        <w:rPr>
          <w:color w:val="404040"/>
          <w:spacing w:val="-5"/>
          <w:sz w:val="20"/>
        </w:rPr>
        <w:t> </w:t>
      </w:r>
      <w:r>
        <w:rPr>
          <w:color w:val="404040"/>
          <w:sz w:val="20"/>
        </w:rPr>
        <w:t>and</w:t>
      </w:r>
    </w:p>
    <w:p>
      <w:pPr>
        <w:pStyle w:val="ListParagraph"/>
        <w:numPr>
          <w:ilvl w:val="0"/>
          <w:numId w:val="21"/>
        </w:numPr>
        <w:tabs>
          <w:tab w:pos="1184" w:val="left" w:leader="none"/>
        </w:tabs>
        <w:spacing w:line="357" w:lineRule="auto" w:before="118" w:after="0"/>
        <w:ind w:left="899" w:right="3467" w:firstLine="0"/>
        <w:jc w:val="left"/>
        <w:rPr>
          <w:sz w:val="20"/>
        </w:rPr>
      </w:pPr>
      <w:r>
        <w:rPr>
          <w:color w:val="404040"/>
          <w:sz w:val="20"/>
        </w:rPr>
        <w:t>Average rent assistance payments have been increasing over the last few years. </w:t>
      </w:r>
      <w:r>
        <w:rPr>
          <w:color w:val="404040"/>
          <w:spacing w:val="3"/>
          <w:sz w:val="20"/>
        </w:rPr>
        <w:t>We </w:t>
      </w:r>
      <w:r>
        <w:rPr>
          <w:color w:val="404040"/>
          <w:sz w:val="20"/>
        </w:rPr>
        <w:t>discuss these in more detail in the following</w:t>
      </w:r>
      <w:r>
        <w:rPr>
          <w:color w:val="404040"/>
          <w:spacing w:val="-15"/>
          <w:sz w:val="20"/>
        </w:rPr>
        <w:t> </w:t>
      </w:r>
      <w:r>
        <w:rPr>
          <w:color w:val="404040"/>
          <w:sz w:val="20"/>
        </w:rPr>
        <w:t>sections.</w:t>
      </w:r>
    </w:p>
    <w:p>
      <w:pPr>
        <w:pStyle w:val="ListParagraph"/>
        <w:numPr>
          <w:ilvl w:val="1"/>
          <w:numId w:val="22"/>
        </w:numPr>
        <w:tabs>
          <w:tab w:pos="1752" w:val="left" w:leader="none"/>
          <w:tab w:pos="1753" w:val="left" w:leader="none"/>
        </w:tabs>
        <w:spacing w:line="240" w:lineRule="auto" w:before="126" w:after="0"/>
        <w:ind w:left="1752" w:right="0" w:hanging="853"/>
        <w:jc w:val="left"/>
        <w:rPr>
          <w:sz w:val="28"/>
        </w:rPr>
      </w:pPr>
      <w:bookmarkStart w:name="4.3 Numbers of people accessing payments" w:id="115"/>
      <w:bookmarkEnd w:id="115"/>
      <w:r>
        <w:rPr/>
      </w:r>
      <w:bookmarkStart w:name="_bookmark29" w:id="116"/>
      <w:bookmarkEnd w:id="116"/>
      <w:r>
        <w:rPr/>
      </w:r>
      <w:bookmarkStart w:name="_bookmark29" w:id="117"/>
      <w:bookmarkEnd w:id="117"/>
      <w:r>
        <w:rPr>
          <w:color w:val="DF2F28"/>
          <w:sz w:val="28"/>
        </w:rPr>
        <w:t>N</w:t>
      </w:r>
      <w:r>
        <w:rPr>
          <w:color w:val="DF2F28"/>
          <w:sz w:val="28"/>
        </w:rPr>
        <w:t>umbers of people accessing</w:t>
      </w:r>
      <w:r>
        <w:rPr>
          <w:color w:val="DF2F28"/>
          <w:spacing w:val="-4"/>
          <w:sz w:val="28"/>
        </w:rPr>
        <w:t> </w:t>
      </w:r>
      <w:r>
        <w:rPr>
          <w:color w:val="DF2F28"/>
          <w:sz w:val="28"/>
        </w:rPr>
        <w:t>payments</w:t>
      </w:r>
    </w:p>
    <w:p>
      <w:pPr>
        <w:pStyle w:val="BodyText"/>
        <w:spacing w:before="123"/>
        <w:ind w:left="900" w:right="1220"/>
      </w:pPr>
      <w:r>
        <w:rPr>
          <w:color w:val="404040"/>
        </w:rPr>
        <w:t>At a broad level, the dynamics of the welfare system primarily involve the movements of people (a) in and out of the welfare system, and (b) in between the broad categories of income support (prior to retirement), non income support, and the Age Pension.</w:t>
      </w:r>
    </w:p>
    <w:p>
      <w:pPr>
        <w:pStyle w:val="BodyText"/>
        <w:spacing w:before="119"/>
        <w:ind w:left="900"/>
      </w:pPr>
      <w:r>
        <w:rPr>
          <w:color w:val="404040"/>
        </w:rPr>
        <w:t>These broad dynamics are illustrated in the diagram below.</w:t>
      </w:r>
    </w:p>
    <w:p>
      <w:pPr>
        <w:spacing w:after="0"/>
        <w:sectPr>
          <w:pgSz w:w="11910" w:h="16850"/>
          <w:pgMar w:header="572" w:footer="581" w:top="780" w:bottom="780" w:left="120" w:right="0"/>
        </w:sectPr>
      </w:pPr>
    </w:p>
    <w:p>
      <w:pPr>
        <w:pStyle w:val="BodyText"/>
      </w:pPr>
    </w:p>
    <w:p>
      <w:pPr>
        <w:pStyle w:val="BodyText"/>
      </w:pPr>
    </w:p>
    <w:p>
      <w:pPr>
        <w:pStyle w:val="BodyText"/>
        <w:spacing w:before="5"/>
        <w:rPr>
          <w:sz w:val="21"/>
        </w:rPr>
      </w:pPr>
    </w:p>
    <w:p>
      <w:pPr>
        <w:pStyle w:val="Heading9"/>
      </w:pPr>
      <w:r>
        <w:rPr/>
        <w:pict>
          <v:group style="position:absolute;margin-left:111.38353pt;margin-top:18.368732pt;width:296.05pt;height:60.2pt;mso-position-horizontal-relative:page;mso-position-vertical-relative:paragraph;z-index:-251421696;mso-wrap-distance-left:0;mso-wrap-distance-right:0" coordorigin="2228,367" coordsize="5921,1204">
            <v:shape style="position:absolute;left:2230;top:370;width:5914;height:1197" type="#_x0000_t202" filled="true" fillcolor="#f1f1f1" stroked="true" strokeweight=".330112pt" strokecolor="#000000">
              <v:textbox inset="0,0,0,0">
                <w:txbxContent>
                  <w:p>
                    <w:pPr>
                      <w:spacing w:line="240" w:lineRule="auto" w:before="0"/>
                      <w:rPr>
                        <w:b/>
                        <w:sz w:val="18"/>
                      </w:rPr>
                    </w:pPr>
                  </w:p>
                  <w:p>
                    <w:pPr>
                      <w:spacing w:line="240" w:lineRule="auto" w:before="7"/>
                      <w:rPr>
                        <w:b/>
                        <w:sz w:val="23"/>
                      </w:rPr>
                    </w:pPr>
                  </w:p>
                  <w:p>
                    <w:pPr>
                      <w:spacing w:before="0"/>
                      <w:ind w:left="711" w:right="0" w:firstLine="0"/>
                      <w:jc w:val="left"/>
                      <w:rPr>
                        <w:rFonts w:ascii="Calibri"/>
                        <w:b/>
                        <w:sz w:val="19"/>
                      </w:rPr>
                    </w:pPr>
                    <w:r>
                      <w:rPr>
                        <w:rFonts w:ascii="Calibri"/>
                        <w:b/>
                        <w:sz w:val="19"/>
                      </w:rPr>
                      <w:t>Non Welfare Recipients</w:t>
                    </w:r>
                  </w:p>
                </w:txbxContent>
              </v:textbox>
              <v:fill type="solid"/>
              <v:stroke dashstyle="solid"/>
              <w10:wrap type="none"/>
            </v:shape>
            <v:shape style="position:absolute;left:5517;top:1133;width:2502;height:278" type="#_x0000_t202" filled="true" fillcolor="#ffeb8f" stroked="false">
              <v:textbox inset="0,0,0,0">
                <w:txbxContent>
                  <w:p>
                    <w:pPr>
                      <w:spacing w:line="231" w:lineRule="exact" w:before="0"/>
                      <w:ind w:left="311" w:right="0" w:firstLine="0"/>
                      <w:jc w:val="left"/>
                      <w:rPr>
                        <w:rFonts w:ascii="Calibri"/>
                        <w:sz w:val="19"/>
                      </w:rPr>
                    </w:pPr>
                    <w:r>
                      <w:rPr>
                        <w:rFonts w:ascii="Calibri"/>
                        <w:sz w:val="19"/>
                      </w:rPr>
                      <w:t>Rest of Aust. Population</w:t>
                    </w:r>
                  </w:p>
                </w:txbxContent>
              </v:textbox>
              <v:fill type="solid"/>
              <w10:wrap type="none"/>
            </v:shape>
            <v:shape style="position:absolute;left:5517;top:822;width:2502;height:278" type="#_x0000_t202" filled="true" fillcolor="#000000" stroked="false">
              <v:textbox inset="0,0,0,0">
                <w:txbxContent>
                  <w:p>
                    <w:pPr>
                      <w:spacing w:line="230" w:lineRule="exact" w:before="0"/>
                      <w:ind w:left="1029" w:right="1029" w:firstLine="0"/>
                      <w:jc w:val="center"/>
                      <w:rPr>
                        <w:rFonts w:ascii="Calibri"/>
                        <w:sz w:val="19"/>
                      </w:rPr>
                    </w:pPr>
                    <w:r>
                      <w:rPr>
                        <w:rFonts w:ascii="Calibri"/>
                        <w:color w:val="FFFFFF"/>
                        <w:sz w:val="19"/>
                      </w:rPr>
                      <w:t>Dead</w:t>
                    </w:r>
                  </w:p>
                </w:txbxContent>
              </v:textbox>
              <v:fill type="solid"/>
              <w10:wrap type="none"/>
            </v:shape>
            <v:shape style="position:absolute;left:5517;top:504;width:2502;height:278" type="#_x0000_t202" filled="true" fillcolor="#ffd600" stroked="false">
              <v:textbox inset="0,0,0,0">
                <w:txbxContent>
                  <w:p>
                    <w:pPr>
                      <w:spacing w:line="231" w:lineRule="exact" w:before="0"/>
                      <w:ind w:left="199" w:right="0" w:firstLine="0"/>
                      <w:jc w:val="left"/>
                      <w:rPr>
                        <w:rFonts w:ascii="Calibri"/>
                        <w:sz w:val="19"/>
                      </w:rPr>
                    </w:pPr>
                    <w:r>
                      <w:rPr>
                        <w:rFonts w:ascii="Calibri"/>
                        <w:sz w:val="19"/>
                      </w:rPr>
                      <w:t>Previous Welfare Recipient</w:t>
                    </w:r>
                  </w:p>
                </w:txbxContent>
              </v:textbox>
              <v:fill type="solid"/>
              <w10:wrap type="none"/>
            </v:shape>
            <w10:wrap type="topAndBottom"/>
          </v:group>
        </w:pict>
      </w:r>
      <w:r>
        <w:rPr/>
        <w:pict>
          <v:line style="position:absolute;mso-position-horizontal-relative:page;mso-position-vertical-relative:paragraph;z-index:-288001024" from="194.89978pt,78.401649pt" to="194.899826pt,107.759698pt" stroked="true" strokeweight="1.77867pt" strokecolor="#000000">
            <v:stroke dashstyle="solid"/>
            <w10:wrap type="none"/>
          </v:line>
        </w:pict>
      </w:r>
      <w:r>
        <w:rPr/>
        <w:pict>
          <v:shape style="position:absolute;margin-left:191.797729pt;margin-top:106.726982pt;width:6.25pt;height:6.2pt;mso-position-horizontal-relative:page;mso-position-vertical-relative:paragraph;z-index:-288000000" coordorigin="3836,2135" coordsize="125,124" path="m3898,2258l3836,2135,3960,2135,3898,2258xe" filled="true" fillcolor="#000000" stroked="false">
            <v:path arrowok="t"/>
            <v:fill type="solid"/>
            <w10:wrap type="none"/>
          </v:shape>
        </w:pict>
      </w:r>
      <w:r>
        <w:rPr/>
        <w:pict>
          <v:shape style="position:absolute;margin-left:311.756592pt;margin-top:78.402725pt;width:6.25pt;height:6.2pt;mso-position-horizontal-relative:page;mso-position-vertical-relative:paragraph;z-index:251904000" coordorigin="6235,1568" coordsize="125,124" path="m6297,1568l6359,1692,6235,1692,6297,1568xe" filled="true" fillcolor="#000000" stroked="false">
            <v:path arrowok="t"/>
            <v:fill type="solid"/>
            <w10:wrap type="none"/>
          </v:shape>
        </w:pict>
      </w:r>
      <w:r>
        <w:rPr>
          <w:color w:val="DF2F1E"/>
        </w:rPr>
        <w:t>Figure 22: Overview of the dynamics of the welfare system</w:t>
      </w:r>
    </w:p>
    <w:p>
      <w:pPr>
        <w:pStyle w:val="BodyText"/>
        <w:spacing w:before="1" w:after="1"/>
        <w:rPr>
          <w:b/>
          <w:sz w:val="6"/>
        </w:rPr>
      </w:pPr>
    </w:p>
    <w:tbl>
      <w:tblPr>
        <w:tblW w:w="0" w:type="auto"/>
        <w:jc w:val="left"/>
        <w:tblInd w:w="10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01"/>
        <w:gridCol w:w="1832"/>
        <w:gridCol w:w="1203"/>
        <w:gridCol w:w="611"/>
        <w:gridCol w:w="584"/>
        <w:gridCol w:w="2164"/>
      </w:tblGrid>
      <w:tr>
        <w:trPr>
          <w:trHeight w:val="549" w:hRule="atLeast"/>
        </w:trPr>
        <w:tc>
          <w:tcPr>
            <w:tcW w:w="5147" w:type="dxa"/>
            <w:gridSpan w:val="4"/>
            <w:tcBorders>
              <w:bottom w:val="dashSmallGap" w:sz="18" w:space="0" w:color="000000"/>
              <w:right w:val="single" w:sz="18" w:space="0" w:color="000000"/>
            </w:tcBorders>
          </w:tcPr>
          <w:p>
            <w:pPr>
              <w:pStyle w:val="TableParagraph"/>
              <w:spacing w:before="7"/>
              <w:rPr>
                <w:b/>
                <w:sz w:val="12"/>
              </w:rPr>
            </w:pPr>
          </w:p>
          <w:p>
            <w:pPr>
              <w:pStyle w:val="TableParagraph"/>
              <w:spacing w:before="0"/>
              <w:ind w:left="1365"/>
              <w:rPr>
                <w:rFonts w:ascii="Calibri"/>
                <w:sz w:val="14"/>
              </w:rPr>
            </w:pPr>
            <w:r>
              <w:rPr>
                <w:rFonts w:ascii="Calibri"/>
                <w:w w:val="105"/>
                <w:sz w:val="14"/>
              </w:rPr>
              <w:t>Entries and Re-Entries</w:t>
            </w:r>
          </w:p>
        </w:tc>
        <w:tc>
          <w:tcPr>
            <w:tcW w:w="2748" w:type="dxa"/>
            <w:gridSpan w:val="2"/>
            <w:tcBorders>
              <w:left w:val="single" w:sz="18" w:space="0" w:color="000000"/>
              <w:bottom w:val="dashSmallGap" w:sz="18" w:space="0" w:color="000000"/>
            </w:tcBorders>
          </w:tcPr>
          <w:p>
            <w:pPr>
              <w:pStyle w:val="TableParagraph"/>
              <w:spacing w:before="7"/>
              <w:rPr>
                <w:b/>
                <w:sz w:val="13"/>
              </w:rPr>
            </w:pPr>
          </w:p>
          <w:p>
            <w:pPr>
              <w:pStyle w:val="TableParagraph"/>
              <w:spacing w:before="0"/>
              <w:ind w:left="93"/>
              <w:rPr>
                <w:rFonts w:ascii="Calibri"/>
                <w:sz w:val="14"/>
              </w:rPr>
            </w:pPr>
            <w:r>
              <w:rPr>
                <w:rFonts w:ascii="Calibri"/>
                <w:w w:val="105"/>
                <w:sz w:val="14"/>
              </w:rPr>
              <w:t>Exits</w:t>
            </w:r>
          </w:p>
        </w:tc>
      </w:tr>
      <w:tr>
        <w:trPr>
          <w:trHeight w:val="619" w:hRule="atLeast"/>
        </w:trPr>
        <w:tc>
          <w:tcPr>
            <w:tcW w:w="1501" w:type="dxa"/>
            <w:tcBorders>
              <w:top w:val="dashSmallGap" w:sz="18" w:space="0" w:color="000000"/>
              <w:left w:val="dashSmallGap" w:sz="18" w:space="0" w:color="000000"/>
            </w:tcBorders>
          </w:tcPr>
          <w:p>
            <w:pPr>
              <w:pStyle w:val="TableParagraph"/>
              <w:spacing w:before="0"/>
              <w:rPr>
                <w:rFonts w:ascii="Times New Roman"/>
                <w:sz w:val="18"/>
              </w:rPr>
            </w:pPr>
          </w:p>
        </w:tc>
        <w:tc>
          <w:tcPr>
            <w:tcW w:w="1832" w:type="dxa"/>
            <w:tcBorders>
              <w:top w:val="dashSmallGap" w:sz="18" w:space="0" w:color="000000"/>
            </w:tcBorders>
          </w:tcPr>
          <w:p>
            <w:pPr>
              <w:pStyle w:val="TableParagraph"/>
              <w:spacing w:before="0"/>
              <w:rPr>
                <w:b/>
                <w:sz w:val="18"/>
              </w:rPr>
            </w:pPr>
          </w:p>
          <w:p>
            <w:pPr>
              <w:pStyle w:val="TableParagraph"/>
              <w:spacing w:before="10"/>
              <w:rPr>
                <w:b/>
                <w:sz w:val="15"/>
              </w:rPr>
            </w:pPr>
          </w:p>
          <w:p>
            <w:pPr>
              <w:pStyle w:val="TableParagraph"/>
              <w:spacing w:line="210" w:lineRule="exact" w:before="0"/>
              <w:ind w:left="678"/>
              <w:rPr>
                <w:rFonts w:ascii="Calibri"/>
                <w:sz w:val="19"/>
              </w:rPr>
            </w:pPr>
            <w:r>
              <w:rPr>
                <w:rFonts w:ascii="Calibri"/>
                <w:color w:val="FFFFFF"/>
                <w:sz w:val="19"/>
              </w:rPr>
              <w:t>Studying</w:t>
            </w:r>
          </w:p>
        </w:tc>
        <w:tc>
          <w:tcPr>
            <w:tcW w:w="1203" w:type="dxa"/>
            <w:tcBorders>
              <w:top w:val="dashSmallGap" w:sz="18" w:space="0" w:color="000000"/>
            </w:tcBorders>
          </w:tcPr>
          <w:p>
            <w:pPr>
              <w:pStyle w:val="TableParagraph"/>
              <w:spacing w:before="0"/>
              <w:rPr>
                <w:rFonts w:ascii="Times New Roman"/>
                <w:sz w:val="18"/>
              </w:rPr>
            </w:pPr>
          </w:p>
        </w:tc>
        <w:tc>
          <w:tcPr>
            <w:tcW w:w="1195" w:type="dxa"/>
            <w:gridSpan w:val="2"/>
            <w:tcBorders>
              <w:top w:val="dashSmallGap" w:sz="18" w:space="0" w:color="000000"/>
            </w:tcBorders>
          </w:tcPr>
          <w:p>
            <w:pPr>
              <w:pStyle w:val="TableParagraph"/>
              <w:spacing w:before="0"/>
              <w:rPr>
                <w:rFonts w:ascii="Times New Roman"/>
                <w:sz w:val="18"/>
              </w:rPr>
            </w:pPr>
          </w:p>
        </w:tc>
        <w:tc>
          <w:tcPr>
            <w:tcW w:w="2164" w:type="dxa"/>
            <w:tcBorders>
              <w:top w:val="dashSmallGap" w:sz="18" w:space="0" w:color="000000"/>
              <w:right w:val="dashSmallGap" w:sz="18" w:space="0" w:color="000000"/>
            </w:tcBorders>
          </w:tcPr>
          <w:p>
            <w:pPr>
              <w:pStyle w:val="TableParagraph"/>
              <w:spacing w:before="0"/>
              <w:rPr>
                <w:rFonts w:ascii="Times New Roman"/>
                <w:sz w:val="18"/>
              </w:rPr>
            </w:pPr>
          </w:p>
        </w:tc>
      </w:tr>
      <w:tr>
        <w:trPr>
          <w:trHeight w:val="1894" w:hRule="atLeast"/>
        </w:trPr>
        <w:tc>
          <w:tcPr>
            <w:tcW w:w="1501" w:type="dxa"/>
            <w:tcBorders>
              <w:left w:val="dashSmallGap" w:sz="18" w:space="0" w:color="000000"/>
            </w:tcBorders>
          </w:tcPr>
          <w:p>
            <w:pPr>
              <w:pStyle w:val="TableParagraph"/>
              <w:spacing w:before="16"/>
              <w:ind w:left="453" w:right="122" w:firstLine="1"/>
              <w:jc w:val="center"/>
              <w:rPr>
                <w:rFonts w:ascii="Calibri"/>
                <w:sz w:val="19"/>
              </w:rPr>
            </w:pPr>
            <w:r>
              <w:rPr>
                <w:rFonts w:ascii="Calibri"/>
                <w:b/>
                <w:sz w:val="19"/>
              </w:rPr>
              <w:t>Income Support </w:t>
            </w:r>
            <w:r>
              <w:rPr>
                <w:rFonts w:ascii="Calibri"/>
                <w:sz w:val="19"/>
              </w:rPr>
              <w:t>(prior to retirement)</w:t>
            </w:r>
          </w:p>
        </w:tc>
        <w:tc>
          <w:tcPr>
            <w:tcW w:w="1832" w:type="dxa"/>
          </w:tcPr>
          <w:p>
            <w:pPr>
              <w:pStyle w:val="TableParagraph"/>
              <w:tabs>
                <w:tab w:pos="518" w:val="left" w:leader="none"/>
                <w:tab w:pos="1878" w:val="left" w:leader="none"/>
              </w:tabs>
              <w:spacing w:line="314" w:lineRule="auto" w:before="73"/>
              <w:ind w:left="158" w:right="-58"/>
              <w:jc w:val="center"/>
              <w:rPr>
                <w:rFonts w:ascii="Calibri"/>
                <w:sz w:val="19"/>
              </w:rPr>
            </w:pPr>
            <w:r>
              <w:rPr>
                <w:rFonts w:ascii="Calibri"/>
                <w:color w:val="FFFFFF"/>
                <w:w w:val="101"/>
                <w:sz w:val="19"/>
                <w:shd w:fill="009544" w:color="auto" w:val="clear"/>
              </w:rPr>
              <w:t> </w:t>
            </w:r>
            <w:r>
              <w:rPr>
                <w:rFonts w:ascii="Calibri"/>
                <w:color w:val="FFFFFF"/>
                <w:sz w:val="19"/>
                <w:shd w:fill="009544" w:color="auto" w:val="clear"/>
              </w:rPr>
              <w:tab/>
              <w:t>Working</w:t>
            </w:r>
            <w:r>
              <w:rPr>
                <w:rFonts w:ascii="Calibri"/>
                <w:color w:val="FFFFFF"/>
                <w:spacing w:val="3"/>
                <w:sz w:val="19"/>
                <w:shd w:fill="009544" w:color="auto" w:val="clear"/>
              </w:rPr>
              <w:t> </w:t>
            </w:r>
            <w:r>
              <w:rPr>
                <w:rFonts w:ascii="Calibri"/>
                <w:color w:val="FFFFFF"/>
                <w:sz w:val="19"/>
                <w:shd w:fill="009544" w:color="auto" w:val="clear"/>
              </w:rPr>
              <w:t>Age</w:t>
              <w:tab/>
            </w:r>
            <w:r>
              <w:rPr>
                <w:rFonts w:ascii="Calibri"/>
                <w:color w:val="FFFFFF"/>
                <w:sz w:val="19"/>
              </w:rPr>
              <w:t> </w:t>
            </w:r>
            <w:r>
              <w:rPr>
                <w:rFonts w:ascii="Calibri"/>
                <w:color w:val="FFFFFF"/>
                <w:spacing w:val="-3"/>
                <w:sz w:val="19"/>
              </w:rPr>
              <w:t>Parents</w:t>
            </w:r>
          </w:p>
          <w:p>
            <w:pPr>
              <w:pStyle w:val="TableParagraph"/>
              <w:spacing w:line="230" w:lineRule="exact" w:before="0"/>
              <w:ind w:left="750" w:right="547"/>
              <w:jc w:val="center"/>
              <w:rPr>
                <w:rFonts w:ascii="Calibri"/>
                <w:sz w:val="19"/>
              </w:rPr>
            </w:pPr>
            <w:r>
              <w:rPr>
                <w:rFonts w:ascii="Calibri"/>
                <w:color w:val="FFFFFF"/>
                <w:sz w:val="19"/>
              </w:rPr>
              <w:t>Carers</w:t>
            </w:r>
          </w:p>
          <w:p>
            <w:pPr>
              <w:pStyle w:val="TableParagraph"/>
              <w:spacing w:before="71"/>
              <w:ind w:left="158" w:right="-58"/>
              <w:jc w:val="center"/>
              <w:rPr>
                <w:rFonts w:ascii="Calibri"/>
                <w:sz w:val="19"/>
              </w:rPr>
            </w:pPr>
            <w:r>
              <w:rPr>
                <w:rFonts w:ascii="Calibri"/>
                <w:color w:val="FFFFFF"/>
                <w:w w:val="101"/>
                <w:sz w:val="19"/>
                <w:shd w:fill="8063A1" w:color="auto" w:val="clear"/>
              </w:rPr>
              <w:t> </w:t>
            </w:r>
            <w:r>
              <w:rPr>
                <w:rFonts w:ascii="Calibri"/>
                <w:color w:val="FFFFFF"/>
                <w:sz w:val="19"/>
                <w:shd w:fill="8063A1" w:color="auto" w:val="clear"/>
              </w:rPr>
              <w:t>  </w:t>
            </w:r>
            <w:r>
              <w:rPr>
                <w:rFonts w:ascii="Calibri"/>
                <w:color w:val="FFFFFF"/>
                <w:spacing w:val="-9"/>
                <w:sz w:val="19"/>
                <w:shd w:fill="8063A1" w:color="auto" w:val="clear"/>
              </w:rPr>
              <w:t> </w:t>
            </w:r>
            <w:r>
              <w:rPr>
                <w:rFonts w:ascii="Calibri"/>
                <w:color w:val="FFFFFF"/>
                <w:sz w:val="19"/>
                <w:shd w:fill="8063A1" w:color="auto" w:val="clear"/>
              </w:rPr>
              <w:t>Disability</w:t>
            </w:r>
            <w:r>
              <w:rPr>
                <w:rFonts w:ascii="Calibri"/>
                <w:color w:val="FFFFFF"/>
                <w:spacing w:val="7"/>
                <w:sz w:val="19"/>
                <w:shd w:fill="8063A1" w:color="auto" w:val="clear"/>
              </w:rPr>
              <w:t> </w:t>
            </w:r>
            <w:r>
              <w:rPr>
                <w:rFonts w:ascii="Calibri"/>
                <w:color w:val="FFFFFF"/>
                <w:sz w:val="19"/>
                <w:shd w:fill="8063A1" w:color="auto" w:val="clear"/>
              </w:rPr>
              <w:t>Support</w:t>
            </w:r>
            <w:r>
              <w:rPr>
                <w:rFonts w:ascii="Calibri"/>
                <w:color w:val="FFFFFF"/>
                <w:spacing w:val="-9"/>
                <w:sz w:val="19"/>
                <w:shd w:fill="8063A1" w:color="auto" w:val="clear"/>
              </w:rPr>
              <w:t> </w:t>
            </w:r>
          </w:p>
        </w:tc>
        <w:tc>
          <w:tcPr>
            <w:tcW w:w="1203" w:type="dxa"/>
          </w:tcPr>
          <w:p>
            <w:pPr>
              <w:pStyle w:val="TableParagraph"/>
              <w:spacing w:before="0"/>
              <w:rPr>
                <w:b/>
                <w:sz w:val="14"/>
              </w:rPr>
            </w:pPr>
          </w:p>
          <w:p>
            <w:pPr>
              <w:pStyle w:val="TableParagraph"/>
              <w:spacing w:before="0"/>
              <w:rPr>
                <w:b/>
                <w:sz w:val="14"/>
              </w:rPr>
            </w:pPr>
          </w:p>
          <w:p>
            <w:pPr>
              <w:pStyle w:val="TableParagraph"/>
              <w:spacing w:before="0"/>
              <w:rPr>
                <w:b/>
                <w:sz w:val="14"/>
              </w:rPr>
            </w:pPr>
          </w:p>
          <w:p>
            <w:pPr>
              <w:pStyle w:val="TableParagraph"/>
              <w:spacing w:before="0"/>
              <w:rPr>
                <w:b/>
                <w:sz w:val="14"/>
              </w:rPr>
            </w:pPr>
          </w:p>
          <w:p>
            <w:pPr>
              <w:pStyle w:val="TableParagraph"/>
              <w:spacing w:before="0"/>
              <w:rPr>
                <w:b/>
                <w:sz w:val="14"/>
              </w:rPr>
            </w:pPr>
          </w:p>
          <w:p>
            <w:pPr>
              <w:pStyle w:val="TableParagraph"/>
              <w:spacing w:before="2"/>
              <w:rPr>
                <w:b/>
                <w:sz w:val="14"/>
              </w:rPr>
            </w:pPr>
          </w:p>
          <w:p>
            <w:pPr>
              <w:pStyle w:val="TableParagraph"/>
              <w:spacing w:line="242" w:lineRule="auto" w:before="0"/>
              <w:ind w:left="309" w:right="243"/>
              <w:jc w:val="center"/>
              <w:rPr>
                <w:rFonts w:ascii="Calibri"/>
                <w:sz w:val="14"/>
              </w:rPr>
            </w:pPr>
            <w:r>
              <w:rPr>
                <w:rFonts w:ascii="Calibri"/>
                <w:sz w:val="14"/>
              </w:rPr>
              <w:t>Transitions </w:t>
            </w:r>
            <w:r>
              <w:rPr>
                <w:rFonts w:ascii="Calibri"/>
                <w:w w:val="105"/>
                <w:sz w:val="14"/>
              </w:rPr>
              <w:t>within the welfare system</w:t>
            </w:r>
          </w:p>
        </w:tc>
        <w:tc>
          <w:tcPr>
            <w:tcW w:w="1195" w:type="dxa"/>
            <w:gridSpan w:val="2"/>
          </w:tcPr>
          <w:p>
            <w:pPr>
              <w:pStyle w:val="TableParagraph"/>
              <w:spacing w:before="8"/>
              <w:rPr>
                <w:b/>
                <w:sz w:val="20"/>
              </w:rPr>
            </w:pPr>
          </w:p>
          <w:p>
            <w:pPr>
              <w:pStyle w:val="TableParagraph"/>
              <w:spacing w:before="0"/>
              <w:ind w:left="289" w:right="92" w:hanging="163"/>
              <w:rPr>
                <w:rFonts w:ascii="Calibri"/>
                <w:b/>
                <w:sz w:val="19"/>
              </w:rPr>
            </w:pPr>
            <w:r>
              <w:rPr>
                <w:rFonts w:ascii="Calibri"/>
                <w:b/>
                <w:sz w:val="19"/>
              </w:rPr>
              <w:t>Non Income Support</w:t>
            </w:r>
          </w:p>
        </w:tc>
        <w:tc>
          <w:tcPr>
            <w:tcW w:w="2164" w:type="dxa"/>
            <w:tcBorders>
              <w:right w:val="dashSmallGap" w:sz="18" w:space="0" w:color="000000"/>
            </w:tcBorders>
          </w:tcPr>
          <w:p>
            <w:pPr>
              <w:pStyle w:val="TableParagraph"/>
              <w:tabs>
                <w:tab w:pos="465" w:val="left" w:leader="none"/>
                <w:tab w:pos="1854" w:val="left" w:leader="none"/>
              </w:tabs>
              <w:spacing w:line="197" w:lineRule="exact" w:before="0"/>
              <w:ind w:left="133"/>
              <w:rPr>
                <w:rFonts w:ascii="Calibri"/>
                <w:sz w:val="19"/>
              </w:rPr>
            </w:pPr>
            <w:r>
              <w:rPr>
                <w:rFonts w:ascii="Calibri"/>
                <w:color w:val="FFFFFF"/>
                <w:w w:val="101"/>
                <w:sz w:val="19"/>
                <w:shd w:fill="F8A763" w:color="auto" w:val="clear"/>
              </w:rPr>
              <w:t> </w:t>
            </w:r>
            <w:r>
              <w:rPr>
                <w:rFonts w:ascii="Calibri"/>
                <w:color w:val="FFFFFF"/>
                <w:sz w:val="19"/>
                <w:shd w:fill="F8A763" w:color="auto" w:val="clear"/>
              </w:rPr>
              <w:tab/>
              <w:t>Non IS</w:t>
            </w:r>
            <w:r>
              <w:rPr>
                <w:rFonts w:ascii="Calibri"/>
                <w:color w:val="FFFFFF"/>
                <w:spacing w:val="5"/>
                <w:sz w:val="19"/>
                <w:shd w:fill="F8A763" w:color="auto" w:val="clear"/>
              </w:rPr>
              <w:t> </w:t>
            </w:r>
            <w:r>
              <w:rPr>
                <w:rFonts w:ascii="Calibri"/>
                <w:color w:val="FFFFFF"/>
                <w:sz w:val="19"/>
                <w:shd w:fill="F8A763" w:color="auto" w:val="clear"/>
              </w:rPr>
              <w:t>Family</w:t>
              <w:tab/>
            </w:r>
          </w:p>
          <w:p>
            <w:pPr>
              <w:pStyle w:val="TableParagraph"/>
              <w:spacing w:before="6"/>
              <w:rPr>
                <w:b/>
                <w:sz w:val="15"/>
              </w:rPr>
            </w:pPr>
          </w:p>
          <w:p>
            <w:pPr>
              <w:pStyle w:val="TableParagraph"/>
              <w:tabs>
                <w:tab w:pos="506" w:val="left" w:leader="none"/>
                <w:tab w:pos="1854" w:val="left" w:leader="none"/>
              </w:tabs>
              <w:spacing w:before="0"/>
              <w:ind w:left="133"/>
              <w:rPr>
                <w:rFonts w:ascii="Calibri"/>
                <w:sz w:val="19"/>
              </w:rPr>
            </w:pPr>
            <w:r>
              <w:rPr>
                <w:rFonts w:ascii="Calibri"/>
                <w:color w:val="FFFFFF"/>
                <w:w w:val="101"/>
                <w:sz w:val="19"/>
                <w:shd w:fill="ECB8E7" w:color="auto" w:val="clear"/>
              </w:rPr>
              <w:t> </w:t>
            </w:r>
            <w:r>
              <w:rPr>
                <w:rFonts w:ascii="Calibri"/>
                <w:color w:val="FFFFFF"/>
                <w:sz w:val="19"/>
                <w:shd w:fill="ECB8E7" w:color="auto" w:val="clear"/>
              </w:rPr>
              <w:tab/>
              <w:t>Non IS</w:t>
            </w:r>
            <w:r>
              <w:rPr>
                <w:rFonts w:ascii="Calibri"/>
                <w:color w:val="FFFFFF"/>
                <w:spacing w:val="4"/>
                <w:sz w:val="19"/>
                <w:shd w:fill="ECB8E7" w:color="auto" w:val="clear"/>
              </w:rPr>
              <w:t> </w:t>
            </w:r>
            <w:r>
              <w:rPr>
                <w:rFonts w:ascii="Calibri"/>
                <w:color w:val="FFFFFF"/>
                <w:sz w:val="19"/>
                <w:shd w:fill="ECB8E7" w:color="auto" w:val="clear"/>
              </w:rPr>
              <w:t>Carer</w:t>
              <w:tab/>
            </w:r>
          </w:p>
          <w:p>
            <w:pPr>
              <w:pStyle w:val="TableParagraph"/>
              <w:spacing w:before="10"/>
              <w:rPr>
                <w:b/>
                <w:sz w:val="14"/>
              </w:rPr>
            </w:pPr>
          </w:p>
          <w:p>
            <w:pPr>
              <w:pStyle w:val="TableParagraph"/>
              <w:tabs>
                <w:tab w:pos="489" w:val="left" w:leader="none"/>
                <w:tab w:pos="1854" w:val="left" w:leader="none"/>
              </w:tabs>
              <w:spacing w:before="1"/>
              <w:ind w:left="133"/>
              <w:rPr>
                <w:rFonts w:ascii="Calibri"/>
                <w:sz w:val="19"/>
              </w:rPr>
            </w:pPr>
            <w:r>
              <w:rPr>
                <w:rFonts w:ascii="Calibri"/>
                <w:color w:val="FFFFFF"/>
                <w:w w:val="101"/>
                <w:sz w:val="19"/>
                <w:shd w:fill="938953" w:color="auto" w:val="clear"/>
              </w:rPr>
              <w:t> </w:t>
            </w:r>
            <w:r>
              <w:rPr>
                <w:rFonts w:ascii="Calibri"/>
                <w:color w:val="FFFFFF"/>
                <w:sz w:val="19"/>
                <w:shd w:fill="938953" w:color="auto" w:val="clear"/>
              </w:rPr>
              <w:tab/>
              <w:t>Non IS</w:t>
            </w:r>
            <w:r>
              <w:rPr>
                <w:rFonts w:ascii="Calibri"/>
                <w:color w:val="FFFFFF"/>
                <w:spacing w:val="7"/>
                <w:sz w:val="19"/>
                <w:shd w:fill="938953" w:color="auto" w:val="clear"/>
              </w:rPr>
              <w:t> </w:t>
            </w:r>
            <w:r>
              <w:rPr>
                <w:rFonts w:ascii="Calibri"/>
                <w:color w:val="FFFFFF"/>
                <w:sz w:val="19"/>
                <w:shd w:fill="938953" w:color="auto" w:val="clear"/>
              </w:rPr>
              <w:t>Other</w:t>
              <w:tab/>
            </w:r>
          </w:p>
        </w:tc>
      </w:tr>
      <w:tr>
        <w:trPr>
          <w:trHeight w:val="794" w:hRule="atLeast"/>
        </w:trPr>
        <w:tc>
          <w:tcPr>
            <w:tcW w:w="1501" w:type="dxa"/>
            <w:tcBorders>
              <w:left w:val="dashSmallGap" w:sz="18" w:space="0" w:color="000000"/>
              <w:bottom w:val="dashSmallGap" w:sz="18" w:space="0" w:color="000000"/>
            </w:tcBorders>
          </w:tcPr>
          <w:p>
            <w:pPr>
              <w:pStyle w:val="TableParagraph"/>
              <w:spacing w:before="0"/>
              <w:rPr>
                <w:rFonts w:ascii="Times New Roman"/>
                <w:sz w:val="18"/>
              </w:rPr>
            </w:pPr>
          </w:p>
        </w:tc>
        <w:tc>
          <w:tcPr>
            <w:tcW w:w="1832" w:type="dxa"/>
            <w:tcBorders>
              <w:bottom w:val="dashSmallGap" w:sz="18" w:space="0" w:color="000000"/>
            </w:tcBorders>
          </w:tcPr>
          <w:p>
            <w:pPr>
              <w:pStyle w:val="TableParagraph"/>
              <w:spacing w:before="0"/>
              <w:rPr>
                <w:rFonts w:ascii="Times New Roman"/>
                <w:sz w:val="18"/>
              </w:rPr>
            </w:pPr>
          </w:p>
        </w:tc>
        <w:tc>
          <w:tcPr>
            <w:tcW w:w="1203" w:type="dxa"/>
            <w:tcBorders>
              <w:bottom w:val="dashSmallGap" w:sz="18" w:space="0" w:color="000000"/>
            </w:tcBorders>
          </w:tcPr>
          <w:p>
            <w:pPr>
              <w:pStyle w:val="TableParagraph"/>
              <w:spacing w:before="5"/>
              <w:rPr>
                <w:b/>
                <w:sz w:val="17"/>
              </w:rPr>
            </w:pPr>
          </w:p>
          <w:p>
            <w:pPr>
              <w:pStyle w:val="TableParagraph"/>
              <w:spacing w:before="0"/>
              <w:ind w:left="152"/>
              <w:rPr>
                <w:rFonts w:ascii="Calibri"/>
                <w:sz w:val="19"/>
              </w:rPr>
            </w:pPr>
            <w:r>
              <w:rPr>
                <w:rFonts w:ascii="Calibri"/>
                <w:color w:val="FFFFFF"/>
                <w:sz w:val="19"/>
              </w:rPr>
              <w:t>Age Pension</w:t>
            </w:r>
          </w:p>
        </w:tc>
        <w:tc>
          <w:tcPr>
            <w:tcW w:w="1195" w:type="dxa"/>
            <w:gridSpan w:val="2"/>
            <w:tcBorders>
              <w:bottom w:val="dashSmallGap" w:sz="18" w:space="0" w:color="000000"/>
            </w:tcBorders>
          </w:tcPr>
          <w:p>
            <w:pPr>
              <w:pStyle w:val="TableParagraph"/>
              <w:spacing w:before="0"/>
              <w:rPr>
                <w:rFonts w:ascii="Times New Roman"/>
                <w:sz w:val="18"/>
              </w:rPr>
            </w:pPr>
          </w:p>
        </w:tc>
        <w:tc>
          <w:tcPr>
            <w:tcW w:w="2164" w:type="dxa"/>
            <w:tcBorders>
              <w:bottom w:val="dashSmallGap" w:sz="18" w:space="0" w:color="000000"/>
              <w:right w:val="dashSmallGap" w:sz="18" w:space="0" w:color="000000"/>
            </w:tcBorders>
          </w:tcPr>
          <w:p>
            <w:pPr>
              <w:pStyle w:val="TableParagraph"/>
              <w:spacing w:before="0"/>
              <w:rPr>
                <w:rFonts w:ascii="Times New Roman"/>
                <w:sz w:val="18"/>
              </w:rPr>
            </w:pPr>
          </w:p>
        </w:tc>
      </w:tr>
    </w:tbl>
    <w:p>
      <w:pPr>
        <w:pStyle w:val="BodyText"/>
        <w:rPr>
          <w:b/>
        </w:rPr>
      </w:pPr>
    </w:p>
    <w:p>
      <w:pPr>
        <w:pStyle w:val="BodyText"/>
        <w:rPr>
          <w:b/>
        </w:rPr>
      </w:pPr>
    </w:p>
    <w:p>
      <w:pPr>
        <w:pStyle w:val="BodyText"/>
        <w:rPr>
          <w:b/>
          <w:sz w:val="21"/>
        </w:rPr>
      </w:pPr>
    </w:p>
    <w:p>
      <w:pPr>
        <w:pStyle w:val="BodyText"/>
        <w:ind w:left="900"/>
      </w:pPr>
      <w:r>
        <w:rPr/>
        <w:pict>
          <v:group style="position:absolute;margin-left:69.025322pt;margin-top:-189.01001pt;width:371.65pt;height:140.550pt;mso-position-horizontal-relative:page;mso-position-vertical-relative:paragraph;z-index:-288002048" coordorigin="1381,-3780" coordsize="7433,2811">
            <v:rect style="position:absolute;left:1383;top:-3777;width:3205;height:1745" filled="true" fillcolor="#f1f1f1" stroked="false">
              <v:fill type="solid"/>
            </v:rect>
            <v:rect style="position:absolute;left:1383;top:-3777;width:3205;height:1745" filled="false" stroked="true" strokeweight=".330269pt" strokecolor="#000000">
              <v:stroke dashstyle="solid"/>
            </v:rect>
            <v:rect style="position:absolute;left:2791;top:-3660;width:1720;height:278" filled="true" fillcolor="#1f487c" stroked="false">
              <v:fill type="solid"/>
            </v:rect>
            <v:rect style="position:absolute;left:2791;top:-3055;width:1720;height:278" filled="true" fillcolor="#e16b09" stroked="false">
              <v:fill type="solid"/>
            </v:rect>
            <v:rect style="position:absolute;left:2791;top:-2752;width:1720;height:279" filled="true" fillcolor="#e08ad6" stroked="false">
              <v:fill type="solid"/>
            </v:rect>
            <v:line style="position:absolute" from="4590,-3058" to="5502,-3058" stroked="true" strokeweight="1.774207pt" strokecolor="#000000">
              <v:stroke dashstyle="solid"/>
            </v:line>
            <v:rect style="position:absolute;left:5604;top:-3777;width:3205;height:1745" filled="true" fillcolor="#f1f1f1" stroked="false">
              <v:fill type="solid"/>
            </v:rect>
            <v:rect style="position:absolute;left:5604;top:-3777;width:3205;height:1745" filled="false" stroked="true" strokeweight=".330269pt" strokecolor="#000000">
              <v:stroke dashstyle="solid"/>
            </v:rect>
            <v:shape style="position:absolute;left:5481;top:-3121;width:125;height:124" coordorigin="5481,-3120" coordsize="125,124" path="m5481,-2996l5481,-3120,5606,-3058,5481,-2996xe" filled="true" fillcolor="#000000" stroked="false">
              <v:path arrowok="t"/>
              <v:fill type="solid"/>
            </v:shape>
            <v:line style="position:absolute" from="5605,-2746" to="4693,-2746" stroked="true" strokeweight="1.774207pt" strokecolor="#000000">
              <v:stroke dashstyle="solid"/>
            </v:line>
            <v:shape style="position:absolute;left:4589;top:-2809;width:125;height:124" coordorigin="4590,-2808" coordsize="125,124" path="m4714,-2808l4714,-2684,4590,-2746,4714,-2808xe" filled="true" fillcolor="#000000" stroked="false">
              <v:path arrowok="t"/>
              <v:fill type="solid"/>
            </v:shape>
            <v:rect style="position:absolute;left:3562;top:-1470;width:3070;height:501" filled="true" fillcolor="#c0504d" stroked="false">
              <v:fill type="solid"/>
            </v:rect>
            <v:line style="position:absolute" from="2988,-2032" to="4494,-1503" stroked="true" strokeweight="1.77472pt" strokecolor="#000000">
              <v:stroke dashstyle="solid"/>
            </v:line>
            <v:shape style="position:absolute;left:4453;top:-1569;width:138;height:117" coordorigin="4453,-1568" coordsize="138,117" path="m4453,-1451l4495,-1568,4591,-1469,4453,-1451xe" filled="true" fillcolor="#000000" stroked="false">
              <v:path arrowok="t"/>
              <v:fill type="solid"/>
            </v:shape>
            <v:line style="position:absolute" from="7232,-2032" to="5726,-1503" stroked="true" strokeweight="1.77472pt" strokecolor="#000000">
              <v:stroke dashstyle="solid"/>
            </v:line>
            <v:shape style="position:absolute;left:5628;top:-1569;width:138;height:117" coordorigin="5629,-1568" coordsize="138,117" path="m5766,-1451l5725,-1568,5629,-1469,5766,-1451xe" filled="true" fillcolor="#000000" stroked="false">
              <v:path arrowok="t"/>
              <v:fill type="solid"/>
            </v:shape>
            <w10:wrap type="none"/>
          </v:group>
        </w:pict>
      </w:r>
      <w:r>
        <w:rPr>
          <w:color w:val="404040"/>
        </w:rPr>
        <w:t>We discuss the key features and trends in the system and class level experience below.</w:t>
      </w:r>
    </w:p>
    <w:p>
      <w:pPr>
        <w:pStyle w:val="BodyText"/>
        <w:spacing w:before="9"/>
      </w:pPr>
    </w:p>
    <w:p>
      <w:pPr>
        <w:pStyle w:val="Heading4"/>
      </w:pPr>
      <w:bookmarkStart w:name="Entries and exits into the welfare syste" w:id="118"/>
      <w:bookmarkEnd w:id="118"/>
      <w:r>
        <w:rPr/>
      </w:r>
      <w:r>
        <w:rPr>
          <w:color w:val="DF2F28"/>
        </w:rPr>
        <w:t>Entries and exits into the welfare system</w:t>
      </w:r>
    </w:p>
    <w:p>
      <w:pPr>
        <w:pStyle w:val="BodyText"/>
        <w:spacing w:before="9"/>
      </w:pPr>
    </w:p>
    <w:p>
      <w:pPr>
        <w:pStyle w:val="Heading6"/>
        <w:spacing w:before="1"/>
        <w:rPr>
          <w:i/>
        </w:rPr>
      </w:pPr>
      <w:r>
        <w:rPr>
          <w:i/>
          <w:color w:val="DF2F1E"/>
        </w:rPr>
        <w:t>Entries into the welfare system</w:t>
      </w:r>
    </w:p>
    <w:p>
      <w:pPr>
        <w:pStyle w:val="BodyText"/>
        <w:spacing w:before="123"/>
        <w:ind w:left="900"/>
      </w:pPr>
      <w:r>
        <w:rPr>
          <w:color w:val="404040"/>
        </w:rPr>
        <w:t>The chart below shows the total number of entries and re-entries into the welfare system.</w:t>
      </w:r>
    </w:p>
    <w:p>
      <w:pPr>
        <w:pStyle w:val="Heading9"/>
        <w:spacing w:before="173"/>
      </w:pPr>
      <w:r>
        <w:rPr>
          <w:color w:val="DF2F1E"/>
        </w:rPr>
        <w:t>Figure 23: Recent entries and re-entries into the welfare system (by destination class)</w:t>
      </w:r>
    </w:p>
    <w:p>
      <w:pPr>
        <w:pStyle w:val="BodyText"/>
        <w:spacing w:before="4"/>
        <w:rPr>
          <w:b/>
          <w:sz w:val="16"/>
        </w:rPr>
      </w:pPr>
    </w:p>
    <w:p>
      <w:pPr>
        <w:spacing w:after="0"/>
        <w:rPr>
          <w:sz w:val="16"/>
        </w:rPr>
        <w:sectPr>
          <w:pgSz w:w="11910" w:h="16850"/>
          <w:pgMar w:header="572" w:footer="581" w:top="780" w:bottom="780" w:left="120" w:right="0"/>
        </w:sectPr>
      </w:pPr>
    </w:p>
    <w:p>
      <w:pPr>
        <w:spacing w:before="71"/>
        <w:ind w:left="0" w:right="0" w:firstLine="0"/>
        <w:jc w:val="right"/>
        <w:rPr>
          <w:rFonts w:ascii="Calibri"/>
          <w:sz w:val="15"/>
        </w:rPr>
      </w:pPr>
      <w:r>
        <w:rPr>
          <w:rFonts w:ascii="Calibri"/>
          <w:color w:val="585858"/>
          <w:sz w:val="15"/>
        </w:rPr>
        <w:t>900,000</w:t>
      </w:r>
    </w:p>
    <w:p>
      <w:pPr>
        <w:spacing w:before="96"/>
        <w:ind w:left="0" w:right="0" w:firstLine="0"/>
        <w:jc w:val="right"/>
        <w:rPr>
          <w:rFonts w:ascii="Calibri"/>
          <w:sz w:val="15"/>
        </w:rPr>
      </w:pPr>
      <w:r>
        <w:rPr>
          <w:rFonts w:ascii="Calibri"/>
          <w:color w:val="585858"/>
          <w:sz w:val="15"/>
        </w:rPr>
        <w:t>800,000</w:t>
      </w:r>
    </w:p>
    <w:p>
      <w:pPr>
        <w:spacing w:before="95"/>
        <w:ind w:left="0" w:right="0" w:firstLine="0"/>
        <w:jc w:val="right"/>
        <w:rPr>
          <w:rFonts w:ascii="Calibri"/>
          <w:sz w:val="15"/>
        </w:rPr>
      </w:pPr>
      <w:r>
        <w:rPr>
          <w:rFonts w:ascii="Calibri"/>
          <w:color w:val="585858"/>
          <w:sz w:val="15"/>
        </w:rPr>
        <w:t>700,000</w:t>
      </w:r>
    </w:p>
    <w:p>
      <w:pPr>
        <w:spacing w:before="95"/>
        <w:ind w:left="0" w:right="0" w:firstLine="0"/>
        <w:jc w:val="right"/>
        <w:rPr>
          <w:rFonts w:ascii="Calibri"/>
          <w:sz w:val="15"/>
        </w:rPr>
      </w:pPr>
      <w:r>
        <w:rPr>
          <w:rFonts w:ascii="Calibri"/>
          <w:color w:val="585858"/>
          <w:sz w:val="15"/>
        </w:rPr>
        <w:t>600,000</w:t>
      </w:r>
    </w:p>
    <w:p>
      <w:pPr>
        <w:spacing w:before="95"/>
        <w:ind w:left="0" w:right="0" w:firstLine="0"/>
        <w:jc w:val="right"/>
        <w:rPr>
          <w:rFonts w:ascii="Calibri"/>
          <w:sz w:val="15"/>
        </w:rPr>
      </w:pPr>
      <w:r>
        <w:rPr>
          <w:rFonts w:ascii="Calibri"/>
          <w:color w:val="585858"/>
          <w:sz w:val="15"/>
        </w:rPr>
        <w:t>500,000</w:t>
      </w:r>
    </w:p>
    <w:p>
      <w:pPr>
        <w:spacing w:before="96"/>
        <w:ind w:left="0" w:right="0" w:firstLine="0"/>
        <w:jc w:val="right"/>
        <w:rPr>
          <w:rFonts w:ascii="Calibri"/>
          <w:sz w:val="15"/>
        </w:rPr>
      </w:pPr>
      <w:r>
        <w:rPr>
          <w:rFonts w:ascii="Calibri"/>
          <w:color w:val="585858"/>
          <w:sz w:val="15"/>
        </w:rPr>
        <w:t>400,000</w:t>
      </w:r>
    </w:p>
    <w:p>
      <w:pPr>
        <w:spacing w:before="95"/>
        <w:ind w:left="0" w:right="0" w:firstLine="0"/>
        <w:jc w:val="right"/>
        <w:rPr>
          <w:rFonts w:ascii="Calibri"/>
          <w:sz w:val="15"/>
        </w:rPr>
      </w:pPr>
      <w:r>
        <w:rPr>
          <w:rFonts w:ascii="Calibri"/>
          <w:color w:val="585858"/>
          <w:sz w:val="15"/>
        </w:rPr>
        <w:t>300,000</w:t>
      </w:r>
    </w:p>
    <w:p>
      <w:pPr>
        <w:spacing w:before="95"/>
        <w:ind w:left="0" w:right="0" w:firstLine="0"/>
        <w:jc w:val="right"/>
        <w:rPr>
          <w:rFonts w:ascii="Calibri"/>
          <w:sz w:val="15"/>
        </w:rPr>
      </w:pPr>
      <w:r>
        <w:rPr>
          <w:rFonts w:ascii="Calibri"/>
          <w:color w:val="585858"/>
          <w:sz w:val="15"/>
        </w:rPr>
        <w:t>200,000</w:t>
      </w:r>
    </w:p>
    <w:p>
      <w:pPr>
        <w:spacing w:before="96"/>
        <w:ind w:left="0" w:right="0" w:firstLine="0"/>
        <w:jc w:val="right"/>
        <w:rPr>
          <w:rFonts w:ascii="Calibri"/>
          <w:sz w:val="15"/>
        </w:rPr>
      </w:pPr>
      <w:r>
        <w:rPr>
          <w:rFonts w:ascii="Calibri"/>
          <w:color w:val="585858"/>
          <w:sz w:val="15"/>
        </w:rPr>
        <w:t>100,000</w:t>
      </w:r>
    </w:p>
    <w:p>
      <w:pPr>
        <w:spacing w:before="95"/>
        <w:ind w:left="0" w:right="2" w:firstLine="0"/>
        <w:jc w:val="right"/>
        <w:rPr>
          <w:rFonts w:ascii="Calibri"/>
          <w:sz w:val="15"/>
        </w:rPr>
      </w:pPr>
      <w:r>
        <w:rPr>
          <w:rFonts w:ascii="Calibri"/>
          <w:color w:val="585858"/>
          <w:w w:val="100"/>
          <w:sz w:val="15"/>
        </w:rPr>
        <w:t>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2"/>
        <w:rPr>
          <w:rFonts w:ascii="Calibri"/>
          <w:sz w:val="17"/>
        </w:rPr>
      </w:pPr>
    </w:p>
    <w:p>
      <w:pPr>
        <w:tabs>
          <w:tab w:pos="1522" w:val="left" w:leader="none"/>
          <w:tab w:pos="2575" w:val="left" w:leader="none"/>
          <w:tab w:pos="3628" w:val="left" w:leader="none"/>
          <w:tab w:pos="4681" w:val="left" w:leader="none"/>
        </w:tabs>
        <w:spacing w:before="1"/>
        <w:ind w:left="469" w:right="0" w:firstLine="0"/>
        <w:jc w:val="left"/>
        <w:rPr>
          <w:rFonts w:ascii="Calibri"/>
          <w:sz w:val="15"/>
        </w:rPr>
      </w:pPr>
      <w:r>
        <w:rPr>
          <w:rFonts w:ascii="Calibri"/>
          <w:color w:val="585858"/>
          <w:sz w:val="15"/>
        </w:rPr>
        <w:t>2014</w:t>
        <w:tab/>
        <w:t>2015</w:t>
        <w:tab/>
        <w:t>2016</w:t>
        <w:tab/>
        <w:t>2017</w:t>
        <w:tab/>
      </w:r>
      <w:r>
        <w:rPr>
          <w:rFonts w:ascii="Calibri"/>
          <w:color w:val="585858"/>
          <w:spacing w:val="-6"/>
          <w:sz w:val="15"/>
        </w:rPr>
        <w:t>2018</w:t>
      </w:r>
    </w:p>
    <w:p>
      <w:pPr>
        <w:spacing w:before="67"/>
        <w:ind w:left="2195" w:right="0" w:firstLine="0"/>
        <w:jc w:val="left"/>
        <w:rPr>
          <w:rFonts w:ascii="Calibri"/>
          <w:b/>
          <w:sz w:val="15"/>
        </w:rPr>
      </w:pPr>
      <w:r>
        <w:rPr>
          <w:rFonts w:ascii="Calibri"/>
          <w:b/>
          <w:color w:val="585858"/>
          <w:sz w:val="15"/>
        </w:rPr>
        <w:t>Year Ending 30 June</w:t>
      </w:r>
    </w:p>
    <w:p>
      <w:pPr>
        <w:pStyle w:val="BodyText"/>
        <w:rPr>
          <w:rFonts w:ascii="Calibri"/>
          <w:b/>
          <w:sz w:val="10"/>
        </w:rPr>
      </w:pPr>
      <w:r>
        <w:rPr/>
        <w:br w:type="column"/>
      </w:r>
      <w:r>
        <w:rPr>
          <w:rFonts w:ascii="Calibri"/>
          <w:b/>
          <w:sz w:val="10"/>
        </w:rPr>
      </w:r>
    </w:p>
    <w:p>
      <w:pPr>
        <w:tabs>
          <w:tab w:pos="869" w:val="left" w:leader="none"/>
          <w:tab w:pos="2763" w:val="left" w:leader="none"/>
        </w:tabs>
        <w:spacing w:line="20" w:lineRule="exact"/>
        <w:ind w:left="514" w:right="0" w:firstLine="0"/>
        <w:rPr>
          <w:rFonts w:ascii="Calibri"/>
          <w:sz w:val="2"/>
        </w:rPr>
      </w:pPr>
      <w:r>
        <w:rPr>
          <w:rFonts w:ascii="Calibri"/>
          <w:sz w:val="2"/>
        </w:rPr>
        <w:pict>
          <v:group style="width:.5pt;height:.1pt;mso-position-horizontal-relative:char;mso-position-vertical-relative:line" coordorigin="0,0" coordsize="10,2">
            <v:shape style="position:absolute;left:0;top:0;width:10;height:2" coordorigin="0,0" coordsize="10,0" path="m0,0l9,0e" filled="true" fillcolor="#dadcdd" stroked="false">
              <v:path arrowok="t"/>
              <v:fill type="solid"/>
            </v:shape>
          </v:group>
        </w:pict>
      </w:r>
      <w:r>
        <w:rPr>
          <w:rFonts w:ascii="Calibri"/>
          <w:sz w:val="2"/>
        </w:rPr>
      </w:r>
      <w:r>
        <w:rPr>
          <w:rFonts w:ascii="Calibri"/>
          <w:sz w:val="2"/>
        </w:rPr>
        <w:tab/>
      </w:r>
      <w:r>
        <w:rPr>
          <w:rFonts w:ascii="Calibri"/>
          <w:sz w:val="2"/>
        </w:rPr>
        <w:pict>
          <v:group style="width:.5pt;height:.1pt;mso-position-horizontal-relative:char;mso-position-vertical-relative:line" coordorigin="0,0" coordsize="10,2">
            <v:shape style="position:absolute;left:0;top:0;width:10;height:2" coordorigin="0,0" coordsize="10,0" path="m0,0l9,0e" filled="true" fillcolor="#dadcdd" stroked="false">
              <v:path arrowok="t"/>
              <v:fill type="solid"/>
            </v:shape>
          </v:group>
        </w:pict>
      </w:r>
      <w:r>
        <w:rPr>
          <w:rFonts w:ascii="Calibri"/>
          <w:sz w:val="2"/>
        </w:rPr>
      </w:r>
      <w:r>
        <w:rPr>
          <w:rFonts w:ascii="Calibri"/>
          <w:sz w:val="2"/>
        </w:rPr>
        <w:tab/>
      </w:r>
      <w:r>
        <w:rPr>
          <w:rFonts w:ascii="Calibri"/>
          <w:sz w:val="2"/>
        </w:rPr>
        <w:pict>
          <v:group style="width:.5pt;height:.1pt;mso-position-horizontal-relative:char;mso-position-vertical-relative:line" coordorigin="0,0" coordsize="10,2">
            <v:shape style="position:absolute;left:0;top:0;width:10;height:2" coordorigin="0,0" coordsize="10,0" path="m0,0l9,0e" filled="true" fillcolor="#dadcdd" stroked="false">
              <v:path arrowok="t"/>
              <v:fill type="solid"/>
            </v:shape>
          </v:group>
        </w:pict>
      </w:r>
      <w:r>
        <w:rPr>
          <w:rFonts w:ascii="Calibri"/>
          <w:sz w:val="2"/>
        </w:rPr>
      </w:r>
    </w:p>
    <w:p>
      <w:pPr>
        <w:spacing w:before="0"/>
        <w:ind w:left="542" w:right="0" w:firstLine="0"/>
        <w:jc w:val="left"/>
        <w:rPr>
          <w:rFonts w:ascii="Calibri"/>
          <w:sz w:val="14"/>
        </w:rPr>
      </w:pPr>
      <w:r>
        <w:rPr/>
        <w:pict>
          <v:group style="position:absolute;margin-left:94.498222pt;margin-top:15.390417pt;width:263.6pt;height:114.1pt;mso-position-horizontal-relative:page;mso-position-vertical-relative:paragraph;z-index:251905024" coordorigin="1890,308" coordsize="5272,2282">
            <v:shape style="position:absolute;left:1894;top:2258;width:5262;height:2" coordorigin="1895,2259" coordsize="5262,0" path="m6844,2259l7156,2259m4734,2259l6428,2259m3683,2259l4317,2259m2633,2259l3267,2259m1895,2259l2207,2259e" filled="false" stroked="true" strokeweight=".472345pt" strokecolor="#d9d9d9">
              <v:path arrowok="t"/>
              <v:stroke dashstyle="solid"/>
            </v:shape>
            <v:shape style="position:absolute;left:2206;top:2239;width:4637;height:303" coordorigin="2207,2240" coordsize="4637,303" path="m2633,2240l2207,2240,2207,2542,2633,2542,2633,2240m3683,2240l3267,2240,3267,2542,3683,2542,3683,2240m4734,2240l4317,2240,4317,2542,4734,2542,4734,2240m5794,2259l5368,2259,5368,2542,5794,2542,5794,2259m6844,2268l6428,2268,6428,2542,6844,2542,6844,2268e" filled="true" fillcolor="#1f487c" stroked="false">
              <v:path arrowok="t"/>
              <v:fill type="solid"/>
            </v:shape>
            <v:shape style="position:absolute;left:36763;top:-288506;width:545878;height:35650" coordorigin="36763,-288505" coordsize="545878,35650" path="m2207,2240l2633,2240,2633,2542,2207,2542,2207,2240xm3267,2240l3683,2240,3683,2542,3267,2542,3267,2240xm4317,2240l4734,2240,4734,2542,4317,2542,4317,2240xm5368,2259l5794,2259,5794,2542,5368,2542,5368,2259xm6428,2268l6844,2268,6844,2542,6428,2542,6428,2268xe" filled="false" stroked="true" strokeweight=".472757pt" strokecolor="#1f487c">
              <v:path arrowok="t"/>
              <v:stroke dashstyle="solid"/>
            </v:shape>
            <v:shape style="position:absolute;left:1894;top:1701;width:1373;height:284" coordorigin="1895,1701" coordsize="1373,284" path="m2633,1985l3267,1985m1895,1985l2207,1985m2633,1701l3267,1701m1895,1701l2207,1701e" filled="false" stroked="true" strokeweight=".472345pt" strokecolor="#d9d9d9">
              <v:path arrowok="t"/>
              <v:stroke dashstyle="solid"/>
            </v:shape>
            <v:line style="position:absolute" from="1895,1427" to="4317,1427" stroked="true" strokeweight=".472345pt" strokecolor="#d9d9d9">
              <v:stroke dashstyle="solid"/>
            </v:line>
            <v:rect style="position:absolute;left:2206;top:1493;width:426;height:747" filled="true" fillcolor="#009544" stroked="false">
              <v:fill type="solid"/>
            </v:rect>
            <v:shape style="position:absolute;left:3683;top:1701;width:635;height:284" coordorigin="3683,1701" coordsize="635,284" path="m3683,1985l4317,1985m3683,1701l4317,1701e" filled="false" stroked="true" strokeweight=".472345pt" strokecolor="#d9d9d9">
              <v:path arrowok="t"/>
              <v:stroke dashstyle="solid"/>
            </v:shape>
            <v:rect style="position:absolute;left:3266;top:1559;width:417;height:681" filled="true" fillcolor="#009544" stroked="false">
              <v:fill type="solid"/>
            </v:rect>
            <v:shape style="position:absolute;left:4733;top:1701;width:635;height:284" coordorigin="4734,1701" coordsize="635,284" path="m4734,1985l5368,1985m4734,1701l5368,1701e" filled="false" stroked="true" strokeweight=".472345pt" strokecolor="#d9d9d9">
              <v:path arrowok="t"/>
              <v:stroke dashstyle="solid"/>
            </v:shape>
            <v:rect style="position:absolute;left:4317;top:1578;width:417;height:662" filled="true" fillcolor="#009544" stroked="false">
              <v:fill type="solid"/>
            </v:rect>
            <v:shape style="position:absolute;left:5793;top:1701;width:1363;height:284" coordorigin="5794,1701" coordsize="1363,284" path="m5794,1985l6428,1985m5794,1701l7156,1701e" filled="false" stroked="true" strokeweight=".472345pt" strokecolor="#d9d9d9">
              <v:path arrowok="t"/>
              <v:stroke dashstyle="solid"/>
            </v:shape>
            <v:rect style="position:absolute;left:5367;top:1625;width:426;height:633" filled="true" fillcolor="#009544" stroked="false">
              <v:fill type="solid"/>
            </v:rect>
            <v:line style="position:absolute" from="6844,1985" to="7156,1985" stroked="true" strokeweight=".472345pt" strokecolor="#d9d9d9">
              <v:stroke dashstyle="solid"/>
            </v:line>
            <v:rect style="position:absolute;left:6427;top:1739;width:417;height:530" filled="true" fillcolor="#009544" stroked="false">
              <v:fill type="solid"/>
            </v:rect>
            <v:shape style="position:absolute;left:37643;top:-262496;width:558953;height:93539" coordorigin="37644,-262496" coordsize="558953,93539" path="m2207,1493l2633,1493,2633,2240,2207,2240,2207,1493xm3267,1560l3683,1560,3683,2240,3267,2240,3267,1560xm4317,1578l4734,1578,4734,2240,4317,2240,4317,1578xm5368,1626l5794,1626,5794,2259,5368,2259,5368,1626xm6428,1739l6844,1739,6844,2268,6428,2268,6428,1739xe" filled="false" stroked="true" strokeweight=".472757pt" strokecolor="#009544">
              <v:path arrowok="t"/>
              <v:stroke dashstyle="solid"/>
            </v:shape>
            <v:shape style="position:absolute;left:2206;top:1436;width:4637;height:303" coordorigin="2207,1437" coordsize="4637,303" path="m2633,1437l2207,1437,2207,1493,2633,1493,2633,1437m3683,1503l3267,1503,3267,1560,3683,1560,3683,1503m4734,1531l4317,1531,4317,1578,4734,1578,4734,1531m5794,1578l5368,1578,5368,1626,5794,1626,5794,1578m6844,1701l6428,1701,6428,1739,6844,1739,6844,1701e" filled="true" fillcolor="#e16b09" stroked="false">
              <v:path arrowok="t"/>
              <v:fill type="solid"/>
            </v:shape>
            <v:shape style="position:absolute;left:39046;top:-206268;width:579783;height:37864" coordorigin="39047,-206268" coordsize="579783,37864" path="m2207,1437l2633,1437,2633,1493,2207,1493,2207,1437xm3267,1503l3683,1503,3683,1560,3267,1560,3267,1503xm4317,1531l4734,1531,4734,1578,4317,1578,4317,1531xm5368,1578l5794,1578,5794,1626,5368,1626,5368,1578xm6428,1701l6844,1701,6844,1739,6428,1739,6428,1701xe" filled="false" stroked="true" strokeweight=".47275pt" strokecolor="#e16b09">
              <v:path arrowok="t"/>
              <v:stroke dashstyle="solid"/>
            </v:shape>
            <v:shape style="position:absolute;left:2206;top:1408;width:1477;height:95" coordorigin="2207,1408" coordsize="1477,95" path="m2633,1408l2207,1408,2207,1437,2633,1437,2633,1408m3683,1465l3267,1465,3267,1503,3683,1503,3683,1465e" filled="true" fillcolor="#e08ad6" stroked="false">
              <v:path arrowok="t"/>
              <v:fill type="solid"/>
            </v:shape>
            <v:line style="position:absolute" from="4734,1427" to="5368,1427" stroked="true" strokeweight=".472345pt" strokecolor="#d9d9d9">
              <v:stroke dashstyle="solid"/>
            </v:line>
            <v:shape style="position:absolute;left:4317;top:1493;width:2527;height:208" coordorigin="4317,1493" coordsize="2527,208" path="m4734,1493l4317,1493,4317,1531,4734,1531,4734,1493m5794,1550l5368,1550,5368,1578,5794,1578,5794,1550m6844,1673l6428,1673,6428,1701,6844,1701,6844,1673e" filled="true" fillcolor="#e08ad6" stroked="false">
              <v:path arrowok="t"/>
              <v:fill type="solid"/>
            </v:shape>
            <v:rect style="position:absolute;left:2202;top:1403;width:436;height:38" filled="true" fillcolor="#e08ad6" stroked="false">
              <v:fill type="solid"/>
            </v:rect>
            <v:shape style="position:absolute;left:171568;top:-180237;width:183401;height:8283" coordorigin="171568,-180236" coordsize="183401,8283" path="m3267,1465l3683,1465,3683,1503,3267,1503,3267,1465xm4317,1493l4734,1493,4734,1531,4317,1531,4317,1493xe" filled="false" stroked="true" strokeweight=".47275pt" strokecolor="#e08ad6">
              <v:path arrowok="t"/>
              <v:stroke dashstyle="solid"/>
            </v:shape>
            <v:shape style="position:absolute;left:5362;top:1545;width:1486;height:161" coordorigin="5363,1545" coordsize="1486,161" path="m5798,1545l5363,1545,5363,1583,5798,1583,5798,1545m6849,1668l6423,1668,6423,1706,6849,1706,6849,1668e" filled="true" fillcolor="#e08ad6" stroked="false">
              <v:path arrowok="t"/>
              <v:fill type="solid"/>
            </v:shape>
            <v:shape style="position:absolute;left:2206;top:1342;width:4637;height:331" coordorigin="2207,1342" coordsize="4637,331" path="m2633,1342l2207,1342,2207,1408,2633,1408,2633,1342m3683,1418l3267,1418,3267,1465,3683,1465,3683,1418m4734,1456l4317,1456,4317,1493,4734,1493,4734,1456m5794,1512l5368,1512,5368,1550,5794,1550,5794,1512m6844,1645l6428,1645,6428,1673,6844,1673,6844,1645e" filled="true" fillcolor="#8063a1" stroked="false">
              <v:path arrowok="t"/>
              <v:fill type="solid"/>
            </v:shape>
            <v:shape style="position:absolute;left:39046;top:-182603;width:448445;height:26032" coordorigin="39047,-182603" coordsize="448445,26032" path="m2207,1342l2633,1342,2633,1408,2207,1408,2207,1342xm3267,1418l3683,1418,3683,1465,3267,1465,3267,1418xm4317,1456l4734,1456,4734,1493,4317,1493,4317,1456xm5368,1512l5794,1512,5794,1550,5368,1550,5368,1512xe" filled="false" stroked="true" strokeweight=".47275pt" strokecolor="#8063a1">
              <v:path arrowok="t"/>
              <v:stroke dashstyle="solid"/>
            </v:shape>
            <v:rect style="position:absolute;left:6422;top:1639;width:426;height:38" filled="true" fillcolor="#8063a1" stroked="false">
              <v:fill type="solid"/>
            </v:rect>
            <v:shape style="position:absolute;left:1894;top:1143;width:2423;height:2" coordorigin="1895,1144" coordsize="2423,0" path="m2633,1144l4317,1144m1895,1144l2207,1144e" filled="false" stroked="true" strokeweight=".472345pt" strokecolor="#d9d9d9">
              <v:path arrowok="t"/>
              <v:stroke dashstyle="solid"/>
            </v:shape>
            <v:shape style="position:absolute;left:2206;top:1115;width:1477;height:303" coordorigin="2207,1116" coordsize="1477,303" path="m2633,1116l2207,1116,2207,1342,2633,1342,2633,1116m3683,1144l3267,1144,3267,1418,3683,1418,3683,1144e" filled="true" fillcolor="#c0504d" stroked="false">
              <v:path arrowok="t"/>
              <v:fill type="solid"/>
            </v:shape>
            <v:line style="position:absolute" from="4734,1144" to="5368,1144" stroked="true" strokeweight=".472345pt" strokecolor="#d9d9d9">
              <v:stroke dashstyle="solid"/>
            </v:line>
            <v:rect style="position:absolute;left:4317;top:1200;width:417;height:256" filled="true" fillcolor="#c0504d" stroked="false">
              <v:fill type="solid"/>
            </v:rect>
            <v:line style="position:absolute" from="5794,1427" to="6428,1427" stroked="true" strokeweight=".472345pt" strokecolor="#d9d9d9">
              <v:stroke dashstyle="solid"/>
            </v:line>
            <v:rect style="position:absolute;left:5367;top:1257;width:426;height:256" filled="true" fillcolor="#c0504d" stroked="false">
              <v:fill type="solid"/>
            </v:rect>
            <v:line style="position:absolute" from="6844,1427" to="7156,1427" stroked="true" strokeweight=".472345pt" strokecolor="#d9d9d9">
              <v:stroke dashstyle="solid"/>
            </v:line>
            <v:rect style="position:absolute;left:6427;top:1493;width:417;height:152" filled="true" fillcolor="#c0504d" stroked="false">
              <v:fill type="solid"/>
            </v:rect>
            <v:shape style="position:absolute;left:39290;top:-195693;width:583407;height:66675" coordorigin="39291,-195692" coordsize="583407,66675" path="m2207,1116l2633,1116,2633,1342,2207,1342,2207,1116xm3267,1144l3683,1144,3683,1418,3267,1418,3267,1144xm4317,1201l4734,1201,4734,1456,4317,1456,4317,1201xm5368,1257l5794,1257,5794,1512,5368,1512,5368,1257xm6428,1493l6844,1493,6844,1645,6428,1645,6428,1493xe" filled="false" stroked="true" strokeweight=".472757pt" strokecolor="#c0504d">
              <v:path arrowok="t"/>
              <v:stroke dashstyle="solid"/>
            </v:shape>
            <v:shape style="position:absolute;left:2206;top:1077;width:4638;height:416" coordorigin="2207,1078" coordsize="4638,416" path="m2633,1078l2207,1078,2207,1116,2633,1116,2633,1078m3683,1097l3267,1097,3267,1144,3683,1144,3683,1097m4734,1153l4317,1153,4317,1201,4734,1201,4734,1153m5794,1219l5368,1219,5368,1257,5794,1257,5794,1219m6844,1456l6428,1456,6428,1493,6844,1493,6844,1456e" filled="true" fillcolor="#ecb8e7" stroked="false">
              <v:path arrowok="t"/>
              <v:fill type="solid"/>
            </v:shape>
            <v:shape style="position:absolute;left:39537;top:-140655;width:319897;height:15576" coordorigin="39538,-140654" coordsize="319897,15576" path="m2207,1078l2633,1078,2633,1116,2207,1116,2207,1078xm3267,1097l3683,1097,3683,1144,3267,1144,3267,1097xm4317,1153l4734,1153,4734,1201,4317,1201,4317,1153xe" filled="false" stroked="true" strokeweight=".47276pt" strokecolor="#ecb8e7">
              <v:path arrowok="t"/>
              <v:stroke dashstyle="solid"/>
            </v:shape>
            <v:line style="position:absolute" from="5794,1144" to="6428,1144" stroked="true" strokeweight=".472345pt" strokecolor="#d9d9d9">
              <v:stroke dashstyle="solid"/>
            </v:line>
            <v:shape style="position:absolute;left:439707;top:-177796;width:186906;height:34746" coordorigin="439708,-177796" coordsize="186906,34746" path="m5368,1219l5794,1219,5794,1257,5368,1257,5368,1219xm6428,1456l6844,1456,6844,1493,6428,1493,6428,1456xe" filled="false" stroked="true" strokeweight=".47276pt" strokecolor="#ecb8e7">
              <v:path arrowok="t"/>
              <v:stroke dashstyle="solid"/>
            </v:shape>
            <v:shape style="position:absolute;left:1894;top:595;width:1373;height:274" coordorigin="1895,596" coordsize="1373,274" path="m2633,870l3267,870m1895,870l2207,870m2633,596l3267,596m1895,596l2207,596e" filled="false" stroked="true" strokeweight=".472345pt" strokecolor="#d9d9d9">
              <v:path arrowok="t"/>
              <v:stroke dashstyle="solid"/>
            </v:shape>
            <v:line style="position:absolute" from="1895,313" to="7156,313" stroked="true" strokeweight=".472345pt" strokecolor="#d9d9d9">
              <v:stroke dashstyle="solid"/>
            </v:line>
            <v:rect style="position:absolute;left:2206;top:331;width:426;height:747" filled="true" fillcolor="#938953" stroked="false">
              <v:fill type="solid"/>
            </v:rect>
            <v:shape style="position:absolute;left:3683;top:595;width:635;height:274" coordorigin="3683,596" coordsize="635,274" path="m3683,870l4317,870m3683,596l4317,596e" filled="false" stroked="true" strokeweight=".472345pt" strokecolor="#d9d9d9">
              <v:path arrowok="t"/>
              <v:stroke dashstyle="solid"/>
            </v:shape>
            <v:rect style="position:absolute;left:3266;top:369;width:417;height:728" filled="true" fillcolor="#938953" stroked="false">
              <v:fill type="solid"/>
            </v:rect>
            <v:shape style="position:absolute;left:4733;top:595;width:635;height:274" coordorigin="4734,596" coordsize="635,274" path="m4734,870l5368,870m4734,596l5368,596e" filled="false" stroked="true" strokeweight=".472345pt" strokecolor="#d9d9d9">
              <v:path arrowok="t"/>
              <v:stroke dashstyle="solid"/>
            </v:shape>
            <v:rect style="position:absolute;left:4317;top:482;width:417;height:671" filled="true" fillcolor="#938953" stroked="false">
              <v:fill type="solid"/>
            </v:rect>
            <v:shape style="position:absolute;left:5793;top:595;width:1363;height:274" coordorigin="5794,596" coordsize="1363,274" path="m5794,870l6428,870m5794,596l7156,596e" filled="false" stroked="true" strokeweight=".472345pt" strokecolor="#d9d9d9">
              <v:path arrowok="t"/>
              <v:stroke dashstyle="solid"/>
            </v:shape>
            <v:rect style="position:absolute;left:5367;top:539;width:426;height:681" filled="true" fillcolor="#938953" stroked="false">
              <v:fill type="solid"/>
            </v:rect>
            <v:shape style="position:absolute;left:6844;top:869;width:313;height:274" coordorigin="6844,870" coordsize="313,274" path="m6844,1144l7156,1144m6844,870l7156,870e" filled="false" stroked="true" strokeweight=".472345pt" strokecolor="#d9d9d9">
              <v:path arrowok="t"/>
              <v:stroke dashstyle="solid"/>
            </v:shape>
            <v:rect style="position:absolute;left:6427;top:841;width:417;height:615" filled="true" fillcolor="#938953" stroked="false">
              <v:fill type="solid"/>
            </v:rect>
            <v:shape style="position:absolute;left:39537;top:-173004;width:587076;height:142576" coordorigin="39538,-173003" coordsize="587076,142576" path="m2207,331l2633,331,2633,1078,2207,1078,2207,331xm3267,369l3683,369,3683,1097,3267,1097,3267,369xm4317,483l4734,483,4734,1153,4317,1153,4317,483xm5368,539l5794,539,5794,1219,5368,1219,5368,539xm6428,842l6844,842,6844,1456,6428,1456,6428,842xe" filled="false" stroked="true" strokeweight=".47276pt" strokecolor="#938953">
              <v:path arrowok="t"/>
              <v:stroke dashstyle="solid"/>
            </v:shape>
            <v:rect style="position:absolute;left:6427;top:784;width:417;height:57" filled="false" stroked="true" strokeweight=".472366pt" strokecolor="#000000">
              <v:stroke dashstyle="longdash"/>
            </v:rect>
            <v:shape style="position:absolute;left:0;top:834;width:653815;height:5880" coordorigin="0,834" coordsize="653815,5880" path="m1895,2542l7156,2542m1895,2542l1895,2589m2945,2542l2945,2589m4005,2542l4005,2589m5055,2542l5055,2589m6106,2542l6106,2589m7156,2542l7156,2589e" filled="false" stroked="true" strokeweight=".472752pt" strokecolor="#d9d9d9">
              <v:path arrowok="t"/>
              <v:stroke dashstyle="solid"/>
            </v:shape>
            <w10:wrap type="none"/>
          </v:group>
        </w:pict>
      </w:r>
      <w:r>
        <w:rPr/>
        <w:pict>
          <v:line style="position:absolute;mso-position-horizontal-relative:page;mso-position-vertical-relative:paragraph;z-index:251906048" from="94.734802pt,1.9285pt" to="357.814669pt,1.9285pt" stroked="true" strokeweight=".472345pt" strokecolor="#d9d9d9">
            <v:stroke dashstyle="solid"/>
            <w10:wrap type="none"/>
          </v:line>
        </w:pict>
      </w:r>
      <w:r>
        <w:rPr>
          <w:rFonts w:ascii="Calibri"/>
          <w:sz w:val="14"/>
        </w:rPr>
        <w:t>Class key:</w:t>
      </w:r>
    </w:p>
    <w:p>
      <w:pPr>
        <w:pStyle w:val="BodyText"/>
        <w:spacing w:before="6"/>
        <w:rPr>
          <w:rFonts w:ascii="Calibri"/>
          <w:sz w:val="4"/>
        </w:rPr>
      </w:pPr>
    </w:p>
    <w:p>
      <w:pPr>
        <w:pStyle w:val="BodyText"/>
        <w:ind w:left="519"/>
        <w:rPr>
          <w:rFonts w:ascii="Calibri"/>
        </w:rPr>
      </w:pPr>
      <w:r>
        <w:rPr>
          <w:rFonts w:ascii="Calibri"/>
        </w:rPr>
        <w:pict>
          <v:group style="width:112.45pt;height:112.55pt;mso-position-horizontal-relative:char;mso-position-vertical-relative:line" coordorigin="0,0" coordsize="2249,2251">
            <v:rect style="position:absolute;left:0;top:0;width:355;height:187" filled="true" fillcolor="#1f487c" stroked="false">
              <v:fill type="solid"/>
            </v:rect>
            <v:rect style="position:absolute;left:0;top:186;width:355;height:187" filled="true" fillcolor="#009544" stroked="false">
              <v:fill type="solid"/>
            </v:rect>
            <v:rect style="position:absolute;left:0;top:373;width:355;height:187" filled="true" fillcolor="#e16b09" stroked="false">
              <v:fill type="solid"/>
            </v:rect>
            <v:rect style="position:absolute;left:0;top:560;width:355;height:187" filled="true" fillcolor="#e08ad6" stroked="false">
              <v:fill type="solid"/>
            </v:rect>
            <v:rect style="position:absolute;left:0;top:747;width:355;height:187" filled="true" fillcolor="#8063a1" stroked="false">
              <v:fill type="solid"/>
            </v:rect>
            <v:rect style="position:absolute;left:0;top:933;width:355;height:187" filled="true" fillcolor="#c0504d" stroked="false">
              <v:fill type="solid"/>
            </v:rect>
            <v:rect style="position:absolute;left:0;top:1120;width:355;height:187" filled="true" fillcolor="#f8a763" stroked="false">
              <v:fill type="solid"/>
            </v:rect>
            <v:rect style="position:absolute;left:0;top:1307;width:355;height:187" filled="true" fillcolor="#ecb8e7" stroked="false">
              <v:fill type="solid"/>
            </v:rect>
            <v:rect style="position:absolute;left:0;top:1494;width:355;height:187" filled="true" fillcolor="#938953" stroked="false">
              <v:fill type="solid"/>
            </v:rect>
            <v:rect style="position:absolute;left:0;top:1681;width:355;height:187" filled="true" fillcolor="#ffd600" stroked="false">
              <v:fill type="solid"/>
            </v:rect>
            <v:rect style="position:absolute;left:0;top:1867;width:355;height:187" filled="true" fillcolor="#000000" stroked="false">
              <v:fill type="solid"/>
            </v:rect>
            <v:rect style="position:absolute;left:0;top:2054;width:355;height:197" filled="true" fillcolor="#ffeb8f" stroked="false">
              <v:fill type="solid"/>
            </v:rect>
            <v:line style="position:absolute" from="0,2246" to="2248,2246" stroked="true" strokeweight=".466978pt" strokecolor="#ffffff">
              <v:stroke dashstyle="solid"/>
            </v:line>
            <v:line style="position:absolute" from="0,5" to="354,5" stroked="true" strokeweight=".466978pt" strokecolor="#ffffff">
              <v:stroke dashstyle="solid"/>
            </v:line>
            <v:line style="position:absolute" from="0,191" to="354,191" stroked="true" strokeweight=".466978pt" strokecolor="#ffffff">
              <v:stroke dashstyle="solid"/>
            </v:line>
            <v:line style="position:absolute" from="0,378" to="354,378" stroked="true" strokeweight=".466978pt" strokecolor="#ffffff">
              <v:stroke dashstyle="solid"/>
            </v:line>
            <v:line style="position:absolute" from="0,565" to="354,565" stroked="true" strokeweight=".466978pt" strokecolor="#ffffff">
              <v:stroke dashstyle="solid"/>
            </v:line>
            <v:line style="position:absolute" from="0,752" to="354,752" stroked="true" strokeweight=".467445pt" strokecolor="#ffffff">
              <v:stroke dashstyle="solid"/>
            </v:line>
            <v:line style="position:absolute" from="0,939" to="354,939" stroked="true" strokeweight=".466978pt" strokecolor="#ffffff">
              <v:stroke dashstyle="solid"/>
            </v:line>
            <v:line style="position:absolute" from="0,1125" to="354,1125" stroked="true" strokeweight=".466978pt" strokecolor="#ffffff">
              <v:stroke dashstyle="solid"/>
            </v:line>
            <v:line style="position:absolute" from="0,1312" to="354,1312" stroked="true" strokeweight=".466978pt" strokecolor="#ffffff">
              <v:stroke dashstyle="solid"/>
            </v:line>
            <v:line style="position:absolute" from="0,1499" to="354,1499" stroked="true" strokeweight=".466978pt" strokecolor="#ffffff">
              <v:stroke dashstyle="solid"/>
            </v:line>
            <v:line style="position:absolute" from="0,1686" to="354,1686" stroked="true" strokeweight=".466978pt" strokecolor="#ffffff">
              <v:stroke dashstyle="solid"/>
            </v:line>
            <v:line style="position:absolute" from="0,1873" to="354,1873" stroked="true" strokeweight=".466978pt" strokecolor="#ffffff">
              <v:stroke dashstyle="solid"/>
            </v:line>
            <v:line style="position:absolute" from="0,2059" to="354,2059" stroked="true" strokeweight=".466978pt" strokecolor="#ffffff">
              <v:stroke dashstyle="solid"/>
            </v:line>
            <v:line style="position:absolute" from="0,2241" to="354,2241" stroked="true" strokeweight="0pt" strokecolor="#ffffff">
              <v:stroke dashstyle="solid"/>
            </v:line>
            <v:line style="position:absolute" from="0,2246" to="354,2246" stroked="true" strokeweight=".466978pt" strokecolor="#ffffff">
              <v:stroke dashstyle="solid"/>
            </v:line>
            <v:line style="position:absolute" from="345,9" to="345,2251" stroked="true" strokeweight="0pt" strokecolor="#ffffff">
              <v:stroke dashstyle="solid"/>
            </v:line>
            <v:line style="position:absolute" from="350,9" to="350,2251" stroked="true" strokeweight=".466434pt" strokecolor="#ffffff">
              <v:stroke dashstyle="solid"/>
            </v:line>
            <v:shape style="position:absolute;left:0;top:0;width:2249;height:2251" type="#_x0000_t202" filled="false" stroked="false">
              <v:textbox inset="0,0,0,0">
                <w:txbxContent>
                  <w:p>
                    <w:pPr>
                      <w:numPr>
                        <w:ilvl w:val="0"/>
                        <w:numId w:val="25"/>
                      </w:numPr>
                      <w:tabs>
                        <w:tab w:pos="467" w:val="left" w:leader="none"/>
                      </w:tabs>
                      <w:spacing w:before="16"/>
                      <w:ind w:left="466" w:right="0" w:hanging="94"/>
                      <w:jc w:val="left"/>
                      <w:rPr>
                        <w:rFonts w:ascii="Calibri"/>
                        <w:sz w:val="14"/>
                      </w:rPr>
                    </w:pPr>
                    <w:r>
                      <w:rPr>
                        <w:rFonts w:ascii="Calibri"/>
                        <w:sz w:val="14"/>
                      </w:rPr>
                      <w:t>Studying</w:t>
                    </w:r>
                  </w:p>
                  <w:p>
                    <w:pPr>
                      <w:numPr>
                        <w:ilvl w:val="0"/>
                        <w:numId w:val="25"/>
                      </w:numPr>
                      <w:tabs>
                        <w:tab w:pos="467" w:val="left" w:leader="none"/>
                      </w:tabs>
                      <w:spacing w:before="16"/>
                      <w:ind w:left="466" w:right="0" w:hanging="94"/>
                      <w:jc w:val="left"/>
                      <w:rPr>
                        <w:rFonts w:ascii="Calibri"/>
                        <w:sz w:val="14"/>
                      </w:rPr>
                    </w:pPr>
                    <w:r>
                      <w:rPr>
                        <w:rFonts w:ascii="Calibri"/>
                        <w:sz w:val="14"/>
                      </w:rPr>
                      <w:t>Working</w:t>
                    </w:r>
                    <w:r>
                      <w:rPr>
                        <w:rFonts w:ascii="Calibri"/>
                        <w:spacing w:val="-5"/>
                        <w:sz w:val="14"/>
                      </w:rPr>
                      <w:t> </w:t>
                    </w:r>
                    <w:r>
                      <w:rPr>
                        <w:rFonts w:ascii="Calibri"/>
                        <w:sz w:val="14"/>
                      </w:rPr>
                      <w:t>Age</w:t>
                    </w:r>
                  </w:p>
                  <w:p>
                    <w:pPr>
                      <w:numPr>
                        <w:ilvl w:val="0"/>
                        <w:numId w:val="25"/>
                      </w:numPr>
                      <w:tabs>
                        <w:tab w:pos="467" w:val="left" w:leader="none"/>
                      </w:tabs>
                      <w:spacing w:before="15"/>
                      <w:ind w:left="466" w:right="0" w:hanging="94"/>
                      <w:jc w:val="left"/>
                      <w:rPr>
                        <w:rFonts w:ascii="Calibri"/>
                        <w:sz w:val="14"/>
                      </w:rPr>
                    </w:pPr>
                    <w:r>
                      <w:rPr>
                        <w:rFonts w:ascii="Calibri"/>
                        <w:sz w:val="14"/>
                      </w:rPr>
                      <w:t>Parents</w:t>
                    </w:r>
                  </w:p>
                  <w:p>
                    <w:pPr>
                      <w:numPr>
                        <w:ilvl w:val="0"/>
                        <w:numId w:val="25"/>
                      </w:numPr>
                      <w:tabs>
                        <w:tab w:pos="467" w:val="left" w:leader="none"/>
                      </w:tabs>
                      <w:spacing w:before="16"/>
                      <w:ind w:left="466" w:right="0" w:hanging="94"/>
                      <w:jc w:val="left"/>
                      <w:rPr>
                        <w:rFonts w:ascii="Calibri"/>
                        <w:sz w:val="14"/>
                      </w:rPr>
                    </w:pPr>
                    <w:r>
                      <w:rPr>
                        <w:rFonts w:ascii="Calibri"/>
                        <w:sz w:val="14"/>
                      </w:rPr>
                      <w:t>Carers</w:t>
                    </w:r>
                  </w:p>
                  <w:p>
                    <w:pPr>
                      <w:numPr>
                        <w:ilvl w:val="0"/>
                        <w:numId w:val="25"/>
                      </w:numPr>
                      <w:tabs>
                        <w:tab w:pos="467" w:val="left" w:leader="none"/>
                      </w:tabs>
                      <w:spacing w:before="16"/>
                      <w:ind w:left="466" w:right="0" w:hanging="94"/>
                      <w:jc w:val="left"/>
                      <w:rPr>
                        <w:rFonts w:ascii="Calibri"/>
                        <w:sz w:val="14"/>
                      </w:rPr>
                    </w:pPr>
                    <w:r>
                      <w:rPr>
                        <w:rFonts w:ascii="Calibri"/>
                        <w:sz w:val="14"/>
                      </w:rPr>
                      <w:t>Disability</w:t>
                    </w:r>
                    <w:r>
                      <w:rPr>
                        <w:rFonts w:ascii="Calibri"/>
                        <w:spacing w:val="-2"/>
                        <w:sz w:val="14"/>
                      </w:rPr>
                      <w:t> </w:t>
                    </w:r>
                    <w:r>
                      <w:rPr>
                        <w:rFonts w:ascii="Calibri"/>
                        <w:sz w:val="14"/>
                      </w:rPr>
                      <w:t>Support</w:t>
                    </w:r>
                  </w:p>
                  <w:p>
                    <w:pPr>
                      <w:numPr>
                        <w:ilvl w:val="0"/>
                        <w:numId w:val="25"/>
                      </w:numPr>
                      <w:tabs>
                        <w:tab w:pos="467" w:val="left" w:leader="none"/>
                      </w:tabs>
                      <w:spacing w:line="261" w:lineRule="auto" w:before="16"/>
                      <w:ind w:left="373" w:right="998" w:firstLine="0"/>
                      <w:jc w:val="left"/>
                      <w:rPr>
                        <w:rFonts w:ascii="Calibri"/>
                        <w:sz w:val="14"/>
                      </w:rPr>
                    </w:pPr>
                    <w:r>
                      <w:rPr>
                        <w:rFonts w:ascii="Calibri"/>
                        <w:sz w:val="14"/>
                      </w:rPr>
                      <w:t>Pension Age 7 Non IS Family 8 Non IS Carer 9 Non IS</w:t>
                    </w:r>
                    <w:r>
                      <w:rPr>
                        <w:rFonts w:ascii="Calibri"/>
                        <w:spacing w:val="-12"/>
                        <w:sz w:val="14"/>
                      </w:rPr>
                      <w:t> </w:t>
                    </w:r>
                    <w:r>
                      <w:rPr>
                        <w:rFonts w:ascii="Calibri"/>
                        <w:sz w:val="14"/>
                      </w:rPr>
                      <w:t>Other</w:t>
                    </w:r>
                  </w:p>
                  <w:p>
                    <w:pPr>
                      <w:spacing w:line="261" w:lineRule="auto" w:before="2"/>
                      <w:ind w:left="373" w:right="41" w:firstLine="0"/>
                      <w:jc w:val="left"/>
                      <w:rPr>
                        <w:rFonts w:ascii="Calibri"/>
                        <w:sz w:val="14"/>
                      </w:rPr>
                    </w:pPr>
                    <w:r>
                      <w:rPr>
                        <w:rFonts w:ascii="Calibri"/>
                        <w:sz w:val="14"/>
                      </w:rPr>
                      <w:t>10 Previous Welfare Recipient 11 Dead</w:t>
                    </w:r>
                  </w:p>
                  <w:p>
                    <w:pPr>
                      <w:spacing w:before="1"/>
                      <w:ind w:left="373" w:right="0" w:firstLine="0"/>
                      <w:jc w:val="left"/>
                      <w:rPr>
                        <w:rFonts w:ascii="Calibri"/>
                        <w:sz w:val="14"/>
                      </w:rPr>
                    </w:pPr>
                    <w:r>
                      <w:rPr>
                        <w:rFonts w:ascii="Calibri"/>
                        <w:sz w:val="14"/>
                      </w:rPr>
                      <w:t>12 Rest of Aust. Population</w:t>
                    </w:r>
                  </w:p>
                </w:txbxContent>
              </v:textbox>
              <w10:wrap type="none"/>
            </v:shape>
          </v:group>
        </w:pict>
      </w:r>
      <w:r>
        <w:rPr>
          <w:rFonts w:ascii="Calibri"/>
        </w:rPr>
      </w:r>
    </w:p>
    <w:p>
      <w:pPr>
        <w:spacing w:after="0"/>
        <w:rPr>
          <w:rFonts w:ascii="Calibri"/>
        </w:rPr>
        <w:sectPr>
          <w:type w:val="continuous"/>
          <w:pgSz w:w="11910" w:h="16850"/>
          <w:pgMar w:top="1600" w:bottom="280" w:left="120" w:right="0"/>
          <w:cols w:num="3" w:equalWidth="0">
            <w:col w:w="1639" w:space="40"/>
            <w:col w:w="4985" w:space="39"/>
            <w:col w:w="5087"/>
          </w:cols>
        </w:sectPr>
      </w:pPr>
    </w:p>
    <w:p>
      <w:pPr>
        <w:pStyle w:val="BodyText"/>
        <w:spacing w:before="4"/>
        <w:rPr>
          <w:rFonts w:ascii="Calibri"/>
          <w:sz w:val="9"/>
        </w:rPr>
      </w:pPr>
    </w:p>
    <w:p>
      <w:pPr>
        <w:spacing w:before="95"/>
        <w:ind w:left="900" w:right="1091" w:firstLine="0"/>
        <w:jc w:val="both"/>
        <w:rPr>
          <w:sz w:val="16"/>
        </w:rPr>
      </w:pPr>
      <w:r>
        <w:rPr>
          <w:color w:val="DF2F1E"/>
          <w:sz w:val="16"/>
        </w:rPr>
        <w:t>* The dotted section represents the total adjustment made for data maturity in the latest year. This adjustment is significantly lower than for the June 2017 valuation as we have September data in the analysis this year, compared to June data last year. As such the data used this year is more mature.</w:t>
      </w:r>
    </w:p>
    <w:p>
      <w:pPr>
        <w:pStyle w:val="BodyText"/>
        <w:spacing w:before="121"/>
        <w:ind w:left="900" w:right="1086"/>
      </w:pPr>
      <w:r>
        <w:rPr>
          <w:color w:val="404040"/>
        </w:rPr>
        <w:t>A decreasing trend can be seen over the last few years and in particular there has been a reduction in entrants to Working Age payments. Between 2017 and 2018, there was a particularly large decrease in Working Age entrants of around 35,000 people; this compared to decreases of 10,000 people over each of the two prior years.</w:t>
      </w:r>
    </w:p>
    <w:p>
      <w:pPr>
        <w:spacing w:after="0"/>
        <w:sectPr>
          <w:type w:val="continuous"/>
          <w:pgSz w:w="11910" w:h="16850"/>
          <w:pgMar w:top="1600" w:bottom="280" w:left="120" w:right="0"/>
        </w:sectPr>
      </w:pPr>
    </w:p>
    <w:p>
      <w:pPr>
        <w:pStyle w:val="BodyText"/>
      </w:pPr>
    </w:p>
    <w:p>
      <w:pPr>
        <w:pStyle w:val="BodyText"/>
      </w:pPr>
    </w:p>
    <w:p>
      <w:pPr>
        <w:pStyle w:val="BodyText"/>
        <w:spacing w:before="7"/>
        <w:rPr>
          <w:sz w:val="21"/>
        </w:rPr>
      </w:pPr>
    </w:p>
    <w:p>
      <w:pPr>
        <w:pStyle w:val="BodyText"/>
        <w:spacing w:before="93"/>
        <w:ind w:left="899" w:right="1065"/>
      </w:pPr>
      <w:r>
        <w:rPr>
          <w:color w:val="404040"/>
        </w:rPr>
        <w:t>The experience for entries during 2017/18 is not complete as the actual number of entrants for this year will not be known until sometime after the valuation date due to delays in processing applications and reporting. We refer to this as “data maturity” and estimate the impact using past experience (shown by the dotted line). Even with the adjustment, the chart above reveals that entries into the welfare system have continued to trend down, with the number of people entering the welfare system reducing from 717,000 in 2016/17 to an estimated 631,000 in 2017/18.</w:t>
      </w:r>
    </w:p>
    <w:p>
      <w:pPr>
        <w:pStyle w:val="BodyText"/>
        <w:spacing w:before="121"/>
        <w:ind w:left="899" w:right="1220" w:hanging="1"/>
      </w:pPr>
      <w:r>
        <w:rPr>
          <w:color w:val="404040"/>
        </w:rPr>
        <w:t>There is a large decrease in entries to Age Pension in 2018. This relates to the increase in the Age Pension age from age 65 to age 65.5, which reduces the number of people newly eligible for Age Pension in the latest year.</w:t>
      </w:r>
    </w:p>
    <w:p>
      <w:pPr>
        <w:pStyle w:val="BodyText"/>
        <w:spacing w:line="364" w:lineRule="auto" w:before="121"/>
        <w:ind w:left="900" w:right="1453"/>
      </w:pPr>
      <w:r>
        <w:rPr>
          <w:color w:val="404040"/>
        </w:rPr>
        <w:t>Entrants into the non income support classes can also be seen to have been decreasing over this period. We now consider the profile of entrants and re-entrants in 2017/18, which can be seen in the charts below.</w:t>
      </w:r>
    </w:p>
    <w:p>
      <w:pPr>
        <w:pStyle w:val="Heading9"/>
        <w:spacing w:before="57"/>
      </w:pPr>
      <w:r>
        <w:rPr>
          <w:color w:val="DF2F1E"/>
        </w:rPr>
        <w:t>Figure 24: 2017/18 combined profile of entrants and re-entrants, by age, gender and class entered</w:t>
      </w:r>
    </w:p>
    <w:p>
      <w:pPr>
        <w:tabs>
          <w:tab w:pos="4759" w:val="left" w:leader="none"/>
        </w:tabs>
        <w:spacing w:before="80"/>
        <w:ind w:left="0" w:right="173" w:firstLine="0"/>
        <w:jc w:val="center"/>
        <w:rPr>
          <w:b/>
          <w:i/>
          <w:sz w:val="16"/>
        </w:rPr>
      </w:pPr>
      <w:r>
        <w:rPr>
          <w:b/>
          <w:i/>
          <w:color w:val="404040"/>
          <w:sz w:val="16"/>
        </w:rPr>
        <w:t>Males</w:t>
        <w:tab/>
        <w:t>Females</w:t>
      </w:r>
    </w:p>
    <w:p>
      <w:pPr>
        <w:pStyle w:val="BodyText"/>
        <w:spacing w:before="2"/>
        <w:rPr>
          <w:b/>
          <w:i/>
          <w:sz w:val="12"/>
        </w:rPr>
      </w:pPr>
    </w:p>
    <w:p>
      <w:pPr>
        <w:tabs>
          <w:tab w:pos="5983" w:val="left" w:leader="none"/>
        </w:tabs>
        <w:spacing w:before="0"/>
        <w:ind w:left="1085" w:right="0" w:firstLine="0"/>
        <w:jc w:val="left"/>
        <w:rPr>
          <w:rFonts w:ascii="Calibri"/>
          <w:sz w:val="12"/>
        </w:rPr>
      </w:pPr>
      <w:r>
        <w:rPr/>
        <w:pict>
          <v:line style="position:absolute;mso-position-horizontal-relative:page;mso-position-vertical-relative:paragraph;z-index:-287994880" from="83.413017pt,3.761961pt" to="271.094141pt,3.761961pt" stroked="true" strokeweight=".42351pt" strokecolor="#d9d9d9">
            <v:stroke dashstyle="solid"/>
            <w10:wrap type="none"/>
          </v:line>
        </w:pict>
      </w:r>
      <w:r>
        <w:rPr/>
        <w:pict>
          <v:line style="position:absolute;mso-position-horizontal-relative:page;mso-position-vertical-relative:paragraph;z-index:251910144" from="328.539581pt,3.781437pt" to="516.940775pt,3.781437pt" stroked="true" strokeweight=".424778pt" strokecolor="#d9d9d9">
            <v:stroke dashstyle="solid"/>
            <w10:wrap type="none"/>
          </v:line>
        </w:pict>
      </w:r>
      <w:r>
        <w:rPr>
          <w:rFonts w:ascii="Calibri"/>
          <w:color w:val="585858"/>
          <w:spacing w:val="-3"/>
          <w:w w:val="105"/>
          <w:sz w:val="12"/>
        </w:rPr>
        <w:t>30,000</w:t>
        <w:tab/>
      </w:r>
      <w:r>
        <w:rPr>
          <w:rFonts w:ascii="Calibri"/>
          <w:color w:val="585858"/>
          <w:spacing w:val="-4"/>
          <w:w w:val="105"/>
          <w:sz w:val="12"/>
        </w:rPr>
        <w:t>30,000</w:t>
      </w:r>
    </w:p>
    <w:p>
      <w:pPr>
        <w:pStyle w:val="BodyText"/>
        <w:spacing w:before="4"/>
        <w:rPr>
          <w:rFonts w:ascii="Calibri"/>
          <w:sz w:val="12"/>
        </w:rPr>
      </w:pPr>
    </w:p>
    <w:p>
      <w:pPr>
        <w:tabs>
          <w:tab w:pos="5983" w:val="left" w:leader="none"/>
        </w:tabs>
        <w:spacing w:before="83"/>
        <w:ind w:left="1085" w:right="0" w:firstLine="0"/>
        <w:jc w:val="left"/>
        <w:rPr>
          <w:rFonts w:ascii="Calibri"/>
          <w:sz w:val="12"/>
        </w:rPr>
      </w:pPr>
      <w:r>
        <w:rPr/>
        <w:pict>
          <v:line style="position:absolute;mso-position-horizontal-relative:page;mso-position-vertical-relative:paragraph;z-index:-287995904" from="83.413017pt,7.962728pt" to="271.094141pt,7.962728pt" stroked="true" strokeweight=".42351pt" strokecolor="#d9d9d9">
            <v:stroke dashstyle="solid"/>
            <w10:wrap type="none"/>
          </v:line>
        </w:pict>
      </w:r>
      <w:r>
        <w:rPr/>
        <w:pict>
          <v:group style="position:absolute;margin-left:328.327026pt;margin-top:6.552513pt;width:188.85pt;height:96.85pt;mso-position-horizontal-relative:page;mso-position-vertical-relative:paragraph;z-index:251911168" coordorigin="6567,131" coordsize="3777,1937">
            <v:shape style="position:absolute;left:6566;top:131;width:3777;height:1937" type="#_x0000_t75" stroked="false">
              <v:imagedata r:id="rId54" o:title=""/>
            </v:shape>
            <v:line style="position:absolute" from="6571,2064" to="10339,2064" stroked="true" strokeweight=".424777pt" strokecolor="#d9d9d9">
              <v:stroke dashstyle="solid"/>
            </v:line>
            <w10:wrap type="none"/>
          </v:group>
        </w:pict>
      </w:r>
      <w:r>
        <w:rPr>
          <w:rFonts w:ascii="Calibri"/>
          <w:color w:val="585858"/>
          <w:spacing w:val="-3"/>
          <w:w w:val="105"/>
          <w:sz w:val="12"/>
        </w:rPr>
        <w:t>25,000</w:t>
        <w:tab/>
      </w:r>
      <w:r>
        <w:rPr>
          <w:rFonts w:ascii="Calibri"/>
          <w:color w:val="585858"/>
          <w:spacing w:val="-4"/>
          <w:w w:val="105"/>
          <w:sz w:val="12"/>
        </w:rPr>
        <w:t>25,000</w:t>
      </w:r>
    </w:p>
    <w:p>
      <w:pPr>
        <w:pStyle w:val="BodyText"/>
        <w:spacing w:before="5"/>
        <w:rPr>
          <w:rFonts w:ascii="Calibri"/>
          <w:sz w:val="12"/>
        </w:rPr>
      </w:pPr>
    </w:p>
    <w:p>
      <w:pPr>
        <w:tabs>
          <w:tab w:pos="5983" w:val="left" w:leader="none"/>
        </w:tabs>
        <w:spacing w:before="82"/>
        <w:ind w:left="1085" w:right="0" w:firstLine="0"/>
        <w:jc w:val="left"/>
        <w:rPr>
          <w:rFonts w:ascii="Calibri"/>
          <w:sz w:val="12"/>
        </w:rPr>
      </w:pPr>
      <w:r>
        <w:rPr/>
        <w:pict>
          <v:group style="position:absolute;margin-left:83.201164pt;margin-top:1.822847pt;width:188.15pt;height:82.6pt;mso-position-horizontal-relative:page;mso-position-vertical-relative:paragraph;z-index:-287993856" coordorigin="1664,36" coordsize="3763,1652">
            <v:shape style="position:absolute;left:1664;top:36;width:3763;height:1652" type="#_x0000_t75" stroked="false">
              <v:imagedata r:id="rId55" o:title=""/>
            </v:shape>
            <v:line style="position:absolute" from="1668,1684" to="5422,1684" stroked="true" strokeweight=".423507pt" strokecolor="#d9d9d9">
              <v:stroke dashstyle="solid"/>
            </v:line>
            <w10:wrap type="none"/>
          </v:group>
        </w:pict>
      </w:r>
      <w:r>
        <w:rPr>
          <w:rFonts w:ascii="Calibri"/>
          <w:color w:val="585858"/>
          <w:spacing w:val="-3"/>
          <w:w w:val="105"/>
          <w:sz w:val="12"/>
        </w:rPr>
        <w:t>20,000</w:t>
        <w:tab/>
      </w:r>
      <w:r>
        <w:rPr>
          <w:rFonts w:ascii="Calibri"/>
          <w:color w:val="585858"/>
          <w:spacing w:val="-4"/>
          <w:w w:val="105"/>
          <w:sz w:val="12"/>
        </w:rPr>
        <w:t>20,000</w:t>
      </w:r>
    </w:p>
    <w:p>
      <w:pPr>
        <w:pStyle w:val="BodyText"/>
        <w:spacing w:before="6"/>
        <w:rPr>
          <w:rFonts w:ascii="Calibri"/>
          <w:sz w:val="12"/>
        </w:rPr>
      </w:pPr>
    </w:p>
    <w:p>
      <w:pPr>
        <w:tabs>
          <w:tab w:pos="5983" w:val="left" w:leader="none"/>
        </w:tabs>
        <w:spacing w:before="81"/>
        <w:ind w:left="1085" w:right="0" w:firstLine="0"/>
        <w:jc w:val="left"/>
        <w:rPr>
          <w:rFonts w:ascii="Calibri"/>
          <w:sz w:val="12"/>
        </w:rPr>
      </w:pPr>
      <w:r>
        <w:rPr>
          <w:rFonts w:ascii="Calibri"/>
          <w:color w:val="585858"/>
          <w:spacing w:val="-3"/>
          <w:w w:val="105"/>
          <w:sz w:val="12"/>
        </w:rPr>
        <w:t>15,000</w:t>
        <w:tab/>
      </w:r>
      <w:r>
        <w:rPr>
          <w:rFonts w:ascii="Calibri"/>
          <w:color w:val="585858"/>
          <w:spacing w:val="-4"/>
          <w:w w:val="105"/>
          <w:sz w:val="12"/>
        </w:rPr>
        <w:t>15,000</w:t>
      </w:r>
    </w:p>
    <w:p>
      <w:pPr>
        <w:pStyle w:val="BodyText"/>
        <w:spacing w:before="6"/>
        <w:rPr>
          <w:rFonts w:ascii="Calibri"/>
          <w:sz w:val="12"/>
        </w:rPr>
      </w:pPr>
    </w:p>
    <w:p>
      <w:pPr>
        <w:tabs>
          <w:tab w:pos="5983" w:val="left" w:leader="none"/>
        </w:tabs>
        <w:spacing w:before="82"/>
        <w:ind w:left="1085" w:right="0" w:firstLine="0"/>
        <w:jc w:val="left"/>
        <w:rPr>
          <w:rFonts w:ascii="Calibri"/>
          <w:sz w:val="12"/>
        </w:rPr>
      </w:pPr>
      <w:r>
        <w:rPr>
          <w:rFonts w:ascii="Calibri"/>
          <w:color w:val="585858"/>
          <w:spacing w:val="-3"/>
          <w:w w:val="105"/>
          <w:sz w:val="12"/>
        </w:rPr>
        <w:t>10,000</w:t>
        <w:tab/>
      </w:r>
      <w:r>
        <w:rPr>
          <w:rFonts w:ascii="Calibri"/>
          <w:color w:val="585858"/>
          <w:spacing w:val="-4"/>
          <w:w w:val="105"/>
          <w:sz w:val="12"/>
        </w:rPr>
        <w:t>10,000</w:t>
      </w:r>
    </w:p>
    <w:p>
      <w:pPr>
        <w:pStyle w:val="BodyText"/>
        <w:spacing w:before="5"/>
        <w:rPr>
          <w:rFonts w:ascii="Calibri"/>
          <w:sz w:val="12"/>
        </w:rPr>
      </w:pPr>
    </w:p>
    <w:p>
      <w:pPr>
        <w:tabs>
          <w:tab w:pos="6046" w:val="left" w:leader="none"/>
        </w:tabs>
        <w:spacing w:before="82"/>
        <w:ind w:left="1148" w:right="0" w:firstLine="0"/>
        <w:jc w:val="left"/>
        <w:rPr>
          <w:rFonts w:ascii="Calibri"/>
          <w:sz w:val="12"/>
        </w:rPr>
      </w:pPr>
      <w:r>
        <w:rPr>
          <w:rFonts w:ascii="Calibri"/>
          <w:color w:val="585858"/>
          <w:w w:val="105"/>
          <w:sz w:val="12"/>
        </w:rPr>
        <w:t>5,000</w:t>
        <w:tab/>
      </w:r>
      <w:r>
        <w:rPr>
          <w:rFonts w:ascii="Calibri"/>
          <w:color w:val="585858"/>
          <w:spacing w:val="-3"/>
          <w:w w:val="105"/>
          <w:sz w:val="12"/>
        </w:rPr>
        <w:t>5,000</w:t>
      </w:r>
    </w:p>
    <w:p>
      <w:pPr>
        <w:pStyle w:val="BodyText"/>
        <w:spacing w:before="5"/>
        <w:rPr>
          <w:rFonts w:ascii="Calibri"/>
          <w:sz w:val="12"/>
        </w:rPr>
      </w:pPr>
    </w:p>
    <w:p>
      <w:pPr>
        <w:tabs>
          <w:tab w:pos="6267" w:val="left" w:leader="none"/>
        </w:tabs>
        <w:spacing w:before="83"/>
        <w:ind w:left="1369" w:right="0" w:firstLine="0"/>
        <w:jc w:val="left"/>
        <w:rPr>
          <w:rFonts w:ascii="Calibri"/>
          <w:sz w:val="12"/>
        </w:rPr>
      </w:pPr>
      <w:r>
        <w:rPr/>
        <w:pict>
          <v:shape style="position:absolute;margin-left:79.751701pt;margin-top:11.37486pt;width:196.2pt;height:7.95pt;mso-position-horizontal-relative:page;mso-position-vertical-relative:paragraph;z-index:251918336" type="#_x0000_t202" filled="false" stroked="false">
            <v:textbox inset="0,0,0,0" style="layout-flow:vertical;mso-layout-flow-alt:bottom-to-top">
              <w:txbxContent>
                <w:p>
                  <w:pPr>
                    <w:spacing w:before="1"/>
                    <w:ind w:left="20" w:right="0" w:firstLine="0"/>
                    <w:jc w:val="left"/>
                    <w:rPr>
                      <w:rFonts w:ascii="Calibri"/>
                      <w:sz w:val="12"/>
                    </w:rPr>
                  </w:pPr>
                  <w:r>
                    <w:rPr>
                      <w:rFonts w:ascii="Calibri"/>
                      <w:color w:val="585858"/>
                      <w:spacing w:val="-6"/>
                      <w:w w:val="105"/>
                      <w:sz w:val="12"/>
                    </w:rPr>
                    <w:t>10</w:t>
                  </w:r>
                </w:p>
                <w:p>
                  <w:pPr>
                    <w:spacing w:before="74"/>
                    <w:ind w:left="20" w:right="0" w:firstLine="0"/>
                    <w:jc w:val="left"/>
                    <w:rPr>
                      <w:rFonts w:ascii="Calibri"/>
                      <w:sz w:val="12"/>
                    </w:rPr>
                  </w:pPr>
                  <w:r>
                    <w:rPr>
                      <w:rFonts w:ascii="Calibri"/>
                      <w:color w:val="585858"/>
                      <w:spacing w:val="-6"/>
                      <w:w w:val="105"/>
                      <w:sz w:val="12"/>
                    </w:rPr>
                    <w:t>15</w:t>
                  </w:r>
                </w:p>
                <w:p>
                  <w:pPr>
                    <w:spacing w:before="75"/>
                    <w:ind w:left="20" w:right="0" w:firstLine="0"/>
                    <w:jc w:val="left"/>
                    <w:rPr>
                      <w:rFonts w:ascii="Calibri"/>
                      <w:sz w:val="12"/>
                    </w:rPr>
                  </w:pPr>
                  <w:r>
                    <w:rPr>
                      <w:rFonts w:ascii="Calibri"/>
                      <w:color w:val="585858"/>
                      <w:spacing w:val="-6"/>
                      <w:w w:val="105"/>
                      <w:sz w:val="12"/>
                    </w:rPr>
                    <w:t>20</w:t>
                  </w:r>
                </w:p>
                <w:p>
                  <w:pPr>
                    <w:spacing w:before="74"/>
                    <w:ind w:left="20" w:right="0" w:firstLine="0"/>
                    <w:jc w:val="left"/>
                    <w:rPr>
                      <w:rFonts w:ascii="Calibri"/>
                      <w:sz w:val="12"/>
                    </w:rPr>
                  </w:pPr>
                  <w:r>
                    <w:rPr>
                      <w:rFonts w:ascii="Calibri"/>
                      <w:color w:val="585858"/>
                      <w:spacing w:val="-6"/>
                      <w:w w:val="105"/>
                      <w:sz w:val="12"/>
                    </w:rPr>
                    <w:t>25</w:t>
                  </w:r>
                </w:p>
                <w:p>
                  <w:pPr>
                    <w:spacing w:before="75"/>
                    <w:ind w:left="20" w:right="0" w:firstLine="0"/>
                    <w:jc w:val="left"/>
                    <w:rPr>
                      <w:rFonts w:ascii="Calibri"/>
                      <w:sz w:val="12"/>
                    </w:rPr>
                  </w:pPr>
                  <w:r>
                    <w:rPr>
                      <w:rFonts w:ascii="Calibri"/>
                      <w:color w:val="585858"/>
                      <w:spacing w:val="-6"/>
                      <w:w w:val="105"/>
                      <w:sz w:val="12"/>
                    </w:rPr>
                    <w:t>30</w:t>
                  </w:r>
                </w:p>
                <w:p>
                  <w:pPr>
                    <w:spacing w:before="74"/>
                    <w:ind w:left="20" w:right="0" w:firstLine="0"/>
                    <w:jc w:val="left"/>
                    <w:rPr>
                      <w:rFonts w:ascii="Calibri"/>
                      <w:sz w:val="12"/>
                    </w:rPr>
                  </w:pPr>
                  <w:r>
                    <w:rPr>
                      <w:rFonts w:ascii="Calibri"/>
                      <w:color w:val="585858"/>
                      <w:spacing w:val="-6"/>
                      <w:w w:val="105"/>
                      <w:sz w:val="12"/>
                    </w:rPr>
                    <w:t>35</w:t>
                  </w:r>
                </w:p>
                <w:p>
                  <w:pPr>
                    <w:spacing w:before="75"/>
                    <w:ind w:left="20" w:right="0" w:firstLine="0"/>
                    <w:jc w:val="left"/>
                    <w:rPr>
                      <w:rFonts w:ascii="Calibri"/>
                      <w:sz w:val="12"/>
                    </w:rPr>
                  </w:pPr>
                  <w:r>
                    <w:rPr>
                      <w:rFonts w:ascii="Calibri"/>
                      <w:color w:val="585858"/>
                      <w:spacing w:val="-6"/>
                      <w:w w:val="105"/>
                      <w:sz w:val="12"/>
                    </w:rPr>
                    <w:t>40</w:t>
                  </w:r>
                </w:p>
                <w:p>
                  <w:pPr>
                    <w:spacing w:before="74"/>
                    <w:ind w:left="20" w:right="0" w:firstLine="0"/>
                    <w:jc w:val="left"/>
                    <w:rPr>
                      <w:rFonts w:ascii="Calibri"/>
                      <w:sz w:val="12"/>
                    </w:rPr>
                  </w:pPr>
                  <w:r>
                    <w:rPr>
                      <w:rFonts w:ascii="Calibri"/>
                      <w:color w:val="585858"/>
                      <w:spacing w:val="-6"/>
                      <w:w w:val="105"/>
                      <w:sz w:val="12"/>
                    </w:rPr>
                    <w:t>45</w:t>
                  </w:r>
                </w:p>
                <w:p>
                  <w:pPr>
                    <w:spacing w:before="75"/>
                    <w:ind w:left="20" w:right="0" w:firstLine="0"/>
                    <w:jc w:val="left"/>
                    <w:rPr>
                      <w:rFonts w:ascii="Calibri"/>
                      <w:sz w:val="12"/>
                    </w:rPr>
                  </w:pPr>
                  <w:r>
                    <w:rPr>
                      <w:rFonts w:ascii="Calibri"/>
                      <w:color w:val="585858"/>
                      <w:spacing w:val="-6"/>
                      <w:w w:val="105"/>
                      <w:sz w:val="12"/>
                    </w:rPr>
                    <w:t>50</w:t>
                  </w:r>
                </w:p>
                <w:p>
                  <w:pPr>
                    <w:spacing w:before="74"/>
                    <w:ind w:left="20" w:right="0" w:firstLine="0"/>
                    <w:jc w:val="left"/>
                    <w:rPr>
                      <w:rFonts w:ascii="Calibri"/>
                      <w:sz w:val="12"/>
                    </w:rPr>
                  </w:pPr>
                  <w:r>
                    <w:rPr>
                      <w:rFonts w:ascii="Calibri"/>
                      <w:color w:val="585858"/>
                      <w:spacing w:val="-6"/>
                      <w:w w:val="105"/>
                      <w:sz w:val="12"/>
                    </w:rPr>
                    <w:t>55</w:t>
                  </w:r>
                </w:p>
                <w:p>
                  <w:pPr>
                    <w:spacing w:before="75"/>
                    <w:ind w:left="20" w:right="0" w:firstLine="0"/>
                    <w:jc w:val="left"/>
                    <w:rPr>
                      <w:rFonts w:ascii="Calibri"/>
                      <w:sz w:val="12"/>
                    </w:rPr>
                  </w:pPr>
                  <w:r>
                    <w:rPr>
                      <w:rFonts w:ascii="Calibri"/>
                      <w:color w:val="585858"/>
                      <w:spacing w:val="-6"/>
                      <w:w w:val="105"/>
                      <w:sz w:val="12"/>
                    </w:rPr>
                    <w:t>60</w:t>
                  </w:r>
                </w:p>
                <w:p>
                  <w:pPr>
                    <w:spacing w:before="74"/>
                    <w:ind w:left="20" w:right="0" w:firstLine="0"/>
                    <w:jc w:val="left"/>
                    <w:rPr>
                      <w:rFonts w:ascii="Calibri"/>
                      <w:sz w:val="12"/>
                    </w:rPr>
                  </w:pPr>
                  <w:r>
                    <w:rPr>
                      <w:rFonts w:ascii="Calibri"/>
                      <w:color w:val="585858"/>
                      <w:spacing w:val="-6"/>
                      <w:w w:val="105"/>
                      <w:sz w:val="12"/>
                    </w:rPr>
                    <w:t>65</w:t>
                  </w:r>
                </w:p>
                <w:p>
                  <w:pPr>
                    <w:spacing w:before="74"/>
                    <w:ind w:left="20" w:right="0" w:firstLine="0"/>
                    <w:jc w:val="left"/>
                    <w:rPr>
                      <w:rFonts w:ascii="Calibri"/>
                      <w:sz w:val="12"/>
                    </w:rPr>
                  </w:pPr>
                  <w:r>
                    <w:rPr>
                      <w:rFonts w:ascii="Calibri"/>
                      <w:color w:val="585858"/>
                      <w:spacing w:val="-6"/>
                      <w:w w:val="105"/>
                      <w:sz w:val="12"/>
                    </w:rPr>
                    <w:t>70</w:t>
                  </w:r>
                </w:p>
                <w:p>
                  <w:pPr>
                    <w:spacing w:before="75"/>
                    <w:ind w:left="20" w:right="0" w:firstLine="0"/>
                    <w:jc w:val="left"/>
                    <w:rPr>
                      <w:rFonts w:ascii="Calibri"/>
                      <w:sz w:val="12"/>
                    </w:rPr>
                  </w:pPr>
                  <w:r>
                    <w:rPr>
                      <w:rFonts w:ascii="Calibri"/>
                      <w:color w:val="585858"/>
                      <w:spacing w:val="-6"/>
                      <w:w w:val="105"/>
                      <w:sz w:val="12"/>
                    </w:rPr>
                    <w:t>75</w:t>
                  </w:r>
                </w:p>
                <w:p>
                  <w:pPr>
                    <w:spacing w:before="74"/>
                    <w:ind w:left="20" w:right="0" w:firstLine="0"/>
                    <w:jc w:val="left"/>
                    <w:rPr>
                      <w:rFonts w:ascii="Calibri"/>
                      <w:sz w:val="12"/>
                    </w:rPr>
                  </w:pPr>
                  <w:r>
                    <w:rPr>
                      <w:rFonts w:ascii="Calibri"/>
                      <w:color w:val="585858"/>
                      <w:spacing w:val="-6"/>
                      <w:w w:val="105"/>
                      <w:sz w:val="12"/>
                    </w:rPr>
                    <w:t>80</w:t>
                  </w:r>
                </w:p>
                <w:p>
                  <w:pPr>
                    <w:spacing w:before="75"/>
                    <w:ind w:left="20" w:right="0" w:firstLine="0"/>
                    <w:jc w:val="left"/>
                    <w:rPr>
                      <w:rFonts w:ascii="Calibri"/>
                      <w:sz w:val="12"/>
                    </w:rPr>
                  </w:pPr>
                  <w:r>
                    <w:rPr>
                      <w:rFonts w:ascii="Calibri"/>
                      <w:color w:val="585858"/>
                      <w:spacing w:val="-6"/>
                      <w:w w:val="105"/>
                      <w:sz w:val="12"/>
                    </w:rPr>
                    <w:t>85</w:t>
                  </w:r>
                </w:p>
                <w:p>
                  <w:pPr>
                    <w:spacing w:before="74"/>
                    <w:ind w:left="20" w:right="0" w:firstLine="0"/>
                    <w:jc w:val="left"/>
                    <w:rPr>
                      <w:rFonts w:ascii="Calibri"/>
                      <w:sz w:val="12"/>
                    </w:rPr>
                  </w:pPr>
                  <w:r>
                    <w:rPr>
                      <w:rFonts w:ascii="Calibri"/>
                      <w:color w:val="585858"/>
                      <w:spacing w:val="-6"/>
                      <w:w w:val="105"/>
                      <w:sz w:val="12"/>
                    </w:rPr>
                    <w:t>90</w:t>
                  </w:r>
                </w:p>
                <w:p>
                  <w:pPr>
                    <w:spacing w:before="75"/>
                    <w:ind w:left="20" w:right="0" w:firstLine="0"/>
                    <w:jc w:val="left"/>
                    <w:rPr>
                      <w:rFonts w:ascii="Calibri"/>
                      <w:sz w:val="12"/>
                    </w:rPr>
                  </w:pPr>
                  <w:r>
                    <w:rPr>
                      <w:rFonts w:ascii="Calibri"/>
                      <w:color w:val="585858"/>
                      <w:spacing w:val="-6"/>
                      <w:w w:val="105"/>
                      <w:sz w:val="12"/>
                    </w:rPr>
                    <w:t>95</w:t>
                  </w:r>
                </w:p>
              </w:txbxContent>
            </v:textbox>
            <w10:wrap type="none"/>
          </v:shape>
        </w:pict>
      </w:r>
      <w:r>
        <w:rPr/>
        <w:pict>
          <v:shape style="position:absolute;margin-left:324.726135pt;margin-top:11.327607pt;width:196.9pt;height:8pt;mso-position-horizontal-relative:page;mso-position-vertical-relative:paragraph;z-index:251919360" type="#_x0000_t202" filled="false" stroked="false">
            <v:textbox inset="0,0,0,0" style="layout-flow:vertical;mso-layout-flow-alt:bottom-to-top">
              <w:txbxContent>
                <w:p>
                  <w:pPr>
                    <w:spacing w:before="1"/>
                    <w:ind w:left="20" w:right="0" w:firstLine="0"/>
                    <w:jc w:val="left"/>
                    <w:rPr>
                      <w:rFonts w:ascii="Calibri"/>
                      <w:sz w:val="12"/>
                    </w:rPr>
                  </w:pPr>
                  <w:r>
                    <w:rPr>
                      <w:rFonts w:ascii="Calibri"/>
                      <w:color w:val="585858"/>
                      <w:spacing w:val="-6"/>
                      <w:w w:val="105"/>
                      <w:sz w:val="12"/>
                    </w:rPr>
                    <w:t>10</w:t>
                  </w:r>
                </w:p>
                <w:p>
                  <w:pPr>
                    <w:spacing w:before="76"/>
                    <w:ind w:left="20" w:right="0" w:firstLine="0"/>
                    <w:jc w:val="left"/>
                    <w:rPr>
                      <w:rFonts w:ascii="Calibri"/>
                      <w:sz w:val="12"/>
                    </w:rPr>
                  </w:pPr>
                  <w:r>
                    <w:rPr>
                      <w:rFonts w:ascii="Calibri"/>
                      <w:color w:val="585858"/>
                      <w:spacing w:val="-6"/>
                      <w:w w:val="105"/>
                      <w:sz w:val="12"/>
                    </w:rPr>
                    <w:t>15</w:t>
                  </w:r>
                </w:p>
                <w:p>
                  <w:pPr>
                    <w:spacing w:before="75"/>
                    <w:ind w:left="20" w:right="0" w:firstLine="0"/>
                    <w:jc w:val="left"/>
                    <w:rPr>
                      <w:rFonts w:ascii="Calibri"/>
                      <w:sz w:val="12"/>
                    </w:rPr>
                  </w:pPr>
                  <w:r>
                    <w:rPr>
                      <w:rFonts w:ascii="Calibri"/>
                      <w:color w:val="585858"/>
                      <w:spacing w:val="-6"/>
                      <w:w w:val="105"/>
                      <w:sz w:val="12"/>
                    </w:rPr>
                    <w:t>20</w:t>
                  </w:r>
                </w:p>
                <w:p>
                  <w:pPr>
                    <w:spacing w:before="75"/>
                    <w:ind w:left="20" w:right="0" w:firstLine="0"/>
                    <w:jc w:val="left"/>
                    <w:rPr>
                      <w:rFonts w:ascii="Calibri"/>
                      <w:sz w:val="12"/>
                    </w:rPr>
                  </w:pPr>
                  <w:r>
                    <w:rPr>
                      <w:rFonts w:ascii="Calibri"/>
                      <w:color w:val="585858"/>
                      <w:spacing w:val="-6"/>
                      <w:w w:val="105"/>
                      <w:sz w:val="12"/>
                    </w:rPr>
                    <w:t>25</w:t>
                  </w:r>
                </w:p>
                <w:p>
                  <w:pPr>
                    <w:spacing w:before="75"/>
                    <w:ind w:left="20" w:right="0" w:firstLine="0"/>
                    <w:jc w:val="left"/>
                    <w:rPr>
                      <w:rFonts w:ascii="Calibri"/>
                      <w:sz w:val="12"/>
                    </w:rPr>
                  </w:pPr>
                  <w:r>
                    <w:rPr>
                      <w:rFonts w:ascii="Calibri"/>
                      <w:color w:val="585858"/>
                      <w:spacing w:val="-6"/>
                      <w:w w:val="105"/>
                      <w:sz w:val="12"/>
                    </w:rPr>
                    <w:t>30</w:t>
                  </w:r>
                </w:p>
                <w:p>
                  <w:pPr>
                    <w:spacing w:before="76"/>
                    <w:ind w:left="20" w:right="0" w:firstLine="0"/>
                    <w:jc w:val="left"/>
                    <w:rPr>
                      <w:rFonts w:ascii="Calibri"/>
                      <w:sz w:val="12"/>
                    </w:rPr>
                  </w:pPr>
                  <w:r>
                    <w:rPr>
                      <w:rFonts w:ascii="Calibri"/>
                      <w:color w:val="585858"/>
                      <w:spacing w:val="-6"/>
                      <w:w w:val="105"/>
                      <w:sz w:val="12"/>
                    </w:rPr>
                    <w:t>35</w:t>
                  </w:r>
                </w:p>
                <w:p>
                  <w:pPr>
                    <w:spacing w:before="75"/>
                    <w:ind w:left="20" w:right="0" w:firstLine="0"/>
                    <w:jc w:val="left"/>
                    <w:rPr>
                      <w:rFonts w:ascii="Calibri"/>
                      <w:sz w:val="12"/>
                    </w:rPr>
                  </w:pPr>
                  <w:r>
                    <w:rPr>
                      <w:rFonts w:ascii="Calibri"/>
                      <w:color w:val="585858"/>
                      <w:spacing w:val="-6"/>
                      <w:w w:val="105"/>
                      <w:sz w:val="12"/>
                    </w:rPr>
                    <w:t>40</w:t>
                  </w:r>
                </w:p>
                <w:p>
                  <w:pPr>
                    <w:spacing w:before="75"/>
                    <w:ind w:left="20" w:right="0" w:firstLine="0"/>
                    <w:jc w:val="left"/>
                    <w:rPr>
                      <w:rFonts w:ascii="Calibri"/>
                      <w:sz w:val="12"/>
                    </w:rPr>
                  </w:pPr>
                  <w:r>
                    <w:rPr>
                      <w:rFonts w:ascii="Calibri"/>
                      <w:color w:val="585858"/>
                      <w:spacing w:val="-6"/>
                      <w:w w:val="105"/>
                      <w:sz w:val="12"/>
                    </w:rPr>
                    <w:t>45</w:t>
                  </w:r>
                </w:p>
                <w:p>
                  <w:pPr>
                    <w:spacing w:before="75"/>
                    <w:ind w:left="20" w:right="0" w:firstLine="0"/>
                    <w:jc w:val="left"/>
                    <w:rPr>
                      <w:rFonts w:ascii="Calibri"/>
                      <w:sz w:val="12"/>
                    </w:rPr>
                  </w:pPr>
                  <w:r>
                    <w:rPr>
                      <w:rFonts w:ascii="Calibri"/>
                      <w:color w:val="585858"/>
                      <w:spacing w:val="-6"/>
                      <w:w w:val="105"/>
                      <w:sz w:val="12"/>
                    </w:rPr>
                    <w:t>50</w:t>
                  </w:r>
                </w:p>
                <w:p>
                  <w:pPr>
                    <w:spacing w:before="76"/>
                    <w:ind w:left="20" w:right="0" w:firstLine="0"/>
                    <w:jc w:val="left"/>
                    <w:rPr>
                      <w:rFonts w:ascii="Calibri"/>
                      <w:sz w:val="12"/>
                    </w:rPr>
                  </w:pPr>
                  <w:r>
                    <w:rPr>
                      <w:rFonts w:ascii="Calibri"/>
                      <w:color w:val="585858"/>
                      <w:spacing w:val="-6"/>
                      <w:w w:val="105"/>
                      <w:sz w:val="12"/>
                    </w:rPr>
                    <w:t>55</w:t>
                  </w:r>
                </w:p>
                <w:p>
                  <w:pPr>
                    <w:spacing w:before="75"/>
                    <w:ind w:left="20" w:right="0" w:firstLine="0"/>
                    <w:jc w:val="left"/>
                    <w:rPr>
                      <w:rFonts w:ascii="Calibri"/>
                      <w:sz w:val="12"/>
                    </w:rPr>
                  </w:pPr>
                  <w:r>
                    <w:rPr>
                      <w:rFonts w:ascii="Calibri"/>
                      <w:color w:val="585858"/>
                      <w:spacing w:val="-6"/>
                      <w:w w:val="105"/>
                      <w:sz w:val="12"/>
                    </w:rPr>
                    <w:t>60</w:t>
                  </w:r>
                </w:p>
                <w:p>
                  <w:pPr>
                    <w:spacing w:before="75"/>
                    <w:ind w:left="20" w:right="0" w:firstLine="0"/>
                    <w:jc w:val="left"/>
                    <w:rPr>
                      <w:rFonts w:ascii="Calibri"/>
                      <w:sz w:val="12"/>
                    </w:rPr>
                  </w:pPr>
                  <w:r>
                    <w:rPr>
                      <w:rFonts w:ascii="Calibri"/>
                      <w:color w:val="585858"/>
                      <w:spacing w:val="-6"/>
                      <w:w w:val="105"/>
                      <w:sz w:val="12"/>
                    </w:rPr>
                    <w:t>65</w:t>
                  </w:r>
                </w:p>
                <w:p>
                  <w:pPr>
                    <w:spacing w:before="75"/>
                    <w:ind w:left="20" w:right="0" w:firstLine="0"/>
                    <w:jc w:val="left"/>
                    <w:rPr>
                      <w:rFonts w:ascii="Calibri"/>
                      <w:sz w:val="12"/>
                    </w:rPr>
                  </w:pPr>
                  <w:r>
                    <w:rPr>
                      <w:rFonts w:ascii="Calibri"/>
                      <w:color w:val="585858"/>
                      <w:spacing w:val="-6"/>
                      <w:w w:val="105"/>
                      <w:sz w:val="12"/>
                    </w:rPr>
                    <w:t>70</w:t>
                  </w:r>
                </w:p>
                <w:p>
                  <w:pPr>
                    <w:spacing w:before="76"/>
                    <w:ind w:left="20" w:right="0" w:firstLine="0"/>
                    <w:jc w:val="left"/>
                    <w:rPr>
                      <w:rFonts w:ascii="Calibri"/>
                      <w:sz w:val="12"/>
                    </w:rPr>
                  </w:pPr>
                  <w:r>
                    <w:rPr>
                      <w:rFonts w:ascii="Calibri"/>
                      <w:color w:val="585858"/>
                      <w:spacing w:val="-6"/>
                      <w:w w:val="105"/>
                      <w:sz w:val="12"/>
                    </w:rPr>
                    <w:t>75</w:t>
                  </w:r>
                </w:p>
                <w:p>
                  <w:pPr>
                    <w:spacing w:before="75"/>
                    <w:ind w:left="20" w:right="0" w:firstLine="0"/>
                    <w:jc w:val="left"/>
                    <w:rPr>
                      <w:rFonts w:ascii="Calibri"/>
                      <w:sz w:val="12"/>
                    </w:rPr>
                  </w:pPr>
                  <w:r>
                    <w:rPr>
                      <w:rFonts w:ascii="Calibri"/>
                      <w:color w:val="585858"/>
                      <w:spacing w:val="-6"/>
                      <w:w w:val="105"/>
                      <w:sz w:val="12"/>
                    </w:rPr>
                    <w:t>80</w:t>
                  </w:r>
                </w:p>
                <w:p>
                  <w:pPr>
                    <w:spacing w:before="75"/>
                    <w:ind w:left="20" w:right="0" w:firstLine="0"/>
                    <w:jc w:val="left"/>
                    <w:rPr>
                      <w:rFonts w:ascii="Calibri"/>
                      <w:sz w:val="12"/>
                    </w:rPr>
                  </w:pPr>
                  <w:r>
                    <w:rPr>
                      <w:rFonts w:ascii="Calibri"/>
                      <w:color w:val="585858"/>
                      <w:spacing w:val="-6"/>
                      <w:w w:val="105"/>
                      <w:sz w:val="12"/>
                    </w:rPr>
                    <w:t>85</w:t>
                  </w:r>
                </w:p>
                <w:p>
                  <w:pPr>
                    <w:spacing w:before="75"/>
                    <w:ind w:left="20" w:right="0" w:firstLine="0"/>
                    <w:jc w:val="left"/>
                    <w:rPr>
                      <w:rFonts w:ascii="Calibri"/>
                      <w:sz w:val="12"/>
                    </w:rPr>
                  </w:pPr>
                  <w:r>
                    <w:rPr>
                      <w:rFonts w:ascii="Calibri"/>
                      <w:color w:val="585858"/>
                      <w:spacing w:val="-6"/>
                      <w:w w:val="105"/>
                      <w:sz w:val="12"/>
                    </w:rPr>
                    <w:t>90</w:t>
                  </w:r>
                </w:p>
                <w:p>
                  <w:pPr>
                    <w:spacing w:before="76"/>
                    <w:ind w:left="20" w:right="0" w:firstLine="0"/>
                    <w:jc w:val="left"/>
                    <w:rPr>
                      <w:rFonts w:ascii="Calibri"/>
                      <w:sz w:val="12"/>
                    </w:rPr>
                  </w:pPr>
                  <w:r>
                    <w:rPr>
                      <w:rFonts w:ascii="Calibri"/>
                      <w:color w:val="585858"/>
                      <w:spacing w:val="-6"/>
                      <w:w w:val="105"/>
                      <w:sz w:val="12"/>
                    </w:rPr>
                    <w:t>95</w:t>
                  </w:r>
                </w:p>
              </w:txbxContent>
            </v:textbox>
            <w10:wrap type="none"/>
          </v:shape>
        </w:pict>
      </w:r>
      <w:r>
        <w:rPr>
          <w:rFonts w:ascii="Calibri"/>
          <w:color w:val="585858"/>
          <w:w w:val="105"/>
          <w:sz w:val="12"/>
        </w:rPr>
        <w:t>0</w:t>
        <w:tab/>
        <w:t>0</w:t>
      </w:r>
    </w:p>
    <w:p>
      <w:pPr>
        <w:pStyle w:val="BodyText"/>
        <w:spacing w:before="4"/>
        <w:rPr>
          <w:rFonts w:ascii="Calibri"/>
          <w:sz w:val="14"/>
        </w:rPr>
      </w:pPr>
    </w:p>
    <w:p>
      <w:pPr>
        <w:tabs>
          <w:tab w:pos="4906" w:val="left" w:leader="none"/>
        </w:tabs>
        <w:spacing w:before="0"/>
        <w:ind w:left="0" w:right="30" w:firstLine="0"/>
        <w:jc w:val="center"/>
        <w:rPr>
          <w:rFonts w:ascii="Calibri"/>
          <w:b/>
          <w:sz w:val="12"/>
        </w:rPr>
      </w:pPr>
      <w:r>
        <w:rPr>
          <w:rFonts w:ascii="Calibri"/>
          <w:b/>
          <w:color w:val="585858"/>
          <w:w w:val="105"/>
          <w:sz w:val="12"/>
        </w:rPr>
        <w:t>Age</w:t>
        <w:tab/>
        <w:t>Age</w:t>
      </w:r>
    </w:p>
    <w:p>
      <w:pPr>
        <w:pStyle w:val="BodyText"/>
        <w:spacing w:before="8"/>
        <w:rPr>
          <w:rFonts w:ascii="Calibri"/>
          <w:b/>
          <w:sz w:val="19"/>
        </w:rPr>
      </w:pPr>
    </w:p>
    <w:p>
      <w:pPr>
        <w:spacing w:before="76"/>
        <w:ind w:left="1602" w:right="9667" w:firstLine="0"/>
        <w:jc w:val="center"/>
        <w:rPr>
          <w:rFonts w:ascii="Calibri"/>
          <w:sz w:val="12"/>
        </w:rPr>
      </w:pPr>
      <w:r>
        <w:rPr>
          <w:rFonts w:ascii="Calibri"/>
          <w:sz w:val="12"/>
        </w:rPr>
        <w:t>Class key:</w:t>
      </w:r>
    </w:p>
    <w:p>
      <w:pPr>
        <w:tabs>
          <w:tab w:pos="1445" w:val="left" w:leader="none"/>
          <w:tab w:pos="2891" w:val="left" w:leader="none"/>
          <w:tab w:pos="4337" w:val="left" w:leader="none"/>
          <w:tab w:pos="5782" w:val="left" w:leader="none"/>
          <w:tab w:pos="7228" w:val="left" w:leader="none"/>
        </w:tabs>
        <w:spacing w:before="46"/>
        <w:ind w:left="0" w:right="122" w:firstLine="0"/>
        <w:jc w:val="center"/>
        <w:rPr>
          <w:rFonts w:ascii="Calibri"/>
          <w:sz w:val="12"/>
        </w:rPr>
      </w:pPr>
      <w:r>
        <w:rPr/>
        <w:pict>
          <v:group style="position:absolute;margin-left:86.054459pt;margin-top:1.603375pt;width:10.95pt;height:18.850pt;mso-position-horizontal-relative:page;mso-position-vertical-relative:paragraph;z-index:251912192" coordorigin="1721,32" coordsize="219,377">
            <v:rect style="position:absolute;left:1721;top:32;width:219;height:169" filled="true" fillcolor="#1f487c" stroked="false">
              <v:fill type="solid"/>
            </v:rect>
            <v:rect style="position:absolute;left:1721;top:240;width:219;height:169" filled="true" fillcolor="#f8a763" stroked="false">
              <v:fill type="solid"/>
            </v:rect>
            <w10:wrap type="none"/>
          </v:group>
        </w:pict>
      </w:r>
      <w:r>
        <w:rPr/>
        <w:pict>
          <v:group style="position:absolute;margin-left:157.940094pt;margin-top:1.603375pt;width:11.35pt;height:18.850pt;mso-position-horizontal-relative:page;mso-position-vertical-relative:paragraph;z-index:-287989760" coordorigin="3159,32" coordsize="227,377">
            <v:rect style="position:absolute;left:3158;top:32;width:227;height:169" filled="true" fillcolor="#009544" stroked="false">
              <v:fill type="solid"/>
            </v:rect>
            <v:rect style="position:absolute;left:3158;top:240;width:227;height:169" filled="true" fillcolor="#ecb8e7" stroked="false">
              <v:fill type="solid"/>
            </v:rect>
            <w10:wrap type="none"/>
          </v:group>
        </w:pict>
      </w:r>
      <w:r>
        <w:rPr/>
        <w:pict>
          <v:group style="position:absolute;margin-left:230.229996pt;margin-top:1.603375pt;width:11.35pt;height:18.850pt;mso-position-horizontal-relative:page;mso-position-vertical-relative:paragraph;z-index:-287988736" coordorigin="4605,32" coordsize="227,377">
            <v:rect style="position:absolute;left:4604;top:32;width:227;height:169" filled="true" fillcolor="#e16b09" stroked="false">
              <v:fill type="solid"/>
            </v:rect>
            <v:rect style="position:absolute;left:4604;top:240;width:227;height:169" filled="true" fillcolor="#938953" stroked="false">
              <v:fill type="solid"/>
            </v:rect>
            <w10:wrap type="none"/>
          </v:group>
        </w:pict>
      </w:r>
      <w:r>
        <w:rPr/>
        <w:pict>
          <v:group style="position:absolute;margin-left:302.519897pt;margin-top:1.603375pt;width:11.35pt;height:18.850pt;mso-position-horizontal-relative:page;mso-position-vertical-relative:paragraph;z-index:-287987712" coordorigin="6050,32" coordsize="227,377">
            <v:rect style="position:absolute;left:6050;top:32;width:227;height:169" filled="true" fillcolor="#e08ad6" stroked="false">
              <v:fill type="solid"/>
            </v:rect>
            <v:rect style="position:absolute;left:6050;top:240;width:227;height:169" filled="true" fillcolor="#ffd600" stroked="false">
              <v:fill type="solid"/>
            </v:rect>
            <w10:wrap type="none"/>
          </v:group>
        </w:pict>
      </w:r>
      <w:r>
        <w:rPr/>
        <w:pict>
          <v:group style="position:absolute;margin-left:374.809814pt;margin-top:1.603375pt;width:11.35pt;height:18.850pt;mso-position-horizontal-relative:page;mso-position-vertical-relative:paragraph;z-index:-287986688" coordorigin="7496,32" coordsize="227,377">
            <v:rect style="position:absolute;left:7496;top:32;width:227;height:169" filled="true" fillcolor="#8063a1" stroked="false">
              <v:fill type="solid"/>
            </v:rect>
            <v:rect style="position:absolute;left:7496;top:240;width:227;height:169" filled="true" fillcolor="#000000" stroked="false">
              <v:fill type="solid"/>
            </v:rect>
            <w10:wrap type="none"/>
          </v:group>
        </w:pict>
      </w:r>
      <w:r>
        <w:rPr/>
        <w:pict>
          <v:group style="position:absolute;margin-left:447.099701pt;margin-top:1.603375pt;width:11.35pt;height:18.850pt;mso-position-horizontal-relative:page;mso-position-vertical-relative:paragraph;z-index:-287985664" coordorigin="8942,32" coordsize="227,377">
            <v:rect style="position:absolute;left:8942;top:32;width:227;height:169" filled="true" fillcolor="#c0504d" stroked="false">
              <v:fill type="solid"/>
            </v:rect>
            <v:rect style="position:absolute;left:8942;top:240;width:227;height:169" filled="true" fillcolor="#ffeb8f" stroked="false">
              <v:fill type="solid"/>
            </v:rect>
            <w10:wrap type="none"/>
          </v:group>
        </w:pict>
      </w:r>
      <w:r>
        <w:rPr>
          <w:rFonts w:ascii="Calibri"/>
          <w:sz w:val="12"/>
        </w:rPr>
        <w:t>1</w:t>
      </w:r>
      <w:r>
        <w:rPr>
          <w:rFonts w:ascii="Calibri"/>
          <w:spacing w:val="-7"/>
          <w:sz w:val="12"/>
        </w:rPr>
        <w:t> </w:t>
      </w:r>
      <w:r>
        <w:rPr>
          <w:rFonts w:ascii="Calibri"/>
          <w:sz w:val="12"/>
        </w:rPr>
        <w:t>-</w:t>
      </w:r>
      <w:r>
        <w:rPr>
          <w:rFonts w:ascii="Calibri"/>
          <w:spacing w:val="2"/>
          <w:sz w:val="12"/>
        </w:rPr>
        <w:t> </w:t>
      </w:r>
      <w:r>
        <w:rPr>
          <w:rFonts w:ascii="Calibri"/>
          <w:sz w:val="12"/>
        </w:rPr>
        <w:t>Studying</w:t>
        <w:tab/>
        <w:t>2 -</w:t>
      </w:r>
      <w:r>
        <w:rPr>
          <w:rFonts w:ascii="Calibri"/>
          <w:spacing w:val="-6"/>
          <w:sz w:val="12"/>
        </w:rPr>
        <w:t> </w:t>
      </w:r>
      <w:r>
        <w:rPr>
          <w:rFonts w:ascii="Calibri"/>
          <w:sz w:val="12"/>
        </w:rPr>
        <w:t>Working</w:t>
      </w:r>
      <w:r>
        <w:rPr>
          <w:rFonts w:ascii="Calibri"/>
          <w:spacing w:val="-3"/>
          <w:sz w:val="12"/>
        </w:rPr>
        <w:t> </w:t>
      </w:r>
      <w:r>
        <w:rPr>
          <w:rFonts w:ascii="Calibri"/>
          <w:sz w:val="12"/>
        </w:rPr>
        <w:t>Age</w:t>
        <w:tab/>
        <w:t>3</w:t>
      </w:r>
      <w:r>
        <w:rPr>
          <w:rFonts w:ascii="Calibri"/>
          <w:spacing w:val="-7"/>
          <w:sz w:val="12"/>
        </w:rPr>
        <w:t> </w:t>
      </w:r>
      <w:r>
        <w:rPr>
          <w:rFonts w:ascii="Calibri"/>
          <w:sz w:val="12"/>
        </w:rPr>
        <w:t>-</w:t>
      </w:r>
      <w:r>
        <w:rPr>
          <w:rFonts w:ascii="Calibri"/>
          <w:spacing w:val="1"/>
          <w:sz w:val="12"/>
        </w:rPr>
        <w:t> </w:t>
      </w:r>
      <w:r>
        <w:rPr>
          <w:rFonts w:ascii="Calibri"/>
          <w:sz w:val="12"/>
        </w:rPr>
        <w:t>Parents</w:t>
        <w:tab/>
        <w:t>4</w:t>
      </w:r>
      <w:r>
        <w:rPr>
          <w:rFonts w:ascii="Calibri"/>
          <w:spacing w:val="-8"/>
          <w:sz w:val="12"/>
        </w:rPr>
        <w:t> </w:t>
      </w:r>
      <w:r>
        <w:rPr>
          <w:rFonts w:ascii="Calibri"/>
          <w:sz w:val="12"/>
        </w:rPr>
        <w:t>- Carers</w:t>
        <w:tab/>
        <w:t>5 -</w:t>
      </w:r>
      <w:r>
        <w:rPr>
          <w:rFonts w:ascii="Calibri"/>
          <w:spacing w:val="-2"/>
          <w:sz w:val="12"/>
        </w:rPr>
        <w:t> </w:t>
      </w:r>
      <w:r>
        <w:rPr>
          <w:rFonts w:ascii="Calibri"/>
          <w:sz w:val="12"/>
        </w:rPr>
        <w:t>Disability</w:t>
      </w:r>
      <w:r>
        <w:rPr>
          <w:rFonts w:ascii="Calibri"/>
          <w:spacing w:val="1"/>
          <w:sz w:val="12"/>
        </w:rPr>
        <w:t> </w:t>
      </w:r>
      <w:r>
        <w:rPr>
          <w:rFonts w:ascii="Calibri"/>
          <w:sz w:val="12"/>
        </w:rPr>
        <w:t>Support</w:t>
        <w:tab/>
        <w:t>6 - Pension</w:t>
      </w:r>
      <w:r>
        <w:rPr>
          <w:rFonts w:ascii="Calibri"/>
          <w:spacing w:val="-10"/>
          <w:sz w:val="12"/>
        </w:rPr>
        <w:t> </w:t>
      </w:r>
      <w:r>
        <w:rPr>
          <w:rFonts w:ascii="Calibri"/>
          <w:sz w:val="12"/>
        </w:rPr>
        <w:t>Age</w:t>
      </w:r>
    </w:p>
    <w:p>
      <w:pPr>
        <w:spacing w:after="0"/>
        <w:jc w:val="center"/>
        <w:rPr>
          <w:rFonts w:ascii="Calibri"/>
          <w:sz w:val="12"/>
        </w:rPr>
        <w:sectPr>
          <w:pgSz w:w="11910" w:h="16850"/>
          <w:pgMar w:header="572" w:footer="581" w:top="780" w:bottom="780" w:left="120" w:right="0"/>
        </w:sectPr>
      </w:pPr>
    </w:p>
    <w:p>
      <w:pPr>
        <w:spacing w:before="62"/>
        <w:ind w:left="0" w:right="0" w:firstLine="0"/>
        <w:jc w:val="right"/>
        <w:rPr>
          <w:rFonts w:ascii="Calibri"/>
          <w:sz w:val="12"/>
        </w:rPr>
      </w:pPr>
      <w:r>
        <w:rPr>
          <w:rFonts w:ascii="Calibri"/>
          <w:sz w:val="12"/>
        </w:rPr>
        <w:t>7 - Non IS Family</w:t>
      </w:r>
    </w:p>
    <w:p>
      <w:pPr>
        <w:pStyle w:val="ListParagraph"/>
        <w:numPr>
          <w:ilvl w:val="0"/>
          <w:numId w:val="26"/>
        </w:numPr>
        <w:tabs>
          <w:tab w:pos="665" w:val="left" w:leader="none"/>
        </w:tabs>
        <w:spacing w:line="240" w:lineRule="auto" w:before="62" w:after="0"/>
        <w:ind w:left="664" w:right="0" w:hanging="82"/>
        <w:jc w:val="left"/>
        <w:rPr>
          <w:rFonts w:ascii="Calibri"/>
          <w:sz w:val="12"/>
        </w:rPr>
      </w:pPr>
      <w:r>
        <w:rPr>
          <w:rFonts w:ascii="Calibri"/>
          <w:w w:val="100"/>
          <w:sz w:val="12"/>
        </w:rPr>
        <w:br w:type="column"/>
      </w:r>
      <w:r>
        <w:rPr>
          <w:rFonts w:ascii="Calibri"/>
          <w:sz w:val="12"/>
        </w:rPr>
        <w:t>- Non IS</w:t>
      </w:r>
      <w:r>
        <w:rPr>
          <w:rFonts w:ascii="Calibri"/>
          <w:spacing w:val="2"/>
          <w:sz w:val="12"/>
        </w:rPr>
        <w:t> </w:t>
      </w:r>
      <w:r>
        <w:rPr>
          <w:rFonts w:ascii="Calibri"/>
          <w:spacing w:val="-3"/>
          <w:sz w:val="12"/>
        </w:rPr>
        <w:t>Carer</w:t>
      </w:r>
    </w:p>
    <w:p>
      <w:pPr>
        <w:pStyle w:val="ListParagraph"/>
        <w:numPr>
          <w:ilvl w:val="0"/>
          <w:numId w:val="26"/>
        </w:numPr>
        <w:tabs>
          <w:tab w:pos="726" w:val="left" w:leader="none"/>
        </w:tabs>
        <w:spacing w:line="240" w:lineRule="auto" w:before="62" w:after="0"/>
        <w:ind w:left="725" w:right="0" w:hanging="82"/>
        <w:jc w:val="left"/>
        <w:rPr>
          <w:rFonts w:ascii="Calibri"/>
          <w:sz w:val="12"/>
        </w:rPr>
      </w:pPr>
      <w:r>
        <w:rPr>
          <w:rFonts w:ascii="Calibri"/>
          <w:w w:val="100"/>
          <w:sz w:val="12"/>
        </w:rPr>
        <w:br w:type="column"/>
      </w:r>
      <w:r>
        <w:rPr>
          <w:rFonts w:ascii="Calibri"/>
          <w:sz w:val="12"/>
        </w:rPr>
        <w:t>- Non IS</w:t>
      </w:r>
      <w:r>
        <w:rPr>
          <w:rFonts w:ascii="Calibri"/>
          <w:spacing w:val="5"/>
          <w:sz w:val="12"/>
        </w:rPr>
        <w:t> </w:t>
      </w:r>
      <w:r>
        <w:rPr>
          <w:rFonts w:ascii="Calibri"/>
          <w:spacing w:val="-3"/>
          <w:sz w:val="12"/>
        </w:rPr>
        <w:t>Other</w:t>
      </w:r>
    </w:p>
    <w:p>
      <w:pPr>
        <w:pStyle w:val="ListParagraph"/>
        <w:numPr>
          <w:ilvl w:val="0"/>
          <w:numId w:val="26"/>
        </w:numPr>
        <w:tabs>
          <w:tab w:pos="759" w:val="left" w:leader="none"/>
        </w:tabs>
        <w:spacing w:line="261" w:lineRule="auto" w:before="62" w:after="0"/>
        <w:ind w:left="620" w:right="0" w:firstLine="0"/>
        <w:jc w:val="left"/>
        <w:rPr>
          <w:rFonts w:ascii="Calibri"/>
          <w:sz w:val="12"/>
        </w:rPr>
      </w:pPr>
      <w:r>
        <w:rPr>
          <w:rFonts w:ascii="Calibri"/>
          <w:w w:val="100"/>
          <w:sz w:val="12"/>
        </w:rPr>
        <w:br w:type="column"/>
      </w:r>
      <w:r>
        <w:rPr>
          <w:rFonts w:ascii="Calibri"/>
          <w:sz w:val="12"/>
        </w:rPr>
        <w:t>- Previous Welfare Recipient</w:t>
      </w:r>
    </w:p>
    <w:p>
      <w:pPr>
        <w:pStyle w:val="ListParagraph"/>
        <w:numPr>
          <w:ilvl w:val="0"/>
          <w:numId w:val="26"/>
        </w:numPr>
        <w:tabs>
          <w:tab w:pos="482" w:val="left" w:leader="none"/>
        </w:tabs>
        <w:spacing w:line="240" w:lineRule="auto" w:before="62" w:after="0"/>
        <w:ind w:left="481" w:right="0" w:hanging="139"/>
        <w:jc w:val="left"/>
        <w:rPr>
          <w:rFonts w:ascii="Calibri"/>
          <w:sz w:val="12"/>
        </w:rPr>
      </w:pPr>
      <w:r>
        <w:rPr>
          <w:rFonts w:ascii="Calibri"/>
          <w:w w:val="100"/>
          <w:sz w:val="12"/>
        </w:rPr>
        <w:br w:type="column"/>
      </w:r>
      <w:r>
        <w:rPr>
          <w:rFonts w:ascii="Calibri"/>
          <w:sz w:val="12"/>
        </w:rPr>
        <w:t>-</w:t>
      </w:r>
      <w:r>
        <w:rPr>
          <w:rFonts w:ascii="Calibri"/>
          <w:spacing w:val="3"/>
          <w:sz w:val="12"/>
        </w:rPr>
        <w:t> </w:t>
      </w:r>
      <w:r>
        <w:rPr>
          <w:rFonts w:ascii="Calibri"/>
          <w:spacing w:val="-5"/>
          <w:sz w:val="12"/>
        </w:rPr>
        <w:t>Dead</w:t>
      </w:r>
    </w:p>
    <w:p>
      <w:pPr>
        <w:pStyle w:val="ListParagraph"/>
        <w:numPr>
          <w:ilvl w:val="0"/>
          <w:numId w:val="26"/>
        </w:numPr>
        <w:tabs>
          <w:tab w:pos="1084" w:val="left" w:leader="none"/>
        </w:tabs>
        <w:spacing w:line="261" w:lineRule="auto" w:before="62" w:after="0"/>
        <w:ind w:left="946" w:right="1889" w:firstLine="0"/>
        <w:jc w:val="left"/>
        <w:rPr>
          <w:rFonts w:ascii="Calibri"/>
          <w:sz w:val="12"/>
        </w:rPr>
      </w:pPr>
      <w:r>
        <w:rPr>
          <w:rFonts w:ascii="Calibri"/>
          <w:w w:val="100"/>
          <w:sz w:val="12"/>
        </w:rPr>
        <w:br w:type="column"/>
      </w:r>
      <w:r>
        <w:rPr>
          <w:rFonts w:ascii="Calibri"/>
          <w:sz w:val="12"/>
        </w:rPr>
        <w:t>- Rest of Aust. Population</w:t>
      </w:r>
    </w:p>
    <w:p>
      <w:pPr>
        <w:spacing w:after="0" w:line="261" w:lineRule="auto"/>
        <w:jc w:val="left"/>
        <w:rPr>
          <w:rFonts w:ascii="Calibri"/>
          <w:sz w:val="12"/>
        </w:rPr>
        <w:sectPr>
          <w:type w:val="continuous"/>
          <w:pgSz w:w="11910" w:h="16850"/>
          <w:pgMar w:top="1600" w:bottom="280" w:left="120" w:right="0"/>
          <w:cols w:num="6" w:equalWidth="0">
            <w:col w:w="2658" w:space="40"/>
            <w:col w:w="1345" w:space="39"/>
            <w:col w:w="1430" w:space="40"/>
            <w:col w:w="1683" w:space="39"/>
            <w:col w:w="804" w:space="40"/>
            <w:col w:w="3672"/>
          </w:cols>
        </w:sectPr>
      </w:pPr>
    </w:p>
    <w:p>
      <w:pPr>
        <w:pStyle w:val="BodyText"/>
        <w:spacing w:before="135"/>
        <w:ind w:left="900" w:right="1008"/>
      </w:pPr>
      <w:r>
        <w:rPr>
          <w:color w:val="404040"/>
        </w:rPr>
        <w:t>We can see that the profile of entrants and re-entrants varies significantly by age and gender, reflecting the way in which men and women access different classes at different stages of life:</w:t>
      </w:r>
    </w:p>
    <w:p>
      <w:pPr>
        <w:pStyle w:val="ListParagraph"/>
        <w:numPr>
          <w:ilvl w:val="0"/>
          <w:numId w:val="27"/>
        </w:numPr>
        <w:tabs>
          <w:tab w:pos="1184" w:val="left" w:leader="none"/>
        </w:tabs>
        <w:spacing w:line="240" w:lineRule="auto" w:before="119" w:after="0"/>
        <w:ind w:left="1183" w:right="1118" w:hanging="284"/>
        <w:jc w:val="left"/>
        <w:rPr>
          <w:sz w:val="20"/>
        </w:rPr>
      </w:pPr>
      <w:r>
        <w:rPr>
          <w:color w:val="404040"/>
          <w:sz w:val="20"/>
        </w:rPr>
        <w:t>Below age 25, there are a large number of entrants into Studying and Working Age benefits; in particular, there are two spikes which align with eligibility changes for Youth Allowance at ages 18 (from which point full-time students can access Youth Allowance while living at home) and 22 (from which point young people are considered independent and so parental income tests no longer</w:t>
      </w:r>
      <w:r>
        <w:rPr>
          <w:color w:val="404040"/>
          <w:spacing w:val="-7"/>
          <w:sz w:val="20"/>
        </w:rPr>
        <w:t> </w:t>
      </w:r>
      <w:r>
        <w:rPr>
          <w:color w:val="404040"/>
          <w:sz w:val="20"/>
        </w:rPr>
        <w:t>apply).</w:t>
      </w:r>
    </w:p>
    <w:p>
      <w:pPr>
        <w:pStyle w:val="ListParagraph"/>
        <w:numPr>
          <w:ilvl w:val="0"/>
          <w:numId w:val="27"/>
        </w:numPr>
        <w:tabs>
          <w:tab w:pos="1184" w:val="left" w:leader="none"/>
        </w:tabs>
        <w:spacing w:line="240" w:lineRule="auto" w:before="119" w:after="0"/>
        <w:ind w:left="1183" w:right="1221" w:hanging="284"/>
        <w:jc w:val="left"/>
        <w:rPr>
          <w:sz w:val="20"/>
        </w:rPr>
      </w:pPr>
      <w:r>
        <w:rPr>
          <w:color w:val="404040"/>
          <w:sz w:val="20"/>
        </w:rPr>
        <w:t>Above age 25 but prior to retirement age, the entries are dominated by the Working Age and Non IS Other classes. Some women also enter into the Parents</w:t>
      </w:r>
      <w:r>
        <w:rPr>
          <w:color w:val="404040"/>
          <w:spacing w:val="-4"/>
          <w:sz w:val="20"/>
        </w:rPr>
        <w:t> </w:t>
      </w:r>
      <w:r>
        <w:rPr>
          <w:color w:val="404040"/>
          <w:sz w:val="20"/>
        </w:rPr>
        <w:t>class.</w:t>
      </w:r>
    </w:p>
    <w:p>
      <w:pPr>
        <w:pStyle w:val="BodyText"/>
        <w:spacing w:before="119"/>
        <w:ind w:left="1468" w:right="1019" w:hanging="286"/>
      </w:pPr>
      <w:r>
        <w:rPr>
          <w:color w:val="404040"/>
        </w:rPr>
        <w:t>– We note that entries into Non IS Other largely relate to people using FTB for the first time. These people will transition into the Non IS Family if they continue to utilise FTB in the following year. The reason these people enter into the Non IS Other class rather than Non IS Family is because of the one year timing lag on the definition of people in class 7, as explained in section </w:t>
      </w:r>
      <w:hyperlink w:history="true" w:anchor="_bookmark48">
        <w:r>
          <w:rPr>
            <w:color w:val="404040"/>
          </w:rPr>
          <w:t>7.1.</w:t>
        </w:r>
      </w:hyperlink>
    </w:p>
    <w:p>
      <w:pPr>
        <w:pStyle w:val="ListParagraph"/>
        <w:numPr>
          <w:ilvl w:val="0"/>
          <w:numId w:val="27"/>
        </w:numPr>
        <w:tabs>
          <w:tab w:pos="1183" w:val="left" w:leader="none"/>
        </w:tabs>
        <w:spacing w:line="240" w:lineRule="auto" w:before="121" w:after="0"/>
        <w:ind w:left="1182" w:right="0" w:hanging="284"/>
        <w:jc w:val="left"/>
        <w:rPr>
          <w:sz w:val="20"/>
        </w:rPr>
      </w:pPr>
      <w:r>
        <w:rPr>
          <w:color w:val="404040"/>
          <w:sz w:val="20"/>
        </w:rPr>
        <w:t>From retirement age onwards, entries are primarily into the Pension Age</w:t>
      </w:r>
      <w:r>
        <w:rPr>
          <w:color w:val="404040"/>
          <w:spacing w:val="-7"/>
          <w:sz w:val="20"/>
        </w:rPr>
        <w:t> </w:t>
      </w:r>
      <w:r>
        <w:rPr>
          <w:color w:val="404040"/>
          <w:sz w:val="20"/>
        </w:rPr>
        <w:t>class.</w:t>
      </w:r>
    </w:p>
    <w:p>
      <w:pPr>
        <w:pStyle w:val="BodyText"/>
        <w:spacing w:before="6"/>
      </w:pPr>
    </w:p>
    <w:p>
      <w:pPr>
        <w:pStyle w:val="Heading6"/>
        <w:rPr>
          <w:i/>
        </w:rPr>
      </w:pPr>
      <w:r>
        <w:rPr>
          <w:i/>
          <w:color w:val="DF2F1E"/>
        </w:rPr>
        <w:t>Exits from the welfare system</w:t>
      </w:r>
    </w:p>
    <w:p>
      <w:pPr>
        <w:pStyle w:val="BodyText"/>
        <w:spacing w:before="121"/>
        <w:ind w:left="899" w:right="1011"/>
      </w:pPr>
      <w:r>
        <w:rPr>
          <w:color w:val="404040"/>
        </w:rPr>
        <w:t>The chart below shows the total exits from the welfare system over the last five years, split by class prior to exit. The number of people exiting the welfare system has remained fairly stable, with 611,000 in 2016/17 and 614,000 in 2017/18. Slightly higher exits were observed across most income support welfare classes, and slightly fewer exits from non income support classes.</w:t>
      </w:r>
    </w:p>
    <w:p>
      <w:pPr>
        <w:spacing w:after="0"/>
        <w:sectPr>
          <w:type w:val="continuous"/>
          <w:pgSz w:w="11910" w:h="16850"/>
          <w:pgMar w:top="1600" w:bottom="280" w:left="120" w:right="0"/>
        </w:sectPr>
      </w:pPr>
    </w:p>
    <w:p>
      <w:pPr>
        <w:pStyle w:val="BodyText"/>
      </w:pPr>
    </w:p>
    <w:p>
      <w:pPr>
        <w:pStyle w:val="BodyText"/>
      </w:pPr>
    </w:p>
    <w:p>
      <w:pPr>
        <w:pStyle w:val="BodyText"/>
        <w:spacing w:before="5"/>
        <w:rPr>
          <w:sz w:val="21"/>
        </w:rPr>
      </w:pPr>
    </w:p>
    <w:p>
      <w:pPr>
        <w:pStyle w:val="Heading9"/>
      </w:pPr>
      <w:r>
        <w:rPr>
          <w:color w:val="DF2F1E"/>
        </w:rPr>
        <w:t>Figure 25: Total exits from the welfare system (by previous class) over the last five years</w:t>
      </w:r>
    </w:p>
    <w:p>
      <w:pPr>
        <w:spacing w:after="0"/>
        <w:sectPr>
          <w:pgSz w:w="11910" w:h="16850"/>
          <w:pgMar w:header="572" w:footer="581" w:top="780" w:bottom="780" w:left="120" w:right="0"/>
        </w:sectPr>
      </w:pPr>
    </w:p>
    <w:p>
      <w:pPr>
        <w:pStyle w:val="BodyText"/>
        <w:spacing w:before="1"/>
        <w:rPr>
          <w:b/>
          <w:sz w:val="14"/>
        </w:rPr>
      </w:pPr>
    </w:p>
    <w:p>
      <w:pPr>
        <w:spacing w:before="0"/>
        <w:ind w:left="0" w:right="38" w:firstLine="0"/>
        <w:jc w:val="right"/>
        <w:rPr>
          <w:rFonts w:ascii="Calibri"/>
          <w:sz w:val="15"/>
        </w:rPr>
      </w:pPr>
      <w:r>
        <w:rPr>
          <w:rFonts w:ascii="Calibri"/>
          <w:color w:val="585858"/>
          <w:spacing w:val="-2"/>
          <w:sz w:val="15"/>
        </w:rPr>
        <w:t>700,000</w:t>
      </w:r>
    </w:p>
    <w:p>
      <w:pPr>
        <w:pStyle w:val="BodyText"/>
        <w:spacing w:before="5"/>
        <w:rPr>
          <w:rFonts w:ascii="Calibri"/>
          <w:sz w:val="16"/>
        </w:rPr>
      </w:pPr>
    </w:p>
    <w:p>
      <w:pPr>
        <w:spacing w:before="1"/>
        <w:ind w:left="0" w:right="38" w:firstLine="0"/>
        <w:jc w:val="right"/>
        <w:rPr>
          <w:rFonts w:ascii="Calibri"/>
          <w:sz w:val="15"/>
        </w:rPr>
      </w:pPr>
      <w:r>
        <w:rPr>
          <w:rFonts w:ascii="Calibri"/>
          <w:color w:val="585858"/>
          <w:spacing w:val="-2"/>
          <w:sz w:val="15"/>
        </w:rPr>
        <w:t>600,000</w:t>
      </w:r>
    </w:p>
    <w:p>
      <w:pPr>
        <w:pStyle w:val="BodyText"/>
        <w:spacing w:after="40"/>
        <w:rPr>
          <w:rFonts w:ascii="Calibri"/>
          <w:sz w:val="22"/>
        </w:rPr>
      </w:pPr>
      <w:r>
        <w:rPr/>
        <w:br w:type="column"/>
      </w:r>
      <w:r>
        <w:rPr>
          <w:rFonts w:ascii="Calibri"/>
          <w:sz w:val="22"/>
        </w:rPr>
      </w:r>
    </w:p>
    <w:p>
      <w:pPr>
        <w:tabs>
          <w:tab w:pos="1467" w:val="left" w:leader="none"/>
          <w:tab w:pos="3361" w:val="left" w:leader="none"/>
        </w:tabs>
        <w:spacing w:line="20" w:lineRule="exact"/>
        <w:ind w:left="1113" w:right="0" w:firstLine="0"/>
        <w:rPr>
          <w:rFonts w:ascii="Calibri"/>
          <w:sz w:val="2"/>
        </w:rPr>
      </w:pPr>
      <w:r>
        <w:rPr>
          <w:rFonts w:ascii="Calibri"/>
          <w:sz w:val="2"/>
        </w:rPr>
        <w:pict>
          <v:group style="width:.5pt;height:.1pt;mso-position-horizontal-relative:char;mso-position-vertical-relative:line" coordorigin="0,0" coordsize="10,2">
            <v:shape style="position:absolute;left:0;top:0;width:10;height:2" coordorigin="0,0" coordsize="10,0" path="m0,0l9,0,0,0xe" filled="true" fillcolor="#dadcdd" stroked="false">
              <v:path arrowok="t"/>
              <v:fill type="solid"/>
            </v:shape>
          </v:group>
        </w:pict>
      </w:r>
      <w:r>
        <w:rPr>
          <w:rFonts w:ascii="Calibri"/>
          <w:sz w:val="2"/>
        </w:rPr>
      </w:r>
      <w:r>
        <w:rPr>
          <w:rFonts w:ascii="Calibri"/>
          <w:sz w:val="2"/>
        </w:rPr>
        <w:tab/>
      </w:r>
      <w:r>
        <w:rPr>
          <w:rFonts w:ascii="Calibri"/>
          <w:sz w:val="2"/>
        </w:rPr>
        <w:pict>
          <v:group style="width:.5pt;height:.1pt;mso-position-horizontal-relative:char;mso-position-vertical-relative:line" coordorigin="0,0" coordsize="10,2">
            <v:shape style="position:absolute;left:0;top:0;width:10;height:2" coordorigin="0,0" coordsize="10,0" path="m0,0l9,0,0,0xe" filled="true" fillcolor="#dadcdd" stroked="false">
              <v:path arrowok="t"/>
              <v:fill type="solid"/>
            </v:shape>
          </v:group>
        </w:pict>
      </w:r>
      <w:r>
        <w:rPr>
          <w:rFonts w:ascii="Calibri"/>
          <w:sz w:val="2"/>
        </w:rPr>
      </w:r>
      <w:r>
        <w:rPr>
          <w:rFonts w:ascii="Calibri"/>
          <w:sz w:val="2"/>
        </w:rPr>
        <w:tab/>
      </w:r>
      <w:r>
        <w:rPr>
          <w:rFonts w:ascii="Calibri"/>
          <w:sz w:val="2"/>
        </w:rPr>
        <w:pict>
          <v:group style="width:.5pt;height:.1pt;mso-position-horizontal-relative:char;mso-position-vertical-relative:line" coordorigin="0,0" coordsize="10,2">
            <v:shape style="position:absolute;left:0;top:0;width:10;height:2" coordorigin="0,0" coordsize="10,0" path="m0,0l9,0,0,0xe" filled="true" fillcolor="#dadcdd" stroked="false">
              <v:path arrowok="t"/>
              <v:fill type="solid"/>
            </v:shape>
          </v:group>
        </w:pict>
      </w:r>
      <w:r>
        <w:rPr>
          <w:rFonts w:ascii="Calibri"/>
          <w:sz w:val="2"/>
        </w:rPr>
      </w:r>
    </w:p>
    <w:p>
      <w:pPr>
        <w:spacing w:before="0"/>
        <w:ind w:left="1141" w:right="0" w:firstLine="0"/>
        <w:jc w:val="left"/>
        <w:rPr>
          <w:rFonts w:ascii="Calibri"/>
          <w:sz w:val="14"/>
        </w:rPr>
      </w:pPr>
      <w:r>
        <w:rPr/>
        <w:pict>
          <v:group style="position:absolute;margin-left:92.877426pt;margin-top:-3.659564pt;width:274.05pt;height:137.5pt;mso-position-horizontal-relative:page;mso-position-vertical-relative:paragraph;z-index:251923456" coordorigin="1858,-73" coordsize="5481,2750">
            <v:shape style="position:absolute;left:4861;top:2237;width:2472;height:2" coordorigin="4861,2238" coordsize="2472,0" path="m7031,2238l7333,2238m5946,2238l6551,2238m4861,2238l5466,2238e" filled="false" stroked="true" strokeweight=".521638pt" strokecolor="#f1f1f1">
              <v:path arrowok="t"/>
              <v:stroke dashstyle="solid"/>
            </v:shape>
            <v:shape style="position:absolute;left:4381;top:2300;width:2650;height:324" coordorigin="4381,2300" coordsize="2650,324" path="m4861,2332l4381,2332,4381,2624,4861,2624,4861,2332m5946,2311l5466,2311,5466,2624,5946,2624,5946,2311m7031,2300l6551,2300,6551,2624,7031,2624,7031,2300e" filled="true" fillcolor="#1f487c" stroked="false">
              <v:path arrowok="t"/>
              <v:fill type="solid"/>
            </v:shape>
            <v:shape style="position:absolute;left:278694;top:-288687;width:298686;height:36454" coordorigin="278694,-288686" coordsize="298686,36454" path="m4381,2332l4861,2332,4861,2624,4381,2624,4381,2332xm5466,2311l5946,2311,5946,2624,5466,2624,5466,2311xm6551,2300l7031,2300,7031,2624,6551,2624,6551,2300xe" filled="false" stroked="true" strokeweight=".521553pt" strokecolor="#1f487c">
              <v:path arrowok="t"/>
              <v:stroke dashstyle="solid"/>
            </v:shape>
            <v:shape style="position:absolute;left:1909;top:1862;width:2472;height:376" coordorigin="1910,1862" coordsize="2472,376" path="m3777,2238l4381,2238m2692,2238l3297,2238m1910,2238l2212,2238m2692,1862l3297,1862m1910,1862l2212,1862e" filled="false" stroked="true" strokeweight=".521638pt" strokecolor="#f1f1f1">
              <v:path arrowok="t"/>
              <v:stroke dashstyle="solid"/>
            </v:shape>
            <v:rect style="position:absolute;left:2212;top:2373;width:480;height:251" filled="true" fillcolor="#1f487c" stroked="false">
              <v:fill type="solid"/>
            </v:rect>
            <v:rect style="position:absolute;left:2212;top:2373;width:480;height:251" filled="false" stroked="true" strokeweight=".521602pt" strokecolor="#1f487c">
              <v:stroke dashstyle="solid"/>
            </v:rect>
            <v:rect style="position:absolute;left:2212;top:1590;width:480;height:783" filled="true" fillcolor="#009544" stroked="false">
              <v:fill type="solid"/>
            </v:rect>
            <v:shape style="position:absolute;left:2691;top:1476;width:2775;height:387" coordorigin="2692,1476" coordsize="2775,387" path="m3777,1862l4381,1862m2692,1476l5466,1476e" filled="false" stroked="true" strokeweight=".521638pt" strokecolor="#f1f1f1">
              <v:path arrowok="t"/>
              <v:stroke dashstyle="solid"/>
            </v:shape>
            <v:rect style="position:absolute;left:3296;top:2352;width:480;height:272" filled="true" fillcolor="#1f487c" stroked="false">
              <v:fill type="solid"/>
            </v:rect>
            <v:rect style="position:absolute;left:3296;top:2352;width:480;height:272" filled="false" stroked="true" strokeweight=".521597pt" strokecolor="#1f487c">
              <v:stroke dashstyle="solid"/>
            </v:rect>
            <v:rect style="position:absolute;left:3296;top:1507;width:480;height:846" filled="true" fillcolor="#009544" stroked="false">
              <v:fill type="solid"/>
            </v:rect>
            <v:line style="position:absolute" from="4861,1862" to="5466,1862" stroked="true" strokeweight=".521638pt" strokecolor="#f1f1f1">
              <v:stroke dashstyle="solid"/>
            </v:line>
            <v:rect style="position:absolute;left:4381;top:1507;width:480;height:825" filled="true" fillcolor="#009544" stroked="false">
              <v:fill type="solid"/>
            </v:rect>
            <v:shape style="position:absolute;left:5945;top:1476;width:605;height:387" coordorigin="5946,1476" coordsize="605,387" path="m5946,1862l6551,1862m5946,1476l6551,1476e" filled="false" stroked="true" strokeweight=".521638pt" strokecolor="#f1f1f1">
              <v:path arrowok="t"/>
              <v:stroke dashstyle="solid"/>
            </v:shape>
            <v:rect style="position:absolute;left:5466;top:1434;width:480;height:877" filled="true" fillcolor="#009544" stroked="false">
              <v:fill type="solid"/>
            </v:rect>
            <v:shape style="position:absolute;left:7030;top:1476;width:303;height:387" coordorigin="7031,1476" coordsize="303,387" path="m7031,1862l7333,1862m7031,1476l7333,1476e" filled="false" stroked="true" strokeweight=".521638pt" strokecolor="#f1f1f1">
              <v:path arrowok="t"/>
              <v:stroke dashstyle="solid"/>
            </v:shape>
            <v:rect style="position:absolute;left:6550;top:1423;width:480;height:877" filled="true" fillcolor="#009544" stroked="false">
              <v:fill type="solid"/>
            </v:rect>
            <v:shape style="position:absolute;left:34745;top:-265656;width:553529;height:109029" coordorigin="34745,-265656" coordsize="553529,109029" path="m2212,1591l2692,1591,2692,2373,2212,2373,2212,1591xm3297,1507l3777,1507,3777,2352,3297,2352,3297,1507xm4381,1507l4861,1507,4861,2332,4381,2332,4381,1507xm5466,1434l5946,1434,5946,2311,5466,2311,5466,1434xm6551,1424l7031,1424,7031,2300,6551,2300,6551,1424xe" filled="false" stroked="true" strokeweight=".52156pt" strokecolor="#009544">
              <v:path arrowok="t"/>
              <v:stroke dashstyle="solid"/>
            </v:shape>
            <v:shape style="position:absolute;left:2212;top:1413;width:3734;height:178" coordorigin="2212,1414" coordsize="3734,178" path="m2692,1570l2212,1570,2212,1591,2692,1591,2692,1570m3777,1487l3297,1487,3297,1507,3777,1507,3777,1487m4861,1487l4381,1487,4381,1507,4861,1507,4861,1487m5946,1414l5466,1414,5466,1434,5946,1434,5946,1414e" filled="true" fillcolor="#e16b09" stroked="false">
              <v:path arrowok="t"/>
              <v:fill type="solid"/>
            </v:shape>
            <v:line style="position:absolute" from="6551,1419" to="7031,1419" stroked="true" strokeweight=".521638pt" strokecolor="#e16b09">
              <v:stroke dashstyle="solid"/>
            </v:line>
            <v:shape style="position:absolute;left:2206;top:1408;width:4829;height:188" coordorigin="2207,1408" coordsize="4829,188" path="m2697,1565l2207,1565,2207,1596,2697,1596,2697,1565m3782,1481l3292,1481,3292,1513,3782,1513,3782,1481m4866,1481l4376,1481,4376,1513,4866,1513,4866,1481m5951,1408l5461,1408,5461,1440,5951,1440,5951,1408m7036,1408l6546,1408,6546,1429,7036,1429,7036,1408e" filled="true" fillcolor="#e16b09" stroked="false">
              <v:path arrowok="t"/>
              <v:fill type="solid"/>
            </v:shape>
            <v:line style="position:absolute" from="2212,1565" to="2692,1565" stroked="true" strokeweight=".52164pt" strokecolor="#e08ad6">
              <v:stroke dashstyle="solid"/>
            </v:line>
            <v:shape style="position:absolute;left:3296;top:1481;width:1565;height:2" coordorigin="3297,1481" coordsize="1565,0" path="m3297,1481l3777,1481m4381,1481l4861,1481e" filled="false" stroked="true" strokeweight=".52164pt" strokecolor="#e08ad6">
              <v:path arrowok="t"/>
              <v:stroke dashstyle="solid"/>
            </v:shape>
            <v:shape style="position:absolute;left:5466;top:1382;width:1565;height:32" coordorigin="5466,1382" coordsize="1565,32" path="m5946,1393l5466,1393,5466,1413,5946,1413,5946,1393m7031,1382l6551,1382,6551,1413,7031,1413,7031,1382e" filled="true" fillcolor="#e08ad6" stroked="false">
              <v:path arrowok="t"/>
              <v:fill type="solid"/>
            </v:shape>
            <v:shape style="position:absolute;left:2206;top:1387;width:3745;height:188" coordorigin="2207,1387" coordsize="3745,188" path="m2697,1554l2207,1554,2207,1575,2697,1575,2697,1554m3782,1471l3292,1471,3292,1492,3782,1492,3782,1471m4866,1471l4376,1471,4376,1492,4866,1492,4866,1471m5951,1387l5461,1387,5461,1419,5951,1419,5951,1387e" filled="true" fillcolor="#e08ad6" stroked="false">
              <v:path arrowok="t"/>
              <v:fill type="solid"/>
            </v:shape>
            <v:rect style="position:absolute;left:6550;top:1382;width:480;height:32" filled="false" stroked="true" strokeweight=".521639pt" strokecolor="#e08ad6">
              <v:stroke dashstyle="solid"/>
            </v:rect>
            <v:line style="position:absolute" from="1910,1476" to="2212,1476" stroked="true" strokeweight=".521638pt" strokecolor="#f1f1f1">
              <v:stroke dashstyle="solid"/>
            </v:line>
            <v:shape style="position:absolute;left:2212;top:1455;width:2650;height:105" coordorigin="2212,1455" coordsize="2650,105" path="m2692,1539l2212,1539,2212,1560,2692,1560,2692,1539m3777,1455l3297,1455,3297,1476,3777,1476,3777,1455m4861,1455l4381,1455,4381,1476,4861,1476,4861,1455e" filled="true" fillcolor="#8063a1" stroked="false">
              <v:path arrowok="t"/>
              <v:fill type="solid"/>
            </v:shape>
            <v:line style="position:absolute" from="5466,1387" to="5946,1387" stroked="true" strokeweight=".52164pt" strokecolor="#8063a1">
              <v:stroke dashstyle="solid"/>
            </v:line>
            <v:rect style="position:absolute;left:6550;top:1361;width:480;height:21" filled="true" fillcolor="#8063a1" stroked="false">
              <v:fill type="solid"/>
            </v:rect>
            <v:shape style="position:absolute;left:2206;top:1356;width:4829;height:209" coordorigin="2207,1356" coordsize="4829,209" path="m2697,1533l2207,1533,2207,1565,2697,1565,2697,1533m3782,1450l3292,1450,3292,1481,3782,1481,3782,1450m4866,1450l4376,1450,4376,1481,4866,1481,4866,1450m5951,1377l5461,1377,5461,1398,5951,1398,5951,1377m7036,1356l6546,1356,6546,1387,7036,1387,7036,1356e" filled="true" fillcolor="#8063a1" stroked="false">
              <v:path arrowok="t"/>
              <v:fill type="solid"/>
            </v:shape>
            <v:shape style="position:absolute;left:2212;top:1309;width:4819;height:230" coordorigin="2212,1309" coordsize="4819,230" path="m2692,1518l2212,1518,2212,1539,2692,1539,2692,1518m3777,1434l3297,1434,3297,1455,3777,1455,3777,1434m4861,1434l4381,1434,4381,1455,4861,1455,4861,1434m5946,1351l5466,1351,5466,1382,5946,1382,5946,1351m7031,1309l6551,1309,6551,1361,7031,1361,7031,1309e" filled="true" fillcolor="#c0504d" stroked="false">
              <v:path arrowok="t"/>
              <v:fill type="solid"/>
            </v:shape>
            <v:shape style="position:absolute;left:2206;top:1429;width:2660;height:115" coordorigin="2207,1429" coordsize="2660,115" path="m2697,1513l2207,1513,2207,1544,2697,1544,2697,1513m3782,1429l3292,1429,3292,1460,3782,1460,3782,1429m4866,1429l4376,1429,4376,1460,4866,1460,4866,1429e" filled="true" fillcolor="#c0504d" stroked="false">
              <v:path arrowok="t"/>
              <v:fill type="solid"/>
            </v:shape>
            <v:shape style="position:absolute;left:433070;top:-161828;width:190500;height:8890" coordorigin="433070,-161827" coordsize="190500,8890" path="m5466,1351l5946,1351,5946,1382,5466,1382,5466,1351xm6551,1309l7031,1309,7031,1361,6551,1361,6551,1309xe" filled="false" stroked="true" strokeweight=".521557pt" strokecolor="#c0504d">
              <v:path arrowok="t"/>
              <v:stroke dashstyle="solid"/>
            </v:shape>
            <v:shape style="position:absolute;left:1909;top:1090;width:1388;height:2" coordorigin="1910,1090" coordsize="1388,0" path="m2692,1090l3297,1090m1910,1090l2212,1090e" filled="false" stroked="true" strokeweight=".521638pt" strokecolor="#f1f1f1">
              <v:path arrowok="t"/>
              <v:stroke dashstyle="solid"/>
            </v:shape>
            <v:rect style="position:absolute;left:2212;top:944;width:480;height:574" filled="true" fillcolor="#f8a763" stroked="false">
              <v:fill type="solid"/>
            </v:rect>
            <v:shape style="position:absolute;left:1909;top:704;width:2472;height:387" coordorigin="1910,704" coordsize="2472,387" path="m3777,1090l4381,1090m3777,704l4381,704m1910,704l3297,704e" filled="false" stroked="true" strokeweight=".521638pt" strokecolor="#f1f1f1">
              <v:path arrowok="t"/>
              <v:stroke dashstyle="solid"/>
            </v:shape>
            <v:rect style="position:absolute;left:3296;top:610;width:480;height:825" filled="true" fillcolor="#f8a763" stroked="false">
              <v:fill type="solid"/>
            </v:rect>
            <v:shape style="position:absolute;left:4861;top:704;width:605;height:387" coordorigin="4861,704" coordsize="605,387" path="m4861,1090l5466,1090m4861,704l5466,704e" filled="false" stroked="true" strokeweight=".521638pt" strokecolor="#f1f1f1">
              <v:path arrowok="t"/>
              <v:stroke dashstyle="solid"/>
            </v:shape>
            <v:rect style="position:absolute;left:4381;top:589;width:480;height:846" filled="true" fillcolor="#f8a763" stroked="false">
              <v:fill type="solid"/>
            </v:rect>
            <v:shape style="position:absolute;left:5945;top:704;width:605;height:387" coordorigin="5946,704" coordsize="605,387" path="m5946,1090l6551,1090m5946,704l6551,704e" filled="false" stroked="true" strokeweight=".521638pt" strokecolor="#f1f1f1">
              <v:path arrowok="t"/>
              <v:stroke dashstyle="solid"/>
            </v:shape>
            <v:rect style="position:absolute;left:5466;top:432;width:480;height:919" filled="true" fillcolor="#f8a763" stroked="false">
              <v:fill type="solid"/>
            </v:rect>
            <v:shape style="position:absolute;left:7030;top:704;width:303;height:387" coordorigin="7031,704" coordsize="303,387" path="m7031,1090l7333,1090m7031,704l7333,704e" filled="false" stroked="true" strokeweight=".521638pt" strokecolor="#f1f1f1">
              <v:path arrowok="t"/>
              <v:stroke dashstyle="solid"/>
            </v:shape>
            <v:rect style="position:absolute;left:6550;top:453;width:480;height:856" filled="true" fillcolor="#f8a763" stroked="false">
              <v:fill type="solid"/>
            </v:rect>
            <v:shape style="position:absolute;left:36830;top:-178338;width:586740;height:132080" coordorigin="36830,-178337" coordsize="586740,132080" path="m2212,944l2692,944,2692,1518,2212,1518,2212,944xm3297,610l3777,610,3777,1434,3297,1434,3297,610xm4381,589l4861,589,4861,1434,4381,1434,4381,589xm5466,433l5946,433,5946,1351,5466,1351,5466,433xm6551,454l7031,454,7031,1309,6551,1309,6551,454xe" filled="false" stroked="true" strokeweight=".521557pt" strokecolor="#f8a763">
              <v:path arrowok="t"/>
              <v:stroke dashstyle="solid"/>
            </v:shape>
            <v:shape style="position:absolute;left:2212;top:537;width:2650;height:407" coordorigin="2212,537" coordsize="2650,407" path="m2692,892l2212,892,2212,944,2692,944,2692,892m3777,558l3297,558,3297,610,3777,610,3777,558m4861,537l4381,537,4381,589,4861,589,4861,537e" filled="true" fillcolor="#ecb8e7" stroked="false">
              <v:path arrowok="t"/>
              <v:fill type="solid"/>
            </v:shape>
            <v:shape style="position:absolute;left:1909;top:318;width:4642;height:2" coordorigin="1910,318" coordsize="4642,0" path="m5946,318l6551,318m1910,318l5466,318e" filled="false" stroked="true" strokeweight=".521638pt" strokecolor="#f1f1f1">
              <v:path arrowok="t"/>
              <v:stroke dashstyle="solid"/>
            </v:shape>
            <v:shape style="position:absolute;left:5466;top:370;width:1565;height:84" coordorigin="5466,370" coordsize="1565,84" path="m5946,370l5466,370,5466,433,5946,433,5946,370m7031,402l6551,402,6551,454,7031,454,7031,402e" filled="true" fillcolor="#ecb8e7" stroked="false">
              <v:path arrowok="t"/>
              <v:fill type="solid"/>
            </v:shape>
            <v:shape style="position:absolute;left:37839;top:-111863;width:602816;height:71764" coordorigin="37839,-111862" coordsize="602816,71764" path="m2212,892l2692,892,2692,944,2212,944,2212,892xm3297,558l3777,558,3777,610,3297,610,3297,558xm4381,537l4861,537,4861,589,4381,589,4381,537xm5466,370l5946,370,5946,433,5466,433,5466,370xm6551,402l7031,402,7031,454,6551,454,6551,402xe" filled="false" stroked="true" strokeweight=".521561pt" strokecolor="#ecb8e7">
              <v:path arrowok="t"/>
              <v:stroke dashstyle="solid"/>
            </v:shape>
            <v:shape style="position:absolute;left:2212;top:276;width:3734;height:616" coordorigin="2212,276" coordsize="3734,616" path="m2692,788l2212,788,2212,892,2692,892,2692,788m3777,454l3297,454,3297,558,3777,558,3777,454m4861,422l4381,422,4381,537,4861,537,4861,422m5946,276l5466,276,5466,370,5946,370,5946,276e" filled="true" fillcolor="#938953" stroked="false">
              <v:path arrowok="t"/>
              <v:fill type="solid"/>
            </v:shape>
            <v:line style="position:absolute" from="7031,318" to="7333,318" stroked="true" strokeweight=".521638pt" strokecolor="#f1f1f1">
              <v:stroke dashstyle="solid"/>
            </v:line>
            <v:rect style="position:absolute;left:6550;top:265;width:480;height:136" filled="true" fillcolor="#938953" stroked="false">
              <v:fill type="solid"/>
            </v:rect>
            <v:shape style="position:absolute;left:37839;top:-105339;width:602816;height:78288" coordorigin="37839,-105338" coordsize="602816,78288" path="m2212,788l2692,788,2692,892,2212,892,2212,788xm3297,454l3777,454,3777,558,3297,558,3297,454xm4381,422l4861,422,4861,537,4381,537,4381,422xm5466,276l5946,276,5946,370,5466,370,5466,276xm6551,266l7031,266,7031,402,6551,402,6551,266xe" filled="false" stroked="true" strokeweight=".521561pt" strokecolor="#938953">
              <v:path arrowok="t"/>
              <v:stroke dashstyle="solid"/>
            </v:shape>
            <v:line style="position:absolute" from="1910,-68" to="7333,-68" stroked="true" strokeweight=".521638pt" strokecolor="#f1f1f1">
              <v:stroke dashstyle="solid"/>
            </v:line>
            <v:line style="position:absolute" from="1910,2624" to="1910,-68" stroked="true" strokeweight=".521475pt" strokecolor="#bebebe">
              <v:stroke dashstyle="solid"/>
            </v:line>
            <v:shape style="position:absolute;left:0;top:14702;width:12533;height:646698" coordorigin="0,14703" coordsize="12533,646698" path="m1858,2624l1910,2624m1858,2238l1910,2238m1858,1862l1910,1862m1858,1476l1910,1476m1858,1090l1910,1090m1858,704l1910,704m1858,318l1910,318m1858,-68l1910,-68e" filled="false" stroked="true" strokeweight=".521557pt" strokecolor="#bebebe">
              <v:path arrowok="t"/>
              <v:stroke dashstyle="solid"/>
            </v:shape>
            <v:shape style="position:absolute;left:0;top:8436;width:651711;height:6267" coordorigin="0,8436" coordsize="651711,6267" path="m1910,2624l7333,2624m1910,2624l1910,2676m2994,2624l2994,2676m4079,2624l4079,2676m5164,2624l5164,2676m6248,2624l6248,2676m7333,2624l7333,2676e" filled="false" stroked="true" strokeweight=".521552pt" strokecolor="#bebebe">
              <v:path arrowok="t"/>
              <v:stroke dashstyle="solid"/>
            </v:shape>
            <w10:wrap type="none"/>
          </v:group>
        </w:pict>
      </w:r>
      <w:r>
        <w:rPr>
          <w:rFonts w:ascii="Calibri"/>
          <w:sz w:val="14"/>
        </w:rPr>
        <w:t>Class key:</w:t>
      </w:r>
    </w:p>
    <w:p>
      <w:pPr>
        <w:spacing w:after="0"/>
        <w:jc w:val="left"/>
        <w:rPr>
          <w:rFonts w:ascii="Calibri"/>
          <w:sz w:val="14"/>
        </w:rPr>
        <w:sectPr>
          <w:type w:val="continuous"/>
          <w:pgSz w:w="11910" w:h="16850"/>
          <w:pgMar w:top="1600" w:bottom="280" w:left="120" w:right="0"/>
          <w:cols w:num="2" w:equalWidth="0">
            <w:col w:w="1689" w:space="4694"/>
            <w:col w:w="5407"/>
          </w:cols>
        </w:sectPr>
      </w:pPr>
    </w:p>
    <w:p>
      <w:pPr>
        <w:pStyle w:val="BodyText"/>
        <w:spacing w:before="4"/>
        <w:rPr>
          <w:rFonts w:ascii="Calibri"/>
          <w:sz w:val="10"/>
        </w:rPr>
      </w:pPr>
    </w:p>
    <w:p>
      <w:pPr>
        <w:spacing w:before="75"/>
        <w:ind w:left="1141" w:right="0" w:firstLine="0"/>
        <w:jc w:val="left"/>
        <w:rPr>
          <w:rFonts w:ascii="Calibri"/>
          <w:sz w:val="15"/>
        </w:rPr>
      </w:pPr>
      <w:r>
        <w:rPr/>
        <w:pict>
          <v:group style="position:absolute;margin-left:381.266266pt;margin-top:-15.21415pt;width:112.45pt;height:112.55pt;mso-position-horizontal-relative:page;mso-position-vertical-relative:paragraph;z-index:251925504" coordorigin="7625,-304" coordsize="2249,2251">
            <v:rect style="position:absolute;left:7625;top:-305;width:355;height:187" filled="true" fillcolor="#1f487c" stroked="false">
              <v:fill type="solid"/>
            </v:rect>
            <v:rect style="position:absolute;left:7625;top:-118;width:355;height:187" filled="true" fillcolor="#009544" stroked="false">
              <v:fill type="solid"/>
            </v:rect>
            <v:rect style="position:absolute;left:7625;top:69;width:355;height:187" filled="true" fillcolor="#e16b09" stroked="false">
              <v:fill type="solid"/>
            </v:rect>
            <v:rect style="position:absolute;left:7625;top:256;width:355;height:187" filled="true" fillcolor="#e08ad6" stroked="false">
              <v:fill type="solid"/>
            </v:rect>
            <v:rect style="position:absolute;left:7625;top:442;width:355;height:187" filled="true" fillcolor="#8063a1" stroked="false">
              <v:fill type="solid"/>
            </v:rect>
            <v:rect style="position:absolute;left:7625;top:629;width:355;height:187" filled="true" fillcolor="#c0504d" stroked="false">
              <v:fill type="solid"/>
            </v:rect>
            <v:rect style="position:absolute;left:7625;top:816;width:355;height:187" filled="true" fillcolor="#f8a763" stroked="false">
              <v:fill type="solid"/>
            </v:rect>
            <v:rect style="position:absolute;left:7625;top:1003;width:355;height:187" filled="true" fillcolor="#ecb8e7" stroked="false">
              <v:fill type="solid"/>
            </v:rect>
            <v:rect style="position:absolute;left:7625;top:1190;width:355;height:187" filled="true" fillcolor="#938953" stroked="false">
              <v:fill type="solid"/>
            </v:rect>
            <v:rect style="position:absolute;left:7625;top:1376;width:355;height:187" filled="true" fillcolor="#ffd600" stroked="false">
              <v:fill type="solid"/>
            </v:rect>
            <v:rect style="position:absolute;left:7625;top:1563;width:355;height:187" filled="true" fillcolor="#000000" stroked="false">
              <v:fill type="solid"/>
            </v:rect>
            <v:rect style="position:absolute;left:7625;top:1750;width:355;height:197" filled="true" fillcolor="#ffeb8f" stroked="false">
              <v:fill type="solid"/>
            </v:rect>
            <v:line style="position:absolute" from="7625,1942" to="9874,1942" stroked="true" strokeweight=".467445pt" strokecolor="#ffffff">
              <v:stroke dashstyle="solid"/>
            </v:line>
            <v:line style="position:absolute" from="7625,-300" to="7980,-300" stroked="true" strokeweight=".466978pt" strokecolor="#ffffff">
              <v:stroke dashstyle="solid"/>
            </v:line>
            <v:line style="position:absolute" from="7625,-113" to="7980,-113" stroked="true" strokeweight=".466978pt" strokecolor="#ffffff">
              <v:stroke dashstyle="solid"/>
            </v:line>
            <v:shape style="position:absolute;left:7625;top:73;width:355;height:187" coordorigin="7625,74" coordsize="355,187" path="m7625,74l7980,74m7625,261l7980,261e" filled="false" stroked="true" strokeweight=".466978pt" strokecolor="#ffffff">
              <v:path arrowok="t"/>
              <v:stroke dashstyle="solid"/>
            </v:shape>
            <v:line style="position:absolute" from="7625,448" to="7980,448" stroked="true" strokeweight=".466978pt" strokecolor="#ffffff">
              <v:stroke dashstyle="solid"/>
            </v:line>
            <v:line style="position:absolute" from="7625,634" to="7980,634" stroked="true" strokeweight=".467445pt" strokecolor="#ffffff">
              <v:stroke dashstyle="solid"/>
            </v:line>
            <v:line style="position:absolute" from="7625,821" to="7980,821" stroked="true" strokeweight=".466978pt" strokecolor="#ffffff">
              <v:stroke dashstyle="solid"/>
            </v:line>
            <v:shape style="position:absolute;left:7625;top:1007;width:355;height:187" coordorigin="7625,1008" coordsize="355,187" path="m7625,1008l7980,1008m7625,1195l7980,1195e" filled="false" stroked="true" strokeweight=".466978pt" strokecolor="#ffffff">
              <v:path arrowok="t"/>
              <v:stroke dashstyle="solid"/>
            </v:shape>
            <v:line style="position:absolute" from="7625,1382" to="7980,1382" stroked="true" strokeweight=".466978pt" strokecolor="#ffffff">
              <v:stroke dashstyle="solid"/>
            </v:line>
            <v:line style="position:absolute" from="7625,1568" to="7980,1568" stroked="true" strokeweight=".466978pt" strokecolor="#ffffff">
              <v:stroke dashstyle="solid"/>
            </v:line>
            <v:line style="position:absolute" from="7625,1755" to="7980,1755" stroked="true" strokeweight=".466978pt" strokecolor="#ffffff">
              <v:stroke dashstyle="solid"/>
            </v:line>
            <v:line style="position:absolute" from="7625,1937" to="7980,1937" stroked="true" strokeweight="0pt" strokecolor="#ffffff">
              <v:stroke dashstyle="solid"/>
            </v:line>
            <v:line style="position:absolute" from="7625,1942" to="7980,1942" stroked="true" strokeweight=".466978pt" strokecolor="#ffffff">
              <v:stroke dashstyle="solid"/>
            </v:line>
            <v:line style="position:absolute" from="7970,-295" to="7970,1947" stroked="true" strokeweight="0pt" strokecolor="#ffffff">
              <v:stroke dashstyle="solid"/>
            </v:line>
            <v:line style="position:absolute" from="7975,-295" to="7975,1947" stroked="true" strokeweight=".466434pt" strokecolor="#ffffff">
              <v:stroke dashstyle="solid"/>
            </v:line>
            <v:shape style="position:absolute;left:7625;top:-305;width:2249;height:2251" type="#_x0000_t202" filled="false" stroked="false">
              <v:textbox inset="0,0,0,0">
                <w:txbxContent>
                  <w:p>
                    <w:pPr>
                      <w:numPr>
                        <w:ilvl w:val="0"/>
                        <w:numId w:val="28"/>
                      </w:numPr>
                      <w:tabs>
                        <w:tab w:pos="467" w:val="left" w:leader="none"/>
                      </w:tabs>
                      <w:spacing w:before="16"/>
                      <w:ind w:left="466" w:right="0" w:hanging="94"/>
                      <w:jc w:val="left"/>
                      <w:rPr>
                        <w:rFonts w:ascii="Calibri"/>
                        <w:sz w:val="14"/>
                      </w:rPr>
                    </w:pPr>
                    <w:r>
                      <w:rPr>
                        <w:rFonts w:ascii="Calibri"/>
                        <w:sz w:val="14"/>
                      </w:rPr>
                      <w:t>Studying</w:t>
                    </w:r>
                  </w:p>
                  <w:p>
                    <w:pPr>
                      <w:numPr>
                        <w:ilvl w:val="0"/>
                        <w:numId w:val="28"/>
                      </w:numPr>
                      <w:tabs>
                        <w:tab w:pos="467" w:val="left" w:leader="none"/>
                      </w:tabs>
                      <w:spacing w:before="16"/>
                      <w:ind w:left="466" w:right="0" w:hanging="94"/>
                      <w:jc w:val="left"/>
                      <w:rPr>
                        <w:rFonts w:ascii="Calibri"/>
                        <w:sz w:val="14"/>
                      </w:rPr>
                    </w:pPr>
                    <w:r>
                      <w:rPr>
                        <w:rFonts w:ascii="Calibri"/>
                        <w:sz w:val="14"/>
                      </w:rPr>
                      <w:t>Working</w:t>
                    </w:r>
                    <w:r>
                      <w:rPr>
                        <w:rFonts w:ascii="Calibri"/>
                        <w:spacing w:val="-5"/>
                        <w:sz w:val="14"/>
                      </w:rPr>
                      <w:t> </w:t>
                    </w:r>
                    <w:r>
                      <w:rPr>
                        <w:rFonts w:ascii="Calibri"/>
                        <w:sz w:val="14"/>
                      </w:rPr>
                      <w:t>Age</w:t>
                    </w:r>
                  </w:p>
                  <w:p>
                    <w:pPr>
                      <w:numPr>
                        <w:ilvl w:val="0"/>
                        <w:numId w:val="28"/>
                      </w:numPr>
                      <w:tabs>
                        <w:tab w:pos="467" w:val="left" w:leader="none"/>
                      </w:tabs>
                      <w:spacing w:before="15"/>
                      <w:ind w:left="466" w:right="0" w:hanging="94"/>
                      <w:jc w:val="left"/>
                      <w:rPr>
                        <w:rFonts w:ascii="Calibri"/>
                        <w:sz w:val="14"/>
                      </w:rPr>
                    </w:pPr>
                    <w:r>
                      <w:rPr>
                        <w:rFonts w:ascii="Calibri"/>
                        <w:sz w:val="14"/>
                      </w:rPr>
                      <w:t>Parents</w:t>
                    </w:r>
                  </w:p>
                  <w:p>
                    <w:pPr>
                      <w:numPr>
                        <w:ilvl w:val="0"/>
                        <w:numId w:val="28"/>
                      </w:numPr>
                      <w:tabs>
                        <w:tab w:pos="467" w:val="left" w:leader="none"/>
                      </w:tabs>
                      <w:spacing w:before="16"/>
                      <w:ind w:left="466" w:right="0" w:hanging="94"/>
                      <w:jc w:val="left"/>
                      <w:rPr>
                        <w:rFonts w:ascii="Calibri"/>
                        <w:sz w:val="14"/>
                      </w:rPr>
                    </w:pPr>
                    <w:r>
                      <w:rPr>
                        <w:rFonts w:ascii="Calibri"/>
                        <w:sz w:val="14"/>
                      </w:rPr>
                      <w:t>Carers</w:t>
                    </w:r>
                  </w:p>
                  <w:p>
                    <w:pPr>
                      <w:numPr>
                        <w:ilvl w:val="0"/>
                        <w:numId w:val="28"/>
                      </w:numPr>
                      <w:tabs>
                        <w:tab w:pos="467" w:val="left" w:leader="none"/>
                      </w:tabs>
                      <w:spacing w:before="16"/>
                      <w:ind w:left="466" w:right="0" w:hanging="94"/>
                      <w:jc w:val="left"/>
                      <w:rPr>
                        <w:rFonts w:ascii="Calibri"/>
                        <w:sz w:val="14"/>
                      </w:rPr>
                    </w:pPr>
                    <w:r>
                      <w:rPr>
                        <w:rFonts w:ascii="Calibri"/>
                        <w:sz w:val="14"/>
                      </w:rPr>
                      <w:t>Disability</w:t>
                    </w:r>
                    <w:r>
                      <w:rPr>
                        <w:rFonts w:ascii="Calibri"/>
                        <w:spacing w:val="-2"/>
                        <w:sz w:val="14"/>
                      </w:rPr>
                      <w:t> </w:t>
                    </w:r>
                    <w:r>
                      <w:rPr>
                        <w:rFonts w:ascii="Calibri"/>
                        <w:sz w:val="14"/>
                      </w:rPr>
                      <w:t>Support</w:t>
                    </w:r>
                  </w:p>
                  <w:p>
                    <w:pPr>
                      <w:numPr>
                        <w:ilvl w:val="0"/>
                        <w:numId w:val="28"/>
                      </w:numPr>
                      <w:tabs>
                        <w:tab w:pos="467" w:val="left" w:leader="none"/>
                      </w:tabs>
                      <w:spacing w:line="261" w:lineRule="auto" w:before="16"/>
                      <w:ind w:left="373" w:right="998" w:firstLine="0"/>
                      <w:jc w:val="left"/>
                      <w:rPr>
                        <w:rFonts w:ascii="Calibri"/>
                        <w:sz w:val="14"/>
                      </w:rPr>
                    </w:pPr>
                    <w:r>
                      <w:rPr>
                        <w:rFonts w:ascii="Calibri"/>
                        <w:sz w:val="14"/>
                      </w:rPr>
                      <w:t>Pension Age 7 Non IS Family 8 Non IS Carer 9 Non IS</w:t>
                    </w:r>
                    <w:r>
                      <w:rPr>
                        <w:rFonts w:ascii="Calibri"/>
                        <w:spacing w:val="-12"/>
                        <w:sz w:val="14"/>
                      </w:rPr>
                      <w:t> </w:t>
                    </w:r>
                    <w:r>
                      <w:rPr>
                        <w:rFonts w:ascii="Calibri"/>
                        <w:sz w:val="14"/>
                      </w:rPr>
                      <w:t>Other</w:t>
                    </w:r>
                  </w:p>
                  <w:p>
                    <w:pPr>
                      <w:spacing w:line="261" w:lineRule="auto" w:before="2"/>
                      <w:ind w:left="373" w:right="41" w:firstLine="0"/>
                      <w:jc w:val="left"/>
                      <w:rPr>
                        <w:rFonts w:ascii="Calibri"/>
                        <w:sz w:val="14"/>
                      </w:rPr>
                    </w:pPr>
                    <w:r>
                      <w:rPr>
                        <w:rFonts w:ascii="Calibri"/>
                        <w:sz w:val="14"/>
                      </w:rPr>
                      <w:t>10 Previous Welfare Recipient 11 Dead</w:t>
                    </w:r>
                  </w:p>
                  <w:p>
                    <w:pPr>
                      <w:spacing w:before="1"/>
                      <w:ind w:left="373" w:right="0" w:firstLine="0"/>
                      <w:jc w:val="left"/>
                      <w:rPr>
                        <w:rFonts w:ascii="Calibri"/>
                        <w:sz w:val="14"/>
                      </w:rPr>
                    </w:pPr>
                    <w:r>
                      <w:rPr>
                        <w:rFonts w:ascii="Calibri"/>
                        <w:sz w:val="14"/>
                      </w:rPr>
                      <w:t>12 Rest of Aust. Population</w:t>
                    </w:r>
                  </w:p>
                </w:txbxContent>
              </v:textbox>
              <w10:wrap type="none"/>
            </v:shape>
            <w10:wrap type="none"/>
          </v:group>
        </w:pict>
      </w:r>
      <w:r>
        <w:rPr>
          <w:rFonts w:ascii="Calibri"/>
          <w:color w:val="585858"/>
          <w:w w:val="105"/>
          <w:sz w:val="15"/>
        </w:rPr>
        <w:t>500,000</w:t>
      </w:r>
    </w:p>
    <w:p>
      <w:pPr>
        <w:pStyle w:val="BodyText"/>
        <w:spacing w:before="4"/>
        <w:rPr>
          <w:rFonts w:ascii="Calibri"/>
          <w:sz w:val="10"/>
        </w:rPr>
      </w:pPr>
    </w:p>
    <w:p>
      <w:pPr>
        <w:spacing w:before="75"/>
        <w:ind w:left="1141" w:right="0" w:firstLine="0"/>
        <w:jc w:val="left"/>
        <w:rPr>
          <w:rFonts w:ascii="Calibri"/>
          <w:sz w:val="15"/>
        </w:rPr>
      </w:pPr>
      <w:r>
        <w:rPr>
          <w:rFonts w:ascii="Calibri"/>
          <w:color w:val="585858"/>
          <w:w w:val="105"/>
          <w:sz w:val="15"/>
        </w:rPr>
        <w:t>400,000</w:t>
      </w:r>
    </w:p>
    <w:p>
      <w:pPr>
        <w:pStyle w:val="BodyText"/>
        <w:spacing w:before="4"/>
        <w:rPr>
          <w:rFonts w:ascii="Calibri"/>
          <w:sz w:val="10"/>
        </w:rPr>
      </w:pPr>
    </w:p>
    <w:p>
      <w:pPr>
        <w:spacing w:before="75"/>
        <w:ind w:left="1141" w:right="0" w:firstLine="0"/>
        <w:jc w:val="left"/>
        <w:rPr>
          <w:rFonts w:ascii="Calibri"/>
          <w:sz w:val="15"/>
        </w:rPr>
      </w:pPr>
      <w:r>
        <w:rPr>
          <w:rFonts w:ascii="Calibri"/>
          <w:color w:val="585858"/>
          <w:w w:val="105"/>
          <w:sz w:val="15"/>
        </w:rPr>
        <w:t>300,000</w:t>
      </w:r>
    </w:p>
    <w:p>
      <w:pPr>
        <w:pStyle w:val="BodyText"/>
        <w:spacing w:before="4"/>
        <w:rPr>
          <w:rFonts w:ascii="Calibri"/>
          <w:sz w:val="10"/>
        </w:rPr>
      </w:pPr>
    </w:p>
    <w:p>
      <w:pPr>
        <w:spacing w:before="75"/>
        <w:ind w:left="1141" w:right="0" w:firstLine="0"/>
        <w:jc w:val="left"/>
        <w:rPr>
          <w:rFonts w:ascii="Calibri"/>
          <w:sz w:val="15"/>
        </w:rPr>
      </w:pPr>
      <w:r>
        <w:rPr>
          <w:rFonts w:ascii="Calibri"/>
          <w:color w:val="585858"/>
          <w:w w:val="105"/>
          <w:sz w:val="15"/>
        </w:rPr>
        <w:t>200,000</w:t>
      </w:r>
    </w:p>
    <w:p>
      <w:pPr>
        <w:pStyle w:val="BodyText"/>
        <w:spacing w:before="4"/>
        <w:rPr>
          <w:rFonts w:ascii="Calibri"/>
          <w:sz w:val="10"/>
        </w:rPr>
      </w:pPr>
    </w:p>
    <w:p>
      <w:pPr>
        <w:spacing w:before="75"/>
        <w:ind w:left="1141" w:right="0" w:firstLine="0"/>
        <w:jc w:val="left"/>
        <w:rPr>
          <w:rFonts w:ascii="Calibri"/>
          <w:sz w:val="15"/>
        </w:rPr>
      </w:pPr>
      <w:r>
        <w:rPr>
          <w:rFonts w:ascii="Calibri"/>
          <w:color w:val="585858"/>
          <w:w w:val="105"/>
          <w:sz w:val="15"/>
        </w:rPr>
        <w:t>100,000</w:t>
      </w:r>
    </w:p>
    <w:p>
      <w:pPr>
        <w:pStyle w:val="BodyText"/>
        <w:spacing w:before="4"/>
        <w:rPr>
          <w:rFonts w:ascii="Calibri"/>
          <w:sz w:val="10"/>
        </w:rPr>
      </w:pPr>
    </w:p>
    <w:p>
      <w:pPr>
        <w:spacing w:before="74"/>
        <w:ind w:left="0" w:right="8571" w:firstLine="0"/>
        <w:jc w:val="center"/>
        <w:rPr>
          <w:rFonts w:ascii="Calibri"/>
          <w:sz w:val="15"/>
        </w:rPr>
      </w:pPr>
      <w:r>
        <w:rPr>
          <w:rFonts w:ascii="Calibri"/>
          <w:color w:val="585858"/>
          <w:w w:val="104"/>
          <w:sz w:val="15"/>
        </w:rPr>
        <w:t>0</w:t>
      </w:r>
    </w:p>
    <w:p>
      <w:pPr>
        <w:tabs>
          <w:tab w:pos="1085" w:val="left" w:leader="none"/>
          <w:tab w:pos="2171" w:val="left" w:leader="none"/>
          <w:tab w:pos="3257" w:val="left" w:leader="none"/>
          <w:tab w:pos="4343" w:val="left" w:leader="none"/>
        </w:tabs>
        <w:spacing w:before="16"/>
        <w:ind w:left="0" w:right="2789" w:firstLine="0"/>
        <w:jc w:val="center"/>
        <w:rPr>
          <w:rFonts w:ascii="Calibri"/>
          <w:sz w:val="15"/>
        </w:rPr>
      </w:pPr>
      <w:r>
        <w:rPr>
          <w:rFonts w:ascii="Calibri"/>
          <w:color w:val="585858"/>
          <w:spacing w:val="-3"/>
          <w:w w:val="105"/>
          <w:sz w:val="15"/>
        </w:rPr>
        <w:t>2014</w:t>
        <w:tab/>
        <w:t>2015</w:t>
        <w:tab/>
        <w:t>2016</w:t>
        <w:tab/>
        <w:t>2017</w:t>
        <w:tab/>
      </w:r>
      <w:r>
        <w:rPr>
          <w:rFonts w:ascii="Calibri"/>
          <w:color w:val="585858"/>
          <w:spacing w:val="-5"/>
          <w:w w:val="105"/>
          <w:sz w:val="15"/>
        </w:rPr>
        <w:t>2018</w:t>
      </w:r>
    </w:p>
    <w:p>
      <w:pPr>
        <w:spacing w:before="44"/>
        <w:ind w:left="38" w:right="2789" w:firstLine="0"/>
        <w:jc w:val="center"/>
        <w:rPr>
          <w:rFonts w:ascii="Calibri"/>
          <w:b/>
          <w:sz w:val="15"/>
        </w:rPr>
      </w:pPr>
      <w:r>
        <w:rPr>
          <w:rFonts w:ascii="Calibri"/>
          <w:b/>
          <w:color w:val="585858"/>
          <w:w w:val="105"/>
          <w:sz w:val="15"/>
        </w:rPr>
        <w:t>Year Ending  30 June</w:t>
      </w:r>
    </w:p>
    <w:p>
      <w:pPr>
        <w:pStyle w:val="BodyText"/>
        <w:spacing w:before="184"/>
        <w:ind w:left="899" w:right="1132"/>
      </w:pPr>
      <w:r>
        <w:rPr>
          <w:color w:val="404040"/>
        </w:rPr>
        <w:t>When combined with the lower observed entrants into the system, this results in a general reduction in welfare usage across the population. This may in part be driven by unemployment rates which have been decreasing over this period.</w:t>
      </w:r>
    </w:p>
    <w:p>
      <w:pPr>
        <w:pStyle w:val="BodyText"/>
        <w:spacing w:before="121"/>
        <w:ind w:left="899" w:right="1098"/>
      </w:pPr>
      <w:r>
        <w:rPr>
          <w:color w:val="404040"/>
        </w:rPr>
        <w:t>The figure below presents the age and gender profile of exits observed over the last year. To help focus on the areas of greater interest we have removed deaths from the charts as these would otherwise dominate the numbers at the higher ages.</w:t>
      </w:r>
    </w:p>
    <w:p>
      <w:pPr>
        <w:pStyle w:val="Heading9"/>
        <w:spacing w:before="177"/>
        <w:ind w:left="899"/>
      </w:pPr>
      <w:r>
        <w:rPr>
          <w:color w:val="DF2F1E"/>
        </w:rPr>
        <w:t>Figure 26: Summary of exits between June 2017 and June 2018</w:t>
      </w:r>
    </w:p>
    <w:p>
      <w:pPr>
        <w:tabs>
          <w:tab w:pos="4759" w:val="left" w:leader="none"/>
        </w:tabs>
        <w:spacing w:before="80"/>
        <w:ind w:left="0" w:right="173" w:firstLine="0"/>
        <w:jc w:val="center"/>
        <w:rPr>
          <w:b/>
          <w:i/>
          <w:sz w:val="16"/>
        </w:rPr>
      </w:pPr>
      <w:r>
        <w:rPr>
          <w:b/>
          <w:i/>
          <w:color w:val="404040"/>
          <w:sz w:val="16"/>
        </w:rPr>
        <w:t>Males</w:t>
        <w:tab/>
        <w:t>Females</w:t>
      </w:r>
    </w:p>
    <w:p>
      <w:pPr>
        <w:spacing w:after="0"/>
        <w:jc w:val="center"/>
        <w:rPr>
          <w:sz w:val="16"/>
        </w:rPr>
        <w:sectPr>
          <w:type w:val="continuous"/>
          <w:pgSz w:w="11910" w:h="16850"/>
          <w:pgMar w:top="1600" w:bottom="280" w:left="120" w:right="0"/>
        </w:sectPr>
      </w:pPr>
    </w:p>
    <w:p>
      <w:pPr>
        <w:pStyle w:val="BodyText"/>
        <w:rPr>
          <w:b/>
          <w:i/>
          <w:sz w:val="12"/>
        </w:rPr>
      </w:pPr>
    </w:p>
    <w:p>
      <w:pPr>
        <w:pStyle w:val="BodyText"/>
        <w:spacing w:before="4"/>
        <w:rPr>
          <w:b/>
          <w:i/>
          <w:sz w:val="12"/>
        </w:rPr>
      </w:pPr>
    </w:p>
    <w:p>
      <w:pPr>
        <w:spacing w:before="0"/>
        <w:ind w:left="0" w:right="41" w:firstLine="0"/>
        <w:jc w:val="right"/>
        <w:rPr>
          <w:rFonts w:ascii="Calibri"/>
          <w:sz w:val="12"/>
        </w:rPr>
      </w:pPr>
      <w:r>
        <w:rPr>
          <w:rFonts w:ascii="Calibri"/>
          <w:color w:val="585858"/>
          <w:spacing w:val="-3"/>
          <w:sz w:val="12"/>
        </w:rPr>
        <w:t>14,000</w:t>
      </w:r>
    </w:p>
    <w:p>
      <w:pPr>
        <w:pStyle w:val="BodyText"/>
        <w:rPr>
          <w:rFonts w:ascii="Calibri"/>
          <w:sz w:val="12"/>
        </w:rPr>
      </w:pPr>
    </w:p>
    <w:p>
      <w:pPr>
        <w:spacing w:before="0"/>
        <w:ind w:left="0" w:right="41" w:firstLine="0"/>
        <w:jc w:val="right"/>
        <w:rPr>
          <w:rFonts w:ascii="Calibri"/>
          <w:sz w:val="12"/>
        </w:rPr>
      </w:pPr>
      <w:r>
        <w:rPr>
          <w:rFonts w:ascii="Calibri"/>
          <w:color w:val="585858"/>
          <w:spacing w:val="-3"/>
          <w:sz w:val="12"/>
        </w:rPr>
        <w:t>12,000</w:t>
      </w:r>
    </w:p>
    <w:p>
      <w:pPr>
        <w:pStyle w:val="BodyText"/>
        <w:rPr>
          <w:rFonts w:ascii="Calibri"/>
          <w:sz w:val="12"/>
        </w:rPr>
      </w:pPr>
    </w:p>
    <w:p>
      <w:pPr>
        <w:spacing w:before="0"/>
        <w:ind w:left="0" w:right="41" w:firstLine="0"/>
        <w:jc w:val="right"/>
        <w:rPr>
          <w:rFonts w:ascii="Calibri"/>
          <w:sz w:val="12"/>
        </w:rPr>
      </w:pPr>
      <w:r>
        <w:rPr>
          <w:rFonts w:ascii="Calibri"/>
          <w:color w:val="585858"/>
          <w:spacing w:val="-3"/>
          <w:sz w:val="12"/>
        </w:rPr>
        <w:t>10,000</w:t>
      </w:r>
    </w:p>
    <w:p>
      <w:pPr>
        <w:pStyle w:val="BodyText"/>
        <w:rPr>
          <w:rFonts w:ascii="Calibri"/>
          <w:sz w:val="12"/>
        </w:rPr>
      </w:pPr>
    </w:p>
    <w:p>
      <w:pPr>
        <w:spacing w:before="0"/>
        <w:ind w:left="0" w:right="38" w:firstLine="0"/>
        <w:jc w:val="right"/>
        <w:rPr>
          <w:rFonts w:ascii="Calibri"/>
          <w:sz w:val="12"/>
        </w:rPr>
      </w:pPr>
      <w:r>
        <w:rPr>
          <w:rFonts w:ascii="Calibri"/>
          <w:color w:val="585858"/>
          <w:spacing w:val="-2"/>
          <w:sz w:val="12"/>
        </w:rPr>
        <w:t>8,000</w:t>
      </w:r>
    </w:p>
    <w:p>
      <w:pPr>
        <w:pStyle w:val="BodyText"/>
        <w:rPr>
          <w:rFonts w:ascii="Calibri"/>
          <w:sz w:val="12"/>
        </w:rPr>
      </w:pPr>
    </w:p>
    <w:p>
      <w:pPr>
        <w:spacing w:before="0"/>
        <w:ind w:left="0" w:right="38" w:firstLine="0"/>
        <w:jc w:val="right"/>
        <w:rPr>
          <w:rFonts w:ascii="Calibri"/>
          <w:sz w:val="12"/>
        </w:rPr>
      </w:pPr>
      <w:r>
        <w:rPr>
          <w:rFonts w:ascii="Calibri"/>
          <w:color w:val="585858"/>
          <w:spacing w:val="-2"/>
          <w:sz w:val="12"/>
        </w:rPr>
        <w:t>6,000</w:t>
      </w:r>
    </w:p>
    <w:p>
      <w:pPr>
        <w:pStyle w:val="BodyText"/>
        <w:rPr>
          <w:rFonts w:ascii="Calibri"/>
          <w:sz w:val="12"/>
        </w:rPr>
      </w:pPr>
    </w:p>
    <w:p>
      <w:pPr>
        <w:spacing w:before="0"/>
        <w:ind w:left="0" w:right="38" w:firstLine="0"/>
        <w:jc w:val="right"/>
        <w:rPr>
          <w:rFonts w:ascii="Calibri"/>
          <w:sz w:val="12"/>
        </w:rPr>
      </w:pPr>
      <w:r>
        <w:rPr>
          <w:rFonts w:ascii="Calibri"/>
          <w:color w:val="585858"/>
          <w:spacing w:val="-2"/>
          <w:sz w:val="12"/>
        </w:rPr>
        <w:t>4,000</w:t>
      </w:r>
    </w:p>
    <w:p>
      <w:pPr>
        <w:pStyle w:val="BodyText"/>
        <w:spacing w:before="12"/>
        <w:rPr>
          <w:rFonts w:ascii="Calibri"/>
          <w:sz w:val="11"/>
        </w:rPr>
      </w:pPr>
    </w:p>
    <w:p>
      <w:pPr>
        <w:spacing w:before="0"/>
        <w:ind w:left="0" w:right="38" w:firstLine="0"/>
        <w:jc w:val="right"/>
        <w:rPr>
          <w:rFonts w:ascii="Calibri"/>
          <w:sz w:val="12"/>
        </w:rPr>
      </w:pPr>
      <w:r>
        <w:rPr>
          <w:rFonts w:ascii="Calibri"/>
          <w:color w:val="585858"/>
          <w:spacing w:val="-2"/>
          <w:sz w:val="12"/>
        </w:rPr>
        <w:t>2,000</w:t>
      </w:r>
    </w:p>
    <w:p>
      <w:pPr>
        <w:pStyle w:val="BodyText"/>
        <w:spacing w:before="6"/>
        <w:rPr>
          <w:rFonts w:ascii="Calibri"/>
          <w:sz w:val="10"/>
        </w:rPr>
      </w:pPr>
      <w:r>
        <w:rPr/>
        <w:br w:type="column"/>
      </w:r>
      <w:r>
        <w:rPr>
          <w:rFonts w:ascii="Calibri"/>
          <w:sz w:val="10"/>
        </w:rPr>
      </w:r>
    </w:p>
    <w:p>
      <w:pPr>
        <w:spacing w:before="1"/>
        <w:ind w:left="1130" w:right="0" w:firstLine="0"/>
        <w:jc w:val="left"/>
        <w:rPr>
          <w:rFonts w:ascii="Calibri"/>
          <w:sz w:val="12"/>
        </w:rPr>
      </w:pPr>
      <w:r>
        <w:rPr>
          <w:rFonts w:ascii="Calibri"/>
          <w:color w:val="585858"/>
          <w:spacing w:val="-3"/>
          <w:w w:val="105"/>
          <w:sz w:val="12"/>
        </w:rPr>
        <w:t>14,000</w:t>
      </w:r>
    </w:p>
    <w:p>
      <w:pPr>
        <w:pStyle w:val="BodyText"/>
        <w:spacing w:before="8"/>
        <w:rPr>
          <w:rFonts w:ascii="Calibri"/>
          <w:sz w:val="13"/>
        </w:rPr>
      </w:pPr>
    </w:p>
    <w:p>
      <w:pPr>
        <w:spacing w:before="1"/>
        <w:ind w:left="1130" w:right="0" w:firstLine="0"/>
        <w:jc w:val="left"/>
        <w:rPr>
          <w:rFonts w:ascii="Calibri"/>
          <w:sz w:val="12"/>
        </w:rPr>
      </w:pPr>
      <w:r>
        <w:rPr/>
        <w:pict>
          <v:group style="position:absolute;margin-left:84.317055pt;margin-top:-4.489036pt;width:181.15pt;height:103.05pt;mso-position-horizontal-relative:page;mso-position-vertical-relative:paragraph;z-index:-287976448" coordorigin="1686,-90" coordsize="3623,2061">
            <v:shape style="position:absolute;left:1686;top:-90;width:3623;height:2061" type="#_x0000_t75" stroked="false">
              <v:imagedata r:id="rId56" o:title=""/>
            </v:shape>
            <v:line style="position:absolute" from="1690,1966" to="5305,1966" stroked="true" strokeweight=".40717pt" strokecolor="#d9d9d9">
              <v:stroke dashstyle="solid"/>
            </v:line>
            <w10:wrap type="none"/>
          </v:group>
        </w:pict>
      </w:r>
      <w:r>
        <w:rPr/>
        <w:pict>
          <v:line style="position:absolute;mso-position-horizontal-relative:page;mso-position-vertical-relative:paragraph;z-index:251927552" from="327.527618pt,-11.577902pt" to="509.295931pt,-11.577902pt" stroked="true" strokeweight=".409538pt" strokecolor="#d9d9d9">
            <v:stroke dashstyle="solid"/>
            <w10:wrap type="none"/>
          </v:line>
        </w:pict>
      </w:r>
      <w:r>
        <w:rPr/>
        <w:pict>
          <v:group style="position:absolute;margin-left:327.322754pt;margin-top:-2.363411pt;width:182.2pt;height:100.75pt;mso-position-horizontal-relative:page;mso-position-vertical-relative:paragraph;z-index:251928576" coordorigin="6546,-47" coordsize="3644,2015">
            <v:shape style="position:absolute;left:6546;top:-48;width:3644;height:2015" type="#_x0000_t75" stroked="false">
              <v:imagedata r:id="rId57" o:title=""/>
            </v:shape>
            <v:line style="position:absolute" from="6551,1964" to="10186,1964" stroked="true" strokeweight=".409537pt" strokecolor="#d9d9d9">
              <v:stroke dashstyle="solid"/>
            </v:line>
            <w10:wrap type="none"/>
          </v:group>
        </w:pict>
      </w:r>
      <w:r>
        <w:rPr>
          <w:rFonts w:ascii="Calibri"/>
          <w:color w:val="585858"/>
          <w:spacing w:val="-3"/>
          <w:w w:val="105"/>
          <w:sz w:val="12"/>
        </w:rPr>
        <w:t>12,000</w:t>
      </w:r>
    </w:p>
    <w:p>
      <w:pPr>
        <w:pStyle w:val="BodyText"/>
        <w:spacing w:before="8"/>
        <w:rPr>
          <w:rFonts w:ascii="Calibri"/>
          <w:sz w:val="13"/>
        </w:rPr>
      </w:pPr>
    </w:p>
    <w:p>
      <w:pPr>
        <w:spacing w:before="1"/>
        <w:ind w:left="1130" w:right="0" w:firstLine="0"/>
        <w:jc w:val="left"/>
        <w:rPr>
          <w:rFonts w:ascii="Calibri"/>
          <w:sz w:val="12"/>
        </w:rPr>
      </w:pPr>
      <w:r>
        <w:rPr>
          <w:rFonts w:ascii="Calibri"/>
          <w:color w:val="585858"/>
          <w:spacing w:val="-3"/>
          <w:w w:val="105"/>
          <w:sz w:val="12"/>
        </w:rPr>
        <w:t>10,000</w:t>
      </w:r>
    </w:p>
    <w:p>
      <w:pPr>
        <w:pStyle w:val="BodyText"/>
        <w:spacing w:before="8"/>
        <w:rPr>
          <w:rFonts w:ascii="Calibri"/>
          <w:sz w:val="13"/>
        </w:rPr>
      </w:pPr>
    </w:p>
    <w:p>
      <w:pPr>
        <w:spacing w:before="1"/>
        <w:ind w:left="1191" w:right="0" w:firstLine="0"/>
        <w:jc w:val="left"/>
        <w:rPr>
          <w:rFonts w:ascii="Calibri"/>
          <w:sz w:val="12"/>
        </w:rPr>
      </w:pPr>
      <w:r>
        <w:rPr>
          <w:rFonts w:ascii="Calibri"/>
          <w:color w:val="585858"/>
          <w:w w:val="105"/>
          <w:sz w:val="12"/>
        </w:rPr>
        <w:t>8,000</w:t>
      </w:r>
    </w:p>
    <w:p>
      <w:pPr>
        <w:pStyle w:val="BodyText"/>
        <w:spacing w:before="8"/>
        <w:rPr>
          <w:rFonts w:ascii="Calibri"/>
          <w:sz w:val="13"/>
        </w:rPr>
      </w:pPr>
    </w:p>
    <w:p>
      <w:pPr>
        <w:spacing w:before="0"/>
        <w:ind w:left="1191" w:right="0" w:firstLine="0"/>
        <w:jc w:val="left"/>
        <w:rPr>
          <w:rFonts w:ascii="Calibri"/>
          <w:sz w:val="12"/>
        </w:rPr>
      </w:pPr>
      <w:r>
        <w:rPr>
          <w:rFonts w:ascii="Calibri"/>
          <w:color w:val="585858"/>
          <w:w w:val="105"/>
          <w:sz w:val="12"/>
        </w:rPr>
        <w:t>6,000</w:t>
      </w:r>
    </w:p>
    <w:p>
      <w:pPr>
        <w:pStyle w:val="BodyText"/>
        <w:spacing w:before="9"/>
        <w:rPr>
          <w:rFonts w:ascii="Calibri"/>
          <w:sz w:val="13"/>
        </w:rPr>
      </w:pPr>
    </w:p>
    <w:p>
      <w:pPr>
        <w:spacing w:before="0"/>
        <w:ind w:left="1191" w:right="0" w:firstLine="0"/>
        <w:jc w:val="left"/>
        <w:rPr>
          <w:rFonts w:ascii="Calibri"/>
          <w:sz w:val="12"/>
        </w:rPr>
      </w:pPr>
      <w:r>
        <w:rPr>
          <w:rFonts w:ascii="Calibri"/>
          <w:color w:val="585858"/>
          <w:w w:val="105"/>
          <w:sz w:val="12"/>
        </w:rPr>
        <w:t>4,000</w:t>
      </w:r>
    </w:p>
    <w:p>
      <w:pPr>
        <w:pStyle w:val="BodyText"/>
        <w:spacing w:before="9"/>
        <w:rPr>
          <w:rFonts w:ascii="Calibri"/>
          <w:sz w:val="13"/>
        </w:rPr>
      </w:pPr>
    </w:p>
    <w:p>
      <w:pPr>
        <w:spacing w:before="0"/>
        <w:ind w:left="1191" w:right="0" w:firstLine="0"/>
        <w:jc w:val="left"/>
        <w:rPr>
          <w:rFonts w:ascii="Calibri"/>
          <w:sz w:val="12"/>
        </w:rPr>
      </w:pPr>
      <w:r>
        <w:rPr>
          <w:rFonts w:ascii="Calibri"/>
          <w:color w:val="585858"/>
          <w:w w:val="105"/>
          <w:sz w:val="12"/>
        </w:rPr>
        <w:t>2,000</w:t>
      </w:r>
    </w:p>
    <w:p>
      <w:pPr>
        <w:spacing w:after="0"/>
        <w:jc w:val="left"/>
        <w:rPr>
          <w:rFonts w:ascii="Calibri"/>
          <w:sz w:val="12"/>
        </w:rPr>
        <w:sectPr>
          <w:type w:val="continuous"/>
          <w:pgSz w:w="11910" w:h="16850"/>
          <w:pgMar w:top="1600" w:bottom="280" w:left="120" w:right="0"/>
          <w:cols w:num="2" w:equalWidth="0">
            <w:col w:w="1500" w:space="3352"/>
            <w:col w:w="6938"/>
          </w:cols>
        </w:sectPr>
      </w:pPr>
    </w:p>
    <w:p>
      <w:pPr>
        <w:pStyle w:val="BodyText"/>
        <w:rPr>
          <w:rFonts w:ascii="Calibri"/>
          <w:sz w:val="12"/>
        </w:rPr>
      </w:pPr>
    </w:p>
    <w:p>
      <w:pPr>
        <w:tabs>
          <w:tab w:pos="6255" w:val="left" w:leader="none"/>
        </w:tabs>
        <w:spacing w:before="0"/>
        <w:ind w:left="1401" w:right="0" w:firstLine="0"/>
        <w:jc w:val="left"/>
        <w:rPr>
          <w:rFonts w:ascii="Calibri"/>
          <w:sz w:val="12"/>
        </w:rPr>
      </w:pPr>
      <w:r>
        <w:rPr/>
        <w:pict>
          <v:shape style="position:absolute;margin-left:81.138550pt;margin-top:7.127887pt;width:188.9pt;height:7.75pt;mso-position-horizontal-relative:page;mso-position-vertical-relative:paragraph;z-index:251935744" type="#_x0000_t202" filled="false" stroked="false">
            <v:textbox inset="0,0,0,0" style="layout-flow:vertical;mso-layout-flow-alt:bottom-to-top">
              <w:txbxContent>
                <w:p>
                  <w:pPr>
                    <w:spacing w:line="144" w:lineRule="exact" w:before="0"/>
                    <w:ind w:left="20" w:right="0" w:firstLine="0"/>
                    <w:jc w:val="left"/>
                    <w:rPr>
                      <w:rFonts w:ascii="Calibri"/>
                      <w:sz w:val="12"/>
                    </w:rPr>
                  </w:pPr>
                  <w:r>
                    <w:rPr>
                      <w:rFonts w:ascii="Calibri"/>
                      <w:color w:val="585858"/>
                      <w:spacing w:val="-5"/>
                      <w:sz w:val="12"/>
                    </w:rPr>
                    <w:t>10</w:t>
                  </w:r>
                </w:p>
                <w:p>
                  <w:pPr>
                    <w:spacing w:before="66"/>
                    <w:ind w:left="20" w:right="0" w:firstLine="0"/>
                    <w:jc w:val="left"/>
                    <w:rPr>
                      <w:rFonts w:ascii="Calibri"/>
                      <w:sz w:val="12"/>
                    </w:rPr>
                  </w:pPr>
                  <w:r>
                    <w:rPr>
                      <w:rFonts w:ascii="Calibri"/>
                      <w:color w:val="585858"/>
                      <w:spacing w:val="-5"/>
                      <w:sz w:val="12"/>
                    </w:rPr>
                    <w:t>15</w:t>
                  </w:r>
                </w:p>
                <w:p>
                  <w:pPr>
                    <w:spacing w:before="66"/>
                    <w:ind w:left="20" w:right="0" w:firstLine="0"/>
                    <w:jc w:val="left"/>
                    <w:rPr>
                      <w:rFonts w:ascii="Calibri"/>
                      <w:sz w:val="12"/>
                    </w:rPr>
                  </w:pPr>
                  <w:r>
                    <w:rPr>
                      <w:rFonts w:ascii="Calibri"/>
                      <w:color w:val="585858"/>
                      <w:spacing w:val="-5"/>
                      <w:sz w:val="12"/>
                    </w:rPr>
                    <w:t>20</w:t>
                  </w:r>
                </w:p>
                <w:p>
                  <w:pPr>
                    <w:spacing w:before="66"/>
                    <w:ind w:left="20" w:right="0" w:firstLine="0"/>
                    <w:jc w:val="left"/>
                    <w:rPr>
                      <w:rFonts w:ascii="Calibri"/>
                      <w:sz w:val="12"/>
                    </w:rPr>
                  </w:pPr>
                  <w:r>
                    <w:rPr>
                      <w:rFonts w:ascii="Calibri"/>
                      <w:color w:val="585858"/>
                      <w:spacing w:val="-5"/>
                      <w:sz w:val="12"/>
                    </w:rPr>
                    <w:t>25</w:t>
                  </w:r>
                </w:p>
                <w:p>
                  <w:pPr>
                    <w:spacing w:before="66"/>
                    <w:ind w:left="20" w:right="0" w:firstLine="0"/>
                    <w:jc w:val="left"/>
                    <w:rPr>
                      <w:rFonts w:ascii="Calibri"/>
                      <w:sz w:val="12"/>
                    </w:rPr>
                  </w:pPr>
                  <w:r>
                    <w:rPr>
                      <w:rFonts w:ascii="Calibri"/>
                      <w:color w:val="585858"/>
                      <w:spacing w:val="-5"/>
                      <w:sz w:val="12"/>
                    </w:rPr>
                    <w:t>30</w:t>
                  </w:r>
                </w:p>
                <w:p>
                  <w:pPr>
                    <w:spacing w:before="67"/>
                    <w:ind w:left="20" w:right="0" w:firstLine="0"/>
                    <w:jc w:val="left"/>
                    <w:rPr>
                      <w:rFonts w:ascii="Calibri"/>
                      <w:sz w:val="12"/>
                    </w:rPr>
                  </w:pPr>
                  <w:r>
                    <w:rPr>
                      <w:rFonts w:ascii="Calibri"/>
                      <w:color w:val="585858"/>
                      <w:spacing w:val="-5"/>
                      <w:sz w:val="12"/>
                    </w:rPr>
                    <w:t>35</w:t>
                  </w:r>
                </w:p>
                <w:p>
                  <w:pPr>
                    <w:spacing w:before="66"/>
                    <w:ind w:left="20" w:right="0" w:firstLine="0"/>
                    <w:jc w:val="left"/>
                    <w:rPr>
                      <w:rFonts w:ascii="Calibri"/>
                      <w:sz w:val="12"/>
                    </w:rPr>
                  </w:pPr>
                  <w:r>
                    <w:rPr>
                      <w:rFonts w:ascii="Calibri"/>
                      <w:color w:val="585858"/>
                      <w:spacing w:val="-5"/>
                      <w:sz w:val="12"/>
                    </w:rPr>
                    <w:t>40</w:t>
                  </w:r>
                </w:p>
                <w:p>
                  <w:pPr>
                    <w:spacing w:before="66"/>
                    <w:ind w:left="20" w:right="0" w:firstLine="0"/>
                    <w:jc w:val="left"/>
                    <w:rPr>
                      <w:rFonts w:ascii="Calibri"/>
                      <w:sz w:val="12"/>
                    </w:rPr>
                  </w:pPr>
                  <w:r>
                    <w:rPr>
                      <w:rFonts w:ascii="Calibri"/>
                      <w:color w:val="585858"/>
                      <w:spacing w:val="-5"/>
                      <w:sz w:val="12"/>
                    </w:rPr>
                    <w:t>45</w:t>
                  </w:r>
                </w:p>
                <w:p>
                  <w:pPr>
                    <w:spacing w:before="66"/>
                    <w:ind w:left="20" w:right="0" w:firstLine="0"/>
                    <w:jc w:val="left"/>
                    <w:rPr>
                      <w:rFonts w:ascii="Calibri"/>
                      <w:sz w:val="12"/>
                    </w:rPr>
                  </w:pPr>
                  <w:r>
                    <w:rPr>
                      <w:rFonts w:ascii="Calibri"/>
                      <w:color w:val="585858"/>
                      <w:spacing w:val="-5"/>
                      <w:sz w:val="12"/>
                    </w:rPr>
                    <w:t>50</w:t>
                  </w:r>
                </w:p>
                <w:p>
                  <w:pPr>
                    <w:spacing w:before="66"/>
                    <w:ind w:left="20" w:right="0" w:firstLine="0"/>
                    <w:jc w:val="left"/>
                    <w:rPr>
                      <w:rFonts w:ascii="Calibri"/>
                      <w:sz w:val="12"/>
                    </w:rPr>
                  </w:pPr>
                  <w:r>
                    <w:rPr>
                      <w:rFonts w:ascii="Calibri"/>
                      <w:color w:val="585858"/>
                      <w:spacing w:val="-5"/>
                      <w:sz w:val="12"/>
                    </w:rPr>
                    <w:t>55</w:t>
                  </w:r>
                </w:p>
                <w:p>
                  <w:pPr>
                    <w:spacing w:before="67"/>
                    <w:ind w:left="20" w:right="0" w:firstLine="0"/>
                    <w:jc w:val="left"/>
                    <w:rPr>
                      <w:rFonts w:ascii="Calibri"/>
                      <w:sz w:val="12"/>
                    </w:rPr>
                  </w:pPr>
                  <w:r>
                    <w:rPr>
                      <w:rFonts w:ascii="Calibri"/>
                      <w:color w:val="585858"/>
                      <w:spacing w:val="-5"/>
                      <w:sz w:val="12"/>
                    </w:rPr>
                    <w:t>60</w:t>
                  </w:r>
                </w:p>
                <w:p>
                  <w:pPr>
                    <w:spacing w:before="66"/>
                    <w:ind w:left="20" w:right="0" w:firstLine="0"/>
                    <w:jc w:val="left"/>
                    <w:rPr>
                      <w:rFonts w:ascii="Calibri"/>
                      <w:sz w:val="12"/>
                    </w:rPr>
                  </w:pPr>
                  <w:r>
                    <w:rPr>
                      <w:rFonts w:ascii="Calibri"/>
                      <w:color w:val="585858"/>
                      <w:spacing w:val="-5"/>
                      <w:sz w:val="12"/>
                    </w:rPr>
                    <w:t>65</w:t>
                  </w:r>
                </w:p>
                <w:p>
                  <w:pPr>
                    <w:spacing w:before="66"/>
                    <w:ind w:left="20" w:right="0" w:firstLine="0"/>
                    <w:jc w:val="left"/>
                    <w:rPr>
                      <w:rFonts w:ascii="Calibri"/>
                      <w:sz w:val="12"/>
                    </w:rPr>
                  </w:pPr>
                  <w:r>
                    <w:rPr>
                      <w:rFonts w:ascii="Calibri"/>
                      <w:color w:val="585858"/>
                      <w:spacing w:val="-5"/>
                      <w:sz w:val="12"/>
                    </w:rPr>
                    <w:t>70</w:t>
                  </w:r>
                </w:p>
                <w:p>
                  <w:pPr>
                    <w:spacing w:before="66"/>
                    <w:ind w:left="20" w:right="0" w:firstLine="0"/>
                    <w:jc w:val="left"/>
                    <w:rPr>
                      <w:rFonts w:ascii="Calibri"/>
                      <w:sz w:val="12"/>
                    </w:rPr>
                  </w:pPr>
                  <w:r>
                    <w:rPr>
                      <w:rFonts w:ascii="Calibri"/>
                      <w:color w:val="585858"/>
                      <w:spacing w:val="-5"/>
                      <w:sz w:val="12"/>
                    </w:rPr>
                    <w:t>75</w:t>
                  </w:r>
                </w:p>
                <w:p>
                  <w:pPr>
                    <w:spacing w:before="66"/>
                    <w:ind w:left="20" w:right="0" w:firstLine="0"/>
                    <w:jc w:val="left"/>
                    <w:rPr>
                      <w:rFonts w:ascii="Calibri"/>
                      <w:sz w:val="12"/>
                    </w:rPr>
                  </w:pPr>
                  <w:r>
                    <w:rPr>
                      <w:rFonts w:ascii="Calibri"/>
                      <w:color w:val="585858"/>
                      <w:spacing w:val="-5"/>
                      <w:sz w:val="12"/>
                    </w:rPr>
                    <w:t>80</w:t>
                  </w:r>
                </w:p>
                <w:p>
                  <w:pPr>
                    <w:spacing w:before="67"/>
                    <w:ind w:left="20" w:right="0" w:firstLine="0"/>
                    <w:jc w:val="left"/>
                    <w:rPr>
                      <w:rFonts w:ascii="Calibri"/>
                      <w:sz w:val="12"/>
                    </w:rPr>
                  </w:pPr>
                  <w:r>
                    <w:rPr>
                      <w:rFonts w:ascii="Calibri"/>
                      <w:color w:val="585858"/>
                      <w:spacing w:val="-5"/>
                      <w:sz w:val="12"/>
                    </w:rPr>
                    <w:t>85</w:t>
                  </w:r>
                </w:p>
                <w:p>
                  <w:pPr>
                    <w:spacing w:before="66"/>
                    <w:ind w:left="20" w:right="0" w:firstLine="0"/>
                    <w:jc w:val="left"/>
                    <w:rPr>
                      <w:rFonts w:ascii="Calibri"/>
                      <w:sz w:val="12"/>
                    </w:rPr>
                  </w:pPr>
                  <w:r>
                    <w:rPr>
                      <w:rFonts w:ascii="Calibri"/>
                      <w:color w:val="585858"/>
                      <w:spacing w:val="-5"/>
                      <w:sz w:val="12"/>
                    </w:rPr>
                    <w:t>90</w:t>
                  </w:r>
                </w:p>
                <w:p>
                  <w:pPr>
                    <w:spacing w:before="66"/>
                    <w:ind w:left="20" w:right="0" w:firstLine="0"/>
                    <w:jc w:val="left"/>
                    <w:rPr>
                      <w:rFonts w:ascii="Calibri"/>
                      <w:sz w:val="12"/>
                    </w:rPr>
                  </w:pPr>
                  <w:r>
                    <w:rPr>
                      <w:rFonts w:ascii="Calibri"/>
                      <w:color w:val="585858"/>
                      <w:spacing w:val="-5"/>
                      <w:sz w:val="12"/>
                    </w:rPr>
                    <w:t>95</w:t>
                  </w:r>
                </w:p>
              </w:txbxContent>
            </v:textbox>
            <w10:wrap type="none"/>
          </v:shape>
        </w:pict>
      </w:r>
      <w:r>
        <w:rPr/>
        <w:pict>
          <v:shape style="position:absolute;margin-left:323.877869pt;margin-top:7.012331pt;width:190.15pt;height:7.75pt;mso-position-horizontal-relative:page;mso-position-vertical-relative:paragraph;z-index:251936768" type="#_x0000_t202" filled="false" stroked="false">
            <v:textbox inset="0,0,0,0" style="layout-flow:vertical;mso-layout-flow-alt:bottom-to-top">
              <w:txbxContent>
                <w:p>
                  <w:pPr>
                    <w:spacing w:line="145" w:lineRule="exact" w:before="0"/>
                    <w:ind w:left="20" w:right="0" w:firstLine="0"/>
                    <w:jc w:val="left"/>
                    <w:rPr>
                      <w:rFonts w:ascii="Calibri"/>
                      <w:sz w:val="12"/>
                    </w:rPr>
                  </w:pPr>
                  <w:r>
                    <w:rPr>
                      <w:rFonts w:ascii="Calibri"/>
                      <w:color w:val="585858"/>
                      <w:spacing w:val="-5"/>
                      <w:sz w:val="12"/>
                    </w:rPr>
                    <w:t>10</w:t>
                  </w:r>
                </w:p>
                <w:p>
                  <w:pPr>
                    <w:spacing w:before="67"/>
                    <w:ind w:left="20" w:right="0" w:firstLine="0"/>
                    <w:jc w:val="left"/>
                    <w:rPr>
                      <w:rFonts w:ascii="Calibri"/>
                      <w:sz w:val="12"/>
                    </w:rPr>
                  </w:pPr>
                  <w:r>
                    <w:rPr>
                      <w:rFonts w:ascii="Calibri"/>
                      <w:color w:val="585858"/>
                      <w:spacing w:val="-5"/>
                      <w:sz w:val="12"/>
                    </w:rPr>
                    <w:t>15</w:t>
                  </w:r>
                </w:p>
                <w:p>
                  <w:pPr>
                    <w:spacing w:before="68"/>
                    <w:ind w:left="20" w:right="0" w:firstLine="0"/>
                    <w:jc w:val="left"/>
                    <w:rPr>
                      <w:rFonts w:ascii="Calibri"/>
                      <w:sz w:val="12"/>
                    </w:rPr>
                  </w:pPr>
                  <w:r>
                    <w:rPr>
                      <w:rFonts w:ascii="Calibri"/>
                      <w:color w:val="585858"/>
                      <w:spacing w:val="-5"/>
                      <w:sz w:val="12"/>
                    </w:rPr>
                    <w:t>20</w:t>
                  </w:r>
                </w:p>
                <w:p>
                  <w:pPr>
                    <w:spacing w:before="67"/>
                    <w:ind w:left="20" w:right="0" w:firstLine="0"/>
                    <w:jc w:val="left"/>
                    <w:rPr>
                      <w:rFonts w:ascii="Calibri"/>
                      <w:sz w:val="12"/>
                    </w:rPr>
                  </w:pPr>
                  <w:r>
                    <w:rPr>
                      <w:rFonts w:ascii="Calibri"/>
                      <w:color w:val="585858"/>
                      <w:spacing w:val="-5"/>
                      <w:sz w:val="12"/>
                    </w:rPr>
                    <w:t>25</w:t>
                  </w:r>
                </w:p>
                <w:p>
                  <w:pPr>
                    <w:spacing w:before="68"/>
                    <w:ind w:left="20" w:right="0" w:firstLine="0"/>
                    <w:jc w:val="left"/>
                    <w:rPr>
                      <w:rFonts w:ascii="Calibri"/>
                      <w:sz w:val="12"/>
                    </w:rPr>
                  </w:pPr>
                  <w:r>
                    <w:rPr>
                      <w:rFonts w:ascii="Calibri"/>
                      <w:color w:val="585858"/>
                      <w:spacing w:val="-5"/>
                      <w:sz w:val="12"/>
                    </w:rPr>
                    <w:t>30</w:t>
                  </w:r>
                </w:p>
                <w:p>
                  <w:pPr>
                    <w:spacing w:before="68"/>
                    <w:ind w:left="20" w:right="0" w:firstLine="0"/>
                    <w:jc w:val="left"/>
                    <w:rPr>
                      <w:rFonts w:ascii="Calibri"/>
                      <w:sz w:val="12"/>
                    </w:rPr>
                  </w:pPr>
                  <w:r>
                    <w:rPr>
                      <w:rFonts w:ascii="Calibri"/>
                      <w:color w:val="585858"/>
                      <w:spacing w:val="-5"/>
                      <w:sz w:val="12"/>
                    </w:rPr>
                    <w:t>35</w:t>
                  </w:r>
                </w:p>
                <w:p>
                  <w:pPr>
                    <w:spacing w:before="67"/>
                    <w:ind w:left="20" w:right="0" w:firstLine="0"/>
                    <w:jc w:val="left"/>
                    <w:rPr>
                      <w:rFonts w:ascii="Calibri"/>
                      <w:sz w:val="12"/>
                    </w:rPr>
                  </w:pPr>
                  <w:r>
                    <w:rPr>
                      <w:rFonts w:ascii="Calibri"/>
                      <w:color w:val="585858"/>
                      <w:spacing w:val="-5"/>
                      <w:sz w:val="12"/>
                    </w:rPr>
                    <w:t>40</w:t>
                  </w:r>
                </w:p>
                <w:p>
                  <w:pPr>
                    <w:spacing w:before="68"/>
                    <w:ind w:left="20" w:right="0" w:firstLine="0"/>
                    <w:jc w:val="left"/>
                    <w:rPr>
                      <w:rFonts w:ascii="Calibri"/>
                      <w:sz w:val="12"/>
                    </w:rPr>
                  </w:pPr>
                  <w:r>
                    <w:rPr>
                      <w:rFonts w:ascii="Calibri"/>
                      <w:color w:val="585858"/>
                      <w:spacing w:val="-5"/>
                      <w:sz w:val="12"/>
                    </w:rPr>
                    <w:t>45</w:t>
                  </w:r>
                </w:p>
                <w:p>
                  <w:pPr>
                    <w:spacing w:before="67"/>
                    <w:ind w:left="20" w:right="0" w:firstLine="0"/>
                    <w:jc w:val="left"/>
                    <w:rPr>
                      <w:rFonts w:ascii="Calibri"/>
                      <w:sz w:val="12"/>
                    </w:rPr>
                  </w:pPr>
                  <w:r>
                    <w:rPr>
                      <w:rFonts w:ascii="Calibri"/>
                      <w:color w:val="585858"/>
                      <w:spacing w:val="-5"/>
                      <w:sz w:val="12"/>
                    </w:rPr>
                    <w:t>50</w:t>
                  </w:r>
                </w:p>
                <w:p>
                  <w:pPr>
                    <w:spacing w:before="68"/>
                    <w:ind w:left="20" w:right="0" w:firstLine="0"/>
                    <w:jc w:val="left"/>
                    <w:rPr>
                      <w:rFonts w:ascii="Calibri"/>
                      <w:sz w:val="12"/>
                    </w:rPr>
                  </w:pPr>
                  <w:r>
                    <w:rPr>
                      <w:rFonts w:ascii="Calibri"/>
                      <w:color w:val="585858"/>
                      <w:spacing w:val="-5"/>
                      <w:sz w:val="12"/>
                    </w:rPr>
                    <w:t>55</w:t>
                  </w:r>
                </w:p>
                <w:p>
                  <w:pPr>
                    <w:spacing w:before="68"/>
                    <w:ind w:left="20" w:right="0" w:firstLine="0"/>
                    <w:jc w:val="left"/>
                    <w:rPr>
                      <w:rFonts w:ascii="Calibri"/>
                      <w:sz w:val="12"/>
                    </w:rPr>
                  </w:pPr>
                  <w:r>
                    <w:rPr>
                      <w:rFonts w:ascii="Calibri"/>
                      <w:color w:val="585858"/>
                      <w:spacing w:val="-5"/>
                      <w:sz w:val="12"/>
                    </w:rPr>
                    <w:t>60</w:t>
                  </w:r>
                </w:p>
                <w:p>
                  <w:pPr>
                    <w:spacing w:before="67"/>
                    <w:ind w:left="20" w:right="0" w:firstLine="0"/>
                    <w:jc w:val="left"/>
                    <w:rPr>
                      <w:rFonts w:ascii="Calibri"/>
                      <w:sz w:val="12"/>
                    </w:rPr>
                  </w:pPr>
                  <w:r>
                    <w:rPr>
                      <w:rFonts w:ascii="Calibri"/>
                      <w:color w:val="585858"/>
                      <w:spacing w:val="-5"/>
                      <w:sz w:val="12"/>
                    </w:rPr>
                    <w:t>65</w:t>
                  </w:r>
                </w:p>
                <w:p>
                  <w:pPr>
                    <w:spacing w:before="68"/>
                    <w:ind w:left="20" w:right="0" w:firstLine="0"/>
                    <w:jc w:val="left"/>
                    <w:rPr>
                      <w:rFonts w:ascii="Calibri"/>
                      <w:sz w:val="12"/>
                    </w:rPr>
                  </w:pPr>
                  <w:r>
                    <w:rPr>
                      <w:rFonts w:ascii="Calibri"/>
                      <w:color w:val="585858"/>
                      <w:spacing w:val="-5"/>
                      <w:sz w:val="12"/>
                    </w:rPr>
                    <w:t>70</w:t>
                  </w:r>
                </w:p>
                <w:p>
                  <w:pPr>
                    <w:spacing w:before="67"/>
                    <w:ind w:left="20" w:right="0" w:firstLine="0"/>
                    <w:jc w:val="left"/>
                    <w:rPr>
                      <w:rFonts w:ascii="Calibri"/>
                      <w:sz w:val="12"/>
                    </w:rPr>
                  </w:pPr>
                  <w:r>
                    <w:rPr>
                      <w:rFonts w:ascii="Calibri"/>
                      <w:color w:val="585858"/>
                      <w:spacing w:val="-5"/>
                      <w:sz w:val="12"/>
                    </w:rPr>
                    <w:t>75</w:t>
                  </w:r>
                </w:p>
                <w:p>
                  <w:pPr>
                    <w:spacing w:before="68"/>
                    <w:ind w:left="20" w:right="0" w:firstLine="0"/>
                    <w:jc w:val="left"/>
                    <w:rPr>
                      <w:rFonts w:ascii="Calibri"/>
                      <w:sz w:val="12"/>
                    </w:rPr>
                  </w:pPr>
                  <w:r>
                    <w:rPr>
                      <w:rFonts w:ascii="Calibri"/>
                      <w:color w:val="585858"/>
                      <w:spacing w:val="-5"/>
                      <w:sz w:val="12"/>
                    </w:rPr>
                    <w:t>80</w:t>
                  </w:r>
                </w:p>
                <w:p>
                  <w:pPr>
                    <w:spacing w:before="68"/>
                    <w:ind w:left="20" w:right="0" w:firstLine="0"/>
                    <w:jc w:val="left"/>
                    <w:rPr>
                      <w:rFonts w:ascii="Calibri"/>
                      <w:sz w:val="12"/>
                    </w:rPr>
                  </w:pPr>
                  <w:r>
                    <w:rPr>
                      <w:rFonts w:ascii="Calibri"/>
                      <w:color w:val="585858"/>
                      <w:spacing w:val="-5"/>
                      <w:sz w:val="12"/>
                    </w:rPr>
                    <w:t>85</w:t>
                  </w:r>
                </w:p>
                <w:p>
                  <w:pPr>
                    <w:spacing w:before="67"/>
                    <w:ind w:left="20" w:right="0" w:firstLine="0"/>
                    <w:jc w:val="left"/>
                    <w:rPr>
                      <w:rFonts w:ascii="Calibri"/>
                      <w:sz w:val="12"/>
                    </w:rPr>
                  </w:pPr>
                  <w:r>
                    <w:rPr>
                      <w:rFonts w:ascii="Calibri"/>
                      <w:color w:val="585858"/>
                      <w:spacing w:val="-5"/>
                      <w:sz w:val="12"/>
                    </w:rPr>
                    <w:t>90</w:t>
                  </w:r>
                </w:p>
                <w:p>
                  <w:pPr>
                    <w:spacing w:before="68"/>
                    <w:ind w:left="20" w:right="0" w:firstLine="0"/>
                    <w:jc w:val="left"/>
                    <w:rPr>
                      <w:rFonts w:ascii="Calibri"/>
                      <w:sz w:val="12"/>
                    </w:rPr>
                  </w:pPr>
                  <w:r>
                    <w:rPr>
                      <w:rFonts w:ascii="Calibri"/>
                      <w:color w:val="585858"/>
                      <w:spacing w:val="-5"/>
                      <w:sz w:val="12"/>
                    </w:rPr>
                    <w:t>95</w:t>
                  </w:r>
                </w:p>
              </w:txbxContent>
            </v:textbox>
            <w10:wrap type="none"/>
          </v:shape>
        </w:pict>
      </w:r>
      <w:r>
        <w:rPr>
          <w:rFonts w:ascii="Calibri"/>
          <w:color w:val="585858"/>
          <w:sz w:val="12"/>
        </w:rPr>
        <w:t>0</w:t>
        <w:tab/>
        <w:t>0</w:t>
      </w:r>
    </w:p>
    <w:p>
      <w:pPr>
        <w:pStyle w:val="BodyText"/>
        <w:spacing w:before="3"/>
        <w:rPr>
          <w:rFonts w:ascii="Calibri"/>
          <w:sz w:val="13"/>
        </w:rPr>
      </w:pPr>
    </w:p>
    <w:p>
      <w:pPr>
        <w:tabs>
          <w:tab w:pos="4860" w:val="left" w:leader="none"/>
        </w:tabs>
        <w:spacing w:before="1"/>
        <w:ind w:left="0" w:right="160" w:firstLine="0"/>
        <w:jc w:val="center"/>
        <w:rPr>
          <w:rFonts w:ascii="Calibri"/>
          <w:b/>
          <w:sz w:val="12"/>
        </w:rPr>
      </w:pPr>
      <w:r>
        <w:rPr>
          <w:rFonts w:ascii="Calibri"/>
          <w:b/>
          <w:color w:val="585858"/>
          <w:sz w:val="12"/>
        </w:rPr>
        <w:t>Age</w:t>
        <w:tab/>
        <w:t>Age</w:t>
      </w:r>
    </w:p>
    <w:p>
      <w:pPr>
        <w:pStyle w:val="BodyText"/>
        <w:spacing w:before="9"/>
        <w:rPr>
          <w:rFonts w:ascii="Calibri"/>
          <w:b/>
          <w:sz w:val="18"/>
        </w:rPr>
      </w:pPr>
    </w:p>
    <w:p>
      <w:pPr>
        <w:spacing w:before="76"/>
        <w:ind w:left="1602" w:right="9667" w:firstLine="0"/>
        <w:jc w:val="center"/>
        <w:rPr>
          <w:rFonts w:ascii="Calibri"/>
          <w:sz w:val="12"/>
        </w:rPr>
      </w:pPr>
      <w:r>
        <w:rPr>
          <w:rFonts w:ascii="Calibri"/>
          <w:sz w:val="12"/>
        </w:rPr>
        <w:t>Class key:</w:t>
      </w:r>
    </w:p>
    <w:p>
      <w:pPr>
        <w:tabs>
          <w:tab w:pos="1445" w:val="left" w:leader="none"/>
          <w:tab w:pos="2891" w:val="left" w:leader="none"/>
          <w:tab w:pos="4337" w:val="left" w:leader="none"/>
          <w:tab w:pos="5782" w:val="left" w:leader="none"/>
          <w:tab w:pos="7228" w:val="left" w:leader="none"/>
        </w:tabs>
        <w:spacing w:before="46"/>
        <w:ind w:left="0" w:right="122" w:firstLine="0"/>
        <w:jc w:val="center"/>
        <w:rPr>
          <w:rFonts w:ascii="Calibri"/>
          <w:sz w:val="12"/>
        </w:rPr>
      </w:pPr>
      <w:r>
        <w:rPr/>
        <w:pict>
          <v:group style="position:absolute;margin-left:86.054459pt;margin-top:1.603747pt;width:10.95pt;height:18.850pt;mso-position-horizontal-relative:page;mso-position-vertical-relative:paragraph;z-index:251929600" coordorigin="1721,32" coordsize="219,377">
            <v:rect style="position:absolute;left:1721;top:32;width:219;height:169" filled="true" fillcolor="#1f487c" stroked="false">
              <v:fill type="solid"/>
            </v:rect>
            <v:rect style="position:absolute;left:1721;top:240;width:219;height:169" filled="true" fillcolor="#f8a763" stroked="false">
              <v:fill type="solid"/>
            </v:rect>
            <w10:wrap type="none"/>
          </v:group>
        </w:pict>
      </w:r>
      <w:r>
        <w:rPr/>
        <w:pict>
          <v:group style="position:absolute;margin-left:157.940094pt;margin-top:1.603747pt;width:11.35pt;height:18.850pt;mso-position-horizontal-relative:page;mso-position-vertical-relative:paragraph;z-index:-287972352" coordorigin="3159,32" coordsize="227,377">
            <v:rect style="position:absolute;left:3158;top:32;width:227;height:169" filled="true" fillcolor="#009544" stroked="false">
              <v:fill type="solid"/>
            </v:rect>
            <v:rect style="position:absolute;left:3158;top:240;width:227;height:169" filled="true" fillcolor="#ecb8e7" stroked="false">
              <v:fill type="solid"/>
            </v:rect>
            <w10:wrap type="none"/>
          </v:group>
        </w:pict>
      </w:r>
      <w:r>
        <w:rPr/>
        <w:pict>
          <v:group style="position:absolute;margin-left:230.229996pt;margin-top:1.603747pt;width:11.35pt;height:18.850pt;mso-position-horizontal-relative:page;mso-position-vertical-relative:paragraph;z-index:-287971328" coordorigin="4605,32" coordsize="227,377">
            <v:rect style="position:absolute;left:4604;top:32;width:227;height:169" filled="true" fillcolor="#e16b09" stroked="false">
              <v:fill type="solid"/>
            </v:rect>
            <v:rect style="position:absolute;left:4604;top:240;width:227;height:169" filled="true" fillcolor="#938953" stroked="false">
              <v:fill type="solid"/>
            </v:rect>
            <w10:wrap type="none"/>
          </v:group>
        </w:pict>
      </w:r>
      <w:r>
        <w:rPr/>
        <w:pict>
          <v:group style="position:absolute;margin-left:302.519897pt;margin-top:1.603747pt;width:11.35pt;height:18.850pt;mso-position-horizontal-relative:page;mso-position-vertical-relative:paragraph;z-index:-287970304" coordorigin="6050,32" coordsize="227,377">
            <v:rect style="position:absolute;left:6050;top:32;width:227;height:169" filled="true" fillcolor="#e08ad6" stroked="false">
              <v:fill type="solid"/>
            </v:rect>
            <v:rect style="position:absolute;left:6050;top:240;width:227;height:169" filled="true" fillcolor="#ffd600" stroked="false">
              <v:fill type="solid"/>
            </v:rect>
            <w10:wrap type="none"/>
          </v:group>
        </w:pict>
      </w:r>
      <w:r>
        <w:rPr/>
        <w:pict>
          <v:group style="position:absolute;margin-left:374.809814pt;margin-top:1.603747pt;width:11.35pt;height:18.850pt;mso-position-horizontal-relative:page;mso-position-vertical-relative:paragraph;z-index:-287969280" coordorigin="7496,32" coordsize="227,377">
            <v:rect style="position:absolute;left:7496;top:32;width:227;height:169" filled="true" fillcolor="#8063a1" stroked="false">
              <v:fill type="solid"/>
            </v:rect>
            <v:rect style="position:absolute;left:7496;top:240;width:227;height:169" filled="true" fillcolor="#000000" stroked="false">
              <v:fill type="solid"/>
            </v:rect>
            <w10:wrap type="none"/>
          </v:group>
        </w:pict>
      </w:r>
      <w:r>
        <w:rPr/>
        <w:pict>
          <v:group style="position:absolute;margin-left:447.099701pt;margin-top:1.603747pt;width:11.35pt;height:18.850pt;mso-position-horizontal-relative:page;mso-position-vertical-relative:paragraph;z-index:-287968256" coordorigin="8942,32" coordsize="227,377">
            <v:rect style="position:absolute;left:8942;top:32;width:227;height:169" filled="true" fillcolor="#c0504d" stroked="false">
              <v:fill type="solid"/>
            </v:rect>
            <v:rect style="position:absolute;left:8942;top:240;width:227;height:169" filled="true" fillcolor="#ffeb8f" stroked="false">
              <v:fill type="solid"/>
            </v:rect>
            <w10:wrap type="none"/>
          </v:group>
        </w:pict>
      </w:r>
      <w:r>
        <w:rPr>
          <w:rFonts w:ascii="Calibri"/>
          <w:sz w:val="12"/>
        </w:rPr>
        <w:t>1</w:t>
      </w:r>
      <w:r>
        <w:rPr>
          <w:rFonts w:ascii="Calibri"/>
          <w:spacing w:val="-7"/>
          <w:sz w:val="12"/>
        </w:rPr>
        <w:t> </w:t>
      </w:r>
      <w:r>
        <w:rPr>
          <w:rFonts w:ascii="Calibri"/>
          <w:sz w:val="12"/>
        </w:rPr>
        <w:t>-</w:t>
      </w:r>
      <w:r>
        <w:rPr>
          <w:rFonts w:ascii="Calibri"/>
          <w:spacing w:val="2"/>
          <w:sz w:val="12"/>
        </w:rPr>
        <w:t> </w:t>
      </w:r>
      <w:r>
        <w:rPr>
          <w:rFonts w:ascii="Calibri"/>
          <w:sz w:val="12"/>
        </w:rPr>
        <w:t>Studying</w:t>
        <w:tab/>
        <w:t>2 -</w:t>
      </w:r>
      <w:r>
        <w:rPr>
          <w:rFonts w:ascii="Calibri"/>
          <w:spacing w:val="-6"/>
          <w:sz w:val="12"/>
        </w:rPr>
        <w:t> </w:t>
      </w:r>
      <w:r>
        <w:rPr>
          <w:rFonts w:ascii="Calibri"/>
          <w:sz w:val="12"/>
        </w:rPr>
        <w:t>Working</w:t>
      </w:r>
      <w:r>
        <w:rPr>
          <w:rFonts w:ascii="Calibri"/>
          <w:spacing w:val="-3"/>
          <w:sz w:val="12"/>
        </w:rPr>
        <w:t> </w:t>
      </w:r>
      <w:r>
        <w:rPr>
          <w:rFonts w:ascii="Calibri"/>
          <w:sz w:val="12"/>
        </w:rPr>
        <w:t>Age</w:t>
        <w:tab/>
        <w:t>3</w:t>
      </w:r>
      <w:r>
        <w:rPr>
          <w:rFonts w:ascii="Calibri"/>
          <w:spacing w:val="-7"/>
          <w:sz w:val="12"/>
        </w:rPr>
        <w:t> </w:t>
      </w:r>
      <w:r>
        <w:rPr>
          <w:rFonts w:ascii="Calibri"/>
          <w:sz w:val="12"/>
        </w:rPr>
        <w:t>-</w:t>
      </w:r>
      <w:r>
        <w:rPr>
          <w:rFonts w:ascii="Calibri"/>
          <w:spacing w:val="1"/>
          <w:sz w:val="12"/>
        </w:rPr>
        <w:t> </w:t>
      </w:r>
      <w:r>
        <w:rPr>
          <w:rFonts w:ascii="Calibri"/>
          <w:sz w:val="12"/>
        </w:rPr>
        <w:t>Parents</w:t>
        <w:tab/>
        <w:t>4</w:t>
      </w:r>
      <w:r>
        <w:rPr>
          <w:rFonts w:ascii="Calibri"/>
          <w:spacing w:val="-8"/>
          <w:sz w:val="12"/>
        </w:rPr>
        <w:t> </w:t>
      </w:r>
      <w:r>
        <w:rPr>
          <w:rFonts w:ascii="Calibri"/>
          <w:sz w:val="12"/>
        </w:rPr>
        <w:t>- Carers</w:t>
        <w:tab/>
        <w:t>5 -</w:t>
      </w:r>
      <w:r>
        <w:rPr>
          <w:rFonts w:ascii="Calibri"/>
          <w:spacing w:val="-2"/>
          <w:sz w:val="12"/>
        </w:rPr>
        <w:t> </w:t>
      </w:r>
      <w:r>
        <w:rPr>
          <w:rFonts w:ascii="Calibri"/>
          <w:sz w:val="12"/>
        </w:rPr>
        <w:t>Disability</w:t>
      </w:r>
      <w:r>
        <w:rPr>
          <w:rFonts w:ascii="Calibri"/>
          <w:spacing w:val="1"/>
          <w:sz w:val="12"/>
        </w:rPr>
        <w:t> </w:t>
      </w:r>
      <w:r>
        <w:rPr>
          <w:rFonts w:ascii="Calibri"/>
          <w:sz w:val="12"/>
        </w:rPr>
        <w:t>Support</w:t>
        <w:tab/>
        <w:t>6 - Pension</w:t>
      </w:r>
      <w:r>
        <w:rPr>
          <w:rFonts w:ascii="Calibri"/>
          <w:spacing w:val="-10"/>
          <w:sz w:val="12"/>
        </w:rPr>
        <w:t> </w:t>
      </w:r>
      <w:r>
        <w:rPr>
          <w:rFonts w:ascii="Calibri"/>
          <w:sz w:val="12"/>
        </w:rPr>
        <w:t>Age</w:t>
      </w:r>
    </w:p>
    <w:p>
      <w:pPr>
        <w:spacing w:after="0"/>
        <w:jc w:val="center"/>
        <w:rPr>
          <w:rFonts w:ascii="Calibri"/>
          <w:sz w:val="12"/>
        </w:rPr>
        <w:sectPr>
          <w:type w:val="continuous"/>
          <w:pgSz w:w="11910" w:h="16850"/>
          <w:pgMar w:top="1600" w:bottom="280" w:left="120" w:right="0"/>
        </w:sectPr>
      </w:pPr>
    </w:p>
    <w:p>
      <w:pPr>
        <w:spacing w:before="62"/>
        <w:ind w:left="0" w:right="0" w:firstLine="0"/>
        <w:jc w:val="right"/>
        <w:rPr>
          <w:rFonts w:ascii="Calibri"/>
          <w:sz w:val="12"/>
        </w:rPr>
      </w:pPr>
      <w:r>
        <w:rPr>
          <w:rFonts w:ascii="Calibri"/>
          <w:sz w:val="12"/>
        </w:rPr>
        <w:t>7 - Non IS Family</w:t>
      </w:r>
    </w:p>
    <w:p>
      <w:pPr>
        <w:pStyle w:val="ListParagraph"/>
        <w:numPr>
          <w:ilvl w:val="0"/>
          <w:numId w:val="29"/>
        </w:numPr>
        <w:tabs>
          <w:tab w:pos="665" w:val="left" w:leader="none"/>
        </w:tabs>
        <w:spacing w:line="240" w:lineRule="auto" w:before="62" w:after="0"/>
        <w:ind w:left="664" w:right="0" w:hanging="82"/>
        <w:jc w:val="left"/>
        <w:rPr>
          <w:rFonts w:ascii="Calibri"/>
          <w:sz w:val="12"/>
        </w:rPr>
      </w:pPr>
      <w:r>
        <w:rPr>
          <w:rFonts w:ascii="Calibri"/>
          <w:w w:val="100"/>
          <w:sz w:val="12"/>
        </w:rPr>
        <w:br w:type="column"/>
      </w:r>
      <w:r>
        <w:rPr>
          <w:rFonts w:ascii="Calibri"/>
          <w:sz w:val="12"/>
        </w:rPr>
        <w:t>- Non IS</w:t>
      </w:r>
      <w:r>
        <w:rPr>
          <w:rFonts w:ascii="Calibri"/>
          <w:spacing w:val="2"/>
          <w:sz w:val="12"/>
        </w:rPr>
        <w:t> </w:t>
      </w:r>
      <w:r>
        <w:rPr>
          <w:rFonts w:ascii="Calibri"/>
          <w:spacing w:val="-3"/>
          <w:sz w:val="12"/>
        </w:rPr>
        <w:t>Carer</w:t>
      </w:r>
    </w:p>
    <w:p>
      <w:pPr>
        <w:pStyle w:val="ListParagraph"/>
        <w:numPr>
          <w:ilvl w:val="0"/>
          <w:numId w:val="29"/>
        </w:numPr>
        <w:tabs>
          <w:tab w:pos="726" w:val="left" w:leader="none"/>
        </w:tabs>
        <w:spacing w:line="240" w:lineRule="auto" w:before="62" w:after="0"/>
        <w:ind w:left="725" w:right="0" w:hanging="82"/>
        <w:jc w:val="left"/>
        <w:rPr>
          <w:rFonts w:ascii="Calibri"/>
          <w:sz w:val="12"/>
        </w:rPr>
      </w:pPr>
      <w:r>
        <w:rPr>
          <w:rFonts w:ascii="Calibri"/>
          <w:w w:val="100"/>
          <w:sz w:val="12"/>
        </w:rPr>
        <w:br w:type="column"/>
      </w:r>
      <w:r>
        <w:rPr>
          <w:rFonts w:ascii="Calibri"/>
          <w:sz w:val="12"/>
        </w:rPr>
        <w:t>- Non IS</w:t>
      </w:r>
      <w:r>
        <w:rPr>
          <w:rFonts w:ascii="Calibri"/>
          <w:spacing w:val="5"/>
          <w:sz w:val="12"/>
        </w:rPr>
        <w:t> </w:t>
      </w:r>
      <w:r>
        <w:rPr>
          <w:rFonts w:ascii="Calibri"/>
          <w:spacing w:val="-3"/>
          <w:sz w:val="12"/>
        </w:rPr>
        <w:t>Other</w:t>
      </w:r>
    </w:p>
    <w:p>
      <w:pPr>
        <w:pStyle w:val="ListParagraph"/>
        <w:numPr>
          <w:ilvl w:val="0"/>
          <w:numId w:val="29"/>
        </w:numPr>
        <w:tabs>
          <w:tab w:pos="759" w:val="left" w:leader="none"/>
        </w:tabs>
        <w:spacing w:line="261" w:lineRule="auto" w:before="62" w:after="0"/>
        <w:ind w:left="620" w:right="0" w:firstLine="0"/>
        <w:jc w:val="left"/>
        <w:rPr>
          <w:rFonts w:ascii="Calibri"/>
          <w:sz w:val="12"/>
        </w:rPr>
      </w:pPr>
      <w:r>
        <w:rPr>
          <w:rFonts w:ascii="Calibri"/>
          <w:w w:val="100"/>
          <w:sz w:val="12"/>
        </w:rPr>
        <w:br w:type="column"/>
      </w:r>
      <w:r>
        <w:rPr>
          <w:rFonts w:ascii="Calibri"/>
          <w:sz w:val="12"/>
        </w:rPr>
        <w:t>- Previous Welfare Recipient</w:t>
      </w:r>
    </w:p>
    <w:p>
      <w:pPr>
        <w:pStyle w:val="ListParagraph"/>
        <w:numPr>
          <w:ilvl w:val="0"/>
          <w:numId w:val="29"/>
        </w:numPr>
        <w:tabs>
          <w:tab w:pos="482" w:val="left" w:leader="none"/>
        </w:tabs>
        <w:spacing w:line="240" w:lineRule="auto" w:before="62" w:after="0"/>
        <w:ind w:left="481" w:right="0" w:hanging="139"/>
        <w:jc w:val="left"/>
        <w:rPr>
          <w:rFonts w:ascii="Calibri"/>
          <w:sz w:val="12"/>
        </w:rPr>
      </w:pPr>
      <w:r>
        <w:rPr>
          <w:rFonts w:ascii="Calibri"/>
          <w:w w:val="100"/>
          <w:sz w:val="12"/>
        </w:rPr>
        <w:br w:type="column"/>
      </w:r>
      <w:r>
        <w:rPr>
          <w:rFonts w:ascii="Calibri"/>
          <w:sz w:val="12"/>
        </w:rPr>
        <w:t>-</w:t>
      </w:r>
      <w:r>
        <w:rPr>
          <w:rFonts w:ascii="Calibri"/>
          <w:spacing w:val="3"/>
          <w:sz w:val="12"/>
        </w:rPr>
        <w:t> </w:t>
      </w:r>
      <w:r>
        <w:rPr>
          <w:rFonts w:ascii="Calibri"/>
          <w:spacing w:val="-5"/>
          <w:sz w:val="12"/>
        </w:rPr>
        <w:t>Dead</w:t>
      </w:r>
    </w:p>
    <w:p>
      <w:pPr>
        <w:pStyle w:val="ListParagraph"/>
        <w:numPr>
          <w:ilvl w:val="0"/>
          <w:numId w:val="29"/>
        </w:numPr>
        <w:tabs>
          <w:tab w:pos="1084" w:val="left" w:leader="none"/>
        </w:tabs>
        <w:spacing w:line="261" w:lineRule="auto" w:before="62" w:after="0"/>
        <w:ind w:left="946" w:right="1889" w:firstLine="0"/>
        <w:jc w:val="left"/>
        <w:rPr>
          <w:rFonts w:ascii="Calibri"/>
          <w:sz w:val="12"/>
        </w:rPr>
      </w:pPr>
      <w:r>
        <w:rPr>
          <w:rFonts w:ascii="Calibri"/>
          <w:w w:val="100"/>
          <w:sz w:val="12"/>
        </w:rPr>
        <w:br w:type="column"/>
      </w:r>
      <w:r>
        <w:rPr>
          <w:rFonts w:ascii="Calibri"/>
          <w:sz w:val="12"/>
        </w:rPr>
        <w:t>- Rest of Aust. Population</w:t>
      </w:r>
    </w:p>
    <w:p>
      <w:pPr>
        <w:spacing w:after="0" w:line="261" w:lineRule="auto"/>
        <w:jc w:val="left"/>
        <w:rPr>
          <w:rFonts w:ascii="Calibri"/>
          <w:sz w:val="12"/>
        </w:rPr>
        <w:sectPr>
          <w:type w:val="continuous"/>
          <w:pgSz w:w="11910" w:h="16850"/>
          <w:pgMar w:top="1600" w:bottom="280" w:left="120" w:right="0"/>
          <w:cols w:num="6" w:equalWidth="0">
            <w:col w:w="2658" w:space="40"/>
            <w:col w:w="1345" w:space="39"/>
            <w:col w:w="1430" w:space="40"/>
            <w:col w:w="1683" w:space="39"/>
            <w:col w:w="804" w:space="40"/>
            <w:col w:w="3672"/>
          </w:cols>
        </w:sectPr>
      </w:pPr>
    </w:p>
    <w:p>
      <w:pPr>
        <w:pStyle w:val="BodyText"/>
        <w:spacing w:before="136"/>
        <w:ind w:left="900" w:right="1284"/>
        <w:jc w:val="both"/>
      </w:pPr>
      <w:r>
        <w:rPr>
          <w:color w:val="404040"/>
        </w:rPr>
        <w:t>We can see that the main classes from which people exit the system are Studying, Working Age and Non IS Family (noting that most people who are on Parenting payments will transition to Family Tax Benefit only, i.e. the Non IS Family class, before exiting the system).</w:t>
      </w:r>
    </w:p>
    <w:p>
      <w:pPr>
        <w:pStyle w:val="BodyText"/>
        <w:spacing w:before="119"/>
        <w:ind w:left="900" w:right="1065"/>
      </w:pPr>
      <w:r>
        <w:rPr>
          <w:color w:val="404040"/>
        </w:rPr>
        <w:t>These charts also illustrate that very few people exit from the Disability Support Pension, Age Pension or Carer classes directly, other than by death. The exits that can be seen from Age Pension in this latest year are increased due to the changes in the Age Pension eligibility criteria relating to the pension assets test.</w:t>
      </w:r>
    </w:p>
    <w:p>
      <w:pPr>
        <w:pStyle w:val="BodyText"/>
        <w:spacing w:before="10"/>
      </w:pPr>
    </w:p>
    <w:p>
      <w:pPr>
        <w:pStyle w:val="Heading4"/>
      </w:pPr>
      <w:bookmarkStart w:name="Transitions within the welfare system" w:id="119"/>
      <w:bookmarkEnd w:id="119"/>
      <w:r>
        <w:rPr/>
      </w:r>
      <w:r>
        <w:rPr>
          <w:color w:val="DF2F28"/>
        </w:rPr>
        <w:t>Transitions within the welfare system</w:t>
      </w:r>
    </w:p>
    <w:p>
      <w:pPr>
        <w:pStyle w:val="BodyText"/>
        <w:spacing w:before="119"/>
        <w:ind w:left="899" w:right="1010"/>
      </w:pPr>
      <w:r>
        <w:rPr>
          <w:color w:val="404040"/>
        </w:rPr>
        <w:t>Apart from overall entrants and exits, the movements of people between the various parts of the welfare system are a key driver of changes in lifetime cost. The following chart shows the number of transitions between three broad categories of payment: income support excluding the Age Pension (IS), non income support (NIS), and the Age Pension (AP) and how this has changed over recent years.</w:t>
      </w:r>
    </w:p>
    <w:p>
      <w:pPr>
        <w:spacing w:after="0"/>
        <w:sectPr>
          <w:type w:val="continuous"/>
          <w:pgSz w:w="11910" w:h="16850"/>
          <w:pgMar w:top="1600" w:bottom="280" w:left="120" w:right="0"/>
        </w:sectPr>
      </w:pPr>
    </w:p>
    <w:p>
      <w:pPr>
        <w:pStyle w:val="BodyText"/>
      </w:pPr>
    </w:p>
    <w:p>
      <w:pPr>
        <w:pStyle w:val="BodyText"/>
      </w:pPr>
    </w:p>
    <w:p>
      <w:pPr>
        <w:pStyle w:val="BodyText"/>
        <w:spacing w:before="5"/>
        <w:rPr>
          <w:sz w:val="21"/>
        </w:rPr>
      </w:pPr>
    </w:p>
    <w:p>
      <w:pPr>
        <w:pStyle w:val="Heading9"/>
      </w:pPr>
      <w:r>
        <w:rPr>
          <w:color w:val="DF2F1E"/>
        </w:rPr>
        <w:t>Figure 27: Movements of people within the welfare system</w:t>
      </w:r>
    </w:p>
    <w:p>
      <w:pPr>
        <w:pStyle w:val="BodyText"/>
        <w:spacing w:before="4"/>
        <w:rPr>
          <w:b/>
          <w:sz w:val="23"/>
        </w:rPr>
      </w:pPr>
    </w:p>
    <w:p>
      <w:pPr>
        <w:spacing w:before="0"/>
        <w:ind w:left="0" w:right="10170" w:firstLine="0"/>
        <w:jc w:val="right"/>
        <w:rPr>
          <w:rFonts w:ascii="Calibri"/>
          <w:sz w:val="15"/>
        </w:rPr>
      </w:pPr>
      <w:r>
        <w:rPr/>
        <w:pict>
          <v:group style="position:absolute;margin-left:93.010689pt;margin-top:-5.652885pt;width:276.8pt;height:160.8pt;mso-position-horizontal-relative:page;mso-position-vertical-relative:paragraph;z-index:251947008" coordorigin="1860,-113" coordsize="5536,3216">
            <v:shape style="position:absolute;left:6335;top:2108;width:1041;height:2" coordorigin="6336,2109" coordsize="1041,0" path="m7256,2109l7376,2109m6336,2109l7142,2109e" filled="false" stroked="true" strokeweight=".62883pt" strokecolor="#d9d9d9">
              <v:path arrowok="t"/>
              <v:stroke dashstyle="solid"/>
            </v:shape>
            <v:rect style="position:absolute;left:6587;top:2202;width:101;height:126" filled="true" fillcolor="#facfb9" stroked="false">
              <v:fill type="solid"/>
            </v:rect>
            <v:rect style="position:absolute;left:6726;top:2202;width:114;height:126" filled="true" fillcolor="#f8b590" stroked="false">
              <v:fill type="solid"/>
            </v:rect>
            <v:rect style="position:absolute;left:6865;top:2215;width:114;height:114" filled="true" fillcolor="#f79546" stroked="false">
              <v:fill type="solid"/>
            </v:rect>
            <v:line style="position:absolute" from="7061,2127" to="7061,2329" stroked="true" strokeweight="5.673113pt" strokecolor="#db843c">
              <v:stroke dashstyle="solid"/>
            </v:line>
            <v:shape style="position:absolute;left:1879;top:322;width:4356;height:1786" coordorigin="1879,323" coordsize="4356,1786" path="m6197,2109l6235,2109m6058,2109l6084,2109m5920,2109l5945,2109m5781,2109l5806,2109m5289,2109l5667,2109m5781,1882l5806,1882m5138,1882l5667,1882m5781,1668l5806,1668m4508,1668l5667,1668m5781,1442l5806,1442m4369,1442l5667,1442m5781,1216l5806,1216m4369,1216l5667,1216m5781,1002l5806,1002m4369,1002l5667,1002m5781,775l5806,775m3310,775l5667,775m5781,549l5806,549m3171,549l5667,549m5781,323l6084,323m1879,323l5667,323e" filled="false" stroked="true" strokeweight=".62883pt" strokecolor="#d9d9d9">
              <v:path arrowok="t"/>
              <v:stroke dashstyle="solid"/>
            </v:shape>
            <v:line style="position:absolute" from="5724,166" to="5724,2329" stroked="true" strokeweight="5.673111pt" strokecolor="#facfb9">
              <v:stroke dashstyle="solid"/>
            </v:line>
            <v:shape style="position:absolute;left:1879;top:549;width:1179;height:1560" coordorigin="1879,549" coordsize="1179,1560" path="m3033,2109l3058,2109m1879,2109l2919,2109m3033,1882l3058,1882m1879,1882l2919,1882m3033,1668l3058,1668m1879,1668l2919,1668m3033,1442l3058,1442m1879,1442l2919,1442m3033,1216l3058,1216m1879,1216l2919,1216m3033,1002l3058,1002m1879,1002l2919,1002m3033,775l3058,775m1879,775l2919,775m3033,549l3058,549m1879,549l2919,549e" filled="false" stroked="true" strokeweight=".62883pt" strokecolor="#d9d9d9">
              <v:path arrowok="t"/>
              <v:stroke dashstyle="solid"/>
            </v:shape>
            <v:line style="position:absolute" from="2976,430" to="2976,2329" stroked="true" strokeweight="5.673111pt" strokecolor="#facfb9">
              <v:stroke dashstyle="solid"/>
            </v:line>
            <v:rect style="position:absolute;left:1998;top:2278;width:114;height:51" filled="true" fillcolor="#facfb9" stroked="false">
              <v:fill type="solid"/>
            </v:rect>
            <v:rect style="position:absolute;left:2137;top:2290;width:114;height:38" filled="true" fillcolor="#f8b590" stroked="false">
              <v:fill type="solid"/>
            </v:rect>
            <v:shape style="position:absolute;left:3171;top:775;width:26;height:1334" coordorigin="3171,775" coordsize="26,1334" path="m3171,2109l3197,2109m3171,1882l3197,1882m3171,1668l3197,1668m3171,1442l3197,1442m3171,1216l3197,1216m3171,1002l3197,1002m3171,775l3197,775e" filled="false" stroked="true" strokeweight=".62883pt" strokecolor="#d9d9d9">
              <v:path arrowok="t"/>
              <v:stroke dashstyle="solid"/>
            </v:shape>
            <v:line style="position:absolute" from="3115,493" to="3115,2329" stroked="true" strokeweight="5.673089pt" strokecolor="#f8b590">
              <v:stroke dashstyle="solid"/>
            </v:line>
            <v:shape style="position:absolute;left:3587;top:1442;width:530;height:667" coordorigin="3587,1442" coordsize="530,667" path="m4092,2109l4117,2109m3940,2109l3978,2109m3587,2109l3839,2109m3940,1882l3978,1882m3587,1882l3839,1882m3940,1668l3978,1668m3587,1668l3839,1668m3940,1442l3978,1442m3587,1442l3839,1442e" filled="false" stroked="true" strokeweight=".62883pt" strokecolor="#d9d9d9">
              <v:path arrowok="t"/>
              <v:stroke dashstyle="solid"/>
            </v:shape>
            <v:line style="position:absolute" from="3890,1310" to="3890,2329" stroked="true" strokeweight="5.042766pt" strokecolor="#facfb9">
              <v:stroke dashstyle="solid"/>
            </v:line>
            <v:shape style="position:absolute;left:3448;top:1001;width:669;height:881" coordorigin="3449,1002" coordsize="669,881" path="m4092,1882l4117,1882m4092,1668l4117,1668m4092,1442l4117,1442m4092,1216l4117,1216m3587,1216l3978,1216m4092,1002l4117,1002m3449,1002l3978,1002e" filled="false" stroked="true" strokeweight=".62883pt" strokecolor="#d9d9d9">
              <v:path arrowok="t"/>
              <v:stroke dashstyle="solid"/>
            </v:shape>
            <v:line style="position:absolute" from="4035,908" to="4035,2329" stroked="true" strokeweight="5.673089pt" strokecolor="#f8b590">
              <v:stroke dashstyle="solid"/>
            </v:line>
            <v:shape style="position:absolute;left:4507;top:1882;width:530;height:227" coordorigin="4508,1882" coordsize="530,227" path="m4999,2109l5037,2109m4861,2109l4886,2109m4508,2109l4747,2109m4861,1882l4886,1882m4508,1882l4747,1882e" filled="false" stroked="true" strokeweight=".62883pt" strokecolor="#d9d9d9">
              <v:path arrowok="t"/>
              <v:stroke dashstyle="solid"/>
            </v:shape>
            <v:line style="position:absolute" from="4804,1800" to="4804,2329" stroked="true" strokeweight="5.673111pt" strokecolor="#facfb9">
              <v:stroke dashstyle="solid"/>
            </v:line>
            <v:line style="position:absolute" from="4999,1882" to="5037,1882" stroked="true" strokeweight=".62883pt" strokecolor="#d9d9d9">
              <v:stroke dashstyle="solid"/>
            </v:line>
            <v:line style="position:absolute" from="4943,1826" to="4943,2329" stroked="true" strokeweight="5.673089pt" strokecolor="#f8b590">
              <v:stroke dashstyle="solid"/>
            </v:line>
            <v:shape style="position:absolute;left:5919;top:549;width:26;height:1334" coordorigin="5920,549" coordsize="26,1334" path="m5920,1882l5945,1882m5920,1668l5945,1668m5920,1442l5945,1442m5920,1216l5945,1216m5920,1002l5945,1002m5920,775l5945,775m5920,549l5945,549e" filled="false" stroked="true" strokeweight=".62883pt" strokecolor="#d9d9d9">
              <v:path arrowok="t"/>
              <v:stroke dashstyle="solid"/>
            </v:shape>
            <v:line style="position:absolute" from="5863,379" to="5863,2329" stroked="true" strokeweight="5.673089pt" strokecolor="#f8b590">
              <v:stroke dashstyle="solid"/>
            </v:line>
            <v:rect style="position:absolute;left:2288;top:2290;width:101;height:38" filled="true" fillcolor="#f79546" stroked="false">
              <v:fill type="solid"/>
            </v:rect>
            <v:shape style="position:absolute;left:3310;top:1001;width:26;height:1107" coordorigin="3310,1002" coordsize="26,1107" path="m3310,2109l3335,2109m3310,1882l3335,1882m3310,1668l3335,1668m3310,1442l3335,1442m3310,1216l3335,1216m3310,1002l3335,1002e" filled="false" stroked="true" strokeweight=".62883pt" strokecolor="#d9d9d9">
              <v:path arrowok="t"/>
              <v:stroke dashstyle="solid"/>
            </v:shape>
            <v:line style="position:absolute" from="3253,606" to="3253,2329" stroked="true" strokeweight="5.673135pt" strokecolor="#f79546">
              <v:stroke dashstyle="solid"/>
            </v:line>
            <v:shape style="position:absolute;left:4230;top:1001;width:26;height:1107" coordorigin="4230,1002" coordsize="26,1107" path="m4230,2109l4256,2109m4230,1882l4256,1882m4230,1668l4256,1668m4230,1442l4256,1442m4230,1216l4256,1216m4230,1002l4256,1002e" filled="false" stroked="true" strokeweight=".62883pt" strokecolor="#d9d9d9">
              <v:path arrowok="t"/>
              <v:stroke dashstyle="solid"/>
            </v:shape>
            <v:line style="position:absolute" from="4174,945" to="4174,2329" stroked="true" strokeweight="5.673127pt" strokecolor="#f79546">
              <v:stroke dashstyle="solid"/>
            </v:line>
            <v:line style="position:absolute" from="5138,2109" to="5176,2109" stroked="true" strokeweight=".62883pt" strokecolor="#d9d9d9">
              <v:stroke dashstyle="solid"/>
            </v:line>
            <v:line style="position:absolute" from="5088,1876" to="5088,2329" stroked="true" strokeweight="5.042780pt" strokecolor="#f79546">
              <v:stroke dashstyle="solid"/>
            </v:line>
            <v:shape style="position:absolute;left:6058;top:549;width:26;height:1334" coordorigin="6058,549" coordsize="26,1334" path="m6058,1882l6084,1882m6058,1668l6084,1668m6058,1442l6084,1442m6058,1216l6084,1216m6058,1002l6084,1002m6058,775l6084,775m6058,549l6084,549e" filled="false" stroked="true" strokeweight=".62883pt" strokecolor="#d9d9d9">
              <v:path arrowok="t"/>
              <v:stroke dashstyle="solid"/>
            </v:shape>
            <v:line style="position:absolute" from="6002,342" to="6002,2329" stroked="true" strokeweight="5.673135pt" strokecolor="#f79546">
              <v:stroke dashstyle="solid"/>
            </v:line>
            <v:rect style="position:absolute;left:2427;top:2290;width:101;height:38" filled="true" fillcolor="#db843c" stroked="false">
              <v:fill type="solid"/>
            </v:rect>
            <v:shape style="position:absolute;left:3448;top:1215;width:38;height:893" coordorigin="3449,1216" coordsize="38,893" path="m3449,2109l3486,2109m3449,1882l3486,1882m3449,1668l3486,1668m3449,1442l3486,1442m3449,1216l3486,1216e" filled="false" stroked="true" strokeweight=".62883pt" strokecolor="#d9d9d9">
              <v:path arrowok="t"/>
              <v:stroke dashstyle="solid"/>
            </v:shape>
            <v:line style="position:absolute" from="3392,807" to="3392,2329" stroked="true" strokeweight="5.673113pt" strokecolor="#db843c">
              <v:stroke dashstyle="solid"/>
            </v:line>
            <v:shape style="position:absolute;left:4368;top:1668;width:26;height:441" coordorigin="4369,1668" coordsize="26,441" path="m4369,2109l4394,2109m4369,1882l4394,1882m4369,1668l4394,1668e" filled="false" stroked="true" strokeweight=".62883pt" strokecolor="#d9d9d9">
              <v:path arrowok="t"/>
              <v:stroke dashstyle="solid"/>
            </v:shape>
            <v:shape style="position:absolute;left:4312;top:995;width:921;height:1334" coordorigin="4312,996" coordsize="921,1334" path="m4312,996l4312,2329m5233,2052l5233,2329e" filled="false" stroked="true" strokeweight="5.673113pt" strokecolor="#db843c">
              <v:path arrowok="t"/>
              <v:stroke dashstyle="solid"/>
            </v:shape>
            <v:shape style="position:absolute;left:6196;top:322;width:38;height:1560" coordorigin="6197,323" coordsize="38,1560" path="m6197,1882l6235,1882m6197,1668l6235,1668m6197,1442l6235,1442m6197,1216l6235,1216m6197,1002l6235,1002m6197,775l6235,775m6197,549l6235,549m6197,323l6235,323e" filled="false" stroked="true" strokeweight=".62883pt" strokecolor="#d9d9d9">
              <v:path arrowok="t"/>
              <v:stroke dashstyle="solid"/>
            </v:shape>
            <v:line style="position:absolute" from="6140,203" to="6140,2329" stroked="true" strokeweight="5.673113pt" strokecolor="#db843c">
              <v:stroke dashstyle="solid"/>
            </v:line>
            <v:rect style="position:absolute;left:2566;top:2303;width:114;height:26" filled="true" fillcolor="#b96f31" stroked="false">
              <v:fill type="solid"/>
            </v:rect>
            <v:line style="position:absolute" from="3537,1033" to="3537,2329" stroked="true" strokeweight="5.042743pt" strokecolor="#b96f31">
              <v:stroke dashstyle="solid"/>
            </v:line>
            <v:shape style="position:absolute;left:4450;top:1649;width:921;height:680" coordorigin="4451,1650" coordsize="921,680" path="m4451,1650l4451,2329m5371,2140l5371,2329e" filled="false" stroked="true" strokeweight="5.67309pt" strokecolor="#b96f31">
              <v:path arrowok="t"/>
              <v:stroke dashstyle="solid"/>
            </v:shape>
            <v:shape style="position:absolute;left:6335;top:322;width:1041;height:1560" coordorigin="6336,323" coordsize="1041,1560" path="m6336,1882l7142,1882m6336,1668l7142,1668m6336,1442l7142,1442m6336,1216l7142,1216m6336,1002l7142,1002m6336,775l7142,775m6336,549l7142,549m6336,323l7376,323e" filled="false" stroked="true" strokeweight=".62883pt" strokecolor="#d9d9d9">
              <v:path arrowok="t"/>
              <v:stroke dashstyle="solid"/>
            </v:shape>
            <v:line style="position:absolute" from="6285,140" to="6285,2329" stroked="true" strokeweight="5.042752pt" strokecolor="#b96f31">
              <v:stroke dashstyle="solid"/>
            </v:line>
            <v:shape style="position:absolute;left:7255;top:549;width:120;height:1334" coordorigin="7256,549" coordsize="120,1334" path="m7256,1882l7376,1882m7256,1668l7376,1668m7256,1442l7376,1442m7256,1216l7376,1216m7256,1002l7376,1002m7256,775l7376,775m7256,549l7376,549e" filled="false" stroked="true" strokeweight=".62883pt" strokecolor="#d9d9d9">
              <v:path arrowok="t"/>
              <v:stroke dashstyle="solid"/>
            </v:shape>
            <v:line style="position:absolute" from="7199,455" to="7199,2329" stroked="true" strokeweight="5.67309pt" strokecolor="#b96f31">
              <v:stroke dashstyle="solid"/>
            </v:line>
            <v:shape style="position:absolute;left:0;top:-19742;width:654000;height:34500" coordorigin="0,-19742" coordsize="654000,34500" path="m1879,2335l7376,2335m1879,2335l1879,2624m3707,2335l3707,2624m5548,2335l5548,2624m7376,2335l7376,2624e" filled="false" stroked="true" strokeweight=".629588pt" strokecolor="#d9d9d9">
              <v:path arrowok="t"/>
              <v:stroke dashstyle="solid"/>
            </v:shape>
            <v:shape style="position:absolute;left:0;top:-41797;width:648891;height:56555" coordorigin="0,-41796" coordsize="648891,56555" path="m1879,2624l1879,3102m3707,2624l3707,3102m5548,2624l5548,3102m7376,2624l7376,3102e" filled="false" stroked="true" strokeweight=".629587pt" strokecolor="#d9d9d9">
              <v:path arrowok="t"/>
              <v:stroke dashstyle="solid"/>
            </v:shape>
            <v:shape style="position:absolute;left:2896;top:276;width:781;height:970" coordorigin="2896,276" coordsize="781,970" path="m2954,298l2996,280,3046,276,3103,288,3164,313,3229,351,3296,401,3362,462,3428,534,3491,615,3547,700,3594,785,3631,868,3657,947,3672,1020,3676,1087,3669,1144,3650,1190,3618,1223,3576,1242,3526,1246,3470,1234,3408,1209,3344,1171,3277,1121,3210,1059,3145,988,3082,907,3025,822,2979,737,2942,654,2916,575,2900,501,2896,435,2904,378,2923,332,2954,298xe" filled="false" stroked="true" strokeweight=".629529pt" strokecolor="#7e7e7e">
              <v:path arrowok="t"/>
              <v:stroke dashstyle="solid"/>
            </v:shape>
            <v:shape style="position:absolute;left:3925;top:841;width:566;height:300" coordorigin="3926,842" coordsize="566,300" path="m3926,886l3953,857,4005,842,4075,842,4158,855,4249,883,4337,922,4409,966,4461,1012,4491,1097,4464,1126,4413,1141,4343,1142,4259,1128,4168,1100,4081,1061,4009,1017,3956,971,3926,886xe" filled="false" stroked="true" strokeweight=".629241pt" strokecolor="#7e7e7e">
              <v:path arrowok="t"/>
              <v:stroke dashstyle="solid"/>
            </v:shape>
            <v:shape style="position:absolute;left:7041;top:329;width:341;height:290" type="#_x0000_t75" stroked="false">
              <v:imagedata r:id="rId58" o:title=""/>
            </v:shape>
            <v:shape style="position:absolute;left:1866;top:2171;width:1059;height:239" coordorigin="1867,2171" coordsize="1059,239" path="m1867,2291l1908,2244,2022,2206,2100,2192,2190,2181,2289,2174,2396,2171,2503,2174,2602,2181,2692,2192,2770,2206,2835,2224,2915,2267,2925,2291,2915,2315,2835,2358,2770,2375,2692,2390,2602,2401,2503,2408,2396,2410,2289,2408,2190,2401,2100,2390,2022,2375,1957,2358,1877,2315,1867,2291xe" filled="false" stroked="true" strokeweight=".628906pt" strokecolor="#7e7e7e">
              <v:path arrowok="t"/>
              <v:stroke dashstyle="solid"/>
            </v:shape>
            <v:shape style="position:absolute;left:4671;top:1688;width:581;height:442" coordorigin="4672,1689" coordsize="581,442" path="m4686,1748l4729,1708,4793,1689,4872,1690,4960,1713,5052,1756,5134,1815,5197,1881,5237,1949,5252,2014,5237,2071,5195,2111,5131,2130,5052,2128,4963,2106,4871,2063,4789,2004,4726,1938,4686,1870,4672,1805,4686,1748xe" filled="false" stroked="true" strokeweight=".629486pt" strokecolor="#7e7e7e">
              <v:path arrowok="t"/>
              <v:stroke dashstyle="solid"/>
            </v:shape>
            <v:shape style="position:absolute;left:4268;top:1574;width:353;height:290" type="#_x0000_t75" stroked="false">
              <v:imagedata r:id="rId59" o:title=""/>
            </v:shape>
            <v:line style="position:absolute" from="4438,992" to="5016,952" stroked="true" strokeweight=".628861pt" strokecolor="#7e7e7e">
              <v:stroke dashstyle="solid"/>
            </v:line>
            <v:line style="position:absolute" from="4842,1690" to="5206,1077" stroked="true" strokeweight=".629936pt" strokecolor="#7e7e7e">
              <v:stroke dashstyle="solid"/>
            </v:line>
            <v:shape style="position:absolute;left:5238;top:2064;width:353;height:290" type="#_x0000_t75" stroked="false">
              <v:imagedata r:id="rId59" o:title=""/>
            </v:shape>
            <v:line style="position:absolute" from="4527,1857" to="4574,2095" stroked="true" strokeweight=".630335pt" strokecolor="#7e7e7e">
              <v:stroke dashstyle="solid"/>
            </v:line>
            <v:line style="position:absolute" from="4747,2230" to="5236,2230" stroked="true" strokeweight="2.673752pt" strokecolor="#7e7e7e">
              <v:stroke dashstyle="solid"/>
            </v:line>
            <v:shape style="position:absolute;left:1879;top:-114;width:5517;height:1177" type="#_x0000_t202" filled="false" stroked="false">
              <v:textbox inset="0,0,0,0">
                <w:txbxContent>
                  <w:p>
                    <w:pPr>
                      <w:tabs>
                        <w:tab w:pos="3920" w:val="left" w:leader="none"/>
                        <w:tab w:pos="5496" w:val="left" w:leader="none"/>
                      </w:tabs>
                      <w:spacing w:line="208" w:lineRule="exact" w:before="0"/>
                      <w:ind w:left="0" w:right="0" w:firstLine="0"/>
                      <w:jc w:val="left"/>
                      <w:rPr>
                        <w:rFonts w:ascii="Calibri"/>
                        <w:sz w:val="24"/>
                      </w:rPr>
                    </w:pPr>
                    <w:r>
                      <w:rPr>
                        <w:rFonts w:ascii="Calibri"/>
                        <w:color w:val="7E7E7E"/>
                        <w:w w:val="99"/>
                        <w:sz w:val="24"/>
                        <w:u w:val="single" w:color="D9D9D9"/>
                      </w:rPr>
                      <w:t> </w:t>
                    </w:r>
                    <w:r>
                      <w:rPr>
                        <w:rFonts w:ascii="Calibri"/>
                        <w:color w:val="7E7E7E"/>
                        <w:sz w:val="24"/>
                        <w:u w:val="single" w:color="D9D9D9"/>
                      </w:rPr>
                      <w:tab/>
                      <w:t>c)</w:t>
                      <w:tab/>
                    </w:r>
                  </w:p>
                  <w:p>
                    <w:pPr>
                      <w:spacing w:line="258" w:lineRule="exact" w:before="0"/>
                      <w:ind w:left="5087" w:right="0" w:firstLine="0"/>
                      <w:jc w:val="left"/>
                      <w:rPr>
                        <w:rFonts w:ascii="Calibri"/>
                        <w:sz w:val="24"/>
                      </w:rPr>
                    </w:pPr>
                    <w:r>
                      <w:rPr>
                        <w:rFonts w:ascii="Calibri"/>
                        <w:color w:val="7E7E7E"/>
                        <w:sz w:val="24"/>
                      </w:rPr>
                      <w:t>d)</w:t>
                    </w:r>
                  </w:p>
                  <w:p>
                    <w:pPr>
                      <w:spacing w:before="31"/>
                      <w:ind w:left="1642" w:right="0" w:firstLine="0"/>
                      <w:jc w:val="left"/>
                      <w:rPr>
                        <w:rFonts w:ascii="Calibri"/>
                        <w:sz w:val="24"/>
                      </w:rPr>
                    </w:pPr>
                    <w:r>
                      <w:rPr>
                        <w:rFonts w:ascii="Calibri"/>
                        <w:color w:val="7E7E7E"/>
                        <w:sz w:val="24"/>
                      </w:rPr>
                      <w:t>a)</w:t>
                    </w:r>
                  </w:p>
                  <w:p>
                    <w:pPr>
                      <w:spacing w:line="288" w:lineRule="exact" w:before="98"/>
                      <w:ind w:left="3257" w:right="0" w:firstLine="0"/>
                      <w:jc w:val="left"/>
                      <w:rPr>
                        <w:rFonts w:ascii="Calibri"/>
                        <w:sz w:val="24"/>
                      </w:rPr>
                    </w:pPr>
                    <w:r>
                      <w:rPr>
                        <w:rFonts w:ascii="Calibri"/>
                        <w:color w:val="7E7E7E"/>
                        <w:sz w:val="24"/>
                      </w:rPr>
                      <w:t>b)</w:t>
                    </w:r>
                  </w:p>
                </w:txbxContent>
              </v:textbox>
              <w10:wrap type="none"/>
            </v:shape>
            <v:shape style="position:absolute;left:2211;top:1947;width:171;height:239" type="#_x0000_t202" filled="false" stroked="false">
              <v:textbox inset="0,0,0,0">
                <w:txbxContent>
                  <w:p>
                    <w:pPr>
                      <w:spacing w:line="239" w:lineRule="exact" w:before="0"/>
                      <w:ind w:left="0" w:right="0" w:firstLine="0"/>
                      <w:jc w:val="left"/>
                      <w:rPr>
                        <w:rFonts w:ascii="Calibri"/>
                        <w:sz w:val="24"/>
                      </w:rPr>
                    </w:pPr>
                    <w:r>
                      <w:rPr>
                        <w:rFonts w:ascii="Calibri"/>
                        <w:color w:val="7E7E7E"/>
                        <w:sz w:val="24"/>
                      </w:rPr>
                      <w:t>f)</w:t>
                    </w:r>
                  </w:p>
                </w:txbxContent>
              </v:textbox>
              <w10:wrap type="none"/>
            </v:shape>
            <v:shape style="position:absolute;left:4542;top:2111;width:201;height:239" type="#_x0000_t202" filled="false" stroked="false">
              <v:textbox inset="0,0,0,0">
                <w:txbxContent>
                  <w:p>
                    <w:pPr>
                      <w:spacing w:line="239" w:lineRule="exact" w:before="0"/>
                      <w:ind w:left="0" w:right="0" w:firstLine="0"/>
                      <w:jc w:val="left"/>
                      <w:rPr>
                        <w:rFonts w:ascii="Calibri"/>
                        <w:sz w:val="24"/>
                      </w:rPr>
                    </w:pPr>
                    <w:r>
                      <w:rPr>
                        <w:rFonts w:ascii="Calibri"/>
                        <w:color w:val="7E7E7E"/>
                        <w:sz w:val="24"/>
                      </w:rPr>
                      <w:t>e)</w:t>
                    </w:r>
                  </w:p>
                </w:txbxContent>
              </v:textbox>
              <w10:wrap type="none"/>
            </v:shape>
            <v:shape style="position:absolute;left:2076;top:2454;width:1478;height:151" type="#_x0000_t202" filled="false" stroked="false">
              <v:textbox inset="0,0,0,0">
                <w:txbxContent>
                  <w:p>
                    <w:pPr>
                      <w:tabs>
                        <w:tab w:pos="896" w:val="left" w:leader="none"/>
                      </w:tabs>
                      <w:spacing w:line="151" w:lineRule="exact" w:before="0"/>
                      <w:ind w:left="0" w:right="0" w:firstLine="0"/>
                      <w:jc w:val="left"/>
                      <w:rPr>
                        <w:rFonts w:ascii="Calibri"/>
                        <w:sz w:val="15"/>
                      </w:rPr>
                    </w:pPr>
                    <w:r>
                      <w:rPr>
                        <w:rFonts w:ascii="Calibri"/>
                        <w:color w:val="585858"/>
                        <w:sz w:val="15"/>
                      </w:rPr>
                      <w:t>From</w:t>
                    </w:r>
                    <w:r>
                      <w:rPr>
                        <w:rFonts w:ascii="Calibri"/>
                        <w:color w:val="585858"/>
                        <w:spacing w:val="-4"/>
                        <w:sz w:val="15"/>
                      </w:rPr>
                      <w:t> </w:t>
                    </w:r>
                    <w:r>
                      <w:rPr>
                        <w:rFonts w:ascii="Calibri"/>
                        <w:color w:val="585858"/>
                        <w:sz w:val="15"/>
                      </w:rPr>
                      <w:t>AP</w:t>
                      <w:tab/>
                      <w:t>From</w:t>
                    </w:r>
                    <w:r>
                      <w:rPr>
                        <w:rFonts w:ascii="Calibri"/>
                        <w:color w:val="585858"/>
                        <w:spacing w:val="-1"/>
                        <w:sz w:val="15"/>
                      </w:rPr>
                      <w:t> </w:t>
                    </w:r>
                    <w:r>
                      <w:rPr>
                        <w:rFonts w:ascii="Calibri"/>
                        <w:color w:val="585858"/>
                        <w:sz w:val="15"/>
                      </w:rPr>
                      <w:t>NIS</w:t>
                    </w:r>
                  </w:p>
                </w:txbxContent>
              </v:textbox>
              <w10:wrap type="none"/>
            </v:shape>
            <v:shape style="position:absolute;left:3938;top:2454;width:481;height:151" type="#_x0000_t202" filled="false" stroked="false">
              <v:textbox inset="0,0,0,0">
                <w:txbxContent>
                  <w:p>
                    <w:pPr>
                      <w:spacing w:line="151" w:lineRule="exact" w:before="0"/>
                      <w:ind w:left="0" w:right="0" w:firstLine="0"/>
                      <w:jc w:val="left"/>
                      <w:rPr>
                        <w:rFonts w:ascii="Calibri"/>
                        <w:sz w:val="15"/>
                      </w:rPr>
                    </w:pPr>
                    <w:r>
                      <w:rPr>
                        <w:rFonts w:ascii="Calibri"/>
                        <w:color w:val="585858"/>
                        <w:sz w:val="15"/>
                      </w:rPr>
                      <w:t>From IS</w:t>
                    </w:r>
                  </w:p>
                </w:txbxContent>
              </v:textbox>
              <w10:wrap type="none"/>
            </v:shape>
            <v:shape style="position:absolute;left:4806;top:2454;width:582;height:151" type="#_x0000_t202" filled="false" stroked="false">
              <v:textbox inset="0,0,0,0">
                <w:txbxContent>
                  <w:p>
                    <w:pPr>
                      <w:spacing w:line="151" w:lineRule="exact" w:before="0"/>
                      <w:ind w:left="0" w:right="0" w:firstLine="0"/>
                      <w:jc w:val="left"/>
                      <w:rPr>
                        <w:rFonts w:ascii="Calibri"/>
                        <w:sz w:val="15"/>
                      </w:rPr>
                    </w:pPr>
                    <w:r>
                      <w:rPr>
                        <w:rFonts w:ascii="Calibri"/>
                        <w:color w:val="585858"/>
                        <w:sz w:val="15"/>
                      </w:rPr>
                      <w:t>From NIS</w:t>
                    </w:r>
                  </w:p>
                </w:txbxContent>
              </v:textbox>
              <w10:wrap type="none"/>
            </v:shape>
            <v:shape style="position:absolute;left:5771;top:2454;width:481;height:151" type="#_x0000_t202" filled="false" stroked="false">
              <v:textbox inset="0,0,0,0">
                <w:txbxContent>
                  <w:p>
                    <w:pPr>
                      <w:spacing w:line="151" w:lineRule="exact" w:before="0"/>
                      <w:ind w:left="0" w:right="0" w:firstLine="0"/>
                      <w:jc w:val="left"/>
                      <w:rPr>
                        <w:rFonts w:ascii="Calibri"/>
                        <w:sz w:val="15"/>
                      </w:rPr>
                    </w:pPr>
                    <w:r>
                      <w:rPr>
                        <w:rFonts w:ascii="Calibri"/>
                        <w:color w:val="585858"/>
                        <w:sz w:val="15"/>
                      </w:rPr>
                      <w:t>From IS</w:t>
                    </w:r>
                  </w:p>
                </w:txbxContent>
              </v:textbox>
              <w10:wrap type="none"/>
            </v:shape>
            <v:shape style="position:absolute;left:6658;top:2454;width:540;height:151" type="#_x0000_t202" filled="false" stroked="false">
              <v:textbox inset="0,0,0,0">
                <w:txbxContent>
                  <w:p>
                    <w:pPr>
                      <w:spacing w:line="151" w:lineRule="exact" w:before="0"/>
                      <w:ind w:left="0" w:right="0" w:firstLine="0"/>
                      <w:jc w:val="left"/>
                      <w:rPr>
                        <w:rFonts w:ascii="Calibri"/>
                        <w:sz w:val="15"/>
                      </w:rPr>
                    </w:pPr>
                    <w:r>
                      <w:rPr>
                        <w:rFonts w:ascii="Calibri"/>
                        <w:color w:val="585858"/>
                        <w:sz w:val="15"/>
                      </w:rPr>
                      <w:t>From AP</w:t>
                    </w:r>
                  </w:p>
                </w:txbxContent>
              </v:textbox>
              <w10:wrap type="none"/>
            </v:shape>
            <v:shape style="position:absolute;left:1973;top:2747;width:5374;height:336" type="#_x0000_t202" filled="false" stroked="false">
              <v:textbox inset="0,0,0,0">
                <w:txbxContent>
                  <w:p>
                    <w:pPr>
                      <w:spacing w:line="153" w:lineRule="exact" w:before="0"/>
                      <w:ind w:left="76" w:right="0" w:firstLine="0"/>
                      <w:jc w:val="left"/>
                      <w:rPr>
                        <w:rFonts w:ascii="Calibri"/>
                        <w:sz w:val="15"/>
                      </w:rPr>
                    </w:pPr>
                    <w:r>
                      <w:rPr>
                        <w:rFonts w:ascii="Calibri"/>
                        <w:color w:val="585858"/>
                        <w:sz w:val="15"/>
                      </w:rPr>
                      <w:t>Transitions onto Income Transitions onto Age Pension Transition onto Non Income</w:t>
                    </w:r>
                  </w:p>
                  <w:p>
                    <w:pPr>
                      <w:tabs>
                        <w:tab w:pos="4242" w:val="left" w:leader="none"/>
                      </w:tabs>
                      <w:spacing w:line="181" w:lineRule="exact" w:before="1"/>
                      <w:ind w:left="0" w:right="0" w:firstLine="0"/>
                      <w:jc w:val="left"/>
                      <w:rPr>
                        <w:rFonts w:ascii="Calibri"/>
                        <w:sz w:val="15"/>
                      </w:rPr>
                    </w:pPr>
                    <w:r>
                      <w:rPr>
                        <w:rFonts w:ascii="Calibri"/>
                        <w:color w:val="585858"/>
                        <w:sz w:val="15"/>
                      </w:rPr>
                      <w:t>Support (excl</w:t>
                    </w:r>
                    <w:r>
                      <w:rPr>
                        <w:rFonts w:ascii="Calibri"/>
                        <w:color w:val="585858"/>
                        <w:spacing w:val="3"/>
                        <w:sz w:val="15"/>
                      </w:rPr>
                      <w:t> </w:t>
                    </w:r>
                    <w:r>
                      <w:rPr>
                        <w:rFonts w:ascii="Calibri"/>
                        <w:color w:val="585858"/>
                        <w:sz w:val="15"/>
                      </w:rPr>
                      <w:t>Age</w:t>
                    </w:r>
                    <w:r>
                      <w:rPr>
                        <w:rFonts w:ascii="Calibri"/>
                        <w:color w:val="585858"/>
                        <w:spacing w:val="-7"/>
                        <w:sz w:val="15"/>
                      </w:rPr>
                      <w:t> </w:t>
                    </w:r>
                    <w:r>
                      <w:rPr>
                        <w:rFonts w:ascii="Calibri"/>
                        <w:color w:val="585858"/>
                        <w:sz w:val="15"/>
                      </w:rPr>
                      <w:t>Pension)</w:t>
                      <w:tab/>
                      <w:t>Support</w:t>
                    </w:r>
                  </w:p>
                </w:txbxContent>
              </v:textbox>
              <w10:wrap type="none"/>
            </v:shape>
            <w10:wrap type="none"/>
          </v:group>
        </w:pict>
      </w:r>
      <w:r>
        <w:rPr>
          <w:rFonts w:ascii="Calibri"/>
          <w:color w:val="585858"/>
          <w:spacing w:val="-2"/>
          <w:sz w:val="15"/>
        </w:rPr>
        <w:t>100,000</w:t>
      </w:r>
    </w:p>
    <w:p>
      <w:pPr>
        <w:spacing w:before="40"/>
        <w:ind w:left="0" w:right="10169" w:firstLine="0"/>
        <w:jc w:val="right"/>
        <w:rPr>
          <w:rFonts w:ascii="Calibri"/>
          <w:sz w:val="15"/>
        </w:rPr>
      </w:pPr>
      <w:r>
        <w:rPr>
          <w:rFonts w:ascii="Calibri"/>
          <w:color w:val="585858"/>
          <w:spacing w:val="-2"/>
          <w:sz w:val="15"/>
        </w:rPr>
        <w:t>90,000</w:t>
      </w:r>
    </w:p>
    <w:p>
      <w:pPr>
        <w:spacing w:before="39"/>
        <w:ind w:left="0" w:right="10169" w:firstLine="0"/>
        <w:jc w:val="right"/>
        <w:rPr>
          <w:rFonts w:ascii="Calibri"/>
          <w:sz w:val="15"/>
        </w:rPr>
      </w:pPr>
      <w:r>
        <w:rPr>
          <w:rFonts w:ascii="Calibri"/>
          <w:color w:val="585858"/>
          <w:spacing w:val="-2"/>
          <w:sz w:val="15"/>
        </w:rPr>
        <w:t>80,000</w:t>
      </w:r>
    </w:p>
    <w:p>
      <w:pPr>
        <w:spacing w:before="40"/>
        <w:ind w:left="0" w:right="10169" w:firstLine="0"/>
        <w:jc w:val="right"/>
        <w:rPr>
          <w:rFonts w:ascii="Calibri"/>
          <w:sz w:val="15"/>
        </w:rPr>
      </w:pPr>
      <w:r>
        <w:rPr>
          <w:rFonts w:ascii="Calibri"/>
          <w:color w:val="585858"/>
          <w:spacing w:val="-2"/>
          <w:sz w:val="15"/>
        </w:rPr>
        <w:t>70,000</w:t>
      </w:r>
    </w:p>
    <w:p>
      <w:pPr>
        <w:spacing w:before="40"/>
        <w:ind w:left="0" w:right="10169" w:firstLine="0"/>
        <w:jc w:val="right"/>
        <w:rPr>
          <w:rFonts w:ascii="Calibri"/>
          <w:sz w:val="15"/>
        </w:rPr>
      </w:pPr>
      <w:r>
        <w:rPr>
          <w:rFonts w:ascii="Calibri"/>
          <w:color w:val="585858"/>
          <w:spacing w:val="-2"/>
          <w:sz w:val="15"/>
        </w:rPr>
        <w:t>60,000</w:t>
      </w:r>
    </w:p>
    <w:p>
      <w:pPr>
        <w:spacing w:before="40"/>
        <w:ind w:left="0" w:right="10169" w:firstLine="0"/>
        <w:jc w:val="right"/>
        <w:rPr>
          <w:rFonts w:ascii="Calibri"/>
          <w:sz w:val="15"/>
        </w:rPr>
      </w:pPr>
      <w:r>
        <w:rPr>
          <w:rFonts w:ascii="Calibri"/>
          <w:color w:val="585858"/>
          <w:spacing w:val="-2"/>
          <w:sz w:val="15"/>
        </w:rPr>
        <w:t>50,000</w:t>
      </w:r>
    </w:p>
    <w:p>
      <w:pPr>
        <w:spacing w:before="39"/>
        <w:ind w:left="0" w:right="10169" w:firstLine="0"/>
        <w:jc w:val="right"/>
        <w:rPr>
          <w:rFonts w:ascii="Calibri"/>
          <w:sz w:val="15"/>
        </w:rPr>
      </w:pPr>
      <w:r>
        <w:rPr>
          <w:rFonts w:ascii="Calibri"/>
          <w:color w:val="585858"/>
          <w:spacing w:val="-2"/>
          <w:sz w:val="15"/>
        </w:rPr>
        <w:t>40,000</w:t>
      </w:r>
    </w:p>
    <w:p>
      <w:pPr>
        <w:spacing w:before="40"/>
        <w:ind w:left="0" w:right="10169" w:firstLine="0"/>
        <w:jc w:val="right"/>
        <w:rPr>
          <w:rFonts w:ascii="Calibri"/>
          <w:sz w:val="15"/>
        </w:rPr>
      </w:pPr>
      <w:r>
        <w:rPr>
          <w:rFonts w:ascii="Calibri"/>
          <w:color w:val="585858"/>
          <w:spacing w:val="-2"/>
          <w:sz w:val="15"/>
        </w:rPr>
        <w:t>30,000</w:t>
      </w:r>
    </w:p>
    <w:p>
      <w:pPr>
        <w:spacing w:before="40"/>
        <w:ind w:left="0" w:right="10169" w:firstLine="0"/>
        <w:jc w:val="right"/>
        <w:rPr>
          <w:rFonts w:ascii="Calibri"/>
          <w:sz w:val="15"/>
        </w:rPr>
      </w:pPr>
      <w:r>
        <w:rPr>
          <w:rFonts w:ascii="Calibri"/>
          <w:color w:val="585858"/>
          <w:spacing w:val="-2"/>
          <w:sz w:val="15"/>
        </w:rPr>
        <w:t>20,000</w:t>
      </w:r>
    </w:p>
    <w:p>
      <w:pPr>
        <w:spacing w:before="40"/>
        <w:ind w:left="0" w:right="10169" w:firstLine="0"/>
        <w:jc w:val="right"/>
        <w:rPr>
          <w:rFonts w:ascii="Calibri"/>
          <w:sz w:val="15"/>
        </w:rPr>
      </w:pPr>
      <w:r>
        <w:rPr>
          <w:rFonts w:ascii="Calibri"/>
          <w:color w:val="585858"/>
          <w:spacing w:val="-2"/>
          <w:sz w:val="15"/>
        </w:rPr>
        <w:t>10,000</w:t>
      </w:r>
    </w:p>
    <w:p>
      <w:pPr>
        <w:spacing w:before="40"/>
        <w:ind w:left="0" w:right="10164" w:firstLine="0"/>
        <w:jc w:val="right"/>
        <w:rPr>
          <w:rFonts w:ascii="Calibri"/>
          <w:sz w:val="15"/>
        </w:rPr>
      </w:pPr>
      <w:r>
        <w:rPr>
          <w:rFonts w:ascii="Calibri"/>
          <w:color w:val="585858"/>
          <w:w w:val="100"/>
          <w:sz w:val="15"/>
        </w:rPr>
        <w:t>0</w:t>
      </w:r>
    </w:p>
    <w:p>
      <w:pPr>
        <w:pStyle w:val="BodyText"/>
        <w:rPr>
          <w:rFonts w:ascii="Calibri"/>
        </w:rPr>
      </w:pPr>
    </w:p>
    <w:p>
      <w:pPr>
        <w:pStyle w:val="BodyText"/>
        <w:rPr>
          <w:rFonts w:ascii="Calibri"/>
        </w:rPr>
      </w:pPr>
    </w:p>
    <w:p>
      <w:pPr>
        <w:pStyle w:val="BodyText"/>
        <w:spacing w:before="8"/>
        <w:rPr>
          <w:rFonts w:ascii="Calibri"/>
        </w:rPr>
      </w:pPr>
    </w:p>
    <w:p>
      <w:pPr>
        <w:tabs>
          <w:tab w:pos="3612" w:val="left" w:leader="none"/>
          <w:tab w:pos="4164" w:val="left" w:leader="none"/>
          <w:tab w:pos="4715" w:val="left" w:leader="none"/>
          <w:tab w:pos="5267" w:val="left" w:leader="none"/>
        </w:tabs>
        <w:spacing w:before="71"/>
        <w:ind w:left="3060" w:right="0" w:firstLine="0"/>
        <w:jc w:val="left"/>
        <w:rPr>
          <w:rFonts w:ascii="Calibri"/>
          <w:sz w:val="15"/>
        </w:rPr>
      </w:pPr>
      <w:r>
        <w:rPr/>
        <w:pict>
          <v:rect style="position:absolute;margin-left:152.892731pt;margin-top:6.608655pt;width:4.411662pt;height:4.402772pt;mso-position-horizontal-relative:page;mso-position-vertical-relative:paragraph;z-index:251948032" filled="true" fillcolor="#facfb9" stroked="false">
            <v:fill type="solid"/>
            <w10:wrap type="none"/>
          </v:rect>
        </w:pict>
      </w:r>
      <w:r>
        <w:rPr/>
        <w:pict>
          <v:rect style="position:absolute;margin-left:180.627899pt;margin-top:6.608655pt;width:4.411662pt;height:4.402772pt;mso-position-horizontal-relative:page;mso-position-vertical-relative:paragraph;z-index:-287953920" filled="true" fillcolor="#f8b590" stroked="false">
            <v:fill type="solid"/>
            <w10:wrap type="none"/>
          </v:rect>
        </w:pict>
      </w:r>
      <w:r>
        <w:rPr/>
        <w:pict>
          <v:rect style="position:absolute;margin-left:208.363098pt;margin-top:6.608655pt;width:3.781425pt;height:4.402772pt;mso-position-horizontal-relative:page;mso-position-vertical-relative:paragraph;z-index:-287952896" filled="true" fillcolor="#f79546" stroked="false">
            <v:fill type="solid"/>
            <w10:wrap type="none"/>
          </v:rect>
        </w:pict>
      </w:r>
      <w:r>
        <w:rPr/>
        <w:pict>
          <v:rect style="position:absolute;margin-left:236.098282pt;margin-top:6.608655pt;width:3.781425pt;height:4.402772pt;mso-position-horizontal-relative:page;mso-position-vertical-relative:paragraph;z-index:-287951872" filled="true" fillcolor="#db843c" stroked="false">
            <v:fill type="solid"/>
            <w10:wrap type="none"/>
          </v:rect>
        </w:pict>
      </w:r>
      <w:r>
        <w:rPr/>
        <w:pict>
          <v:rect style="position:absolute;margin-left:263.203125pt;margin-top:6.608655pt;width:4.411662pt;height:4.402772pt;mso-position-horizontal-relative:page;mso-position-vertical-relative:paragraph;z-index:-287950848" filled="true" fillcolor="#b96f31" stroked="false">
            <v:fill type="solid"/>
            <w10:wrap type="none"/>
          </v:rect>
        </w:pict>
      </w:r>
      <w:r>
        <w:rPr>
          <w:rFonts w:ascii="Calibri"/>
          <w:color w:val="585858"/>
          <w:sz w:val="15"/>
        </w:rPr>
        <w:t>2014</w:t>
        <w:tab/>
        <w:t>2015</w:t>
        <w:tab/>
        <w:t>2016</w:t>
        <w:tab/>
        <w:t>2017</w:t>
        <w:tab/>
        <w:t>2018</w:t>
      </w:r>
    </w:p>
    <w:p>
      <w:pPr>
        <w:pStyle w:val="BodyText"/>
        <w:rPr>
          <w:rFonts w:ascii="Calibri"/>
        </w:rPr>
      </w:pPr>
    </w:p>
    <w:p>
      <w:pPr>
        <w:pStyle w:val="BodyText"/>
        <w:spacing w:before="7"/>
        <w:rPr>
          <w:rFonts w:ascii="Calibri"/>
          <w:sz w:val="15"/>
        </w:rPr>
      </w:pPr>
    </w:p>
    <w:p>
      <w:pPr>
        <w:pStyle w:val="BodyText"/>
        <w:spacing w:before="93"/>
        <w:ind w:left="950"/>
      </w:pPr>
      <w:r>
        <w:rPr>
          <w:color w:val="404040"/>
        </w:rPr>
        <w:t>We observe the following key aspects of the transition experience:</w:t>
      </w:r>
    </w:p>
    <w:p>
      <w:pPr>
        <w:pStyle w:val="ListParagraph"/>
        <w:numPr>
          <w:ilvl w:val="0"/>
          <w:numId w:val="30"/>
        </w:numPr>
        <w:tabs>
          <w:tab w:pos="1184" w:val="left" w:leader="none"/>
        </w:tabs>
        <w:spacing w:line="240" w:lineRule="auto" w:before="120" w:after="0"/>
        <w:ind w:left="1183" w:right="1511" w:hanging="284"/>
        <w:jc w:val="left"/>
        <w:rPr>
          <w:sz w:val="20"/>
        </w:rPr>
      </w:pPr>
      <w:r>
        <w:rPr>
          <w:color w:val="404040"/>
          <w:sz w:val="20"/>
        </w:rPr>
        <w:t>The</w:t>
      </w:r>
      <w:r>
        <w:rPr>
          <w:color w:val="404040"/>
          <w:spacing w:val="-4"/>
          <w:sz w:val="20"/>
        </w:rPr>
        <w:t> </w:t>
      </w:r>
      <w:r>
        <w:rPr>
          <w:color w:val="404040"/>
          <w:sz w:val="20"/>
        </w:rPr>
        <w:t>number</w:t>
      </w:r>
      <w:r>
        <w:rPr>
          <w:color w:val="404040"/>
          <w:spacing w:val="-2"/>
          <w:sz w:val="20"/>
        </w:rPr>
        <w:t> </w:t>
      </w:r>
      <w:r>
        <w:rPr>
          <w:color w:val="404040"/>
          <w:sz w:val="20"/>
        </w:rPr>
        <w:t>of</w:t>
      </w:r>
      <w:r>
        <w:rPr>
          <w:color w:val="404040"/>
          <w:spacing w:val="-1"/>
          <w:sz w:val="20"/>
        </w:rPr>
        <w:t> </w:t>
      </w:r>
      <w:r>
        <w:rPr>
          <w:color w:val="404040"/>
          <w:sz w:val="20"/>
        </w:rPr>
        <w:t>people</w:t>
      </w:r>
      <w:r>
        <w:rPr>
          <w:color w:val="404040"/>
          <w:spacing w:val="-1"/>
          <w:sz w:val="20"/>
        </w:rPr>
        <w:t> </w:t>
      </w:r>
      <w:r>
        <w:rPr>
          <w:color w:val="404040"/>
          <w:sz w:val="20"/>
        </w:rPr>
        <w:t>moving</w:t>
      </w:r>
      <w:r>
        <w:rPr>
          <w:color w:val="404040"/>
          <w:spacing w:val="-4"/>
          <w:sz w:val="20"/>
        </w:rPr>
        <w:t> </w:t>
      </w:r>
      <w:r>
        <w:rPr>
          <w:color w:val="404040"/>
          <w:sz w:val="20"/>
        </w:rPr>
        <w:t>from</w:t>
      </w:r>
      <w:r>
        <w:rPr>
          <w:color w:val="404040"/>
          <w:spacing w:val="2"/>
          <w:sz w:val="20"/>
        </w:rPr>
        <w:t> </w:t>
      </w:r>
      <w:r>
        <w:rPr>
          <w:color w:val="404040"/>
          <w:sz w:val="20"/>
        </w:rPr>
        <w:t>non</w:t>
      </w:r>
      <w:r>
        <w:rPr>
          <w:color w:val="404040"/>
          <w:spacing w:val="-3"/>
          <w:sz w:val="20"/>
        </w:rPr>
        <w:t> </w:t>
      </w:r>
      <w:r>
        <w:rPr>
          <w:color w:val="404040"/>
          <w:sz w:val="20"/>
        </w:rPr>
        <w:t>income</w:t>
      </w:r>
      <w:r>
        <w:rPr>
          <w:color w:val="404040"/>
          <w:spacing w:val="-3"/>
          <w:sz w:val="20"/>
        </w:rPr>
        <w:t> </w:t>
      </w:r>
      <w:r>
        <w:rPr>
          <w:color w:val="404040"/>
          <w:sz w:val="20"/>
        </w:rPr>
        <w:t>support</w:t>
      </w:r>
      <w:r>
        <w:rPr>
          <w:color w:val="404040"/>
          <w:spacing w:val="-3"/>
          <w:sz w:val="20"/>
        </w:rPr>
        <w:t> </w:t>
      </w:r>
      <w:r>
        <w:rPr>
          <w:color w:val="404040"/>
          <w:sz w:val="20"/>
        </w:rPr>
        <w:t>to</w:t>
      </w:r>
      <w:r>
        <w:rPr>
          <w:color w:val="404040"/>
          <w:spacing w:val="-4"/>
          <w:sz w:val="20"/>
        </w:rPr>
        <w:t> </w:t>
      </w:r>
      <w:r>
        <w:rPr>
          <w:color w:val="404040"/>
          <w:sz w:val="20"/>
        </w:rPr>
        <w:t>income</w:t>
      </w:r>
      <w:r>
        <w:rPr>
          <w:color w:val="404040"/>
          <w:spacing w:val="-3"/>
          <w:sz w:val="20"/>
        </w:rPr>
        <w:t> </w:t>
      </w:r>
      <w:r>
        <w:rPr>
          <w:color w:val="404040"/>
          <w:sz w:val="20"/>
        </w:rPr>
        <w:t>support</w:t>
      </w:r>
      <w:r>
        <w:rPr>
          <w:color w:val="404040"/>
          <w:spacing w:val="-3"/>
          <w:sz w:val="20"/>
        </w:rPr>
        <w:t> </w:t>
      </w:r>
      <w:r>
        <w:rPr>
          <w:color w:val="404040"/>
          <w:sz w:val="20"/>
        </w:rPr>
        <w:t>has</w:t>
      </w:r>
      <w:r>
        <w:rPr>
          <w:color w:val="404040"/>
          <w:spacing w:val="-2"/>
          <w:sz w:val="20"/>
        </w:rPr>
        <w:t> </w:t>
      </w:r>
      <w:r>
        <w:rPr>
          <w:color w:val="404040"/>
          <w:sz w:val="20"/>
        </w:rPr>
        <w:t>been</w:t>
      </w:r>
      <w:r>
        <w:rPr>
          <w:color w:val="404040"/>
          <w:spacing w:val="-3"/>
          <w:sz w:val="20"/>
        </w:rPr>
        <w:t> </w:t>
      </w:r>
      <w:r>
        <w:rPr>
          <w:color w:val="404040"/>
          <w:sz w:val="20"/>
        </w:rPr>
        <w:t>reducing</w:t>
      </w:r>
      <w:r>
        <w:rPr>
          <w:color w:val="404040"/>
          <w:spacing w:val="-3"/>
          <w:sz w:val="20"/>
        </w:rPr>
        <w:t> </w:t>
      </w:r>
      <w:r>
        <w:rPr>
          <w:color w:val="404040"/>
          <w:sz w:val="20"/>
        </w:rPr>
        <w:t>in</w:t>
      </w:r>
      <w:r>
        <w:rPr>
          <w:color w:val="404040"/>
          <w:spacing w:val="-4"/>
          <w:sz w:val="20"/>
        </w:rPr>
        <w:t> </w:t>
      </w:r>
      <w:r>
        <w:rPr>
          <w:color w:val="404040"/>
          <w:sz w:val="20"/>
        </w:rPr>
        <w:t>recent years;</w:t>
      </w:r>
    </w:p>
    <w:p>
      <w:pPr>
        <w:pStyle w:val="ListParagraph"/>
        <w:numPr>
          <w:ilvl w:val="0"/>
          <w:numId w:val="30"/>
        </w:numPr>
        <w:tabs>
          <w:tab w:pos="1184" w:val="left" w:leader="none"/>
        </w:tabs>
        <w:spacing w:line="240" w:lineRule="auto" w:before="121" w:after="0"/>
        <w:ind w:left="1183" w:right="1675" w:hanging="284"/>
        <w:jc w:val="left"/>
        <w:rPr>
          <w:sz w:val="20"/>
        </w:rPr>
      </w:pPr>
      <w:r>
        <w:rPr>
          <w:color w:val="404040"/>
          <w:sz w:val="20"/>
        </w:rPr>
        <w:t>Transitions onto the Age Pension from within the welfare system have been reducing in recent years, especially for people in the non income support</w:t>
      </w:r>
      <w:r>
        <w:rPr>
          <w:color w:val="404040"/>
          <w:spacing w:val="-8"/>
          <w:sz w:val="20"/>
        </w:rPr>
        <w:t> </w:t>
      </w:r>
      <w:r>
        <w:rPr>
          <w:color w:val="404040"/>
          <w:sz w:val="20"/>
        </w:rPr>
        <w:t>classes;</w:t>
      </w:r>
    </w:p>
    <w:p>
      <w:pPr>
        <w:pStyle w:val="ListParagraph"/>
        <w:numPr>
          <w:ilvl w:val="0"/>
          <w:numId w:val="30"/>
        </w:numPr>
        <w:tabs>
          <w:tab w:pos="1184" w:val="left" w:leader="none"/>
        </w:tabs>
        <w:spacing w:line="240" w:lineRule="auto" w:before="121" w:after="0"/>
        <w:ind w:left="1183" w:right="0" w:hanging="285"/>
        <w:jc w:val="left"/>
        <w:rPr>
          <w:sz w:val="20"/>
        </w:rPr>
      </w:pPr>
      <w:r>
        <w:rPr>
          <w:color w:val="404040"/>
          <w:sz w:val="20"/>
        </w:rPr>
        <w:t>There has been an increase in people moving from income support to non income</w:t>
      </w:r>
      <w:r>
        <w:rPr>
          <w:color w:val="404040"/>
          <w:spacing w:val="-12"/>
          <w:sz w:val="20"/>
        </w:rPr>
        <w:t> </w:t>
      </w:r>
      <w:r>
        <w:rPr>
          <w:color w:val="404040"/>
          <w:sz w:val="20"/>
        </w:rPr>
        <w:t>support;</w:t>
      </w:r>
    </w:p>
    <w:p>
      <w:pPr>
        <w:pStyle w:val="ListParagraph"/>
        <w:numPr>
          <w:ilvl w:val="0"/>
          <w:numId w:val="30"/>
        </w:numPr>
        <w:tabs>
          <w:tab w:pos="1184" w:val="left" w:leader="none"/>
        </w:tabs>
        <w:spacing w:line="240" w:lineRule="auto" w:before="118" w:after="0"/>
        <w:ind w:left="1183" w:right="1167" w:hanging="284"/>
        <w:jc w:val="left"/>
        <w:rPr>
          <w:sz w:val="20"/>
        </w:rPr>
      </w:pPr>
      <w:r>
        <w:rPr>
          <w:color w:val="404040"/>
          <w:sz w:val="20"/>
        </w:rPr>
        <w:t>High</w:t>
      </w:r>
      <w:r>
        <w:rPr>
          <w:color w:val="404040"/>
          <w:spacing w:val="-2"/>
          <w:sz w:val="20"/>
        </w:rPr>
        <w:t> </w:t>
      </w:r>
      <w:r>
        <w:rPr>
          <w:color w:val="404040"/>
          <w:sz w:val="20"/>
        </w:rPr>
        <w:t>transitions</w:t>
      </w:r>
      <w:r>
        <w:rPr>
          <w:color w:val="404040"/>
          <w:spacing w:val="-1"/>
          <w:sz w:val="20"/>
        </w:rPr>
        <w:t> </w:t>
      </w:r>
      <w:r>
        <w:rPr>
          <w:color w:val="404040"/>
          <w:sz w:val="20"/>
        </w:rPr>
        <w:t>were</w:t>
      </w:r>
      <w:r>
        <w:rPr>
          <w:color w:val="404040"/>
          <w:spacing w:val="-3"/>
          <w:sz w:val="20"/>
        </w:rPr>
        <w:t> </w:t>
      </w:r>
      <w:r>
        <w:rPr>
          <w:color w:val="404040"/>
          <w:sz w:val="20"/>
        </w:rPr>
        <w:t>seen</w:t>
      </w:r>
      <w:r>
        <w:rPr>
          <w:color w:val="404040"/>
          <w:spacing w:val="-2"/>
          <w:sz w:val="20"/>
        </w:rPr>
        <w:t> </w:t>
      </w:r>
      <w:r>
        <w:rPr>
          <w:color w:val="404040"/>
          <w:sz w:val="20"/>
        </w:rPr>
        <w:t>from</w:t>
      </w:r>
      <w:r>
        <w:rPr>
          <w:color w:val="404040"/>
          <w:spacing w:val="1"/>
          <w:sz w:val="20"/>
        </w:rPr>
        <w:t> </w:t>
      </w:r>
      <w:r>
        <w:rPr>
          <w:color w:val="404040"/>
          <w:sz w:val="20"/>
        </w:rPr>
        <w:t>Age</w:t>
      </w:r>
      <w:r>
        <w:rPr>
          <w:color w:val="404040"/>
          <w:spacing w:val="-4"/>
          <w:sz w:val="20"/>
        </w:rPr>
        <w:t> </w:t>
      </w:r>
      <w:r>
        <w:rPr>
          <w:color w:val="404040"/>
          <w:sz w:val="20"/>
        </w:rPr>
        <w:t>Pension</w:t>
      </w:r>
      <w:r>
        <w:rPr>
          <w:color w:val="404040"/>
          <w:spacing w:val="-2"/>
          <w:sz w:val="20"/>
        </w:rPr>
        <w:t> </w:t>
      </w:r>
      <w:r>
        <w:rPr>
          <w:color w:val="404040"/>
          <w:sz w:val="20"/>
        </w:rPr>
        <w:t>to</w:t>
      </w:r>
      <w:r>
        <w:rPr>
          <w:color w:val="404040"/>
          <w:spacing w:val="-2"/>
          <w:sz w:val="20"/>
        </w:rPr>
        <w:t> </w:t>
      </w:r>
      <w:r>
        <w:rPr>
          <w:color w:val="404040"/>
          <w:sz w:val="20"/>
        </w:rPr>
        <w:t>non</w:t>
      </w:r>
      <w:r>
        <w:rPr>
          <w:color w:val="404040"/>
          <w:spacing w:val="-2"/>
          <w:sz w:val="20"/>
        </w:rPr>
        <w:t> </w:t>
      </w:r>
      <w:r>
        <w:rPr>
          <w:color w:val="404040"/>
          <w:sz w:val="20"/>
        </w:rPr>
        <w:t>income</w:t>
      </w:r>
      <w:r>
        <w:rPr>
          <w:color w:val="404040"/>
          <w:spacing w:val="-4"/>
          <w:sz w:val="20"/>
        </w:rPr>
        <w:t> </w:t>
      </w:r>
      <w:r>
        <w:rPr>
          <w:color w:val="404040"/>
          <w:sz w:val="20"/>
        </w:rPr>
        <w:t>support</w:t>
      </w:r>
      <w:r>
        <w:rPr>
          <w:color w:val="404040"/>
          <w:spacing w:val="-2"/>
          <w:sz w:val="20"/>
        </w:rPr>
        <w:t> </w:t>
      </w:r>
      <w:r>
        <w:rPr>
          <w:color w:val="404040"/>
          <w:sz w:val="20"/>
        </w:rPr>
        <w:t>in</w:t>
      </w:r>
      <w:r>
        <w:rPr>
          <w:color w:val="404040"/>
          <w:spacing w:val="-4"/>
          <w:sz w:val="20"/>
        </w:rPr>
        <w:t> </w:t>
      </w:r>
      <w:r>
        <w:rPr>
          <w:color w:val="404040"/>
          <w:sz w:val="20"/>
        </w:rPr>
        <w:t>2018,</w:t>
      </w:r>
      <w:r>
        <w:rPr>
          <w:color w:val="404040"/>
          <w:spacing w:val="-2"/>
          <w:sz w:val="20"/>
        </w:rPr>
        <w:t> </w:t>
      </w:r>
      <w:r>
        <w:rPr>
          <w:color w:val="404040"/>
          <w:sz w:val="20"/>
        </w:rPr>
        <w:t>which</w:t>
      </w:r>
      <w:r>
        <w:rPr>
          <w:color w:val="404040"/>
          <w:spacing w:val="-4"/>
          <w:sz w:val="20"/>
        </w:rPr>
        <w:t> </w:t>
      </w:r>
      <w:r>
        <w:rPr>
          <w:color w:val="404040"/>
          <w:sz w:val="20"/>
        </w:rPr>
        <w:t>is</w:t>
      </w:r>
      <w:r>
        <w:rPr>
          <w:color w:val="404040"/>
          <w:spacing w:val="-3"/>
          <w:sz w:val="20"/>
        </w:rPr>
        <w:t> </w:t>
      </w:r>
      <w:r>
        <w:rPr>
          <w:color w:val="404040"/>
          <w:sz w:val="20"/>
        </w:rPr>
        <w:t>a</w:t>
      </w:r>
      <w:r>
        <w:rPr>
          <w:color w:val="404040"/>
          <w:spacing w:val="-4"/>
          <w:sz w:val="20"/>
        </w:rPr>
        <w:t> </w:t>
      </w:r>
      <w:r>
        <w:rPr>
          <w:color w:val="404040"/>
          <w:sz w:val="20"/>
        </w:rPr>
        <w:t>result</w:t>
      </w:r>
      <w:r>
        <w:rPr>
          <w:color w:val="404040"/>
          <w:spacing w:val="-2"/>
          <w:sz w:val="20"/>
        </w:rPr>
        <w:t> </w:t>
      </w:r>
      <w:r>
        <w:rPr>
          <w:color w:val="404040"/>
          <w:sz w:val="20"/>
        </w:rPr>
        <w:t>of</w:t>
      </w:r>
      <w:r>
        <w:rPr>
          <w:color w:val="404040"/>
          <w:spacing w:val="-1"/>
          <w:sz w:val="20"/>
        </w:rPr>
        <w:t> </w:t>
      </w:r>
      <w:r>
        <w:rPr>
          <w:color w:val="404040"/>
          <w:sz w:val="20"/>
        </w:rPr>
        <w:t>people</w:t>
      </w:r>
      <w:r>
        <w:rPr>
          <w:color w:val="404040"/>
          <w:spacing w:val="-2"/>
          <w:sz w:val="20"/>
        </w:rPr>
        <w:t> </w:t>
      </w:r>
      <w:r>
        <w:rPr>
          <w:color w:val="404040"/>
          <w:sz w:val="20"/>
        </w:rPr>
        <w:t>no longer being eligible for Age Pension following the changes in the pension assets</w:t>
      </w:r>
      <w:r>
        <w:rPr>
          <w:color w:val="404040"/>
          <w:spacing w:val="-12"/>
          <w:sz w:val="20"/>
        </w:rPr>
        <w:t> </w:t>
      </w:r>
      <w:r>
        <w:rPr>
          <w:color w:val="404040"/>
          <w:sz w:val="20"/>
        </w:rPr>
        <w:t>test;</w:t>
      </w:r>
    </w:p>
    <w:p>
      <w:pPr>
        <w:pStyle w:val="ListParagraph"/>
        <w:numPr>
          <w:ilvl w:val="0"/>
          <w:numId w:val="30"/>
        </w:numPr>
        <w:tabs>
          <w:tab w:pos="1184" w:val="left" w:leader="none"/>
        </w:tabs>
        <w:spacing w:line="240" w:lineRule="auto" w:before="121" w:after="0"/>
        <w:ind w:left="1183" w:right="1219" w:hanging="284"/>
        <w:jc w:val="left"/>
        <w:rPr>
          <w:sz w:val="20"/>
        </w:rPr>
      </w:pPr>
      <w:r>
        <w:rPr>
          <w:color w:val="404040"/>
          <w:sz w:val="20"/>
        </w:rPr>
        <w:t>Transitions to Age Pension have approximately halved in 2018. This is due to the increase in Age Pension age from 65 to 65.5;</w:t>
      </w:r>
      <w:r>
        <w:rPr>
          <w:color w:val="404040"/>
          <w:spacing w:val="-1"/>
          <w:sz w:val="20"/>
        </w:rPr>
        <w:t> </w:t>
      </w:r>
      <w:r>
        <w:rPr>
          <w:color w:val="404040"/>
          <w:sz w:val="20"/>
        </w:rPr>
        <w:t>and</w:t>
      </w:r>
    </w:p>
    <w:p>
      <w:pPr>
        <w:pStyle w:val="ListParagraph"/>
        <w:numPr>
          <w:ilvl w:val="0"/>
          <w:numId w:val="30"/>
        </w:numPr>
        <w:tabs>
          <w:tab w:pos="1184" w:val="left" w:leader="none"/>
        </w:tabs>
        <w:spacing w:line="364" w:lineRule="auto" w:before="121" w:after="0"/>
        <w:ind w:left="899" w:right="2601" w:firstLine="0"/>
        <w:jc w:val="left"/>
        <w:rPr>
          <w:sz w:val="20"/>
        </w:rPr>
      </w:pPr>
      <w:r>
        <w:rPr>
          <w:color w:val="404040"/>
          <w:sz w:val="20"/>
        </w:rPr>
        <w:t>Very few people transition out of the Age Pension and into other payment types each</w:t>
      </w:r>
      <w:r>
        <w:rPr>
          <w:color w:val="404040"/>
          <w:spacing w:val="-38"/>
          <w:sz w:val="20"/>
        </w:rPr>
        <w:t> </w:t>
      </w:r>
      <w:r>
        <w:rPr>
          <w:color w:val="404040"/>
          <w:sz w:val="20"/>
        </w:rPr>
        <w:t>year. The first three trends a) to c) all show a reducing reliance on income support</w:t>
      </w:r>
      <w:r>
        <w:rPr>
          <w:color w:val="404040"/>
          <w:spacing w:val="-23"/>
          <w:sz w:val="20"/>
        </w:rPr>
        <w:t> </w:t>
      </w:r>
      <w:r>
        <w:rPr>
          <w:color w:val="404040"/>
          <w:sz w:val="20"/>
        </w:rPr>
        <w:t>payments.</w:t>
      </w:r>
    </w:p>
    <w:p>
      <w:pPr>
        <w:pStyle w:val="Heading4"/>
        <w:spacing w:before="118"/>
      </w:pPr>
      <w:bookmarkStart w:name="Class-level transition experience" w:id="120"/>
      <w:bookmarkEnd w:id="120"/>
      <w:r>
        <w:rPr/>
      </w:r>
      <w:r>
        <w:rPr>
          <w:color w:val="DF2F28"/>
        </w:rPr>
        <w:t>Class-level transition experience</w:t>
      </w:r>
    </w:p>
    <w:p>
      <w:pPr>
        <w:pStyle w:val="BodyText"/>
        <w:spacing w:before="121"/>
        <w:ind w:left="899" w:right="1166"/>
      </w:pPr>
      <w:r>
        <w:rPr>
          <w:color w:val="404040"/>
        </w:rPr>
        <w:t>We discuss below selected features of the class-level transition experience which are of interest. The features discussed for Working Age relate to entries and re-entries only. The features discussed for Disability Support Pension and Age Pension encompass a combination of entries into the welfare system, as well as transitions within the welfare system.</w:t>
      </w:r>
    </w:p>
    <w:p>
      <w:pPr>
        <w:pStyle w:val="BodyText"/>
        <w:spacing w:before="10"/>
      </w:pPr>
    </w:p>
    <w:p>
      <w:pPr>
        <w:pStyle w:val="Heading6"/>
        <w:rPr>
          <w:i/>
        </w:rPr>
      </w:pPr>
      <w:r>
        <w:rPr>
          <w:i/>
          <w:color w:val="DF2F1E"/>
        </w:rPr>
        <w:t>Lower entries and transitions onto Working Age Payments, as well as increased exits</w:t>
      </w:r>
    </w:p>
    <w:p>
      <w:pPr>
        <w:pStyle w:val="BodyText"/>
        <w:spacing w:before="121"/>
        <w:ind w:left="899" w:right="1043"/>
      </w:pPr>
      <w:r>
        <w:rPr>
          <w:color w:val="404040"/>
        </w:rPr>
        <w:t>We previously noted that entries and re-entries into the system had decreased and that, in particular, there was a decreasing trend in the number of entries and re-entries into Working Age.</w:t>
      </w:r>
    </w:p>
    <w:p>
      <w:pPr>
        <w:pStyle w:val="BodyText"/>
        <w:spacing w:before="121"/>
        <w:ind w:left="899"/>
      </w:pPr>
      <w:r>
        <w:rPr>
          <w:color w:val="404040"/>
        </w:rPr>
        <w:t>The chart below shows more details of the various transitions in and out of the Working Age class.</w:t>
      </w:r>
    </w:p>
    <w:p>
      <w:pPr>
        <w:spacing w:after="0"/>
        <w:sectPr>
          <w:pgSz w:w="11910" w:h="16850"/>
          <w:pgMar w:header="572" w:footer="581" w:top="780" w:bottom="780" w:left="120" w:right="0"/>
        </w:sectPr>
      </w:pPr>
    </w:p>
    <w:p>
      <w:pPr>
        <w:pStyle w:val="BodyText"/>
      </w:pPr>
    </w:p>
    <w:p>
      <w:pPr>
        <w:pStyle w:val="BodyText"/>
      </w:pPr>
    </w:p>
    <w:p>
      <w:pPr>
        <w:pStyle w:val="BodyText"/>
        <w:spacing w:before="7"/>
        <w:rPr>
          <w:sz w:val="21"/>
        </w:rPr>
      </w:pPr>
    </w:p>
    <w:p>
      <w:pPr>
        <w:pStyle w:val="Heading9"/>
      </w:pPr>
      <w:r>
        <w:rPr>
          <w:color w:val="DF2F1E"/>
        </w:rPr>
        <w:t>Figure 28: Entries and exits for class 2 – Working Age</w:t>
      </w:r>
    </w:p>
    <w:p>
      <w:pPr>
        <w:pStyle w:val="BodyText"/>
        <w:spacing w:before="10"/>
        <w:rPr>
          <w:b/>
        </w:rPr>
      </w:pPr>
    </w:p>
    <w:p>
      <w:pPr>
        <w:spacing w:before="72"/>
        <w:ind w:left="1109" w:right="0" w:firstLine="0"/>
        <w:jc w:val="left"/>
        <w:rPr>
          <w:rFonts w:ascii="Calibri"/>
          <w:sz w:val="14"/>
        </w:rPr>
      </w:pPr>
      <w:r>
        <w:rPr/>
        <w:pict>
          <v:line style="position:absolute;mso-position-horizontal-relative:page;mso-position-vertical-relative:paragraph;z-index:251958272" from="91.332359pt,8.588037pt" to="434.293484pt,8.588037pt" stroked="true" strokeweight=".584339pt" strokecolor="#d9d9d9">
            <v:stroke dashstyle="solid"/>
            <w10:wrap type="none"/>
          </v:line>
        </w:pict>
      </w:r>
      <w:r>
        <w:rPr>
          <w:rFonts w:ascii="Calibri"/>
          <w:color w:val="585858"/>
          <w:sz w:val="14"/>
        </w:rPr>
        <w:t>300,000</w:t>
      </w:r>
    </w:p>
    <w:p>
      <w:pPr>
        <w:pStyle w:val="BodyText"/>
        <w:spacing w:before="6"/>
        <w:rPr>
          <w:rFonts w:ascii="Calibri"/>
          <w:sz w:val="8"/>
        </w:rPr>
      </w:pPr>
    </w:p>
    <w:p>
      <w:pPr>
        <w:spacing w:before="72"/>
        <w:ind w:left="1109" w:right="0" w:firstLine="0"/>
        <w:jc w:val="left"/>
        <w:rPr>
          <w:rFonts w:ascii="Calibri"/>
          <w:sz w:val="14"/>
        </w:rPr>
      </w:pPr>
      <w:r>
        <w:rPr/>
        <w:pict>
          <v:group style="position:absolute;margin-left:91.03923pt;margin-top:2.621171pt;width:343.55pt;height:128.3pt;mso-position-horizontal-relative:page;mso-position-vertical-relative:paragraph;z-index:251957248" coordorigin="1821,52" coordsize="6871,2566">
            <v:shape style="position:absolute;left:1826;top:175;width:6860;height:1380" coordorigin="1827,175" coordsize="6860,1380" path="m7824,1554l8686,1554m7707,1554l7730,1554m7590,1554l7613,1554m7472,1554l7496,1554m7355,1554l7379,1554m5538,1554l7261,1554m5069,1554l5092,1554m4776,1554l4975,1554m4307,1554l4330,1554m2489,1554l4213,1554m4307,1215l4330,1215m2372,1215l4213,1215m4307,865l4330,865m1827,865l4213,865m4307,514l4330,514m1827,514l4213,514m4307,175l8686,175m1827,175l4213,175e" filled="false" stroked="true" strokeweight=".584339pt" strokecolor="#d9d9d9">
              <v:path arrowok="t"/>
              <v:stroke dashstyle="solid"/>
            </v:shape>
            <v:line style="position:absolute" from="4260,52" to="4260,1911" stroked="true" strokeweight="4.690085pt" strokecolor="#d1debd">
              <v:stroke dashstyle="solid"/>
            </v:line>
            <v:line style="position:absolute" from="4776,1215" to="7261,1215" stroked="true" strokeweight=".584339pt" strokecolor="#d9d9d9">
              <v:stroke dashstyle="solid"/>
            </v:line>
            <v:line style="position:absolute" from="5022,1268" to="5022,1911" stroked="true" strokeweight="4.690075pt" strokecolor="#d1debd">
              <v:stroke dashstyle="solid"/>
            </v:line>
            <v:rect style="position:absolute;left:5737;top:1793;width:94;height:117" filled="true" fillcolor="#d1debd" stroked="false">
              <v:fill type="solid"/>
            </v:rect>
            <v:line style="position:absolute" from="6546,1607" to="6546,1911" stroked="true" strokeweight="4.690085pt" strokecolor="#d1debd">
              <v:stroke dashstyle="solid"/>
            </v:line>
            <v:shape style="position:absolute;left:4658;top:514;width:2721;height:702" coordorigin="4658,514" coordsize="2721,702" path="m7355,1215l7379,1215m7355,865l7379,865m4776,865l7261,865m7355,514l7379,514m4658,514l7261,514e" filled="false" stroked="true" strokeweight=".584339pt" strokecolor="#d9d9d9">
              <v:path arrowok="t"/>
              <v:stroke dashstyle="solid"/>
            </v:shape>
            <v:line style="position:absolute" from="7308,497" to="7308,1911" stroked="true" strokeweight="4.690085pt" strokecolor="#d1debd">
              <v:stroke dashstyle="solid"/>
            </v:line>
            <v:rect style="position:absolute;left:8023;top:1887;width:94;height:24" filled="true" fillcolor="#d1debd" stroked="false">
              <v:fill type="solid"/>
            </v:rect>
            <v:shape style="position:absolute;left:1826;top:1215;width:335;height:339" coordorigin="1827,1215" coordsize="335,339" path="m2137,1554l2161,1554m2020,1554l2044,1554m1827,1554l1926,1554m2020,1215l2044,1215m1827,1215l1926,1215e" filled="false" stroked="true" strokeweight=".584339pt" strokecolor="#d9d9d9">
              <v:path arrowok="t"/>
              <v:stroke dashstyle="solid"/>
            </v:shape>
            <v:line style="position:absolute" from="1973,1116" to="1973,1911" stroked="true" strokeweight="4.690085pt" strokecolor="#d1debd">
              <v:stroke dashstyle="solid"/>
            </v:line>
            <v:line style="position:absolute" from="2137,1215" to="2161,1215" stroked="true" strokeweight=".584339pt" strokecolor="#d9d9d9">
              <v:stroke dashstyle="solid"/>
            </v:line>
            <v:line style="position:absolute" from="2090,1139" to="2090,1911" stroked="true" strokeweight="4.690061pt" strokecolor="#b8cd95">
              <v:stroke dashstyle="solid"/>
            </v:line>
            <v:rect style="position:absolute;left:2688;top:1898;width:94;height:12" filled="true" fillcolor="#d1debd" stroked="false">
              <v:fill type="solid"/>
            </v:rect>
            <v:rect style="position:absolute;left:2805;top:1898;width:94;height:12" filled="true" fillcolor="#b8cd95" stroked="false">
              <v:fill type="solid"/>
            </v:rect>
            <v:line style="position:absolute" from="3497,1665" to="3497,1911" stroked="true" strokeweight="4.690085pt" strokecolor="#d1debd">
              <v:stroke dashstyle="solid"/>
            </v:line>
            <v:line style="position:absolute" from="3615,1665" to="3615,1911" stroked="true" strokeweight="4.690061pt" strokecolor="#b8cd95">
              <v:stroke dashstyle="solid"/>
            </v:line>
            <v:shape style="position:absolute;left:4423;top:514;width:24;height:1041" coordorigin="4424,514" coordsize="24,1041" path="m4424,1554l4447,1554m4424,1215l4447,1215m4424,865l4447,865m4424,514l4447,514e" filled="false" stroked="true" strokeweight=".584339pt" strokecolor="#d9d9d9">
              <v:path arrowok="t"/>
              <v:stroke dashstyle="solid"/>
            </v:shape>
            <v:line style="position:absolute" from="4377,216" to="4377,1911" stroked="true" strokeweight="4.690061pt" strokecolor="#b8cd95">
              <v:stroke dashstyle="solid"/>
            </v:line>
            <v:line style="position:absolute" from="5186,1554" to="5209,1554" stroked="true" strokeweight=".584339pt" strokecolor="#d9d9d9">
              <v:stroke dashstyle="solid"/>
            </v:line>
            <v:line style="position:absolute" from="5139,1291" to="5139,1911" stroked="true" strokeweight="4.690061pt" strokecolor="#b8cd95">
              <v:stroke dashstyle="solid"/>
            </v:line>
            <v:line style="position:absolute" from="5901,1735" to="5901,1911" stroked="true" strokeweight="4.69005pt" strokecolor="#b8cd95">
              <v:stroke dashstyle="solid"/>
            </v:line>
            <v:line style="position:absolute" from="6663,1607" to="6663,1911" stroked="true" strokeweight="4.69005pt" strokecolor="#b8cd95">
              <v:stroke dashstyle="solid"/>
            </v:line>
            <v:shape style="position:absolute;left:7472;top:514;width:24;height:702" coordorigin="7472,514" coordsize="24,702" path="m7472,1215l7496,1215m7472,865l7496,865m7472,514l7496,514e" filled="false" stroked="true" strokeweight=".584339pt" strokecolor="#d9d9d9">
              <v:path arrowok="t"/>
              <v:stroke dashstyle="solid"/>
            </v:shape>
            <v:line style="position:absolute" from="7425,380" to="7425,1911" stroked="true" strokeweight="4.69005pt" strokecolor="#b8cd95">
              <v:stroke dashstyle="solid"/>
            </v:line>
            <v:rect style="position:absolute;left:8140;top:1887;width:94;height:24" filled="true" fillcolor="#b8cd95" stroked="false">
              <v:fill type="solid"/>
            </v:rect>
            <v:shape style="position:absolute;left:2254;top:1215;width:24;height:339" coordorigin="2255,1215" coordsize="24,339" path="m2255,1554l2278,1554m2255,1215l2278,1215e" filled="false" stroked="true" strokeweight=".584339pt" strokecolor="#d9d9d9">
              <v:path arrowok="t"/>
              <v:stroke dashstyle="solid"/>
            </v:shape>
            <v:line style="position:absolute" from="2208,1139" to="2208,1911" stroked="true" strokeweight="4.690087pt" strokecolor="#9bba58">
              <v:stroke dashstyle="solid"/>
            </v:line>
            <v:rect style="position:absolute;left:2922;top:1898;width:94;height:12" filled="true" fillcolor="#9bba58" stroked="false">
              <v:fill type="solid"/>
            </v:rect>
            <v:line style="position:absolute" from="3732,1677" to="3732,1911" stroked="true" strokeweight="4.690087pt" strokecolor="#9bba58">
              <v:stroke dashstyle="solid"/>
            </v:line>
            <v:shape style="position:absolute;left:4541;top:514;width:24;height:1041" coordorigin="4541,514" coordsize="24,1041" path="m4541,1554l4564,1554m4541,1215l4564,1215m4541,865l4564,865m4541,514l4564,514e" filled="false" stroked="true" strokeweight=".584339pt" strokecolor="#d9d9d9">
              <v:path arrowok="t"/>
              <v:stroke dashstyle="solid"/>
            </v:shape>
            <v:line style="position:absolute" from="4494,263" to="4494,1911" stroked="true" strokeweight="4.690077pt" strokecolor="#9bba58">
              <v:stroke dashstyle="solid"/>
            </v:line>
            <v:line style="position:absolute" from="5303,1554" to="5327,1554" stroked="true" strokeweight=".584339pt" strokecolor="#d9d9d9">
              <v:stroke dashstyle="solid"/>
            </v:line>
            <v:line style="position:absolute" from="5256,1338" to="5256,1911" stroked="true" strokeweight="4.690098pt" strokecolor="#9bba58">
              <v:stroke dashstyle="solid"/>
            </v:line>
            <v:shape style="position:absolute;left:6018;top:1606;width:763;height:304" coordorigin="6018,1607" coordsize="763,304" path="m6018,1735l6018,1911m6781,1607l6781,1911e" filled="false" stroked="true" strokeweight="4.690077pt" strokecolor="#9bba58">
              <v:path arrowok="t"/>
              <v:stroke dashstyle="solid"/>
            </v:shape>
            <v:shape style="position:absolute;left:7589;top:514;width:24;height:702" coordorigin="7590,514" coordsize="24,702" path="m7590,1215l7613,1215m7590,865l7613,865m7590,514l7613,514e" filled="false" stroked="true" strokeweight=".584339pt" strokecolor="#d9d9d9">
              <v:path arrowok="t"/>
              <v:stroke dashstyle="solid"/>
            </v:shape>
            <v:line style="position:absolute" from="7543,426" to="7543,1911" stroked="true" strokeweight="4.690098pt" strokecolor="#9bba58">
              <v:stroke dashstyle="solid"/>
            </v:line>
            <v:rect style="position:absolute;left:8257;top:1887;width:94;height:24" filled="true" fillcolor="#9bba58" stroked="false">
              <v:fill type="solid"/>
            </v:rect>
            <v:line style="position:absolute" from="2372,1554" to="2395,1554" stroked="true" strokeweight=".584339pt" strokecolor="#d9d9d9">
              <v:stroke dashstyle="solid"/>
            </v:line>
            <v:line style="position:absolute" from="2325,1174" to="2325,1911" stroked="true" strokeweight="4.690083pt" strokecolor="#88a44e">
              <v:stroke dashstyle="solid"/>
            </v:line>
            <v:rect style="position:absolute;left:3040;top:1898;width:94;height:12" filled="true" fillcolor="#88a44e" stroked="false">
              <v:fill type="solid"/>
            </v:rect>
            <v:line style="position:absolute" from="3849,1712" to="3849,1911" stroked="true" strokeweight="4.690094pt" strokecolor="#88a44e">
              <v:stroke dashstyle="solid"/>
            </v:line>
            <v:shape style="position:absolute;left:4658;top:864;width:24;height:690" coordorigin="4658,865" coordsize="24,690" path="m4658,1554l4682,1554m4658,1215l4682,1215m4658,865l4682,865e" filled="false" stroked="true" strokeweight=".584339pt" strokecolor="#d9d9d9">
              <v:path arrowok="t"/>
              <v:stroke dashstyle="solid"/>
            </v:shape>
            <v:line style="position:absolute" from="4611,333" to="4611,1911" stroked="true" strokeweight="4.690083pt" strokecolor="#88a44e">
              <v:stroke dashstyle="solid"/>
            </v:line>
            <v:line style="position:absolute" from="5420,1554" to="5444,1554" stroked="true" strokeweight=".584339pt" strokecolor="#d9d9d9">
              <v:stroke dashstyle="solid"/>
            </v:line>
            <v:line style="position:absolute" from="5374,1385" to="5374,1911" stroked="true" strokeweight="4.690094pt" strokecolor="#88a44e">
              <v:stroke dashstyle="solid"/>
            </v:line>
            <v:line style="position:absolute" from="6136,1724" to="6136,1911" stroked="true" strokeweight="4.690072pt" strokecolor="#88a44e">
              <v:stroke dashstyle="solid"/>
            </v:line>
            <v:line style="position:absolute" from="6898,1583" to="6898,1911" stroked="true" strokeweight="4.690094pt" strokecolor="#88a44e">
              <v:stroke dashstyle="solid"/>
            </v:line>
            <v:shape style="position:absolute;left:7706;top:514;width:24;height:702" coordorigin="7707,514" coordsize="24,702" path="m7707,1215l7730,1215m7707,865l7730,865m7707,514l7730,514e" filled="false" stroked="true" strokeweight=".584339pt" strokecolor="#d9d9d9">
              <v:path arrowok="t"/>
              <v:stroke dashstyle="solid"/>
            </v:shape>
            <v:line style="position:absolute" from="7660,321" to="7660,1911" stroked="true" strokeweight="4.690094pt" strokecolor="#88a44e">
              <v:stroke dashstyle="solid"/>
            </v:line>
            <v:rect style="position:absolute;left:8375;top:1887;width:94;height:24" filled="true" fillcolor="#88a44e" stroked="false">
              <v:fill type="solid"/>
            </v:rect>
            <v:line style="position:absolute" from="2442,1268" to="2442,1911" stroked="true" strokeweight="4.690061pt" strokecolor="#748b41">
              <v:stroke dashstyle="solid"/>
            </v:line>
            <v:rect style="position:absolute;left:3157;top:1898;width:94;height:12" filled="true" fillcolor="#748b41" stroked="false">
              <v:fill type="solid"/>
            </v:rect>
            <v:line style="position:absolute" from="3966,1735" to="3966,1911" stroked="true" strokeweight="4.690061pt" strokecolor="#748b41">
              <v:stroke dashstyle="solid"/>
            </v:line>
            <v:shape style="position:absolute;left:4728;top:566;width:763;height:1344" coordorigin="4729,567" coordsize="763,1344" path="m4729,567l4729,1911m5491,1431l5491,1911e" filled="false" stroked="true" strokeweight="4.690072pt" strokecolor="#748b41">
              <v:path arrowok="t"/>
              <v:stroke dashstyle="solid"/>
            </v:shape>
            <v:rect style="position:absolute;left:6206;top:1805;width:94;height:106" filled="true" fillcolor="#748b41" stroked="false">
              <v:fill type="solid"/>
            </v:rect>
            <v:line style="position:absolute" from="7015,1583" to="7015,1911" stroked="true" strokeweight="4.690072pt" strokecolor="#748b41">
              <v:stroke dashstyle="solid"/>
            </v:line>
            <v:shape style="position:absolute;left:7824;top:514;width:862;height:702" coordorigin="7824,514" coordsize="862,702" path="m7824,1215l8686,1215m7824,865l8686,865m7824,514l8686,514e" filled="false" stroked="true" strokeweight=".584339pt" strokecolor="#d9d9d9">
              <v:path arrowok="t"/>
              <v:stroke dashstyle="solid"/>
            </v:shape>
            <v:line style="position:absolute" from="7777,310" to="7777,1911" stroked="true" strokeweight="4.690072pt" strokecolor="#748b41">
              <v:stroke dashstyle="solid"/>
            </v:line>
            <v:rect style="position:absolute;left:8492;top:1887;width:94;height:24" filled="true" fillcolor="#748b41" stroked="false">
              <v:fill type="solid"/>
            </v:rect>
            <v:shape style="position:absolute;left:0;top:-27896;width:651711;height:42334" coordorigin="0,-27895" coordsize="651711,42334" path="m1827,1905l8686,1905m1827,1905l1827,2349m4875,1905l4875,2349m8686,1905l8686,2349e" filled="false" stroked="true" strokeweight=".585305pt" strokecolor="#d9d9d9">
              <v:path arrowok="t"/>
              <v:stroke dashstyle="solid"/>
            </v:shape>
            <v:shape style="position:absolute;left:0;top:-11185;width:651711;height:25623" coordorigin="0,-11185" coordsize="651711,25623" path="m1827,2349l1827,2618m4875,2349l4875,2618m8686,2349l8686,2618e" filled="false" stroked="true" strokeweight=".585305pt" strokecolor="#d9d9d9">
              <v:path arrowok="t"/>
              <v:stroke dashstyle="solid"/>
            </v:shape>
            <v:shape style="position:absolute;left:1880;top:2018;width:1346;height:312" type="#_x0000_t202" filled="false" stroked="false">
              <v:textbox inset="0,0,0,0">
                <w:txbxContent>
                  <w:p>
                    <w:pPr>
                      <w:spacing w:line="143" w:lineRule="exact" w:before="0"/>
                      <w:ind w:left="0" w:right="0" w:firstLine="0"/>
                      <w:jc w:val="left"/>
                      <w:rPr>
                        <w:rFonts w:ascii="Calibri"/>
                        <w:sz w:val="14"/>
                      </w:rPr>
                    </w:pPr>
                    <w:r>
                      <w:rPr>
                        <w:rFonts w:ascii="Calibri"/>
                        <w:color w:val="585858"/>
                        <w:sz w:val="14"/>
                      </w:rPr>
                      <w:t>From other From AP</w:t>
                    </w:r>
                  </w:p>
                  <w:p>
                    <w:pPr>
                      <w:spacing w:line="168" w:lineRule="exact" w:before="0"/>
                      <w:ind w:left="273" w:right="0" w:firstLine="0"/>
                      <w:jc w:val="left"/>
                      <w:rPr>
                        <w:rFonts w:ascii="Calibri"/>
                        <w:sz w:val="14"/>
                      </w:rPr>
                    </w:pPr>
                    <w:r>
                      <w:rPr>
                        <w:rFonts w:ascii="Calibri"/>
                        <w:color w:val="585858"/>
                        <w:sz w:val="14"/>
                      </w:rPr>
                      <w:t>IS</w:t>
                    </w:r>
                  </w:p>
                </w:txbxContent>
              </v:textbox>
              <w10:wrap type="none"/>
            </v:shape>
            <v:shape style="position:absolute;left:3466;top:2018;width:2111;height:312" type="#_x0000_t202" filled="false" stroked="false">
              <v:textbox inset="0,0,0,0">
                <w:txbxContent>
                  <w:p>
                    <w:pPr>
                      <w:spacing w:line="143" w:lineRule="exact" w:before="0"/>
                      <w:ind w:left="48" w:right="66" w:firstLine="0"/>
                      <w:jc w:val="center"/>
                      <w:rPr>
                        <w:rFonts w:ascii="Calibri"/>
                        <w:sz w:val="14"/>
                      </w:rPr>
                    </w:pPr>
                    <w:r>
                      <w:rPr>
                        <w:rFonts w:ascii="Calibri"/>
                        <w:color w:val="585858"/>
                        <w:sz w:val="14"/>
                      </w:rPr>
                      <w:t>From NIS From outside To other IS</w:t>
                    </w:r>
                  </w:p>
                  <w:p>
                    <w:pPr>
                      <w:spacing w:line="168" w:lineRule="exact" w:before="0"/>
                      <w:ind w:left="7" w:right="66" w:firstLine="0"/>
                      <w:jc w:val="center"/>
                      <w:rPr>
                        <w:rFonts w:ascii="Calibri"/>
                        <w:sz w:val="14"/>
                      </w:rPr>
                    </w:pPr>
                    <w:r>
                      <w:rPr>
                        <w:rFonts w:ascii="Calibri"/>
                        <w:color w:val="585858"/>
                        <w:sz w:val="14"/>
                      </w:rPr>
                      <w:t>system</w:t>
                    </w:r>
                  </w:p>
                </w:txbxContent>
              </v:textbox>
              <w10:wrap type="none"/>
            </v:shape>
            <v:shape style="position:absolute;left:5849;top:2018;width:2666;height:141" type="#_x0000_t202" filled="false" stroked="false">
              <v:textbox inset="0,0,0,0">
                <w:txbxContent>
                  <w:p>
                    <w:pPr>
                      <w:tabs>
                        <w:tab w:pos="743" w:val="left" w:leader="none"/>
                        <w:tab w:pos="1366" w:val="left" w:leader="none"/>
                        <w:tab w:pos="2250" w:val="left" w:leader="none"/>
                      </w:tabs>
                      <w:spacing w:line="140" w:lineRule="exact" w:before="0"/>
                      <w:ind w:left="0" w:right="0" w:firstLine="0"/>
                      <w:jc w:val="left"/>
                      <w:rPr>
                        <w:rFonts w:ascii="Calibri"/>
                        <w:sz w:val="14"/>
                      </w:rPr>
                    </w:pPr>
                    <w:r>
                      <w:rPr>
                        <w:rFonts w:ascii="Calibri"/>
                        <w:color w:val="585858"/>
                        <w:sz w:val="14"/>
                      </w:rPr>
                      <w:t>To</w:t>
                    </w:r>
                    <w:r>
                      <w:rPr>
                        <w:rFonts w:ascii="Calibri"/>
                        <w:color w:val="585858"/>
                        <w:spacing w:val="-1"/>
                        <w:sz w:val="14"/>
                      </w:rPr>
                      <w:t> </w:t>
                    </w:r>
                    <w:r>
                      <w:rPr>
                        <w:rFonts w:ascii="Calibri"/>
                        <w:color w:val="585858"/>
                        <w:sz w:val="14"/>
                      </w:rPr>
                      <w:t>AP</w:t>
                      <w:tab/>
                      <w:t>To NIS</w:t>
                      <w:tab/>
                      <w:t>Exit</w:t>
                    </w:r>
                    <w:r>
                      <w:rPr>
                        <w:rFonts w:ascii="Calibri"/>
                        <w:color w:val="585858"/>
                        <w:spacing w:val="5"/>
                        <w:sz w:val="14"/>
                      </w:rPr>
                      <w:t> </w:t>
                    </w:r>
                    <w:r>
                      <w:rPr>
                        <w:rFonts w:ascii="Calibri"/>
                        <w:color w:val="585858"/>
                        <w:spacing w:val="-3"/>
                        <w:sz w:val="14"/>
                      </w:rPr>
                      <w:t>system</w:t>
                      <w:tab/>
                    </w:r>
                    <w:r>
                      <w:rPr>
                        <w:rFonts w:ascii="Calibri"/>
                        <w:color w:val="585858"/>
                        <w:sz w:val="14"/>
                      </w:rPr>
                      <w:t>Deaths</w:t>
                    </w:r>
                  </w:p>
                </w:txbxContent>
              </v:textbox>
              <w10:wrap type="none"/>
            </v:shape>
            <v:shape style="position:absolute;left:2816;top:2461;width:4465;height:141" type="#_x0000_t202" filled="false" stroked="false">
              <v:textbox inset="0,0,0,0">
                <w:txbxContent>
                  <w:p>
                    <w:pPr>
                      <w:tabs>
                        <w:tab w:pos="3469" w:val="left" w:leader="none"/>
                      </w:tabs>
                      <w:spacing w:line="140" w:lineRule="exact" w:before="0"/>
                      <w:ind w:left="0" w:right="0" w:firstLine="0"/>
                      <w:jc w:val="left"/>
                      <w:rPr>
                        <w:rFonts w:ascii="Calibri"/>
                        <w:sz w:val="14"/>
                      </w:rPr>
                    </w:pPr>
                    <w:r>
                      <w:rPr>
                        <w:rFonts w:ascii="Calibri"/>
                        <w:color w:val="585858"/>
                        <w:sz w:val="14"/>
                      </w:rPr>
                      <w:t>Entries into</w:t>
                    </w:r>
                    <w:r>
                      <w:rPr>
                        <w:rFonts w:ascii="Calibri"/>
                        <w:color w:val="585858"/>
                        <w:spacing w:val="3"/>
                        <w:sz w:val="14"/>
                      </w:rPr>
                      <w:t> </w:t>
                    </w:r>
                    <w:r>
                      <w:rPr>
                        <w:rFonts w:ascii="Calibri"/>
                        <w:color w:val="585858"/>
                        <w:sz w:val="14"/>
                      </w:rPr>
                      <w:t>class</w:t>
                    </w:r>
                    <w:r>
                      <w:rPr>
                        <w:rFonts w:ascii="Calibri"/>
                        <w:color w:val="585858"/>
                        <w:spacing w:val="-6"/>
                        <w:sz w:val="14"/>
                      </w:rPr>
                      <w:t> </w:t>
                    </w:r>
                    <w:r>
                      <w:rPr>
                        <w:rFonts w:ascii="Calibri"/>
                        <w:color w:val="585858"/>
                        <w:sz w:val="14"/>
                      </w:rPr>
                      <w:t>2</w:t>
                      <w:tab/>
                      <w:t>Exits from class</w:t>
                    </w:r>
                    <w:r>
                      <w:rPr>
                        <w:rFonts w:ascii="Calibri"/>
                        <w:color w:val="585858"/>
                        <w:spacing w:val="-7"/>
                        <w:sz w:val="14"/>
                      </w:rPr>
                      <w:t> </w:t>
                    </w:r>
                    <w:r>
                      <w:rPr>
                        <w:rFonts w:ascii="Calibri"/>
                        <w:color w:val="585858"/>
                        <w:sz w:val="14"/>
                      </w:rPr>
                      <w:t>2</w:t>
                    </w:r>
                  </w:p>
                </w:txbxContent>
              </v:textbox>
              <w10:wrap type="none"/>
            </v:shape>
            <w10:wrap type="none"/>
          </v:group>
        </w:pict>
      </w:r>
      <w:r>
        <w:rPr>
          <w:rFonts w:ascii="Calibri"/>
          <w:color w:val="585858"/>
          <w:sz w:val="14"/>
        </w:rPr>
        <w:t>250,000</w:t>
      </w:r>
    </w:p>
    <w:p>
      <w:pPr>
        <w:pStyle w:val="BodyText"/>
        <w:spacing w:before="7"/>
        <w:rPr>
          <w:rFonts w:ascii="Calibri"/>
          <w:sz w:val="8"/>
        </w:rPr>
      </w:pPr>
    </w:p>
    <w:p>
      <w:pPr>
        <w:spacing w:before="72"/>
        <w:ind w:left="1109" w:right="0" w:firstLine="0"/>
        <w:jc w:val="left"/>
        <w:rPr>
          <w:rFonts w:ascii="Calibri"/>
          <w:sz w:val="14"/>
        </w:rPr>
      </w:pPr>
      <w:r>
        <w:rPr>
          <w:rFonts w:ascii="Calibri"/>
          <w:color w:val="585858"/>
          <w:sz w:val="14"/>
        </w:rPr>
        <w:t>200,000</w:t>
      </w:r>
    </w:p>
    <w:p>
      <w:pPr>
        <w:pStyle w:val="BodyText"/>
        <w:spacing w:before="7"/>
        <w:rPr>
          <w:rFonts w:ascii="Calibri"/>
          <w:sz w:val="8"/>
        </w:rPr>
      </w:pPr>
    </w:p>
    <w:p>
      <w:pPr>
        <w:spacing w:before="72"/>
        <w:ind w:left="1109" w:right="0" w:firstLine="0"/>
        <w:jc w:val="left"/>
        <w:rPr>
          <w:rFonts w:ascii="Calibri"/>
          <w:sz w:val="14"/>
        </w:rPr>
      </w:pPr>
      <w:r>
        <w:rPr>
          <w:rFonts w:ascii="Calibri"/>
          <w:color w:val="585858"/>
          <w:sz w:val="14"/>
        </w:rPr>
        <w:t>150,000</w:t>
      </w:r>
    </w:p>
    <w:p>
      <w:pPr>
        <w:pStyle w:val="BodyText"/>
        <w:spacing w:before="6"/>
        <w:rPr>
          <w:rFonts w:ascii="Calibri"/>
          <w:sz w:val="8"/>
        </w:rPr>
      </w:pPr>
    </w:p>
    <w:p>
      <w:pPr>
        <w:spacing w:before="73"/>
        <w:ind w:left="1109" w:right="0" w:firstLine="0"/>
        <w:jc w:val="left"/>
        <w:rPr>
          <w:rFonts w:ascii="Calibri"/>
          <w:sz w:val="14"/>
        </w:rPr>
      </w:pPr>
      <w:r>
        <w:rPr>
          <w:rFonts w:ascii="Calibri"/>
          <w:color w:val="585858"/>
          <w:sz w:val="14"/>
        </w:rPr>
        <w:t>100,000</w:t>
      </w:r>
    </w:p>
    <w:p>
      <w:pPr>
        <w:pStyle w:val="BodyText"/>
        <w:spacing w:before="6"/>
        <w:rPr>
          <w:rFonts w:ascii="Calibri"/>
          <w:sz w:val="8"/>
        </w:rPr>
      </w:pPr>
    </w:p>
    <w:p>
      <w:pPr>
        <w:spacing w:before="72"/>
        <w:ind w:left="1180" w:right="0" w:firstLine="0"/>
        <w:jc w:val="left"/>
        <w:rPr>
          <w:rFonts w:ascii="Calibri"/>
          <w:sz w:val="14"/>
        </w:rPr>
      </w:pPr>
      <w:r>
        <w:rPr>
          <w:rFonts w:ascii="Calibri"/>
          <w:color w:val="585858"/>
          <w:sz w:val="14"/>
        </w:rPr>
        <w:t>50,000</w:t>
      </w:r>
    </w:p>
    <w:p>
      <w:pPr>
        <w:pStyle w:val="BodyText"/>
        <w:spacing w:before="7"/>
        <w:rPr>
          <w:rFonts w:ascii="Calibri"/>
          <w:sz w:val="8"/>
        </w:rPr>
      </w:pPr>
    </w:p>
    <w:p>
      <w:pPr>
        <w:spacing w:before="72"/>
        <w:ind w:left="1500" w:right="0" w:firstLine="0"/>
        <w:jc w:val="left"/>
        <w:rPr>
          <w:rFonts w:ascii="Calibri"/>
          <w:sz w:val="14"/>
        </w:rPr>
      </w:pPr>
      <w:r>
        <w:rPr>
          <w:rFonts w:ascii="Calibri"/>
          <w:color w:val="585858"/>
          <w:w w:val="100"/>
          <w:sz w:val="14"/>
        </w:rPr>
        <w:t>0</w:t>
      </w:r>
    </w:p>
    <w:p>
      <w:pPr>
        <w:pStyle w:val="BodyText"/>
        <w:rPr>
          <w:rFonts w:ascii="Calibri"/>
        </w:rPr>
      </w:pPr>
    </w:p>
    <w:p>
      <w:pPr>
        <w:pStyle w:val="BodyText"/>
        <w:rPr>
          <w:rFonts w:ascii="Calibri"/>
        </w:rPr>
      </w:pPr>
    </w:p>
    <w:p>
      <w:pPr>
        <w:pStyle w:val="BodyText"/>
        <w:spacing w:before="10"/>
        <w:rPr>
          <w:rFonts w:ascii="Calibri"/>
          <w:sz w:val="15"/>
        </w:rPr>
      </w:pPr>
    </w:p>
    <w:p>
      <w:pPr>
        <w:tabs>
          <w:tab w:pos="4298" w:val="left" w:leader="none"/>
          <w:tab w:pos="4811" w:val="left" w:leader="none"/>
          <w:tab w:pos="5324" w:val="left" w:leader="none"/>
          <w:tab w:pos="5837" w:val="left" w:leader="none"/>
        </w:tabs>
        <w:spacing w:before="72"/>
        <w:ind w:left="3785" w:right="0" w:firstLine="0"/>
        <w:jc w:val="left"/>
        <w:rPr>
          <w:rFonts w:ascii="Calibri"/>
          <w:sz w:val="14"/>
        </w:rPr>
      </w:pPr>
      <w:r>
        <w:rPr/>
        <w:pict>
          <v:rect style="position:absolute;margin-left:189.53067pt;margin-top:6.332788pt;width:4.102735pt;height:4.089400pt;mso-position-horizontal-relative:page;mso-position-vertical-relative:paragraph;z-index:251959296" filled="true" fillcolor="#d1debd" stroked="false">
            <v:fill type="solid"/>
            <w10:wrap type="none"/>
          </v:rect>
        </w:pict>
      </w:r>
      <w:r>
        <w:rPr/>
        <w:pict>
          <v:rect style="position:absolute;margin-left:215.32608pt;margin-top:6.332788pt;width:4.102735pt;height:4.089400pt;mso-position-horizontal-relative:page;mso-position-vertical-relative:paragraph;z-index:-287942656" filled="true" fillcolor="#b8cd95" stroked="false">
            <v:fill type="solid"/>
            <w10:wrap type="none"/>
          </v:rect>
        </w:pict>
      </w:r>
      <w:r>
        <w:rPr/>
        <w:pict>
          <v:rect style="position:absolute;margin-left:241.12146pt;margin-top:6.332788pt;width:3.51663pt;height:4.089400pt;mso-position-horizontal-relative:page;mso-position-vertical-relative:paragraph;z-index:-287941632" filled="true" fillcolor="#9bba58" stroked="false">
            <v:fill type="solid"/>
            <w10:wrap type="none"/>
          </v:rect>
        </w:pict>
      </w:r>
      <w:r>
        <w:rPr/>
        <w:pict>
          <v:rect style="position:absolute;margin-left:266.916840pt;margin-top:6.332788pt;width:3.51663pt;height:4.089400pt;mso-position-horizontal-relative:page;mso-position-vertical-relative:paragraph;z-index:-287940608" filled="true" fillcolor="#88a44e" stroked="false">
            <v:fill type="solid"/>
            <w10:wrap type="none"/>
          </v:rect>
        </w:pict>
      </w:r>
      <w:r>
        <w:rPr/>
        <w:pict>
          <v:rect style="position:absolute;margin-left:292.125977pt;margin-top:6.332788pt;width:4.102735pt;height:4.089400pt;mso-position-horizontal-relative:page;mso-position-vertical-relative:paragraph;z-index:-287939584" filled="true" fillcolor="#748b41" stroked="false">
            <v:fill type="solid"/>
            <w10:wrap type="none"/>
          </v:rect>
        </w:pict>
      </w:r>
      <w:r>
        <w:rPr>
          <w:rFonts w:ascii="Calibri"/>
          <w:color w:val="585858"/>
          <w:sz w:val="14"/>
        </w:rPr>
        <w:t>2014</w:t>
        <w:tab/>
        <w:t>2015</w:t>
        <w:tab/>
        <w:t>2016</w:t>
        <w:tab/>
        <w:t>2017</w:t>
        <w:tab/>
        <w:t>2018</w:t>
      </w:r>
    </w:p>
    <w:p>
      <w:pPr>
        <w:pStyle w:val="BodyText"/>
        <w:rPr>
          <w:rFonts w:ascii="Calibri"/>
          <w:sz w:val="14"/>
        </w:rPr>
      </w:pPr>
    </w:p>
    <w:p>
      <w:pPr>
        <w:pStyle w:val="BodyText"/>
        <w:rPr>
          <w:rFonts w:ascii="Calibri"/>
          <w:sz w:val="18"/>
        </w:rPr>
      </w:pPr>
    </w:p>
    <w:p>
      <w:pPr>
        <w:pStyle w:val="BodyText"/>
        <w:ind w:left="899" w:right="1154"/>
      </w:pPr>
      <w:r>
        <w:rPr>
          <w:color w:val="404040"/>
        </w:rPr>
        <w:t>Entries into Working Age have been decreasing, both in relation to entries / re-entries from outside the system (as previously noted), and also in terms of transitions from income support and non income support classes.</w:t>
      </w:r>
    </w:p>
    <w:p>
      <w:pPr>
        <w:pStyle w:val="BodyText"/>
        <w:spacing w:before="121"/>
        <w:ind w:left="899"/>
      </w:pPr>
      <w:r>
        <w:rPr>
          <w:color w:val="404040"/>
        </w:rPr>
        <w:t>Additionally, exits from this class have been more likely to exit the system entirely, in the most recent years.</w:t>
      </w:r>
    </w:p>
    <w:p>
      <w:pPr>
        <w:pStyle w:val="BodyText"/>
        <w:spacing w:before="8"/>
      </w:pPr>
    </w:p>
    <w:p>
      <w:pPr>
        <w:pStyle w:val="Heading6"/>
        <w:spacing w:before="1"/>
        <w:rPr>
          <w:i/>
        </w:rPr>
      </w:pPr>
      <w:r>
        <w:rPr>
          <w:i/>
          <w:color w:val="DF2F1E"/>
        </w:rPr>
        <w:t>Lower entries and transitions onto Parenting Payments</w:t>
      </w:r>
    </w:p>
    <w:p>
      <w:pPr>
        <w:pStyle w:val="BodyText"/>
        <w:spacing w:before="120"/>
        <w:ind w:left="900"/>
      </w:pPr>
      <w:r>
        <w:rPr>
          <w:color w:val="404040"/>
        </w:rPr>
        <w:t>The chart below shows entries and exits for the Parents class.</w:t>
      </w:r>
    </w:p>
    <w:p>
      <w:pPr>
        <w:pStyle w:val="Heading9"/>
        <w:spacing w:before="176"/>
      </w:pPr>
      <w:r>
        <w:rPr>
          <w:color w:val="DF2F1E"/>
        </w:rPr>
        <w:t>Figure 29: Entries and exits for class 3 Parents</w:t>
      </w:r>
    </w:p>
    <w:p>
      <w:pPr>
        <w:spacing w:before="121"/>
        <w:ind w:left="0" w:right="10286" w:firstLine="0"/>
        <w:jc w:val="right"/>
        <w:rPr>
          <w:rFonts w:ascii="Calibri"/>
          <w:sz w:val="14"/>
        </w:rPr>
      </w:pPr>
      <w:r>
        <w:rPr/>
        <w:pict>
          <v:line style="position:absolute;mso-position-horizontal-relative:page;mso-position-vertical-relative:paragraph;z-index:251970560" from="87.743057pt,10.772382pt" to="433.430856pt,10.772382pt" stroked="true" strokeweight=".584342pt" strokecolor="#d9d9d9">
            <v:stroke dashstyle="solid"/>
            <w10:wrap type="none"/>
          </v:line>
        </w:pict>
      </w:r>
      <w:r>
        <w:rPr>
          <w:rFonts w:ascii="Calibri"/>
          <w:color w:val="585858"/>
          <w:spacing w:val="-1"/>
          <w:sz w:val="14"/>
        </w:rPr>
        <w:t>50,000</w:t>
      </w:r>
    </w:p>
    <w:p>
      <w:pPr>
        <w:spacing w:before="37"/>
        <w:ind w:left="0" w:right="10286" w:firstLine="0"/>
        <w:jc w:val="right"/>
        <w:rPr>
          <w:rFonts w:ascii="Calibri"/>
          <w:sz w:val="14"/>
        </w:rPr>
      </w:pPr>
      <w:r>
        <w:rPr/>
        <w:pict>
          <v:group style="position:absolute;margin-left:87.4506pt;margin-top:11.056165pt;width:346.3pt;height:125.35pt;mso-position-horizontal-relative:page;mso-position-vertical-relative:paragraph;z-index:251968512" coordorigin="1749,221" coordsize="6926,2507">
            <v:shape style="position:absolute;left:5141;top:343;width:3528;height:1461" coordorigin="5142,344" coordsize="3528,1461" path="m7025,1805l8669,1805m6557,1805l6580,1805m5492,1805l6463,1805m6557,1594l6580,1594m5492,1594l6463,1594m6557,1384l6580,1384m5492,1384l6463,1384m6557,1174l6580,1174m5492,1174l6463,1174m6557,963l6580,963m5492,963l6463,963m6557,765l6580,765m5492,765l6463,765m6557,554l6697,554m5492,554l6463,554m6557,344l8669,344m5142,344l6463,344e" filled="false" stroked="true" strokeweight=".584342pt" strokecolor="#d9d9d9">
              <v:path arrowok="t"/>
              <v:stroke dashstyle="solid"/>
            </v:shape>
            <v:line style="position:absolute" from="6510,221" to="6510,2009" stroked="true" strokeweight="4.679331pt" strokecolor="#facfb9">
              <v:stroke dashstyle="solid"/>
            </v:line>
            <v:line style="position:absolute" from="7282,1846" to="7282,2009" stroked="true" strokeweight="4.679311pt" strokecolor="#facfb9">
              <v:stroke dashstyle="solid"/>
            </v:line>
            <v:rect style="position:absolute;left:7995;top:1997;width:94;height:12" filled="true" fillcolor="#facfb9" stroked="false">
              <v:fill type="solid"/>
            </v:rect>
            <v:shape style="position:absolute;left:1754;top:554;width:3411;height:1251" coordorigin="1755,554" coordsize="3411,1251" path="m5142,1805l5165,1805m5025,1805l5048,1805m4720,1805l4931,1805m4252,1805l4276,1805m3960,1805l4159,1805m3480,1805l3504,1805m2416,1805l3387,1805m3480,1594l3504,1594m2416,1594l3387,1594m3480,1384l3504,1384m2416,1384l3387,1384m3480,1174l3504,1174m2416,1174l3387,1174m3480,963l3504,963m2299,963l3387,963m3480,765l3504,765m1755,765l3387,765m1755,554l4931,554e" filled="false" stroked="true" strokeweight=".584342pt" strokecolor="#d9d9d9">
              <v:path arrowok="t"/>
              <v:stroke dashstyle="solid"/>
            </v:shape>
            <v:line style="position:absolute" from="3434,595" to="3434,2009" stroked="true" strokeweight="4.679331pt" strokecolor="#facfb9">
              <v:stroke dashstyle="solid"/>
            </v:line>
            <v:shape style="position:absolute;left:3960;top:1173;width:971;height:421" coordorigin="3960,1174" coordsize="971,421" path="m4252,1594l4276,1594m3960,1594l4159,1594m4252,1384l4276,1384m3960,1384l4159,1384m4252,1174l4931,1174m3960,1174l4159,1174e" filled="false" stroked="true" strokeweight=".584342pt" strokecolor="#d9d9d9">
              <v:path arrowok="t"/>
              <v:stroke dashstyle="solid"/>
            </v:shape>
            <v:line style="position:absolute" from="4206,1144" to="4206,2009" stroked="true" strokeweight="4.679321pt" strokecolor="#facfb9">
              <v:stroke dashstyle="solid"/>
            </v:line>
            <v:shape style="position:absolute;left:1754;top:343;width:3294;height:1251" coordorigin="1755,344" coordsize="3294,1251" path="m5025,1594l5048,1594m4720,1594l4931,1594m5025,1384l5048,1384m4603,1384l4931,1384m5025,1174l5048,1174m5025,963l5048,963m3843,963l4931,963m5025,765l5048,765m3714,765l4931,765m5025,554l5048,554m5025,344l5048,344m1755,344l4931,344e" filled="false" stroked="true" strokeweight=".584342pt" strokecolor="#d9d9d9">
              <v:path arrowok="t"/>
              <v:stroke dashstyle="solid"/>
            </v:shape>
            <v:line style="position:absolute" from="4978,280" to="4978,2009" stroked="true" strokeweight="4.679321pt" strokecolor="#facfb9">
              <v:stroke dashstyle="solid"/>
            </v:line>
            <v:shape style="position:absolute;left:1754;top:963;width:334;height:842" coordorigin="1755,963" coordsize="334,842" path="m2065,1805l2088,1805m1948,1805l1971,1805m1755,1805l1854,1805m1948,1594l1971,1594m1755,1594l1854,1594m1948,1384l1971,1384m1755,1384l1854,1384m1948,1174l1971,1174m1755,1174l1854,1174m1948,963l1971,963m1755,963l1854,963e" filled="false" stroked="true" strokeweight=".584342pt" strokecolor="#d9d9d9">
              <v:path arrowok="t"/>
              <v:stroke dashstyle="solid"/>
            </v:shape>
            <v:line style="position:absolute" from="1901,841" to="1901,2009" stroked="true" strokeweight="4.679321pt" strokecolor="#facfb9">
              <v:stroke dashstyle="solid"/>
            </v:line>
            <v:shape style="position:absolute;left:2064;top:963;width:24;height:632" coordorigin="2065,963" coordsize="24,632" path="m2065,1594l2088,1594m2065,1384l2088,1384m2065,1174l2088,1174m2065,963l2088,963e" filled="false" stroked="true" strokeweight=".584342pt" strokecolor="#d9d9d9">
              <v:path arrowok="t"/>
              <v:stroke dashstyle="solid"/>
            </v:shape>
            <v:line style="position:absolute" from="2018,829" to="2018,2009" stroked="true" strokeweight="4.679361pt" strokecolor="#f8b590">
              <v:stroke dashstyle="solid"/>
            </v:line>
            <v:rect style="position:absolute;left:2626;top:1997;width:94;height:12" filled="true" fillcolor="#facfb9" stroked="false">
              <v:fill type="solid"/>
            </v:rect>
            <v:rect style="position:absolute;left:2743;top:1997;width:94;height:12" filled="true" fillcolor="#f8b590" stroked="false">
              <v:fill type="solid"/>
            </v:rect>
            <v:shape style="position:absolute;left:3597;top:764;width:36;height:1041" coordorigin="3597,765" coordsize="36,1041" path="m3597,1805l3632,1805m3597,1594l3632,1594m3597,1384l3632,1384m3597,1174l3632,1174m3597,963l3632,963m3597,765l3632,765e" filled="false" stroked="true" strokeweight=".584342pt" strokecolor="#d9d9d9">
              <v:path arrowok="t"/>
              <v:stroke dashstyle="solid"/>
            </v:shape>
            <v:line style="position:absolute" from="3551,630" to="3551,2009" stroked="true" strokeweight="4.679361pt" strokecolor="#f8b590">
              <v:stroke dashstyle="solid"/>
            </v:line>
            <v:shape style="position:absolute;left:4369;top:1383;width:24;height:421" coordorigin="4369,1384" coordsize="24,421" path="m4369,1805l4393,1805m4369,1594l4393,1594m4369,1384l4393,1384e" filled="false" stroked="true" strokeweight=".584342pt" strokecolor="#d9d9d9">
              <v:path arrowok="t"/>
              <v:stroke dashstyle="solid"/>
            </v:shape>
            <v:line style="position:absolute" from="4323,1179" to="4323,2009" stroked="true" strokeweight="4.679361pt" strokecolor="#f8b590">
              <v:stroke dashstyle="solid"/>
            </v:line>
            <v:shape style="position:absolute;left:5141;top:554;width:24;height:1041" coordorigin="5142,554" coordsize="24,1041" path="m5142,1594l5165,1594m5142,1384l5165,1384m5142,1174l5165,1174m5142,963l5165,963m5142,765l5165,765m5142,554l5165,554e" filled="false" stroked="true" strokeweight=".584342pt" strokecolor="#d9d9d9">
              <v:path arrowok="t"/>
              <v:stroke dashstyle="solid"/>
            </v:shape>
            <v:line style="position:absolute" from="5095,326" to="5095,2009" stroked="true" strokeweight="4.679361pt" strokecolor="#f8b590">
              <v:stroke dashstyle="solid"/>
            </v:line>
            <v:rect style="position:absolute;left:5691;top:1997;width:94;height:12" filled="true" fillcolor="#facfb9" stroked="false">
              <v:fill type="solid"/>
            </v:rect>
            <v:rect style="position:absolute;left:5808;top:1997;width:94;height:12" filled="true" fillcolor="#f8b590" stroked="false">
              <v:fill type="solid"/>
            </v:rect>
            <v:shape style="position:absolute;left:6674;top:764;width:24;height:1041" coordorigin="6674,765" coordsize="24,1041" path="m6674,1805l6697,1805m6674,1594l6697,1594m6674,1384l6697,1384m6674,1174l6697,1174m6674,963l6697,963m6674,765l6697,765e" filled="false" stroked="true" strokeweight=".584342pt" strokecolor="#d9d9d9">
              <v:path arrowok="t"/>
              <v:stroke dashstyle="solid"/>
            </v:shape>
            <v:shape style="position:absolute;left:6627;top:571;width:773;height:1438" coordorigin="6627,572" coordsize="773,1438" path="m6627,572l6627,2009m7399,1846l7399,2009e" filled="false" stroked="true" strokeweight="4.679371pt" strokecolor="#f8b590">
              <v:path arrowok="t"/>
              <v:stroke dashstyle="solid"/>
            </v:shape>
            <v:rect style="position:absolute;left:8112;top:1997;width:94;height:12" filled="true" fillcolor="#f8b590" stroked="false">
              <v:fill type="solid"/>
            </v:rect>
            <v:shape style="position:absolute;left:2181;top:963;width:24;height:842" coordorigin="2182,963" coordsize="24,842" path="m2182,1805l2205,1805m2182,1594l2205,1594m2182,1384l2205,1384m2182,1174l2205,1174m2182,963l2205,963e" filled="false" stroked="true" strokeweight=".584342pt" strokecolor="#d9d9d9">
              <v:path arrowok="t"/>
              <v:stroke dashstyle="solid"/>
            </v:shape>
            <v:line style="position:absolute" from="2135,829" to="2135,2009" stroked="true" strokeweight="4.679342pt" strokecolor="#f79546">
              <v:stroke dashstyle="solid"/>
            </v:line>
            <v:rect style="position:absolute;left:2860;top:1997;width:94;height:12" filled="true" fillcolor="#f79546" stroked="false">
              <v:fill type="solid"/>
            </v:rect>
            <v:shape style="position:absolute;left:3714;top:963;width:36;height:842" coordorigin="3714,963" coordsize="36,842" path="m3714,1805l3749,1805m3714,1594l3749,1594m3714,1384l3749,1384m3714,1174l3749,1174m3714,963l3749,963e" filled="false" stroked="true" strokeweight=".584342pt" strokecolor="#d9d9d9">
              <v:path arrowok="t"/>
              <v:stroke dashstyle="solid"/>
            </v:shape>
            <v:line style="position:absolute" from="3673,689" to="3673,2009" stroked="true" strokeweight="4.094433pt" strokecolor="#f79546">
              <v:stroke dashstyle="solid"/>
            </v:line>
            <v:shape style="position:absolute;left:4486;top:1383;width:24;height:421" coordorigin="4486,1384" coordsize="24,421" path="m4486,1805l4510,1805m4486,1594l4510,1594m4486,1384l4510,1384e" filled="false" stroked="true" strokeweight=".584342pt" strokecolor="#d9d9d9">
              <v:path arrowok="t"/>
              <v:stroke dashstyle="solid"/>
            </v:shape>
            <v:line style="position:absolute" from="4440,1226" to="4440,2009" stroked="true" strokeweight="4.679342pt" strokecolor="#f79546">
              <v:stroke dashstyle="solid"/>
            </v:line>
            <v:shape style="position:absolute;left:5258;top:554;width:24;height:1251" coordorigin="5259,554" coordsize="24,1251" path="m5259,1805l5282,1805m5259,1594l5282,1594m5259,1384l5282,1384m5259,1174l5282,1174m5259,963l5282,963m5259,765l5282,765m5259,554l5282,554e" filled="false" stroked="true" strokeweight=".584342pt" strokecolor="#d9d9d9">
              <v:path arrowok="t"/>
              <v:stroke dashstyle="solid"/>
            </v:shape>
            <v:line style="position:absolute" from="5212,361" to="5212,2009" stroked="true" strokeweight="4.679352pt" strokecolor="#f79546">
              <v:stroke dashstyle="solid"/>
            </v:line>
            <v:rect style="position:absolute;left:5937;top:1997;width:94;height:12" filled="true" fillcolor="#f79546" stroked="false">
              <v:fill type="solid"/>
            </v:rect>
            <v:shape style="position:absolute;left:6791;top:554;width:24;height:1251" coordorigin="6791,554" coordsize="24,1251" path="m6791,1805l6814,1805m6791,1594l6814,1594m6791,1384l6814,1384m6791,1174l6814,1174m6791,963l6814,963m6791,765l6814,765m6791,554l6814,554e" filled="false" stroked="true" strokeweight=".584342pt" strokecolor="#d9d9d9">
              <v:path arrowok="t"/>
              <v:stroke dashstyle="solid"/>
            </v:shape>
            <v:line style="position:absolute" from="6744,537" to="6744,2009" stroked="true" strokeweight="4.679321pt" strokecolor="#f79546">
              <v:stroke dashstyle="solid"/>
            </v:line>
            <v:line style="position:absolute" from="7516,1846" to="7516,2009" stroked="true" strokeweight="4.679342pt" strokecolor="#f79546">
              <v:stroke dashstyle="solid"/>
            </v:line>
            <v:rect style="position:absolute;left:8241;top:1997;width:94;height:12" filled="true" fillcolor="#f79546" stroked="false">
              <v:fill type="solid"/>
            </v:rect>
            <v:shape style="position:absolute;left:2298;top:1173;width:24;height:632" coordorigin="2299,1174" coordsize="24,632" path="m2299,1805l2322,1805m2299,1594l2322,1594m2299,1384l2322,1384m2299,1174l2322,1174e" filled="false" stroked="true" strokeweight=".584342pt" strokecolor="#d9d9d9">
              <v:path arrowok="t"/>
              <v:stroke dashstyle="solid"/>
            </v:shape>
            <v:line style="position:absolute" from="2252,922" to="2252,2009" stroked="true" strokeweight="4.679327pt" strokecolor="#db843c">
              <v:stroke dashstyle="solid"/>
            </v:line>
            <v:rect style="position:absolute;left:2977;top:1997;width:94;height:12" filled="true" fillcolor="#db843c" stroked="false">
              <v:fill type="solid"/>
            </v:rect>
            <v:shape style="position:absolute;left:3843;top:1173;width:24;height:632" coordorigin="3843,1174" coordsize="24,632" path="m3843,1805l3866,1805m3843,1594l3866,1594m3843,1384l3866,1384m3843,1174l3866,1174e" filled="false" stroked="true" strokeweight=".584342pt" strokecolor="#d9d9d9">
              <v:path arrowok="t"/>
              <v:stroke dashstyle="solid"/>
            </v:shape>
            <v:line style="position:absolute" from="3796,852" to="3796,2009" stroked="true" strokeweight="4.679327pt" strokecolor="#db843c">
              <v:stroke dashstyle="solid"/>
            </v:line>
            <v:shape style="position:absolute;left:4603;top:1594;width:24;height:211" coordorigin="4603,1594" coordsize="24,211" path="m4603,1805l4627,1805m4603,1594l4627,1594e" filled="false" stroked="true" strokeweight=".584342pt" strokecolor="#d9d9d9">
              <v:path arrowok="t"/>
              <v:stroke dashstyle="solid"/>
            </v:shape>
            <v:line style="position:absolute" from="4557,1331" to="4557,2009" stroked="true" strokeweight="4.679338pt" strokecolor="#db843c">
              <v:stroke dashstyle="solid"/>
            </v:line>
            <v:shape style="position:absolute;left:5375;top:554;width:24;height:1251" coordorigin="5375,554" coordsize="24,1251" path="m5375,1805l5399,1805m5375,1594l5399,1594m5375,1384l5399,1384m5375,1174l5399,1174m5375,963l5399,963m5375,765l5399,765m5375,554l5399,554e" filled="false" stroked="true" strokeweight=".584342pt" strokecolor="#d9d9d9">
              <v:path arrowok="t"/>
              <v:stroke dashstyle="solid"/>
            </v:shape>
            <v:line style="position:absolute" from="5329,443" to="5329,2009" stroked="true" strokeweight="4.679349pt" strokecolor="#db843c">
              <v:stroke dashstyle="solid"/>
            </v:line>
            <v:rect style="position:absolute;left:6054;top:1997;width:94;height:12" filled="true" fillcolor="#db843c" stroked="false">
              <v:fill type="solid"/>
            </v:rect>
            <v:shape style="position:absolute;left:6907;top:554;width:24;height:1251" coordorigin="6908,554" coordsize="24,1251" path="m6908,1805l6931,1805m6908,1594l6931,1594m6908,1384l6931,1384m6908,1174l6931,1174m6908,963l6931,963m6908,765l6931,765m6908,554l6931,554e" filled="false" stroked="true" strokeweight=".584342pt" strokecolor="#d9d9d9">
              <v:path arrowok="t"/>
              <v:stroke dashstyle="solid"/>
            </v:shape>
            <v:line style="position:absolute" from="6861,408" to="6861,2009" stroked="true" strokeweight="4.679327pt" strokecolor="#db843c">
              <v:stroke dashstyle="solid"/>
            </v:line>
            <v:line style="position:absolute" from="7633,1834" to="7633,2009" stroked="true" strokeweight="4.679327pt" strokecolor="#db843c">
              <v:stroke dashstyle="solid"/>
            </v:line>
            <v:rect style="position:absolute;left:8358;top:1997;width:94;height:12" filled="true" fillcolor="#db843c" stroked="false">
              <v:fill type="solid"/>
            </v:rect>
            <v:line style="position:absolute" from="2369,1074" to="2369,2009" stroked="true" strokeweight="4.679324pt" strokecolor="#b96f31">
              <v:stroke dashstyle="solid"/>
            </v:line>
            <v:rect style="position:absolute;left:3094;top:1997;width:94;height:12" filled="true" fillcolor="#b96f31" stroked="false">
              <v:fill type="solid"/>
            </v:rect>
            <v:shape style="position:absolute;left:3913;top:1039;width:761;height:970" coordorigin="3913,1039" coordsize="761,970" path="m3913,1039l3913,2009m4674,1518l4674,2009e" filled="false" stroked="true" strokeweight="4.679324pt" strokecolor="#b96f31">
              <v:path arrowok="t"/>
              <v:stroke dashstyle="solid"/>
            </v:shape>
            <v:line style="position:absolute" from="5446,537" to="5446,2009" stroked="true" strokeweight="4.679324pt" strokecolor="#b96f31">
              <v:stroke dashstyle="solid"/>
            </v:line>
            <v:rect style="position:absolute;left:6170;top:1997;width:94;height:12" filled="true" fillcolor="#b96f31" stroked="false">
              <v:fill type="solid"/>
            </v:rect>
            <v:shape style="position:absolute;left:7024;top:554;width:1644;height:1041" coordorigin="7025,554" coordsize="1644,1041" path="m7025,1594l8669,1594m7025,1384l8669,1384m7025,1174l8669,1174m7025,963l8669,963m7025,765l8669,765m7025,554l8669,554e" filled="false" stroked="true" strokeweight=".584342pt" strokecolor="#d9d9d9">
              <v:path arrowok="t"/>
              <v:stroke dashstyle="solid"/>
            </v:shape>
            <v:line style="position:absolute" from="6978,350" to="6978,2009" stroked="true" strokeweight="4.679345pt" strokecolor="#b96f31">
              <v:stroke dashstyle="solid"/>
            </v:line>
            <v:line style="position:absolute" from="7750,1834" to="7750,2009" stroked="true" strokeweight="4.679324pt" strokecolor="#b96f31">
              <v:stroke dashstyle="solid"/>
            </v:line>
            <v:rect style="position:absolute;left:8475;top:1997;width:94;height:12" filled="true" fillcolor="#b96f31" stroked="false">
              <v:fill type="solid"/>
            </v:rect>
            <v:line style="position:absolute" from="1755,2015" to="8669,2015" stroked="true" strokeweight=".584343pt" strokecolor="#d9d9d9">
              <v:stroke dashstyle="solid"/>
            </v:line>
            <v:shape style="position:absolute;left:0;top:-31951;width:650784;height:40743" coordorigin="0,-31950" coordsize="650784,40743" path="m1755,2015l1755,2447m4832,2015l4832,2447m8669,2015l8669,2447e" filled="false" stroked="true" strokeweight=".584633pt" strokecolor="#d9d9d9">
              <v:path arrowok="t"/>
              <v:stroke dashstyle="solid"/>
            </v:shape>
            <v:shape style="position:absolute;left:0;top:-17789;width:654567;height:26582" coordorigin="0,-17789" coordsize="654567,26582" path="m1755,2447l1755,2728m4832,2447l4832,2728m8669,2447l8669,2728e" filled="false" stroked="true" strokeweight=".584631pt" strokecolor="#d9d9d9">
              <v:path arrowok="t"/>
              <v:stroke dashstyle="solid"/>
            </v:shape>
            <v:shape style="position:absolute;left:1814;top:2122;width:1351;height:312" type="#_x0000_t202" filled="false" stroked="false">
              <v:textbox inset="0,0,0,0">
                <w:txbxContent>
                  <w:p>
                    <w:pPr>
                      <w:tabs>
                        <w:tab w:pos="848" w:val="left" w:leader="none"/>
                      </w:tabs>
                      <w:spacing w:line="143" w:lineRule="exact" w:before="0"/>
                      <w:ind w:left="0" w:right="0" w:firstLine="0"/>
                      <w:jc w:val="left"/>
                      <w:rPr>
                        <w:rFonts w:ascii="Calibri"/>
                        <w:sz w:val="14"/>
                      </w:rPr>
                    </w:pPr>
                    <w:r>
                      <w:rPr>
                        <w:rFonts w:ascii="Calibri"/>
                        <w:color w:val="585858"/>
                        <w:sz w:val="14"/>
                      </w:rPr>
                      <w:t>From</w:t>
                    </w:r>
                    <w:r>
                      <w:rPr>
                        <w:rFonts w:ascii="Calibri"/>
                        <w:color w:val="585858"/>
                        <w:spacing w:val="-4"/>
                        <w:sz w:val="14"/>
                      </w:rPr>
                      <w:t> </w:t>
                    </w:r>
                    <w:r>
                      <w:rPr>
                        <w:rFonts w:ascii="Calibri"/>
                        <w:color w:val="585858"/>
                        <w:sz w:val="14"/>
                      </w:rPr>
                      <w:t>other</w:t>
                      <w:tab/>
                      <w:t>From</w:t>
                    </w:r>
                    <w:r>
                      <w:rPr>
                        <w:rFonts w:ascii="Calibri"/>
                        <w:color w:val="585858"/>
                        <w:spacing w:val="-4"/>
                        <w:sz w:val="14"/>
                      </w:rPr>
                      <w:t> </w:t>
                    </w:r>
                    <w:r>
                      <w:rPr>
                        <w:rFonts w:ascii="Calibri"/>
                        <w:color w:val="585858"/>
                        <w:sz w:val="14"/>
                      </w:rPr>
                      <w:t>AP</w:t>
                    </w:r>
                  </w:p>
                  <w:p>
                    <w:pPr>
                      <w:spacing w:line="168" w:lineRule="exact" w:before="0"/>
                      <w:ind w:left="272" w:right="0" w:firstLine="0"/>
                      <w:jc w:val="left"/>
                      <w:rPr>
                        <w:rFonts w:ascii="Calibri"/>
                        <w:sz w:val="14"/>
                      </w:rPr>
                    </w:pPr>
                    <w:r>
                      <w:rPr>
                        <w:rFonts w:ascii="Calibri"/>
                        <w:color w:val="585858"/>
                        <w:sz w:val="14"/>
                      </w:rPr>
                      <w:t>IS</w:t>
                    </w:r>
                  </w:p>
                </w:txbxContent>
              </v:textbox>
              <w10:wrap type="none"/>
            </v:shape>
            <v:shape style="position:absolute;left:3412;top:2122;width:2122;height:312" type="#_x0000_t202" filled="false" stroked="false">
              <v:textbox inset="0,0,0,0">
                <w:txbxContent>
                  <w:p>
                    <w:pPr>
                      <w:spacing w:line="143" w:lineRule="exact" w:before="0"/>
                      <w:ind w:left="51" w:right="70" w:firstLine="0"/>
                      <w:jc w:val="center"/>
                      <w:rPr>
                        <w:rFonts w:ascii="Calibri"/>
                        <w:sz w:val="14"/>
                      </w:rPr>
                    </w:pPr>
                    <w:r>
                      <w:rPr>
                        <w:rFonts w:ascii="Calibri"/>
                        <w:color w:val="585858"/>
                        <w:sz w:val="14"/>
                      </w:rPr>
                      <w:t>From NIS From outside To other</w:t>
                    </w:r>
                    <w:r>
                      <w:rPr>
                        <w:rFonts w:ascii="Calibri"/>
                        <w:color w:val="585858"/>
                        <w:spacing w:val="4"/>
                        <w:sz w:val="14"/>
                      </w:rPr>
                      <w:t> </w:t>
                    </w:r>
                    <w:r>
                      <w:rPr>
                        <w:rFonts w:ascii="Calibri"/>
                        <w:color w:val="585858"/>
                        <w:sz w:val="14"/>
                      </w:rPr>
                      <w:t>IS</w:t>
                    </w:r>
                  </w:p>
                  <w:p>
                    <w:pPr>
                      <w:spacing w:line="168" w:lineRule="exact" w:before="0"/>
                      <w:ind w:left="11" w:right="70" w:firstLine="0"/>
                      <w:jc w:val="center"/>
                      <w:rPr>
                        <w:rFonts w:ascii="Calibri"/>
                        <w:sz w:val="14"/>
                      </w:rPr>
                    </w:pPr>
                    <w:r>
                      <w:rPr>
                        <w:rFonts w:ascii="Calibri"/>
                        <w:color w:val="585858"/>
                        <w:sz w:val="14"/>
                      </w:rPr>
                      <w:t>system</w:t>
                    </w:r>
                  </w:p>
                </w:txbxContent>
              </v:textbox>
              <w10:wrap type="none"/>
            </v:shape>
            <v:shape style="position:absolute;left:5814;top:2122;width:2684;height:141" type="#_x0000_t202" filled="false" stroked="false">
              <v:textbox inset="0,0,0,0">
                <w:txbxContent>
                  <w:p>
                    <w:pPr>
                      <w:tabs>
                        <w:tab w:pos="749" w:val="left" w:leader="none"/>
                        <w:tab w:pos="1379" w:val="left" w:leader="none"/>
                        <w:tab w:pos="2269" w:val="left" w:leader="none"/>
                      </w:tabs>
                      <w:spacing w:line="140" w:lineRule="exact" w:before="0"/>
                      <w:ind w:left="0" w:right="0" w:firstLine="0"/>
                      <w:jc w:val="left"/>
                      <w:rPr>
                        <w:rFonts w:ascii="Calibri"/>
                        <w:sz w:val="14"/>
                      </w:rPr>
                    </w:pPr>
                    <w:r>
                      <w:rPr>
                        <w:rFonts w:ascii="Calibri"/>
                        <w:color w:val="585858"/>
                        <w:sz w:val="14"/>
                      </w:rPr>
                      <w:t>To</w:t>
                    </w:r>
                    <w:r>
                      <w:rPr>
                        <w:rFonts w:ascii="Calibri"/>
                        <w:color w:val="585858"/>
                        <w:spacing w:val="-1"/>
                        <w:sz w:val="14"/>
                      </w:rPr>
                      <w:t> </w:t>
                    </w:r>
                    <w:r>
                      <w:rPr>
                        <w:rFonts w:ascii="Calibri"/>
                        <w:color w:val="585858"/>
                        <w:sz w:val="14"/>
                      </w:rPr>
                      <w:t>AP</w:t>
                      <w:tab/>
                      <w:t>To NIS</w:t>
                      <w:tab/>
                      <w:t>Exit</w:t>
                    </w:r>
                    <w:r>
                      <w:rPr>
                        <w:rFonts w:ascii="Calibri"/>
                        <w:color w:val="585858"/>
                        <w:spacing w:val="5"/>
                        <w:sz w:val="14"/>
                      </w:rPr>
                      <w:t> </w:t>
                    </w:r>
                    <w:r>
                      <w:rPr>
                        <w:rFonts w:ascii="Calibri"/>
                        <w:color w:val="585858"/>
                        <w:spacing w:val="-3"/>
                        <w:sz w:val="14"/>
                      </w:rPr>
                      <w:t>system</w:t>
                      <w:tab/>
                    </w:r>
                    <w:r>
                      <w:rPr>
                        <w:rFonts w:ascii="Calibri"/>
                        <w:color w:val="585858"/>
                        <w:sz w:val="14"/>
                      </w:rPr>
                      <w:t>Deaths</w:t>
                    </w:r>
                  </w:p>
                </w:txbxContent>
              </v:textbox>
              <w10:wrap type="none"/>
            </v:shape>
            <v:shape style="position:absolute;left:2760;top:2565;width:4490;height:141" type="#_x0000_t202" filled="false" stroked="false">
              <v:textbox inset="0,0,0,0">
                <w:txbxContent>
                  <w:p>
                    <w:pPr>
                      <w:tabs>
                        <w:tab w:pos="3497" w:val="left" w:leader="none"/>
                      </w:tabs>
                      <w:spacing w:line="140" w:lineRule="exact" w:before="0"/>
                      <w:ind w:left="0" w:right="0" w:firstLine="0"/>
                      <w:jc w:val="left"/>
                      <w:rPr>
                        <w:rFonts w:ascii="Calibri"/>
                        <w:sz w:val="14"/>
                      </w:rPr>
                    </w:pPr>
                    <w:r>
                      <w:rPr>
                        <w:rFonts w:ascii="Calibri"/>
                        <w:color w:val="585858"/>
                        <w:sz w:val="14"/>
                      </w:rPr>
                      <w:t>Entries into</w:t>
                    </w:r>
                    <w:r>
                      <w:rPr>
                        <w:rFonts w:ascii="Calibri"/>
                        <w:color w:val="585858"/>
                        <w:spacing w:val="2"/>
                        <w:sz w:val="14"/>
                      </w:rPr>
                      <w:t> </w:t>
                    </w:r>
                    <w:r>
                      <w:rPr>
                        <w:rFonts w:ascii="Calibri"/>
                        <w:color w:val="585858"/>
                        <w:sz w:val="14"/>
                      </w:rPr>
                      <w:t>class</w:t>
                    </w:r>
                    <w:r>
                      <w:rPr>
                        <w:rFonts w:ascii="Calibri"/>
                        <w:color w:val="585858"/>
                        <w:spacing w:val="-6"/>
                        <w:sz w:val="14"/>
                      </w:rPr>
                      <w:t> </w:t>
                    </w:r>
                    <w:r>
                      <w:rPr>
                        <w:rFonts w:ascii="Calibri"/>
                        <w:color w:val="585858"/>
                        <w:sz w:val="14"/>
                      </w:rPr>
                      <w:t>3</w:t>
                      <w:tab/>
                      <w:t>Exits from class</w:t>
                    </w:r>
                    <w:r>
                      <w:rPr>
                        <w:rFonts w:ascii="Calibri"/>
                        <w:color w:val="585858"/>
                        <w:spacing w:val="-8"/>
                        <w:sz w:val="14"/>
                      </w:rPr>
                      <w:t> </w:t>
                    </w:r>
                    <w:r>
                      <w:rPr>
                        <w:rFonts w:ascii="Calibri"/>
                        <w:color w:val="585858"/>
                        <w:sz w:val="14"/>
                      </w:rPr>
                      <w:t>3</w:t>
                    </w:r>
                  </w:p>
                </w:txbxContent>
              </v:textbox>
              <w10:wrap type="none"/>
            </v:shape>
            <w10:wrap type="none"/>
          </v:group>
        </w:pict>
      </w:r>
      <w:r>
        <w:rPr/>
        <w:pict>
          <v:line style="position:absolute;mso-position-horizontal-relative:page;mso-position-vertical-relative:paragraph;z-index:251969536" from="87.743057pt,6.673707pt" to="433.430856pt,6.673707pt" stroked="true" strokeweight=".584342pt" strokecolor="#d9d9d9">
            <v:stroke dashstyle="solid"/>
            <w10:wrap type="none"/>
          </v:line>
        </w:pict>
      </w:r>
      <w:r>
        <w:rPr>
          <w:rFonts w:ascii="Calibri"/>
          <w:color w:val="585858"/>
          <w:spacing w:val="-1"/>
          <w:sz w:val="14"/>
        </w:rPr>
        <w:t>45,000</w:t>
      </w:r>
    </w:p>
    <w:p>
      <w:pPr>
        <w:spacing w:before="38"/>
        <w:ind w:left="0" w:right="10286" w:firstLine="0"/>
        <w:jc w:val="right"/>
        <w:rPr>
          <w:rFonts w:ascii="Calibri"/>
          <w:sz w:val="14"/>
        </w:rPr>
      </w:pPr>
      <w:r>
        <w:rPr>
          <w:rFonts w:ascii="Calibri"/>
          <w:color w:val="585858"/>
          <w:spacing w:val="-1"/>
          <w:sz w:val="14"/>
        </w:rPr>
        <w:t>40,000</w:t>
      </w:r>
    </w:p>
    <w:p>
      <w:pPr>
        <w:spacing w:before="37"/>
        <w:ind w:left="0" w:right="10286" w:firstLine="0"/>
        <w:jc w:val="right"/>
        <w:rPr>
          <w:rFonts w:ascii="Calibri"/>
          <w:sz w:val="14"/>
        </w:rPr>
      </w:pPr>
      <w:r>
        <w:rPr>
          <w:rFonts w:ascii="Calibri"/>
          <w:color w:val="585858"/>
          <w:spacing w:val="-1"/>
          <w:sz w:val="14"/>
        </w:rPr>
        <w:t>35,000</w:t>
      </w:r>
    </w:p>
    <w:p>
      <w:pPr>
        <w:spacing w:before="38"/>
        <w:ind w:left="0" w:right="10286" w:firstLine="0"/>
        <w:jc w:val="right"/>
        <w:rPr>
          <w:rFonts w:ascii="Calibri"/>
          <w:sz w:val="14"/>
        </w:rPr>
      </w:pPr>
      <w:r>
        <w:rPr>
          <w:rFonts w:ascii="Calibri"/>
          <w:color w:val="585858"/>
          <w:spacing w:val="-1"/>
          <w:sz w:val="14"/>
        </w:rPr>
        <w:t>30,000</w:t>
      </w:r>
    </w:p>
    <w:p>
      <w:pPr>
        <w:spacing w:before="37"/>
        <w:ind w:left="0" w:right="10286" w:firstLine="0"/>
        <w:jc w:val="right"/>
        <w:rPr>
          <w:rFonts w:ascii="Calibri"/>
          <w:sz w:val="14"/>
        </w:rPr>
      </w:pPr>
      <w:r>
        <w:rPr>
          <w:rFonts w:ascii="Calibri"/>
          <w:color w:val="585858"/>
          <w:spacing w:val="-1"/>
          <w:sz w:val="14"/>
        </w:rPr>
        <w:t>25,000</w:t>
      </w:r>
    </w:p>
    <w:p>
      <w:pPr>
        <w:spacing w:before="38"/>
        <w:ind w:left="0" w:right="10286" w:firstLine="0"/>
        <w:jc w:val="right"/>
        <w:rPr>
          <w:rFonts w:ascii="Calibri"/>
          <w:sz w:val="14"/>
        </w:rPr>
      </w:pPr>
      <w:r>
        <w:rPr>
          <w:rFonts w:ascii="Calibri"/>
          <w:color w:val="585858"/>
          <w:spacing w:val="-1"/>
          <w:sz w:val="14"/>
        </w:rPr>
        <w:t>20,000</w:t>
      </w:r>
    </w:p>
    <w:p>
      <w:pPr>
        <w:spacing w:before="37"/>
        <w:ind w:left="0" w:right="10286" w:firstLine="0"/>
        <w:jc w:val="right"/>
        <w:rPr>
          <w:rFonts w:ascii="Calibri"/>
          <w:sz w:val="14"/>
        </w:rPr>
      </w:pPr>
      <w:r>
        <w:rPr>
          <w:rFonts w:ascii="Calibri"/>
          <w:color w:val="585858"/>
          <w:spacing w:val="-1"/>
          <w:sz w:val="14"/>
        </w:rPr>
        <w:t>15,000</w:t>
      </w:r>
    </w:p>
    <w:p>
      <w:pPr>
        <w:spacing w:before="38"/>
        <w:ind w:left="0" w:right="10286" w:firstLine="0"/>
        <w:jc w:val="right"/>
        <w:rPr>
          <w:rFonts w:ascii="Calibri"/>
          <w:sz w:val="14"/>
        </w:rPr>
      </w:pPr>
      <w:r>
        <w:rPr>
          <w:rFonts w:ascii="Calibri"/>
          <w:color w:val="585858"/>
          <w:spacing w:val="-1"/>
          <w:sz w:val="14"/>
        </w:rPr>
        <w:t>10,000</w:t>
      </w:r>
    </w:p>
    <w:p>
      <w:pPr>
        <w:spacing w:before="37"/>
        <w:ind w:left="0" w:right="10285" w:firstLine="0"/>
        <w:jc w:val="right"/>
        <w:rPr>
          <w:rFonts w:ascii="Calibri"/>
          <w:sz w:val="14"/>
        </w:rPr>
      </w:pPr>
      <w:r>
        <w:rPr>
          <w:rFonts w:ascii="Calibri"/>
          <w:color w:val="585858"/>
          <w:spacing w:val="-1"/>
          <w:sz w:val="14"/>
        </w:rPr>
        <w:t>5,000</w:t>
      </w:r>
    </w:p>
    <w:p>
      <w:pPr>
        <w:spacing w:before="37"/>
        <w:ind w:left="0" w:right="10281" w:firstLine="0"/>
        <w:jc w:val="right"/>
        <w:rPr>
          <w:rFonts w:ascii="Calibri"/>
          <w:sz w:val="14"/>
        </w:rPr>
      </w:pPr>
      <w:r>
        <w:rPr>
          <w:rFonts w:ascii="Calibri"/>
          <w:color w:val="585858"/>
          <w:w w:val="100"/>
          <w:sz w:val="14"/>
        </w:rPr>
        <w:t>0</w:t>
      </w:r>
    </w:p>
    <w:p>
      <w:pPr>
        <w:pStyle w:val="BodyText"/>
        <w:rPr>
          <w:rFonts w:ascii="Calibri"/>
        </w:rPr>
      </w:pPr>
    </w:p>
    <w:p>
      <w:pPr>
        <w:pStyle w:val="BodyText"/>
        <w:rPr>
          <w:rFonts w:ascii="Calibri"/>
        </w:rPr>
      </w:pPr>
    </w:p>
    <w:p>
      <w:pPr>
        <w:pStyle w:val="BodyText"/>
        <w:spacing w:before="10"/>
        <w:rPr>
          <w:rFonts w:ascii="Calibri"/>
          <w:sz w:val="15"/>
        </w:rPr>
      </w:pPr>
    </w:p>
    <w:p>
      <w:pPr>
        <w:tabs>
          <w:tab w:pos="4293" w:val="left" w:leader="none"/>
          <w:tab w:pos="4805" w:val="left" w:leader="none"/>
          <w:tab w:pos="5317" w:val="left" w:leader="none"/>
          <w:tab w:pos="5829" w:val="left" w:leader="none"/>
        </w:tabs>
        <w:spacing w:before="72"/>
        <w:ind w:left="3781" w:right="0" w:firstLine="0"/>
        <w:jc w:val="left"/>
        <w:rPr>
          <w:rFonts w:ascii="Calibri"/>
          <w:sz w:val="14"/>
        </w:rPr>
      </w:pPr>
      <w:r>
        <w:rPr/>
        <w:pict>
          <v:rect style="position:absolute;margin-left:189.811188pt;margin-top:6.651544pt;width:3.50901pt;height:3.5052pt;mso-position-horizontal-relative:page;mso-position-vertical-relative:paragraph;z-index:251971584" filled="true" fillcolor="#facfb9" stroked="false">
            <v:fill type="solid"/>
            <w10:wrap type="none"/>
          </v:rect>
        </w:pict>
      </w:r>
      <w:r>
        <w:rPr/>
        <w:pict>
          <v:rect style="position:absolute;margin-left:214.962662pt;margin-top:6.651544pt;width:4.093845pt;height:3.5052pt;mso-position-horizontal-relative:page;mso-position-vertical-relative:paragraph;z-index:-287930368" filled="true" fillcolor="#f8b590" stroked="false">
            <v:fill type="solid"/>
            <w10:wrap type="none"/>
          </v:rect>
        </w:pict>
      </w:r>
      <w:r>
        <w:rPr/>
        <w:pict>
          <v:rect style="position:absolute;margin-left:240.699051pt;margin-top:6.651544pt;width:4.093845pt;height:3.5052pt;mso-position-horizontal-relative:page;mso-position-vertical-relative:paragraph;z-index:-287929344" filled="true" fillcolor="#f79546" stroked="false">
            <v:fill type="solid"/>
            <w10:wrap type="none"/>
          </v:rect>
        </w:pict>
      </w:r>
      <w:r>
        <w:rPr/>
        <w:pict>
          <v:rect style="position:absolute;margin-left:266.435425pt;margin-top:6.651544pt;width:3.50901pt;height:3.5052pt;mso-position-horizontal-relative:page;mso-position-vertical-relative:paragraph;z-index:-287928320" filled="true" fillcolor="#db843c" stroked="false">
            <v:fill type="solid"/>
            <w10:wrap type="none"/>
          </v:rect>
        </w:pict>
      </w:r>
      <w:r>
        <w:rPr/>
        <w:pict>
          <v:rect style="position:absolute;margin-left:292.171783pt;margin-top:6.651544pt;width:3.50901pt;height:3.5052pt;mso-position-horizontal-relative:page;mso-position-vertical-relative:paragraph;z-index:-287927296" filled="true" fillcolor="#b96f31" stroked="false">
            <v:fill type="solid"/>
            <w10:wrap type="none"/>
          </v:rect>
        </w:pict>
      </w:r>
      <w:r>
        <w:rPr>
          <w:rFonts w:ascii="Calibri"/>
          <w:color w:val="585858"/>
          <w:sz w:val="14"/>
        </w:rPr>
        <w:t>2014</w:t>
        <w:tab/>
        <w:t>2015</w:t>
        <w:tab/>
        <w:t>2016</w:t>
        <w:tab/>
        <w:t>2017</w:t>
        <w:tab/>
        <w:t>2018</w:t>
      </w:r>
    </w:p>
    <w:p>
      <w:pPr>
        <w:pStyle w:val="BodyText"/>
        <w:rPr>
          <w:rFonts w:ascii="Calibri"/>
          <w:sz w:val="14"/>
        </w:rPr>
      </w:pPr>
    </w:p>
    <w:p>
      <w:pPr>
        <w:pStyle w:val="BodyText"/>
        <w:rPr>
          <w:rFonts w:ascii="Calibri"/>
          <w:sz w:val="14"/>
        </w:rPr>
      </w:pPr>
    </w:p>
    <w:p>
      <w:pPr>
        <w:pStyle w:val="BodyText"/>
        <w:spacing w:before="10"/>
        <w:rPr>
          <w:rFonts w:ascii="Calibri"/>
          <w:sz w:val="12"/>
        </w:rPr>
      </w:pPr>
    </w:p>
    <w:p>
      <w:pPr>
        <w:pStyle w:val="BodyText"/>
        <w:ind w:left="900"/>
      </w:pPr>
      <w:r>
        <w:rPr>
          <w:color w:val="404040"/>
        </w:rPr>
        <w:t>It is evident that entries and transitions have been decreasing over recent periods.</w:t>
      </w:r>
    </w:p>
    <w:p>
      <w:pPr>
        <w:pStyle w:val="BodyText"/>
        <w:spacing w:before="118"/>
        <w:ind w:left="899" w:right="1243"/>
      </w:pPr>
      <w:r>
        <w:rPr>
          <w:color w:val="404040"/>
        </w:rPr>
        <w:t>The total number of people in this class decreased by 52,000 between June 2017 and June 2018. Around 22,000 of this decrease was as a result of higher exits than entries over the last year. The remaining 30,000 decrease relates to a small technical data change, whereby people who have been processed to receive a payment but then it was subsequently confirmed that they were not entitled to any amount, are now excluded from the class. This is discussed in section </w:t>
      </w:r>
      <w:hyperlink w:history="true" w:anchor="_bookmark23">
        <w:r>
          <w:rPr>
            <w:color w:val="404040"/>
          </w:rPr>
          <w:t>3.3.</w:t>
        </w:r>
      </w:hyperlink>
    </w:p>
    <w:p>
      <w:pPr>
        <w:pStyle w:val="BodyText"/>
        <w:spacing w:before="10"/>
      </w:pPr>
    </w:p>
    <w:p>
      <w:pPr>
        <w:pStyle w:val="Heading6"/>
        <w:jc w:val="both"/>
        <w:rPr>
          <w:i/>
        </w:rPr>
      </w:pPr>
      <w:r>
        <w:rPr>
          <w:i/>
          <w:color w:val="DF2F1E"/>
        </w:rPr>
        <w:t>Lower entries and transitions onto the Disability Support Pension</w:t>
      </w:r>
    </w:p>
    <w:p>
      <w:pPr>
        <w:pStyle w:val="BodyText"/>
        <w:spacing w:before="121"/>
        <w:ind w:left="900" w:right="1240"/>
        <w:jc w:val="both"/>
      </w:pPr>
      <w:r>
        <w:rPr>
          <w:color w:val="404040"/>
        </w:rPr>
        <w:t>There have been a number of changes in policy settings in relation to the Disability Support Pension over the last few years, including a tightening of eligibility criteria which has driven a reduction in the number of entries onto the DSP. Following this we have noted decreases in both entries from outside the welfare system and in movements from other payments into DSP.</w:t>
      </w:r>
    </w:p>
    <w:p>
      <w:pPr>
        <w:pStyle w:val="BodyText"/>
        <w:spacing w:before="120"/>
        <w:ind w:left="900"/>
        <w:jc w:val="both"/>
      </w:pPr>
      <w:r>
        <w:rPr>
          <w:color w:val="404040"/>
        </w:rPr>
        <w:t>The chart below shows the entries and transitions onto DSP by previous welfare class.</w:t>
      </w:r>
    </w:p>
    <w:p>
      <w:pPr>
        <w:spacing w:after="0"/>
        <w:jc w:val="both"/>
        <w:sectPr>
          <w:pgSz w:w="11910" w:h="16850"/>
          <w:pgMar w:header="572" w:footer="581" w:top="780" w:bottom="780" w:left="120" w:right="0"/>
        </w:sectPr>
      </w:pPr>
    </w:p>
    <w:p>
      <w:pPr>
        <w:pStyle w:val="BodyText"/>
      </w:pPr>
    </w:p>
    <w:p>
      <w:pPr>
        <w:pStyle w:val="BodyText"/>
      </w:pPr>
    </w:p>
    <w:p>
      <w:pPr>
        <w:pStyle w:val="BodyText"/>
        <w:spacing w:before="5"/>
        <w:rPr>
          <w:sz w:val="21"/>
        </w:rPr>
      </w:pPr>
    </w:p>
    <w:p>
      <w:pPr>
        <w:pStyle w:val="Heading9"/>
      </w:pPr>
      <w:r>
        <w:rPr>
          <w:color w:val="DF2F1E"/>
        </w:rPr>
        <w:t>Figure 30: Entries and exits for class 5 Disability Support Pension</w:t>
      </w:r>
    </w:p>
    <w:p>
      <w:pPr>
        <w:tabs>
          <w:tab w:pos="8481" w:val="left" w:leader="none"/>
        </w:tabs>
        <w:spacing w:before="122"/>
        <w:ind w:left="1109" w:right="0" w:firstLine="0"/>
        <w:jc w:val="left"/>
        <w:rPr>
          <w:rFonts w:ascii="Calibri"/>
          <w:sz w:val="14"/>
        </w:rPr>
      </w:pPr>
      <w:r>
        <w:rPr>
          <w:rFonts w:ascii="Calibri"/>
          <w:color w:val="585858"/>
          <w:sz w:val="14"/>
        </w:rPr>
        <w:t>35,000   </w:t>
      </w:r>
      <w:r>
        <w:rPr>
          <w:rFonts w:ascii="Calibri"/>
          <w:color w:val="585858"/>
          <w:spacing w:val="12"/>
          <w:sz w:val="14"/>
        </w:rPr>
        <w:t> </w:t>
      </w:r>
      <w:r>
        <w:rPr>
          <w:rFonts w:ascii="Calibri"/>
          <w:color w:val="585858"/>
          <w:w w:val="100"/>
          <w:sz w:val="14"/>
          <w:u w:val="single" w:color="D9D9D9"/>
        </w:rPr>
        <w:t> </w:t>
      </w:r>
      <w:r>
        <w:rPr>
          <w:rFonts w:ascii="Calibri"/>
          <w:color w:val="585858"/>
          <w:sz w:val="14"/>
          <w:u w:val="single" w:color="D9D9D9"/>
        </w:rPr>
        <w:tab/>
      </w:r>
    </w:p>
    <w:p>
      <w:pPr>
        <w:pStyle w:val="BodyText"/>
        <w:spacing w:before="4"/>
        <w:rPr>
          <w:rFonts w:ascii="Calibri"/>
          <w:sz w:val="10"/>
        </w:rPr>
      </w:pPr>
    </w:p>
    <w:p>
      <w:pPr>
        <w:spacing w:before="1"/>
        <w:ind w:left="1109" w:right="0" w:firstLine="0"/>
        <w:jc w:val="left"/>
        <w:rPr>
          <w:rFonts w:ascii="Calibri"/>
          <w:sz w:val="14"/>
        </w:rPr>
      </w:pPr>
      <w:r>
        <w:rPr/>
        <w:pict>
          <v:group style="position:absolute;margin-left:87.511345pt;margin-top:-4.111074pt;width:342.85pt;height:134.15pt;mso-position-horizontal-relative:page;mso-position-vertical-relative:paragraph;z-index:251980800" coordorigin="1750,-82" coordsize="6857,2683">
            <v:shape style="position:absolute;left:6216;top:1290;width:2386;height:293" coordorigin="6216,1291" coordsize="2386,293" path="m8502,1583l8601,1583m8384,1583l8408,1583m8267,1583l8291,1583m8150,1583l8173,1583m8033,1583l8056,1583m7740,1583l7939,1583m8033,1291l8056,1291m6216,1291l7939,1291e" filled="false" stroked="true" strokeweight=".584339pt" strokecolor="#d9d9d9">
              <v:path arrowok="t"/>
              <v:stroke dashstyle="solid"/>
            </v:shape>
            <v:line style="position:absolute" from="7986,1075" to="7986,1881" stroked="true" strokeweight="4.688515pt" strokecolor="#c7c0d3">
              <v:stroke dashstyle="solid"/>
            </v:line>
            <v:shape style="position:absolute;left:6216;top:1583;width:1430;height:2" coordorigin="6216,1583" coordsize="1430,0" path="m7271,1583l7646,1583m6216,1583l7177,1583e" filled="false" stroked="true" strokeweight=".584339pt" strokecolor="#d9d9d9">
              <v:path arrowok="t"/>
              <v:stroke dashstyle="solid"/>
            </v:shape>
            <v:line style="position:absolute" from="7224,1566" to="7224,1881" stroked="true" strokeweight="4.688515pt" strokecolor="#c7c0d3">
              <v:stroke dashstyle="solid"/>
            </v:line>
            <v:rect style="position:absolute;left:6415;top:1787;width:94;height:94" filled="true" fillcolor="#c7c0d3" stroked="false">
              <v:fill type="solid"/>
            </v:rect>
            <v:rect style="position:absolute;left:6532;top:1787;width:94;height:94" filled="true" fillcolor="#a99bbc" stroked="false">
              <v:fill type="solid"/>
            </v:rect>
            <v:line style="position:absolute" from="7341,1589" to="7341,1881" stroked="true" strokeweight="4.688486pt" strokecolor="#a99bbc">
              <v:stroke dashstyle="solid"/>
            </v:line>
            <v:shape style="position:absolute;left:6098;top:987;width:2503;height:304" coordorigin="6099,987" coordsize="2503,304" path="m8150,1291l8173,1291m6099,987l8601,987e" filled="false" stroked="true" strokeweight=".584339pt" strokecolor="#d9d9d9">
              <v:path arrowok="t"/>
              <v:stroke dashstyle="solid"/>
            </v:shape>
            <v:line style="position:absolute" from="8103,1016" to="8103,1881" stroked="true" strokeweight="4.688486pt" strokecolor="#a99bbc">
              <v:stroke dashstyle="solid"/>
            </v:line>
            <v:shape style="position:absolute;left:1756;top:391;width:4249;height:1193" coordorigin="1756,391" coordsize="4249,1193" path="m5982,1583l6005,1583m5864,1583l5888,1583m5747,1583l5771,1583m5220,1583l5653,1583m4223,1583l4247,1583m2407,1583l4130,1583m1949,1583l1973,1583m1756,1583l1856,1583m1949,1291l1973,1291m1756,1291l1856,1291m1949,987l1973,987m1756,987l1856,987m1949,695l1973,695m1756,695l1856,695m1949,391l5771,391m1756,391l1856,391e" filled="false" stroked="true" strokeweight=".584339pt" strokecolor="#d9d9d9">
              <v:path arrowok="t"/>
              <v:stroke dashstyle="solid"/>
            </v:shape>
            <v:line style="position:absolute" from="1903,339" to="1903,1881" stroked="true" strokeweight="4.688515pt" strokecolor="#c7c0d3">
              <v:stroke dashstyle="solid"/>
            </v:line>
            <v:rect style="position:absolute;left:2617;top:1869;width:83;height:12" filled="true" fillcolor="#c7c0d3" stroked="false">
              <v:fill type="solid"/>
            </v:rect>
            <v:line style="position:absolute" from="3421,1682" to="3421,1881" stroked="true" strokeweight="4.102453pt" strokecolor="#c7c0d3">
              <v:stroke dashstyle="solid"/>
            </v:line>
            <v:shape style="position:absolute;left:2066;top:694;width:3587;height:597" coordorigin="2067,695" coordsize="3587,597" path="m4223,1291l4247,1291m2407,1291l4130,1291m4223,987l4247,987m2067,987l4130,987m4223,695l5653,695m2067,695l4130,695e" filled="false" stroked="true" strokeweight=".584339pt" strokecolor="#d9d9d9">
              <v:path arrowok="t"/>
              <v:stroke dashstyle="solid"/>
            </v:shape>
            <v:line style="position:absolute" from="4177,584" to="4177,1881" stroked="true" strokeweight="4.688505pt" strokecolor="#c7c0d3">
              <v:stroke dashstyle="solid"/>
            </v:line>
            <v:rect style="position:absolute;left:4891;top:1811;width:94;height:71" filled="true" fillcolor="#c7c0d3" stroked="false">
              <v:fill type="solid"/>
            </v:rect>
            <v:shape style="position:absolute;left:4340;top:694;width:1430;height:597" coordorigin="4341,695" coordsize="1430,597" path="m5747,1291l5771,1291m4692,1291l5653,1291m5747,987l5771,987m4341,987l5653,987m5747,695l5771,695e" filled="false" stroked="true" strokeweight=".584339pt" strokecolor="#d9d9d9">
              <v:path arrowok="t"/>
              <v:stroke dashstyle="solid"/>
            </v:shape>
            <v:line style="position:absolute" from="5700,397" to="5700,1881" stroked="true" strokeweight="4.688515pt" strokecolor="#c7c0d3">
              <v:stroke dashstyle="solid"/>
            </v:line>
            <v:shape style="position:absolute;left:2066;top:1290;width:24;height:293" coordorigin="2067,1291" coordsize="24,293" path="m2067,1583l2090,1583m2067,1291l2090,1291e" filled="false" stroked="true" strokeweight=".584339pt" strokecolor="#d9d9d9">
              <v:path arrowok="t"/>
              <v:stroke dashstyle="solid"/>
            </v:shape>
            <v:line style="position:absolute" from="2020,666" to="2020,1881" stroked="true" strokeweight="4.688486pt" strokecolor="#a99bbc">
              <v:stroke dashstyle="solid"/>
            </v:line>
            <v:rect style="position:absolute;left:2734;top:1869;width:83;height:12" filled="true" fillcolor="#a99bbc" stroked="false">
              <v:fill type="solid"/>
            </v:rect>
            <v:line style="position:absolute" from="3532,1729" to="3532,1881" stroked="true" strokeweight="4.688486pt" strokecolor="#a99bbc">
              <v:stroke dashstyle="solid"/>
            </v:line>
            <v:shape style="position:absolute;left:4340;top:1290;width:24;height:293" coordorigin="4341,1291" coordsize="24,293" path="m4341,1583l4364,1583m4341,1291l4364,1291e" filled="false" stroked="true" strokeweight=".584339pt" strokecolor="#d9d9d9">
              <v:path arrowok="t"/>
              <v:stroke dashstyle="solid"/>
            </v:shape>
            <v:line style="position:absolute" from="4294,783" to="4294,1881" stroked="true" strokeweight="4.688496pt" strokecolor="#a99bbc">
              <v:stroke dashstyle="solid"/>
            </v:line>
            <v:rect style="position:absolute;left:5008;top:1776;width:94;height:106" filled="true" fillcolor="#a99bbc" stroked="false">
              <v:fill type="solid"/>
            </v:rect>
            <v:shape style="position:absolute;left:1756;top:98;width:4132;height:1193" coordorigin="1756,99" coordsize="4132,1193" path="m5864,1291l5888,1291m5864,987l5888,987m5864,695l5888,695m5864,391l5888,391m5864,99l5888,99m1756,99l5771,99e" filled="false" stroked="true" strokeweight=".584339pt" strokecolor="#d9d9d9">
              <v:path arrowok="t"/>
              <v:stroke dashstyle="solid"/>
            </v:shape>
            <v:line style="position:absolute" from="5817,-82" to="5817,1881" stroked="true" strokeweight="4.688486pt" strokecolor="#a99bbc">
              <v:stroke dashstyle="solid"/>
            </v:line>
            <v:shape style="position:absolute;left:2172;top:1290;width:36;height:293" coordorigin="2172,1291" coordsize="36,293" path="m2172,1583l2207,1583m2172,1291l2207,1291e" filled="false" stroked="true" strokeweight=".584339pt" strokecolor="#d9d9d9">
              <v:path arrowok="t"/>
              <v:stroke dashstyle="solid"/>
            </v:shape>
            <v:line style="position:absolute" from="2131,1110" to="2131,1881" stroked="true" strokeweight="4.102436pt" strokecolor="#8063a1">
              <v:stroke dashstyle="solid"/>
            </v:line>
            <v:shape style="position:absolute;left:2852;top:1764;width:844;height:117" coordorigin="2852,1764" coordsize="844,117" path="m2934,1869l2852,1869,2852,1881,2934,1881,2934,1869m3696,1764l3602,1764,3602,1881,3696,1881,3696,1764e" filled="true" fillcolor="#8063a1" stroked="false">
              <v:path arrowok="t"/>
              <v:fill type="solid"/>
            </v:shape>
            <v:shape style="position:absolute;left:4457;top:1290;width:24;height:293" coordorigin="4458,1291" coordsize="24,293" path="m4458,1583l4481,1583m4458,1291l4481,1291e" filled="false" stroked="true" strokeweight=".584339pt" strokecolor="#d9d9d9">
              <v:path arrowok="t"/>
              <v:stroke dashstyle="solid"/>
            </v:shape>
            <v:line style="position:absolute" from="4411,1063" to="4411,1881" stroked="true" strokeweight="4.688493pt" strokecolor="#8063a1">
              <v:stroke dashstyle="solid"/>
            </v:line>
            <v:line style="position:absolute" from="4692,1583" to="5126,1583" stroked="true" strokeweight=".584339pt" strokecolor="#d9d9d9">
              <v:stroke dashstyle="solid"/>
            </v:line>
            <v:line style="position:absolute" from="5173,1577" to="5173,1881" stroked="true" strokeweight="4.688483pt" strokecolor="#8063a1">
              <v:stroke dashstyle="solid"/>
            </v:line>
            <v:shape style="position:absolute;left:5981;top:98;width:2620;height:1193" coordorigin="5982,99" coordsize="2620,1193" path="m5982,1291l6005,1291m5982,987l6005,987m5982,695l6005,695m5982,391l6005,391m5982,99l8601,99e" filled="false" stroked="true" strokeweight=".584339pt" strokecolor="#d9d9d9">
              <v:path arrowok="t"/>
              <v:stroke dashstyle="solid"/>
            </v:shape>
            <v:line style="position:absolute" from="5935,81" to="5935,1881" stroked="true" strokeweight="4.688483pt" strokecolor="#8063a1">
              <v:stroke dashstyle="solid"/>
            </v:line>
            <v:rect style="position:absolute;left:6649;top:1787;width:94;height:94" filled="true" fillcolor="#8063a1" stroked="false">
              <v:fill type="solid"/>
            </v:rect>
            <v:line style="position:absolute" from="7458,1589" to="7458,1881" stroked="true" strokeweight="4.688504pt" strokecolor="#8063a1">
              <v:stroke dashstyle="solid"/>
            </v:line>
            <v:line style="position:absolute" from="8267,1291" to="8291,1291" stroked="true" strokeweight=".584339pt" strokecolor="#d9d9d9">
              <v:stroke dashstyle="solid"/>
            </v:line>
            <v:line style="position:absolute" from="8220,1005" to="8220,1881" stroked="true" strokeweight="4.688504pt" strokecolor="#8063a1">
              <v:stroke dashstyle="solid"/>
            </v:line>
            <v:shape style="position:absolute;left:2289;top:1290;width:36;height:293" coordorigin="2289,1291" coordsize="36,293" path="m2289,1583l2325,1583m2289,1291l2325,1291e" filled="false" stroked="true" strokeweight=".584339pt" strokecolor="#d9d9d9">
              <v:path arrowok="t"/>
              <v:stroke dashstyle="solid"/>
            </v:shape>
            <v:line style="position:absolute" from="2248,1040" to="2248,1881" stroked="true" strokeweight="4.102444pt" strokecolor="#70578f">
              <v:stroke dashstyle="solid"/>
            </v:line>
            <v:shape style="position:absolute;left:2969;top:1787;width:844;height:94" coordorigin="2969,1788" coordsize="844,94" path="m3051,1870l2969,1870,2969,1881,3051,1881,3051,1870m3813,1788l3719,1788,3719,1881,3813,1881,3813,1788e" filled="true" fillcolor="#70578f" stroked="false">
              <v:path arrowok="t"/>
              <v:fill type="solid"/>
            </v:shape>
            <v:shape style="position:absolute;left:4575;top:1290;width:24;height:293" coordorigin="4575,1291" coordsize="24,293" path="m4575,1583l4598,1583m4575,1291l4598,1291e" filled="false" stroked="true" strokeweight=".584339pt" strokecolor="#d9d9d9">
              <v:path arrowok="t"/>
              <v:stroke dashstyle="solid"/>
            </v:shape>
            <v:line style="position:absolute" from="4528,1098" to="4528,1881" stroked="true" strokeweight="4.688508pt" strokecolor="#70578f">
              <v:stroke dashstyle="solid"/>
            </v:line>
            <v:rect style="position:absolute;left:5243;top:1752;width:94;height:129" filled="true" fillcolor="#70578f" stroked="false">
              <v:fill type="solid"/>
            </v:rect>
            <v:shape style="position:absolute;left:6098;top:391;width:2503;height:1193" coordorigin="6099,391" coordsize="2503,1193" path="m6099,1583l6122,1583m6099,1291l6122,1291m6099,695l8601,695m6099,391l8601,391e" filled="false" stroked="true" strokeweight=".584339pt" strokecolor="#d9d9d9">
              <v:path arrowok="t"/>
              <v:stroke dashstyle="solid"/>
            </v:shape>
            <v:line style="position:absolute" from="6052,303" to="6052,1881" stroked="true" strokeweight="4.688508pt" strokecolor="#70578f">
              <v:stroke dashstyle="solid"/>
            </v:line>
            <v:rect style="position:absolute;left:6766;top:1787;width:94;height:94" filled="true" fillcolor="#70578f" stroked="false">
              <v:fill type="solid"/>
            </v:rect>
            <v:line style="position:absolute" from="7576,1601" to="7576,1881" stroked="true" strokeweight="4.688487pt" strokecolor="#70578f">
              <v:stroke dashstyle="solid"/>
            </v:line>
            <v:line style="position:absolute" from="8384,1291" to="8408,1291" stroked="true" strokeweight=".584339pt" strokecolor="#d9d9d9">
              <v:stroke dashstyle="solid"/>
            </v:line>
            <v:line style="position:absolute" from="8338,1005" to="8338,1881" stroked="true" strokeweight="4.688508pt" strokecolor="#70578f">
              <v:stroke dashstyle="solid"/>
            </v:line>
            <v:line style="position:absolute" from="2366,1122" to="2366,1881" stroked="true" strokeweight="4.102442pt" strokecolor="#5f4879">
              <v:stroke dashstyle="solid"/>
            </v:line>
            <v:shape style="position:absolute;left:3074;top:1799;width:856;height:82" coordorigin="3075,1799" coordsize="856,82" path="m3169,1869l3075,1869,3075,1881,3169,1881,3169,1869m3930,1799l3837,1799,3837,1881,3930,1881,3930,1799e" filled="true" fillcolor="#5f4879" stroked="false">
              <v:path arrowok="t"/>
              <v:fill type="solid"/>
            </v:shape>
            <v:line style="position:absolute" from="4645,1238" to="4645,1881" stroked="true" strokeweight="4.688513pt" strokecolor="#5f4879">
              <v:stroke dashstyle="solid"/>
            </v:line>
            <v:rect style="position:absolute;left:5360;top:1822;width:94;height:59" filled="true" fillcolor="#5f4879" stroked="false">
              <v:fill type="solid"/>
            </v:rect>
            <v:line style="position:absolute" from="6169,1203" to="6169,1881" stroked="true" strokeweight="4.688513pt" strokecolor="#5f4879">
              <v:stroke dashstyle="solid"/>
            </v:line>
            <v:rect style="position:absolute;left:6884;top:1775;width:94;height:106" filled="true" fillcolor="#5f4879" stroked="false">
              <v:fill type="solid"/>
            </v:rect>
            <v:line style="position:absolute" from="7693,1566" to="7693,1881" stroked="true" strokeweight="4.688491pt" strokecolor="#5f4879">
              <v:stroke dashstyle="solid"/>
            </v:line>
            <v:line style="position:absolute" from="8502,1291" to="8601,1291" stroked="true" strokeweight=".584339pt" strokecolor="#d9d9d9">
              <v:stroke dashstyle="solid"/>
            </v:line>
            <v:line style="position:absolute" from="8455,1028" to="8455,1881" stroked="true" strokeweight="4.688491pt" strokecolor="#5f4879">
              <v:stroke dashstyle="solid"/>
            </v:line>
            <v:line style="position:absolute" from="1756,1887" to="8601,1887" stroked="true" strokeweight=".584338pt" strokecolor="#d9d9d9">
              <v:stroke dashstyle="solid"/>
            </v:line>
            <v:shape style="position:absolute;left:0;top:-27725;width:650597;height:42334" coordorigin="0,-27725" coordsize="650597,42334" path="m1756,1887l1756,2331m4792,1887l4792,2331m8601,1887l8601,2331e" filled="false" stroked="true" strokeweight=".585208pt" strokecolor="#d9d9d9">
              <v:path arrowok="t"/>
              <v:stroke dashstyle="solid"/>
            </v:shape>
            <v:shape style="position:absolute;left:0;top:-11166;width:654424;height:25774" coordorigin="0,-11165" coordsize="654424,25774" path="m1756,2331l1756,2600m4792,2331l4792,2600m8601,2331l8601,2600e" filled="false" stroked="true" strokeweight=".585198pt" strokecolor="#d9d9d9">
              <v:path arrowok="t"/>
              <v:stroke dashstyle="solid"/>
            </v:shape>
            <v:shape style="position:absolute;left:1808;top:1994;width:1344;height:312" type="#_x0000_t202" filled="false" stroked="false">
              <v:textbox inset="0,0,0,0">
                <w:txbxContent>
                  <w:p>
                    <w:pPr>
                      <w:spacing w:line="143" w:lineRule="exact" w:before="0"/>
                      <w:ind w:left="0" w:right="0" w:firstLine="0"/>
                      <w:jc w:val="left"/>
                      <w:rPr>
                        <w:rFonts w:ascii="Calibri"/>
                        <w:sz w:val="14"/>
                      </w:rPr>
                    </w:pPr>
                    <w:r>
                      <w:rPr>
                        <w:rFonts w:ascii="Calibri"/>
                        <w:color w:val="585858"/>
                        <w:sz w:val="14"/>
                      </w:rPr>
                      <w:t>From other From AP</w:t>
                    </w:r>
                  </w:p>
                  <w:p>
                    <w:pPr>
                      <w:spacing w:line="168" w:lineRule="exact" w:before="0"/>
                      <w:ind w:left="273" w:right="0" w:firstLine="0"/>
                      <w:jc w:val="left"/>
                      <w:rPr>
                        <w:rFonts w:ascii="Calibri"/>
                        <w:sz w:val="14"/>
                      </w:rPr>
                    </w:pPr>
                    <w:r>
                      <w:rPr>
                        <w:rFonts w:ascii="Calibri"/>
                        <w:color w:val="585858"/>
                        <w:sz w:val="14"/>
                      </w:rPr>
                      <w:t>IS</w:t>
                    </w:r>
                  </w:p>
                </w:txbxContent>
              </v:textbox>
              <w10:wrap type="none"/>
            </v:shape>
            <v:shape style="position:absolute;left:3392;top:1994;width:2109;height:312" type="#_x0000_t202" filled="false" stroked="false">
              <v:textbox inset="0,0,0,0">
                <w:txbxContent>
                  <w:p>
                    <w:pPr>
                      <w:spacing w:line="143" w:lineRule="exact" w:before="0"/>
                      <w:ind w:left="52" w:right="71" w:firstLine="0"/>
                      <w:jc w:val="center"/>
                      <w:rPr>
                        <w:rFonts w:ascii="Calibri"/>
                        <w:sz w:val="14"/>
                      </w:rPr>
                    </w:pPr>
                    <w:r>
                      <w:rPr>
                        <w:rFonts w:ascii="Calibri"/>
                        <w:color w:val="585858"/>
                        <w:sz w:val="14"/>
                      </w:rPr>
                      <w:t>From NIS From outside To other</w:t>
                    </w:r>
                    <w:r>
                      <w:rPr>
                        <w:rFonts w:ascii="Calibri"/>
                        <w:color w:val="585858"/>
                        <w:spacing w:val="-11"/>
                        <w:sz w:val="14"/>
                      </w:rPr>
                      <w:t> </w:t>
                    </w:r>
                    <w:r>
                      <w:rPr>
                        <w:rFonts w:ascii="Calibri"/>
                        <w:color w:val="585858"/>
                        <w:sz w:val="14"/>
                      </w:rPr>
                      <w:t>IS</w:t>
                    </w:r>
                  </w:p>
                  <w:p>
                    <w:pPr>
                      <w:spacing w:line="168" w:lineRule="exact" w:before="0"/>
                      <w:ind w:left="12" w:right="71" w:firstLine="0"/>
                      <w:jc w:val="center"/>
                      <w:rPr>
                        <w:rFonts w:ascii="Calibri"/>
                        <w:sz w:val="14"/>
                      </w:rPr>
                    </w:pPr>
                    <w:r>
                      <w:rPr>
                        <w:rFonts w:ascii="Calibri"/>
                        <w:color w:val="585858"/>
                        <w:sz w:val="14"/>
                      </w:rPr>
                      <w:t>system</w:t>
                    </w:r>
                  </w:p>
                </w:txbxContent>
              </v:textbox>
              <w10:wrap type="none"/>
            </v:shape>
            <v:shape style="position:absolute;left:5772;top:1994;width:2663;height:141" type="#_x0000_t202" filled="false" stroked="false">
              <v:textbox inset="0,0,0,0">
                <w:txbxContent>
                  <w:p>
                    <w:pPr>
                      <w:tabs>
                        <w:tab w:pos="742" w:val="left" w:leader="none"/>
                        <w:tab w:pos="1364" w:val="left" w:leader="none"/>
                        <w:tab w:pos="2247" w:val="left" w:leader="none"/>
                      </w:tabs>
                      <w:spacing w:line="140" w:lineRule="exact" w:before="0"/>
                      <w:ind w:left="0" w:right="0" w:firstLine="0"/>
                      <w:jc w:val="left"/>
                      <w:rPr>
                        <w:rFonts w:ascii="Calibri"/>
                        <w:sz w:val="14"/>
                      </w:rPr>
                    </w:pPr>
                    <w:r>
                      <w:rPr>
                        <w:rFonts w:ascii="Calibri"/>
                        <w:color w:val="585858"/>
                        <w:sz w:val="14"/>
                      </w:rPr>
                      <w:t>To</w:t>
                    </w:r>
                    <w:r>
                      <w:rPr>
                        <w:rFonts w:ascii="Calibri"/>
                        <w:color w:val="585858"/>
                        <w:spacing w:val="-1"/>
                        <w:sz w:val="14"/>
                      </w:rPr>
                      <w:t> </w:t>
                    </w:r>
                    <w:r>
                      <w:rPr>
                        <w:rFonts w:ascii="Calibri"/>
                        <w:color w:val="585858"/>
                        <w:sz w:val="14"/>
                      </w:rPr>
                      <w:t>AP</w:t>
                      <w:tab/>
                      <w:t>To NIS</w:t>
                      <w:tab/>
                      <w:t>Exit</w:t>
                    </w:r>
                    <w:r>
                      <w:rPr>
                        <w:rFonts w:ascii="Calibri"/>
                        <w:color w:val="585858"/>
                        <w:spacing w:val="5"/>
                        <w:sz w:val="14"/>
                      </w:rPr>
                      <w:t> </w:t>
                    </w:r>
                    <w:r>
                      <w:rPr>
                        <w:rFonts w:ascii="Calibri"/>
                        <w:color w:val="585858"/>
                        <w:spacing w:val="-3"/>
                        <w:sz w:val="14"/>
                      </w:rPr>
                      <w:t>system</w:t>
                      <w:tab/>
                    </w:r>
                    <w:r>
                      <w:rPr>
                        <w:rFonts w:ascii="Calibri"/>
                        <w:color w:val="585858"/>
                        <w:sz w:val="14"/>
                      </w:rPr>
                      <w:t>Deaths</w:t>
                    </w:r>
                  </w:p>
                </w:txbxContent>
              </v:textbox>
              <w10:wrap type="none"/>
            </v:shape>
            <v:shape style="position:absolute;left:2743;top:2437;width:4459;height:141" type="#_x0000_t202" filled="false" stroked="false">
              <v:textbox inset="0,0,0,0">
                <w:txbxContent>
                  <w:p>
                    <w:pPr>
                      <w:tabs>
                        <w:tab w:pos="3464" w:val="left" w:leader="none"/>
                      </w:tabs>
                      <w:spacing w:line="140" w:lineRule="exact" w:before="0"/>
                      <w:ind w:left="0" w:right="0" w:firstLine="0"/>
                      <w:jc w:val="left"/>
                      <w:rPr>
                        <w:rFonts w:ascii="Calibri"/>
                        <w:sz w:val="14"/>
                      </w:rPr>
                    </w:pPr>
                    <w:r>
                      <w:rPr>
                        <w:rFonts w:ascii="Calibri"/>
                        <w:color w:val="585858"/>
                        <w:sz w:val="14"/>
                      </w:rPr>
                      <w:t>Entries into</w:t>
                    </w:r>
                    <w:r>
                      <w:rPr>
                        <w:rFonts w:ascii="Calibri"/>
                        <w:color w:val="585858"/>
                        <w:spacing w:val="3"/>
                        <w:sz w:val="14"/>
                      </w:rPr>
                      <w:t> </w:t>
                    </w:r>
                    <w:r>
                      <w:rPr>
                        <w:rFonts w:ascii="Calibri"/>
                        <w:color w:val="585858"/>
                        <w:sz w:val="14"/>
                      </w:rPr>
                      <w:t>class</w:t>
                    </w:r>
                    <w:r>
                      <w:rPr>
                        <w:rFonts w:ascii="Calibri"/>
                        <w:color w:val="585858"/>
                        <w:spacing w:val="-6"/>
                        <w:sz w:val="14"/>
                      </w:rPr>
                      <w:t> </w:t>
                    </w:r>
                    <w:r>
                      <w:rPr>
                        <w:rFonts w:ascii="Calibri"/>
                        <w:color w:val="585858"/>
                        <w:sz w:val="14"/>
                      </w:rPr>
                      <w:t>5</w:t>
                      <w:tab/>
                      <w:t>Exits from class</w:t>
                    </w:r>
                    <w:r>
                      <w:rPr>
                        <w:rFonts w:ascii="Calibri"/>
                        <w:color w:val="585858"/>
                        <w:spacing w:val="-7"/>
                        <w:sz w:val="14"/>
                      </w:rPr>
                      <w:t> </w:t>
                    </w:r>
                    <w:r>
                      <w:rPr>
                        <w:rFonts w:ascii="Calibri"/>
                        <w:color w:val="585858"/>
                        <w:sz w:val="14"/>
                      </w:rPr>
                      <w:t>5</w:t>
                    </w:r>
                  </w:p>
                </w:txbxContent>
              </v:textbox>
              <w10:wrap type="none"/>
            </v:shape>
            <w10:wrap type="none"/>
          </v:group>
        </w:pict>
      </w:r>
      <w:r>
        <w:rPr>
          <w:rFonts w:ascii="Calibri"/>
          <w:color w:val="585858"/>
          <w:sz w:val="14"/>
        </w:rPr>
        <w:t>30,000</w:t>
      </w:r>
    </w:p>
    <w:p>
      <w:pPr>
        <w:pStyle w:val="BodyText"/>
        <w:spacing w:before="4"/>
        <w:rPr>
          <w:rFonts w:ascii="Calibri"/>
          <w:sz w:val="10"/>
        </w:rPr>
      </w:pPr>
    </w:p>
    <w:p>
      <w:pPr>
        <w:spacing w:before="0"/>
        <w:ind w:left="1109" w:right="0" w:firstLine="0"/>
        <w:jc w:val="left"/>
        <w:rPr>
          <w:rFonts w:ascii="Calibri"/>
          <w:sz w:val="14"/>
        </w:rPr>
      </w:pPr>
      <w:r>
        <w:rPr>
          <w:rFonts w:ascii="Calibri"/>
          <w:color w:val="585858"/>
          <w:sz w:val="14"/>
        </w:rPr>
        <w:t>25,000</w:t>
      </w:r>
    </w:p>
    <w:p>
      <w:pPr>
        <w:pStyle w:val="BodyText"/>
        <w:spacing w:before="4"/>
        <w:rPr>
          <w:rFonts w:ascii="Calibri"/>
          <w:sz w:val="10"/>
        </w:rPr>
      </w:pPr>
    </w:p>
    <w:p>
      <w:pPr>
        <w:spacing w:before="0"/>
        <w:ind w:left="1109" w:right="0" w:firstLine="0"/>
        <w:jc w:val="left"/>
        <w:rPr>
          <w:rFonts w:ascii="Calibri"/>
          <w:sz w:val="14"/>
        </w:rPr>
      </w:pPr>
      <w:r>
        <w:rPr>
          <w:rFonts w:ascii="Calibri"/>
          <w:color w:val="585858"/>
          <w:sz w:val="14"/>
        </w:rPr>
        <w:t>20,000</w:t>
      </w:r>
    </w:p>
    <w:p>
      <w:pPr>
        <w:pStyle w:val="BodyText"/>
        <w:spacing w:before="4"/>
        <w:rPr>
          <w:rFonts w:ascii="Calibri"/>
          <w:sz w:val="10"/>
        </w:rPr>
      </w:pPr>
    </w:p>
    <w:p>
      <w:pPr>
        <w:spacing w:before="0"/>
        <w:ind w:left="1109" w:right="0" w:firstLine="0"/>
        <w:jc w:val="left"/>
        <w:rPr>
          <w:rFonts w:ascii="Calibri"/>
          <w:sz w:val="14"/>
        </w:rPr>
      </w:pPr>
      <w:r>
        <w:rPr>
          <w:rFonts w:ascii="Calibri"/>
          <w:color w:val="585858"/>
          <w:sz w:val="14"/>
        </w:rPr>
        <w:t>15,000</w:t>
      </w:r>
    </w:p>
    <w:p>
      <w:pPr>
        <w:pStyle w:val="BodyText"/>
        <w:spacing w:before="4"/>
        <w:rPr>
          <w:rFonts w:ascii="Calibri"/>
          <w:sz w:val="10"/>
        </w:rPr>
      </w:pPr>
    </w:p>
    <w:p>
      <w:pPr>
        <w:spacing w:before="0"/>
        <w:ind w:left="1109" w:right="0" w:firstLine="0"/>
        <w:jc w:val="left"/>
        <w:rPr>
          <w:rFonts w:ascii="Calibri"/>
          <w:sz w:val="14"/>
        </w:rPr>
      </w:pPr>
      <w:r>
        <w:rPr>
          <w:rFonts w:ascii="Calibri"/>
          <w:color w:val="585858"/>
          <w:sz w:val="14"/>
        </w:rPr>
        <w:t>10,000</w:t>
      </w:r>
    </w:p>
    <w:p>
      <w:pPr>
        <w:pStyle w:val="BodyText"/>
        <w:spacing w:before="4"/>
        <w:rPr>
          <w:rFonts w:ascii="Calibri"/>
          <w:sz w:val="10"/>
        </w:rPr>
      </w:pPr>
    </w:p>
    <w:p>
      <w:pPr>
        <w:spacing w:before="1"/>
        <w:ind w:left="1180" w:right="0" w:firstLine="0"/>
        <w:jc w:val="left"/>
        <w:rPr>
          <w:rFonts w:ascii="Calibri"/>
          <w:sz w:val="14"/>
        </w:rPr>
      </w:pPr>
      <w:r>
        <w:rPr>
          <w:rFonts w:ascii="Calibri"/>
          <w:color w:val="585858"/>
          <w:sz w:val="14"/>
        </w:rPr>
        <w:t>5,000</w:t>
      </w:r>
    </w:p>
    <w:p>
      <w:pPr>
        <w:pStyle w:val="BodyText"/>
        <w:spacing w:before="4"/>
        <w:rPr>
          <w:rFonts w:ascii="Calibri"/>
          <w:sz w:val="10"/>
        </w:rPr>
      </w:pPr>
    </w:p>
    <w:p>
      <w:pPr>
        <w:spacing w:before="0"/>
        <w:ind w:left="1429" w:right="0" w:firstLine="0"/>
        <w:jc w:val="left"/>
        <w:rPr>
          <w:rFonts w:ascii="Calibri"/>
          <w:sz w:val="14"/>
        </w:rPr>
      </w:pPr>
      <w:r>
        <w:rPr>
          <w:rFonts w:ascii="Calibri"/>
          <w:color w:val="585858"/>
          <w:w w:val="100"/>
          <w:sz w:val="14"/>
        </w:rPr>
        <w:t>0</w:t>
      </w:r>
    </w:p>
    <w:p>
      <w:pPr>
        <w:pStyle w:val="BodyText"/>
        <w:rPr>
          <w:rFonts w:ascii="Calibri"/>
        </w:rPr>
      </w:pPr>
    </w:p>
    <w:p>
      <w:pPr>
        <w:pStyle w:val="BodyText"/>
        <w:rPr>
          <w:rFonts w:ascii="Calibri"/>
        </w:rPr>
      </w:pPr>
    </w:p>
    <w:p>
      <w:pPr>
        <w:pStyle w:val="BodyText"/>
        <w:spacing w:before="10"/>
        <w:rPr>
          <w:rFonts w:ascii="Calibri"/>
          <w:sz w:val="15"/>
        </w:rPr>
      </w:pPr>
    </w:p>
    <w:p>
      <w:pPr>
        <w:tabs>
          <w:tab w:pos="4257" w:val="left" w:leader="none"/>
          <w:tab w:pos="4770" w:val="left" w:leader="none"/>
          <w:tab w:pos="5283" w:val="left" w:leader="none"/>
          <w:tab w:pos="5796" w:val="left" w:leader="none"/>
        </w:tabs>
        <w:spacing w:before="72"/>
        <w:ind w:left="3744" w:right="0" w:firstLine="0"/>
        <w:jc w:val="left"/>
        <w:rPr>
          <w:rFonts w:ascii="Calibri"/>
          <w:sz w:val="14"/>
        </w:rPr>
      </w:pPr>
      <w:r>
        <w:rPr/>
        <w:pict>
          <v:rect style="position:absolute;margin-left:187.728271pt;margin-top:6.643945pt;width:4.102735pt;height:3.5052pt;mso-position-horizontal-relative:page;mso-position-vertical-relative:paragraph;z-index:251981824" filled="true" fillcolor="#c7c0d3" stroked="false">
            <v:fill type="solid"/>
            <w10:wrap type="none"/>
          </v:rect>
        </w:pict>
      </w:r>
      <w:r>
        <w:rPr/>
        <w:pict>
          <v:rect style="position:absolute;margin-left:213.515106pt;margin-top:6.643945pt;width:3.51663pt;height:3.5052pt;mso-position-horizontal-relative:page;mso-position-vertical-relative:paragraph;z-index:-287920128" filled="true" fillcolor="#a99bbc" stroked="false">
            <v:fill type="solid"/>
            <w10:wrap type="none"/>
          </v:rect>
        </w:pict>
      </w:r>
      <w:r>
        <w:rPr/>
        <w:pict>
          <v:rect style="position:absolute;margin-left:239.301926pt;margin-top:6.643945pt;width:3.51663pt;height:3.5052pt;mso-position-horizontal-relative:page;mso-position-vertical-relative:paragraph;z-index:-287919104" filled="true" fillcolor="#8063a1" stroked="false">
            <v:fill type="solid"/>
            <w10:wrap type="none"/>
          </v:rect>
        </w:pict>
      </w:r>
      <w:r>
        <w:rPr/>
        <w:pict>
          <v:rect style="position:absolute;margin-left:264.502686pt;margin-top:6.643945pt;width:4.102735pt;height:3.5052pt;mso-position-horizontal-relative:page;mso-position-vertical-relative:paragraph;z-index:-287918080" filled="true" fillcolor="#70578f" stroked="false">
            <v:fill type="solid"/>
            <w10:wrap type="none"/>
          </v:rect>
        </w:pict>
      </w:r>
      <w:r>
        <w:rPr/>
        <w:pict>
          <v:rect style="position:absolute;margin-left:290.28949pt;margin-top:6.643945pt;width:4.102735pt;height:3.5052pt;mso-position-horizontal-relative:page;mso-position-vertical-relative:paragraph;z-index:-287917056" filled="true" fillcolor="#5f4879" stroked="false">
            <v:fill type="solid"/>
            <w10:wrap type="none"/>
          </v:rect>
        </w:pict>
      </w:r>
      <w:r>
        <w:rPr>
          <w:rFonts w:ascii="Calibri"/>
          <w:color w:val="585858"/>
          <w:sz w:val="14"/>
        </w:rPr>
        <w:t>2014</w:t>
        <w:tab/>
        <w:t>2015</w:t>
        <w:tab/>
        <w:t>2016</w:t>
        <w:tab/>
        <w:t>2017</w:t>
        <w:tab/>
        <w:t>2018</w:t>
      </w:r>
    </w:p>
    <w:p>
      <w:pPr>
        <w:pStyle w:val="BodyText"/>
        <w:rPr>
          <w:rFonts w:ascii="Calibri"/>
          <w:sz w:val="14"/>
        </w:rPr>
      </w:pPr>
    </w:p>
    <w:p>
      <w:pPr>
        <w:pStyle w:val="BodyText"/>
        <w:spacing w:before="95"/>
        <w:ind w:left="900" w:right="1020"/>
      </w:pPr>
      <w:r>
        <w:rPr>
          <w:color w:val="404040"/>
        </w:rPr>
        <w:t>Recent experience shows a decreasing trend of both direct entries into DSP from outside the welfare system, and also of entries from inside the welfare system. It can also be seen that DSP recipients have been less likely to transition from DSP to Age Pension (AP); they are instead more likely to continue receiving DSP. Note that the final large decrease in exits to Age Pension, relates to the increase in the Age Pension age from 65 to 65.5.</w:t>
      </w:r>
    </w:p>
    <w:p>
      <w:pPr>
        <w:pStyle w:val="BodyText"/>
        <w:spacing w:before="10"/>
      </w:pPr>
    </w:p>
    <w:p>
      <w:pPr>
        <w:pStyle w:val="Heading6"/>
        <w:rPr>
          <w:i/>
        </w:rPr>
      </w:pPr>
      <w:r>
        <w:rPr>
          <w:i/>
          <w:color w:val="DF2F1E"/>
        </w:rPr>
        <w:t>Lower entries and transitions onto the Age Pension</w:t>
      </w:r>
    </w:p>
    <w:p>
      <w:pPr>
        <w:pStyle w:val="BodyText"/>
        <w:spacing w:before="121"/>
        <w:ind w:left="900" w:right="1121" w:hanging="1"/>
      </w:pPr>
      <w:r>
        <w:rPr>
          <w:color w:val="404040"/>
        </w:rPr>
        <w:t>The chart below shows entries and exits from Age Pension, which is impacted by both general experience and also recent policy changes relating to the Age Pension age and the pension assets test.</w:t>
      </w:r>
    </w:p>
    <w:p>
      <w:pPr>
        <w:pStyle w:val="Heading9"/>
        <w:spacing w:before="176"/>
      </w:pPr>
      <w:r>
        <w:rPr>
          <w:color w:val="DF2F1E"/>
        </w:rPr>
        <w:t>Figure 31: Entrants onto the Age Pension (by previous class) over the last five years</w:t>
      </w:r>
    </w:p>
    <w:p>
      <w:pPr>
        <w:spacing w:before="113"/>
        <w:ind w:left="1107" w:right="0" w:firstLine="0"/>
        <w:jc w:val="left"/>
        <w:rPr>
          <w:rFonts w:ascii="Calibri"/>
          <w:sz w:val="14"/>
        </w:rPr>
      </w:pPr>
      <w:r>
        <w:rPr/>
        <w:pict>
          <v:line style="position:absolute;mso-position-horizontal-relative:page;mso-position-vertical-relative:paragraph;z-index:251987968" from="90.723701pt,10.706331pt" to="350.85406pt,10.706331pt" stroked="true" strokeweight=".584345pt" strokecolor="#d9d9d9">
            <v:stroke dashstyle="solid"/>
            <w10:wrap type="none"/>
          </v:line>
        </w:pict>
      </w:r>
      <w:r>
        <w:rPr>
          <w:rFonts w:ascii="Calibri"/>
          <w:color w:val="585858"/>
          <w:sz w:val="14"/>
        </w:rPr>
        <w:t>120,000</w:t>
      </w:r>
    </w:p>
    <w:p>
      <w:pPr>
        <w:pStyle w:val="BodyText"/>
        <w:spacing w:before="1"/>
        <w:rPr>
          <w:rFonts w:ascii="Calibri"/>
          <w:sz w:val="12"/>
        </w:rPr>
      </w:pPr>
    </w:p>
    <w:p>
      <w:pPr>
        <w:spacing w:before="0"/>
        <w:ind w:left="1107" w:right="0" w:firstLine="0"/>
        <w:jc w:val="left"/>
        <w:rPr>
          <w:rFonts w:ascii="Calibri"/>
          <w:sz w:val="14"/>
        </w:rPr>
      </w:pPr>
      <w:r>
        <w:rPr/>
        <w:pict>
          <v:group style="position:absolute;margin-left:90.430763pt;margin-top:4.60628pt;width:260.75pt;height:124.2pt;mso-position-horizontal-relative:page;mso-position-vertical-relative:paragraph;z-index:-287916032" coordorigin="1809,92" coordsize="5215,2484">
            <v:shape style="position:absolute;left:5429;top:413;width:1588;height:959" coordorigin="5429,414" coordsize="1588,959" path="m6917,1372l7017,1372m6800,1372l6824,1372m6683,1372l6707,1372m6578,1372l6601,1372m6460,1372l6484,1372m5429,1372l6367,1372m6460,1056l6484,1056m5429,1056l6367,1056m6460,741l6484,741m5429,741l6367,741m6460,414l6484,414m5429,414l6367,414e" filled="false" stroked="true" strokeweight=".584345pt" strokecolor="#d9d9d9">
              <v:path arrowok="t"/>
              <v:stroke dashstyle="solid"/>
            </v:shape>
            <v:line style="position:absolute" from="6414,256" to="6414,1693" stroked="true" strokeweight="4.687031pt" strokecolor="#dfbbbb">
              <v:stroke dashstyle="solid"/>
            </v:line>
            <v:shape style="position:absolute;left:1814;top:413;width:1811;height:959" coordorigin="1814,414" coordsize="1811,959" path="m3601,1372l3625,1372m3496,1372l3519,1372m2980,1372l3402,1372m3496,1056l3519,1056m2348,1056l3402,1056m3496,741l3519,741m2348,741l3402,741m3496,414l3519,414m1814,414l3402,414e" filled="false" stroked="true" strokeweight=".584345pt" strokecolor="#d9d9d9">
              <v:path arrowok="t"/>
              <v:stroke dashstyle="solid"/>
            </v:shape>
            <v:line style="position:absolute" from="3449,396" to="3449,1693" stroked="true" strokeweight="4.687031pt" strokecolor="#dfbbbb">
              <v:stroke dashstyle="solid"/>
            </v:line>
            <v:shape style="position:absolute;left:1814;top:1056;width:334;height:316" coordorigin="1814,1056" coordsize="334,316" path="m2125,1372l2148,1372m2008,1372l2031,1372m1814,1372l1914,1372m2008,1056l2031,1056m1814,1056l1914,1056e" filled="false" stroked="true" strokeweight=".584345pt" strokecolor="#d9d9d9">
              <v:path arrowok="t"/>
              <v:stroke dashstyle="solid"/>
            </v:shape>
            <v:line style="position:absolute" from="1961,957" to="1961,1693" stroked="true" strokeweight="4.687031pt" strokecolor="#dfbbbb">
              <v:stroke dashstyle="solid"/>
            </v:line>
            <v:shape style="position:absolute;left:1814;top:740;width:334;height:316" coordorigin="1814,741" coordsize="334,316" path="m2125,1056l2148,1056m2125,741l2148,741m1814,741l2031,741e" filled="false" stroked="true" strokeweight=".584345pt" strokecolor="#d9d9d9">
              <v:path arrowok="t"/>
              <v:stroke dashstyle="solid"/>
            </v:shape>
            <v:line style="position:absolute" from="2078,665" to="2078,1693" stroked="true" strokeweight="4.68701pt" strokecolor="#d19292">
              <v:stroke dashstyle="solid"/>
            </v:line>
            <v:shape style="position:absolute;left:2464;top:1371;width:422;height:2" coordorigin="2465,1372" coordsize="422,0" path="m2863,1372l2887,1372m2746,1372l2769,1372m2465,1372l2664,1372e" filled="false" stroked="true" strokeweight=".584345pt" strokecolor="#d9d9d9">
              <v:path arrowok="t"/>
              <v:stroke dashstyle="solid"/>
            </v:shape>
            <v:line style="position:absolute" from="2705,1308" to="2705,1693" stroked="true" strokeweight="4.101153pt" strokecolor="#dfbbbb">
              <v:stroke dashstyle="solid"/>
            </v:line>
            <v:line style="position:absolute" from="2816,1331" to="2816,1693" stroked="true" strokeweight="4.68701pt" strokecolor="#d19292">
              <v:stroke dashstyle="solid"/>
            </v:line>
            <v:shape style="position:absolute;left:1814;top:97;width:5010;height:959" coordorigin="1814,98" coordsize="5010,959" path="m3601,1056l3625,1056m3601,741l3625,741m3601,414l3625,414m1814,98l6824,98e" filled="false" stroked="true" strokeweight=".584345pt" strokecolor="#d9d9d9">
              <v:path arrowok="t"/>
              <v:stroke dashstyle="solid"/>
            </v:shape>
            <v:line style="position:absolute" from="3560,104" to="3560,1693" stroked="true" strokeweight="4.101134pt" strokecolor="#d19292">
              <v:stroke dashstyle="solid"/>
            </v:line>
            <v:rect style="position:absolute;left:4140;top:1658;width:94;height:36" filled="true" fillcolor="#dfbbbb" stroked="false">
              <v:fill type="solid"/>
            </v:rect>
            <v:rect style="position:absolute;left:4257;top:1658;width:94;height:36" filled="true" fillcolor="#d19292" stroked="false">
              <v:fill type="solid"/>
            </v:rect>
            <v:rect style="position:absolute;left:4890;top:1599;width:83;height:94" filled="true" fillcolor="#dfbbbb" stroked="false">
              <v:fill type="solid"/>
            </v:rect>
            <v:rect style="position:absolute;left:4995;top:1599;width:94;height:94" filled="true" fillcolor="#d19292" stroked="false">
              <v:fill type="solid"/>
            </v:rect>
            <v:rect style="position:absolute;left:5628;top:1611;width:94;height:82" filled="true" fillcolor="#dfbbbb" stroked="false">
              <v:fill type="solid"/>
            </v:rect>
            <v:rect style="position:absolute;left:5745;top:1611;width:83;height:82" filled="true" fillcolor="#d19292" stroked="false">
              <v:fill type="solid"/>
            </v:rect>
            <v:shape style="position:absolute;left:6577;top:413;width:24;height:643" coordorigin="6578,414" coordsize="24,643" path="m6578,1056l6601,1056m6578,741l6601,741m6578,414l6601,414e" filled="false" stroked="true" strokeweight=".584345pt" strokecolor="#d9d9d9">
              <v:path arrowok="t"/>
              <v:stroke dashstyle="solid"/>
            </v:shape>
            <v:line style="position:absolute" from="6531,244" to="6531,1693" stroked="true" strokeweight="4.68701pt" strokecolor="#d19292">
              <v:stroke dashstyle="solid"/>
            </v:line>
            <v:shape style="position:absolute;left:2230;top:740;width:36;height:632" coordorigin="2230,741" coordsize="36,632" path="m2230,1372l2266,1372m2230,1056l2266,1056m2230,741l2266,741e" filled="false" stroked="true" strokeweight=".584345pt" strokecolor="#d9d9d9">
              <v:path arrowok="t"/>
              <v:stroke dashstyle="solid"/>
            </v:shape>
            <v:line style="position:absolute" from="2189,700" to="2189,1693" stroked="true" strokeweight="4.101131pt" strokecolor="#c0504d">
              <v:stroke dashstyle="solid"/>
            </v:line>
            <v:line style="position:absolute" from="2933,1366" to="2933,1693" stroked="true" strokeweight="4.687004pt" strokecolor="#c0504d">
              <v:stroke dashstyle="solid"/>
            </v:line>
            <v:shape style="position:absolute;left:3718;top:413;width:24;height:959" coordorigin="3719,414" coordsize="24,959" path="m3719,1372l3742,1372m3719,1056l3742,1056m3719,741l3742,741m3719,414l3742,414e" filled="false" stroked="true" strokeweight=".584345pt" strokecolor="#d9d9d9">
              <v:path arrowok="t"/>
              <v:stroke dashstyle="solid"/>
            </v:shape>
            <v:line style="position:absolute" from="3672,186" to="3672,1693" stroked="true" strokeweight="4.686996pt" strokecolor="#c0504d">
              <v:stroke dashstyle="solid"/>
            </v:line>
            <v:shape style="position:absolute;left:4374;top:1588;width:1571;height:106" coordorigin="4375,1588" coordsize="1571,106" path="m4457,1658l4375,1658,4375,1693,4457,1693,4457,1658m5207,1600l5113,1600,5113,1693,5207,1693,5207,1600m5945,1588l5851,1588,5851,1693,5945,1693,5945,1588e" filled="true" fillcolor="#c0504d" stroked="false">
              <v:path arrowok="t"/>
              <v:fill type="solid"/>
            </v:shape>
            <v:shape style="position:absolute;left:6683;top:413;width:24;height:643" coordorigin="6683,414" coordsize="24,643" path="m6683,1056l6707,1056m6683,741l6707,741m6683,414l6707,414e" filled="false" stroked="true" strokeweight=".584345pt" strokecolor="#d9d9d9">
              <v:path arrowok="t"/>
              <v:stroke dashstyle="solid"/>
            </v:shape>
            <v:line style="position:absolute" from="6642,174" to="6642,1693" stroked="true" strokeweight="4.101131pt" strokecolor="#c0504d">
              <v:stroke dashstyle="solid"/>
            </v:line>
            <v:line style="position:absolute" from="2348,1372" to="2371,1372" stroked="true" strokeweight=".584345pt" strokecolor="#d9d9d9">
              <v:stroke dashstyle="solid"/>
            </v:line>
            <v:line style="position:absolute" from="2307,735" to="2307,1693" stroked="true" strokeweight="4.101116pt" strokecolor="#aa4643">
              <v:stroke dashstyle="solid"/>
            </v:line>
            <v:line style="position:absolute" from="3051,1495" to="3051,1693" stroked="true" strokeweight="4.686993pt" strokecolor="#aa4643">
              <v:stroke dashstyle="solid"/>
            </v:line>
            <v:shape style="position:absolute;left:3835;top:413;width:1512;height:959" coordorigin="3836,414" coordsize="1512,959" path="m3836,1372l3859,1372m3836,1056l3859,1056m3836,741l5347,741m3836,414l5347,414e" filled="false" stroked="true" strokeweight=".584345pt" strokecolor="#d9d9d9">
              <v:path arrowok="t"/>
              <v:stroke dashstyle="solid"/>
            </v:shape>
            <v:line style="position:absolute" from="3789,256" to="3789,1693" stroked="true" strokeweight="4.686993pt" strokecolor="#aa4643">
              <v:stroke dashstyle="solid"/>
            </v:line>
            <v:rect style="position:absolute;left:4480;top:1658;width:94;height:36" filled="true" fillcolor="#aa4643" stroked="false">
              <v:fill type="solid"/>
            </v:rect>
            <v:line style="position:absolute" from="5271,1553" to="5271,1693" stroked="true" strokeweight="4.101099pt" strokecolor="#aa4643">
              <v:stroke dashstyle="solid"/>
            </v:line>
            <v:rect style="position:absolute;left:5968;top:1564;width:94;height:129" filled="true" fillcolor="#aa4643" stroked="false">
              <v:fill type="solid"/>
            </v:rect>
            <v:shape style="position:absolute;left:6800;top:413;width:24;height:643" coordorigin="6800,414" coordsize="24,643" path="m6800,1056l6824,1056m6800,741l6824,741m6800,414l6824,414e" filled="false" stroked="true" strokeweight=".584345pt" strokecolor="#d9d9d9">
              <v:path arrowok="t"/>
              <v:stroke dashstyle="solid"/>
            </v:shape>
            <v:line style="position:absolute" from="6753,139" to="6753,1693" stroked="true" strokeweight="4.686985pt" strokecolor="#aa4643">
              <v:stroke dashstyle="solid"/>
            </v:line>
            <v:line style="position:absolute" from="2418,1202" to="2418,1693" stroked="true" strokeweight="4.687027pt" strokecolor="#903938">
              <v:stroke dashstyle="solid"/>
            </v:line>
            <v:line style="position:absolute" from="3162,1553" to="3162,1693" stroked="true" strokeweight="4.101147pt" strokecolor="#903938">
              <v:stroke dashstyle="solid"/>
            </v:line>
            <v:shape style="position:absolute;left:3952;top:1056;width:1395;height:316" coordorigin="3953,1056" coordsize="1395,316" path="m3953,1372l5347,1372m3953,1056l5347,1056e" filled="false" stroked="true" strokeweight=".584345pt" strokecolor="#d9d9d9">
              <v:path arrowok="t"/>
              <v:stroke dashstyle="solid"/>
            </v:shape>
            <v:line style="position:absolute" from="3906,828" to="3906,1693" stroked="true" strokeweight="4.687027pt" strokecolor="#903938">
              <v:stroke dashstyle="solid"/>
            </v:line>
            <v:rect style="position:absolute;left:4597;top:1669;width:94;height:24" filled="true" fillcolor="#903938" stroked="false">
              <v:fill type="solid"/>
            </v:rect>
            <v:shape style="position:absolute;left:5388;top:349;width:739;height:1344" coordorigin="5388,349" coordsize="739,1344" path="m5388,349l5388,1693m6127,1471l6127,1693e" filled="false" stroked="true" strokeweight="4.101155pt" strokecolor="#903938">
              <v:path arrowok="t"/>
              <v:stroke dashstyle="solid"/>
            </v:shape>
            <v:shape style="position:absolute;left:6917;top:97;width:100;height:959" coordorigin="6917,98" coordsize="100,959" path="m6917,1056l7017,1056m6917,741l7017,741m6917,414l7017,414m6917,98l7017,98e" filled="false" stroked="true" strokeweight=".584345pt" strokecolor="#d9d9d9">
              <v:path arrowok="t"/>
              <v:stroke dashstyle="solid"/>
            </v:shape>
            <v:line style="position:absolute" from="6871,92" to="6871,1693" stroked="true" strokeweight="4.687019pt" strokecolor="#903938">
              <v:stroke dashstyle="solid"/>
            </v:line>
            <v:shape style="position:absolute;left:0;top:-69034;width:650631;height:77666" coordorigin="0,-69033" coordsize="650631,77666" path="m1814,1687l7017,1687m1814,1687l1814,2307m4041,1687l4041,2307m7017,1687l7017,2307e" filled="false" stroked="true" strokeweight=".585108pt" strokecolor="#d9d9d9">
              <v:path arrowok="t"/>
              <v:stroke dashstyle="solid"/>
            </v:shape>
            <v:shape style="position:absolute;left:0;top:-25072;width:650631;height:33704" coordorigin="0,-25072" coordsize="650631,33704" path="m1814,2307l1814,2576m4041,2307l4041,2576m7017,2307l7017,2576e" filled="false" stroked="true" strokeweight=".585108pt" strokecolor="#d9d9d9">
              <v:path arrowok="t"/>
              <v:stroke dashstyle="solid"/>
            </v:shape>
            <w10:wrap type="none"/>
          </v:group>
        </w:pict>
      </w:r>
      <w:r>
        <w:rPr>
          <w:rFonts w:ascii="Calibri"/>
          <w:color w:val="585858"/>
          <w:sz w:val="14"/>
        </w:rPr>
        <w:t>100,000</w:t>
      </w:r>
    </w:p>
    <w:p>
      <w:pPr>
        <w:pStyle w:val="BodyText"/>
        <w:spacing w:before="1"/>
        <w:rPr>
          <w:rFonts w:ascii="Calibri"/>
          <w:sz w:val="12"/>
        </w:rPr>
      </w:pPr>
    </w:p>
    <w:p>
      <w:pPr>
        <w:spacing w:before="0"/>
        <w:ind w:left="1178" w:right="0" w:firstLine="0"/>
        <w:jc w:val="left"/>
        <w:rPr>
          <w:rFonts w:ascii="Calibri"/>
          <w:sz w:val="14"/>
        </w:rPr>
      </w:pPr>
      <w:r>
        <w:rPr>
          <w:rFonts w:ascii="Calibri"/>
          <w:color w:val="585858"/>
          <w:sz w:val="14"/>
        </w:rPr>
        <w:t>80,000</w:t>
      </w:r>
    </w:p>
    <w:p>
      <w:pPr>
        <w:pStyle w:val="BodyText"/>
        <w:spacing w:before="1"/>
        <w:rPr>
          <w:rFonts w:ascii="Calibri"/>
          <w:sz w:val="12"/>
        </w:rPr>
      </w:pPr>
    </w:p>
    <w:p>
      <w:pPr>
        <w:spacing w:before="1"/>
        <w:ind w:left="1178" w:right="0" w:firstLine="0"/>
        <w:jc w:val="left"/>
        <w:rPr>
          <w:rFonts w:ascii="Calibri"/>
          <w:sz w:val="14"/>
        </w:rPr>
      </w:pPr>
      <w:r>
        <w:rPr>
          <w:rFonts w:ascii="Calibri"/>
          <w:color w:val="585858"/>
          <w:sz w:val="14"/>
        </w:rPr>
        <w:t>60,000</w:t>
      </w:r>
    </w:p>
    <w:p>
      <w:pPr>
        <w:pStyle w:val="BodyText"/>
        <w:spacing w:before="1"/>
        <w:rPr>
          <w:rFonts w:ascii="Calibri"/>
          <w:sz w:val="12"/>
        </w:rPr>
      </w:pPr>
    </w:p>
    <w:p>
      <w:pPr>
        <w:spacing w:before="0"/>
        <w:ind w:left="1178" w:right="0" w:firstLine="0"/>
        <w:jc w:val="left"/>
        <w:rPr>
          <w:rFonts w:ascii="Calibri"/>
          <w:sz w:val="14"/>
        </w:rPr>
      </w:pPr>
      <w:r>
        <w:rPr>
          <w:rFonts w:ascii="Calibri"/>
          <w:color w:val="585858"/>
          <w:sz w:val="14"/>
        </w:rPr>
        <w:t>40,000</w:t>
      </w:r>
    </w:p>
    <w:p>
      <w:pPr>
        <w:pStyle w:val="BodyText"/>
        <w:spacing w:before="1"/>
        <w:rPr>
          <w:rFonts w:ascii="Calibri"/>
          <w:sz w:val="12"/>
        </w:rPr>
      </w:pPr>
    </w:p>
    <w:p>
      <w:pPr>
        <w:spacing w:before="0"/>
        <w:ind w:left="1178" w:right="0" w:firstLine="0"/>
        <w:jc w:val="left"/>
        <w:rPr>
          <w:rFonts w:ascii="Calibri"/>
          <w:sz w:val="14"/>
        </w:rPr>
      </w:pPr>
      <w:r>
        <w:rPr>
          <w:rFonts w:ascii="Calibri"/>
          <w:color w:val="585858"/>
          <w:sz w:val="14"/>
        </w:rPr>
        <w:t>20,000</w:t>
      </w:r>
    </w:p>
    <w:p>
      <w:pPr>
        <w:spacing w:after="0"/>
        <w:jc w:val="left"/>
        <w:rPr>
          <w:rFonts w:ascii="Calibri"/>
          <w:sz w:val="14"/>
        </w:rPr>
        <w:sectPr>
          <w:pgSz w:w="11910" w:h="16850"/>
          <w:pgMar w:header="572" w:footer="581" w:top="780" w:bottom="780" w:left="120" w:right="0"/>
        </w:sectPr>
      </w:pPr>
    </w:p>
    <w:p>
      <w:pPr>
        <w:pStyle w:val="BodyText"/>
        <w:spacing w:before="1"/>
        <w:rPr>
          <w:rFonts w:ascii="Calibri"/>
          <w:sz w:val="12"/>
        </w:rPr>
      </w:pPr>
    </w:p>
    <w:p>
      <w:pPr>
        <w:spacing w:before="0"/>
        <w:ind w:left="1498" w:right="0" w:firstLine="0"/>
        <w:jc w:val="left"/>
        <w:rPr>
          <w:rFonts w:ascii="Calibri"/>
          <w:sz w:val="14"/>
        </w:rPr>
      </w:pPr>
      <w:r>
        <w:rPr>
          <w:rFonts w:ascii="Calibri"/>
          <w:color w:val="585858"/>
          <w:w w:val="100"/>
          <w:sz w:val="14"/>
        </w:rPr>
        <w:t>0</w:t>
      </w:r>
    </w:p>
    <w:p>
      <w:pPr>
        <w:spacing w:before="12"/>
        <w:ind w:left="2021" w:right="-16" w:hanging="274"/>
        <w:jc w:val="left"/>
        <w:rPr>
          <w:rFonts w:ascii="Calibri"/>
          <w:sz w:val="14"/>
        </w:rPr>
      </w:pPr>
      <w:r>
        <w:rPr>
          <w:rFonts w:ascii="Calibri"/>
          <w:color w:val="585858"/>
          <w:sz w:val="14"/>
        </w:rPr>
        <w:t>From other IS</w:t>
      </w:r>
    </w:p>
    <w:p>
      <w:pPr>
        <w:pStyle w:val="BodyText"/>
        <w:rPr>
          <w:rFonts w:ascii="Calibri"/>
          <w:sz w:val="14"/>
        </w:rPr>
      </w:pPr>
      <w:r>
        <w:rPr/>
        <w:br w:type="column"/>
      </w:r>
      <w:r>
        <w:rPr>
          <w:rFonts w:ascii="Calibri"/>
          <w:sz w:val="14"/>
        </w:rPr>
      </w:r>
    </w:p>
    <w:p>
      <w:pPr>
        <w:pStyle w:val="BodyText"/>
        <w:spacing w:before="1"/>
        <w:rPr>
          <w:rFonts w:ascii="Calibri"/>
          <w:sz w:val="13"/>
        </w:rPr>
      </w:pPr>
    </w:p>
    <w:p>
      <w:pPr>
        <w:tabs>
          <w:tab w:pos="970" w:val="left" w:leader="none"/>
        </w:tabs>
        <w:spacing w:before="0"/>
        <w:ind w:left="907" w:right="0" w:hanging="791"/>
        <w:jc w:val="left"/>
        <w:rPr>
          <w:rFonts w:ascii="Calibri"/>
          <w:sz w:val="14"/>
        </w:rPr>
      </w:pPr>
      <w:r>
        <w:rPr>
          <w:rFonts w:ascii="Calibri"/>
          <w:color w:val="585858"/>
          <w:sz w:val="14"/>
        </w:rPr>
        <w:t>From</w:t>
      </w:r>
      <w:r>
        <w:rPr>
          <w:rFonts w:ascii="Calibri"/>
          <w:color w:val="585858"/>
          <w:spacing w:val="-4"/>
          <w:sz w:val="14"/>
        </w:rPr>
        <w:t> </w:t>
      </w:r>
      <w:r>
        <w:rPr>
          <w:rFonts w:ascii="Calibri"/>
          <w:color w:val="585858"/>
          <w:sz w:val="14"/>
        </w:rPr>
        <w:t>NIS</w:t>
        <w:tab/>
        <w:tab/>
        <w:t>From </w:t>
      </w:r>
      <w:r>
        <w:rPr>
          <w:rFonts w:ascii="Calibri"/>
          <w:color w:val="585858"/>
          <w:spacing w:val="-1"/>
          <w:sz w:val="14"/>
        </w:rPr>
        <w:t>outside </w:t>
      </w:r>
      <w:r>
        <w:rPr>
          <w:rFonts w:ascii="Calibri"/>
          <w:color w:val="585858"/>
          <w:sz w:val="14"/>
        </w:rPr>
        <w:t>system</w:t>
      </w:r>
    </w:p>
    <w:p>
      <w:pPr>
        <w:pStyle w:val="BodyText"/>
        <w:rPr>
          <w:rFonts w:ascii="Calibri"/>
          <w:sz w:val="14"/>
        </w:rPr>
      </w:pPr>
      <w:r>
        <w:rPr/>
        <w:br w:type="column"/>
      </w:r>
      <w:r>
        <w:rPr>
          <w:rFonts w:ascii="Calibri"/>
          <w:sz w:val="14"/>
        </w:rPr>
      </w:r>
    </w:p>
    <w:p>
      <w:pPr>
        <w:pStyle w:val="BodyText"/>
        <w:spacing w:before="1"/>
        <w:rPr>
          <w:rFonts w:ascii="Calibri"/>
          <w:sz w:val="13"/>
        </w:rPr>
      </w:pPr>
    </w:p>
    <w:p>
      <w:pPr>
        <w:tabs>
          <w:tab w:pos="1052" w:val="left" w:leader="none"/>
          <w:tab w:pos="1655" w:val="left" w:leader="none"/>
          <w:tab w:pos="2519" w:val="left" w:leader="none"/>
        </w:tabs>
        <w:spacing w:before="0"/>
        <w:ind w:left="183" w:right="0" w:firstLine="0"/>
        <w:jc w:val="left"/>
        <w:rPr>
          <w:rFonts w:ascii="Calibri"/>
          <w:sz w:val="14"/>
        </w:rPr>
      </w:pPr>
      <w:r>
        <w:rPr>
          <w:rFonts w:ascii="Calibri"/>
          <w:color w:val="585858"/>
          <w:sz w:val="14"/>
        </w:rPr>
        <w:t>To other</w:t>
      </w:r>
      <w:r>
        <w:rPr>
          <w:rFonts w:ascii="Calibri"/>
          <w:color w:val="585858"/>
          <w:spacing w:val="-10"/>
          <w:sz w:val="14"/>
        </w:rPr>
        <w:t> </w:t>
      </w:r>
      <w:r>
        <w:rPr>
          <w:rFonts w:ascii="Calibri"/>
          <w:color w:val="585858"/>
          <w:sz w:val="14"/>
        </w:rPr>
        <w:t>IS</w:t>
        <w:tab/>
        <w:t>To</w:t>
      </w:r>
      <w:r>
        <w:rPr>
          <w:rFonts w:ascii="Calibri"/>
          <w:color w:val="585858"/>
          <w:spacing w:val="-1"/>
          <w:sz w:val="14"/>
        </w:rPr>
        <w:t> </w:t>
      </w:r>
      <w:r>
        <w:rPr>
          <w:rFonts w:ascii="Calibri"/>
          <w:color w:val="585858"/>
          <w:sz w:val="14"/>
        </w:rPr>
        <w:t>NIS</w:t>
        <w:tab/>
        <w:t>Exit</w:t>
      </w:r>
      <w:r>
        <w:rPr>
          <w:rFonts w:ascii="Calibri"/>
          <w:color w:val="585858"/>
          <w:spacing w:val="6"/>
          <w:sz w:val="14"/>
        </w:rPr>
        <w:t> </w:t>
      </w:r>
      <w:r>
        <w:rPr>
          <w:rFonts w:ascii="Calibri"/>
          <w:color w:val="585858"/>
          <w:spacing w:val="-3"/>
          <w:sz w:val="14"/>
        </w:rPr>
        <w:t>system</w:t>
        <w:tab/>
      </w:r>
      <w:r>
        <w:rPr>
          <w:rFonts w:ascii="Calibri"/>
          <w:color w:val="585858"/>
          <w:sz w:val="14"/>
        </w:rPr>
        <w:t>Deaths</w:t>
      </w:r>
    </w:p>
    <w:p>
      <w:pPr>
        <w:spacing w:after="0"/>
        <w:jc w:val="left"/>
        <w:rPr>
          <w:rFonts w:ascii="Calibri"/>
          <w:sz w:val="14"/>
        </w:rPr>
        <w:sectPr>
          <w:type w:val="continuous"/>
          <w:pgSz w:w="11910" w:h="16850"/>
          <w:pgMar w:top="1600" w:bottom="280" w:left="120" w:right="0"/>
          <w:cols w:num="3" w:equalWidth="0">
            <w:col w:w="2395" w:space="40"/>
            <w:col w:w="1329" w:space="39"/>
            <w:col w:w="7987"/>
          </w:cols>
        </w:sectPr>
      </w:pPr>
    </w:p>
    <w:p>
      <w:pPr>
        <w:tabs>
          <w:tab w:pos="4920" w:val="left" w:leader="none"/>
        </w:tabs>
        <w:spacing w:before="101"/>
        <w:ind w:left="2283" w:right="0" w:firstLine="0"/>
        <w:jc w:val="left"/>
        <w:rPr>
          <w:rFonts w:ascii="Calibri"/>
          <w:sz w:val="14"/>
        </w:rPr>
      </w:pPr>
      <w:r>
        <w:rPr>
          <w:rFonts w:ascii="Calibri"/>
          <w:color w:val="585858"/>
          <w:sz w:val="14"/>
        </w:rPr>
        <w:t>Entries into</w:t>
      </w:r>
      <w:r>
        <w:rPr>
          <w:rFonts w:ascii="Calibri"/>
          <w:color w:val="585858"/>
          <w:spacing w:val="3"/>
          <w:sz w:val="14"/>
        </w:rPr>
        <w:t> </w:t>
      </w:r>
      <w:r>
        <w:rPr>
          <w:rFonts w:ascii="Calibri"/>
          <w:color w:val="585858"/>
          <w:sz w:val="14"/>
        </w:rPr>
        <w:t>class</w:t>
      </w:r>
      <w:r>
        <w:rPr>
          <w:rFonts w:ascii="Calibri"/>
          <w:color w:val="585858"/>
          <w:spacing w:val="-7"/>
          <w:sz w:val="14"/>
        </w:rPr>
        <w:t> </w:t>
      </w:r>
      <w:r>
        <w:rPr>
          <w:rFonts w:ascii="Calibri"/>
          <w:color w:val="585858"/>
          <w:sz w:val="14"/>
        </w:rPr>
        <w:t>6</w:t>
        <w:tab/>
        <w:t>Exits from class</w:t>
      </w:r>
      <w:r>
        <w:rPr>
          <w:rFonts w:ascii="Calibri"/>
          <w:color w:val="585858"/>
          <w:spacing w:val="-2"/>
          <w:sz w:val="14"/>
        </w:rPr>
        <w:t> </w:t>
      </w:r>
      <w:r>
        <w:rPr>
          <w:rFonts w:ascii="Calibri"/>
          <w:color w:val="585858"/>
          <w:sz w:val="14"/>
        </w:rPr>
        <w:t>6</w:t>
      </w:r>
    </w:p>
    <w:p>
      <w:pPr>
        <w:pStyle w:val="BodyText"/>
        <w:spacing w:before="6"/>
        <w:rPr>
          <w:rFonts w:ascii="Calibri"/>
          <w:sz w:val="10"/>
        </w:rPr>
      </w:pPr>
    </w:p>
    <w:p>
      <w:pPr>
        <w:tabs>
          <w:tab w:pos="3463" w:val="left" w:leader="none"/>
          <w:tab w:pos="3975" w:val="left" w:leader="none"/>
          <w:tab w:pos="4488" w:val="left" w:leader="none"/>
          <w:tab w:pos="5001" w:val="left" w:leader="none"/>
        </w:tabs>
        <w:spacing w:before="0"/>
        <w:ind w:left="2950" w:right="0" w:firstLine="0"/>
        <w:jc w:val="left"/>
        <w:rPr>
          <w:rFonts w:ascii="Calibri"/>
          <w:sz w:val="14"/>
        </w:rPr>
      </w:pPr>
      <w:r>
        <w:rPr/>
        <w:pict>
          <v:rect style="position:absolute;margin-left:147.846588pt;margin-top:2.801178pt;width:4.100512pt;height:4.089400pt;mso-position-horizontal-relative:page;mso-position-vertical-relative:paragraph;z-index:251988992" filled="true" fillcolor="#dfbbbb" stroked="false">
            <v:fill type="solid"/>
            <w10:wrap type="none"/>
          </v:rect>
        </w:pict>
      </w:r>
      <w:r>
        <w:rPr/>
        <w:pict>
          <v:rect style="position:absolute;margin-left:173.625122pt;margin-top:2.801178pt;width:4.100512pt;height:4.089400pt;mso-position-horizontal-relative:page;mso-position-vertical-relative:paragraph;z-index:-287912960" filled="true" fillcolor="#d19292" stroked="false">
            <v:fill type="solid"/>
            <w10:wrap type="none"/>
          </v:rect>
        </w:pict>
      </w:r>
      <w:r>
        <w:rPr/>
        <w:pict>
          <v:rect style="position:absolute;margin-left:199.403671pt;margin-top:2.801178pt;width:3.514725pt;height:4.089400pt;mso-position-horizontal-relative:page;mso-position-vertical-relative:paragraph;z-index:-287911936" filled="true" fillcolor="#c0504d" stroked="false">
            <v:fill type="solid"/>
            <w10:wrap type="none"/>
          </v:rect>
        </w:pict>
      </w:r>
      <w:r>
        <w:rPr/>
        <w:pict>
          <v:rect style="position:absolute;margin-left:225.18222pt;margin-top:2.801178pt;width:3.514725pt;height:4.089400pt;mso-position-horizontal-relative:page;mso-position-vertical-relative:paragraph;z-index:-287910912" filled="true" fillcolor="#aa4643" stroked="false">
            <v:fill type="solid"/>
            <w10:wrap type="none"/>
          </v:rect>
        </w:pict>
      </w:r>
      <w:r>
        <w:rPr/>
        <w:pict>
          <v:rect style="position:absolute;margin-left:250.374893pt;margin-top:2.801178pt;width:4.100512pt;height:4.089400pt;mso-position-horizontal-relative:page;mso-position-vertical-relative:paragraph;z-index:-287909888" filled="true" fillcolor="#903938" stroked="false">
            <v:fill type="solid"/>
            <w10:wrap type="none"/>
          </v:rect>
        </w:pict>
      </w:r>
      <w:r>
        <w:rPr>
          <w:rFonts w:ascii="Calibri"/>
          <w:color w:val="585858"/>
          <w:sz w:val="14"/>
        </w:rPr>
        <w:t>2014</w:t>
        <w:tab/>
        <w:t>2015</w:t>
        <w:tab/>
        <w:t>2016</w:t>
        <w:tab/>
        <w:t>2017</w:t>
        <w:tab/>
        <w:t>2018</w:t>
      </w:r>
    </w:p>
    <w:p>
      <w:pPr>
        <w:pStyle w:val="BodyText"/>
        <w:rPr>
          <w:rFonts w:ascii="Calibri"/>
          <w:sz w:val="14"/>
        </w:rPr>
      </w:pPr>
    </w:p>
    <w:p>
      <w:pPr>
        <w:pStyle w:val="BodyText"/>
        <w:spacing w:before="103"/>
        <w:ind w:left="899" w:right="1020"/>
      </w:pPr>
      <w:r>
        <w:rPr>
          <w:color w:val="404040"/>
        </w:rPr>
        <w:t>The lower level of entries in the 2018 year is due to an increase in the Age Pension age from 65 to 65.5 and, as a result, fewer people have become eligible for the Age Pension. A reducing trend can also be seen in entries into Age Pension for earlier years, from all parts of the system. For transitions from current welfare recipients, this is in part a flow on effect of reducing numbers of welfare recipients over recent years.</w:t>
      </w:r>
    </w:p>
    <w:p>
      <w:pPr>
        <w:pStyle w:val="BodyText"/>
        <w:spacing w:before="119"/>
        <w:ind w:left="900" w:right="1097"/>
      </w:pPr>
      <w:r>
        <w:rPr>
          <w:color w:val="404040"/>
        </w:rPr>
        <w:t>The main exits from Age Pension are due to deaths. A high number of exits can also be seen in 2018 into non income support and also system exits. This is due to approximately 100,000 people no longer being eligible for Age Pension following the pension assets test change; many of these people were still eligible for other supplements and so transitioned into a non income support class.</w:t>
      </w:r>
    </w:p>
    <w:p>
      <w:pPr>
        <w:pStyle w:val="BodyText"/>
        <w:spacing w:before="122"/>
        <w:ind w:left="900" w:right="1141"/>
      </w:pPr>
      <w:r>
        <w:rPr>
          <w:color w:val="404040"/>
        </w:rPr>
        <w:t>We also note that deaths have been gradually increasing. This is a result of an increasing number of people in the Age Pension class, resulting in an increasing expected number of deaths.</w:t>
      </w:r>
    </w:p>
    <w:p>
      <w:pPr>
        <w:pStyle w:val="BodyText"/>
        <w:spacing w:before="6"/>
      </w:pPr>
    </w:p>
    <w:p>
      <w:pPr>
        <w:pStyle w:val="Heading6"/>
        <w:rPr>
          <w:i/>
        </w:rPr>
      </w:pPr>
      <w:r>
        <w:rPr>
          <w:i/>
          <w:color w:val="DF2F1E"/>
        </w:rPr>
        <w:t>Other experience relating to number of people accessing</w:t>
      </w:r>
      <w:r>
        <w:rPr>
          <w:i/>
          <w:color w:val="DF2F1E"/>
          <w:spacing w:val="-30"/>
        </w:rPr>
        <w:t> </w:t>
      </w:r>
      <w:r>
        <w:rPr>
          <w:i/>
          <w:color w:val="DF2F1E"/>
        </w:rPr>
        <w:t>payments</w:t>
      </w:r>
    </w:p>
    <w:p>
      <w:pPr>
        <w:pStyle w:val="BodyText"/>
        <w:spacing w:before="123"/>
        <w:ind w:left="899" w:right="1843"/>
      </w:pPr>
      <w:r>
        <w:rPr>
          <w:color w:val="404040"/>
        </w:rPr>
        <w:t>Additionally, we noted from our review of recent experience that there have been declining entries and transitions, as well as increased exits for class 4 – Carer (see section</w:t>
      </w:r>
      <w:r>
        <w:rPr>
          <w:color w:val="404040"/>
          <w:spacing w:val="-8"/>
        </w:rPr>
        <w:t> </w:t>
      </w:r>
      <w:hyperlink w:history="true" w:anchor="_bookmark44">
        <w:r>
          <w:rPr>
            <w:color w:val="404040"/>
          </w:rPr>
          <w:t>6.4</w:t>
        </w:r>
      </w:hyperlink>
      <w:r>
        <w:rPr>
          <w:color w:val="404040"/>
        </w:rPr>
        <w:t>).</w:t>
      </w:r>
    </w:p>
    <w:p>
      <w:pPr>
        <w:spacing w:after="0"/>
        <w:sectPr>
          <w:type w:val="continuous"/>
          <w:pgSz w:w="11910" w:h="16850"/>
          <w:pgMar w:top="1600" w:bottom="280" w:left="120" w:right="0"/>
        </w:sectPr>
      </w:pPr>
    </w:p>
    <w:p>
      <w:pPr>
        <w:pStyle w:val="BodyText"/>
      </w:pPr>
    </w:p>
    <w:p>
      <w:pPr>
        <w:pStyle w:val="BodyText"/>
      </w:pPr>
    </w:p>
    <w:p>
      <w:pPr>
        <w:pStyle w:val="BodyText"/>
        <w:spacing w:before="8"/>
        <w:rPr>
          <w:sz w:val="21"/>
        </w:rPr>
      </w:pPr>
    </w:p>
    <w:p>
      <w:pPr>
        <w:pStyle w:val="ListParagraph"/>
        <w:numPr>
          <w:ilvl w:val="1"/>
          <w:numId w:val="22"/>
        </w:numPr>
        <w:tabs>
          <w:tab w:pos="1752" w:val="left" w:leader="none"/>
          <w:tab w:pos="1753" w:val="left" w:leader="none"/>
        </w:tabs>
        <w:spacing w:line="240" w:lineRule="auto" w:before="91" w:after="0"/>
        <w:ind w:left="1752" w:right="0" w:hanging="853"/>
        <w:jc w:val="left"/>
        <w:rPr>
          <w:sz w:val="28"/>
        </w:rPr>
      </w:pPr>
      <w:bookmarkStart w:name="4.4 Average payment sizes" w:id="121"/>
      <w:bookmarkEnd w:id="121"/>
      <w:r>
        <w:rPr/>
      </w:r>
      <w:bookmarkStart w:name="_bookmark30" w:id="122"/>
      <w:bookmarkEnd w:id="122"/>
      <w:r>
        <w:rPr/>
      </w:r>
      <w:bookmarkStart w:name="_bookmark30" w:id="123"/>
      <w:bookmarkEnd w:id="123"/>
      <w:r>
        <w:rPr>
          <w:color w:val="DF2F28"/>
          <w:sz w:val="28"/>
        </w:rPr>
        <w:t>A</w:t>
      </w:r>
      <w:r>
        <w:rPr>
          <w:color w:val="DF2F28"/>
          <w:sz w:val="28"/>
        </w:rPr>
        <w:t>verage payment</w:t>
      </w:r>
      <w:r>
        <w:rPr>
          <w:color w:val="DF2F28"/>
          <w:spacing w:val="2"/>
          <w:sz w:val="28"/>
        </w:rPr>
        <w:t> </w:t>
      </w:r>
      <w:r>
        <w:rPr>
          <w:color w:val="DF2F28"/>
          <w:sz w:val="28"/>
        </w:rPr>
        <w:t>sizes</w:t>
      </w:r>
    </w:p>
    <w:p>
      <w:pPr>
        <w:pStyle w:val="BodyText"/>
        <w:spacing w:before="123"/>
        <w:ind w:left="900" w:right="1320"/>
      </w:pPr>
      <w:r>
        <w:rPr>
          <w:color w:val="404040"/>
        </w:rPr>
        <w:t>We discuss below the main change noted in average payment sizes during the year, which relates to Family Tax Benefit and Other Family payments.</w:t>
      </w:r>
    </w:p>
    <w:p>
      <w:pPr>
        <w:pStyle w:val="BodyText"/>
        <w:spacing w:before="6"/>
      </w:pPr>
    </w:p>
    <w:p>
      <w:pPr>
        <w:pStyle w:val="Heading6"/>
        <w:spacing w:before="1"/>
        <w:rPr>
          <w:i/>
        </w:rPr>
      </w:pPr>
      <w:r>
        <w:rPr>
          <w:i/>
          <w:color w:val="DF2F1E"/>
        </w:rPr>
        <w:t>Reduction in Family Tax Benefit (FTB) and Other Family payments</w:t>
      </w:r>
    </w:p>
    <w:p>
      <w:pPr>
        <w:pStyle w:val="BodyText"/>
        <w:spacing w:before="123"/>
        <w:ind w:left="899" w:right="1065"/>
      </w:pPr>
      <w:r>
        <w:rPr>
          <w:color w:val="404040"/>
        </w:rPr>
        <w:t>The average FTB payments have been gradually decreasing in recent years across a number of classes. This likely in part reflects a number of legislative changes introduced over recent years. There have also been some reductions in Other Family payments over the last three years. However, we would expect this to increase again from 1 July 2018 following the introduction of the Child Care Subsidy.</w:t>
      </w:r>
    </w:p>
    <w:p>
      <w:pPr>
        <w:pStyle w:val="BodyText"/>
        <w:spacing w:before="119"/>
        <w:ind w:left="899" w:right="1043"/>
      </w:pPr>
      <w:r>
        <w:rPr>
          <w:color w:val="404040"/>
        </w:rPr>
        <w:t>These trends can be seen in the chart below, which shows average FTB payments and Other Family payments made for people in the Non IS Family class (although note that the latest year of payments is understated due to the impact of the data maturity as Family Tax Benefit and child care payment information for the valuation year is not fully known at 30 September, when the valuation data is extracted).</w:t>
      </w:r>
    </w:p>
    <w:p>
      <w:pPr>
        <w:pStyle w:val="Heading9"/>
        <w:spacing w:before="178"/>
        <w:ind w:left="899" w:right="1544"/>
      </w:pPr>
      <w:r>
        <w:rPr>
          <w:color w:val="DF2F1E"/>
        </w:rPr>
        <w:t>Figure 32: Average selected payments per person in class 7 – Non IS Family (restated to 2017/18 $ values)</w:t>
      </w:r>
    </w:p>
    <w:p>
      <w:pPr>
        <w:pStyle w:val="BodyText"/>
        <w:rPr>
          <w:b/>
          <w:sz w:val="11"/>
        </w:rPr>
      </w:pPr>
    </w:p>
    <w:p>
      <w:pPr>
        <w:tabs>
          <w:tab w:pos="6603" w:val="left" w:leader="none"/>
        </w:tabs>
        <w:spacing w:before="0"/>
        <w:ind w:left="1109" w:right="0" w:firstLine="0"/>
        <w:jc w:val="left"/>
        <w:rPr>
          <w:rFonts w:ascii="Calibri"/>
          <w:sz w:val="14"/>
        </w:rPr>
      </w:pPr>
      <w:r>
        <w:rPr>
          <w:rFonts w:ascii="Calibri"/>
          <w:color w:val="585858"/>
          <w:w w:val="105"/>
          <w:sz w:val="14"/>
        </w:rPr>
        <w:t>$6,000</w:t>
      </w:r>
      <w:r>
        <w:rPr>
          <w:rFonts w:ascii="Calibri"/>
          <w:color w:val="585858"/>
          <w:sz w:val="14"/>
        </w:rPr>
        <w:t>   </w:t>
      </w:r>
      <w:r>
        <w:rPr>
          <w:rFonts w:ascii="Calibri"/>
          <w:color w:val="585858"/>
          <w:spacing w:val="5"/>
          <w:sz w:val="14"/>
        </w:rPr>
        <w:t> </w:t>
      </w:r>
      <w:r>
        <w:rPr>
          <w:rFonts w:ascii="Calibri"/>
          <w:color w:val="585858"/>
          <w:w w:val="102"/>
          <w:sz w:val="14"/>
          <w:u w:val="single" w:color="D9D9D9"/>
        </w:rPr>
        <w:t> </w:t>
      </w:r>
      <w:r>
        <w:rPr>
          <w:rFonts w:ascii="Calibri"/>
          <w:color w:val="585858"/>
          <w:sz w:val="14"/>
          <w:u w:val="single" w:color="D9D9D9"/>
        </w:rPr>
        <w:tab/>
      </w:r>
    </w:p>
    <w:p>
      <w:pPr>
        <w:pStyle w:val="BodyText"/>
        <w:spacing w:before="10"/>
        <w:rPr>
          <w:rFonts w:ascii="Calibri"/>
          <w:sz w:val="13"/>
        </w:rPr>
      </w:pPr>
    </w:p>
    <w:p>
      <w:pPr>
        <w:spacing w:before="74"/>
        <w:ind w:left="1109" w:right="0" w:firstLine="0"/>
        <w:jc w:val="left"/>
        <w:rPr>
          <w:rFonts w:ascii="Calibri"/>
          <w:sz w:val="14"/>
        </w:rPr>
      </w:pPr>
      <w:r>
        <w:rPr/>
        <w:pict>
          <v:group style="position:absolute;margin-left:87.930252pt;margin-top:6.380245pt;width:248.25pt;height:106pt;mso-position-horizontal-relative:page;mso-position-vertical-relative:paragraph;z-index:251994112" coordorigin="1759,128" coordsize="4965,2120">
            <v:shape style="position:absolute;left:1758;top:169;width:4965;height:1653" coordorigin="1759,170" coordsize="4965,1653" path="m6394,1822l6723,1822m6010,1822l6094,1822m5626,1822l5710,1822m5254,1822l5326,1822m4871,1822l4955,1822m3911,1822l4571,1822m2388,1822l2472,1822m1759,1822l2088,1822m2388,1415l2472,1415m1759,1415l2088,1415m2388,996l2472,996m1759,996l2088,996m2388,589l2472,589m1759,589l2088,589m2388,170l6723,170m1759,170l2088,170e" filled="false" stroked="true" strokeweight=".598789pt" strokecolor="#d9d9d9">
              <v:path arrowok="t"/>
              <v:stroke dashstyle="solid"/>
            </v:shape>
            <v:rect style="position:absolute;left:2088;top:127;width:300;height:2108" filled="true" fillcolor="#facfb9" stroked="false">
              <v:fill type="solid"/>
            </v:rect>
            <v:shape style="position:absolute;left:3911;top:1415;width:1044;height:2" coordorigin="3911,1415" coordsize="1044,0" path="m4871,1415l4955,1415m3911,1415l4571,1415e" filled="false" stroked="true" strokeweight=".598789pt" strokecolor="#d9d9d9">
              <v:path arrowok="t"/>
              <v:stroke dashstyle="solid"/>
            </v:shape>
            <v:rect style="position:absolute;left:4570;top:1097;width:300;height:1138" filled="true" fillcolor="#facfb9" stroked="false">
              <v:fill type="solid"/>
            </v:rect>
            <v:shape style="position:absolute;left:2771;top:588;width:84;height:1234" coordorigin="2772,589" coordsize="84,1234" path="m2772,1822l2856,1822m2772,1415l2856,1415m2772,996l2856,996m2772,589l2856,589e" filled="false" stroked="true" strokeweight=".598789pt" strokecolor="#d9d9d9">
              <v:path arrowok="t"/>
              <v:stroke dashstyle="solid"/>
            </v:shape>
            <v:rect style="position:absolute;left:2472;top:175;width:300;height:2060" filled="true" fillcolor="#f8b590" stroked="false">
              <v:fill type="solid"/>
            </v:rect>
            <v:shape style="position:absolute;left:3911;top:995;width:2813;height:420" coordorigin="3911,996" coordsize="2813,420" path="m5254,1415l5326,1415m3911,996l6723,996e" filled="false" stroked="true" strokeweight=".598789pt" strokecolor="#d9d9d9">
              <v:path arrowok="t"/>
              <v:stroke dashstyle="solid"/>
            </v:shape>
            <v:rect style="position:absolute;left:4954;top:1049;width:300;height:1186" filled="true" fillcolor="#f8b590" stroked="false">
              <v:fill type="solid"/>
            </v:rect>
            <v:shape style="position:absolute;left:3155;top:588;width:72;height:1234" coordorigin="3156,589" coordsize="72,1234" path="m3156,1822l3228,1822m3156,1415l3228,1415m3156,996l3228,996m3156,589l3228,589e" filled="false" stroked="true" strokeweight=".598789pt" strokecolor="#d9d9d9">
              <v:path arrowok="t"/>
              <v:stroke dashstyle="solid"/>
            </v:shape>
            <v:rect style="position:absolute;left:2855;top:367;width:300;height:1869" filled="true" fillcolor="#f79546" stroked="false">
              <v:fill type="solid"/>
            </v:rect>
            <v:line style="position:absolute" from="5626,1415" to="5710,1415" stroked="true" strokeweight=".598789pt" strokecolor="#d9d9d9">
              <v:stroke dashstyle="solid"/>
            </v:line>
            <v:rect style="position:absolute;left:5326;top:1001;width:300;height:1234" filled="true" fillcolor="#f79546" stroked="false">
              <v:fill type="solid"/>
            </v:rect>
            <v:shape style="position:absolute;left:3527;top:588;width:3196;height:1234" coordorigin="3527,589" coordsize="3196,1234" path="m3527,1822l3611,1822m3527,1415l3611,1415m3527,996l3611,996m3527,589l6723,589e" filled="false" stroked="true" strokeweight=".598789pt" strokecolor="#d9d9d9">
              <v:path arrowok="t"/>
              <v:stroke dashstyle="solid"/>
            </v:shape>
            <v:rect style="position:absolute;left:3227;top:546;width:300;height:1689" filled="true" fillcolor="#db843c" stroked="false">
              <v:fill type="solid"/>
            </v:rect>
            <v:line style="position:absolute" from="6010,1415" to="6094,1415" stroked="true" strokeweight=".598789pt" strokecolor="#d9d9d9">
              <v:stroke dashstyle="solid"/>
            </v:line>
            <v:rect style="position:absolute;left:5710;top:1061;width:300;height:1174" filled="true" fillcolor="#db843c" stroked="false">
              <v:fill type="solid"/>
            </v:rect>
            <v:rect style="position:absolute;left:3611;top:726;width:300;height:1509" filled="true" fillcolor="#b96f31" stroked="false">
              <v:fill type="solid"/>
            </v:rect>
            <v:line style="position:absolute" from="6394,1415" to="6723,1415" stroked="true" strokeweight=".598789pt" strokecolor="#d9d9d9">
              <v:stroke dashstyle="solid"/>
            </v:line>
            <v:rect style="position:absolute;left:6093;top:1205;width:300;height:1030" filled="true" fillcolor="#b96f31" stroked="false">
              <v:fill type="solid"/>
            </v:rect>
            <v:line style="position:absolute" from="1759,2241" to="6724,2241" stroked="true" strokeweight=".598792pt" strokecolor="#d9d9d9">
              <v:stroke dashstyle="solid"/>
            </v:line>
            <w10:wrap type="none"/>
          </v:group>
        </w:pict>
      </w:r>
      <w:r>
        <w:rPr>
          <w:rFonts w:ascii="Calibri"/>
          <w:color w:val="585858"/>
          <w:w w:val="105"/>
          <w:sz w:val="14"/>
        </w:rPr>
        <w:t>$5,000</w:t>
      </w:r>
    </w:p>
    <w:p>
      <w:pPr>
        <w:pStyle w:val="BodyText"/>
        <w:spacing w:before="10"/>
        <w:rPr>
          <w:rFonts w:ascii="Calibri"/>
          <w:sz w:val="13"/>
        </w:rPr>
      </w:pPr>
    </w:p>
    <w:p>
      <w:pPr>
        <w:spacing w:before="75"/>
        <w:ind w:left="1109" w:right="0" w:firstLine="0"/>
        <w:jc w:val="left"/>
        <w:rPr>
          <w:rFonts w:ascii="Calibri"/>
          <w:sz w:val="14"/>
        </w:rPr>
      </w:pPr>
      <w:r>
        <w:rPr>
          <w:rFonts w:ascii="Calibri"/>
          <w:color w:val="585858"/>
          <w:w w:val="105"/>
          <w:sz w:val="14"/>
        </w:rPr>
        <w:t>$4,000</w:t>
      </w:r>
    </w:p>
    <w:p>
      <w:pPr>
        <w:pStyle w:val="BodyText"/>
        <w:spacing w:before="9"/>
        <w:rPr>
          <w:rFonts w:ascii="Calibri"/>
          <w:sz w:val="13"/>
        </w:rPr>
      </w:pPr>
    </w:p>
    <w:p>
      <w:pPr>
        <w:spacing w:before="75"/>
        <w:ind w:left="1109" w:right="0" w:firstLine="0"/>
        <w:jc w:val="left"/>
        <w:rPr>
          <w:rFonts w:ascii="Calibri"/>
          <w:sz w:val="14"/>
        </w:rPr>
      </w:pPr>
      <w:r>
        <w:rPr>
          <w:rFonts w:ascii="Calibri"/>
          <w:color w:val="585858"/>
          <w:w w:val="105"/>
          <w:sz w:val="14"/>
        </w:rPr>
        <w:t>$3,000</w:t>
      </w:r>
    </w:p>
    <w:p>
      <w:pPr>
        <w:pStyle w:val="BodyText"/>
        <w:spacing w:before="10"/>
        <w:rPr>
          <w:rFonts w:ascii="Calibri"/>
          <w:sz w:val="13"/>
        </w:rPr>
      </w:pPr>
    </w:p>
    <w:p>
      <w:pPr>
        <w:spacing w:before="74"/>
        <w:ind w:left="1109" w:right="0" w:firstLine="0"/>
        <w:jc w:val="left"/>
        <w:rPr>
          <w:rFonts w:ascii="Calibri"/>
          <w:sz w:val="14"/>
        </w:rPr>
      </w:pPr>
      <w:r>
        <w:rPr>
          <w:rFonts w:ascii="Calibri"/>
          <w:color w:val="585858"/>
          <w:w w:val="105"/>
          <w:sz w:val="14"/>
        </w:rPr>
        <w:t>$2,000</w:t>
      </w:r>
    </w:p>
    <w:p>
      <w:pPr>
        <w:pStyle w:val="BodyText"/>
        <w:spacing w:before="10"/>
        <w:rPr>
          <w:rFonts w:ascii="Calibri"/>
          <w:sz w:val="13"/>
        </w:rPr>
      </w:pPr>
    </w:p>
    <w:p>
      <w:pPr>
        <w:spacing w:before="75"/>
        <w:ind w:left="1109" w:right="0" w:firstLine="0"/>
        <w:jc w:val="left"/>
        <w:rPr>
          <w:rFonts w:ascii="Calibri"/>
          <w:sz w:val="14"/>
        </w:rPr>
      </w:pPr>
      <w:r>
        <w:rPr>
          <w:rFonts w:ascii="Calibri"/>
          <w:color w:val="585858"/>
          <w:w w:val="105"/>
          <w:sz w:val="14"/>
        </w:rPr>
        <w:t>$1,000</w:t>
      </w:r>
    </w:p>
    <w:p>
      <w:pPr>
        <w:pStyle w:val="BodyText"/>
        <w:spacing w:before="9"/>
        <w:rPr>
          <w:rFonts w:ascii="Calibri"/>
          <w:sz w:val="13"/>
        </w:rPr>
      </w:pPr>
    </w:p>
    <w:p>
      <w:pPr>
        <w:spacing w:after="0"/>
        <w:rPr>
          <w:rFonts w:ascii="Calibri"/>
          <w:sz w:val="13"/>
        </w:rPr>
        <w:sectPr>
          <w:pgSz w:w="11910" w:h="16850"/>
          <w:pgMar w:header="572" w:footer="581" w:top="780" w:bottom="780" w:left="120" w:right="0"/>
        </w:sectPr>
      </w:pPr>
    </w:p>
    <w:p>
      <w:pPr>
        <w:spacing w:before="75"/>
        <w:ind w:left="1342" w:right="1784" w:firstLine="0"/>
        <w:jc w:val="center"/>
        <w:rPr>
          <w:rFonts w:ascii="Calibri"/>
          <w:sz w:val="14"/>
        </w:rPr>
      </w:pPr>
      <w:r>
        <w:rPr>
          <w:rFonts w:ascii="Calibri"/>
          <w:color w:val="585858"/>
          <w:w w:val="105"/>
          <w:sz w:val="14"/>
        </w:rPr>
        <w:t>$0</w:t>
      </w:r>
    </w:p>
    <w:p>
      <w:pPr>
        <w:spacing w:before="16"/>
        <w:ind w:left="0" w:right="38" w:firstLine="0"/>
        <w:jc w:val="right"/>
        <w:rPr>
          <w:rFonts w:ascii="Calibri"/>
          <w:sz w:val="14"/>
        </w:rPr>
      </w:pPr>
      <w:r>
        <w:rPr>
          <w:rFonts w:ascii="Calibri"/>
          <w:color w:val="585858"/>
          <w:w w:val="105"/>
          <w:sz w:val="14"/>
        </w:rPr>
        <w:t>H - Other FTB</w:t>
      </w:r>
    </w:p>
    <w:p>
      <w:pPr>
        <w:pStyle w:val="BodyText"/>
        <w:rPr>
          <w:rFonts w:ascii="Calibri"/>
          <w:sz w:val="14"/>
        </w:rPr>
      </w:pPr>
      <w:r>
        <w:rPr/>
        <w:br w:type="column"/>
      </w:r>
      <w:r>
        <w:rPr>
          <w:rFonts w:ascii="Calibri"/>
          <w:sz w:val="14"/>
        </w:rPr>
      </w:r>
    </w:p>
    <w:p>
      <w:pPr>
        <w:spacing w:before="91"/>
        <w:ind w:left="1364" w:right="0" w:firstLine="0"/>
        <w:jc w:val="left"/>
        <w:rPr>
          <w:rFonts w:ascii="Calibri"/>
          <w:sz w:val="14"/>
        </w:rPr>
      </w:pPr>
      <w:r>
        <w:rPr>
          <w:rFonts w:ascii="Calibri"/>
          <w:color w:val="585858"/>
          <w:w w:val="105"/>
          <w:sz w:val="14"/>
        </w:rPr>
        <w:t>I - Other Family</w:t>
      </w:r>
    </w:p>
    <w:p>
      <w:pPr>
        <w:spacing w:after="0"/>
        <w:jc w:val="left"/>
        <w:rPr>
          <w:rFonts w:ascii="Calibri"/>
          <w:sz w:val="14"/>
        </w:rPr>
        <w:sectPr>
          <w:type w:val="continuous"/>
          <w:pgSz w:w="11910" w:h="16850"/>
          <w:pgMar w:top="1600" w:bottom="280" w:left="120" w:right="0"/>
          <w:cols w:num="2" w:equalWidth="0">
            <w:col w:w="3316" w:space="231"/>
            <w:col w:w="8243"/>
          </w:cols>
        </w:sectPr>
      </w:pPr>
    </w:p>
    <w:p>
      <w:pPr>
        <w:pStyle w:val="BodyText"/>
        <w:spacing w:before="1"/>
        <w:rPr>
          <w:rFonts w:ascii="Calibri"/>
          <w:sz w:val="12"/>
        </w:rPr>
      </w:pPr>
    </w:p>
    <w:p>
      <w:pPr>
        <w:tabs>
          <w:tab w:pos="3305" w:val="left" w:leader="none"/>
          <w:tab w:pos="3829" w:val="left" w:leader="none"/>
          <w:tab w:pos="4354" w:val="left" w:leader="none"/>
          <w:tab w:pos="4879" w:val="left" w:leader="none"/>
        </w:tabs>
        <w:spacing w:before="0"/>
        <w:ind w:left="2780" w:right="0" w:firstLine="0"/>
        <w:jc w:val="left"/>
        <w:rPr>
          <w:rFonts w:ascii="Calibri"/>
          <w:sz w:val="14"/>
        </w:rPr>
      </w:pPr>
      <w:r>
        <w:rPr/>
        <w:pict>
          <v:rect style="position:absolute;margin-left:139.198151pt;margin-top:2.688385pt;width:4.198302pt;height:4.191635pt;mso-position-horizontal-relative:page;mso-position-vertical-relative:paragraph;z-index:251995136" filled="true" fillcolor="#facfb9" stroked="false">
            <v:fill type="solid"/>
            <w10:wrap type="none"/>
          </v:rect>
        </w:pict>
      </w:r>
      <w:r>
        <w:rPr/>
        <w:pict>
          <v:rect style="position:absolute;margin-left:165.581635pt;margin-top:2.688385pt;width:4.198302pt;height:4.191635pt;mso-position-horizontal-relative:page;mso-position-vertical-relative:paragraph;z-index:-287906816" filled="true" fillcolor="#f8b590" stroked="false">
            <v:fill type="solid"/>
            <w10:wrap type="none"/>
          </v:rect>
        </w:pict>
      </w:r>
      <w:r>
        <w:rPr/>
        <w:pict>
          <v:rect style="position:absolute;margin-left:191.965134pt;margin-top:2.688385pt;width:3.598545pt;height:4.191635pt;mso-position-horizontal-relative:page;mso-position-vertical-relative:paragraph;z-index:-287905792" filled="true" fillcolor="#f79546" stroked="false">
            <v:fill type="solid"/>
            <w10:wrap type="none"/>
          </v:rect>
        </w:pict>
      </w:r>
      <w:r>
        <w:rPr/>
        <w:pict>
          <v:rect style="position:absolute;margin-left:218.348618pt;margin-top:2.688385pt;width:3.598545pt;height:4.191635pt;mso-position-horizontal-relative:page;mso-position-vertical-relative:paragraph;z-index:-287904768" filled="true" fillcolor="#db843c" stroked="false">
            <v:fill type="solid"/>
            <w10:wrap type="none"/>
          </v:rect>
        </w:pict>
      </w:r>
      <w:r>
        <w:rPr/>
        <w:pict>
          <v:rect style="position:absolute;margin-left:244.132492pt;margin-top:2.688385pt;width:4.198302pt;height:4.191635pt;mso-position-horizontal-relative:page;mso-position-vertical-relative:paragraph;z-index:-287903744" filled="true" fillcolor="#b96f31" stroked="false">
            <v:fill type="solid"/>
            <w10:wrap type="none"/>
          </v:rect>
        </w:pict>
      </w:r>
      <w:r>
        <w:rPr>
          <w:rFonts w:ascii="Calibri"/>
          <w:color w:val="585858"/>
          <w:w w:val="105"/>
          <w:sz w:val="14"/>
        </w:rPr>
        <w:t>2014</w:t>
        <w:tab/>
        <w:t>2015</w:t>
        <w:tab/>
        <w:t>2016</w:t>
        <w:tab/>
        <w:t>2017</w:t>
        <w:tab/>
        <w:t>2018</w:t>
      </w:r>
    </w:p>
    <w:p>
      <w:pPr>
        <w:pStyle w:val="BodyText"/>
        <w:rPr>
          <w:rFonts w:ascii="Calibri"/>
          <w:sz w:val="14"/>
        </w:rPr>
      </w:pPr>
    </w:p>
    <w:p>
      <w:pPr>
        <w:pStyle w:val="BodyText"/>
        <w:rPr>
          <w:rFonts w:ascii="Calibri"/>
          <w:sz w:val="14"/>
        </w:rPr>
      </w:pPr>
    </w:p>
    <w:p>
      <w:pPr>
        <w:pStyle w:val="BodyText"/>
        <w:rPr>
          <w:rFonts w:ascii="Calibri"/>
          <w:sz w:val="14"/>
        </w:rPr>
      </w:pPr>
    </w:p>
    <w:p>
      <w:pPr>
        <w:spacing w:before="115"/>
        <w:ind w:left="900" w:right="0" w:firstLine="0"/>
        <w:jc w:val="left"/>
        <w:rPr>
          <w:sz w:val="16"/>
        </w:rPr>
      </w:pPr>
      <w:r>
        <w:rPr>
          <w:color w:val="DF2F1E"/>
          <w:sz w:val="16"/>
        </w:rPr>
        <w:t>* Note that the latest year is impacted by data maturity issues with non income support family payments.</w:t>
      </w:r>
    </w:p>
    <w:p>
      <w:pPr>
        <w:pStyle w:val="BodyText"/>
        <w:spacing w:before="9"/>
      </w:pPr>
    </w:p>
    <w:p>
      <w:pPr>
        <w:pStyle w:val="Heading6"/>
        <w:rPr>
          <w:i/>
        </w:rPr>
      </w:pPr>
      <w:r>
        <w:rPr>
          <w:i/>
          <w:color w:val="DF2F1E"/>
        </w:rPr>
        <w:t>Increasing Rent Assistance payments</w:t>
      </w:r>
    </w:p>
    <w:p>
      <w:pPr>
        <w:pStyle w:val="BodyText"/>
        <w:spacing w:before="121"/>
        <w:ind w:left="900" w:right="1220"/>
      </w:pPr>
      <w:r>
        <w:rPr>
          <w:color w:val="404040"/>
        </w:rPr>
        <w:t>Average rent assistance payments have been increasing over the last few years. In part this is because there are less people in receipt of income support, and those who remain in these classes are now more likely to receive rent assistance. The chart below shows average rent assistance payments for people in the Working Age class, as an example.</w:t>
      </w:r>
    </w:p>
    <w:p>
      <w:pPr>
        <w:pStyle w:val="Heading9"/>
        <w:spacing w:line="229" w:lineRule="exact" w:before="177"/>
      </w:pPr>
      <w:r>
        <w:rPr>
          <w:color w:val="DF2F1E"/>
        </w:rPr>
        <w:t>Figure 33: Average Rent Assistance payments per person in class 2 – Working Age (restated to 2017/18</w:t>
      </w:r>
    </w:p>
    <w:p>
      <w:pPr>
        <w:pStyle w:val="Heading9"/>
        <w:spacing w:line="229" w:lineRule="exact" w:before="0"/>
        <w:ind w:left="899"/>
      </w:pPr>
      <w:r>
        <w:rPr>
          <w:color w:val="DF2F1E"/>
        </w:rPr>
        <w:t>$ values)</w:t>
      </w:r>
    </w:p>
    <w:p>
      <w:pPr>
        <w:spacing w:before="125"/>
        <w:ind w:left="1117" w:right="0" w:firstLine="0"/>
        <w:jc w:val="left"/>
        <w:rPr>
          <w:rFonts w:ascii="Calibri"/>
          <w:sz w:val="14"/>
        </w:rPr>
      </w:pPr>
      <w:r>
        <w:rPr/>
        <w:pict>
          <v:line style="position:absolute;mso-position-horizontal-relative:page;mso-position-vertical-relative:paragraph;z-index:252001280" from="83.119110pt,10.939529pt" to="336.026805pt,10.939529pt" stroked="true" strokeweight=".598788pt" strokecolor="#d9d9d9">
            <v:stroke dashstyle="solid"/>
            <w10:wrap type="none"/>
          </v:line>
        </w:pict>
      </w:r>
      <w:r>
        <w:rPr>
          <w:rFonts w:ascii="Calibri"/>
          <w:color w:val="585858"/>
          <w:w w:val="105"/>
          <w:sz w:val="14"/>
        </w:rPr>
        <w:t>$800</w:t>
      </w:r>
    </w:p>
    <w:p>
      <w:pPr>
        <w:pStyle w:val="BodyText"/>
        <w:spacing w:before="5"/>
        <w:rPr>
          <w:rFonts w:ascii="Calibri"/>
          <w:sz w:val="11"/>
        </w:rPr>
      </w:pPr>
    </w:p>
    <w:p>
      <w:pPr>
        <w:spacing w:before="0"/>
        <w:ind w:left="1117" w:right="0" w:firstLine="0"/>
        <w:jc w:val="left"/>
        <w:rPr>
          <w:rFonts w:ascii="Calibri"/>
          <w:sz w:val="14"/>
        </w:rPr>
      </w:pPr>
      <w:r>
        <w:rPr/>
        <w:pict>
          <v:group style="position:absolute;margin-left:83.119110pt;margin-top:-2.149161pt;width:252.95pt;height:116.2pt;mso-position-horizontal-relative:page;mso-position-vertical-relative:paragraph;z-index:252000256" coordorigin="1662,-43" coordsize="5059,2324">
            <v:shape style="position:absolute;left:1662;top:94;width:5059;height:1869" coordorigin="1662,95" coordsize="5059,1869" path="m6055,1963l6721,1963m5276,1963l5444,1963m4497,1963l4665,1963m3718,1963l3886,1963m2951,1963l3107,1963m1662,1963l2328,1963m2951,1652l3107,1652m1662,1652l2328,1652m2951,1340l3107,1340m1662,1340l2328,1340m2951,1029l3107,1029m1662,1029l2328,1029m2951,717l3107,717m1662,717l2328,717m2951,406l3107,406m1662,406l2328,406m1662,95l3107,95e" filled="false" stroked="true" strokeweight=".598788pt" strokecolor="#d9d9d9">
              <v:path arrowok="t"/>
              <v:stroke dashstyle="solid"/>
            </v:shape>
            <v:rect style="position:absolute;left:2327;top:112;width:624;height:2156" filled="true" fillcolor="#facfb9" stroked="false">
              <v:fill type="solid"/>
            </v:rect>
            <v:shape style="position:absolute;left:3718;top:94;width:168;height:1557" coordorigin="3718,95" coordsize="168,1557" path="m3718,1652l3886,1652m3718,1340l3886,1340m3718,1029l3886,1029m3718,717l3886,717m3718,406l3886,406m3718,95l3886,95e" filled="false" stroked="true" strokeweight=".598788pt" strokecolor="#d9d9d9">
              <v:path arrowok="t"/>
              <v:stroke dashstyle="solid"/>
            </v:shape>
            <v:rect style="position:absolute;left:3106;top:40;width:612;height:2228" filled="true" fillcolor="#f8b590" stroked="false">
              <v:fill type="solid"/>
            </v:rect>
            <v:shape style="position:absolute;left:4497;top:94;width:168;height:1557" coordorigin="4497,95" coordsize="168,1557" path="m4497,1652l4665,1652m4497,1340l4665,1340m4497,1029l4665,1029m4497,717l4665,717m4497,406l4665,406m4497,95l4665,95e" filled="false" stroked="true" strokeweight=".598788pt" strokecolor="#d9d9d9">
              <v:path arrowok="t"/>
              <v:stroke dashstyle="solid"/>
            </v:shape>
            <v:rect style="position:absolute;left:3885;top:4;width:612;height:2264" filled="true" fillcolor="#f79546" stroked="false">
              <v:fill type="solid"/>
            </v:rect>
            <v:shape style="position:absolute;left:5276;top:94;width:168;height:1557" coordorigin="5276,95" coordsize="168,1557" path="m5276,1652l5444,1652m5276,1340l5444,1340m5276,1029l5444,1029m5276,717l5444,717m5276,406l5444,406m5276,95l5444,95e" filled="false" stroked="true" strokeweight=".598788pt" strokecolor="#d9d9d9">
              <v:path arrowok="t"/>
              <v:stroke dashstyle="solid"/>
            </v:shape>
            <v:rect style="position:absolute;left:4664;top:4;width:612;height:2264" filled="true" fillcolor="#db843c" stroked="false">
              <v:fill type="solid"/>
            </v:rect>
            <v:shape style="position:absolute;left:6055;top:94;width:666;height:1557" coordorigin="6055,95" coordsize="666,1557" path="m6055,1652l6721,1652m6055,1340l6721,1340m6055,1029l6721,1029m6055,717l6721,717m6055,406l6721,406m6055,95l6721,95e" filled="false" stroked="true" strokeweight=".598788pt" strokecolor="#d9d9d9">
              <v:path arrowok="t"/>
              <v:stroke dashstyle="solid"/>
            </v:shape>
            <v:rect style="position:absolute;left:5444;top:-43;width:612;height:2312" filled="true" fillcolor="#b96f31" stroked="false">
              <v:fill type="solid"/>
            </v:rect>
            <v:line style="position:absolute" from="1662,2274" to="6721,2274" stroked="true" strokeweight=".598789pt" strokecolor="#d9d9d9">
              <v:stroke dashstyle="solid"/>
            </v:line>
            <w10:wrap type="none"/>
          </v:group>
        </w:pict>
      </w:r>
      <w:r>
        <w:rPr>
          <w:rFonts w:ascii="Calibri"/>
          <w:color w:val="585858"/>
          <w:w w:val="105"/>
          <w:sz w:val="14"/>
        </w:rPr>
        <w:t>$700</w:t>
      </w:r>
    </w:p>
    <w:p>
      <w:pPr>
        <w:pStyle w:val="BodyText"/>
        <w:spacing w:before="5"/>
        <w:rPr>
          <w:rFonts w:ascii="Calibri"/>
          <w:sz w:val="11"/>
        </w:rPr>
      </w:pPr>
    </w:p>
    <w:p>
      <w:pPr>
        <w:spacing w:before="0"/>
        <w:ind w:left="1117" w:right="0" w:firstLine="0"/>
        <w:jc w:val="left"/>
        <w:rPr>
          <w:rFonts w:ascii="Calibri"/>
          <w:sz w:val="14"/>
        </w:rPr>
      </w:pPr>
      <w:r>
        <w:rPr>
          <w:rFonts w:ascii="Calibri"/>
          <w:color w:val="585858"/>
          <w:w w:val="105"/>
          <w:sz w:val="14"/>
        </w:rPr>
        <w:t>$600</w:t>
      </w:r>
    </w:p>
    <w:p>
      <w:pPr>
        <w:pStyle w:val="BodyText"/>
        <w:spacing w:before="5"/>
        <w:rPr>
          <w:rFonts w:ascii="Calibri"/>
          <w:sz w:val="11"/>
        </w:rPr>
      </w:pPr>
    </w:p>
    <w:p>
      <w:pPr>
        <w:spacing w:before="1"/>
        <w:ind w:left="1117" w:right="0" w:firstLine="0"/>
        <w:jc w:val="left"/>
        <w:rPr>
          <w:rFonts w:ascii="Calibri"/>
          <w:sz w:val="14"/>
        </w:rPr>
      </w:pPr>
      <w:r>
        <w:rPr>
          <w:rFonts w:ascii="Calibri"/>
          <w:color w:val="585858"/>
          <w:w w:val="105"/>
          <w:sz w:val="14"/>
        </w:rPr>
        <w:t>$500</w:t>
      </w:r>
    </w:p>
    <w:p>
      <w:pPr>
        <w:pStyle w:val="BodyText"/>
        <w:spacing w:before="5"/>
        <w:rPr>
          <w:rFonts w:ascii="Calibri"/>
          <w:sz w:val="11"/>
        </w:rPr>
      </w:pPr>
    </w:p>
    <w:p>
      <w:pPr>
        <w:spacing w:before="0"/>
        <w:ind w:left="1117" w:right="0" w:firstLine="0"/>
        <w:jc w:val="left"/>
        <w:rPr>
          <w:rFonts w:ascii="Calibri"/>
          <w:sz w:val="14"/>
        </w:rPr>
      </w:pPr>
      <w:r>
        <w:rPr>
          <w:rFonts w:ascii="Calibri"/>
          <w:color w:val="585858"/>
          <w:w w:val="105"/>
          <w:sz w:val="14"/>
        </w:rPr>
        <w:t>$400</w:t>
      </w:r>
    </w:p>
    <w:p>
      <w:pPr>
        <w:pStyle w:val="BodyText"/>
        <w:spacing w:before="5"/>
        <w:rPr>
          <w:rFonts w:ascii="Calibri"/>
          <w:sz w:val="11"/>
        </w:rPr>
      </w:pPr>
    </w:p>
    <w:p>
      <w:pPr>
        <w:spacing w:before="0"/>
        <w:ind w:left="1117" w:right="0" w:firstLine="0"/>
        <w:jc w:val="left"/>
        <w:rPr>
          <w:rFonts w:ascii="Calibri"/>
          <w:sz w:val="14"/>
        </w:rPr>
      </w:pPr>
      <w:r>
        <w:rPr>
          <w:rFonts w:ascii="Calibri"/>
          <w:color w:val="585858"/>
          <w:w w:val="105"/>
          <w:sz w:val="14"/>
        </w:rPr>
        <w:t>$300</w:t>
      </w:r>
    </w:p>
    <w:p>
      <w:pPr>
        <w:pStyle w:val="BodyText"/>
        <w:spacing w:before="5"/>
        <w:rPr>
          <w:rFonts w:ascii="Calibri"/>
          <w:sz w:val="11"/>
        </w:rPr>
      </w:pPr>
    </w:p>
    <w:p>
      <w:pPr>
        <w:spacing w:before="0"/>
        <w:ind w:left="1117" w:right="0" w:firstLine="0"/>
        <w:jc w:val="left"/>
        <w:rPr>
          <w:rFonts w:ascii="Calibri"/>
          <w:sz w:val="14"/>
        </w:rPr>
      </w:pPr>
      <w:r>
        <w:rPr>
          <w:rFonts w:ascii="Calibri"/>
          <w:color w:val="585858"/>
          <w:w w:val="105"/>
          <w:sz w:val="14"/>
        </w:rPr>
        <w:t>$200</w:t>
      </w:r>
    </w:p>
    <w:p>
      <w:pPr>
        <w:pStyle w:val="BodyText"/>
        <w:spacing w:before="5"/>
        <w:rPr>
          <w:rFonts w:ascii="Calibri"/>
          <w:sz w:val="11"/>
        </w:rPr>
      </w:pPr>
    </w:p>
    <w:p>
      <w:pPr>
        <w:spacing w:before="1"/>
        <w:ind w:left="1117" w:right="0" w:firstLine="0"/>
        <w:jc w:val="left"/>
        <w:rPr>
          <w:rFonts w:ascii="Calibri"/>
          <w:sz w:val="14"/>
        </w:rPr>
      </w:pPr>
      <w:r>
        <w:rPr>
          <w:rFonts w:ascii="Calibri"/>
          <w:color w:val="585858"/>
          <w:w w:val="105"/>
          <w:sz w:val="14"/>
        </w:rPr>
        <w:t>$100</w:t>
      </w:r>
    </w:p>
    <w:p>
      <w:pPr>
        <w:pStyle w:val="BodyText"/>
        <w:spacing w:before="5"/>
        <w:rPr>
          <w:rFonts w:ascii="Calibri"/>
          <w:sz w:val="11"/>
        </w:rPr>
      </w:pPr>
    </w:p>
    <w:p>
      <w:pPr>
        <w:spacing w:before="0"/>
        <w:ind w:left="1263" w:right="0" w:firstLine="0"/>
        <w:jc w:val="left"/>
        <w:rPr>
          <w:rFonts w:ascii="Calibri"/>
          <w:sz w:val="14"/>
        </w:rPr>
      </w:pPr>
      <w:r>
        <w:rPr>
          <w:rFonts w:ascii="Calibri"/>
          <w:color w:val="585858"/>
          <w:w w:val="105"/>
          <w:sz w:val="14"/>
        </w:rPr>
        <w:t>$0</w:t>
      </w:r>
    </w:p>
    <w:p>
      <w:pPr>
        <w:spacing w:before="16"/>
        <w:ind w:left="3522" w:right="0" w:firstLine="0"/>
        <w:jc w:val="left"/>
        <w:rPr>
          <w:rFonts w:ascii="Calibri"/>
          <w:sz w:val="14"/>
        </w:rPr>
      </w:pPr>
      <w:r>
        <w:rPr>
          <w:rFonts w:ascii="Calibri"/>
          <w:color w:val="585858"/>
          <w:w w:val="105"/>
          <w:sz w:val="14"/>
        </w:rPr>
        <w:t>R - Rent Assistance</w:t>
      </w:r>
    </w:p>
    <w:p>
      <w:pPr>
        <w:pStyle w:val="BodyText"/>
        <w:spacing w:before="1"/>
        <w:rPr>
          <w:rFonts w:ascii="Calibri"/>
          <w:sz w:val="12"/>
        </w:rPr>
      </w:pPr>
    </w:p>
    <w:p>
      <w:pPr>
        <w:tabs>
          <w:tab w:pos="3312" w:val="left" w:leader="none"/>
          <w:tab w:pos="3836" w:val="left" w:leader="none"/>
          <w:tab w:pos="4361" w:val="left" w:leader="none"/>
          <w:tab w:pos="4885" w:val="left" w:leader="none"/>
        </w:tabs>
        <w:spacing w:before="0"/>
        <w:ind w:left="2788" w:right="0" w:firstLine="0"/>
        <w:jc w:val="left"/>
        <w:rPr>
          <w:rFonts w:ascii="Calibri"/>
          <w:sz w:val="14"/>
        </w:rPr>
      </w:pPr>
      <w:r>
        <w:rPr/>
        <w:pict>
          <v:rect style="position:absolute;margin-left:139.753571pt;margin-top:2.864517pt;width:4.19608pt;height:4.191635pt;mso-position-horizontal-relative:page;mso-position-vertical-relative:paragraph;z-index:252002304" filled="true" fillcolor="#facfb9" stroked="false">
            <v:fill type="solid"/>
            <w10:wrap type="none"/>
          </v:rect>
        </w:pict>
      </w:r>
      <w:r>
        <w:rPr/>
        <w:pict>
          <v:rect style="position:absolute;margin-left:166.123077pt;margin-top:2.864517pt;width:3.59664pt;height:4.191635pt;mso-position-horizontal-relative:page;mso-position-vertical-relative:paragraph;z-index:-287899648" filled="true" fillcolor="#f8b590" stroked="false">
            <v:fill type="solid"/>
            <w10:wrap type="none"/>
          </v:rect>
        </w:pict>
      </w:r>
      <w:r>
        <w:rPr/>
        <w:pict>
          <v:rect style="position:absolute;margin-left:192.492584pt;margin-top:2.864517pt;width:3.59664pt;height:4.191635pt;mso-position-horizontal-relative:page;mso-position-vertical-relative:paragraph;z-index:-287898624" filled="true" fillcolor="#f79546" stroked="false">
            <v:fill type="solid"/>
            <w10:wrap type="none"/>
          </v:rect>
        </w:pict>
      </w:r>
      <w:r>
        <w:rPr/>
        <w:pict>
          <v:rect style="position:absolute;margin-left:218.262772pt;margin-top:2.864517pt;width:4.19608pt;height:4.191635pt;mso-position-horizontal-relative:page;mso-position-vertical-relative:paragraph;z-index:-287897600" filled="true" fillcolor="#db843c" stroked="false">
            <v:fill type="solid"/>
            <w10:wrap type="none"/>
          </v:rect>
        </w:pict>
      </w:r>
      <w:r>
        <w:rPr/>
        <w:pict>
          <v:rect style="position:absolute;margin-left:244.632278pt;margin-top:2.864517pt;width:4.19608pt;height:4.191635pt;mso-position-horizontal-relative:page;mso-position-vertical-relative:paragraph;z-index:-287896576" filled="true" fillcolor="#b96f31" stroked="false">
            <v:fill type="solid"/>
            <w10:wrap type="none"/>
          </v:rect>
        </w:pict>
      </w:r>
      <w:r>
        <w:rPr>
          <w:rFonts w:ascii="Calibri"/>
          <w:color w:val="585858"/>
          <w:w w:val="105"/>
          <w:sz w:val="14"/>
        </w:rPr>
        <w:t>2014</w:t>
        <w:tab/>
        <w:t>2015</w:t>
        <w:tab/>
        <w:t>2016</w:t>
        <w:tab/>
        <w:t>2017</w:t>
        <w:tab/>
        <w:t>2018</w:t>
      </w:r>
    </w:p>
    <w:p>
      <w:pPr>
        <w:spacing w:after="0"/>
        <w:jc w:val="left"/>
        <w:rPr>
          <w:rFonts w:ascii="Calibri"/>
          <w:sz w:val="14"/>
        </w:rPr>
        <w:sectPr>
          <w:type w:val="continuous"/>
          <w:pgSz w:w="11910" w:h="16850"/>
          <w:pgMar w:top="1600" w:bottom="280" w:left="120" w:right="0"/>
        </w:sect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spacing w:before="5"/>
        <w:rPr>
          <w:rFonts w:ascii="Calibri"/>
          <w:sz w:val="16"/>
        </w:rPr>
      </w:pPr>
    </w:p>
    <w:p>
      <w:pPr>
        <w:pStyle w:val="ListParagraph"/>
        <w:numPr>
          <w:ilvl w:val="1"/>
          <w:numId w:val="22"/>
        </w:numPr>
        <w:tabs>
          <w:tab w:pos="1752" w:val="left" w:leader="none"/>
          <w:tab w:pos="1753" w:val="left" w:leader="none"/>
        </w:tabs>
        <w:spacing w:line="240" w:lineRule="auto" w:before="92" w:after="0"/>
        <w:ind w:left="1752" w:right="0" w:hanging="853"/>
        <w:jc w:val="left"/>
        <w:rPr>
          <w:sz w:val="28"/>
        </w:rPr>
      </w:pPr>
      <w:bookmarkStart w:name="4.5 Changes in model population" w:id="124"/>
      <w:bookmarkEnd w:id="124"/>
      <w:r>
        <w:rPr/>
      </w:r>
      <w:bookmarkStart w:name="_bookmark31" w:id="125"/>
      <w:bookmarkEnd w:id="125"/>
      <w:r>
        <w:rPr/>
      </w:r>
      <w:bookmarkStart w:name="_bookmark31" w:id="126"/>
      <w:bookmarkEnd w:id="126"/>
      <w:r>
        <w:rPr>
          <w:color w:val="DF2F28"/>
          <w:sz w:val="28"/>
        </w:rPr>
        <w:t>C</w:t>
      </w:r>
      <w:r>
        <w:rPr>
          <w:color w:val="DF2F28"/>
          <w:sz w:val="28"/>
        </w:rPr>
        <w:t>hanges in model</w:t>
      </w:r>
      <w:r>
        <w:rPr>
          <w:color w:val="DF2F28"/>
          <w:spacing w:val="-1"/>
          <w:sz w:val="28"/>
        </w:rPr>
        <w:t> </w:t>
      </w:r>
      <w:r>
        <w:rPr>
          <w:color w:val="DF2F28"/>
          <w:sz w:val="28"/>
        </w:rPr>
        <w:t>population</w:t>
      </w:r>
    </w:p>
    <w:p>
      <w:pPr>
        <w:pStyle w:val="BodyText"/>
        <w:spacing w:before="123"/>
        <w:ind w:left="900" w:right="1086"/>
      </w:pPr>
      <w:r>
        <w:rPr>
          <w:color w:val="404040"/>
        </w:rPr>
        <w:t>In this section we review how the population of welfare recipients has changed over the past year in light of the experience discussed above. The table below provides a summary of the numbers of people in each class at 30 June 2017 and the subsequent change over the year to 30 June 2018.</w:t>
      </w:r>
    </w:p>
    <w:p>
      <w:pPr>
        <w:pStyle w:val="Heading9"/>
        <w:spacing w:before="176" w:after="42"/>
        <w:ind w:left="899"/>
      </w:pPr>
      <w:r>
        <w:rPr/>
        <w:pict>
          <v:group style="position:absolute;margin-left:56.880001pt;margin-top:22.613903pt;width:470.55pt;height:41.8pt;mso-position-horizontal-relative:page;mso-position-vertical-relative:paragraph;z-index:-287895552" coordorigin="1138,452" coordsize="9411,836">
            <v:shape style="position:absolute;left:1140;top:461;width:9408;height:816" coordorigin="1140,462" coordsize="9408,816" path="m4582,462l4483,462,1241,462,1140,462,1140,1278,4582,1278,4582,462m6965,462l6866,462,5892,462,5784,462,5676,462,4699,462,4603,462,4603,1278,5784,1278,5892,1278,6866,1278,6965,1278,6965,462m9346,462l9247,462,8273,462,8165,462,8057,462,7082,462,6984,462,6984,1278,8165,1278,8273,1278,9247,1278,9346,1278,9346,462m10548,462l10440,462,9463,462,9367,462,9367,1278,10548,1278,10548,462e" filled="true" fillcolor="#df2f1e" stroked="false">
              <v:path arrowok="t"/>
              <v:fill type="solid"/>
            </v:shape>
            <v:shape style="position:absolute;left:1137;top:457;width:4644;height:2" coordorigin="1138,457" coordsize="4644,0" path="m1138,457l4582,457m4591,457l5782,457e" filled="false" stroked="true" strokeweight=".48pt" strokecolor="#df2f1e">
              <v:path arrowok="t"/>
              <v:stroke dashstyle="solid"/>
            </v:shape>
            <v:rect style="position:absolute;left:5781;top:452;width:10;height:10" filled="true" fillcolor="#df2f1e" stroked="false">
              <v:fill type="solid"/>
            </v:rect>
            <v:shape style="position:absolute;left:5791;top:457;width:2374;height:2" coordorigin="5791,457" coordsize="2374,0" path="m5791,457l6962,457m6972,457l8165,457e" filled="false" stroked="true" strokeweight=".48pt" strokecolor="#df2f1e">
              <v:path arrowok="t"/>
              <v:stroke dashstyle="solid"/>
            </v:shape>
            <v:rect style="position:absolute;left:8164;top:452;width:10;height:10" filled="true" fillcolor="#df2f1e" stroked="false">
              <v:fill type="solid"/>
            </v:rect>
            <v:shape style="position:absolute;left:8174;top:457;width:2372;height:2" coordorigin="8174,457" coordsize="2372,0" path="m8174,457l9346,457m9355,457l10546,457e" filled="false" stroked="true" strokeweight=".48pt" strokecolor="#df2f1e">
              <v:path arrowok="t"/>
              <v:stroke dashstyle="solid"/>
            </v:shape>
            <v:shape style="position:absolute;left:1137;top:1282;width:4644;height:2" coordorigin="1138,1283" coordsize="4644,0" path="m1138,1283l4582,1283m4601,1283l5782,1283e" filled="false" stroked="true" strokeweight=".481pt" strokecolor="#df2f1e">
              <v:path arrowok="t"/>
              <v:stroke dashstyle="solid"/>
            </v:shape>
            <v:rect style="position:absolute;left:5781;top:1277;width:10;height:10" filled="true" fillcolor="#df2f1e" stroked="false">
              <v:fill type="solid"/>
            </v:rect>
            <v:shape style="position:absolute;left:5791;top:1282;width:2374;height:2" coordorigin="5791,1283" coordsize="2374,0" path="m5791,1283l6962,1283m6982,1283l8165,1283e" filled="false" stroked="true" strokeweight=".481pt" strokecolor="#df2f1e">
              <v:path arrowok="t"/>
              <v:stroke dashstyle="solid"/>
            </v:shape>
            <v:rect style="position:absolute;left:8164;top:1277;width:10;height:10" filled="true" fillcolor="#df2f1e" stroked="false">
              <v:fill type="solid"/>
            </v:rect>
            <v:shape style="position:absolute;left:8174;top:1282;width:2372;height:2" coordorigin="8174,1283" coordsize="2372,0" path="m8174,1283l9346,1283m9365,1283l10546,1283e" filled="false" stroked="true" strokeweight=".481pt" strokecolor="#df2f1e">
              <v:path arrowok="t"/>
              <v:stroke dashstyle="solid"/>
            </v:shape>
            <w10:wrap type="none"/>
          </v:group>
        </w:pict>
      </w:r>
      <w:r>
        <w:rPr>
          <w:color w:val="DF2F1E"/>
        </w:rPr>
        <w:t>Table 8: Summary of changes in model population</w:t>
      </w:r>
    </w:p>
    <w:tbl>
      <w:tblPr>
        <w:tblW w:w="0" w:type="auto"/>
        <w:jc w:val="left"/>
        <w:tblInd w:w="1018" w:type="dxa"/>
        <w:tblBorders>
          <w:top w:val="single" w:sz="4" w:space="0" w:color="DF2F1E"/>
          <w:left w:val="single" w:sz="4" w:space="0" w:color="DF2F1E"/>
          <w:bottom w:val="single" w:sz="4" w:space="0" w:color="DF2F1E"/>
          <w:right w:val="single" w:sz="4" w:space="0" w:color="DF2F1E"/>
          <w:insideH w:val="single" w:sz="4" w:space="0" w:color="DF2F1E"/>
          <w:insideV w:val="single" w:sz="4" w:space="0" w:color="DF2F1E"/>
        </w:tblBorders>
        <w:tblLayout w:type="fixed"/>
        <w:tblCellMar>
          <w:top w:w="0" w:type="dxa"/>
          <w:left w:w="0" w:type="dxa"/>
          <w:bottom w:w="0" w:type="dxa"/>
          <w:right w:w="0" w:type="dxa"/>
        </w:tblCellMar>
        <w:tblLook w:val="01E0"/>
      </w:tblPr>
      <w:tblGrid>
        <w:gridCol w:w="3458"/>
        <w:gridCol w:w="1194"/>
        <w:gridCol w:w="1186"/>
        <w:gridCol w:w="1183"/>
        <w:gridCol w:w="1199"/>
        <w:gridCol w:w="1192"/>
      </w:tblGrid>
      <w:tr>
        <w:trPr>
          <w:trHeight w:val="1098" w:hRule="atLeast"/>
        </w:trPr>
        <w:tc>
          <w:tcPr>
            <w:tcW w:w="3458" w:type="dxa"/>
            <w:tcBorders>
              <w:top w:val="nil"/>
              <w:right w:val="single" w:sz="8" w:space="0" w:color="DF2F1E"/>
            </w:tcBorders>
          </w:tcPr>
          <w:p>
            <w:pPr>
              <w:pStyle w:val="TableParagraph"/>
              <w:spacing w:before="46"/>
              <w:ind w:left="107"/>
              <w:rPr>
                <w:sz w:val="16"/>
              </w:rPr>
            </w:pPr>
            <w:r>
              <w:rPr>
                <w:color w:val="FFFFFF"/>
                <w:sz w:val="16"/>
              </w:rPr>
              <w:t>Class</w:t>
            </w:r>
          </w:p>
          <w:p>
            <w:pPr>
              <w:pStyle w:val="TableParagraph"/>
              <w:spacing w:before="0"/>
              <w:rPr>
                <w:b/>
                <w:sz w:val="18"/>
              </w:rPr>
            </w:pPr>
          </w:p>
          <w:p>
            <w:pPr>
              <w:pStyle w:val="TableParagraph"/>
              <w:spacing w:before="0"/>
              <w:rPr>
                <w:b/>
                <w:sz w:val="18"/>
              </w:rPr>
            </w:pPr>
          </w:p>
          <w:p>
            <w:pPr>
              <w:pStyle w:val="TableParagraph"/>
              <w:spacing w:before="7"/>
              <w:rPr>
                <w:b/>
                <w:sz w:val="19"/>
              </w:rPr>
            </w:pPr>
          </w:p>
          <w:p>
            <w:pPr>
              <w:pStyle w:val="TableParagraph"/>
              <w:spacing w:before="0"/>
              <w:ind w:left="107"/>
              <w:rPr>
                <w:b/>
                <w:sz w:val="16"/>
              </w:rPr>
            </w:pPr>
            <w:r>
              <w:rPr>
                <w:b/>
                <w:color w:val="404040"/>
                <w:sz w:val="16"/>
              </w:rPr>
              <w:t>1 – Studying payment recipients</w:t>
            </w:r>
          </w:p>
        </w:tc>
        <w:tc>
          <w:tcPr>
            <w:tcW w:w="1194" w:type="dxa"/>
            <w:tcBorders>
              <w:top w:val="nil"/>
              <w:left w:val="single" w:sz="8" w:space="0" w:color="DF2F1E"/>
              <w:right w:val="nil"/>
            </w:tcBorders>
          </w:tcPr>
          <w:p>
            <w:pPr>
              <w:pStyle w:val="TableParagraph"/>
              <w:spacing w:before="46"/>
              <w:ind w:left="211" w:right="212"/>
              <w:jc w:val="center"/>
              <w:rPr>
                <w:sz w:val="16"/>
              </w:rPr>
            </w:pPr>
            <w:r>
              <w:rPr>
                <w:color w:val="FFFFFF"/>
                <w:sz w:val="16"/>
              </w:rPr>
              <w:t>June 2017 Population (000s)</w:t>
            </w:r>
          </w:p>
          <w:p>
            <w:pPr>
              <w:pStyle w:val="TableParagraph"/>
              <w:spacing w:before="9"/>
              <w:rPr>
                <w:b/>
                <w:sz w:val="23"/>
              </w:rPr>
            </w:pPr>
          </w:p>
          <w:p>
            <w:pPr>
              <w:pStyle w:val="TableParagraph"/>
              <w:spacing w:before="1"/>
              <w:ind w:left="211" w:right="140"/>
              <w:jc w:val="center"/>
              <w:rPr>
                <w:sz w:val="16"/>
              </w:rPr>
            </w:pPr>
            <w:r>
              <w:rPr>
                <w:color w:val="404040"/>
                <w:sz w:val="16"/>
              </w:rPr>
              <w:t>371</w:t>
            </w:r>
          </w:p>
        </w:tc>
        <w:tc>
          <w:tcPr>
            <w:tcW w:w="1186" w:type="dxa"/>
            <w:tcBorders>
              <w:top w:val="nil"/>
              <w:left w:val="nil"/>
              <w:right w:val="single" w:sz="8" w:space="0" w:color="DF2F1E"/>
            </w:tcBorders>
          </w:tcPr>
          <w:p>
            <w:pPr>
              <w:pStyle w:val="TableParagraph"/>
              <w:spacing w:before="46"/>
              <w:ind w:left="224" w:right="200" w:firstLine="40"/>
              <w:jc w:val="both"/>
              <w:rPr>
                <w:sz w:val="16"/>
              </w:rPr>
            </w:pPr>
            <w:r>
              <w:rPr>
                <w:color w:val="FFFFFF"/>
                <w:sz w:val="16"/>
              </w:rPr>
              <w:t>% of total June 2017 Australian population</w:t>
            </w:r>
          </w:p>
          <w:p>
            <w:pPr>
              <w:pStyle w:val="TableParagraph"/>
              <w:spacing w:before="90"/>
              <w:ind w:left="423"/>
              <w:rPr>
                <w:sz w:val="16"/>
              </w:rPr>
            </w:pPr>
            <w:r>
              <w:rPr>
                <w:color w:val="404040"/>
                <w:sz w:val="16"/>
              </w:rPr>
              <w:t>1.5%</w:t>
            </w:r>
          </w:p>
        </w:tc>
        <w:tc>
          <w:tcPr>
            <w:tcW w:w="1183" w:type="dxa"/>
            <w:tcBorders>
              <w:top w:val="nil"/>
              <w:left w:val="single" w:sz="8" w:space="0" w:color="DF2F1E"/>
              <w:right w:val="nil"/>
            </w:tcBorders>
          </w:tcPr>
          <w:p>
            <w:pPr>
              <w:pStyle w:val="TableParagraph"/>
              <w:spacing w:before="46"/>
              <w:ind w:left="214" w:right="198"/>
              <w:jc w:val="center"/>
              <w:rPr>
                <w:sz w:val="16"/>
              </w:rPr>
            </w:pPr>
            <w:r>
              <w:rPr>
                <w:color w:val="FFFFFF"/>
                <w:sz w:val="16"/>
              </w:rPr>
              <w:t>June 2018 </w:t>
            </w:r>
            <w:r>
              <w:rPr>
                <w:color w:val="FFFFFF"/>
                <w:spacing w:val="-1"/>
                <w:sz w:val="16"/>
              </w:rPr>
              <w:t>Population </w:t>
            </w:r>
            <w:r>
              <w:rPr>
                <w:color w:val="FFFFFF"/>
                <w:sz w:val="16"/>
              </w:rPr>
              <w:t>(000s)</w:t>
            </w:r>
          </w:p>
          <w:p>
            <w:pPr>
              <w:pStyle w:val="TableParagraph"/>
              <w:spacing w:before="9"/>
              <w:rPr>
                <w:b/>
                <w:sz w:val="23"/>
              </w:rPr>
            </w:pPr>
          </w:p>
          <w:p>
            <w:pPr>
              <w:pStyle w:val="TableParagraph"/>
              <w:spacing w:before="1"/>
              <w:ind w:left="516"/>
              <w:rPr>
                <w:sz w:val="16"/>
              </w:rPr>
            </w:pPr>
            <w:r>
              <w:rPr>
                <w:color w:val="404040"/>
                <w:sz w:val="16"/>
              </w:rPr>
              <w:t>359</w:t>
            </w:r>
          </w:p>
        </w:tc>
        <w:tc>
          <w:tcPr>
            <w:tcW w:w="1199" w:type="dxa"/>
            <w:tcBorders>
              <w:top w:val="nil"/>
              <w:left w:val="nil"/>
              <w:right w:val="single" w:sz="8" w:space="0" w:color="DF2F1E"/>
            </w:tcBorders>
          </w:tcPr>
          <w:p>
            <w:pPr>
              <w:pStyle w:val="TableParagraph"/>
              <w:spacing w:before="46"/>
              <w:ind w:left="236" w:right="201" w:firstLine="40"/>
              <w:jc w:val="both"/>
              <w:rPr>
                <w:sz w:val="16"/>
              </w:rPr>
            </w:pPr>
            <w:r>
              <w:rPr>
                <w:color w:val="FFFFFF"/>
                <w:sz w:val="16"/>
              </w:rPr>
              <w:t>% of total June 2018 Australian population</w:t>
            </w:r>
          </w:p>
          <w:p>
            <w:pPr>
              <w:pStyle w:val="TableParagraph"/>
              <w:spacing w:before="90"/>
              <w:ind w:left="390"/>
              <w:rPr>
                <w:sz w:val="16"/>
              </w:rPr>
            </w:pPr>
            <w:r>
              <w:rPr>
                <w:color w:val="404040"/>
                <w:sz w:val="16"/>
              </w:rPr>
              <w:t>1.4%</w:t>
            </w:r>
          </w:p>
        </w:tc>
        <w:tc>
          <w:tcPr>
            <w:tcW w:w="1192" w:type="dxa"/>
            <w:tcBorders>
              <w:top w:val="nil"/>
              <w:left w:val="single" w:sz="8" w:space="0" w:color="DF2F1E"/>
              <w:right w:val="nil"/>
            </w:tcBorders>
          </w:tcPr>
          <w:p>
            <w:pPr>
              <w:pStyle w:val="TableParagraph"/>
              <w:spacing w:before="46"/>
              <w:ind w:left="227" w:right="219"/>
              <w:jc w:val="center"/>
              <w:rPr>
                <w:sz w:val="16"/>
              </w:rPr>
            </w:pPr>
            <w:r>
              <w:rPr>
                <w:color w:val="FFFFFF"/>
                <w:sz w:val="16"/>
              </w:rPr>
              <w:t>Difference (’000s)</w:t>
            </w:r>
          </w:p>
          <w:p>
            <w:pPr>
              <w:pStyle w:val="TableParagraph"/>
              <w:spacing w:before="0"/>
              <w:rPr>
                <w:b/>
                <w:sz w:val="18"/>
              </w:rPr>
            </w:pPr>
          </w:p>
          <w:p>
            <w:pPr>
              <w:pStyle w:val="TableParagraph"/>
              <w:spacing w:before="9"/>
              <w:rPr>
                <w:b/>
                <w:sz w:val="21"/>
              </w:rPr>
            </w:pPr>
          </w:p>
          <w:p>
            <w:pPr>
              <w:pStyle w:val="TableParagraph"/>
              <w:spacing w:before="1"/>
              <w:ind w:left="227" w:right="167"/>
              <w:jc w:val="center"/>
              <w:rPr>
                <w:sz w:val="16"/>
              </w:rPr>
            </w:pPr>
            <w:r>
              <w:rPr>
                <w:color w:val="404040"/>
                <w:sz w:val="16"/>
              </w:rPr>
              <w:t>-12</w:t>
            </w:r>
          </w:p>
        </w:tc>
      </w:tr>
      <w:tr>
        <w:trPr>
          <w:trHeight w:val="263" w:hRule="atLeast"/>
        </w:trPr>
        <w:tc>
          <w:tcPr>
            <w:tcW w:w="3458" w:type="dxa"/>
            <w:tcBorders>
              <w:right w:val="single" w:sz="8" w:space="0" w:color="DF2F1E"/>
            </w:tcBorders>
          </w:tcPr>
          <w:p>
            <w:pPr>
              <w:pStyle w:val="TableParagraph"/>
              <w:spacing w:before="34"/>
              <w:ind w:left="107"/>
              <w:rPr>
                <w:b/>
                <w:sz w:val="16"/>
              </w:rPr>
            </w:pPr>
            <w:r>
              <w:rPr>
                <w:b/>
                <w:color w:val="404040"/>
                <w:sz w:val="16"/>
              </w:rPr>
              <w:t>2 – Working Age payment recipients</w:t>
            </w:r>
          </w:p>
        </w:tc>
        <w:tc>
          <w:tcPr>
            <w:tcW w:w="1194" w:type="dxa"/>
            <w:tcBorders>
              <w:left w:val="single" w:sz="8" w:space="0" w:color="DF2F1E"/>
              <w:right w:val="nil"/>
            </w:tcBorders>
          </w:tcPr>
          <w:p>
            <w:pPr>
              <w:pStyle w:val="TableParagraph"/>
              <w:ind w:right="421"/>
              <w:jc w:val="right"/>
              <w:rPr>
                <w:sz w:val="16"/>
              </w:rPr>
            </w:pPr>
            <w:r>
              <w:rPr>
                <w:color w:val="404040"/>
                <w:sz w:val="16"/>
              </w:rPr>
              <w:t>1,301</w:t>
            </w:r>
          </w:p>
        </w:tc>
        <w:tc>
          <w:tcPr>
            <w:tcW w:w="1186" w:type="dxa"/>
            <w:tcBorders>
              <w:left w:val="nil"/>
              <w:right w:val="single" w:sz="8" w:space="0" w:color="DF2F1E"/>
            </w:tcBorders>
          </w:tcPr>
          <w:p>
            <w:pPr>
              <w:pStyle w:val="TableParagraph"/>
              <w:ind w:right="384"/>
              <w:jc w:val="right"/>
              <w:rPr>
                <w:sz w:val="16"/>
              </w:rPr>
            </w:pPr>
            <w:r>
              <w:rPr>
                <w:color w:val="404040"/>
                <w:sz w:val="16"/>
              </w:rPr>
              <w:t>5.3%</w:t>
            </w:r>
          </w:p>
        </w:tc>
        <w:tc>
          <w:tcPr>
            <w:tcW w:w="1183" w:type="dxa"/>
            <w:tcBorders>
              <w:left w:val="single" w:sz="8" w:space="0" w:color="DF2F1E"/>
              <w:right w:val="nil"/>
            </w:tcBorders>
          </w:tcPr>
          <w:p>
            <w:pPr>
              <w:pStyle w:val="TableParagraph"/>
              <w:ind w:right="388"/>
              <w:jc w:val="right"/>
              <w:rPr>
                <w:sz w:val="16"/>
              </w:rPr>
            </w:pPr>
            <w:r>
              <w:rPr>
                <w:color w:val="404040"/>
                <w:sz w:val="16"/>
              </w:rPr>
              <w:t>1,237</w:t>
            </w:r>
          </w:p>
        </w:tc>
        <w:tc>
          <w:tcPr>
            <w:tcW w:w="1199" w:type="dxa"/>
            <w:tcBorders>
              <w:left w:val="nil"/>
              <w:right w:val="single" w:sz="8" w:space="0" w:color="DF2F1E"/>
            </w:tcBorders>
          </w:tcPr>
          <w:p>
            <w:pPr>
              <w:pStyle w:val="TableParagraph"/>
              <w:ind w:right="431"/>
              <w:jc w:val="right"/>
              <w:rPr>
                <w:sz w:val="16"/>
              </w:rPr>
            </w:pPr>
            <w:r>
              <w:rPr>
                <w:color w:val="404040"/>
                <w:sz w:val="16"/>
              </w:rPr>
              <w:t>4.9%</w:t>
            </w:r>
          </w:p>
        </w:tc>
        <w:tc>
          <w:tcPr>
            <w:tcW w:w="1192" w:type="dxa"/>
            <w:tcBorders>
              <w:left w:val="single" w:sz="8" w:space="0" w:color="DF2F1E"/>
              <w:right w:val="nil"/>
            </w:tcBorders>
          </w:tcPr>
          <w:p>
            <w:pPr>
              <w:pStyle w:val="TableParagraph"/>
              <w:ind w:right="443"/>
              <w:jc w:val="right"/>
              <w:rPr>
                <w:sz w:val="16"/>
              </w:rPr>
            </w:pPr>
            <w:r>
              <w:rPr>
                <w:color w:val="404040"/>
                <w:sz w:val="16"/>
              </w:rPr>
              <w:t>-64</w:t>
            </w:r>
          </w:p>
        </w:tc>
      </w:tr>
      <w:tr>
        <w:trPr>
          <w:trHeight w:val="263" w:hRule="atLeast"/>
        </w:trPr>
        <w:tc>
          <w:tcPr>
            <w:tcW w:w="3458" w:type="dxa"/>
            <w:tcBorders>
              <w:right w:val="single" w:sz="8" w:space="0" w:color="DF2F1E"/>
            </w:tcBorders>
          </w:tcPr>
          <w:p>
            <w:pPr>
              <w:pStyle w:val="TableParagraph"/>
              <w:spacing w:before="34"/>
              <w:ind w:left="107"/>
              <w:rPr>
                <w:b/>
                <w:sz w:val="16"/>
              </w:rPr>
            </w:pPr>
            <w:r>
              <w:rPr>
                <w:b/>
                <w:color w:val="404040"/>
                <w:sz w:val="16"/>
              </w:rPr>
              <w:t>3 – Parenting payment recipients</w:t>
            </w:r>
          </w:p>
        </w:tc>
        <w:tc>
          <w:tcPr>
            <w:tcW w:w="1194" w:type="dxa"/>
            <w:tcBorders>
              <w:left w:val="single" w:sz="8" w:space="0" w:color="DF2F1E"/>
              <w:right w:val="nil"/>
            </w:tcBorders>
          </w:tcPr>
          <w:p>
            <w:pPr>
              <w:pStyle w:val="TableParagraph"/>
              <w:ind w:right="421"/>
              <w:jc w:val="right"/>
              <w:rPr>
                <w:sz w:val="16"/>
              </w:rPr>
            </w:pPr>
            <w:r>
              <w:rPr>
                <w:color w:val="404040"/>
                <w:sz w:val="16"/>
              </w:rPr>
              <w:t>433</w:t>
            </w:r>
          </w:p>
        </w:tc>
        <w:tc>
          <w:tcPr>
            <w:tcW w:w="1186" w:type="dxa"/>
            <w:tcBorders>
              <w:left w:val="nil"/>
              <w:right w:val="single" w:sz="8" w:space="0" w:color="DF2F1E"/>
            </w:tcBorders>
          </w:tcPr>
          <w:p>
            <w:pPr>
              <w:pStyle w:val="TableParagraph"/>
              <w:ind w:right="384"/>
              <w:jc w:val="right"/>
              <w:rPr>
                <w:sz w:val="16"/>
              </w:rPr>
            </w:pPr>
            <w:r>
              <w:rPr>
                <w:color w:val="404040"/>
                <w:sz w:val="16"/>
              </w:rPr>
              <w:t>1.8%</w:t>
            </w:r>
          </w:p>
        </w:tc>
        <w:tc>
          <w:tcPr>
            <w:tcW w:w="1183" w:type="dxa"/>
            <w:tcBorders>
              <w:left w:val="single" w:sz="8" w:space="0" w:color="DF2F1E"/>
              <w:right w:val="nil"/>
            </w:tcBorders>
          </w:tcPr>
          <w:p>
            <w:pPr>
              <w:pStyle w:val="TableParagraph"/>
              <w:ind w:right="387"/>
              <w:jc w:val="right"/>
              <w:rPr>
                <w:sz w:val="16"/>
              </w:rPr>
            </w:pPr>
            <w:r>
              <w:rPr>
                <w:color w:val="404040"/>
                <w:sz w:val="16"/>
              </w:rPr>
              <w:t>381</w:t>
            </w:r>
          </w:p>
        </w:tc>
        <w:tc>
          <w:tcPr>
            <w:tcW w:w="1199" w:type="dxa"/>
            <w:tcBorders>
              <w:left w:val="nil"/>
              <w:right w:val="single" w:sz="8" w:space="0" w:color="DF2F1E"/>
            </w:tcBorders>
          </w:tcPr>
          <w:p>
            <w:pPr>
              <w:pStyle w:val="TableParagraph"/>
              <w:ind w:right="431"/>
              <w:jc w:val="right"/>
              <w:rPr>
                <w:sz w:val="16"/>
              </w:rPr>
            </w:pPr>
            <w:r>
              <w:rPr>
                <w:color w:val="404040"/>
                <w:sz w:val="16"/>
              </w:rPr>
              <w:t>1.5%</w:t>
            </w:r>
          </w:p>
        </w:tc>
        <w:tc>
          <w:tcPr>
            <w:tcW w:w="1192" w:type="dxa"/>
            <w:tcBorders>
              <w:left w:val="single" w:sz="8" w:space="0" w:color="DF2F1E"/>
              <w:right w:val="nil"/>
            </w:tcBorders>
          </w:tcPr>
          <w:p>
            <w:pPr>
              <w:pStyle w:val="TableParagraph"/>
              <w:ind w:right="443"/>
              <w:jc w:val="right"/>
              <w:rPr>
                <w:sz w:val="16"/>
              </w:rPr>
            </w:pPr>
            <w:r>
              <w:rPr>
                <w:color w:val="404040"/>
                <w:sz w:val="16"/>
              </w:rPr>
              <w:t>-52</w:t>
            </w:r>
          </w:p>
        </w:tc>
      </w:tr>
      <w:tr>
        <w:trPr>
          <w:trHeight w:val="263" w:hRule="atLeast"/>
        </w:trPr>
        <w:tc>
          <w:tcPr>
            <w:tcW w:w="3458" w:type="dxa"/>
            <w:tcBorders>
              <w:right w:val="single" w:sz="8" w:space="0" w:color="DF2F1E"/>
            </w:tcBorders>
          </w:tcPr>
          <w:p>
            <w:pPr>
              <w:pStyle w:val="TableParagraph"/>
              <w:spacing w:before="34"/>
              <w:ind w:left="107"/>
              <w:rPr>
                <w:b/>
                <w:sz w:val="16"/>
              </w:rPr>
            </w:pPr>
            <w:r>
              <w:rPr>
                <w:b/>
                <w:color w:val="404040"/>
                <w:sz w:val="16"/>
              </w:rPr>
              <w:t>4 – Carer payment recipients</w:t>
            </w:r>
          </w:p>
        </w:tc>
        <w:tc>
          <w:tcPr>
            <w:tcW w:w="1194" w:type="dxa"/>
            <w:tcBorders>
              <w:left w:val="single" w:sz="8" w:space="0" w:color="DF2F1E"/>
              <w:right w:val="nil"/>
            </w:tcBorders>
          </w:tcPr>
          <w:p>
            <w:pPr>
              <w:pStyle w:val="TableParagraph"/>
              <w:ind w:right="421"/>
              <w:jc w:val="right"/>
              <w:rPr>
                <w:sz w:val="16"/>
              </w:rPr>
            </w:pPr>
            <w:r>
              <w:rPr>
                <w:color w:val="404040"/>
                <w:sz w:val="16"/>
              </w:rPr>
              <w:t>277</w:t>
            </w:r>
          </w:p>
        </w:tc>
        <w:tc>
          <w:tcPr>
            <w:tcW w:w="1186" w:type="dxa"/>
            <w:tcBorders>
              <w:left w:val="nil"/>
              <w:right w:val="single" w:sz="8" w:space="0" w:color="DF2F1E"/>
            </w:tcBorders>
          </w:tcPr>
          <w:p>
            <w:pPr>
              <w:pStyle w:val="TableParagraph"/>
              <w:ind w:right="384"/>
              <w:jc w:val="right"/>
              <w:rPr>
                <w:sz w:val="16"/>
              </w:rPr>
            </w:pPr>
            <w:r>
              <w:rPr>
                <w:color w:val="404040"/>
                <w:sz w:val="16"/>
              </w:rPr>
              <w:t>1.1%</w:t>
            </w:r>
          </w:p>
        </w:tc>
        <w:tc>
          <w:tcPr>
            <w:tcW w:w="1183" w:type="dxa"/>
            <w:tcBorders>
              <w:left w:val="single" w:sz="8" w:space="0" w:color="DF2F1E"/>
              <w:right w:val="nil"/>
            </w:tcBorders>
          </w:tcPr>
          <w:p>
            <w:pPr>
              <w:pStyle w:val="TableParagraph"/>
              <w:ind w:right="387"/>
              <w:jc w:val="right"/>
              <w:rPr>
                <w:sz w:val="16"/>
              </w:rPr>
            </w:pPr>
            <w:r>
              <w:rPr>
                <w:color w:val="404040"/>
                <w:sz w:val="16"/>
              </w:rPr>
              <w:t>294</w:t>
            </w:r>
          </w:p>
        </w:tc>
        <w:tc>
          <w:tcPr>
            <w:tcW w:w="1199" w:type="dxa"/>
            <w:tcBorders>
              <w:left w:val="nil"/>
              <w:right w:val="single" w:sz="8" w:space="0" w:color="DF2F1E"/>
            </w:tcBorders>
          </w:tcPr>
          <w:p>
            <w:pPr>
              <w:pStyle w:val="TableParagraph"/>
              <w:ind w:right="431"/>
              <w:jc w:val="right"/>
              <w:rPr>
                <w:sz w:val="16"/>
              </w:rPr>
            </w:pPr>
            <w:r>
              <w:rPr>
                <w:color w:val="404040"/>
                <w:sz w:val="16"/>
              </w:rPr>
              <w:t>1.2%</w:t>
            </w:r>
          </w:p>
        </w:tc>
        <w:tc>
          <w:tcPr>
            <w:tcW w:w="1192" w:type="dxa"/>
            <w:tcBorders>
              <w:left w:val="single" w:sz="8" w:space="0" w:color="DF2F1E"/>
              <w:right w:val="nil"/>
            </w:tcBorders>
          </w:tcPr>
          <w:p>
            <w:pPr>
              <w:pStyle w:val="TableParagraph"/>
              <w:ind w:right="443"/>
              <w:jc w:val="right"/>
              <w:rPr>
                <w:sz w:val="16"/>
              </w:rPr>
            </w:pPr>
            <w:r>
              <w:rPr>
                <w:color w:val="404040"/>
                <w:sz w:val="16"/>
              </w:rPr>
              <w:t>17</w:t>
            </w:r>
          </w:p>
        </w:tc>
      </w:tr>
      <w:tr>
        <w:trPr>
          <w:trHeight w:val="266" w:hRule="atLeast"/>
        </w:trPr>
        <w:tc>
          <w:tcPr>
            <w:tcW w:w="3458" w:type="dxa"/>
            <w:tcBorders>
              <w:right w:val="single" w:sz="8" w:space="0" w:color="DF2F1E"/>
            </w:tcBorders>
          </w:tcPr>
          <w:p>
            <w:pPr>
              <w:pStyle w:val="TableParagraph"/>
              <w:ind w:left="107"/>
              <w:rPr>
                <w:b/>
                <w:sz w:val="16"/>
              </w:rPr>
            </w:pPr>
            <w:r>
              <w:rPr>
                <w:b/>
                <w:color w:val="404040"/>
                <w:sz w:val="16"/>
              </w:rPr>
              <w:t>5 – Disability Support Pension recipients</w:t>
            </w:r>
          </w:p>
        </w:tc>
        <w:tc>
          <w:tcPr>
            <w:tcW w:w="1194" w:type="dxa"/>
            <w:tcBorders>
              <w:left w:val="single" w:sz="8" w:space="0" w:color="DF2F1E"/>
              <w:right w:val="nil"/>
            </w:tcBorders>
          </w:tcPr>
          <w:p>
            <w:pPr>
              <w:pStyle w:val="TableParagraph"/>
              <w:spacing w:before="39"/>
              <w:ind w:right="421"/>
              <w:jc w:val="right"/>
              <w:rPr>
                <w:sz w:val="16"/>
              </w:rPr>
            </w:pPr>
            <w:r>
              <w:rPr>
                <w:color w:val="404040"/>
                <w:sz w:val="16"/>
              </w:rPr>
              <w:t>760</w:t>
            </w:r>
          </w:p>
        </w:tc>
        <w:tc>
          <w:tcPr>
            <w:tcW w:w="1186" w:type="dxa"/>
            <w:tcBorders>
              <w:left w:val="nil"/>
              <w:right w:val="single" w:sz="8" w:space="0" w:color="DF2F1E"/>
            </w:tcBorders>
          </w:tcPr>
          <w:p>
            <w:pPr>
              <w:pStyle w:val="TableParagraph"/>
              <w:spacing w:before="39"/>
              <w:ind w:right="384"/>
              <w:jc w:val="right"/>
              <w:rPr>
                <w:sz w:val="16"/>
              </w:rPr>
            </w:pPr>
            <w:r>
              <w:rPr>
                <w:color w:val="404040"/>
                <w:sz w:val="16"/>
              </w:rPr>
              <w:t>3.1%</w:t>
            </w:r>
          </w:p>
        </w:tc>
        <w:tc>
          <w:tcPr>
            <w:tcW w:w="1183" w:type="dxa"/>
            <w:tcBorders>
              <w:left w:val="single" w:sz="8" w:space="0" w:color="DF2F1E"/>
              <w:right w:val="nil"/>
            </w:tcBorders>
          </w:tcPr>
          <w:p>
            <w:pPr>
              <w:pStyle w:val="TableParagraph"/>
              <w:spacing w:before="39"/>
              <w:ind w:right="387"/>
              <w:jc w:val="right"/>
              <w:rPr>
                <w:sz w:val="16"/>
              </w:rPr>
            </w:pPr>
            <w:r>
              <w:rPr>
                <w:color w:val="404040"/>
                <w:sz w:val="16"/>
              </w:rPr>
              <w:t>762</w:t>
            </w:r>
          </w:p>
        </w:tc>
        <w:tc>
          <w:tcPr>
            <w:tcW w:w="1199" w:type="dxa"/>
            <w:tcBorders>
              <w:left w:val="nil"/>
              <w:right w:val="single" w:sz="8" w:space="0" w:color="DF2F1E"/>
            </w:tcBorders>
          </w:tcPr>
          <w:p>
            <w:pPr>
              <w:pStyle w:val="TableParagraph"/>
              <w:spacing w:before="39"/>
              <w:ind w:right="431"/>
              <w:jc w:val="right"/>
              <w:rPr>
                <w:sz w:val="16"/>
              </w:rPr>
            </w:pPr>
            <w:r>
              <w:rPr>
                <w:color w:val="404040"/>
                <w:sz w:val="16"/>
              </w:rPr>
              <w:t>3.0%</w:t>
            </w:r>
          </w:p>
        </w:tc>
        <w:tc>
          <w:tcPr>
            <w:tcW w:w="1192" w:type="dxa"/>
            <w:tcBorders>
              <w:left w:val="single" w:sz="8" w:space="0" w:color="DF2F1E"/>
              <w:right w:val="nil"/>
            </w:tcBorders>
          </w:tcPr>
          <w:p>
            <w:pPr>
              <w:pStyle w:val="TableParagraph"/>
              <w:spacing w:before="39"/>
              <w:ind w:right="444"/>
              <w:jc w:val="right"/>
              <w:rPr>
                <w:sz w:val="16"/>
              </w:rPr>
            </w:pPr>
            <w:r>
              <w:rPr>
                <w:color w:val="404040"/>
                <w:w w:val="100"/>
                <w:sz w:val="16"/>
              </w:rPr>
              <w:t>2</w:t>
            </w:r>
          </w:p>
        </w:tc>
      </w:tr>
      <w:tr>
        <w:trPr>
          <w:trHeight w:val="263" w:hRule="atLeast"/>
        </w:trPr>
        <w:tc>
          <w:tcPr>
            <w:tcW w:w="3458" w:type="dxa"/>
            <w:tcBorders>
              <w:right w:val="single" w:sz="8" w:space="0" w:color="DF2F1E"/>
            </w:tcBorders>
          </w:tcPr>
          <w:p>
            <w:pPr>
              <w:pStyle w:val="TableParagraph"/>
              <w:spacing w:before="34"/>
              <w:ind w:left="107"/>
              <w:rPr>
                <w:b/>
                <w:sz w:val="16"/>
              </w:rPr>
            </w:pPr>
            <w:r>
              <w:rPr>
                <w:b/>
                <w:color w:val="404040"/>
                <w:sz w:val="16"/>
              </w:rPr>
              <w:t>6 – Age Pension recipients</w:t>
            </w:r>
          </w:p>
        </w:tc>
        <w:tc>
          <w:tcPr>
            <w:tcW w:w="1194" w:type="dxa"/>
            <w:tcBorders>
              <w:left w:val="single" w:sz="8" w:space="0" w:color="DF2F1E"/>
              <w:right w:val="nil"/>
            </w:tcBorders>
          </w:tcPr>
          <w:p>
            <w:pPr>
              <w:pStyle w:val="TableParagraph"/>
              <w:ind w:right="421"/>
              <w:jc w:val="right"/>
              <w:rPr>
                <w:sz w:val="16"/>
              </w:rPr>
            </w:pPr>
            <w:r>
              <w:rPr>
                <w:color w:val="404040"/>
                <w:sz w:val="16"/>
              </w:rPr>
              <w:t>2,595</w:t>
            </w:r>
          </w:p>
        </w:tc>
        <w:tc>
          <w:tcPr>
            <w:tcW w:w="1186" w:type="dxa"/>
            <w:tcBorders>
              <w:left w:val="nil"/>
              <w:right w:val="single" w:sz="8" w:space="0" w:color="DF2F1E"/>
            </w:tcBorders>
          </w:tcPr>
          <w:p>
            <w:pPr>
              <w:pStyle w:val="TableParagraph"/>
              <w:ind w:right="384"/>
              <w:jc w:val="right"/>
              <w:rPr>
                <w:sz w:val="16"/>
              </w:rPr>
            </w:pPr>
            <w:r>
              <w:rPr>
                <w:color w:val="404040"/>
                <w:sz w:val="16"/>
              </w:rPr>
              <w:t>10.5%</w:t>
            </w:r>
          </w:p>
        </w:tc>
        <w:tc>
          <w:tcPr>
            <w:tcW w:w="1183" w:type="dxa"/>
            <w:tcBorders>
              <w:left w:val="single" w:sz="8" w:space="0" w:color="DF2F1E"/>
              <w:right w:val="nil"/>
            </w:tcBorders>
          </w:tcPr>
          <w:p>
            <w:pPr>
              <w:pStyle w:val="TableParagraph"/>
              <w:ind w:right="388"/>
              <w:jc w:val="right"/>
              <w:rPr>
                <w:sz w:val="16"/>
              </w:rPr>
            </w:pPr>
            <w:r>
              <w:rPr>
                <w:color w:val="404040"/>
                <w:sz w:val="16"/>
              </w:rPr>
              <w:t>2,508</w:t>
            </w:r>
          </w:p>
        </w:tc>
        <w:tc>
          <w:tcPr>
            <w:tcW w:w="1199" w:type="dxa"/>
            <w:tcBorders>
              <w:left w:val="nil"/>
              <w:right w:val="single" w:sz="8" w:space="0" w:color="DF2F1E"/>
            </w:tcBorders>
          </w:tcPr>
          <w:p>
            <w:pPr>
              <w:pStyle w:val="TableParagraph"/>
              <w:ind w:right="431"/>
              <w:jc w:val="right"/>
              <w:rPr>
                <w:sz w:val="16"/>
              </w:rPr>
            </w:pPr>
            <w:r>
              <w:rPr>
                <w:color w:val="404040"/>
                <w:sz w:val="16"/>
              </w:rPr>
              <w:t>10.0%</w:t>
            </w:r>
          </w:p>
        </w:tc>
        <w:tc>
          <w:tcPr>
            <w:tcW w:w="1192" w:type="dxa"/>
            <w:tcBorders>
              <w:left w:val="single" w:sz="8" w:space="0" w:color="DF2F1E"/>
              <w:right w:val="nil"/>
            </w:tcBorders>
          </w:tcPr>
          <w:p>
            <w:pPr>
              <w:pStyle w:val="TableParagraph"/>
              <w:ind w:right="443"/>
              <w:jc w:val="right"/>
              <w:rPr>
                <w:sz w:val="16"/>
              </w:rPr>
            </w:pPr>
            <w:r>
              <w:rPr>
                <w:color w:val="404040"/>
                <w:sz w:val="16"/>
              </w:rPr>
              <w:t>-87</w:t>
            </w:r>
          </w:p>
        </w:tc>
      </w:tr>
      <w:tr>
        <w:trPr>
          <w:trHeight w:val="263" w:hRule="atLeast"/>
        </w:trPr>
        <w:tc>
          <w:tcPr>
            <w:tcW w:w="3458" w:type="dxa"/>
            <w:tcBorders>
              <w:right w:val="single" w:sz="8" w:space="0" w:color="DF2F1E"/>
            </w:tcBorders>
            <w:shd w:val="clear" w:color="auto" w:fill="F3ABA3"/>
          </w:tcPr>
          <w:p>
            <w:pPr>
              <w:pStyle w:val="TableParagraph"/>
              <w:spacing w:before="34"/>
              <w:ind w:left="107"/>
              <w:rPr>
                <w:b/>
                <w:sz w:val="16"/>
              </w:rPr>
            </w:pPr>
            <w:r>
              <w:rPr>
                <w:b/>
                <w:color w:val="404040"/>
                <w:sz w:val="16"/>
              </w:rPr>
              <w:t>Income support recipient subtotal</w:t>
            </w:r>
          </w:p>
        </w:tc>
        <w:tc>
          <w:tcPr>
            <w:tcW w:w="1194" w:type="dxa"/>
            <w:tcBorders>
              <w:left w:val="single" w:sz="8" w:space="0" w:color="DF2F1E"/>
              <w:right w:val="nil"/>
            </w:tcBorders>
            <w:shd w:val="clear" w:color="auto" w:fill="F3ABA3"/>
          </w:tcPr>
          <w:p>
            <w:pPr>
              <w:pStyle w:val="TableParagraph"/>
              <w:ind w:right="421"/>
              <w:jc w:val="right"/>
              <w:rPr>
                <w:sz w:val="16"/>
              </w:rPr>
            </w:pPr>
            <w:r>
              <w:rPr>
                <w:color w:val="404040"/>
                <w:sz w:val="16"/>
              </w:rPr>
              <w:t>5,738</w:t>
            </w:r>
          </w:p>
        </w:tc>
        <w:tc>
          <w:tcPr>
            <w:tcW w:w="1186" w:type="dxa"/>
            <w:tcBorders>
              <w:left w:val="nil"/>
              <w:right w:val="single" w:sz="8" w:space="0" w:color="DF2F1E"/>
            </w:tcBorders>
            <w:shd w:val="clear" w:color="auto" w:fill="F3ABA3"/>
          </w:tcPr>
          <w:p>
            <w:pPr>
              <w:pStyle w:val="TableParagraph"/>
              <w:ind w:right="384"/>
              <w:jc w:val="right"/>
              <w:rPr>
                <w:sz w:val="16"/>
              </w:rPr>
            </w:pPr>
            <w:r>
              <w:rPr>
                <w:color w:val="404040"/>
                <w:sz w:val="16"/>
              </w:rPr>
              <w:t>23.3%</w:t>
            </w:r>
          </w:p>
        </w:tc>
        <w:tc>
          <w:tcPr>
            <w:tcW w:w="1183" w:type="dxa"/>
            <w:tcBorders>
              <w:left w:val="single" w:sz="8" w:space="0" w:color="DF2F1E"/>
              <w:right w:val="nil"/>
            </w:tcBorders>
            <w:shd w:val="clear" w:color="auto" w:fill="F3ABA3"/>
          </w:tcPr>
          <w:p>
            <w:pPr>
              <w:pStyle w:val="TableParagraph"/>
              <w:ind w:right="388"/>
              <w:jc w:val="right"/>
              <w:rPr>
                <w:sz w:val="16"/>
              </w:rPr>
            </w:pPr>
            <w:r>
              <w:rPr>
                <w:color w:val="404040"/>
                <w:sz w:val="16"/>
              </w:rPr>
              <w:t>5,541</w:t>
            </w:r>
          </w:p>
        </w:tc>
        <w:tc>
          <w:tcPr>
            <w:tcW w:w="1199" w:type="dxa"/>
            <w:tcBorders>
              <w:left w:val="nil"/>
              <w:right w:val="single" w:sz="8" w:space="0" w:color="DF2F1E"/>
            </w:tcBorders>
            <w:shd w:val="clear" w:color="auto" w:fill="F3ABA3"/>
          </w:tcPr>
          <w:p>
            <w:pPr>
              <w:pStyle w:val="TableParagraph"/>
              <w:ind w:right="431"/>
              <w:jc w:val="right"/>
              <w:rPr>
                <w:sz w:val="16"/>
              </w:rPr>
            </w:pPr>
            <w:r>
              <w:rPr>
                <w:color w:val="404040"/>
                <w:sz w:val="16"/>
              </w:rPr>
              <w:t>22.1%</w:t>
            </w:r>
          </w:p>
        </w:tc>
        <w:tc>
          <w:tcPr>
            <w:tcW w:w="1192" w:type="dxa"/>
            <w:tcBorders>
              <w:left w:val="single" w:sz="8" w:space="0" w:color="DF2F1E"/>
              <w:right w:val="nil"/>
            </w:tcBorders>
            <w:shd w:val="clear" w:color="auto" w:fill="F3ABA3"/>
          </w:tcPr>
          <w:p>
            <w:pPr>
              <w:pStyle w:val="TableParagraph"/>
              <w:ind w:right="443"/>
              <w:jc w:val="right"/>
              <w:rPr>
                <w:sz w:val="16"/>
              </w:rPr>
            </w:pPr>
            <w:r>
              <w:rPr>
                <w:color w:val="404040"/>
                <w:sz w:val="16"/>
              </w:rPr>
              <w:t>-197</w:t>
            </w:r>
          </w:p>
        </w:tc>
      </w:tr>
      <w:tr>
        <w:trPr>
          <w:trHeight w:val="263" w:hRule="atLeast"/>
        </w:trPr>
        <w:tc>
          <w:tcPr>
            <w:tcW w:w="3458" w:type="dxa"/>
            <w:tcBorders>
              <w:right w:val="single" w:sz="8" w:space="0" w:color="DF2F1E"/>
            </w:tcBorders>
          </w:tcPr>
          <w:p>
            <w:pPr>
              <w:pStyle w:val="TableParagraph"/>
              <w:spacing w:before="34"/>
              <w:ind w:left="107"/>
              <w:rPr>
                <w:b/>
                <w:sz w:val="16"/>
              </w:rPr>
            </w:pPr>
            <w:r>
              <w:rPr>
                <w:b/>
                <w:color w:val="404040"/>
                <w:sz w:val="16"/>
              </w:rPr>
              <w:t>7 – Family Non IS payment recipients</w:t>
            </w:r>
          </w:p>
        </w:tc>
        <w:tc>
          <w:tcPr>
            <w:tcW w:w="1194" w:type="dxa"/>
            <w:tcBorders>
              <w:left w:val="single" w:sz="8" w:space="0" w:color="DF2F1E"/>
              <w:right w:val="nil"/>
            </w:tcBorders>
          </w:tcPr>
          <w:p>
            <w:pPr>
              <w:pStyle w:val="TableParagraph"/>
              <w:ind w:right="421"/>
              <w:jc w:val="right"/>
              <w:rPr>
                <w:sz w:val="16"/>
              </w:rPr>
            </w:pPr>
            <w:r>
              <w:rPr>
                <w:color w:val="404040"/>
                <w:sz w:val="16"/>
              </w:rPr>
              <w:t>1,544</w:t>
            </w:r>
          </w:p>
        </w:tc>
        <w:tc>
          <w:tcPr>
            <w:tcW w:w="1186" w:type="dxa"/>
            <w:tcBorders>
              <w:left w:val="nil"/>
              <w:right w:val="single" w:sz="8" w:space="0" w:color="DF2F1E"/>
            </w:tcBorders>
          </w:tcPr>
          <w:p>
            <w:pPr>
              <w:pStyle w:val="TableParagraph"/>
              <w:ind w:right="384"/>
              <w:jc w:val="right"/>
              <w:rPr>
                <w:sz w:val="16"/>
              </w:rPr>
            </w:pPr>
            <w:r>
              <w:rPr>
                <w:color w:val="404040"/>
                <w:sz w:val="16"/>
              </w:rPr>
              <w:t>6.3%</w:t>
            </w:r>
          </w:p>
        </w:tc>
        <w:tc>
          <w:tcPr>
            <w:tcW w:w="1183" w:type="dxa"/>
            <w:tcBorders>
              <w:left w:val="single" w:sz="8" w:space="0" w:color="DF2F1E"/>
              <w:right w:val="nil"/>
            </w:tcBorders>
          </w:tcPr>
          <w:p>
            <w:pPr>
              <w:pStyle w:val="TableParagraph"/>
              <w:ind w:right="388"/>
              <w:jc w:val="right"/>
              <w:rPr>
                <w:sz w:val="16"/>
              </w:rPr>
            </w:pPr>
            <w:r>
              <w:rPr>
                <w:color w:val="404040"/>
                <w:sz w:val="16"/>
              </w:rPr>
              <w:t>1,540</w:t>
            </w:r>
          </w:p>
        </w:tc>
        <w:tc>
          <w:tcPr>
            <w:tcW w:w="1199" w:type="dxa"/>
            <w:tcBorders>
              <w:left w:val="nil"/>
              <w:right w:val="single" w:sz="8" w:space="0" w:color="DF2F1E"/>
            </w:tcBorders>
          </w:tcPr>
          <w:p>
            <w:pPr>
              <w:pStyle w:val="TableParagraph"/>
              <w:ind w:right="431"/>
              <w:jc w:val="right"/>
              <w:rPr>
                <w:sz w:val="16"/>
              </w:rPr>
            </w:pPr>
            <w:r>
              <w:rPr>
                <w:color w:val="404040"/>
                <w:sz w:val="16"/>
              </w:rPr>
              <w:t>6.2%</w:t>
            </w:r>
          </w:p>
        </w:tc>
        <w:tc>
          <w:tcPr>
            <w:tcW w:w="1192" w:type="dxa"/>
            <w:tcBorders>
              <w:left w:val="single" w:sz="8" w:space="0" w:color="DF2F1E"/>
              <w:right w:val="nil"/>
            </w:tcBorders>
          </w:tcPr>
          <w:p>
            <w:pPr>
              <w:pStyle w:val="TableParagraph"/>
              <w:ind w:right="443"/>
              <w:jc w:val="right"/>
              <w:rPr>
                <w:sz w:val="16"/>
              </w:rPr>
            </w:pPr>
            <w:r>
              <w:rPr>
                <w:color w:val="404040"/>
                <w:sz w:val="16"/>
              </w:rPr>
              <w:t>-4</w:t>
            </w:r>
          </w:p>
        </w:tc>
      </w:tr>
      <w:tr>
        <w:trPr>
          <w:trHeight w:val="263" w:hRule="atLeast"/>
        </w:trPr>
        <w:tc>
          <w:tcPr>
            <w:tcW w:w="3458" w:type="dxa"/>
            <w:tcBorders>
              <w:right w:val="single" w:sz="8" w:space="0" w:color="DF2F1E"/>
            </w:tcBorders>
          </w:tcPr>
          <w:p>
            <w:pPr>
              <w:pStyle w:val="TableParagraph"/>
              <w:spacing w:before="34"/>
              <w:ind w:left="107"/>
              <w:rPr>
                <w:b/>
                <w:sz w:val="16"/>
              </w:rPr>
            </w:pPr>
            <w:r>
              <w:rPr>
                <w:b/>
                <w:color w:val="404040"/>
                <w:sz w:val="16"/>
              </w:rPr>
              <w:t>8 – Carer Non IS payment recipients</w:t>
            </w:r>
          </w:p>
        </w:tc>
        <w:tc>
          <w:tcPr>
            <w:tcW w:w="1194" w:type="dxa"/>
            <w:tcBorders>
              <w:left w:val="single" w:sz="8" w:space="0" w:color="DF2F1E"/>
              <w:right w:val="nil"/>
            </w:tcBorders>
          </w:tcPr>
          <w:p>
            <w:pPr>
              <w:pStyle w:val="TableParagraph"/>
              <w:ind w:right="421"/>
              <w:jc w:val="right"/>
              <w:rPr>
                <w:sz w:val="16"/>
              </w:rPr>
            </w:pPr>
            <w:r>
              <w:rPr>
                <w:color w:val="404040"/>
                <w:sz w:val="16"/>
              </w:rPr>
              <w:t>203</w:t>
            </w:r>
          </w:p>
        </w:tc>
        <w:tc>
          <w:tcPr>
            <w:tcW w:w="1186" w:type="dxa"/>
            <w:tcBorders>
              <w:left w:val="nil"/>
              <w:right w:val="single" w:sz="8" w:space="0" w:color="DF2F1E"/>
            </w:tcBorders>
          </w:tcPr>
          <w:p>
            <w:pPr>
              <w:pStyle w:val="TableParagraph"/>
              <w:ind w:right="384"/>
              <w:jc w:val="right"/>
              <w:rPr>
                <w:sz w:val="16"/>
              </w:rPr>
            </w:pPr>
            <w:r>
              <w:rPr>
                <w:color w:val="404040"/>
                <w:sz w:val="16"/>
              </w:rPr>
              <w:t>0.8%</w:t>
            </w:r>
          </w:p>
        </w:tc>
        <w:tc>
          <w:tcPr>
            <w:tcW w:w="1183" w:type="dxa"/>
            <w:tcBorders>
              <w:left w:val="single" w:sz="8" w:space="0" w:color="DF2F1E"/>
              <w:right w:val="nil"/>
            </w:tcBorders>
          </w:tcPr>
          <w:p>
            <w:pPr>
              <w:pStyle w:val="TableParagraph"/>
              <w:ind w:right="387"/>
              <w:jc w:val="right"/>
              <w:rPr>
                <w:sz w:val="16"/>
              </w:rPr>
            </w:pPr>
            <w:r>
              <w:rPr>
                <w:color w:val="404040"/>
                <w:sz w:val="16"/>
              </w:rPr>
              <w:t>218</w:t>
            </w:r>
          </w:p>
        </w:tc>
        <w:tc>
          <w:tcPr>
            <w:tcW w:w="1199" w:type="dxa"/>
            <w:tcBorders>
              <w:left w:val="nil"/>
              <w:right w:val="single" w:sz="8" w:space="0" w:color="DF2F1E"/>
            </w:tcBorders>
          </w:tcPr>
          <w:p>
            <w:pPr>
              <w:pStyle w:val="TableParagraph"/>
              <w:ind w:right="431"/>
              <w:jc w:val="right"/>
              <w:rPr>
                <w:sz w:val="16"/>
              </w:rPr>
            </w:pPr>
            <w:r>
              <w:rPr>
                <w:color w:val="404040"/>
                <w:sz w:val="16"/>
              </w:rPr>
              <w:t>0.9%</w:t>
            </w:r>
          </w:p>
        </w:tc>
        <w:tc>
          <w:tcPr>
            <w:tcW w:w="1192" w:type="dxa"/>
            <w:tcBorders>
              <w:left w:val="single" w:sz="8" w:space="0" w:color="DF2F1E"/>
              <w:right w:val="nil"/>
            </w:tcBorders>
          </w:tcPr>
          <w:p>
            <w:pPr>
              <w:pStyle w:val="TableParagraph"/>
              <w:ind w:right="443"/>
              <w:jc w:val="right"/>
              <w:rPr>
                <w:sz w:val="16"/>
              </w:rPr>
            </w:pPr>
            <w:r>
              <w:rPr>
                <w:color w:val="404040"/>
                <w:sz w:val="16"/>
              </w:rPr>
              <w:t>15</w:t>
            </w:r>
          </w:p>
        </w:tc>
      </w:tr>
      <w:tr>
        <w:trPr>
          <w:trHeight w:val="263" w:hRule="atLeast"/>
        </w:trPr>
        <w:tc>
          <w:tcPr>
            <w:tcW w:w="3458" w:type="dxa"/>
            <w:tcBorders>
              <w:right w:val="single" w:sz="8" w:space="0" w:color="DF2F1E"/>
            </w:tcBorders>
          </w:tcPr>
          <w:p>
            <w:pPr>
              <w:pStyle w:val="TableParagraph"/>
              <w:spacing w:before="34"/>
              <w:ind w:left="107"/>
              <w:rPr>
                <w:b/>
                <w:sz w:val="16"/>
              </w:rPr>
            </w:pPr>
            <w:r>
              <w:rPr>
                <w:b/>
                <w:color w:val="404040"/>
                <w:sz w:val="16"/>
              </w:rPr>
              <w:t>9 – Other Non IS payment recipients</w:t>
            </w:r>
          </w:p>
        </w:tc>
        <w:tc>
          <w:tcPr>
            <w:tcW w:w="1194" w:type="dxa"/>
            <w:tcBorders>
              <w:left w:val="single" w:sz="8" w:space="0" w:color="DF2F1E"/>
              <w:right w:val="nil"/>
            </w:tcBorders>
          </w:tcPr>
          <w:p>
            <w:pPr>
              <w:pStyle w:val="TableParagraph"/>
              <w:ind w:right="421"/>
              <w:jc w:val="right"/>
              <w:rPr>
                <w:sz w:val="16"/>
              </w:rPr>
            </w:pPr>
            <w:r>
              <w:rPr>
                <w:color w:val="404040"/>
                <w:sz w:val="16"/>
              </w:rPr>
              <w:t>557</w:t>
            </w:r>
          </w:p>
        </w:tc>
        <w:tc>
          <w:tcPr>
            <w:tcW w:w="1186" w:type="dxa"/>
            <w:tcBorders>
              <w:left w:val="nil"/>
              <w:right w:val="single" w:sz="8" w:space="0" w:color="DF2F1E"/>
            </w:tcBorders>
          </w:tcPr>
          <w:p>
            <w:pPr>
              <w:pStyle w:val="TableParagraph"/>
              <w:ind w:right="384"/>
              <w:jc w:val="right"/>
              <w:rPr>
                <w:sz w:val="16"/>
              </w:rPr>
            </w:pPr>
            <w:r>
              <w:rPr>
                <w:color w:val="404040"/>
                <w:sz w:val="16"/>
              </w:rPr>
              <w:t>2.3%</w:t>
            </w:r>
          </w:p>
        </w:tc>
        <w:tc>
          <w:tcPr>
            <w:tcW w:w="1183" w:type="dxa"/>
            <w:tcBorders>
              <w:left w:val="single" w:sz="8" w:space="0" w:color="DF2F1E"/>
              <w:right w:val="nil"/>
            </w:tcBorders>
          </w:tcPr>
          <w:p>
            <w:pPr>
              <w:pStyle w:val="TableParagraph"/>
              <w:ind w:right="387"/>
              <w:jc w:val="right"/>
              <w:rPr>
                <w:sz w:val="16"/>
              </w:rPr>
            </w:pPr>
            <w:r>
              <w:rPr>
                <w:color w:val="404040"/>
                <w:sz w:val="16"/>
              </w:rPr>
              <w:t>652</w:t>
            </w:r>
          </w:p>
        </w:tc>
        <w:tc>
          <w:tcPr>
            <w:tcW w:w="1199" w:type="dxa"/>
            <w:tcBorders>
              <w:left w:val="nil"/>
              <w:right w:val="single" w:sz="8" w:space="0" w:color="DF2F1E"/>
            </w:tcBorders>
          </w:tcPr>
          <w:p>
            <w:pPr>
              <w:pStyle w:val="TableParagraph"/>
              <w:ind w:right="431"/>
              <w:jc w:val="right"/>
              <w:rPr>
                <w:sz w:val="16"/>
              </w:rPr>
            </w:pPr>
            <w:r>
              <w:rPr>
                <w:color w:val="404040"/>
                <w:sz w:val="16"/>
              </w:rPr>
              <w:t>2.6%</w:t>
            </w:r>
          </w:p>
        </w:tc>
        <w:tc>
          <w:tcPr>
            <w:tcW w:w="1192" w:type="dxa"/>
            <w:tcBorders>
              <w:left w:val="single" w:sz="8" w:space="0" w:color="DF2F1E"/>
              <w:right w:val="nil"/>
            </w:tcBorders>
          </w:tcPr>
          <w:p>
            <w:pPr>
              <w:pStyle w:val="TableParagraph"/>
              <w:ind w:right="443"/>
              <w:jc w:val="right"/>
              <w:rPr>
                <w:sz w:val="16"/>
              </w:rPr>
            </w:pPr>
            <w:r>
              <w:rPr>
                <w:color w:val="404040"/>
                <w:sz w:val="16"/>
              </w:rPr>
              <w:t>95</w:t>
            </w:r>
          </w:p>
        </w:tc>
      </w:tr>
      <w:tr>
        <w:trPr>
          <w:trHeight w:val="266" w:hRule="atLeast"/>
        </w:trPr>
        <w:tc>
          <w:tcPr>
            <w:tcW w:w="3458" w:type="dxa"/>
            <w:tcBorders>
              <w:right w:val="single" w:sz="8" w:space="0" w:color="DF2F1E"/>
            </w:tcBorders>
            <w:shd w:val="clear" w:color="auto" w:fill="F3ABA3"/>
          </w:tcPr>
          <w:p>
            <w:pPr>
              <w:pStyle w:val="TableParagraph"/>
              <w:ind w:left="107"/>
              <w:rPr>
                <w:b/>
                <w:sz w:val="16"/>
              </w:rPr>
            </w:pPr>
            <w:r>
              <w:rPr>
                <w:b/>
                <w:color w:val="404040"/>
                <w:sz w:val="16"/>
              </w:rPr>
              <w:t>Non Income support recipient subtotal</w:t>
            </w:r>
          </w:p>
        </w:tc>
        <w:tc>
          <w:tcPr>
            <w:tcW w:w="1194" w:type="dxa"/>
            <w:tcBorders>
              <w:left w:val="single" w:sz="8" w:space="0" w:color="DF2F1E"/>
              <w:right w:val="nil"/>
            </w:tcBorders>
            <w:shd w:val="clear" w:color="auto" w:fill="F3ABA3"/>
          </w:tcPr>
          <w:p>
            <w:pPr>
              <w:pStyle w:val="TableParagraph"/>
              <w:spacing w:before="39"/>
              <w:ind w:right="421"/>
              <w:jc w:val="right"/>
              <w:rPr>
                <w:sz w:val="16"/>
              </w:rPr>
            </w:pPr>
            <w:r>
              <w:rPr>
                <w:color w:val="404040"/>
                <w:sz w:val="16"/>
              </w:rPr>
              <w:t>2,304</w:t>
            </w:r>
          </w:p>
        </w:tc>
        <w:tc>
          <w:tcPr>
            <w:tcW w:w="1186" w:type="dxa"/>
            <w:tcBorders>
              <w:left w:val="nil"/>
              <w:right w:val="single" w:sz="8" w:space="0" w:color="DF2F1E"/>
            </w:tcBorders>
            <w:shd w:val="clear" w:color="auto" w:fill="F3ABA3"/>
          </w:tcPr>
          <w:p>
            <w:pPr>
              <w:pStyle w:val="TableParagraph"/>
              <w:spacing w:before="39"/>
              <w:ind w:right="384"/>
              <w:jc w:val="right"/>
              <w:rPr>
                <w:sz w:val="16"/>
              </w:rPr>
            </w:pPr>
            <w:r>
              <w:rPr>
                <w:color w:val="404040"/>
                <w:sz w:val="16"/>
              </w:rPr>
              <w:t>9.3%</w:t>
            </w:r>
          </w:p>
        </w:tc>
        <w:tc>
          <w:tcPr>
            <w:tcW w:w="1183" w:type="dxa"/>
            <w:tcBorders>
              <w:left w:val="single" w:sz="8" w:space="0" w:color="DF2F1E"/>
              <w:right w:val="nil"/>
            </w:tcBorders>
            <w:shd w:val="clear" w:color="auto" w:fill="F3ABA3"/>
          </w:tcPr>
          <w:p>
            <w:pPr>
              <w:pStyle w:val="TableParagraph"/>
              <w:spacing w:before="39"/>
              <w:ind w:right="388"/>
              <w:jc w:val="right"/>
              <w:rPr>
                <w:sz w:val="16"/>
              </w:rPr>
            </w:pPr>
            <w:r>
              <w:rPr>
                <w:color w:val="404040"/>
                <w:sz w:val="16"/>
              </w:rPr>
              <w:t>2,410</w:t>
            </w:r>
          </w:p>
        </w:tc>
        <w:tc>
          <w:tcPr>
            <w:tcW w:w="1199" w:type="dxa"/>
            <w:tcBorders>
              <w:left w:val="nil"/>
              <w:right w:val="single" w:sz="8" w:space="0" w:color="DF2F1E"/>
            </w:tcBorders>
            <w:shd w:val="clear" w:color="auto" w:fill="F3ABA3"/>
          </w:tcPr>
          <w:p>
            <w:pPr>
              <w:pStyle w:val="TableParagraph"/>
              <w:spacing w:before="39"/>
              <w:ind w:right="431"/>
              <w:jc w:val="right"/>
              <w:rPr>
                <w:sz w:val="16"/>
              </w:rPr>
            </w:pPr>
            <w:r>
              <w:rPr>
                <w:color w:val="404040"/>
                <w:sz w:val="16"/>
              </w:rPr>
              <w:t>9.6%</w:t>
            </w:r>
          </w:p>
        </w:tc>
        <w:tc>
          <w:tcPr>
            <w:tcW w:w="1192" w:type="dxa"/>
            <w:tcBorders>
              <w:left w:val="single" w:sz="8" w:space="0" w:color="DF2F1E"/>
              <w:right w:val="nil"/>
            </w:tcBorders>
            <w:shd w:val="clear" w:color="auto" w:fill="F3ABA3"/>
          </w:tcPr>
          <w:p>
            <w:pPr>
              <w:pStyle w:val="TableParagraph"/>
              <w:spacing w:before="39"/>
              <w:ind w:right="443"/>
              <w:jc w:val="right"/>
              <w:rPr>
                <w:sz w:val="16"/>
              </w:rPr>
            </w:pPr>
            <w:r>
              <w:rPr>
                <w:color w:val="404040"/>
                <w:sz w:val="16"/>
              </w:rPr>
              <w:t>106</w:t>
            </w:r>
          </w:p>
        </w:tc>
      </w:tr>
      <w:tr>
        <w:trPr>
          <w:trHeight w:val="263" w:hRule="atLeast"/>
        </w:trPr>
        <w:tc>
          <w:tcPr>
            <w:tcW w:w="3458" w:type="dxa"/>
            <w:tcBorders>
              <w:right w:val="single" w:sz="8" w:space="0" w:color="DF2F1E"/>
            </w:tcBorders>
            <w:shd w:val="clear" w:color="auto" w:fill="F3ABA3"/>
          </w:tcPr>
          <w:p>
            <w:pPr>
              <w:pStyle w:val="TableParagraph"/>
              <w:spacing w:before="34"/>
              <w:ind w:left="107"/>
              <w:rPr>
                <w:b/>
                <w:sz w:val="16"/>
              </w:rPr>
            </w:pPr>
            <w:r>
              <w:rPr>
                <w:b/>
                <w:color w:val="404040"/>
                <w:sz w:val="16"/>
              </w:rPr>
              <w:t>Total welfare recipient population</w:t>
            </w:r>
          </w:p>
        </w:tc>
        <w:tc>
          <w:tcPr>
            <w:tcW w:w="1194" w:type="dxa"/>
            <w:tcBorders>
              <w:left w:val="single" w:sz="8" w:space="0" w:color="DF2F1E"/>
              <w:right w:val="nil"/>
            </w:tcBorders>
            <w:shd w:val="clear" w:color="auto" w:fill="F3ABA3"/>
          </w:tcPr>
          <w:p>
            <w:pPr>
              <w:pStyle w:val="TableParagraph"/>
              <w:ind w:right="421"/>
              <w:jc w:val="right"/>
              <w:rPr>
                <w:sz w:val="16"/>
              </w:rPr>
            </w:pPr>
            <w:r>
              <w:rPr>
                <w:color w:val="404040"/>
                <w:sz w:val="16"/>
              </w:rPr>
              <w:t>8,041</w:t>
            </w:r>
          </w:p>
        </w:tc>
        <w:tc>
          <w:tcPr>
            <w:tcW w:w="1186" w:type="dxa"/>
            <w:tcBorders>
              <w:left w:val="nil"/>
              <w:right w:val="single" w:sz="8" w:space="0" w:color="DF2F1E"/>
            </w:tcBorders>
            <w:shd w:val="clear" w:color="auto" w:fill="F3ABA3"/>
          </w:tcPr>
          <w:p>
            <w:pPr>
              <w:pStyle w:val="TableParagraph"/>
              <w:ind w:right="384"/>
              <w:jc w:val="right"/>
              <w:rPr>
                <w:sz w:val="16"/>
              </w:rPr>
            </w:pPr>
            <w:r>
              <w:rPr>
                <w:color w:val="404040"/>
                <w:sz w:val="16"/>
              </w:rPr>
              <w:t>32.6%</w:t>
            </w:r>
          </w:p>
        </w:tc>
        <w:tc>
          <w:tcPr>
            <w:tcW w:w="1183" w:type="dxa"/>
            <w:tcBorders>
              <w:left w:val="single" w:sz="8" w:space="0" w:color="DF2F1E"/>
              <w:right w:val="nil"/>
            </w:tcBorders>
            <w:shd w:val="clear" w:color="auto" w:fill="F3ABA3"/>
          </w:tcPr>
          <w:p>
            <w:pPr>
              <w:pStyle w:val="TableParagraph"/>
              <w:ind w:right="388"/>
              <w:jc w:val="right"/>
              <w:rPr>
                <w:sz w:val="16"/>
              </w:rPr>
            </w:pPr>
            <w:r>
              <w:rPr>
                <w:color w:val="404040"/>
                <w:sz w:val="16"/>
              </w:rPr>
              <w:t>7,951</w:t>
            </w:r>
          </w:p>
        </w:tc>
        <w:tc>
          <w:tcPr>
            <w:tcW w:w="1199" w:type="dxa"/>
            <w:tcBorders>
              <w:left w:val="nil"/>
              <w:right w:val="single" w:sz="8" w:space="0" w:color="DF2F1E"/>
            </w:tcBorders>
            <w:shd w:val="clear" w:color="auto" w:fill="F3ABA3"/>
          </w:tcPr>
          <w:p>
            <w:pPr>
              <w:pStyle w:val="TableParagraph"/>
              <w:ind w:right="431"/>
              <w:jc w:val="right"/>
              <w:rPr>
                <w:sz w:val="16"/>
              </w:rPr>
            </w:pPr>
            <w:r>
              <w:rPr>
                <w:color w:val="404040"/>
                <w:sz w:val="16"/>
              </w:rPr>
              <w:t>31.8%</w:t>
            </w:r>
          </w:p>
        </w:tc>
        <w:tc>
          <w:tcPr>
            <w:tcW w:w="1192" w:type="dxa"/>
            <w:tcBorders>
              <w:left w:val="single" w:sz="8" w:space="0" w:color="DF2F1E"/>
              <w:right w:val="nil"/>
            </w:tcBorders>
            <w:shd w:val="clear" w:color="auto" w:fill="F3ABA3"/>
          </w:tcPr>
          <w:p>
            <w:pPr>
              <w:pStyle w:val="TableParagraph"/>
              <w:ind w:right="443"/>
              <w:jc w:val="right"/>
              <w:rPr>
                <w:sz w:val="16"/>
              </w:rPr>
            </w:pPr>
            <w:r>
              <w:rPr>
                <w:color w:val="404040"/>
                <w:sz w:val="16"/>
              </w:rPr>
              <w:t>-90</w:t>
            </w:r>
          </w:p>
        </w:tc>
      </w:tr>
      <w:tr>
        <w:trPr>
          <w:trHeight w:val="263" w:hRule="atLeast"/>
        </w:trPr>
        <w:tc>
          <w:tcPr>
            <w:tcW w:w="3458" w:type="dxa"/>
            <w:tcBorders>
              <w:right w:val="single" w:sz="8" w:space="0" w:color="DF2F1E"/>
            </w:tcBorders>
          </w:tcPr>
          <w:p>
            <w:pPr>
              <w:pStyle w:val="TableParagraph"/>
              <w:spacing w:before="34"/>
              <w:ind w:left="107"/>
              <w:rPr>
                <w:b/>
                <w:sz w:val="16"/>
              </w:rPr>
            </w:pPr>
            <w:r>
              <w:rPr>
                <w:b/>
                <w:color w:val="404040"/>
                <w:sz w:val="16"/>
              </w:rPr>
              <w:t>10 - Previous clients, exited 1-3 years</w:t>
            </w:r>
          </w:p>
        </w:tc>
        <w:tc>
          <w:tcPr>
            <w:tcW w:w="1194" w:type="dxa"/>
            <w:tcBorders>
              <w:left w:val="single" w:sz="8" w:space="0" w:color="DF2F1E"/>
              <w:right w:val="nil"/>
            </w:tcBorders>
          </w:tcPr>
          <w:p>
            <w:pPr>
              <w:pStyle w:val="TableParagraph"/>
              <w:ind w:right="421"/>
              <w:jc w:val="right"/>
              <w:rPr>
                <w:sz w:val="16"/>
              </w:rPr>
            </w:pPr>
            <w:r>
              <w:rPr>
                <w:color w:val="404040"/>
                <w:sz w:val="16"/>
              </w:rPr>
              <w:t>1,538</w:t>
            </w:r>
          </w:p>
        </w:tc>
        <w:tc>
          <w:tcPr>
            <w:tcW w:w="1186" w:type="dxa"/>
            <w:tcBorders>
              <w:left w:val="nil"/>
              <w:right w:val="single" w:sz="8" w:space="0" w:color="DF2F1E"/>
            </w:tcBorders>
          </w:tcPr>
          <w:p>
            <w:pPr>
              <w:pStyle w:val="TableParagraph"/>
              <w:ind w:right="384"/>
              <w:jc w:val="right"/>
              <w:rPr>
                <w:sz w:val="16"/>
              </w:rPr>
            </w:pPr>
            <w:r>
              <w:rPr>
                <w:color w:val="404040"/>
                <w:sz w:val="16"/>
              </w:rPr>
              <w:t>6.2%</w:t>
            </w:r>
          </w:p>
        </w:tc>
        <w:tc>
          <w:tcPr>
            <w:tcW w:w="1183" w:type="dxa"/>
            <w:tcBorders>
              <w:left w:val="single" w:sz="8" w:space="0" w:color="DF2F1E"/>
              <w:right w:val="nil"/>
            </w:tcBorders>
          </w:tcPr>
          <w:p>
            <w:pPr>
              <w:pStyle w:val="TableParagraph"/>
              <w:ind w:right="388"/>
              <w:jc w:val="right"/>
              <w:rPr>
                <w:sz w:val="16"/>
              </w:rPr>
            </w:pPr>
            <w:r>
              <w:rPr>
                <w:color w:val="404040"/>
                <w:sz w:val="16"/>
              </w:rPr>
              <w:t>1,597</w:t>
            </w:r>
          </w:p>
        </w:tc>
        <w:tc>
          <w:tcPr>
            <w:tcW w:w="1199" w:type="dxa"/>
            <w:tcBorders>
              <w:left w:val="nil"/>
              <w:right w:val="single" w:sz="8" w:space="0" w:color="DF2F1E"/>
            </w:tcBorders>
          </w:tcPr>
          <w:p>
            <w:pPr>
              <w:pStyle w:val="TableParagraph"/>
              <w:ind w:right="431"/>
              <w:jc w:val="right"/>
              <w:rPr>
                <w:sz w:val="16"/>
              </w:rPr>
            </w:pPr>
            <w:r>
              <w:rPr>
                <w:color w:val="404040"/>
                <w:sz w:val="16"/>
              </w:rPr>
              <w:t>6.4%</w:t>
            </w:r>
          </w:p>
        </w:tc>
        <w:tc>
          <w:tcPr>
            <w:tcW w:w="1192" w:type="dxa"/>
            <w:tcBorders>
              <w:left w:val="single" w:sz="8" w:space="0" w:color="DF2F1E"/>
              <w:right w:val="nil"/>
            </w:tcBorders>
          </w:tcPr>
          <w:p>
            <w:pPr>
              <w:pStyle w:val="TableParagraph"/>
              <w:ind w:right="443"/>
              <w:jc w:val="right"/>
              <w:rPr>
                <w:sz w:val="16"/>
              </w:rPr>
            </w:pPr>
            <w:r>
              <w:rPr>
                <w:color w:val="404040"/>
                <w:sz w:val="16"/>
              </w:rPr>
              <w:t>59</w:t>
            </w:r>
          </w:p>
        </w:tc>
      </w:tr>
      <w:tr>
        <w:trPr>
          <w:trHeight w:val="263" w:hRule="atLeast"/>
        </w:trPr>
        <w:tc>
          <w:tcPr>
            <w:tcW w:w="3458" w:type="dxa"/>
            <w:tcBorders>
              <w:right w:val="single" w:sz="8" w:space="0" w:color="DF2F1E"/>
            </w:tcBorders>
          </w:tcPr>
          <w:p>
            <w:pPr>
              <w:pStyle w:val="TableParagraph"/>
              <w:spacing w:before="34"/>
              <w:ind w:left="107"/>
              <w:rPr>
                <w:b/>
                <w:sz w:val="16"/>
              </w:rPr>
            </w:pPr>
            <w:r>
              <w:rPr>
                <w:b/>
                <w:color w:val="404040"/>
                <w:sz w:val="16"/>
              </w:rPr>
              <w:t>10 - Previous clients, exited 4+ years</w:t>
            </w:r>
          </w:p>
        </w:tc>
        <w:tc>
          <w:tcPr>
            <w:tcW w:w="1194" w:type="dxa"/>
            <w:tcBorders>
              <w:left w:val="single" w:sz="8" w:space="0" w:color="DF2F1E"/>
              <w:right w:val="nil"/>
            </w:tcBorders>
          </w:tcPr>
          <w:p>
            <w:pPr>
              <w:pStyle w:val="TableParagraph"/>
              <w:ind w:right="421"/>
              <w:jc w:val="right"/>
              <w:rPr>
                <w:sz w:val="16"/>
              </w:rPr>
            </w:pPr>
            <w:r>
              <w:rPr>
                <w:color w:val="404040"/>
                <w:sz w:val="16"/>
              </w:rPr>
              <w:t>2,951</w:t>
            </w:r>
          </w:p>
        </w:tc>
        <w:tc>
          <w:tcPr>
            <w:tcW w:w="1186" w:type="dxa"/>
            <w:tcBorders>
              <w:left w:val="nil"/>
              <w:right w:val="single" w:sz="8" w:space="0" w:color="DF2F1E"/>
            </w:tcBorders>
          </w:tcPr>
          <w:p>
            <w:pPr>
              <w:pStyle w:val="TableParagraph"/>
              <w:ind w:right="384"/>
              <w:jc w:val="right"/>
              <w:rPr>
                <w:sz w:val="16"/>
              </w:rPr>
            </w:pPr>
            <w:r>
              <w:rPr>
                <w:color w:val="404040"/>
                <w:sz w:val="16"/>
              </w:rPr>
              <w:t>12.0%</w:t>
            </w:r>
          </w:p>
        </w:tc>
        <w:tc>
          <w:tcPr>
            <w:tcW w:w="1183" w:type="dxa"/>
            <w:tcBorders>
              <w:left w:val="single" w:sz="8" w:space="0" w:color="DF2F1E"/>
              <w:right w:val="nil"/>
            </w:tcBorders>
          </w:tcPr>
          <w:p>
            <w:pPr>
              <w:pStyle w:val="TableParagraph"/>
              <w:ind w:right="388"/>
              <w:jc w:val="right"/>
              <w:rPr>
                <w:sz w:val="16"/>
              </w:rPr>
            </w:pPr>
            <w:r>
              <w:rPr>
                <w:color w:val="404040"/>
                <w:sz w:val="16"/>
              </w:rPr>
              <w:t>3,219</w:t>
            </w:r>
          </w:p>
        </w:tc>
        <w:tc>
          <w:tcPr>
            <w:tcW w:w="1199" w:type="dxa"/>
            <w:tcBorders>
              <w:left w:val="nil"/>
              <w:right w:val="single" w:sz="8" w:space="0" w:color="DF2F1E"/>
            </w:tcBorders>
          </w:tcPr>
          <w:p>
            <w:pPr>
              <w:pStyle w:val="TableParagraph"/>
              <w:ind w:right="431"/>
              <w:jc w:val="right"/>
              <w:rPr>
                <w:sz w:val="16"/>
              </w:rPr>
            </w:pPr>
            <w:r>
              <w:rPr>
                <w:color w:val="404040"/>
                <w:sz w:val="16"/>
              </w:rPr>
              <w:t>12.9%</w:t>
            </w:r>
          </w:p>
        </w:tc>
        <w:tc>
          <w:tcPr>
            <w:tcW w:w="1192" w:type="dxa"/>
            <w:tcBorders>
              <w:left w:val="single" w:sz="8" w:space="0" w:color="DF2F1E"/>
              <w:right w:val="nil"/>
            </w:tcBorders>
          </w:tcPr>
          <w:p>
            <w:pPr>
              <w:pStyle w:val="TableParagraph"/>
              <w:ind w:right="443"/>
              <w:jc w:val="right"/>
              <w:rPr>
                <w:sz w:val="16"/>
              </w:rPr>
            </w:pPr>
            <w:r>
              <w:rPr>
                <w:color w:val="404040"/>
                <w:sz w:val="16"/>
              </w:rPr>
              <w:t>268</w:t>
            </w:r>
          </w:p>
        </w:tc>
      </w:tr>
      <w:tr>
        <w:trPr>
          <w:trHeight w:val="263" w:hRule="atLeast"/>
        </w:trPr>
        <w:tc>
          <w:tcPr>
            <w:tcW w:w="3458" w:type="dxa"/>
            <w:tcBorders>
              <w:right w:val="single" w:sz="8" w:space="0" w:color="DF2F1E"/>
            </w:tcBorders>
            <w:shd w:val="clear" w:color="auto" w:fill="F3ABA3"/>
          </w:tcPr>
          <w:p>
            <w:pPr>
              <w:pStyle w:val="TableParagraph"/>
              <w:spacing w:before="34"/>
              <w:ind w:left="107"/>
              <w:rPr>
                <w:b/>
                <w:sz w:val="16"/>
              </w:rPr>
            </w:pPr>
            <w:r>
              <w:rPr>
                <w:b/>
                <w:color w:val="404040"/>
                <w:sz w:val="16"/>
              </w:rPr>
              <w:t>Total previous client population</w:t>
            </w:r>
          </w:p>
        </w:tc>
        <w:tc>
          <w:tcPr>
            <w:tcW w:w="1194" w:type="dxa"/>
            <w:tcBorders>
              <w:left w:val="single" w:sz="8" w:space="0" w:color="DF2F1E"/>
              <w:right w:val="nil"/>
            </w:tcBorders>
            <w:shd w:val="clear" w:color="auto" w:fill="F3ABA3"/>
          </w:tcPr>
          <w:p>
            <w:pPr>
              <w:pStyle w:val="TableParagraph"/>
              <w:ind w:right="421"/>
              <w:jc w:val="right"/>
              <w:rPr>
                <w:sz w:val="16"/>
              </w:rPr>
            </w:pPr>
            <w:r>
              <w:rPr>
                <w:color w:val="404040"/>
                <w:sz w:val="16"/>
              </w:rPr>
              <w:t>4,490</w:t>
            </w:r>
          </w:p>
        </w:tc>
        <w:tc>
          <w:tcPr>
            <w:tcW w:w="1186" w:type="dxa"/>
            <w:tcBorders>
              <w:left w:val="nil"/>
              <w:right w:val="single" w:sz="8" w:space="0" w:color="DF2F1E"/>
            </w:tcBorders>
            <w:shd w:val="clear" w:color="auto" w:fill="F3ABA3"/>
          </w:tcPr>
          <w:p>
            <w:pPr>
              <w:pStyle w:val="TableParagraph"/>
              <w:ind w:right="384"/>
              <w:jc w:val="right"/>
              <w:rPr>
                <w:sz w:val="16"/>
              </w:rPr>
            </w:pPr>
            <w:r>
              <w:rPr>
                <w:color w:val="404040"/>
                <w:sz w:val="16"/>
              </w:rPr>
              <w:t>18.2%</w:t>
            </w:r>
          </w:p>
        </w:tc>
        <w:tc>
          <w:tcPr>
            <w:tcW w:w="1183" w:type="dxa"/>
            <w:tcBorders>
              <w:left w:val="single" w:sz="8" w:space="0" w:color="DF2F1E"/>
              <w:right w:val="nil"/>
            </w:tcBorders>
            <w:shd w:val="clear" w:color="auto" w:fill="F3ABA3"/>
          </w:tcPr>
          <w:p>
            <w:pPr>
              <w:pStyle w:val="TableParagraph"/>
              <w:ind w:right="388"/>
              <w:jc w:val="right"/>
              <w:rPr>
                <w:sz w:val="16"/>
              </w:rPr>
            </w:pPr>
            <w:r>
              <w:rPr>
                <w:color w:val="404040"/>
                <w:sz w:val="16"/>
              </w:rPr>
              <w:t>4,816</w:t>
            </w:r>
          </w:p>
        </w:tc>
        <w:tc>
          <w:tcPr>
            <w:tcW w:w="1199" w:type="dxa"/>
            <w:tcBorders>
              <w:left w:val="nil"/>
              <w:right w:val="single" w:sz="8" w:space="0" w:color="DF2F1E"/>
            </w:tcBorders>
            <w:shd w:val="clear" w:color="auto" w:fill="F3ABA3"/>
          </w:tcPr>
          <w:p>
            <w:pPr>
              <w:pStyle w:val="TableParagraph"/>
              <w:ind w:right="431"/>
              <w:jc w:val="right"/>
              <w:rPr>
                <w:sz w:val="16"/>
              </w:rPr>
            </w:pPr>
            <w:r>
              <w:rPr>
                <w:color w:val="404040"/>
                <w:sz w:val="16"/>
              </w:rPr>
              <w:t>19.2%</w:t>
            </w:r>
          </w:p>
        </w:tc>
        <w:tc>
          <w:tcPr>
            <w:tcW w:w="1192" w:type="dxa"/>
            <w:tcBorders>
              <w:left w:val="single" w:sz="8" w:space="0" w:color="DF2F1E"/>
              <w:right w:val="nil"/>
            </w:tcBorders>
            <w:shd w:val="clear" w:color="auto" w:fill="F3ABA3"/>
          </w:tcPr>
          <w:p>
            <w:pPr>
              <w:pStyle w:val="TableParagraph"/>
              <w:ind w:right="443"/>
              <w:jc w:val="right"/>
              <w:rPr>
                <w:sz w:val="16"/>
              </w:rPr>
            </w:pPr>
            <w:r>
              <w:rPr>
                <w:color w:val="404040"/>
                <w:sz w:val="16"/>
              </w:rPr>
              <w:t>327</w:t>
            </w:r>
          </w:p>
        </w:tc>
      </w:tr>
      <w:tr>
        <w:trPr>
          <w:trHeight w:val="263" w:hRule="atLeast"/>
        </w:trPr>
        <w:tc>
          <w:tcPr>
            <w:tcW w:w="3458" w:type="dxa"/>
            <w:tcBorders>
              <w:right w:val="single" w:sz="8" w:space="0" w:color="DF2F1E"/>
            </w:tcBorders>
          </w:tcPr>
          <w:p>
            <w:pPr>
              <w:pStyle w:val="TableParagraph"/>
              <w:spacing w:before="34"/>
              <w:ind w:left="107"/>
              <w:rPr>
                <w:b/>
                <w:sz w:val="16"/>
              </w:rPr>
            </w:pPr>
            <w:r>
              <w:rPr>
                <w:b/>
                <w:color w:val="404040"/>
                <w:sz w:val="16"/>
              </w:rPr>
              <w:t>12 - Rest of Australian resident population</w:t>
            </w:r>
          </w:p>
        </w:tc>
        <w:tc>
          <w:tcPr>
            <w:tcW w:w="1194" w:type="dxa"/>
            <w:tcBorders>
              <w:left w:val="single" w:sz="8" w:space="0" w:color="DF2F1E"/>
              <w:right w:val="nil"/>
            </w:tcBorders>
          </w:tcPr>
          <w:p>
            <w:pPr>
              <w:pStyle w:val="TableParagraph"/>
              <w:ind w:right="421"/>
              <w:jc w:val="right"/>
              <w:rPr>
                <w:sz w:val="16"/>
              </w:rPr>
            </w:pPr>
            <w:r>
              <w:rPr>
                <w:color w:val="404040"/>
                <w:sz w:val="16"/>
              </w:rPr>
              <w:t>12,122</w:t>
            </w:r>
          </w:p>
        </w:tc>
        <w:tc>
          <w:tcPr>
            <w:tcW w:w="1186" w:type="dxa"/>
            <w:tcBorders>
              <w:left w:val="nil"/>
              <w:right w:val="single" w:sz="8" w:space="0" w:color="DF2F1E"/>
            </w:tcBorders>
          </w:tcPr>
          <w:p>
            <w:pPr>
              <w:pStyle w:val="TableParagraph"/>
              <w:ind w:right="384"/>
              <w:jc w:val="right"/>
              <w:rPr>
                <w:sz w:val="16"/>
              </w:rPr>
            </w:pPr>
            <w:r>
              <w:rPr>
                <w:color w:val="404040"/>
                <w:sz w:val="16"/>
              </w:rPr>
              <w:t>49.2%</w:t>
            </w:r>
          </w:p>
        </w:tc>
        <w:tc>
          <w:tcPr>
            <w:tcW w:w="1183" w:type="dxa"/>
            <w:tcBorders>
              <w:left w:val="single" w:sz="8" w:space="0" w:color="DF2F1E"/>
              <w:right w:val="nil"/>
            </w:tcBorders>
          </w:tcPr>
          <w:p>
            <w:pPr>
              <w:pStyle w:val="TableParagraph"/>
              <w:ind w:right="388"/>
              <w:jc w:val="right"/>
              <w:rPr>
                <w:sz w:val="16"/>
              </w:rPr>
            </w:pPr>
            <w:r>
              <w:rPr>
                <w:color w:val="404040"/>
                <w:sz w:val="16"/>
              </w:rPr>
              <w:t>12,266</w:t>
            </w:r>
          </w:p>
        </w:tc>
        <w:tc>
          <w:tcPr>
            <w:tcW w:w="1199" w:type="dxa"/>
            <w:tcBorders>
              <w:left w:val="nil"/>
              <w:right w:val="single" w:sz="8" w:space="0" w:color="DF2F1E"/>
            </w:tcBorders>
          </w:tcPr>
          <w:p>
            <w:pPr>
              <w:pStyle w:val="TableParagraph"/>
              <w:ind w:right="431"/>
              <w:jc w:val="right"/>
              <w:rPr>
                <w:sz w:val="16"/>
              </w:rPr>
            </w:pPr>
            <w:r>
              <w:rPr>
                <w:color w:val="404040"/>
                <w:sz w:val="16"/>
              </w:rPr>
              <w:t>49.0%</w:t>
            </w:r>
          </w:p>
        </w:tc>
        <w:tc>
          <w:tcPr>
            <w:tcW w:w="1192" w:type="dxa"/>
            <w:tcBorders>
              <w:left w:val="single" w:sz="8" w:space="0" w:color="DF2F1E"/>
              <w:right w:val="nil"/>
            </w:tcBorders>
          </w:tcPr>
          <w:p>
            <w:pPr>
              <w:pStyle w:val="TableParagraph"/>
              <w:ind w:right="443"/>
              <w:jc w:val="right"/>
              <w:rPr>
                <w:sz w:val="16"/>
              </w:rPr>
            </w:pPr>
            <w:r>
              <w:rPr>
                <w:color w:val="404040"/>
                <w:sz w:val="16"/>
              </w:rPr>
              <w:t>144</w:t>
            </w:r>
          </w:p>
        </w:tc>
      </w:tr>
      <w:tr>
        <w:trPr>
          <w:trHeight w:val="265" w:hRule="atLeast"/>
        </w:trPr>
        <w:tc>
          <w:tcPr>
            <w:tcW w:w="3458" w:type="dxa"/>
            <w:tcBorders>
              <w:right w:val="single" w:sz="8" w:space="0" w:color="DF2F1E"/>
            </w:tcBorders>
            <w:shd w:val="clear" w:color="auto" w:fill="F3ABA3"/>
          </w:tcPr>
          <w:p>
            <w:pPr>
              <w:pStyle w:val="TableParagraph"/>
              <w:spacing w:before="34"/>
              <w:ind w:left="107"/>
              <w:rPr>
                <w:b/>
                <w:sz w:val="16"/>
              </w:rPr>
            </w:pPr>
            <w:r>
              <w:rPr>
                <w:b/>
                <w:color w:val="404040"/>
                <w:sz w:val="16"/>
              </w:rPr>
              <w:t>Total Australian model population</w:t>
            </w:r>
          </w:p>
        </w:tc>
        <w:tc>
          <w:tcPr>
            <w:tcW w:w="1194" w:type="dxa"/>
            <w:tcBorders>
              <w:left w:val="single" w:sz="8" w:space="0" w:color="DF2F1E"/>
              <w:right w:val="nil"/>
            </w:tcBorders>
            <w:shd w:val="clear" w:color="auto" w:fill="F3ABA3"/>
          </w:tcPr>
          <w:p>
            <w:pPr>
              <w:pStyle w:val="TableParagraph"/>
              <w:ind w:right="421"/>
              <w:jc w:val="right"/>
              <w:rPr>
                <w:sz w:val="16"/>
              </w:rPr>
            </w:pPr>
            <w:r>
              <w:rPr>
                <w:color w:val="404040"/>
                <w:sz w:val="16"/>
              </w:rPr>
              <w:t>24,654</w:t>
            </w:r>
          </w:p>
        </w:tc>
        <w:tc>
          <w:tcPr>
            <w:tcW w:w="1186" w:type="dxa"/>
            <w:tcBorders>
              <w:left w:val="nil"/>
              <w:right w:val="single" w:sz="8" w:space="0" w:color="DF2F1E"/>
            </w:tcBorders>
            <w:shd w:val="clear" w:color="auto" w:fill="F3ABA3"/>
          </w:tcPr>
          <w:p>
            <w:pPr>
              <w:pStyle w:val="TableParagraph"/>
              <w:ind w:right="384"/>
              <w:jc w:val="right"/>
              <w:rPr>
                <w:sz w:val="16"/>
              </w:rPr>
            </w:pPr>
            <w:r>
              <w:rPr>
                <w:color w:val="404040"/>
                <w:sz w:val="16"/>
              </w:rPr>
              <w:t>100.0%</w:t>
            </w:r>
          </w:p>
        </w:tc>
        <w:tc>
          <w:tcPr>
            <w:tcW w:w="1183" w:type="dxa"/>
            <w:tcBorders>
              <w:left w:val="single" w:sz="8" w:space="0" w:color="DF2F1E"/>
              <w:right w:val="nil"/>
            </w:tcBorders>
            <w:shd w:val="clear" w:color="auto" w:fill="F3ABA3"/>
          </w:tcPr>
          <w:p>
            <w:pPr>
              <w:pStyle w:val="TableParagraph"/>
              <w:ind w:right="388"/>
              <w:jc w:val="right"/>
              <w:rPr>
                <w:sz w:val="16"/>
              </w:rPr>
            </w:pPr>
            <w:r>
              <w:rPr>
                <w:color w:val="404040"/>
                <w:sz w:val="16"/>
              </w:rPr>
              <w:t>25,033</w:t>
            </w:r>
          </w:p>
        </w:tc>
        <w:tc>
          <w:tcPr>
            <w:tcW w:w="1199" w:type="dxa"/>
            <w:tcBorders>
              <w:left w:val="nil"/>
              <w:right w:val="single" w:sz="8" w:space="0" w:color="DF2F1E"/>
            </w:tcBorders>
            <w:shd w:val="clear" w:color="auto" w:fill="F3ABA3"/>
          </w:tcPr>
          <w:p>
            <w:pPr>
              <w:pStyle w:val="TableParagraph"/>
              <w:ind w:right="431"/>
              <w:jc w:val="right"/>
              <w:rPr>
                <w:sz w:val="16"/>
              </w:rPr>
            </w:pPr>
            <w:r>
              <w:rPr>
                <w:color w:val="404040"/>
                <w:sz w:val="16"/>
              </w:rPr>
              <w:t>100.0%</w:t>
            </w:r>
          </w:p>
        </w:tc>
        <w:tc>
          <w:tcPr>
            <w:tcW w:w="1192" w:type="dxa"/>
            <w:tcBorders>
              <w:left w:val="single" w:sz="8" w:space="0" w:color="DF2F1E"/>
              <w:right w:val="nil"/>
            </w:tcBorders>
            <w:shd w:val="clear" w:color="auto" w:fill="F3ABA3"/>
          </w:tcPr>
          <w:p>
            <w:pPr>
              <w:pStyle w:val="TableParagraph"/>
              <w:ind w:right="443"/>
              <w:jc w:val="right"/>
              <w:rPr>
                <w:sz w:val="16"/>
              </w:rPr>
            </w:pPr>
            <w:r>
              <w:rPr>
                <w:color w:val="404040"/>
                <w:sz w:val="16"/>
              </w:rPr>
              <w:t>380</w:t>
            </w:r>
          </w:p>
        </w:tc>
      </w:tr>
    </w:tbl>
    <w:p>
      <w:pPr>
        <w:pStyle w:val="BodyText"/>
        <w:spacing w:before="117"/>
        <w:ind w:left="899" w:right="1210"/>
      </w:pPr>
      <w:r>
        <w:rPr>
          <w:color w:val="404040"/>
        </w:rPr>
        <w:t>These changes in class population reflect the combined effect of changes in legislation, changes to the underlying population size and demographics, as well as to the welfare system utilisation. The main drivers of the changing numbers for the income support classes are as follows:</w:t>
      </w:r>
    </w:p>
    <w:p>
      <w:pPr>
        <w:pStyle w:val="ListParagraph"/>
        <w:numPr>
          <w:ilvl w:val="0"/>
          <w:numId w:val="31"/>
        </w:numPr>
        <w:tabs>
          <w:tab w:pos="1184" w:val="left" w:leader="none"/>
        </w:tabs>
        <w:spacing w:line="240" w:lineRule="auto" w:before="120" w:after="0"/>
        <w:ind w:left="1183" w:right="1322" w:hanging="284"/>
        <w:jc w:val="left"/>
        <w:rPr>
          <w:rFonts w:ascii="Symbol" w:hAnsi="Symbol"/>
          <w:sz w:val="20"/>
        </w:rPr>
      </w:pPr>
      <w:r>
        <w:rPr>
          <w:color w:val="DF2F1E"/>
          <w:sz w:val="20"/>
        </w:rPr>
        <w:t>Studying payment recipients: </w:t>
      </w:r>
      <w:r>
        <w:rPr>
          <w:color w:val="404040"/>
          <w:sz w:val="20"/>
        </w:rPr>
        <w:t>the number of people in this class reduced over the last year by 12,000 people.</w:t>
      </w:r>
      <w:r>
        <w:rPr>
          <w:color w:val="404040"/>
          <w:spacing w:val="-2"/>
          <w:sz w:val="20"/>
        </w:rPr>
        <w:t> </w:t>
      </w:r>
      <w:r>
        <w:rPr>
          <w:color w:val="404040"/>
          <w:sz w:val="20"/>
        </w:rPr>
        <w:t>The</w:t>
      </w:r>
      <w:r>
        <w:rPr>
          <w:color w:val="404040"/>
          <w:spacing w:val="-3"/>
          <w:sz w:val="20"/>
        </w:rPr>
        <w:t> </w:t>
      </w:r>
      <w:r>
        <w:rPr>
          <w:color w:val="404040"/>
          <w:sz w:val="20"/>
        </w:rPr>
        <w:t>majority</w:t>
      </w:r>
      <w:r>
        <w:rPr>
          <w:color w:val="404040"/>
          <w:spacing w:val="-7"/>
          <w:sz w:val="20"/>
        </w:rPr>
        <w:t> </w:t>
      </w:r>
      <w:r>
        <w:rPr>
          <w:color w:val="404040"/>
          <w:sz w:val="20"/>
        </w:rPr>
        <w:t>of</w:t>
      </w:r>
      <w:r>
        <w:rPr>
          <w:color w:val="404040"/>
          <w:spacing w:val="-1"/>
          <w:sz w:val="20"/>
        </w:rPr>
        <w:t> </w:t>
      </w:r>
      <w:r>
        <w:rPr>
          <w:color w:val="404040"/>
          <w:sz w:val="20"/>
        </w:rPr>
        <w:t>transitions</w:t>
      </w:r>
      <w:r>
        <w:rPr>
          <w:color w:val="404040"/>
          <w:spacing w:val="-3"/>
          <w:sz w:val="20"/>
        </w:rPr>
        <w:t> </w:t>
      </w:r>
      <w:r>
        <w:rPr>
          <w:color w:val="404040"/>
          <w:sz w:val="20"/>
        </w:rPr>
        <w:t>out</w:t>
      </w:r>
      <w:r>
        <w:rPr>
          <w:color w:val="404040"/>
          <w:spacing w:val="-1"/>
          <w:sz w:val="20"/>
        </w:rPr>
        <w:t> </w:t>
      </w:r>
      <w:r>
        <w:rPr>
          <w:color w:val="404040"/>
          <w:sz w:val="20"/>
        </w:rPr>
        <w:t>of</w:t>
      </w:r>
      <w:r>
        <w:rPr>
          <w:color w:val="404040"/>
          <w:spacing w:val="-2"/>
          <w:sz w:val="20"/>
        </w:rPr>
        <w:t> </w:t>
      </w:r>
      <w:r>
        <w:rPr>
          <w:color w:val="404040"/>
          <w:sz w:val="20"/>
        </w:rPr>
        <w:t>this</w:t>
      </w:r>
      <w:r>
        <w:rPr>
          <w:color w:val="404040"/>
          <w:spacing w:val="-2"/>
          <w:sz w:val="20"/>
        </w:rPr>
        <w:t> </w:t>
      </w:r>
      <w:r>
        <w:rPr>
          <w:color w:val="404040"/>
          <w:sz w:val="20"/>
        </w:rPr>
        <w:t>class were</w:t>
      </w:r>
      <w:r>
        <w:rPr>
          <w:color w:val="404040"/>
          <w:spacing w:val="-3"/>
          <w:sz w:val="20"/>
        </w:rPr>
        <w:t> </w:t>
      </w:r>
      <w:r>
        <w:rPr>
          <w:color w:val="404040"/>
          <w:sz w:val="20"/>
        </w:rPr>
        <w:t>to</w:t>
      </w:r>
      <w:r>
        <w:rPr>
          <w:color w:val="404040"/>
          <w:spacing w:val="-4"/>
          <w:sz w:val="20"/>
        </w:rPr>
        <w:t> </w:t>
      </w:r>
      <w:r>
        <w:rPr>
          <w:color w:val="404040"/>
          <w:sz w:val="20"/>
        </w:rPr>
        <w:t>the</w:t>
      </w:r>
      <w:r>
        <w:rPr>
          <w:color w:val="404040"/>
          <w:spacing w:val="-1"/>
          <w:sz w:val="20"/>
        </w:rPr>
        <w:t> </w:t>
      </w:r>
      <w:r>
        <w:rPr>
          <w:color w:val="404040"/>
          <w:sz w:val="20"/>
        </w:rPr>
        <w:t>previous</w:t>
      </w:r>
      <w:r>
        <w:rPr>
          <w:color w:val="404040"/>
          <w:spacing w:val="-3"/>
          <w:sz w:val="20"/>
        </w:rPr>
        <w:t> </w:t>
      </w:r>
      <w:r>
        <w:rPr>
          <w:color w:val="404040"/>
          <w:sz w:val="20"/>
        </w:rPr>
        <w:t>clients</w:t>
      </w:r>
      <w:r>
        <w:rPr>
          <w:color w:val="404040"/>
          <w:spacing w:val="-2"/>
          <w:sz w:val="20"/>
        </w:rPr>
        <w:t> </w:t>
      </w:r>
      <w:r>
        <w:rPr>
          <w:color w:val="404040"/>
          <w:sz w:val="20"/>
        </w:rPr>
        <w:t>and</w:t>
      </w:r>
      <w:r>
        <w:rPr>
          <w:color w:val="404040"/>
          <w:spacing w:val="-8"/>
          <w:sz w:val="20"/>
        </w:rPr>
        <w:t> </w:t>
      </w:r>
      <w:r>
        <w:rPr>
          <w:color w:val="404040"/>
          <w:sz w:val="20"/>
        </w:rPr>
        <w:t>Working</w:t>
      </w:r>
      <w:r>
        <w:rPr>
          <w:color w:val="404040"/>
          <w:spacing w:val="-3"/>
          <w:sz w:val="20"/>
        </w:rPr>
        <w:t> </w:t>
      </w:r>
      <w:r>
        <w:rPr>
          <w:color w:val="404040"/>
          <w:sz w:val="20"/>
        </w:rPr>
        <w:t>Age</w:t>
      </w:r>
      <w:r>
        <w:rPr>
          <w:color w:val="404040"/>
          <w:spacing w:val="-3"/>
          <w:sz w:val="20"/>
        </w:rPr>
        <w:t> </w:t>
      </w:r>
      <w:r>
        <w:rPr>
          <w:color w:val="404040"/>
          <w:sz w:val="20"/>
        </w:rPr>
        <w:t>classes.</w:t>
      </w:r>
    </w:p>
    <w:p>
      <w:pPr>
        <w:pStyle w:val="ListParagraph"/>
        <w:numPr>
          <w:ilvl w:val="0"/>
          <w:numId w:val="31"/>
        </w:numPr>
        <w:tabs>
          <w:tab w:pos="1184" w:val="left" w:leader="none"/>
        </w:tabs>
        <w:spacing w:line="240" w:lineRule="auto" w:before="118" w:after="0"/>
        <w:ind w:left="1183" w:right="1121" w:hanging="284"/>
        <w:jc w:val="left"/>
        <w:rPr>
          <w:rFonts w:ascii="Symbol" w:hAnsi="Symbol"/>
          <w:sz w:val="20"/>
        </w:rPr>
      </w:pPr>
      <w:r>
        <w:rPr>
          <w:color w:val="DF2F1E"/>
          <w:sz w:val="20"/>
        </w:rPr>
        <w:t>Working Age payment recipients: </w:t>
      </w:r>
      <w:r>
        <w:rPr>
          <w:color w:val="404040"/>
          <w:sz w:val="20"/>
        </w:rPr>
        <w:t>the number of people in this class reduced by 64,000 people over the last year and now represents 4.9% of the total population (down from 5.3% at June 2017). This is reflective of the decreasing entries into the class noted earlier in this</w:t>
      </w:r>
      <w:r>
        <w:rPr>
          <w:color w:val="404040"/>
          <w:spacing w:val="-4"/>
          <w:sz w:val="20"/>
        </w:rPr>
        <w:t> </w:t>
      </w:r>
      <w:r>
        <w:rPr>
          <w:color w:val="404040"/>
          <w:sz w:val="20"/>
        </w:rPr>
        <w:t>section.</w:t>
      </w:r>
    </w:p>
    <w:p>
      <w:pPr>
        <w:pStyle w:val="BodyText"/>
        <w:spacing w:before="119"/>
        <w:ind w:left="1182" w:right="1072"/>
      </w:pPr>
      <w:r>
        <w:rPr>
          <w:color w:val="404040"/>
        </w:rPr>
        <w:t>It is also worth noting that people in this class are quite mobile, with around a quarter of people in the class expected to exit each year and a similarly substantial number of new entrants. The effect of small changes to the entrant and exit experience can have a significant effect on class numbers and we would expect this to be the main driver of the numbers of people in this class (rather than movements to and from other active classes). This is also likely to be one of the elements of the experience that changes most from year to year as a result of external environmental factors.</w:t>
      </w:r>
    </w:p>
    <w:p>
      <w:pPr>
        <w:pStyle w:val="ListParagraph"/>
        <w:numPr>
          <w:ilvl w:val="0"/>
          <w:numId w:val="31"/>
        </w:numPr>
        <w:tabs>
          <w:tab w:pos="1183" w:val="left" w:leader="none"/>
        </w:tabs>
        <w:spacing w:line="240" w:lineRule="auto" w:before="119" w:after="0"/>
        <w:ind w:left="1182" w:right="1063" w:hanging="284"/>
        <w:jc w:val="left"/>
        <w:rPr>
          <w:rFonts w:ascii="Symbol" w:hAnsi="Symbol"/>
          <w:sz w:val="20"/>
        </w:rPr>
      </w:pPr>
      <w:r>
        <w:rPr>
          <w:color w:val="DF2F1E"/>
          <w:sz w:val="20"/>
        </w:rPr>
        <w:t>Parenting payment recipients: </w:t>
      </w:r>
      <w:r>
        <w:rPr>
          <w:color w:val="404040"/>
          <w:sz w:val="20"/>
        </w:rPr>
        <w:t>the number of Parenting payment recipients has reduced by 52,000 people since last year. This is a result of lower entries than exits over the last year, as well as the removal from the data of a group of people with a Parenting payment type recorded in the data but zero payment entitlements (this technical data change is discussed in section </w:t>
      </w:r>
      <w:hyperlink w:history="true" w:anchor="_bookmark23">
        <w:r>
          <w:rPr>
            <w:color w:val="404040"/>
            <w:sz w:val="20"/>
          </w:rPr>
          <w:t>3.3</w:t>
        </w:r>
      </w:hyperlink>
      <w:r>
        <w:rPr>
          <w:color w:val="404040"/>
          <w:sz w:val="20"/>
        </w:rPr>
        <w:t>).</w:t>
      </w:r>
    </w:p>
    <w:p>
      <w:pPr>
        <w:pStyle w:val="ListParagraph"/>
        <w:numPr>
          <w:ilvl w:val="0"/>
          <w:numId w:val="31"/>
        </w:numPr>
        <w:tabs>
          <w:tab w:pos="1183" w:val="left" w:leader="none"/>
        </w:tabs>
        <w:spacing w:line="240" w:lineRule="auto" w:before="119" w:after="0"/>
        <w:ind w:left="1182" w:right="1578" w:hanging="284"/>
        <w:jc w:val="left"/>
        <w:rPr>
          <w:rFonts w:ascii="Symbol" w:hAnsi="Symbol"/>
          <w:sz w:val="20"/>
        </w:rPr>
      </w:pPr>
      <w:r>
        <w:rPr>
          <w:color w:val="DF2F1E"/>
          <w:sz w:val="20"/>
        </w:rPr>
        <w:t>Carer payment recipients: </w:t>
      </w:r>
      <w:r>
        <w:rPr>
          <w:color w:val="404040"/>
          <w:sz w:val="20"/>
        </w:rPr>
        <w:t>while this remains one of the smaller classes, the number of Carer payment recipients has continued to grow and there are 17,000 more people in this class than at June</w:t>
      </w:r>
      <w:r>
        <w:rPr>
          <w:color w:val="404040"/>
          <w:spacing w:val="-30"/>
          <w:sz w:val="20"/>
        </w:rPr>
        <w:t> </w:t>
      </w:r>
      <w:r>
        <w:rPr>
          <w:color w:val="404040"/>
          <w:sz w:val="20"/>
        </w:rPr>
        <w:t>2017.</w:t>
      </w:r>
    </w:p>
    <w:p>
      <w:pPr>
        <w:pStyle w:val="ListParagraph"/>
        <w:numPr>
          <w:ilvl w:val="0"/>
          <w:numId w:val="31"/>
        </w:numPr>
        <w:tabs>
          <w:tab w:pos="1183" w:val="left" w:leader="none"/>
        </w:tabs>
        <w:spacing w:line="240" w:lineRule="auto" w:before="120" w:after="0"/>
        <w:ind w:left="1182" w:right="1175" w:hanging="284"/>
        <w:jc w:val="both"/>
        <w:rPr>
          <w:rFonts w:ascii="Symbol" w:hAnsi="Symbol"/>
          <w:sz w:val="20"/>
        </w:rPr>
      </w:pPr>
      <w:r>
        <w:rPr>
          <w:color w:val="DF2F1E"/>
          <w:sz w:val="20"/>
        </w:rPr>
        <w:t>Disability Support Pension recipients: </w:t>
      </w:r>
      <w:r>
        <w:rPr>
          <w:color w:val="404040"/>
          <w:sz w:val="20"/>
        </w:rPr>
        <w:t>the number of people in this class has increased marginally by 2,000 since June 2017. Exits from this class are mainly due to movements into the Pension Age class and due to death, and have been relatively stable over time and reflective of the age profile of the class. As</w:t>
      </w:r>
      <w:r>
        <w:rPr>
          <w:color w:val="404040"/>
          <w:spacing w:val="-35"/>
          <w:sz w:val="20"/>
        </w:rPr>
        <w:t> </w:t>
      </w:r>
      <w:r>
        <w:rPr>
          <w:color w:val="404040"/>
          <w:sz w:val="20"/>
        </w:rPr>
        <w:t>noted</w:t>
      </w:r>
    </w:p>
    <w:p>
      <w:pPr>
        <w:spacing w:after="0" w:line="240" w:lineRule="auto"/>
        <w:jc w:val="both"/>
        <w:rPr>
          <w:rFonts w:ascii="Symbol" w:hAnsi="Symbol"/>
          <w:sz w:val="20"/>
        </w:rPr>
        <w:sectPr>
          <w:pgSz w:w="11910" w:h="16850"/>
          <w:pgMar w:header="572" w:footer="581" w:top="780" w:bottom="780" w:left="120" w:right="0"/>
        </w:sectPr>
      </w:pPr>
    </w:p>
    <w:p>
      <w:pPr>
        <w:pStyle w:val="BodyText"/>
      </w:pPr>
    </w:p>
    <w:p>
      <w:pPr>
        <w:pStyle w:val="BodyText"/>
      </w:pPr>
    </w:p>
    <w:p>
      <w:pPr>
        <w:pStyle w:val="BodyText"/>
        <w:spacing w:before="7"/>
        <w:rPr>
          <w:sz w:val="21"/>
        </w:rPr>
      </w:pPr>
    </w:p>
    <w:p>
      <w:pPr>
        <w:pStyle w:val="BodyText"/>
        <w:spacing w:before="93"/>
        <w:ind w:left="1183" w:right="1159"/>
      </w:pPr>
      <w:r>
        <w:rPr>
          <w:color w:val="404040"/>
        </w:rPr>
        <w:t>previously, the new entrant numbers into this class have decreased over recent years. The number is also impacted by the increase in retirement age, with fewer people moving into the Age Pension class this year.</w:t>
      </w:r>
    </w:p>
    <w:p>
      <w:pPr>
        <w:pStyle w:val="ListParagraph"/>
        <w:numPr>
          <w:ilvl w:val="0"/>
          <w:numId w:val="31"/>
        </w:numPr>
        <w:tabs>
          <w:tab w:pos="1184" w:val="left" w:leader="none"/>
        </w:tabs>
        <w:spacing w:line="240" w:lineRule="auto" w:before="119" w:after="0"/>
        <w:ind w:left="1183" w:right="1043" w:hanging="284"/>
        <w:jc w:val="left"/>
        <w:rPr>
          <w:rFonts w:ascii="Symbol" w:hAnsi="Symbol"/>
          <w:sz w:val="20"/>
        </w:rPr>
      </w:pPr>
      <w:r>
        <w:rPr>
          <w:color w:val="DF2F1E"/>
          <w:sz w:val="20"/>
        </w:rPr>
        <w:t>Age Pension recipients: </w:t>
      </w:r>
      <w:r>
        <w:rPr>
          <w:color w:val="404040"/>
          <w:sz w:val="20"/>
        </w:rPr>
        <w:t>the number of age pensioners has decreased by 87,000. The key reason for this is the increase in Age Pension age seen over the year from 65 to 65.5. This has outweighed the experience of an increasing population of people at older ages in Australia, as a result of general population growth and the long term trend of increasing longevity. Additionally the change in the pension assets test has resulted in exits from the Age Pension class over the</w:t>
      </w:r>
      <w:r>
        <w:rPr>
          <w:color w:val="404040"/>
          <w:spacing w:val="3"/>
          <w:sz w:val="20"/>
        </w:rPr>
        <w:t> </w:t>
      </w:r>
      <w:r>
        <w:rPr>
          <w:color w:val="404040"/>
          <w:sz w:val="20"/>
        </w:rPr>
        <w:t>year.</w:t>
      </w:r>
    </w:p>
    <w:p>
      <w:pPr>
        <w:pStyle w:val="ListParagraph"/>
        <w:numPr>
          <w:ilvl w:val="0"/>
          <w:numId w:val="31"/>
        </w:numPr>
        <w:tabs>
          <w:tab w:pos="1184" w:val="left" w:leader="none"/>
        </w:tabs>
        <w:spacing w:line="240" w:lineRule="auto" w:before="120" w:after="0"/>
        <w:ind w:left="1183" w:right="1163" w:hanging="284"/>
        <w:jc w:val="left"/>
        <w:rPr>
          <w:rFonts w:ascii="Symbol" w:hAnsi="Symbol"/>
          <w:sz w:val="20"/>
        </w:rPr>
      </w:pPr>
      <w:r>
        <w:rPr>
          <w:color w:val="DF2F1E"/>
          <w:sz w:val="20"/>
        </w:rPr>
        <w:t>Non income support recipients: </w:t>
      </w:r>
      <w:r>
        <w:rPr>
          <w:color w:val="404040"/>
          <w:sz w:val="20"/>
        </w:rPr>
        <w:t>overall the number of non income support recipients is a little higher than last year, with the main increase seen in the Other Non IS class as a result of transitions from Age Pension into this class following the pension assets test</w:t>
      </w:r>
      <w:r>
        <w:rPr>
          <w:color w:val="404040"/>
          <w:spacing w:val="-3"/>
          <w:sz w:val="20"/>
        </w:rPr>
        <w:t> </w:t>
      </w:r>
      <w:r>
        <w:rPr>
          <w:color w:val="404040"/>
          <w:sz w:val="20"/>
        </w:rPr>
        <w:t>change</w:t>
      </w:r>
      <w:r>
        <w:rPr>
          <w:sz w:val="20"/>
        </w:rPr>
        <w:t>.</w:t>
      </w:r>
    </w:p>
    <w:p>
      <w:pPr>
        <w:pStyle w:val="ListParagraph"/>
        <w:numPr>
          <w:ilvl w:val="0"/>
          <w:numId w:val="31"/>
        </w:numPr>
        <w:tabs>
          <w:tab w:pos="1184" w:val="left" w:leader="none"/>
        </w:tabs>
        <w:spacing w:line="240" w:lineRule="auto" w:before="118" w:after="0"/>
        <w:ind w:left="1183" w:right="1032" w:hanging="284"/>
        <w:jc w:val="left"/>
        <w:rPr>
          <w:rFonts w:ascii="Symbol" w:hAnsi="Symbol"/>
          <w:sz w:val="20"/>
        </w:rPr>
      </w:pPr>
      <w:r>
        <w:rPr>
          <w:color w:val="DF2F1E"/>
          <w:sz w:val="20"/>
        </w:rPr>
        <w:t>Non welfare recipients: </w:t>
      </w:r>
      <w:r>
        <w:rPr>
          <w:color w:val="404040"/>
          <w:sz w:val="20"/>
        </w:rPr>
        <w:t>the previous welfare recipients and rest of Australian population classes have increased</w:t>
      </w:r>
      <w:r>
        <w:rPr>
          <w:color w:val="404040"/>
          <w:spacing w:val="-2"/>
          <w:sz w:val="20"/>
        </w:rPr>
        <w:t> </w:t>
      </w:r>
      <w:r>
        <w:rPr>
          <w:color w:val="404040"/>
          <w:sz w:val="20"/>
        </w:rPr>
        <w:t>by</w:t>
      </w:r>
      <w:r>
        <w:rPr>
          <w:color w:val="404040"/>
          <w:spacing w:val="-5"/>
          <w:sz w:val="20"/>
        </w:rPr>
        <w:t> </w:t>
      </w:r>
      <w:r>
        <w:rPr>
          <w:color w:val="404040"/>
          <w:sz w:val="20"/>
        </w:rPr>
        <w:t>470,000</w:t>
      </w:r>
      <w:r>
        <w:rPr>
          <w:color w:val="404040"/>
          <w:spacing w:val="-3"/>
          <w:sz w:val="20"/>
        </w:rPr>
        <w:t> </w:t>
      </w:r>
      <w:r>
        <w:rPr>
          <w:color w:val="404040"/>
          <w:sz w:val="20"/>
        </w:rPr>
        <w:t>people</w:t>
      </w:r>
      <w:r>
        <w:rPr>
          <w:color w:val="404040"/>
          <w:spacing w:val="-2"/>
          <w:sz w:val="20"/>
        </w:rPr>
        <w:t> </w:t>
      </w:r>
      <w:r>
        <w:rPr>
          <w:color w:val="404040"/>
          <w:sz w:val="20"/>
        </w:rPr>
        <w:t>in</w:t>
      </w:r>
      <w:r>
        <w:rPr>
          <w:color w:val="404040"/>
          <w:spacing w:val="-3"/>
          <w:sz w:val="20"/>
        </w:rPr>
        <w:t> </w:t>
      </w:r>
      <w:r>
        <w:rPr>
          <w:color w:val="404040"/>
          <w:sz w:val="20"/>
        </w:rPr>
        <w:t>total</w:t>
      </w:r>
      <w:r>
        <w:rPr>
          <w:color w:val="404040"/>
          <w:spacing w:val="-4"/>
          <w:sz w:val="20"/>
        </w:rPr>
        <w:t> </w:t>
      </w:r>
      <w:r>
        <w:rPr>
          <w:color w:val="404040"/>
          <w:sz w:val="20"/>
        </w:rPr>
        <w:t>and</w:t>
      </w:r>
      <w:r>
        <w:rPr>
          <w:color w:val="404040"/>
          <w:spacing w:val="-3"/>
          <w:sz w:val="20"/>
        </w:rPr>
        <w:t> </w:t>
      </w:r>
      <w:r>
        <w:rPr>
          <w:color w:val="404040"/>
          <w:sz w:val="20"/>
        </w:rPr>
        <w:t>now</w:t>
      </w:r>
      <w:r>
        <w:rPr>
          <w:color w:val="404040"/>
          <w:spacing w:val="-4"/>
          <w:sz w:val="20"/>
        </w:rPr>
        <w:t> </w:t>
      </w:r>
      <w:r>
        <w:rPr>
          <w:color w:val="404040"/>
          <w:sz w:val="20"/>
        </w:rPr>
        <w:t>make</w:t>
      </w:r>
      <w:r>
        <w:rPr>
          <w:color w:val="404040"/>
          <w:spacing w:val="-3"/>
          <w:sz w:val="20"/>
        </w:rPr>
        <w:t> </w:t>
      </w:r>
      <w:r>
        <w:rPr>
          <w:color w:val="404040"/>
          <w:sz w:val="20"/>
        </w:rPr>
        <w:t>up</w:t>
      </w:r>
      <w:r>
        <w:rPr>
          <w:color w:val="404040"/>
          <w:spacing w:val="-2"/>
          <w:sz w:val="20"/>
        </w:rPr>
        <w:t> </w:t>
      </w:r>
      <w:r>
        <w:rPr>
          <w:color w:val="404040"/>
          <w:sz w:val="20"/>
        </w:rPr>
        <w:t>68.2% of</w:t>
      </w:r>
      <w:r>
        <w:rPr>
          <w:color w:val="404040"/>
          <w:spacing w:val="-1"/>
          <w:sz w:val="20"/>
        </w:rPr>
        <w:t> </w:t>
      </w:r>
      <w:r>
        <w:rPr>
          <w:color w:val="404040"/>
          <w:sz w:val="20"/>
        </w:rPr>
        <w:t>the</w:t>
      </w:r>
      <w:r>
        <w:rPr>
          <w:color w:val="404040"/>
          <w:spacing w:val="-1"/>
          <w:sz w:val="20"/>
        </w:rPr>
        <w:t> </w:t>
      </w:r>
      <w:r>
        <w:rPr>
          <w:color w:val="404040"/>
          <w:sz w:val="20"/>
        </w:rPr>
        <w:t>population</w:t>
      </w:r>
      <w:r>
        <w:rPr>
          <w:color w:val="404040"/>
          <w:spacing w:val="-3"/>
          <w:sz w:val="20"/>
        </w:rPr>
        <w:t> </w:t>
      </w:r>
      <w:r>
        <w:rPr>
          <w:color w:val="404040"/>
          <w:sz w:val="20"/>
        </w:rPr>
        <w:t>(compared</w:t>
      </w:r>
      <w:r>
        <w:rPr>
          <w:color w:val="404040"/>
          <w:spacing w:val="-3"/>
          <w:sz w:val="20"/>
        </w:rPr>
        <w:t> </w:t>
      </w:r>
      <w:r>
        <w:rPr>
          <w:color w:val="404040"/>
          <w:sz w:val="20"/>
        </w:rPr>
        <w:t>to</w:t>
      </w:r>
      <w:r>
        <w:rPr>
          <w:color w:val="404040"/>
          <w:spacing w:val="-3"/>
          <w:sz w:val="20"/>
        </w:rPr>
        <w:t> </w:t>
      </w:r>
      <w:r>
        <w:rPr>
          <w:color w:val="404040"/>
          <w:sz w:val="20"/>
        </w:rPr>
        <w:t>67.4% at</w:t>
      </w:r>
      <w:r>
        <w:rPr>
          <w:color w:val="404040"/>
          <w:spacing w:val="-3"/>
          <w:sz w:val="20"/>
        </w:rPr>
        <w:t> </w:t>
      </w:r>
      <w:r>
        <w:rPr>
          <w:color w:val="404040"/>
          <w:sz w:val="20"/>
        </w:rPr>
        <w:t>June 2017). This increase in the numbers of non welfare recipients is reflective of the overall growth in the resident population of Australia. This is driven by year on year population growth as births and inwards migration exceed deaths and outwards</w:t>
      </w:r>
      <w:r>
        <w:rPr>
          <w:color w:val="404040"/>
          <w:spacing w:val="-2"/>
          <w:sz w:val="20"/>
        </w:rPr>
        <w:t> </w:t>
      </w:r>
      <w:r>
        <w:rPr>
          <w:color w:val="404040"/>
          <w:sz w:val="20"/>
        </w:rPr>
        <w:t>migration.</w:t>
      </w:r>
    </w:p>
    <w:p>
      <w:pPr>
        <w:pStyle w:val="BodyText"/>
        <w:spacing w:before="121"/>
        <w:ind w:left="899" w:right="1776"/>
      </w:pPr>
      <w:r>
        <w:rPr>
          <w:color w:val="404040"/>
        </w:rPr>
        <w:t>Overall, the 5,541,000 people who received an income support payment over the year to 30 June 2018 represented 22.1% of the population. This was a reduction from 23.3% at 30 June 2017.</w:t>
      </w:r>
    </w:p>
    <w:p>
      <w:pPr>
        <w:pStyle w:val="BodyText"/>
        <w:spacing w:before="7"/>
      </w:pPr>
    </w:p>
    <w:p>
      <w:pPr>
        <w:pStyle w:val="ListParagraph"/>
        <w:numPr>
          <w:ilvl w:val="1"/>
          <w:numId w:val="22"/>
        </w:numPr>
        <w:tabs>
          <w:tab w:pos="1752" w:val="left" w:leader="none"/>
          <w:tab w:pos="1753" w:val="left" w:leader="none"/>
        </w:tabs>
        <w:spacing w:line="240" w:lineRule="auto" w:before="0" w:after="0"/>
        <w:ind w:left="1752" w:right="0" w:hanging="853"/>
        <w:jc w:val="left"/>
        <w:rPr>
          <w:sz w:val="28"/>
        </w:rPr>
      </w:pPr>
      <w:bookmarkStart w:name="4.6 Profile of model population" w:id="127"/>
      <w:bookmarkEnd w:id="127"/>
      <w:r>
        <w:rPr/>
      </w:r>
      <w:bookmarkStart w:name="_bookmark32" w:id="128"/>
      <w:bookmarkEnd w:id="128"/>
      <w:r>
        <w:rPr/>
      </w:r>
      <w:bookmarkStart w:name="_bookmark32" w:id="129"/>
      <w:bookmarkEnd w:id="129"/>
      <w:r>
        <w:rPr>
          <w:color w:val="DF2F28"/>
          <w:sz w:val="28"/>
        </w:rPr>
        <w:t>P</w:t>
      </w:r>
      <w:r>
        <w:rPr>
          <w:color w:val="DF2F28"/>
          <w:sz w:val="28"/>
        </w:rPr>
        <w:t>rofile of model</w:t>
      </w:r>
      <w:r>
        <w:rPr>
          <w:color w:val="DF2F28"/>
          <w:spacing w:val="-3"/>
          <w:sz w:val="28"/>
        </w:rPr>
        <w:t> </w:t>
      </w:r>
      <w:r>
        <w:rPr>
          <w:color w:val="DF2F28"/>
          <w:sz w:val="28"/>
        </w:rPr>
        <w:t>population</w:t>
      </w:r>
    </w:p>
    <w:p>
      <w:pPr>
        <w:pStyle w:val="BodyText"/>
        <w:spacing w:before="123"/>
        <w:ind w:left="900"/>
      </w:pPr>
      <w:r>
        <w:rPr>
          <w:color w:val="404040"/>
        </w:rPr>
        <w:t>The current welfare recipient population split by class is as follows.</w:t>
      </w:r>
    </w:p>
    <w:p>
      <w:pPr>
        <w:pStyle w:val="Heading9"/>
        <w:spacing w:before="175"/>
      </w:pPr>
      <w:r>
        <w:rPr>
          <w:color w:val="DF2F1E"/>
        </w:rPr>
        <w:t>Figure 34: Current welfare recipient population by welfare class</w:t>
      </w:r>
    </w:p>
    <w:p>
      <w:pPr>
        <w:pStyle w:val="BodyText"/>
        <w:spacing w:before="8"/>
        <w:rPr>
          <w:b/>
          <w:sz w:val="19"/>
        </w:rPr>
      </w:pPr>
    </w:p>
    <w:p>
      <w:pPr>
        <w:spacing w:line="470" w:lineRule="auto" w:before="72"/>
        <w:ind w:left="1501" w:right="9429" w:firstLine="242"/>
        <w:jc w:val="right"/>
        <w:rPr>
          <w:rFonts w:ascii="Calibri"/>
          <w:sz w:val="14"/>
        </w:rPr>
      </w:pPr>
      <w:r>
        <w:rPr/>
        <w:pict>
          <v:group style="position:absolute;margin-left:128.076263pt;margin-top:-.500107pt;width:174.65pt;height:151.3pt;mso-position-horizontal-relative:page;mso-position-vertical-relative:paragraph;z-index:252015616" coordorigin="2562,-10" coordsize="3493,3026">
            <v:rect style="position:absolute;left:2609;top:54;width:494;height:215" filled="true" fillcolor="#1f487c" stroked="false">
              <v:fill type="solid"/>
            </v:rect>
            <v:rect style="position:absolute;left:2609;top:386;width:1696;height:215" filled="true" fillcolor="#009544" stroked="false">
              <v:fill type="solid"/>
            </v:rect>
            <v:rect style="position:absolute;left:2609;top:719;width:516;height:215" filled="true" fillcolor="#e16b09" stroked="false">
              <v:fill type="solid"/>
            </v:rect>
            <v:rect style="position:absolute;left:2609;top:1062;width:398;height:215" filled="true" fillcolor="#e08ad6" stroked="false">
              <v:fill type="solid"/>
            </v:rect>
            <v:rect style="position:absolute;left:2609;top:1395;width:1041;height:215" filled="true" fillcolor="#8063a1" stroked="false">
              <v:fill type="solid"/>
            </v:rect>
            <v:rect style="position:absolute;left:2609;top:1728;width:3445;height:215" filled="true" fillcolor="#c0504d" stroked="false">
              <v:fill type="solid"/>
            </v:rect>
            <v:rect style="position:absolute;left:2609;top:2071;width:2114;height:204" filled="true" fillcolor="#f8a763" stroked="false">
              <v:fill type="solid"/>
            </v:rect>
            <v:rect style="position:absolute;left:2609;top:2404;width:301;height:215" filled="true" fillcolor="#ecb8e7" stroked="false">
              <v:fill type="solid"/>
            </v:rect>
            <v:rect style="position:absolute;left:2609;top:2736;width:891;height:215" filled="true" fillcolor="#938953" stroked="false">
              <v:fill type="solid"/>
            </v:rect>
            <v:line style="position:absolute" from="2604,-5" to="2604,3010" stroked="true" strokeweight=".536527pt" strokecolor="#858585">
              <v:stroke dashstyle="solid"/>
            </v:line>
            <v:shape style="position:absolute;left:0;top:-643532;width:9293;height:652811" coordorigin="0,-643532" coordsize="9293,652811" path="m2562,-5l2604,-5m2562,328l2604,328m2562,661l2604,661m2562,1004l2604,1004m2562,1337l2604,1337m2562,1669l2604,1669m2562,2002l2604,2002m2562,2345l2604,2345m2562,2678l2604,2678m2562,3010l2604,3010e" filled="false" stroked="true" strokeweight=".536492pt" strokecolor="#858585">
              <v:path arrowok="t"/>
              <v:stroke dashstyle="solid"/>
            </v:shape>
            <v:shape style="position:absolute;left:3178;top:108;width:499;height:140" type="#_x0000_t202" filled="false" stroked="false">
              <v:textbox inset="0,0,0,0">
                <w:txbxContent>
                  <w:p>
                    <w:pPr>
                      <w:spacing w:line="139" w:lineRule="exact" w:before="0"/>
                      <w:ind w:left="0" w:right="0" w:firstLine="0"/>
                      <w:jc w:val="left"/>
                      <w:rPr>
                        <w:rFonts w:ascii="Calibri"/>
                        <w:sz w:val="14"/>
                      </w:rPr>
                    </w:pPr>
                    <w:r>
                      <w:rPr>
                        <w:rFonts w:ascii="Calibri"/>
                        <w:sz w:val="14"/>
                      </w:rPr>
                      <w:t>359,000</w:t>
                    </w:r>
                  </w:p>
                </w:txbxContent>
              </v:textbox>
              <w10:wrap type="none"/>
            </v:shape>
            <v:shape style="position:absolute;left:4387;top:443;width:606;height:140" type="#_x0000_t202" filled="false" stroked="false">
              <v:textbox inset="0,0,0,0">
                <w:txbxContent>
                  <w:p>
                    <w:pPr>
                      <w:spacing w:line="139" w:lineRule="exact" w:before="0"/>
                      <w:ind w:left="0" w:right="0" w:firstLine="0"/>
                      <w:jc w:val="left"/>
                      <w:rPr>
                        <w:rFonts w:ascii="Calibri"/>
                        <w:sz w:val="14"/>
                      </w:rPr>
                    </w:pPr>
                    <w:r>
                      <w:rPr>
                        <w:rFonts w:ascii="Calibri"/>
                        <w:sz w:val="14"/>
                      </w:rPr>
                      <w:t>1,240,000</w:t>
                    </w:r>
                  </w:p>
                </w:txbxContent>
              </v:textbox>
              <w10:wrap type="none"/>
            </v:shape>
            <v:shape style="position:absolute;left:3089;top:779;width:619;height:475" type="#_x0000_t202" filled="false" stroked="false">
              <v:textbox inset="0,0,0,0">
                <w:txbxContent>
                  <w:p>
                    <w:pPr>
                      <w:spacing w:line="142" w:lineRule="exact" w:before="0"/>
                      <w:ind w:left="119" w:right="0" w:firstLine="0"/>
                      <w:jc w:val="left"/>
                      <w:rPr>
                        <w:rFonts w:ascii="Calibri"/>
                        <w:sz w:val="14"/>
                      </w:rPr>
                    </w:pPr>
                    <w:r>
                      <w:rPr>
                        <w:rFonts w:ascii="Calibri"/>
                        <w:sz w:val="14"/>
                      </w:rPr>
                      <w:t>381,000</w:t>
                    </w:r>
                  </w:p>
                  <w:p>
                    <w:pPr>
                      <w:spacing w:line="240" w:lineRule="auto" w:before="5"/>
                      <w:rPr>
                        <w:rFonts w:ascii="Calibri"/>
                        <w:sz w:val="13"/>
                      </w:rPr>
                    </w:pPr>
                  </w:p>
                  <w:p>
                    <w:pPr>
                      <w:spacing w:line="168" w:lineRule="exact" w:before="0"/>
                      <w:ind w:left="0" w:right="0" w:firstLine="0"/>
                      <w:jc w:val="left"/>
                      <w:rPr>
                        <w:rFonts w:ascii="Calibri"/>
                        <w:sz w:val="14"/>
                      </w:rPr>
                    </w:pPr>
                    <w:r>
                      <w:rPr>
                        <w:rFonts w:ascii="Calibri"/>
                        <w:sz w:val="14"/>
                      </w:rPr>
                      <w:t>294,000</w:t>
                    </w:r>
                  </w:p>
                </w:txbxContent>
              </v:textbox>
              <w10:wrap type="none"/>
            </v:shape>
            <v:shape style="position:absolute;left:3733;top:1450;width:499;height:140" type="#_x0000_t202" filled="false" stroked="false">
              <v:textbox inset="0,0,0,0">
                <w:txbxContent>
                  <w:p>
                    <w:pPr>
                      <w:spacing w:line="139" w:lineRule="exact" w:before="0"/>
                      <w:ind w:left="0" w:right="0" w:firstLine="0"/>
                      <w:jc w:val="left"/>
                      <w:rPr>
                        <w:rFonts w:ascii="Calibri"/>
                        <w:sz w:val="14"/>
                      </w:rPr>
                    </w:pPr>
                    <w:r>
                      <w:rPr>
                        <w:rFonts w:ascii="Calibri"/>
                        <w:sz w:val="14"/>
                      </w:rPr>
                      <w:t>762,000</w:t>
                    </w:r>
                  </w:p>
                </w:txbxContent>
              </v:textbox>
              <w10:wrap type="none"/>
            </v:shape>
            <v:shape style="position:absolute;left:4803;top:2120;width:606;height:140" type="#_x0000_t202" filled="false" stroked="false">
              <v:textbox inset="0,0,0,0">
                <w:txbxContent>
                  <w:p>
                    <w:pPr>
                      <w:spacing w:line="139" w:lineRule="exact" w:before="0"/>
                      <w:ind w:left="0" w:right="0" w:firstLine="0"/>
                      <w:jc w:val="left"/>
                      <w:rPr>
                        <w:rFonts w:ascii="Calibri"/>
                        <w:sz w:val="14"/>
                      </w:rPr>
                    </w:pPr>
                    <w:r>
                      <w:rPr>
                        <w:rFonts w:ascii="Calibri"/>
                        <w:sz w:val="14"/>
                      </w:rPr>
                      <w:t>1,540,000</w:t>
                    </w:r>
                  </w:p>
                </w:txbxContent>
              </v:textbox>
              <w10:wrap type="none"/>
            </v:shape>
            <v:shape style="position:absolute;left:2984;top:2456;width:499;height:140" type="#_x0000_t202" filled="false" stroked="false">
              <v:textbox inset="0,0,0,0">
                <w:txbxContent>
                  <w:p>
                    <w:pPr>
                      <w:spacing w:line="139" w:lineRule="exact" w:before="0"/>
                      <w:ind w:left="0" w:right="0" w:firstLine="0"/>
                      <w:jc w:val="left"/>
                      <w:rPr>
                        <w:rFonts w:ascii="Calibri"/>
                        <w:sz w:val="14"/>
                      </w:rPr>
                    </w:pPr>
                    <w:r>
                      <w:rPr>
                        <w:rFonts w:ascii="Calibri"/>
                        <w:sz w:val="14"/>
                      </w:rPr>
                      <w:t>218,000</w:t>
                    </w:r>
                  </w:p>
                </w:txbxContent>
              </v:textbox>
              <w10:wrap type="none"/>
            </v:shape>
            <v:shape style="position:absolute;left:3582;top:2791;width:499;height:140" type="#_x0000_t202" filled="false" stroked="false">
              <v:textbox inset="0,0,0,0">
                <w:txbxContent>
                  <w:p>
                    <w:pPr>
                      <w:spacing w:line="139" w:lineRule="exact" w:before="0"/>
                      <w:ind w:left="0" w:right="0" w:firstLine="0"/>
                      <w:jc w:val="left"/>
                      <w:rPr>
                        <w:rFonts w:ascii="Calibri"/>
                        <w:sz w:val="14"/>
                      </w:rPr>
                    </w:pPr>
                    <w:r>
                      <w:rPr>
                        <w:rFonts w:ascii="Calibri"/>
                        <w:sz w:val="14"/>
                      </w:rPr>
                      <w:t>652,000</w:t>
                    </w:r>
                  </w:p>
                </w:txbxContent>
              </v:textbox>
              <w10:wrap type="none"/>
            </v:shape>
            <w10:wrap type="none"/>
          </v:group>
        </w:pict>
      </w:r>
      <w:r>
        <w:rPr>
          <w:rFonts w:ascii="Calibri"/>
          <w:sz w:val="14"/>
        </w:rPr>
        <w:t>1</w:t>
      </w:r>
      <w:r>
        <w:rPr>
          <w:rFonts w:ascii="Calibri"/>
          <w:spacing w:val="3"/>
          <w:sz w:val="14"/>
        </w:rPr>
        <w:t> </w:t>
      </w:r>
      <w:r>
        <w:rPr>
          <w:rFonts w:ascii="Calibri"/>
          <w:sz w:val="14"/>
        </w:rPr>
        <w:t>Studying</w:t>
      </w:r>
      <w:r>
        <w:rPr>
          <w:rFonts w:ascii="Calibri"/>
          <w:spacing w:val="1"/>
          <w:w w:val="99"/>
          <w:sz w:val="14"/>
        </w:rPr>
        <w:t> </w:t>
      </w:r>
      <w:r>
        <w:rPr>
          <w:rFonts w:ascii="Calibri"/>
          <w:sz w:val="14"/>
        </w:rPr>
        <w:t>2 Working</w:t>
      </w:r>
      <w:r>
        <w:rPr>
          <w:rFonts w:ascii="Calibri"/>
          <w:spacing w:val="15"/>
          <w:sz w:val="14"/>
        </w:rPr>
        <w:t> </w:t>
      </w:r>
      <w:r>
        <w:rPr>
          <w:rFonts w:ascii="Calibri"/>
          <w:spacing w:val="-4"/>
          <w:sz w:val="14"/>
        </w:rPr>
        <w:t>Age</w:t>
      </w:r>
    </w:p>
    <w:p>
      <w:pPr>
        <w:pStyle w:val="ListParagraph"/>
        <w:numPr>
          <w:ilvl w:val="0"/>
          <w:numId w:val="32"/>
        </w:numPr>
        <w:tabs>
          <w:tab w:pos="108" w:val="left" w:leader="none"/>
        </w:tabs>
        <w:spacing w:line="240" w:lineRule="auto" w:before="0" w:after="0"/>
        <w:ind w:left="1913" w:right="9430" w:hanging="1914"/>
        <w:jc w:val="right"/>
        <w:rPr>
          <w:rFonts w:ascii="Calibri"/>
          <w:sz w:val="14"/>
        </w:rPr>
      </w:pPr>
      <w:r>
        <w:rPr>
          <w:rFonts w:ascii="Calibri"/>
          <w:sz w:val="14"/>
        </w:rPr>
        <w:t>Parents</w:t>
      </w:r>
    </w:p>
    <w:p>
      <w:pPr>
        <w:pStyle w:val="BodyText"/>
        <w:spacing w:before="6"/>
        <w:rPr>
          <w:rFonts w:ascii="Calibri"/>
          <w:sz w:val="13"/>
        </w:rPr>
      </w:pPr>
    </w:p>
    <w:p>
      <w:pPr>
        <w:pStyle w:val="ListParagraph"/>
        <w:numPr>
          <w:ilvl w:val="0"/>
          <w:numId w:val="32"/>
        </w:numPr>
        <w:tabs>
          <w:tab w:pos="1985" w:val="left" w:leader="none"/>
        </w:tabs>
        <w:spacing w:line="470" w:lineRule="auto" w:before="0" w:after="0"/>
        <w:ind w:left="1219" w:right="9433" w:firstLine="656"/>
        <w:jc w:val="right"/>
        <w:rPr>
          <w:rFonts w:ascii="Calibri"/>
          <w:sz w:val="14"/>
        </w:rPr>
      </w:pPr>
      <w:r>
        <w:rPr>
          <w:rFonts w:ascii="Calibri"/>
          <w:spacing w:val="-1"/>
          <w:w w:val="95"/>
          <w:sz w:val="14"/>
        </w:rPr>
        <w:t>Carers </w:t>
      </w:r>
      <w:r>
        <w:rPr>
          <w:rFonts w:ascii="Calibri"/>
          <w:sz w:val="14"/>
        </w:rPr>
        <w:t>5  Disability</w:t>
      </w:r>
      <w:r>
        <w:rPr>
          <w:rFonts w:ascii="Calibri"/>
          <w:spacing w:val="-17"/>
          <w:sz w:val="14"/>
        </w:rPr>
        <w:t> </w:t>
      </w:r>
      <w:r>
        <w:rPr>
          <w:rFonts w:ascii="Calibri"/>
          <w:sz w:val="14"/>
        </w:rPr>
        <w:t>Support</w:t>
      </w:r>
    </w:p>
    <w:p>
      <w:pPr>
        <w:spacing w:after="0" w:line="470" w:lineRule="auto"/>
        <w:jc w:val="right"/>
        <w:rPr>
          <w:rFonts w:ascii="Calibri"/>
          <w:sz w:val="14"/>
        </w:rPr>
        <w:sectPr>
          <w:pgSz w:w="11910" w:h="16850"/>
          <w:pgMar w:header="572" w:footer="581" w:top="780" w:bottom="780" w:left="120" w:right="0"/>
        </w:sectPr>
      </w:pPr>
    </w:p>
    <w:p>
      <w:pPr>
        <w:spacing w:line="470" w:lineRule="auto" w:before="1"/>
        <w:ind w:left="1459" w:right="38" w:firstLine="75"/>
        <w:jc w:val="both"/>
        <w:rPr>
          <w:rFonts w:ascii="Calibri"/>
          <w:sz w:val="14"/>
        </w:rPr>
      </w:pPr>
      <w:r>
        <w:rPr>
          <w:rFonts w:ascii="Calibri"/>
          <w:sz w:val="14"/>
        </w:rPr>
        <w:t>6 Pension </w:t>
      </w:r>
      <w:r>
        <w:rPr>
          <w:rFonts w:ascii="Calibri"/>
          <w:spacing w:val="-4"/>
          <w:sz w:val="14"/>
        </w:rPr>
        <w:t>Age </w:t>
      </w:r>
      <w:r>
        <w:rPr>
          <w:rFonts w:ascii="Calibri"/>
          <w:sz w:val="14"/>
        </w:rPr>
        <w:t>7 Non </w:t>
      </w:r>
      <w:r>
        <w:rPr>
          <w:rFonts w:ascii="Calibri"/>
          <w:spacing w:val="3"/>
          <w:sz w:val="14"/>
        </w:rPr>
        <w:t>IS </w:t>
      </w:r>
      <w:r>
        <w:rPr>
          <w:rFonts w:ascii="Calibri"/>
          <w:sz w:val="14"/>
        </w:rPr>
        <w:t>Family 8 Non </w:t>
      </w:r>
      <w:r>
        <w:rPr>
          <w:rFonts w:ascii="Calibri"/>
          <w:spacing w:val="3"/>
          <w:sz w:val="14"/>
        </w:rPr>
        <w:t>IS </w:t>
      </w:r>
      <w:r>
        <w:rPr>
          <w:rFonts w:ascii="Calibri"/>
          <w:sz w:val="14"/>
        </w:rPr>
        <w:t>Carer 9 Non </w:t>
      </w:r>
      <w:r>
        <w:rPr>
          <w:rFonts w:ascii="Calibri"/>
          <w:spacing w:val="3"/>
          <w:sz w:val="14"/>
        </w:rPr>
        <w:t>IS</w:t>
      </w:r>
      <w:r>
        <w:rPr>
          <w:rFonts w:ascii="Calibri"/>
          <w:spacing w:val="7"/>
          <w:sz w:val="14"/>
        </w:rPr>
        <w:t> </w:t>
      </w:r>
      <w:r>
        <w:rPr>
          <w:rFonts w:ascii="Calibri"/>
          <w:sz w:val="14"/>
        </w:rPr>
        <w:t>Other</w:t>
      </w:r>
    </w:p>
    <w:p>
      <w:pPr>
        <w:spacing w:before="9"/>
        <w:ind w:left="1459" w:right="0" w:firstLine="0"/>
        <w:jc w:val="left"/>
        <w:rPr>
          <w:rFonts w:ascii="Calibri"/>
          <w:sz w:val="14"/>
        </w:rPr>
      </w:pPr>
      <w:r>
        <w:rPr/>
        <w:br w:type="column"/>
      </w:r>
      <w:r>
        <w:rPr>
          <w:rFonts w:ascii="Calibri"/>
          <w:sz w:val="14"/>
        </w:rPr>
        <w:t>2,510,000</w:t>
      </w:r>
    </w:p>
    <w:p>
      <w:pPr>
        <w:spacing w:after="0"/>
        <w:jc w:val="left"/>
        <w:rPr>
          <w:rFonts w:ascii="Calibri"/>
          <w:sz w:val="14"/>
        </w:rPr>
        <w:sectPr>
          <w:type w:val="continuous"/>
          <w:pgSz w:w="11910" w:h="16850"/>
          <w:pgMar w:top="1600" w:bottom="280" w:left="120" w:right="0"/>
          <w:cols w:num="2" w:equalWidth="0">
            <w:col w:w="2396" w:space="2160"/>
            <w:col w:w="7234"/>
          </w:cols>
        </w:sectPr>
      </w:pPr>
    </w:p>
    <w:p>
      <w:pPr>
        <w:pStyle w:val="BodyText"/>
        <w:spacing w:before="130"/>
        <w:ind w:left="900" w:right="1965"/>
      </w:pPr>
      <w:r>
        <w:rPr>
          <w:color w:val="404040"/>
        </w:rPr>
        <w:t>The current welfare recipient population is 7.95 million. Previous clients and the rest of the Australian population make up a further 4.82 million and 12.27 million people respectively.</w:t>
      </w:r>
    </w:p>
    <w:p>
      <w:pPr>
        <w:pStyle w:val="BodyText"/>
        <w:spacing w:before="121"/>
        <w:ind w:left="899" w:right="1054"/>
      </w:pPr>
      <w:r>
        <w:rPr>
          <w:color w:val="404040"/>
        </w:rPr>
        <w:t>It is interesting to consider how the current welfare recipients relate to the whole population i.e. which groups of the population are people in receipt of Commonwealth welfare payments. We have used a population pyramid which shows the composition of the population by age and gender to illustrate which people fall into each class and to show the proportion of each group who are current welfare recipients.</w:t>
      </w:r>
    </w:p>
    <w:p>
      <w:pPr>
        <w:spacing w:after="0"/>
        <w:sectPr>
          <w:type w:val="continuous"/>
          <w:pgSz w:w="11910" w:h="16850"/>
          <w:pgMar w:top="1600" w:bottom="280" w:left="120" w:right="0"/>
        </w:sectPr>
      </w:pPr>
    </w:p>
    <w:p>
      <w:pPr>
        <w:pStyle w:val="BodyText"/>
      </w:pPr>
    </w:p>
    <w:p>
      <w:pPr>
        <w:pStyle w:val="BodyText"/>
      </w:pPr>
    </w:p>
    <w:p>
      <w:pPr>
        <w:pStyle w:val="BodyText"/>
        <w:spacing w:before="5"/>
        <w:rPr>
          <w:sz w:val="21"/>
        </w:rPr>
      </w:pPr>
    </w:p>
    <w:p>
      <w:pPr>
        <w:pStyle w:val="Heading9"/>
      </w:pPr>
      <w:r>
        <w:rPr>
          <w:color w:val="DF2F1E"/>
        </w:rPr>
        <w:t>Figure 35: Model population with class utilisation (June 2018)</w:t>
      </w:r>
    </w:p>
    <w:p>
      <w:pPr>
        <w:pStyle w:val="BodyText"/>
        <w:spacing w:before="9"/>
        <w:rPr>
          <w:b/>
          <w:sz w:val="10"/>
        </w:rPr>
      </w:pPr>
    </w:p>
    <w:p>
      <w:pPr>
        <w:spacing w:before="80"/>
        <w:ind w:left="3166" w:right="0" w:firstLine="0"/>
        <w:jc w:val="left"/>
        <w:rPr>
          <w:rFonts w:ascii="Calibri"/>
          <w:sz w:val="13"/>
        </w:rPr>
      </w:pPr>
      <w:r>
        <w:rPr/>
        <w:drawing>
          <wp:anchor distT="0" distB="0" distL="0" distR="0" allowOverlap="1" layoutInCell="1" locked="0" behindDoc="1" simplePos="0" relativeHeight="215430144">
            <wp:simplePos x="0" y="0"/>
            <wp:positionH relativeFrom="page">
              <wp:posOffset>897109</wp:posOffset>
            </wp:positionH>
            <wp:positionV relativeFrom="paragraph">
              <wp:posOffset>68561</wp:posOffset>
            </wp:positionV>
            <wp:extent cx="2795931" cy="2409421"/>
            <wp:effectExtent l="0" t="0" r="0" b="0"/>
            <wp:wrapNone/>
            <wp:docPr id="43" name="image42.png"/>
            <wp:cNvGraphicFramePr>
              <a:graphicFrameLocks noChangeAspect="1"/>
            </wp:cNvGraphicFramePr>
            <a:graphic>
              <a:graphicData uri="http://schemas.openxmlformats.org/drawingml/2006/picture">
                <pic:pic>
                  <pic:nvPicPr>
                    <pic:cNvPr id="44" name="image42.png"/>
                    <pic:cNvPicPr/>
                  </pic:nvPicPr>
                  <pic:blipFill>
                    <a:blip r:embed="rId60" cstate="print"/>
                    <a:stretch>
                      <a:fillRect/>
                    </a:stretch>
                  </pic:blipFill>
                  <pic:spPr>
                    <a:xfrm>
                      <a:off x="0" y="0"/>
                      <a:ext cx="2795931" cy="2409421"/>
                    </a:xfrm>
                    <a:prstGeom prst="rect">
                      <a:avLst/>
                    </a:prstGeom>
                  </pic:spPr>
                </pic:pic>
              </a:graphicData>
            </a:graphic>
          </wp:anchor>
        </w:drawing>
      </w:r>
      <w:r>
        <w:rPr>
          <w:rFonts w:ascii="Calibri"/>
          <w:w w:val="105"/>
          <w:sz w:val="13"/>
        </w:rPr>
        <w:t>100</w:t>
      </w:r>
    </w:p>
    <w:p>
      <w:pPr>
        <w:pStyle w:val="BodyText"/>
        <w:spacing w:before="7"/>
        <w:rPr>
          <w:rFonts w:ascii="Calibri"/>
          <w:sz w:val="10"/>
        </w:rPr>
      </w:pPr>
    </w:p>
    <w:p>
      <w:pPr>
        <w:spacing w:after="0"/>
        <w:rPr>
          <w:rFonts w:ascii="Calibri"/>
          <w:sz w:val="10"/>
        </w:rPr>
        <w:sectPr>
          <w:pgSz w:w="11910" w:h="16850"/>
          <w:pgMar w:header="572" w:footer="581" w:top="780" w:bottom="780" w:left="120" w:right="0"/>
        </w:sectPr>
      </w:pPr>
    </w:p>
    <w:p>
      <w:pPr>
        <w:spacing w:before="79"/>
        <w:ind w:left="3234" w:right="0" w:firstLine="0"/>
        <w:jc w:val="left"/>
        <w:rPr>
          <w:rFonts w:ascii="Calibri"/>
          <w:sz w:val="13"/>
        </w:rPr>
      </w:pPr>
      <w:r>
        <w:rPr/>
        <w:pict>
          <v:shape style="position:absolute;margin-left:170.186615pt;margin-top:6.187411pt;width:23.35pt;height:4.8pt;mso-position-horizontal-relative:page;mso-position-vertical-relative:paragraph;z-index:252028928" type="#_x0000_t202" filled="false" stroked="false">
            <v:textbox inset="0,0,0,0">
              <w:txbxContent>
                <w:p>
                  <w:pPr>
                    <w:spacing w:line="96" w:lineRule="exact" w:before="0"/>
                    <w:ind w:left="14" w:right="0" w:firstLine="0"/>
                    <w:jc w:val="left"/>
                    <w:rPr>
                      <w:rFonts w:ascii="Calibri"/>
                      <w:sz w:val="13"/>
                    </w:rPr>
                  </w:pPr>
                  <w:r>
                    <w:rPr>
                      <w:rFonts w:ascii="Calibri"/>
                      <w:spacing w:val="-6"/>
                      <w:w w:val="105"/>
                      <w:sz w:val="13"/>
                    </w:rPr>
                    <w:t>0</w:t>
                  </w:r>
                </w:p>
              </w:txbxContent>
            </v:textbox>
            <w10:wrap type="none"/>
          </v:shape>
        </w:pict>
      </w:r>
      <w:r>
        <w:rPr>
          <w:rFonts w:ascii="Calibri"/>
          <w:spacing w:val="-6"/>
          <w:w w:val="105"/>
          <w:sz w:val="13"/>
        </w:rPr>
        <w:t>9</w:t>
      </w:r>
    </w:p>
    <w:p>
      <w:pPr>
        <w:tabs>
          <w:tab w:pos="2587" w:val="left" w:leader="none"/>
        </w:tabs>
        <w:spacing w:line="168" w:lineRule="exact" w:before="44"/>
        <w:ind w:left="1797" w:right="0" w:firstLine="0"/>
        <w:jc w:val="left"/>
        <w:rPr>
          <w:rFonts w:ascii="Calibri"/>
          <w:b/>
          <w:sz w:val="14"/>
        </w:rPr>
      </w:pPr>
      <w:r>
        <w:rPr>
          <w:rFonts w:ascii="Calibri"/>
          <w:b/>
          <w:w w:val="104"/>
          <w:sz w:val="14"/>
          <w:u w:val="single" w:color="A6A6A6"/>
        </w:rPr>
        <w:t> </w:t>
      </w:r>
      <w:r>
        <w:rPr>
          <w:rFonts w:ascii="Calibri"/>
          <w:b/>
          <w:sz w:val="14"/>
          <w:u w:val="single" w:color="A6A6A6"/>
        </w:rPr>
        <w:t>     </w:t>
      </w:r>
      <w:r>
        <w:rPr>
          <w:rFonts w:ascii="Calibri"/>
          <w:b/>
          <w:spacing w:val="-14"/>
          <w:sz w:val="14"/>
          <w:u w:val="single" w:color="A6A6A6"/>
        </w:rPr>
        <w:t> </w:t>
      </w:r>
      <w:r>
        <w:rPr>
          <w:rFonts w:ascii="Calibri"/>
          <w:b/>
          <w:w w:val="105"/>
          <w:sz w:val="14"/>
          <w:u w:val="single" w:color="A6A6A6"/>
        </w:rPr>
        <w:t>Males</w:t>
      </w:r>
      <w:r>
        <w:rPr>
          <w:rFonts w:ascii="Calibri"/>
          <w:b/>
          <w:sz w:val="14"/>
          <w:u w:val="single" w:color="A6A6A6"/>
        </w:rPr>
        <w:tab/>
      </w:r>
    </w:p>
    <w:p>
      <w:pPr>
        <w:spacing w:line="155" w:lineRule="exact" w:before="0"/>
        <w:ind w:left="3234" w:right="0" w:firstLine="0"/>
        <w:jc w:val="left"/>
        <w:rPr>
          <w:rFonts w:ascii="Calibri"/>
          <w:sz w:val="13"/>
        </w:rPr>
      </w:pPr>
      <w:r>
        <w:rPr>
          <w:rFonts w:ascii="Calibri"/>
          <w:spacing w:val="-6"/>
          <w:w w:val="105"/>
          <w:sz w:val="13"/>
        </w:rPr>
        <w:t>80</w:t>
      </w:r>
    </w:p>
    <w:p>
      <w:pPr>
        <w:pStyle w:val="BodyText"/>
        <w:spacing w:before="1"/>
        <w:rPr>
          <w:rFonts w:ascii="Calibri"/>
          <w:sz w:val="17"/>
        </w:rPr>
      </w:pPr>
    </w:p>
    <w:p>
      <w:pPr>
        <w:spacing w:before="0"/>
        <w:ind w:left="3234" w:right="0" w:firstLine="0"/>
        <w:jc w:val="left"/>
        <w:rPr>
          <w:rFonts w:ascii="Calibri"/>
          <w:sz w:val="13"/>
        </w:rPr>
      </w:pPr>
      <w:r>
        <w:rPr>
          <w:rFonts w:ascii="Calibri"/>
          <w:spacing w:val="-6"/>
          <w:w w:val="105"/>
          <w:sz w:val="13"/>
        </w:rPr>
        <w:t>70</w:t>
      </w:r>
    </w:p>
    <w:p>
      <w:pPr>
        <w:pStyle w:val="BodyText"/>
        <w:spacing w:before="1"/>
        <w:rPr>
          <w:rFonts w:ascii="Calibri"/>
          <w:sz w:val="17"/>
        </w:rPr>
      </w:pPr>
    </w:p>
    <w:p>
      <w:pPr>
        <w:spacing w:before="0"/>
        <w:ind w:left="3234" w:right="0" w:firstLine="0"/>
        <w:jc w:val="left"/>
        <w:rPr>
          <w:rFonts w:ascii="Calibri"/>
          <w:sz w:val="13"/>
        </w:rPr>
      </w:pPr>
      <w:r>
        <w:rPr>
          <w:rFonts w:ascii="Calibri"/>
          <w:spacing w:val="-6"/>
          <w:w w:val="105"/>
          <w:sz w:val="13"/>
        </w:rPr>
        <w:t>60</w:t>
      </w:r>
    </w:p>
    <w:p>
      <w:pPr>
        <w:pStyle w:val="BodyText"/>
        <w:spacing w:before="1"/>
        <w:rPr>
          <w:rFonts w:ascii="Calibri"/>
          <w:sz w:val="17"/>
        </w:rPr>
      </w:pPr>
    </w:p>
    <w:p>
      <w:pPr>
        <w:spacing w:before="0"/>
        <w:ind w:left="3234" w:right="0" w:firstLine="0"/>
        <w:jc w:val="left"/>
        <w:rPr>
          <w:rFonts w:ascii="Calibri"/>
          <w:sz w:val="13"/>
        </w:rPr>
      </w:pPr>
      <w:r>
        <w:rPr>
          <w:rFonts w:ascii="Calibri"/>
          <w:spacing w:val="-6"/>
          <w:w w:val="105"/>
          <w:sz w:val="13"/>
        </w:rPr>
        <w:t>50</w:t>
      </w:r>
    </w:p>
    <w:p>
      <w:pPr>
        <w:pStyle w:val="BodyText"/>
        <w:spacing w:before="1"/>
        <w:rPr>
          <w:rFonts w:ascii="Calibri"/>
          <w:sz w:val="17"/>
        </w:rPr>
      </w:pPr>
    </w:p>
    <w:p>
      <w:pPr>
        <w:spacing w:before="0"/>
        <w:ind w:left="3234" w:right="0" w:firstLine="0"/>
        <w:jc w:val="left"/>
        <w:rPr>
          <w:rFonts w:ascii="Calibri"/>
          <w:sz w:val="13"/>
        </w:rPr>
      </w:pPr>
      <w:r>
        <w:rPr>
          <w:rFonts w:ascii="Calibri"/>
          <w:spacing w:val="-6"/>
          <w:w w:val="105"/>
          <w:sz w:val="13"/>
        </w:rPr>
        <w:t>40</w:t>
      </w:r>
    </w:p>
    <w:p>
      <w:pPr>
        <w:pStyle w:val="BodyText"/>
        <w:spacing w:before="1"/>
        <w:rPr>
          <w:rFonts w:ascii="Calibri"/>
          <w:sz w:val="17"/>
        </w:rPr>
      </w:pPr>
    </w:p>
    <w:p>
      <w:pPr>
        <w:spacing w:before="0"/>
        <w:ind w:left="3234" w:right="0" w:firstLine="0"/>
        <w:jc w:val="left"/>
        <w:rPr>
          <w:rFonts w:ascii="Calibri"/>
          <w:sz w:val="13"/>
        </w:rPr>
      </w:pPr>
      <w:r>
        <w:rPr>
          <w:rFonts w:ascii="Calibri"/>
          <w:spacing w:val="-6"/>
          <w:w w:val="105"/>
          <w:sz w:val="13"/>
        </w:rPr>
        <w:t>30</w:t>
      </w:r>
    </w:p>
    <w:p>
      <w:pPr>
        <w:pStyle w:val="BodyText"/>
        <w:spacing w:before="1"/>
        <w:rPr>
          <w:rFonts w:ascii="Calibri"/>
          <w:sz w:val="17"/>
        </w:rPr>
      </w:pPr>
    </w:p>
    <w:p>
      <w:pPr>
        <w:spacing w:before="0"/>
        <w:ind w:left="3234" w:right="0" w:firstLine="0"/>
        <w:jc w:val="left"/>
        <w:rPr>
          <w:rFonts w:ascii="Calibri"/>
          <w:sz w:val="13"/>
        </w:rPr>
      </w:pPr>
      <w:r>
        <w:rPr>
          <w:rFonts w:ascii="Calibri"/>
          <w:spacing w:val="-6"/>
          <w:w w:val="105"/>
          <w:sz w:val="13"/>
        </w:rPr>
        <w:t>20</w:t>
      </w:r>
    </w:p>
    <w:p>
      <w:pPr>
        <w:pStyle w:val="BodyText"/>
        <w:spacing w:before="1"/>
        <w:rPr>
          <w:rFonts w:ascii="Calibri"/>
          <w:sz w:val="17"/>
        </w:rPr>
      </w:pPr>
    </w:p>
    <w:p>
      <w:pPr>
        <w:spacing w:before="0"/>
        <w:ind w:left="3234" w:right="0" w:firstLine="0"/>
        <w:jc w:val="left"/>
        <w:rPr>
          <w:rFonts w:ascii="Calibri"/>
          <w:sz w:val="13"/>
        </w:rPr>
      </w:pPr>
      <w:r>
        <w:rPr>
          <w:rFonts w:ascii="Calibri"/>
          <w:spacing w:val="-6"/>
          <w:w w:val="105"/>
          <w:sz w:val="13"/>
        </w:rPr>
        <w:t>10</w:t>
      </w:r>
    </w:p>
    <w:p>
      <w:pPr>
        <w:pStyle w:val="BodyText"/>
        <w:rPr>
          <w:rFonts w:ascii="Calibri"/>
          <w:sz w:val="14"/>
        </w:rPr>
      </w:pPr>
      <w:r>
        <w:rPr/>
        <w:br w:type="column"/>
      </w:r>
      <w:r>
        <w:rPr>
          <w:rFonts w:ascii="Calibri"/>
          <w:sz w:val="14"/>
        </w:rPr>
      </w:r>
    </w:p>
    <w:p>
      <w:pPr>
        <w:spacing w:before="122"/>
        <w:ind w:left="1025" w:right="0" w:firstLine="0"/>
        <w:jc w:val="left"/>
        <w:rPr>
          <w:rFonts w:ascii="Calibri"/>
          <w:b/>
          <w:sz w:val="14"/>
        </w:rPr>
      </w:pPr>
      <w:r>
        <w:rPr>
          <w:rFonts w:ascii="Calibri"/>
          <w:b/>
          <w:w w:val="104"/>
          <w:sz w:val="14"/>
          <w:u w:val="single" w:color="A6A6A6"/>
        </w:rPr>
        <w:t> </w:t>
      </w:r>
      <w:r>
        <w:rPr>
          <w:rFonts w:ascii="Calibri"/>
          <w:b/>
          <w:sz w:val="14"/>
          <w:u w:val="single" w:color="A6A6A6"/>
        </w:rPr>
        <w:t>   </w:t>
      </w:r>
      <w:r>
        <w:rPr>
          <w:rFonts w:ascii="Calibri"/>
          <w:b/>
          <w:w w:val="105"/>
          <w:sz w:val="14"/>
          <w:u w:val="single" w:color="A6A6A6"/>
        </w:rPr>
        <w:t>Females</w:t>
      </w:r>
      <w:r>
        <w:rPr>
          <w:rFonts w:ascii="Calibri"/>
          <w:b/>
          <w:sz w:val="14"/>
          <w:u w:val="single" w:color="A6A6A6"/>
        </w:rPr>
        <w:t> </w:t>
      </w:r>
    </w:p>
    <w:p>
      <w:pPr>
        <w:pStyle w:val="BodyText"/>
        <w:rPr>
          <w:rFonts w:ascii="Calibri"/>
          <w:b/>
          <w:sz w:val="12"/>
        </w:rPr>
      </w:pPr>
      <w:r>
        <w:rPr/>
        <w:br w:type="column"/>
      </w:r>
      <w:r>
        <w:rPr>
          <w:rFonts w:ascii="Calibri"/>
          <w:b/>
          <w:sz w:val="12"/>
        </w:rPr>
      </w:r>
    </w:p>
    <w:p>
      <w:pPr>
        <w:pStyle w:val="BodyText"/>
        <w:rPr>
          <w:rFonts w:ascii="Calibri"/>
          <w:b/>
          <w:sz w:val="12"/>
        </w:rPr>
      </w:pPr>
    </w:p>
    <w:p>
      <w:pPr>
        <w:pStyle w:val="BodyText"/>
        <w:rPr>
          <w:rFonts w:ascii="Calibri"/>
          <w:b/>
          <w:sz w:val="12"/>
        </w:rPr>
      </w:pPr>
    </w:p>
    <w:p>
      <w:pPr>
        <w:pStyle w:val="BodyText"/>
        <w:spacing w:before="6"/>
        <w:rPr>
          <w:rFonts w:ascii="Calibri"/>
          <w:b/>
          <w:sz w:val="16"/>
        </w:rPr>
      </w:pPr>
    </w:p>
    <w:p>
      <w:pPr>
        <w:spacing w:line="360" w:lineRule="auto" w:before="0"/>
        <w:ind w:left="906" w:right="5003" w:firstLine="0"/>
        <w:jc w:val="left"/>
        <w:rPr>
          <w:rFonts w:ascii="Calibri"/>
          <w:sz w:val="12"/>
        </w:rPr>
      </w:pPr>
      <w:r>
        <w:rPr/>
        <w:drawing>
          <wp:anchor distT="0" distB="0" distL="0" distR="0" allowOverlap="1" layoutInCell="1" locked="0" behindDoc="0" simplePos="0" relativeHeight="252017664">
            <wp:simplePos x="0" y="0"/>
            <wp:positionH relativeFrom="page">
              <wp:posOffset>3913933</wp:posOffset>
            </wp:positionH>
            <wp:positionV relativeFrom="paragraph">
              <wp:posOffset>23136</wp:posOffset>
            </wp:positionV>
            <wp:extent cx="46497" cy="52261"/>
            <wp:effectExtent l="0" t="0" r="0" b="0"/>
            <wp:wrapNone/>
            <wp:docPr id="45" name="image43.png"/>
            <wp:cNvGraphicFramePr>
              <a:graphicFrameLocks noChangeAspect="1"/>
            </wp:cNvGraphicFramePr>
            <a:graphic>
              <a:graphicData uri="http://schemas.openxmlformats.org/drawingml/2006/picture">
                <pic:pic>
                  <pic:nvPicPr>
                    <pic:cNvPr id="46" name="image43.png"/>
                    <pic:cNvPicPr/>
                  </pic:nvPicPr>
                  <pic:blipFill>
                    <a:blip r:embed="rId61" cstate="print"/>
                    <a:stretch>
                      <a:fillRect/>
                    </a:stretch>
                  </pic:blipFill>
                  <pic:spPr>
                    <a:xfrm>
                      <a:off x="0" y="0"/>
                      <a:ext cx="46497" cy="52261"/>
                    </a:xfrm>
                    <a:prstGeom prst="rect">
                      <a:avLst/>
                    </a:prstGeom>
                  </pic:spPr>
                </pic:pic>
              </a:graphicData>
            </a:graphic>
          </wp:anchor>
        </w:drawing>
      </w:r>
      <w:r>
        <w:rPr/>
        <w:drawing>
          <wp:anchor distT="0" distB="0" distL="0" distR="0" allowOverlap="1" layoutInCell="1" locked="0" behindDoc="0" simplePos="0" relativeHeight="252018688">
            <wp:simplePos x="0" y="0"/>
            <wp:positionH relativeFrom="page">
              <wp:posOffset>3913933</wp:posOffset>
            </wp:positionH>
            <wp:positionV relativeFrom="paragraph">
              <wp:posOffset>162477</wp:posOffset>
            </wp:positionV>
            <wp:extent cx="46497" cy="52261"/>
            <wp:effectExtent l="0" t="0" r="0" b="0"/>
            <wp:wrapNone/>
            <wp:docPr id="47" name="image44.png"/>
            <wp:cNvGraphicFramePr>
              <a:graphicFrameLocks noChangeAspect="1"/>
            </wp:cNvGraphicFramePr>
            <a:graphic>
              <a:graphicData uri="http://schemas.openxmlformats.org/drawingml/2006/picture">
                <pic:pic>
                  <pic:nvPicPr>
                    <pic:cNvPr id="48" name="image44.png"/>
                    <pic:cNvPicPr/>
                  </pic:nvPicPr>
                  <pic:blipFill>
                    <a:blip r:embed="rId62" cstate="print"/>
                    <a:stretch>
                      <a:fillRect/>
                    </a:stretch>
                  </pic:blipFill>
                  <pic:spPr>
                    <a:xfrm>
                      <a:off x="0" y="0"/>
                      <a:ext cx="46497" cy="52261"/>
                    </a:xfrm>
                    <a:prstGeom prst="rect">
                      <a:avLst/>
                    </a:prstGeom>
                  </pic:spPr>
                </pic:pic>
              </a:graphicData>
            </a:graphic>
          </wp:anchor>
        </w:drawing>
      </w:r>
      <w:r>
        <w:rPr/>
        <w:drawing>
          <wp:anchor distT="0" distB="0" distL="0" distR="0" allowOverlap="1" layoutInCell="1" locked="0" behindDoc="0" simplePos="0" relativeHeight="252019712">
            <wp:simplePos x="0" y="0"/>
            <wp:positionH relativeFrom="page">
              <wp:posOffset>3913933</wp:posOffset>
            </wp:positionH>
            <wp:positionV relativeFrom="paragraph">
              <wp:posOffset>301818</wp:posOffset>
            </wp:positionV>
            <wp:extent cx="46497" cy="52261"/>
            <wp:effectExtent l="0" t="0" r="0" b="0"/>
            <wp:wrapNone/>
            <wp:docPr id="49" name="image45.png"/>
            <wp:cNvGraphicFramePr>
              <a:graphicFrameLocks noChangeAspect="1"/>
            </wp:cNvGraphicFramePr>
            <a:graphic>
              <a:graphicData uri="http://schemas.openxmlformats.org/drawingml/2006/picture">
                <pic:pic>
                  <pic:nvPicPr>
                    <pic:cNvPr id="50" name="image45.png"/>
                    <pic:cNvPicPr/>
                  </pic:nvPicPr>
                  <pic:blipFill>
                    <a:blip r:embed="rId63" cstate="print"/>
                    <a:stretch>
                      <a:fillRect/>
                    </a:stretch>
                  </pic:blipFill>
                  <pic:spPr>
                    <a:xfrm>
                      <a:off x="0" y="0"/>
                      <a:ext cx="46497" cy="52261"/>
                    </a:xfrm>
                    <a:prstGeom prst="rect">
                      <a:avLst/>
                    </a:prstGeom>
                  </pic:spPr>
                </pic:pic>
              </a:graphicData>
            </a:graphic>
          </wp:anchor>
        </w:drawing>
      </w:r>
      <w:r>
        <w:rPr/>
        <w:drawing>
          <wp:anchor distT="0" distB="0" distL="0" distR="0" allowOverlap="1" layoutInCell="1" locked="0" behindDoc="0" simplePos="0" relativeHeight="252020736">
            <wp:simplePos x="0" y="0"/>
            <wp:positionH relativeFrom="page">
              <wp:posOffset>3913933</wp:posOffset>
            </wp:positionH>
            <wp:positionV relativeFrom="paragraph">
              <wp:posOffset>446964</wp:posOffset>
            </wp:positionV>
            <wp:extent cx="46512" cy="46455"/>
            <wp:effectExtent l="0" t="0" r="0" b="0"/>
            <wp:wrapNone/>
            <wp:docPr id="51" name="image46.png"/>
            <wp:cNvGraphicFramePr>
              <a:graphicFrameLocks noChangeAspect="1"/>
            </wp:cNvGraphicFramePr>
            <a:graphic>
              <a:graphicData uri="http://schemas.openxmlformats.org/drawingml/2006/picture">
                <pic:pic>
                  <pic:nvPicPr>
                    <pic:cNvPr id="52" name="image46.png"/>
                    <pic:cNvPicPr/>
                  </pic:nvPicPr>
                  <pic:blipFill>
                    <a:blip r:embed="rId64" cstate="print"/>
                    <a:stretch>
                      <a:fillRect/>
                    </a:stretch>
                  </pic:blipFill>
                  <pic:spPr>
                    <a:xfrm>
                      <a:off x="0" y="0"/>
                      <a:ext cx="46512" cy="46455"/>
                    </a:xfrm>
                    <a:prstGeom prst="rect">
                      <a:avLst/>
                    </a:prstGeom>
                  </pic:spPr>
                </pic:pic>
              </a:graphicData>
            </a:graphic>
          </wp:anchor>
        </w:drawing>
      </w:r>
      <w:r>
        <w:rPr>
          <w:rFonts w:ascii="Calibri"/>
          <w:sz w:val="12"/>
        </w:rPr>
        <w:t>Studying Working Age Parents Carers</w:t>
      </w:r>
    </w:p>
    <w:p>
      <w:pPr>
        <w:spacing w:line="360" w:lineRule="auto" w:before="3"/>
        <w:ind w:left="906" w:right="4442" w:firstLine="0"/>
        <w:jc w:val="left"/>
        <w:rPr>
          <w:rFonts w:ascii="Calibri"/>
          <w:sz w:val="12"/>
        </w:rPr>
      </w:pPr>
      <w:r>
        <w:rPr/>
        <w:drawing>
          <wp:anchor distT="0" distB="0" distL="0" distR="0" allowOverlap="1" layoutInCell="1" locked="0" behindDoc="0" simplePos="0" relativeHeight="252021760">
            <wp:simplePos x="0" y="0"/>
            <wp:positionH relativeFrom="page">
              <wp:posOffset>3913933</wp:posOffset>
            </wp:positionH>
            <wp:positionV relativeFrom="paragraph">
              <wp:posOffset>28280</wp:posOffset>
            </wp:positionV>
            <wp:extent cx="46512" cy="46455"/>
            <wp:effectExtent l="0" t="0" r="0" b="0"/>
            <wp:wrapNone/>
            <wp:docPr id="53" name="image47.png"/>
            <wp:cNvGraphicFramePr>
              <a:graphicFrameLocks noChangeAspect="1"/>
            </wp:cNvGraphicFramePr>
            <a:graphic>
              <a:graphicData uri="http://schemas.openxmlformats.org/drawingml/2006/picture">
                <pic:pic>
                  <pic:nvPicPr>
                    <pic:cNvPr id="54" name="image47.png"/>
                    <pic:cNvPicPr/>
                  </pic:nvPicPr>
                  <pic:blipFill>
                    <a:blip r:embed="rId65" cstate="print"/>
                    <a:stretch>
                      <a:fillRect/>
                    </a:stretch>
                  </pic:blipFill>
                  <pic:spPr>
                    <a:xfrm>
                      <a:off x="0" y="0"/>
                      <a:ext cx="46512" cy="46455"/>
                    </a:xfrm>
                    <a:prstGeom prst="rect">
                      <a:avLst/>
                    </a:prstGeom>
                  </pic:spPr>
                </pic:pic>
              </a:graphicData>
            </a:graphic>
          </wp:anchor>
        </w:drawing>
      </w:r>
      <w:r>
        <w:rPr/>
        <w:drawing>
          <wp:anchor distT="0" distB="0" distL="0" distR="0" allowOverlap="1" layoutInCell="1" locked="0" behindDoc="0" simplePos="0" relativeHeight="252022784">
            <wp:simplePos x="0" y="0"/>
            <wp:positionH relativeFrom="page">
              <wp:posOffset>3913933</wp:posOffset>
            </wp:positionH>
            <wp:positionV relativeFrom="paragraph">
              <wp:posOffset>167622</wp:posOffset>
            </wp:positionV>
            <wp:extent cx="46512" cy="46455"/>
            <wp:effectExtent l="0" t="0" r="0" b="0"/>
            <wp:wrapNone/>
            <wp:docPr id="55" name="image48.png"/>
            <wp:cNvGraphicFramePr>
              <a:graphicFrameLocks noChangeAspect="1"/>
            </wp:cNvGraphicFramePr>
            <a:graphic>
              <a:graphicData uri="http://schemas.openxmlformats.org/drawingml/2006/picture">
                <pic:pic>
                  <pic:nvPicPr>
                    <pic:cNvPr id="56" name="image48.png"/>
                    <pic:cNvPicPr/>
                  </pic:nvPicPr>
                  <pic:blipFill>
                    <a:blip r:embed="rId66" cstate="print"/>
                    <a:stretch>
                      <a:fillRect/>
                    </a:stretch>
                  </pic:blipFill>
                  <pic:spPr>
                    <a:xfrm>
                      <a:off x="0" y="0"/>
                      <a:ext cx="46512" cy="46455"/>
                    </a:xfrm>
                    <a:prstGeom prst="rect">
                      <a:avLst/>
                    </a:prstGeom>
                  </pic:spPr>
                </pic:pic>
              </a:graphicData>
            </a:graphic>
          </wp:anchor>
        </w:drawing>
      </w:r>
      <w:r>
        <w:rPr>
          <w:rFonts w:ascii="Calibri"/>
          <w:sz w:val="12"/>
        </w:rPr>
        <w:t>Disability </w:t>
      </w:r>
      <w:r>
        <w:rPr>
          <w:rFonts w:ascii="Calibri"/>
          <w:spacing w:val="-3"/>
          <w:sz w:val="12"/>
        </w:rPr>
        <w:t>Support </w:t>
      </w:r>
      <w:r>
        <w:rPr>
          <w:rFonts w:ascii="Calibri"/>
          <w:sz w:val="12"/>
        </w:rPr>
        <w:t>Pension</w:t>
      </w:r>
      <w:r>
        <w:rPr>
          <w:rFonts w:ascii="Calibri"/>
          <w:spacing w:val="1"/>
          <w:sz w:val="12"/>
        </w:rPr>
        <w:t> </w:t>
      </w:r>
      <w:r>
        <w:rPr>
          <w:rFonts w:ascii="Calibri"/>
          <w:sz w:val="12"/>
        </w:rPr>
        <w:t>Age</w:t>
      </w:r>
    </w:p>
    <w:p>
      <w:pPr>
        <w:spacing w:line="360" w:lineRule="auto" w:before="1"/>
        <w:ind w:left="906" w:right="4857" w:firstLine="0"/>
        <w:jc w:val="left"/>
        <w:rPr>
          <w:rFonts w:ascii="Calibri"/>
          <w:sz w:val="12"/>
        </w:rPr>
      </w:pPr>
      <w:r>
        <w:rPr/>
        <w:drawing>
          <wp:anchor distT="0" distB="0" distL="0" distR="0" allowOverlap="1" layoutInCell="1" locked="0" behindDoc="0" simplePos="0" relativeHeight="252023808">
            <wp:simplePos x="0" y="0"/>
            <wp:positionH relativeFrom="page">
              <wp:posOffset>3913933</wp:posOffset>
            </wp:positionH>
            <wp:positionV relativeFrom="paragraph">
              <wp:posOffset>25725</wp:posOffset>
            </wp:positionV>
            <wp:extent cx="46512" cy="46455"/>
            <wp:effectExtent l="0" t="0" r="0" b="0"/>
            <wp:wrapNone/>
            <wp:docPr id="57" name="image49.png"/>
            <wp:cNvGraphicFramePr>
              <a:graphicFrameLocks noChangeAspect="1"/>
            </wp:cNvGraphicFramePr>
            <a:graphic>
              <a:graphicData uri="http://schemas.openxmlformats.org/drawingml/2006/picture">
                <pic:pic>
                  <pic:nvPicPr>
                    <pic:cNvPr id="58" name="image49.png"/>
                    <pic:cNvPicPr/>
                  </pic:nvPicPr>
                  <pic:blipFill>
                    <a:blip r:embed="rId67" cstate="print"/>
                    <a:stretch>
                      <a:fillRect/>
                    </a:stretch>
                  </pic:blipFill>
                  <pic:spPr>
                    <a:xfrm>
                      <a:off x="0" y="0"/>
                      <a:ext cx="46512" cy="46455"/>
                    </a:xfrm>
                    <a:prstGeom prst="rect">
                      <a:avLst/>
                    </a:prstGeom>
                  </pic:spPr>
                </pic:pic>
              </a:graphicData>
            </a:graphic>
          </wp:anchor>
        </w:drawing>
      </w:r>
      <w:r>
        <w:rPr/>
        <w:drawing>
          <wp:anchor distT="0" distB="0" distL="0" distR="0" allowOverlap="1" layoutInCell="1" locked="0" behindDoc="0" simplePos="0" relativeHeight="252024832">
            <wp:simplePos x="0" y="0"/>
            <wp:positionH relativeFrom="page">
              <wp:posOffset>3913933</wp:posOffset>
            </wp:positionH>
            <wp:positionV relativeFrom="paragraph">
              <wp:posOffset>165066</wp:posOffset>
            </wp:positionV>
            <wp:extent cx="46512" cy="46455"/>
            <wp:effectExtent l="0" t="0" r="0" b="0"/>
            <wp:wrapNone/>
            <wp:docPr id="59" name="image50.png"/>
            <wp:cNvGraphicFramePr>
              <a:graphicFrameLocks noChangeAspect="1"/>
            </wp:cNvGraphicFramePr>
            <a:graphic>
              <a:graphicData uri="http://schemas.openxmlformats.org/drawingml/2006/picture">
                <pic:pic>
                  <pic:nvPicPr>
                    <pic:cNvPr id="60" name="image50.png"/>
                    <pic:cNvPicPr/>
                  </pic:nvPicPr>
                  <pic:blipFill>
                    <a:blip r:embed="rId68" cstate="print"/>
                    <a:stretch>
                      <a:fillRect/>
                    </a:stretch>
                  </pic:blipFill>
                  <pic:spPr>
                    <a:xfrm>
                      <a:off x="0" y="0"/>
                      <a:ext cx="46512" cy="46455"/>
                    </a:xfrm>
                    <a:prstGeom prst="rect">
                      <a:avLst/>
                    </a:prstGeom>
                  </pic:spPr>
                </pic:pic>
              </a:graphicData>
            </a:graphic>
          </wp:anchor>
        </w:drawing>
      </w:r>
      <w:r>
        <w:rPr/>
        <w:drawing>
          <wp:anchor distT="0" distB="0" distL="0" distR="0" allowOverlap="1" layoutInCell="1" locked="0" behindDoc="0" simplePos="0" relativeHeight="252025856">
            <wp:simplePos x="0" y="0"/>
            <wp:positionH relativeFrom="page">
              <wp:posOffset>3913933</wp:posOffset>
            </wp:positionH>
            <wp:positionV relativeFrom="paragraph">
              <wp:posOffset>304407</wp:posOffset>
            </wp:positionV>
            <wp:extent cx="46512" cy="46455"/>
            <wp:effectExtent l="0" t="0" r="0" b="0"/>
            <wp:wrapNone/>
            <wp:docPr id="61" name="image51.png"/>
            <wp:cNvGraphicFramePr>
              <a:graphicFrameLocks noChangeAspect="1"/>
            </wp:cNvGraphicFramePr>
            <a:graphic>
              <a:graphicData uri="http://schemas.openxmlformats.org/drawingml/2006/picture">
                <pic:pic>
                  <pic:nvPicPr>
                    <pic:cNvPr id="62" name="image51.png"/>
                    <pic:cNvPicPr/>
                  </pic:nvPicPr>
                  <pic:blipFill>
                    <a:blip r:embed="rId69" cstate="print"/>
                    <a:stretch>
                      <a:fillRect/>
                    </a:stretch>
                  </pic:blipFill>
                  <pic:spPr>
                    <a:xfrm>
                      <a:off x="0" y="0"/>
                      <a:ext cx="46512" cy="46455"/>
                    </a:xfrm>
                    <a:prstGeom prst="rect">
                      <a:avLst/>
                    </a:prstGeom>
                  </pic:spPr>
                </pic:pic>
              </a:graphicData>
            </a:graphic>
          </wp:anchor>
        </w:drawing>
      </w:r>
      <w:r>
        <w:rPr>
          <w:rFonts w:ascii="Calibri"/>
          <w:sz w:val="12"/>
        </w:rPr>
        <w:t>Non IS </w:t>
      </w:r>
      <w:r>
        <w:rPr>
          <w:rFonts w:ascii="Calibri"/>
          <w:spacing w:val="-3"/>
          <w:sz w:val="12"/>
        </w:rPr>
        <w:t>Family </w:t>
      </w:r>
      <w:r>
        <w:rPr>
          <w:rFonts w:ascii="Calibri"/>
          <w:sz w:val="12"/>
        </w:rPr>
        <w:t>Non IS Carer Non IS</w:t>
      </w:r>
      <w:r>
        <w:rPr>
          <w:rFonts w:ascii="Calibri"/>
          <w:spacing w:val="3"/>
          <w:sz w:val="12"/>
        </w:rPr>
        <w:t> </w:t>
      </w:r>
      <w:r>
        <w:rPr>
          <w:rFonts w:ascii="Calibri"/>
          <w:sz w:val="12"/>
        </w:rPr>
        <w:t>Other</w:t>
      </w:r>
    </w:p>
    <w:p>
      <w:pPr>
        <w:spacing w:line="360" w:lineRule="auto" w:before="2"/>
        <w:ind w:left="906" w:right="4138" w:firstLine="0"/>
        <w:jc w:val="left"/>
        <w:rPr>
          <w:rFonts w:ascii="Calibri"/>
          <w:sz w:val="12"/>
        </w:rPr>
      </w:pPr>
      <w:r>
        <w:rPr/>
        <w:drawing>
          <wp:anchor distT="0" distB="0" distL="0" distR="0" allowOverlap="1" layoutInCell="1" locked="0" behindDoc="0" simplePos="0" relativeHeight="252026880">
            <wp:simplePos x="0" y="0"/>
            <wp:positionH relativeFrom="page">
              <wp:posOffset>3913933</wp:posOffset>
            </wp:positionH>
            <wp:positionV relativeFrom="paragraph">
              <wp:posOffset>24436</wp:posOffset>
            </wp:positionV>
            <wp:extent cx="46497" cy="52261"/>
            <wp:effectExtent l="0" t="0" r="0" b="0"/>
            <wp:wrapNone/>
            <wp:docPr id="63" name="image52.png"/>
            <wp:cNvGraphicFramePr>
              <a:graphicFrameLocks noChangeAspect="1"/>
            </wp:cNvGraphicFramePr>
            <a:graphic>
              <a:graphicData uri="http://schemas.openxmlformats.org/drawingml/2006/picture">
                <pic:pic>
                  <pic:nvPicPr>
                    <pic:cNvPr id="64" name="image52.png"/>
                    <pic:cNvPicPr/>
                  </pic:nvPicPr>
                  <pic:blipFill>
                    <a:blip r:embed="rId70" cstate="print"/>
                    <a:stretch>
                      <a:fillRect/>
                    </a:stretch>
                  </pic:blipFill>
                  <pic:spPr>
                    <a:xfrm>
                      <a:off x="0" y="0"/>
                      <a:ext cx="46497" cy="52261"/>
                    </a:xfrm>
                    <a:prstGeom prst="rect">
                      <a:avLst/>
                    </a:prstGeom>
                  </pic:spPr>
                </pic:pic>
              </a:graphicData>
            </a:graphic>
          </wp:anchor>
        </w:drawing>
      </w:r>
      <w:r>
        <w:rPr/>
        <w:drawing>
          <wp:anchor distT="0" distB="0" distL="0" distR="0" allowOverlap="1" layoutInCell="1" locked="0" behindDoc="0" simplePos="0" relativeHeight="252027904">
            <wp:simplePos x="0" y="0"/>
            <wp:positionH relativeFrom="page">
              <wp:posOffset>3913933</wp:posOffset>
            </wp:positionH>
            <wp:positionV relativeFrom="paragraph">
              <wp:posOffset>163777</wp:posOffset>
            </wp:positionV>
            <wp:extent cx="46497" cy="52261"/>
            <wp:effectExtent l="0" t="0" r="0" b="0"/>
            <wp:wrapNone/>
            <wp:docPr id="65" name="image53.png"/>
            <wp:cNvGraphicFramePr>
              <a:graphicFrameLocks noChangeAspect="1"/>
            </wp:cNvGraphicFramePr>
            <a:graphic>
              <a:graphicData uri="http://schemas.openxmlformats.org/drawingml/2006/picture">
                <pic:pic>
                  <pic:nvPicPr>
                    <pic:cNvPr id="66" name="image53.png"/>
                    <pic:cNvPicPr/>
                  </pic:nvPicPr>
                  <pic:blipFill>
                    <a:blip r:embed="rId71" cstate="print"/>
                    <a:stretch>
                      <a:fillRect/>
                    </a:stretch>
                  </pic:blipFill>
                  <pic:spPr>
                    <a:xfrm>
                      <a:off x="0" y="0"/>
                      <a:ext cx="46497" cy="52261"/>
                    </a:xfrm>
                    <a:prstGeom prst="rect">
                      <a:avLst/>
                    </a:prstGeom>
                  </pic:spPr>
                </pic:pic>
              </a:graphicData>
            </a:graphic>
          </wp:anchor>
        </w:drawing>
      </w:r>
      <w:r>
        <w:rPr>
          <w:rFonts w:ascii="Calibri"/>
          <w:sz w:val="12"/>
        </w:rPr>
        <w:t>Previous Welfare Recipient Rest of Aust. Population</w:t>
      </w:r>
    </w:p>
    <w:p>
      <w:pPr>
        <w:spacing w:after="0" w:line="360" w:lineRule="auto"/>
        <w:jc w:val="left"/>
        <w:rPr>
          <w:rFonts w:ascii="Calibri"/>
          <w:sz w:val="12"/>
        </w:rPr>
        <w:sectPr>
          <w:type w:val="continuous"/>
          <w:pgSz w:w="11910" w:h="16850"/>
          <w:pgMar w:top="1600" w:bottom="280" w:left="120" w:right="0"/>
          <w:cols w:num="3" w:equalWidth="0">
            <w:col w:w="3363" w:space="40"/>
            <w:col w:w="1792" w:space="39"/>
            <w:col w:w="6556"/>
          </w:cols>
        </w:sectPr>
      </w:pPr>
    </w:p>
    <w:p>
      <w:pPr>
        <w:pStyle w:val="BodyText"/>
        <w:spacing w:before="7"/>
        <w:rPr>
          <w:rFonts w:ascii="Calibri"/>
          <w:sz w:val="10"/>
        </w:rPr>
      </w:pPr>
    </w:p>
    <w:p>
      <w:pPr>
        <w:spacing w:before="80"/>
        <w:ind w:left="0" w:right="5110" w:firstLine="0"/>
        <w:jc w:val="center"/>
        <w:rPr>
          <w:rFonts w:ascii="Calibri"/>
          <w:sz w:val="13"/>
        </w:rPr>
      </w:pPr>
      <w:r>
        <w:rPr>
          <w:rFonts w:ascii="Calibri"/>
          <w:w w:val="105"/>
          <w:sz w:val="13"/>
        </w:rPr>
        <w:t>0</w:t>
      </w:r>
    </w:p>
    <w:p>
      <w:pPr>
        <w:tabs>
          <w:tab w:pos="1100" w:val="left" w:leader="none"/>
          <w:tab w:pos="2200" w:val="left" w:leader="none"/>
          <w:tab w:pos="3300" w:val="left" w:leader="none"/>
          <w:tab w:pos="4400" w:val="left" w:leader="none"/>
        </w:tabs>
        <w:spacing w:before="34"/>
        <w:ind w:left="0" w:right="4790" w:firstLine="0"/>
        <w:jc w:val="center"/>
        <w:rPr>
          <w:rFonts w:ascii="Calibri"/>
          <w:sz w:val="13"/>
        </w:rPr>
      </w:pPr>
      <w:r>
        <w:rPr>
          <w:rFonts w:ascii="Calibri"/>
          <w:w w:val="105"/>
          <w:sz w:val="13"/>
        </w:rPr>
        <w:t>0.2</w:t>
      </w:r>
      <w:r>
        <w:rPr>
          <w:rFonts w:ascii="Calibri"/>
          <w:spacing w:val="-2"/>
          <w:w w:val="105"/>
          <w:sz w:val="13"/>
        </w:rPr>
        <w:t> </w:t>
      </w:r>
      <w:r>
        <w:rPr>
          <w:rFonts w:ascii="Calibri"/>
          <w:w w:val="105"/>
          <w:sz w:val="13"/>
        </w:rPr>
        <w:t>m</w:t>
        <w:tab/>
        <w:t>0.1</w:t>
      </w:r>
      <w:r>
        <w:rPr>
          <w:rFonts w:ascii="Calibri"/>
          <w:spacing w:val="-1"/>
          <w:w w:val="105"/>
          <w:sz w:val="13"/>
        </w:rPr>
        <w:t> </w:t>
      </w:r>
      <w:r>
        <w:rPr>
          <w:rFonts w:ascii="Calibri"/>
          <w:w w:val="105"/>
          <w:sz w:val="13"/>
        </w:rPr>
        <w:t>m</w:t>
        <w:tab/>
        <w:t>0.0</w:t>
      </w:r>
      <w:r>
        <w:rPr>
          <w:rFonts w:ascii="Calibri"/>
          <w:spacing w:val="-1"/>
          <w:w w:val="105"/>
          <w:sz w:val="13"/>
        </w:rPr>
        <w:t> </w:t>
      </w:r>
      <w:r>
        <w:rPr>
          <w:rFonts w:ascii="Calibri"/>
          <w:w w:val="105"/>
          <w:sz w:val="13"/>
        </w:rPr>
        <w:t>m</w:t>
        <w:tab/>
        <w:t>0.1</w:t>
      </w:r>
      <w:r>
        <w:rPr>
          <w:rFonts w:ascii="Calibri"/>
          <w:spacing w:val="-1"/>
          <w:w w:val="105"/>
          <w:sz w:val="13"/>
        </w:rPr>
        <w:t> </w:t>
      </w:r>
      <w:r>
        <w:rPr>
          <w:rFonts w:ascii="Calibri"/>
          <w:w w:val="105"/>
          <w:sz w:val="13"/>
        </w:rPr>
        <w:t>m</w:t>
        <w:tab/>
        <w:t>0.2 m</w:t>
      </w:r>
    </w:p>
    <w:p>
      <w:pPr>
        <w:spacing w:before="41"/>
        <w:ind w:left="1602" w:right="6398" w:firstLine="0"/>
        <w:jc w:val="center"/>
        <w:rPr>
          <w:rFonts w:ascii="Calibri"/>
          <w:b/>
          <w:sz w:val="13"/>
        </w:rPr>
      </w:pPr>
      <w:r>
        <w:rPr>
          <w:rFonts w:ascii="Calibri"/>
          <w:b/>
          <w:w w:val="105"/>
          <w:sz w:val="13"/>
        </w:rPr>
        <w:t>People by year of age</w:t>
      </w:r>
    </w:p>
    <w:p>
      <w:pPr>
        <w:pStyle w:val="BodyText"/>
        <w:rPr>
          <w:rFonts w:ascii="Calibri"/>
          <w:b/>
        </w:rPr>
      </w:pPr>
    </w:p>
    <w:p>
      <w:pPr>
        <w:pStyle w:val="BodyText"/>
        <w:spacing w:before="2"/>
        <w:rPr>
          <w:rFonts w:ascii="Calibri"/>
          <w:b/>
          <w:sz w:val="21"/>
        </w:rPr>
      </w:pPr>
    </w:p>
    <w:p>
      <w:pPr>
        <w:pStyle w:val="BodyText"/>
        <w:ind w:left="900"/>
      </w:pPr>
      <w:r>
        <w:rPr>
          <w:color w:val="404040"/>
        </w:rPr>
        <w:t>We can see that:</w:t>
      </w:r>
    </w:p>
    <w:p>
      <w:pPr>
        <w:pStyle w:val="ListParagraph"/>
        <w:numPr>
          <w:ilvl w:val="0"/>
          <w:numId w:val="31"/>
        </w:numPr>
        <w:tabs>
          <w:tab w:pos="1184" w:val="left" w:leader="none"/>
        </w:tabs>
        <w:spacing w:line="240" w:lineRule="auto" w:before="117" w:after="0"/>
        <w:ind w:left="1183" w:right="1599" w:hanging="284"/>
        <w:jc w:val="left"/>
        <w:rPr>
          <w:rFonts w:ascii="Symbol" w:hAnsi="Symbol"/>
          <w:sz w:val="20"/>
        </w:rPr>
      </w:pPr>
      <w:r>
        <w:rPr>
          <w:color w:val="404040"/>
          <w:sz w:val="20"/>
        </w:rPr>
        <w:t>a large proportion of over 65’s are people in receipt of Commonwealth welfare payments (as would be expected);</w:t>
      </w:r>
    </w:p>
    <w:p>
      <w:pPr>
        <w:pStyle w:val="ListParagraph"/>
        <w:numPr>
          <w:ilvl w:val="0"/>
          <w:numId w:val="31"/>
        </w:numPr>
        <w:tabs>
          <w:tab w:pos="1184" w:val="left" w:leader="none"/>
        </w:tabs>
        <w:spacing w:line="240" w:lineRule="auto" w:before="120" w:after="0"/>
        <w:ind w:left="1183" w:right="0" w:hanging="284"/>
        <w:jc w:val="left"/>
        <w:rPr>
          <w:rFonts w:ascii="Symbol" w:hAnsi="Symbol"/>
          <w:sz w:val="20"/>
        </w:rPr>
      </w:pPr>
      <w:r>
        <w:rPr>
          <w:color w:val="404040"/>
          <w:sz w:val="20"/>
        </w:rPr>
        <w:t>people only generally access the welfare system directly from their late teens</w:t>
      </w:r>
      <w:r>
        <w:rPr>
          <w:color w:val="404040"/>
          <w:spacing w:val="-6"/>
          <w:sz w:val="20"/>
        </w:rPr>
        <w:t> </w:t>
      </w:r>
      <w:r>
        <w:rPr>
          <w:color w:val="404040"/>
          <w:sz w:val="20"/>
        </w:rPr>
        <w:t>onwards;</w:t>
      </w:r>
    </w:p>
    <w:p>
      <w:pPr>
        <w:pStyle w:val="ListParagraph"/>
        <w:numPr>
          <w:ilvl w:val="0"/>
          <w:numId w:val="31"/>
        </w:numPr>
        <w:tabs>
          <w:tab w:pos="1184" w:val="left" w:leader="none"/>
        </w:tabs>
        <w:spacing w:line="240" w:lineRule="auto" w:before="117" w:after="0"/>
        <w:ind w:left="1183" w:right="1465" w:hanging="284"/>
        <w:jc w:val="left"/>
        <w:rPr>
          <w:rFonts w:ascii="Symbol" w:hAnsi="Symbol"/>
          <w:sz w:val="20"/>
        </w:rPr>
      </w:pPr>
      <w:r>
        <w:rPr>
          <w:color w:val="404040"/>
          <w:sz w:val="20"/>
        </w:rPr>
        <w:t>there is a significant group of women and a smaller group of men receiving Parenting payments or ‘Non IS Family’ payments (which is primarily FTB and / or child care</w:t>
      </w:r>
      <w:r>
        <w:rPr>
          <w:color w:val="404040"/>
          <w:spacing w:val="-13"/>
          <w:sz w:val="20"/>
        </w:rPr>
        <w:t> </w:t>
      </w:r>
      <w:r>
        <w:rPr>
          <w:color w:val="404040"/>
          <w:sz w:val="20"/>
        </w:rPr>
        <w:t>payments);</w:t>
      </w:r>
    </w:p>
    <w:p>
      <w:pPr>
        <w:pStyle w:val="ListParagraph"/>
        <w:numPr>
          <w:ilvl w:val="0"/>
          <w:numId w:val="31"/>
        </w:numPr>
        <w:tabs>
          <w:tab w:pos="1184" w:val="left" w:leader="none"/>
        </w:tabs>
        <w:spacing w:line="240" w:lineRule="auto" w:before="118" w:after="0"/>
        <w:ind w:left="1183" w:right="0" w:hanging="284"/>
        <w:jc w:val="left"/>
        <w:rPr>
          <w:rFonts w:ascii="Symbol" w:hAnsi="Symbol"/>
          <w:sz w:val="20"/>
        </w:rPr>
      </w:pPr>
      <w:r>
        <w:rPr>
          <w:color w:val="404040"/>
          <w:sz w:val="20"/>
        </w:rPr>
        <w:t>there is a slight increase in welfare utilisation in the years leading up to retirement age;</w:t>
      </w:r>
      <w:r>
        <w:rPr>
          <w:color w:val="404040"/>
          <w:spacing w:val="-10"/>
          <w:sz w:val="20"/>
        </w:rPr>
        <w:t> </w:t>
      </w:r>
      <w:r>
        <w:rPr>
          <w:color w:val="404040"/>
          <w:sz w:val="20"/>
        </w:rPr>
        <w:t>and</w:t>
      </w:r>
    </w:p>
    <w:p>
      <w:pPr>
        <w:pStyle w:val="ListParagraph"/>
        <w:numPr>
          <w:ilvl w:val="0"/>
          <w:numId w:val="31"/>
        </w:numPr>
        <w:tabs>
          <w:tab w:pos="1184" w:val="left" w:leader="none"/>
        </w:tabs>
        <w:spacing w:line="240" w:lineRule="auto" w:before="120" w:after="0"/>
        <w:ind w:left="1183" w:right="1165" w:hanging="284"/>
        <w:jc w:val="left"/>
        <w:rPr>
          <w:rFonts w:ascii="Symbol" w:hAnsi="Symbol"/>
          <w:sz w:val="20"/>
        </w:rPr>
      </w:pPr>
      <w:r>
        <w:rPr>
          <w:color w:val="404040"/>
          <w:sz w:val="20"/>
        </w:rPr>
        <w:t>there are other differences in payment system utilisation between genders – which relates to the method of allocation FTB and other family payments to one member of couple households, variations in roles performed by each gender, differences in longevity and differences in lifetime</w:t>
      </w:r>
      <w:r>
        <w:rPr>
          <w:color w:val="404040"/>
          <w:spacing w:val="-15"/>
          <w:sz w:val="20"/>
        </w:rPr>
        <w:t> </w:t>
      </w:r>
      <w:r>
        <w:rPr>
          <w:color w:val="404040"/>
          <w:sz w:val="20"/>
        </w:rPr>
        <w:t>incomes.</w:t>
      </w:r>
    </w:p>
    <w:p>
      <w:pPr>
        <w:spacing w:after="0" w:line="240" w:lineRule="auto"/>
        <w:jc w:val="left"/>
        <w:rPr>
          <w:rFonts w:ascii="Symbol" w:hAnsi="Symbol"/>
          <w:sz w:val="20"/>
        </w:rPr>
        <w:sectPr>
          <w:type w:val="continuous"/>
          <w:pgSz w:w="11910" w:h="16850"/>
          <w:pgMar w:top="1600" w:bottom="280" w:left="120" w:right="0"/>
        </w:sectPr>
      </w:pPr>
    </w:p>
    <w:p>
      <w:pPr>
        <w:pStyle w:val="BodyText"/>
      </w:pPr>
    </w:p>
    <w:p>
      <w:pPr>
        <w:pStyle w:val="BodyText"/>
      </w:pPr>
    </w:p>
    <w:p>
      <w:pPr>
        <w:pStyle w:val="BodyText"/>
        <w:rPr>
          <w:sz w:val="22"/>
        </w:rPr>
      </w:pPr>
    </w:p>
    <w:p>
      <w:pPr>
        <w:pStyle w:val="ListParagraph"/>
        <w:numPr>
          <w:ilvl w:val="0"/>
          <w:numId w:val="22"/>
        </w:numPr>
        <w:tabs>
          <w:tab w:pos="1752" w:val="left" w:leader="none"/>
          <w:tab w:pos="1753" w:val="left" w:leader="none"/>
        </w:tabs>
        <w:spacing w:line="240" w:lineRule="auto" w:before="88" w:after="0"/>
        <w:ind w:left="1752" w:right="0" w:hanging="853"/>
        <w:jc w:val="left"/>
        <w:rPr>
          <w:color w:val="DF2F1E"/>
          <w:sz w:val="40"/>
        </w:rPr>
      </w:pPr>
      <w:bookmarkStart w:name="5 Overall results" w:id="130"/>
      <w:bookmarkEnd w:id="130"/>
      <w:r>
        <w:rPr/>
      </w:r>
      <w:bookmarkStart w:name="_bookmark33" w:id="131"/>
      <w:bookmarkEnd w:id="131"/>
      <w:r>
        <w:rPr/>
      </w:r>
      <w:bookmarkStart w:name="_bookmark33" w:id="132"/>
      <w:bookmarkEnd w:id="132"/>
      <w:r>
        <w:rPr>
          <w:color w:val="DF2F1E"/>
          <w:sz w:val="40"/>
        </w:rPr>
        <w:t>O</w:t>
      </w:r>
      <w:r>
        <w:rPr>
          <w:color w:val="DF2F1E"/>
          <w:sz w:val="40"/>
        </w:rPr>
        <w:t>verall</w:t>
      </w:r>
      <w:r>
        <w:rPr>
          <w:color w:val="DF2F1E"/>
          <w:spacing w:val="-2"/>
          <w:sz w:val="40"/>
        </w:rPr>
        <w:t> </w:t>
      </w:r>
      <w:r>
        <w:rPr>
          <w:color w:val="DF2F1E"/>
          <w:sz w:val="40"/>
        </w:rPr>
        <w:t>results</w:t>
      </w:r>
    </w:p>
    <w:p>
      <w:pPr>
        <w:pStyle w:val="BodyText"/>
        <w:spacing w:before="11"/>
        <w:rPr>
          <w:sz w:val="18"/>
        </w:rPr>
      </w:pPr>
      <w:r>
        <w:rPr/>
        <w:pict>
          <v:shape style="position:absolute;margin-left:51pt;margin-top:12.106035pt;width:493.35pt;height:229.45pt;mso-position-horizontal-relative:page;mso-position-vertical-relative:paragraph;z-index:-251286528;mso-wrap-distance-left:0;mso-wrap-distance-right:0" type="#_x0000_t202" filled="true" fillcolor="#f3aba3" stroked="false">
            <v:textbox inset="0,0,0,0">
              <w:txbxContent>
                <w:p>
                  <w:pPr>
                    <w:spacing w:before="117"/>
                    <w:ind w:left="107" w:right="0" w:firstLine="0"/>
                    <w:jc w:val="left"/>
                    <w:rPr>
                      <w:b/>
                      <w:sz w:val="20"/>
                    </w:rPr>
                  </w:pPr>
                  <w:r>
                    <w:rPr>
                      <w:b/>
                      <w:color w:val="404040"/>
                      <w:sz w:val="20"/>
                    </w:rPr>
                    <w:t>Key results</w:t>
                  </w:r>
                </w:p>
                <w:p>
                  <w:pPr>
                    <w:pStyle w:val="BodyText"/>
                    <w:numPr>
                      <w:ilvl w:val="0"/>
                      <w:numId w:val="33"/>
                    </w:numPr>
                    <w:tabs>
                      <w:tab w:pos="392" w:val="left" w:leader="none"/>
                    </w:tabs>
                    <w:spacing w:line="240" w:lineRule="auto" w:before="119" w:after="0"/>
                    <w:ind w:left="391" w:right="0" w:hanging="285"/>
                    <w:jc w:val="left"/>
                  </w:pPr>
                  <w:r>
                    <w:rPr>
                      <w:color w:val="404040"/>
                    </w:rPr>
                    <w:t>The total lifetime cost as at June 2018 is</w:t>
                  </w:r>
                  <w:r>
                    <w:rPr>
                      <w:color w:val="404040"/>
                      <w:spacing w:val="-6"/>
                    </w:rPr>
                    <w:t> </w:t>
                  </w:r>
                  <w:r>
                    <w:rPr>
                      <w:b/>
                      <w:color w:val="404040"/>
                    </w:rPr>
                    <w:t>$5,662bn</w:t>
                  </w:r>
                  <w:r>
                    <w:rPr>
                      <w:color w:val="404040"/>
                    </w:rPr>
                    <w:t>.</w:t>
                  </w:r>
                </w:p>
                <w:p>
                  <w:pPr>
                    <w:pStyle w:val="BodyText"/>
                    <w:numPr>
                      <w:ilvl w:val="0"/>
                      <w:numId w:val="33"/>
                    </w:numPr>
                    <w:tabs>
                      <w:tab w:pos="392" w:val="left" w:leader="none"/>
                    </w:tabs>
                    <w:spacing w:line="240" w:lineRule="auto" w:before="122" w:after="0"/>
                    <w:ind w:left="391" w:right="271" w:hanging="284"/>
                    <w:jc w:val="left"/>
                  </w:pPr>
                  <w:r>
                    <w:rPr>
                      <w:color w:val="404040"/>
                    </w:rPr>
                    <w:t>When considering the change in lifetime cost, we have first rebased the June 2017 result to allow</w:t>
                  </w:r>
                  <w:r>
                    <w:rPr>
                      <w:color w:val="404040"/>
                      <w:spacing w:val="-40"/>
                    </w:rPr>
                    <w:t> </w:t>
                  </w:r>
                  <w:r>
                    <w:rPr>
                      <w:color w:val="404040"/>
                    </w:rPr>
                    <w:t>for the updated discount rate of 5% used for the June 2018 valuation (a decrease from the discount rate of 6% used for the June 2017 valuation). This supports comparability of the June 2018 and June 2017 results. The June 2018 total lifetime cost has </w:t>
                  </w:r>
                  <w:r>
                    <w:rPr>
                      <w:b/>
                      <w:color w:val="404040"/>
                    </w:rPr>
                    <w:t>decreased by approximately $636bn (10.1%) </w:t>
                  </w:r>
                  <w:r>
                    <w:rPr>
                      <w:color w:val="404040"/>
                    </w:rPr>
                    <w:t>compared to this rebased June 2017 lifetime cost of</w:t>
                  </w:r>
                  <w:r>
                    <w:rPr>
                      <w:color w:val="404040"/>
                      <w:spacing w:val="-3"/>
                    </w:rPr>
                    <w:t> </w:t>
                  </w:r>
                  <w:r>
                    <w:rPr>
                      <w:color w:val="404040"/>
                    </w:rPr>
                    <w:t>$6,298bn.</w:t>
                  </w:r>
                </w:p>
                <w:p>
                  <w:pPr>
                    <w:pStyle w:val="BodyText"/>
                    <w:numPr>
                      <w:ilvl w:val="0"/>
                      <w:numId w:val="33"/>
                    </w:numPr>
                    <w:tabs>
                      <w:tab w:pos="392" w:val="left" w:leader="none"/>
                    </w:tabs>
                    <w:spacing w:line="240" w:lineRule="auto" w:before="117" w:after="0"/>
                    <w:ind w:left="391" w:right="334" w:hanging="284"/>
                    <w:jc w:val="left"/>
                  </w:pPr>
                  <w:r>
                    <w:rPr>
                      <w:color w:val="404040"/>
                    </w:rPr>
                    <w:t>This is a large decrease, and in particular, it reflects an update of assumptions that allow for significant decreases in entries and decreases in persistency of payments seen over the last year. This update, together with the changes in the Age Pension forecast and other assumption updates, contributed to an overall decrease of $896bn (-14.2%).</w:t>
                  </w:r>
                </w:p>
                <w:p>
                  <w:pPr>
                    <w:pStyle w:val="BodyText"/>
                    <w:numPr>
                      <w:ilvl w:val="0"/>
                      <w:numId w:val="33"/>
                    </w:numPr>
                    <w:tabs>
                      <w:tab w:pos="392" w:val="left" w:leader="none"/>
                    </w:tabs>
                    <w:spacing w:line="240" w:lineRule="auto" w:before="118" w:after="0"/>
                    <w:ind w:left="391" w:right="738" w:hanging="284"/>
                    <w:jc w:val="left"/>
                  </w:pPr>
                  <w:r>
                    <w:rPr>
                      <w:color w:val="404040"/>
                    </w:rPr>
                    <w:t>Population growth and inflation increased the total lifetime cost by almost $261bn (+4.1%), partially offsetting this large</w:t>
                  </w:r>
                  <w:r>
                    <w:rPr>
                      <w:color w:val="404040"/>
                      <w:spacing w:val="2"/>
                    </w:rPr>
                    <w:t> </w:t>
                  </w:r>
                  <w:r>
                    <w:rPr>
                      <w:color w:val="404040"/>
                    </w:rPr>
                    <w:t>decrease.</w:t>
                  </w:r>
                </w:p>
                <w:p>
                  <w:pPr>
                    <w:pStyle w:val="BodyText"/>
                    <w:numPr>
                      <w:ilvl w:val="0"/>
                      <w:numId w:val="33"/>
                    </w:numPr>
                    <w:tabs>
                      <w:tab w:pos="392" w:val="left" w:leader="none"/>
                    </w:tabs>
                    <w:spacing w:line="240" w:lineRule="auto" w:before="121" w:after="0"/>
                    <w:ind w:left="391" w:right="303" w:hanging="284"/>
                    <w:jc w:val="left"/>
                  </w:pPr>
                  <w:r>
                    <w:rPr>
                      <w:color w:val="404040"/>
                    </w:rPr>
                    <w:t>The impact of adjustments for policy changes contributed to a decrease of $4bn. This related to the introduction</w:t>
                  </w:r>
                  <w:r>
                    <w:rPr>
                      <w:color w:val="404040"/>
                      <w:spacing w:val="-5"/>
                    </w:rPr>
                    <w:t> </w:t>
                  </w:r>
                  <w:r>
                    <w:rPr>
                      <w:color w:val="404040"/>
                    </w:rPr>
                    <w:t>of</w:t>
                  </w:r>
                  <w:r>
                    <w:rPr>
                      <w:color w:val="404040"/>
                      <w:spacing w:val="-2"/>
                    </w:rPr>
                    <w:t> </w:t>
                  </w:r>
                  <w:r>
                    <w:rPr>
                      <w:color w:val="404040"/>
                    </w:rPr>
                    <w:t>a</w:t>
                  </w:r>
                  <w:r>
                    <w:rPr>
                      <w:color w:val="404040"/>
                      <w:spacing w:val="-5"/>
                    </w:rPr>
                    <w:t> </w:t>
                  </w:r>
                  <w:r>
                    <w:rPr>
                      <w:color w:val="404040"/>
                    </w:rPr>
                    <w:t>targeted</w:t>
                  </w:r>
                  <w:r>
                    <w:rPr>
                      <w:color w:val="404040"/>
                      <w:spacing w:val="-4"/>
                    </w:rPr>
                    <w:t> </w:t>
                  </w:r>
                  <w:r>
                    <w:rPr>
                      <w:color w:val="404040"/>
                    </w:rPr>
                    <w:t>compliance</w:t>
                  </w:r>
                  <w:r>
                    <w:rPr>
                      <w:color w:val="404040"/>
                      <w:spacing w:val="-4"/>
                    </w:rPr>
                    <w:t> </w:t>
                  </w:r>
                  <w:r>
                    <w:rPr>
                      <w:color w:val="404040"/>
                    </w:rPr>
                    <w:t>framework which</w:t>
                  </w:r>
                  <w:r>
                    <w:rPr>
                      <w:color w:val="404040"/>
                      <w:spacing w:val="-3"/>
                    </w:rPr>
                    <w:t> </w:t>
                  </w:r>
                  <w:r>
                    <w:rPr>
                      <w:color w:val="404040"/>
                    </w:rPr>
                    <w:t>will</w:t>
                  </w:r>
                  <w:r>
                    <w:rPr>
                      <w:color w:val="404040"/>
                      <w:spacing w:val="-3"/>
                    </w:rPr>
                    <w:t> </w:t>
                  </w:r>
                  <w:r>
                    <w:rPr>
                      <w:color w:val="404040"/>
                    </w:rPr>
                    <w:t>apply</w:t>
                  </w:r>
                  <w:r>
                    <w:rPr>
                      <w:color w:val="404040"/>
                      <w:spacing w:val="-7"/>
                    </w:rPr>
                    <w:t> </w:t>
                  </w:r>
                  <w:r>
                    <w:rPr>
                      <w:color w:val="404040"/>
                    </w:rPr>
                    <w:t>strong</w:t>
                  </w:r>
                  <w:r>
                    <w:rPr>
                      <w:color w:val="404040"/>
                      <w:spacing w:val="-3"/>
                    </w:rPr>
                    <w:t> </w:t>
                  </w:r>
                  <w:r>
                    <w:rPr>
                      <w:color w:val="404040"/>
                    </w:rPr>
                    <w:t>penalties</w:t>
                  </w:r>
                  <w:r>
                    <w:rPr>
                      <w:color w:val="404040"/>
                      <w:spacing w:val="-1"/>
                    </w:rPr>
                    <w:t> </w:t>
                  </w:r>
                  <w:r>
                    <w:rPr>
                      <w:color w:val="404040"/>
                    </w:rPr>
                    <w:t>to</w:t>
                  </w:r>
                  <w:r>
                    <w:rPr>
                      <w:color w:val="404040"/>
                      <w:spacing w:val="-4"/>
                    </w:rPr>
                    <w:t> </w:t>
                  </w:r>
                  <w:r>
                    <w:rPr>
                      <w:color w:val="404040"/>
                    </w:rPr>
                    <w:t>Jobseekers</w:t>
                  </w:r>
                  <w:r>
                    <w:rPr>
                      <w:color w:val="404040"/>
                      <w:spacing w:val="-3"/>
                    </w:rPr>
                    <w:t> </w:t>
                  </w:r>
                  <w:r>
                    <w:rPr>
                      <w:color w:val="404040"/>
                    </w:rPr>
                    <w:t>who</w:t>
                  </w:r>
                  <w:r>
                    <w:rPr>
                      <w:color w:val="404040"/>
                      <w:spacing w:val="-3"/>
                    </w:rPr>
                    <w:t> </w:t>
                  </w:r>
                  <w:r>
                    <w:rPr>
                      <w:color w:val="404040"/>
                    </w:rPr>
                    <w:t>do not consistently comply with their employment pathway plan (EPP)</w:t>
                  </w:r>
                  <w:r>
                    <w:rPr>
                      <w:color w:val="404040"/>
                      <w:spacing w:val="-15"/>
                    </w:rPr>
                    <w:t> </w:t>
                  </w:r>
                  <w:r>
                    <w:rPr>
                      <w:color w:val="404040"/>
                    </w:rPr>
                    <w:t>requirements.</w:t>
                  </w:r>
                </w:p>
              </w:txbxContent>
            </v:textbox>
            <v:fill type="solid"/>
            <w10:wrap type="topAndBottom"/>
          </v:shape>
        </w:pict>
      </w:r>
    </w:p>
    <w:p>
      <w:pPr>
        <w:pStyle w:val="BodyText"/>
        <w:spacing w:before="3"/>
        <w:rPr>
          <w:sz w:val="11"/>
        </w:rPr>
      </w:pPr>
    </w:p>
    <w:p>
      <w:pPr>
        <w:pStyle w:val="ListParagraph"/>
        <w:numPr>
          <w:ilvl w:val="1"/>
          <w:numId w:val="22"/>
        </w:numPr>
        <w:tabs>
          <w:tab w:pos="1752" w:val="left" w:leader="none"/>
          <w:tab w:pos="1753" w:val="left" w:leader="none"/>
        </w:tabs>
        <w:spacing w:line="240" w:lineRule="auto" w:before="92" w:after="0"/>
        <w:ind w:left="1752" w:right="0" w:hanging="853"/>
        <w:jc w:val="left"/>
        <w:rPr>
          <w:sz w:val="28"/>
        </w:rPr>
      </w:pPr>
      <w:bookmarkStart w:name="5.1 Total lifetime cost" w:id="133"/>
      <w:bookmarkEnd w:id="133"/>
      <w:r>
        <w:rPr/>
      </w:r>
      <w:bookmarkStart w:name="_bookmark34" w:id="134"/>
      <w:bookmarkEnd w:id="134"/>
      <w:r>
        <w:rPr/>
      </w:r>
      <w:bookmarkStart w:name="_bookmark34" w:id="135"/>
      <w:bookmarkEnd w:id="135"/>
      <w:r>
        <w:rPr>
          <w:color w:val="DF2F28"/>
          <w:sz w:val="28"/>
        </w:rPr>
        <w:t>T</w:t>
      </w:r>
      <w:r>
        <w:rPr>
          <w:color w:val="DF2F28"/>
          <w:sz w:val="28"/>
        </w:rPr>
        <w:t>otal lifetime</w:t>
      </w:r>
      <w:r>
        <w:rPr>
          <w:color w:val="DF2F28"/>
          <w:spacing w:val="-2"/>
          <w:sz w:val="28"/>
        </w:rPr>
        <w:t> </w:t>
      </w:r>
      <w:r>
        <w:rPr>
          <w:color w:val="DF2F28"/>
          <w:sz w:val="28"/>
        </w:rPr>
        <w:t>cost</w:t>
      </w:r>
    </w:p>
    <w:p>
      <w:pPr>
        <w:pStyle w:val="BodyText"/>
        <w:spacing w:before="120"/>
        <w:ind w:left="900" w:right="1086"/>
      </w:pPr>
      <w:r>
        <w:rPr>
          <w:color w:val="404040"/>
        </w:rPr>
        <w:t>The estimated total lifetime cost for the whole Australian population as at 30 June 2016 is </w:t>
      </w:r>
      <w:r>
        <w:rPr>
          <w:b/>
          <w:color w:val="404040"/>
        </w:rPr>
        <w:t>$5,662 billion</w:t>
      </w:r>
      <w:r>
        <w:rPr>
          <w:color w:val="404040"/>
        </w:rPr>
        <w:t>. This figure is the net present value of the future in-scope payments expected to be made over the remaining natural lifetimes of the full model population. In calculating the net present value, the projected payments are discounted to current dollar values.</w:t>
      </w:r>
    </w:p>
    <w:p>
      <w:pPr>
        <w:pStyle w:val="BodyText"/>
        <w:spacing w:before="122"/>
        <w:ind w:left="900"/>
      </w:pPr>
      <w:r>
        <w:rPr>
          <w:color w:val="404040"/>
        </w:rPr>
        <w:t>This is a substantial figure; by way of comparison, the in-scope payments made in the 2017/18 year totalled</w:t>
      </w:r>
    </w:p>
    <w:p>
      <w:pPr>
        <w:pStyle w:val="BodyText"/>
        <w:ind w:left="899" w:right="1253"/>
      </w:pPr>
      <w:r>
        <w:rPr>
          <w:color w:val="404040"/>
        </w:rPr>
        <w:t>$115.4 billion. Hence, the total lifetime cost is almost 50 times the size of recent annual payments. Such a multiplier is perhaps not unreasonable given that we have included the Age Pension in the valuation, which a significant proportion of the model population are expected to receive in the future for many years post retirement.</w:t>
      </w:r>
    </w:p>
    <w:p>
      <w:pPr>
        <w:spacing w:after="0"/>
        <w:sectPr>
          <w:headerReference w:type="default" r:id="rId72"/>
          <w:footerReference w:type="default" r:id="rId73"/>
          <w:pgSz w:w="11910" w:h="16850"/>
          <w:pgMar w:header="572" w:footer="581" w:top="780" w:bottom="780" w:left="120" w:right="0"/>
          <w:pgNumType w:start="55"/>
        </w:sectPr>
      </w:pPr>
    </w:p>
    <w:p>
      <w:pPr>
        <w:pStyle w:val="BodyText"/>
      </w:pPr>
    </w:p>
    <w:p>
      <w:pPr>
        <w:pStyle w:val="BodyText"/>
      </w:pPr>
    </w:p>
    <w:p>
      <w:pPr>
        <w:pStyle w:val="BodyText"/>
        <w:spacing w:before="5"/>
        <w:rPr>
          <w:sz w:val="21"/>
        </w:rPr>
      </w:pPr>
    </w:p>
    <w:p>
      <w:pPr>
        <w:pStyle w:val="Heading9"/>
        <w:spacing w:after="44"/>
      </w:pPr>
      <w:r>
        <w:rPr>
          <w:color w:val="DF2F1E"/>
        </w:rPr>
        <w:t>Table 9: Summary of key valuation results</w:t>
      </w:r>
    </w:p>
    <w:tbl>
      <w:tblPr>
        <w:tblW w:w="0" w:type="auto"/>
        <w:jc w:val="left"/>
        <w:tblInd w:w="9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50"/>
        <w:gridCol w:w="1077"/>
        <w:gridCol w:w="907"/>
        <w:gridCol w:w="854"/>
        <w:gridCol w:w="1023"/>
        <w:gridCol w:w="893"/>
        <w:gridCol w:w="889"/>
        <w:gridCol w:w="1079"/>
      </w:tblGrid>
      <w:tr>
        <w:trPr>
          <w:trHeight w:val="1372" w:hRule="atLeast"/>
        </w:trPr>
        <w:tc>
          <w:tcPr>
            <w:tcW w:w="2750" w:type="dxa"/>
            <w:shd w:val="clear" w:color="auto" w:fill="DF2528"/>
          </w:tcPr>
          <w:p>
            <w:pPr>
              <w:pStyle w:val="TableParagraph"/>
              <w:spacing w:before="6"/>
              <w:rPr>
                <w:b/>
                <w:sz w:val="21"/>
              </w:rPr>
            </w:pPr>
          </w:p>
          <w:p>
            <w:pPr>
              <w:pStyle w:val="TableParagraph"/>
              <w:spacing w:before="0"/>
              <w:ind w:left="112"/>
              <w:rPr>
                <w:b/>
                <w:sz w:val="14"/>
              </w:rPr>
            </w:pPr>
            <w:r>
              <w:rPr>
                <w:b/>
                <w:color w:val="FFFFFF"/>
                <w:sz w:val="14"/>
              </w:rPr>
              <w:t>Population segment</w:t>
            </w:r>
          </w:p>
        </w:tc>
        <w:tc>
          <w:tcPr>
            <w:tcW w:w="1077" w:type="dxa"/>
            <w:shd w:val="clear" w:color="auto" w:fill="DF2528"/>
          </w:tcPr>
          <w:p>
            <w:pPr>
              <w:pStyle w:val="TableParagraph"/>
              <w:spacing w:before="6"/>
              <w:rPr>
                <w:b/>
                <w:sz w:val="21"/>
              </w:rPr>
            </w:pPr>
          </w:p>
          <w:p>
            <w:pPr>
              <w:pStyle w:val="TableParagraph"/>
              <w:spacing w:before="0"/>
              <w:ind w:left="113"/>
              <w:rPr>
                <w:b/>
                <w:sz w:val="14"/>
              </w:rPr>
            </w:pPr>
            <w:r>
              <w:rPr>
                <w:b/>
                <w:color w:val="FFFFFF"/>
                <w:sz w:val="14"/>
              </w:rPr>
              <w:t>Number in starting </w:t>
            </w:r>
            <w:r>
              <w:rPr>
                <w:b/>
                <w:color w:val="FFFFFF"/>
                <w:w w:val="95"/>
                <w:sz w:val="14"/>
              </w:rPr>
              <w:t>population</w:t>
            </w:r>
          </w:p>
        </w:tc>
        <w:tc>
          <w:tcPr>
            <w:tcW w:w="907" w:type="dxa"/>
            <w:shd w:val="clear" w:color="auto" w:fill="DF2528"/>
          </w:tcPr>
          <w:p>
            <w:pPr>
              <w:pStyle w:val="TableParagraph"/>
              <w:spacing w:before="6"/>
              <w:rPr>
                <w:b/>
                <w:sz w:val="21"/>
              </w:rPr>
            </w:pPr>
          </w:p>
          <w:p>
            <w:pPr>
              <w:pStyle w:val="TableParagraph"/>
              <w:spacing w:before="0"/>
              <w:ind w:left="332" w:hanging="154"/>
              <w:rPr>
                <w:b/>
                <w:sz w:val="14"/>
              </w:rPr>
            </w:pPr>
            <w:r>
              <w:rPr>
                <w:b/>
                <w:color w:val="FFFFFF"/>
                <w:w w:val="95"/>
                <w:sz w:val="14"/>
              </w:rPr>
              <w:t>Average </w:t>
            </w:r>
            <w:r>
              <w:rPr>
                <w:b/>
                <w:color w:val="FFFFFF"/>
                <w:sz w:val="14"/>
              </w:rPr>
              <w:t>age</w:t>
            </w:r>
          </w:p>
        </w:tc>
        <w:tc>
          <w:tcPr>
            <w:tcW w:w="854" w:type="dxa"/>
            <w:shd w:val="clear" w:color="auto" w:fill="DF2528"/>
          </w:tcPr>
          <w:p>
            <w:pPr>
              <w:pStyle w:val="TableParagraph"/>
              <w:spacing w:before="6"/>
              <w:rPr>
                <w:b/>
                <w:sz w:val="21"/>
              </w:rPr>
            </w:pPr>
          </w:p>
          <w:p>
            <w:pPr>
              <w:pStyle w:val="TableParagraph"/>
              <w:spacing w:before="0"/>
              <w:ind w:left="159" w:right="156" w:hanging="3"/>
              <w:jc w:val="center"/>
              <w:rPr>
                <w:b/>
                <w:sz w:val="14"/>
              </w:rPr>
            </w:pPr>
            <w:r>
              <w:rPr>
                <w:b/>
                <w:color w:val="FFFFFF"/>
                <w:sz w:val="14"/>
              </w:rPr>
              <w:t>Total </w:t>
            </w:r>
            <w:r>
              <w:rPr>
                <w:b/>
                <w:color w:val="FFFFFF"/>
                <w:w w:val="95"/>
                <w:sz w:val="14"/>
              </w:rPr>
              <w:t>Lifetime </w:t>
            </w:r>
            <w:r>
              <w:rPr>
                <w:b/>
                <w:color w:val="FFFFFF"/>
                <w:sz w:val="14"/>
              </w:rPr>
              <w:t>cost ($bn)</w:t>
            </w:r>
          </w:p>
        </w:tc>
        <w:tc>
          <w:tcPr>
            <w:tcW w:w="1916" w:type="dxa"/>
            <w:gridSpan w:val="2"/>
            <w:shd w:val="clear" w:color="auto" w:fill="DF2528"/>
          </w:tcPr>
          <w:p>
            <w:pPr>
              <w:pStyle w:val="TableParagraph"/>
              <w:spacing w:before="6"/>
              <w:rPr>
                <w:b/>
                <w:sz w:val="21"/>
              </w:rPr>
            </w:pPr>
          </w:p>
          <w:p>
            <w:pPr>
              <w:pStyle w:val="TableParagraph"/>
              <w:tabs>
                <w:tab w:pos="1182" w:val="left" w:leader="none"/>
              </w:tabs>
              <w:spacing w:before="0"/>
              <w:ind w:left="222"/>
              <w:rPr>
                <w:b/>
                <w:sz w:val="14"/>
              </w:rPr>
            </w:pPr>
            <w:r>
              <w:rPr>
                <w:b/>
                <w:color w:val="FFFFFF"/>
                <w:sz w:val="14"/>
              </w:rPr>
              <w:t>Average</w:t>
              <w:tab/>
              <w:t>Average</w:t>
            </w:r>
          </w:p>
          <w:p>
            <w:pPr>
              <w:pStyle w:val="TableParagraph"/>
              <w:tabs>
                <w:tab w:pos="1213" w:val="left" w:leader="none"/>
              </w:tabs>
              <w:spacing w:before="0"/>
              <w:ind w:left="128"/>
              <w:rPr>
                <w:b/>
                <w:sz w:val="14"/>
              </w:rPr>
            </w:pPr>
            <w:r>
              <w:rPr>
                <w:b/>
                <w:color w:val="FFFFFF"/>
                <w:sz w:val="14"/>
              </w:rPr>
              <w:t>payment</w:t>
            </w:r>
            <w:r>
              <w:rPr>
                <w:b/>
                <w:color w:val="FFFFFF"/>
                <w:spacing w:val="-3"/>
                <w:sz w:val="14"/>
              </w:rPr>
              <w:t> </w:t>
            </w:r>
            <w:r>
              <w:rPr>
                <w:b/>
                <w:color w:val="FFFFFF"/>
                <w:sz w:val="14"/>
              </w:rPr>
              <w:t>in</w:t>
              <w:tab/>
              <w:t>lifetime</w:t>
            </w:r>
          </w:p>
          <w:p>
            <w:pPr>
              <w:pStyle w:val="TableParagraph"/>
              <w:tabs>
                <w:tab w:pos="1314" w:val="left" w:leader="none"/>
              </w:tabs>
              <w:spacing w:before="0"/>
              <w:ind w:left="246"/>
              <w:rPr>
                <w:b/>
                <w:sz w:val="14"/>
              </w:rPr>
            </w:pPr>
            <w:r>
              <w:rPr>
                <w:b/>
                <w:color w:val="FFFFFF"/>
                <w:sz w:val="14"/>
              </w:rPr>
              <w:t>2017/18</w:t>
              <w:tab/>
              <w:t>cost</w:t>
            </w:r>
          </w:p>
          <w:p>
            <w:pPr>
              <w:pStyle w:val="TableParagraph"/>
              <w:tabs>
                <w:tab w:pos="1129" w:val="left" w:leader="none"/>
              </w:tabs>
              <w:spacing w:before="0"/>
              <w:ind w:left="412"/>
              <w:rPr>
                <w:b/>
                <w:sz w:val="14"/>
              </w:rPr>
            </w:pPr>
            <w:r>
              <w:rPr>
                <w:b/>
                <w:color w:val="FFFFFF"/>
                <w:sz w:val="14"/>
              </w:rPr>
              <w:t>(a)</w:t>
              <w:tab/>
              <w:t>($'000)</w:t>
            </w:r>
            <w:r>
              <w:rPr>
                <w:b/>
                <w:color w:val="FFFFFF"/>
                <w:spacing w:val="-4"/>
                <w:sz w:val="14"/>
              </w:rPr>
              <w:t> </w:t>
            </w:r>
            <w:r>
              <w:rPr>
                <w:b/>
                <w:color w:val="FFFFFF"/>
                <w:sz w:val="14"/>
              </w:rPr>
              <w:t>(b)</w:t>
            </w:r>
          </w:p>
        </w:tc>
        <w:tc>
          <w:tcPr>
            <w:tcW w:w="889" w:type="dxa"/>
            <w:tcBorders>
              <w:right w:val="single" w:sz="4" w:space="0" w:color="FFFFFF"/>
            </w:tcBorders>
            <w:shd w:val="clear" w:color="auto" w:fill="DF2528"/>
          </w:tcPr>
          <w:p>
            <w:pPr>
              <w:pStyle w:val="TableParagraph"/>
              <w:spacing w:before="6"/>
              <w:rPr>
                <w:b/>
                <w:sz w:val="21"/>
              </w:rPr>
            </w:pPr>
          </w:p>
          <w:p>
            <w:pPr>
              <w:pStyle w:val="TableParagraph"/>
              <w:spacing w:before="0"/>
              <w:ind w:left="133" w:right="120"/>
              <w:jc w:val="center"/>
              <w:rPr>
                <w:b/>
                <w:sz w:val="14"/>
              </w:rPr>
            </w:pPr>
            <w:r>
              <w:rPr>
                <w:b/>
                <w:color w:val="FFFFFF"/>
                <w:sz w:val="14"/>
              </w:rPr>
              <w:t>Ratio</w:t>
            </w:r>
          </w:p>
          <w:p>
            <w:pPr>
              <w:pStyle w:val="TableParagraph"/>
              <w:spacing w:before="38"/>
              <w:ind w:left="133" w:right="122"/>
              <w:jc w:val="center"/>
              <w:rPr>
                <w:b/>
                <w:sz w:val="14"/>
              </w:rPr>
            </w:pPr>
            <w:r>
              <w:rPr>
                <w:b/>
                <w:color w:val="FFFFFF"/>
                <w:sz w:val="14"/>
              </w:rPr>
              <w:t>= (b) / (a)</w:t>
            </w:r>
          </w:p>
        </w:tc>
        <w:tc>
          <w:tcPr>
            <w:tcW w:w="1079" w:type="dxa"/>
            <w:tcBorders>
              <w:left w:val="single" w:sz="4" w:space="0" w:color="FFFFFF"/>
            </w:tcBorders>
            <w:shd w:val="clear" w:color="auto" w:fill="DF2528"/>
          </w:tcPr>
          <w:p>
            <w:pPr>
              <w:pStyle w:val="TableParagraph"/>
              <w:spacing w:before="6"/>
              <w:rPr>
                <w:b/>
                <w:sz w:val="21"/>
              </w:rPr>
            </w:pPr>
          </w:p>
          <w:p>
            <w:pPr>
              <w:pStyle w:val="TableParagraph"/>
              <w:spacing w:before="0"/>
              <w:ind w:left="114" w:right="120"/>
              <w:rPr>
                <w:b/>
                <w:sz w:val="14"/>
              </w:rPr>
            </w:pPr>
            <w:r>
              <w:rPr>
                <w:b/>
                <w:color w:val="FFFFFF"/>
                <w:sz w:val="14"/>
              </w:rPr>
              <w:t>Expected proportion of future lifetime in IS classes</w:t>
            </w:r>
          </w:p>
        </w:tc>
      </w:tr>
      <w:tr>
        <w:trPr>
          <w:trHeight w:val="239" w:hRule="atLeast"/>
        </w:trPr>
        <w:tc>
          <w:tcPr>
            <w:tcW w:w="9472" w:type="dxa"/>
            <w:gridSpan w:val="8"/>
            <w:shd w:val="clear" w:color="auto" w:fill="DF2528"/>
          </w:tcPr>
          <w:p>
            <w:pPr>
              <w:pStyle w:val="TableParagraph"/>
              <w:spacing w:before="39"/>
              <w:ind w:left="112"/>
              <w:rPr>
                <w:b/>
                <w:sz w:val="14"/>
              </w:rPr>
            </w:pPr>
            <w:r>
              <w:rPr>
                <w:b/>
                <w:color w:val="FFFFFF"/>
                <w:sz w:val="14"/>
              </w:rPr>
              <w:t>Current welfare recipients</w:t>
            </w:r>
          </w:p>
        </w:tc>
      </w:tr>
      <w:tr>
        <w:trPr>
          <w:trHeight w:val="246" w:hRule="atLeast"/>
        </w:trPr>
        <w:tc>
          <w:tcPr>
            <w:tcW w:w="2750" w:type="dxa"/>
            <w:tcBorders>
              <w:top w:val="single" w:sz="4" w:space="0" w:color="DF2528"/>
              <w:bottom w:val="single" w:sz="4" w:space="0" w:color="DF2528"/>
            </w:tcBorders>
          </w:tcPr>
          <w:p>
            <w:pPr>
              <w:pStyle w:val="TableParagraph"/>
              <w:spacing w:before="41"/>
              <w:ind w:left="112"/>
              <w:rPr>
                <w:sz w:val="14"/>
              </w:rPr>
            </w:pPr>
            <w:r>
              <w:rPr>
                <w:color w:val="404040"/>
                <w:sz w:val="14"/>
              </w:rPr>
              <w:t>- Studying payment recipients</w:t>
            </w:r>
          </w:p>
        </w:tc>
        <w:tc>
          <w:tcPr>
            <w:tcW w:w="1077" w:type="dxa"/>
            <w:tcBorders>
              <w:top w:val="single" w:sz="4" w:space="0" w:color="DF2528"/>
              <w:bottom w:val="single" w:sz="4" w:space="0" w:color="DF2528"/>
            </w:tcBorders>
          </w:tcPr>
          <w:p>
            <w:pPr>
              <w:pStyle w:val="TableParagraph"/>
              <w:spacing w:before="41"/>
              <w:ind w:right="284"/>
              <w:jc w:val="right"/>
              <w:rPr>
                <w:sz w:val="14"/>
              </w:rPr>
            </w:pPr>
            <w:r>
              <w:rPr>
                <w:color w:val="404040"/>
                <w:sz w:val="14"/>
              </w:rPr>
              <w:t>358,986</w:t>
            </w:r>
          </w:p>
        </w:tc>
        <w:tc>
          <w:tcPr>
            <w:tcW w:w="907" w:type="dxa"/>
            <w:tcBorders>
              <w:top w:val="single" w:sz="4" w:space="0" w:color="DF2528"/>
              <w:bottom w:val="single" w:sz="4" w:space="0" w:color="DF2528"/>
            </w:tcBorders>
          </w:tcPr>
          <w:p>
            <w:pPr>
              <w:pStyle w:val="TableParagraph"/>
              <w:spacing w:before="41"/>
              <w:ind w:left="355" w:right="355"/>
              <w:jc w:val="center"/>
              <w:rPr>
                <w:sz w:val="14"/>
              </w:rPr>
            </w:pPr>
            <w:r>
              <w:rPr>
                <w:color w:val="404040"/>
                <w:sz w:val="14"/>
              </w:rPr>
              <w:t>24</w:t>
            </w:r>
          </w:p>
        </w:tc>
        <w:tc>
          <w:tcPr>
            <w:tcW w:w="854" w:type="dxa"/>
            <w:tcBorders>
              <w:top w:val="single" w:sz="4" w:space="0" w:color="DF2528"/>
              <w:bottom w:val="single" w:sz="4" w:space="0" w:color="DF2528"/>
            </w:tcBorders>
          </w:tcPr>
          <w:p>
            <w:pPr>
              <w:pStyle w:val="TableParagraph"/>
              <w:spacing w:before="41"/>
              <w:ind w:left="230" w:right="231"/>
              <w:jc w:val="center"/>
              <w:rPr>
                <w:sz w:val="14"/>
              </w:rPr>
            </w:pPr>
            <w:r>
              <w:rPr>
                <w:color w:val="404040"/>
                <w:sz w:val="14"/>
              </w:rPr>
              <w:t>94</w:t>
            </w:r>
          </w:p>
        </w:tc>
        <w:tc>
          <w:tcPr>
            <w:tcW w:w="1023" w:type="dxa"/>
            <w:tcBorders>
              <w:top w:val="single" w:sz="4" w:space="0" w:color="DF2528"/>
              <w:bottom w:val="single" w:sz="4" w:space="0" w:color="DF2528"/>
            </w:tcBorders>
          </w:tcPr>
          <w:p>
            <w:pPr>
              <w:pStyle w:val="TableParagraph"/>
              <w:spacing w:before="41"/>
              <w:ind w:left="264" w:right="290"/>
              <w:jc w:val="center"/>
              <w:rPr>
                <w:sz w:val="14"/>
              </w:rPr>
            </w:pPr>
            <w:r>
              <w:rPr>
                <w:color w:val="404040"/>
                <w:sz w:val="14"/>
              </w:rPr>
              <w:t>7,500</w:t>
            </w:r>
          </w:p>
        </w:tc>
        <w:tc>
          <w:tcPr>
            <w:tcW w:w="893" w:type="dxa"/>
            <w:tcBorders>
              <w:top w:val="single" w:sz="4" w:space="0" w:color="DF2528"/>
              <w:bottom w:val="single" w:sz="4" w:space="0" w:color="DF2528"/>
            </w:tcBorders>
          </w:tcPr>
          <w:p>
            <w:pPr>
              <w:pStyle w:val="TableParagraph"/>
              <w:spacing w:before="41"/>
              <w:ind w:left="297" w:right="321"/>
              <w:jc w:val="center"/>
              <w:rPr>
                <w:sz w:val="14"/>
              </w:rPr>
            </w:pPr>
            <w:r>
              <w:rPr>
                <w:color w:val="404040"/>
                <w:sz w:val="14"/>
              </w:rPr>
              <w:t>263</w:t>
            </w:r>
          </w:p>
        </w:tc>
        <w:tc>
          <w:tcPr>
            <w:tcW w:w="889" w:type="dxa"/>
            <w:tcBorders>
              <w:top w:val="single" w:sz="4" w:space="0" w:color="DF2528"/>
              <w:bottom w:val="single" w:sz="4" w:space="0" w:color="DF2528"/>
            </w:tcBorders>
          </w:tcPr>
          <w:p>
            <w:pPr>
              <w:pStyle w:val="TableParagraph"/>
              <w:spacing w:before="41"/>
              <w:ind w:right="362"/>
              <w:jc w:val="right"/>
              <w:rPr>
                <w:sz w:val="14"/>
              </w:rPr>
            </w:pPr>
            <w:r>
              <w:rPr>
                <w:color w:val="404040"/>
                <w:w w:val="95"/>
                <w:sz w:val="14"/>
              </w:rPr>
              <w:t>35</w:t>
            </w:r>
          </w:p>
        </w:tc>
        <w:tc>
          <w:tcPr>
            <w:tcW w:w="1079" w:type="dxa"/>
            <w:tcBorders>
              <w:top w:val="single" w:sz="4" w:space="0" w:color="DF2528"/>
              <w:bottom w:val="single" w:sz="4" w:space="0" w:color="DF2528"/>
            </w:tcBorders>
          </w:tcPr>
          <w:p>
            <w:pPr>
              <w:pStyle w:val="TableParagraph"/>
              <w:spacing w:before="41"/>
              <w:ind w:left="381" w:right="373"/>
              <w:jc w:val="center"/>
              <w:rPr>
                <w:sz w:val="14"/>
              </w:rPr>
            </w:pPr>
            <w:r>
              <w:rPr>
                <w:color w:val="404040"/>
                <w:sz w:val="14"/>
              </w:rPr>
              <w:t>34%</w:t>
            </w:r>
          </w:p>
        </w:tc>
      </w:tr>
      <w:tr>
        <w:trPr>
          <w:trHeight w:val="239" w:hRule="atLeast"/>
        </w:trPr>
        <w:tc>
          <w:tcPr>
            <w:tcW w:w="2750" w:type="dxa"/>
            <w:tcBorders>
              <w:top w:val="single" w:sz="4" w:space="0" w:color="DF2528"/>
              <w:bottom w:val="single" w:sz="4" w:space="0" w:color="DF2528"/>
            </w:tcBorders>
          </w:tcPr>
          <w:p>
            <w:pPr>
              <w:pStyle w:val="TableParagraph"/>
              <w:spacing w:before="36"/>
              <w:ind w:left="112"/>
              <w:rPr>
                <w:sz w:val="14"/>
              </w:rPr>
            </w:pPr>
            <w:r>
              <w:rPr>
                <w:color w:val="404040"/>
                <w:sz w:val="14"/>
              </w:rPr>
              <w:t>- Working Age payment recipients</w:t>
            </w:r>
          </w:p>
        </w:tc>
        <w:tc>
          <w:tcPr>
            <w:tcW w:w="1077" w:type="dxa"/>
            <w:tcBorders>
              <w:top w:val="single" w:sz="4" w:space="0" w:color="DF2528"/>
              <w:bottom w:val="single" w:sz="4" w:space="0" w:color="DF2528"/>
            </w:tcBorders>
          </w:tcPr>
          <w:p>
            <w:pPr>
              <w:pStyle w:val="TableParagraph"/>
              <w:spacing w:before="36"/>
              <w:ind w:right="226"/>
              <w:jc w:val="right"/>
              <w:rPr>
                <w:sz w:val="14"/>
              </w:rPr>
            </w:pPr>
            <w:r>
              <w:rPr>
                <w:color w:val="404040"/>
                <w:sz w:val="14"/>
              </w:rPr>
              <w:t>1,237,075</w:t>
            </w:r>
          </w:p>
        </w:tc>
        <w:tc>
          <w:tcPr>
            <w:tcW w:w="907" w:type="dxa"/>
            <w:tcBorders>
              <w:top w:val="single" w:sz="4" w:space="0" w:color="DF2528"/>
              <w:bottom w:val="single" w:sz="4" w:space="0" w:color="DF2528"/>
            </w:tcBorders>
          </w:tcPr>
          <w:p>
            <w:pPr>
              <w:pStyle w:val="TableParagraph"/>
              <w:spacing w:before="36"/>
              <w:ind w:left="355" w:right="355"/>
              <w:jc w:val="center"/>
              <w:rPr>
                <w:sz w:val="14"/>
              </w:rPr>
            </w:pPr>
            <w:r>
              <w:rPr>
                <w:color w:val="404040"/>
                <w:sz w:val="14"/>
              </w:rPr>
              <w:t>40</w:t>
            </w:r>
          </w:p>
        </w:tc>
        <w:tc>
          <w:tcPr>
            <w:tcW w:w="854" w:type="dxa"/>
            <w:tcBorders>
              <w:top w:val="single" w:sz="4" w:space="0" w:color="DF2528"/>
              <w:bottom w:val="single" w:sz="4" w:space="0" w:color="DF2528"/>
            </w:tcBorders>
          </w:tcPr>
          <w:p>
            <w:pPr>
              <w:pStyle w:val="TableParagraph"/>
              <w:spacing w:before="36"/>
              <w:ind w:left="230" w:right="231"/>
              <w:jc w:val="center"/>
              <w:rPr>
                <w:sz w:val="14"/>
              </w:rPr>
            </w:pPr>
            <w:r>
              <w:rPr>
                <w:color w:val="404040"/>
                <w:sz w:val="14"/>
              </w:rPr>
              <w:t>471</w:t>
            </w:r>
          </w:p>
        </w:tc>
        <w:tc>
          <w:tcPr>
            <w:tcW w:w="1023" w:type="dxa"/>
            <w:tcBorders>
              <w:top w:val="single" w:sz="4" w:space="0" w:color="DF2528"/>
              <w:bottom w:val="single" w:sz="4" w:space="0" w:color="DF2528"/>
            </w:tcBorders>
          </w:tcPr>
          <w:p>
            <w:pPr>
              <w:pStyle w:val="TableParagraph"/>
              <w:spacing w:before="36"/>
              <w:ind w:left="264" w:right="290"/>
              <w:jc w:val="center"/>
              <w:rPr>
                <w:sz w:val="14"/>
              </w:rPr>
            </w:pPr>
            <w:r>
              <w:rPr>
                <w:color w:val="404040"/>
                <w:sz w:val="14"/>
              </w:rPr>
              <w:t>11,500</w:t>
            </w:r>
          </w:p>
        </w:tc>
        <w:tc>
          <w:tcPr>
            <w:tcW w:w="893" w:type="dxa"/>
            <w:tcBorders>
              <w:top w:val="single" w:sz="4" w:space="0" w:color="DF2528"/>
              <w:bottom w:val="single" w:sz="4" w:space="0" w:color="DF2528"/>
            </w:tcBorders>
          </w:tcPr>
          <w:p>
            <w:pPr>
              <w:pStyle w:val="TableParagraph"/>
              <w:spacing w:before="36"/>
              <w:ind w:left="297" w:right="321"/>
              <w:jc w:val="center"/>
              <w:rPr>
                <w:sz w:val="14"/>
              </w:rPr>
            </w:pPr>
            <w:r>
              <w:rPr>
                <w:color w:val="404040"/>
                <w:sz w:val="14"/>
              </w:rPr>
              <w:t>380</w:t>
            </w:r>
          </w:p>
        </w:tc>
        <w:tc>
          <w:tcPr>
            <w:tcW w:w="889" w:type="dxa"/>
            <w:tcBorders>
              <w:top w:val="single" w:sz="4" w:space="0" w:color="DF2528"/>
              <w:bottom w:val="single" w:sz="4" w:space="0" w:color="DF2528"/>
            </w:tcBorders>
          </w:tcPr>
          <w:p>
            <w:pPr>
              <w:pStyle w:val="TableParagraph"/>
              <w:spacing w:before="36"/>
              <w:ind w:right="362"/>
              <w:jc w:val="right"/>
              <w:rPr>
                <w:sz w:val="14"/>
              </w:rPr>
            </w:pPr>
            <w:r>
              <w:rPr>
                <w:color w:val="404040"/>
                <w:w w:val="95"/>
                <w:sz w:val="14"/>
              </w:rPr>
              <w:t>33</w:t>
            </w:r>
          </w:p>
        </w:tc>
        <w:tc>
          <w:tcPr>
            <w:tcW w:w="1079" w:type="dxa"/>
            <w:tcBorders>
              <w:top w:val="single" w:sz="4" w:space="0" w:color="DF2528"/>
              <w:bottom w:val="single" w:sz="4" w:space="0" w:color="DF2528"/>
            </w:tcBorders>
          </w:tcPr>
          <w:p>
            <w:pPr>
              <w:pStyle w:val="TableParagraph"/>
              <w:spacing w:before="36"/>
              <w:ind w:left="381" w:right="373"/>
              <w:jc w:val="center"/>
              <w:rPr>
                <w:sz w:val="14"/>
              </w:rPr>
            </w:pPr>
            <w:r>
              <w:rPr>
                <w:color w:val="404040"/>
                <w:sz w:val="14"/>
              </w:rPr>
              <w:t>58%</w:t>
            </w:r>
          </w:p>
        </w:tc>
      </w:tr>
      <w:tr>
        <w:trPr>
          <w:trHeight w:val="242" w:hRule="atLeast"/>
        </w:trPr>
        <w:tc>
          <w:tcPr>
            <w:tcW w:w="2750" w:type="dxa"/>
            <w:tcBorders>
              <w:top w:val="single" w:sz="4" w:space="0" w:color="DF2528"/>
              <w:bottom w:val="single" w:sz="4" w:space="0" w:color="DF2528"/>
            </w:tcBorders>
          </w:tcPr>
          <w:p>
            <w:pPr>
              <w:pStyle w:val="TableParagraph"/>
              <w:spacing w:before="39"/>
              <w:ind w:left="112"/>
              <w:rPr>
                <w:sz w:val="14"/>
              </w:rPr>
            </w:pPr>
            <w:r>
              <w:rPr>
                <w:color w:val="404040"/>
                <w:sz w:val="14"/>
              </w:rPr>
              <w:t>- Parenting payment recipients</w:t>
            </w:r>
          </w:p>
        </w:tc>
        <w:tc>
          <w:tcPr>
            <w:tcW w:w="1077" w:type="dxa"/>
            <w:tcBorders>
              <w:top w:val="single" w:sz="4" w:space="0" w:color="DF2528"/>
              <w:bottom w:val="single" w:sz="4" w:space="0" w:color="DF2528"/>
            </w:tcBorders>
          </w:tcPr>
          <w:p>
            <w:pPr>
              <w:pStyle w:val="TableParagraph"/>
              <w:spacing w:before="39"/>
              <w:ind w:right="284"/>
              <w:jc w:val="right"/>
              <w:rPr>
                <w:sz w:val="14"/>
              </w:rPr>
            </w:pPr>
            <w:r>
              <w:rPr>
                <w:color w:val="404040"/>
                <w:sz w:val="14"/>
              </w:rPr>
              <w:t>380,947</w:t>
            </w:r>
          </w:p>
        </w:tc>
        <w:tc>
          <w:tcPr>
            <w:tcW w:w="907" w:type="dxa"/>
            <w:tcBorders>
              <w:top w:val="single" w:sz="4" w:space="0" w:color="DF2528"/>
              <w:bottom w:val="single" w:sz="4" w:space="0" w:color="DF2528"/>
            </w:tcBorders>
          </w:tcPr>
          <w:p>
            <w:pPr>
              <w:pStyle w:val="TableParagraph"/>
              <w:spacing w:before="39"/>
              <w:ind w:left="355" w:right="355"/>
              <w:jc w:val="center"/>
              <w:rPr>
                <w:sz w:val="14"/>
              </w:rPr>
            </w:pPr>
            <w:r>
              <w:rPr>
                <w:color w:val="404040"/>
                <w:sz w:val="14"/>
              </w:rPr>
              <w:t>33</w:t>
            </w:r>
          </w:p>
        </w:tc>
        <w:tc>
          <w:tcPr>
            <w:tcW w:w="854" w:type="dxa"/>
            <w:tcBorders>
              <w:top w:val="single" w:sz="4" w:space="0" w:color="DF2528"/>
              <w:bottom w:val="single" w:sz="4" w:space="0" w:color="DF2528"/>
            </w:tcBorders>
          </w:tcPr>
          <w:p>
            <w:pPr>
              <w:pStyle w:val="TableParagraph"/>
              <w:spacing w:before="39"/>
              <w:ind w:left="230" w:right="231"/>
              <w:jc w:val="center"/>
              <w:rPr>
                <w:sz w:val="14"/>
              </w:rPr>
            </w:pPr>
            <w:r>
              <w:rPr>
                <w:color w:val="404040"/>
                <w:sz w:val="14"/>
              </w:rPr>
              <w:t>220</w:t>
            </w:r>
          </w:p>
        </w:tc>
        <w:tc>
          <w:tcPr>
            <w:tcW w:w="1023" w:type="dxa"/>
            <w:tcBorders>
              <w:top w:val="single" w:sz="4" w:space="0" w:color="DF2528"/>
              <w:bottom w:val="single" w:sz="4" w:space="0" w:color="DF2528"/>
            </w:tcBorders>
          </w:tcPr>
          <w:p>
            <w:pPr>
              <w:pStyle w:val="TableParagraph"/>
              <w:spacing w:before="39"/>
              <w:ind w:left="264" w:right="290"/>
              <w:jc w:val="center"/>
              <w:rPr>
                <w:sz w:val="14"/>
              </w:rPr>
            </w:pPr>
            <w:r>
              <w:rPr>
                <w:color w:val="404040"/>
                <w:sz w:val="14"/>
              </w:rPr>
              <w:t>33,000</w:t>
            </w:r>
          </w:p>
        </w:tc>
        <w:tc>
          <w:tcPr>
            <w:tcW w:w="893" w:type="dxa"/>
            <w:tcBorders>
              <w:top w:val="single" w:sz="4" w:space="0" w:color="DF2528"/>
              <w:bottom w:val="single" w:sz="4" w:space="0" w:color="DF2528"/>
            </w:tcBorders>
          </w:tcPr>
          <w:p>
            <w:pPr>
              <w:pStyle w:val="TableParagraph"/>
              <w:spacing w:before="39"/>
              <w:ind w:left="297" w:right="321"/>
              <w:jc w:val="center"/>
              <w:rPr>
                <w:sz w:val="14"/>
              </w:rPr>
            </w:pPr>
            <w:r>
              <w:rPr>
                <w:color w:val="404040"/>
                <w:sz w:val="14"/>
              </w:rPr>
              <w:t>577</w:t>
            </w:r>
          </w:p>
        </w:tc>
        <w:tc>
          <w:tcPr>
            <w:tcW w:w="889" w:type="dxa"/>
            <w:tcBorders>
              <w:top w:val="single" w:sz="4" w:space="0" w:color="DF2528"/>
              <w:bottom w:val="single" w:sz="4" w:space="0" w:color="DF2528"/>
            </w:tcBorders>
          </w:tcPr>
          <w:p>
            <w:pPr>
              <w:pStyle w:val="TableParagraph"/>
              <w:spacing w:before="39"/>
              <w:ind w:right="362"/>
              <w:jc w:val="right"/>
              <w:rPr>
                <w:sz w:val="14"/>
              </w:rPr>
            </w:pPr>
            <w:r>
              <w:rPr>
                <w:color w:val="404040"/>
                <w:w w:val="95"/>
                <w:sz w:val="14"/>
              </w:rPr>
              <w:t>17</w:t>
            </w:r>
          </w:p>
        </w:tc>
        <w:tc>
          <w:tcPr>
            <w:tcW w:w="1079" w:type="dxa"/>
            <w:tcBorders>
              <w:top w:val="single" w:sz="4" w:space="0" w:color="DF2528"/>
              <w:bottom w:val="single" w:sz="4" w:space="0" w:color="DF2528"/>
            </w:tcBorders>
          </w:tcPr>
          <w:p>
            <w:pPr>
              <w:pStyle w:val="TableParagraph"/>
              <w:spacing w:before="39"/>
              <w:ind w:left="381" w:right="373"/>
              <w:jc w:val="center"/>
              <w:rPr>
                <w:sz w:val="14"/>
              </w:rPr>
            </w:pPr>
            <w:r>
              <w:rPr>
                <w:color w:val="404040"/>
                <w:sz w:val="14"/>
              </w:rPr>
              <w:t>58%</w:t>
            </w:r>
          </w:p>
        </w:tc>
      </w:tr>
      <w:tr>
        <w:trPr>
          <w:trHeight w:val="242" w:hRule="atLeast"/>
        </w:trPr>
        <w:tc>
          <w:tcPr>
            <w:tcW w:w="2750" w:type="dxa"/>
            <w:tcBorders>
              <w:top w:val="single" w:sz="4" w:space="0" w:color="DF2528"/>
              <w:bottom w:val="single" w:sz="4" w:space="0" w:color="DF2528"/>
            </w:tcBorders>
          </w:tcPr>
          <w:p>
            <w:pPr>
              <w:pStyle w:val="TableParagraph"/>
              <w:spacing w:before="36"/>
              <w:ind w:left="112"/>
              <w:rPr>
                <w:sz w:val="14"/>
              </w:rPr>
            </w:pPr>
            <w:r>
              <w:rPr>
                <w:color w:val="404040"/>
                <w:sz w:val="14"/>
              </w:rPr>
              <w:t>- Carer payment recipients</w:t>
            </w:r>
          </w:p>
        </w:tc>
        <w:tc>
          <w:tcPr>
            <w:tcW w:w="1077" w:type="dxa"/>
            <w:tcBorders>
              <w:top w:val="single" w:sz="4" w:space="0" w:color="DF2528"/>
              <w:bottom w:val="single" w:sz="4" w:space="0" w:color="DF2528"/>
            </w:tcBorders>
          </w:tcPr>
          <w:p>
            <w:pPr>
              <w:pStyle w:val="TableParagraph"/>
              <w:spacing w:before="36"/>
              <w:ind w:right="284"/>
              <w:jc w:val="right"/>
              <w:rPr>
                <w:sz w:val="14"/>
              </w:rPr>
            </w:pPr>
            <w:r>
              <w:rPr>
                <w:color w:val="404040"/>
                <w:sz w:val="14"/>
              </w:rPr>
              <w:t>294,008</w:t>
            </w:r>
          </w:p>
        </w:tc>
        <w:tc>
          <w:tcPr>
            <w:tcW w:w="907" w:type="dxa"/>
            <w:tcBorders>
              <w:top w:val="single" w:sz="4" w:space="0" w:color="DF2528"/>
              <w:bottom w:val="single" w:sz="4" w:space="0" w:color="DF2528"/>
            </w:tcBorders>
          </w:tcPr>
          <w:p>
            <w:pPr>
              <w:pStyle w:val="TableParagraph"/>
              <w:spacing w:before="36"/>
              <w:ind w:left="355" w:right="355"/>
              <w:jc w:val="center"/>
              <w:rPr>
                <w:sz w:val="14"/>
              </w:rPr>
            </w:pPr>
            <w:r>
              <w:rPr>
                <w:color w:val="404040"/>
                <w:sz w:val="14"/>
              </w:rPr>
              <w:t>51</w:t>
            </w:r>
          </w:p>
        </w:tc>
        <w:tc>
          <w:tcPr>
            <w:tcW w:w="854" w:type="dxa"/>
            <w:tcBorders>
              <w:top w:val="single" w:sz="4" w:space="0" w:color="DF2528"/>
              <w:bottom w:val="single" w:sz="4" w:space="0" w:color="DF2528"/>
            </w:tcBorders>
          </w:tcPr>
          <w:p>
            <w:pPr>
              <w:pStyle w:val="TableParagraph"/>
              <w:spacing w:before="36"/>
              <w:ind w:left="230" w:right="231"/>
              <w:jc w:val="center"/>
              <w:rPr>
                <w:sz w:val="14"/>
              </w:rPr>
            </w:pPr>
            <w:r>
              <w:rPr>
                <w:color w:val="404040"/>
                <w:sz w:val="14"/>
              </w:rPr>
              <w:t>155</w:t>
            </w:r>
          </w:p>
        </w:tc>
        <w:tc>
          <w:tcPr>
            <w:tcW w:w="1023" w:type="dxa"/>
            <w:tcBorders>
              <w:top w:val="single" w:sz="4" w:space="0" w:color="DF2528"/>
              <w:bottom w:val="single" w:sz="4" w:space="0" w:color="DF2528"/>
            </w:tcBorders>
          </w:tcPr>
          <w:p>
            <w:pPr>
              <w:pStyle w:val="TableParagraph"/>
              <w:spacing w:before="36"/>
              <w:ind w:left="264" w:right="290"/>
              <w:jc w:val="center"/>
              <w:rPr>
                <w:sz w:val="14"/>
              </w:rPr>
            </w:pPr>
            <w:r>
              <w:rPr>
                <w:color w:val="404040"/>
                <w:sz w:val="14"/>
              </w:rPr>
              <w:t>27,400</w:t>
            </w:r>
          </w:p>
        </w:tc>
        <w:tc>
          <w:tcPr>
            <w:tcW w:w="893" w:type="dxa"/>
            <w:tcBorders>
              <w:top w:val="single" w:sz="4" w:space="0" w:color="DF2528"/>
              <w:bottom w:val="single" w:sz="4" w:space="0" w:color="DF2528"/>
            </w:tcBorders>
          </w:tcPr>
          <w:p>
            <w:pPr>
              <w:pStyle w:val="TableParagraph"/>
              <w:spacing w:before="36"/>
              <w:ind w:left="297" w:right="321"/>
              <w:jc w:val="center"/>
              <w:rPr>
                <w:sz w:val="14"/>
              </w:rPr>
            </w:pPr>
            <w:r>
              <w:rPr>
                <w:color w:val="404040"/>
                <w:sz w:val="14"/>
              </w:rPr>
              <w:t>529</w:t>
            </w:r>
          </w:p>
        </w:tc>
        <w:tc>
          <w:tcPr>
            <w:tcW w:w="889" w:type="dxa"/>
            <w:tcBorders>
              <w:top w:val="single" w:sz="4" w:space="0" w:color="DF2528"/>
              <w:bottom w:val="single" w:sz="4" w:space="0" w:color="DF2528"/>
            </w:tcBorders>
          </w:tcPr>
          <w:p>
            <w:pPr>
              <w:pStyle w:val="TableParagraph"/>
              <w:spacing w:before="36"/>
              <w:ind w:right="362"/>
              <w:jc w:val="right"/>
              <w:rPr>
                <w:sz w:val="14"/>
              </w:rPr>
            </w:pPr>
            <w:r>
              <w:rPr>
                <w:color w:val="404040"/>
                <w:w w:val="95"/>
                <w:sz w:val="14"/>
              </w:rPr>
              <w:t>19</w:t>
            </w:r>
          </w:p>
        </w:tc>
        <w:tc>
          <w:tcPr>
            <w:tcW w:w="1079" w:type="dxa"/>
            <w:tcBorders>
              <w:top w:val="single" w:sz="4" w:space="0" w:color="DF2528"/>
              <w:bottom w:val="single" w:sz="4" w:space="0" w:color="DF2528"/>
            </w:tcBorders>
          </w:tcPr>
          <w:p>
            <w:pPr>
              <w:pStyle w:val="TableParagraph"/>
              <w:spacing w:before="36"/>
              <w:ind w:left="381" w:right="373"/>
              <w:jc w:val="center"/>
              <w:rPr>
                <w:sz w:val="14"/>
              </w:rPr>
            </w:pPr>
            <w:r>
              <w:rPr>
                <w:color w:val="404040"/>
                <w:sz w:val="14"/>
              </w:rPr>
              <w:t>81%</w:t>
            </w:r>
          </w:p>
        </w:tc>
      </w:tr>
      <w:tr>
        <w:trPr>
          <w:trHeight w:val="239" w:hRule="atLeast"/>
        </w:trPr>
        <w:tc>
          <w:tcPr>
            <w:tcW w:w="2750" w:type="dxa"/>
            <w:tcBorders>
              <w:top w:val="single" w:sz="4" w:space="0" w:color="DF2528"/>
              <w:bottom w:val="single" w:sz="4" w:space="0" w:color="DF2528"/>
            </w:tcBorders>
          </w:tcPr>
          <w:p>
            <w:pPr>
              <w:pStyle w:val="TableParagraph"/>
              <w:spacing w:before="36"/>
              <w:ind w:left="112"/>
              <w:rPr>
                <w:sz w:val="14"/>
              </w:rPr>
            </w:pPr>
            <w:r>
              <w:rPr>
                <w:color w:val="404040"/>
                <w:sz w:val="14"/>
              </w:rPr>
              <w:t>- Disability support pensioners</w:t>
            </w:r>
          </w:p>
        </w:tc>
        <w:tc>
          <w:tcPr>
            <w:tcW w:w="1077" w:type="dxa"/>
            <w:tcBorders>
              <w:top w:val="single" w:sz="4" w:space="0" w:color="DF2528"/>
              <w:bottom w:val="single" w:sz="4" w:space="0" w:color="DF2528"/>
            </w:tcBorders>
          </w:tcPr>
          <w:p>
            <w:pPr>
              <w:pStyle w:val="TableParagraph"/>
              <w:spacing w:before="36"/>
              <w:ind w:right="284"/>
              <w:jc w:val="right"/>
              <w:rPr>
                <w:sz w:val="14"/>
              </w:rPr>
            </w:pPr>
            <w:r>
              <w:rPr>
                <w:color w:val="404040"/>
                <w:sz w:val="14"/>
              </w:rPr>
              <w:t>761,985</w:t>
            </w:r>
          </w:p>
        </w:tc>
        <w:tc>
          <w:tcPr>
            <w:tcW w:w="907" w:type="dxa"/>
            <w:tcBorders>
              <w:top w:val="single" w:sz="4" w:space="0" w:color="DF2528"/>
              <w:bottom w:val="single" w:sz="4" w:space="0" w:color="DF2528"/>
            </w:tcBorders>
          </w:tcPr>
          <w:p>
            <w:pPr>
              <w:pStyle w:val="TableParagraph"/>
              <w:spacing w:before="36"/>
              <w:ind w:left="355" w:right="355"/>
              <w:jc w:val="center"/>
              <w:rPr>
                <w:sz w:val="14"/>
              </w:rPr>
            </w:pPr>
            <w:r>
              <w:rPr>
                <w:color w:val="404040"/>
                <w:sz w:val="14"/>
              </w:rPr>
              <w:t>50</w:t>
            </w:r>
          </w:p>
        </w:tc>
        <w:tc>
          <w:tcPr>
            <w:tcW w:w="854" w:type="dxa"/>
            <w:tcBorders>
              <w:top w:val="single" w:sz="4" w:space="0" w:color="DF2528"/>
              <w:bottom w:val="single" w:sz="4" w:space="0" w:color="DF2528"/>
            </w:tcBorders>
          </w:tcPr>
          <w:p>
            <w:pPr>
              <w:pStyle w:val="TableParagraph"/>
              <w:spacing w:before="36"/>
              <w:ind w:left="230" w:right="231"/>
              <w:jc w:val="center"/>
              <w:rPr>
                <w:sz w:val="14"/>
              </w:rPr>
            </w:pPr>
            <w:r>
              <w:rPr>
                <w:color w:val="404040"/>
                <w:sz w:val="14"/>
              </w:rPr>
              <w:t>417</w:t>
            </w:r>
          </w:p>
        </w:tc>
        <w:tc>
          <w:tcPr>
            <w:tcW w:w="1023" w:type="dxa"/>
            <w:tcBorders>
              <w:top w:val="single" w:sz="4" w:space="0" w:color="DF2528"/>
              <w:bottom w:val="single" w:sz="4" w:space="0" w:color="DF2528"/>
            </w:tcBorders>
          </w:tcPr>
          <w:p>
            <w:pPr>
              <w:pStyle w:val="TableParagraph"/>
              <w:spacing w:before="36"/>
              <w:ind w:left="264" w:right="290"/>
              <w:jc w:val="center"/>
              <w:rPr>
                <w:sz w:val="14"/>
              </w:rPr>
            </w:pPr>
            <w:r>
              <w:rPr>
                <w:color w:val="404040"/>
                <w:sz w:val="14"/>
              </w:rPr>
              <w:t>22,400</w:t>
            </w:r>
          </w:p>
        </w:tc>
        <w:tc>
          <w:tcPr>
            <w:tcW w:w="893" w:type="dxa"/>
            <w:tcBorders>
              <w:top w:val="single" w:sz="4" w:space="0" w:color="DF2528"/>
              <w:bottom w:val="single" w:sz="4" w:space="0" w:color="DF2528"/>
            </w:tcBorders>
          </w:tcPr>
          <w:p>
            <w:pPr>
              <w:pStyle w:val="TableParagraph"/>
              <w:spacing w:before="36"/>
              <w:ind w:left="297" w:right="321"/>
              <w:jc w:val="center"/>
              <w:rPr>
                <w:sz w:val="14"/>
              </w:rPr>
            </w:pPr>
            <w:r>
              <w:rPr>
                <w:color w:val="404040"/>
                <w:sz w:val="14"/>
              </w:rPr>
              <w:t>547</w:t>
            </w:r>
          </w:p>
        </w:tc>
        <w:tc>
          <w:tcPr>
            <w:tcW w:w="889" w:type="dxa"/>
            <w:tcBorders>
              <w:top w:val="single" w:sz="4" w:space="0" w:color="DF2528"/>
              <w:bottom w:val="single" w:sz="4" w:space="0" w:color="DF2528"/>
            </w:tcBorders>
          </w:tcPr>
          <w:p>
            <w:pPr>
              <w:pStyle w:val="TableParagraph"/>
              <w:spacing w:before="36"/>
              <w:ind w:right="362"/>
              <w:jc w:val="right"/>
              <w:rPr>
                <w:sz w:val="14"/>
              </w:rPr>
            </w:pPr>
            <w:r>
              <w:rPr>
                <w:color w:val="404040"/>
                <w:w w:val="95"/>
                <w:sz w:val="14"/>
              </w:rPr>
              <w:t>24</w:t>
            </w:r>
          </w:p>
        </w:tc>
        <w:tc>
          <w:tcPr>
            <w:tcW w:w="1079" w:type="dxa"/>
            <w:tcBorders>
              <w:top w:val="single" w:sz="4" w:space="0" w:color="DF2528"/>
              <w:bottom w:val="single" w:sz="4" w:space="0" w:color="DF2528"/>
            </w:tcBorders>
          </w:tcPr>
          <w:p>
            <w:pPr>
              <w:pStyle w:val="TableParagraph"/>
              <w:spacing w:before="36"/>
              <w:ind w:left="381" w:right="373"/>
              <w:jc w:val="center"/>
              <w:rPr>
                <w:sz w:val="14"/>
              </w:rPr>
            </w:pPr>
            <w:r>
              <w:rPr>
                <w:color w:val="404040"/>
                <w:sz w:val="14"/>
              </w:rPr>
              <w:t>93%</w:t>
            </w:r>
          </w:p>
        </w:tc>
      </w:tr>
      <w:tr>
        <w:trPr>
          <w:trHeight w:val="241" w:hRule="atLeast"/>
        </w:trPr>
        <w:tc>
          <w:tcPr>
            <w:tcW w:w="2750" w:type="dxa"/>
            <w:tcBorders>
              <w:top w:val="single" w:sz="4" w:space="0" w:color="DF2528"/>
              <w:bottom w:val="single" w:sz="4" w:space="0" w:color="DF2528"/>
            </w:tcBorders>
          </w:tcPr>
          <w:p>
            <w:pPr>
              <w:pStyle w:val="TableParagraph"/>
              <w:spacing w:before="36"/>
              <w:ind w:left="112"/>
              <w:rPr>
                <w:sz w:val="14"/>
              </w:rPr>
            </w:pPr>
            <w:r>
              <w:rPr>
                <w:color w:val="404040"/>
                <w:sz w:val="14"/>
              </w:rPr>
              <w:t>- Age pensioners</w:t>
            </w:r>
          </w:p>
        </w:tc>
        <w:tc>
          <w:tcPr>
            <w:tcW w:w="1077" w:type="dxa"/>
            <w:tcBorders>
              <w:top w:val="single" w:sz="4" w:space="0" w:color="DF2528"/>
              <w:bottom w:val="single" w:sz="4" w:space="0" w:color="DF2528"/>
            </w:tcBorders>
          </w:tcPr>
          <w:p>
            <w:pPr>
              <w:pStyle w:val="TableParagraph"/>
              <w:spacing w:before="36"/>
              <w:ind w:right="226"/>
              <w:jc w:val="right"/>
              <w:rPr>
                <w:sz w:val="14"/>
              </w:rPr>
            </w:pPr>
            <w:r>
              <w:rPr>
                <w:color w:val="404040"/>
                <w:sz w:val="14"/>
              </w:rPr>
              <w:t>2,508,270</w:t>
            </w:r>
          </w:p>
        </w:tc>
        <w:tc>
          <w:tcPr>
            <w:tcW w:w="907" w:type="dxa"/>
            <w:tcBorders>
              <w:top w:val="single" w:sz="4" w:space="0" w:color="DF2528"/>
              <w:bottom w:val="single" w:sz="4" w:space="0" w:color="DF2528"/>
            </w:tcBorders>
          </w:tcPr>
          <w:p>
            <w:pPr>
              <w:pStyle w:val="TableParagraph"/>
              <w:spacing w:before="36"/>
              <w:ind w:left="355" w:right="355"/>
              <w:jc w:val="center"/>
              <w:rPr>
                <w:sz w:val="14"/>
              </w:rPr>
            </w:pPr>
            <w:r>
              <w:rPr>
                <w:color w:val="404040"/>
                <w:sz w:val="14"/>
              </w:rPr>
              <w:t>76</w:t>
            </w:r>
          </w:p>
        </w:tc>
        <w:tc>
          <w:tcPr>
            <w:tcW w:w="854" w:type="dxa"/>
            <w:tcBorders>
              <w:top w:val="single" w:sz="4" w:space="0" w:color="DF2528"/>
              <w:bottom w:val="single" w:sz="4" w:space="0" w:color="DF2528"/>
            </w:tcBorders>
          </w:tcPr>
          <w:p>
            <w:pPr>
              <w:pStyle w:val="TableParagraph"/>
              <w:spacing w:before="36"/>
              <w:ind w:left="230" w:right="231"/>
              <w:jc w:val="center"/>
              <w:rPr>
                <w:sz w:val="14"/>
              </w:rPr>
            </w:pPr>
            <w:r>
              <w:rPr>
                <w:color w:val="404040"/>
                <w:sz w:val="14"/>
              </w:rPr>
              <w:t>577</w:t>
            </w:r>
          </w:p>
        </w:tc>
        <w:tc>
          <w:tcPr>
            <w:tcW w:w="1023" w:type="dxa"/>
            <w:tcBorders>
              <w:top w:val="single" w:sz="4" w:space="0" w:color="DF2528"/>
              <w:bottom w:val="single" w:sz="4" w:space="0" w:color="DF2528"/>
            </w:tcBorders>
          </w:tcPr>
          <w:p>
            <w:pPr>
              <w:pStyle w:val="TableParagraph"/>
              <w:spacing w:before="36"/>
              <w:ind w:left="264" w:right="290"/>
              <w:jc w:val="center"/>
              <w:rPr>
                <w:sz w:val="14"/>
              </w:rPr>
            </w:pPr>
            <w:r>
              <w:rPr>
                <w:color w:val="404040"/>
                <w:sz w:val="14"/>
              </w:rPr>
              <w:t>17,600</w:t>
            </w:r>
          </w:p>
        </w:tc>
        <w:tc>
          <w:tcPr>
            <w:tcW w:w="893" w:type="dxa"/>
            <w:tcBorders>
              <w:top w:val="single" w:sz="4" w:space="0" w:color="DF2528"/>
              <w:bottom w:val="single" w:sz="4" w:space="0" w:color="DF2528"/>
            </w:tcBorders>
          </w:tcPr>
          <w:p>
            <w:pPr>
              <w:pStyle w:val="TableParagraph"/>
              <w:spacing w:before="36"/>
              <w:ind w:left="297" w:right="321"/>
              <w:jc w:val="center"/>
              <w:rPr>
                <w:sz w:val="14"/>
              </w:rPr>
            </w:pPr>
            <w:r>
              <w:rPr>
                <w:color w:val="404040"/>
                <w:sz w:val="14"/>
              </w:rPr>
              <w:t>230</w:t>
            </w:r>
          </w:p>
        </w:tc>
        <w:tc>
          <w:tcPr>
            <w:tcW w:w="889" w:type="dxa"/>
            <w:tcBorders>
              <w:top w:val="single" w:sz="4" w:space="0" w:color="DF2528"/>
              <w:bottom w:val="single" w:sz="4" w:space="0" w:color="DF2528"/>
            </w:tcBorders>
          </w:tcPr>
          <w:p>
            <w:pPr>
              <w:pStyle w:val="TableParagraph"/>
              <w:spacing w:before="36"/>
              <w:ind w:right="362"/>
              <w:jc w:val="right"/>
              <w:rPr>
                <w:sz w:val="14"/>
              </w:rPr>
            </w:pPr>
            <w:r>
              <w:rPr>
                <w:color w:val="404040"/>
                <w:w w:val="95"/>
                <w:sz w:val="14"/>
              </w:rPr>
              <w:t>13</w:t>
            </w:r>
          </w:p>
        </w:tc>
        <w:tc>
          <w:tcPr>
            <w:tcW w:w="1079" w:type="dxa"/>
            <w:tcBorders>
              <w:top w:val="single" w:sz="4" w:space="0" w:color="DF2528"/>
              <w:bottom w:val="single" w:sz="4" w:space="0" w:color="DF2528"/>
            </w:tcBorders>
          </w:tcPr>
          <w:p>
            <w:pPr>
              <w:pStyle w:val="TableParagraph"/>
              <w:spacing w:before="36"/>
              <w:ind w:left="381" w:right="373"/>
              <w:jc w:val="center"/>
              <w:rPr>
                <w:sz w:val="14"/>
              </w:rPr>
            </w:pPr>
            <w:r>
              <w:rPr>
                <w:color w:val="404040"/>
                <w:sz w:val="14"/>
              </w:rPr>
              <w:t>96%</w:t>
            </w:r>
          </w:p>
        </w:tc>
      </w:tr>
      <w:tr>
        <w:trPr>
          <w:trHeight w:val="239" w:hRule="atLeast"/>
        </w:trPr>
        <w:tc>
          <w:tcPr>
            <w:tcW w:w="2750" w:type="dxa"/>
            <w:tcBorders>
              <w:top w:val="single" w:sz="4" w:space="0" w:color="DF2528"/>
              <w:bottom w:val="single" w:sz="4" w:space="0" w:color="DF2528"/>
            </w:tcBorders>
          </w:tcPr>
          <w:p>
            <w:pPr>
              <w:pStyle w:val="TableParagraph"/>
              <w:spacing w:before="36"/>
              <w:ind w:left="112"/>
              <w:rPr>
                <w:sz w:val="14"/>
              </w:rPr>
            </w:pPr>
            <w:r>
              <w:rPr>
                <w:color w:val="404040"/>
                <w:sz w:val="14"/>
              </w:rPr>
              <w:t>- Family non IS clients</w:t>
            </w:r>
          </w:p>
        </w:tc>
        <w:tc>
          <w:tcPr>
            <w:tcW w:w="1077" w:type="dxa"/>
            <w:tcBorders>
              <w:top w:val="single" w:sz="4" w:space="0" w:color="DF2528"/>
              <w:bottom w:val="single" w:sz="4" w:space="0" w:color="DF2528"/>
            </w:tcBorders>
          </w:tcPr>
          <w:p>
            <w:pPr>
              <w:pStyle w:val="TableParagraph"/>
              <w:spacing w:before="36"/>
              <w:ind w:right="226"/>
              <w:jc w:val="right"/>
              <w:rPr>
                <w:sz w:val="14"/>
              </w:rPr>
            </w:pPr>
            <w:r>
              <w:rPr>
                <w:color w:val="404040"/>
                <w:sz w:val="14"/>
              </w:rPr>
              <w:t>1,539,668</w:t>
            </w:r>
          </w:p>
        </w:tc>
        <w:tc>
          <w:tcPr>
            <w:tcW w:w="907" w:type="dxa"/>
            <w:tcBorders>
              <w:top w:val="single" w:sz="4" w:space="0" w:color="DF2528"/>
              <w:bottom w:val="single" w:sz="4" w:space="0" w:color="DF2528"/>
            </w:tcBorders>
          </w:tcPr>
          <w:p>
            <w:pPr>
              <w:pStyle w:val="TableParagraph"/>
              <w:spacing w:before="36"/>
              <w:ind w:left="355" w:right="355"/>
              <w:jc w:val="center"/>
              <w:rPr>
                <w:sz w:val="14"/>
              </w:rPr>
            </w:pPr>
            <w:r>
              <w:rPr>
                <w:color w:val="404040"/>
                <w:sz w:val="14"/>
              </w:rPr>
              <w:t>40</w:t>
            </w:r>
          </w:p>
        </w:tc>
        <w:tc>
          <w:tcPr>
            <w:tcW w:w="854" w:type="dxa"/>
            <w:tcBorders>
              <w:top w:val="single" w:sz="4" w:space="0" w:color="DF2528"/>
              <w:bottom w:val="single" w:sz="4" w:space="0" w:color="DF2528"/>
            </w:tcBorders>
          </w:tcPr>
          <w:p>
            <w:pPr>
              <w:pStyle w:val="TableParagraph"/>
              <w:spacing w:before="36"/>
              <w:ind w:left="230" w:right="231"/>
              <w:jc w:val="center"/>
              <w:rPr>
                <w:sz w:val="14"/>
              </w:rPr>
            </w:pPr>
            <w:r>
              <w:rPr>
                <w:color w:val="404040"/>
                <w:sz w:val="14"/>
              </w:rPr>
              <w:t>354</w:t>
            </w:r>
          </w:p>
        </w:tc>
        <w:tc>
          <w:tcPr>
            <w:tcW w:w="1023" w:type="dxa"/>
            <w:tcBorders>
              <w:top w:val="single" w:sz="4" w:space="0" w:color="DF2528"/>
              <w:bottom w:val="single" w:sz="4" w:space="0" w:color="DF2528"/>
            </w:tcBorders>
          </w:tcPr>
          <w:p>
            <w:pPr>
              <w:pStyle w:val="TableParagraph"/>
              <w:spacing w:before="36"/>
              <w:ind w:left="264" w:right="290"/>
              <w:jc w:val="center"/>
              <w:rPr>
                <w:sz w:val="14"/>
              </w:rPr>
            </w:pPr>
            <w:r>
              <w:rPr>
                <w:color w:val="404040"/>
                <w:sz w:val="14"/>
              </w:rPr>
              <w:t>7,200</w:t>
            </w:r>
          </w:p>
        </w:tc>
        <w:tc>
          <w:tcPr>
            <w:tcW w:w="893" w:type="dxa"/>
            <w:tcBorders>
              <w:top w:val="single" w:sz="4" w:space="0" w:color="DF2528"/>
              <w:bottom w:val="single" w:sz="4" w:space="0" w:color="DF2528"/>
            </w:tcBorders>
          </w:tcPr>
          <w:p>
            <w:pPr>
              <w:pStyle w:val="TableParagraph"/>
              <w:spacing w:before="36"/>
              <w:ind w:left="297" w:right="321"/>
              <w:jc w:val="center"/>
              <w:rPr>
                <w:sz w:val="14"/>
              </w:rPr>
            </w:pPr>
            <w:r>
              <w:rPr>
                <w:color w:val="404040"/>
                <w:sz w:val="14"/>
              </w:rPr>
              <w:t>230</w:t>
            </w:r>
          </w:p>
        </w:tc>
        <w:tc>
          <w:tcPr>
            <w:tcW w:w="889" w:type="dxa"/>
            <w:tcBorders>
              <w:top w:val="single" w:sz="4" w:space="0" w:color="DF2528"/>
              <w:bottom w:val="single" w:sz="4" w:space="0" w:color="DF2528"/>
            </w:tcBorders>
          </w:tcPr>
          <w:p>
            <w:pPr>
              <w:pStyle w:val="TableParagraph"/>
              <w:spacing w:before="36"/>
              <w:ind w:right="362"/>
              <w:jc w:val="right"/>
              <w:rPr>
                <w:sz w:val="14"/>
              </w:rPr>
            </w:pPr>
            <w:r>
              <w:rPr>
                <w:color w:val="404040"/>
                <w:w w:val="95"/>
                <w:sz w:val="14"/>
              </w:rPr>
              <w:t>32</w:t>
            </w:r>
          </w:p>
        </w:tc>
        <w:tc>
          <w:tcPr>
            <w:tcW w:w="1079" w:type="dxa"/>
            <w:tcBorders>
              <w:top w:val="single" w:sz="4" w:space="0" w:color="DF2528"/>
              <w:bottom w:val="single" w:sz="4" w:space="0" w:color="DF2528"/>
            </w:tcBorders>
          </w:tcPr>
          <w:p>
            <w:pPr>
              <w:pStyle w:val="TableParagraph"/>
              <w:spacing w:before="36"/>
              <w:ind w:left="381" w:right="373"/>
              <w:jc w:val="center"/>
              <w:rPr>
                <w:sz w:val="14"/>
              </w:rPr>
            </w:pPr>
            <w:r>
              <w:rPr>
                <w:color w:val="404040"/>
                <w:sz w:val="14"/>
              </w:rPr>
              <w:t>32%</w:t>
            </w:r>
          </w:p>
        </w:tc>
      </w:tr>
      <w:tr>
        <w:trPr>
          <w:trHeight w:val="242" w:hRule="atLeast"/>
        </w:trPr>
        <w:tc>
          <w:tcPr>
            <w:tcW w:w="2750" w:type="dxa"/>
            <w:tcBorders>
              <w:top w:val="single" w:sz="4" w:space="0" w:color="DF2528"/>
              <w:bottom w:val="single" w:sz="4" w:space="0" w:color="DF2528"/>
            </w:tcBorders>
          </w:tcPr>
          <w:p>
            <w:pPr>
              <w:pStyle w:val="TableParagraph"/>
              <w:spacing w:before="39"/>
              <w:ind w:left="112"/>
              <w:rPr>
                <w:sz w:val="14"/>
              </w:rPr>
            </w:pPr>
            <w:r>
              <w:rPr>
                <w:color w:val="404040"/>
                <w:sz w:val="14"/>
              </w:rPr>
              <w:t>- Carer non IS clients</w:t>
            </w:r>
          </w:p>
        </w:tc>
        <w:tc>
          <w:tcPr>
            <w:tcW w:w="1077" w:type="dxa"/>
            <w:tcBorders>
              <w:top w:val="single" w:sz="4" w:space="0" w:color="DF2528"/>
              <w:bottom w:val="single" w:sz="4" w:space="0" w:color="DF2528"/>
            </w:tcBorders>
          </w:tcPr>
          <w:p>
            <w:pPr>
              <w:pStyle w:val="TableParagraph"/>
              <w:spacing w:before="39"/>
              <w:ind w:right="284"/>
              <w:jc w:val="right"/>
              <w:rPr>
                <w:sz w:val="14"/>
              </w:rPr>
            </w:pPr>
            <w:r>
              <w:rPr>
                <w:color w:val="404040"/>
                <w:sz w:val="14"/>
              </w:rPr>
              <w:t>217,720</w:t>
            </w:r>
          </w:p>
        </w:tc>
        <w:tc>
          <w:tcPr>
            <w:tcW w:w="907" w:type="dxa"/>
            <w:tcBorders>
              <w:top w:val="single" w:sz="4" w:space="0" w:color="DF2528"/>
              <w:bottom w:val="single" w:sz="4" w:space="0" w:color="DF2528"/>
            </w:tcBorders>
          </w:tcPr>
          <w:p>
            <w:pPr>
              <w:pStyle w:val="TableParagraph"/>
              <w:spacing w:before="39"/>
              <w:ind w:left="355" w:right="355"/>
              <w:jc w:val="center"/>
              <w:rPr>
                <w:sz w:val="14"/>
              </w:rPr>
            </w:pPr>
            <w:r>
              <w:rPr>
                <w:color w:val="404040"/>
                <w:sz w:val="14"/>
              </w:rPr>
              <w:t>51</w:t>
            </w:r>
          </w:p>
        </w:tc>
        <w:tc>
          <w:tcPr>
            <w:tcW w:w="854" w:type="dxa"/>
            <w:tcBorders>
              <w:top w:val="single" w:sz="4" w:space="0" w:color="DF2528"/>
              <w:bottom w:val="single" w:sz="4" w:space="0" w:color="DF2528"/>
            </w:tcBorders>
          </w:tcPr>
          <w:p>
            <w:pPr>
              <w:pStyle w:val="TableParagraph"/>
              <w:spacing w:before="39"/>
              <w:ind w:left="230" w:right="231"/>
              <w:jc w:val="center"/>
              <w:rPr>
                <w:sz w:val="14"/>
              </w:rPr>
            </w:pPr>
            <w:r>
              <w:rPr>
                <w:color w:val="404040"/>
                <w:sz w:val="14"/>
              </w:rPr>
              <w:t>51</w:t>
            </w:r>
          </w:p>
        </w:tc>
        <w:tc>
          <w:tcPr>
            <w:tcW w:w="1023" w:type="dxa"/>
            <w:tcBorders>
              <w:top w:val="single" w:sz="4" w:space="0" w:color="DF2528"/>
              <w:bottom w:val="single" w:sz="4" w:space="0" w:color="DF2528"/>
            </w:tcBorders>
          </w:tcPr>
          <w:p>
            <w:pPr>
              <w:pStyle w:val="TableParagraph"/>
              <w:spacing w:before="39"/>
              <w:ind w:left="264" w:right="290"/>
              <w:jc w:val="center"/>
              <w:rPr>
                <w:sz w:val="14"/>
              </w:rPr>
            </w:pPr>
            <w:r>
              <w:rPr>
                <w:color w:val="404040"/>
                <w:sz w:val="14"/>
              </w:rPr>
              <w:t>7,100</w:t>
            </w:r>
          </w:p>
        </w:tc>
        <w:tc>
          <w:tcPr>
            <w:tcW w:w="893" w:type="dxa"/>
            <w:tcBorders>
              <w:top w:val="single" w:sz="4" w:space="0" w:color="DF2528"/>
              <w:bottom w:val="single" w:sz="4" w:space="0" w:color="DF2528"/>
            </w:tcBorders>
          </w:tcPr>
          <w:p>
            <w:pPr>
              <w:pStyle w:val="TableParagraph"/>
              <w:spacing w:before="39"/>
              <w:ind w:left="297" w:right="321"/>
              <w:jc w:val="center"/>
              <w:rPr>
                <w:sz w:val="14"/>
              </w:rPr>
            </w:pPr>
            <w:r>
              <w:rPr>
                <w:color w:val="404040"/>
                <w:sz w:val="14"/>
              </w:rPr>
              <w:t>235</w:t>
            </w:r>
          </w:p>
        </w:tc>
        <w:tc>
          <w:tcPr>
            <w:tcW w:w="889" w:type="dxa"/>
            <w:tcBorders>
              <w:top w:val="single" w:sz="4" w:space="0" w:color="DF2528"/>
              <w:bottom w:val="single" w:sz="4" w:space="0" w:color="DF2528"/>
            </w:tcBorders>
          </w:tcPr>
          <w:p>
            <w:pPr>
              <w:pStyle w:val="TableParagraph"/>
              <w:spacing w:before="39"/>
              <w:ind w:right="362"/>
              <w:jc w:val="right"/>
              <w:rPr>
                <w:sz w:val="14"/>
              </w:rPr>
            </w:pPr>
            <w:r>
              <w:rPr>
                <w:color w:val="404040"/>
                <w:w w:val="95"/>
                <w:sz w:val="14"/>
              </w:rPr>
              <w:t>33</w:t>
            </w:r>
          </w:p>
        </w:tc>
        <w:tc>
          <w:tcPr>
            <w:tcW w:w="1079" w:type="dxa"/>
            <w:tcBorders>
              <w:top w:val="single" w:sz="4" w:space="0" w:color="DF2528"/>
              <w:bottom w:val="single" w:sz="4" w:space="0" w:color="DF2528"/>
            </w:tcBorders>
          </w:tcPr>
          <w:p>
            <w:pPr>
              <w:pStyle w:val="TableParagraph"/>
              <w:spacing w:before="39"/>
              <w:ind w:left="381" w:right="373"/>
              <w:jc w:val="center"/>
              <w:rPr>
                <w:sz w:val="14"/>
              </w:rPr>
            </w:pPr>
            <w:r>
              <w:rPr>
                <w:color w:val="404040"/>
                <w:sz w:val="14"/>
              </w:rPr>
              <w:t>37%</w:t>
            </w:r>
          </w:p>
        </w:tc>
      </w:tr>
      <w:tr>
        <w:trPr>
          <w:trHeight w:val="242" w:hRule="atLeast"/>
        </w:trPr>
        <w:tc>
          <w:tcPr>
            <w:tcW w:w="2750" w:type="dxa"/>
            <w:tcBorders>
              <w:top w:val="single" w:sz="4" w:space="0" w:color="DF2528"/>
              <w:bottom w:val="single" w:sz="4" w:space="0" w:color="DF2528"/>
            </w:tcBorders>
          </w:tcPr>
          <w:p>
            <w:pPr>
              <w:pStyle w:val="TableParagraph"/>
              <w:spacing w:before="36"/>
              <w:ind w:left="112"/>
              <w:rPr>
                <w:sz w:val="14"/>
              </w:rPr>
            </w:pPr>
            <w:r>
              <w:rPr>
                <w:color w:val="404040"/>
                <w:sz w:val="14"/>
              </w:rPr>
              <w:t>- Other non IS clients</w:t>
            </w:r>
          </w:p>
        </w:tc>
        <w:tc>
          <w:tcPr>
            <w:tcW w:w="1077" w:type="dxa"/>
            <w:tcBorders>
              <w:top w:val="single" w:sz="4" w:space="0" w:color="DF2528"/>
              <w:bottom w:val="single" w:sz="4" w:space="0" w:color="DF2528"/>
            </w:tcBorders>
          </w:tcPr>
          <w:p>
            <w:pPr>
              <w:pStyle w:val="TableParagraph"/>
              <w:spacing w:before="36"/>
              <w:ind w:right="284"/>
              <w:jc w:val="right"/>
              <w:rPr>
                <w:sz w:val="14"/>
              </w:rPr>
            </w:pPr>
            <w:r>
              <w:rPr>
                <w:color w:val="404040"/>
                <w:sz w:val="14"/>
              </w:rPr>
              <w:t>652,322</w:t>
            </w:r>
          </w:p>
        </w:tc>
        <w:tc>
          <w:tcPr>
            <w:tcW w:w="907" w:type="dxa"/>
            <w:tcBorders>
              <w:top w:val="single" w:sz="4" w:space="0" w:color="DF2528"/>
              <w:bottom w:val="single" w:sz="4" w:space="0" w:color="DF2528"/>
            </w:tcBorders>
          </w:tcPr>
          <w:p>
            <w:pPr>
              <w:pStyle w:val="TableParagraph"/>
              <w:spacing w:before="36"/>
              <w:ind w:left="355" w:right="355"/>
              <w:jc w:val="center"/>
              <w:rPr>
                <w:sz w:val="14"/>
              </w:rPr>
            </w:pPr>
            <w:r>
              <w:rPr>
                <w:color w:val="404040"/>
                <w:sz w:val="14"/>
              </w:rPr>
              <w:t>50</w:t>
            </w:r>
          </w:p>
        </w:tc>
        <w:tc>
          <w:tcPr>
            <w:tcW w:w="854" w:type="dxa"/>
            <w:tcBorders>
              <w:top w:val="single" w:sz="4" w:space="0" w:color="DF2528"/>
              <w:bottom w:val="single" w:sz="4" w:space="0" w:color="DF2528"/>
            </w:tcBorders>
          </w:tcPr>
          <w:p>
            <w:pPr>
              <w:pStyle w:val="TableParagraph"/>
              <w:spacing w:before="36"/>
              <w:ind w:left="230" w:right="231"/>
              <w:jc w:val="center"/>
              <w:rPr>
                <w:sz w:val="14"/>
              </w:rPr>
            </w:pPr>
            <w:r>
              <w:rPr>
                <w:color w:val="404040"/>
                <w:sz w:val="14"/>
              </w:rPr>
              <w:t>98</w:t>
            </w:r>
          </w:p>
        </w:tc>
        <w:tc>
          <w:tcPr>
            <w:tcW w:w="1023" w:type="dxa"/>
            <w:tcBorders>
              <w:top w:val="single" w:sz="4" w:space="0" w:color="DF2528"/>
              <w:bottom w:val="single" w:sz="4" w:space="0" w:color="DF2528"/>
            </w:tcBorders>
          </w:tcPr>
          <w:p>
            <w:pPr>
              <w:pStyle w:val="TableParagraph"/>
              <w:spacing w:before="36"/>
              <w:ind w:left="264" w:right="290"/>
              <w:jc w:val="center"/>
              <w:rPr>
                <w:sz w:val="14"/>
              </w:rPr>
            </w:pPr>
            <w:r>
              <w:rPr>
                <w:color w:val="404040"/>
                <w:sz w:val="14"/>
              </w:rPr>
              <w:t>2,900</w:t>
            </w:r>
          </w:p>
        </w:tc>
        <w:tc>
          <w:tcPr>
            <w:tcW w:w="893" w:type="dxa"/>
            <w:tcBorders>
              <w:top w:val="single" w:sz="4" w:space="0" w:color="DF2528"/>
              <w:bottom w:val="single" w:sz="4" w:space="0" w:color="DF2528"/>
            </w:tcBorders>
          </w:tcPr>
          <w:p>
            <w:pPr>
              <w:pStyle w:val="TableParagraph"/>
              <w:spacing w:before="36"/>
              <w:ind w:left="297" w:right="321"/>
              <w:jc w:val="center"/>
              <w:rPr>
                <w:sz w:val="14"/>
              </w:rPr>
            </w:pPr>
            <w:r>
              <w:rPr>
                <w:color w:val="404040"/>
                <w:sz w:val="14"/>
              </w:rPr>
              <w:t>151</w:t>
            </w:r>
          </w:p>
        </w:tc>
        <w:tc>
          <w:tcPr>
            <w:tcW w:w="889" w:type="dxa"/>
            <w:tcBorders>
              <w:top w:val="single" w:sz="4" w:space="0" w:color="DF2528"/>
              <w:bottom w:val="single" w:sz="4" w:space="0" w:color="DF2528"/>
            </w:tcBorders>
          </w:tcPr>
          <w:p>
            <w:pPr>
              <w:pStyle w:val="TableParagraph"/>
              <w:spacing w:before="36"/>
              <w:ind w:right="362"/>
              <w:jc w:val="right"/>
              <w:rPr>
                <w:sz w:val="14"/>
              </w:rPr>
            </w:pPr>
            <w:r>
              <w:rPr>
                <w:color w:val="404040"/>
                <w:w w:val="95"/>
                <w:sz w:val="14"/>
              </w:rPr>
              <w:t>52</w:t>
            </w:r>
          </w:p>
        </w:tc>
        <w:tc>
          <w:tcPr>
            <w:tcW w:w="1079" w:type="dxa"/>
            <w:tcBorders>
              <w:top w:val="single" w:sz="4" w:space="0" w:color="DF2528"/>
              <w:bottom w:val="single" w:sz="4" w:space="0" w:color="DF2528"/>
            </w:tcBorders>
          </w:tcPr>
          <w:p>
            <w:pPr>
              <w:pStyle w:val="TableParagraph"/>
              <w:spacing w:before="36"/>
              <w:ind w:left="381" w:right="373"/>
              <w:jc w:val="center"/>
              <w:rPr>
                <w:sz w:val="14"/>
              </w:rPr>
            </w:pPr>
            <w:r>
              <w:rPr>
                <w:color w:val="404040"/>
                <w:sz w:val="14"/>
              </w:rPr>
              <w:t>32%</w:t>
            </w:r>
          </w:p>
        </w:tc>
      </w:tr>
      <w:tr>
        <w:trPr>
          <w:trHeight w:val="239" w:hRule="atLeast"/>
        </w:trPr>
        <w:tc>
          <w:tcPr>
            <w:tcW w:w="2750" w:type="dxa"/>
            <w:tcBorders>
              <w:top w:val="single" w:sz="4" w:space="0" w:color="DF2528"/>
              <w:bottom w:val="single" w:sz="4" w:space="0" w:color="FFFFFF"/>
            </w:tcBorders>
            <w:shd w:val="clear" w:color="auto" w:fill="F4C9C9"/>
          </w:tcPr>
          <w:p>
            <w:pPr>
              <w:pStyle w:val="TableParagraph"/>
              <w:spacing w:before="36"/>
              <w:ind w:left="112"/>
              <w:rPr>
                <w:i/>
                <w:sz w:val="14"/>
              </w:rPr>
            </w:pPr>
            <w:r>
              <w:rPr>
                <w:i/>
                <w:color w:val="404040"/>
                <w:sz w:val="14"/>
              </w:rPr>
              <w:t>Total current welfare recipients</w:t>
            </w:r>
          </w:p>
        </w:tc>
        <w:tc>
          <w:tcPr>
            <w:tcW w:w="1077" w:type="dxa"/>
            <w:tcBorders>
              <w:top w:val="single" w:sz="4" w:space="0" w:color="DF2528"/>
              <w:bottom w:val="single" w:sz="4" w:space="0" w:color="FFFFFF"/>
            </w:tcBorders>
            <w:shd w:val="clear" w:color="auto" w:fill="F4C9C9"/>
          </w:tcPr>
          <w:p>
            <w:pPr>
              <w:pStyle w:val="TableParagraph"/>
              <w:spacing w:before="36"/>
              <w:ind w:right="226"/>
              <w:jc w:val="right"/>
              <w:rPr>
                <w:i/>
                <w:sz w:val="14"/>
              </w:rPr>
            </w:pPr>
            <w:r>
              <w:rPr>
                <w:i/>
                <w:color w:val="404040"/>
                <w:sz w:val="14"/>
              </w:rPr>
              <w:t>7,950,981</w:t>
            </w:r>
          </w:p>
        </w:tc>
        <w:tc>
          <w:tcPr>
            <w:tcW w:w="907" w:type="dxa"/>
            <w:tcBorders>
              <w:top w:val="single" w:sz="4" w:space="0" w:color="DF2528"/>
              <w:bottom w:val="single" w:sz="4" w:space="0" w:color="FFFFFF"/>
            </w:tcBorders>
            <w:shd w:val="clear" w:color="auto" w:fill="F4C9C9"/>
          </w:tcPr>
          <w:p>
            <w:pPr>
              <w:pStyle w:val="TableParagraph"/>
              <w:spacing w:before="36"/>
              <w:ind w:left="355" w:right="355"/>
              <w:jc w:val="center"/>
              <w:rPr>
                <w:i/>
                <w:sz w:val="14"/>
              </w:rPr>
            </w:pPr>
            <w:r>
              <w:rPr>
                <w:i/>
                <w:color w:val="404040"/>
                <w:sz w:val="14"/>
              </w:rPr>
              <w:t>53</w:t>
            </w:r>
          </w:p>
        </w:tc>
        <w:tc>
          <w:tcPr>
            <w:tcW w:w="854" w:type="dxa"/>
            <w:tcBorders>
              <w:top w:val="single" w:sz="4" w:space="0" w:color="DF2528"/>
              <w:bottom w:val="single" w:sz="4" w:space="0" w:color="FFFFFF"/>
            </w:tcBorders>
            <w:shd w:val="clear" w:color="auto" w:fill="F4C9C9"/>
          </w:tcPr>
          <w:p>
            <w:pPr>
              <w:pStyle w:val="TableParagraph"/>
              <w:spacing w:before="36"/>
              <w:ind w:left="231" w:right="231"/>
              <w:jc w:val="center"/>
              <w:rPr>
                <w:i/>
                <w:sz w:val="14"/>
              </w:rPr>
            </w:pPr>
            <w:r>
              <w:rPr>
                <w:i/>
                <w:color w:val="404040"/>
                <w:sz w:val="14"/>
              </w:rPr>
              <w:t>2,439</w:t>
            </w:r>
          </w:p>
        </w:tc>
        <w:tc>
          <w:tcPr>
            <w:tcW w:w="1023" w:type="dxa"/>
            <w:tcBorders>
              <w:top w:val="single" w:sz="4" w:space="0" w:color="DF2528"/>
              <w:bottom w:val="single" w:sz="4" w:space="0" w:color="FFFFFF"/>
            </w:tcBorders>
            <w:shd w:val="clear" w:color="auto" w:fill="F4C9C9"/>
          </w:tcPr>
          <w:p>
            <w:pPr>
              <w:pStyle w:val="TableParagraph"/>
              <w:spacing w:before="36"/>
              <w:ind w:left="264" w:right="290"/>
              <w:jc w:val="center"/>
              <w:rPr>
                <w:i/>
                <w:sz w:val="14"/>
              </w:rPr>
            </w:pPr>
            <w:r>
              <w:rPr>
                <w:i/>
                <w:color w:val="404040"/>
                <w:sz w:val="14"/>
              </w:rPr>
              <w:t>14,200</w:t>
            </w:r>
          </w:p>
        </w:tc>
        <w:tc>
          <w:tcPr>
            <w:tcW w:w="893" w:type="dxa"/>
            <w:tcBorders>
              <w:top w:val="single" w:sz="4" w:space="0" w:color="DF2528"/>
              <w:bottom w:val="single" w:sz="4" w:space="0" w:color="FFFFFF"/>
            </w:tcBorders>
            <w:shd w:val="clear" w:color="auto" w:fill="F4C9C9"/>
          </w:tcPr>
          <w:p>
            <w:pPr>
              <w:pStyle w:val="TableParagraph"/>
              <w:spacing w:before="36"/>
              <w:ind w:left="297" w:right="321"/>
              <w:jc w:val="center"/>
              <w:rPr>
                <w:i/>
                <w:sz w:val="14"/>
              </w:rPr>
            </w:pPr>
            <w:r>
              <w:rPr>
                <w:i/>
                <w:color w:val="404040"/>
                <w:sz w:val="14"/>
              </w:rPr>
              <w:t>307</w:t>
            </w:r>
          </w:p>
        </w:tc>
        <w:tc>
          <w:tcPr>
            <w:tcW w:w="889" w:type="dxa"/>
            <w:tcBorders>
              <w:top w:val="single" w:sz="4" w:space="0" w:color="DF2528"/>
              <w:bottom w:val="single" w:sz="4" w:space="0" w:color="FFFFFF"/>
            </w:tcBorders>
            <w:shd w:val="clear" w:color="auto" w:fill="F4C9C9"/>
          </w:tcPr>
          <w:p>
            <w:pPr>
              <w:pStyle w:val="TableParagraph"/>
              <w:spacing w:before="36"/>
              <w:ind w:right="362"/>
              <w:jc w:val="right"/>
              <w:rPr>
                <w:i/>
                <w:sz w:val="14"/>
              </w:rPr>
            </w:pPr>
            <w:r>
              <w:rPr>
                <w:i/>
                <w:color w:val="404040"/>
                <w:w w:val="95"/>
                <w:sz w:val="14"/>
              </w:rPr>
              <w:t>22</w:t>
            </w:r>
          </w:p>
        </w:tc>
        <w:tc>
          <w:tcPr>
            <w:tcW w:w="1079" w:type="dxa"/>
            <w:tcBorders>
              <w:top w:val="single" w:sz="4" w:space="0" w:color="DF2528"/>
              <w:bottom w:val="single" w:sz="4" w:space="0" w:color="FFFFFF"/>
            </w:tcBorders>
            <w:shd w:val="clear" w:color="auto" w:fill="F4C9C9"/>
          </w:tcPr>
          <w:p>
            <w:pPr>
              <w:pStyle w:val="TableParagraph"/>
              <w:spacing w:before="36"/>
              <w:ind w:left="381" w:right="373"/>
              <w:jc w:val="center"/>
              <w:rPr>
                <w:i/>
                <w:sz w:val="14"/>
              </w:rPr>
            </w:pPr>
            <w:r>
              <w:rPr>
                <w:i/>
                <w:color w:val="404040"/>
                <w:sz w:val="14"/>
              </w:rPr>
              <w:t>55%</w:t>
            </w:r>
          </w:p>
        </w:tc>
      </w:tr>
      <w:tr>
        <w:trPr>
          <w:trHeight w:val="237" w:hRule="atLeast"/>
        </w:trPr>
        <w:tc>
          <w:tcPr>
            <w:tcW w:w="9472" w:type="dxa"/>
            <w:gridSpan w:val="8"/>
            <w:tcBorders>
              <w:top w:val="single" w:sz="4" w:space="0" w:color="FFFFFF"/>
            </w:tcBorders>
            <w:shd w:val="clear" w:color="auto" w:fill="DF2528"/>
          </w:tcPr>
          <w:p>
            <w:pPr>
              <w:pStyle w:val="TableParagraph"/>
              <w:spacing w:before="34"/>
              <w:ind w:left="112"/>
              <w:rPr>
                <w:b/>
                <w:sz w:val="14"/>
              </w:rPr>
            </w:pPr>
            <w:r>
              <w:rPr>
                <w:b/>
                <w:color w:val="FFFFFF"/>
                <w:sz w:val="14"/>
              </w:rPr>
              <w:t>Previous welfare recipients</w:t>
            </w:r>
          </w:p>
        </w:tc>
      </w:tr>
      <w:tr>
        <w:trPr>
          <w:trHeight w:val="244" w:hRule="atLeast"/>
        </w:trPr>
        <w:tc>
          <w:tcPr>
            <w:tcW w:w="2750" w:type="dxa"/>
            <w:tcBorders>
              <w:top w:val="single" w:sz="4" w:space="0" w:color="DF2528"/>
              <w:bottom w:val="single" w:sz="4" w:space="0" w:color="DF2528"/>
            </w:tcBorders>
          </w:tcPr>
          <w:p>
            <w:pPr>
              <w:pStyle w:val="TableParagraph"/>
              <w:spacing w:before="41"/>
              <w:ind w:left="112"/>
              <w:rPr>
                <w:sz w:val="14"/>
              </w:rPr>
            </w:pPr>
            <w:r>
              <w:rPr>
                <w:color w:val="404040"/>
                <w:sz w:val="14"/>
              </w:rPr>
              <w:t>- Exited 1-3 years</w:t>
            </w:r>
          </w:p>
        </w:tc>
        <w:tc>
          <w:tcPr>
            <w:tcW w:w="1077" w:type="dxa"/>
            <w:tcBorders>
              <w:top w:val="single" w:sz="4" w:space="0" w:color="DF2528"/>
              <w:bottom w:val="single" w:sz="4" w:space="0" w:color="DF2528"/>
            </w:tcBorders>
          </w:tcPr>
          <w:p>
            <w:pPr>
              <w:pStyle w:val="TableParagraph"/>
              <w:spacing w:before="41"/>
              <w:ind w:right="226"/>
              <w:jc w:val="right"/>
              <w:rPr>
                <w:sz w:val="14"/>
              </w:rPr>
            </w:pPr>
            <w:r>
              <w:rPr>
                <w:color w:val="404040"/>
                <w:sz w:val="14"/>
              </w:rPr>
              <w:t>1,597,238</w:t>
            </w:r>
          </w:p>
        </w:tc>
        <w:tc>
          <w:tcPr>
            <w:tcW w:w="907" w:type="dxa"/>
            <w:tcBorders>
              <w:top w:val="single" w:sz="4" w:space="0" w:color="DF2528"/>
              <w:bottom w:val="single" w:sz="4" w:space="0" w:color="DF2528"/>
            </w:tcBorders>
          </w:tcPr>
          <w:p>
            <w:pPr>
              <w:pStyle w:val="TableParagraph"/>
              <w:spacing w:before="41"/>
              <w:ind w:left="355" w:right="355"/>
              <w:jc w:val="center"/>
              <w:rPr>
                <w:sz w:val="14"/>
              </w:rPr>
            </w:pPr>
            <w:r>
              <w:rPr>
                <w:color w:val="404040"/>
                <w:sz w:val="14"/>
              </w:rPr>
              <w:t>41</w:t>
            </w:r>
          </w:p>
        </w:tc>
        <w:tc>
          <w:tcPr>
            <w:tcW w:w="854" w:type="dxa"/>
            <w:tcBorders>
              <w:top w:val="single" w:sz="4" w:space="0" w:color="DF2528"/>
              <w:bottom w:val="single" w:sz="4" w:space="0" w:color="DF2528"/>
            </w:tcBorders>
          </w:tcPr>
          <w:p>
            <w:pPr>
              <w:pStyle w:val="TableParagraph"/>
              <w:spacing w:before="41"/>
              <w:ind w:left="230" w:right="231"/>
              <w:jc w:val="center"/>
              <w:rPr>
                <w:sz w:val="14"/>
              </w:rPr>
            </w:pPr>
            <w:r>
              <w:rPr>
                <w:color w:val="404040"/>
                <w:sz w:val="14"/>
              </w:rPr>
              <w:t>337</w:t>
            </w:r>
          </w:p>
        </w:tc>
        <w:tc>
          <w:tcPr>
            <w:tcW w:w="1023" w:type="dxa"/>
            <w:tcBorders>
              <w:top w:val="single" w:sz="4" w:space="0" w:color="DF2528"/>
              <w:bottom w:val="single" w:sz="4" w:space="0" w:color="DF2528"/>
            </w:tcBorders>
          </w:tcPr>
          <w:p>
            <w:pPr>
              <w:pStyle w:val="TableParagraph"/>
              <w:spacing w:before="41"/>
              <w:ind w:left="262" w:right="290"/>
              <w:jc w:val="center"/>
              <w:rPr>
                <w:sz w:val="14"/>
              </w:rPr>
            </w:pPr>
            <w:r>
              <w:rPr>
                <w:color w:val="404040"/>
                <w:sz w:val="14"/>
              </w:rPr>
              <w:t>n/a</w:t>
            </w:r>
          </w:p>
        </w:tc>
        <w:tc>
          <w:tcPr>
            <w:tcW w:w="893" w:type="dxa"/>
            <w:tcBorders>
              <w:top w:val="single" w:sz="4" w:space="0" w:color="DF2528"/>
              <w:bottom w:val="single" w:sz="4" w:space="0" w:color="DF2528"/>
            </w:tcBorders>
          </w:tcPr>
          <w:p>
            <w:pPr>
              <w:pStyle w:val="TableParagraph"/>
              <w:spacing w:before="41"/>
              <w:ind w:left="297" w:right="321"/>
              <w:jc w:val="center"/>
              <w:rPr>
                <w:sz w:val="14"/>
              </w:rPr>
            </w:pPr>
            <w:r>
              <w:rPr>
                <w:color w:val="404040"/>
                <w:sz w:val="14"/>
              </w:rPr>
              <w:t>211</w:t>
            </w:r>
          </w:p>
        </w:tc>
        <w:tc>
          <w:tcPr>
            <w:tcW w:w="889" w:type="dxa"/>
            <w:tcBorders>
              <w:top w:val="single" w:sz="4" w:space="0" w:color="DF2528"/>
              <w:bottom w:val="single" w:sz="4" w:space="0" w:color="DF2528"/>
            </w:tcBorders>
          </w:tcPr>
          <w:p>
            <w:pPr>
              <w:pStyle w:val="TableParagraph"/>
              <w:spacing w:before="41"/>
              <w:ind w:right="343"/>
              <w:jc w:val="right"/>
              <w:rPr>
                <w:sz w:val="14"/>
              </w:rPr>
            </w:pPr>
            <w:r>
              <w:rPr>
                <w:color w:val="404040"/>
                <w:w w:val="95"/>
                <w:sz w:val="14"/>
              </w:rPr>
              <w:t>n/a</w:t>
            </w:r>
          </w:p>
        </w:tc>
        <w:tc>
          <w:tcPr>
            <w:tcW w:w="1079" w:type="dxa"/>
            <w:tcBorders>
              <w:top w:val="single" w:sz="4" w:space="0" w:color="DF2528"/>
              <w:bottom w:val="single" w:sz="4" w:space="0" w:color="DF2528"/>
            </w:tcBorders>
          </w:tcPr>
          <w:p>
            <w:pPr>
              <w:pStyle w:val="TableParagraph"/>
              <w:spacing w:before="41"/>
              <w:ind w:left="381" w:right="373"/>
              <w:jc w:val="center"/>
              <w:rPr>
                <w:sz w:val="14"/>
              </w:rPr>
            </w:pPr>
            <w:r>
              <w:rPr>
                <w:color w:val="404040"/>
                <w:sz w:val="14"/>
              </w:rPr>
              <w:t>35%</w:t>
            </w:r>
          </w:p>
        </w:tc>
      </w:tr>
      <w:tr>
        <w:trPr>
          <w:trHeight w:val="242" w:hRule="atLeast"/>
        </w:trPr>
        <w:tc>
          <w:tcPr>
            <w:tcW w:w="2750" w:type="dxa"/>
            <w:tcBorders>
              <w:top w:val="single" w:sz="4" w:space="0" w:color="DF2528"/>
              <w:bottom w:val="single" w:sz="4" w:space="0" w:color="DF2528"/>
            </w:tcBorders>
          </w:tcPr>
          <w:p>
            <w:pPr>
              <w:pStyle w:val="TableParagraph"/>
              <w:spacing w:before="36"/>
              <w:ind w:left="112"/>
              <w:rPr>
                <w:sz w:val="14"/>
              </w:rPr>
            </w:pPr>
            <w:r>
              <w:rPr>
                <w:color w:val="404040"/>
                <w:sz w:val="14"/>
              </w:rPr>
              <w:t>- Exited 4+ years</w:t>
            </w:r>
          </w:p>
        </w:tc>
        <w:tc>
          <w:tcPr>
            <w:tcW w:w="1077" w:type="dxa"/>
            <w:tcBorders>
              <w:top w:val="single" w:sz="4" w:space="0" w:color="DF2528"/>
              <w:bottom w:val="single" w:sz="4" w:space="0" w:color="DF2528"/>
            </w:tcBorders>
          </w:tcPr>
          <w:p>
            <w:pPr>
              <w:pStyle w:val="TableParagraph"/>
              <w:spacing w:before="36"/>
              <w:ind w:right="226"/>
              <w:jc w:val="right"/>
              <w:rPr>
                <w:sz w:val="14"/>
              </w:rPr>
            </w:pPr>
            <w:r>
              <w:rPr>
                <w:color w:val="404040"/>
                <w:sz w:val="14"/>
              </w:rPr>
              <w:t>3,219,117</w:t>
            </w:r>
          </w:p>
        </w:tc>
        <w:tc>
          <w:tcPr>
            <w:tcW w:w="907" w:type="dxa"/>
            <w:tcBorders>
              <w:top w:val="single" w:sz="4" w:space="0" w:color="DF2528"/>
              <w:bottom w:val="single" w:sz="4" w:space="0" w:color="DF2528"/>
            </w:tcBorders>
          </w:tcPr>
          <w:p>
            <w:pPr>
              <w:pStyle w:val="TableParagraph"/>
              <w:spacing w:before="36"/>
              <w:ind w:left="355" w:right="355"/>
              <w:jc w:val="center"/>
              <w:rPr>
                <w:sz w:val="14"/>
              </w:rPr>
            </w:pPr>
            <w:r>
              <w:rPr>
                <w:color w:val="404040"/>
                <w:sz w:val="14"/>
              </w:rPr>
              <w:t>47</w:t>
            </w:r>
          </w:p>
        </w:tc>
        <w:tc>
          <w:tcPr>
            <w:tcW w:w="854" w:type="dxa"/>
            <w:tcBorders>
              <w:top w:val="single" w:sz="4" w:space="0" w:color="DF2528"/>
              <w:bottom w:val="single" w:sz="4" w:space="0" w:color="DF2528"/>
            </w:tcBorders>
          </w:tcPr>
          <w:p>
            <w:pPr>
              <w:pStyle w:val="TableParagraph"/>
              <w:spacing w:before="36"/>
              <w:ind w:left="230" w:right="231"/>
              <w:jc w:val="center"/>
              <w:rPr>
                <w:sz w:val="14"/>
              </w:rPr>
            </w:pPr>
            <w:r>
              <w:rPr>
                <w:color w:val="404040"/>
                <w:sz w:val="14"/>
              </w:rPr>
              <w:t>563</w:t>
            </w:r>
          </w:p>
        </w:tc>
        <w:tc>
          <w:tcPr>
            <w:tcW w:w="1023" w:type="dxa"/>
            <w:tcBorders>
              <w:top w:val="single" w:sz="4" w:space="0" w:color="DF2528"/>
              <w:bottom w:val="single" w:sz="4" w:space="0" w:color="DF2528"/>
            </w:tcBorders>
          </w:tcPr>
          <w:p>
            <w:pPr>
              <w:pStyle w:val="TableParagraph"/>
              <w:spacing w:before="36"/>
              <w:ind w:left="262" w:right="290"/>
              <w:jc w:val="center"/>
              <w:rPr>
                <w:sz w:val="14"/>
              </w:rPr>
            </w:pPr>
            <w:r>
              <w:rPr>
                <w:color w:val="404040"/>
                <w:sz w:val="14"/>
              </w:rPr>
              <w:t>n/a</w:t>
            </w:r>
          </w:p>
        </w:tc>
        <w:tc>
          <w:tcPr>
            <w:tcW w:w="893" w:type="dxa"/>
            <w:tcBorders>
              <w:top w:val="single" w:sz="4" w:space="0" w:color="DF2528"/>
              <w:bottom w:val="single" w:sz="4" w:space="0" w:color="DF2528"/>
            </w:tcBorders>
          </w:tcPr>
          <w:p>
            <w:pPr>
              <w:pStyle w:val="TableParagraph"/>
              <w:spacing w:before="36"/>
              <w:ind w:left="297" w:right="321"/>
              <w:jc w:val="center"/>
              <w:rPr>
                <w:sz w:val="14"/>
              </w:rPr>
            </w:pPr>
            <w:r>
              <w:rPr>
                <w:color w:val="404040"/>
                <w:sz w:val="14"/>
              </w:rPr>
              <w:t>175</w:t>
            </w:r>
          </w:p>
        </w:tc>
        <w:tc>
          <w:tcPr>
            <w:tcW w:w="889" w:type="dxa"/>
            <w:tcBorders>
              <w:top w:val="single" w:sz="4" w:space="0" w:color="DF2528"/>
              <w:bottom w:val="single" w:sz="4" w:space="0" w:color="DF2528"/>
            </w:tcBorders>
          </w:tcPr>
          <w:p>
            <w:pPr>
              <w:pStyle w:val="TableParagraph"/>
              <w:spacing w:before="36"/>
              <w:ind w:right="343"/>
              <w:jc w:val="right"/>
              <w:rPr>
                <w:sz w:val="14"/>
              </w:rPr>
            </w:pPr>
            <w:r>
              <w:rPr>
                <w:color w:val="404040"/>
                <w:w w:val="95"/>
                <w:sz w:val="14"/>
              </w:rPr>
              <w:t>n/a</w:t>
            </w:r>
          </w:p>
        </w:tc>
        <w:tc>
          <w:tcPr>
            <w:tcW w:w="1079" w:type="dxa"/>
            <w:tcBorders>
              <w:top w:val="single" w:sz="4" w:space="0" w:color="DF2528"/>
              <w:bottom w:val="single" w:sz="4" w:space="0" w:color="DF2528"/>
            </w:tcBorders>
          </w:tcPr>
          <w:p>
            <w:pPr>
              <w:pStyle w:val="TableParagraph"/>
              <w:spacing w:before="36"/>
              <w:ind w:left="381" w:right="373"/>
              <w:jc w:val="center"/>
              <w:rPr>
                <w:sz w:val="14"/>
              </w:rPr>
            </w:pPr>
            <w:r>
              <w:rPr>
                <w:color w:val="404040"/>
                <w:sz w:val="14"/>
              </w:rPr>
              <w:t>33%</w:t>
            </w:r>
          </w:p>
        </w:tc>
      </w:tr>
      <w:tr>
        <w:trPr>
          <w:trHeight w:val="238" w:hRule="atLeast"/>
        </w:trPr>
        <w:tc>
          <w:tcPr>
            <w:tcW w:w="2750" w:type="dxa"/>
            <w:tcBorders>
              <w:top w:val="single" w:sz="4" w:space="0" w:color="DF2528"/>
              <w:bottom w:val="single" w:sz="6" w:space="0" w:color="FFFFFF"/>
            </w:tcBorders>
            <w:shd w:val="clear" w:color="auto" w:fill="F4C9C9"/>
          </w:tcPr>
          <w:p>
            <w:pPr>
              <w:pStyle w:val="TableParagraph"/>
              <w:spacing w:before="36"/>
              <w:ind w:left="112"/>
              <w:rPr>
                <w:i/>
                <w:sz w:val="14"/>
              </w:rPr>
            </w:pPr>
            <w:r>
              <w:rPr>
                <w:i/>
                <w:color w:val="404040"/>
                <w:sz w:val="14"/>
              </w:rPr>
              <w:t>Total previous welfare recipients</w:t>
            </w:r>
          </w:p>
        </w:tc>
        <w:tc>
          <w:tcPr>
            <w:tcW w:w="1077" w:type="dxa"/>
            <w:tcBorders>
              <w:top w:val="single" w:sz="4" w:space="0" w:color="DF2528"/>
              <w:bottom w:val="single" w:sz="6" w:space="0" w:color="FFFFFF"/>
            </w:tcBorders>
            <w:shd w:val="clear" w:color="auto" w:fill="F4C9C9"/>
          </w:tcPr>
          <w:p>
            <w:pPr>
              <w:pStyle w:val="TableParagraph"/>
              <w:spacing w:before="36"/>
              <w:ind w:right="226"/>
              <w:jc w:val="right"/>
              <w:rPr>
                <w:i/>
                <w:sz w:val="14"/>
              </w:rPr>
            </w:pPr>
            <w:r>
              <w:rPr>
                <w:i/>
                <w:color w:val="404040"/>
                <w:sz w:val="14"/>
              </w:rPr>
              <w:t>4,816,355</w:t>
            </w:r>
          </w:p>
        </w:tc>
        <w:tc>
          <w:tcPr>
            <w:tcW w:w="907" w:type="dxa"/>
            <w:tcBorders>
              <w:top w:val="single" w:sz="4" w:space="0" w:color="DF2528"/>
              <w:bottom w:val="single" w:sz="6" w:space="0" w:color="FFFFFF"/>
            </w:tcBorders>
            <w:shd w:val="clear" w:color="auto" w:fill="F4C9C9"/>
          </w:tcPr>
          <w:p>
            <w:pPr>
              <w:pStyle w:val="TableParagraph"/>
              <w:spacing w:before="36"/>
              <w:ind w:left="355" w:right="355"/>
              <w:jc w:val="center"/>
              <w:rPr>
                <w:i/>
                <w:sz w:val="14"/>
              </w:rPr>
            </w:pPr>
            <w:r>
              <w:rPr>
                <w:i/>
                <w:color w:val="404040"/>
                <w:sz w:val="14"/>
              </w:rPr>
              <w:t>45</w:t>
            </w:r>
          </w:p>
        </w:tc>
        <w:tc>
          <w:tcPr>
            <w:tcW w:w="854" w:type="dxa"/>
            <w:tcBorders>
              <w:top w:val="single" w:sz="4" w:space="0" w:color="DF2528"/>
              <w:bottom w:val="single" w:sz="6" w:space="0" w:color="FFFFFF"/>
            </w:tcBorders>
            <w:shd w:val="clear" w:color="auto" w:fill="F4C9C9"/>
          </w:tcPr>
          <w:p>
            <w:pPr>
              <w:pStyle w:val="TableParagraph"/>
              <w:spacing w:before="36"/>
              <w:ind w:left="230" w:right="231"/>
              <w:jc w:val="center"/>
              <w:rPr>
                <w:i/>
                <w:sz w:val="14"/>
              </w:rPr>
            </w:pPr>
            <w:r>
              <w:rPr>
                <w:i/>
                <w:color w:val="404040"/>
                <w:sz w:val="14"/>
              </w:rPr>
              <w:t>900</w:t>
            </w:r>
          </w:p>
        </w:tc>
        <w:tc>
          <w:tcPr>
            <w:tcW w:w="1023" w:type="dxa"/>
            <w:tcBorders>
              <w:top w:val="single" w:sz="4" w:space="0" w:color="DF2528"/>
              <w:bottom w:val="single" w:sz="6" w:space="0" w:color="FFFFFF"/>
            </w:tcBorders>
            <w:shd w:val="clear" w:color="auto" w:fill="F4C9C9"/>
          </w:tcPr>
          <w:p>
            <w:pPr>
              <w:pStyle w:val="TableParagraph"/>
              <w:spacing w:before="36"/>
              <w:ind w:left="262" w:right="290"/>
              <w:jc w:val="center"/>
              <w:rPr>
                <w:i/>
                <w:sz w:val="14"/>
              </w:rPr>
            </w:pPr>
            <w:r>
              <w:rPr>
                <w:i/>
                <w:color w:val="404040"/>
                <w:sz w:val="14"/>
              </w:rPr>
              <w:t>n/a</w:t>
            </w:r>
          </w:p>
        </w:tc>
        <w:tc>
          <w:tcPr>
            <w:tcW w:w="893" w:type="dxa"/>
            <w:tcBorders>
              <w:top w:val="single" w:sz="4" w:space="0" w:color="DF2528"/>
              <w:bottom w:val="single" w:sz="6" w:space="0" w:color="FFFFFF"/>
            </w:tcBorders>
            <w:shd w:val="clear" w:color="auto" w:fill="F4C9C9"/>
          </w:tcPr>
          <w:p>
            <w:pPr>
              <w:pStyle w:val="TableParagraph"/>
              <w:spacing w:before="36"/>
              <w:ind w:left="297" w:right="321"/>
              <w:jc w:val="center"/>
              <w:rPr>
                <w:i/>
                <w:sz w:val="14"/>
              </w:rPr>
            </w:pPr>
            <w:r>
              <w:rPr>
                <w:i/>
                <w:color w:val="404040"/>
                <w:sz w:val="14"/>
              </w:rPr>
              <w:t>187</w:t>
            </w:r>
          </w:p>
        </w:tc>
        <w:tc>
          <w:tcPr>
            <w:tcW w:w="889" w:type="dxa"/>
            <w:tcBorders>
              <w:top w:val="single" w:sz="4" w:space="0" w:color="DF2528"/>
              <w:bottom w:val="single" w:sz="6" w:space="0" w:color="FFFFFF"/>
            </w:tcBorders>
            <w:shd w:val="clear" w:color="auto" w:fill="F4C9C9"/>
          </w:tcPr>
          <w:p>
            <w:pPr>
              <w:pStyle w:val="TableParagraph"/>
              <w:spacing w:before="36"/>
              <w:ind w:right="343"/>
              <w:jc w:val="right"/>
              <w:rPr>
                <w:i/>
                <w:sz w:val="14"/>
              </w:rPr>
            </w:pPr>
            <w:r>
              <w:rPr>
                <w:i/>
                <w:color w:val="404040"/>
                <w:w w:val="95"/>
                <w:sz w:val="14"/>
              </w:rPr>
              <w:t>n/a</w:t>
            </w:r>
          </w:p>
        </w:tc>
        <w:tc>
          <w:tcPr>
            <w:tcW w:w="1079" w:type="dxa"/>
            <w:tcBorders>
              <w:top w:val="single" w:sz="4" w:space="0" w:color="DF2528"/>
              <w:bottom w:val="single" w:sz="6" w:space="0" w:color="FFFFFF"/>
            </w:tcBorders>
            <w:shd w:val="clear" w:color="auto" w:fill="F4C9C9"/>
          </w:tcPr>
          <w:p>
            <w:pPr>
              <w:pStyle w:val="TableParagraph"/>
              <w:spacing w:before="36"/>
              <w:ind w:left="381" w:right="373"/>
              <w:jc w:val="center"/>
              <w:rPr>
                <w:i/>
                <w:sz w:val="14"/>
              </w:rPr>
            </w:pPr>
            <w:r>
              <w:rPr>
                <w:i/>
                <w:color w:val="404040"/>
                <w:sz w:val="14"/>
              </w:rPr>
              <w:t>34%</w:t>
            </w:r>
          </w:p>
        </w:tc>
      </w:tr>
      <w:tr>
        <w:trPr>
          <w:trHeight w:val="399" w:hRule="atLeast"/>
        </w:trPr>
        <w:tc>
          <w:tcPr>
            <w:tcW w:w="9472" w:type="dxa"/>
            <w:gridSpan w:val="8"/>
            <w:tcBorders>
              <w:top w:val="single" w:sz="6" w:space="0" w:color="FFFFFF"/>
              <w:bottom w:val="single" w:sz="4" w:space="0" w:color="FFFFFF"/>
            </w:tcBorders>
            <w:shd w:val="clear" w:color="auto" w:fill="DF2528"/>
          </w:tcPr>
          <w:p>
            <w:pPr>
              <w:pStyle w:val="TableParagraph"/>
              <w:spacing w:before="32"/>
              <w:ind w:left="112" w:right="7558"/>
              <w:rPr>
                <w:b/>
                <w:sz w:val="14"/>
              </w:rPr>
            </w:pPr>
            <w:r>
              <w:rPr>
                <w:b/>
                <w:color w:val="FFFFFF"/>
                <w:sz w:val="14"/>
              </w:rPr>
              <w:t>Rest of Australian resident population</w:t>
            </w:r>
          </w:p>
        </w:tc>
      </w:tr>
      <w:tr>
        <w:trPr>
          <w:trHeight w:val="241" w:hRule="atLeast"/>
        </w:trPr>
        <w:tc>
          <w:tcPr>
            <w:tcW w:w="2750" w:type="dxa"/>
            <w:tcBorders>
              <w:top w:val="single" w:sz="4" w:space="0" w:color="FFFFFF"/>
              <w:bottom w:val="single" w:sz="4" w:space="0" w:color="FFFFFF"/>
            </w:tcBorders>
            <w:shd w:val="clear" w:color="auto" w:fill="F4C9C9"/>
          </w:tcPr>
          <w:p>
            <w:pPr>
              <w:pStyle w:val="TableParagraph"/>
              <w:spacing w:before="36"/>
              <w:ind w:left="112"/>
              <w:rPr>
                <w:i/>
                <w:sz w:val="14"/>
              </w:rPr>
            </w:pPr>
            <w:r>
              <w:rPr>
                <w:i/>
                <w:color w:val="404040"/>
                <w:sz w:val="14"/>
              </w:rPr>
              <w:t>- Rest of Australian resident population</w:t>
            </w:r>
          </w:p>
        </w:tc>
        <w:tc>
          <w:tcPr>
            <w:tcW w:w="1077" w:type="dxa"/>
            <w:tcBorders>
              <w:top w:val="single" w:sz="4" w:space="0" w:color="FFFFFF"/>
              <w:bottom w:val="single" w:sz="4" w:space="0" w:color="FFFFFF"/>
            </w:tcBorders>
            <w:shd w:val="clear" w:color="auto" w:fill="F4C9C9"/>
          </w:tcPr>
          <w:p>
            <w:pPr>
              <w:pStyle w:val="TableParagraph"/>
              <w:spacing w:before="36"/>
              <w:ind w:right="188"/>
              <w:jc w:val="right"/>
              <w:rPr>
                <w:i/>
                <w:sz w:val="14"/>
              </w:rPr>
            </w:pPr>
            <w:r>
              <w:rPr>
                <w:i/>
                <w:color w:val="404040"/>
                <w:sz w:val="14"/>
              </w:rPr>
              <w:t>12,266,069</w:t>
            </w:r>
          </w:p>
        </w:tc>
        <w:tc>
          <w:tcPr>
            <w:tcW w:w="907" w:type="dxa"/>
            <w:tcBorders>
              <w:top w:val="single" w:sz="4" w:space="0" w:color="FFFFFF"/>
              <w:bottom w:val="single" w:sz="4" w:space="0" w:color="FFFFFF"/>
            </w:tcBorders>
            <w:shd w:val="clear" w:color="auto" w:fill="F4C9C9"/>
          </w:tcPr>
          <w:p>
            <w:pPr>
              <w:pStyle w:val="TableParagraph"/>
              <w:spacing w:before="36"/>
              <w:ind w:left="355" w:right="355"/>
              <w:jc w:val="center"/>
              <w:rPr>
                <w:i/>
                <w:sz w:val="14"/>
              </w:rPr>
            </w:pPr>
            <w:r>
              <w:rPr>
                <w:i/>
                <w:color w:val="404040"/>
                <w:sz w:val="14"/>
              </w:rPr>
              <w:t>28</w:t>
            </w:r>
          </w:p>
        </w:tc>
        <w:tc>
          <w:tcPr>
            <w:tcW w:w="854" w:type="dxa"/>
            <w:tcBorders>
              <w:top w:val="single" w:sz="4" w:space="0" w:color="FFFFFF"/>
              <w:bottom w:val="single" w:sz="4" w:space="0" w:color="FFFFFF"/>
            </w:tcBorders>
            <w:shd w:val="clear" w:color="auto" w:fill="F4C9C9"/>
          </w:tcPr>
          <w:p>
            <w:pPr>
              <w:pStyle w:val="TableParagraph"/>
              <w:spacing w:before="36"/>
              <w:ind w:left="231" w:right="231"/>
              <w:jc w:val="center"/>
              <w:rPr>
                <w:i/>
                <w:sz w:val="14"/>
              </w:rPr>
            </w:pPr>
            <w:r>
              <w:rPr>
                <w:i/>
                <w:color w:val="404040"/>
                <w:sz w:val="14"/>
              </w:rPr>
              <w:t>2,323</w:t>
            </w:r>
          </w:p>
        </w:tc>
        <w:tc>
          <w:tcPr>
            <w:tcW w:w="1023" w:type="dxa"/>
            <w:tcBorders>
              <w:top w:val="single" w:sz="4" w:space="0" w:color="FFFFFF"/>
              <w:bottom w:val="single" w:sz="4" w:space="0" w:color="FFFFFF"/>
            </w:tcBorders>
            <w:shd w:val="clear" w:color="auto" w:fill="F4C9C9"/>
          </w:tcPr>
          <w:p>
            <w:pPr>
              <w:pStyle w:val="TableParagraph"/>
              <w:spacing w:before="36"/>
              <w:ind w:left="262" w:right="290"/>
              <w:jc w:val="center"/>
              <w:rPr>
                <w:i/>
                <w:sz w:val="14"/>
              </w:rPr>
            </w:pPr>
            <w:r>
              <w:rPr>
                <w:i/>
                <w:color w:val="404040"/>
                <w:sz w:val="14"/>
              </w:rPr>
              <w:t>n/a</w:t>
            </w:r>
          </w:p>
        </w:tc>
        <w:tc>
          <w:tcPr>
            <w:tcW w:w="893" w:type="dxa"/>
            <w:tcBorders>
              <w:top w:val="single" w:sz="4" w:space="0" w:color="FFFFFF"/>
              <w:bottom w:val="single" w:sz="4" w:space="0" w:color="FFFFFF"/>
            </w:tcBorders>
            <w:shd w:val="clear" w:color="auto" w:fill="F4C9C9"/>
          </w:tcPr>
          <w:p>
            <w:pPr>
              <w:pStyle w:val="TableParagraph"/>
              <w:spacing w:before="36"/>
              <w:ind w:left="297" w:right="321"/>
              <w:jc w:val="center"/>
              <w:rPr>
                <w:i/>
                <w:sz w:val="14"/>
              </w:rPr>
            </w:pPr>
            <w:r>
              <w:rPr>
                <w:i/>
                <w:color w:val="404040"/>
                <w:sz w:val="14"/>
              </w:rPr>
              <w:t>187</w:t>
            </w:r>
          </w:p>
        </w:tc>
        <w:tc>
          <w:tcPr>
            <w:tcW w:w="889" w:type="dxa"/>
            <w:tcBorders>
              <w:top w:val="single" w:sz="4" w:space="0" w:color="FFFFFF"/>
              <w:bottom w:val="single" w:sz="4" w:space="0" w:color="FFFFFF"/>
            </w:tcBorders>
            <w:shd w:val="clear" w:color="auto" w:fill="F4C9C9"/>
          </w:tcPr>
          <w:p>
            <w:pPr>
              <w:pStyle w:val="TableParagraph"/>
              <w:spacing w:before="36"/>
              <w:ind w:right="343"/>
              <w:jc w:val="right"/>
              <w:rPr>
                <w:i/>
                <w:sz w:val="14"/>
              </w:rPr>
            </w:pPr>
            <w:r>
              <w:rPr>
                <w:i/>
                <w:color w:val="404040"/>
                <w:w w:val="95"/>
                <w:sz w:val="14"/>
              </w:rPr>
              <w:t>n/a</w:t>
            </w:r>
          </w:p>
        </w:tc>
        <w:tc>
          <w:tcPr>
            <w:tcW w:w="1079" w:type="dxa"/>
            <w:tcBorders>
              <w:top w:val="single" w:sz="4" w:space="0" w:color="FFFFFF"/>
              <w:bottom w:val="single" w:sz="4" w:space="0" w:color="FFFFFF"/>
            </w:tcBorders>
            <w:shd w:val="clear" w:color="auto" w:fill="F4C9C9"/>
          </w:tcPr>
          <w:p>
            <w:pPr>
              <w:pStyle w:val="TableParagraph"/>
              <w:spacing w:before="36"/>
              <w:ind w:left="381" w:right="373"/>
              <w:jc w:val="center"/>
              <w:rPr>
                <w:i/>
                <w:sz w:val="14"/>
              </w:rPr>
            </w:pPr>
            <w:r>
              <w:rPr>
                <w:i/>
                <w:color w:val="404040"/>
                <w:sz w:val="14"/>
              </w:rPr>
              <w:t>29%</w:t>
            </w:r>
          </w:p>
        </w:tc>
      </w:tr>
      <w:tr>
        <w:trPr>
          <w:trHeight w:val="239" w:hRule="atLeast"/>
        </w:trPr>
        <w:tc>
          <w:tcPr>
            <w:tcW w:w="2750" w:type="dxa"/>
            <w:tcBorders>
              <w:top w:val="single" w:sz="4" w:space="0" w:color="FFFFFF"/>
            </w:tcBorders>
            <w:shd w:val="clear" w:color="auto" w:fill="DF2528"/>
          </w:tcPr>
          <w:p>
            <w:pPr>
              <w:pStyle w:val="TableParagraph"/>
              <w:spacing w:before="34"/>
              <w:ind w:left="112"/>
              <w:rPr>
                <w:b/>
                <w:sz w:val="14"/>
              </w:rPr>
            </w:pPr>
            <w:r>
              <w:rPr>
                <w:b/>
                <w:color w:val="FFFFFF"/>
                <w:sz w:val="14"/>
              </w:rPr>
              <w:t>Australian resident population</w:t>
            </w:r>
          </w:p>
        </w:tc>
        <w:tc>
          <w:tcPr>
            <w:tcW w:w="1077" w:type="dxa"/>
            <w:tcBorders>
              <w:top w:val="single" w:sz="4" w:space="0" w:color="FFFFFF"/>
            </w:tcBorders>
            <w:shd w:val="clear" w:color="auto" w:fill="DF2528"/>
          </w:tcPr>
          <w:p>
            <w:pPr>
              <w:pStyle w:val="TableParagraph"/>
              <w:spacing w:before="34"/>
              <w:ind w:right="188"/>
              <w:jc w:val="right"/>
              <w:rPr>
                <w:b/>
                <w:sz w:val="14"/>
              </w:rPr>
            </w:pPr>
            <w:r>
              <w:rPr>
                <w:b/>
                <w:color w:val="FFFFFF"/>
                <w:sz w:val="14"/>
              </w:rPr>
              <w:t>25,033,405</w:t>
            </w:r>
          </w:p>
        </w:tc>
        <w:tc>
          <w:tcPr>
            <w:tcW w:w="907" w:type="dxa"/>
            <w:tcBorders>
              <w:top w:val="single" w:sz="4" w:space="0" w:color="FFFFFF"/>
            </w:tcBorders>
            <w:shd w:val="clear" w:color="auto" w:fill="DF2528"/>
          </w:tcPr>
          <w:p>
            <w:pPr>
              <w:pStyle w:val="TableParagraph"/>
              <w:spacing w:before="34"/>
              <w:ind w:left="355" w:right="355"/>
              <w:jc w:val="center"/>
              <w:rPr>
                <w:b/>
                <w:sz w:val="14"/>
              </w:rPr>
            </w:pPr>
            <w:r>
              <w:rPr>
                <w:b/>
                <w:color w:val="FFFFFF"/>
                <w:sz w:val="14"/>
              </w:rPr>
              <w:t>39</w:t>
            </w:r>
          </w:p>
        </w:tc>
        <w:tc>
          <w:tcPr>
            <w:tcW w:w="854" w:type="dxa"/>
            <w:tcBorders>
              <w:top w:val="single" w:sz="4" w:space="0" w:color="FFFFFF"/>
            </w:tcBorders>
            <w:shd w:val="clear" w:color="auto" w:fill="DF2528"/>
          </w:tcPr>
          <w:p>
            <w:pPr>
              <w:pStyle w:val="TableParagraph"/>
              <w:spacing w:before="34"/>
              <w:ind w:left="231" w:right="231"/>
              <w:jc w:val="center"/>
              <w:rPr>
                <w:b/>
                <w:sz w:val="14"/>
              </w:rPr>
            </w:pPr>
            <w:r>
              <w:rPr>
                <w:b/>
                <w:color w:val="FFFFFF"/>
                <w:sz w:val="14"/>
              </w:rPr>
              <w:t>5,662</w:t>
            </w:r>
          </w:p>
        </w:tc>
        <w:tc>
          <w:tcPr>
            <w:tcW w:w="1023" w:type="dxa"/>
            <w:tcBorders>
              <w:top w:val="single" w:sz="4" w:space="0" w:color="FFFFFF"/>
            </w:tcBorders>
            <w:shd w:val="clear" w:color="auto" w:fill="DF2528"/>
          </w:tcPr>
          <w:p>
            <w:pPr>
              <w:pStyle w:val="TableParagraph"/>
              <w:spacing w:before="34"/>
              <w:ind w:left="264" w:right="289"/>
              <w:jc w:val="center"/>
              <w:rPr>
                <w:b/>
                <w:sz w:val="14"/>
              </w:rPr>
            </w:pPr>
            <w:r>
              <w:rPr>
                <w:b/>
                <w:color w:val="FFFFFF"/>
                <w:sz w:val="14"/>
              </w:rPr>
              <w:t>n/a</w:t>
            </w:r>
          </w:p>
        </w:tc>
        <w:tc>
          <w:tcPr>
            <w:tcW w:w="893" w:type="dxa"/>
            <w:tcBorders>
              <w:top w:val="single" w:sz="4" w:space="0" w:color="FFFFFF"/>
            </w:tcBorders>
            <w:shd w:val="clear" w:color="auto" w:fill="DF2528"/>
          </w:tcPr>
          <w:p>
            <w:pPr>
              <w:pStyle w:val="TableParagraph"/>
              <w:spacing w:before="34"/>
              <w:ind w:left="297" w:right="321"/>
              <w:jc w:val="center"/>
              <w:rPr>
                <w:b/>
                <w:sz w:val="14"/>
              </w:rPr>
            </w:pPr>
            <w:r>
              <w:rPr>
                <w:b/>
                <w:color w:val="FFFFFF"/>
                <w:sz w:val="14"/>
              </w:rPr>
              <w:t>226</w:t>
            </w:r>
          </w:p>
        </w:tc>
        <w:tc>
          <w:tcPr>
            <w:tcW w:w="889" w:type="dxa"/>
            <w:tcBorders>
              <w:top w:val="single" w:sz="4" w:space="0" w:color="FFFFFF"/>
            </w:tcBorders>
            <w:shd w:val="clear" w:color="auto" w:fill="DF2528"/>
          </w:tcPr>
          <w:p>
            <w:pPr>
              <w:pStyle w:val="TableParagraph"/>
              <w:spacing w:before="34"/>
              <w:ind w:right="338"/>
              <w:jc w:val="right"/>
              <w:rPr>
                <w:b/>
                <w:sz w:val="14"/>
              </w:rPr>
            </w:pPr>
            <w:r>
              <w:rPr>
                <w:b/>
                <w:color w:val="FFFFFF"/>
                <w:w w:val="95"/>
                <w:sz w:val="14"/>
              </w:rPr>
              <w:t>n/a</w:t>
            </w:r>
          </w:p>
        </w:tc>
        <w:tc>
          <w:tcPr>
            <w:tcW w:w="1079" w:type="dxa"/>
            <w:tcBorders>
              <w:top w:val="single" w:sz="4" w:space="0" w:color="FFFFFF"/>
            </w:tcBorders>
            <w:shd w:val="clear" w:color="auto" w:fill="DF2528"/>
          </w:tcPr>
          <w:p>
            <w:pPr>
              <w:pStyle w:val="TableParagraph"/>
              <w:spacing w:before="34"/>
              <w:ind w:left="383" w:right="372"/>
              <w:jc w:val="center"/>
              <w:rPr>
                <w:b/>
                <w:sz w:val="14"/>
              </w:rPr>
            </w:pPr>
            <w:r>
              <w:rPr>
                <w:b/>
                <w:color w:val="FFFFFF"/>
                <w:sz w:val="14"/>
              </w:rPr>
              <w:t>36%</w:t>
            </w:r>
          </w:p>
        </w:tc>
      </w:tr>
    </w:tbl>
    <w:p>
      <w:pPr>
        <w:spacing w:before="87"/>
        <w:ind w:left="900" w:right="0" w:firstLine="0"/>
        <w:jc w:val="left"/>
        <w:rPr>
          <w:sz w:val="16"/>
        </w:rPr>
      </w:pPr>
      <w:r>
        <w:rPr>
          <w:color w:val="DF2F1E"/>
          <w:sz w:val="16"/>
        </w:rPr>
        <w:t>Notes:</w:t>
      </w:r>
    </w:p>
    <w:p>
      <w:pPr>
        <w:pStyle w:val="ListParagraph"/>
        <w:numPr>
          <w:ilvl w:val="2"/>
          <w:numId w:val="22"/>
        </w:numPr>
        <w:tabs>
          <w:tab w:pos="1619" w:val="left" w:leader="none"/>
          <w:tab w:pos="1621" w:val="left" w:leader="none"/>
        </w:tabs>
        <w:spacing w:line="240" w:lineRule="auto" w:before="80" w:after="0"/>
        <w:ind w:left="1620" w:right="1026" w:hanging="361"/>
        <w:jc w:val="left"/>
        <w:rPr>
          <w:sz w:val="16"/>
        </w:rPr>
      </w:pPr>
      <w:r>
        <w:rPr>
          <w:color w:val="DF2F1E"/>
          <w:sz w:val="16"/>
        </w:rPr>
        <w:t>The average payment in 2017/18 is understated owing to the data maturity issues with FTB and other family payment data. This has a particular impact on the average payments for people in the family non IS and other non IS classes; we would expect these amounts to ultimately be larger than the figures</w:t>
      </w:r>
      <w:r>
        <w:rPr>
          <w:color w:val="DF2F1E"/>
          <w:spacing w:val="-8"/>
          <w:sz w:val="16"/>
        </w:rPr>
        <w:t> </w:t>
      </w:r>
      <w:r>
        <w:rPr>
          <w:color w:val="DF2F1E"/>
          <w:sz w:val="16"/>
        </w:rPr>
        <w:t>shown.</w:t>
      </w:r>
    </w:p>
    <w:p>
      <w:pPr>
        <w:pStyle w:val="ListParagraph"/>
        <w:numPr>
          <w:ilvl w:val="2"/>
          <w:numId w:val="22"/>
        </w:numPr>
        <w:tabs>
          <w:tab w:pos="1619" w:val="left" w:leader="none"/>
          <w:tab w:pos="1621" w:val="left" w:leader="none"/>
        </w:tabs>
        <w:spacing w:line="240" w:lineRule="auto" w:before="82" w:after="0"/>
        <w:ind w:left="1620" w:right="0" w:hanging="361"/>
        <w:jc w:val="left"/>
        <w:rPr>
          <w:sz w:val="16"/>
        </w:rPr>
      </w:pPr>
      <w:r>
        <w:rPr>
          <w:color w:val="DF2F1E"/>
          <w:sz w:val="16"/>
        </w:rPr>
        <w:t>Exited 4+ years refers to previous welfare recipients who have exited in the past 4 or more</w:t>
      </w:r>
      <w:r>
        <w:rPr>
          <w:color w:val="DF2F1E"/>
          <w:spacing w:val="-9"/>
          <w:sz w:val="16"/>
        </w:rPr>
        <w:t> </w:t>
      </w:r>
      <w:r>
        <w:rPr>
          <w:color w:val="DF2F1E"/>
          <w:sz w:val="16"/>
        </w:rPr>
        <w:t>years</w:t>
      </w:r>
    </w:p>
    <w:p>
      <w:pPr>
        <w:pStyle w:val="BodyText"/>
        <w:spacing w:before="9"/>
      </w:pPr>
    </w:p>
    <w:p>
      <w:pPr>
        <w:pStyle w:val="BodyText"/>
        <w:ind w:left="900" w:right="1009"/>
      </w:pPr>
      <w:r>
        <w:rPr>
          <w:color w:val="404040"/>
        </w:rPr>
        <w:t>The above table shows the contribution of each class and population group to the total lifetime cost, which reflects the number of people in that class as well as their average lifetime cost. The average lifetime cost for people in each class is driven by the probability of an average person in that starting population entering, remaining in or leaving the welfare system in each future year; combined with the type and amount of payments they are likely to receive. A few comparative indicators have been included in the table to help explain the results:</w:t>
      </w:r>
    </w:p>
    <w:p>
      <w:pPr>
        <w:pStyle w:val="ListParagraph"/>
        <w:numPr>
          <w:ilvl w:val="0"/>
          <w:numId w:val="31"/>
        </w:numPr>
        <w:tabs>
          <w:tab w:pos="1184" w:val="left" w:leader="none"/>
        </w:tabs>
        <w:spacing w:line="240" w:lineRule="auto" w:before="119" w:after="0"/>
        <w:ind w:left="1183" w:right="1039" w:hanging="284"/>
        <w:jc w:val="left"/>
        <w:rPr>
          <w:rFonts w:ascii="Symbol" w:hAnsi="Symbol"/>
          <w:sz w:val="20"/>
        </w:rPr>
      </w:pPr>
      <w:r>
        <w:rPr>
          <w:color w:val="404040"/>
          <w:sz w:val="20"/>
        </w:rPr>
        <w:t>The </w:t>
      </w:r>
      <w:r>
        <w:rPr>
          <w:b/>
          <w:color w:val="404040"/>
          <w:sz w:val="20"/>
        </w:rPr>
        <w:t>average age </w:t>
      </w:r>
      <w:r>
        <w:rPr>
          <w:color w:val="404040"/>
          <w:sz w:val="20"/>
        </w:rPr>
        <w:t>of the starting population is shown – younger people have a longer period over which they may receive benefits, but also have a greater potential to move out of the system at some stage compared to older people. In addition to this, the Age Pension costs for younger people are further into the future and so are lower as they are discounted more. In general, the lower the average age of the population group, the lower the average lifetime</w:t>
      </w:r>
      <w:r>
        <w:rPr>
          <w:color w:val="404040"/>
          <w:spacing w:val="1"/>
          <w:sz w:val="20"/>
        </w:rPr>
        <w:t> </w:t>
      </w:r>
      <w:r>
        <w:rPr>
          <w:color w:val="404040"/>
          <w:sz w:val="20"/>
        </w:rPr>
        <w:t>cost.</w:t>
      </w:r>
    </w:p>
    <w:p>
      <w:pPr>
        <w:pStyle w:val="ListParagraph"/>
        <w:numPr>
          <w:ilvl w:val="0"/>
          <w:numId w:val="31"/>
        </w:numPr>
        <w:tabs>
          <w:tab w:pos="1184" w:val="left" w:leader="none"/>
        </w:tabs>
        <w:spacing w:line="240" w:lineRule="auto" w:before="117" w:after="0"/>
        <w:ind w:left="1183" w:right="1043" w:hanging="284"/>
        <w:jc w:val="left"/>
        <w:rPr>
          <w:rFonts w:ascii="Symbol" w:hAnsi="Symbol"/>
          <w:sz w:val="20"/>
        </w:rPr>
      </w:pPr>
      <w:r>
        <w:rPr>
          <w:color w:val="404040"/>
          <w:sz w:val="20"/>
        </w:rPr>
        <w:t>The </w:t>
      </w:r>
      <w:r>
        <w:rPr>
          <w:b/>
          <w:color w:val="404040"/>
          <w:sz w:val="20"/>
        </w:rPr>
        <w:t>average payment received in 2017/18 </w:t>
      </w:r>
      <w:r>
        <w:rPr>
          <w:color w:val="404040"/>
          <w:sz w:val="20"/>
        </w:rPr>
        <w:t>by people in each class is shown – this is quite different by class, reflecting the nature and mix of the payments received by people in each class. The differences in payments received in the 2017/18 year broadly reflect the differences in the average lifetime cost by class. For example, the average payment in 2017/18 for those currently in the Parenting class is one of the highest compared to other classes, and this class is also estimated to have one of the highest average lifetime costs.</w:t>
      </w:r>
    </w:p>
    <w:p>
      <w:pPr>
        <w:pStyle w:val="ListParagraph"/>
        <w:numPr>
          <w:ilvl w:val="0"/>
          <w:numId w:val="31"/>
        </w:numPr>
        <w:tabs>
          <w:tab w:pos="1184" w:val="left" w:leader="none"/>
        </w:tabs>
        <w:spacing w:line="240" w:lineRule="auto" w:before="120" w:after="0"/>
        <w:ind w:left="1183" w:right="1123" w:hanging="284"/>
        <w:jc w:val="left"/>
        <w:rPr>
          <w:rFonts w:ascii="Symbol" w:hAnsi="Symbol"/>
          <w:sz w:val="20"/>
        </w:rPr>
      </w:pPr>
      <w:r>
        <w:rPr>
          <w:color w:val="404040"/>
          <w:sz w:val="20"/>
        </w:rPr>
        <w:t>The </w:t>
      </w:r>
      <w:r>
        <w:rPr>
          <w:b/>
          <w:color w:val="404040"/>
          <w:sz w:val="20"/>
        </w:rPr>
        <w:t>ratio of the average lifetime cost to the annual payment </w:t>
      </w:r>
      <w:r>
        <w:rPr>
          <w:color w:val="404040"/>
          <w:sz w:val="20"/>
        </w:rPr>
        <w:t>is shown for current welfare recipients, this ratio</w:t>
      </w:r>
      <w:r>
        <w:rPr>
          <w:color w:val="404040"/>
          <w:spacing w:val="-2"/>
          <w:sz w:val="20"/>
        </w:rPr>
        <w:t> </w:t>
      </w:r>
      <w:r>
        <w:rPr>
          <w:color w:val="404040"/>
          <w:sz w:val="20"/>
        </w:rPr>
        <w:t>reflects:</w:t>
      </w:r>
    </w:p>
    <w:p>
      <w:pPr>
        <w:pStyle w:val="ListParagraph"/>
        <w:numPr>
          <w:ilvl w:val="1"/>
          <w:numId w:val="31"/>
        </w:numPr>
        <w:tabs>
          <w:tab w:pos="1467" w:val="left" w:leader="none"/>
        </w:tabs>
        <w:spacing w:line="240" w:lineRule="auto" w:before="122" w:after="0"/>
        <w:ind w:left="1466" w:right="0" w:hanging="284"/>
        <w:jc w:val="left"/>
        <w:rPr>
          <w:sz w:val="20"/>
        </w:rPr>
      </w:pPr>
      <w:r>
        <w:rPr>
          <w:color w:val="404040"/>
          <w:sz w:val="20"/>
        </w:rPr>
        <w:t>the average number of years on benefit projected for people in that class;</w:t>
      </w:r>
      <w:r>
        <w:rPr>
          <w:color w:val="404040"/>
          <w:spacing w:val="-7"/>
          <w:sz w:val="20"/>
        </w:rPr>
        <w:t> </w:t>
      </w:r>
      <w:r>
        <w:rPr>
          <w:color w:val="404040"/>
          <w:sz w:val="20"/>
        </w:rPr>
        <w:t>and</w:t>
      </w:r>
    </w:p>
    <w:p>
      <w:pPr>
        <w:pStyle w:val="ListParagraph"/>
        <w:numPr>
          <w:ilvl w:val="1"/>
          <w:numId w:val="31"/>
        </w:numPr>
        <w:tabs>
          <w:tab w:pos="1467" w:val="left" w:leader="none"/>
        </w:tabs>
        <w:spacing w:line="240" w:lineRule="auto" w:before="120" w:after="0"/>
        <w:ind w:left="1468" w:right="1105" w:hanging="286"/>
        <w:jc w:val="left"/>
        <w:rPr>
          <w:sz w:val="20"/>
        </w:rPr>
      </w:pPr>
      <w:r>
        <w:rPr>
          <w:color w:val="404040"/>
          <w:sz w:val="20"/>
        </w:rPr>
        <w:t>the extent to which future payment levels will change based on people transitioning into different classes or changing their</w:t>
      </w:r>
      <w:r>
        <w:rPr>
          <w:color w:val="404040"/>
          <w:spacing w:val="-2"/>
          <w:sz w:val="20"/>
        </w:rPr>
        <w:t> </w:t>
      </w:r>
      <w:r>
        <w:rPr>
          <w:color w:val="404040"/>
          <w:sz w:val="20"/>
        </w:rPr>
        <w:t>circumstances.</w:t>
      </w:r>
    </w:p>
    <w:p>
      <w:pPr>
        <w:spacing w:after="0" w:line="240" w:lineRule="auto"/>
        <w:jc w:val="left"/>
        <w:rPr>
          <w:sz w:val="20"/>
        </w:rPr>
        <w:sectPr>
          <w:pgSz w:w="11910" w:h="16850"/>
          <w:pgMar w:header="572" w:footer="581" w:top="780" w:bottom="780" w:left="120" w:right="0"/>
        </w:sectPr>
      </w:pPr>
    </w:p>
    <w:p>
      <w:pPr>
        <w:pStyle w:val="BodyText"/>
      </w:pPr>
    </w:p>
    <w:p>
      <w:pPr>
        <w:pStyle w:val="BodyText"/>
      </w:pPr>
    </w:p>
    <w:p>
      <w:pPr>
        <w:pStyle w:val="BodyText"/>
        <w:spacing w:before="7"/>
        <w:rPr>
          <w:sz w:val="21"/>
        </w:rPr>
      </w:pPr>
    </w:p>
    <w:p>
      <w:pPr>
        <w:pStyle w:val="BodyText"/>
        <w:spacing w:before="93"/>
        <w:ind w:left="1183" w:right="1393"/>
      </w:pPr>
      <w:r>
        <w:rPr>
          <w:color w:val="404040"/>
        </w:rPr>
        <w:t>For example, the Pension Age class ratio of 13 would mainly reflect the number of years that the current population of age pensioners are likely to remain in receipt of payments, along with some variation in payment as people age and their circumstances change.</w:t>
      </w:r>
    </w:p>
    <w:p>
      <w:pPr>
        <w:pStyle w:val="BodyText"/>
        <w:spacing w:before="121"/>
        <w:ind w:left="1183" w:right="1015"/>
      </w:pPr>
      <w:r>
        <w:rPr>
          <w:color w:val="404040"/>
        </w:rPr>
        <w:t>The ratio of 35 for studying payment recipients would reflect the fact that while many in this class will exit the system within a couple of years, this is swamped by the long term cost of those people who transition to other classes after studying, or those who return to the system at a later stage of their lives, in particular those who retire and go onto the Age Pension.</w:t>
      </w:r>
    </w:p>
    <w:p>
      <w:pPr>
        <w:pStyle w:val="ListParagraph"/>
        <w:numPr>
          <w:ilvl w:val="0"/>
          <w:numId w:val="31"/>
        </w:numPr>
        <w:tabs>
          <w:tab w:pos="1184" w:val="left" w:leader="none"/>
        </w:tabs>
        <w:spacing w:line="240" w:lineRule="auto" w:before="116" w:after="0"/>
        <w:ind w:left="1183" w:right="1042" w:hanging="284"/>
        <w:jc w:val="left"/>
        <w:rPr>
          <w:rFonts w:ascii="Symbol" w:hAnsi="Symbol"/>
          <w:sz w:val="20"/>
        </w:rPr>
      </w:pPr>
      <w:r>
        <w:rPr>
          <w:color w:val="404040"/>
          <w:sz w:val="20"/>
        </w:rPr>
        <w:t>The expected </w:t>
      </w:r>
      <w:r>
        <w:rPr>
          <w:b/>
          <w:color w:val="404040"/>
          <w:sz w:val="20"/>
        </w:rPr>
        <w:t>proportion of future years in an income support class </w:t>
      </w:r>
      <w:r>
        <w:rPr>
          <w:color w:val="404040"/>
          <w:sz w:val="20"/>
        </w:rPr>
        <w:t>is provided as an indicator of the extent to which people in each class are expected to be self-sufficient over the remainder of their lives. </w:t>
      </w:r>
      <w:r>
        <w:rPr>
          <w:color w:val="404040"/>
          <w:spacing w:val="4"/>
          <w:sz w:val="20"/>
        </w:rPr>
        <w:t>We </w:t>
      </w:r>
      <w:r>
        <w:rPr>
          <w:color w:val="404040"/>
          <w:sz w:val="20"/>
        </w:rPr>
        <w:t>can see that age pensioners and Disability Support Pensioners are expected to receive income support for most of their remaining lifetimes and that the proportions are lower for those in other classes, especially those not currently receiving welfare payments. In general, the higher this proportion, the higher the average lifetime</w:t>
      </w:r>
      <w:r>
        <w:rPr>
          <w:color w:val="404040"/>
          <w:spacing w:val="-2"/>
          <w:sz w:val="20"/>
        </w:rPr>
        <w:t> </w:t>
      </w:r>
      <w:r>
        <w:rPr>
          <w:color w:val="404040"/>
          <w:sz w:val="20"/>
        </w:rPr>
        <w:t>cost.</w:t>
      </w:r>
    </w:p>
    <w:p>
      <w:pPr>
        <w:pStyle w:val="BodyText"/>
        <w:rPr>
          <w:sz w:val="21"/>
        </w:rPr>
      </w:pPr>
    </w:p>
    <w:p>
      <w:pPr>
        <w:pStyle w:val="Heading4"/>
      </w:pPr>
      <w:bookmarkStart w:name="Contribution of payment categories to to" w:id="136"/>
      <w:bookmarkEnd w:id="136"/>
      <w:r>
        <w:rPr/>
      </w:r>
      <w:r>
        <w:rPr>
          <w:color w:val="DF2F28"/>
        </w:rPr>
        <w:t>Contribution of payment categories to total lifetime cost</w:t>
      </w:r>
    </w:p>
    <w:p>
      <w:pPr>
        <w:pStyle w:val="BodyText"/>
        <w:spacing w:before="122"/>
        <w:ind w:left="900" w:right="1209"/>
      </w:pPr>
      <w:r>
        <w:rPr>
          <w:color w:val="404040"/>
        </w:rPr>
        <w:t>The total lifetime cost is calculated as the net present value of future in-scope payments made to all people in the model population over the remainder of their natural lifetimes. Given that a large portion of the model population is likely to receive the Age Pension in the future, the total lifetime cost is dominated by the Age Pension. The chart below illustrates how each payment category contributes to total lifetime cost.</w:t>
      </w:r>
    </w:p>
    <w:p>
      <w:pPr>
        <w:pStyle w:val="Heading9"/>
        <w:spacing w:before="174"/>
      </w:pPr>
      <w:r>
        <w:rPr>
          <w:color w:val="DF2F1E"/>
        </w:rPr>
        <w:t>Figure 36: Composition of lifetime cost ($bn) by payment category</w:t>
      </w:r>
    </w:p>
    <w:p>
      <w:pPr>
        <w:pStyle w:val="BodyText"/>
        <w:rPr>
          <w:b/>
          <w:sz w:val="19"/>
        </w:rPr>
      </w:pPr>
    </w:p>
    <w:p>
      <w:pPr>
        <w:spacing w:line="271" w:lineRule="auto" w:before="82"/>
        <w:ind w:left="1615" w:right="9277" w:firstLine="198"/>
        <w:jc w:val="right"/>
        <w:rPr>
          <w:rFonts w:ascii="Calibri"/>
          <w:sz w:val="11"/>
        </w:rPr>
      </w:pPr>
      <w:r>
        <w:rPr/>
        <w:pict>
          <v:group style="position:absolute;margin-left:136.701950pt;margin-top:3.610109pt;width:188.1pt;height:138.15pt;mso-position-horizontal-relative:page;mso-position-vertical-relative:paragraph;z-index:252042240" coordorigin="2734,72" coordsize="3762,2763">
            <v:shape style="position:absolute;left:3700;top:76;width:1861;height:2714" coordorigin="3700,77" coordsize="1861,2714" path="m3700,77l3700,849m3700,956l3700,2790m4630,77l4630,849m4630,956l4630,2790m5561,77l5561,849m5561,956l5561,2790e" filled="false" stroked="true" strokeweight=".44723pt" strokecolor="#858585">
              <v:path arrowok="t"/>
              <v:stroke dashstyle="solid"/>
            </v:shape>
            <v:rect style="position:absolute;left:2774;top:98;width:27;height:108" filled="true" fillcolor="#1f487c" stroked="false">
              <v:fill type="solid"/>
            </v:rect>
            <v:line style="position:absolute" from="2774,304" to="3034,304" stroked="true" strokeweight="5.356098pt" strokecolor="#009544">
              <v:stroke dashstyle="solid"/>
            </v:line>
            <v:rect style="position:absolute;left:2774;top:402;width:99;height:108" filled="true" fillcolor="#e16b09" stroked="false">
              <v:fill type="solid"/>
            </v:rect>
            <v:line style="position:absolute" from="2774,603" to="2980,603" stroked="true" strokeweight="5.802749pt" strokecolor="#e08ad6">
              <v:stroke dashstyle="solid"/>
            </v:line>
            <v:line style="position:absolute" from="2774,751" to="3230,751" stroked="true" strokeweight="5.355669pt" strokecolor="#8063a1">
              <v:stroke dashstyle="solid"/>
            </v:line>
            <v:line style="position:absolute" from="2774,902" to="5967,902" stroked="true" strokeweight="5.356052pt" strokecolor="#c0504d">
              <v:stroke dashstyle="solid"/>
            </v:line>
            <v:rect style="position:absolute;left:2774;top:1000;width:9;height:108" filled="true" fillcolor="#c9dba4" stroked="false">
              <v:fill type="solid"/>
            </v:rect>
            <v:line style="position:absolute" from="2774,1206" to="3069,1206" stroked="true" strokeweight="5.356514pt" strokecolor="#f8a763">
              <v:stroke dashstyle="solid"/>
            </v:line>
            <v:line style="position:absolute" from="2774,1358" to="2944,1358" stroked="true" strokeweight="5.355771pt" strokecolor="#f9c090">
              <v:stroke dashstyle="solid"/>
            </v:line>
            <v:rect style="position:absolute;left:2774;top:1455;width:45;height:108" filled="true" fillcolor="#fbddc4" stroked="false">
              <v:fill type="solid"/>
            </v:rect>
            <v:rect style="position:absolute;left:2774;top:1759;width:9;height:108" filled="true" fillcolor="#938953" stroked="false">
              <v:fill type="solid"/>
            </v:rect>
            <v:rect style="position:absolute;left:2774;top:1911;width:81;height:108" filled="true" fillcolor="#ecb8e7" stroked="false">
              <v:fill type="solid"/>
            </v:rect>
            <v:rect style="position:absolute;left:2774;top:2062;width:9;height:108" filled="true" fillcolor="#c4bc96" stroked="false">
              <v:fill type="solid"/>
            </v:rect>
            <v:rect style="position:absolute;left:2774;top:2214;width:9;height:108" filled="true" fillcolor="#808080" stroked="false">
              <v:fill type="solid"/>
            </v:rect>
            <v:line style="position:absolute" from="2774,2420" to="3025,2420" stroked="true" strokeweight="5.35559pt" strokecolor="#a6a6a6">
              <v:stroke dashstyle="solid"/>
            </v:line>
            <v:rect style="position:absolute;left:2774;top:2518;width:9;height:108" filled="true" fillcolor="#d9d9d9" stroked="false">
              <v:fill type="solid"/>
            </v:rect>
            <v:rect style="position:absolute;left:2774;top:2660;width:108;height:117" filled="true" fillcolor="#413c22" stroked="false">
              <v:fill type="solid"/>
            </v:rect>
            <v:line style="position:absolute" from="6491,77" to="6491,2790" stroked="true" strokeweight=".44723pt" strokecolor="#858585">
              <v:stroke dashstyle="solid"/>
            </v:line>
            <v:shape style="position:absolute;left:0;top:1959;width:654943;height:7872" coordorigin="0,1959" coordsize="654943,7872" path="m2770,2790l6491,2790m2770,2790l2770,2835m3700,2790l3700,2835m4630,2790l4630,2835m5561,2790l5561,2835m6491,2790l6491,2835e" filled="false" stroked="true" strokeweight=".446781pt" strokecolor="#858585">
              <v:path arrowok="t"/>
              <v:stroke dashstyle="solid"/>
            </v:shape>
            <v:line style="position:absolute" from="2770,77" to="2770,2790" stroked="true" strokeweight=".447224pt" strokecolor="#858585">
              <v:stroke dashstyle="solid"/>
            </v:line>
            <v:shape style="position:absolute;left:0;top:-640866;width:8562;height:650697" coordorigin="0,-640866" coordsize="8562,650697" path="m2734,77l2770,77m2734,228l2770,228m2734,380l2770,380m2734,532l2770,532m2734,675l2770,675m2734,826l2770,826m2734,978l2770,978m2734,1130l2770,1130m2734,1282l2770,1282m2734,1434l2770,1434m2734,1585l2770,1585m2734,1737l2770,1737m2734,1889l2770,1889m2734,2041l2770,2041m2734,2192l2770,2192m2734,2344l2770,2344m2734,2496l2770,2496m2734,2648l2770,2648m2734,2790l2770,2790e" filled="false" stroked="true" strokeweight=".446779pt" strokecolor="#858585">
              <v:path arrowok="t"/>
              <v:stroke dashstyle="solid"/>
            </v:shape>
            <v:shape style="position:absolute;left:2869;top:106;width:439;height:570" type="#_x0000_t202" filled="false" stroked="false">
              <v:textbox inset="0,0,0,0">
                <w:txbxContent>
                  <w:p>
                    <w:pPr>
                      <w:spacing w:line="117" w:lineRule="exact" w:before="0"/>
                      <w:ind w:left="0" w:right="0" w:firstLine="0"/>
                      <w:jc w:val="left"/>
                      <w:rPr>
                        <w:rFonts w:ascii="Calibri"/>
                        <w:sz w:val="11"/>
                      </w:rPr>
                    </w:pPr>
                    <w:r>
                      <w:rPr>
                        <w:rFonts w:ascii="Calibri"/>
                        <w:w w:val="105"/>
                        <w:sz w:val="11"/>
                      </w:rPr>
                      <w:t>37</w:t>
                    </w:r>
                  </w:p>
                  <w:p>
                    <w:pPr>
                      <w:spacing w:before="17"/>
                      <w:ind w:left="234" w:right="0" w:firstLine="0"/>
                      <w:jc w:val="left"/>
                      <w:rPr>
                        <w:rFonts w:ascii="Calibri"/>
                        <w:sz w:val="11"/>
                      </w:rPr>
                    </w:pPr>
                    <w:r>
                      <w:rPr>
                        <w:rFonts w:ascii="Calibri"/>
                        <w:w w:val="105"/>
                        <w:sz w:val="11"/>
                      </w:rPr>
                      <w:t>286</w:t>
                    </w:r>
                  </w:p>
                  <w:p>
                    <w:pPr>
                      <w:spacing w:before="16"/>
                      <w:ind w:left="72" w:right="0" w:firstLine="0"/>
                      <w:jc w:val="left"/>
                      <w:rPr>
                        <w:rFonts w:ascii="Calibri"/>
                        <w:sz w:val="11"/>
                      </w:rPr>
                    </w:pPr>
                    <w:r>
                      <w:rPr>
                        <w:rFonts w:ascii="Calibri"/>
                        <w:w w:val="105"/>
                        <w:sz w:val="11"/>
                      </w:rPr>
                      <w:t>111</w:t>
                    </w:r>
                  </w:p>
                  <w:p>
                    <w:pPr>
                      <w:spacing w:line="134" w:lineRule="exact" w:before="17"/>
                      <w:ind w:left="183" w:right="0" w:firstLine="0"/>
                      <w:jc w:val="left"/>
                      <w:rPr>
                        <w:rFonts w:ascii="Calibri"/>
                        <w:sz w:val="11"/>
                      </w:rPr>
                    </w:pPr>
                    <w:r>
                      <w:rPr>
                        <w:rFonts w:ascii="Calibri"/>
                        <w:w w:val="105"/>
                        <w:sz w:val="11"/>
                      </w:rPr>
                      <w:t>230</w:t>
                    </w:r>
                  </w:p>
                </w:txbxContent>
              </v:textbox>
              <w10:wrap type="none"/>
            </v:shape>
            <v:shape style="position:absolute;left:3299;top:710;width:205;height:117" type="#_x0000_t202" filled="false" stroked="false">
              <v:textbox inset="0,0,0,0">
                <w:txbxContent>
                  <w:p>
                    <w:pPr>
                      <w:spacing w:line="116" w:lineRule="exact" w:before="0"/>
                      <w:ind w:left="0" w:right="0" w:firstLine="0"/>
                      <w:jc w:val="left"/>
                      <w:rPr>
                        <w:rFonts w:ascii="Calibri"/>
                        <w:sz w:val="11"/>
                      </w:rPr>
                    </w:pPr>
                    <w:r>
                      <w:rPr>
                        <w:rFonts w:ascii="Calibri"/>
                        <w:w w:val="105"/>
                        <w:sz w:val="11"/>
                      </w:rPr>
                      <w:t>496</w:t>
                    </w:r>
                  </w:p>
                </w:txbxContent>
              </v:textbox>
              <w10:wrap type="none"/>
            </v:shape>
            <v:shape style="position:absolute;left:6039;top:861;width:294;height:117" type="#_x0000_t202" filled="false" stroked="false">
              <v:textbox inset="0,0,0,0">
                <w:txbxContent>
                  <w:p>
                    <w:pPr>
                      <w:spacing w:line="116" w:lineRule="exact" w:before="0"/>
                      <w:ind w:left="0" w:right="0" w:firstLine="0"/>
                      <w:jc w:val="left"/>
                      <w:rPr>
                        <w:rFonts w:ascii="Calibri"/>
                        <w:sz w:val="11"/>
                      </w:rPr>
                    </w:pPr>
                    <w:r>
                      <w:rPr>
                        <w:rFonts w:ascii="Calibri"/>
                        <w:w w:val="105"/>
                        <w:sz w:val="11"/>
                      </w:rPr>
                      <w:t>3,444</w:t>
                    </w:r>
                  </w:p>
                </w:txbxContent>
              </v:textbox>
              <w10:wrap type="none"/>
            </v:shape>
            <v:shape style="position:absolute;left:3011;top:1164;width:327;height:268" type="#_x0000_t202" filled="false" stroked="false">
              <v:textbox inset="0,0,0,0">
                <w:txbxContent>
                  <w:p>
                    <w:pPr>
                      <w:spacing w:line="117" w:lineRule="exact" w:before="0"/>
                      <w:ind w:left="122" w:right="0" w:firstLine="0"/>
                      <w:jc w:val="left"/>
                      <w:rPr>
                        <w:rFonts w:ascii="Calibri"/>
                        <w:sz w:val="11"/>
                      </w:rPr>
                    </w:pPr>
                    <w:r>
                      <w:rPr>
                        <w:rFonts w:ascii="Calibri"/>
                        <w:w w:val="105"/>
                        <w:sz w:val="11"/>
                      </w:rPr>
                      <w:t>318</w:t>
                    </w:r>
                  </w:p>
                  <w:p>
                    <w:pPr>
                      <w:spacing w:line="134" w:lineRule="exact" w:before="17"/>
                      <w:ind w:left="0" w:right="0" w:firstLine="0"/>
                      <w:jc w:val="left"/>
                      <w:rPr>
                        <w:rFonts w:ascii="Calibri"/>
                        <w:sz w:val="11"/>
                      </w:rPr>
                    </w:pPr>
                    <w:r>
                      <w:rPr>
                        <w:rFonts w:ascii="Calibri"/>
                        <w:w w:val="105"/>
                        <w:sz w:val="11"/>
                      </w:rPr>
                      <w:t>186</w:t>
                    </w:r>
                  </w:p>
                </w:txbxContent>
              </v:textbox>
              <w10:wrap type="none"/>
            </v:shape>
            <v:shape style="position:absolute;left:2881;top:1466;width:142;height:117" type="#_x0000_t202" filled="false" stroked="false">
              <v:textbox inset="0,0,0,0">
                <w:txbxContent>
                  <w:p>
                    <w:pPr>
                      <w:spacing w:line="116" w:lineRule="exact" w:before="0"/>
                      <w:ind w:left="0" w:right="0" w:firstLine="0"/>
                      <w:jc w:val="left"/>
                      <w:rPr>
                        <w:rFonts w:ascii="Calibri"/>
                        <w:sz w:val="11"/>
                      </w:rPr>
                    </w:pPr>
                    <w:r>
                      <w:rPr>
                        <w:rFonts w:ascii="Calibri"/>
                        <w:w w:val="105"/>
                        <w:sz w:val="11"/>
                      </w:rPr>
                      <w:t>50</w:t>
                    </w:r>
                  </w:p>
                </w:txbxContent>
              </v:textbox>
              <w10:wrap type="none"/>
            </v:shape>
            <v:shape style="position:absolute;left:2843;top:1768;width:79;height:117" type="#_x0000_t202" filled="false" stroked="false">
              <v:textbox inset="0,0,0,0">
                <w:txbxContent>
                  <w:p>
                    <w:pPr>
                      <w:spacing w:line="116" w:lineRule="exact" w:before="0"/>
                      <w:ind w:left="0" w:right="0" w:firstLine="0"/>
                      <w:jc w:val="left"/>
                      <w:rPr>
                        <w:rFonts w:ascii="Calibri"/>
                        <w:sz w:val="11"/>
                      </w:rPr>
                    </w:pPr>
                    <w:r>
                      <w:rPr>
                        <w:rFonts w:ascii="Calibri"/>
                        <w:w w:val="105"/>
                        <w:sz w:val="11"/>
                      </w:rPr>
                      <w:t>3</w:t>
                    </w:r>
                  </w:p>
                </w:txbxContent>
              </v:textbox>
              <w10:wrap type="none"/>
            </v:shape>
            <v:shape style="position:absolute;left:2920;top:1919;width:142;height:117" type="#_x0000_t202" filled="false" stroked="false">
              <v:textbox inset="0,0,0,0">
                <w:txbxContent>
                  <w:p>
                    <w:pPr>
                      <w:spacing w:line="116" w:lineRule="exact" w:before="0"/>
                      <w:ind w:left="0" w:right="0" w:firstLine="0"/>
                      <w:jc w:val="left"/>
                      <w:rPr>
                        <w:rFonts w:ascii="Calibri"/>
                        <w:sz w:val="11"/>
                      </w:rPr>
                    </w:pPr>
                    <w:r>
                      <w:rPr>
                        <w:rFonts w:ascii="Calibri"/>
                        <w:w w:val="105"/>
                        <w:sz w:val="11"/>
                      </w:rPr>
                      <w:t>92</w:t>
                    </w:r>
                  </w:p>
                </w:txbxContent>
              </v:textbox>
              <w10:wrap type="none"/>
            </v:shape>
            <v:shape style="position:absolute;left:2842;top:2070;width:81;height:268" type="#_x0000_t202" filled="false" stroked="false">
              <v:textbox inset="0,0,0,0">
                <w:txbxContent>
                  <w:p>
                    <w:pPr>
                      <w:spacing w:line="117" w:lineRule="exact" w:before="0"/>
                      <w:ind w:left="1" w:right="0" w:firstLine="0"/>
                      <w:jc w:val="left"/>
                      <w:rPr>
                        <w:rFonts w:ascii="Calibri"/>
                        <w:sz w:val="11"/>
                      </w:rPr>
                    </w:pPr>
                    <w:r>
                      <w:rPr>
                        <w:rFonts w:ascii="Calibri"/>
                        <w:w w:val="105"/>
                        <w:sz w:val="11"/>
                      </w:rPr>
                      <w:t>4</w:t>
                    </w:r>
                  </w:p>
                  <w:p>
                    <w:pPr>
                      <w:spacing w:line="134" w:lineRule="exact" w:before="17"/>
                      <w:ind w:left="0" w:right="0" w:firstLine="0"/>
                      <w:jc w:val="left"/>
                      <w:rPr>
                        <w:rFonts w:ascii="Calibri"/>
                        <w:sz w:val="11"/>
                      </w:rPr>
                    </w:pPr>
                    <w:r>
                      <w:rPr>
                        <w:rFonts w:ascii="Calibri"/>
                        <w:w w:val="105"/>
                        <w:sz w:val="11"/>
                      </w:rPr>
                      <w:t>2</w:t>
                    </w:r>
                  </w:p>
                </w:txbxContent>
              </v:textbox>
              <w10:wrap type="none"/>
            </v:shape>
            <v:shape style="position:absolute;left:3091;top:2372;width:205;height:117" type="#_x0000_t202" filled="false" stroked="false">
              <v:textbox inset="0,0,0,0">
                <w:txbxContent>
                  <w:p>
                    <w:pPr>
                      <w:spacing w:line="116" w:lineRule="exact" w:before="0"/>
                      <w:ind w:left="0" w:right="0" w:firstLine="0"/>
                      <w:jc w:val="left"/>
                      <w:rPr>
                        <w:rFonts w:ascii="Calibri"/>
                        <w:sz w:val="11"/>
                      </w:rPr>
                    </w:pPr>
                    <w:r>
                      <w:rPr>
                        <w:rFonts w:ascii="Calibri"/>
                        <w:w w:val="105"/>
                        <w:sz w:val="11"/>
                      </w:rPr>
                      <w:t>272</w:t>
                    </w:r>
                  </w:p>
                </w:txbxContent>
              </v:textbox>
              <w10:wrap type="none"/>
            </v:shape>
            <v:shape style="position:absolute;left:2847;top:2524;width:79;height:117" type="#_x0000_t202" filled="false" stroked="false">
              <v:textbox inset="0,0,0,0">
                <w:txbxContent>
                  <w:p>
                    <w:pPr>
                      <w:spacing w:line="116" w:lineRule="exact" w:before="0"/>
                      <w:ind w:left="0" w:right="0" w:firstLine="0"/>
                      <w:jc w:val="left"/>
                      <w:rPr>
                        <w:rFonts w:ascii="Calibri"/>
                        <w:sz w:val="11"/>
                      </w:rPr>
                    </w:pPr>
                    <w:r>
                      <w:rPr>
                        <w:rFonts w:ascii="Calibri"/>
                        <w:w w:val="105"/>
                        <w:sz w:val="11"/>
                      </w:rPr>
                      <w:t>7</w:t>
                    </w:r>
                  </w:p>
                </w:txbxContent>
              </v:textbox>
              <w10:wrap type="none"/>
            </v:shape>
            <v:shape style="position:absolute;left:2953;top:2675;width:205;height:117" type="#_x0000_t202" filled="false" stroked="false">
              <v:textbox inset="0,0,0,0">
                <w:txbxContent>
                  <w:p>
                    <w:pPr>
                      <w:spacing w:line="116" w:lineRule="exact" w:before="0"/>
                      <w:ind w:left="0" w:right="0" w:firstLine="0"/>
                      <w:jc w:val="left"/>
                      <w:rPr>
                        <w:rFonts w:ascii="Calibri"/>
                        <w:sz w:val="11"/>
                      </w:rPr>
                    </w:pPr>
                    <w:r>
                      <w:rPr>
                        <w:rFonts w:ascii="Calibri"/>
                        <w:w w:val="105"/>
                        <w:sz w:val="11"/>
                      </w:rPr>
                      <w:t>123</w:t>
                    </w:r>
                  </w:p>
                </w:txbxContent>
              </v:textbox>
              <w10:wrap type="none"/>
            </v:shape>
            <w10:wrap type="none"/>
          </v:group>
        </w:pict>
      </w:r>
      <w:r>
        <w:rPr>
          <w:rFonts w:ascii="Calibri"/>
          <w:w w:val="105"/>
          <w:sz w:val="11"/>
        </w:rPr>
        <w:t>A -</w:t>
      </w:r>
      <w:r>
        <w:rPr>
          <w:rFonts w:ascii="Calibri"/>
          <w:spacing w:val="5"/>
          <w:w w:val="105"/>
          <w:sz w:val="11"/>
        </w:rPr>
        <w:t> </w:t>
      </w:r>
      <w:r>
        <w:rPr>
          <w:rFonts w:ascii="Calibri"/>
          <w:w w:val="105"/>
          <w:sz w:val="11"/>
        </w:rPr>
        <w:t>IS</w:t>
      </w:r>
      <w:r>
        <w:rPr>
          <w:rFonts w:ascii="Calibri"/>
          <w:spacing w:val="1"/>
          <w:w w:val="105"/>
          <w:sz w:val="11"/>
        </w:rPr>
        <w:t> </w:t>
      </w:r>
      <w:r>
        <w:rPr>
          <w:rFonts w:ascii="Calibri"/>
          <w:w w:val="105"/>
          <w:sz w:val="11"/>
        </w:rPr>
        <w:t>Studying</w:t>
      </w:r>
      <w:r>
        <w:rPr>
          <w:rFonts w:ascii="Calibri"/>
          <w:w w:val="105"/>
          <w:sz w:val="11"/>
        </w:rPr>
        <w:t> </w:t>
      </w:r>
      <w:r>
        <w:rPr>
          <w:rFonts w:ascii="Calibri"/>
          <w:w w:val="105"/>
          <w:sz w:val="11"/>
        </w:rPr>
        <w:t>B - </w:t>
      </w:r>
      <w:r>
        <w:rPr>
          <w:rFonts w:ascii="Calibri"/>
          <w:spacing w:val="3"/>
          <w:w w:val="105"/>
          <w:sz w:val="11"/>
        </w:rPr>
        <w:t>IS</w:t>
      </w:r>
      <w:r>
        <w:rPr>
          <w:rFonts w:ascii="Calibri"/>
          <w:spacing w:val="12"/>
          <w:w w:val="105"/>
          <w:sz w:val="11"/>
        </w:rPr>
        <w:t> </w:t>
      </w:r>
      <w:r>
        <w:rPr>
          <w:rFonts w:ascii="Calibri"/>
          <w:w w:val="105"/>
          <w:sz w:val="11"/>
        </w:rPr>
        <w:t>Working</w:t>
      </w:r>
      <w:r>
        <w:rPr>
          <w:rFonts w:ascii="Calibri"/>
          <w:spacing w:val="3"/>
          <w:w w:val="105"/>
          <w:sz w:val="11"/>
        </w:rPr>
        <w:t> </w:t>
      </w:r>
      <w:r>
        <w:rPr>
          <w:rFonts w:ascii="Calibri"/>
          <w:w w:val="105"/>
          <w:sz w:val="11"/>
        </w:rPr>
        <w:t>Age</w:t>
      </w:r>
      <w:r>
        <w:rPr>
          <w:rFonts w:ascii="Calibri"/>
          <w:spacing w:val="-2"/>
          <w:w w:val="105"/>
          <w:sz w:val="11"/>
        </w:rPr>
        <w:t> </w:t>
      </w:r>
      <w:r>
        <w:rPr>
          <w:rFonts w:ascii="Calibri"/>
          <w:w w:val="105"/>
          <w:sz w:val="11"/>
        </w:rPr>
        <w:t>C - </w:t>
      </w:r>
      <w:r>
        <w:rPr>
          <w:rFonts w:ascii="Calibri"/>
          <w:spacing w:val="3"/>
          <w:w w:val="105"/>
          <w:sz w:val="11"/>
        </w:rPr>
        <w:t>IS</w:t>
      </w:r>
      <w:r>
        <w:rPr>
          <w:rFonts w:ascii="Calibri"/>
          <w:spacing w:val="10"/>
          <w:w w:val="105"/>
          <w:sz w:val="11"/>
        </w:rPr>
        <w:t> </w:t>
      </w:r>
      <w:r>
        <w:rPr>
          <w:rFonts w:ascii="Calibri"/>
          <w:w w:val="105"/>
          <w:sz w:val="11"/>
        </w:rPr>
        <w:t>Parents</w:t>
      </w:r>
    </w:p>
    <w:p>
      <w:pPr>
        <w:spacing w:line="271" w:lineRule="auto" w:before="0"/>
        <w:ind w:left="1801" w:right="9276" w:firstLine="118"/>
        <w:jc w:val="right"/>
        <w:rPr>
          <w:rFonts w:ascii="Calibri"/>
          <w:sz w:val="11"/>
        </w:rPr>
      </w:pPr>
      <w:r>
        <w:rPr>
          <w:rFonts w:ascii="Calibri"/>
          <w:w w:val="105"/>
          <w:sz w:val="11"/>
        </w:rPr>
        <w:t>D -</w:t>
      </w:r>
      <w:r>
        <w:rPr>
          <w:rFonts w:ascii="Calibri"/>
          <w:spacing w:val="4"/>
          <w:w w:val="105"/>
          <w:sz w:val="11"/>
        </w:rPr>
        <w:t> </w:t>
      </w:r>
      <w:r>
        <w:rPr>
          <w:rFonts w:ascii="Calibri"/>
          <w:spacing w:val="3"/>
          <w:w w:val="105"/>
          <w:sz w:val="11"/>
        </w:rPr>
        <w:t>IS</w:t>
      </w:r>
      <w:r>
        <w:rPr>
          <w:rFonts w:ascii="Calibri"/>
          <w:spacing w:val="2"/>
          <w:w w:val="105"/>
          <w:sz w:val="11"/>
        </w:rPr>
        <w:t> </w:t>
      </w:r>
      <w:r>
        <w:rPr>
          <w:rFonts w:ascii="Calibri"/>
          <w:w w:val="105"/>
          <w:sz w:val="11"/>
        </w:rPr>
        <w:t>Carers</w:t>
      </w:r>
      <w:r>
        <w:rPr>
          <w:rFonts w:ascii="Calibri"/>
          <w:w w:val="105"/>
          <w:sz w:val="11"/>
        </w:rPr>
        <w:t> </w:t>
      </w:r>
      <w:r>
        <w:rPr>
          <w:rFonts w:ascii="Calibri"/>
          <w:w w:val="105"/>
          <w:sz w:val="11"/>
        </w:rPr>
        <w:t>E -</w:t>
      </w:r>
      <w:r>
        <w:rPr>
          <w:rFonts w:ascii="Calibri"/>
          <w:spacing w:val="6"/>
          <w:w w:val="105"/>
          <w:sz w:val="11"/>
        </w:rPr>
        <w:t> </w:t>
      </w:r>
      <w:r>
        <w:rPr>
          <w:rFonts w:ascii="Calibri"/>
          <w:w w:val="105"/>
          <w:sz w:val="11"/>
        </w:rPr>
        <w:t>IS</w:t>
      </w:r>
      <w:r>
        <w:rPr>
          <w:rFonts w:ascii="Calibri"/>
          <w:spacing w:val="1"/>
          <w:w w:val="105"/>
          <w:sz w:val="11"/>
        </w:rPr>
        <w:t> </w:t>
      </w:r>
      <w:r>
        <w:rPr>
          <w:rFonts w:ascii="Calibri"/>
          <w:w w:val="105"/>
          <w:sz w:val="11"/>
        </w:rPr>
        <w:t>Disability</w:t>
      </w:r>
      <w:r>
        <w:rPr>
          <w:rFonts w:ascii="Calibri"/>
          <w:w w:val="105"/>
          <w:sz w:val="11"/>
        </w:rPr>
        <w:t> </w:t>
      </w:r>
      <w:r>
        <w:rPr>
          <w:rFonts w:ascii="Calibri"/>
          <w:w w:val="105"/>
          <w:sz w:val="11"/>
        </w:rPr>
        <w:t>F - </w:t>
      </w:r>
      <w:r>
        <w:rPr>
          <w:rFonts w:ascii="Calibri"/>
          <w:spacing w:val="3"/>
          <w:w w:val="105"/>
          <w:sz w:val="11"/>
        </w:rPr>
        <w:t>IS</w:t>
      </w:r>
      <w:r>
        <w:rPr>
          <w:rFonts w:ascii="Calibri"/>
          <w:spacing w:val="2"/>
          <w:w w:val="105"/>
          <w:sz w:val="11"/>
        </w:rPr>
        <w:t> </w:t>
      </w:r>
      <w:r>
        <w:rPr>
          <w:rFonts w:ascii="Calibri"/>
          <w:w w:val="105"/>
          <w:sz w:val="11"/>
        </w:rPr>
        <w:t>Aged</w:t>
      </w:r>
    </w:p>
    <w:p>
      <w:pPr>
        <w:spacing w:line="271" w:lineRule="auto" w:before="0"/>
        <w:ind w:left="1789" w:right="9277" w:hanging="102"/>
        <w:jc w:val="right"/>
        <w:rPr>
          <w:rFonts w:ascii="Calibri"/>
          <w:sz w:val="11"/>
        </w:rPr>
      </w:pPr>
      <w:r>
        <w:rPr>
          <w:rFonts w:ascii="Calibri"/>
          <w:w w:val="105"/>
          <w:sz w:val="11"/>
        </w:rPr>
        <w:t>G -</w:t>
      </w:r>
      <w:r>
        <w:rPr>
          <w:rFonts w:ascii="Calibri"/>
          <w:spacing w:val="9"/>
          <w:w w:val="105"/>
          <w:sz w:val="11"/>
        </w:rPr>
        <w:t> </w:t>
      </w:r>
      <w:r>
        <w:rPr>
          <w:rFonts w:ascii="Calibri"/>
          <w:w w:val="105"/>
          <w:sz w:val="11"/>
        </w:rPr>
        <w:t>IS</w:t>
      </w:r>
      <w:r>
        <w:rPr>
          <w:rFonts w:ascii="Calibri"/>
          <w:spacing w:val="1"/>
          <w:w w:val="105"/>
          <w:sz w:val="11"/>
        </w:rPr>
        <w:t> </w:t>
      </w:r>
      <w:r>
        <w:rPr>
          <w:rFonts w:ascii="Calibri"/>
          <w:w w:val="105"/>
          <w:sz w:val="11"/>
        </w:rPr>
        <w:t>Dependant</w:t>
      </w:r>
      <w:r>
        <w:rPr>
          <w:rFonts w:ascii="Calibri"/>
          <w:spacing w:val="1"/>
          <w:w w:val="105"/>
          <w:sz w:val="11"/>
        </w:rPr>
        <w:t> </w:t>
      </w:r>
      <w:r>
        <w:rPr>
          <w:rFonts w:ascii="Calibri"/>
          <w:w w:val="105"/>
          <w:sz w:val="11"/>
        </w:rPr>
        <w:t>H - Other -</w:t>
      </w:r>
      <w:r>
        <w:rPr>
          <w:rFonts w:ascii="Calibri"/>
          <w:spacing w:val="16"/>
          <w:w w:val="105"/>
          <w:sz w:val="11"/>
        </w:rPr>
        <w:t> </w:t>
      </w:r>
      <w:r>
        <w:rPr>
          <w:rFonts w:ascii="Calibri"/>
          <w:spacing w:val="-3"/>
          <w:w w:val="105"/>
          <w:sz w:val="11"/>
        </w:rPr>
        <w:t>FTB</w:t>
      </w:r>
    </w:p>
    <w:p>
      <w:pPr>
        <w:spacing w:line="271" w:lineRule="auto" w:before="0"/>
        <w:ind w:left="1385" w:right="9278" w:firstLine="309"/>
        <w:jc w:val="right"/>
        <w:rPr>
          <w:rFonts w:ascii="Calibri"/>
          <w:sz w:val="11"/>
        </w:rPr>
      </w:pPr>
      <w:r>
        <w:rPr>
          <w:rFonts w:ascii="Calibri"/>
          <w:w w:val="105"/>
          <w:sz w:val="11"/>
        </w:rPr>
        <w:t>I - Other</w:t>
      </w:r>
      <w:r>
        <w:rPr>
          <w:rFonts w:ascii="Calibri"/>
          <w:spacing w:val="11"/>
          <w:w w:val="105"/>
          <w:sz w:val="11"/>
        </w:rPr>
        <w:t> </w:t>
      </w:r>
      <w:r>
        <w:rPr>
          <w:rFonts w:ascii="Calibri"/>
          <w:w w:val="105"/>
          <w:sz w:val="11"/>
        </w:rPr>
        <w:t>-</w:t>
      </w:r>
      <w:r>
        <w:rPr>
          <w:rFonts w:ascii="Calibri"/>
          <w:spacing w:val="4"/>
          <w:w w:val="105"/>
          <w:sz w:val="11"/>
        </w:rPr>
        <w:t> </w:t>
      </w:r>
      <w:r>
        <w:rPr>
          <w:rFonts w:ascii="Calibri"/>
          <w:w w:val="105"/>
          <w:sz w:val="11"/>
        </w:rPr>
        <w:t>Family</w:t>
      </w:r>
      <w:r>
        <w:rPr>
          <w:rFonts w:ascii="Calibri"/>
          <w:w w:val="105"/>
          <w:sz w:val="11"/>
        </w:rPr>
        <w:t> </w:t>
      </w:r>
      <w:r>
        <w:rPr>
          <w:rFonts w:ascii="Calibri"/>
          <w:w w:val="105"/>
          <w:sz w:val="11"/>
        </w:rPr>
        <w:t>J - Other -</w:t>
      </w:r>
      <w:r>
        <w:rPr>
          <w:rFonts w:ascii="Calibri"/>
          <w:spacing w:val="-10"/>
          <w:w w:val="105"/>
          <w:sz w:val="11"/>
        </w:rPr>
        <w:t> </w:t>
      </w:r>
      <w:r>
        <w:rPr>
          <w:rFonts w:ascii="Calibri"/>
          <w:w w:val="105"/>
          <w:sz w:val="11"/>
        </w:rPr>
        <w:t>New</w:t>
      </w:r>
      <w:r>
        <w:rPr>
          <w:rFonts w:ascii="Calibri"/>
          <w:spacing w:val="10"/>
          <w:w w:val="105"/>
          <w:sz w:val="11"/>
        </w:rPr>
        <w:t> </w:t>
      </w:r>
      <w:r>
        <w:rPr>
          <w:rFonts w:ascii="Calibri"/>
          <w:w w:val="105"/>
          <w:sz w:val="11"/>
        </w:rPr>
        <w:t>Parents</w:t>
      </w:r>
      <w:r>
        <w:rPr>
          <w:rFonts w:ascii="Calibri"/>
          <w:w w:val="105"/>
          <w:sz w:val="11"/>
        </w:rPr>
        <w:t> </w:t>
      </w:r>
      <w:r>
        <w:rPr>
          <w:rFonts w:ascii="Calibri"/>
          <w:w w:val="105"/>
          <w:sz w:val="11"/>
        </w:rPr>
        <w:t>K - Other -</w:t>
      </w:r>
      <w:r>
        <w:rPr>
          <w:rFonts w:ascii="Calibri"/>
          <w:spacing w:val="15"/>
          <w:w w:val="105"/>
          <w:sz w:val="11"/>
        </w:rPr>
        <w:t> </w:t>
      </w:r>
      <w:r>
        <w:rPr>
          <w:rFonts w:ascii="Calibri"/>
          <w:w w:val="105"/>
          <w:sz w:val="11"/>
        </w:rPr>
        <w:t>Living</w:t>
      </w:r>
    </w:p>
    <w:p>
      <w:pPr>
        <w:spacing w:line="132" w:lineRule="exact" w:before="0"/>
        <w:ind w:left="0" w:right="9278" w:firstLine="0"/>
        <w:jc w:val="right"/>
        <w:rPr>
          <w:rFonts w:ascii="Calibri"/>
          <w:sz w:val="11"/>
        </w:rPr>
      </w:pPr>
      <w:r>
        <w:rPr>
          <w:rFonts w:ascii="Calibri"/>
          <w:w w:val="105"/>
          <w:sz w:val="11"/>
        </w:rPr>
        <w:t>L  - Other - Health &amp;</w:t>
      </w:r>
      <w:r>
        <w:rPr>
          <w:rFonts w:ascii="Calibri"/>
          <w:spacing w:val="7"/>
          <w:w w:val="105"/>
          <w:sz w:val="11"/>
        </w:rPr>
        <w:t> </w:t>
      </w:r>
      <w:r>
        <w:rPr>
          <w:rFonts w:ascii="Calibri"/>
          <w:w w:val="105"/>
          <w:sz w:val="11"/>
        </w:rPr>
        <w:t>Disability</w:t>
      </w:r>
    </w:p>
    <w:p>
      <w:pPr>
        <w:spacing w:line="271" w:lineRule="auto" w:before="12"/>
        <w:ind w:left="1317" w:right="9275" w:firstLine="359"/>
        <w:jc w:val="right"/>
        <w:rPr>
          <w:rFonts w:ascii="Calibri"/>
          <w:sz w:val="11"/>
        </w:rPr>
      </w:pPr>
      <w:r>
        <w:rPr>
          <w:rFonts w:ascii="Calibri"/>
          <w:w w:val="105"/>
          <w:sz w:val="11"/>
        </w:rPr>
        <w:t>M - Other</w:t>
      </w:r>
      <w:r>
        <w:rPr>
          <w:rFonts w:ascii="Calibri"/>
          <w:spacing w:val="-9"/>
          <w:w w:val="105"/>
          <w:sz w:val="11"/>
        </w:rPr>
        <w:t> </w:t>
      </w:r>
      <w:r>
        <w:rPr>
          <w:rFonts w:ascii="Calibri"/>
          <w:w w:val="105"/>
          <w:sz w:val="11"/>
        </w:rPr>
        <w:t>-</w:t>
      </w:r>
      <w:r>
        <w:rPr>
          <w:rFonts w:ascii="Calibri"/>
          <w:spacing w:val="2"/>
          <w:w w:val="105"/>
          <w:sz w:val="11"/>
        </w:rPr>
        <w:t> </w:t>
      </w:r>
      <w:r>
        <w:rPr>
          <w:rFonts w:ascii="Calibri"/>
          <w:w w:val="105"/>
          <w:sz w:val="11"/>
        </w:rPr>
        <w:t>Carer</w:t>
      </w:r>
      <w:r>
        <w:rPr>
          <w:rFonts w:ascii="Calibri"/>
          <w:w w:val="105"/>
          <w:sz w:val="11"/>
        </w:rPr>
        <w:t> </w:t>
      </w:r>
      <w:r>
        <w:rPr>
          <w:rFonts w:ascii="Calibri"/>
          <w:w w:val="105"/>
          <w:sz w:val="11"/>
        </w:rPr>
        <w:t>N  - Other - Study &amp;</w:t>
      </w:r>
      <w:r>
        <w:rPr>
          <w:rFonts w:ascii="Calibri"/>
          <w:spacing w:val="8"/>
          <w:w w:val="105"/>
          <w:sz w:val="11"/>
        </w:rPr>
        <w:t> </w:t>
      </w:r>
      <w:r>
        <w:rPr>
          <w:rFonts w:ascii="Calibri"/>
          <w:w w:val="105"/>
          <w:sz w:val="11"/>
        </w:rPr>
        <w:t>Skills</w:t>
      </w:r>
    </w:p>
    <w:p>
      <w:pPr>
        <w:spacing w:line="271" w:lineRule="auto" w:before="0"/>
        <w:ind w:left="1085" w:right="9278" w:firstLine="5"/>
        <w:jc w:val="right"/>
        <w:rPr>
          <w:rFonts w:ascii="Calibri"/>
          <w:sz w:val="11"/>
        </w:rPr>
      </w:pPr>
      <w:r>
        <w:rPr>
          <w:rFonts w:ascii="Calibri"/>
          <w:w w:val="105"/>
          <w:sz w:val="11"/>
        </w:rPr>
        <w:t>O - Other Remote &amp;</w:t>
      </w:r>
      <w:r>
        <w:rPr>
          <w:rFonts w:ascii="Calibri"/>
          <w:spacing w:val="8"/>
          <w:w w:val="105"/>
          <w:sz w:val="11"/>
        </w:rPr>
        <w:t> </w:t>
      </w:r>
      <w:r>
        <w:rPr>
          <w:rFonts w:ascii="Calibri"/>
          <w:w w:val="105"/>
          <w:sz w:val="11"/>
        </w:rPr>
        <w:t>Regional</w:t>
      </w:r>
      <w:r>
        <w:rPr>
          <w:rFonts w:ascii="Calibri"/>
          <w:w w:val="105"/>
          <w:sz w:val="11"/>
        </w:rPr>
        <w:t> </w:t>
      </w:r>
      <w:r>
        <w:rPr>
          <w:rFonts w:ascii="Calibri"/>
          <w:w w:val="105"/>
          <w:sz w:val="11"/>
        </w:rPr>
        <w:t>P - Other  General</w:t>
      </w:r>
      <w:r>
        <w:rPr>
          <w:rFonts w:ascii="Calibri"/>
          <w:spacing w:val="3"/>
          <w:w w:val="105"/>
          <w:sz w:val="11"/>
        </w:rPr>
        <w:t> </w:t>
      </w:r>
      <w:r>
        <w:rPr>
          <w:rFonts w:ascii="Calibri"/>
          <w:w w:val="105"/>
          <w:sz w:val="11"/>
        </w:rPr>
        <w:t>Allowances</w:t>
      </w:r>
    </w:p>
    <w:p>
      <w:pPr>
        <w:spacing w:line="271" w:lineRule="auto" w:before="0"/>
        <w:ind w:left="1590" w:right="9276" w:firstLine="311"/>
        <w:jc w:val="right"/>
        <w:rPr>
          <w:rFonts w:ascii="Calibri"/>
          <w:sz w:val="11"/>
        </w:rPr>
      </w:pPr>
      <w:r>
        <w:rPr>
          <w:rFonts w:ascii="Calibri"/>
          <w:w w:val="105"/>
          <w:sz w:val="11"/>
        </w:rPr>
        <w:t>Q -</w:t>
      </w:r>
      <w:r>
        <w:rPr>
          <w:rFonts w:ascii="Calibri"/>
          <w:spacing w:val="-13"/>
          <w:w w:val="105"/>
          <w:sz w:val="11"/>
        </w:rPr>
        <w:t> </w:t>
      </w:r>
      <w:r>
        <w:rPr>
          <w:rFonts w:ascii="Calibri"/>
          <w:w w:val="105"/>
          <w:sz w:val="11"/>
        </w:rPr>
        <w:t>All</w:t>
      </w:r>
      <w:r>
        <w:rPr>
          <w:rFonts w:ascii="Calibri"/>
          <w:spacing w:val="6"/>
          <w:w w:val="105"/>
          <w:sz w:val="11"/>
        </w:rPr>
        <w:t> </w:t>
      </w:r>
      <w:r>
        <w:rPr>
          <w:rFonts w:ascii="Calibri"/>
          <w:spacing w:val="-3"/>
          <w:w w:val="105"/>
          <w:sz w:val="11"/>
        </w:rPr>
        <w:t>Other</w:t>
      </w:r>
      <w:r>
        <w:rPr>
          <w:rFonts w:ascii="Calibri"/>
          <w:w w:val="105"/>
          <w:sz w:val="11"/>
        </w:rPr>
        <w:t> </w:t>
      </w:r>
      <w:r>
        <w:rPr>
          <w:rFonts w:ascii="Calibri"/>
          <w:w w:val="105"/>
          <w:sz w:val="11"/>
        </w:rPr>
        <w:t>R - Rent</w:t>
      </w:r>
      <w:r>
        <w:rPr>
          <w:rFonts w:ascii="Calibri"/>
          <w:spacing w:val="24"/>
          <w:w w:val="105"/>
          <w:sz w:val="11"/>
        </w:rPr>
        <w:t> </w:t>
      </w:r>
      <w:r>
        <w:rPr>
          <w:rFonts w:ascii="Calibri"/>
          <w:w w:val="105"/>
          <w:sz w:val="11"/>
        </w:rPr>
        <w:t>Assistance</w:t>
      </w:r>
    </w:p>
    <w:p>
      <w:pPr>
        <w:tabs>
          <w:tab w:pos="4373" w:val="left" w:leader="none"/>
          <w:tab w:pos="5302" w:val="left" w:leader="none"/>
          <w:tab w:pos="6232" w:val="left" w:leader="none"/>
        </w:tabs>
        <w:spacing w:before="76"/>
        <w:ind w:left="3444" w:right="0" w:firstLine="0"/>
        <w:jc w:val="left"/>
        <w:rPr>
          <w:rFonts w:ascii="Calibri"/>
          <w:sz w:val="11"/>
        </w:rPr>
      </w:pPr>
      <w:r>
        <w:rPr>
          <w:rFonts w:ascii="Calibri"/>
          <w:w w:val="105"/>
          <w:sz w:val="11"/>
        </w:rPr>
        <w:t>1,000</w:t>
        <w:tab/>
        <w:t>2,000</w:t>
        <w:tab/>
        <w:t>3,000</w:t>
        <w:tab/>
        <w:t>4,000</w:t>
      </w:r>
    </w:p>
    <w:p>
      <w:pPr>
        <w:spacing w:before="46"/>
        <w:ind w:left="3873" w:right="0" w:firstLine="0"/>
        <w:jc w:val="left"/>
        <w:rPr>
          <w:rFonts w:ascii="Calibri"/>
          <w:b/>
          <w:sz w:val="11"/>
        </w:rPr>
      </w:pPr>
      <w:r>
        <w:rPr>
          <w:rFonts w:ascii="Calibri"/>
          <w:b/>
          <w:w w:val="105"/>
          <w:sz w:val="11"/>
        </w:rPr>
        <w:t>Lifetime Cost (in $Billions)</w:t>
      </w:r>
    </w:p>
    <w:p>
      <w:pPr>
        <w:pStyle w:val="BodyText"/>
        <w:spacing w:before="8"/>
        <w:rPr>
          <w:rFonts w:ascii="Calibri"/>
          <w:b/>
          <w:sz w:val="23"/>
        </w:rPr>
      </w:pPr>
    </w:p>
    <w:tbl>
      <w:tblPr>
        <w:tblW w:w="0" w:type="auto"/>
        <w:jc w:val="left"/>
        <w:tblInd w:w="10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25"/>
        <w:gridCol w:w="308"/>
        <w:gridCol w:w="1546"/>
        <w:gridCol w:w="308"/>
        <w:gridCol w:w="1460"/>
        <w:gridCol w:w="308"/>
        <w:gridCol w:w="1174"/>
        <w:gridCol w:w="308"/>
        <w:gridCol w:w="1417"/>
        <w:gridCol w:w="308"/>
        <w:gridCol w:w="792"/>
      </w:tblGrid>
      <w:tr>
        <w:trPr>
          <w:trHeight w:val="79" w:hRule="atLeast"/>
        </w:trPr>
        <w:tc>
          <w:tcPr>
            <w:tcW w:w="1525" w:type="dxa"/>
          </w:tcPr>
          <w:p>
            <w:pPr>
              <w:pStyle w:val="TableParagraph"/>
              <w:spacing w:line="59" w:lineRule="exact" w:before="0"/>
              <w:ind w:left="14"/>
              <w:rPr>
                <w:b/>
                <w:sz w:val="10"/>
              </w:rPr>
            </w:pPr>
            <w:r>
              <w:rPr>
                <w:b/>
                <w:w w:val="105"/>
                <w:sz w:val="10"/>
              </w:rPr>
              <w:t>Payment Category Key:</w:t>
            </w:r>
          </w:p>
        </w:tc>
        <w:tc>
          <w:tcPr>
            <w:tcW w:w="308" w:type="dxa"/>
            <w:tcBorders>
              <w:bottom w:val="single" w:sz="52" w:space="0" w:color="009544"/>
            </w:tcBorders>
          </w:tcPr>
          <w:p>
            <w:pPr>
              <w:pStyle w:val="TableParagraph"/>
              <w:spacing w:before="0"/>
              <w:rPr>
                <w:rFonts w:ascii="Times New Roman"/>
                <w:sz w:val="2"/>
              </w:rPr>
            </w:pPr>
          </w:p>
        </w:tc>
        <w:tc>
          <w:tcPr>
            <w:tcW w:w="1546" w:type="dxa"/>
          </w:tcPr>
          <w:p>
            <w:pPr>
              <w:pStyle w:val="TableParagraph"/>
              <w:spacing w:before="0"/>
              <w:rPr>
                <w:rFonts w:ascii="Times New Roman"/>
                <w:sz w:val="2"/>
              </w:rPr>
            </w:pPr>
          </w:p>
        </w:tc>
        <w:tc>
          <w:tcPr>
            <w:tcW w:w="308" w:type="dxa"/>
            <w:tcBorders>
              <w:bottom w:val="single" w:sz="52" w:space="0" w:color="E16B09"/>
            </w:tcBorders>
          </w:tcPr>
          <w:p>
            <w:pPr>
              <w:pStyle w:val="TableParagraph"/>
              <w:spacing w:before="0"/>
              <w:rPr>
                <w:rFonts w:ascii="Times New Roman"/>
                <w:sz w:val="2"/>
              </w:rPr>
            </w:pPr>
          </w:p>
        </w:tc>
        <w:tc>
          <w:tcPr>
            <w:tcW w:w="1460" w:type="dxa"/>
          </w:tcPr>
          <w:p>
            <w:pPr>
              <w:pStyle w:val="TableParagraph"/>
              <w:spacing w:before="0"/>
              <w:rPr>
                <w:rFonts w:ascii="Times New Roman"/>
                <w:sz w:val="2"/>
              </w:rPr>
            </w:pPr>
          </w:p>
        </w:tc>
        <w:tc>
          <w:tcPr>
            <w:tcW w:w="308" w:type="dxa"/>
            <w:tcBorders>
              <w:bottom w:val="single" w:sz="52" w:space="0" w:color="E08AD6"/>
            </w:tcBorders>
          </w:tcPr>
          <w:p>
            <w:pPr>
              <w:pStyle w:val="TableParagraph"/>
              <w:spacing w:before="0"/>
              <w:rPr>
                <w:rFonts w:ascii="Times New Roman"/>
                <w:sz w:val="2"/>
              </w:rPr>
            </w:pPr>
          </w:p>
        </w:tc>
        <w:tc>
          <w:tcPr>
            <w:tcW w:w="1174" w:type="dxa"/>
          </w:tcPr>
          <w:p>
            <w:pPr>
              <w:pStyle w:val="TableParagraph"/>
              <w:spacing w:before="0"/>
              <w:rPr>
                <w:rFonts w:ascii="Times New Roman"/>
                <w:sz w:val="2"/>
              </w:rPr>
            </w:pPr>
          </w:p>
        </w:tc>
        <w:tc>
          <w:tcPr>
            <w:tcW w:w="308" w:type="dxa"/>
            <w:tcBorders>
              <w:bottom w:val="single" w:sz="52" w:space="0" w:color="8063A1"/>
            </w:tcBorders>
          </w:tcPr>
          <w:p>
            <w:pPr>
              <w:pStyle w:val="TableParagraph"/>
              <w:spacing w:before="0"/>
              <w:rPr>
                <w:rFonts w:ascii="Times New Roman"/>
                <w:sz w:val="2"/>
              </w:rPr>
            </w:pPr>
          </w:p>
        </w:tc>
        <w:tc>
          <w:tcPr>
            <w:tcW w:w="1417" w:type="dxa"/>
          </w:tcPr>
          <w:p>
            <w:pPr>
              <w:pStyle w:val="TableParagraph"/>
              <w:spacing w:before="0"/>
              <w:rPr>
                <w:rFonts w:ascii="Times New Roman"/>
                <w:sz w:val="2"/>
              </w:rPr>
            </w:pPr>
          </w:p>
        </w:tc>
        <w:tc>
          <w:tcPr>
            <w:tcW w:w="308" w:type="dxa"/>
            <w:shd w:val="clear" w:color="auto" w:fill="C0504D"/>
          </w:tcPr>
          <w:p>
            <w:pPr>
              <w:pStyle w:val="TableParagraph"/>
              <w:spacing w:before="0"/>
              <w:rPr>
                <w:rFonts w:ascii="Times New Roman"/>
                <w:sz w:val="6"/>
              </w:rPr>
            </w:pPr>
          </w:p>
        </w:tc>
        <w:tc>
          <w:tcPr>
            <w:tcW w:w="792" w:type="dxa"/>
          </w:tcPr>
          <w:p>
            <w:pPr>
              <w:pStyle w:val="TableParagraph"/>
              <w:spacing w:before="0"/>
              <w:rPr>
                <w:rFonts w:ascii="Times New Roman"/>
                <w:sz w:val="2"/>
              </w:rPr>
            </w:pPr>
          </w:p>
        </w:tc>
      </w:tr>
      <w:tr>
        <w:trPr>
          <w:trHeight w:val="10" w:hRule="atLeast"/>
        </w:trPr>
        <w:tc>
          <w:tcPr>
            <w:tcW w:w="1525" w:type="dxa"/>
          </w:tcPr>
          <w:p>
            <w:pPr>
              <w:pStyle w:val="TableParagraph"/>
              <w:spacing w:line="35" w:lineRule="exact" w:before="0"/>
              <w:ind w:left="322"/>
              <w:rPr>
                <w:sz w:val="10"/>
              </w:rPr>
            </w:pPr>
            <w:r>
              <w:rPr>
                <w:w w:val="105"/>
                <w:sz w:val="10"/>
              </w:rPr>
              <w:t>A - IS Studying</w:t>
            </w:r>
          </w:p>
        </w:tc>
        <w:tc>
          <w:tcPr>
            <w:tcW w:w="308" w:type="dxa"/>
            <w:shd w:val="clear" w:color="auto" w:fill="009544"/>
          </w:tcPr>
          <w:p>
            <w:pPr>
              <w:pStyle w:val="TableParagraph"/>
              <w:spacing w:before="0"/>
              <w:rPr>
                <w:rFonts w:ascii="Times New Roman"/>
                <w:sz w:val="2"/>
              </w:rPr>
            </w:pPr>
          </w:p>
        </w:tc>
        <w:tc>
          <w:tcPr>
            <w:tcW w:w="1546" w:type="dxa"/>
          </w:tcPr>
          <w:p>
            <w:pPr>
              <w:pStyle w:val="TableParagraph"/>
              <w:spacing w:line="35" w:lineRule="exact" w:before="0"/>
              <w:ind w:left="13"/>
              <w:rPr>
                <w:sz w:val="10"/>
              </w:rPr>
            </w:pPr>
            <w:r>
              <w:rPr>
                <w:w w:val="105"/>
                <w:sz w:val="10"/>
              </w:rPr>
              <w:t>B - IS Working Age</w:t>
            </w:r>
          </w:p>
        </w:tc>
        <w:tc>
          <w:tcPr>
            <w:tcW w:w="308" w:type="dxa"/>
            <w:shd w:val="clear" w:color="auto" w:fill="E16B09"/>
          </w:tcPr>
          <w:p>
            <w:pPr>
              <w:pStyle w:val="TableParagraph"/>
              <w:spacing w:before="0"/>
              <w:rPr>
                <w:rFonts w:ascii="Times New Roman"/>
                <w:sz w:val="2"/>
              </w:rPr>
            </w:pPr>
          </w:p>
        </w:tc>
        <w:tc>
          <w:tcPr>
            <w:tcW w:w="1460" w:type="dxa"/>
          </w:tcPr>
          <w:p>
            <w:pPr>
              <w:pStyle w:val="TableParagraph"/>
              <w:spacing w:line="35" w:lineRule="exact" w:before="0"/>
              <w:ind w:left="13"/>
              <w:rPr>
                <w:sz w:val="10"/>
              </w:rPr>
            </w:pPr>
            <w:r>
              <w:rPr>
                <w:w w:val="105"/>
                <w:sz w:val="10"/>
              </w:rPr>
              <w:t>C - IS Parents</w:t>
            </w:r>
          </w:p>
        </w:tc>
        <w:tc>
          <w:tcPr>
            <w:tcW w:w="308" w:type="dxa"/>
            <w:shd w:val="clear" w:color="auto" w:fill="E08AD6"/>
          </w:tcPr>
          <w:p>
            <w:pPr>
              <w:pStyle w:val="TableParagraph"/>
              <w:spacing w:before="0"/>
              <w:rPr>
                <w:rFonts w:ascii="Times New Roman"/>
                <w:sz w:val="2"/>
              </w:rPr>
            </w:pPr>
          </w:p>
        </w:tc>
        <w:tc>
          <w:tcPr>
            <w:tcW w:w="1174" w:type="dxa"/>
          </w:tcPr>
          <w:p>
            <w:pPr>
              <w:pStyle w:val="TableParagraph"/>
              <w:spacing w:line="35" w:lineRule="exact" w:before="0"/>
              <w:ind w:left="13"/>
              <w:rPr>
                <w:sz w:val="10"/>
              </w:rPr>
            </w:pPr>
            <w:r>
              <w:rPr>
                <w:w w:val="105"/>
                <w:sz w:val="10"/>
              </w:rPr>
              <w:t>D - IS Carer</w:t>
            </w:r>
          </w:p>
        </w:tc>
        <w:tc>
          <w:tcPr>
            <w:tcW w:w="308" w:type="dxa"/>
            <w:shd w:val="clear" w:color="auto" w:fill="8063A1"/>
          </w:tcPr>
          <w:p>
            <w:pPr>
              <w:pStyle w:val="TableParagraph"/>
              <w:spacing w:before="0"/>
              <w:rPr>
                <w:rFonts w:ascii="Times New Roman"/>
                <w:sz w:val="2"/>
              </w:rPr>
            </w:pPr>
          </w:p>
        </w:tc>
        <w:tc>
          <w:tcPr>
            <w:tcW w:w="1417" w:type="dxa"/>
          </w:tcPr>
          <w:p>
            <w:pPr>
              <w:pStyle w:val="TableParagraph"/>
              <w:spacing w:line="35" w:lineRule="exact" w:before="0"/>
              <w:ind w:left="13"/>
              <w:rPr>
                <w:sz w:val="10"/>
              </w:rPr>
            </w:pPr>
            <w:r>
              <w:rPr>
                <w:w w:val="105"/>
                <w:sz w:val="10"/>
              </w:rPr>
              <w:t>E - IS Disability</w:t>
            </w:r>
          </w:p>
        </w:tc>
        <w:tc>
          <w:tcPr>
            <w:tcW w:w="308" w:type="dxa"/>
            <w:shd w:val="clear" w:color="auto" w:fill="C0504D"/>
          </w:tcPr>
          <w:p>
            <w:pPr>
              <w:pStyle w:val="TableParagraph"/>
              <w:spacing w:before="0"/>
              <w:rPr>
                <w:rFonts w:ascii="Times New Roman"/>
                <w:sz w:val="2"/>
              </w:rPr>
            </w:pPr>
          </w:p>
        </w:tc>
        <w:tc>
          <w:tcPr>
            <w:tcW w:w="792" w:type="dxa"/>
          </w:tcPr>
          <w:p>
            <w:pPr>
              <w:pStyle w:val="TableParagraph"/>
              <w:spacing w:line="35" w:lineRule="exact" w:before="0"/>
              <w:ind w:left="13"/>
              <w:rPr>
                <w:sz w:val="10"/>
              </w:rPr>
            </w:pPr>
            <w:r>
              <w:rPr>
                <w:w w:val="105"/>
                <w:sz w:val="10"/>
              </w:rPr>
              <w:t>F - IS Age</w:t>
            </w:r>
          </w:p>
        </w:tc>
      </w:tr>
      <w:tr>
        <w:trPr>
          <w:trHeight w:val="5" w:hRule="atLeast"/>
        </w:trPr>
        <w:tc>
          <w:tcPr>
            <w:tcW w:w="1525" w:type="dxa"/>
          </w:tcPr>
          <w:p>
            <w:pPr>
              <w:pStyle w:val="TableParagraph"/>
              <w:spacing w:line="168" w:lineRule="exact" w:before="0"/>
              <w:ind w:left="322"/>
              <w:rPr>
                <w:sz w:val="10"/>
              </w:rPr>
            </w:pPr>
            <w:r>
              <w:rPr>
                <w:w w:val="105"/>
                <w:sz w:val="10"/>
              </w:rPr>
              <w:t>G - IS Dependant</w:t>
            </w:r>
          </w:p>
        </w:tc>
        <w:tc>
          <w:tcPr>
            <w:tcW w:w="308" w:type="dxa"/>
            <w:shd w:val="clear" w:color="auto" w:fill="F8A763"/>
          </w:tcPr>
          <w:p>
            <w:pPr>
              <w:pStyle w:val="TableParagraph"/>
              <w:spacing w:before="0"/>
              <w:rPr>
                <w:rFonts w:ascii="Times New Roman"/>
                <w:sz w:val="2"/>
              </w:rPr>
            </w:pPr>
          </w:p>
        </w:tc>
        <w:tc>
          <w:tcPr>
            <w:tcW w:w="1546" w:type="dxa"/>
          </w:tcPr>
          <w:p>
            <w:pPr>
              <w:pStyle w:val="TableParagraph"/>
              <w:spacing w:line="168" w:lineRule="exact" w:before="0"/>
              <w:ind w:left="13"/>
              <w:rPr>
                <w:sz w:val="10"/>
              </w:rPr>
            </w:pPr>
            <w:r>
              <w:rPr>
                <w:w w:val="105"/>
                <w:sz w:val="10"/>
              </w:rPr>
              <w:t>H - Other FTB</w:t>
            </w:r>
          </w:p>
        </w:tc>
        <w:tc>
          <w:tcPr>
            <w:tcW w:w="308" w:type="dxa"/>
            <w:shd w:val="clear" w:color="auto" w:fill="F9C090"/>
          </w:tcPr>
          <w:p>
            <w:pPr>
              <w:pStyle w:val="TableParagraph"/>
              <w:spacing w:before="0"/>
              <w:rPr>
                <w:rFonts w:ascii="Times New Roman"/>
                <w:sz w:val="2"/>
              </w:rPr>
            </w:pPr>
          </w:p>
        </w:tc>
        <w:tc>
          <w:tcPr>
            <w:tcW w:w="1460" w:type="dxa"/>
          </w:tcPr>
          <w:p>
            <w:pPr>
              <w:pStyle w:val="TableParagraph"/>
              <w:spacing w:line="168" w:lineRule="exact" w:before="0"/>
              <w:ind w:left="13"/>
              <w:rPr>
                <w:sz w:val="10"/>
              </w:rPr>
            </w:pPr>
            <w:r>
              <w:rPr>
                <w:w w:val="105"/>
                <w:sz w:val="10"/>
              </w:rPr>
              <w:t>I - Other Family</w:t>
            </w:r>
          </w:p>
        </w:tc>
        <w:tc>
          <w:tcPr>
            <w:tcW w:w="308" w:type="dxa"/>
            <w:shd w:val="clear" w:color="auto" w:fill="FBDDC4"/>
          </w:tcPr>
          <w:p>
            <w:pPr>
              <w:pStyle w:val="TableParagraph"/>
              <w:spacing w:before="0"/>
              <w:rPr>
                <w:rFonts w:ascii="Times New Roman"/>
                <w:sz w:val="2"/>
              </w:rPr>
            </w:pPr>
          </w:p>
        </w:tc>
        <w:tc>
          <w:tcPr>
            <w:tcW w:w="1174" w:type="dxa"/>
          </w:tcPr>
          <w:p>
            <w:pPr>
              <w:pStyle w:val="TableParagraph"/>
              <w:spacing w:line="168" w:lineRule="exact" w:before="0"/>
              <w:ind w:left="13"/>
              <w:rPr>
                <w:sz w:val="10"/>
              </w:rPr>
            </w:pPr>
            <w:r>
              <w:rPr>
                <w:w w:val="105"/>
                <w:sz w:val="10"/>
              </w:rPr>
              <w:t>J - Other New Parents</w:t>
            </w:r>
          </w:p>
        </w:tc>
        <w:tc>
          <w:tcPr>
            <w:tcW w:w="308" w:type="dxa"/>
            <w:shd w:val="clear" w:color="auto" w:fill="808080"/>
          </w:tcPr>
          <w:p>
            <w:pPr>
              <w:pStyle w:val="TableParagraph"/>
              <w:spacing w:before="0"/>
              <w:rPr>
                <w:rFonts w:ascii="Times New Roman"/>
                <w:sz w:val="2"/>
              </w:rPr>
            </w:pPr>
          </w:p>
        </w:tc>
        <w:tc>
          <w:tcPr>
            <w:tcW w:w="1417" w:type="dxa"/>
          </w:tcPr>
          <w:p>
            <w:pPr>
              <w:pStyle w:val="TableParagraph"/>
              <w:spacing w:line="168" w:lineRule="exact" w:before="0"/>
              <w:ind w:left="13"/>
              <w:rPr>
                <w:sz w:val="10"/>
              </w:rPr>
            </w:pPr>
            <w:r>
              <w:rPr>
                <w:w w:val="105"/>
                <w:sz w:val="10"/>
              </w:rPr>
              <w:t>L - Other Health &amp; Disability</w:t>
            </w:r>
          </w:p>
        </w:tc>
        <w:tc>
          <w:tcPr>
            <w:tcW w:w="308" w:type="dxa"/>
            <w:tcBorders>
              <w:top w:val="single" w:sz="52" w:space="0" w:color="C0504D"/>
            </w:tcBorders>
            <w:shd w:val="clear" w:color="auto" w:fill="ECB8E7"/>
          </w:tcPr>
          <w:p>
            <w:pPr>
              <w:pStyle w:val="TableParagraph"/>
              <w:spacing w:before="0"/>
              <w:rPr>
                <w:rFonts w:ascii="Times New Roman"/>
                <w:sz w:val="2"/>
              </w:rPr>
            </w:pPr>
          </w:p>
        </w:tc>
        <w:tc>
          <w:tcPr>
            <w:tcW w:w="792" w:type="dxa"/>
          </w:tcPr>
          <w:p>
            <w:pPr>
              <w:pStyle w:val="TableParagraph"/>
              <w:spacing w:line="168" w:lineRule="exact" w:before="0"/>
              <w:ind w:left="13"/>
              <w:rPr>
                <w:sz w:val="10"/>
              </w:rPr>
            </w:pPr>
            <w:r>
              <w:rPr>
                <w:w w:val="105"/>
                <w:sz w:val="10"/>
              </w:rPr>
              <w:t>M - Other Carer</w:t>
            </w:r>
          </w:p>
        </w:tc>
      </w:tr>
      <w:tr>
        <w:trPr>
          <w:trHeight w:val="65" w:hRule="atLeast"/>
        </w:trPr>
        <w:tc>
          <w:tcPr>
            <w:tcW w:w="1525" w:type="dxa"/>
          </w:tcPr>
          <w:p>
            <w:pPr>
              <w:pStyle w:val="TableParagraph"/>
              <w:spacing w:line="271" w:lineRule="exact" w:before="0"/>
              <w:ind w:left="322"/>
              <w:rPr>
                <w:sz w:val="10"/>
              </w:rPr>
            </w:pPr>
            <w:r>
              <w:rPr>
                <w:w w:val="105"/>
                <w:sz w:val="10"/>
              </w:rPr>
              <w:t>N - Other Study &amp; Skills</w:t>
            </w:r>
          </w:p>
        </w:tc>
        <w:tc>
          <w:tcPr>
            <w:tcW w:w="308" w:type="dxa"/>
            <w:tcBorders>
              <w:top w:val="single" w:sz="52" w:space="0" w:color="F8A763"/>
            </w:tcBorders>
            <w:shd w:val="clear" w:color="auto" w:fill="808080"/>
          </w:tcPr>
          <w:p>
            <w:pPr>
              <w:pStyle w:val="TableParagraph"/>
              <w:spacing w:before="0"/>
              <w:rPr>
                <w:rFonts w:ascii="Times New Roman"/>
                <w:sz w:val="2"/>
              </w:rPr>
            </w:pPr>
          </w:p>
        </w:tc>
        <w:tc>
          <w:tcPr>
            <w:tcW w:w="1546" w:type="dxa"/>
          </w:tcPr>
          <w:p>
            <w:pPr>
              <w:pStyle w:val="TableParagraph"/>
              <w:spacing w:line="271" w:lineRule="exact" w:before="0"/>
              <w:ind w:left="13"/>
              <w:rPr>
                <w:sz w:val="10"/>
              </w:rPr>
            </w:pPr>
            <w:r>
              <w:rPr>
                <w:w w:val="105"/>
                <w:sz w:val="10"/>
              </w:rPr>
              <w:t>O - Other Remote &amp; Regional</w:t>
            </w:r>
          </w:p>
        </w:tc>
        <w:tc>
          <w:tcPr>
            <w:tcW w:w="308" w:type="dxa"/>
            <w:tcBorders>
              <w:top w:val="single" w:sz="52" w:space="0" w:color="F9C090"/>
            </w:tcBorders>
            <w:shd w:val="clear" w:color="auto" w:fill="A6A6A6"/>
          </w:tcPr>
          <w:p>
            <w:pPr>
              <w:pStyle w:val="TableParagraph"/>
              <w:spacing w:before="0"/>
              <w:rPr>
                <w:rFonts w:ascii="Times New Roman"/>
                <w:sz w:val="2"/>
              </w:rPr>
            </w:pPr>
          </w:p>
        </w:tc>
        <w:tc>
          <w:tcPr>
            <w:tcW w:w="1460" w:type="dxa"/>
          </w:tcPr>
          <w:p>
            <w:pPr>
              <w:pStyle w:val="TableParagraph"/>
              <w:spacing w:line="271" w:lineRule="exact" w:before="0"/>
              <w:ind w:left="13"/>
              <w:rPr>
                <w:sz w:val="10"/>
              </w:rPr>
            </w:pPr>
            <w:r>
              <w:rPr>
                <w:w w:val="105"/>
                <w:sz w:val="10"/>
              </w:rPr>
              <w:t>P - Other General Allowances</w:t>
            </w:r>
          </w:p>
        </w:tc>
        <w:tc>
          <w:tcPr>
            <w:tcW w:w="308" w:type="dxa"/>
            <w:tcBorders>
              <w:top w:val="single" w:sz="52" w:space="0" w:color="FBDDC4"/>
            </w:tcBorders>
            <w:shd w:val="clear" w:color="auto" w:fill="D9D9D9"/>
          </w:tcPr>
          <w:p>
            <w:pPr>
              <w:pStyle w:val="TableParagraph"/>
              <w:spacing w:before="0"/>
              <w:rPr>
                <w:rFonts w:ascii="Times New Roman"/>
                <w:sz w:val="2"/>
              </w:rPr>
            </w:pPr>
          </w:p>
        </w:tc>
        <w:tc>
          <w:tcPr>
            <w:tcW w:w="1174" w:type="dxa"/>
          </w:tcPr>
          <w:p>
            <w:pPr>
              <w:pStyle w:val="TableParagraph"/>
              <w:spacing w:line="271" w:lineRule="exact" w:before="0"/>
              <w:ind w:left="13"/>
              <w:rPr>
                <w:sz w:val="10"/>
              </w:rPr>
            </w:pPr>
            <w:r>
              <w:rPr>
                <w:w w:val="105"/>
                <w:sz w:val="10"/>
              </w:rPr>
              <w:t>Q - All Other</w:t>
            </w:r>
          </w:p>
        </w:tc>
        <w:tc>
          <w:tcPr>
            <w:tcW w:w="308" w:type="dxa"/>
            <w:tcBorders>
              <w:top w:val="single" w:sz="52" w:space="0" w:color="808080"/>
            </w:tcBorders>
            <w:shd w:val="clear" w:color="auto" w:fill="413C22"/>
          </w:tcPr>
          <w:p>
            <w:pPr>
              <w:pStyle w:val="TableParagraph"/>
              <w:spacing w:before="0"/>
              <w:rPr>
                <w:rFonts w:ascii="Times New Roman"/>
                <w:sz w:val="2"/>
              </w:rPr>
            </w:pPr>
          </w:p>
        </w:tc>
        <w:tc>
          <w:tcPr>
            <w:tcW w:w="1417" w:type="dxa"/>
          </w:tcPr>
          <w:p>
            <w:pPr>
              <w:pStyle w:val="TableParagraph"/>
              <w:spacing w:line="271" w:lineRule="exact" w:before="0"/>
              <w:ind w:left="13"/>
              <w:rPr>
                <w:sz w:val="10"/>
              </w:rPr>
            </w:pPr>
            <w:r>
              <w:rPr>
                <w:w w:val="105"/>
                <w:sz w:val="10"/>
              </w:rPr>
              <w:t>R - Rent Assistance</w:t>
            </w:r>
          </w:p>
        </w:tc>
        <w:tc>
          <w:tcPr>
            <w:tcW w:w="308" w:type="dxa"/>
          </w:tcPr>
          <w:p>
            <w:pPr>
              <w:pStyle w:val="TableParagraph"/>
              <w:spacing w:before="0"/>
              <w:rPr>
                <w:rFonts w:ascii="Times New Roman"/>
                <w:sz w:val="2"/>
              </w:rPr>
            </w:pPr>
          </w:p>
        </w:tc>
        <w:tc>
          <w:tcPr>
            <w:tcW w:w="792" w:type="dxa"/>
          </w:tcPr>
          <w:p>
            <w:pPr>
              <w:pStyle w:val="TableParagraph"/>
              <w:spacing w:before="0"/>
              <w:rPr>
                <w:rFonts w:ascii="Times New Roman"/>
                <w:sz w:val="2"/>
              </w:rPr>
            </w:pPr>
          </w:p>
        </w:tc>
      </w:tr>
    </w:tbl>
    <w:p>
      <w:pPr>
        <w:pStyle w:val="BodyText"/>
        <w:spacing w:before="7"/>
        <w:rPr>
          <w:rFonts w:ascii="Calibri"/>
          <w:b/>
          <w:sz w:val="12"/>
        </w:rPr>
      </w:pPr>
    </w:p>
    <w:p>
      <w:pPr>
        <w:pStyle w:val="BodyText"/>
        <w:spacing w:before="92"/>
        <w:ind w:left="900" w:right="1602"/>
        <w:jc w:val="both"/>
      </w:pPr>
      <w:r>
        <w:rPr/>
        <w:pict>
          <v:group style="position:absolute;margin-left:56.808338pt;margin-top:-27.655012pt;width:15.4pt;height:19.95pt;mso-position-horizontal-relative:page;mso-position-vertical-relative:paragraph;z-index:-287859712" coordorigin="1136,-553" coordsize="308,399">
            <v:rect style="position:absolute;left:1136;top:-554;width:308;height:131" filled="true" fillcolor="#1f487c" stroked="false">
              <v:fill type="solid"/>
            </v:rect>
            <v:rect style="position:absolute;left:1136;top:-423;width:308;height:131" filled="true" fillcolor="#c9dba4" stroked="false">
              <v:fill type="solid"/>
            </v:rect>
            <v:rect style="position:absolute;left:1136;top:-292;width:308;height:138" filled="true" fillcolor="#bebebe" stroked="false">
              <v:fill type="solid"/>
            </v:rect>
            <w10:wrap type="none"/>
          </v:group>
        </w:pict>
      </w:r>
      <w:r>
        <w:rPr/>
        <w:pict>
          <v:rect style="position:absolute;margin-left:133.039642pt;margin-top:-14.589795pt;width:15.389132pt;height:6.876222pt;mso-position-horizontal-relative:page;mso-position-vertical-relative:paragraph;z-index:-287858688" filled="true" fillcolor="#808080" stroked="false">
            <v:fill type="solid"/>
            <w10:wrap type="none"/>
          </v:rect>
        </w:pict>
      </w:r>
      <w:r>
        <w:rPr/>
        <w:pict>
          <v:rect style="position:absolute;margin-left:225.734116pt;margin-top:-14.589765pt;width:15.38949pt;height:6.876222pt;mso-position-horizontal-relative:page;mso-position-vertical-relative:paragraph;z-index:-287857664" filled="true" fillcolor="#a6a6a6" stroked="false">
            <v:fill type="solid"/>
            <w10:wrap type="none"/>
          </v:rect>
        </w:pict>
      </w:r>
      <w:r>
        <w:rPr/>
        <w:pict>
          <v:rect style="position:absolute;margin-left:314.134552pt;margin-top:-14.589734pt;width:15.38949pt;height:6.876222pt;mso-position-horizontal-relative:page;mso-position-vertical-relative:paragraph;z-index:-287856640" filled="true" fillcolor="#d9d9d9" stroked="false">
            <v:fill type="solid"/>
            <w10:wrap type="none"/>
          </v:rect>
        </w:pict>
      </w:r>
      <w:r>
        <w:rPr/>
        <w:pict>
          <v:rect style="position:absolute;margin-left:388.218842pt;margin-top:-14.589704pt;width:15.38949pt;height:6.876222pt;mso-position-horizontal-relative:page;mso-position-vertical-relative:paragraph;z-index:-287855616" filled="true" fillcolor="#413c22" stroked="false">
            <v:fill type="solid"/>
            <w10:wrap type="none"/>
          </v:rect>
        </w:pict>
      </w:r>
      <w:r>
        <w:rPr>
          <w:color w:val="404040"/>
        </w:rPr>
        <w:t>The largest contribution is from the Age Pension which represents 61% of the total lifetime cost. The next largest income support contributions are from the Disability Support Pension (9%) and Working Age (5%) payment categories.</w:t>
      </w:r>
    </w:p>
    <w:p>
      <w:pPr>
        <w:spacing w:after="0"/>
        <w:jc w:val="both"/>
        <w:sectPr>
          <w:pgSz w:w="11910" w:h="16850"/>
          <w:pgMar w:header="572" w:footer="581" w:top="780" w:bottom="780" w:left="120" w:right="0"/>
        </w:sectPr>
      </w:pPr>
    </w:p>
    <w:p>
      <w:pPr>
        <w:pStyle w:val="BodyText"/>
      </w:pPr>
    </w:p>
    <w:p>
      <w:pPr>
        <w:pStyle w:val="BodyText"/>
      </w:pPr>
    </w:p>
    <w:p>
      <w:pPr>
        <w:pStyle w:val="BodyText"/>
        <w:spacing w:before="9"/>
        <w:rPr>
          <w:sz w:val="21"/>
        </w:rPr>
      </w:pPr>
    </w:p>
    <w:p>
      <w:pPr>
        <w:pStyle w:val="Heading4"/>
        <w:spacing w:before="92"/>
      </w:pPr>
      <w:bookmarkStart w:name="Contribution of each welfare class to to" w:id="137"/>
      <w:bookmarkEnd w:id="137"/>
      <w:r>
        <w:rPr/>
      </w:r>
      <w:r>
        <w:rPr>
          <w:color w:val="DF2F28"/>
        </w:rPr>
        <w:t>Contribution of each welfare class to total lifetime cost</w:t>
      </w:r>
    </w:p>
    <w:p>
      <w:pPr>
        <w:pStyle w:val="BodyText"/>
        <w:spacing w:before="119"/>
        <w:ind w:left="900" w:right="1131"/>
      </w:pPr>
      <w:r>
        <w:rPr>
          <w:color w:val="404040"/>
        </w:rPr>
        <w:t>The relative contributions of each class to the total lifetime cost are impacted by both the numbers of people in each class as well as the average cost for each person.</w:t>
      </w:r>
    </w:p>
    <w:p>
      <w:pPr>
        <w:pStyle w:val="Heading9"/>
        <w:spacing w:before="176"/>
      </w:pPr>
      <w:r>
        <w:rPr>
          <w:color w:val="DF2F1E"/>
        </w:rPr>
        <w:t>Figure 37: Drivers of welfare class lifetime costs</w:t>
      </w:r>
    </w:p>
    <w:p>
      <w:pPr>
        <w:pStyle w:val="BodyText"/>
        <w:rPr>
          <w:b/>
        </w:rPr>
      </w:pPr>
    </w:p>
    <w:p>
      <w:pPr>
        <w:pStyle w:val="BodyText"/>
        <w:rPr>
          <w:b/>
          <w:sz w:val="10"/>
        </w:rPr>
      </w:pPr>
    </w:p>
    <w:p>
      <w:pPr>
        <w:tabs>
          <w:tab w:pos="6319" w:val="left" w:leader="none"/>
        </w:tabs>
        <w:spacing w:before="88"/>
        <w:ind w:left="1760" w:right="0" w:firstLine="0"/>
        <w:jc w:val="left"/>
        <w:rPr>
          <w:rFonts w:ascii="Calibri"/>
          <w:sz w:val="10"/>
        </w:rPr>
      </w:pPr>
      <w:r>
        <w:rPr/>
        <w:pict>
          <v:group style="position:absolute;margin-left:120.899673pt;margin-top:2.040747pt;width:154.65pt;height:139.4pt;mso-position-horizontal-relative:page;mso-position-vertical-relative:paragraph;z-index:-287854592" coordorigin="2418,41" coordsize="3093,2788">
            <v:shape style="position:absolute;left:2861;top:40;width:2206;height:2788" coordorigin="2862,41" coordsize="2206,2788" path="m2862,41l2862,323m2862,450l2862,1018m2862,1151l2862,1253m2862,1381l2862,1484m2862,1616l2862,1949m2862,2081l2862,2184m2862,2312l2862,2415m2862,2547l2862,2650m2862,2777l2862,2829m3303,2547l3303,2650m3303,2777l3303,2829m3744,2547l3744,2650m3744,2777l3744,2829m4185,2547l4185,2650m4185,2777l4185,2829m4626,2547l4626,2650m4626,2777l4626,2829m5067,2547l5067,2650m5067,2777l5067,2829e" filled="false" stroked="true" strokeweight=".245056pt" strokecolor="#d9d9d9">
              <v:path arrowok="t"/>
              <v:stroke dashstyle="solid"/>
            </v:shape>
            <v:shape style="position:absolute;left:5508;top:40;width:2;height:2788" coordorigin="5508,41" coordsize="0,2788" path="m5508,41l5508,2650m5508,2777l5508,2829e" filled="false" stroked="true" strokeweight=".245056pt" strokecolor="#d9d9d9">
              <v:path arrowok="t"/>
              <v:stroke dashstyle="solid"/>
            </v:shape>
            <v:line style="position:absolute" from="2423,2714" to="5511,2714" stroked="true" strokeweight="6.3694pt" strokecolor="#a6a6a6">
              <v:stroke dashstyle="solid"/>
            </v:line>
            <v:shape style="position:absolute;left:3302;top:40;width:1765;height:2374" coordorigin="3303,41" coordsize="1765,2374" path="m3303,2312l3303,2415m3744,2312l3744,2415m4185,1381l4185,2415m4626,1381l4626,2415m5067,41l5067,2415e" filled="false" stroked="true" strokeweight=".245056pt" strokecolor="#d9d9d9">
              <v:path arrowok="t"/>
              <v:stroke dashstyle="solid"/>
            </v:shape>
            <v:line style="position:absolute" from="2423,2481" to="5261,2481" stroked="true" strokeweight="6.614373pt" strokecolor="#a6a6a6">
              <v:stroke dashstyle="solid"/>
            </v:line>
            <v:shape style="position:absolute;left:3302;top:1616;width:442;height:569" coordorigin="3303,1616" coordsize="442,569" path="m3303,1616l3303,2184m3744,1616l3744,2184e" filled="false" stroked="true" strokeweight=".245056pt" strokecolor="#d9d9d9">
              <v:path arrowok="t"/>
              <v:stroke dashstyle="solid"/>
            </v:shape>
            <v:line style="position:absolute" from="2423,2248" to="3830,2248" stroked="true" strokeweight="6.3694pt" strokecolor="#a6a6a6">
              <v:stroke dashstyle="solid"/>
            </v:line>
            <v:line style="position:absolute" from="2423,2015" to="2996,2015" stroked="true" strokeweight="6.614373pt" strokecolor="#a6a6a6">
              <v:stroke dashstyle="solid"/>
            </v:line>
            <v:line style="position:absolute" from="2423,1783" to="2614,1783" stroked="true" strokeweight="6.3694pt" strokecolor="#a6a6a6">
              <v:stroke dashstyle="solid"/>
            </v:line>
            <v:shape style="position:absolute;left:3302;top:1380;width:442;height:103" coordorigin="3303,1381" coordsize="442,103" path="m3303,1381l3303,1484m3744,1381l3744,1484e" filled="false" stroked="true" strokeweight=".245056pt" strokecolor="#d9d9d9">
              <v:path arrowok="t"/>
              <v:stroke dashstyle="solid"/>
            </v:shape>
            <v:line style="position:absolute" from="2423,1550" to="3781,1550" stroked="true" strokeweight="6.614373pt" strokecolor="#a6a6a6">
              <v:stroke dashstyle="solid"/>
            </v:line>
            <v:shape style="position:absolute;left:3302;top:40;width:1324;height:1213" coordorigin="3303,41" coordsize="1324,1213" path="m3303,450l3303,1253m3744,41l3744,1253m4185,41l4185,1253m4626,41l4626,1253e" filled="false" stroked="true" strokeweight=".245056pt" strokecolor="#d9d9d9">
              <v:path arrowok="t"/>
              <v:stroke dashstyle="solid"/>
            </v:shape>
            <v:line style="position:absolute" from="2423,1317" to="4633,1317" stroked="true" strokeweight="6.3694pt" strokecolor="#a6a6a6">
              <v:stroke dashstyle="solid"/>
            </v:line>
            <v:line style="position:absolute" from="2423,1084" to="3094,1084" stroked="true" strokeweight="6.614373pt" strokecolor="#a6a6a6">
              <v:stroke dashstyle="solid"/>
            </v:line>
            <v:line style="position:absolute" from="2423,852" to="2683,852" stroked="true" strokeweight="6.3694pt" strokecolor="#a6a6a6">
              <v:stroke dashstyle="solid"/>
            </v:line>
            <v:line style="position:absolute" from="2423,619" to="2756,619" stroked="true" strokeweight="6.614373pt" strokecolor="#a6a6a6">
              <v:stroke dashstyle="solid"/>
            </v:line>
            <v:line style="position:absolute" from="3303,41" to="3303,323" stroked="true" strokeweight=".245056pt" strokecolor="#d9d9d9">
              <v:stroke dashstyle="solid"/>
            </v:line>
            <v:line style="position:absolute" from="2423,386" to="3511,386" stroked="true" strokeweight="6.3694pt" strokecolor="#a6a6a6">
              <v:stroke dashstyle="solid"/>
            </v:line>
            <v:line style="position:absolute" from="2423,156" to="2737,156" stroked="true" strokeweight="6.3694pt" strokecolor="#a6a6a6">
              <v:stroke dashstyle="solid"/>
            </v:line>
            <v:line style="position:absolute" from="2420,2829" to="2420,41" stroked="true" strokeweight=".245058pt" strokecolor="#d9d9d9">
              <v:stroke dashstyle="solid"/>
            </v:line>
            <w10:wrap type="none"/>
          </v:group>
        </w:pict>
      </w:r>
      <w:r>
        <w:rPr/>
        <w:pict>
          <v:group style="position:absolute;margin-left:347.401794pt;margin-top:1.678861pt;width:155.75pt;height:141.5pt;mso-position-horizontal-relative:page;mso-position-vertical-relative:paragraph;z-index:252049408" coordorigin="6948,34" coordsize="3115,2830">
            <v:shape style="position:absolute;left:7497;top:36;width:2;height:751" coordorigin="7498,36" coordsize="0,751" path="m7498,36l7498,85m7498,218l7498,321m7498,448l7498,551m7498,684l7498,787e" filled="false" stroked="true" strokeweight=".245426pt" strokecolor="#bebebe">
              <v:path arrowok="t"/>
              <v:stroke dashstyle="solid"/>
            </v:shape>
            <v:line style="position:absolute" from="6982,618" to="7233,618" stroked="true" strokeweight="6.624921pt" strokecolor="#009544">
              <v:stroke dashstyle="solid"/>
            </v:line>
            <v:rect style="position:absolute;left:6982;top:551;width:251;height:133" filled="false" stroked="true" strokeweight=".245379pt" strokecolor="#009544">
              <v:stroke dashstyle="solid"/>
            </v:rect>
            <v:line style="position:absolute" from="7233,618" to="7562,618" stroked="true" strokeweight="6.624951pt" strokecolor="#e16b09">
              <v:stroke dashstyle="solid"/>
            </v:line>
            <v:rect style="position:absolute;left:6982;top:320;width:5;height:128" filled="false" stroked="true" strokeweight=".245425pt" strokecolor="#1f487c">
              <v:stroke dashstyle="solid"/>
            </v:rect>
            <v:line style="position:absolute" from="6987,384" to="7306,384" stroked="true" strokeweight="6.379555pt" strokecolor="#009544">
              <v:stroke dashstyle="solid"/>
            </v:line>
            <v:rect style="position:absolute;left:6987;top:320;width:320;height:128" filled="false" stroked="true" strokeweight=".245374pt" strokecolor="#009544">
              <v:stroke dashstyle="solid"/>
            </v:rect>
            <v:rect style="position:absolute;left:7306;top:320;width:35;height:128" filled="true" fillcolor="#e16b09" stroked="false">
              <v:fill type="solid"/>
            </v:rect>
            <v:rect style="position:absolute;left:6982;top:786;width:5;height:128" filled="false" stroked="true" strokeweight=".245425pt" strokecolor="#1f487c">
              <v:stroke dashstyle="solid"/>
            </v:rect>
            <v:rect style="position:absolute;left:6982;top:786;width:106;height:128" filled="true" fillcolor="#009544" stroked="false">
              <v:fill type="solid"/>
            </v:rect>
            <v:rect style="position:absolute;left:6982;top:786;width:108;height:128" filled="false" stroked="true" strokeweight=".2454pt" strokecolor="#009544">
              <v:stroke dashstyle="solid"/>
            </v:rect>
            <v:shape style="position:absolute;left:25095;top:-190541;width:109509;height:138027" coordorigin="25096,-190541" coordsize="109509,138027" path="m7105,914l7090,914,7090,787,7105,787,7105,914xm7562,684l7233,684,7233,551,7562,551,7562,684xm7341,448l7306,448,7306,321,7341,321,7341,448xe" filled="false" stroked="true" strokeweight=".245397pt" strokecolor="#e16b09">
              <v:path arrowok="t"/>
              <v:stroke dashstyle="solid"/>
            </v:shape>
            <v:line style="position:absolute" from="7498,914" to="7498,1018" stroked="true" strokeweight=".245426pt" strokecolor="#bebebe">
              <v:stroke dashstyle="solid"/>
            </v:line>
            <v:line style="position:absolute" from="7105,851" to="7930,851" stroked="true" strokeweight="6.379581pt" strokecolor="#e08ad6">
              <v:stroke dashstyle="solid"/>
            </v:line>
            <v:line style="position:absolute" from="7562,618" to="7778,618" stroked="true" strokeweight="6.62495pt" strokecolor="#e08ad6">
              <v:stroke dashstyle="solid"/>
            </v:line>
            <v:rect style="position:absolute;left:7340;top:320;width:104;height:128" filled="true" fillcolor="#e08ad6" stroked="false">
              <v:fill type="solid"/>
            </v:rect>
            <v:rect style="position:absolute;left:6982;top:85;width:59;height:133" filled="true" fillcolor="#1f487c" stroked="false">
              <v:fill type="solid"/>
            </v:rect>
            <v:rect style="position:absolute;left:6982;top:85;width:59;height:133" filled="false" stroked="true" strokeweight=".245416pt" strokecolor="#1f487c">
              <v:stroke dashstyle="solid"/>
            </v:rect>
            <v:rect style="position:absolute;left:7041;top:85;width:104;height:133" filled="true" fillcolor="#009544" stroked="false">
              <v:fill type="solid"/>
            </v:rect>
            <v:rect style="position:absolute;left:7041;top:85;width:104;height:133" filled="false" stroked="true" strokeweight=".245403pt" strokecolor="#009544">
              <v:stroke dashstyle="solid"/>
            </v:rect>
            <v:rect style="position:absolute;left:7144;top:85;width:45;height:133" filled="true" fillcolor="#e16b09" stroked="false">
              <v:fill type="solid"/>
            </v:rect>
            <v:rect style="position:absolute;left:7144;top:85;width:45;height:133" filled="false" stroked="true" strokeweight=".24542pt" strokecolor="#e16b09">
              <v:stroke dashstyle="solid"/>
            </v:rect>
            <v:rect style="position:absolute;left:7188;top:85;width:69;height:133" filled="true" fillcolor="#e08ad6" stroked="false">
              <v:fill type="solid"/>
            </v:rect>
            <v:line style="position:absolute" from="6985,1015" to="6985,1148" stroked="true" strokeweight=".490851pt" strokecolor="#009544">
              <v:stroke dashstyle="solid"/>
            </v:line>
            <v:shape style="position:absolute;left:2215;top:-236661;width:211544;height:239233" coordorigin="2215,-236660" coordsize="211544,239233" path="m6997,1145l6992,1145,6992,1018,6997,1018,6997,1145xm7930,914l7105,914,7105,787,7930,787,7930,914xm7778,684l7562,684,7562,551,7778,551,7778,684xm7444,448l7341,448,7341,321,7444,321,7444,448xm7257,218l7189,218,7189,85,7257,85,7257,218xe" filled="false" stroked="true" strokeweight=".245397pt" strokecolor="#e08ad6">
              <v:path arrowok="t"/>
              <v:stroke dashstyle="solid"/>
            </v:shape>
            <v:shape style="position:absolute;left:7497;top:914;width:1026;height:1914" coordorigin="7498,914" coordsize="1026,1914" path="m7498,1145l7498,1253m8008,914l8008,1018m8008,1145l8008,1253m8524,914l8524,1018m8524,1145l8524,2828e" filled="false" stroked="true" strokeweight=".245426pt" strokecolor="#bebebe">
              <v:path arrowok="t"/>
              <v:stroke dashstyle="solid"/>
            </v:shape>
            <v:line style="position:absolute" from="6997,1081" to="8538,1081" stroked="true" strokeweight="6.379567pt" strokecolor="#8063a1">
              <v:stroke dashstyle="solid"/>
            </v:line>
            <v:line style="position:absolute" from="8008,684" to="8008,787" stroked="true" strokeweight=".245426pt" strokecolor="#bebebe">
              <v:stroke dashstyle="solid"/>
            </v:line>
            <v:rect style="position:absolute;left:7929;top:786;width:89;height:128" filled="true" fillcolor="#8063a1" stroked="false">
              <v:fill type="solid"/>
            </v:rect>
            <v:line style="position:absolute" from="7778,618" to="7915,618" stroked="true" strokeweight="6.624936pt" strokecolor="#8063a1">
              <v:stroke dashstyle="solid"/>
            </v:line>
            <v:line style="position:absolute" from="7444,384" to="7601,384" stroked="true" strokeweight="6.379572pt" strokecolor="#8063a1">
              <v:stroke dashstyle="solid"/>
            </v:line>
            <v:rect style="position:absolute;left:7257;top:85;width:79;height:133" filled="true" fillcolor="#8063a1" stroked="false">
              <v:fill type="solid"/>
            </v:rect>
            <v:rect style="position:absolute;left:6982;top:2646;width:10;height:133" filled="true" fillcolor="#1f487c" stroked="false">
              <v:fill type="solid"/>
            </v:rect>
            <v:line style="position:absolute" from="6987,2644" to="6987,2782" stroked="true" strokeweight=".736272pt" strokecolor="#1f487c">
              <v:stroke dashstyle="solid"/>
            </v:line>
            <v:rect style="position:absolute;left:6992;top:2646;width:50;height:133" filled="true" fillcolor="#009544" stroked="false">
              <v:fill type="solid"/>
            </v:rect>
            <v:rect style="position:absolute;left:6992;top:2646;width:50;height:133" filled="false" stroked="true" strokeweight=".245417pt" strokecolor="#009544">
              <v:stroke dashstyle="solid"/>
            </v:rect>
            <v:rect style="position:absolute;left:7041;top:2646;width:25;height:133" filled="true" fillcolor="#e16b09" stroked="false">
              <v:fill type="solid"/>
            </v:rect>
            <v:rect style="position:absolute;left:7038;top:2644;width:30;height:138" filled="true" fillcolor="#e16b09" stroked="false">
              <v:fill type="solid"/>
            </v:rect>
            <v:rect style="position:absolute;left:7065;top:2646;width:40;height:133" filled="true" fillcolor="#e08ad6" stroked="false">
              <v:fill type="solid"/>
            </v:rect>
            <v:rect style="position:absolute;left:7065;top:2646;width:40;height:133" filled="false" stroked="true" strokeweight=".24542pt" strokecolor="#e08ad6">
              <v:stroke dashstyle="solid"/>
            </v:rect>
            <v:rect style="position:absolute;left:7105;top:2646;width:64;height:133" filled="true" fillcolor="#8063a1" stroked="false">
              <v:fill type="solid"/>
            </v:rect>
            <v:rect style="position:absolute;left:7105;top:2646;width:64;height:133" filled="false" stroked="true" strokeweight=".245414pt" strokecolor="#8063a1">
              <v:stroke dashstyle="solid"/>
            </v:rect>
            <v:rect style="position:absolute;left:6982;top:2416;width:5;height:128" filled="false" stroked="true" strokeweight=".245425pt" strokecolor="#1f487c">
              <v:stroke dashstyle="solid"/>
            </v:rect>
            <v:rect style="position:absolute;left:6982;top:2416;width:37;height:128" filled="true" fillcolor="#009544" stroked="false">
              <v:fill type="solid"/>
            </v:rect>
            <v:rect style="position:absolute;left:6982;top:2416;width:40;height:128" filled="false" stroked="true" strokeweight=".245419pt" strokecolor="#009544">
              <v:stroke dashstyle="solid"/>
            </v:rect>
            <v:rect style="position:absolute;left:7021;top:2416;width:5;height:128" filled="false" stroked="true" strokeweight=".245426pt" strokecolor="#e16b09">
              <v:stroke dashstyle="solid"/>
            </v:rect>
            <v:rect style="position:absolute;left:7021;top:2416;width:30;height:128" filled="true" fillcolor="#e08ad6" stroked="false">
              <v:fill type="solid"/>
            </v:rect>
            <v:rect style="position:absolute;left:7021;top:2416;width:30;height:128" filled="false" stroked="true" strokeweight=".245421pt" strokecolor="#e08ad6">
              <v:stroke dashstyle="solid"/>
            </v:rect>
            <v:rect style="position:absolute;left:7051;top:2416;width:30;height:128" filled="true" fillcolor="#8063a1" stroked="false">
              <v:fill type="solid"/>
            </v:rect>
            <v:rect style="position:absolute;left:7051;top:2416;width:30;height:128" filled="false" stroked="true" strokeweight=".245422pt" strokecolor="#8063a1">
              <v:stroke dashstyle="solid"/>
            </v:rect>
            <v:rect style="position:absolute;left:6982;top:2180;width:5;height:133" filled="true" fillcolor="#1f487c" stroked="false">
              <v:fill type="solid"/>
            </v:rect>
            <v:line style="position:absolute" from="6985,2178" to="6985,2315" stroked="true" strokeweight=".490851pt" strokecolor="#1f487c">
              <v:stroke dashstyle="solid"/>
            </v:line>
            <v:rect style="position:absolute;left:6987;top:2180;width:69;height:133" filled="true" fillcolor="#009544" stroked="false">
              <v:fill type="solid"/>
            </v:rect>
            <v:rect style="position:absolute;left:6987;top:2180;width:69;height:133" filled="false" stroked="true" strokeweight=".245412pt" strokecolor="#009544">
              <v:stroke dashstyle="solid"/>
            </v:rect>
            <v:rect style="position:absolute;left:7056;top:2180;width:15;height:133" filled="true" fillcolor="#e16b09" stroked="false">
              <v:fill type="solid"/>
            </v:rect>
            <v:line style="position:absolute" from="7063,2178" to="7063,2316" stroked="true" strokeweight=".981704pt" strokecolor="#e16b09">
              <v:stroke dashstyle="solid"/>
            </v:line>
            <v:rect style="position:absolute;left:7070;top:2180;width:45;height:133" filled="true" fillcolor="#e08ad6" stroked="false">
              <v:fill type="solid"/>
            </v:rect>
            <v:rect style="position:absolute;left:7070;top:2180;width:45;height:133" filled="false" stroked="true" strokeweight=".245419pt" strokecolor="#e08ad6">
              <v:stroke dashstyle="solid"/>
            </v:rect>
            <v:rect style="position:absolute;left:7114;top:2180;width:54;height:133" filled="true" fillcolor="#8063a1" stroked="false">
              <v:fill type="solid"/>
            </v:rect>
            <v:rect style="position:absolute;left:7114;top:2180;width:54;height:133" filled="false" stroked="true" strokeweight=".245417pt" strokecolor="#8063a1">
              <v:stroke dashstyle="solid"/>
            </v:rect>
            <v:rect style="position:absolute;left:6982;top:1949;width:5;height:128" filled="false" stroked="true" strokeweight=".245425pt" strokecolor="#1f487c">
              <v:stroke dashstyle="solid"/>
            </v:rect>
            <v:rect style="position:absolute;left:6987;top:1949;width:37;height:128" filled="true" fillcolor="#009544" stroked="false">
              <v:fill type="solid"/>
            </v:rect>
            <v:rect style="position:absolute;left:6987;top:1949;width:40;height:128" filled="false" stroked="true" strokeweight=".245419pt" strokecolor="#009544">
              <v:stroke dashstyle="solid"/>
            </v:rect>
            <v:rect style="position:absolute;left:7024;top:1947;width:20;height:133" filled="true" fillcolor="#e16b09" stroked="false">
              <v:fill type="solid"/>
            </v:rect>
            <v:rect style="position:absolute;left:7046;top:1949;width:25;height:128" filled="false" stroked="true" strokeweight=".245422pt" strokecolor="#e08ad6">
              <v:stroke dashstyle="solid"/>
            </v:rect>
            <v:rect style="position:absolute;left:7070;top:1949;width:35;height:128" filled="true" fillcolor="#8063a1" stroked="false">
              <v:fill type="solid"/>
            </v:rect>
            <v:rect style="position:absolute;left:7070;top:1949;width:35;height:128" filled="false" stroked="true" strokeweight=".245421pt" strokecolor="#8063a1">
              <v:stroke dashstyle="solid"/>
            </v:rect>
            <v:rect style="position:absolute;left:6982;top:1714;width:5;height:133" filled="true" fillcolor="#1f487c" stroked="false">
              <v:fill type="solid"/>
            </v:rect>
            <v:line style="position:absolute" from="6985,1712" to="6985,1849" stroked="true" strokeweight=".490851pt" strokecolor="#1f487c">
              <v:stroke dashstyle="solid"/>
            </v:line>
            <v:rect style="position:absolute;left:6982;top:1714;width:40;height:133" filled="true" fillcolor="#009544" stroked="false">
              <v:fill type="solid"/>
            </v:rect>
            <v:rect style="position:absolute;left:6982;top:1714;width:40;height:133" filled="false" stroked="true" strokeweight=".24542pt" strokecolor="#009544">
              <v:stroke dashstyle="solid"/>
            </v:rect>
            <v:rect style="position:absolute;left:7021;top:1714;width:5;height:133" filled="true" fillcolor="#e16b09" stroked="false">
              <v:fill type="solid"/>
            </v:rect>
            <v:line style="position:absolute" from="7024,1712" to="7024,1849" stroked="true" strokeweight=".490852pt" strokecolor="#e16b09">
              <v:stroke dashstyle="solid"/>
            </v:line>
            <v:rect style="position:absolute;left:7026;top:1714;width:99;height:133" filled="true" fillcolor="#e08ad6" stroked="false">
              <v:fill type="solid"/>
            </v:rect>
            <v:rect style="position:absolute;left:7026;top:1714;width:99;height:133" filled="false" stroked="true" strokeweight=".245405pt" strokecolor="#e08ad6">
              <v:stroke dashstyle="solid"/>
            </v:rect>
            <v:rect style="position:absolute;left:7124;top:1714;width:30;height:133" filled="true" fillcolor="#8063a1" stroked="false">
              <v:fill type="solid"/>
            </v:rect>
            <v:rect style="position:absolute;left:7124;top:1714;width:30;height:133" filled="false" stroked="true" strokeweight=".245422pt" strokecolor="#8063a1">
              <v:stroke dashstyle="solid"/>
            </v:rect>
            <v:rect style="position:absolute;left:6982;top:1483;width:5;height:128" filled="false" stroked="true" strokeweight=".245425pt" strokecolor="#1f487c">
              <v:stroke dashstyle="solid"/>
            </v:rect>
            <v:rect style="position:absolute;left:6982;top:1483;width:42;height:128" filled="true" fillcolor="#009544" stroked="false">
              <v:fill type="solid"/>
            </v:rect>
            <v:rect style="position:absolute;left:6982;top:1483;width:45;height:128" filled="false" stroked="true" strokeweight=".245418pt" strokecolor="#009544">
              <v:stroke dashstyle="solid"/>
            </v:rect>
            <v:rect style="position:absolute;left:7026;top:1483;width:15;height:128" filled="false" stroked="true" strokeweight=".245425pt" strokecolor="#e16b09">
              <v:stroke dashstyle="solid"/>
            </v:rect>
            <v:rect style="position:absolute;left:7041;top:1483;width:40;height:128" filled="true" fillcolor="#e08ad6" stroked="false">
              <v:fill type="solid"/>
            </v:rect>
            <v:rect style="position:absolute;left:7041;top:1483;width:40;height:128" filled="false" stroked="true" strokeweight=".245419pt" strokecolor="#e08ad6">
              <v:stroke dashstyle="solid"/>
            </v:rect>
            <v:rect style="position:absolute;left:7080;top:1483;width:35;height:128" filled="true" fillcolor="#8063a1" stroked="false">
              <v:fill type="solid"/>
            </v:rect>
            <v:shape style="position:absolute;left:0;top:-313361;width:322934;height:316821" coordorigin="0,-313360" coordsize="322934,316821" path="m7115,1611l7081,1611,7081,1484,7115,1484,7115,1611xm6982,1381l6987,1381,6987,1253,6982,1253,6982,1381xm8538,1145l6997,1145,6997,1018,8538,1018,8538,1145xm8018,914l7930,914,7930,787,8018,787,8018,914xm7915,684l7778,684,7778,551,7915,551,7915,684xm7601,448l7444,448,7444,321,7601,321,7601,448xm7336,218l7257,218,7257,85,7336,85,7336,218xe" filled="false" stroked="true" strokeweight=".245397pt" strokecolor="#8063a1">
              <v:path arrowok="t"/>
              <v:stroke dashstyle="solid"/>
            </v:shape>
            <v:shape style="position:absolute;left:7497;top:2543;width:2;height:285" coordorigin="7498,2544" coordsize="0,285" path="m7498,2544l7498,2647m7498,2779l7498,2828e" filled="false" stroked="true" strokeweight=".245426pt" strokecolor="#bebebe">
              <v:path arrowok="t"/>
              <v:stroke dashstyle="solid"/>
            </v:shape>
            <v:line style="position:absolute" from="7169,2713" to="7763,2713" stroked="true" strokeweight="6.624904pt" strokecolor="#c0504d">
              <v:stroke dashstyle="solid"/>
            </v:line>
            <v:line style="position:absolute" from="7498,2313" to="7498,2416" stroked="true" strokeweight=".245426pt" strokecolor="#bebebe">
              <v:stroke dashstyle="solid"/>
            </v:line>
            <v:line style="position:absolute" from="7081,2480" to="7763,2480" stroked="true" strokeweight="6.379533pt" strokecolor="#c0504d">
              <v:stroke dashstyle="solid"/>
            </v:line>
            <v:line style="position:absolute" from="7498,2077" to="7498,2181" stroked="true" strokeweight=".245426pt" strokecolor="#bebebe">
              <v:stroke dashstyle="solid"/>
            </v:line>
            <v:line style="position:absolute" from="7169,2247" to="7895,2247" stroked="true" strokeweight="6.624893pt" strokecolor="#c0504d">
              <v:stroke dashstyle="solid"/>
            </v:line>
            <v:line style="position:absolute" from="7498,1847" to="7498,1950" stroked="true" strokeweight=".245426pt" strokecolor="#bebebe">
              <v:stroke dashstyle="solid"/>
            </v:line>
            <v:line style="position:absolute" from="7105,2014" to="7542,2014" stroked="true" strokeweight="6.379533pt" strokecolor="#c0504d">
              <v:stroke dashstyle="solid"/>
            </v:line>
            <v:line style="position:absolute" from="7498,1611" to="7498,1714" stroked="true" strokeweight=".245426pt" strokecolor="#bebebe">
              <v:stroke dashstyle="solid"/>
            </v:line>
            <v:line style="position:absolute" from="7154,1781" to="7836,1781" stroked="true" strokeweight="6.624898pt" strokecolor="#c0504d">
              <v:stroke dashstyle="solid"/>
            </v:line>
            <v:line style="position:absolute" from="7498,1381" to="7498,1484" stroked="true" strokeweight=".245426pt" strokecolor="#bebebe">
              <v:stroke dashstyle="solid"/>
            </v:line>
            <v:line style="position:absolute" from="7115,1547" to="7836,1547" stroked="true" strokeweight="6.379533pt" strokecolor="#c0504d">
              <v:stroke dashstyle="solid"/>
            </v:line>
            <v:line style="position:absolute" from="8008,1381" to="8008,1484" stroked="true" strokeweight=".245426pt" strokecolor="#bebebe">
              <v:stroke dashstyle="solid"/>
            </v:line>
            <v:line style="position:absolute" from="6982,1317" to="8033,1317" stroked="true" strokeweight="6.379527pt" strokecolor="#c0504d">
              <v:stroke dashstyle="solid"/>
            </v:line>
            <v:shape style="position:absolute;left:9034;top:914;width:2;height:1914" coordorigin="9034,914" coordsize="0,1914" path="m9034,914l9034,1017m9034,1145l9034,2828e" filled="false" stroked="true" strokeweight=".245426pt" strokecolor="#bebebe">
              <v:path arrowok="t"/>
              <v:stroke dashstyle="solid"/>
            </v:shape>
            <v:line style="position:absolute" from="8538,1081" to="9442,1081" stroked="true" strokeweight="6.379533pt" strokecolor="#c0504d">
              <v:stroke dashstyle="solid"/>
            </v:line>
            <v:shape style="position:absolute;left:8523;top:683;width:511;height:104" coordorigin="8524,684" coordsize="511,104" path="m8524,684l8524,787m9034,684l9034,787e" filled="false" stroked="true" strokeweight=".245426pt" strokecolor="#bebebe">
              <v:path arrowok="t"/>
              <v:stroke dashstyle="solid"/>
            </v:shape>
            <v:line style="position:absolute" from="8018,851" to="9078,851" stroked="true" strokeweight="6.379533pt" strokecolor="#c0504d">
              <v:stroke dashstyle="solid"/>
            </v:line>
            <v:shape style="position:absolute;left:8008;top:448;width:516;height:104" coordorigin="8008,448" coordsize="516,104" path="m8008,448l8008,551m8524,448l8524,551e" filled="false" stroked="true" strokeweight=".245426pt" strokecolor="#bebebe">
              <v:path arrowok="t"/>
              <v:stroke dashstyle="solid"/>
            </v:shape>
            <v:line style="position:absolute" from="7915,618" to="8823,618" stroked="true" strokeweight="6.624898pt" strokecolor="#c0504d">
              <v:stroke dashstyle="solid"/>
            </v:line>
            <v:shape style="position:absolute;left:8008;top:36;width:516;height:285" coordorigin="8008,36" coordsize="516,285" path="m8008,218l8008,321m8524,36l8524,321e" filled="false" stroked="true" strokeweight=".245426pt" strokecolor="#bebebe">
              <v:path arrowok="t"/>
              <v:stroke dashstyle="solid"/>
            </v:shape>
            <v:line style="position:absolute" from="7601,384" to="8597,384" stroked="true" strokeweight="6.379533pt" strokecolor="#c0504d">
              <v:stroke dashstyle="solid"/>
            </v:line>
            <v:line style="position:absolute" from="8008,36" to="8008,85" stroked="true" strokeweight=".245426pt" strokecolor="#bebebe">
              <v:stroke dashstyle="solid"/>
            </v:line>
            <v:line style="position:absolute" from="7336,151" to="8013,151" stroked="true" strokeweight="6.624898pt" strokecolor="#c0504d">
              <v:stroke dashstyle="solid"/>
            </v:line>
            <v:shape style="position:absolute;left:0;top:-472606;width:435802;height:477555" coordorigin="0,-472606" coordsize="435802,477555" path="m7763,2779l7169,2779,7169,2647,7763,2647,7763,2779xm7763,2544l7081,2544,7081,2416,7763,2416,7763,2544xm7895,2313l7169,2313,7169,2181,7895,2181,7895,2313xm7542,2077l7105,2077,7105,1950,7542,1950,7542,2077xm7836,1847l7154,1847,7154,1714,7836,1714,7836,1847xm7836,1611l7115,1611,7115,1484,7836,1484,7836,1611xm8033,1381l6982,1381,6982,1253,8033,1253,8033,1381xm9442,1145l8538,1145,8538,1017,9442,1017,9442,1145xm9078,914l8018,914,8018,787,9078,787,9078,914xm8823,684l7915,684,7915,551,8823,551,8823,684xm8597,448l7601,448,7601,321,8597,321,8597,448xm8013,218l7336,218,7336,85,8013,85,8013,218xe" filled="false" stroked="true" strokeweight=".245396pt" strokecolor="#c0504d">
              <v:path arrowok="t"/>
              <v:stroke dashstyle="solid"/>
            </v:shape>
            <v:rect style="position:absolute;left:8597;top:320;width:5;height:128" filled="false" stroked="true" strokeweight=".245427pt" strokecolor="#c9dba4">
              <v:stroke dashstyle="solid"/>
            </v:rect>
            <v:shape style="position:absolute;left:7541;top:1714;width:393;height:1065" coordorigin="7542,1714" coordsize="393,1065" path="m7611,1950l7542,1950,7542,2077,7611,2077,7611,1950m7827,2647l7763,2647,7763,2779,7827,2779,7827,2647m7925,1714l7836,1714,7836,1847,7925,1847,7925,1714m7935,2181l7895,2181,7895,2313,7935,2313,7935,2181e" filled="true" fillcolor="#f8a763" stroked="false">
              <v:path arrowok="t"/>
              <v:fill type="solid"/>
            </v:shape>
            <v:line style="position:absolute" from="8008,1611" to="8008,1714" stroked="true" strokeweight=".245426pt" strokecolor="#bebebe">
              <v:stroke dashstyle="solid"/>
            </v:line>
            <v:rect style="position:absolute;left:7836;top:1483;width:133;height:128" filled="true" fillcolor="#f8a763" stroked="false">
              <v:fill type="solid"/>
            </v:rect>
            <v:shape style="position:absolute;left:9549;top:914;width:2;height:1914" coordorigin="9550,914" coordsize="0,1914" path="m9550,914l9550,1017m9550,1145l9550,2828e" filled="false" stroked="true" strokeweight=".245426pt" strokecolor="#bebebe">
              <v:path arrowok="t"/>
              <v:stroke dashstyle="solid"/>
            </v:shape>
            <v:rect style="position:absolute;left:9441;top:1017;width:47;height:128" filled="true" fillcolor="#f8a763" stroked="false">
              <v:fill type="solid"/>
            </v:rect>
            <v:line style="position:absolute" from="9078,851" to="9226,851" stroked="true" strokeweight="6.379507pt" strokecolor="#f8a763">
              <v:stroke dashstyle="solid"/>
            </v:line>
            <v:line style="position:absolute" from="9034,36" to="9034,551" stroked="true" strokeweight=".245426pt" strokecolor="#bebebe">
              <v:stroke dashstyle="solid"/>
            </v:line>
            <v:line style="position:absolute" from="8823,618" to="9451,618" stroked="true" strokeweight="6.624875pt" strokecolor="#f8a763">
              <v:stroke dashstyle="solid"/>
            </v:line>
            <v:shape style="position:absolute;left:8013;top:85;width:688;height:364" coordorigin="8013,85" coordsize="688,364" path="m8121,85l8013,85,8013,218,8121,218,8121,85m8700,321l8597,321,8597,448,8700,448,8700,321e" filled="true" fillcolor="#f8a763" stroked="false">
              <v:path arrowok="t"/>
              <v:fill type="solid"/>
            </v:shape>
            <v:rect style="position:absolute;left:7762;top:2646;width:64;height:133" filled="false" stroked="true" strokeweight=".245417pt" strokecolor="#f8a763">
              <v:stroke dashstyle="solid"/>
            </v:rect>
            <v:line style="position:absolute" from="7770,2414" to="7770,2546" stroked="true" strokeweight=".98171pt" strokecolor="#f8a763">
              <v:stroke dashstyle="solid"/>
            </v:line>
            <v:line style="position:absolute" from="8008,1847" to="8008,2828" stroked="true" strokeweight=".245426pt" strokecolor="#bebebe">
              <v:stroke dashstyle="solid"/>
            </v:line>
            <v:shape style="position:absolute;left:98266;top:-386316;width:342211;height:391344" coordorigin="98267,-386316" coordsize="342211,391344" path="m7935,2313l7895,2313,7895,2181,7935,2181,7935,2313xm7611,2077l7542,2077,7542,1950,7611,1950,7611,2077xm7925,1847l7836,1847,7836,1714,7925,1714,7925,1847xm7969,1611l7836,1611,7836,1484,7969,1484,7969,1611xm9491,1145l9442,1145,9442,1018,9491,1018,9491,1145xm9226,914l9078,914,9078,787,9226,787,9226,914xm9451,684l8823,684,8823,551,9451,551,9451,684xm8700,448l8597,448,8597,321,8700,321,8700,448xm8121,218l8013,218,8013,85,8121,85,8121,218xe" filled="false" stroked="true" strokeweight=".245398pt" strokecolor="#f8a763">
              <v:path arrowok="t"/>
              <v:stroke dashstyle="solid"/>
            </v:shape>
            <v:shape style="position:absolute;left:7610;top:786;width:1652;height:1993" coordorigin="7611,787" coordsize="1652,1993" path="m7657,1950l7611,1950,7611,2077,7657,2077,7657,1950m7866,2647l7827,2647,7827,2779,7866,2779,7866,2647m7954,1714l7925,1714,7925,1847,7954,1847,7954,1714m7964,2181l7935,2181,7935,2313,7964,2313,7964,2181m8055,1484l7969,1484,7969,1611,8055,1611,8055,1484m9262,787l9226,787,9226,914,9262,914,9262,787e" filled="true" fillcolor="#f9c090" stroked="false">
              <v:path arrowok="t"/>
              <v:fill type="solid"/>
            </v:shape>
            <v:shape style="position:absolute;left:9549;top:36;width:2;height:751" coordorigin="9550,36" coordsize="0,751" path="m9550,36l9550,551m9550,684l9550,787e" filled="false" stroked="true" strokeweight=".245426pt" strokecolor="#bebebe">
              <v:path arrowok="t"/>
              <v:stroke dashstyle="solid"/>
            </v:shape>
            <v:line style="position:absolute" from="9451,618" to="9638,618" stroked="true" strokeweight="6.624921pt" strokecolor="#f9c090">
              <v:stroke dashstyle="solid"/>
            </v:line>
            <v:shape style="position:absolute;left:8121;top:85;width:612;height:364" coordorigin="8121,85" coordsize="612,364" path="m8195,85l8121,85,8121,218,8195,218,8195,85m8732,321l8700,321,8700,448,8732,448,8732,321e" filled="true" fillcolor="#f9c090" stroked="false">
              <v:path arrowok="t"/>
              <v:fill type="solid"/>
            </v:shape>
            <v:rect style="position:absolute;left:7826;top:2646;width:40;height:133" filled="false" stroked="true" strokeweight=".245419pt" strokecolor="#f9c090">
              <v:stroke dashstyle="solid"/>
            </v:rect>
            <v:line style="position:absolute" from="7787,2414" to="7787,2546" stroked="true" strokeweight=".736278pt" strokecolor="#f9c090">
              <v:stroke dashstyle="solid"/>
            </v:line>
            <v:shape style="position:absolute;left:107418;top:-375745;width:76368;height:141827" coordorigin="107419,-375744" coordsize="76368,141827" path="m7964,2313l7935,2313,7935,2181,7964,2181,7964,2313xm7660,2077l7611,2077,7611,1950,7660,1950,7660,2077xm7954,1847l7925,1847,7925,1714,7954,1714,7954,1847xm8057,1611l7969,1611,7969,1484,8057,1484,8057,1611xe" filled="false" stroked="true" strokeweight=".245395pt" strokecolor="#f9c090">
              <v:path arrowok="t"/>
              <v:stroke dashstyle="solid"/>
            </v:shape>
            <v:line style="position:absolute" from="8033,1251" to="8033,1383" stroked="true" strokeweight=".245424pt" strokecolor="#f9c090">
              <v:stroke dashstyle="solid"/>
            </v:line>
            <v:line style="position:absolute" from="9493,1015" to="9493,1148" stroked="true" strokeweight=".490848pt" strokecolor="#f9c090">
              <v:stroke dashstyle="solid"/>
            </v:line>
            <v:shape style="position:absolute;left:194696;top:-136571;width:259315;height:141826" coordorigin="194696,-136570" coordsize="259315,141826" path="m9265,914l9226,914,9226,787,9265,787,9265,914xm9638,684l9451,684,9451,551,9638,551,9638,684xm8735,448l8700,448,8700,321,8735,321,8735,448xm8195,218l8121,218,8121,85,8195,85,8195,218xe" filled="false" stroked="true" strokeweight=".245395pt" strokecolor="#f9c090">
              <v:path arrowok="t"/>
              <v:stroke dashstyle="solid"/>
            </v:shape>
            <v:shape style="position:absolute;left:7865;top:85;width:1787;height:2695" coordorigin="7866,85" coordsize="1787,2695" path="m7881,2647l7866,2647,7866,2779,7881,2779,7881,2647m7974,2181l7964,2181,7964,2313,7974,2313,7974,2181m8224,85l8195,85,8195,218,8224,218,8224,85m9653,551l9638,551,9638,684,9653,684,9653,551e" filled="true" fillcolor="#fbddc4" stroked="false">
              <v:path arrowok="t"/>
              <v:fill type="solid"/>
            </v:shape>
            <v:line style="position:absolute" from="7873,2644" to="7873,2782" stroked="true" strokeweight=".981702pt" strokecolor="#fbddc4">
              <v:stroke dashstyle="solid"/>
            </v:line>
            <v:line style="position:absolute" from="7797,2414" to="7797,2546" stroked="true" strokeweight=".24543pt" strokecolor="#fbddc4">
              <v:stroke dashstyle="solid"/>
            </v:line>
            <v:line style="position:absolute" from="7969,2178" to="7969,2315" stroked="true" strokeweight=".736278pt" strokecolor="#fbddc4">
              <v:stroke dashstyle="solid"/>
            </v:line>
            <v:line style="position:absolute" from="7662,1947" to="7662,2080" stroked="true" strokeweight=".490848pt" strokecolor="#fbddc4">
              <v:stroke dashstyle="solid"/>
            </v:line>
            <v:line style="position:absolute" from="7957,1712" to="7957,1849" stroked="true" strokeweight=".490854pt" strokecolor="#fbddc4">
              <v:stroke dashstyle="solid"/>
            </v:line>
            <v:line style="position:absolute" from="8060,1481" to="8060,1614" stroked="true" strokeweight=".490854pt" strokecolor="#fbddc4">
              <v:stroke dashstyle="solid"/>
            </v:line>
            <v:line style="position:absolute" from="9265,784" to="9265,917" stroked="true" strokeweight=".245418pt" strokecolor="#fbddc4">
              <v:stroke dashstyle="solid"/>
            </v:line>
            <v:line style="position:absolute" from="9645,549" to="9645,686" stroked="true" strokeweight=".981702pt" strokecolor="#fbddc4">
              <v:stroke dashstyle="solid"/>
            </v:line>
            <v:line style="position:absolute" from="8737,318" to="8737,451" stroked="true" strokeweight=".490854pt" strokecolor="#fbddc4">
              <v:stroke dashstyle="solid"/>
            </v:line>
            <v:rect style="position:absolute;left:8194;top:85;width:30;height:133" filled="false" stroked="true" strokeweight=".245421pt" strokecolor="#fbddc4">
              <v:stroke dashstyle="solid"/>
            </v:rect>
            <v:shape style="position:absolute;left:7880;top:85;width:1777;height:2695" coordorigin="7881,85" coordsize="1777,2695" path="m7886,2647l7881,2647,7881,2779,7886,2779,7886,2647m7979,2181l7974,2181,7974,2313,7979,2313,7979,2181m8229,85l8224,85,8224,218,8229,218,8229,85m9658,551l9653,551,9653,684,9658,684,9658,551e" filled="true" fillcolor="#938953" stroked="false">
              <v:path arrowok="t"/>
              <v:fill type="solid"/>
            </v:shape>
            <v:shape style="position:absolute;left:7883;top:2178;width:94;height:604" coordorigin="7883,2178" coordsize="94,604" path="m7883,2644l7883,2782m7976,2178l7976,2315e" filled="false" stroked="true" strokeweight=".490848pt" strokecolor="#938953">
              <v:path arrowok="t"/>
              <v:stroke dashstyle="solid"/>
            </v:shape>
            <v:line style="position:absolute" from="7670,1947" to="7670,2080" stroked="true" strokeweight=".245428pt" strokecolor="#938953">
              <v:stroke dashstyle="solid"/>
            </v:line>
            <v:line style="position:absolute" from="7957,1712" to="7957,1849" stroked="true" strokeweight=".490854pt" strokecolor="#938953">
              <v:stroke dashstyle="solid"/>
            </v:line>
            <v:line style="position:absolute" from="9500,1015" to="9500,1148" stroked="true" strokeweight=".245439pt" strokecolor="#938953">
              <v:stroke dashstyle="solid"/>
            </v:line>
            <v:rect style="position:absolute;left:9269;top:786;width:5;height:128" filled="false" stroked="true" strokeweight=".245424pt" strokecolor="#938953">
              <v:stroke dashstyle="solid"/>
            </v:rect>
            <v:line style="position:absolute" from="9655,549" to="9655,686" stroked="true" strokeweight=".490854pt" strokecolor="#938953">
              <v:stroke dashstyle="solid"/>
            </v:line>
            <v:rect style="position:absolute;left:8744;top:320;width:5;height:128" filled="false" stroked="true" strokeweight=".245424pt" strokecolor="#938953">
              <v:stroke dashstyle="solid"/>
            </v:rect>
            <v:line style="position:absolute" from="8227,83" to="8227,220" stroked="true" strokeweight=".490854pt" strokecolor="#938953">
              <v:stroke dashstyle="solid"/>
            </v:line>
            <v:shape style="position:absolute;left:7885;top:2180;width:104;height:599" coordorigin="7886,2181" coordsize="104,599" path="m7895,2647l7886,2647,7886,2779,7895,2779,7895,2647m7989,2181l7974,2181,7974,2313,7989,2313,7989,2181e" filled="true" fillcolor="#ecb8e7" stroked="false">
              <v:path arrowok="t"/>
              <v:fill type="solid"/>
            </v:shape>
            <v:line style="position:absolute" from="7954,1781" to="8111,1781" stroked="true" strokeweight="6.624827pt" strokecolor="#ecb8e7">
              <v:stroke dashstyle="solid"/>
            </v:line>
            <v:line style="position:absolute" from="9270,851" to="9464,851" stroked="true" strokeweight="6.379463pt" strokecolor="#ecb8e7">
              <v:stroke dashstyle="solid"/>
            </v:line>
            <v:shape style="position:absolute;left:8224;top:85;width:1498;height:599" coordorigin="8224,85" coordsize="1498,599" path="m8249,85l8224,85,8224,218,8249,218,8249,85m8772,321l8745,321,8745,448,8772,448,8772,321m9721,551l9653,551,9653,684,9721,684,9721,551e" filled="true" fillcolor="#ecb8e7" stroked="false">
              <v:path arrowok="t"/>
              <v:fill type="solid"/>
            </v:shape>
            <v:line style="position:absolute" from="7890,2644" to="7890,2782" stroked="true" strokeweight=".736278pt" strokecolor="#ecb8e7">
              <v:stroke dashstyle="solid"/>
            </v:line>
            <v:line style="position:absolute" from="7807,2414" to="7807,2546" stroked="true" strokeweight=".736277pt" strokecolor="#ecb8e7">
              <v:stroke dashstyle="solid"/>
            </v:line>
            <v:rect style="position:absolute;left:7971;top:2178;width:20;height:138" filled="true" fillcolor="#ecb8e7" stroked="false">
              <v:fill type="solid"/>
            </v:rect>
            <v:line style="position:absolute" from="7677,1947" to="7677,2080" stroked="true" strokeweight=".490852pt" strokecolor="#ecb8e7">
              <v:stroke dashstyle="solid"/>
            </v:line>
            <v:rect style="position:absolute;left:7954;top:1714;width:158;height:133" filled="false" stroked="true" strokeweight=".24539pt" strokecolor="#ecb8e7">
              <v:stroke dashstyle="solid"/>
            </v:rect>
            <v:line style="position:absolute" from="8077,1481" to="8077,1614" stroked="true" strokeweight="1.227128pt" strokecolor="#ecb8e7">
              <v:stroke dashstyle="solid"/>
            </v:line>
            <v:line style="position:absolute" from="8038,1251" to="8038,1383" stroked="true" strokeweight=".245426pt" strokecolor="#ecb8e7">
              <v:stroke dashstyle="solid"/>
            </v:line>
            <v:line style="position:absolute" from="9510,1015" to="9510,1148" stroked="true" strokeweight=".736271pt" strokecolor="#ecb8e7">
              <v:stroke dashstyle="solid"/>
            </v:line>
            <v:shape style="position:absolute;left:297345;top:-134611;width:164824;height:100220" coordorigin="297346,-134611" coordsize="164824,100220" path="m9466,914l9270,914,9270,787,9466,787,9466,914xm9721,684l9653,684,9653,551,9721,551,9721,684xm8774,448l8745,448,8745,321,8774,321,8774,448xe" filled="false" stroked="true" strokeweight=".245395pt" strokecolor="#ecb8e7">
              <v:path arrowok="t"/>
              <v:stroke dashstyle="solid"/>
            </v:shape>
            <v:rect style="position:absolute;left:8221;top:82;width:30;height:138" filled="true" fillcolor="#ecb8e7" stroked="false">
              <v:fill type="solid"/>
            </v:rect>
            <v:shape style="position:absolute;left:7895;top:85;width:1831;height:2695" coordorigin="7895,85" coordsize="1831,2695" path="m7900,2647l7895,2647,7895,2779,7900,2779,7900,2647m7994,2181l7989,2181,7989,2313,7994,2313,7994,2181m8116,1714l8111,1714,8111,1847,8116,1847,8116,1714m8254,85l8249,85,8249,218,8254,218,8254,85m9726,551l9721,551,9721,684,9726,684,9726,551e" filled="true" fillcolor="#c4bc96" stroked="false">
              <v:path arrowok="t"/>
              <v:fill type="solid"/>
            </v:shape>
            <v:shape style="position:absolute;left:7897;top:1711;width:216;height:1070" coordorigin="7898,1712" coordsize="216,1070" path="m7898,2644l7898,2782m7991,2178l7991,2315m8114,1712l8114,1849e" filled="false" stroked="true" strokeweight=".490852pt" strokecolor="#c4bc96">
              <v:path arrowok="t"/>
              <v:stroke dashstyle="solid"/>
            </v:shape>
            <v:line style="position:absolute" from="9466,784" to="9466,917" stroked="true" strokeweight=".246127pt" strokecolor="#c4bc96">
              <v:stroke dashstyle="solid"/>
            </v:line>
            <v:line style="position:absolute" from="9724,549" to="9724,686" stroked="true" strokeweight=".490846pt" strokecolor="#c4bc96">
              <v:stroke dashstyle="solid"/>
            </v:line>
            <v:line style="position:absolute" from="8774,318" to="8774,451" stroked="true" strokeweight=".245932pt" strokecolor="#c4bc96">
              <v:stroke dashstyle="solid"/>
            </v:line>
            <v:line style="position:absolute" from="8251,83" to="8251,220" stroked="true" strokeweight=".490852pt" strokecolor="#c4bc96">
              <v:stroke dashstyle="solid"/>
            </v:line>
            <v:shape style="position:absolute;left:7895;top:85;width:359;height:2695" coordorigin="7895,85" coordsize="359,2695" path="m7900,2647l7895,2647,7895,2779,7900,2779,7900,2647m7994,2181l7989,2181,7989,2313,7994,2313,7994,2181m8116,1714l8111,1714,8111,1847,8116,1847,8116,1714m8254,85l8249,85,8249,218,8254,218,8254,85e" filled="true" fillcolor="#808080" stroked="false">
              <v:path arrowok="t"/>
              <v:fill type="solid"/>
            </v:shape>
            <v:line style="position:absolute" from="7898,2644" to="7898,2782" stroked="true" strokeweight=".490858pt" strokecolor="#808080">
              <v:stroke dashstyle="solid"/>
            </v:line>
            <v:rect style="position:absolute;left:7816;top:2416;width:5;height:128" filled="false" stroked="true" strokeweight=".245429pt" strokecolor="#808080">
              <v:stroke dashstyle="solid"/>
            </v:rect>
            <v:line style="position:absolute" from="7991,2178" to="7991,2315" stroked="true" strokeweight=".490858pt" strokecolor="#808080">
              <v:stroke dashstyle="solid"/>
            </v:line>
            <v:rect style="position:absolute;left:7684;top:1949;width:5;height:128" filled="false" stroked="true" strokeweight=".245429pt" strokecolor="#808080">
              <v:stroke dashstyle="solid"/>
            </v:rect>
            <v:line style="position:absolute" from="8114,1712" to="8114,1849" stroked="true" strokeweight=".490852pt" strokecolor="#808080">
              <v:stroke dashstyle="solid"/>
            </v:line>
            <v:shape style="position:absolute;left:178129;top:-251073;width:249052;height:138546" coordorigin="178130,-251073" coordsize="249052,138546" path="m8092,1611l8097,1611,8097,1484,8092,1484,8092,1611xm8043,1381l8048,1381,8048,1253,8043,1253,8043,1381xm9520,1145l9525,1145,9525,1017,9520,1017,9520,1145xm9471,914l9476,914,9476,787,9471,787,9471,914xe" filled="false" stroked="true" strokeweight=".245398pt" strokecolor="#808080">
              <v:path arrowok="t"/>
              <v:stroke dashstyle="solid"/>
            </v:shape>
            <v:line style="position:absolute" from="9729,549" to="9729,686" stroked="true" strokeweight=".490846pt" strokecolor="#808080">
              <v:stroke dashstyle="solid"/>
            </v:line>
            <v:rect style="position:absolute;left:8778;top:320;width:5;height:128" filled="false" stroked="true" strokeweight=".245429pt" strokecolor="#808080">
              <v:stroke dashstyle="solid"/>
            </v:rect>
            <v:line style="position:absolute" from="8251,83" to="8251,220" stroked="true" strokeweight=".490858pt" strokecolor="#808080">
              <v:stroke dashstyle="solid"/>
            </v:line>
            <v:shape style="position:absolute;left:7689;top:1253;width:477;height:1527" coordorigin="7689,1253" coordsize="477,1527" path="m7736,1950l7689,1950,7689,2077,7736,2077,7736,1950m7859,2416l7817,2416,7817,2544,7859,2544,7859,2416m7935,2647l7900,2647,7900,2779,7935,2779,7935,2647m8038,2181l7989,2181,7989,2313,8038,2313,8038,2181m8133,1484l8092,1484,8092,1611,8133,1611,8133,1484m8138,1253l8043,1253,8043,1381,8138,1381,8138,1253m8165,1714l8111,1714,8111,1847,8165,1847,8165,1714e" filled="true" fillcolor="#a6a6a6" stroked="false">
              <v:path arrowok="t"/>
              <v:fill type="solid"/>
            </v:shape>
            <v:line style="position:absolute" from="9525,1081" to="9704,1081" stroked="true" strokeweight="6.379465pt" strokecolor="#a6a6a6">
              <v:stroke dashstyle="solid"/>
            </v:line>
            <v:line style="position:absolute" from="9471,851" to="9626,851" stroked="true" strokeweight="6.379465pt" strokecolor="#a6a6a6">
              <v:stroke dashstyle="solid"/>
            </v:line>
            <v:shape style="position:absolute;left:8248;top:85;width:1581;height:599" coordorigin="8249,85" coordsize="1581,599" path="m8293,85l8249,85,8249,218,8293,218,8293,85m8870,321l8779,321,8779,448,8870,448,8870,321m9829,551l9726,551,9726,684,9829,684,9829,551e" filled="true" fillcolor="#a6a6a6" stroked="false">
              <v:path arrowok="t"/>
              <v:fill type="solid"/>
            </v:shape>
            <v:shape style="position:absolute;left:116731;top:-439500;width:353439;height:445041" coordorigin="116732,-439499" coordsize="353439,445041" path="m7935,2779l7900,2779,7900,2647,7935,2647,7935,2779xm7861,2544l7817,2544,7817,2416,7861,2416,7861,2544xm8038,2313l7989,2313,7989,2181,8038,2181,8038,2313xm7738,2077l7689,2077,7689,1950,7738,1950,7738,2077xm8165,1847l8111,1847,8111,1714,8165,1714,8165,1847xm8136,1611l8092,1611,8092,1484,8136,1484,8136,1611xm8141,1381l8043,1381,8043,1253,8141,1253,8141,1381xm9707,1145l9525,1145,9525,1017,9707,1017,9707,1145xm9628,914l9471,914,9471,787,9628,787,9628,914xm9829,684l9726,684,9726,551,9829,551,9829,684xm8872,448l8779,448,8779,321,8872,321,8872,448xm8293,218l8249,218,8249,85,8293,85,8293,218xe" filled="false" stroked="true" strokeweight=".245395pt" strokecolor="#a6a6a6">
              <v:path arrowok="t"/>
              <v:stroke dashstyle="solid"/>
            </v:shape>
            <v:shape style="position:absolute;left:7934;top:85;width:364;height:2695" coordorigin="7935,85" coordsize="364,2695" path="m7940,2647l7935,2647,7935,2779,7940,2779,7940,2647m8043,2181l8038,2181,8038,2313,8043,2313,8043,2181m8170,1714l8165,1714,8165,1847,8170,1847,8170,1714m8298,85l8293,85,8293,218,8298,218,8298,85e" filled="true" fillcolor="#d9d9d9" stroked="false">
              <v:path arrowok="t"/>
              <v:fill type="solid"/>
            </v:shape>
            <v:line style="position:absolute" from="7937,2644" to="7937,2782" stroked="true" strokeweight=".490851pt" strokecolor="#d9d9d9">
              <v:stroke dashstyle="solid"/>
            </v:line>
            <v:line style="position:absolute" from="7861,2414" to="7861,2546" stroked="true" strokeweight=".24567pt" strokecolor="#d9d9d9">
              <v:stroke dashstyle="solid"/>
            </v:line>
            <v:shape style="position:absolute;left:8040;top:1711;width:128;height:604" coordorigin="8040,1712" coordsize="128,604" path="m8040,2178l8040,2315m8168,1712l8168,1849e" filled="false" stroked="true" strokeweight=".490851pt" strokecolor="#d9d9d9">
              <v:path arrowok="t"/>
              <v:stroke dashstyle="solid"/>
            </v:shape>
            <v:line style="position:absolute" from="8136,1481" to="8136,1614" stroked="true" strokeweight=".245748pt" strokecolor="#d9d9d9">
              <v:stroke dashstyle="solid"/>
            </v:line>
            <v:line style="position:absolute" from="8141,1251" to="8141,1383" stroked="true" strokeweight=".245751pt" strokecolor="#d9d9d9">
              <v:stroke dashstyle="solid"/>
            </v:line>
            <v:shape style="position:absolute;left:436934;top:-169557;width:13781;height:59177" coordorigin="436934,-169556" coordsize="13781,59177" path="m9707,1145l9712,1145,9712,1017,9707,1017,9707,1145xm9633,914l9628,914,9628,787,9633,787,9633,914xe" filled="false" stroked="true" strokeweight=".245395pt" strokecolor="#d9d9d9">
              <v:path arrowok="t"/>
              <v:stroke dashstyle="solid"/>
            </v:shape>
            <v:line style="position:absolute" from="9832,549" to="9832,686" stroked="true" strokeweight=".490857pt" strokecolor="#d9d9d9">
              <v:stroke dashstyle="solid"/>
            </v:line>
            <v:rect style="position:absolute;left:8872;top:320;width:5;height:128" filled="false" stroked="true" strokeweight=".245425pt" strokecolor="#d9d9d9">
              <v:stroke dashstyle="solid"/>
            </v:rect>
            <v:line style="position:absolute" from="8295,83" to="8295,220" stroked="true" strokeweight=".490845pt" strokecolor="#d9d9d9">
              <v:stroke dashstyle="solid"/>
            </v:line>
            <v:shape style="position:absolute;left:7934;top:85;width:2003;height:2695" coordorigin="7935,85" coordsize="2003,2695" path="m7954,2647l7935,2647,7935,2779,7954,2779,7954,2647m8062,2181l8043,2181,8043,2313,8062,2313,8062,2181m8190,1714l8165,1714,8165,1847,8190,1847,8190,1714m8332,85l8293,85,8293,218,8332,218,8332,85m8936,321l8872,321,8872,448,8936,448,8936,321m9697,787l9633,787,9633,914,9697,914,9697,787m9790,1018l9712,1018,9712,1145,9790,1145,9790,1018m9937,551l9829,551,9829,684,9937,684,9937,551e" filled="true" fillcolor="#413c22" stroked="false">
              <v:path arrowok="t"/>
              <v:fill type="solid"/>
            </v:shape>
            <v:rect style="position:absolute;left:7932;top:2644;width:25;height:138" filled="true" fillcolor="#413c22" stroked="false">
              <v:fill type="solid"/>
            </v:rect>
            <v:rect style="position:absolute;left:7865;top:2416;width:15;height:128" filled="false" stroked="true" strokeweight=".245428pt" strokecolor="#413c22">
              <v:stroke dashstyle="solid"/>
            </v:rect>
            <v:rect style="position:absolute;left:8040;top:2178;width:25;height:138" filled="true" fillcolor="#413c22" stroked="false">
              <v:fill type="solid"/>
            </v:rect>
            <v:rect style="position:absolute;left:7738;top:1949;width:20;height:128" filled="false" stroked="true" strokeweight=".245428pt" strokecolor="#413c22">
              <v:stroke dashstyle="solid"/>
            </v:rect>
            <v:rect style="position:absolute;left:8162;top:1711;width:30;height:138" filled="true" fillcolor="#413c22" stroked="false">
              <v:fill type="solid"/>
            </v:rect>
            <v:shape style="position:absolute;left:188108;top:-242213;width:291729;height:247890" coordorigin="188109,-242212" coordsize="291729,247890" path="m8165,1611l8141,1611,8141,1484,8165,1484,8165,1611xm8165,1381l8146,1381,8146,1253,8165,1253,8165,1381xm9790,1145l9712,1145,9712,1017,9790,1017,9790,1145xm9697,914l9633,914,9633,787,9697,787,9697,914xm9937,684l9829,684,9829,551,9937,551,9937,684xm8936,448l8872,448,8872,321,8936,321,8936,448xm8332,218l8293,218,8293,85,8332,85,8332,218xe" filled="false" stroked="true" strokeweight=".245399pt" strokecolor="#413c22">
              <v:path arrowok="t"/>
              <v:stroke dashstyle="solid"/>
            </v:shape>
            <v:line style="position:absolute" from="10060,36" to="10060,2828" stroked="true" strokeweight=".245426pt" strokecolor="#bebebe">
              <v:stroke dashstyle="solid"/>
            </v:line>
            <v:shape style="position:absolute;left:0;top:6360;width:652697;height:7287" coordorigin="0,6361" coordsize="652697,7287" path="m6982,2828l10060,2828m6982,2828l6982,2863m7498,2828l7498,2863m8008,2828l8008,2863m8524,2828l8524,2863m9034,2828l9034,2863m9550,2828l9550,2863m10060,2828l10060,2863e" filled="false" stroked="true" strokeweight=".245395pt" strokecolor="#858585">
              <v:path arrowok="t"/>
              <v:stroke dashstyle="solid"/>
            </v:shape>
            <v:line style="position:absolute" from="6982,2828" to="6982,36" stroked="true" strokeweight=".245426pt" strokecolor="#858585">
              <v:stroke dashstyle="solid"/>
            </v:line>
            <v:shape style="position:absolute;left:0;top:13647;width:8034;height:652979" coordorigin="0,13648" coordsize="8034,652979" path="m6948,2828l6982,2828m6948,2598l6982,2598m6948,2362l6982,2362m6948,2131l6982,2131m6948,1896l6982,1896m6948,1665l6982,1665m6948,1430l6982,1430m6948,1199l6982,1199m6948,968l6982,968m6948,733l6982,733m6948,502l6982,502m6948,267l6982,267m6948,36l6982,36e" filled="false" stroked="true" strokeweight=".245397pt" strokecolor="#858585">
              <v:path arrowok="t"/>
              <v:stroke dashstyle="solid"/>
            </v:shape>
            <w10:wrap type="none"/>
          </v:group>
        </w:pict>
      </w:r>
      <w:r>
        <w:rPr>
          <w:rFonts w:ascii="Calibri"/>
          <w:color w:val="585858"/>
          <w:w w:val="105"/>
          <w:sz w:val="10"/>
        </w:rPr>
        <w:t>1</w:t>
      </w:r>
      <w:r>
        <w:rPr>
          <w:rFonts w:ascii="Calibri"/>
          <w:color w:val="585858"/>
          <w:spacing w:val="-1"/>
          <w:w w:val="105"/>
          <w:sz w:val="10"/>
        </w:rPr>
        <w:t> </w:t>
      </w:r>
      <w:r>
        <w:rPr>
          <w:rFonts w:ascii="Calibri"/>
          <w:color w:val="585858"/>
          <w:w w:val="105"/>
          <w:sz w:val="10"/>
        </w:rPr>
        <w:t>Studying</w:t>
        <w:tab/>
      </w:r>
      <w:r>
        <w:rPr>
          <w:rFonts w:ascii="Calibri"/>
          <w:w w:val="105"/>
          <w:sz w:val="10"/>
        </w:rPr>
        <w:t>1</w:t>
      </w:r>
      <w:r>
        <w:rPr>
          <w:rFonts w:ascii="Calibri"/>
          <w:spacing w:val="-7"/>
          <w:w w:val="105"/>
          <w:sz w:val="10"/>
        </w:rPr>
        <w:t> </w:t>
      </w:r>
      <w:r>
        <w:rPr>
          <w:rFonts w:ascii="Calibri"/>
          <w:w w:val="105"/>
          <w:sz w:val="10"/>
        </w:rPr>
        <w:t>Studying</w:t>
      </w:r>
    </w:p>
    <w:p>
      <w:pPr>
        <w:pStyle w:val="BodyText"/>
        <w:spacing w:before="1"/>
        <w:rPr>
          <w:rFonts w:ascii="Calibri"/>
          <w:sz w:val="9"/>
        </w:rPr>
      </w:pPr>
    </w:p>
    <w:p>
      <w:pPr>
        <w:tabs>
          <w:tab w:pos="6142" w:val="left" w:leader="none"/>
        </w:tabs>
        <w:spacing w:before="0"/>
        <w:ind w:left="1582" w:right="0" w:firstLine="0"/>
        <w:jc w:val="left"/>
        <w:rPr>
          <w:rFonts w:ascii="Calibri"/>
          <w:sz w:val="10"/>
        </w:rPr>
      </w:pPr>
      <w:r>
        <w:rPr>
          <w:rFonts w:ascii="Calibri"/>
          <w:color w:val="585858"/>
          <w:w w:val="105"/>
          <w:sz w:val="10"/>
        </w:rPr>
        <w:t>2</w:t>
      </w:r>
      <w:r>
        <w:rPr>
          <w:rFonts w:ascii="Calibri"/>
          <w:color w:val="585858"/>
          <w:spacing w:val="-2"/>
          <w:w w:val="105"/>
          <w:sz w:val="10"/>
        </w:rPr>
        <w:t> </w:t>
      </w:r>
      <w:r>
        <w:rPr>
          <w:rFonts w:ascii="Calibri"/>
          <w:color w:val="585858"/>
          <w:w w:val="105"/>
          <w:sz w:val="10"/>
        </w:rPr>
        <w:t>Working</w:t>
      </w:r>
      <w:r>
        <w:rPr>
          <w:rFonts w:ascii="Calibri"/>
          <w:color w:val="585858"/>
          <w:spacing w:val="-2"/>
          <w:w w:val="105"/>
          <w:sz w:val="10"/>
        </w:rPr>
        <w:t> </w:t>
      </w:r>
      <w:r>
        <w:rPr>
          <w:rFonts w:ascii="Calibri"/>
          <w:color w:val="585858"/>
          <w:w w:val="105"/>
          <w:sz w:val="10"/>
        </w:rPr>
        <w:t>Age</w:t>
        <w:tab/>
      </w:r>
      <w:r>
        <w:rPr>
          <w:rFonts w:ascii="Calibri"/>
          <w:w w:val="105"/>
          <w:sz w:val="10"/>
        </w:rPr>
        <w:t>2 Working</w:t>
      </w:r>
      <w:r>
        <w:rPr>
          <w:rFonts w:ascii="Calibri"/>
          <w:spacing w:val="-10"/>
          <w:w w:val="105"/>
          <w:sz w:val="10"/>
        </w:rPr>
        <w:t> </w:t>
      </w:r>
      <w:r>
        <w:rPr>
          <w:rFonts w:ascii="Calibri"/>
          <w:w w:val="105"/>
          <w:sz w:val="10"/>
        </w:rPr>
        <w:t>Age</w:t>
      </w:r>
    </w:p>
    <w:p>
      <w:pPr>
        <w:pStyle w:val="BodyText"/>
        <w:rPr>
          <w:rFonts w:ascii="Calibri"/>
          <w:sz w:val="9"/>
        </w:rPr>
      </w:pPr>
    </w:p>
    <w:p>
      <w:pPr>
        <w:pStyle w:val="ListParagraph"/>
        <w:numPr>
          <w:ilvl w:val="0"/>
          <w:numId w:val="34"/>
        </w:numPr>
        <w:tabs>
          <w:tab w:pos="1884" w:val="left" w:leader="none"/>
          <w:tab w:pos="6364" w:val="left" w:leader="none"/>
        </w:tabs>
        <w:spacing w:line="240" w:lineRule="auto" w:before="0" w:after="0"/>
        <w:ind w:left="1883" w:right="0" w:hanging="79"/>
        <w:jc w:val="left"/>
        <w:rPr>
          <w:rFonts w:ascii="Calibri"/>
          <w:sz w:val="10"/>
        </w:rPr>
      </w:pPr>
      <w:r>
        <w:rPr>
          <w:rFonts w:ascii="Calibri"/>
          <w:color w:val="585858"/>
          <w:w w:val="105"/>
          <w:sz w:val="10"/>
        </w:rPr>
        <w:t>Parents</w:t>
        <w:tab/>
      </w:r>
      <w:r>
        <w:rPr>
          <w:rFonts w:ascii="Calibri"/>
          <w:w w:val="105"/>
          <w:sz w:val="10"/>
        </w:rPr>
        <w:t>3</w:t>
      </w:r>
      <w:r>
        <w:rPr>
          <w:rFonts w:ascii="Calibri"/>
          <w:spacing w:val="-10"/>
          <w:w w:val="105"/>
          <w:sz w:val="10"/>
        </w:rPr>
        <w:t> </w:t>
      </w:r>
      <w:r>
        <w:rPr>
          <w:rFonts w:ascii="Calibri"/>
          <w:w w:val="105"/>
          <w:sz w:val="10"/>
        </w:rPr>
        <w:t>Parents</w:t>
      </w:r>
    </w:p>
    <w:p>
      <w:pPr>
        <w:pStyle w:val="BodyText"/>
        <w:spacing w:before="1"/>
        <w:rPr>
          <w:rFonts w:ascii="Calibri"/>
          <w:sz w:val="9"/>
        </w:rPr>
      </w:pPr>
    </w:p>
    <w:p>
      <w:pPr>
        <w:pStyle w:val="ListParagraph"/>
        <w:numPr>
          <w:ilvl w:val="0"/>
          <w:numId w:val="34"/>
        </w:numPr>
        <w:tabs>
          <w:tab w:pos="1936" w:val="left" w:leader="none"/>
          <w:tab w:pos="6416" w:val="left" w:leader="none"/>
        </w:tabs>
        <w:spacing w:line="240" w:lineRule="auto" w:before="0" w:after="0"/>
        <w:ind w:left="1935" w:right="0" w:hanging="80"/>
        <w:jc w:val="left"/>
        <w:rPr>
          <w:rFonts w:ascii="Calibri"/>
          <w:sz w:val="10"/>
        </w:rPr>
      </w:pPr>
      <w:r>
        <w:rPr>
          <w:rFonts w:ascii="Calibri"/>
          <w:color w:val="585858"/>
          <w:w w:val="105"/>
          <w:sz w:val="10"/>
        </w:rPr>
        <w:t>Carers</w:t>
        <w:tab/>
      </w:r>
      <w:r>
        <w:rPr>
          <w:rFonts w:ascii="Calibri"/>
          <w:w w:val="105"/>
          <w:sz w:val="10"/>
        </w:rPr>
        <w:t>4</w:t>
      </w:r>
      <w:r>
        <w:rPr>
          <w:rFonts w:ascii="Calibri"/>
          <w:spacing w:val="-1"/>
          <w:w w:val="105"/>
          <w:sz w:val="10"/>
        </w:rPr>
        <w:t> </w:t>
      </w:r>
      <w:r>
        <w:rPr>
          <w:rFonts w:ascii="Calibri"/>
          <w:w w:val="105"/>
          <w:sz w:val="10"/>
        </w:rPr>
        <w:t>Carers</w:t>
      </w:r>
    </w:p>
    <w:p>
      <w:pPr>
        <w:pStyle w:val="BodyText"/>
        <w:rPr>
          <w:rFonts w:ascii="Calibri"/>
          <w:sz w:val="9"/>
        </w:rPr>
      </w:pPr>
    </w:p>
    <w:p>
      <w:pPr>
        <w:pStyle w:val="ListParagraph"/>
        <w:numPr>
          <w:ilvl w:val="0"/>
          <w:numId w:val="34"/>
        </w:numPr>
        <w:tabs>
          <w:tab w:pos="1456" w:val="left" w:leader="none"/>
          <w:tab w:pos="5935" w:val="left" w:leader="none"/>
        </w:tabs>
        <w:spacing w:line="240" w:lineRule="auto" w:before="1" w:after="0"/>
        <w:ind w:left="1455" w:right="0" w:hanging="80"/>
        <w:jc w:val="left"/>
        <w:rPr>
          <w:rFonts w:ascii="Calibri"/>
          <w:sz w:val="10"/>
        </w:rPr>
      </w:pPr>
      <w:r>
        <w:rPr>
          <w:rFonts w:ascii="Calibri"/>
          <w:color w:val="585858"/>
          <w:w w:val="105"/>
          <w:sz w:val="10"/>
        </w:rPr>
        <w:t>Disability</w:t>
      </w:r>
      <w:r>
        <w:rPr>
          <w:rFonts w:ascii="Calibri"/>
          <w:color w:val="585858"/>
          <w:spacing w:val="-4"/>
          <w:w w:val="105"/>
          <w:sz w:val="10"/>
        </w:rPr>
        <w:t> </w:t>
      </w:r>
      <w:r>
        <w:rPr>
          <w:rFonts w:ascii="Calibri"/>
          <w:color w:val="585858"/>
          <w:w w:val="105"/>
          <w:sz w:val="10"/>
        </w:rPr>
        <w:t>Support</w:t>
        <w:tab/>
      </w:r>
      <w:r>
        <w:rPr>
          <w:rFonts w:ascii="Calibri"/>
          <w:w w:val="105"/>
          <w:sz w:val="10"/>
        </w:rPr>
        <w:t>5 Disability</w:t>
      </w:r>
      <w:r>
        <w:rPr>
          <w:rFonts w:ascii="Calibri"/>
          <w:spacing w:val="-14"/>
          <w:w w:val="105"/>
          <w:sz w:val="10"/>
        </w:rPr>
        <w:t> </w:t>
      </w:r>
      <w:r>
        <w:rPr>
          <w:rFonts w:ascii="Calibri"/>
          <w:w w:val="105"/>
          <w:sz w:val="10"/>
        </w:rPr>
        <w:t>Support</w:t>
      </w:r>
    </w:p>
    <w:p>
      <w:pPr>
        <w:pStyle w:val="BodyText"/>
        <w:rPr>
          <w:rFonts w:ascii="Calibri"/>
          <w:sz w:val="9"/>
        </w:rPr>
      </w:pPr>
    </w:p>
    <w:p>
      <w:pPr>
        <w:pStyle w:val="ListParagraph"/>
        <w:numPr>
          <w:ilvl w:val="0"/>
          <w:numId w:val="34"/>
        </w:numPr>
        <w:tabs>
          <w:tab w:pos="1686" w:val="left" w:leader="none"/>
          <w:tab w:pos="6166" w:val="left" w:leader="none"/>
        </w:tabs>
        <w:spacing w:line="240" w:lineRule="auto" w:before="0" w:after="0"/>
        <w:ind w:left="1685" w:right="0" w:hanging="79"/>
        <w:jc w:val="left"/>
        <w:rPr>
          <w:rFonts w:ascii="Calibri"/>
          <w:sz w:val="10"/>
        </w:rPr>
      </w:pPr>
      <w:r>
        <w:rPr>
          <w:rFonts w:ascii="Calibri"/>
          <w:color w:val="585858"/>
          <w:w w:val="105"/>
          <w:sz w:val="10"/>
        </w:rPr>
        <w:t>Pension</w:t>
      </w:r>
      <w:r>
        <w:rPr>
          <w:rFonts w:ascii="Calibri"/>
          <w:color w:val="585858"/>
          <w:spacing w:val="-4"/>
          <w:w w:val="105"/>
          <w:sz w:val="10"/>
        </w:rPr>
        <w:t> </w:t>
      </w:r>
      <w:r>
        <w:rPr>
          <w:rFonts w:ascii="Calibri"/>
          <w:color w:val="585858"/>
          <w:w w:val="105"/>
          <w:sz w:val="10"/>
        </w:rPr>
        <w:t>Age</w:t>
        <w:tab/>
      </w:r>
      <w:r>
        <w:rPr>
          <w:rFonts w:ascii="Calibri"/>
          <w:w w:val="105"/>
          <w:sz w:val="10"/>
        </w:rPr>
        <w:t>6 Pension</w:t>
      </w:r>
      <w:r>
        <w:rPr>
          <w:rFonts w:ascii="Calibri"/>
          <w:spacing w:val="-12"/>
          <w:w w:val="105"/>
          <w:sz w:val="10"/>
        </w:rPr>
        <w:t> </w:t>
      </w:r>
      <w:r>
        <w:rPr>
          <w:rFonts w:ascii="Calibri"/>
          <w:w w:val="105"/>
          <w:sz w:val="10"/>
        </w:rPr>
        <w:t>Age</w:t>
      </w:r>
    </w:p>
    <w:p>
      <w:pPr>
        <w:pStyle w:val="BodyText"/>
        <w:spacing w:before="1"/>
        <w:rPr>
          <w:rFonts w:ascii="Calibri"/>
          <w:sz w:val="9"/>
        </w:rPr>
      </w:pPr>
    </w:p>
    <w:p>
      <w:pPr>
        <w:pStyle w:val="ListParagraph"/>
        <w:numPr>
          <w:ilvl w:val="0"/>
          <w:numId w:val="34"/>
        </w:numPr>
        <w:tabs>
          <w:tab w:pos="1631" w:val="left" w:leader="none"/>
          <w:tab w:pos="6111" w:val="left" w:leader="none"/>
        </w:tabs>
        <w:spacing w:line="240" w:lineRule="auto" w:before="0" w:after="0"/>
        <w:ind w:left="1630" w:right="0" w:hanging="79"/>
        <w:jc w:val="left"/>
        <w:rPr>
          <w:rFonts w:ascii="Calibri"/>
          <w:sz w:val="10"/>
        </w:rPr>
      </w:pPr>
      <w:r>
        <w:rPr>
          <w:rFonts w:ascii="Calibri"/>
          <w:color w:val="585858"/>
          <w:w w:val="105"/>
          <w:sz w:val="10"/>
        </w:rPr>
        <w:t>Non</w:t>
      </w:r>
      <w:r>
        <w:rPr>
          <w:rFonts w:ascii="Calibri"/>
          <w:color w:val="585858"/>
          <w:spacing w:val="-3"/>
          <w:w w:val="105"/>
          <w:sz w:val="10"/>
        </w:rPr>
        <w:t> </w:t>
      </w:r>
      <w:r>
        <w:rPr>
          <w:rFonts w:ascii="Calibri"/>
          <w:color w:val="585858"/>
          <w:w w:val="105"/>
          <w:sz w:val="10"/>
        </w:rPr>
        <w:t>IS Family</w:t>
        <w:tab/>
      </w:r>
      <w:r>
        <w:rPr>
          <w:rFonts w:ascii="Calibri"/>
          <w:w w:val="105"/>
          <w:sz w:val="10"/>
        </w:rPr>
        <w:t>7 Non IS</w:t>
      </w:r>
      <w:r>
        <w:rPr>
          <w:rFonts w:ascii="Calibri"/>
          <w:spacing w:val="-8"/>
          <w:w w:val="105"/>
          <w:sz w:val="10"/>
        </w:rPr>
        <w:t> </w:t>
      </w:r>
      <w:r>
        <w:rPr>
          <w:rFonts w:ascii="Calibri"/>
          <w:w w:val="105"/>
          <w:sz w:val="10"/>
        </w:rPr>
        <w:t>Family</w:t>
      </w:r>
    </w:p>
    <w:p>
      <w:pPr>
        <w:pStyle w:val="BodyText"/>
        <w:rPr>
          <w:rFonts w:ascii="Calibri"/>
          <w:sz w:val="9"/>
        </w:rPr>
      </w:pPr>
    </w:p>
    <w:p>
      <w:pPr>
        <w:pStyle w:val="ListParagraph"/>
        <w:numPr>
          <w:ilvl w:val="0"/>
          <w:numId w:val="34"/>
        </w:numPr>
        <w:tabs>
          <w:tab w:pos="1677" w:val="left" w:leader="none"/>
          <w:tab w:pos="6157" w:val="left" w:leader="none"/>
        </w:tabs>
        <w:spacing w:line="240" w:lineRule="auto" w:before="0" w:after="0"/>
        <w:ind w:left="1676" w:right="0" w:hanging="79"/>
        <w:jc w:val="left"/>
        <w:rPr>
          <w:rFonts w:ascii="Calibri"/>
          <w:sz w:val="10"/>
        </w:rPr>
      </w:pPr>
      <w:r>
        <w:rPr>
          <w:rFonts w:ascii="Calibri"/>
          <w:color w:val="585858"/>
          <w:w w:val="105"/>
          <w:sz w:val="10"/>
        </w:rPr>
        <w:t>Non</w:t>
      </w:r>
      <w:r>
        <w:rPr>
          <w:rFonts w:ascii="Calibri"/>
          <w:color w:val="585858"/>
          <w:spacing w:val="-3"/>
          <w:w w:val="105"/>
          <w:sz w:val="10"/>
        </w:rPr>
        <w:t> </w:t>
      </w:r>
      <w:r>
        <w:rPr>
          <w:rFonts w:ascii="Calibri"/>
          <w:color w:val="585858"/>
          <w:w w:val="105"/>
          <w:sz w:val="10"/>
        </w:rPr>
        <w:t>IS</w:t>
      </w:r>
      <w:r>
        <w:rPr>
          <w:rFonts w:ascii="Calibri"/>
          <w:color w:val="585858"/>
          <w:spacing w:val="-1"/>
          <w:w w:val="105"/>
          <w:sz w:val="10"/>
        </w:rPr>
        <w:t> </w:t>
      </w:r>
      <w:r>
        <w:rPr>
          <w:rFonts w:ascii="Calibri"/>
          <w:color w:val="585858"/>
          <w:w w:val="105"/>
          <w:sz w:val="10"/>
        </w:rPr>
        <w:t>Carer</w:t>
        <w:tab/>
      </w:r>
      <w:r>
        <w:rPr>
          <w:rFonts w:ascii="Calibri"/>
          <w:w w:val="105"/>
          <w:sz w:val="10"/>
        </w:rPr>
        <w:t>8 Non IS</w:t>
      </w:r>
      <w:r>
        <w:rPr>
          <w:rFonts w:ascii="Calibri"/>
          <w:spacing w:val="-10"/>
          <w:w w:val="105"/>
          <w:sz w:val="10"/>
        </w:rPr>
        <w:t> </w:t>
      </w:r>
      <w:r>
        <w:rPr>
          <w:rFonts w:ascii="Calibri"/>
          <w:w w:val="105"/>
          <w:sz w:val="10"/>
        </w:rPr>
        <w:t>Carer</w:t>
      </w:r>
    </w:p>
    <w:p>
      <w:pPr>
        <w:pStyle w:val="BodyText"/>
        <w:spacing w:before="1"/>
        <w:rPr>
          <w:rFonts w:ascii="Calibri"/>
          <w:sz w:val="9"/>
        </w:rPr>
      </w:pPr>
    </w:p>
    <w:p>
      <w:pPr>
        <w:pStyle w:val="ListParagraph"/>
        <w:numPr>
          <w:ilvl w:val="0"/>
          <w:numId w:val="34"/>
        </w:numPr>
        <w:tabs>
          <w:tab w:pos="1660" w:val="left" w:leader="none"/>
          <w:tab w:pos="6141" w:val="left" w:leader="none"/>
        </w:tabs>
        <w:spacing w:line="240" w:lineRule="auto" w:before="0" w:after="0"/>
        <w:ind w:left="1659" w:right="0" w:hanging="79"/>
        <w:jc w:val="left"/>
        <w:rPr>
          <w:rFonts w:ascii="Calibri"/>
          <w:sz w:val="10"/>
        </w:rPr>
      </w:pPr>
      <w:r>
        <w:rPr>
          <w:rFonts w:ascii="Calibri"/>
          <w:color w:val="585858"/>
          <w:w w:val="105"/>
          <w:sz w:val="10"/>
        </w:rPr>
        <w:t>Non</w:t>
      </w:r>
      <w:r>
        <w:rPr>
          <w:rFonts w:ascii="Calibri"/>
          <w:color w:val="585858"/>
          <w:spacing w:val="-3"/>
          <w:w w:val="105"/>
          <w:sz w:val="10"/>
        </w:rPr>
        <w:t> </w:t>
      </w:r>
      <w:r>
        <w:rPr>
          <w:rFonts w:ascii="Calibri"/>
          <w:color w:val="585858"/>
          <w:w w:val="105"/>
          <w:sz w:val="10"/>
        </w:rPr>
        <w:t>IS</w:t>
      </w:r>
      <w:r>
        <w:rPr>
          <w:rFonts w:ascii="Calibri"/>
          <w:color w:val="585858"/>
          <w:spacing w:val="-1"/>
          <w:w w:val="105"/>
          <w:sz w:val="10"/>
        </w:rPr>
        <w:t> </w:t>
      </w:r>
      <w:r>
        <w:rPr>
          <w:rFonts w:ascii="Calibri"/>
          <w:color w:val="585858"/>
          <w:w w:val="105"/>
          <w:sz w:val="10"/>
        </w:rPr>
        <w:t>Other</w:t>
        <w:tab/>
      </w:r>
      <w:r>
        <w:rPr>
          <w:rFonts w:ascii="Calibri"/>
          <w:w w:val="105"/>
          <w:sz w:val="10"/>
        </w:rPr>
        <w:t>9 Non IS</w:t>
      </w:r>
      <w:r>
        <w:rPr>
          <w:rFonts w:ascii="Calibri"/>
          <w:spacing w:val="-7"/>
          <w:w w:val="105"/>
          <w:sz w:val="10"/>
        </w:rPr>
        <w:t> </w:t>
      </w:r>
      <w:r>
        <w:rPr>
          <w:rFonts w:ascii="Calibri"/>
          <w:w w:val="105"/>
          <w:sz w:val="10"/>
        </w:rPr>
        <w:t>Other</w:t>
      </w:r>
    </w:p>
    <w:p>
      <w:pPr>
        <w:pStyle w:val="BodyText"/>
        <w:rPr>
          <w:rFonts w:ascii="Calibri"/>
          <w:sz w:val="9"/>
        </w:rPr>
      </w:pPr>
    </w:p>
    <w:p>
      <w:pPr>
        <w:pStyle w:val="ListParagraph"/>
        <w:numPr>
          <w:ilvl w:val="0"/>
          <w:numId w:val="34"/>
        </w:numPr>
        <w:tabs>
          <w:tab w:pos="1694" w:val="left" w:leader="none"/>
          <w:tab w:pos="6125" w:val="left" w:leader="none"/>
        </w:tabs>
        <w:spacing w:line="240" w:lineRule="auto" w:before="1" w:after="0"/>
        <w:ind w:left="1693" w:right="0" w:hanging="129"/>
        <w:jc w:val="left"/>
        <w:rPr>
          <w:rFonts w:ascii="Calibri"/>
          <w:sz w:val="10"/>
        </w:rPr>
      </w:pPr>
      <w:r>
        <w:rPr>
          <w:rFonts w:ascii="Calibri"/>
          <w:color w:val="585858"/>
          <w:w w:val="105"/>
          <w:sz w:val="10"/>
        </w:rPr>
        <w:t>Exits</w:t>
      </w:r>
      <w:r>
        <w:rPr>
          <w:rFonts w:ascii="Calibri"/>
          <w:color w:val="585858"/>
          <w:spacing w:val="-3"/>
          <w:w w:val="105"/>
          <w:sz w:val="10"/>
        </w:rPr>
        <w:t> </w:t>
      </w:r>
      <w:r>
        <w:rPr>
          <w:rFonts w:ascii="Calibri"/>
          <w:color w:val="585858"/>
          <w:w w:val="105"/>
          <w:sz w:val="10"/>
        </w:rPr>
        <w:t>1-3</w:t>
      </w:r>
      <w:r>
        <w:rPr>
          <w:rFonts w:ascii="Calibri"/>
          <w:color w:val="585858"/>
          <w:spacing w:val="-3"/>
          <w:w w:val="105"/>
          <w:sz w:val="10"/>
        </w:rPr>
        <w:t> </w:t>
      </w:r>
      <w:r>
        <w:rPr>
          <w:rFonts w:ascii="Calibri"/>
          <w:color w:val="585858"/>
          <w:w w:val="105"/>
          <w:sz w:val="10"/>
        </w:rPr>
        <w:t>Yrs</w:t>
        <w:tab/>
      </w:r>
      <w:r>
        <w:rPr>
          <w:rFonts w:ascii="Calibri"/>
          <w:w w:val="105"/>
          <w:sz w:val="10"/>
        </w:rPr>
        <w:t>10 Exits 1-3</w:t>
      </w:r>
      <w:r>
        <w:rPr>
          <w:rFonts w:ascii="Calibri"/>
          <w:spacing w:val="-12"/>
          <w:w w:val="105"/>
          <w:sz w:val="10"/>
        </w:rPr>
        <w:t> </w:t>
      </w:r>
      <w:r>
        <w:rPr>
          <w:rFonts w:ascii="Calibri"/>
          <w:w w:val="105"/>
          <w:sz w:val="10"/>
        </w:rPr>
        <w:t>Yrs</w:t>
      </w:r>
    </w:p>
    <w:p>
      <w:pPr>
        <w:pStyle w:val="BodyText"/>
        <w:rPr>
          <w:rFonts w:ascii="Calibri"/>
          <w:sz w:val="9"/>
        </w:rPr>
      </w:pPr>
    </w:p>
    <w:p>
      <w:pPr>
        <w:tabs>
          <w:tab w:pos="6157" w:val="left" w:leader="none"/>
        </w:tabs>
        <w:spacing w:before="0"/>
        <w:ind w:left="1598" w:right="0" w:firstLine="0"/>
        <w:jc w:val="left"/>
        <w:rPr>
          <w:rFonts w:ascii="Calibri"/>
          <w:sz w:val="10"/>
        </w:rPr>
      </w:pPr>
      <w:r>
        <w:rPr>
          <w:rFonts w:ascii="Calibri"/>
          <w:color w:val="585858"/>
          <w:w w:val="105"/>
          <w:sz w:val="10"/>
        </w:rPr>
        <w:t>10 Exits</w:t>
      </w:r>
      <w:r>
        <w:rPr>
          <w:rFonts w:ascii="Calibri"/>
          <w:color w:val="585858"/>
          <w:spacing w:val="-9"/>
          <w:w w:val="105"/>
          <w:sz w:val="10"/>
        </w:rPr>
        <w:t> </w:t>
      </w:r>
      <w:r>
        <w:rPr>
          <w:rFonts w:ascii="Calibri"/>
          <w:color w:val="585858"/>
          <w:w w:val="105"/>
          <w:sz w:val="10"/>
        </w:rPr>
        <w:t>4+</w:t>
      </w:r>
      <w:r>
        <w:rPr>
          <w:rFonts w:ascii="Calibri"/>
          <w:color w:val="585858"/>
          <w:spacing w:val="1"/>
          <w:w w:val="105"/>
          <w:sz w:val="10"/>
        </w:rPr>
        <w:t> </w:t>
      </w:r>
      <w:r>
        <w:rPr>
          <w:rFonts w:ascii="Calibri"/>
          <w:color w:val="585858"/>
          <w:w w:val="105"/>
          <w:sz w:val="10"/>
        </w:rPr>
        <w:t>Yrs</w:t>
        <w:tab/>
      </w:r>
      <w:r>
        <w:rPr>
          <w:rFonts w:ascii="Calibri"/>
          <w:w w:val="105"/>
          <w:sz w:val="10"/>
        </w:rPr>
        <w:t>10 Exits 4+</w:t>
      </w:r>
      <w:r>
        <w:rPr>
          <w:rFonts w:ascii="Calibri"/>
          <w:spacing w:val="-12"/>
          <w:w w:val="105"/>
          <w:sz w:val="10"/>
        </w:rPr>
        <w:t> </w:t>
      </w:r>
      <w:r>
        <w:rPr>
          <w:rFonts w:ascii="Calibri"/>
          <w:w w:val="105"/>
          <w:sz w:val="10"/>
        </w:rPr>
        <w:t>Yrs</w:t>
      </w:r>
    </w:p>
    <w:p>
      <w:pPr>
        <w:pStyle w:val="BodyText"/>
        <w:spacing w:before="1"/>
        <w:rPr>
          <w:rFonts w:ascii="Calibri"/>
          <w:sz w:val="9"/>
        </w:rPr>
      </w:pPr>
    </w:p>
    <w:p>
      <w:pPr>
        <w:tabs>
          <w:tab w:pos="5611" w:val="left" w:leader="none"/>
        </w:tabs>
        <w:spacing w:before="0"/>
        <w:ind w:left="1052" w:right="0" w:firstLine="0"/>
        <w:jc w:val="left"/>
        <w:rPr>
          <w:rFonts w:ascii="Calibri"/>
          <w:sz w:val="10"/>
        </w:rPr>
      </w:pPr>
      <w:r>
        <w:rPr>
          <w:rFonts w:ascii="Calibri"/>
          <w:color w:val="585858"/>
          <w:w w:val="105"/>
          <w:sz w:val="10"/>
        </w:rPr>
        <w:t>12 Rest of</w:t>
      </w:r>
      <w:r>
        <w:rPr>
          <w:rFonts w:ascii="Calibri"/>
          <w:color w:val="585858"/>
          <w:spacing w:val="-10"/>
          <w:w w:val="105"/>
          <w:sz w:val="10"/>
        </w:rPr>
        <w:t> </w:t>
      </w:r>
      <w:r>
        <w:rPr>
          <w:rFonts w:ascii="Calibri"/>
          <w:color w:val="585858"/>
          <w:w w:val="105"/>
          <w:sz w:val="10"/>
        </w:rPr>
        <w:t>Aust.</w:t>
      </w:r>
      <w:r>
        <w:rPr>
          <w:rFonts w:ascii="Calibri"/>
          <w:color w:val="585858"/>
          <w:spacing w:val="-4"/>
          <w:w w:val="105"/>
          <w:sz w:val="10"/>
        </w:rPr>
        <w:t> </w:t>
      </w:r>
      <w:r>
        <w:rPr>
          <w:rFonts w:ascii="Calibri"/>
          <w:color w:val="585858"/>
          <w:w w:val="105"/>
          <w:sz w:val="10"/>
        </w:rPr>
        <w:t>Population</w:t>
        <w:tab/>
      </w:r>
      <w:r>
        <w:rPr>
          <w:rFonts w:ascii="Calibri"/>
          <w:w w:val="105"/>
          <w:sz w:val="10"/>
        </w:rPr>
        <w:t>12</w:t>
      </w:r>
      <w:r>
        <w:rPr>
          <w:rFonts w:ascii="Calibri"/>
          <w:spacing w:val="-7"/>
          <w:w w:val="105"/>
          <w:sz w:val="10"/>
        </w:rPr>
        <w:t> </w:t>
      </w:r>
      <w:r>
        <w:rPr>
          <w:rFonts w:ascii="Calibri"/>
          <w:w w:val="105"/>
          <w:sz w:val="10"/>
        </w:rPr>
        <w:t>Rest</w:t>
      </w:r>
      <w:r>
        <w:rPr>
          <w:rFonts w:ascii="Calibri"/>
          <w:spacing w:val="-5"/>
          <w:w w:val="105"/>
          <w:sz w:val="10"/>
        </w:rPr>
        <w:t> </w:t>
      </w:r>
      <w:r>
        <w:rPr>
          <w:rFonts w:ascii="Calibri"/>
          <w:w w:val="105"/>
          <w:sz w:val="10"/>
        </w:rPr>
        <w:t>of</w:t>
      </w:r>
      <w:r>
        <w:rPr>
          <w:rFonts w:ascii="Calibri"/>
          <w:spacing w:val="-2"/>
          <w:w w:val="105"/>
          <w:sz w:val="10"/>
        </w:rPr>
        <w:t> </w:t>
      </w:r>
      <w:r>
        <w:rPr>
          <w:rFonts w:ascii="Calibri"/>
          <w:w w:val="105"/>
          <w:sz w:val="10"/>
        </w:rPr>
        <w:t>Aust.</w:t>
      </w:r>
      <w:r>
        <w:rPr>
          <w:rFonts w:ascii="Calibri"/>
          <w:spacing w:val="-6"/>
          <w:w w:val="105"/>
          <w:sz w:val="10"/>
        </w:rPr>
        <w:t> </w:t>
      </w:r>
      <w:r>
        <w:rPr>
          <w:rFonts w:ascii="Calibri"/>
          <w:w w:val="105"/>
          <w:sz w:val="10"/>
        </w:rPr>
        <w:t>Population</w:t>
      </w:r>
    </w:p>
    <w:p>
      <w:pPr>
        <w:spacing w:after="0"/>
        <w:jc w:val="left"/>
        <w:rPr>
          <w:rFonts w:ascii="Calibri"/>
          <w:sz w:val="10"/>
        </w:rPr>
        <w:sectPr>
          <w:pgSz w:w="11910" w:h="16850"/>
          <w:pgMar w:header="572" w:footer="581" w:top="780" w:bottom="780" w:left="120" w:right="0"/>
        </w:sectPr>
      </w:pPr>
    </w:p>
    <w:p>
      <w:pPr>
        <w:pStyle w:val="BodyText"/>
        <w:spacing w:before="8"/>
        <w:rPr>
          <w:rFonts w:ascii="Calibri"/>
          <w:sz w:val="10"/>
        </w:rPr>
      </w:pPr>
    </w:p>
    <w:p>
      <w:pPr>
        <w:tabs>
          <w:tab w:pos="2635" w:val="left" w:leader="none"/>
          <w:tab w:pos="3076" w:val="left" w:leader="none"/>
          <w:tab w:pos="3517" w:val="left" w:leader="none"/>
          <w:tab w:pos="3958" w:val="left" w:leader="none"/>
          <w:tab w:pos="4399" w:val="left" w:leader="none"/>
          <w:tab w:pos="4840" w:val="left" w:leader="none"/>
          <w:tab w:pos="5281" w:val="left" w:leader="none"/>
        </w:tabs>
        <w:spacing w:before="0"/>
        <w:ind w:left="2194" w:right="0" w:firstLine="0"/>
        <w:jc w:val="center"/>
        <w:rPr>
          <w:rFonts w:ascii="Calibri"/>
          <w:sz w:val="10"/>
        </w:rPr>
      </w:pPr>
      <w:r>
        <w:rPr>
          <w:rFonts w:ascii="Calibri"/>
          <w:color w:val="585858"/>
          <w:w w:val="105"/>
          <w:sz w:val="10"/>
        </w:rPr>
        <w:t>0.0m</w:t>
        <w:tab/>
        <w:t>0.5m</w:t>
        <w:tab/>
        <w:t>1.0m</w:t>
        <w:tab/>
        <w:t>1.5m</w:t>
        <w:tab/>
        <w:t>2.0m</w:t>
        <w:tab/>
        <w:t>2.5m</w:t>
        <w:tab/>
        <w:t>3.0m</w:t>
        <w:tab/>
      </w:r>
      <w:r>
        <w:rPr>
          <w:rFonts w:ascii="Calibri"/>
          <w:color w:val="585858"/>
          <w:spacing w:val="-5"/>
          <w:w w:val="105"/>
          <w:sz w:val="10"/>
        </w:rPr>
        <w:t>3.5m</w:t>
      </w:r>
    </w:p>
    <w:p>
      <w:pPr>
        <w:spacing w:before="25"/>
        <w:ind w:left="2195" w:right="0" w:firstLine="0"/>
        <w:jc w:val="center"/>
        <w:rPr>
          <w:rFonts w:ascii="Calibri"/>
          <w:b/>
          <w:sz w:val="10"/>
        </w:rPr>
      </w:pPr>
      <w:r>
        <w:rPr>
          <w:rFonts w:ascii="Calibri"/>
          <w:b/>
          <w:color w:val="585858"/>
          <w:w w:val="105"/>
          <w:sz w:val="10"/>
        </w:rPr>
        <w:t>No. of Individuals</w:t>
      </w:r>
    </w:p>
    <w:p>
      <w:pPr>
        <w:pStyle w:val="BodyText"/>
        <w:spacing w:before="9"/>
        <w:rPr>
          <w:rFonts w:ascii="Calibri"/>
          <w:b/>
          <w:sz w:val="10"/>
        </w:rPr>
      </w:pPr>
      <w:r>
        <w:rPr/>
        <w:br w:type="column"/>
      </w:r>
      <w:r>
        <w:rPr>
          <w:rFonts w:ascii="Calibri"/>
          <w:b/>
          <w:sz w:val="10"/>
        </w:rPr>
      </w:r>
    </w:p>
    <w:p>
      <w:pPr>
        <w:spacing w:before="0"/>
        <w:ind w:left="2006" w:right="2014" w:firstLine="0"/>
        <w:jc w:val="center"/>
        <w:rPr>
          <w:rFonts w:ascii="Calibri"/>
          <w:sz w:val="10"/>
        </w:rPr>
      </w:pPr>
      <w:r>
        <w:rPr>
          <w:rFonts w:ascii="Calibri"/>
          <w:w w:val="105"/>
          <w:sz w:val="10"/>
        </w:rPr>
        <w:t>100,000 200,000 300,000 400,000 500,000 600,000</w:t>
      </w:r>
    </w:p>
    <w:p>
      <w:pPr>
        <w:spacing w:before="25"/>
        <w:ind w:left="1487" w:right="2014" w:firstLine="0"/>
        <w:jc w:val="center"/>
        <w:rPr>
          <w:rFonts w:ascii="Calibri"/>
          <w:b/>
          <w:sz w:val="10"/>
        </w:rPr>
      </w:pPr>
      <w:r>
        <w:rPr>
          <w:rFonts w:ascii="Calibri"/>
          <w:b/>
          <w:w w:val="105"/>
          <w:sz w:val="10"/>
        </w:rPr>
        <w:t>Average Lifetime Cost ($)</w:t>
      </w:r>
    </w:p>
    <w:p>
      <w:pPr>
        <w:spacing w:after="0"/>
        <w:jc w:val="center"/>
        <w:rPr>
          <w:rFonts w:ascii="Calibri"/>
          <w:sz w:val="10"/>
        </w:rPr>
        <w:sectPr>
          <w:type w:val="continuous"/>
          <w:pgSz w:w="11910" w:h="16850"/>
          <w:pgMar w:top="1600" w:bottom="280" w:left="120" w:right="0"/>
          <w:cols w:num="2" w:equalWidth="0">
            <w:col w:w="5498" w:space="40"/>
            <w:col w:w="6252"/>
          </w:cols>
        </w:sectPr>
      </w:pPr>
    </w:p>
    <w:p>
      <w:pPr>
        <w:pStyle w:val="BodyText"/>
        <w:spacing w:before="3"/>
        <w:rPr>
          <w:rFonts w:ascii="Calibri"/>
          <w:b/>
          <w:sz w:val="9"/>
        </w:rPr>
      </w:pPr>
    </w:p>
    <w:p>
      <w:pPr>
        <w:spacing w:before="0"/>
        <w:ind w:left="1030" w:right="0" w:firstLine="0"/>
        <w:jc w:val="left"/>
        <w:rPr>
          <w:b/>
          <w:sz w:val="10"/>
        </w:rPr>
      </w:pPr>
      <w:r>
        <w:rPr/>
        <w:pict>
          <v:group style="position:absolute;margin-left:56.808338pt;margin-top:6.408726pt;width:15.4pt;height:19.95pt;mso-position-horizontal-relative:page;mso-position-vertical-relative:paragraph;z-index:252050432" coordorigin="1136,128" coordsize="308,399">
            <v:rect style="position:absolute;left:1136;top:128;width:308;height:131" filled="true" fillcolor="#1f487c" stroked="false">
              <v:fill type="solid"/>
            </v:rect>
            <v:rect style="position:absolute;left:1136;top:258;width:308;height:131" filled="true" fillcolor="#c9dba4" stroked="false">
              <v:fill type="solid"/>
            </v:rect>
            <v:rect style="position:absolute;left:1136;top:389;width:308;height:138" filled="true" fillcolor="#bebebe" stroked="false">
              <v:fill type="solid"/>
            </v:rect>
            <w10:wrap type="none"/>
          </v:group>
        </w:pict>
      </w:r>
      <w:r>
        <w:rPr/>
        <w:pict>
          <v:group style="position:absolute;margin-left:133.039642pt;margin-top:6.408726pt;width:15.4pt;height:19.95pt;mso-position-horizontal-relative:page;mso-position-vertical-relative:paragraph;z-index:-287851520" coordorigin="2661,128" coordsize="308,399">
            <v:rect style="position:absolute;left:2660;top:128;width:308;height:131" filled="true" fillcolor="#009544" stroked="false">
              <v:fill type="solid"/>
            </v:rect>
            <v:rect style="position:absolute;left:2660;top:258;width:308;height:131" filled="true" fillcolor="#f8a763" stroked="false">
              <v:fill type="solid"/>
            </v:rect>
            <v:rect style="position:absolute;left:2660;top:389;width:308;height:138" filled="true" fillcolor="#808080" stroked="false">
              <v:fill type="solid"/>
            </v:rect>
            <w10:wrap type="none"/>
          </v:group>
        </w:pict>
      </w:r>
      <w:r>
        <w:rPr/>
        <w:pict>
          <v:group style="position:absolute;margin-left:225.734116pt;margin-top:6.408726pt;width:15.4pt;height:19.95pt;mso-position-horizontal-relative:page;mso-position-vertical-relative:paragraph;z-index:-287850496" coordorigin="4515,128" coordsize="308,399">
            <v:rect style="position:absolute;left:4514;top:128;width:308;height:131" filled="true" fillcolor="#e16b09" stroked="false">
              <v:fill type="solid"/>
            </v:rect>
            <v:rect style="position:absolute;left:4514;top:258;width:308;height:131" filled="true" fillcolor="#f9c090" stroked="false">
              <v:fill type="solid"/>
            </v:rect>
            <v:rect style="position:absolute;left:4514;top:389;width:308;height:138" filled="true" fillcolor="#a6a6a6" stroked="false">
              <v:fill type="solid"/>
            </v:rect>
            <w10:wrap type="none"/>
          </v:group>
        </w:pict>
      </w:r>
      <w:r>
        <w:rPr/>
        <w:pict>
          <v:group style="position:absolute;margin-left:314.134552pt;margin-top:6.408726pt;width:15.4pt;height:19.95pt;mso-position-horizontal-relative:page;mso-position-vertical-relative:paragraph;z-index:-287849472" coordorigin="6283,128" coordsize="308,399">
            <v:rect style="position:absolute;left:6282;top:128;width:308;height:131" filled="true" fillcolor="#e08ad6" stroked="false">
              <v:fill type="solid"/>
            </v:rect>
            <v:rect style="position:absolute;left:6282;top:258;width:308;height:131" filled="true" fillcolor="#fbddc4" stroked="false">
              <v:fill type="solid"/>
            </v:rect>
            <v:rect style="position:absolute;left:6282;top:389;width:308;height:138" filled="true" fillcolor="#d9d9d9" stroked="false">
              <v:fill type="solid"/>
            </v:rect>
            <w10:wrap type="none"/>
          </v:group>
        </w:pict>
      </w:r>
      <w:r>
        <w:rPr/>
        <w:pict>
          <v:group style="position:absolute;margin-left:388.218842pt;margin-top:6.408726pt;width:15.4pt;height:19.95pt;mso-position-horizontal-relative:page;mso-position-vertical-relative:paragraph;z-index:-287848448" coordorigin="7764,128" coordsize="308,399">
            <v:rect style="position:absolute;left:7764;top:128;width:308;height:131" filled="true" fillcolor="#8063a1" stroked="false">
              <v:fill type="solid"/>
            </v:rect>
            <v:rect style="position:absolute;left:7764;top:258;width:308;height:131" filled="true" fillcolor="#808080" stroked="false">
              <v:fill type="solid"/>
            </v:rect>
            <v:rect style="position:absolute;left:7764;top:389;width:308;height:138" filled="true" fillcolor="#413c22" stroked="false">
              <v:fill type="solid"/>
            </v:rect>
            <w10:wrap type="none"/>
          </v:group>
        </w:pict>
      </w:r>
      <w:r>
        <w:rPr/>
        <w:pict>
          <v:group style="position:absolute;margin-left:474.471588pt;margin-top:6.408726pt;width:15.4pt;height:13.45pt;mso-position-horizontal-relative:page;mso-position-vertical-relative:paragraph;z-index:-287847424" coordorigin="9489,128" coordsize="308,269">
            <v:rect style="position:absolute;left:9489;top:128;width:308;height:131" filled="true" fillcolor="#c0504d" stroked="false">
              <v:fill type="solid"/>
            </v:rect>
            <v:rect style="position:absolute;left:9489;top:258;width:308;height:138" filled="true" fillcolor="#ecb8e7" stroked="false">
              <v:fill type="solid"/>
            </v:rect>
            <w10:wrap type="none"/>
          </v:group>
        </w:pict>
      </w:r>
      <w:r>
        <w:rPr>
          <w:b/>
          <w:w w:val="105"/>
          <w:sz w:val="10"/>
        </w:rPr>
        <w:t>Payment Category Key:</w:t>
      </w:r>
    </w:p>
    <w:p>
      <w:pPr>
        <w:tabs>
          <w:tab w:pos="2862" w:val="left" w:leader="none"/>
          <w:tab w:pos="4716" w:val="left" w:leader="none"/>
          <w:tab w:pos="6484" w:val="left" w:leader="none"/>
          <w:tab w:pos="7966" w:val="left" w:leader="none"/>
          <w:tab w:pos="9691" w:val="left" w:leader="none"/>
        </w:tabs>
        <w:spacing w:before="29"/>
        <w:ind w:left="1338" w:right="0" w:firstLine="0"/>
        <w:jc w:val="left"/>
        <w:rPr>
          <w:sz w:val="10"/>
        </w:rPr>
      </w:pPr>
      <w:r>
        <w:rPr>
          <w:w w:val="105"/>
          <w:sz w:val="10"/>
        </w:rPr>
        <w:t>A -</w:t>
      </w:r>
      <w:r>
        <w:rPr>
          <w:spacing w:val="-3"/>
          <w:w w:val="105"/>
          <w:sz w:val="10"/>
        </w:rPr>
        <w:t> </w:t>
      </w:r>
      <w:r>
        <w:rPr>
          <w:spacing w:val="-5"/>
          <w:w w:val="105"/>
          <w:sz w:val="10"/>
        </w:rPr>
        <w:t>IS</w:t>
      </w:r>
      <w:r>
        <w:rPr>
          <w:spacing w:val="3"/>
          <w:w w:val="105"/>
          <w:sz w:val="10"/>
        </w:rPr>
        <w:t> </w:t>
      </w:r>
      <w:r>
        <w:rPr>
          <w:spacing w:val="-3"/>
          <w:w w:val="105"/>
          <w:sz w:val="10"/>
        </w:rPr>
        <w:t>Studying</w:t>
        <w:tab/>
      </w:r>
      <w:r>
        <w:rPr>
          <w:w w:val="105"/>
          <w:sz w:val="10"/>
        </w:rPr>
        <w:t>B - </w:t>
      </w:r>
      <w:r>
        <w:rPr>
          <w:spacing w:val="-5"/>
          <w:w w:val="105"/>
          <w:sz w:val="10"/>
        </w:rPr>
        <w:t>IS</w:t>
      </w:r>
      <w:r>
        <w:rPr>
          <w:spacing w:val="2"/>
          <w:w w:val="105"/>
          <w:sz w:val="10"/>
        </w:rPr>
        <w:t> </w:t>
      </w:r>
      <w:r>
        <w:rPr>
          <w:w w:val="105"/>
          <w:sz w:val="10"/>
        </w:rPr>
        <w:t>Working</w:t>
      </w:r>
      <w:r>
        <w:rPr>
          <w:spacing w:val="-2"/>
          <w:w w:val="105"/>
          <w:sz w:val="10"/>
        </w:rPr>
        <w:t> </w:t>
      </w:r>
      <w:r>
        <w:rPr>
          <w:spacing w:val="-4"/>
          <w:w w:val="105"/>
          <w:sz w:val="10"/>
        </w:rPr>
        <w:t>Age</w:t>
        <w:tab/>
      </w:r>
      <w:r>
        <w:rPr>
          <w:w w:val="105"/>
          <w:sz w:val="10"/>
        </w:rPr>
        <w:t>C -</w:t>
      </w:r>
      <w:r>
        <w:rPr>
          <w:spacing w:val="1"/>
          <w:w w:val="105"/>
          <w:sz w:val="10"/>
        </w:rPr>
        <w:t> </w:t>
      </w:r>
      <w:r>
        <w:rPr>
          <w:spacing w:val="-5"/>
          <w:w w:val="105"/>
          <w:sz w:val="10"/>
        </w:rPr>
        <w:t>IS</w:t>
      </w:r>
      <w:r>
        <w:rPr>
          <w:spacing w:val="-1"/>
          <w:w w:val="105"/>
          <w:sz w:val="10"/>
        </w:rPr>
        <w:t> </w:t>
      </w:r>
      <w:r>
        <w:rPr>
          <w:w w:val="105"/>
          <w:sz w:val="10"/>
        </w:rPr>
        <w:t>Parents</w:t>
        <w:tab/>
        <w:t>D -</w:t>
      </w:r>
      <w:r>
        <w:rPr>
          <w:spacing w:val="2"/>
          <w:w w:val="105"/>
          <w:sz w:val="10"/>
        </w:rPr>
        <w:t> </w:t>
      </w:r>
      <w:r>
        <w:rPr>
          <w:spacing w:val="-5"/>
          <w:w w:val="105"/>
          <w:sz w:val="10"/>
        </w:rPr>
        <w:t>IS</w:t>
      </w:r>
      <w:r>
        <w:rPr>
          <w:w w:val="105"/>
          <w:sz w:val="10"/>
        </w:rPr>
        <w:t> Carer</w:t>
        <w:tab/>
        <w:t>E -</w:t>
      </w:r>
      <w:r>
        <w:rPr>
          <w:spacing w:val="-3"/>
          <w:w w:val="105"/>
          <w:sz w:val="10"/>
        </w:rPr>
        <w:t> </w:t>
      </w:r>
      <w:r>
        <w:rPr>
          <w:spacing w:val="-5"/>
          <w:w w:val="105"/>
          <w:sz w:val="10"/>
        </w:rPr>
        <w:t>IS</w:t>
      </w:r>
      <w:r>
        <w:rPr>
          <w:spacing w:val="-2"/>
          <w:w w:val="105"/>
          <w:sz w:val="10"/>
        </w:rPr>
        <w:t> </w:t>
      </w:r>
      <w:r>
        <w:rPr>
          <w:w w:val="105"/>
          <w:sz w:val="10"/>
        </w:rPr>
        <w:t>Disability</w:t>
        <w:tab/>
        <w:t>F - </w:t>
      </w:r>
      <w:r>
        <w:rPr>
          <w:spacing w:val="-5"/>
          <w:w w:val="105"/>
          <w:sz w:val="10"/>
        </w:rPr>
        <w:t>IS </w:t>
      </w:r>
      <w:r>
        <w:rPr>
          <w:spacing w:val="-4"/>
          <w:w w:val="105"/>
          <w:sz w:val="10"/>
        </w:rPr>
        <w:t>Age</w:t>
      </w:r>
    </w:p>
    <w:p>
      <w:pPr>
        <w:tabs>
          <w:tab w:pos="2862" w:val="left" w:leader="none"/>
          <w:tab w:pos="4716" w:val="left" w:leader="none"/>
          <w:tab w:pos="6484" w:val="left" w:leader="none"/>
          <w:tab w:pos="7966" w:val="left" w:leader="none"/>
          <w:tab w:pos="9691" w:val="left" w:leader="none"/>
        </w:tabs>
        <w:spacing w:line="273" w:lineRule="auto" w:before="16"/>
        <w:ind w:left="1338" w:right="1365" w:hanging="1"/>
        <w:jc w:val="left"/>
        <w:rPr>
          <w:sz w:val="10"/>
        </w:rPr>
      </w:pPr>
      <w:r>
        <w:rPr>
          <w:w w:val="105"/>
          <w:sz w:val="10"/>
        </w:rPr>
        <w:t>G -</w:t>
      </w:r>
      <w:r>
        <w:rPr>
          <w:spacing w:val="7"/>
          <w:w w:val="105"/>
          <w:sz w:val="10"/>
        </w:rPr>
        <w:t> </w:t>
      </w:r>
      <w:r>
        <w:rPr>
          <w:spacing w:val="-5"/>
          <w:w w:val="105"/>
          <w:sz w:val="10"/>
        </w:rPr>
        <w:t>IS</w:t>
      </w:r>
      <w:r>
        <w:rPr>
          <w:spacing w:val="5"/>
          <w:w w:val="105"/>
          <w:sz w:val="10"/>
        </w:rPr>
        <w:t> </w:t>
      </w:r>
      <w:r>
        <w:rPr>
          <w:spacing w:val="-3"/>
          <w:w w:val="105"/>
          <w:sz w:val="10"/>
        </w:rPr>
        <w:t>Dependant</w:t>
        <w:tab/>
      </w:r>
      <w:r>
        <w:rPr>
          <w:w w:val="105"/>
          <w:sz w:val="10"/>
        </w:rPr>
        <w:t>H -</w:t>
      </w:r>
      <w:r>
        <w:rPr>
          <w:spacing w:val="-7"/>
          <w:w w:val="105"/>
          <w:sz w:val="10"/>
        </w:rPr>
        <w:t> </w:t>
      </w:r>
      <w:r>
        <w:rPr>
          <w:w w:val="105"/>
          <w:sz w:val="10"/>
        </w:rPr>
        <w:t>Other</w:t>
      </w:r>
      <w:r>
        <w:rPr>
          <w:spacing w:val="-1"/>
          <w:w w:val="105"/>
          <w:sz w:val="10"/>
        </w:rPr>
        <w:t> </w:t>
      </w:r>
      <w:r>
        <w:rPr>
          <w:w w:val="105"/>
          <w:sz w:val="10"/>
        </w:rPr>
        <w:t>FTB</w:t>
        <w:tab/>
        <w:t>I -</w:t>
      </w:r>
      <w:r>
        <w:rPr>
          <w:spacing w:val="-11"/>
          <w:w w:val="105"/>
          <w:sz w:val="10"/>
        </w:rPr>
        <w:t> </w:t>
      </w:r>
      <w:r>
        <w:rPr>
          <w:w w:val="105"/>
          <w:sz w:val="10"/>
        </w:rPr>
        <w:t>Other</w:t>
      </w:r>
      <w:r>
        <w:rPr>
          <w:spacing w:val="-1"/>
          <w:w w:val="105"/>
          <w:sz w:val="10"/>
        </w:rPr>
        <w:t> </w:t>
      </w:r>
      <w:r>
        <w:rPr>
          <w:w w:val="105"/>
          <w:sz w:val="10"/>
        </w:rPr>
        <w:t>Family</w:t>
        <w:tab/>
        <w:t>J - Other</w:t>
      </w:r>
      <w:r>
        <w:rPr>
          <w:spacing w:val="-6"/>
          <w:w w:val="105"/>
          <w:sz w:val="10"/>
        </w:rPr>
        <w:t> </w:t>
      </w:r>
      <w:r>
        <w:rPr>
          <w:spacing w:val="-3"/>
          <w:w w:val="105"/>
          <w:sz w:val="10"/>
        </w:rPr>
        <w:t>New</w:t>
      </w:r>
      <w:r>
        <w:rPr>
          <w:spacing w:val="1"/>
          <w:w w:val="105"/>
          <w:sz w:val="10"/>
        </w:rPr>
        <w:t> </w:t>
      </w:r>
      <w:r>
        <w:rPr>
          <w:w w:val="105"/>
          <w:sz w:val="10"/>
        </w:rPr>
        <w:t>Parents</w:t>
        <w:tab/>
        <w:t>L - Other </w:t>
      </w:r>
      <w:r>
        <w:rPr>
          <w:spacing w:val="-3"/>
          <w:w w:val="105"/>
          <w:sz w:val="10"/>
        </w:rPr>
        <w:t>Health</w:t>
      </w:r>
      <w:r>
        <w:rPr>
          <w:spacing w:val="-7"/>
          <w:w w:val="105"/>
          <w:sz w:val="10"/>
        </w:rPr>
        <w:t> </w:t>
      </w:r>
      <w:r>
        <w:rPr>
          <w:w w:val="105"/>
          <w:sz w:val="10"/>
        </w:rPr>
        <w:t>&amp; Disability</w:t>
        <w:tab/>
        <w:t>M - Other </w:t>
      </w:r>
      <w:r>
        <w:rPr>
          <w:spacing w:val="-5"/>
          <w:w w:val="105"/>
          <w:sz w:val="10"/>
        </w:rPr>
        <w:t>Carer </w:t>
      </w:r>
      <w:r>
        <w:rPr>
          <w:w w:val="105"/>
          <w:sz w:val="10"/>
        </w:rPr>
        <w:t>N - Other Study</w:t>
      </w:r>
      <w:r>
        <w:rPr>
          <w:spacing w:val="-8"/>
          <w:w w:val="105"/>
          <w:sz w:val="10"/>
        </w:rPr>
        <w:t> </w:t>
      </w:r>
      <w:r>
        <w:rPr>
          <w:w w:val="105"/>
          <w:sz w:val="10"/>
        </w:rPr>
        <w:t>&amp; </w:t>
      </w:r>
      <w:r>
        <w:rPr>
          <w:spacing w:val="-3"/>
          <w:w w:val="105"/>
          <w:sz w:val="10"/>
        </w:rPr>
        <w:t>Skills</w:t>
        <w:tab/>
      </w:r>
      <w:r>
        <w:rPr>
          <w:w w:val="105"/>
          <w:sz w:val="10"/>
        </w:rPr>
        <w:t>O - Other Remote</w:t>
      </w:r>
      <w:r>
        <w:rPr>
          <w:spacing w:val="10"/>
          <w:w w:val="105"/>
          <w:sz w:val="10"/>
        </w:rPr>
        <w:t> </w:t>
      </w:r>
      <w:r>
        <w:rPr>
          <w:w w:val="105"/>
          <w:sz w:val="10"/>
        </w:rPr>
        <w:t>&amp;</w:t>
      </w:r>
      <w:r>
        <w:rPr>
          <w:spacing w:val="2"/>
          <w:w w:val="105"/>
          <w:sz w:val="10"/>
        </w:rPr>
        <w:t> </w:t>
      </w:r>
      <w:r>
        <w:rPr>
          <w:spacing w:val="-3"/>
          <w:w w:val="105"/>
          <w:sz w:val="10"/>
        </w:rPr>
        <w:t>Regional</w:t>
        <w:tab/>
      </w:r>
      <w:r>
        <w:rPr>
          <w:w w:val="105"/>
          <w:sz w:val="10"/>
        </w:rPr>
        <w:t>P - Other</w:t>
      </w:r>
      <w:r>
        <w:rPr>
          <w:spacing w:val="13"/>
          <w:w w:val="105"/>
          <w:sz w:val="10"/>
        </w:rPr>
        <w:t> </w:t>
      </w:r>
      <w:r>
        <w:rPr>
          <w:spacing w:val="-3"/>
          <w:w w:val="105"/>
          <w:sz w:val="10"/>
        </w:rPr>
        <w:t>General</w:t>
      </w:r>
      <w:r>
        <w:rPr>
          <w:spacing w:val="2"/>
          <w:w w:val="105"/>
          <w:sz w:val="10"/>
        </w:rPr>
        <w:t> </w:t>
      </w:r>
      <w:r>
        <w:rPr>
          <w:spacing w:val="-3"/>
          <w:w w:val="105"/>
          <w:sz w:val="10"/>
        </w:rPr>
        <w:t>Allowances</w:t>
        <w:tab/>
      </w:r>
      <w:r>
        <w:rPr>
          <w:w w:val="105"/>
          <w:sz w:val="10"/>
        </w:rPr>
        <w:t>Q -</w:t>
      </w:r>
      <w:r>
        <w:rPr>
          <w:spacing w:val="3"/>
          <w:w w:val="105"/>
          <w:sz w:val="10"/>
        </w:rPr>
        <w:t> </w:t>
      </w:r>
      <w:r>
        <w:rPr>
          <w:spacing w:val="-4"/>
          <w:w w:val="105"/>
          <w:sz w:val="10"/>
        </w:rPr>
        <w:t>All</w:t>
      </w:r>
      <w:r>
        <w:rPr>
          <w:spacing w:val="-2"/>
          <w:w w:val="105"/>
          <w:sz w:val="10"/>
        </w:rPr>
        <w:t> </w:t>
      </w:r>
      <w:r>
        <w:rPr>
          <w:w w:val="105"/>
          <w:sz w:val="10"/>
        </w:rPr>
        <w:t>Other</w:t>
        <w:tab/>
        <w:t>R - Rent</w:t>
      </w:r>
      <w:r>
        <w:rPr>
          <w:spacing w:val="-3"/>
          <w:w w:val="105"/>
          <w:sz w:val="10"/>
        </w:rPr>
        <w:t> </w:t>
      </w:r>
      <w:r>
        <w:rPr>
          <w:w w:val="105"/>
          <w:sz w:val="10"/>
        </w:rPr>
        <w:t>Assistance</w:t>
      </w:r>
    </w:p>
    <w:p>
      <w:pPr>
        <w:pStyle w:val="BodyText"/>
        <w:rPr>
          <w:sz w:val="12"/>
        </w:rPr>
      </w:pPr>
    </w:p>
    <w:p>
      <w:pPr>
        <w:pStyle w:val="BodyText"/>
        <w:spacing w:before="1"/>
        <w:rPr>
          <w:sz w:val="14"/>
        </w:rPr>
      </w:pPr>
    </w:p>
    <w:p>
      <w:pPr>
        <w:spacing w:before="0"/>
        <w:ind w:left="900" w:right="0" w:firstLine="0"/>
        <w:jc w:val="left"/>
        <w:rPr>
          <w:sz w:val="16"/>
        </w:rPr>
      </w:pPr>
      <w:r>
        <w:rPr>
          <w:color w:val="DF2F1E"/>
          <w:sz w:val="16"/>
        </w:rPr>
        <w:t>Notes:</w:t>
      </w:r>
    </w:p>
    <w:p>
      <w:pPr>
        <w:pStyle w:val="ListParagraph"/>
        <w:numPr>
          <w:ilvl w:val="0"/>
          <w:numId w:val="35"/>
        </w:numPr>
        <w:tabs>
          <w:tab w:pos="1080" w:val="left" w:leader="none"/>
        </w:tabs>
        <w:spacing w:line="240" w:lineRule="auto" w:before="80" w:after="0"/>
        <w:ind w:left="1079" w:right="0" w:hanging="180"/>
        <w:jc w:val="left"/>
        <w:rPr>
          <w:sz w:val="16"/>
        </w:rPr>
      </w:pPr>
      <w:r>
        <w:rPr>
          <w:color w:val="DF2F1E"/>
          <w:sz w:val="16"/>
        </w:rPr>
        <w:t>The rest of the Australian population class contains 12.27m people and is not shown in full in this</w:t>
      </w:r>
      <w:r>
        <w:rPr>
          <w:color w:val="DF2F1E"/>
          <w:spacing w:val="-17"/>
          <w:sz w:val="16"/>
        </w:rPr>
        <w:t> </w:t>
      </w:r>
      <w:r>
        <w:rPr>
          <w:color w:val="DF2F1E"/>
          <w:sz w:val="16"/>
        </w:rPr>
        <w:t>chart.</w:t>
      </w:r>
    </w:p>
    <w:p>
      <w:pPr>
        <w:pStyle w:val="ListParagraph"/>
        <w:numPr>
          <w:ilvl w:val="0"/>
          <w:numId w:val="35"/>
        </w:numPr>
        <w:tabs>
          <w:tab w:pos="1081" w:val="left" w:leader="none"/>
        </w:tabs>
        <w:spacing w:line="240" w:lineRule="auto" w:before="80" w:after="0"/>
        <w:ind w:left="1080" w:right="0" w:hanging="181"/>
        <w:jc w:val="left"/>
        <w:rPr>
          <w:sz w:val="16"/>
        </w:rPr>
      </w:pPr>
      <w:r>
        <w:rPr>
          <w:color w:val="DF2F1E"/>
          <w:sz w:val="16"/>
        </w:rPr>
        <w:t>Exited 4+ years refers to previous welfare recipients who have exited in the past or more</w:t>
      </w:r>
      <w:r>
        <w:rPr>
          <w:color w:val="DF2F1E"/>
          <w:spacing w:val="-7"/>
          <w:sz w:val="16"/>
        </w:rPr>
        <w:t> </w:t>
      </w:r>
      <w:r>
        <w:rPr>
          <w:color w:val="DF2F1E"/>
          <w:sz w:val="16"/>
        </w:rPr>
        <w:t>years</w:t>
      </w:r>
    </w:p>
    <w:p>
      <w:pPr>
        <w:pStyle w:val="Heading9"/>
        <w:spacing w:before="117"/>
        <w:rPr>
          <w:b w:val="0"/>
        </w:rPr>
      </w:pPr>
      <w:r>
        <w:rPr>
          <w:b w:val="0"/>
          <w:color w:val="404040"/>
        </w:rPr>
        <w:t>For </w:t>
      </w:r>
      <w:r>
        <w:rPr>
          <w:color w:val="404040"/>
        </w:rPr>
        <w:t>current welfare recipients</w:t>
      </w:r>
      <w:r>
        <w:rPr>
          <w:b w:val="0"/>
          <w:color w:val="404040"/>
        </w:rPr>
        <w:t>:</w:t>
      </w:r>
    </w:p>
    <w:p>
      <w:pPr>
        <w:pStyle w:val="ListParagraph"/>
        <w:numPr>
          <w:ilvl w:val="0"/>
          <w:numId w:val="31"/>
        </w:numPr>
        <w:tabs>
          <w:tab w:pos="1184" w:val="left" w:leader="none"/>
        </w:tabs>
        <w:spacing w:line="240" w:lineRule="auto" w:before="121" w:after="0"/>
        <w:ind w:left="1183" w:right="1058" w:hanging="284"/>
        <w:jc w:val="left"/>
        <w:rPr>
          <w:rFonts w:ascii="Symbol" w:hAnsi="Symbol"/>
          <w:sz w:val="20"/>
        </w:rPr>
      </w:pPr>
      <w:r>
        <w:rPr>
          <w:color w:val="404040"/>
          <w:sz w:val="20"/>
        </w:rPr>
        <w:t>The largest contribution is from people in the Pension Age class ($577bn). This is primarily driven by the large</w:t>
      </w:r>
      <w:r>
        <w:rPr>
          <w:color w:val="404040"/>
          <w:spacing w:val="-2"/>
          <w:sz w:val="20"/>
        </w:rPr>
        <w:t> </w:t>
      </w:r>
      <w:r>
        <w:rPr>
          <w:color w:val="404040"/>
          <w:sz w:val="20"/>
        </w:rPr>
        <w:t>number</w:t>
      </w:r>
      <w:r>
        <w:rPr>
          <w:color w:val="404040"/>
          <w:spacing w:val="-3"/>
          <w:sz w:val="20"/>
        </w:rPr>
        <w:t> </w:t>
      </w:r>
      <w:r>
        <w:rPr>
          <w:color w:val="404040"/>
          <w:sz w:val="20"/>
        </w:rPr>
        <w:t>of</w:t>
      </w:r>
      <w:r>
        <w:rPr>
          <w:color w:val="404040"/>
          <w:spacing w:val="-1"/>
          <w:sz w:val="20"/>
        </w:rPr>
        <w:t> </w:t>
      </w:r>
      <w:r>
        <w:rPr>
          <w:color w:val="404040"/>
          <w:sz w:val="20"/>
        </w:rPr>
        <w:t>people</w:t>
      </w:r>
      <w:r>
        <w:rPr>
          <w:color w:val="404040"/>
          <w:spacing w:val="-2"/>
          <w:sz w:val="20"/>
        </w:rPr>
        <w:t> </w:t>
      </w:r>
      <w:r>
        <w:rPr>
          <w:color w:val="404040"/>
          <w:sz w:val="20"/>
        </w:rPr>
        <w:t>in</w:t>
      </w:r>
      <w:r>
        <w:rPr>
          <w:color w:val="404040"/>
          <w:spacing w:val="-3"/>
          <w:sz w:val="20"/>
        </w:rPr>
        <w:t> </w:t>
      </w:r>
      <w:r>
        <w:rPr>
          <w:color w:val="404040"/>
          <w:sz w:val="20"/>
        </w:rPr>
        <w:t>this</w:t>
      </w:r>
      <w:r>
        <w:rPr>
          <w:color w:val="404040"/>
          <w:spacing w:val="-3"/>
          <w:sz w:val="20"/>
        </w:rPr>
        <w:t> </w:t>
      </w:r>
      <w:r>
        <w:rPr>
          <w:color w:val="404040"/>
          <w:sz w:val="20"/>
        </w:rPr>
        <w:t>class,</w:t>
      </w:r>
      <w:r>
        <w:rPr>
          <w:color w:val="404040"/>
          <w:spacing w:val="-3"/>
          <w:sz w:val="20"/>
        </w:rPr>
        <w:t> </w:t>
      </w:r>
      <w:r>
        <w:rPr>
          <w:color w:val="404040"/>
          <w:sz w:val="20"/>
        </w:rPr>
        <w:t>as</w:t>
      </w:r>
      <w:r>
        <w:rPr>
          <w:color w:val="404040"/>
          <w:spacing w:val="-3"/>
          <w:sz w:val="20"/>
        </w:rPr>
        <w:t> </w:t>
      </w:r>
      <w:r>
        <w:rPr>
          <w:color w:val="404040"/>
          <w:sz w:val="20"/>
        </w:rPr>
        <w:t>the</w:t>
      </w:r>
      <w:r>
        <w:rPr>
          <w:color w:val="404040"/>
          <w:spacing w:val="-3"/>
          <w:sz w:val="20"/>
        </w:rPr>
        <w:t> </w:t>
      </w:r>
      <w:r>
        <w:rPr>
          <w:color w:val="404040"/>
          <w:sz w:val="20"/>
        </w:rPr>
        <w:t>average</w:t>
      </w:r>
      <w:r>
        <w:rPr>
          <w:color w:val="404040"/>
          <w:spacing w:val="-2"/>
          <w:sz w:val="20"/>
        </w:rPr>
        <w:t> </w:t>
      </w:r>
      <w:r>
        <w:rPr>
          <w:color w:val="404040"/>
          <w:sz w:val="20"/>
        </w:rPr>
        <w:t>lifetime</w:t>
      </w:r>
      <w:r>
        <w:rPr>
          <w:color w:val="404040"/>
          <w:spacing w:val="-3"/>
          <w:sz w:val="20"/>
        </w:rPr>
        <w:t> </w:t>
      </w:r>
      <w:r>
        <w:rPr>
          <w:color w:val="404040"/>
          <w:sz w:val="20"/>
        </w:rPr>
        <w:t>cost</w:t>
      </w:r>
      <w:r>
        <w:rPr>
          <w:color w:val="404040"/>
          <w:spacing w:val="-4"/>
          <w:sz w:val="20"/>
        </w:rPr>
        <w:t> </w:t>
      </w:r>
      <w:r>
        <w:rPr>
          <w:color w:val="404040"/>
          <w:sz w:val="20"/>
        </w:rPr>
        <w:t>per</w:t>
      </w:r>
      <w:r>
        <w:rPr>
          <w:color w:val="404040"/>
          <w:spacing w:val="-2"/>
          <w:sz w:val="20"/>
        </w:rPr>
        <w:t> </w:t>
      </w:r>
      <w:r>
        <w:rPr>
          <w:color w:val="404040"/>
          <w:sz w:val="20"/>
        </w:rPr>
        <w:t>person</w:t>
      </w:r>
      <w:r>
        <w:rPr>
          <w:color w:val="404040"/>
          <w:spacing w:val="-2"/>
          <w:sz w:val="20"/>
        </w:rPr>
        <w:t> </w:t>
      </w:r>
      <w:r>
        <w:rPr>
          <w:color w:val="404040"/>
          <w:sz w:val="20"/>
        </w:rPr>
        <w:t>is</w:t>
      </w:r>
      <w:r>
        <w:rPr>
          <w:color w:val="404040"/>
          <w:spacing w:val="-2"/>
          <w:sz w:val="20"/>
        </w:rPr>
        <w:t> </w:t>
      </w:r>
      <w:r>
        <w:rPr>
          <w:color w:val="404040"/>
          <w:sz w:val="20"/>
        </w:rPr>
        <w:t>actually</w:t>
      </w:r>
      <w:r>
        <w:rPr>
          <w:color w:val="404040"/>
          <w:spacing w:val="-5"/>
          <w:sz w:val="20"/>
        </w:rPr>
        <w:t> </w:t>
      </w:r>
      <w:r>
        <w:rPr>
          <w:color w:val="404040"/>
          <w:sz w:val="20"/>
        </w:rPr>
        <w:t>less</w:t>
      </w:r>
      <w:r>
        <w:rPr>
          <w:color w:val="404040"/>
          <w:spacing w:val="-2"/>
          <w:sz w:val="20"/>
        </w:rPr>
        <w:t> </w:t>
      </w:r>
      <w:r>
        <w:rPr>
          <w:color w:val="404040"/>
          <w:sz w:val="20"/>
        </w:rPr>
        <w:t>than</w:t>
      </w:r>
      <w:r>
        <w:rPr>
          <w:color w:val="404040"/>
          <w:spacing w:val="-4"/>
          <w:sz w:val="20"/>
        </w:rPr>
        <w:t> </w:t>
      </w:r>
      <w:r>
        <w:rPr>
          <w:color w:val="404040"/>
          <w:sz w:val="20"/>
        </w:rPr>
        <w:t>many</w:t>
      </w:r>
      <w:r>
        <w:rPr>
          <w:color w:val="404040"/>
          <w:spacing w:val="-4"/>
          <w:sz w:val="20"/>
        </w:rPr>
        <w:t> </w:t>
      </w:r>
      <w:r>
        <w:rPr>
          <w:color w:val="404040"/>
          <w:sz w:val="20"/>
        </w:rPr>
        <w:t>other classes.</w:t>
      </w:r>
    </w:p>
    <w:p>
      <w:pPr>
        <w:pStyle w:val="ListParagraph"/>
        <w:numPr>
          <w:ilvl w:val="0"/>
          <w:numId w:val="31"/>
        </w:numPr>
        <w:tabs>
          <w:tab w:pos="1184" w:val="left" w:leader="none"/>
        </w:tabs>
        <w:spacing w:line="240" w:lineRule="auto" w:before="119" w:after="0"/>
        <w:ind w:left="1183" w:right="1718" w:hanging="284"/>
        <w:jc w:val="left"/>
        <w:rPr>
          <w:rFonts w:ascii="Symbol" w:hAnsi="Symbol"/>
          <w:sz w:val="20"/>
        </w:rPr>
      </w:pPr>
      <w:r>
        <w:rPr>
          <w:color w:val="404040"/>
          <w:sz w:val="20"/>
        </w:rPr>
        <w:t>The other classes of current welfare recipients with particularly large contributions to the lifetime cost include:</w:t>
      </w:r>
    </w:p>
    <w:p>
      <w:pPr>
        <w:pStyle w:val="ListParagraph"/>
        <w:numPr>
          <w:ilvl w:val="1"/>
          <w:numId w:val="31"/>
        </w:numPr>
        <w:tabs>
          <w:tab w:pos="1467" w:val="left" w:leader="none"/>
        </w:tabs>
        <w:spacing w:line="242" w:lineRule="auto" w:before="117" w:after="0"/>
        <w:ind w:left="1468" w:right="1103" w:hanging="286"/>
        <w:jc w:val="left"/>
        <w:rPr>
          <w:sz w:val="20"/>
        </w:rPr>
      </w:pPr>
      <w:r>
        <w:rPr>
          <w:i/>
          <w:color w:val="404040"/>
          <w:sz w:val="20"/>
        </w:rPr>
        <w:t>Working Age payment recipients ($471bn) </w:t>
      </w:r>
      <w:r>
        <w:rPr>
          <w:color w:val="404040"/>
          <w:sz w:val="20"/>
        </w:rPr>
        <w:t>– this is driven by a combination of high numbers of people in the class, and a relatively high average lifetime cost per</w:t>
      </w:r>
      <w:r>
        <w:rPr>
          <w:color w:val="404040"/>
          <w:spacing w:val="-11"/>
          <w:sz w:val="20"/>
        </w:rPr>
        <w:t> </w:t>
      </w:r>
      <w:r>
        <w:rPr>
          <w:color w:val="404040"/>
          <w:sz w:val="20"/>
        </w:rPr>
        <w:t>person.</w:t>
      </w:r>
    </w:p>
    <w:p>
      <w:pPr>
        <w:pStyle w:val="ListParagraph"/>
        <w:numPr>
          <w:ilvl w:val="1"/>
          <w:numId w:val="31"/>
        </w:numPr>
        <w:tabs>
          <w:tab w:pos="1467" w:val="left" w:leader="none"/>
        </w:tabs>
        <w:spacing w:line="242" w:lineRule="auto" w:before="116" w:after="0"/>
        <w:ind w:left="1468" w:right="1149" w:hanging="286"/>
        <w:jc w:val="left"/>
        <w:rPr>
          <w:sz w:val="20"/>
        </w:rPr>
      </w:pPr>
      <w:r>
        <w:rPr>
          <w:i/>
          <w:color w:val="404040"/>
          <w:sz w:val="20"/>
        </w:rPr>
        <w:t>Disability Support Pension recipients ($417bn) </w:t>
      </w:r>
      <w:r>
        <w:rPr>
          <w:color w:val="404040"/>
          <w:sz w:val="20"/>
        </w:rPr>
        <w:t>– this is mainly driven by a high average lifetime cost per person and to a lesser extent the numbers of people in the</w:t>
      </w:r>
      <w:r>
        <w:rPr>
          <w:color w:val="404040"/>
          <w:spacing w:val="-7"/>
          <w:sz w:val="20"/>
        </w:rPr>
        <w:t> </w:t>
      </w:r>
      <w:r>
        <w:rPr>
          <w:color w:val="404040"/>
          <w:sz w:val="20"/>
        </w:rPr>
        <w:t>class.</w:t>
      </w:r>
    </w:p>
    <w:p>
      <w:pPr>
        <w:pStyle w:val="ListParagraph"/>
        <w:numPr>
          <w:ilvl w:val="1"/>
          <w:numId w:val="31"/>
        </w:numPr>
        <w:tabs>
          <w:tab w:pos="1466" w:val="left" w:leader="none"/>
        </w:tabs>
        <w:spacing w:line="240" w:lineRule="auto" w:before="116" w:after="0"/>
        <w:ind w:left="1465" w:right="0" w:hanging="284"/>
        <w:jc w:val="left"/>
        <w:rPr>
          <w:sz w:val="20"/>
        </w:rPr>
      </w:pPr>
      <w:r>
        <w:rPr>
          <w:i/>
          <w:color w:val="404040"/>
          <w:sz w:val="20"/>
        </w:rPr>
        <w:t>Non IS Family payment recipients ($354bn) </w:t>
      </w:r>
      <w:r>
        <w:rPr>
          <w:color w:val="404040"/>
          <w:sz w:val="20"/>
        </w:rPr>
        <w:t>– this is mainly driven by high numbers of people in the</w:t>
      </w:r>
      <w:r>
        <w:rPr>
          <w:color w:val="404040"/>
          <w:spacing w:val="-28"/>
          <w:sz w:val="20"/>
        </w:rPr>
        <w:t> </w:t>
      </w:r>
      <w:r>
        <w:rPr>
          <w:color w:val="404040"/>
          <w:sz w:val="20"/>
        </w:rPr>
        <w:t>class</w:t>
      </w:r>
    </w:p>
    <w:p>
      <w:pPr>
        <w:pStyle w:val="ListParagraph"/>
        <w:numPr>
          <w:ilvl w:val="0"/>
          <w:numId w:val="31"/>
        </w:numPr>
        <w:tabs>
          <w:tab w:pos="1183" w:val="left" w:leader="none"/>
        </w:tabs>
        <w:spacing w:line="240" w:lineRule="auto" w:before="122" w:after="0"/>
        <w:ind w:left="1182" w:right="1157" w:hanging="284"/>
        <w:jc w:val="left"/>
        <w:rPr>
          <w:rFonts w:ascii="Symbol" w:hAnsi="Symbol"/>
          <w:sz w:val="20"/>
        </w:rPr>
      </w:pPr>
      <w:r>
        <w:rPr>
          <w:color w:val="404040"/>
          <w:sz w:val="20"/>
        </w:rPr>
        <w:t>It</w:t>
      </w:r>
      <w:r>
        <w:rPr>
          <w:color w:val="404040"/>
          <w:spacing w:val="-3"/>
          <w:sz w:val="20"/>
        </w:rPr>
        <w:t> </w:t>
      </w:r>
      <w:r>
        <w:rPr>
          <w:color w:val="404040"/>
          <w:sz w:val="20"/>
        </w:rPr>
        <w:t>can</w:t>
      </w:r>
      <w:r>
        <w:rPr>
          <w:color w:val="404040"/>
          <w:spacing w:val="-3"/>
          <w:sz w:val="20"/>
        </w:rPr>
        <w:t> </w:t>
      </w:r>
      <w:r>
        <w:rPr>
          <w:color w:val="404040"/>
          <w:sz w:val="20"/>
        </w:rPr>
        <w:t>also</w:t>
      </w:r>
      <w:r>
        <w:rPr>
          <w:color w:val="404040"/>
          <w:spacing w:val="-3"/>
          <w:sz w:val="20"/>
        </w:rPr>
        <w:t> </w:t>
      </w:r>
      <w:r>
        <w:rPr>
          <w:color w:val="404040"/>
          <w:sz w:val="20"/>
        </w:rPr>
        <w:t>be</w:t>
      </w:r>
      <w:r>
        <w:rPr>
          <w:color w:val="404040"/>
          <w:spacing w:val="-3"/>
          <w:sz w:val="20"/>
        </w:rPr>
        <w:t> </w:t>
      </w:r>
      <w:r>
        <w:rPr>
          <w:color w:val="404040"/>
          <w:sz w:val="20"/>
        </w:rPr>
        <w:t>seen</w:t>
      </w:r>
      <w:r>
        <w:rPr>
          <w:color w:val="404040"/>
          <w:spacing w:val="-3"/>
          <w:sz w:val="20"/>
        </w:rPr>
        <w:t> </w:t>
      </w:r>
      <w:r>
        <w:rPr>
          <w:color w:val="404040"/>
          <w:sz w:val="20"/>
        </w:rPr>
        <w:t>that,</w:t>
      </w:r>
      <w:r>
        <w:rPr>
          <w:color w:val="404040"/>
          <w:spacing w:val="-3"/>
          <w:sz w:val="20"/>
        </w:rPr>
        <w:t> </w:t>
      </w:r>
      <w:r>
        <w:rPr>
          <w:color w:val="404040"/>
          <w:sz w:val="20"/>
        </w:rPr>
        <w:t>along</w:t>
      </w:r>
      <w:r>
        <w:rPr>
          <w:color w:val="404040"/>
          <w:spacing w:val="-1"/>
          <w:sz w:val="20"/>
        </w:rPr>
        <w:t> </w:t>
      </w:r>
      <w:r>
        <w:rPr>
          <w:color w:val="404040"/>
          <w:sz w:val="20"/>
        </w:rPr>
        <w:t>with</w:t>
      </w:r>
      <w:r>
        <w:rPr>
          <w:color w:val="404040"/>
          <w:spacing w:val="-3"/>
          <w:sz w:val="20"/>
        </w:rPr>
        <w:t> </w:t>
      </w:r>
      <w:r>
        <w:rPr>
          <w:color w:val="404040"/>
          <w:sz w:val="20"/>
        </w:rPr>
        <w:t>Disability</w:t>
      </w:r>
      <w:r>
        <w:rPr>
          <w:color w:val="404040"/>
          <w:spacing w:val="-6"/>
          <w:sz w:val="20"/>
        </w:rPr>
        <w:t> </w:t>
      </w:r>
      <w:r>
        <w:rPr>
          <w:color w:val="404040"/>
          <w:sz w:val="20"/>
        </w:rPr>
        <w:t>Support</w:t>
      </w:r>
      <w:r>
        <w:rPr>
          <w:color w:val="404040"/>
          <w:spacing w:val="-3"/>
          <w:sz w:val="20"/>
        </w:rPr>
        <w:t> </w:t>
      </w:r>
      <w:r>
        <w:rPr>
          <w:color w:val="404040"/>
          <w:sz w:val="20"/>
        </w:rPr>
        <w:t>Pension,</w:t>
      </w:r>
      <w:r>
        <w:rPr>
          <w:color w:val="404040"/>
          <w:spacing w:val="-3"/>
          <w:sz w:val="20"/>
        </w:rPr>
        <w:t> </w:t>
      </w:r>
      <w:r>
        <w:rPr>
          <w:color w:val="404040"/>
          <w:sz w:val="20"/>
        </w:rPr>
        <w:t>the</w:t>
      </w:r>
      <w:r>
        <w:rPr>
          <w:color w:val="404040"/>
          <w:spacing w:val="-3"/>
          <w:sz w:val="20"/>
        </w:rPr>
        <w:t> </w:t>
      </w:r>
      <w:r>
        <w:rPr>
          <w:color w:val="404040"/>
          <w:sz w:val="20"/>
        </w:rPr>
        <w:t>Parents</w:t>
      </w:r>
      <w:r>
        <w:rPr>
          <w:color w:val="404040"/>
          <w:spacing w:val="1"/>
          <w:sz w:val="20"/>
        </w:rPr>
        <w:t> </w:t>
      </w:r>
      <w:r>
        <w:rPr>
          <w:color w:val="404040"/>
          <w:sz w:val="20"/>
        </w:rPr>
        <w:t>and</w:t>
      </w:r>
      <w:r>
        <w:rPr>
          <w:color w:val="404040"/>
          <w:spacing w:val="-1"/>
          <w:sz w:val="20"/>
        </w:rPr>
        <w:t> </w:t>
      </w:r>
      <w:r>
        <w:rPr>
          <w:color w:val="404040"/>
          <w:sz w:val="20"/>
        </w:rPr>
        <w:t>Carers</w:t>
      </w:r>
      <w:r>
        <w:rPr>
          <w:color w:val="404040"/>
          <w:spacing w:val="-2"/>
          <w:sz w:val="20"/>
        </w:rPr>
        <w:t> </w:t>
      </w:r>
      <w:r>
        <w:rPr>
          <w:color w:val="404040"/>
          <w:sz w:val="20"/>
        </w:rPr>
        <w:t>classes</w:t>
      </w:r>
      <w:r>
        <w:rPr>
          <w:color w:val="404040"/>
          <w:spacing w:val="-3"/>
          <w:sz w:val="20"/>
        </w:rPr>
        <w:t> </w:t>
      </w:r>
      <w:r>
        <w:rPr>
          <w:color w:val="404040"/>
          <w:sz w:val="20"/>
        </w:rPr>
        <w:t>also</w:t>
      </w:r>
      <w:r>
        <w:rPr>
          <w:color w:val="404040"/>
          <w:spacing w:val="-2"/>
          <w:sz w:val="20"/>
        </w:rPr>
        <w:t> </w:t>
      </w:r>
      <w:r>
        <w:rPr>
          <w:color w:val="404040"/>
          <w:sz w:val="20"/>
        </w:rPr>
        <w:t>have</w:t>
      </w:r>
      <w:r>
        <w:rPr>
          <w:color w:val="404040"/>
          <w:spacing w:val="-2"/>
          <w:sz w:val="20"/>
        </w:rPr>
        <w:t> </w:t>
      </w:r>
      <w:r>
        <w:rPr>
          <w:color w:val="404040"/>
          <w:sz w:val="20"/>
        </w:rPr>
        <w:t>a high average lifetime cost per person. This reflects a mix of drivers including long durations in an income support class, higher maximum rates of payment, a reduced likelihood to work and the people in these classes accessing a broad range of</w:t>
      </w:r>
      <w:r>
        <w:rPr>
          <w:color w:val="404040"/>
          <w:spacing w:val="4"/>
          <w:sz w:val="20"/>
        </w:rPr>
        <w:t> </w:t>
      </w:r>
      <w:r>
        <w:rPr>
          <w:color w:val="404040"/>
          <w:sz w:val="20"/>
        </w:rPr>
        <w:t>payments.</w:t>
      </w:r>
    </w:p>
    <w:p>
      <w:pPr>
        <w:pStyle w:val="BodyText"/>
        <w:spacing w:line="242" w:lineRule="auto" w:before="115"/>
        <w:ind w:left="899" w:right="1087"/>
      </w:pPr>
      <w:r>
        <w:rPr>
          <w:color w:val="404040"/>
        </w:rPr>
        <w:t>Despite having one of the lowest average lifetime costs per person, class </w:t>
      </w:r>
      <w:r>
        <w:rPr>
          <w:b/>
          <w:color w:val="404040"/>
        </w:rPr>
        <w:t>12 Rest of Australian Population </w:t>
      </w:r>
      <w:r>
        <w:rPr>
          <w:color w:val="404040"/>
        </w:rPr>
        <w:t>accounts for </w:t>
      </w:r>
      <w:r>
        <w:rPr>
          <w:b/>
          <w:color w:val="404040"/>
        </w:rPr>
        <w:t>41% of the total lifetime cost </w:t>
      </w:r>
      <w:r>
        <w:rPr>
          <w:color w:val="404040"/>
        </w:rPr>
        <w:t>for the model population. This is driven by the fact that this class makes up half of the model population and reflects the expectation that many Australians who are currently not relying on welfare will need to do so at some point in the future.</w:t>
      </w:r>
    </w:p>
    <w:p>
      <w:pPr>
        <w:spacing w:after="0" w:line="242" w:lineRule="auto"/>
        <w:sectPr>
          <w:type w:val="continuous"/>
          <w:pgSz w:w="11910" w:h="16850"/>
          <w:pgMar w:top="1600" w:bottom="280" w:left="120" w:right="0"/>
        </w:sectPr>
      </w:pPr>
    </w:p>
    <w:p>
      <w:pPr>
        <w:pStyle w:val="BodyText"/>
      </w:pPr>
    </w:p>
    <w:p>
      <w:pPr>
        <w:pStyle w:val="BodyText"/>
      </w:pPr>
    </w:p>
    <w:p>
      <w:pPr>
        <w:pStyle w:val="BodyText"/>
        <w:spacing w:before="8"/>
        <w:rPr>
          <w:sz w:val="21"/>
        </w:rPr>
      </w:pPr>
    </w:p>
    <w:p>
      <w:pPr>
        <w:pStyle w:val="ListParagraph"/>
        <w:numPr>
          <w:ilvl w:val="1"/>
          <w:numId w:val="22"/>
        </w:numPr>
        <w:tabs>
          <w:tab w:pos="1752" w:val="left" w:leader="none"/>
          <w:tab w:pos="1753" w:val="left" w:leader="none"/>
        </w:tabs>
        <w:spacing w:line="240" w:lineRule="auto" w:before="91" w:after="0"/>
        <w:ind w:left="1752" w:right="0" w:hanging="853"/>
        <w:jc w:val="left"/>
        <w:rPr>
          <w:sz w:val="28"/>
        </w:rPr>
      </w:pPr>
      <w:bookmarkStart w:name="5.2 Change since the previous valuation" w:id="138"/>
      <w:bookmarkEnd w:id="138"/>
      <w:r>
        <w:rPr/>
      </w:r>
      <w:bookmarkStart w:name="_bookmark35" w:id="139"/>
      <w:bookmarkEnd w:id="139"/>
      <w:r>
        <w:rPr/>
      </w:r>
      <w:bookmarkStart w:name="_bookmark35" w:id="140"/>
      <w:bookmarkEnd w:id="140"/>
      <w:r>
        <w:rPr>
          <w:color w:val="DF2F28"/>
          <w:sz w:val="28"/>
        </w:rPr>
        <w:t>C</w:t>
      </w:r>
      <w:r>
        <w:rPr>
          <w:color w:val="DF2F28"/>
          <w:sz w:val="28"/>
        </w:rPr>
        <w:t>hange since the previous</w:t>
      </w:r>
      <w:r>
        <w:rPr>
          <w:color w:val="DF2F28"/>
          <w:spacing w:val="-5"/>
          <w:sz w:val="28"/>
        </w:rPr>
        <w:t> </w:t>
      </w:r>
      <w:r>
        <w:rPr>
          <w:color w:val="DF2F28"/>
          <w:sz w:val="28"/>
        </w:rPr>
        <w:t>valuation</w:t>
      </w:r>
    </w:p>
    <w:p>
      <w:pPr>
        <w:pStyle w:val="Heading4"/>
        <w:spacing w:before="242"/>
      </w:pPr>
      <w:bookmarkStart w:name="Introduction" w:id="141"/>
      <w:bookmarkEnd w:id="141"/>
      <w:r>
        <w:rPr/>
      </w:r>
      <w:r>
        <w:rPr>
          <w:color w:val="DF2F28"/>
        </w:rPr>
        <w:t>Introduction</w:t>
      </w:r>
    </w:p>
    <w:p>
      <w:pPr>
        <w:pStyle w:val="BodyText"/>
        <w:spacing w:before="121"/>
        <w:ind w:left="900" w:right="1098"/>
      </w:pPr>
      <w:r>
        <w:rPr>
          <w:color w:val="404040"/>
        </w:rPr>
        <w:t>Over the time from one valuation to the next we do not expect the total lifetime cost to stay the same. Changes will occur for a number of reasons including:</w:t>
      </w:r>
    </w:p>
    <w:p>
      <w:pPr>
        <w:pStyle w:val="ListParagraph"/>
        <w:numPr>
          <w:ilvl w:val="0"/>
          <w:numId w:val="31"/>
        </w:numPr>
        <w:tabs>
          <w:tab w:pos="1184" w:val="left" w:leader="none"/>
        </w:tabs>
        <w:spacing w:line="240" w:lineRule="auto" w:before="117" w:after="0"/>
        <w:ind w:left="1183" w:right="0" w:hanging="284"/>
        <w:jc w:val="left"/>
        <w:rPr>
          <w:rFonts w:ascii="Symbol" w:hAnsi="Symbol"/>
          <w:sz w:val="20"/>
        </w:rPr>
      </w:pPr>
      <w:r>
        <w:rPr>
          <w:color w:val="404040"/>
          <w:sz w:val="20"/>
        </w:rPr>
        <w:t>changes to the size and composition of the</w:t>
      </w:r>
      <w:r>
        <w:rPr>
          <w:color w:val="404040"/>
          <w:spacing w:val="-3"/>
          <w:sz w:val="20"/>
        </w:rPr>
        <w:t> </w:t>
      </w:r>
      <w:r>
        <w:rPr>
          <w:color w:val="404040"/>
          <w:sz w:val="20"/>
        </w:rPr>
        <w:t>population;</w:t>
      </w:r>
    </w:p>
    <w:p>
      <w:pPr>
        <w:pStyle w:val="ListParagraph"/>
        <w:numPr>
          <w:ilvl w:val="0"/>
          <w:numId w:val="31"/>
        </w:numPr>
        <w:tabs>
          <w:tab w:pos="1184" w:val="left" w:leader="none"/>
        </w:tabs>
        <w:spacing w:line="240" w:lineRule="auto" w:before="120" w:after="0"/>
        <w:ind w:left="1183" w:right="1162" w:hanging="284"/>
        <w:jc w:val="left"/>
        <w:rPr>
          <w:rFonts w:ascii="Symbol" w:hAnsi="Symbol"/>
          <w:sz w:val="20"/>
        </w:rPr>
      </w:pPr>
      <w:r>
        <w:rPr>
          <w:color w:val="404040"/>
          <w:sz w:val="20"/>
        </w:rPr>
        <w:t>inflationary increases in the rates of payment (for instance, the basic fortnightly rate of the Age Pension for single people was $808.30 at 1 July 2017 and increased to $826.20 by 1 July 2018 – an increase of</w:t>
      </w:r>
      <w:r>
        <w:rPr>
          <w:color w:val="404040"/>
          <w:spacing w:val="-35"/>
          <w:sz w:val="20"/>
        </w:rPr>
        <w:t> </w:t>
      </w:r>
      <w:r>
        <w:rPr>
          <w:color w:val="404040"/>
          <w:sz w:val="20"/>
        </w:rPr>
        <w:t>2.2%);</w:t>
      </w:r>
    </w:p>
    <w:p>
      <w:pPr>
        <w:pStyle w:val="ListParagraph"/>
        <w:numPr>
          <w:ilvl w:val="0"/>
          <w:numId w:val="31"/>
        </w:numPr>
        <w:tabs>
          <w:tab w:pos="1184" w:val="left" w:leader="none"/>
        </w:tabs>
        <w:spacing w:line="240" w:lineRule="auto" w:before="118" w:after="0"/>
        <w:ind w:left="1183" w:right="0" w:hanging="284"/>
        <w:jc w:val="left"/>
        <w:rPr>
          <w:rFonts w:ascii="Symbol" w:hAnsi="Symbol"/>
          <w:sz w:val="20"/>
        </w:rPr>
      </w:pPr>
      <w:r>
        <w:rPr>
          <w:color w:val="404040"/>
          <w:sz w:val="20"/>
        </w:rPr>
        <w:t>changes to the welfare payments arising from policy</w:t>
      </w:r>
      <w:r>
        <w:rPr>
          <w:color w:val="404040"/>
          <w:spacing w:val="-5"/>
          <w:sz w:val="20"/>
        </w:rPr>
        <w:t> </w:t>
      </w:r>
      <w:r>
        <w:rPr>
          <w:color w:val="404040"/>
          <w:sz w:val="20"/>
        </w:rPr>
        <w:t>changes;</w:t>
      </w:r>
    </w:p>
    <w:p>
      <w:pPr>
        <w:pStyle w:val="ListParagraph"/>
        <w:numPr>
          <w:ilvl w:val="0"/>
          <w:numId w:val="31"/>
        </w:numPr>
        <w:tabs>
          <w:tab w:pos="1184" w:val="left" w:leader="none"/>
        </w:tabs>
        <w:spacing w:line="240" w:lineRule="auto" w:before="119" w:after="0"/>
        <w:ind w:left="1183" w:right="0" w:hanging="285"/>
        <w:jc w:val="left"/>
        <w:rPr>
          <w:rFonts w:ascii="Symbol" w:hAnsi="Symbol"/>
          <w:sz w:val="20"/>
        </w:rPr>
      </w:pPr>
      <w:r>
        <w:rPr>
          <w:color w:val="404040"/>
          <w:sz w:val="20"/>
        </w:rPr>
        <w:t>changes to both the current and expected future utilisation of each part of the welfare system;</w:t>
      </w:r>
      <w:r>
        <w:rPr>
          <w:color w:val="404040"/>
          <w:spacing w:val="-14"/>
          <w:sz w:val="20"/>
        </w:rPr>
        <w:t> </w:t>
      </w:r>
      <w:r>
        <w:rPr>
          <w:color w:val="404040"/>
          <w:sz w:val="20"/>
        </w:rPr>
        <w:t>and</w:t>
      </w:r>
    </w:p>
    <w:p>
      <w:pPr>
        <w:pStyle w:val="ListParagraph"/>
        <w:numPr>
          <w:ilvl w:val="0"/>
          <w:numId w:val="31"/>
        </w:numPr>
        <w:tabs>
          <w:tab w:pos="1184" w:val="left" w:leader="none"/>
        </w:tabs>
        <w:spacing w:line="240" w:lineRule="auto" w:before="118" w:after="0"/>
        <w:ind w:left="1183" w:right="0" w:hanging="284"/>
        <w:jc w:val="left"/>
        <w:rPr>
          <w:rFonts w:ascii="Symbol" w:hAnsi="Symbol"/>
          <w:sz w:val="20"/>
        </w:rPr>
      </w:pPr>
      <w:r>
        <w:rPr>
          <w:color w:val="404040"/>
          <w:sz w:val="20"/>
        </w:rPr>
        <w:t>external changes, such as the change in the discount</w:t>
      </w:r>
      <w:r>
        <w:rPr>
          <w:color w:val="404040"/>
          <w:spacing w:val="-1"/>
          <w:sz w:val="20"/>
        </w:rPr>
        <w:t> </w:t>
      </w:r>
      <w:r>
        <w:rPr>
          <w:color w:val="404040"/>
          <w:sz w:val="20"/>
        </w:rPr>
        <w:t>rate.</w:t>
      </w:r>
    </w:p>
    <w:p>
      <w:pPr>
        <w:pStyle w:val="BodyText"/>
        <w:spacing w:before="7"/>
      </w:pPr>
    </w:p>
    <w:p>
      <w:pPr>
        <w:pStyle w:val="Heading4"/>
      </w:pPr>
      <w:bookmarkStart w:name="Approach" w:id="142"/>
      <w:bookmarkEnd w:id="142"/>
      <w:r>
        <w:rPr/>
      </w:r>
      <w:r>
        <w:rPr>
          <w:color w:val="DF2F28"/>
        </w:rPr>
        <w:t>Approach</w:t>
      </w:r>
    </w:p>
    <w:p>
      <w:pPr>
        <w:pStyle w:val="BodyText"/>
        <w:spacing w:before="122"/>
        <w:ind w:left="900" w:right="1061"/>
      </w:pPr>
      <w:r>
        <w:rPr>
          <w:color w:val="404040"/>
        </w:rPr>
        <w:t>In order to understand the overall change in the lifetime cost result, we have considered each potential element of change in turn, exploring the change in results as the population information and each set of assumptions are updated to reflect the June 2018 valuation data, policy settings and model refinements.</w:t>
      </w:r>
    </w:p>
    <w:p>
      <w:pPr>
        <w:pStyle w:val="BodyText"/>
        <w:spacing w:before="121"/>
        <w:ind w:left="900" w:right="1022"/>
      </w:pPr>
      <w:r>
        <w:rPr>
          <w:color w:val="404040"/>
        </w:rPr>
        <w:t>Note that as all the valuation assumptions interact with each other this analysis is sensitive to the order in which the changes are made. For instance, the impact of updating the class movement assumptions for a class will be influenced by the numbers of people in that class and so will differ depending on the order in which the population information and class assumptions are</w:t>
      </w:r>
      <w:r>
        <w:rPr>
          <w:color w:val="404040"/>
          <w:spacing w:val="-1"/>
        </w:rPr>
        <w:t> </w:t>
      </w:r>
      <w:r>
        <w:rPr>
          <w:color w:val="404040"/>
        </w:rPr>
        <w:t>updated.</w:t>
      </w:r>
    </w:p>
    <w:p>
      <w:pPr>
        <w:pStyle w:val="BodyText"/>
        <w:spacing w:before="120"/>
        <w:ind w:left="900" w:right="1009"/>
      </w:pPr>
      <w:r>
        <w:rPr>
          <w:color w:val="404040"/>
        </w:rPr>
        <w:t>This sensitivity to ordering is greater for the areas of change which interact strongly with each other (notably the demographic assumptions, class movement assumptions and economic module) and for the areas where the changes have the greatest impact. Changes that are specific to individual payment categories are typically less sensitive to the ordering of change as lifetime cost results are explicitly assessed for each payment category and the effects are more easily isolated.</w:t>
      </w:r>
    </w:p>
    <w:p>
      <w:pPr>
        <w:pStyle w:val="BodyText"/>
        <w:spacing w:before="120"/>
        <w:ind w:left="900" w:right="1119"/>
      </w:pPr>
      <w:r>
        <w:rPr>
          <w:color w:val="404040"/>
        </w:rPr>
        <w:t>In selecting an ordering we have recognised the discount rate change first, then changes to the composition of the starting population, and then updated the assumptions about the future experience in the general order of the modelling sequence.</w:t>
      </w:r>
    </w:p>
    <w:p>
      <w:pPr>
        <w:pStyle w:val="BodyText"/>
        <w:spacing w:before="9"/>
      </w:pPr>
    </w:p>
    <w:p>
      <w:pPr>
        <w:pStyle w:val="Heading4"/>
      </w:pPr>
      <w:bookmarkStart w:name="Change in discount rate" w:id="143"/>
      <w:bookmarkEnd w:id="143"/>
      <w:r>
        <w:rPr/>
      </w:r>
      <w:r>
        <w:rPr>
          <w:color w:val="DF2F28"/>
        </w:rPr>
        <w:t>Change in discount rate</w:t>
      </w:r>
    </w:p>
    <w:p>
      <w:pPr>
        <w:pStyle w:val="BodyText"/>
        <w:spacing w:before="121"/>
        <w:ind w:left="899" w:right="1155"/>
      </w:pPr>
      <w:r>
        <w:rPr>
          <w:color w:val="404040"/>
        </w:rPr>
        <w:t>The discount rate for the valuation was held fixed for the first three valuations, which has supported in comparability of the results over time. However, for the June 2018 valuation, the discount rate has been decreased from 6% to 5%, as discussed in section </w:t>
      </w:r>
      <w:hyperlink w:history="true" w:anchor="_bookmark24">
        <w:r>
          <w:rPr>
            <w:color w:val="404040"/>
          </w:rPr>
          <w:t>3.4.</w:t>
        </w:r>
      </w:hyperlink>
    </w:p>
    <w:p>
      <w:pPr>
        <w:pStyle w:val="BodyText"/>
        <w:spacing w:before="119"/>
        <w:ind w:left="899" w:right="1087"/>
      </w:pPr>
      <w:r>
        <w:rPr>
          <w:color w:val="404040"/>
        </w:rPr>
        <w:t>In order to support comparability of this June 2018 update with the June 2017 results, the approach we have taken is to first rebase the June 2017 results using this new discount rate. We have then compared 2018 result with this rebased 2017 result.</w:t>
      </w:r>
    </w:p>
    <w:p>
      <w:pPr>
        <w:pStyle w:val="BodyText"/>
        <w:spacing w:before="122"/>
        <w:ind w:left="899"/>
      </w:pPr>
      <w:r>
        <w:rPr>
          <w:color w:val="404040"/>
        </w:rPr>
        <w:t>The table below shows the impact of this rebasing of the June 2017 results.</w:t>
      </w:r>
    </w:p>
    <w:p>
      <w:pPr>
        <w:spacing w:after="0"/>
        <w:sectPr>
          <w:pgSz w:w="11910" w:h="16850"/>
          <w:pgMar w:header="572" w:footer="581" w:top="780" w:bottom="780" w:left="120" w:right="0"/>
        </w:sectPr>
      </w:pPr>
    </w:p>
    <w:p>
      <w:pPr>
        <w:pStyle w:val="BodyText"/>
      </w:pPr>
    </w:p>
    <w:p>
      <w:pPr>
        <w:pStyle w:val="BodyText"/>
      </w:pPr>
    </w:p>
    <w:p>
      <w:pPr>
        <w:pStyle w:val="BodyText"/>
        <w:spacing w:before="5"/>
        <w:rPr>
          <w:sz w:val="21"/>
        </w:rPr>
      </w:pPr>
    </w:p>
    <w:p>
      <w:pPr>
        <w:pStyle w:val="Heading9"/>
        <w:spacing w:after="44"/>
      </w:pPr>
      <w:r>
        <w:rPr>
          <w:color w:val="DF2F1E"/>
        </w:rPr>
        <w:t>Table 10: Rebasing of June 2017 valuation results</w:t>
      </w:r>
    </w:p>
    <w:tbl>
      <w:tblPr>
        <w:tblW w:w="0" w:type="auto"/>
        <w:jc w:val="left"/>
        <w:tblInd w:w="965" w:type="dxa"/>
        <w:tblBorders>
          <w:top w:val="single" w:sz="4" w:space="0" w:color="DF2528"/>
          <w:left w:val="single" w:sz="4" w:space="0" w:color="DF2528"/>
          <w:bottom w:val="single" w:sz="4" w:space="0" w:color="DF2528"/>
          <w:right w:val="single" w:sz="4" w:space="0" w:color="DF2528"/>
          <w:insideH w:val="single" w:sz="4" w:space="0" w:color="DF2528"/>
          <w:insideV w:val="single" w:sz="4" w:space="0" w:color="DF2528"/>
        </w:tblBorders>
        <w:tblLayout w:type="fixed"/>
        <w:tblCellMar>
          <w:top w:w="0" w:type="dxa"/>
          <w:left w:w="0" w:type="dxa"/>
          <w:bottom w:w="0" w:type="dxa"/>
          <w:right w:w="0" w:type="dxa"/>
        </w:tblCellMar>
        <w:tblLook w:val="01E0"/>
      </w:tblPr>
      <w:tblGrid>
        <w:gridCol w:w="2494"/>
        <w:gridCol w:w="1078"/>
        <w:gridCol w:w="1076"/>
        <w:gridCol w:w="1419"/>
        <w:gridCol w:w="1417"/>
        <w:gridCol w:w="1419"/>
        <w:gridCol w:w="909"/>
      </w:tblGrid>
      <w:tr>
        <w:trPr>
          <w:trHeight w:val="1055" w:hRule="atLeast"/>
        </w:trPr>
        <w:tc>
          <w:tcPr>
            <w:tcW w:w="2494" w:type="dxa"/>
            <w:tcBorders>
              <w:top w:val="nil"/>
              <w:left w:val="nil"/>
              <w:bottom w:val="nil"/>
              <w:right w:val="nil"/>
            </w:tcBorders>
            <w:shd w:val="clear" w:color="auto" w:fill="DF2528"/>
          </w:tcPr>
          <w:p>
            <w:pPr>
              <w:pStyle w:val="TableParagraph"/>
              <w:spacing w:before="3"/>
              <w:rPr>
                <w:b/>
                <w:sz w:val="23"/>
              </w:rPr>
            </w:pPr>
          </w:p>
          <w:p>
            <w:pPr>
              <w:pStyle w:val="TableParagraph"/>
              <w:spacing w:before="0"/>
              <w:ind w:left="112"/>
              <w:rPr>
                <w:b/>
                <w:sz w:val="16"/>
              </w:rPr>
            </w:pPr>
            <w:r>
              <w:rPr>
                <w:b/>
                <w:color w:val="FFFFFF"/>
                <w:sz w:val="16"/>
              </w:rPr>
              <w:t>Population segment</w:t>
            </w:r>
          </w:p>
        </w:tc>
        <w:tc>
          <w:tcPr>
            <w:tcW w:w="2154" w:type="dxa"/>
            <w:gridSpan w:val="2"/>
            <w:tcBorders>
              <w:top w:val="nil"/>
              <w:left w:val="nil"/>
              <w:bottom w:val="nil"/>
              <w:right w:val="nil"/>
            </w:tcBorders>
            <w:shd w:val="clear" w:color="auto" w:fill="DF2528"/>
          </w:tcPr>
          <w:p>
            <w:pPr>
              <w:pStyle w:val="TableParagraph"/>
              <w:spacing w:before="5"/>
              <w:rPr>
                <w:b/>
                <w:sz w:val="23"/>
              </w:rPr>
            </w:pPr>
          </w:p>
          <w:p>
            <w:pPr>
              <w:pStyle w:val="TableParagraph"/>
              <w:tabs>
                <w:tab w:pos="1189" w:val="left" w:leader="none"/>
              </w:tabs>
              <w:spacing w:before="0"/>
              <w:ind w:left="112"/>
              <w:rPr>
                <w:b/>
                <w:sz w:val="16"/>
              </w:rPr>
            </w:pPr>
            <w:r>
              <w:rPr>
                <w:b/>
                <w:color w:val="FFFFFF"/>
                <w:sz w:val="16"/>
              </w:rPr>
              <w:t>Jun-17</w:t>
              <w:tab/>
              <w:t>Jun-17</w:t>
            </w:r>
          </w:p>
          <w:p>
            <w:pPr>
              <w:pStyle w:val="TableParagraph"/>
              <w:tabs>
                <w:tab w:pos="1189" w:val="left" w:leader="none"/>
              </w:tabs>
              <w:spacing w:before="1"/>
              <w:ind w:left="112" w:right="169"/>
              <w:rPr>
                <w:b/>
                <w:sz w:val="16"/>
              </w:rPr>
            </w:pPr>
            <w:r>
              <w:rPr>
                <w:b/>
                <w:color w:val="FFFFFF"/>
                <w:sz w:val="16"/>
              </w:rPr>
              <w:t>Lifetime</w:t>
              <w:tab/>
              <w:t>Lifetime Cost</w:t>
            </w:r>
            <w:r>
              <w:rPr>
                <w:b/>
                <w:color w:val="FFFFFF"/>
                <w:spacing w:val="-1"/>
                <w:sz w:val="16"/>
              </w:rPr>
              <w:t> </w:t>
            </w:r>
            <w:r>
              <w:rPr>
                <w:b/>
                <w:color w:val="FFFFFF"/>
                <w:sz w:val="16"/>
              </w:rPr>
              <w:t>($bn)</w:t>
              <w:tab/>
              <w:t>Cost</w:t>
            </w:r>
            <w:r>
              <w:rPr>
                <w:b/>
                <w:color w:val="FFFFFF"/>
                <w:spacing w:val="5"/>
                <w:sz w:val="16"/>
              </w:rPr>
              <w:t> </w:t>
            </w:r>
            <w:r>
              <w:rPr>
                <w:b/>
                <w:color w:val="FFFFFF"/>
                <w:spacing w:val="-4"/>
                <w:sz w:val="16"/>
              </w:rPr>
              <w:t>($bn)</w:t>
            </w:r>
          </w:p>
          <w:p>
            <w:pPr>
              <w:pStyle w:val="TableParagraph"/>
              <w:spacing w:line="181" w:lineRule="exact" w:before="0"/>
              <w:ind w:left="1190"/>
              <w:rPr>
                <w:b/>
                <w:sz w:val="16"/>
              </w:rPr>
            </w:pPr>
            <w:r>
              <w:rPr>
                <w:b/>
                <w:color w:val="FFFFFF"/>
                <w:sz w:val="16"/>
              </w:rPr>
              <w:t>–</w:t>
            </w:r>
            <w:r>
              <w:rPr>
                <w:b/>
                <w:color w:val="FFFFFF"/>
                <w:spacing w:val="-3"/>
                <w:sz w:val="16"/>
              </w:rPr>
              <w:t> </w:t>
            </w:r>
            <w:r>
              <w:rPr>
                <w:b/>
                <w:color w:val="FFFFFF"/>
                <w:sz w:val="16"/>
              </w:rPr>
              <w:t>rebased</w:t>
            </w:r>
          </w:p>
        </w:tc>
        <w:tc>
          <w:tcPr>
            <w:tcW w:w="1419" w:type="dxa"/>
            <w:tcBorders>
              <w:top w:val="nil"/>
              <w:left w:val="nil"/>
              <w:bottom w:val="nil"/>
              <w:right w:val="nil"/>
            </w:tcBorders>
            <w:shd w:val="clear" w:color="auto" w:fill="DF2528"/>
          </w:tcPr>
          <w:p>
            <w:pPr>
              <w:pStyle w:val="TableParagraph"/>
              <w:spacing w:before="5"/>
              <w:rPr>
                <w:b/>
                <w:sz w:val="23"/>
              </w:rPr>
            </w:pPr>
          </w:p>
          <w:p>
            <w:pPr>
              <w:pStyle w:val="TableParagraph"/>
              <w:spacing w:before="0"/>
              <w:ind w:left="113" w:right="218"/>
              <w:rPr>
                <w:b/>
                <w:sz w:val="16"/>
              </w:rPr>
            </w:pPr>
            <w:r>
              <w:rPr>
                <w:b/>
                <w:color w:val="FFFFFF"/>
                <w:sz w:val="16"/>
              </w:rPr>
              <w:t>Change in lifetime cost – Total ($bn)</w:t>
            </w:r>
          </w:p>
        </w:tc>
        <w:tc>
          <w:tcPr>
            <w:tcW w:w="2836" w:type="dxa"/>
            <w:gridSpan w:val="2"/>
            <w:tcBorders>
              <w:top w:val="nil"/>
              <w:left w:val="nil"/>
              <w:bottom w:val="nil"/>
              <w:right w:val="nil"/>
            </w:tcBorders>
            <w:shd w:val="clear" w:color="auto" w:fill="DF2528"/>
          </w:tcPr>
          <w:p>
            <w:pPr>
              <w:pStyle w:val="TableParagraph"/>
              <w:spacing w:before="5"/>
              <w:rPr>
                <w:b/>
                <w:sz w:val="23"/>
              </w:rPr>
            </w:pPr>
          </w:p>
          <w:p>
            <w:pPr>
              <w:pStyle w:val="TableParagraph"/>
              <w:tabs>
                <w:tab w:pos="1528" w:val="left" w:leader="none"/>
              </w:tabs>
              <w:spacing w:before="0"/>
              <w:ind w:left="110" w:right="234"/>
              <w:rPr>
                <w:b/>
                <w:sz w:val="16"/>
              </w:rPr>
            </w:pPr>
            <w:r>
              <w:rPr>
                <w:b/>
                <w:color w:val="FFFFFF"/>
                <w:sz w:val="16"/>
              </w:rPr>
              <w:t>Change</w:t>
            </w:r>
            <w:r>
              <w:rPr>
                <w:b/>
                <w:color w:val="FFFFFF"/>
                <w:spacing w:val="-1"/>
                <w:sz w:val="16"/>
              </w:rPr>
              <w:t> </w:t>
            </w:r>
            <w:r>
              <w:rPr>
                <w:b/>
                <w:color w:val="FFFFFF"/>
                <w:sz w:val="16"/>
              </w:rPr>
              <w:t>in</w:t>
              <w:tab/>
              <w:t>Change in lifetime</w:t>
            </w:r>
            <w:r>
              <w:rPr>
                <w:b/>
                <w:color w:val="FFFFFF"/>
                <w:spacing w:val="-1"/>
                <w:sz w:val="16"/>
              </w:rPr>
              <w:t> </w:t>
            </w:r>
            <w:r>
              <w:rPr>
                <w:b/>
                <w:color w:val="FFFFFF"/>
                <w:sz w:val="16"/>
              </w:rPr>
              <w:t>cost –</w:t>
              <w:tab/>
              <w:t>lifetime cost </w:t>
            </w:r>
            <w:r>
              <w:rPr>
                <w:b/>
                <w:color w:val="FFFFFF"/>
                <w:spacing w:val="-12"/>
                <w:sz w:val="16"/>
              </w:rPr>
              <w:t>– </w:t>
            </w:r>
            <w:r>
              <w:rPr>
                <w:b/>
                <w:color w:val="FFFFFF"/>
                <w:sz w:val="16"/>
              </w:rPr>
              <w:t>Age</w:t>
            </w:r>
            <w:r>
              <w:rPr>
                <w:b/>
                <w:color w:val="FFFFFF"/>
                <w:spacing w:val="-1"/>
                <w:sz w:val="16"/>
              </w:rPr>
              <w:t> </w:t>
            </w:r>
            <w:r>
              <w:rPr>
                <w:b/>
                <w:color w:val="FFFFFF"/>
                <w:sz w:val="16"/>
              </w:rPr>
              <w:t>Pension</w:t>
              <w:tab/>
              <w:t>Other ($bn) ($bn)</w:t>
            </w:r>
          </w:p>
        </w:tc>
        <w:tc>
          <w:tcPr>
            <w:tcW w:w="909" w:type="dxa"/>
            <w:tcBorders>
              <w:top w:val="nil"/>
              <w:left w:val="nil"/>
              <w:bottom w:val="nil"/>
              <w:right w:val="nil"/>
            </w:tcBorders>
            <w:shd w:val="clear" w:color="auto" w:fill="DF2528"/>
          </w:tcPr>
          <w:p>
            <w:pPr>
              <w:pStyle w:val="TableParagraph"/>
              <w:spacing w:before="5"/>
              <w:rPr>
                <w:b/>
                <w:sz w:val="23"/>
              </w:rPr>
            </w:pPr>
          </w:p>
          <w:p>
            <w:pPr>
              <w:pStyle w:val="TableParagraph"/>
              <w:spacing w:before="0"/>
              <w:ind w:left="108" w:right="149"/>
              <w:rPr>
                <w:b/>
                <w:sz w:val="16"/>
              </w:rPr>
            </w:pPr>
            <w:r>
              <w:rPr>
                <w:b/>
                <w:color w:val="FFFFFF"/>
                <w:sz w:val="16"/>
              </w:rPr>
              <w:t>Average age</w:t>
            </w:r>
          </w:p>
        </w:tc>
      </w:tr>
      <w:tr>
        <w:trPr>
          <w:trHeight w:val="263" w:hRule="atLeast"/>
        </w:trPr>
        <w:tc>
          <w:tcPr>
            <w:tcW w:w="4648" w:type="dxa"/>
            <w:gridSpan w:val="3"/>
            <w:tcBorders>
              <w:top w:val="nil"/>
              <w:left w:val="nil"/>
              <w:bottom w:val="nil"/>
              <w:right w:val="nil"/>
            </w:tcBorders>
            <w:shd w:val="clear" w:color="auto" w:fill="DF2528"/>
          </w:tcPr>
          <w:p>
            <w:pPr>
              <w:pStyle w:val="TableParagraph"/>
              <w:spacing w:before="39"/>
              <w:ind w:left="112"/>
              <w:rPr>
                <w:b/>
                <w:sz w:val="16"/>
              </w:rPr>
            </w:pPr>
            <w:r>
              <w:rPr>
                <w:b/>
                <w:color w:val="FFFFFF"/>
                <w:sz w:val="16"/>
              </w:rPr>
              <w:t>Current welfare recipients</w:t>
            </w:r>
          </w:p>
        </w:tc>
        <w:tc>
          <w:tcPr>
            <w:tcW w:w="5164" w:type="dxa"/>
            <w:gridSpan w:val="4"/>
            <w:tcBorders>
              <w:top w:val="nil"/>
              <w:left w:val="nil"/>
              <w:bottom w:val="nil"/>
              <w:right w:val="nil"/>
            </w:tcBorders>
            <w:shd w:val="clear" w:color="auto" w:fill="DF2528"/>
          </w:tcPr>
          <w:p>
            <w:pPr>
              <w:pStyle w:val="TableParagraph"/>
              <w:spacing w:before="0"/>
              <w:rPr>
                <w:rFonts w:ascii="Times New Roman"/>
                <w:sz w:val="18"/>
              </w:rPr>
            </w:pPr>
          </w:p>
        </w:tc>
      </w:tr>
      <w:tr>
        <w:trPr>
          <w:trHeight w:val="268" w:hRule="atLeast"/>
        </w:trPr>
        <w:tc>
          <w:tcPr>
            <w:tcW w:w="2494" w:type="dxa"/>
            <w:tcBorders>
              <w:left w:val="nil"/>
              <w:right w:val="single" w:sz="4" w:space="0" w:color="DF2F1E"/>
            </w:tcBorders>
          </w:tcPr>
          <w:p>
            <w:pPr>
              <w:pStyle w:val="TableParagraph"/>
              <w:spacing w:before="41"/>
              <w:ind w:left="112"/>
              <w:rPr>
                <w:sz w:val="16"/>
              </w:rPr>
            </w:pPr>
            <w:r>
              <w:rPr>
                <w:color w:val="404040"/>
                <w:sz w:val="16"/>
              </w:rPr>
              <w:t>- 1 Studying</w:t>
            </w:r>
          </w:p>
        </w:tc>
        <w:tc>
          <w:tcPr>
            <w:tcW w:w="1078" w:type="dxa"/>
            <w:tcBorders>
              <w:left w:val="single" w:sz="4" w:space="0" w:color="DF2F1E"/>
              <w:right w:val="nil"/>
            </w:tcBorders>
          </w:tcPr>
          <w:p>
            <w:pPr>
              <w:pStyle w:val="TableParagraph"/>
              <w:spacing w:before="41"/>
              <w:ind w:left="424" w:right="430"/>
              <w:jc w:val="center"/>
              <w:rPr>
                <w:sz w:val="16"/>
              </w:rPr>
            </w:pPr>
            <w:r>
              <w:rPr>
                <w:color w:val="404040"/>
                <w:sz w:val="16"/>
              </w:rPr>
              <w:t>79</w:t>
            </w:r>
          </w:p>
        </w:tc>
        <w:tc>
          <w:tcPr>
            <w:tcW w:w="1076" w:type="dxa"/>
            <w:tcBorders>
              <w:left w:val="nil"/>
              <w:right w:val="single" w:sz="4" w:space="0" w:color="DF2F1E"/>
            </w:tcBorders>
          </w:tcPr>
          <w:p>
            <w:pPr>
              <w:pStyle w:val="TableParagraph"/>
              <w:spacing w:before="41"/>
              <w:ind w:right="397"/>
              <w:jc w:val="right"/>
              <w:rPr>
                <w:sz w:val="16"/>
              </w:rPr>
            </w:pPr>
            <w:r>
              <w:rPr>
                <w:color w:val="404040"/>
                <w:sz w:val="16"/>
              </w:rPr>
              <w:t>112</w:t>
            </w:r>
          </w:p>
        </w:tc>
        <w:tc>
          <w:tcPr>
            <w:tcW w:w="1419" w:type="dxa"/>
            <w:tcBorders>
              <w:left w:val="single" w:sz="4" w:space="0" w:color="DF2F1E"/>
              <w:right w:val="single" w:sz="4" w:space="0" w:color="DF2F1E"/>
            </w:tcBorders>
          </w:tcPr>
          <w:p>
            <w:pPr>
              <w:pStyle w:val="TableParagraph"/>
              <w:spacing w:before="41"/>
              <w:ind w:left="154" w:right="153"/>
              <w:jc w:val="center"/>
              <w:rPr>
                <w:sz w:val="16"/>
              </w:rPr>
            </w:pPr>
            <w:r>
              <w:rPr>
                <w:color w:val="404040"/>
                <w:sz w:val="16"/>
              </w:rPr>
              <w:t>+33 (+42%)</w:t>
            </w:r>
          </w:p>
        </w:tc>
        <w:tc>
          <w:tcPr>
            <w:tcW w:w="1417" w:type="dxa"/>
            <w:tcBorders>
              <w:left w:val="single" w:sz="4" w:space="0" w:color="DF2F1E"/>
              <w:right w:val="nil"/>
            </w:tcBorders>
          </w:tcPr>
          <w:p>
            <w:pPr>
              <w:pStyle w:val="TableParagraph"/>
              <w:spacing w:before="41"/>
              <w:ind w:left="283"/>
              <w:rPr>
                <w:sz w:val="16"/>
              </w:rPr>
            </w:pPr>
            <w:r>
              <w:rPr>
                <w:color w:val="404040"/>
                <w:sz w:val="16"/>
              </w:rPr>
              <w:t>+23 (+70%)</w:t>
            </w:r>
          </w:p>
        </w:tc>
        <w:tc>
          <w:tcPr>
            <w:tcW w:w="1419" w:type="dxa"/>
            <w:tcBorders>
              <w:left w:val="nil"/>
              <w:right w:val="single" w:sz="4" w:space="0" w:color="DF2F1E"/>
            </w:tcBorders>
          </w:tcPr>
          <w:p>
            <w:pPr>
              <w:pStyle w:val="TableParagraph"/>
              <w:spacing w:before="41"/>
              <w:ind w:right="284"/>
              <w:jc w:val="right"/>
              <w:rPr>
                <w:sz w:val="16"/>
              </w:rPr>
            </w:pPr>
            <w:r>
              <w:rPr>
                <w:color w:val="404040"/>
                <w:sz w:val="16"/>
              </w:rPr>
              <w:t>+10 (+22%)</w:t>
            </w:r>
          </w:p>
        </w:tc>
        <w:tc>
          <w:tcPr>
            <w:tcW w:w="909" w:type="dxa"/>
            <w:tcBorders>
              <w:left w:val="single" w:sz="4" w:space="0" w:color="DF2F1E"/>
              <w:right w:val="nil"/>
            </w:tcBorders>
          </w:tcPr>
          <w:p>
            <w:pPr>
              <w:pStyle w:val="TableParagraph"/>
              <w:spacing w:before="41"/>
              <w:ind w:left="356"/>
              <w:rPr>
                <w:sz w:val="16"/>
              </w:rPr>
            </w:pPr>
            <w:r>
              <w:rPr>
                <w:color w:val="404040"/>
                <w:sz w:val="16"/>
              </w:rPr>
              <w:t>24</w:t>
            </w:r>
          </w:p>
        </w:tc>
      </w:tr>
      <w:tr>
        <w:trPr>
          <w:trHeight w:val="263" w:hRule="atLeast"/>
        </w:trPr>
        <w:tc>
          <w:tcPr>
            <w:tcW w:w="2494" w:type="dxa"/>
            <w:tcBorders>
              <w:left w:val="nil"/>
              <w:right w:val="single" w:sz="4" w:space="0" w:color="DF2F1E"/>
            </w:tcBorders>
          </w:tcPr>
          <w:p>
            <w:pPr>
              <w:pStyle w:val="TableParagraph"/>
              <w:ind w:left="112"/>
              <w:rPr>
                <w:sz w:val="16"/>
              </w:rPr>
            </w:pPr>
            <w:r>
              <w:rPr>
                <w:color w:val="404040"/>
                <w:sz w:val="16"/>
              </w:rPr>
              <w:t>- 2 Working Age</w:t>
            </w:r>
          </w:p>
        </w:tc>
        <w:tc>
          <w:tcPr>
            <w:tcW w:w="1078" w:type="dxa"/>
            <w:tcBorders>
              <w:left w:val="single" w:sz="4" w:space="0" w:color="DF2F1E"/>
              <w:right w:val="nil"/>
            </w:tcBorders>
          </w:tcPr>
          <w:p>
            <w:pPr>
              <w:pStyle w:val="TableParagraph"/>
              <w:ind w:right="404"/>
              <w:jc w:val="right"/>
              <w:rPr>
                <w:sz w:val="16"/>
              </w:rPr>
            </w:pPr>
            <w:r>
              <w:rPr>
                <w:color w:val="404040"/>
                <w:sz w:val="16"/>
              </w:rPr>
              <w:t>411</w:t>
            </w:r>
          </w:p>
        </w:tc>
        <w:tc>
          <w:tcPr>
            <w:tcW w:w="1076" w:type="dxa"/>
            <w:tcBorders>
              <w:left w:val="nil"/>
              <w:right w:val="single" w:sz="4" w:space="0" w:color="DF2F1E"/>
            </w:tcBorders>
          </w:tcPr>
          <w:p>
            <w:pPr>
              <w:pStyle w:val="TableParagraph"/>
              <w:ind w:right="397"/>
              <w:jc w:val="right"/>
              <w:rPr>
                <w:sz w:val="16"/>
              </w:rPr>
            </w:pPr>
            <w:r>
              <w:rPr>
                <w:color w:val="404040"/>
                <w:sz w:val="16"/>
              </w:rPr>
              <w:t>521</w:t>
            </w:r>
          </w:p>
        </w:tc>
        <w:tc>
          <w:tcPr>
            <w:tcW w:w="1419" w:type="dxa"/>
            <w:tcBorders>
              <w:left w:val="single" w:sz="4" w:space="0" w:color="DF2F1E"/>
              <w:right w:val="single" w:sz="4" w:space="0" w:color="DF2F1E"/>
            </w:tcBorders>
          </w:tcPr>
          <w:p>
            <w:pPr>
              <w:pStyle w:val="TableParagraph"/>
              <w:ind w:left="154" w:right="154"/>
              <w:jc w:val="center"/>
              <w:rPr>
                <w:sz w:val="16"/>
              </w:rPr>
            </w:pPr>
            <w:r>
              <w:rPr>
                <w:color w:val="404040"/>
                <w:sz w:val="16"/>
              </w:rPr>
              <w:t>+110 (+27%)</w:t>
            </w:r>
          </w:p>
        </w:tc>
        <w:tc>
          <w:tcPr>
            <w:tcW w:w="1417" w:type="dxa"/>
            <w:tcBorders>
              <w:left w:val="single" w:sz="4" w:space="0" w:color="DF2F1E"/>
              <w:right w:val="nil"/>
            </w:tcBorders>
          </w:tcPr>
          <w:p>
            <w:pPr>
              <w:pStyle w:val="TableParagraph"/>
              <w:ind w:left="283"/>
              <w:rPr>
                <w:sz w:val="16"/>
              </w:rPr>
            </w:pPr>
            <w:r>
              <w:rPr>
                <w:color w:val="404040"/>
                <w:sz w:val="16"/>
              </w:rPr>
              <w:t>+74 (+41%)</w:t>
            </w:r>
          </w:p>
        </w:tc>
        <w:tc>
          <w:tcPr>
            <w:tcW w:w="1419" w:type="dxa"/>
            <w:tcBorders>
              <w:left w:val="nil"/>
              <w:right w:val="single" w:sz="4" w:space="0" w:color="DF2F1E"/>
            </w:tcBorders>
          </w:tcPr>
          <w:p>
            <w:pPr>
              <w:pStyle w:val="TableParagraph"/>
              <w:ind w:right="284"/>
              <w:jc w:val="right"/>
              <w:rPr>
                <w:sz w:val="16"/>
              </w:rPr>
            </w:pPr>
            <w:r>
              <w:rPr>
                <w:color w:val="404040"/>
                <w:sz w:val="16"/>
              </w:rPr>
              <w:t>+36 (+16%)</w:t>
            </w:r>
          </w:p>
        </w:tc>
        <w:tc>
          <w:tcPr>
            <w:tcW w:w="909" w:type="dxa"/>
            <w:tcBorders>
              <w:left w:val="single" w:sz="4" w:space="0" w:color="DF2F1E"/>
              <w:right w:val="nil"/>
            </w:tcBorders>
          </w:tcPr>
          <w:p>
            <w:pPr>
              <w:pStyle w:val="TableParagraph"/>
              <w:ind w:left="356"/>
              <w:rPr>
                <w:sz w:val="16"/>
              </w:rPr>
            </w:pPr>
            <w:r>
              <w:rPr>
                <w:color w:val="404040"/>
                <w:sz w:val="16"/>
              </w:rPr>
              <w:t>40</w:t>
            </w:r>
          </w:p>
        </w:tc>
      </w:tr>
      <w:tr>
        <w:trPr>
          <w:trHeight w:val="263" w:hRule="atLeast"/>
        </w:trPr>
        <w:tc>
          <w:tcPr>
            <w:tcW w:w="2494" w:type="dxa"/>
            <w:tcBorders>
              <w:left w:val="nil"/>
              <w:right w:val="single" w:sz="4" w:space="0" w:color="DF2F1E"/>
            </w:tcBorders>
          </w:tcPr>
          <w:p>
            <w:pPr>
              <w:pStyle w:val="TableParagraph"/>
              <w:ind w:left="112"/>
              <w:rPr>
                <w:sz w:val="16"/>
              </w:rPr>
            </w:pPr>
            <w:r>
              <w:rPr>
                <w:color w:val="404040"/>
                <w:sz w:val="16"/>
              </w:rPr>
              <w:t>- 3 Parenting</w:t>
            </w:r>
          </w:p>
        </w:tc>
        <w:tc>
          <w:tcPr>
            <w:tcW w:w="1078" w:type="dxa"/>
            <w:tcBorders>
              <w:left w:val="single" w:sz="4" w:space="0" w:color="DF2F1E"/>
              <w:right w:val="nil"/>
            </w:tcBorders>
          </w:tcPr>
          <w:p>
            <w:pPr>
              <w:pStyle w:val="TableParagraph"/>
              <w:ind w:right="404"/>
              <w:jc w:val="right"/>
              <w:rPr>
                <w:sz w:val="16"/>
              </w:rPr>
            </w:pPr>
            <w:r>
              <w:rPr>
                <w:color w:val="404040"/>
                <w:sz w:val="16"/>
              </w:rPr>
              <w:t>210</w:t>
            </w:r>
          </w:p>
        </w:tc>
        <w:tc>
          <w:tcPr>
            <w:tcW w:w="1076" w:type="dxa"/>
            <w:tcBorders>
              <w:left w:val="nil"/>
              <w:right w:val="single" w:sz="4" w:space="0" w:color="DF2F1E"/>
            </w:tcBorders>
          </w:tcPr>
          <w:p>
            <w:pPr>
              <w:pStyle w:val="TableParagraph"/>
              <w:ind w:right="397"/>
              <w:jc w:val="right"/>
              <w:rPr>
                <w:sz w:val="16"/>
              </w:rPr>
            </w:pPr>
            <w:r>
              <w:rPr>
                <w:color w:val="404040"/>
                <w:sz w:val="16"/>
              </w:rPr>
              <w:t>259</w:t>
            </w:r>
          </w:p>
        </w:tc>
        <w:tc>
          <w:tcPr>
            <w:tcW w:w="1419" w:type="dxa"/>
            <w:tcBorders>
              <w:left w:val="single" w:sz="4" w:space="0" w:color="DF2F1E"/>
              <w:right w:val="single" w:sz="4" w:space="0" w:color="DF2F1E"/>
            </w:tcBorders>
          </w:tcPr>
          <w:p>
            <w:pPr>
              <w:pStyle w:val="TableParagraph"/>
              <w:ind w:left="154" w:right="153"/>
              <w:jc w:val="center"/>
              <w:rPr>
                <w:sz w:val="16"/>
              </w:rPr>
            </w:pPr>
            <w:r>
              <w:rPr>
                <w:color w:val="404040"/>
                <w:sz w:val="16"/>
              </w:rPr>
              <w:t>+49 (+23%)</w:t>
            </w:r>
          </w:p>
        </w:tc>
        <w:tc>
          <w:tcPr>
            <w:tcW w:w="1417" w:type="dxa"/>
            <w:tcBorders>
              <w:left w:val="single" w:sz="4" w:space="0" w:color="DF2F1E"/>
              <w:right w:val="nil"/>
            </w:tcBorders>
          </w:tcPr>
          <w:p>
            <w:pPr>
              <w:pStyle w:val="TableParagraph"/>
              <w:ind w:left="283"/>
              <w:rPr>
                <w:sz w:val="16"/>
              </w:rPr>
            </w:pPr>
            <w:r>
              <w:rPr>
                <w:color w:val="404040"/>
                <w:sz w:val="16"/>
              </w:rPr>
              <w:t>+29 (+55%)</w:t>
            </w:r>
          </w:p>
        </w:tc>
        <w:tc>
          <w:tcPr>
            <w:tcW w:w="1419" w:type="dxa"/>
            <w:tcBorders>
              <w:left w:val="nil"/>
              <w:right w:val="single" w:sz="4" w:space="0" w:color="DF2F1E"/>
            </w:tcBorders>
          </w:tcPr>
          <w:p>
            <w:pPr>
              <w:pStyle w:val="TableParagraph"/>
              <w:ind w:right="284"/>
              <w:jc w:val="right"/>
              <w:rPr>
                <w:sz w:val="16"/>
              </w:rPr>
            </w:pPr>
            <w:r>
              <w:rPr>
                <w:color w:val="404040"/>
                <w:sz w:val="16"/>
              </w:rPr>
              <w:t>+21 (+13%)</w:t>
            </w:r>
          </w:p>
        </w:tc>
        <w:tc>
          <w:tcPr>
            <w:tcW w:w="909" w:type="dxa"/>
            <w:tcBorders>
              <w:left w:val="single" w:sz="4" w:space="0" w:color="DF2F1E"/>
              <w:right w:val="nil"/>
            </w:tcBorders>
          </w:tcPr>
          <w:p>
            <w:pPr>
              <w:pStyle w:val="TableParagraph"/>
              <w:ind w:left="356"/>
              <w:rPr>
                <w:sz w:val="16"/>
              </w:rPr>
            </w:pPr>
            <w:r>
              <w:rPr>
                <w:color w:val="404040"/>
                <w:sz w:val="16"/>
              </w:rPr>
              <w:t>33</w:t>
            </w:r>
          </w:p>
        </w:tc>
      </w:tr>
      <w:tr>
        <w:trPr>
          <w:trHeight w:val="263" w:hRule="atLeast"/>
        </w:trPr>
        <w:tc>
          <w:tcPr>
            <w:tcW w:w="2494" w:type="dxa"/>
            <w:tcBorders>
              <w:left w:val="nil"/>
              <w:right w:val="single" w:sz="4" w:space="0" w:color="DF2F1E"/>
            </w:tcBorders>
          </w:tcPr>
          <w:p>
            <w:pPr>
              <w:pStyle w:val="TableParagraph"/>
              <w:ind w:left="112"/>
              <w:rPr>
                <w:sz w:val="16"/>
              </w:rPr>
            </w:pPr>
            <w:r>
              <w:rPr>
                <w:color w:val="404040"/>
                <w:sz w:val="16"/>
              </w:rPr>
              <w:t>- 4 Carers</w:t>
            </w:r>
          </w:p>
        </w:tc>
        <w:tc>
          <w:tcPr>
            <w:tcW w:w="1078" w:type="dxa"/>
            <w:tcBorders>
              <w:left w:val="single" w:sz="4" w:space="0" w:color="DF2F1E"/>
              <w:right w:val="nil"/>
            </w:tcBorders>
          </w:tcPr>
          <w:p>
            <w:pPr>
              <w:pStyle w:val="TableParagraph"/>
              <w:ind w:right="404"/>
              <w:jc w:val="right"/>
              <w:rPr>
                <w:sz w:val="16"/>
              </w:rPr>
            </w:pPr>
            <w:r>
              <w:rPr>
                <w:color w:val="404040"/>
                <w:sz w:val="16"/>
              </w:rPr>
              <w:t>125</w:t>
            </w:r>
          </w:p>
        </w:tc>
        <w:tc>
          <w:tcPr>
            <w:tcW w:w="1076" w:type="dxa"/>
            <w:tcBorders>
              <w:left w:val="nil"/>
              <w:right w:val="single" w:sz="4" w:space="0" w:color="DF2F1E"/>
            </w:tcBorders>
          </w:tcPr>
          <w:p>
            <w:pPr>
              <w:pStyle w:val="TableParagraph"/>
              <w:ind w:right="397"/>
              <w:jc w:val="right"/>
              <w:rPr>
                <w:sz w:val="16"/>
              </w:rPr>
            </w:pPr>
            <w:r>
              <w:rPr>
                <w:color w:val="404040"/>
                <w:sz w:val="16"/>
              </w:rPr>
              <w:t>148</w:t>
            </w:r>
          </w:p>
        </w:tc>
        <w:tc>
          <w:tcPr>
            <w:tcW w:w="1419" w:type="dxa"/>
            <w:tcBorders>
              <w:left w:val="single" w:sz="4" w:space="0" w:color="DF2F1E"/>
              <w:right w:val="single" w:sz="4" w:space="0" w:color="DF2F1E"/>
            </w:tcBorders>
          </w:tcPr>
          <w:p>
            <w:pPr>
              <w:pStyle w:val="TableParagraph"/>
              <w:ind w:left="154" w:right="153"/>
              <w:jc w:val="center"/>
              <w:rPr>
                <w:sz w:val="16"/>
              </w:rPr>
            </w:pPr>
            <w:r>
              <w:rPr>
                <w:color w:val="404040"/>
                <w:sz w:val="16"/>
              </w:rPr>
              <w:t>+23 (+18%)</w:t>
            </w:r>
          </w:p>
        </w:tc>
        <w:tc>
          <w:tcPr>
            <w:tcW w:w="1417" w:type="dxa"/>
            <w:tcBorders>
              <w:left w:val="single" w:sz="4" w:space="0" w:color="DF2F1E"/>
              <w:right w:val="nil"/>
            </w:tcBorders>
          </w:tcPr>
          <w:p>
            <w:pPr>
              <w:pStyle w:val="TableParagraph"/>
              <w:ind w:left="283"/>
              <w:rPr>
                <w:sz w:val="16"/>
              </w:rPr>
            </w:pPr>
            <w:r>
              <w:rPr>
                <w:color w:val="404040"/>
                <w:sz w:val="16"/>
              </w:rPr>
              <w:t>+14 (+32%)</w:t>
            </w:r>
          </w:p>
        </w:tc>
        <w:tc>
          <w:tcPr>
            <w:tcW w:w="1419" w:type="dxa"/>
            <w:tcBorders>
              <w:left w:val="nil"/>
              <w:right w:val="single" w:sz="4" w:space="0" w:color="DF2F1E"/>
            </w:tcBorders>
          </w:tcPr>
          <w:p>
            <w:pPr>
              <w:pStyle w:val="TableParagraph"/>
              <w:ind w:right="329"/>
              <w:jc w:val="right"/>
              <w:rPr>
                <w:sz w:val="16"/>
              </w:rPr>
            </w:pPr>
            <w:r>
              <w:rPr>
                <w:color w:val="404040"/>
                <w:sz w:val="16"/>
              </w:rPr>
              <w:t>+9 (+11%)</w:t>
            </w:r>
          </w:p>
        </w:tc>
        <w:tc>
          <w:tcPr>
            <w:tcW w:w="909" w:type="dxa"/>
            <w:tcBorders>
              <w:left w:val="single" w:sz="4" w:space="0" w:color="DF2F1E"/>
              <w:right w:val="nil"/>
            </w:tcBorders>
          </w:tcPr>
          <w:p>
            <w:pPr>
              <w:pStyle w:val="TableParagraph"/>
              <w:ind w:left="356"/>
              <w:rPr>
                <w:sz w:val="16"/>
              </w:rPr>
            </w:pPr>
            <w:r>
              <w:rPr>
                <w:color w:val="404040"/>
                <w:sz w:val="16"/>
              </w:rPr>
              <w:t>51</w:t>
            </w:r>
          </w:p>
        </w:tc>
      </w:tr>
      <w:tr>
        <w:trPr>
          <w:trHeight w:val="265" w:hRule="atLeast"/>
        </w:trPr>
        <w:tc>
          <w:tcPr>
            <w:tcW w:w="2494" w:type="dxa"/>
            <w:tcBorders>
              <w:left w:val="nil"/>
              <w:right w:val="single" w:sz="4" w:space="0" w:color="DF2F1E"/>
            </w:tcBorders>
          </w:tcPr>
          <w:p>
            <w:pPr>
              <w:pStyle w:val="TableParagraph"/>
              <w:spacing w:before="39"/>
              <w:ind w:left="112"/>
              <w:rPr>
                <w:sz w:val="16"/>
              </w:rPr>
            </w:pPr>
            <w:r>
              <w:rPr>
                <w:color w:val="404040"/>
                <w:sz w:val="16"/>
              </w:rPr>
              <w:t>- 5 Disability Support</w:t>
            </w:r>
          </w:p>
        </w:tc>
        <w:tc>
          <w:tcPr>
            <w:tcW w:w="1078" w:type="dxa"/>
            <w:tcBorders>
              <w:left w:val="single" w:sz="4" w:space="0" w:color="DF2F1E"/>
              <w:right w:val="nil"/>
            </w:tcBorders>
          </w:tcPr>
          <w:p>
            <w:pPr>
              <w:pStyle w:val="TableParagraph"/>
              <w:spacing w:before="39"/>
              <w:ind w:right="404"/>
              <w:jc w:val="right"/>
              <w:rPr>
                <w:sz w:val="16"/>
              </w:rPr>
            </w:pPr>
            <w:r>
              <w:rPr>
                <w:color w:val="404040"/>
                <w:sz w:val="16"/>
              </w:rPr>
              <w:t>351</w:t>
            </w:r>
          </w:p>
        </w:tc>
        <w:tc>
          <w:tcPr>
            <w:tcW w:w="1076" w:type="dxa"/>
            <w:tcBorders>
              <w:left w:val="nil"/>
              <w:right w:val="single" w:sz="4" w:space="0" w:color="DF2F1E"/>
            </w:tcBorders>
          </w:tcPr>
          <w:p>
            <w:pPr>
              <w:pStyle w:val="TableParagraph"/>
              <w:spacing w:before="39"/>
              <w:ind w:right="397"/>
              <w:jc w:val="right"/>
              <w:rPr>
                <w:sz w:val="16"/>
              </w:rPr>
            </w:pPr>
            <w:r>
              <w:rPr>
                <w:color w:val="404040"/>
                <w:sz w:val="16"/>
              </w:rPr>
              <w:t>417</w:t>
            </w:r>
          </w:p>
        </w:tc>
        <w:tc>
          <w:tcPr>
            <w:tcW w:w="1419" w:type="dxa"/>
            <w:tcBorders>
              <w:left w:val="single" w:sz="4" w:space="0" w:color="DF2F1E"/>
              <w:right w:val="single" w:sz="4" w:space="0" w:color="DF2F1E"/>
            </w:tcBorders>
          </w:tcPr>
          <w:p>
            <w:pPr>
              <w:pStyle w:val="TableParagraph"/>
              <w:spacing w:before="39"/>
              <w:ind w:left="154" w:right="153"/>
              <w:jc w:val="center"/>
              <w:rPr>
                <w:sz w:val="16"/>
              </w:rPr>
            </w:pPr>
            <w:r>
              <w:rPr>
                <w:color w:val="404040"/>
                <w:sz w:val="16"/>
              </w:rPr>
              <w:t>+66 (+19%)</w:t>
            </w:r>
          </w:p>
        </w:tc>
        <w:tc>
          <w:tcPr>
            <w:tcW w:w="1417" w:type="dxa"/>
            <w:tcBorders>
              <w:left w:val="single" w:sz="4" w:space="0" w:color="DF2F1E"/>
              <w:right w:val="nil"/>
            </w:tcBorders>
          </w:tcPr>
          <w:p>
            <w:pPr>
              <w:pStyle w:val="TableParagraph"/>
              <w:spacing w:before="39"/>
              <w:ind w:left="283"/>
              <w:rPr>
                <w:sz w:val="16"/>
              </w:rPr>
            </w:pPr>
            <w:r>
              <w:rPr>
                <w:color w:val="404040"/>
                <w:sz w:val="16"/>
              </w:rPr>
              <w:t>+33 (+30%)</w:t>
            </w:r>
          </w:p>
        </w:tc>
        <w:tc>
          <w:tcPr>
            <w:tcW w:w="1419" w:type="dxa"/>
            <w:tcBorders>
              <w:left w:val="nil"/>
              <w:right w:val="single" w:sz="4" w:space="0" w:color="DF2F1E"/>
            </w:tcBorders>
          </w:tcPr>
          <w:p>
            <w:pPr>
              <w:pStyle w:val="TableParagraph"/>
              <w:spacing w:before="39"/>
              <w:ind w:right="284"/>
              <w:jc w:val="right"/>
              <w:rPr>
                <w:sz w:val="16"/>
              </w:rPr>
            </w:pPr>
            <w:r>
              <w:rPr>
                <w:color w:val="404040"/>
                <w:sz w:val="16"/>
              </w:rPr>
              <w:t>+33 (+13%)</w:t>
            </w:r>
          </w:p>
        </w:tc>
        <w:tc>
          <w:tcPr>
            <w:tcW w:w="909" w:type="dxa"/>
            <w:tcBorders>
              <w:left w:val="single" w:sz="4" w:space="0" w:color="DF2F1E"/>
              <w:right w:val="nil"/>
            </w:tcBorders>
          </w:tcPr>
          <w:p>
            <w:pPr>
              <w:pStyle w:val="TableParagraph"/>
              <w:spacing w:before="39"/>
              <w:ind w:left="356"/>
              <w:rPr>
                <w:sz w:val="16"/>
              </w:rPr>
            </w:pPr>
            <w:r>
              <w:rPr>
                <w:color w:val="404040"/>
                <w:sz w:val="16"/>
              </w:rPr>
              <w:t>50</w:t>
            </w:r>
          </w:p>
        </w:tc>
      </w:tr>
      <w:tr>
        <w:trPr>
          <w:trHeight w:val="263" w:hRule="atLeast"/>
        </w:trPr>
        <w:tc>
          <w:tcPr>
            <w:tcW w:w="2494" w:type="dxa"/>
            <w:tcBorders>
              <w:left w:val="nil"/>
              <w:right w:val="single" w:sz="4" w:space="0" w:color="DF2F1E"/>
            </w:tcBorders>
          </w:tcPr>
          <w:p>
            <w:pPr>
              <w:pStyle w:val="TableParagraph"/>
              <w:ind w:left="112"/>
              <w:rPr>
                <w:sz w:val="16"/>
              </w:rPr>
            </w:pPr>
            <w:r>
              <w:rPr>
                <w:color w:val="404040"/>
                <w:sz w:val="16"/>
              </w:rPr>
              <w:t>- 6 Pension Age</w:t>
            </w:r>
          </w:p>
        </w:tc>
        <w:tc>
          <w:tcPr>
            <w:tcW w:w="1078" w:type="dxa"/>
            <w:tcBorders>
              <w:left w:val="single" w:sz="4" w:space="0" w:color="DF2F1E"/>
              <w:right w:val="nil"/>
            </w:tcBorders>
          </w:tcPr>
          <w:p>
            <w:pPr>
              <w:pStyle w:val="TableParagraph"/>
              <w:ind w:right="404"/>
              <w:jc w:val="right"/>
              <w:rPr>
                <w:sz w:val="16"/>
              </w:rPr>
            </w:pPr>
            <w:r>
              <w:rPr>
                <w:color w:val="404040"/>
                <w:sz w:val="16"/>
              </w:rPr>
              <w:t>542</w:t>
            </w:r>
          </w:p>
        </w:tc>
        <w:tc>
          <w:tcPr>
            <w:tcW w:w="1076" w:type="dxa"/>
            <w:tcBorders>
              <w:left w:val="nil"/>
              <w:right w:val="single" w:sz="4" w:space="0" w:color="DF2F1E"/>
            </w:tcBorders>
          </w:tcPr>
          <w:p>
            <w:pPr>
              <w:pStyle w:val="TableParagraph"/>
              <w:ind w:right="397"/>
              <w:jc w:val="right"/>
              <w:rPr>
                <w:sz w:val="16"/>
              </w:rPr>
            </w:pPr>
            <w:r>
              <w:rPr>
                <w:color w:val="404040"/>
                <w:sz w:val="16"/>
              </w:rPr>
              <w:t>591</w:t>
            </w:r>
          </w:p>
        </w:tc>
        <w:tc>
          <w:tcPr>
            <w:tcW w:w="1419" w:type="dxa"/>
            <w:tcBorders>
              <w:left w:val="single" w:sz="4" w:space="0" w:color="DF2F1E"/>
              <w:right w:val="single" w:sz="4" w:space="0" w:color="DF2F1E"/>
            </w:tcBorders>
          </w:tcPr>
          <w:p>
            <w:pPr>
              <w:pStyle w:val="TableParagraph"/>
              <w:ind w:left="154" w:right="154"/>
              <w:jc w:val="center"/>
              <w:rPr>
                <w:sz w:val="16"/>
              </w:rPr>
            </w:pPr>
            <w:r>
              <w:rPr>
                <w:color w:val="404040"/>
                <w:sz w:val="16"/>
              </w:rPr>
              <w:t>+50 (+9%)</w:t>
            </w:r>
          </w:p>
        </w:tc>
        <w:tc>
          <w:tcPr>
            <w:tcW w:w="1417" w:type="dxa"/>
            <w:tcBorders>
              <w:left w:val="single" w:sz="4" w:space="0" w:color="DF2F1E"/>
              <w:right w:val="nil"/>
            </w:tcBorders>
          </w:tcPr>
          <w:p>
            <w:pPr>
              <w:pStyle w:val="TableParagraph"/>
              <w:ind w:left="326"/>
              <w:rPr>
                <w:sz w:val="16"/>
              </w:rPr>
            </w:pPr>
            <w:r>
              <w:rPr>
                <w:color w:val="404040"/>
                <w:sz w:val="16"/>
              </w:rPr>
              <w:t>+45 (+9%)</w:t>
            </w:r>
          </w:p>
        </w:tc>
        <w:tc>
          <w:tcPr>
            <w:tcW w:w="1419" w:type="dxa"/>
            <w:tcBorders>
              <w:left w:val="nil"/>
              <w:right w:val="single" w:sz="4" w:space="0" w:color="DF2F1E"/>
            </w:tcBorders>
          </w:tcPr>
          <w:p>
            <w:pPr>
              <w:pStyle w:val="TableParagraph"/>
              <w:ind w:left="378"/>
              <w:rPr>
                <w:sz w:val="16"/>
              </w:rPr>
            </w:pPr>
            <w:r>
              <w:rPr>
                <w:color w:val="404040"/>
                <w:sz w:val="16"/>
              </w:rPr>
              <w:t>+5 (+8%)</w:t>
            </w:r>
          </w:p>
        </w:tc>
        <w:tc>
          <w:tcPr>
            <w:tcW w:w="909" w:type="dxa"/>
            <w:tcBorders>
              <w:left w:val="single" w:sz="4" w:space="0" w:color="DF2F1E"/>
              <w:right w:val="nil"/>
            </w:tcBorders>
          </w:tcPr>
          <w:p>
            <w:pPr>
              <w:pStyle w:val="TableParagraph"/>
              <w:ind w:left="356"/>
              <w:rPr>
                <w:sz w:val="16"/>
              </w:rPr>
            </w:pPr>
            <w:r>
              <w:rPr>
                <w:color w:val="404040"/>
                <w:sz w:val="16"/>
              </w:rPr>
              <w:t>76</w:t>
            </w:r>
          </w:p>
        </w:tc>
      </w:tr>
      <w:tr>
        <w:trPr>
          <w:trHeight w:val="263" w:hRule="atLeast"/>
        </w:trPr>
        <w:tc>
          <w:tcPr>
            <w:tcW w:w="2494" w:type="dxa"/>
            <w:tcBorders>
              <w:left w:val="nil"/>
              <w:right w:val="single" w:sz="4" w:space="0" w:color="DF2F1E"/>
            </w:tcBorders>
          </w:tcPr>
          <w:p>
            <w:pPr>
              <w:pStyle w:val="TableParagraph"/>
              <w:ind w:left="112"/>
              <w:rPr>
                <w:sz w:val="16"/>
              </w:rPr>
            </w:pPr>
            <w:r>
              <w:rPr>
                <w:color w:val="404040"/>
                <w:sz w:val="16"/>
              </w:rPr>
              <w:t>- 7 Non IS Family</w:t>
            </w:r>
          </w:p>
        </w:tc>
        <w:tc>
          <w:tcPr>
            <w:tcW w:w="1078" w:type="dxa"/>
            <w:tcBorders>
              <w:left w:val="single" w:sz="4" w:space="0" w:color="DF2F1E"/>
              <w:right w:val="nil"/>
            </w:tcBorders>
          </w:tcPr>
          <w:p>
            <w:pPr>
              <w:pStyle w:val="TableParagraph"/>
              <w:ind w:right="404"/>
              <w:jc w:val="right"/>
              <w:rPr>
                <w:sz w:val="16"/>
              </w:rPr>
            </w:pPr>
            <w:r>
              <w:rPr>
                <w:color w:val="404040"/>
                <w:sz w:val="16"/>
              </w:rPr>
              <w:t>303</w:t>
            </w:r>
          </w:p>
        </w:tc>
        <w:tc>
          <w:tcPr>
            <w:tcW w:w="1076" w:type="dxa"/>
            <w:tcBorders>
              <w:left w:val="nil"/>
              <w:right w:val="single" w:sz="4" w:space="0" w:color="DF2F1E"/>
            </w:tcBorders>
          </w:tcPr>
          <w:p>
            <w:pPr>
              <w:pStyle w:val="TableParagraph"/>
              <w:ind w:right="397"/>
              <w:jc w:val="right"/>
              <w:rPr>
                <w:sz w:val="16"/>
              </w:rPr>
            </w:pPr>
            <w:r>
              <w:rPr>
                <w:color w:val="404040"/>
                <w:sz w:val="16"/>
              </w:rPr>
              <w:t>403</w:t>
            </w:r>
          </w:p>
        </w:tc>
        <w:tc>
          <w:tcPr>
            <w:tcW w:w="1419" w:type="dxa"/>
            <w:tcBorders>
              <w:left w:val="single" w:sz="4" w:space="0" w:color="DF2F1E"/>
              <w:right w:val="single" w:sz="4" w:space="0" w:color="DF2F1E"/>
            </w:tcBorders>
          </w:tcPr>
          <w:p>
            <w:pPr>
              <w:pStyle w:val="TableParagraph"/>
              <w:ind w:left="154" w:right="154"/>
              <w:jc w:val="center"/>
              <w:rPr>
                <w:sz w:val="16"/>
              </w:rPr>
            </w:pPr>
            <w:r>
              <w:rPr>
                <w:color w:val="404040"/>
                <w:sz w:val="16"/>
              </w:rPr>
              <w:t>+100 (+33%)</w:t>
            </w:r>
          </w:p>
        </w:tc>
        <w:tc>
          <w:tcPr>
            <w:tcW w:w="1417" w:type="dxa"/>
            <w:tcBorders>
              <w:left w:val="single" w:sz="4" w:space="0" w:color="DF2F1E"/>
              <w:right w:val="nil"/>
            </w:tcBorders>
          </w:tcPr>
          <w:p>
            <w:pPr>
              <w:pStyle w:val="TableParagraph"/>
              <w:ind w:left="283"/>
              <w:rPr>
                <w:sz w:val="16"/>
              </w:rPr>
            </w:pPr>
            <w:r>
              <w:rPr>
                <w:color w:val="404040"/>
                <w:sz w:val="16"/>
              </w:rPr>
              <w:t>+80 (+47%)</w:t>
            </w:r>
          </w:p>
        </w:tc>
        <w:tc>
          <w:tcPr>
            <w:tcW w:w="1419" w:type="dxa"/>
            <w:tcBorders>
              <w:left w:val="nil"/>
              <w:right w:val="single" w:sz="4" w:space="0" w:color="DF2F1E"/>
            </w:tcBorders>
          </w:tcPr>
          <w:p>
            <w:pPr>
              <w:pStyle w:val="TableParagraph"/>
              <w:ind w:right="284"/>
              <w:jc w:val="right"/>
              <w:rPr>
                <w:sz w:val="16"/>
              </w:rPr>
            </w:pPr>
            <w:r>
              <w:rPr>
                <w:color w:val="404040"/>
                <w:sz w:val="16"/>
              </w:rPr>
              <w:t>+20 (+15%)</w:t>
            </w:r>
          </w:p>
        </w:tc>
        <w:tc>
          <w:tcPr>
            <w:tcW w:w="909" w:type="dxa"/>
            <w:tcBorders>
              <w:left w:val="single" w:sz="4" w:space="0" w:color="DF2F1E"/>
              <w:right w:val="nil"/>
            </w:tcBorders>
          </w:tcPr>
          <w:p>
            <w:pPr>
              <w:pStyle w:val="TableParagraph"/>
              <w:ind w:left="356"/>
              <w:rPr>
                <w:sz w:val="16"/>
              </w:rPr>
            </w:pPr>
            <w:r>
              <w:rPr>
                <w:color w:val="404040"/>
                <w:sz w:val="16"/>
              </w:rPr>
              <w:t>40</w:t>
            </w:r>
          </w:p>
        </w:tc>
      </w:tr>
      <w:tr>
        <w:trPr>
          <w:trHeight w:val="263" w:hRule="atLeast"/>
        </w:trPr>
        <w:tc>
          <w:tcPr>
            <w:tcW w:w="2494" w:type="dxa"/>
            <w:tcBorders>
              <w:left w:val="nil"/>
              <w:right w:val="single" w:sz="4" w:space="0" w:color="DF2F1E"/>
            </w:tcBorders>
          </w:tcPr>
          <w:p>
            <w:pPr>
              <w:pStyle w:val="TableParagraph"/>
              <w:ind w:left="112"/>
              <w:rPr>
                <w:sz w:val="16"/>
              </w:rPr>
            </w:pPr>
            <w:r>
              <w:rPr>
                <w:color w:val="404040"/>
                <w:sz w:val="16"/>
              </w:rPr>
              <w:t>- 8 Non IS Carer</w:t>
            </w:r>
          </w:p>
        </w:tc>
        <w:tc>
          <w:tcPr>
            <w:tcW w:w="1078" w:type="dxa"/>
            <w:tcBorders>
              <w:left w:val="single" w:sz="4" w:space="0" w:color="DF2F1E"/>
              <w:right w:val="nil"/>
            </w:tcBorders>
          </w:tcPr>
          <w:p>
            <w:pPr>
              <w:pStyle w:val="TableParagraph"/>
              <w:ind w:left="424" w:right="430"/>
              <w:jc w:val="center"/>
              <w:rPr>
                <w:sz w:val="16"/>
              </w:rPr>
            </w:pPr>
            <w:r>
              <w:rPr>
                <w:color w:val="404040"/>
                <w:sz w:val="16"/>
              </w:rPr>
              <w:t>42</w:t>
            </w:r>
          </w:p>
        </w:tc>
        <w:tc>
          <w:tcPr>
            <w:tcW w:w="1076" w:type="dxa"/>
            <w:tcBorders>
              <w:left w:val="nil"/>
              <w:right w:val="single" w:sz="4" w:space="0" w:color="DF2F1E"/>
            </w:tcBorders>
          </w:tcPr>
          <w:p>
            <w:pPr>
              <w:pStyle w:val="TableParagraph"/>
              <w:ind w:left="427" w:right="425"/>
              <w:jc w:val="center"/>
              <w:rPr>
                <w:sz w:val="16"/>
              </w:rPr>
            </w:pPr>
            <w:r>
              <w:rPr>
                <w:color w:val="404040"/>
                <w:sz w:val="16"/>
              </w:rPr>
              <w:t>53</w:t>
            </w:r>
          </w:p>
        </w:tc>
        <w:tc>
          <w:tcPr>
            <w:tcW w:w="1419" w:type="dxa"/>
            <w:tcBorders>
              <w:left w:val="single" w:sz="4" w:space="0" w:color="DF2F1E"/>
              <w:right w:val="single" w:sz="4" w:space="0" w:color="DF2F1E"/>
            </w:tcBorders>
          </w:tcPr>
          <w:p>
            <w:pPr>
              <w:pStyle w:val="TableParagraph"/>
              <w:ind w:left="154" w:right="153"/>
              <w:jc w:val="center"/>
              <w:rPr>
                <w:sz w:val="16"/>
              </w:rPr>
            </w:pPr>
            <w:r>
              <w:rPr>
                <w:color w:val="404040"/>
                <w:sz w:val="16"/>
              </w:rPr>
              <w:t>+11 (+25%)</w:t>
            </w:r>
          </w:p>
        </w:tc>
        <w:tc>
          <w:tcPr>
            <w:tcW w:w="1417" w:type="dxa"/>
            <w:tcBorders>
              <w:left w:val="single" w:sz="4" w:space="0" w:color="DF2F1E"/>
              <w:right w:val="nil"/>
            </w:tcBorders>
          </w:tcPr>
          <w:p>
            <w:pPr>
              <w:pStyle w:val="TableParagraph"/>
              <w:ind w:left="326"/>
              <w:rPr>
                <w:sz w:val="16"/>
              </w:rPr>
            </w:pPr>
            <w:r>
              <w:rPr>
                <w:color w:val="404040"/>
                <w:sz w:val="16"/>
              </w:rPr>
              <w:t>+8 (+37%)</w:t>
            </w:r>
          </w:p>
        </w:tc>
        <w:tc>
          <w:tcPr>
            <w:tcW w:w="1419" w:type="dxa"/>
            <w:tcBorders>
              <w:left w:val="nil"/>
              <w:right w:val="single" w:sz="4" w:space="0" w:color="DF2F1E"/>
            </w:tcBorders>
          </w:tcPr>
          <w:p>
            <w:pPr>
              <w:pStyle w:val="TableParagraph"/>
              <w:ind w:right="329"/>
              <w:jc w:val="right"/>
              <w:rPr>
                <w:sz w:val="16"/>
              </w:rPr>
            </w:pPr>
            <w:r>
              <w:rPr>
                <w:color w:val="404040"/>
                <w:sz w:val="16"/>
              </w:rPr>
              <w:t>+3 (+14%)</w:t>
            </w:r>
          </w:p>
        </w:tc>
        <w:tc>
          <w:tcPr>
            <w:tcW w:w="909" w:type="dxa"/>
            <w:tcBorders>
              <w:left w:val="single" w:sz="4" w:space="0" w:color="DF2F1E"/>
              <w:right w:val="nil"/>
            </w:tcBorders>
          </w:tcPr>
          <w:p>
            <w:pPr>
              <w:pStyle w:val="TableParagraph"/>
              <w:ind w:left="356"/>
              <w:rPr>
                <w:sz w:val="16"/>
              </w:rPr>
            </w:pPr>
            <w:r>
              <w:rPr>
                <w:color w:val="404040"/>
                <w:sz w:val="16"/>
              </w:rPr>
              <w:t>51</w:t>
            </w:r>
          </w:p>
        </w:tc>
      </w:tr>
      <w:tr>
        <w:trPr>
          <w:trHeight w:val="263" w:hRule="atLeast"/>
        </w:trPr>
        <w:tc>
          <w:tcPr>
            <w:tcW w:w="2494" w:type="dxa"/>
            <w:tcBorders>
              <w:left w:val="nil"/>
              <w:right w:val="single" w:sz="4" w:space="0" w:color="DF2F1E"/>
            </w:tcBorders>
          </w:tcPr>
          <w:p>
            <w:pPr>
              <w:pStyle w:val="TableParagraph"/>
              <w:ind w:left="112"/>
              <w:rPr>
                <w:sz w:val="16"/>
              </w:rPr>
            </w:pPr>
            <w:r>
              <w:rPr>
                <w:color w:val="404040"/>
                <w:sz w:val="16"/>
              </w:rPr>
              <w:t>- 9 Non IS Other</w:t>
            </w:r>
          </w:p>
        </w:tc>
        <w:tc>
          <w:tcPr>
            <w:tcW w:w="1078" w:type="dxa"/>
            <w:tcBorders>
              <w:left w:val="single" w:sz="4" w:space="0" w:color="DF2F1E"/>
              <w:right w:val="nil"/>
            </w:tcBorders>
          </w:tcPr>
          <w:p>
            <w:pPr>
              <w:pStyle w:val="TableParagraph"/>
              <w:ind w:left="424" w:right="430"/>
              <w:jc w:val="center"/>
              <w:rPr>
                <w:sz w:val="16"/>
              </w:rPr>
            </w:pPr>
            <w:r>
              <w:rPr>
                <w:color w:val="404040"/>
                <w:sz w:val="16"/>
              </w:rPr>
              <w:t>72</w:t>
            </w:r>
          </w:p>
        </w:tc>
        <w:tc>
          <w:tcPr>
            <w:tcW w:w="1076" w:type="dxa"/>
            <w:tcBorders>
              <w:left w:val="nil"/>
              <w:right w:val="single" w:sz="4" w:space="0" w:color="DF2F1E"/>
            </w:tcBorders>
          </w:tcPr>
          <w:p>
            <w:pPr>
              <w:pStyle w:val="TableParagraph"/>
              <w:ind w:left="427" w:right="425"/>
              <w:jc w:val="center"/>
              <w:rPr>
                <w:sz w:val="16"/>
              </w:rPr>
            </w:pPr>
            <w:r>
              <w:rPr>
                <w:color w:val="404040"/>
                <w:sz w:val="16"/>
              </w:rPr>
              <w:t>96</w:t>
            </w:r>
          </w:p>
        </w:tc>
        <w:tc>
          <w:tcPr>
            <w:tcW w:w="1419" w:type="dxa"/>
            <w:tcBorders>
              <w:left w:val="single" w:sz="4" w:space="0" w:color="DF2F1E"/>
              <w:right w:val="single" w:sz="4" w:space="0" w:color="DF2F1E"/>
            </w:tcBorders>
          </w:tcPr>
          <w:p>
            <w:pPr>
              <w:pStyle w:val="TableParagraph"/>
              <w:ind w:left="154" w:right="153"/>
              <w:jc w:val="center"/>
              <w:rPr>
                <w:sz w:val="16"/>
              </w:rPr>
            </w:pPr>
            <w:r>
              <w:rPr>
                <w:color w:val="404040"/>
                <w:sz w:val="16"/>
              </w:rPr>
              <w:t>+24 (+33%)</w:t>
            </w:r>
          </w:p>
        </w:tc>
        <w:tc>
          <w:tcPr>
            <w:tcW w:w="1417" w:type="dxa"/>
            <w:tcBorders>
              <w:left w:val="single" w:sz="4" w:space="0" w:color="DF2F1E"/>
              <w:right w:val="nil"/>
            </w:tcBorders>
          </w:tcPr>
          <w:p>
            <w:pPr>
              <w:pStyle w:val="TableParagraph"/>
              <w:ind w:left="283"/>
              <w:rPr>
                <w:sz w:val="16"/>
              </w:rPr>
            </w:pPr>
            <w:r>
              <w:rPr>
                <w:color w:val="404040"/>
                <w:sz w:val="16"/>
              </w:rPr>
              <w:t>+17 (+46%)</w:t>
            </w:r>
          </w:p>
        </w:tc>
        <w:tc>
          <w:tcPr>
            <w:tcW w:w="1419" w:type="dxa"/>
            <w:tcBorders>
              <w:left w:val="nil"/>
              <w:right w:val="single" w:sz="4" w:space="0" w:color="DF2F1E"/>
            </w:tcBorders>
          </w:tcPr>
          <w:p>
            <w:pPr>
              <w:pStyle w:val="TableParagraph"/>
              <w:ind w:right="329"/>
              <w:jc w:val="right"/>
              <w:rPr>
                <w:sz w:val="16"/>
              </w:rPr>
            </w:pPr>
            <w:r>
              <w:rPr>
                <w:color w:val="404040"/>
                <w:sz w:val="16"/>
              </w:rPr>
              <w:t>+7 (+19%)</w:t>
            </w:r>
          </w:p>
        </w:tc>
        <w:tc>
          <w:tcPr>
            <w:tcW w:w="909" w:type="dxa"/>
            <w:tcBorders>
              <w:left w:val="single" w:sz="4" w:space="0" w:color="DF2F1E"/>
              <w:right w:val="nil"/>
            </w:tcBorders>
          </w:tcPr>
          <w:p>
            <w:pPr>
              <w:pStyle w:val="TableParagraph"/>
              <w:ind w:left="356"/>
              <w:rPr>
                <w:sz w:val="16"/>
              </w:rPr>
            </w:pPr>
            <w:r>
              <w:rPr>
                <w:color w:val="404040"/>
                <w:sz w:val="16"/>
              </w:rPr>
              <w:t>50</w:t>
            </w:r>
          </w:p>
        </w:tc>
      </w:tr>
      <w:tr>
        <w:trPr>
          <w:trHeight w:val="262" w:hRule="atLeast"/>
        </w:trPr>
        <w:tc>
          <w:tcPr>
            <w:tcW w:w="2494" w:type="dxa"/>
            <w:tcBorders>
              <w:left w:val="nil"/>
              <w:bottom w:val="single" w:sz="6" w:space="0" w:color="FFFFFF"/>
              <w:right w:val="single" w:sz="4" w:space="0" w:color="DF2F1E"/>
            </w:tcBorders>
            <w:shd w:val="clear" w:color="auto" w:fill="F4C9C9"/>
          </w:tcPr>
          <w:p>
            <w:pPr>
              <w:pStyle w:val="TableParagraph"/>
              <w:ind w:left="112"/>
              <w:rPr>
                <w:i/>
                <w:sz w:val="16"/>
              </w:rPr>
            </w:pPr>
            <w:r>
              <w:rPr>
                <w:i/>
                <w:color w:val="404040"/>
                <w:sz w:val="16"/>
              </w:rPr>
              <w:t>Total current welfare recipients</w:t>
            </w:r>
          </w:p>
        </w:tc>
        <w:tc>
          <w:tcPr>
            <w:tcW w:w="1078" w:type="dxa"/>
            <w:tcBorders>
              <w:left w:val="single" w:sz="4" w:space="0" w:color="DF2F1E"/>
              <w:bottom w:val="single" w:sz="6" w:space="0" w:color="FFFFFF"/>
              <w:right w:val="nil"/>
            </w:tcBorders>
            <w:shd w:val="clear" w:color="auto" w:fill="F4C9C9"/>
          </w:tcPr>
          <w:p>
            <w:pPr>
              <w:pStyle w:val="TableParagraph"/>
              <w:ind w:right="337"/>
              <w:jc w:val="right"/>
              <w:rPr>
                <w:i/>
                <w:sz w:val="16"/>
              </w:rPr>
            </w:pPr>
            <w:r>
              <w:rPr>
                <w:i/>
                <w:color w:val="404040"/>
                <w:sz w:val="16"/>
              </w:rPr>
              <w:t>2,134</w:t>
            </w:r>
          </w:p>
        </w:tc>
        <w:tc>
          <w:tcPr>
            <w:tcW w:w="1076" w:type="dxa"/>
            <w:tcBorders>
              <w:left w:val="nil"/>
              <w:bottom w:val="single" w:sz="6" w:space="0" w:color="FFFFFF"/>
              <w:right w:val="single" w:sz="4" w:space="0" w:color="DF2F1E"/>
            </w:tcBorders>
            <w:shd w:val="clear" w:color="auto" w:fill="F4C9C9"/>
          </w:tcPr>
          <w:p>
            <w:pPr>
              <w:pStyle w:val="TableParagraph"/>
              <w:ind w:right="330"/>
              <w:jc w:val="right"/>
              <w:rPr>
                <w:i/>
                <w:sz w:val="16"/>
              </w:rPr>
            </w:pPr>
            <w:r>
              <w:rPr>
                <w:i/>
                <w:color w:val="404040"/>
                <w:sz w:val="16"/>
              </w:rPr>
              <w:t>2,599</w:t>
            </w:r>
          </w:p>
        </w:tc>
        <w:tc>
          <w:tcPr>
            <w:tcW w:w="1419" w:type="dxa"/>
            <w:tcBorders>
              <w:left w:val="single" w:sz="4" w:space="0" w:color="DF2F1E"/>
              <w:bottom w:val="single" w:sz="6" w:space="0" w:color="FFFFFF"/>
              <w:right w:val="single" w:sz="4" w:space="0" w:color="DF2F1E"/>
            </w:tcBorders>
            <w:shd w:val="clear" w:color="auto" w:fill="F4C9C9"/>
          </w:tcPr>
          <w:p>
            <w:pPr>
              <w:pStyle w:val="TableParagraph"/>
              <w:ind w:left="154" w:right="154"/>
              <w:jc w:val="center"/>
              <w:rPr>
                <w:i/>
                <w:sz w:val="16"/>
              </w:rPr>
            </w:pPr>
            <w:r>
              <w:rPr>
                <w:i/>
                <w:color w:val="404040"/>
                <w:sz w:val="16"/>
              </w:rPr>
              <w:t>+465 (+22%)</w:t>
            </w:r>
          </w:p>
        </w:tc>
        <w:tc>
          <w:tcPr>
            <w:tcW w:w="1417" w:type="dxa"/>
            <w:tcBorders>
              <w:left w:val="single" w:sz="4" w:space="0" w:color="DF2F1E"/>
              <w:bottom w:val="single" w:sz="6" w:space="0" w:color="FFFFFF"/>
              <w:right w:val="nil"/>
            </w:tcBorders>
            <w:shd w:val="clear" w:color="auto" w:fill="F4C9C9"/>
          </w:tcPr>
          <w:p>
            <w:pPr>
              <w:pStyle w:val="TableParagraph"/>
              <w:ind w:left="237"/>
              <w:rPr>
                <w:i/>
                <w:sz w:val="16"/>
              </w:rPr>
            </w:pPr>
            <w:r>
              <w:rPr>
                <w:i/>
                <w:color w:val="404040"/>
                <w:sz w:val="16"/>
              </w:rPr>
              <w:t>+322 (+28%)</w:t>
            </w:r>
          </w:p>
        </w:tc>
        <w:tc>
          <w:tcPr>
            <w:tcW w:w="1419" w:type="dxa"/>
            <w:tcBorders>
              <w:left w:val="nil"/>
              <w:bottom w:val="single" w:sz="6" w:space="0" w:color="FFFFFF"/>
              <w:right w:val="single" w:sz="4" w:space="0" w:color="DF2F1E"/>
            </w:tcBorders>
            <w:shd w:val="clear" w:color="auto" w:fill="F4C9C9"/>
          </w:tcPr>
          <w:p>
            <w:pPr>
              <w:pStyle w:val="TableParagraph"/>
              <w:ind w:right="241"/>
              <w:jc w:val="right"/>
              <w:rPr>
                <w:i/>
                <w:sz w:val="16"/>
              </w:rPr>
            </w:pPr>
            <w:r>
              <w:rPr>
                <w:i/>
                <w:color w:val="404040"/>
                <w:sz w:val="16"/>
              </w:rPr>
              <w:t>+143 (+14%)</w:t>
            </w:r>
          </w:p>
        </w:tc>
        <w:tc>
          <w:tcPr>
            <w:tcW w:w="909" w:type="dxa"/>
            <w:tcBorders>
              <w:left w:val="single" w:sz="4" w:space="0" w:color="DF2F1E"/>
              <w:bottom w:val="single" w:sz="6" w:space="0" w:color="FFFFFF"/>
              <w:right w:val="nil"/>
            </w:tcBorders>
            <w:shd w:val="clear" w:color="auto" w:fill="F4C9C9"/>
          </w:tcPr>
          <w:p>
            <w:pPr>
              <w:pStyle w:val="TableParagraph"/>
              <w:ind w:left="356"/>
              <w:rPr>
                <w:i/>
                <w:sz w:val="16"/>
              </w:rPr>
            </w:pPr>
            <w:r>
              <w:rPr>
                <w:i/>
                <w:color w:val="404040"/>
                <w:sz w:val="16"/>
              </w:rPr>
              <w:t>53</w:t>
            </w:r>
          </w:p>
        </w:tc>
      </w:tr>
      <w:tr>
        <w:trPr>
          <w:trHeight w:val="257" w:hRule="atLeast"/>
        </w:trPr>
        <w:tc>
          <w:tcPr>
            <w:tcW w:w="2494" w:type="dxa"/>
            <w:tcBorders>
              <w:top w:val="single" w:sz="6" w:space="0" w:color="FFFFFF"/>
              <w:left w:val="nil"/>
              <w:bottom w:val="nil"/>
              <w:right w:val="single" w:sz="4" w:space="0" w:color="DF2F1E"/>
            </w:tcBorders>
            <w:shd w:val="clear" w:color="auto" w:fill="DF2528"/>
          </w:tcPr>
          <w:p>
            <w:pPr>
              <w:pStyle w:val="TableParagraph"/>
              <w:spacing w:before="33"/>
              <w:ind w:left="112"/>
              <w:rPr>
                <w:b/>
                <w:sz w:val="16"/>
              </w:rPr>
            </w:pPr>
            <w:r>
              <w:rPr>
                <w:b/>
                <w:color w:val="FFFFFF"/>
                <w:sz w:val="16"/>
              </w:rPr>
              <w:t>Non welfare recipients</w:t>
            </w:r>
          </w:p>
        </w:tc>
        <w:tc>
          <w:tcPr>
            <w:tcW w:w="2154" w:type="dxa"/>
            <w:gridSpan w:val="2"/>
            <w:tcBorders>
              <w:top w:val="single" w:sz="6" w:space="0" w:color="FFFFFF"/>
              <w:left w:val="single" w:sz="4" w:space="0" w:color="DF2F1E"/>
              <w:bottom w:val="nil"/>
              <w:right w:val="single" w:sz="4" w:space="0" w:color="DF2F1E"/>
            </w:tcBorders>
            <w:shd w:val="clear" w:color="auto" w:fill="DF2528"/>
          </w:tcPr>
          <w:p>
            <w:pPr>
              <w:pStyle w:val="TableParagraph"/>
              <w:spacing w:before="0"/>
              <w:rPr>
                <w:rFonts w:ascii="Times New Roman"/>
                <w:sz w:val="18"/>
              </w:rPr>
            </w:pPr>
          </w:p>
        </w:tc>
        <w:tc>
          <w:tcPr>
            <w:tcW w:w="1419" w:type="dxa"/>
            <w:tcBorders>
              <w:top w:val="single" w:sz="6" w:space="0" w:color="FFFFFF"/>
              <w:left w:val="single" w:sz="4" w:space="0" w:color="DF2F1E"/>
              <w:bottom w:val="nil"/>
              <w:right w:val="single" w:sz="4" w:space="0" w:color="DF2F1E"/>
            </w:tcBorders>
            <w:shd w:val="clear" w:color="auto" w:fill="DF2528"/>
          </w:tcPr>
          <w:p>
            <w:pPr>
              <w:pStyle w:val="TableParagraph"/>
              <w:spacing w:before="0"/>
              <w:rPr>
                <w:rFonts w:ascii="Times New Roman"/>
                <w:sz w:val="18"/>
              </w:rPr>
            </w:pPr>
          </w:p>
        </w:tc>
        <w:tc>
          <w:tcPr>
            <w:tcW w:w="2836" w:type="dxa"/>
            <w:gridSpan w:val="2"/>
            <w:tcBorders>
              <w:top w:val="single" w:sz="6" w:space="0" w:color="FFFFFF"/>
              <w:left w:val="single" w:sz="4" w:space="0" w:color="DF2F1E"/>
              <w:bottom w:val="nil"/>
              <w:right w:val="single" w:sz="4" w:space="0" w:color="DF2F1E"/>
            </w:tcBorders>
            <w:shd w:val="clear" w:color="auto" w:fill="DF2528"/>
          </w:tcPr>
          <w:p>
            <w:pPr>
              <w:pStyle w:val="TableParagraph"/>
              <w:spacing w:before="0"/>
              <w:rPr>
                <w:rFonts w:ascii="Times New Roman"/>
                <w:sz w:val="18"/>
              </w:rPr>
            </w:pPr>
          </w:p>
        </w:tc>
        <w:tc>
          <w:tcPr>
            <w:tcW w:w="909" w:type="dxa"/>
            <w:tcBorders>
              <w:top w:val="single" w:sz="6" w:space="0" w:color="FFFFFF"/>
              <w:left w:val="single" w:sz="4" w:space="0" w:color="DF2F1E"/>
              <w:bottom w:val="nil"/>
              <w:right w:val="nil"/>
            </w:tcBorders>
            <w:shd w:val="clear" w:color="auto" w:fill="DF2528"/>
          </w:tcPr>
          <w:p>
            <w:pPr>
              <w:pStyle w:val="TableParagraph"/>
              <w:spacing w:before="0"/>
              <w:rPr>
                <w:rFonts w:ascii="Times New Roman"/>
                <w:sz w:val="18"/>
              </w:rPr>
            </w:pPr>
          </w:p>
        </w:tc>
      </w:tr>
      <w:tr>
        <w:trPr>
          <w:trHeight w:val="268" w:hRule="atLeast"/>
        </w:trPr>
        <w:tc>
          <w:tcPr>
            <w:tcW w:w="2494" w:type="dxa"/>
            <w:tcBorders>
              <w:left w:val="nil"/>
              <w:right w:val="single" w:sz="4" w:space="0" w:color="DF2F1E"/>
            </w:tcBorders>
          </w:tcPr>
          <w:p>
            <w:pPr>
              <w:pStyle w:val="TableParagraph"/>
              <w:spacing w:before="41"/>
              <w:ind w:left="112"/>
              <w:rPr>
                <w:sz w:val="16"/>
              </w:rPr>
            </w:pPr>
            <w:r>
              <w:rPr>
                <w:color w:val="404040"/>
                <w:sz w:val="16"/>
              </w:rPr>
              <w:t>- 10 Previous welfare recipients</w:t>
            </w:r>
          </w:p>
        </w:tc>
        <w:tc>
          <w:tcPr>
            <w:tcW w:w="1078" w:type="dxa"/>
            <w:tcBorders>
              <w:left w:val="single" w:sz="4" w:space="0" w:color="DF2F1E"/>
              <w:right w:val="nil"/>
            </w:tcBorders>
          </w:tcPr>
          <w:p>
            <w:pPr>
              <w:pStyle w:val="TableParagraph"/>
              <w:spacing w:before="41"/>
              <w:ind w:right="404"/>
              <w:jc w:val="right"/>
              <w:rPr>
                <w:sz w:val="16"/>
              </w:rPr>
            </w:pPr>
            <w:r>
              <w:rPr>
                <w:color w:val="404040"/>
                <w:sz w:val="16"/>
              </w:rPr>
              <w:t>735</w:t>
            </w:r>
          </w:p>
        </w:tc>
        <w:tc>
          <w:tcPr>
            <w:tcW w:w="1076" w:type="dxa"/>
            <w:tcBorders>
              <w:left w:val="nil"/>
              <w:right w:val="single" w:sz="4" w:space="0" w:color="DF2F1E"/>
            </w:tcBorders>
          </w:tcPr>
          <w:p>
            <w:pPr>
              <w:pStyle w:val="TableParagraph"/>
              <w:spacing w:before="41"/>
              <w:ind w:right="397"/>
              <w:jc w:val="right"/>
              <w:rPr>
                <w:sz w:val="16"/>
              </w:rPr>
            </w:pPr>
            <w:r>
              <w:rPr>
                <w:color w:val="404040"/>
                <w:sz w:val="16"/>
              </w:rPr>
              <w:t>990</w:t>
            </w:r>
          </w:p>
        </w:tc>
        <w:tc>
          <w:tcPr>
            <w:tcW w:w="1419" w:type="dxa"/>
            <w:tcBorders>
              <w:left w:val="single" w:sz="4" w:space="0" w:color="DF2F1E"/>
              <w:right w:val="single" w:sz="4" w:space="0" w:color="DF2F1E"/>
            </w:tcBorders>
          </w:tcPr>
          <w:p>
            <w:pPr>
              <w:pStyle w:val="TableParagraph"/>
              <w:spacing w:before="41"/>
              <w:ind w:left="154" w:right="154"/>
              <w:jc w:val="center"/>
              <w:rPr>
                <w:sz w:val="16"/>
              </w:rPr>
            </w:pPr>
            <w:r>
              <w:rPr>
                <w:color w:val="404040"/>
                <w:sz w:val="16"/>
              </w:rPr>
              <w:t>+256 (+35%)</w:t>
            </w:r>
          </w:p>
        </w:tc>
        <w:tc>
          <w:tcPr>
            <w:tcW w:w="1417" w:type="dxa"/>
            <w:tcBorders>
              <w:left w:val="single" w:sz="4" w:space="0" w:color="DF2F1E"/>
              <w:right w:val="nil"/>
            </w:tcBorders>
          </w:tcPr>
          <w:p>
            <w:pPr>
              <w:pStyle w:val="TableParagraph"/>
              <w:spacing w:before="41"/>
              <w:ind w:left="237"/>
              <w:rPr>
                <w:sz w:val="16"/>
              </w:rPr>
            </w:pPr>
            <w:r>
              <w:rPr>
                <w:color w:val="404040"/>
                <w:sz w:val="16"/>
              </w:rPr>
              <w:t>+204 (+41%)</w:t>
            </w:r>
          </w:p>
        </w:tc>
        <w:tc>
          <w:tcPr>
            <w:tcW w:w="1419" w:type="dxa"/>
            <w:tcBorders>
              <w:left w:val="nil"/>
              <w:right w:val="single" w:sz="4" w:space="0" w:color="DF2F1E"/>
            </w:tcBorders>
          </w:tcPr>
          <w:p>
            <w:pPr>
              <w:pStyle w:val="TableParagraph"/>
              <w:spacing w:before="41"/>
              <w:ind w:right="284"/>
              <w:jc w:val="right"/>
              <w:rPr>
                <w:sz w:val="16"/>
              </w:rPr>
            </w:pPr>
            <w:r>
              <w:rPr>
                <w:color w:val="404040"/>
                <w:sz w:val="16"/>
              </w:rPr>
              <w:t>+51 (+22%)</w:t>
            </w:r>
          </w:p>
        </w:tc>
        <w:tc>
          <w:tcPr>
            <w:tcW w:w="909" w:type="dxa"/>
            <w:tcBorders>
              <w:left w:val="single" w:sz="4" w:space="0" w:color="DF2F1E"/>
              <w:right w:val="nil"/>
            </w:tcBorders>
          </w:tcPr>
          <w:p>
            <w:pPr>
              <w:pStyle w:val="TableParagraph"/>
              <w:spacing w:before="41"/>
              <w:ind w:left="356"/>
              <w:rPr>
                <w:sz w:val="16"/>
              </w:rPr>
            </w:pPr>
            <w:r>
              <w:rPr>
                <w:color w:val="404040"/>
                <w:sz w:val="16"/>
              </w:rPr>
              <w:t>45</w:t>
            </w:r>
          </w:p>
        </w:tc>
      </w:tr>
      <w:tr>
        <w:trPr>
          <w:trHeight w:val="448" w:hRule="atLeast"/>
        </w:trPr>
        <w:tc>
          <w:tcPr>
            <w:tcW w:w="2494" w:type="dxa"/>
            <w:tcBorders>
              <w:left w:val="nil"/>
              <w:right w:val="single" w:sz="4" w:space="0" w:color="DF2F1E"/>
            </w:tcBorders>
          </w:tcPr>
          <w:p>
            <w:pPr>
              <w:pStyle w:val="TableParagraph"/>
              <w:ind w:left="112" w:right="774"/>
              <w:rPr>
                <w:sz w:val="16"/>
              </w:rPr>
            </w:pPr>
            <w:r>
              <w:rPr>
                <w:color w:val="404040"/>
                <w:sz w:val="16"/>
              </w:rPr>
              <w:t>- 12 Rest of Australian Population</w:t>
            </w:r>
          </w:p>
        </w:tc>
        <w:tc>
          <w:tcPr>
            <w:tcW w:w="1078" w:type="dxa"/>
            <w:tcBorders>
              <w:left w:val="single" w:sz="4" w:space="0" w:color="DF2F1E"/>
              <w:right w:val="nil"/>
            </w:tcBorders>
          </w:tcPr>
          <w:p>
            <w:pPr>
              <w:pStyle w:val="TableParagraph"/>
              <w:ind w:right="337"/>
              <w:jc w:val="right"/>
              <w:rPr>
                <w:sz w:val="16"/>
              </w:rPr>
            </w:pPr>
            <w:r>
              <w:rPr>
                <w:color w:val="404040"/>
                <w:sz w:val="16"/>
              </w:rPr>
              <w:t>1,812</w:t>
            </w:r>
          </w:p>
        </w:tc>
        <w:tc>
          <w:tcPr>
            <w:tcW w:w="1076" w:type="dxa"/>
            <w:tcBorders>
              <w:left w:val="nil"/>
              <w:right w:val="single" w:sz="4" w:space="0" w:color="DF2F1E"/>
            </w:tcBorders>
          </w:tcPr>
          <w:p>
            <w:pPr>
              <w:pStyle w:val="TableParagraph"/>
              <w:ind w:right="330"/>
              <w:jc w:val="right"/>
              <w:rPr>
                <w:sz w:val="16"/>
              </w:rPr>
            </w:pPr>
            <w:r>
              <w:rPr>
                <w:color w:val="404040"/>
                <w:sz w:val="16"/>
              </w:rPr>
              <w:t>2,708</w:t>
            </w:r>
          </w:p>
        </w:tc>
        <w:tc>
          <w:tcPr>
            <w:tcW w:w="1419" w:type="dxa"/>
            <w:tcBorders>
              <w:left w:val="single" w:sz="4" w:space="0" w:color="DF2F1E"/>
              <w:right w:val="single" w:sz="4" w:space="0" w:color="DF2F1E"/>
            </w:tcBorders>
          </w:tcPr>
          <w:p>
            <w:pPr>
              <w:pStyle w:val="TableParagraph"/>
              <w:ind w:left="154" w:right="154"/>
              <w:jc w:val="center"/>
              <w:rPr>
                <w:sz w:val="16"/>
              </w:rPr>
            </w:pPr>
            <w:r>
              <w:rPr>
                <w:color w:val="404040"/>
                <w:sz w:val="16"/>
              </w:rPr>
              <w:t>+896 (+49%)</w:t>
            </w:r>
          </w:p>
        </w:tc>
        <w:tc>
          <w:tcPr>
            <w:tcW w:w="1417" w:type="dxa"/>
            <w:tcBorders>
              <w:left w:val="single" w:sz="4" w:space="0" w:color="DF2F1E"/>
              <w:right w:val="nil"/>
            </w:tcBorders>
          </w:tcPr>
          <w:p>
            <w:pPr>
              <w:pStyle w:val="TableParagraph"/>
              <w:ind w:left="237"/>
              <w:rPr>
                <w:sz w:val="16"/>
              </w:rPr>
            </w:pPr>
            <w:r>
              <w:rPr>
                <w:color w:val="404040"/>
                <w:sz w:val="16"/>
              </w:rPr>
              <w:t>+636 (+64%)</w:t>
            </w:r>
          </w:p>
        </w:tc>
        <w:tc>
          <w:tcPr>
            <w:tcW w:w="1419" w:type="dxa"/>
            <w:tcBorders>
              <w:left w:val="nil"/>
              <w:right w:val="single" w:sz="4" w:space="0" w:color="DF2F1E"/>
            </w:tcBorders>
          </w:tcPr>
          <w:p>
            <w:pPr>
              <w:pStyle w:val="TableParagraph"/>
              <w:ind w:right="241"/>
              <w:jc w:val="right"/>
              <w:rPr>
                <w:sz w:val="16"/>
              </w:rPr>
            </w:pPr>
            <w:r>
              <w:rPr>
                <w:color w:val="404040"/>
                <w:sz w:val="16"/>
              </w:rPr>
              <w:t>+260 (+32%)</w:t>
            </w:r>
          </w:p>
        </w:tc>
        <w:tc>
          <w:tcPr>
            <w:tcW w:w="909" w:type="dxa"/>
            <w:tcBorders>
              <w:left w:val="single" w:sz="4" w:space="0" w:color="DF2F1E"/>
              <w:right w:val="nil"/>
            </w:tcBorders>
          </w:tcPr>
          <w:p>
            <w:pPr>
              <w:pStyle w:val="TableParagraph"/>
              <w:ind w:left="356"/>
              <w:rPr>
                <w:sz w:val="16"/>
              </w:rPr>
            </w:pPr>
            <w:r>
              <w:rPr>
                <w:color w:val="404040"/>
                <w:sz w:val="16"/>
              </w:rPr>
              <w:t>28</w:t>
            </w:r>
          </w:p>
        </w:tc>
      </w:tr>
      <w:tr>
        <w:trPr>
          <w:trHeight w:val="263" w:hRule="atLeast"/>
        </w:trPr>
        <w:tc>
          <w:tcPr>
            <w:tcW w:w="2494" w:type="dxa"/>
            <w:tcBorders>
              <w:left w:val="nil"/>
              <w:bottom w:val="single" w:sz="4" w:space="0" w:color="FFFFFF"/>
              <w:right w:val="single" w:sz="4" w:space="0" w:color="DF2F1E"/>
            </w:tcBorders>
            <w:shd w:val="clear" w:color="auto" w:fill="F4C9C9"/>
          </w:tcPr>
          <w:p>
            <w:pPr>
              <w:pStyle w:val="TableParagraph"/>
              <w:ind w:left="112"/>
              <w:rPr>
                <w:i/>
                <w:sz w:val="16"/>
              </w:rPr>
            </w:pPr>
            <w:r>
              <w:rPr>
                <w:i/>
                <w:color w:val="404040"/>
                <w:sz w:val="16"/>
              </w:rPr>
              <w:t>Total non-welfare recipients</w:t>
            </w:r>
          </w:p>
        </w:tc>
        <w:tc>
          <w:tcPr>
            <w:tcW w:w="1078" w:type="dxa"/>
            <w:tcBorders>
              <w:left w:val="single" w:sz="4" w:space="0" w:color="DF2F1E"/>
              <w:bottom w:val="single" w:sz="4" w:space="0" w:color="FFFFFF"/>
              <w:right w:val="nil"/>
            </w:tcBorders>
            <w:shd w:val="clear" w:color="auto" w:fill="F4C9C9"/>
          </w:tcPr>
          <w:p>
            <w:pPr>
              <w:pStyle w:val="TableParagraph"/>
              <w:ind w:right="337"/>
              <w:jc w:val="right"/>
              <w:rPr>
                <w:i/>
                <w:sz w:val="16"/>
              </w:rPr>
            </w:pPr>
            <w:r>
              <w:rPr>
                <w:i/>
                <w:color w:val="404040"/>
                <w:sz w:val="16"/>
              </w:rPr>
              <w:t>2,547</w:t>
            </w:r>
          </w:p>
        </w:tc>
        <w:tc>
          <w:tcPr>
            <w:tcW w:w="1076" w:type="dxa"/>
            <w:tcBorders>
              <w:left w:val="nil"/>
              <w:bottom w:val="single" w:sz="4" w:space="0" w:color="FFFFFF"/>
              <w:right w:val="single" w:sz="4" w:space="0" w:color="DF2F1E"/>
            </w:tcBorders>
            <w:shd w:val="clear" w:color="auto" w:fill="F4C9C9"/>
          </w:tcPr>
          <w:p>
            <w:pPr>
              <w:pStyle w:val="TableParagraph"/>
              <w:ind w:right="330"/>
              <w:jc w:val="right"/>
              <w:rPr>
                <w:i/>
                <w:sz w:val="16"/>
              </w:rPr>
            </w:pPr>
            <w:r>
              <w:rPr>
                <w:i/>
                <w:color w:val="404040"/>
                <w:sz w:val="16"/>
              </w:rPr>
              <w:t>3,699</w:t>
            </w:r>
          </w:p>
        </w:tc>
        <w:tc>
          <w:tcPr>
            <w:tcW w:w="1419" w:type="dxa"/>
            <w:tcBorders>
              <w:left w:val="single" w:sz="4" w:space="0" w:color="DF2F1E"/>
              <w:bottom w:val="single" w:sz="4" w:space="0" w:color="FFFFFF"/>
              <w:right w:val="single" w:sz="4" w:space="0" w:color="DF2F1E"/>
            </w:tcBorders>
            <w:shd w:val="clear" w:color="auto" w:fill="F4C9C9"/>
          </w:tcPr>
          <w:p>
            <w:pPr>
              <w:pStyle w:val="TableParagraph"/>
              <w:ind w:left="154" w:right="154"/>
              <w:jc w:val="center"/>
              <w:rPr>
                <w:i/>
                <w:sz w:val="16"/>
              </w:rPr>
            </w:pPr>
            <w:r>
              <w:rPr>
                <w:i/>
                <w:color w:val="404040"/>
                <w:sz w:val="16"/>
              </w:rPr>
              <w:t>+1,152 (+45%)</w:t>
            </w:r>
          </w:p>
        </w:tc>
        <w:tc>
          <w:tcPr>
            <w:tcW w:w="1417" w:type="dxa"/>
            <w:tcBorders>
              <w:left w:val="single" w:sz="4" w:space="0" w:color="DF2F1E"/>
              <w:bottom w:val="single" w:sz="4" w:space="0" w:color="FFFFFF"/>
              <w:right w:val="nil"/>
            </w:tcBorders>
            <w:shd w:val="clear" w:color="auto" w:fill="F4C9C9"/>
          </w:tcPr>
          <w:p>
            <w:pPr>
              <w:pStyle w:val="TableParagraph"/>
              <w:ind w:left="237"/>
              <w:rPr>
                <w:i/>
                <w:sz w:val="16"/>
              </w:rPr>
            </w:pPr>
            <w:r>
              <w:rPr>
                <w:i/>
                <w:color w:val="404040"/>
                <w:sz w:val="16"/>
              </w:rPr>
              <w:t>+841 (+56%)</w:t>
            </w:r>
          </w:p>
        </w:tc>
        <w:tc>
          <w:tcPr>
            <w:tcW w:w="1419" w:type="dxa"/>
            <w:tcBorders>
              <w:left w:val="nil"/>
              <w:bottom w:val="single" w:sz="4" w:space="0" w:color="FFFFFF"/>
              <w:right w:val="single" w:sz="4" w:space="0" w:color="DF2F1E"/>
            </w:tcBorders>
            <w:shd w:val="clear" w:color="auto" w:fill="F4C9C9"/>
          </w:tcPr>
          <w:p>
            <w:pPr>
              <w:pStyle w:val="TableParagraph"/>
              <w:ind w:right="241"/>
              <w:jc w:val="right"/>
              <w:rPr>
                <w:i/>
                <w:sz w:val="16"/>
              </w:rPr>
            </w:pPr>
            <w:r>
              <w:rPr>
                <w:i/>
                <w:color w:val="404040"/>
                <w:sz w:val="16"/>
              </w:rPr>
              <w:t>+311 (+30%)</w:t>
            </w:r>
          </w:p>
        </w:tc>
        <w:tc>
          <w:tcPr>
            <w:tcW w:w="909" w:type="dxa"/>
            <w:tcBorders>
              <w:left w:val="single" w:sz="4" w:space="0" w:color="DF2F1E"/>
              <w:bottom w:val="single" w:sz="4" w:space="0" w:color="FFFFFF"/>
              <w:right w:val="nil"/>
            </w:tcBorders>
            <w:shd w:val="clear" w:color="auto" w:fill="F4C9C9"/>
          </w:tcPr>
          <w:p>
            <w:pPr>
              <w:pStyle w:val="TableParagraph"/>
              <w:ind w:left="356"/>
              <w:rPr>
                <w:i/>
                <w:sz w:val="16"/>
              </w:rPr>
            </w:pPr>
            <w:r>
              <w:rPr>
                <w:i/>
                <w:color w:val="404040"/>
                <w:sz w:val="16"/>
              </w:rPr>
              <w:t>33</w:t>
            </w:r>
          </w:p>
        </w:tc>
      </w:tr>
      <w:tr>
        <w:trPr>
          <w:trHeight w:val="453" w:hRule="atLeast"/>
        </w:trPr>
        <w:tc>
          <w:tcPr>
            <w:tcW w:w="2494" w:type="dxa"/>
            <w:tcBorders>
              <w:top w:val="single" w:sz="4" w:space="0" w:color="FFFFFF"/>
              <w:left w:val="nil"/>
              <w:bottom w:val="nil"/>
              <w:right w:val="single" w:sz="4" w:space="0" w:color="DF2F1E"/>
            </w:tcBorders>
            <w:shd w:val="clear" w:color="auto" w:fill="DF2528"/>
          </w:tcPr>
          <w:p>
            <w:pPr>
              <w:pStyle w:val="TableParagraph"/>
              <w:spacing w:before="34"/>
              <w:ind w:left="112" w:right="907"/>
              <w:rPr>
                <w:b/>
                <w:sz w:val="16"/>
              </w:rPr>
            </w:pPr>
            <w:r>
              <w:rPr>
                <w:b/>
                <w:color w:val="FFFFFF"/>
                <w:sz w:val="16"/>
              </w:rPr>
              <w:t>Australian resident population</w:t>
            </w:r>
          </w:p>
        </w:tc>
        <w:tc>
          <w:tcPr>
            <w:tcW w:w="1078" w:type="dxa"/>
            <w:tcBorders>
              <w:top w:val="single" w:sz="4" w:space="0" w:color="FFFFFF"/>
              <w:left w:val="single" w:sz="4" w:space="0" w:color="DF2F1E"/>
              <w:bottom w:val="nil"/>
              <w:right w:val="nil"/>
            </w:tcBorders>
            <w:shd w:val="clear" w:color="auto" w:fill="DF2528"/>
          </w:tcPr>
          <w:p>
            <w:pPr>
              <w:pStyle w:val="TableParagraph"/>
              <w:spacing w:before="34"/>
              <w:ind w:right="337"/>
              <w:jc w:val="right"/>
              <w:rPr>
                <w:b/>
                <w:sz w:val="16"/>
              </w:rPr>
            </w:pPr>
            <w:r>
              <w:rPr>
                <w:b/>
                <w:color w:val="FFFFFF"/>
                <w:sz w:val="16"/>
              </w:rPr>
              <w:t>4,681</w:t>
            </w:r>
          </w:p>
        </w:tc>
        <w:tc>
          <w:tcPr>
            <w:tcW w:w="1076" w:type="dxa"/>
            <w:tcBorders>
              <w:top w:val="single" w:sz="4" w:space="0" w:color="FFFFFF"/>
              <w:left w:val="nil"/>
              <w:bottom w:val="nil"/>
              <w:right w:val="single" w:sz="4" w:space="0" w:color="DF2F1E"/>
            </w:tcBorders>
            <w:shd w:val="clear" w:color="auto" w:fill="DF2528"/>
          </w:tcPr>
          <w:p>
            <w:pPr>
              <w:pStyle w:val="TableParagraph"/>
              <w:spacing w:before="34"/>
              <w:ind w:right="330"/>
              <w:jc w:val="right"/>
              <w:rPr>
                <w:b/>
                <w:sz w:val="16"/>
              </w:rPr>
            </w:pPr>
            <w:r>
              <w:rPr>
                <w:b/>
                <w:color w:val="FFFFFF"/>
                <w:sz w:val="16"/>
              </w:rPr>
              <w:t>6,298</w:t>
            </w:r>
          </w:p>
        </w:tc>
        <w:tc>
          <w:tcPr>
            <w:tcW w:w="1419" w:type="dxa"/>
            <w:tcBorders>
              <w:top w:val="single" w:sz="4" w:space="0" w:color="FFFFFF"/>
              <w:left w:val="single" w:sz="4" w:space="0" w:color="DF2F1E"/>
              <w:bottom w:val="nil"/>
              <w:right w:val="single" w:sz="4" w:space="0" w:color="DF2F1E"/>
            </w:tcBorders>
            <w:shd w:val="clear" w:color="auto" w:fill="DF2528"/>
          </w:tcPr>
          <w:p>
            <w:pPr>
              <w:pStyle w:val="TableParagraph"/>
              <w:spacing w:before="34"/>
              <w:ind w:left="154" w:right="155"/>
              <w:jc w:val="center"/>
              <w:rPr>
                <w:b/>
                <w:sz w:val="16"/>
              </w:rPr>
            </w:pPr>
            <w:r>
              <w:rPr>
                <w:b/>
                <w:color w:val="FFFFFF"/>
                <w:sz w:val="16"/>
              </w:rPr>
              <w:t>+1,617 (+35%)</w:t>
            </w:r>
          </w:p>
        </w:tc>
        <w:tc>
          <w:tcPr>
            <w:tcW w:w="1417" w:type="dxa"/>
            <w:tcBorders>
              <w:top w:val="single" w:sz="4" w:space="0" w:color="FFFFFF"/>
              <w:left w:val="single" w:sz="4" w:space="0" w:color="DF2F1E"/>
              <w:bottom w:val="nil"/>
              <w:right w:val="single" w:sz="4" w:space="0" w:color="DF2F1E"/>
            </w:tcBorders>
            <w:shd w:val="clear" w:color="auto" w:fill="DF2528"/>
          </w:tcPr>
          <w:p>
            <w:pPr>
              <w:pStyle w:val="TableParagraph"/>
              <w:spacing w:before="34"/>
              <w:ind w:left="170"/>
              <w:rPr>
                <w:b/>
                <w:sz w:val="16"/>
              </w:rPr>
            </w:pPr>
            <w:r>
              <w:rPr>
                <w:b/>
                <w:color w:val="FFFFFF"/>
                <w:sz w:val="16"/>
              </w:rPr>
              <w:t>+1,163 (+44%)</w:t>
            </w:r>
          </w:p>
        </w:tc>
        <w:tc>
          <w:tcPr>
            <w:tcW w:w="1419" w:type="dxa"/>
            <w:tcBorders>
              <w:top w:val="single" w:sz="4" w:space="0" w:color="FFFFFF"/>
              <w:left w:val="single" w:sz="4" w:space="0" w:color="DF2F1E"/>
              <w:bottom w:val="nil"/>
              <w:right w:val="single" w:sz="4" w:space="0" w:color="DF2F1E"/>
            </w:tcBorders>
            <w:shd w:val="clear" w:color="auto" w:fill="DF2528"/>
          </w:tcPr>
          <w:p>
            <w:pPr>
              <w:pStyle w:val="TableParagraph"/>
              <w:spacing w:before="34"/>
              <w:ind w:right="243"/>
              <w:jc w:val="right"/>
              <w:rPr>
                <w:b/>
                <w:sz w:val="16"/>
              </w:rPr>
            </w:pPr>
            <w:r>
              <w:rPr>
                <w:b/>
                <w:color w:val="FFFFFF"/>
                <w:sz w:val="16"/>
              </w:rPr>
              <w:t>+454 (+22%)</w:t>
            </w:r>
          </w:p>
        </w:tc>
        <w:tc>
          <w:tcPr>
            <w:tcW w:w="909" w:type="dxa"/>
            <w:tcBorders>
              <w:top w:val="single" w:sz="4" w:space="0" w:color="FFFFFF"/>
              <w:left w:val="single" w:sz="4" w:space="0" w:color="DF2F1E"/>
              <w:bottom w:val="nil"/>
              <w:right w:val="single" w:sz="4" w:space="0" w:color="DF2F1E"/>
            </w:tcBorders>
            <w:shd w:val="clear" w:color="auto" w:fill="DF2528"/>
          </w:tcPr>
          <w:p>
            <w:pPr>
              <w:pStyle w:val="TableParagraph"/>
              <w:spacing w:before="34"/>
              <w:ind w:left="356"/>
              <w:rPr>
                <w:b/>
                <w:sz w:val="16"/>
              </w:rPr>
            </w:pPr>
            <w:r>
              <w:rPr>
                <w:b/>
                <w:color w:val="FFFFFF"/>
                <w:sz w:val="16"/>
              </w:rPr>
              <w:t>39</w:t>
            </w:r>
          </w:p>
        </w:tc>
      </w:tr>
    </w:tbl>
    <w:p>
      <w:pPr>
        <w:pStyle w:val="BodyText"/>
        <w:spacing w:before="122"/>
        <w:ind w:left="900" w:right="1242"/>
      </w:pPr>
      <w:r>
        <w:rPr>
          <w:color w:val="404040"/>
        </w:rPr>
        <w:t>This rebasing restates the total lifetime cost at the June 2017 valuation to be $6,298 billion. This is consistent with the impact shown in the June 2017 report as part of the sensitivity testing of model assumptions.</w:t>
      </w:r>
    </w:p>
    <w:p>
      <w:pPr>
        <w:pStyle w:val="BodyText"/>
        <w:spacing w:before="121"/>
        <w:ind w:left="900" w:right="1399" w:hanging="1"/>
      </w:pPr>
      <w:r>
        <w:rPr>
          <w:color w:val="404040"/>
        </w:rPr>
        <w:t>As can be seen the impact is greater on the lifetime cost assessed for future Age Pension payments, with a 44% increase seen on the Age Pension component of the lifetime cost compared to a 22% increase on the other components. Additionally the impact is greater for the younger population segments; for example, the impact for the rest of the population (average age 28) is 49%. This is because in both of these cases the payments are, on average, further into the future and thus impacted more by the change in discount rate.</w:t>
      </w:r>
    </w:p>
    <w:p>
      <w:pPr>
        <w:pStyle w:val="BodyText"/>
        <w:spacing w:before="120"/>
        <w:ind w:left="900" w:right="1165"/>
      </w:pPr>
      <w:r>
        <w:rPr>
          <w:color w:val="404040"/>
        </w:rPr>
        <w:t>Looking by class, the impact of this rebasing is larger for the non income support and non welfare classes (+28% to +49%), reflecting the composition of their lifetime cost. The impact is also quite high for the Studying class, as much of the lifetime cost is for Age Pension which will be received many years in the future.</w:t>
      </w:r>
    </w:p>
    <w:p>
      <w:pPr>
        <w:pStyle w:val="BodyText"/>
        <w:spacing w:before="121"/>
        <w:ind w:left="900" w:right="1409"/>
      </w:pPr>
      <w:r>
        <w:rPr>
          <w:color w:val="404040"/>
        </w:rPr>
        <w:t>It should be noted that the discount rate is an external change which has no impact on future cashflows, However, it does have a significant impact on the net present value of these cashflows i.e. the lifetime cost.</w:t>
      </w:r>
    </w:p>
    <w:p>
      <w:pPr>
        <w:pStyle w:val="BodyText"/>
        <w:spacing w:before="9"/>
      </w:pPr>
    </w:p>
    <w:p>
      <w:pPr>
        <w:pStyle w:val="Heading4"/>
      </w:pPr>
      <w:bookmarkStart w:name="Change in overall lifetime cost" w:id="144"/>
      <w:bookmarkEnd w:id="144"/>
      <w:r>
        <w:rPr/>
      </w:r>
      <w:r>
        <w:rPr>
          <w:color w:val="DF2F28"/>
        </w:rPr>
        <w:t>Change in overall lifetime cost</w:t>
      </w:r>
    </w:p>
    <w:p>
      <w:pPr>
        <w:pStyle w:val="BodyText"/>
        <w:spacing w:before="119"/>
        <w:ind w:left="899" w:right="1155"/>
      </w:pPr>
      <w:r>
        <w:rPr>
          <w:color w:val="404040"/>
        </w:rPr>
        <w:t>Relative to the June 2017 rebased lifetime cost of $6,298bn, the total lifetime cost at this valuation has </w:t>
      </w:r>
      <w:r>
        <w:rPr>
          <w:b/>
          <w:color w:val="404040"/>
        </w:rPr>
        <w:t>decreased by approximately $636bn (10.1%). </w:t>
      </w:r>
      <w:r>
        <w:rPr>
          <w:color w:val="404040"/>
        </w:rPr>
        <w:t>The largest contributors to this decrease are the lower projected utilisation of welfare, in response to the update for recent experience, as well as an update of the</w:t>
      </w:r>
    </w:p>
    <w:p>
      <w:pPr>
        <w:spacing w:after="0"/>
        <w:sectPr>
          <w:pgSz w:w="11910" w:h="16850"/>
          <w:pgMar w:header="572" w:footer="581" w:top="780" w:bottom="780" w:left="120" w:right="0"/>
        </w:sectPr>
      </w:pPr>
    </w:p>
    <w:p>
      <w:pPr>
        <w:pStyle w:val="BodyText"/>
      </w:pPr>
    </w:p>
    <w:p>
      <w:pPr>
        <w:pStyle w:val="BodyText"/>
      </w:pPr>
    </w:p>
    <w:p>
      <w:pPr>
        <w:pStyle w:val="BodyText"/>
        <w:spacing w:before="7"/>
        <w:rPr>
          <w:sz w:val="21"/>
        </w:rPr>
      </w:pPr>
    </w:p>
    <w:p>
      <w:pPr>
        <w:pStyle w:val="BodyText"/>
        <w:spacing w:before="93"/>
        <w:ind w:left="900" w:right="1497"/>
      </w:pPr>
      <w:r>
        <w:rPr>
          <w:color w:val="404040"/>
        </w:rPr>
        <w:t>projected use of Age Pension. These have been partially offset by increases due to population growth and inflation over the year. The factors contributing to this change are shown below.</w:t>
      </w:r>
    </w:p>
    <w:p>
      <w:pPr>
        <w:pStyle w:val="Heading9"/>
        <w:spacing w:before="176"/>
      </w:pPr>
      <w:r>
        <w:rPr>
          <w:color w:val="DF2F1E"/>
        </w:rPr>
        <w:t>Figure 38: Explanation of change in lifetime cost (relative to June 2017 – rebased)</w:t>
      </w:r>
    </w:p>
    <w:p>
      <w:pPr>
        <w:pStyle w:val="BodyText"/>
        <w:spacing w:before="8"/>
        <w:rPr>
          <w:b/>
          <w:sz w:val="10"/>
        </w:rPr>
      </w:pPr>
    </w:p>
    <w:p>
      <w:pPr>
        <w:tabs>
          <w:tab w:pos="10769" w:val="left" w:leader="none"/>
        </w:tabs>
        <w:spacing w:before="1"/>
        <w:ind w:left="1284" w:right="0" w:firstLine="0"/>
        <w:jc w:val="left"/>
        <w:rPr>
          <w:rFonts w:ascii="Calibri"/>
          <w:sz w:val="10"/>
        </w:rPr>
      </w:pPr>
      <w:r>
        <w:rPr>
          <w:rFonts w:ascii="Calibri"/>
          <w:w w:val="105"/>
          <w:sz w:val="10"/>
        </w:rPr>
        <w:t>+$400bn</w:t>
      </w:r>
      <w:r>
        <w:rPr>
          <w:rFonts w:ascii="Calibri"/>
          <w:sz w:val="10"/>
        </w:rPr>
        <w:t>   </w:t>
      </w:r>
      <w:r>
        <w:rPr>
          <w:rFonts w:ascii="Calibri"/>
          <w:spacing w:val="8"/>
          <w:sz w:val="10"/>
        </w:rPr>
        <w:t> </w:t>
      </w:r>
      <w:r>
        <w:rPr>
          <w:rFonts w:ascii="Calibri"/>
          <w:w w:val="107"/>
          <w:sz w:val="10"/>
          <w:u w:val="single" w:color="D9D9D9"/>
        </w:rPr>
        <w:t> </w:t>
      </w:r>
      <w:r>
        <w:rPr>
          <w:rFonts w:ascii="Calibri"/>
          <w:sz w:val="10"/>
          <w:u w:val="single" w:color="D9D9D9"/>
        </w:rPr>
        <w:tab/>
      </w:r>
    </w:p>
    <w:p>
      <w:pPr>
        <w:pStyle w:val="BodyText"/>
        <w:spacing w:before="6"/>
        <w:rPr>
          <w:rFonts w:ascii="Calibri"/>
          <w:sz w:val="10"/>
        </w:rPr>
      </w:pPr>
    </w:p>
    <w:p>
      <w:pPr>
        <w:spacing w:before="85"/>
        <w:ind w:left="1284" w:right="0" w:firstLine="0"/>
        <w:jc w:val="left"/>
        <w:rPr>
          <w:rFonts w:ascii="Calibri"/>
          <w:sz w:val="10"/>
        </w:rPr>
      </w:pPr>
      <w:r>
        <w:rPr/>
        <w:pict>
          <v:group style="position:absolute;margin-left:94.262451pt;margin-top:-2.044091pt;width:450.45pt;height:167.15pt;mso-position-horizontal-relative:page;mso-position-vertical-relative:paragraph;z-index:252081152" coordorigin="1885,-41" coordsize="9009,3343">
            <v:shape style="position:absolute;left:6911;top:1493;width:3979;height:1679" coordorigin="6911,1493" coordsize="3979,1679" path="m10666,3172l10890,3172m9916,3172l10365,3172m10666,2837l10890,2837m9167,2837l10365,2837m10666,2503l10890,2503m6911,2503l10365,2503m10666,2169l10890,2169m6911,2169l10365,2169m10666,1828l10890,1828m6911,1828l10365,1828m10666,1493l10890,1493m6911,1493l10365,1493e" filled="false" stroked="true" strokeweight=".334291pt" strokecolor="#d9d9d9">
              <v:path arrowok="t"/>
              <v:stroke dashstyle="solid"/>
            </v:shape>
            <v:rect style="position:absolute;left:10364;top:1155;width:302;height:2140" filled="true" fillcolor="#bebebe" stroked="false">
              <v:fill type="solid"/>
            </v:rect>
            <v:shape style="position:absolute;left:1888;top:824;width:9002;height:1679" coordorigin="1889,825" coordsize="9002,1679" path="m1889,2503l6617,2503m1889,2169l6617,2169m1889,1828l6617,1828m1889,1493l6617,1493m6162,825l10890,825m2414,825l5861,825m1889,825l2113,825e" filled="false" stroked="true" strokeweight=".334291pt" strokecolor="#d9d9d9">
              <v:path arrowok="t"/>
              <v:stroke dashstyle="solid"/>
            </v:shape>
            <v:rect style="position:absolute;left:2112;top:741;width:302;height:415" filled="true" fillcolor="#e6b8b8" stroked="false">
              <v:fill type="solid"/>
            </v:rect>
            <v:shape style="position:absolute;left:1888;top:149;width:3972;height:335" coordorigin="1889,150" coordsize="3972,335" path="m3164,484l5861,484m1889,484l2862,484m3164,150l5111,150m1889,150l2862,150e" filled="false" stroked="true" strokeweight=".334291pt" strokecolor="#d9d9d9">
              <v:path arrowok="t"/>
              <v:stroke dashstyle="solid"/>
            </v:shape>
            <v:rect style="position:absolute;left:2862;top:-35;width:302;height:776" filled="true" fillcolor="#e6b8b8" stroked="false">
              <v:fill type="solid"/>
            </v:rect>
            <v:line style="position:absolute" from="3612,-28" to="3913,-28" stroked="true" strokeweight=".668575pt" strokecolor="#c3d59b">
              <v:stroke dashstyle="solid"/>
            </v:line>
            <v:line style="position:absolute" from="4361,36" to="4663,36" stroked="true" strokeweight="5.682906pt" strokecolor="#c3d59b">
              <v:stroke dashstyle="solid"/>
            </v:line>
            <v:line style="position:absolute" from="5412,150" to="10890,150" stroked="true" strokeweight=".334291pt" strokecolor="#d9d9d9">
              <v:stroke dashstyle="solid"/>
            </v:line>
            <v:rect style="position:absolute;left:5111;top:92;width:302;height:388" filled="true" fillcolor="#c3d59b" stroked="false">
              <v:fill type="solid"/>
            </v:rect>
            <v:line style="position:absolute" from="6162,484" to="10890,484" stroked="true" strokeweight=".334291pt" strokecolor="#d9d9d9">
              <v:stroke dashstyle="solid"/>
            </v:line>
            <v:rect style="position:absolute;left:5860;top:480;width:302;height:676" filled="true" fillcolor="#c3d59b" stroked="false">
              <v:fill type="solid"/>
            </v:rect>
            <v:rect style="position:absolute;left:5860;top:1155;width:302;height:67" filled="true" fillcolor="#c3d59b" stroked="false">
              <v:fill type="solid"/>
            </v:rect>
            <v:rect style="position:absolute;left:6616;top:1222;width:295;height:1304" filled="true" fillcolor="#c3d59b" stroked="false">
              <v:fill type="solid"/>
            </v:rect>
            <v:line style="position:absolute" from="7366,2593" to="7668,2593" stroked="true" strokeweight="6.68575pt" strokecolor="#c3d59b">
              <v:stroke dashstyle="solid"/>
            </v:line>
            <v:line style="position:absolute" from="1889,2837" to="8866,2837" stroked="true" strokeweight=".334291pt" strokecolor="#d9d9d9">
              <v:stroke dashstyle="solid"/>
            </v:line>
            <v:line style="position:absolute" from="8116,2727" to="8417,2727" stroked="true" strokeweight="6.68575pt" strokecolor="#c3d59b">
              <v:stroke dashstyle="solid"/>
            </v:line>
            <v:rect style="position:absolute;left:8865;top:2793;width:302;height:181" filled="true" fillcolor="#c3d59b" stroked="false">
              <v:fill type="solid"/>
            </v:rect>
            <v:line style="position:absolute" from="1889,3172" to="9615,3172" stroked="true" strokeweight=".334291pt" strokecolor="#d9d9d9">
              <v:stroke dashstyle="solid"/>
            </v:line>
            <v:rect style="position:absolute;left:9615;top:2974;width:302;height:321" filled="true" fillcolor="#c3d59b" stroked="false">
              <v:fill type="solid"/>
            </v:rect>
            <v:line style="position:absolute" from="1889,1159" to="10890,1159" stroked="true" strokeweight=".334294pt" strokecolor="#d9d9d9">
              <v:stroke dashstyle="solid"/>
            </v:line>
            <v:shape style="position:absolute;left:0;top:11674;width:629540;height:2341" coordorigin="0,11674" coordsize="629540,2341" path="m1889,1159l1889,1193m2638,1159l2638,1193m3388,1159l3388,1193m4137,1159l4137,1193m4887,1159l4887,1193m5636,1159l5636,1193m6386,1159l6386,1193m7142,1159l7142,1193m7892,1159l7892,1193m8641,1159l8641,1193m9391,1159l9391,1193m10140,1159l10140,1193m10890,1159l10890,1193e" filled="false" stroked="true" strokeweight=".334457pt" strokecolor="#d9d9d9">
              <v:path arrowok="t"/>
              <v:stroke dashstyle="solid"/>
            </v:shape>
            <v:shape style="position:absolute;left:0;top:14014;width:636896;height:137900" coordorigin="0,14014" coordsize="636896,137900" path="m2263,745l3013,745m4512,96l5262,96e" filled="false" stroked="true" strokeweight="1.003365pt" strokecolor="#bebebe">
              <v:path arrowok="t"/>
              <v:stroke dashstyle="solid"/>
            </v:shape>
            <v:shape style="position:absolute;left:0;top:-94843;width:641685;height:108858" coordorigin="0,-94843" coordsize="641685,108858" path="m3013,-31l3762,-31m5262,477l6011,477e" filled="false" stroked="true" strokeweight="1.00336pt" strokecolor="#bebebe">
              <v:path arrowok="t"/>
              <v:stroke dashstyle="solid"/>
            </v:shape>
            <v:line style="position:absolute" from="3762,-17" to="4512,-17" stroked="true" strokeweight="1.002896pt" strokecolor="#bebebe">
              <v:stroke dashstyle="solid"/>
            </v:line>
            <v:shape style="position:absolute;left:0;top:-82679;width:647989;height:96694" coordorigin="0,-82679" coordsize="647989,96694" path="m6761,2523l7517,2523m9016,2971l9766,2971e" filled="false" stroked="true" strokeweight="1.00336pt" strokecolor="#bebebe">
              <v:path arrowok="t"/>
              <v:stroke dashstyle="solid"/>
            </v:shape>
            <v:shape style="position:absolute;left:0;top:-121042;width:636896;height:135056" coordorigin="0,-121041" coordsize="636896,135056" path="m7517,2657l8267,2657m9766,3292l10515,3292e" filled="false" stroked="true" strokeweight="1.003365pt" strokecolor="#bebebe">
              <v:path arrowok="t"/>
              <v:stroke dashstyle="solid"/>
            </v:shape>
            <v:shape style="position:absolute;left:0;top:-287182;width:577936;height:301196" coordorigin="0,-287181" coordsize="577936,301196" path="m6011,1226l6761,1226m8267,2791l9016,2791e" filled="false" stroked="true" strokeweight="1.003367pt" strokecolor="#bebebe">
              <v:path arrowok="t"/>
              <v:stroke dashstyle="solid"/>
            </v:shape>
            <v:line style="position:absolute" from="5881,1136" to="6160,1136" stroked="true" strokeweight="1.14987pt" strokecolor="#c3d59b">
              <v:stroke dashstyle="solid"/>
            </v:line>
            <w10:wrap type="none"/>
          </v:group>
        </w:pict>
      </w:r>
      <w:r>
        <w:rPr>
          <w:rFonts w:ascii="Calibri"/>
          <w:w w:val="105"/>
          <w:sz w:val="10"/>
        </w:rPr>
        <w:t>+$300bn</w:t>
      </w:r>
    </w:p>
    <w:p>
      <w:pPr>
        <w:pStyle w:val="BodyText"/>
        <w:spacing w:before="7"/>
        <w:rPr>
          <w:rFonts w:ascii="Calibri"/>
          <w:sz w:val="10"/>
        </w:rPr>
      </w:pPr>
    </w:p>
    <w:p>
      <w:pPr>
        <w:spacing w:before="85"/>
        <w:ind w:left="1284" w:right="0" w:firstLine="0"/>
        <w:jc w:val="left"/>
        <w:rPr>
          <w:rFonts w:ascii="Calibri"/>
          <w:sz w:val="10"/>
        </w:rPr>
      </w:pPr>
      <w:r>
        <w:rPr>
          <w:rFonts w:ascii="Calibri"/>
          <w:w w:val="105"/>
          <w:sz w:val="10"/>
        </w:rPr>
        <w:t>+$200bn</w:t>
      </w:r>
    </w:p>
    <w:p>
      <w:pPr>
        <w:pStyle w:val="BodyText"/>
        <w:spacing w:before="7"/>
        <w:rPr>
          <w:rFonts w:ascii="Calibri"/>
          <w:sz w:val="10"/>
        </w:rPr>
      </w:pPr>
    </w:p>
    <w:p>
      <w:pPr>
        <w:spacing w:before="85"/>
        <w:ind w:left="1284" w:right="0" w:firstLine="0"/>
        <w:jc w:val="left"/>
        <w:rPr>
          <w:rFonts w:ascii="Calibri"/>
          <w:sz w:val="10"/>
        </w:rPr>
      </w:pPr>
      <w:r>
        <w:rPr>
          <w:rFonts w:ascii="Calibri"/>
          <w:w w:val="105"/>
          <w:sz w:val="10"/>
        </w:rPr>
        <w:t>+$100bn</w:t>
      </w:r>
    </w:p>
    <w:p>
      <w:pPr>
        <w:pStyle w:val="BodyText"/>
        <w:spacing w:before="6"/>
        <w:rPr>
          <w:rFonts w:ascii="Calibri"/>
          <w:sz w:val="10"/>
        </w:rPr>
      </w:pPr>
    </w:p>
    <w:p>
      <w:pPr>
        <w:spacing w:before="86"/>
        <w:ind w:left="1635" w:right="0" w:firstLine="0"/>
        <w:jc w:val="left"/>
        <w:rPr>
          <w:rFonts w:ascii="Calibri"/>
          <w:sz w:val="10"/>
        </w:rPr>
      </w:pPr>
      <w:r>
        <w:rPr>
          <w:rFonts w:ascii="Calibri"/>
          <w:w w:val="107"/>
          <w:sz w:val="10"/>
        </w:rPr>
        <w:t>-</w:t>
      </w:r>
    </w:p>
    <w:p>
      <w:pPr>
        <w:pStyle w:val="BodyText"/>
        <w:spacing w:before="6"/>
        <w:rPr>
          <w:rFonts w:ascii="Calibri"/>
          <w:sz w:val="10"/>
        </w:rPr>
      </w:pPr>
    </w:p>
    <w:p>
      <w:pPr>
        <w:spacing w:before="85"/>
        <w:ind w:left="1305" w:right="0" w:firstLine="0"/>
        <w:jc w:val="left"/>
        <w:rPr>
          <w:rFonts w:ascii="Calibri"/>
          <w:sz w:val="10"/>
        </w:rPr>
      </w:pPr>
      <w:r>
        <w:rPr>
          <w:rFonts w:ascii="Calibri"/>
          <w:w w:val="105"/>
          <w:sz w:val="10"/>
        </w:rPr>
        <w:t>-$100bn</w:t>
      </w:r>
    </w:p>
    <w:p>
      <w:pPr>
        <w:pStyle w:val="BodyText"/>
        <w:spacing w:before="7"/>
        <w:rPr>
          <w:rFonts w:ascii="Calibri"/>
          <w:sz w:val="10"/>
        </w:rPr>
      </w:pPr>
    </w:p>
    <w:p>
      <w:pPr>
        <w:spacing w:before="85"/>
        <w:ind w:left="1305" w:right="0" w:firstLine="0"/>
        <w:jc w:val="left"/>
        <w:rPr>
          <w:rFonts w:ascii="Calibri"/>
          <w:sz w:val="10"/>
        </w:rPr>
      </w:pPr>
      <w:r>
        <w:rPr>
          <w:rFonts w:ascii="Calibri"/>
          <w:w w:val="105"/>
          <w:sz w:val="10"/>
        </w:rPr>
        <w:t>-$200bn</w:t>
      </w:r>
    </w:p>
    <w:p>
      <w:pPr>
        <w:pStyle w:val="BodyText"/>
        <w:spacing w:before="7"/>
        <w:rPr>
          <w:rFonts w:ascii="Calibri"/>
          <w:sz w:val="10"/>
        </w:rPr>
      </w:pPr>
    </w:p>
    <w:p>
      <w:pPr>
        <w:spacing w:before="85"/>
        <w:ind w:left="1305" w:right="0" w:firstLine="0"/>
        <w:jc w:val="left"/>
        <w:rPr>
          <w:rFonts w:ascii="Calibri"/>
          <w:sz w:val="10"/>
        </w:rPr>
      </w:pPr>
      <w:r>
        <w:rPr>
          <w:rFonts w:ascii="Calibri"/>
          <w:w w:val="105"/>
          <w:sz w:val="10"/>
        </w:rPr>
        <w:t>-$300bn</w:t>
      </w:r>
    </w:p>
    <w:p>
      <w:pPr>
        <w:pStyle w:val="BodyText"/>
        <w:spacing w:before="6"/>
        <w:rPr>
          <w:rFonts w:ascii="Calibri"/>
          <w:sz w:val="10"/>
        </w:rPr>
      </w:pPr>
    </w:p>
    <w:p>
      <w:pPr>
        <w:spacing w:before="85"/>
        <w:ind w:left="1305" w:right="0" w:firstLine="0"/>
        <w:jc w:val="left"/>
        <w:rPr>
          <w:rFonts w:ascii="Calibri"/>
          <w:sz w:val="10"/>
        </w:rPr>
      </w:pPr>
      <w:r>
        <w:rPr>
          <w:rFonts w:ascii="Calibri"/>
          <w:w w:val="105"/>
          <w:sz w:val="10"/>
        </w:rPr>
        <w:t>-$400bn</w:t>
      </w:r>
    </w:p>
    <w:p>
      <w:pPr>
        <w:pStyle w:val="BodyText"/>
        <w:spacing w:before="7"/>
        <w:rPr>
          <w:rFonts w:ascii="Calibri"/>
          <w:sz w:val="10"/>
        </w:rPr>
      </w:pPr>
    </w:p>
    <w:p>
      <w:pPr>
        <w:spacing w:before="85"/>
        <w:ind w:left="1305" w:right="0" w:firstLine="0"/>
        <w:jc w:val="left"/>
        <w:rPr>
          <w:rFonts w:ascii="Calibri"/>
          <w:sz w:val="10"/>
        </w:rPr>
      </w:pPr>
      <w:r>
        <w:rPr>
          <w:rFonts w:ascii="Calibri"/>
          <w:w w:val="105"/>
          <w:sz w:val="10"/>
        </w:rPr>
        <w:t>-$500bn</w:t>
      </w:r>
    </w:p>
    <w:p>
      <w:pPr>
        <w:pStyle w:val="BodyText"/>
        <w:spacing w:before="7"/>
        <w:rPr>
          <w:rFonts w:ascii="Calibri"/>
          <w:sz w:val="10"/>
        </w:rPr>
      </w:pPr>
    </w:p>
    <w:p>
      <w:pPr>
        <w:spacing w:before="85"/>
        <w:ind w:left="1305" w:right="0" w:firstLine="0"/>
        <w:jc w:val="left"/>
        <w:rPr>
          <w:rFonts w:ascii="Calibri"/>
          <w:sz w:val="10"/>
        </w:rPr>
      </w:pPr>
      <w:r>
        <w:rPr>
          <w:rFonts w:ascii="Calibri"/>
          <w:w w:val="105"/>
          <w:sz w:val="10"/>
        </w:rPr>
        <w:t>-$600bn</w:t>
      </w:r>
    </w:p>
    <w:p>
      <w:pPr>
        <w:pStyle w:val="BodyText"/>
        <w:spacing w:before="7"/>
        <w:rPr>
          <w:rFonts w:ascii="Calibri"/>
          <w:sz w:val="10"/>
        </w:rPr>
      </w:pPr>
    </w:p>
    <w:p>
      <w:pPr>
        <w:spacing w:before="85"/>
        <w:ind w:left="1305" w:right="0" w:firstLine="0"/>
        <w:jc w:val="left"/>
        <w:rPr>
          <w:rFonts w:ascii="Calibri"/>
          <w:sz w:val="10"/>
        </w:rPr>
      </w:pPr>
      <w:r>
        <w:rPr/>
        <w:pict>
          <v:group style="position:absolute;margin-left:94.262451pt;margin-top:7.521852pt;width:450.45pt;height:45.5pt;mso-position-horizontal-relative:page;mso-position-vertical-relative:paragraph;z-index:252080128" coordorigin="1885,150" coordsize="9009,910">
            <v:line style="position:absolute" from="1889,154" to="10890,154" stroked="true" strokeweight=".334291pt" strokecolor="#d9d9d9">
              <v:stroke dashstyle="solid"/>
            </v:line>
            <v:shape style="position:absolute;left:0;top:-168143;width:629540;height:14042" coordorigin="0,-168143" coordsize="629540,14042" path="m1889,154l1889,354m2638,154l2638,354m3388,154l3388,354m4137,154l4137,354m4887,154l4887,354m5636,154l5636,354m6386,154l6386,354m7142,154l7142,354m7892,154l7892,354m8641,154l8641,354m9391,154l9391,354m10140,154l10140,354m10890,154l10890,354e" filled="false" stroked="true" strokeweight=".334457pt" strokecolor="#d9d9d9">
              <v:path arrowok="t"/>
              <v:stroke dashstyle="solid"/>
            </v:shape>
            <v:shape style="position:absolute;left:0;top:-23363;width:653629;height:34018" coordorigin="0,-23362" coordsize="653629,34018" path="m1889,354l1889,822m2638,354l2638,822m3388,354l3388,822m4137,354l4137,822m4887,354l4887,822m5636,354l5636,822m6386,354l6386,822m7142,354l7142,822m7892,354l7892,822m8641,354l8641,822m9391,354l9391,822m10140,354l10140,822m10890,354l10890,822e" filled="false" stroked="true" strokeweight=".33445pt" strokecolor="#d9d9d9">
              <v:path arrowok="t"/>
              <v:stroke dashstyle="solid"/>
            </v:shape>
            <v:shape style="position:absolute;left:0;top:-4410;width:653629;height:15066" coordorigin="0,-4409" coordsize="653629,15066" path="m1889,822l1889,1030m3388,822l3388,1030m4137,822l4137,1030m10140,822l10140,1030m10890,822l10890,1030e" filled="false" stroked="true" strokeweight=".33445pt" strokecolor="#d9d9d9">
              <v:path arrowok="t"/>
              <v:stroke dashstyle="solid"/>
            </v:shape>
            <v:shape style="position:absolute;left:1925;top:819;width:8935;height:241" coordorigin="1925,819" coordsize="8935,241" path="m3344,859l3341,844,3332,831,3320,822,3304,819,1966,819,1950,822,1937,831,1929,844,1925,859,1925,1020,1929,1035,1937,1048,1950,1057,1966,1060,3304,1060,3320,1057,3332,1048,3341,1035,3344,1020,3344,859m4127,859l4124,844,4115,831,4103,822,4087,819,3451,819,3436,822,3423,831,3414,844,3411,859,3411,1020,3414,1035,3423,1048,3436,1057,3451,1060,4087,1060,4103,1057,4115,1048,4124,1035,4127,1020,4127,859m10104,859l10100,844,10092,831,10079,822,10063,819,4208,819,4192,822,4179,831,4171,844,4167,859,4167,1020,4171,1035,4179,1048,4192,1057,4208,1060,10063,1060,10079,1057,10092,1048,10100,1035,10104,1020,10104,859m10860,859l10857,844,10848,831,10835,822,10820,819,10237,819,10222,822,10209,831,10200,844,10197,859,10197,1020,10200,1035,10209,1048,10222,1057,10237,1060,10820,1060,10835,1057,10848,1048,10857,1035,10860,1020,10860,859e" filled="true" fillcolor="#a6a6a6" stroked="false">
              <v:path arrowok="t"/>
              <v:fill opacity="29555f" type="solid"/>
            </v:shape>
            <v:shape style="position:absolute;left:1996;top:239;width:553;height:574" type="#_x0000_t202" filled="false" stroked="false">
              <v:textbox inset="0,0,0,0">
                <w:txbxContent>
                  <w:p>
                    <w:pPr>
                      <w:spacing w:line="107" w:lineRule="exact" w:before="0"/>
                      <w:ind w:left="60" w:right="76" w:firstLine="0"/>
                      <w:jc w:val="center"/>
                      <w:rPr>
                        <w:rFonts w:ascii="Calibri"/>
                        <w:sz w:val="10"/>
                      </w:rPr>
                    </w:pPr>
                    <w:r>
                      <w:rPr>
                        <w:rFonts w:ascii="Calibri"/>
                        <w:w w:val="105"/>
                        <w:sz w:val="10"/>
                      </w:rPr>
                      <w:t>+$124bn</w:t>
                    </w:r>
                  </w:p>
                  <w:p>
                    <w:pPr>
                      <w:spacing w:line="256" w:lineRule="auto" w:before="83"/>
                      <w:ind w:left="0" w:right="18" w:hanging="2"/>
                      <w:jc w:val="center"/>
                      <w:rPr>
                        <w:rFonts w:ascii="Calibri"/>
                        <w:sz w:val="10"/>
                      </w:rPr>
                    </w:pPr>
                    <w:r>
                      <w:rPr>
                        <w:rFonts w:ascii="Calibri"/>
                        <w:w w:val="105"/>
                        <w:sz w:val="10"/>
                      </w:rPr>
                      <w:t>Population growth </w:t>
                    </w:r>
                    <w:r>
                      <w:rPr>
                        <w:rFonts w:ascii="Calibri"/>
                        <w:spacing w:val="-4"/>
                        <w:w w:val="105"/>
                        <w:sz w:val="10"/>
                      </w:rPr>
                      <w:t>over </w:t>
                    </w:r>
                    <w:r>
                      <w:rPr>
                        <w:rFonts w:ascii="Calibri"/>
                        <w:w w:val="105"/>
                        <w:sz w:val="10"/>
                      </w:rPr>
                      <w:t>FY17/18</w:t>
                    </w:r>
                  </w:p>
                </w:txbxContent>
              </v:textbox>
              <w10:wrap type="none"/>
            </v:shape>
            <v:shape style="position:absolute;left:2813;top:239;width:418;height:443" type="#_x0000_t202" filled="false" stroked="false">
              <v:textbox inset="0,0,0,0">
                <w:txbxContent>
                  <w:p>
                    <w:pPr>
                      <w:spacing w:line="107" w:lineRule="exact" w:before="0"/>
                      <w:ind w:left="8" w:right="0" w:firstLine="0"/>
                      <w:jc w:val="left"/>
                      <w:rPr>
                        <w:rFonts w:ascii="Calibri"/>
                        <w:sz w:val="10"/>
                      </w:rPr>
                    </w:pPr>
                    <w:r>
                      <w:rPr>
                        <w:rFonts w:ascii="Calibri"/>
                        <w:w w:val="105"/>
                        <w:sz w:val="10"/>
                      </w:rPr>
                      <w:t>+$230bn</w:t>
                    </w:r>
                  </w:p>
                  <w:p>
                    <w:pPr>
                      <w:spacing w:line="256" w:lineRule="auto" w:before="83"/>
                      <w:ind w:left="18" w:right="7" w:hanging="19"/>
                      <w:jc w:val="left"/>
                      <w:rPr>
                        <w:rFonts w:ascii="Calibri"/>
                        <w:sz w:val="10"/>
                      </w:rPr>
                    </w:pPr>
                    <w:r>
                      <w:rPr>
                        <w:rFonts w:ascii="Calibri"/>
                        <w:w w:val="105"/>
                        <w:sz w:val="10"/>
                      </w:rPr>
                      <w:t>Expected inflation</w:t>
                    </w:r>
                  </w:p>
                </w:txbxContent>
              </v:textbox>
              <w10:wrap type="none"/>
            </v:shape>
            <v:shape style="position:absolute;left:3635;top:239;width:278;height:107" type="#_x0000_t202" filled="false" stroked="false">
              <v:textbox inset="0,0,0,0">
                <w:txbxContent>
                  <w:p>
                    <w:pPr>
                      <w:spacing w:line="107" w:lineRule="exact" w:before="0"/>
                      <w:ind w:left="0" w:right="0" w:firstLine="0"/>
                      <w:jc w:val="left"/>
                      <w:rPr>
                        <w:rFonts w:ascii="Calibri"/>
                        <w:sz w:val="10"/>
                      </w:rPr>
                    </w:pPr>
                    <w:r>
                      <w:rPr>
                        <w:rFonts w:ascii="Calibri"/>
                        <w:w w:val="105"/>
                        <w:sz w:val="10"/>
                      </w:rPr>
                      <w:t>-$4bn</w:t>
                    </w:r>
                  </w:p>
                </w:txbxContent>
              </v:textbox>
              <w10:wrap type="none"/>
            </v:shape>
            <v:shape style="position:absolute;left:4359;top:239;width:331;height:107" type="#_x0000_t202" filled="false" stroked="false">
              <v:textbox inset="0,0,0,0">
                <w:txbxContent>
                  <w:p>
                    <w:pPr>
                      <w:spacing w:line="107" w:lineRule="exact" w:before="0"/>
                      <w:ind w:left="0" w:right="0" w:firstLine="0"/>
                      <w:jc w:val="left"/>
                      <w:rPr>
                        <w:rFonts w:ascii="Calibri"/>
                        <w:sz w:val="10"/>
                      </w:rPr>
                    </w:pPr>
                    <w:r>
                      <w:rPr>
                        <w:rFonts w:ascii="Calibri"/>
                        <w:w w:val="105"/>
                        <w:sz w:val="10"/>
                      </w:rPr>
                      <w:t>-$34bn</w:t>
                    </w:r>
                  </w:p>
                </w:txbxContent>
              </v:textbox>
              <w10:wrap type="none"/>
            </v:shape>
            <v:shape style="position:absolute;left:4244;top:574;width:561;height:238" type="#_x0000_t202" filled="false" stroked="false">
              <v:textbox inset="0,0,0,0">
                <w:txbxContent>
                  <w:p>
                    <w:pPr>
                      <w:spacing w:line="107" w:lineRule="exact" w:before="0"/>
                      <w:ind w:left="0" w:right="0" w:firstLine="0"/>
                      <w:jc w:val="left"/>
                      <w:rPr>
                        <w:rFonts w:ascii="Calibri"/>
                        <w:sz w:val="10"/>
                      </w:rPr>
                    </w:pPr>
                    <w:r>
                      <w:rPr>
                        <w:rFonts w:ascii="Calibri"/>
                        <w:w w:val="105"/>
                        <w:sz w:val="10"/>
                      </w:rPr>
                      <w:t>utilisation in</w:t>
                    </w:r>
                  </w:p>
                  <w:p>
                    <w:pPr>
                      <w:spacing w:before="8"/>
                      <w:ind w:left="88" w:right="0" w:firstLine="0"/>
                      <w:jc w:val="left"/>
                      <w:rPr>
                        <w:rFonts w:ascii="Calibri"/>
                        <w:sz w:val="10"/>
                      </w:rPr>
                    </w:pPr>
                    <w:r>
                      <w:rPr>
                        <w:rFonts w:ascii="Calibri"/>
                        <w:w w:val="105"/>
                        <w:sz w:val="10"/>
                      </w:rPr>
                      <w:t>FY17/18</w:t>
                    </w:r>
                  </w:p>
                </w:txbxContent>
              </v:textbox>
              <w10:wrap type="none"/>
            </v:shape>
            <v:shape style="position:absolute;left:4933;top:239;width:682;height:574" type="#_x0000_t202" filled="false" stroked="false">
              <v:textbox inset="0,0,0,0">
                <w:txbxContent>
                  <w:p>
                    <w:pPr>
                      <w:spacing w:line="107" w:lineRule="exact" w:before="0"/>
                      <w:ind w:left="134" w:right="151" w:firstLine="0"/>
                      <w:jc w:val="center"/>
                      <w:rPr>
                        <w:rFonts w:ascii="Calibri"/>
                        <w:sz w:val="10"/>
                      </w:rPr>
                    </w:pPr>
                    <w:r>
                      <w:rPr>
                        <w:rFonts w:ascii="Calibri"/>
                        <w:w w:val="105"/>
                        <w:sz w:val="10"/>
                      </w:rPr>
                      <w:t>-$114bn</w:t>
                    </w:r>
                  </w:p>
                  <w:p>
                    <w:pPr>
                      <w:spacing w:line="256" w:lineRule="auto" w:before="83"/>
                      <w:ind w:left="0" w:right="18" w:hanging="5"/>
                      <w:jc w:val="center"/>
                      <w:rPr>
                        <w:rFonts w:ascii="Calibri"/>
                        <w:sz w:val="10"/>
                      </w:rPr>
                    </w:pPr>
                    <w:r>
                      <w:rPr>
                        <w:rFonts w:ascii="Calibri"/>
                        <w:w w:val="105"/>
                        <w:sz w:val="10"/>
                      </w:rPr>
                      <w:t>Lower future entries into welfare system</w:t>
                    </w:r>
                  </w:p>
                </w:txbxContent>
              </v:textbox>
              <w10:wrap type="none"/>
            </v:shape>
            <v:shape style="position:absolute;left:5832;top:239;width:385;height:107" type="#_x0000_t202" filled="false" stroked="false">
              <v:textbox inset="0,0,0,0">
                <w:txbxContent>
                  <w:p>
                    <w:pPr>
                      <w:spacing w:line="107" w:lineRule="exact" w:before="0"/>
                      <w:ind w:left="0" w:right="0" w:firstLine="0"/>
                      <w:jc w:val="left"/>
                      <w:rPr>
                        <w:rFonts w:ascii="Calibri"/>
                        <w:sz w:val="10"/>
                      </w:rPr>
                    </w:pPr>
                    <w:r>
                      <w:rPr>
                        <w:rFonts w:ascii="Calibri"/>
                        <w:w w:val="105"/>
                        <w:sz w:val="10"/>
                      </w:rPr>
                      <w:t>-$222bn</w:t>
                    </w:r>
                  </w:p>
                </w:txbxContent>
              </v:textbox>
              <w10:wrap type="none"/>
            </v:shape>
            <v:shape style="position:absolute;left:6582;top:239;width:385;height:107" type="#_x0000_t202" filled="false" stroked="false">
              <v:textbox inset="0,0,0,0">
                <w:txbxContent>
                  <w:p>
                    <w:pPr>
                      <w:spacing w:line="107" w:lineRule="exact" w:before="0"/>
                      <w:ind w:left="0" w:right="0" w:firstLine="0"/>
                      <w:jc w:val="left"/>
                      <w:rPr>
                        <w:rFonts w:ascii="Calibri"/>
                        <w:sz w:val="10"/>
                      </w:rPr>
                    </w:pPr>
                    <w:r>
                      <w:rPr>
                        <w:rFonts w:ascii="Calibri"/>
                        <w:w w:val="105"/>
                        <w:sz w:val="10"/>
                      </w:rPr>
                      <w:t>-$387bn</w:t>
                    </w:r>
                  </w:p>
                </w:txbxContent>
              </v:textbox>
              <w10:wrap type="none"/>
            </v:shape>
            <v:shape style="position:absolute;left:7360;top:239;width:331;height:107" type="#_x0000_t202" filled="false" stroked="false">
              <v:textbox inset="0,0,0,0">
                <w:txbxContent>
                  <w:p>
                    <w:pPr>
                      <w:spacing w:line="107" w:lineRule="exact" w:before="0"/>
                      <w:ind w:left="0" w:right="0" w:firstLine="0"/>
                      <w:jc w:val="left"/>
                      <w:rPr>
                        <w:rFonts w:ascii="Calibri"/>
                        <w:sz w:val="10"/>
                      </w:rPr>
                    </w:pPr>
                    <w:r>
                      <w:rPr>
                        <w:rFonts w:ascii="Calibri"/>
                        <w:w w:val="105"/>
                        <w:sz w:val="10"/>
                      </w:rPr>
                      <w:t>-$40bn</w:t>
                    </w:r>
                  </w:p>
                </w:txbxContent>
              </v:textbox>
              <w10:wrap type="none"/>
            </v:shape>
            <v:shape style="position:absolute;left:8110;top:239;width:331;height:107" type="#_x0000_t202" filled="false" stroked="false">
              <v:textbox inset="0,0,0,0">
                <w:txbxContent>
                  <w:p>
                    <w:pPr>
                      <w:spacing w:line="107" w:lineRule="exact" w:before="0"/>
                      <w:ind w:left="0" w:right="0" w:firstLine="0"/>
                      <w:jc w:val="left"/>
                      <w:rPr>
                        <w:rFonts w:ascii="Calibri"/>
                        <w:sz w:val="10"/>
                      </w:rPr>
                    </w:pPr>
                    <w:r>
                      <w:rPr>
                        <w:rFonts w:ascii="Calibri"/>
                        <w:w w:val="105"/>
                        <w:sz w:val="10"/>
                      </w:rPr>
                      <w:t>-$40bn</w:t>
                    </w:r>
                  </w:p>
                </w:txbxContent>
              </v:textbox>
              <w10:wrap type="none"/>
            </v:shape>
            <v:shape style="position:absolute;left:3387;top:444;width:1457;height:107" type="#_x0000_t202" filled="false" stroked="false">
              <v:textbox inset="0,0,0,0">
                <w:txbxContent>
                  <w:p>
                    <w:pPr>
                      <w:spacing w:line="107" w:lineRule="exact" w:before="0"/>
                      <w:ind w:left="0" w:right="0" w:firstLine="0"/>
                      <w:jc w:val="left"/>
                      <w:rPr>
                        <w:rFonts w:ascii="Calibri"/>
                        <w:sz w:val="10"/>
                      </w:rPr>
                    </w:pPr>
                    <w:r>
                      <w:rPr>
                        <w:rFonts w:ascii="Calibri"/>
                        <w:w w:val="105"/>
                        <w:sz w:val="10"/>
                      </w:rPr>
                      <w:t>Policy changes to Lower welfare</w:t>
                    </w:r>
                  </w:p>
                </w:txbxContent>
              </v:textbox>
              <w10:wrap type="none"/>
            </v:shape>
            <v:shape style="position:absolute;left:5731;top:444;width:2910;height:107" type="#_x0000_t202" filled="false" stroked="false">
              <v:textbox inset="0,0,0,0">
                <w:txbxContent>
                  <w:p>
                    <w:pPr>
                      <w:spacing w:line="107" w:lineRule="exact" w:before="0"/>
                      <w:ind w:left="0" w:right="0" w:firstLine="0"/>
                      <w:jc w:val="left"/>
                      <w:rPr>
                        <w:rFonts w:ascii="Calibri"/>
                        <w:sz w:val="10"/>
                      </w:rPr>
                    </w:pPr>
                    <w:r>
                      <w:rPr>
                        <w:rFonts w:ascii="Calibri"/>
                        <w:w w:val="105"/>
                        <w:sz w:val="10"/>
                      </w:rPr>
                      <w:t>Lower future Lower future age Actual FY17/18 Lower projected</w:t>
                    </w:r>
                  </w:p>
                </w:txbxContent>
              </v:textbox>
              <w10:wrap type="none"/>
            </v:shape>
            <v:shape style="position:absolute;left:3582;top:574;width:382;height:107" type="#_x0000_t202" filled="false" stroked="false">
              <v:textbox inset="0,0,0,0">
                <w:txbxContent>
                  <w:p>
                    <w:pPr>
                      <w:spacing w:line="107" w:lineRule="exact" w:before="0"/>
                      <w:ind w:left="0" w:right="0" w:firstLine="0"/>
                      <w:jc w:val="left"/>
                      <w:rPr>
                        <w:rFonts w:ascii="Calibri"/>
                        <w:sz w:val="10"/>
                      </w:rPr>
                    </w:pPr>
                    <w:r>
                      <w:rPr>
                        <w:rFonts w:ascii="Calibri"/>
                        <w:w w:val="105"/>
                        <w:sz w:val="10"/>
                      </w:rPr>
                      <w:t>FY17/18</w:t>
                    </w:r>
                  </w:p>
                </w:txbxContent>
              </v:textbox>
              <w10:wrap type="none"/>
            </v:shape>
            <v:shape style="position:absolute;left:5698;top:574;width:652;height:238" type="#_x0000_t202" filled="false" stroked="false">
              <v:textbox inset="0,0,0,0">
                <w:txbxContent>
                  <w:p>
                    <w:pPr>
                      <w:spacing w:line="107" w:lineRule="exact" w:before="0"/>
                      <w:ind w:left="0" w:right="18" w:firstLine="0"/>
                      <w:jc w:val="center"/>
                      <w:rPr>
                        <w:rFonts w:ascii="Calibri"/>
                        <w:sz w:val="10"/>
                      </w:rPr>
                    </w:pPr>
                    <w:r>
                      <w:rPr>
                        <w:rFonts w:ascii="Calibri"/>
                        <w:w w:val="105"/>
                        <w:sz w:val="10"/>
                      </w:rPr>
                      <w:t>persistency on</w:t>
                    </w:r>
                  </w:p>
                  <w:p>
                    <w:pPr>
                      <w:spacing w:before="8"/>
                      <w:ind w:left="0" w:right="19" w:firstLine="0"/>
                      <w:jc w:val="center"/>
                      <w:rPr>
                        <w:rFonts w:ascii="Calibri"/>
                        <w:sz w:val="10"/>
                      </w:rPr>
                    </w:pPr>
                    <w:r>
                      <w:rPr>
                        <w:rFonts w:ascii="Calibri"/>
                        <w:w w:val="105"/>
                        <w:sz w:val="10"/>
                      </w:rPr>
                      <w:t>welfare</w:t>
                    </w:r>
                  </w:p>
                </w:txbxContent>
              </v:textbox>
              <w10:wrap type="none"/>
            </v:shape>
            <v:shape style="position:absolute;left:6547;top:574;width:1302;height:238" type="#_x0000_t202" filled="false" stroked="false">
              <v:textbox inset="0,0,0,0">
                <w:txbxContent>
                  <w:p>
                    <w:pPr>
                      <w:tabs>
                        <w:tab w:pos="648" w:val="left" w:leader="none"/>
                      </w:tabs>
                      <w:spacing w:line="107" w:lineRule="exact" w:before="0"/>
                      <w:ind w:left="43" w:right="0" w:firstLine="0"/>
                      <w:jc w:val="left"/>
                      <w:rPr>
                        <w:rFonts w:ascii="Calibri"/>
                        <w:sz w:val="10"/>
                      </w:rPr>
                    </w:pPr>
                    <w:r>
                      <w:rPr>
                        <w:rFonts w:ascii="Calibri"/>
                        <w:w w:val="105"/>
                        <w:sz w:val="10"/>
                      </w:rPr>
                      <w:t>pension</w:t>
                      <w:tab/>
                      <w:t>inflation</w:t>
                    </w:r>
                    <w:r>
                      <w:rPr>
                        <w:rFonts w:ascii="Calibri"/>
                        <w:spacing w:val="4"/>
                        <w:w w:val="105"/>
                        <w:sz w:val="10"/>
                      </w:rPr>
                      <w:t> </w:t>
                    </w:r>
                    <w:r>
                      <w:rPr>
                        <w:rFonts w:ascii="Calibri"/>
                        <w:w w:val="105"/>
                        <w:sz w:val="10"/>
                      </w:rPr>
                      <w:t>lower</w:t>
                    </w:r>
                  </w:p>
                  <w:p>
                    <w:pPr>
                      <w:tabs>
                        <w:tab w:pos="654" w:val="left" w:leader="none"/>
                      </w:tabs>
                      <w:spacing w:before="8"/>
                      <w:ind w:left="0" w:right="0" w:firstLine="0"/>
                      <w:jc w:val="left"/>
                      <w:rPr>
                        <w:rFonts w:ascii="Calibri"/>
                        <w:sz w:val="10"/>
                      </w:rPr>
                    </w:pPr>
                    <w:r>
                      <w:rPr>
                        <w:rFonts w:ascii="Calibri"/>
                        <w:w w:val="105"/>
                        <w:sz w:val="10"/>
                      </w:rPr>
                      <w:t>utilisation</w:t>
                      <w:tab/>
                      <w:t>than</w:t>
                    </w:r>
                    <w:r>
                      <w:rPr>
                        <w:rFonts w:ascii="Calibri"/>
                        <w:spacing w:val="7"/>
                        <w:w w:val="105"/>
                        <w:sz w:val="10"/>
                      </w:rPr>
                      <w:t> </w:t>
                    </w:r>
                    <w:r>
                      <w:rPr>
                        <w:rFonts w:ascii="Calibri"/>
                        <w:w w:val="105"/>
                        <w:sz w:val="10"/>
                      </w:rPr>
                      <w:t>expected</w:t>
                    </w:r>
                  </w:p>
                </w:txbxContent>
              </v:textbox>
              <w10:wrap type="none"/>
            </v:shape>
            <v:shape style="position:absolute;left:7977;top:574;width:596;height:238" type="#_x0000_t202" filled="false" stroked="false">
              <v:textbox inset="0,0,0,0">
                <w:txbxContent>
                  <w:p>
                    <w:pPr>
                      <w:spacing w:line="107" w:lineRule="exact" w:before="0"/>
                      <w:ind w:left="0" w:right="17" w:firstLine="0"/>
                      <w:jc w:val="center"/>
                      <w:rPr>
                        <w:rFonts w:ascii="Calibri"/>
                        <w:sz w:val="10"/>
                      </w:rPr>
                    </w:pPr>
                    <w:r>
                      <w:rPr>
                        <w:rFonts w:ascii="Calibri"/>
                        <w:w w:val="105"/>
                        <w:sz w:val="10"/>
                      </w:rPr>
                      <w:t>average</w:t>
                    </w:r>
                  </w:p>
                  <w:p>
                    <w:pPr>
                      <w:spacing w:before="8"/>
                      <w:ind w:left="-1" w:right="18" w:firstLine="0"/>
                      <w:jc w:val="center"/>
                      <w:rPr>
                        <w:rFonts w:ascii="Calibri"/>
                        <w:sz w:val="10"/>
                      </w:rPr>
                    </w:pPr>
                    <w:r>
                      <w:rPr>
                        <w:rFonts w:ascii="Calibri"/>
                        <w:w w:val="105"/>
                        <w:sz w:val="10"/>
                      </w:rPr>
                      <w:t>payment</w:t>
                    </w:r>
                    <w:r>
                      <w:rPr>
                        <w:rFonts w:ascii="Calibri"/>
                        <w:spacing w:val="8"/>
                        <w:w w:val="105"/>
                        <w:sz w:val="10"/>
                      </w:rPr>
                      <w:t> </w:t>
                    </w:r>
                    <w:r>
                      <w:rPr>
                        <w:rFonts w:ascii="Calibri"/>
                        <w:spacing w:val="-4"/>
                        <w:w w:val="105"/>
                        <w:sz w:val="10"/>
                      </w:rPr>
                      <w:t>size</w:t>
                    </w:r>
                  </w:p>
                </w:txbxContent>
              </v:textbox>
              <w10:wrap type="none"/>
            </v:shape>
            <v:shape style="position:absolute;left:8740;top:239;width:575;height:574" type="#_x0000_t202" filled="false" stroked="false">
              <v:textbox inset="0,0,0,0">
                <w:txbxContent>
                  <w:p>
                    <w:pPr>
                      <w:spacing w:line="107" w:lineRule="exact" w:before="0"/>
                      <w:ind w:left="105" w:right="126" w:firstLine="0"/>
                      <w:jc w:val="center"/>
                      <w:rPr>
                        <w:rFonts w:ascii="Calibri"/>
                        <w:sz w:val="10"/>
                      </w:rPr>
                    </w:pPr>
                    <w:r>
                      <w:rPr>
                        <w:rFonts w:ascii="Calibri"/>
                        <w:w w:val="105"/>
                        <w:sz w:val="10"/>
                      </w:rPr>
                      <w:t>-$54bn</w:t>
                    </w:r>
                  </w:p>
                  <w:p>
                    <w:pPr>
                      <w:spacing w:line="256" w:lineRule="auto" w:before="83"/>
                      <w:ind w:left="0" w:right="18" w:hanging="7"/>
                      <w:jc w:val="center"/>
                      <w:rPr>
                        <w:rFonts w:ascii="Calibri"/>
                        <w:sz w:val="10"/>
                      </w:rPr>
                    </w:pPr>
                    <w:r>
                      <w:rPr>
                        <w:rFonts w:ascii="Calibri"/>
                        <w:w w:val="105"/>
                        <w:sz w:val="10"/>
                      </w:rPr>
                      <w:t>Updated indexation assumptions</w:t>
                    </w:r>
                  </w:p>
                </w:txbxContent>
              </v:textbox>
              <w10:wrap type="none"/>
            </v:shape>
            <v:shape style="position:absolute;left:9611;top:239;width:331;height:107" type="#_x0000_t202" filled="false" stroked="false">
              <v:textbox inset="0,0,0,0">
                <w:txbxContent>
                  <w:p>
                    <w:pPr>
                      <w:spacing w:line="107" w:lineRule="exact" w:before="0"/>
                      <w:ind w:left="0" w:right="0" w:firstLine="0"/>
                      <w:jc w:val="left"/>
                      <w:rPr>
                        <w:rFonts w:ascii="Calibri"/>
                        <w:sz w:val="10"/>
                      </w:rPr>
                    </w:pPr>
                    <w:r>
                      <w:rPr>
                        <w:rFonts w:ascii="Calibri"/>
                        <w:w w:val="105"/>
                        <w:sz w:val="10"/>
                      </w:rPr>
                      <w:t>-$96bn</w:t>
                    </w:r>
                  </w:p>
                </w:txbxContent>
              </v:textbox>
              <w10:wrap type="none"/>
            </v:shape>
            <v:shape style="position:absolute;left:10334;top:239;width:385;height:107" type="#_x0000_t202" filled="false" stroked="false">
              <v:textbox inset="0,0,0,0">
                <w:txbxContent>
                  <w:p>
                    <w:pPr>
                      <w:spacing w:line="107" w:lineRule="exact" w:before="0"/>
                      <w:ind w:left="0" w:right="0" w:firstLine="0"/>
                      <w:jc w:val="left"/>
                      <w:rPr>
                        <w:rFonts w:ascii="Calibri"/>
                        <w:sz w:val="10"/>
                      </w:rPr>
                    </w:pPr>
                    <w:r>
                      <w:rPr>
                        <w:rFonts w:ascii="Calibri"/>
                        <w:w w:val="105"/>
                        <w:sz w:val="10"/>
                      </w:rPr>
                      <w:t>-$636bn</w:t>
                    </w:r>
                  </w:p>
                </w:txbxContent>
              </v:textbox>
              <w10:wrap type="none"/>
            </v:shape>
            <v:shape style="position:absolute;left:9403;top:444;width:1475;height:238" type="#_x0000_t202" filled="false" stroked="false">
              <v:textbox inset="0,0,0,0">
                <w:txbxContent>
                  <w:p>
                    <w:pPr>
                      <w:spacing w:line="107" w:lineRule="exact" w:before="0"/>
                      <w:ind w:left="57" w:right="0" w:firstLine="0"/>
                      <w:jc w:val="left"/>
                      <w:rPr>
                        <w:rFonts w:ascii="Calibri"/>
                        <w:sz w:val="10"/>
                      </w:rPr>
                    </w:pPr>
                    <w:r>
                      <w:rPr>
                        <w:rFonts w:ascii="Calibri"/>
                        <w:w w:val="105"/>
                        <w:sz w:val="10"/>
                      </w:rPr>
                      <w:t>Change in age Total Change to</w:t>
                    </w:r>
                  </w:p>
                  <w:p>
                    <w:pPr>
                      <w:spacing w:before="8"/>
                      <w:ind w:left="0" w:right="0" w:firstLine="0"/>
                      <w:jc w:val="left"/>
                      <w:rPr>
                        <w:rFonts w:ascii="Calibri"/>
                        <w:sz w:val="10"/>
                      </w:rPr>
                    </w:pPr>
                    <w:r>
                      <w:rPr>
                        <w:rFonts w:ascii="Calibri"/>
                        <w:w w:val="105"/>
                        <w:sz w:val="10"/>
                      </w:rPr>
                      <w:t>pension forecast Lifetime Cost</w:t>
                    </w:r>
                  </w:p>
                </w:txbxContent>
              </v:textbox>
              <w10:wrap type="none"/>
            </v:shape>
            <v:shape style="position:absolute;left:2242;top:910;width:1893;height:107" type="#_x0000_t202" filled="false" stroked="false">
              <v:textbox inset="0,0,0,0">
                <w:txbxContent>
                  <w:p>
                    <w:pPr>
                      <w:tabs>
                        <w:tab w:pos="1167" w:val="left" w:leader="none"/>
                      </w:tabs>
                      <w:spacing w:line="107" w:lineRule="exact" w:before="0"/>
                      <w:ind w:left="0" w:right="0" w:firstLine="0"/>
                      <w:jc w:val="left"/>
                      <w:rPr>
                        <w:rFonts w:ascii="Calibri"/>
                        <w:sz w:val="10"/>
                      </w:rPr>
                    </w:pPr>
                    <w:r>
                      <w:rPr>
                        <w:rFonts w:ascii="Calibri"/>
                        <w:w w:val="105"/>
                        <w:sz w:val="10"/>
                      </w:rPr>
                      <w:t>Expected</w:t>
                    </w:r>
                    <w:r>
                      <w:rPr>
                        <w:rFonts w:ascii="Calibri"/>
                        <w:spacing w:val="3"/>
                        <w:w w:val="105"/>
                        <w:sz w:val="10"/>
                      </w:rPr>
                      <w:t> </w:t>
                    </w:r>
                    <w:r>
                      <w:rPr>
                        <w:rFonts w:ascii="Calibri"/>
                        <w:w w:val="105"/>
                        <w:sz w:val="10"/>
                      </w:rPr>
                      <w:t>Changes</w:t>
                      <w:tab/>
                      <w:t>System</w:t>
                    </w:r>
                    <w:r>
                      <w:rPr>
                        <w:rFonts w:ascii="Calibri"/>
                        <w:spacing w:val="6"/>
                        <w:w w:val="105"/>
                        <w:sz w:val="10"/>
                      </w:rPr>
                      <w:t> </w:t>
                    </w:r>
                    <w:r>
                      <w:rPr>
                        <w:rFonts w:ascii="Calibri"/>
                        <w:w w:val="105"/>
                        <w:sz w:val="10"/>
                      </w:rPr>
                      <w:t>Changes</w:t>
                    </w:r>
                  </w:p>
                </w:txbxContent>
              </v:textbox>
              <w10:wrap type="none"/>
            </v:shape>
            <v:shape style="position:absolute;left:6559;top:910;width:1180;height:107" type="#_x0000_t202" filled="false" stroked="false">
              <v:textbox inset="0,0,0,0">
                <w:txbxContent>
                  <w:p>
                    <w:pPr>
                      <w:spacing w:line="107" w:lineRule="exact" w:before="0"/>
                      <w:ind w:left="0" w:right="0" w:firstLine="0"/>
                      <w:jc w:val="left"/>
                      <w:rPr>
                        <w:rFonts w:ascii="Calibri"/>
                        <w:sz w:val="10"/>
                      </w:rPr>
                    </w:pPr>
                    <w:r>
                      <w:rPr>
                        <w:rFonts w:ascii="Calibri"/>
                        <w:w w:val="105"/>
                        <w:sz w:val="10"/>
                      </w:rPr>
                      <w:t>Experience &amp; Assumptions</w:t>
                    </w:r>
                  </w:p>
                </w:txbxContent>
              </v:textbox>
              <w10:wrap type="none"/>
            </v:shape>
            <v:shape style="position:absolute;left:10230;top:910;width:589;height:107" type="#_x0000_t202" filled="false" stroked="false">
              <v:textbox inset="0,0,0,0">
                <w:txbxContent>
                  <w:p>
                    <w:pPr>
                      <w:spacing w:line="107" w:lineRule="exact" w:before="0"/>
                      <w:ind w:left="0" w:right="0" w:firstLine="0"/>
                      <w:jc w:val="left"/>
                      <w:rPr>
                        <w:rFonts w:ascii="Calibri"/>
                        <w:sz w:val="10"/>
                      </w:rPr>
                    </w:pPr>
                    <w:r>
                      <w:rPr>
                        <w:rFonts w:ascii="Calibri"/>
                        <w:w w:val="105"/>
                        <w:sz w:val="10"/>
                      </w:rPr>
                      <w:t>Total Change</w:t>
                    </w:r>
                  </w:p>
                </w:txbxContent>
              </v:textbox>
              <w10:wrap type="none"/>
            </v:shape>
            <w10:wrap type="none"/>
          </v:group>
        </w:pict>
      </w:r>
      <w:r>
        <w:rPr>
          <w:rFonts w:ascii="Calibri"/>
          <w:w w:val="105"/>
          <w:sz w:val="10"/>
        </w:rPr>
        <w:t>-$700bn</w:t>
      </w: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spacing w:before="11"/>
        <w:rPr>
          <w:rFonts w:ascii="Calibri"/>
          <w:sz w:val="22"/>
        </w:rPr>
      </w:pPr>
    </w:p>
    <w:p>
      <w:pPr>
        <w:spacing w:before="96"/>
        <w:ind w:left="900" w:right="0" w:firstLine="0"/>
        <w:jc w:val="left"/>
        <w:rPr>
          <w:sz w:val="16"/>
        </w:rPr>
      </w:pPr>
      <w:r>
        <w:rPr>
          <w:color w:val="DF2F1E"/>
          <w:sz w:val="16"/>
        </w:rPr>
        <w:t>Changes in lifetime cost above are shown relative to the rebased June 2017 lifetime cost, which allows for an updated discount rate of 5% p.a.</w:t>
      </w:r>
    </w:p>
    <w:p>
      <w:pPr>
        <w:pStyle w:val="BodyText"/>
        <w:spacing w:before="9"/>
      </w:pPr>
    </w:p>
    <w:p>
      <w:pPr>
        <w:pStyle w:val="Heading6"/>
        <w:rPr>
          <w:i/>
        </w:rPr>
      </w:pPr>
      <w:r>
        <w:rPr>
          <w:i/>
          <w:color w:val="DF2F1E"/>
        </w:rPr>
        <w:t>Expected Changes</w:t>
      </w:r>
    </w:p>
    <w:p>
      <w:pPr>
        <w:pStyle w:val="BodyText"/>
        <w:spacing w:before="121"/>
        <w:ind w:left="900" w:right="1487"/>
      </w:pPr>
      <w:r>
        <w:rPr>
          <w:color w:val="404040"/>
        </w:rPr>
        <w:t>Each year, we expect the total lifetime cost to grow in line with the growth in the population and in line with inflation.</w:t>
      </w:r>
    </w:p>
    <w:p>
      <w:pPr>
        <w:pStyle w:val="BodyText"/>
        <w:spacing w:line="242" w:lineRule="auto" w:before="116"/>
        <w:ind w:left="899" w:right="1382"/>
      </w:pPr>
      <w:r>
        <w:rPr>
          <w:color w:val="404040"/>
        </w:rPr>
        <w:t>At the June 2018 valuation, the overall lifetime cost has </w:t>
      </w:r>
      <w:r>
        <w:rPr>
          <w:b/>
          <w:color w:val="404040"/>
        </w:rPr>
        <w:t>increased by $124bn (+2.0%) </w:t>
      </w:r>
      <w:r>
        <w:rPr>
          <w:color w:val="404040"/>
        </w:rPr>
        <w:t>due to growth in the Australian Population over the 2017/18 year. This includes the combined impact of births, deaths and net migration over the year – these population changes resulted in an extra 380,000 individuals.</w:t>
      </w:r>
    </w:p>
    <w:p>
      <w:pPr>
        <w:spacing w:line="242" w:lineRule="auto" w:before="115"/>
        <w:ind w:left="899" w:right="1155" w:firstLine="0"/>
        <w:jc w:val="left"/>
        <w:rPr>
          <w:sz w:val="20"/>
        </w:rPr>
      </w:pPr>
      <w:r>
        <w:rPr>
          <w:color w:val="404040"/>
          <w:sz w:val="20"/>
        </w:rPr>
        <w:t>The overall lifetime cost has further </w:t>
      </w:r>
      <w:r>
        <w:rPr>
          <w:b/>
          <w:color w:val="404040"/>
          <w:sz w:val="20"/>
        </w:rPr>
        <w:t>increased by $230bn (3.6%) </w:t>
      </w:r>
      <w:r>
        <w:rPr>
          <w:color w:val="404040"/>
          <w:sz w:val="20"/>
        </w:rPr>
        <w:t>due to expected inflation over the year. This includes:</w:t>
      </w:r>
    </w:p>
    <w:p>
      <w:pPr>
        <w:pStyle w:val="ListParagraph"/>
        <w:numPr>
          <w:ilvl w:val="0"/>
          <w:numId w:val="31"/>
        </w:numPr>
        <w:tabs>
          <w:tab w:pos="1183" w:val="left" w:leader="none"/>
        </w:tabs>
        <w:spacing w:line="240" w:lineRule="auto" w:before="115" w:after="0"/>
        <w:ind w:left="1182" w:right="1275" w:hanging="284"/>
        <w:jc w:val="left"/>
        <w:rPr>
          <w:rFonts w:ascii="Symbol" w:hAnsi="Symbol"/>
          <w:sz w:val="20"/>
        </w:rPr>
      </w:pPr>
      <w:r>
        <w:rPr>
          <w:b/>
          <w:color w:val="404040"/>
          <w:sz w:val="20"/>
        </w:rPr>
        <w:t>Expected inflation over the 2017/18 year </w:t>
      </w:r>
      <w:r>
        <w:rPr>
          <w:color w:val="404040"/>
          <w:sz w:val="20"/>
        </w:rPr>
        <w:t>– expected inflation of payments over the 2017/18 year based on information known at June 2017 was on average</w:t>
      </w:r>
      <w:r>
        <w:rPr>
          <w:color w:val="404040"/>
          <w:spacing w:val="-4"/>
          <w:sz w:val="20"/>
        </w:rPr>
        <w:t> </w:t>
      </w:r>
      <w:r>
        <w:rPr>
          <w:color w:val="404040"/>
          <w:sz w:val="20"/>
        </w:rPr>
        <w:t>2.0%.</w:t>
      </w:r>
    </w:p>
    <w:p>
      <w:pPr>
        <w:pStyle w:val="ListParagraph"/>
        <w:numPr>
          <w:ilvl w:val="0"/>
          <w:numId w:val="31"/>
        </w:numPr>
        <w:tabs>
          <w:tab w:pos="1183" w:val="left" w:leader="none"/>
        </w:tabs>
        <w:spacing w:line="240" w:lineRule="auto" w:before="118" w:after="0"/>
        <w:ind w:left="1182" w:right="1309" w:hanging="284"/>
        <w:jc w:val="left"/>
        <w:rPr>
          <w:rFonts w:ascii="Symbol" w:hAnsi="Symbol"/>
          <w:sz w:val="20"/>
        </w:rPr>
      </w:pPr>
      <w:r>
        <w:rPr>
          <w:b/>
          <w:color w:val="404040"/>
          <w:sz w:val="20"/>
        </w:rPr>
        <w:t>Inflation of future payments </w:t>
      </w:r>
      <w:r>
        <w:rPr>
          <w:color w:val="404040"/>
          <w:sz w:val="20"/>
        </w:rPr>
        <w:t>– this allows for the impact of the change in pattern in projected future inflation of payments from June 2018 (relative to the pattern from June 2017), in which we move closer to the expected long term inflation rate sooner into the projection. This increases the lifetime cost by</w:t>
      </w:r>
      <w:r>
        <w:rPr>
          <w:color w:val="404040"/>
          <w:spacing w:val="-38"/>
          <w:sz w:val="20"/>
        </w:rPr>
        <w:t> </w:t>
      </w:r>
      <w:r>
        <w:rPr>
          <w:color w:val="404040"/>
          <w:sz w:val="20"/>
        </w:rPr>
        <w:t>1.6%.</w:t>
      </w:r>
    </w:p>
    <w:p>
      <w:pPr>
        <w:pStyle w:val="BodyText"/>
        <w:spacing w:before="9"/>
      </w:pPr>
    </w:p>
    <w:p>
      <w:pPr>
        <w:pStyle w:val="Heading6"/>
        <w:rPr>
          <w:i/>
        </w:rPr>
      </w:pPr>
      <w:r>
        <w:rPr>
          <w:i/>
          <w:color w:val="DF2F1E"/>
        </w:rPr>
        <w:t>System changes</w:t>
      </w:r>
    </w:p>
    <w:p>
      <w:pPr>
        <w:pStyle w:val="BodyText"/>
        <w:spacing w:before="121"/>
        <w:ind w:left="900" w:right="1087"/>
      </w:pPr>
      <w:r>
        <w:rPr>
          <w:color w:val="404040"/>
        </w:rPr>
        <w:t>Changes to the welfare system may directly influence the entitlements of individuals and their welfare usage. The impact of such policy changes has been relatively minor over the last year. The main policy change expected to impact the lifetime cost relate to the introduction of the targeted compliance framework. As a result of this, the estimated lifetime cost has </w:t>
      </w:r>
      <w:r>
        <w:rPr>
          <w:b/>
          <w:color w:val="404040"/>
        </w:rPr>
        <w:t>reduced by $4bn (-0.1%)</w:t>
      </w:r>
      <w:r>
        <w:rPr>
          <w:color w:val="404040"/>
        </w:rPr>
        <w:t>.</w:t>
      </w:r>
    </w:p>
    <w:p>
      <w:pPr>
        <w:spacing w:after="0"/>
        <w:sectPr>
          <w:pgSz w:w="11910" w:h="16850"/>
          <w:pgMar w:header="572" w:footer="581" w:top="780" w:bottom="780" w:left="120" w:right="0"/>
        </w:sectPr>
      </w:pPr>
    </w:p>
    <w:p>
      <w:pPr>
        <w:pStyle w:val="BodyText"/>
      </w:pPr>
    </w:p>
    <w:p>
      <w:pPr>
        <w:pStyle w:val="BodyText"/>
      </w:pPr>
    </w:p>
    <w:p>
      <w:pPr>
        <w:pStyle w:val="BodyText"/>
        <w:spacing w:before="10"/>
        <w:rPr>
          <w:sz w:val="21"/>
        </w:rPr>
      </w:pPr>
    </w:p>
    <w:p>
      <w:pPr>
        <w:pStyle w:val="BodyText"/>
        <w:spacing w:before="92"/>
        <w:ind w:left="900"/>
      </w:pPr>
      <w:r>
        <w:rPr>
          <w:color w:val="404040"/>
        </w:rPr>
        <w:t>A brief description of this change and the impact is shown in the tables below:</w:t>
      </w:r>
    </w:p>
    <w:p>
      <w:pPr>
        <w:pStyle w:val="Heading9"/>
        <w:spacing w:before="174" w:after="46"/>
      </w:pPr>
      <w:r>
        <w:rPr>
          <w:color w:val="DF2F1E"/>
        </w:rPr>
        <w:t>Table 11: Impact of new policy changes</w:t>
      </w:r>
    </w:p>
    <w:tbl>
      <w:tblPr>
        <w:tblW w:w="0" w:type="auto"/>
        <w:jc w:val="left"/>
        <w:tblInd w:w="1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53"/>
        <w:gridCol w:w="6020"/>
        <w:gridCol w:w="1902"/>
      </w:tblGrid>
      <w:tr>
        <w:trPr>
          <w:trHeight w:val="468" w:hRule="atLeast"/>
        </w:trPr>
        <w:tc>
          <w:tcPr>
            <w:tcW w:w="2053" w:type="dxa"/>
            <w:shd w:val="clear" w:color="auto" w:fill="DF2F1E"/>
          </w:tcPr>
          <w:p>
            <w:pPr>
              <w:pStyle w:val="TableParagraph"/>
              <w:spacing w:before="46"/>
              <w:ind w:left="112"/>
              <w:rPr>
                <w:sz w:val="16"/>
              </w:rPr>
            </w:pPr>
            <w:r>
              <w:rPr>
                <w:color w:val="FFFFFF"/>
                <w:sz w:val="16"/>
              </w:rPr>
              <w:t>New Policy Change</w:t>
            </w:r>
          </w:p>
        </w:tc>
        <w:tc>
          <w:tcPr>
            <w:tcW w:w="6020" w:type="dxa"/>
            <w:shd w:val="clear" w:color="auto" w:fill="DF2F1E"/>
          </w:tcPr>
          <w:p>
            <w:pPr>
              <w:pStyle w:val="TableParagraph"/>
              <w:spacing w:before="46"/>
              <w:ind w:left="188"/>
              <w:rPr>
                <w:sz w:val="16"/>
              </w:rPr>
            </w:pPr>
            <w:r>
              <w:rPr>
                <w:color w:val="FFFFFF"/>
                <w:sz w:val="16"/>
              </w:rPr>
              <w:t>Description of policy change</w:t>
            </w:r>
          </w:p>
        </w:tc>
        <w:tc>
          <w:tcPr>
            <w:tcW w:w="1902" w:type="dxa"/>
            <w:shd w:val="clear" w:color="auto" w:fill="DF2F1E"/>
          </w:tcPr>
          <w:p>
            <w:pPr>
              <w:pStyle w:val="TableParagraph"/>
              <w:spacing w:before="46"/>
              <w:ind w:left="120" w:right="303"/>
              <w:rPr>
                <w:sz w:val="16"/>
              </w:rPr>
            </w:pPr>
            <w:r>
              <w:rPr>
                <w:color w:val="FFFFFF"/>
                <w:sz w:val="16"/>
              </w:rPr>
              <w:t>Estimated impact on the total lifetime cost</w:t>
            </w:r>
          </w:p>
        </w:tc>
      </w:tr>
      <w:tr>
        <w:trPr>
          <w:trHeight w:val="630" w:hRule="atLeast"/>
        </w:trPr>
        <w:tc>
          <w:tcPr>
            <w:tcW w:w="2053" w:type="dxa"/>
            <w:tcBorders>
              <w:left w:val="single" w:sz="4" w:space="0" w:color="DF2F1E"/>
              <w:bottom w:val="single" w:sz="4" w:space="0" w:color="DF2F1E"/>
            </w:tcBorders>
          </w:tcPr>
          <w:p>
            <w:pPr>
              <w:pStyle w:val="TableParagraph"/>
              <w:spacing w:before="34"/>
              <w:ind w:left="107" w:right="320"/>
              <w:rPr>
                <w:b/>
                <w:sz w:val="16"/>
              </w:rPr>
            </w:pPr>
            <w:r>
              <w:rPr>
                <w:b/>
                <w:color w:val="404040"/>
                <w:sz w:val="16"/>
              </w:rPr>
              <w:t>Targeted compliance framework</w:t>
            </w:r>
          </w:p>
        </w:tc>
        <w:tc>
          <w:tcPr>
            <w:tcW w:w="6020" w:type="dxa"/>
            <w:tcBorders>
              <w:bottom w:val="single" w:sz="4" w:space="0" w:color="DF2F1E"/>
            </w:tcBorders>
          </w:tcPr>
          <w:p>
            <w:pPr>
              <w:pStyle w:val="TableParagraph"/>
              <w:ind w:left="188" w:right="93"/>
              <w:rPr>
                <w:sz w:val="16"/>
              </w:rPr>
            </w:pPr>
            <w:r>
              <w:rPr>
                <w:color w:val="404040"/>
                <w:sz w:val="16"/>
              </w:rPr>
              <w:t>From 1 July 2018, a two-phase compliance framework will be introduced which will apply strong penalties to job seekers who persistently and deliberately do not comply with their employment pathway plan (EPP) requirements</w:t>
            </w:r>
          </w:p>
        </w:tc>
        <w:tc>
          <w:tcPr>
            <w:tcW w:w="1902" w:type="dxa"/>
            <w:tcBorders>
              <w:bottom w:val="single" w:sz="4" w:space="0" w:color="DF2F1E"/>
              <w:right w:val="single" w:sz="4" w:space="0" w:color="DF2F1E"/>
            </w:tcBorders>
          </w:tcPr>
          <w:p>
            <w:pPr>
              <w:pStyle w:val="TableParagraph"/>
              <w:ind w:left="120"/>
              <w:rPr>
                <w:sz w:val="16"/>
              </w:rPr>
            </w:pPr>
            <w:r>
              <w:rPr>
                <w:color w:val="404040"/>
                <w:sz w:val="16"/>
              </w:rPr>
              <w:t>Decrease of $3.6bn</w:t>
            </w:r>
          </w:p>
        </w:tc>
      </w:tr>
      <w:tr>
        <w:trPr>
          <w:trHeight w:val="266" w:hRule="atLeast"/>
        </w:trPr>
        <w:tc>
          <w:tcPr>
            <w:tcW w:w="2053" w:type="dxa"/>
            <w:tcBorders>
              <w:top w:val="single" w:sz="4" w:space="0" w:color="DF2F1E"/>
              <w:left w:val="single" w:sz="4" w:space="0" w:color="DF2F1E"/>
              <w:bottom w:val="single" w:sz="4" w:space="0" w:color="DF2F1E"/>
            </w:tcBorders>
            <w:shd w:val="clear" w:color="auto" w:fill="F4C9C9"/>
          </w:tcPr>
          <w:p>
            <w:pPr>
              <w:pStyle w:val="TableParagraph"/>
              <w:ind w:left="107"/>
              <w:rPr>
                <w:b/>
                <w:i/>
                <w:sz w:val="16"/>
              </w:rPr>
            </w:pPr>
            <w:r>
              <w:rPr>
                <w:b/>
                <w:i/>
                <w:color w:val="404040"/>
                <w:sz w:val="16"/>
              </w:rPr>
              <w:t>All new policy changes</w:t>
            </w:r>
          </w:p>
        </w:tc>
        <w:tc>
          <w:tcPr>
            <w:tcW w:w="6020" w:type="dxa"/>
            <w:tcBorders>
              <w:top w:val="single" w:sz="4" w:space="0" w:color="DF2F1E"/>
              <w:bottom w:val="single" w:sz="4" w:space="0" w:color="DF2F1E"/>
            </w:tcBorders>
            <w:shd w:val="clear" w:color="auto" w:fill="F4C9C9"/>
          </w:tcPr>
          <w:p>
            <w:pPr>
              <w:pStyle w:val="TableParagraph"/>
              <w:spacing w:before="0"/>
              <w:rPr>
                <w:rFonts w:ascii="Times New Roman"/>
                <w:sz w:val="18"/>
              </w:rPr>
            </w:pPr>
          </w:p>
        </w:tc>
        <w:tc>
          <w:tcPr>
            <w:tcW w:w="1902" w:type="dxa"/>
            <w:tcBorders>
              <w:top w:val="single" w:sz="4" w:space="0" w:color="DF2F1E"/>
              <w:bottom w:val="single" w:sz="4" w:space="0" w:color="DF2F1E"/>
              <w:right w:val="single" w:sz="4" w:space="0" w:color="DF2F1E"/>
            </w:tcBorders>
            <w:shd w:val="clear" w:color="auto" w:fill="F4C9C9"/>
          </w:tcPr>
          <w:p>
            <w:pPr>
              <w:pStyle w:val="TableParagraph"/>
              <w:ind w:left="120"/>
              <w:rPr>
                <w:i/>
                <w:sz w:val="16"/>
              </w:rPr>
            </w:pPr>
            <w:r>
              <w:rPr>
                <w:i/>
                <w:color w:val="404040"/>
                <w:sz w:val="16"/>
              </w:rPr>
              <w:t>Decrease of $3.6bn</w:t>
            </w:r>
          </w:p>
        </w:tc>
      </w:tr>
    </w:tbl>
    <w:p>
      <w:pPr>
        <w:spacing w:before="78"/>
        <w:ind w:left="900" w:right="922" w:firstLine="0"/>
        <w:jc w:val="left"/>
        <w:rPr>
          <w:sz w:val="16"/>
        </w:rPr>
      </w:pPr>
      <w:r>
        <w:rPr>
          <w:color w:val="DF2F1E"/>
          <w:sz w:val="16"/>
        </w:rPr>
        <w:t>Note</w:t>
      </w:r>
      <w:r>
        <w:rPr>
          <w:color w:val="DF2F1E"/>
          <w:spacing w:val="-13"/>
          <w:sz w:val="16"/>
        </w:rPr>
        <w:t> </w:t>
      </w:r>
      <w:r>
        <w:rPr>
          <w:color w:val="DF2F1E"/>
          <w:sz w:val="16"/>
        </w:rPr>
        <w:t>that</w:t>
      </w:r>
      <w:r>
        <w:rPr>
          <w:color w:val="DF2F1E"/>
          <w:spacing w:val="-12"/>
          <w:sz w:val="16"/>
        </w:rPr>
        <w:t> </w:t>
      </w:r>
      <w:r>
        <w:rPr>
          <w:color w:val="DF2F1E"/>
          <w:sz w:val="16"/>
        </w:rPr>
        <w:t>the</w:t>
      </w:r>
      <w:r>
        <w:rPr>
          <w:color w:val="DF2F1E"/>
          <w:spacing w:val="-13"/>
          <w:sz w:val="16"/>
        </w:rPr>
        <w:t> </w:t>
      </w:r>
      <w:r>
        <w:rPr>
          <w:color w:val="DF2F1E"/>
          <w:sz w:val="16"/>
        </w:rPr>
        <w:t>estimate</w:t>
      </w:r>
      <w:r>
        <w:rPr>
          <w:color w:val="DF2F1E"/>
          <w:spacing w:val="-14"/>
          <w:sz w:val="16"/>
        </w:rPr>
        <w:t> </w:t>
      </w:r>
      <w:r>
        <w:rPr>
          <w:color w:val="DF2F1E"/>
          <w:sz w:val="16"/>
        </w:rPr>
        <w:t>shown</w:t>
      </w:r>
      <w:r>
        <w:rPr>
          <w:color w:val="DF2F1E"/>
          <w:spacing w:val="-12"/>
          <w:sz w:val="16"/>
        </w:rPr>
        <w:t> </w:t>
      </w:r>
      <w:r>
        <w:rPr>
          <w:color w:val="DF2F1E"/>
          <w:sz w:val="16"/>
        </w:rPr>
        <w:t>in</w:t>
      </w:r>
      <w:r>
        <w:rPr>
          <w:color w:val="DF2F1E"/>
          <w:spacing w:val="-12"/>
          <w:sz w:val="16"/>
        </w:rPr>
        <w:t> </w:t>
      </w:r>
      <w:r>
        <w:rPr>
          <w:color w:val="DF2F1E"/>
          <w:sz w:val="16"/>
        </w:rPr>
        <w:t>the</w:t>
      </w:r>
      <w:r>
        <w:rPr>
          <w:color w:val="DF2F1E"/>
          <w:spacing w:val="-14"/>
          <w:sz w:val="16"/>
        </w:rPr>
        <w:t> </w:t>
      </w:r>
      <w:r>
        <w:rPr>
          <w:color w:val="DF2F1E"/>
          <w:sz w:val="16"/>
        </w:rPr>
        <w:t>table</w:t>
      </w:r>
      <w:r>
        <w:rPr>
          <w:color w:val="DF2F1E"/>
          <w:spacing w:val="-12"/>
          <w:sz w:val="16"/>
        </w:rPr>
        <w:t> </w:t>
      </w:r>
      <w:r>
        <w:rPr>
          <w:color w:val="DF2F1E"/>
          <w:sz w:val="16"/>
        </w:rPr>
        <w:t>above</w:t>
      </w:r>
      <w:r>
        <w:rPr>
          <w:color w:val="DF2F1E"/>
          <w:spacing w:val="-13"/>
          <w:sz w:val="16"/>
        </w:rPr>
        <w:t> </w:t>
      </w:r>
      <w:r>
        <w:rPr>
          <w:color w:val="DF2F1E"/>
          <w:sz w:val="16"/>
        </w:rPr>
        <w:t>makes</w:t>
      </w:r>
      <w:r>
        <w:rPr>
          <w:color w:val="DF2F1E"/>
          <w:spacing w:val="-11"/>
          <w:sz w:val="16"/>
        </w:rPr>
        <w:t> </w:t>
      </w:r>
      <w:r>
        <w:rPr>
          <w:color w:val="DF2F1E"/>
          <w:sz w:val="16"/>
        </w:rPr>
        <w:t>use</w:t>
      </w:r>
      <w:r>
        <w:rPr>
          <w:color w:val="DF2F1E"/>
          <w:spacing w:val="-12"/>
          <w:sz w:val="16"/>
        </w:rPr>
        <w:t> </w:t>
      </w:r>
      <w:r>
        <w:rPr>
          <w:color w:val="DF2F1E"/>
          <w:sz w:val="16"/>
        </w:rPr>
        <w:t>of</w:t>
      </w:r>
      <w:r>
        <w:rPr>
          <w:color w:val="DF2F1E"/>
          <w:spacing w:val="-10"/>
          <w:sz w:val="16"/>
        </w:rPr>
        <w:t> </w:t>
      </w:r>
      <w:r>
        <w:rPr>
          <w:color w:val="DF2F1E"/>
          <w:sz w:val="16"/>
        </w:rPr>
        <w:t>external</w:t>
      </w:r>
      <w:r>
        <w:rPr>
          <w:color w:val="DF2F1E"/>
          <w:spacing w:val="-11"/>
          <w:sz w:val="16"/>
        </w:rPr>
        <w:t> </w:t>
      </w:r>
      <w:r>
        <w:rPr>
          <w:color w:val="DF2F1E"/>
          <w:sz w:val="16"/>
        </w:rPr>
        <w:t>estimates</w:t>
      </w:r>
      <w:r>
        <w:rPr>
          <w:color w:val="DF2F1E"/>
          <w:spacing w:val="-12"/>
          <w:sz w:val="16"/>
        </w:rPr>
        <w:t> </w:t>
      </w:r>
      <w:r>
        <w:rPr>
          <w:color w:val="DF2F1E"/>
          <w:sz w:val="16"/>
        </w:rPr>
        <w:t>of</w:t>
      </w:r>
      <w:r>
        <w:rPr>
          <w:color w:val="DF2F1E"/>
          <w:spacing w:val="-12"/>
          <w:sz w:val="16"/>
        </w:rPr>
        <w:t> </w:t>
      </w:r>
      <w:r>
        <w:rPr>
          <w:color w:val="DF2F1E"/>
          <w:sz w:val="16"/>
        </w:rPr>
        <w:t>the</w:t>
      </w:r>
      <w:r>
        <w:rPr>
          <w:color w:val="DF2F1E"/>
          <w:spacing w:val="-12"/>
          <w:sz w:val="16"/>
        </w:rPr>
        <w:t> </w:t>
      </w:r>
      <w:r>
        <w:rPr>
          <w:color w:val="DF2F1E"/>
          <w:sz w:val="16"/>
        </w:rPr>
        <w:t>impact</w:t>
      </w:r>
      <w:r>
        <w:rPr>
          <w:color w:val="DF2F1E"/>
          <w:spacing w:val="-10"/>
          <w:sz w:val="16"/>
        </w:rPr>
        <w:t> </w:t>
      </w:r>
      <w:r>
        <w:rPr>
          <w:color w:val="DF2F1E"/>
          <w:sz w:val="16"/>
        </w:rPr>
        <w:t>on</w:t>
      </w:r>
      <w:r>
        <w:rPr>
          <w:color w:val="DF2F1E"/>
          <w:spacing w:val="-14"/>
          <w:sz w:val="16"/>
        </w:rPr>
        <w:t> </w:t>
      </w:r>
      <w:r>
        <w:rPr>
          <w:color w:val="DF2F1E"/>
          <w:sz w:val="16"/>
        </w:rPr>
        <w:t>annual</w:t>
      </w:r>
      <w:r>
        <w:rPr>
          <w:color w:val="DF2F1E"/>
          <w:spacing w:val="-13"/>
          <w:sz w:val="16"/>
        </w:rPr>
        <w:t> </w:t>
      </w:r>
      <w:r>
        <w:rPr>
          <w:color w:val="DF2F1E"/>
          <w:sz w:val="16"/>
        </w:rPr>
        <w:t>expenditure</w:t>
      </w:r>
      <w:r>
        <w:rPr>
          <w:color w:val="DF2F1E"/>
          <w:spacing w:val="-12"/>
          <w:sz w:val="16"/>
        </w:rPr>
        <w:t> </w:t>
      </w:r>
      <w:r>
        <w:rPr>
          <w:color w:val="DF2F1E"/>
          <w:sz w:val="16"/>
        </w:rPr>
        <w:t>as</w:t>
      </w:r>
      <w:r>
        <w:rPr>
          <w:color w:val="DF2F1E"/>
          <w:spacing w:val="-10"/>
          <w:sz w:val="16"/>
        </w:rPr>
        <w:t> </w:t>
      </w:r>
      <w:r>
        <w:rPr>
          <w:color w:val="DF2F1E"/>
          <w:sz w:val="16"/>
        </w:rPr>
        <w:t>a</w:t>
      </w:r>
      <w:r>
        <w:rPr>
          <w:color w:val="DF2F1E"/>
          <w:spacing w:val="-12"/>
          <w:sz w:val="16"/>
        </w:rPr>
        <w:t> </w:t>
      </w:r>
      <w:r>
        <w:rPr>
          <w:color w:val="DF2F1E"/>
          <w:sz w:val="16"/>
        </w:rPr>
        <w:t>result</w:t>
      </w:r>
      <w:r>
        <w:rPr>
          <w:color w:val="DF2F1E"/>
          <w:spacing w:val="-12"/>
          <w:sz w:val="16"/>
        </w:rPr>
        <w:t> </w:t>
      </w:r>
      <w:r>
        <w:rPr>
          <w:color w:val="DF2F1E"/>
          <w:sz w:val="16"/>
        </w:rPr>
        <w:t>of</w:t>
      </w:r>
      <w:r>
        <w:rPr>
          <w:color w:val="DF2F1E"/>
          <w:spacing w:val="-12"/>
          <w:sz w:val="16"/>
        </w:rPr>
        <w:t> </w:t>
      </w:r>
      <w:r>
        <w:rPr>
          <w:color w:val="DF2F1E"/>
          <w:sz w:val="16"/>
        </w:rPr>
        <w:t>introducing this</w:t>
      </w:r>
      <w:r>
        <w:rPr>
          <w:color w:val="DF2F1E"/>
          <w:spacing w:val="-1"/>
          <w:sz w:val="16"/>
        </w:rPr>
        <w:t> </w:t>
      </w:r>
      <w:r>
        <w:rPr>
          <w:color w:val="DF2F1E"/>
          <w:sz w:val="16"/>
        </w:rPr>
        <w:t>policy.</w:t>
      </w:r>
    </w:p>
    <w:p>
      <w:pPr>
        <w:pStyle w:val="BodyText"/>
        <w:spacing w:before="10"/>
      </w:pPr>
    </w:p>
    <w:p>
      <w:pPr>
        <w:pStyle w:val="Heading6"/>
        <w:rPr>
          <w:i/>
        </w:rPr>
      </w:pPr>
      <w:r>
        <w:rPr>
          <w:i/>
          <w:color w:val="DF2F1E"/>
        </w:rPr>
        <w:t>Experience and assumptions</w:t>
      </w:r>
    </w:p>
    <w:p>
      <w:pPr>
        <w:pStyle w:val="BodyText"/>
        <w:spacing w:before="119"/>
        <w:ind w:left="899" w:right="1166"/>
      </w:pPr>
      <w:r>
        <w:rPr>
          <w:color w:val="404040"/>
        </w:rPr>
        <w:t>The total lifetime cost will also change due to the impact of emerging experience observed over the year together with assumption changes which reflect this experience. This was the largest element of the change and this element resulted in a </w:t>
      </w:r>
      <w:r>
        <w:rPr>
          <w:b/>
          <w:color w:val="404040"/>
        </w:rPr>
        <w:t>$986bn (-15.6%) decrease </w:t>
      </w:r>
      <w:r>
        <w:rPr>
          <w:color w:val="404040"/>
        </w:rPr>
        <w:t>in the overall lifetime cost, which reflects the impact of significant decreases in welfare utilisation experience over the year.</w:t>
      </w:r>
    </w:p>
    <w:p>
      <w:pPr>
        <w:pStyle w:val="BodyText"/>
        <w:spacing w:before="122"/>
        <w:ind w:left="899"/>
      </w:pPr>
      <w:r>
        <w:rPr>
          <w:color w:val="404040"/>
        </w:rPr>
        <w:t>We note that the impact of changes in demographics and class movement assumptions are closely</w:t>
      </w:r>
    </w:p>
    <w:p>
      <w:pPr>
        <w:pStyle w:val="BodyText"/>
        <w:ind w:left="899" w:right="1088"/>
      </w:pPr>
      <w:r>
        <w:rPr>
          <w:color w:val="404040"/>
        </w:rPr>
        <w:t>inter-related owing to the iterative nature of the model; where changes in person characteristics influence class movements, which in turn further influence class movements in the following year. The long term nature of the model also means that the impacts are highly geared, where quite subtle changes in single year assumptions can build up to material impacts when compounded over peoples’ full future lifetimes.</w:t>
      </w:r>
    </w:p>
    <w:p>
      <w:pPr>
        <w:pStyle w:val="BodyText"/>
        <w:spacing w:before="120"/>
        <w:ind w:left="899" w:right="1088"/>
      </w:pPr>
      <w:r>
        <w:rPr>
          <w:color w:val="404040"/>
        </w:rPr>
        <w:t>At this valuation, new welfare recipient characteristic variables were introduced with the intention of introducing greater differentiation of costs between groups within the valuation.</w:t>
      </w:r>
    </w:p>
    <w:p>
      <w:pPr>
        <w:pStyle w:val="BodyText"/>
        <w:spacing w:before="121"/>
        <w:ind w:left="899" w:right="1377"/>
      </w:pPr>
      <w:r>
        <w:rPr>
          <w:color w:val="404040"/>
        </w:rPr>
        <w:t>While this decrease is the net impact of a number of changes and interactions, the key drivers of the overall change are:</w:t>
      </w:r>
    </w:p>
    <w:p>
      <w:pPr>
        <w:pStyle w:val="ListParagraph"/>
        <w:numPr>
          <w:ilvl w:val="0"/>
          <w:numId w:val="31"/>
        </w:numPr>
        <w:tabs>
          <w:tab w:pos="1183" w:val="left" w:leader="none"/>
        </w:tabs>
        <w:spacing w:line="240" w:lineRule="auto" w:before="117" w:after="0"/>
        <w:ind w:left="1182" w:right="1232" w:hanging="284"/>
        <w:jc w:val="left"/>
        <w:rPr>
          <w:rFonts w:ascii="Symbol" w:hAnsi="Symbol"/>
          <w:sz w:val="20"/>
        </w:rPr>
      </w:pPr>
      <w:r>
        <w:rPr>
          <w:b/>
          <w:i/>
          <w:color w:val="404040"/>
          <w:sz w:val="20"/>
        </w:rPr>
        <w:t>Lower overall welfare utilisation ($34bn decrease) </w:t>
      </w:r>
      <w:r>
        <w:rPr>
          <w:color w:val="404040"/>
          <w:sz w:val="20"/>
        </w:rPr>
        <w:t>– in general the proportion of the population utilising welfare was lower this year than last year, and this has resulted in a decrease in the lifetime</w:t>
      </w:r>
      <w:r>
        <w:rPr>
          <w:color w:val="404040"/>
          <w:spacing w:val="-21"/>
          <w:sz w:val="20"/>
        </w:rPr>
        <w:t> </w:t>
      </w:r>
      <w:r>
        <w:rPr>
          <w:color w:val="404040"/>
          <w:sz w:val="20"/>
        </w:rPr>
        <w:t>cost.</w:t>
      </w:r>
    </w:p>
    <w:p>
      <w:pPr>
        <w:pStyle w:val="ListParagraph"/>
        <w:numPr>
          <w:ilvl w:val="0"/>
          <w:numId w:val="31"/>
        </w:numPr>
        <w:tabs>
          <w:tab w:pos="1183" w:val="left" w:leader="none"/>
        </w:tabs>
        <w:spacing w:line="240" w:lineRule="auto" w:before="117" w:after="0"/>
        <w:ind w:left="1182" w:right="1679" w:hanging="284"/>
        <w:jc w:val="left"/>
        <w:rPr>
          <w:rFonts w:ascii="Symbol" w:hAnsi="Symbol"/>
          <w:sz w:val="20"/>
        </w:rPr>
      </w:pPr>
      <w:r>
        <w:rPr>
          <w:b/>
          <w:i/>
          <w:color w:val="404040"/>
          <w:sz w:val="20"/>
        </w:rPr>
        <w:t>Lower future entries into the welfare system ($114bn decrease) </w:t>
      </w:r>
      <w:r>
        <w:rPr>
          <w:i/>
          <w:color w:val="404040"/>
          <w:sz w:val="20"/>
        </w:rPr>
        <w:t>– </w:t>
      </w:r>
      <w:r>
        <w:rPr>
          <w:color w:val="404040"/>
          <w:sz w:val="20"/>
        </w:rPr>
        <w:t>this in particular reflects recent experience of decreased entries into income support</w:t>
      </w:r>
      <w:r>
        <w:rPr>
          <w:color w:val="404040"/>
          <w:spacing w:val="-5"/>
          <w:sz w:val="20"/>
        </w:rPr>
        <w:t> </w:t>
      </w:r>
      <w:r>
        <w:rPr>
          <w:color w:val="404040"/>
          <w:sz w:val="20"/>
        </w:rPr>
        <w:t>classes.</w:t>
      </w:r>
    </w:p>
    <w:p>
      <w:pPr>
        <w:pStyle w:val="ListParagraph"/>
        <w:numPr>
          <w:ilvl w:val="0"/>
          <w:numId w:val="31"/>
        </w:numPr>
        <w:tabs>
          <w:tab w:pos="1183" w:val="left" w:leader="none"/>
        </w:tabs>
        <w:spacing w:line="240" w:lineRule="auto" w:before="118" w:after="0"/>
        <w:ind w:left="1182" w:right="0" w:hanging="284"/>
        <w:jc w:val="left"/>
        <w:rPr>
          <w:rFonts w:ascii="Symbol" w:hAnsi="Symbol"/>
          <w:sz w:val="20"/>
        </w:rPr>
      </w:pPr>
      <w:r>
        <w:rPr>
          <w:b/>
          <w:i/>
          <w:color w:val="404040"/>
          <w:sz w:val="20"/>
        </w:rPr>
        <w:t>Lower future persistency on welfare ($222bn decrease) </w:t>
      </w:r>
      <w:r>
        <w:rPr>
          <w:i/>
          <w:color w:val="404040"/>
          <w:sz w:val="20"/>
        </w:rPr>
        <w:t>– </w:t>
      </w:r>
      <w:r>
        <w:rPr>
          <w:color w:val="404040"/>
          <w:sz w:val="20"/>
        </w:rPr>
        <w:t>the main drivers of this decrease</w:t>
      </w:r>
      <w:r>
        <w:rPr>
          <w:color w:val="404040"/>
          <w:spacing w:val="-18"/>
          <w:sz w:val="20"/>
        </w:rPr>
        <w:t> </w:t>
      </w:r>
      <w:r>
        <w:rPr>
          <w:color w:val="404040"/>
          <w:sz w:val="20"/>
        </w:rPr>
        <w:t>include:</w:t>
      </w:r>
    </w:p>
    <w:p>
      <w:pPr>
        <w:pStyle w:val="ListParagraph"/>
        <w:numPr>
          <w:ilvl w:val="1"/>
          <w:numId w:val="31"/>
        </w:numPr>
        <w:tabs>
          <w:tab w:pos="1466" w:val="left" w:leader="none"/>
        </w:tabs>
        <w:spacing w:line="240" w:lineRule="auto" w:before="119" w:after="0"/>
        <w:ind w:left="1467" w:right="1020" w:hanging="286"/>
        <w:jc w:val="left"/>
        <w:rPr>
          <w:sz w:val="20"/>
        </w:rPr>
      </w:pPr>
      <w:r>
        <w:rPr>
          <w:i/>
          <w:color w:val="404040"/>
          <w:sz w:val="20"/>
        </w:rPr>
        <w:t>Reduced future movements to class 5 Disability Support ($66bn decrease) – </w:t>
      </w:r>
      <w:r>
        <w:rPr>
          <w:color w:val="404040"/>
          <w:sz w:val="20"/>
        </w:rPr>
        <w:t>in recent years, the tightening of DSP eligibility criteria has resulted in falling entries into the DSP welfare class. The falling trend was again observed over the last year, and the valuation model assumptions were updated to allow for this. The effect of the assumption change is to reduce transitions into DSP and instead leave welfare recipients in their previous classes for longer.</w:t>
      </w:r>
    </w:p>
    <w:p>
      <w:pPr>
        <w:pStyle w:val="ListParagraph"/>
        <w:numPr>
          <w:ilvl w:val="1"/>
          <w:numId w:val="31"/>
        </w:numPr>
        <w:tabs>
          <w:tab w:pos="1466" w:val="left" w:leader="none"/>
        </w:tabs>
        <w:spacing w:line="240" w:lineRule="auto" w:before="120" w:after="0"/>
        <w:ind w:left="1467" w:right="1038" w:hanging="286"/>
        <w:jc w:val="left"/>
        <w:rPr>
          <w:sz w:val="20"/>
        </w:rPr>
      </w:pPr>
      <w:r>
        <w:rPr>
          <w:i/>
          <w:color w:val="404040"/>
          <w:sz w:val="20"/>
        </w:rPr>
        <w:t>Reduced future utilisation of other pre-retirement Income Support classes ($97bn decrease) – </w:t>
      </w:r>
      <w:r>
        <w:rPr>
          <w:color w:val="404040"/>
          <w:sz w:val="20"/>
        </w:rPr>
        <w:t>in particular, recent transitions into Working Age, Parents and Carer classes have been lower than previous levels. Additionally we have seen increased transitions out of these classes, and particularly for the Working Age class. </w:t>
      </w:r>
      <w:r>
        <w:rPr>
          <w:color w:val="404040"/>
          <w:spacing w:val="4"/>
          <w:sz w:val="20"/>
        </w:rPr>
        <w:t>We </w:t>
      </w:r>
      <w:r>
        <w:rPr>
          <w:color w:val="404040"/>
          <w:sz w:val="20"/>
        </w:rPr>
        <w:t>have adjusted our assumptions to reflect this recent experience, and this change in assumptions flowed through to reduced projected future numbers in these classes. The impact by class of this experience is Working Age </w:t>
      </w:r>
      <w:r>
        <w:rPr>
          <w:i/>
          <w:color w:val="404040"/>
          <w:sz w:val="20"/>
        </w:rPr>
        <w:t>($43bn decrease)</w:t>
      </w:r>
      <w:r>
        <w:rPr>
          <w:color w:val="404040"/>
          <w:sz w:val="20"/>
        </w:rPr>
        <w:t>; Parents </w:t>
      </w:r>
      <w:r>
        <w:rPr>
          <w:i/>
          <w:color w:val="404040"/>
          <w:sz w:val="20"/>
        </w:rPr>
        <w:t>(19bn decrease)</w:t>
      </w:r>
      <w:r>
        <w:rPr>
          <w:color w:val="404040"/>
          <w:sz w:val="20"/>
        </w:rPr>
        <w:t>; and Carers </w:t>
      </w:r>
      <w:r>
        <w:rPr>
          <w:i/>
          <w:color w:val="404040"/>
          <w:sz w:val="20"/>
        </w:rPr>
        <w:t>($35bn </w:t>
      </w:r>
      <w:r>
        <w:rPr>
          <w:i/>
          <w:color w:val="404040"/>
          <w:sz w:val="20"/>
        </w:rPr>
        <w:t>decrease)</w:t>
      </w:r>
      <w:r>
        <w:rPr>
          <w:color w:val="404040"/>
          <w:sz w:val="20"/>
        </w:rPr>
        <w:t>.</w:t>
      </w:r>
    </w:p>
    <w:p>
      <w:pPr>
        <w:pStyle w:val="ListParagraph"/>
        <w:numPr>
          <w:ilvl w:val="1"/>
          <w:numId w:val="31"/>
        </w:numPr>
        <w:tabs>
          <w:tab w:pos="1465" w:val="left" w:leader="none"/>
        </w:tabs>
        <w:spacing w:line="240" w:lineRule="auto" w:before="121" w:after="0"/>
        <w:ind w:left="1466" w:right="1145" w:hanging="286"/>
        <w:jc w:val="left"/>
        <w:rPr>
          <w:sz w:val="20"/>
        </w:rPr>
      </w:pPr>
      <w:r>
        <w:rPr>
          <w:i/>
          <w:color w:val="404040"/>
          <w:sz w:val="20"/>
        </w:rPr>
        <w:t>Reduced future use of non income support payments ($55bn decrease) – </w:t>
      </w:r>
      <w:r>
        <w:rPr>
          <w:color w:val="404040"/>
          <w:sz w:val="20"/>
        </w:rPr>
        <w:t>This includes reduced use of FTB, other Family payments, Other Carer payments and Other General allowances. This is in part reflective of the reduced future use of income support payments, leading to a lower use of supplements. Additionally this is reflective of the experience seen of higher recent exits from the Non IS Family class, and an update in the assumptions in light of this</w:t>
      </w:r>
      <w:r>
        <w:rPr>
          <w:color w:val="404040"/>
          <w:spacing w:val="-4"/>
          <w:sz w:val="20"/>
        </w:rPr>
        <w:t> </w:t>
      </w:r>
      <w:r>
        <w:rPr>
          <w:color w:val="404040"/>
          <w:sz w:val="20"/>
        </w:rPr>
        <w:t>experience.</w:t>
      </w:r>
    </w:p>
    <w:p>
      <w:pPr>
        <w:pStyle w:val="ListParagraph"/>
        <w:numPr>
          <w:ilvl w:val="1"/>
          <w:numId w:val="31"/>
        </w:numPr>
        <w:tabs>
          <w:tab w:pos="1467" w:val="left" w:leader="none"/>
        </w:tabs>
        <w:spacing w:line="242" w:lineRule="auto" w:before="120" w:after="0"/>
        <w:ind w:left="1466" w:right="1450" w:hanging="286"/>
        <w:jc w:val="both"/>
        <w:rPr>
          <w:sz w:val="20"/>
        </w:rPr>
      </w:pPr>
      <w:r>
        <w:rPr>
          <w:i/>
          <w:color w:val="404040"/>
          <w:sz w:val="20"/>
        </w:rPr>
        <w:t>The remaining impact ($4bn decrease) – </w:t>
      </w:r>
      <w:r>
        <w:rPr>
          <w:color w:val="404040"/>
          <w:sz w:val="20"/>
        </w:rPr>
        <w:t>is the combined impact of smaller adjustments to the other valuation model assumptions in response to emerging experience, as well as the introduction of new model</w:t>
      </w:r>
      <w:r>
        <w:rPr>
          <w:color w:val="404040"/>
          <w:spacing w:val="-3"/>
          <w:sz w:val="20"/>
        </w:rPr>
        <w:t> </w:t>
      </w:r>
      <w:r>
        <w:rPr>
          <w:color w:val="404040"/>
          <w:sz w:val="20"/>
        </w:rPr>
        <w:t>variables.</w:t>
      </w:r>
    </w:p>
    <w:p>
      <w:pPr>
        <w:pStyle w:val="ListParagraph"/>
        <w:numPr>
          <w:ilvl w:val="0"/>
          <w:numId w:val="31"/>
        </w:numPr>
        <w:tabs>
          <w:tab w:pos="1182" w:val="left" w:leader="none"/>
        </w:tabs>
        <w:spacing w:line="237" w:lineRule="auto" w:before="117" w:after="0"/>
        <w:ind w:left="1181" w:right="1592" w:hanging="284"/>
        <w:jc w:val="left"/>
        <w:rPr>
          <w:rFonts w:ascii="Symbol" w:hAnsi="Symbol"/>
          <w:sz w:val="20"/>
        </w:rPr>
      </w:pPr>
      <w:r>
        <w:rPr>
          <w:b/>
          <w:i/>
          <w:color w:val="404040"/>
          <w:sz w:val="20"/>
        </w:rPr>
        <w:t>Decreased use of Age Pension, including the flow on impacts from the above changes ($387bn </w:t>
      </w:r>
      <w:r>
        <w:rPr>
          <w:b/>
          <w:i/>
          <w:color w:val="404040"/>
          <w:sz w:val="20"/>
        </w:rPr>
        <w:t>decrease) </w:t>
      </w:r>
      <w:r>
        <w:rPr>
          <w:i/>
          <w:color w:val="404040"/>
          <w:sz w:val="20"/>
        </w:rPr>
        <w:t>– </w:t>
      </w:r>
      <w:r>
        <w:rPr>
          <w:color w:val="404040"/>
          <w:sz w:val="20"/>
        </w:rPr>
        <w:t>The use of income support and other payments leading up</w:t>
      </w:r>
      <w:r>
        <w:rPr>
          <w:color w:val="404040"/>
          <w:spacing w:val="-40"/>
          <w:sz w:val="20"/>
        </w:rPr>
        <w:t> </w:t>
      </w:r>
      <w:r>
        <w:rPr>
          <w:color w:val="404040"/>
          <w:sz w:val="20"/>
        </w:rPr>
        <w:t>to retirement is an important</w:t>
      </w:r>
    </w:p>
    <w:p>
      <w:pPr>
        <w:spacing w:after="0" w:line="237" w:lineRule="auto"/>
        <w:jc w:val="left"/>
        <w:rPr>
          <w:rFonts w:ascii="Symbol" w:hAnsi="Symbol"/>
          <w:sz w:val="20"/>
        </w:rPr>
        <w:sectPr>
          <w:pgSz w:w="11910" w:h="16850"/>
          <w:pgMar w:header="572" w:footer="581" w:top="780" w:bottom="780" w:left="120" w:right="0"/>
        </w:sectPr>
      </w:pPr>
    </w:p>
    <w:p>
      <w:pPr>
        <w:pStyle w:val="BodyText"/>
      </w:pPr>
    </w:p>
    <w:p>
      <w:pPr>
        <w:pStyle w:val="BodyText"/>
      </w:pPr>
    </w:p>
    <w:p>
      <w:pPr>
        <w:pStyle w:val="BodyText"/>
        <w:spacing w:before="7"/>
        <w:rPr>
          <w:sz w:val="21"/>
        </w:rPr>
      </w:pPr>
    </w:p>
    <w:p>
      <w:pPr>
        <w:pStyle w:val="BodyText"/>
        <w:spacing w:before="93"/>
        <w:ind w:left="1183" w:right="1214" w:hanging="1"/>
      </w:pPr>
      <w:r>
        <w:rPr>
          <w:color w:val="404040"/>
        </w:rPr>
        <w:t>predictor of the use of Age Pension, as people have a greater chance to build their superannuation if they are working rather than receiving income support payments. Accordingly, the decreased future projected use of income support payments flows through to a decreased projected use of Age Pension and a further reduction in lifetime cost.</w:t>
      </w:r>
    </w:p>
    <w:p>
      <w:pPr>
        <w:pStyle w:val="ListParagraph"/>
        <w:numPr>
          <w:ilvl w:val="0"/>
          <w:numId w:val="31"/>
        </w:numPr>
        <w:tabs>
          <w:tab w:pos="1184" w:val="left" w:leader="none"/>
        </w:tabs>
        <w:spacing w:line="240" w:lineRule="auto" w:before="120" w:after="0"/>
        <w:ind w:left="1183" w:right="1144" w:hanging="284"/>
        <w:jc w:val="left"/>
        <w:rPr>
          <w:rFonts w:ascii="Symbol" w:hAnsi="Symbol"/>
          <w:sz w:val="20"/>
        </w:rPr>
      </w:pPr>
      <w:r>
        <w:rPr>
          <w:b/>
          <w:i/>
          <w:color w:val="404040"/>
          <w:sz w:val="20"/>
        </w:rPr>
        <w:t>Actual inflation over the year was lower than expected ($40bn decrease) </w:t>
      </w:r>
      <w:r>
        <w:rPr>
          <w:color w:val="404040"/>
          <w:sz w:val="20"/>
        </w:rPr>
        <w:t>– the indexation of payments over the year was around 0.7% lower than expected which resulted in a decrease in</w:t>
      </w:r>
      <w:r>
        <w:rPr>
          <w:color w:val="404040"/>
          <w:spacing w:val="-13"/>
          <w:sz w:val="20"/>
        </w:rPr>
        <w:t> </w:t>
      </w:r>
      <w:r>
        <w:rPr>
          <w:color w:val="404040"/>
          <w:sz w:val="20"/>
        </w:rPr>
        <w:t>liabilities.</w:t>
      </w:r>
    </w:p>
    <w:p>
      <w:pPr>
        <w:pStyle w:val="ListParagraph"/>
        <w:numPr>
          <w:ilvl w:val="0"/>
          <w:numId w:val="31"/>
        </w:numPr>
        <w:tabs>
          <w:tab w:pos="1184" w:val="left" w:leader="none"/>
        </w:tabs>
        <w:spacing w:line="244" w:lineRule="auto" w:before="116" w:after="0"/>
        <w:ind w:left="1183" w:right="1053" w:hanging="284"/>
        <w:jc w:val="left"/>
        <w:rPr>
          <w:rFonts w:ascii="Symbol" w:hAnsi="Symbol"/>
          <w:sz w:val="20"/>
        </w:rPr>
      </w:pPr>
      <w:r>
        <w:rPr>
          <w:b/>
          <w:color w:val="404040"/>
          <w:sz w:val="20"/>
        </w:rPr>
        <w:t>Lower projected average payments than expected ($40bn decrease) </w:t>
      </w:r>
      <w:r>
        <w:rPr>
          <w:color w:val="404040"/>
          <w:sz w:val="20"/>
        </w:rPr>
        <w:t>– the main drivers of this decrease include:</w:t>
      </w:r>
    </w:p>
    <w:p>
      <w:pPr>
        <w:pStyle w:val="ListParagraph"/>
        <w:numPr>
          <w:ilvl w:val="1"/>
          <w:numId w:val="31"/>
        </w:numPr>
        <w:tabs>
          <w:tab w:pos="1467" w:val="left" w:leader="none"/>
        </w:tabs>
        <w:spacing w:line="242" w:lineRule="auto" w:before="110" w:after="0"/>
        <w:ind w:left="1468" w:right="1035" w:hanging="286"/>
        <w:jc w:val="left"/>
        <w:rPr>
          <w:sz w:val="20"/>
        </w:rPr>
      </w:pPr>
      <w:r>
        <w:rPr>
          <w:i/>
          <w:color w:val="404040"/>
          <w:sz w:val="20"/>
        </w:rPr>
        <w:t>Reduced projected payments of Family Tax Benefit and other Family payments ($21bn decrease) – </w:t>
      </w:r>
      <w:r>
        <w:rPr>
          <w:color w:val="404040"/>
          <w:sz w:val="20"/>
        </w:rPr>
        <w:t>utilisation of these payments has been slightly lower than expected and our valuation model assumptions have been updated in response to</w:t>
      </w:r>
      <w:r>
        <w:rPr>
          <w:color w:val="404040"/>
          <w:spacing w:val="-3"/>
          <w:sz w:val="20"/>
        </w:rPr>
        <w:t> </w:t>
      </w:r>
      <w:r>
        <w:rPr>
          <w:color w:val="404040"/>
          <w:sz w:val="20"/>
        </w:rPr>
        <w:t>this.</w:t>
      </w:r>
    </w:p>
    <w:p>
      <w:pPr>
        <w:pStyle w:val="ListParagraph"/>
        <w:numPr>
          <w:ilvl w:val="1"/>
          <w:numId w:val="31"/>
        </w:numPr>
        <w:tabs>
          <w:tab w:pos="1467" w:val="left" w:leader="none"/>
        </w:tabs>
        <w:spacing w:line="240" w:lineRule="auto" w:before="114" w:after="0"/>
        <w:ind w:left="1468" w:right="1037" w:hanging="286"/>
        <w:jc w:val="left"/>
        <w:rPr>
          <w:sz w:val="20"/>
        </w:rPr>
      </w:pPr>
      <w:r>
        <w:rPr>
          <w:i/>
          <w:color w:val="404040"/>
          <w:sz w:val="20"/>
        </w:rPr>
        <w:t>Other size impacts ($19bn decrease) – </w:t>
      </w:r>
      <w:r>
        <w:rPr>
          <w:color w:val="404040"/>
          <w:sz w:val="20"/>
        </w:rPr>
        <w:t>this includes a marginal decrease in the adopted size assumption for Age Pension, during the refitting of the size models in order to allow for the latest detailed experience. Although the decrease was very small (less than 1%), this has an impact on the liabilities due to the materiality of this payment</w:t>
      </w:r>
      <w:r>
        <w:rPr>
          <w:color w:val="404040"/>
          <w:spacing w:val="-5"/>
          <w:sz w:val="20"/>
        </w:rPr>
        <w:t> </w:t>
      </w:r>
      <w:r>
        <w:rPr>
          <w:color w:val="404040"/>
          <w:sz w:val="20"/>
        </w:rPr>
        <w:t>type.</w:t>
      </w:r>
    </w:p>
    <w:p>
      <w:pPr>
        <w:pStyle w:val="ListParagraph"/>
        <w:numPr>
          <w:ilvl w:val="0"/>
          <w:numId w:val="31"/>
        </w:numPr>
        <w:tabs>
          <w:tab w:pos="1183" w:val="left" w:leader="none"/>
        </w:tabs>
        <w:spacing w:line="240" w:lineRule="auto" w:before="118" w:after="0"/>
        <w:ind w:left="1182" w:right="1033" w:hanging="284"/>
        <w:jc w:val="left"/>
        <w:rPr>
          <w:rFonts w:ascii="Symbol" w:hAnsi="Symbol"/>
          <w:sz w:val="20"/>
        </w:rPr>
      </w:pPr>
      <w:r>
        <w:rPr>
          <w:b/>
          <w:color w:val="404040"/>
          <w:sz w:val="20"/>
        </w:rPr>
        <w:t>Updated future indexation assumptions ($54bn decrease) </w:t>
      </w:r>
      <w:r>
        <w:rPr>
          <w:color w:val="404040"/>
          <w:sz w:val="20"/>
        </w:rPr>
        <w:t>– updates to the assumed indexation of future payments resulted in a $54bn decrease in the estimated total lifetime cost. This reflects an adjustment to the projected indexation over time, with the long term inflation rate now being reached one year later. This indexation update has the biggest dollar impact on the Age Pension payment category ($46bn) as this is the largest component of the lifetime</w:t>
      </w:r>
      <w:r>
        <w:rPr>
          <w:color w:val="404040"/>
          <w:spacing w:val="-2"/>
          <w:sz w:val="20"/>
        </w:rPr>
        <w:t> </w:t>
      </w:r>
      <w:r>
        <w:rPr>
          <w:color w:val="404040"/>
          <w:sz w:val="20"/>
        </w:rPr>
        <w:t>cost.</w:t>
      </w:r>
    </w:p>
    <w:p>
      <w:pPr>
        <w:pStyle w:val="ListParagraph"/>
        <w:numPr>
          <w:ilvl w:val="0"/>
          <w:numId w:val="31"/>
        </w:numPr>
        <w:tabs>
          <w:tab w:pos="1183" w:val="left" w:leader="none"/>
        </w:tabs>
        <w:spacing w:line="240" w:lineRule="auto" w:before="120" w:after="0"/>
        <w:ind w:left="1183" w:right="1543" w:hanging="284"/>
        <w:jc w:val="left"/>
        <w:rPr>
          <w:rFonts w:ascii="Symbol" w:hAnsi="Symbol"/>
          <w:sz w:val="20"/>
        </w:rPr>
      </w:pPr>
      <w:r>
        <w:rPr>
          <w:b/>
          <w:color w:val="404040"/>
          <w:sz w:val="20"/>
        </w:rPr>
        <w:t>Update of Age Pension forecast ($96bn decrease) </w:t>
      </w:r>
      <w:r>
        <w:rPr>
          <w:color w:val="404040"/>
          <w:sz w:val="20"/>
        </w:rPr>
        <w:t>– update of assumptions relating to the future utilisation of Age Pension following a review of welfare experience, as well as consideration of relevant external factors. See section </w:t>
      </w:r>
      <w:hyperlink w:history="true" w:anchor="_bookmark23">
        <w:r>
          <w:rPr>
            <w:color w:val="404040"/>
            <w:sz w:val="20"/>
          </w:rPr>
          <w:t>3.3 </w:t>
        </w:r>
      </w:hyperlink>
      <w:r>
        <w:rPr>
          <w:color w:val="404040"/>
          <w:sz w:val="20"/>
        </w:rPr>
        <w:t>for</w:t>
      </w:r>
      <w:r>
        <w:rPr>
          <w:color w:val="404040"/>
          <w:spacing w:val="-3"/>
          <w:sz w:val="20"/>
        </w:rPr>
        <w:t> </w:t>
      </w:r>
      <w:r>
        <w:rPr>
          <w:color w:val="404040"/>
          <w:sz w:val="20"/>
        </w:rPr>
        <w:t>details.</w:t>
      </w:r>
    </w:p>
    <w:p>
      <w:pPr>
        <w:pStyle w:val="BodyText"/>
        <w:spacing w:before="8"/>
      </w:pPr>
    </w:p>
    <w:p>
      <w:pPr>
        <w:pStyle w:val="ListParagraph"/>
        <w:numPr>
          <w:ilvl w:val="1"/>
          <w:numId w:val="22"/>
        </w:numPr>
        <w:tabs>
          <w:tab w:pos="1752" w:val="left" w:leader="none"/>
          <w:tab w:pos="1753" w:val="left" w:leader="none"/>
        </w:tabs>
        <w:spacing w:line="240" w:lineRule="auto" w:before="0" w:after="0"/>
        <w:ind w:left="1752" w:right="0" w:hanging="853"/>
        <w:jc w:val="left"/>
        <w:rPr>
          <w:sz w:val="28"/>
        </w:rPr>
      </w:pPr>
      <w:bookmarkStart w:name="5.3 Summary of change in lifetime cost b" w:id="145"/>
      <w:bookmarkEnd w:id="145"/>
      <w:r>
        <w:rPr/>
      </w:r>
      <w:bookmarkStart w:name="_bookmark36" w:id="146"/>
      <w:bookmarkEnd w:id="146"/>
      <w:r>
        <w:rPr/>
      </w:r>
      <w:bookmarkStart w:name="_bookmark36" w:id="147"/>
      <w:bookmarkEnd w:id="147"/>
      <w:r>
        <w:rPr>
          <w:color w:val="DF2F28"/>
          <w:sz w:val="28"/>
        </w:rPr>
        <w:t>Su</w:t>
      </w:r>
      <w:r>
        <w:rPr>
          <w:color w:val="DF2F28"/>
          <w:sz w:val="28"/>
        </w:rPr>
        <w:t>mmary of change in lifetime cost by welfare</w:t>
      </w:r>
      <w:r>
        <w:rPr>
          <w:color w:val="DF2F28"/>
          <w:spacing w:val="-9"/>
          <w:sz w:val="28"/>
        </w:rPr>
        <w:t> </w:t>
      </w:r>
      <w:r>
        <w:rPr>
          <w:color w:val="DF2F28"/>
          <w:sz w:val="28"/>
        </w:rPr>
        <w:t>class</w:t>
      </w:r>
    </w:p>
    <w:p>
      <w:pPr>
        <w:pStyle w:val="BodyText"/>
        <w:spacing w:before="122"/>
        <w:ind w:left="900" w:right="1120"/>
      </w:pPr>
      <w:r>
        <w:rPr>
          <w:color w:val="404040"/>
        </w:rPr>
        <w:t>The changes to the total lifetime cost described above will not impact people in each welfare class in the same way. For instance, certain assumption changes will only affect particular classes, population growth may differ by class, and the observed trends in welfare utilisation and behaviour will also differ by class.</w:t>
      </w:r>
    </w:p>
    <w:p>
      <w:pPr>
        <w:pStyle w:val="BodyText"/>
        <w:spacing w:before="122"/>
        <w:ind w:left="900" w:right="1065"/>
      </w:pPr>
      <w:r>
        <w:rPr>
          <w:color w:val="404040"/>
        </w:rPr>
        <w:t>Furthermore, when new predictive variables are introduced to the model, the impact is typically fairly neutral for the full population. However, these new variables will result in more differentiation between those who are expected to have higher persistency in the welfare system, and those who are expected to have lower persistency in the welfare system.</w:t>
      </w:r>
    </w:p>
    <w:p>
      <w:pPr>
        <w:pStyle w:val="BodyText"/>
        <w:spacing w:before="119"/>
        <w:ind w:left="899" w:right="1265"/>
      </w:pPr>
      <w:r>
        <w:rPr>
          <w:color w:val="404040"/>
        </w:rPr>
        <w:t>At this valuation, three new variables were introduced to the model: information on people’s location, through the inclusion of a measure of socio-economic advantage or disadvantage of the location; information on whether people who entered the country as a refugee or who became a refugee while in Australia; and information on whether income support recipients were in receipt of payments at the valuation date.</w:t>
      </w:r>
    </w:p>
    <w:p>
      <w:pPr>
        <w:spacing w:after="0"/>
        <w:sectPr>
          <w:pgSz w:w="11910" w:h="16850"/>
          <w:pgMar w:header="572" w:footer="581" w:top="780" w:bottom="780" w:left="120" w:right="0"/>
        </w:sectPr>
      </w:pPr>
    </w:p>
    <w:p>
      <w:pPr>
        <w:pStyle w:val="BodyText"/>
      </w:pPr>
    </w:p>
    <w:p>
      <w:pPr>
        <w:pStyle w:val="BodyText"/>
      </w:pPr>
    </w:p>
    <w:p>
      <w:pPr>
        <w:pStyle w:val="BodyText"/>
        <w:spacing w:before="7"/>
        <w:rPr>
          <w:sz w:val="21"/>
        </w:rPr>
      </w:pPr>
    </w:p>
    <w:p>
      <w:pPr>
        <w:pStyle w:val="BodyText"/>
        <w:spacing w:before="93"/>
        <w:ind w:left="900" w:right="1309"/>
      </w:pPr>
      <w:r>
        <w:rPr>
          <w:color w:val="404040"/>
        </w:rPr>
        <w:t>The table below shows a class level summary of the changes in population and average lifetime cost. These contribute to the total change discussed above.</w:t>
      </w:r>
    </w:p>
    <w:p>
      <w:pPr>
        <w:pStyle w:val="Heading9"/>
        <w:spacing w:before="176" w:after="47"/>
      </w:pPr>
      <w:r>
        <w:rPr>
          <w:color w:val="DF2F1E"/>
        </w:rPr>
        <w:t>Table </w:t>
      </w:r>
      <w:r>
        <w:rPr>
          <w:b w:val="0"/>
          <w:color w:val="DF2F1E"/>
        </w:rPr>
        <w:t>12</w:t>
      </w:r>
      <w:r>
        <w:rPr>
          <w:color w:val="DF2F1E"/>
        </w:rPr>
        <w:t>: Summary of changes in lifetime cost by class</w:t>
      </w:r>
    </w:p>
    <w:tbl>
      <w:tblPr>
        <w:tblW w:w="0" w:type="auto"/>
        <w:jc w:val="left"/>
        <w:tblInd w:w="965" w:type="dxa"/>
        <w:tblBorders>
          <w:top w:val="single" w:sz="4" w:space="0" w:color="DF2F1E"/>
          <w:left w:val="single" w:sz="4" w:space="0" w:color="DF2F1E"/>
          <w:bottom w:val="single" w:sz="4" w:space="0" w:color="DF2F1E"/>
          <w:right w:val="single" w:sz="4" w:space="0" w:color="DF2F1E"/>
          <w:insideH w:val="single" w:sz="4" w:space="0" w:color="DF2F1E"/>
          <w:insideV w:val="single" w:sz="4" w:space="0" w:color="DF2F1E"/>
        </w:tblBorders>
        <w:tblLayout w:type="fixed"/>
        <w:tblCellMar>
          <w:top w:w="0" w:type="dxa"/>
          <w:left w:w="0" w:type="dxa"/>
          <w:bottom w:w="0" w:type="dxa"/>
          <w:right w:w="0" w:type="dxa"/>
        </w:tblCellMar>
        <w:tblLook w:val="01E0"/>
      </w:tblPr>
      <w:tblGrid>
        <w:gridCol w:w="2438"/>
        <w:gridCol w:w="849"/>
        <w:gridCol w:w="848"/>
        <w:gridCol w:w="851"/>
        <w:gridCol w:w="848"/>
        <w:gridCol w:w="850"/>
        <w:gridCol w:w="1133"/>
        <w:gridCol w:w="1189"/>
        <w:gridCol w:w="1191"/>
      </w:tblGrid>
      <w:tr>
        <w:trPr>
          <w:trHeight w:val="1605" w:hRule="atLeast"/>
        </w:trPr>
        <w:tc>
          <w:tcPr>
            <w:tcW w:w="2438" w:type="dxa"/>
            <w:tcBorders>
              <w:top w:val="nil"/>
              <w:left w:val="nil"/>
              <w:bottom w:val="nil"/>
              <w:right w:val="nil"/>
            </w:tcBorders>
            <w:shd w:val="clear" w:color="auto" w:fill="DF2528"/>
          </w:tcPr>
          <w:p>
            <w:pPr>
              <w:pStyle w:val="TableParagraph"/>
              <w:spacing w:before="3"/>
              <w:rPr>
                <w:b/>
                <w:sz w:val="23"/>
              </w:rPr>
            </w:pPr>
          </w:p>
          <w:p>
            <w:pPr>
              <w:pStyle w:val="TableParagraph"/>
              <w:spacing w:before="0"/>
              <w:ind w:left="112"/>
              <w:rPr>
                <w:b/>
                <w:sz w:val="16"/>
              </w:rPr>
            </w:pPr>
            <w:r>
              <w:rPr>
                <w:b/>
                <w:color w:val="FFFFFF"/>
                <w:sz w:val="16"/>
              </w:rPr>
              <w:t>Population segment</w:t>
            </w:r>
          </w:p>
        </w:tc>
        <w:tc>
          <w:tcPr>
            <w:tcW w:w="849" w:type="dxa"/>
            <w:tcBorders>
              <w:top w:val="nil"/>
              <w:left w:val="nil"/>
              <w:bottom w:val="nil"/>
              <w:right w:val="nil"/>
            </w:tcBorders>
            <w:shd w:val="clear" w:color="auto" w:fill="DF2528"/>
          </w:tcPr>
          <w:p>
            <w:pPr>
              <w:pStyle w:val="TableParagraph"/>
              <w:spacing w:before="5"/>
              <w:rPr>
                <w:b/>
                <w:sz w:val="23"/>
              </w:rPr>
            </w:pPr>
          </w:p>
          <w:p>
            <w:pPr>
              <w:pStyle w:val="TableParagraph"/>
              <w:spacing w:before="0"/>
              <w:ind w:left="113" w:right="102"/>
              <w:rPr>
                <w:b/>
                <w:sz w:val="16"/>
              </w:rPr>
            </w:pPr>
            <w:r>
              <w:rPr>
                <w:b/>
                <w:color w:val="FFFFFF"/>
                <w:sz w:val="16"/>
              </w:rPr>
              <w:t>Jun-17 Lifetime Cost ($bn)</w:t>
            </w:r>
          </w:p>
        </w:tc>
        <w:tc>
          <w:tcPr>
            <w:tcW w:w="1699" w:type="dxa"/>
            <w:gridSpan w:val="2"/>
            <w:tcBorders>
              <w:top w:val="nil"/>
              <w:left w:val="nil"/>
              <w:bottom w:val="nil"/>
              <w:right w:val="nil"/>
            </w:tcBorders>
            <w:shd w:val="clear" w:color="auto" w:fill="DF2528"/>
          </w:tcPr>
          <w:p>
            <w:pPr>
              <w:pStyle w:val="TableParagraph"/>
              <w:spacing w:before="5"/>
              <w:rPr>
                <w:b/>
                <w:sz w:val="23"/>
              </w:rPr>
            </w:pPr>
          </w:p>
          <w:p>
            <w:pPr>
              <w:pStyle w:val="TableParagraph"/>
              <w:tabs>
                <w:tab w:pos="963" w:val="left" w:leader="none"/>
              </w:tabs>
              <w:spacing w:before="0"/>
              <w:ind w:left="113" w:right="115"/>
              <w:rPr>
                <w:b/>
                <w:sz w:val="16"/>
              </w:rPr>
            </w:pPr>
            <w:r>
              <w:rPr>
                <w:b/>
                <w:color w:val="FFFFFF"/>
                <w:sz w:val="16"/>
              </w:rPr>
              <w:t>Jun-17</w:t>
              <w:tab/>
              <w:t>Jun-18 Lifetime</w:t>
              <w:tab/>
            </w:r>
            <w:r>
              <w:rPr>
                <w:b/>
                <w:color w:val="FFFFFF"/>
                <w:spacing w:val="-3"/>
                <w:sz w:val="16"/>
              </w:rPr>
              <w:t>Lifetime </w:t>
            </w:r>
            <w:r>
              <w:rPr>
                <w:b/>
                <w:color w:val="FFFFFF"/>
                <w:sz w:val="16"/>
              </w:rPr>
              <w:t>Cost</w:t>
              <w:tab/>
              <w:t>Cost</w:t>
            </w:r>
          </w:p>
          <w:p>
            <w:pPr>
              <w:pStyle w:val="TableParagraph"/>
              <w:tabs>
                <w:tab w:pos="963" w:val="left" w:leader="none"/>
              </w:tabs>
              <w:spacing w:before="0"/>
              <w:ind w:left="113" w:right="341"/>
              <w:rPr>
                <w:b/>
                <w:sz w:val="16"/>
              </w:rPr>
            </w:pPr>
            <w:r>
              <w:rPr>
                <w:b/>
                <w:color w:val="FFFFFF"/>
                <w:sz w:val="16"/>
              </w:rPr>
              <w:t>($bn) –</w:t>
              <w:tab/>
            </w:r>
            <w:r>
              <w:rPr>
                <w:b/>
                <w:color w:val="FFFFFF"/>
                <w:spacing w:val="-5"/>
                <w:sz w:val="16"/>
              </w:rPr>
              <w:t>($bn) </w:t>
            </w:r>
            <w:r>
              <w:rPr>
                <w:b/>
                <w:color w:val="FFFFFF"/>
                <w:sz w:val="16"/>
              </w:rPr>
              <w:t>rebased</w:t>
            </w:r>
          </w:p>
        </w:tc>
        <w:tc>
          <w:tcPr>
            <w:tcW w:w="1698" w:type="dxa"/>
            <w:gridSpan w:val="2"/>
            <w:tcBorders>
              <w:top w:val="nil"/>
              <w:left w:val="nil"/>
              <w:bottom w:val="nil"/>
              <w:right w:val="nil"/>
            </w:tcBorders>
            <w:shd w:val="clear" w:color="auto" w:fill="DF2528"/>
          </w:tcPr>
          <w:p>
            <w:pPr>
              <w:pStyle w:val="TableParagraph"/>
              <w:spacing w:before="5"/>
              <w:rPr>
                <w:b/>
                <w:sz w:val="23"/>
              </w:rPr>
            </w:pPr>
          </w:p>
          <w:p>
            <w:pPr>
              <w:pStyle w:val="TableParagraph"/>
              <w:tabs>
                <w:tab w:pos="965" w:val="left" w:leader="none"/>
              </w:tabs>
              <w:spacing w:before="0"/>
              <w:ind w:left="116" w:right="141"/>
              <w:rPr>
                <w:b/>
                <w:sz w:val="16"/>
              </w:rPr>
            </w:pPr>
            <w:r>
              <w:rPr>
                <w:b/>
                <w:color w:val="FFFFFF"/>
                <w:sz w:val="16"/>
              </w:rPr>
              <w:t>Change</w:t>
              <w:tab/>
            </w:r>
            <w:r>
              <w:rPr>
                <w:b/>
                <w:color w:val="FFFFFF"/>
                <w:spacing w:val="-4"/>
                <w:sz w:val="16"/>
              </w:rPr>
              <w:t>Change </w:t>
            </w:r>
            <w:r>
              <w:rPr>
                <w:b/>
                <w:color w:val="FFFFFF"/>
                <w:sz w:val="16"/>
              </w:rPr>
              <w:t>in</w:t>
              <w:tab/>
              <w:t>in</w:t>
            </w:r>
          </w:p>
          <w:p>
            <w:pPr>
              <w:pStyle w:val="TableParagraph"/>
              <w:tabs>
                <w:tab w:pos="965" w:val="left" w:leader="none"/>
              </w:tabs>
              <w:spacing w:line="183" w:lineRule="exact" w:before="0"/>
              <w:ind w:left="116"/>
              <w:rPr>
                <w:b/>
                <w:sz w:val="16"/>
              </w:rPr>
            </w:pPr>
            <w:r>
              <w:rPr>
                <w:b/>
                <w:color w:val="FFFFFF"/>
                <w:sz w:val="16"/>
              </w:rPr>
              <w:t>lifetime</w:t>
              <w:tab/>
              <w:t>lifetime</w:t>
            </w:r>
          </w:p>
          <w:p>
            <w:pPr>
              <w:pStyle w:val="TableParagraph"/>
              <w:tabs>
                <w:tab w:pos="965" w:val="left" w:leader="none"/>
              </w:tabs>
              <w:spacing w:before="1"/>
              <w:ind w:left="116" w:right="107"/>
              <w:rPr>
                <w:b/>
                <w:sz w:val="16"/>
              </w:rPr>
            </w:pPr>
            <w:r>
              <w:rPr>
                <w:b/>
                <w:color w:val="FFFFFF"/>
                <w:sz w:val="16"/>
              </w:rPr>
              <w:t>cost</w:t>
              <w:tab/>
              <w:t>cost </w:t>
            </w:r>
            <w:r>
              <w:rPr>
                <w:b/>
                <w:color w:val="FFFFFF"/>
                <w:spacing w:val="-6"/>
                <w:sz w:val="16"/>
              </w:rPr>
              <w:t>(%) </w:t>
            </w:r>
            <w:r>
              <w:rPr>
                <w:b/>
                <w:color w:val="FFFFFF"/>
                <w:sz w:val="16"/>
              </w:rPr>
              <w:t>($bn)</w:t>
            </w:r>
          </w:p>
        </w:tc>
        <w:tc>
          <w:tcPr>
            <w:tcW w:w="1133" w:type="dxa"/>
            <w:tcBorders>
              <w:top w:val="nil"/>
              <w:left w:val="nil"/>
              <w:bottom w:val="nil"/>
              <w:right w:val="nil"/>
            </w:tcBorders>
            <w:shd w:val="clear" w:color="auto" w:fill="DF2528"/>
          </w:tcPr>
          <w:p>
            <w:pPr>
              <w:pStyle w:val="TableParagraph"/>
              <w:spacing w:before="5"/>
              <w:rPr>
                <w:b/>
                <w:sz w:val="23"/>
              </w:rPr>
            </w:pPr>
          </w:p>
          <w:p>
            <w:pPr>
              <w:pStyle w:val="TableParagraph"/>
              <w:spacing w:before="0"/>
              <w:ind w:left="117" w:right="133"/>
              <w:rPr>
                <w:b/>
                <w:sz w:val="16"/>
              </w:rPr>
            </w:pPr>
            <w:r>
              <w:rPr>
                <w:b/>
                <w:color w:val="FFFFFF"/>
                <w:sz w:val="16"/>
              </w:rPr>
              <w:t>Change in lifetime cost – population change component (%)</w:t>
            </w:r>
          </w:p>
        </w:tc>
        <w:tc>
          <w:tcPr>
            <w:tcW w:w="2380" w:type="dxa"/>
            <w:gridSpan w:val="2"/>
            <w:tcBorders>
              <w:top w:val="nil"/>
              <w:left w:val="nil"/>
              <w:bottom w:val="nil"/>
              <w:right w:val="nil"/>
            </w:tcBorders>
            <w:shd w:val="clear" w:color="auto" w:fill="DF2528"/>
          </w:tcPr>
          <w:p>
            <w:pPr>
              <w:pStyle w:val="TableParagraph"/>
              <w:spacing w:before="5"/>
              <w:rPr>
                <w:b/>
                <w:sz w:val="23"/>
              </w:rPr>
            </w:pPr>
          </w:p>
          <w:p>
            <w:pPr>
              <w:pStyle w:val="TableParagraph"/>
              <w:tabs>
                <w:tab w:pos="1310" w:val="left" w:leader="none"/>
              </w:tabs>
              <w:spacing w:before="0"/>
              <w:ind w:left="117" w:right="131"/>
              <w:rPr>
                <w:b/>
                <w:sz w:val="16"/>
              </w:rPr>
            </w:pPr>
            <w:r>
              <w:rPr>
                <w:b/>
                <w:color w:val="FFFFFF"/>
                <w:sz w:val="16"/>
              </w:rPr>
              <w:t>Change</w:t>
            </w:r>
            <w:r>
              <w:rPr>
                <w:b/>
                <w:color w:val="FFFFFF"/>
                <w:spacing w:val="-1"/>
                <w:sz w:val="16"/>
              </w:rPr>
              <w:t> </w:t>
            </w:r>
            <w:r>
              <w:rPr>
                <w:b/>
                <w:color w:val="FFFFFF"/>
                <w:sz w:val="16"/>
              </w:rPr>
              <w:t>in</w:t>
              <w:tab/>
              <w:t>Change in lifetime</w:t>
            </w:r>
            <w:r>
              <w:rPr>
                <w:b/>
                <w:color w:val="FFFFFF"/>
                <w:spacing w:val="-1"/>
                <w:sz w:val="16"/>
              </w:rPr>
              <w:t> </w:t>
            </w:r>
            <w:r>
              <w:rPr>
                <w:b/>
                <w:color w:val="FFFFFF"/>
                <w:sz w:val="16"/>
              </w:rPr>
              <w:t>cost</w:t>
              <w:tab/>
              <w:t>lifetime</w:t>
            </w:r>
            <w:r>
              <w:rPr>
                <w:b/>
                <w:color w:val="FFFFFF"/>
                <w:spacing w:val="4"/>
                <w:sz w:val="16"/>
              </w:rPr>
              <w:t> </w:t>
            </w:r>
            <w:r>
              <w:rPr>
                <w:b/>
                <w:color w:val="FFFFFF"/>
                <w:spacing w:val="-5"/>
                <w:sz w:val="16"/>
              </w:rPr>
              <w:t>cost</w:t>
            </w:r>
          </w:p>
          <w:p>
            <w:pPr>
              <w:pStyle w:val="TableParagraph"/>
              <w:tabs>
                <w:tab w:pos="1310" w:val="left" w:leader="none"/>
              </w:tabs>
              <w:spacing w:before="0"/>
              <w:ind w:left="117" w:right="131"/>
              <w:rPr>
                <w:b/>
                <w:sz w:val="16"/>
              </w:rPr>
            </w:pPr>
            <w:r>
              <w:rPr>
                <w:b/>
                <w:color w:val="FFFFFF"/>
                <w:sz w:val="16"/>
              </w:rPr>
              <w:t>–</w:t>
            </w:r>
            <w:r>
              <w:rPr>
                <w:b/>
                <w:color w:val="FFFFFF"/>
                <w:spacing w:val="-1"/>
                <w:sz w:val="16"/>
              </w:rPr>
              <w:t> </w:t>
            </w:r>
            <w:r>
              <w:rPr>
                <w:b/>
                <w:color w:val="FFFFFF"/>
                <w:sz w:val="16"/>
              </w:rPr>
              <w:t>ave</w:t>
              <w:tab/>
              <w:t>– ave lifetime</w:t>
            </w:r>
            <w:r>
              <w:rPr>
                <w:b/>
                <w:color w:val="FFFFFF"/>
                <w:spacing w:val="-1"/>
                <w:sz w:val="16"/>
              </w:rPr>
              <w:t> </w:t>
            </w:r>
            <w:r>
              <w:rPr>
                <w:b/>
                <w:color w:val="FFFFFF"/>
                <w:sz w:val="16"/>
              </w:rPr>
              <w:t>cost</w:t>
              <w:tab/>
              <w:t>lifetime </w:t>
            </w:r>
            <w:r>
              <w:rPr>
                <w:b/>
                <w:color w:val="FFFFFF"/>
                <w:spacing w:val="-4"/>
                <w:sz w:val="16"/>
              </w:rPr>
              <w:t>cost </w:t>
            </w:r>
            <w:r>
              <w:rPr>
                <w:b/>
                <w:color w:val="FFFFFF"/>
                <w:sz w:val="16"/>
              </w:rPr>
              <w:t>change</w:t>
              <w:tab/>
              <w:t>change component</w:t>
              <w:tab/>
              <w:t>component (%)</w:t>
              <w:tab/>
              <w:t>($’000)</w:t>
            </w:r>
          </w:p>
        </w:tc>
      </w:tr>
      <w:tr>
        <w:trPr>
          <w:trHeight w:val="263" w:hRule="atLeast"/>
        </w:trPr>
        <w:tc>
          <w:tcPr>
            <w:tcW w:w="3287" w:type="dxa"/>
            <w:gridSpan w:val="2"/>
            <w:tcBorders>
              <w:top w:val="nil"/>
              <w:left w:val="nil"/>
              <w:bottom w:val="nil"/>
              <w:right w:val="nil"/>
            </w:tcBorders>
            <w:shd w:val="clear" w:color="auto" w:fill="DF2528"/>
          </w:tcPr>
          <w:p>
            <w:pPr>
              <w:pStyle w:val="TableParagraph"/>
              <w:spacing w:before="39"/>
              <w:ind w:left="112"/>
              <w:rPr>
                <w:b/>
                <w:sz w:val="16"/>
              </w:rPr>
            </w:pPr>
            <w:r>
              <w:rPr>
                <w:b/>
                <w:color w:val="FFFFFF"/>
                <w:sz w:val="16"/>
              </w:rPr>
              <w:t>Current welfare recipients</w:t>
            </w:r>
          </w:p>
        </w:tc>
        <w:tc>
          <w:tcPr>
            <w:tcW w:w="5719" w:type="dxa"/>
            <w:gridSpan w:val="6"/>
            <w:tcBorders>
              <w:top w:val="nil"/>
              <w:left w:val="nil"/>
              <w:bottom w:val="nil"/>
            </w:tcBorders>
            <w:shd w:val="clear" w:color="auto" w:fill="DF2528"/>
          </w:tcPr>
          <w:p>
            <w:pPr>
              <w:pStyle w:val="TableParagraph"/>
              <w:spacing w:before="0"/>
              <w:rPr>
                <w:rFonts w:ascii="Times New Roman"/>
                <w:sz w:val="16"/>
              </w:rPr>
            </w:pPr>
          </w:p>
        </w:tc>
        <w:tc>
          <w:tcPr>
            <w:tcW w:w="1191" w:type="dxa"/>
            <w:tcBorders>
              <w:top w:val="nil"/>
              <w:bottom w:val="nil"/>
              <w:right w:val="nil"/>
            </w:tcBorders>
            <w:shd w:val="clear" w:color="auto" w:fill="DF2528"/>
          </w:tcPr>
          <w:p>
            <w:pPr>
              <w:pStyle w:val="TableParagraph"/>
              <w:spacing w:before="0"/>
              <w:rPr>
                <w:rFonts w:ascii="Times New Roman"/>
                <w:sz w:val="16"/>
              </w:rPr>
            </w:pPr>
          </w:p>
        </w:tc>
      </w:tr>
      <w:tr>
        <w:trPr>
          <w:trHeight w:val="270" w:hRule="atLeast"/>
        </w:trPr>
        <w:tc>
          <w:tcPr>
            <w:tcW w:w="2438" w:type="dxa"/>
            <w:tcBorders>
              <w:top w:val="single" w:sz="4" w:space="0" w:color="DF2528"/>
              <w:left w:val="nil"/>
              <w:bottom w:val="single" w:sz="4" w:space="0" w:color="DF2528"/>
            </w:tcBorders>
          </w:tcPr>
          <w:p>
            <w:pPr>
              <w:pStyle w:val="TableParagraph"/>
              <w:spacing w:before="44"/>
              <w:ind w:left="112"/>
              <w:rPr>
                <w:sz w:val="16"/>
              </w:rPr>
            </w:pPr>
            <w:r>
              <w:rPr>
                <w:color w:val="404040"/>
                <w:sz w:val="16"/>
              </w:rPr>
              <w:t>- 1 Studying</w:t>
            </w:r>
          </w:p>
        </w:tc>
        <w:tc>
          <w:tcPr>
            <w:tcW w:w="849" w:type="dxa"/>
            <w:tcBorders>
              <w:top w:val="single" w:sz="4" w:space="0" w:color="DF2528"/>
              <w:bottom w:val="single" w:sz="4" w:space="0" w:color="DF2528"/>
              <w:right w:val="single" w:sz="4" w:space="0" w:color="DF2528"/>
            </w:tcBorders>
          </w:tcPr>
          <w:p>
            <w:pPr>
              <w:pStyle w:val="TableParagraph"/>
              <w:spacing w:before="44"/>
              <w:ind w:left="198" w:right="197"/>
              <w:jc w:val="center"/>
              <w:rPr>
                <w:sz w:val="16"/>
              </w:rPr>
            </w:pPr>
            <w:r>
              <w:rPr>
                <w:color w:val="404040"/>
                <w:sz w:val="16"/>
              </w:rPr>
              <w:t>79</w:t>
            </w:r>
          </w:p>
        </w:tc>
        <w:tc>
          <w:tcPr>
            <w:tcW w:w="848" w:type="dxa"/>
            <w:tcBorders>
              <w:top w:val="single" w:sz="4" w:space="0" w:color="DF2528"/>
              <w:left w:val="single" w:sz="4" w:space="0" w:color="DF2528"/>
              <w:bottom w:val="single" w:sz="4" w:space="0" w:color="DF2528"/>
              <w:right w:val="nil"/>
            </w:tcBorders>
          </w:tcPr>
          <w:p>
            <w:pPr>
              <w:pStyle w:val="TableParagraph"/>
              <w:spacing w:before="44"/>
              <w:ind w:right="288"/>
              <w:jc w:val="right"/>
              <w:rPr>
                <w:sz w:val="16"/>
              </w:rPr>
            </w:pPr>
            <w:r>
              <w:rPr>
                <w:color w:val="404040"/>
                <w:sz w:val="16"/>
              </w:rPr>
              <w:t>112</w:t>
            </w:r>
          </w:p>
        </w:tc>
        <w:tc>
          <w:tcPr>
            <w:tcW w:w="851" w:type="dxa"/>
            <w:tcBorders>
              <w:top w:val="single" w:sz="4" w:space="0" w:color="DF2528"/>
              <w:left w:val="nil"/>
              <w:bottom w:val="single" w:sz="4" w:space="0" w:color="DF2528"/>
            </w:tcBorders>
          </w:tcPr>
          <w:p>
            <w:pPr>
              <w:pStyle w:val="TableParagraph"/>
              <w:spacing w:before="44"/>
              <w:ind w:right="327"/>
              <w:jc w:val="right"/>
              <w:rPr>
                <w:sz w:val="16"/>
              </w:rPr>
            </w:pPr>
            <w:r>
              <w:rPr>
                <w:color w:val="404040"/>
                <w:sz w:val="16"/>
              </w:rPr>
              <w:t>94</w:t>
            </w:r>
          </w:p>
        </w:tc>
        <w:tc>
          <w:tcPr>
            <w:tcW w:w="848" w:type="dxa"/>
            <w:tcBorders>
              <w:top w:val="single" w:sz="4" w:space="0" w:color="DF2528"/>
              <w:bottom w:val="single" w:sz="4" w:space="0" w:color="DF2528"/>
              <w:right w:val="nil"/>
            </w:tcBorders>
          </w:tcPr>
          <w:p>
            <w:pPr>
              <w:pStyle w:val="TableParagraph"/>
              <w:spacing w:before="44"/>
              <w:ind w:left="241" w:right="238"/>
              <w:jc w:val="center"/>
              <w:rPr>
                <w:sz w:val="16"/>
              </w:rPr>
            </w:pPr>
            <w:r>
              <w:rPr>
                <w:color w:val="404040"/>
                <w:sz w:val="16"/>
              </w:rPr>
              <w:t>-18</w:t>
            </w:r>
          </w:p>
        </w:tc>
        <w:tc>
          <w:tcPr>
            <w:tcW w:w="850" w:type="dxa"/>
            <w:tcBorders>
              <w:top w:val="single" w:sz="4" w:space="0" w:color="DF2528"/>
              <w:left w:val="nil"/>
              <w:bottom w:val="single" w:sz="4" w:space="0" w:color="DF2528"/>
            </w:tcBorders>
          </w:tcPr>
          <w:p>
            <w:pPr>
              <w:pStyle w:val="TableParagraph"/>
              <w:spacing w:before="44"/>
              <w:ind w:left="155" w:right="142"/>
              <w:jc w:val="center"/>
              <w:rPr>
                <w:sz w:val="16"/>
              </w:rPr>
            </w:pPr>
            <w:r>
              <w:rPr>
                <w:color w:val="404040"/>
                <w:sz w:val="16"/>
              </w:rPr>
              <w:t>-15.8%</w:t>
            </w:r>
          </w:p>
        </w:tc>
        <w:tc>
          <w:tcPr>
            <w:tcW w:w="1133" w:type="dxa"/>
            <w:tcBorders>
              <w:top w:val="single" w:sz="4" w:space="0" w:color="DF2528"/>
              <w:bottom w:val="single" w:sz="4" w:space="0" w:color="DF2528"/>
            </w:tcBorders>
          </w:tcPr>
          <w:p>
            <w:pPr>
              <w:pStyle w:val="TableParagraph"/>
              <w:spacing w:before="44"/>
              <w:ind w:left="272" w:right="263"/>
              <w:jc w:val="center"/>
              <w:rPr>
                <w:sz w:val="16"/>
              </w:rPr>
            </w:pPr>
            <w:r>
              <w:rPr>
                <w:color w:val="404040"/>
                <w:sz w:val="16"/>
              </w:rPr>
              <w:t>-3.4%</w:t>
            </w:r>
          </w:p>
        </w:tc>
        <w:tc>
          <w:tcPr>
            <w:tcW w:w="1189" w:type="dxa"/>
            <w:tcBorders>
              <w:top w:val="single" w:sz="4" w:space="0" w:color="DF2528"/>
              <w:bottom w:val="single" w:sz="4" w:space="0" w:color="DF2528"/>
              <w:right w:val="nil"/>
            </w:tcBorders>
          </w:tcPr>
          <w:p>
            <w:pPr>
              <w:pStyle w:val="TableParagraph"/>
              <w:spacing w:before="44"/>
              <w:ind w:left="211" w:right="208"/>
              <w:jc w:val="center"/>
              <w:rPr>
                <w:sz w:val="16"/>
              </w:rPr>
            </w:pPr>
            <w:r>
              <w:rPr>
                <w:color w:val="404040"/>
                <w:sz w:val="16"/>
              </w:rPr>
              <w:t>-12.4%</w:t>
            </w:r>
          </w:p>
        </w:tc>
        <w:tc>
          <w:tcPr>
            <w:tcW w:w="1191" w:type="dxa"/>
            <w:tcBorders>
              <w:top w:val="single" w:sz="4" w:space="0" w:color="DF2528"/>
              <w:left w:val="nil"/>
              <w:bottom w:val="single" w:sz="4" w:space="0" w:color="DF2528"/>
              <w:right w:val="nil"/>
            </w:tcBorders>
          </w:tcPr>
          <w:p>
            <w:pPr>
              <w:pStyle w:val="TableParagraph"/>
              <w:spacing w:before="44"/>
              <w:ind w:left="467" w:right="451"/>
              <w:jc w:val="center"/>
              <w:rPr>
                <w:sz w:val="16"/>
              </w:rPr>
            </w:pPr>
            <w:r>
              <w:rPr>
                <w:color w:val="404040"/>
                <w:sz w:val="16"/>
              </w:rPr>
              <w:t>-39</w:t>
            </w:r>
          </w:p>
        </w:tc>
      </w:tr>
      <w:tr>
        <w:trPr>
          <w:trHeight w:val="263" w:hRule="atLeast"/>
        </w:trPr>
        <w:tc>
          <w:tcPr>
            <w:tcW w:w="2438" w:type="dxa"/>
            <w:tcBorders>
              <w:top w:val="single" w:sz="4" w:space="0" w:color="DF2528"/>
              <w:left w:val="nil"/>
              <w:bottom w:val="single" w:sz="4" w:space="0" w:color="DF2528"/>
            </w:tcBorders>
          </w:tcPr>
          <w:p>
            <w:pPr>
              <w:pStyle w:val="TableParagraph"/>
              <w:ind w:left="112"/>
              <w:rPr>
                <w:sz w:val="16"/>
              </w:rPr>
            </w:pPr>
            <w:r>
              <w:rPr>
                <w:color w:val="404040"/>
                <w:sz w:val="16"/>
              </w:rPr>
              <w:t>- 2 Working Age</w:t>
            </w:r>
          </w:p>
        </w:tc>
        <w:tc>
          <w:tcPr>
            <w:tcW w:w="849" w:type="dxa"/>
            <w:tcBorders>
              <w:top w:val="single" w:sz="4" w:space="0" w:color="DF2528"/>
              <w:bottom w:val="single" w:sz="4" w:space="0" w:color="DF2528"/>
              <w:right w:val="single" w:sz="4" w:space="0" w:color="DF2528"/>
            </w:tcBorders>
          </w:tcPr>
          <w:p>
            <w:pPr>
              <w:pStyle w:val="TableParagraph"/>
              <w:ind w:left="198" w:right="199"/>
              <w:jc w:val="center"/>
              <w:rPr>
                <w:sz w:val="16"/>
              </w:rPr>
            </w:pPr>
            <w:r>
              <w:rPr>
                <w:color w:val="404040"/>
                <w:sz w:val="16"/>
              </w:rPr>
              <w:t>411</w:t>
            </w:r>
          </w:p>
        </w:tc>
        <w:tc>
          <w:tcPr>
            <w:tcW w:w="848" w:type="dxa"/>
            <w:tcBorders>
              <w:top w:val="single" w:sz="4" w:space="0" w:color="DF2528"/>
              <w:left w:val="single" w:sz="4" w:space="0" w:color="DF2528"/>
              <w:bottom w:val="single" w:sz="4" w:space="0" w:color="DF2528"/>
              <w:right w:val="nil"/>
            </w:tcBorders>
          </w:tcPr>
          <w:p>
            <w:pPr>
              <w:pStyle w:val="TableParagraph"/>
              <w:ind w:right="288"/>
              <w:jc w:val="right"/>
              <w:rPr>
                <w:sz w:val="16"/>
              </w:rPr>
            </w:pPr>
            <w:r>
              <w:rPr>
                <w:color w:val="404040"/>
                <w:sz w:val="16"/>
              </w:rPr>
              <w:t>521</w:t>
            </w:r>
          </w:p>
        </w:tc>
        <w:tc>
          <w:tcPr>
            <w:tcW w:w="851" w:type="dxa"/>
            <w:tcBorders>
              <w:top w:val="single" w:sz="4" w:space="0" w:color="DF2528"/>
              <w:left w:val="nil"/>
              <w:bottom w:val="single" w:sz="4" w:space="0" w:color="DF2528"/>
            </w:tcBorders>
          </w:tcPr>
          <w:p>
            <w:pPr>
              <w:pStyle w:val="TableParagraph"/>
              <w:ind w:right="284"/>
              <w:jc w:val="right"/>
              <w:rPr>
                <w:sz w:val="16"/>
              </w:rPr>
            </w:pPr>
            <w:r>
              <w:rPr>
                <w:color w:val="404040"/>
                <w:sz w:val="16"/>
              </w:rPr>
              <w:t>471</w:t>
            </w:r>
          </w:p>
        </w:tc>
        <w:tc>
          <w:tcPr>
            <w:tcW w:w="848" w:type="dxa"/>
            <w:tcBorders>
              <w:top w:val="single" w:sz="4" w:space="0" w:color="DF2528"/>
              <w:bottom w:val="single" w:sz="4" w:space="0" w:color="DF2528"/>
              <w:right w:val="nil"/>
            </w:tcBorders>
          </w:tcPr>
          <w:p>
            <w:pPr>
              <w:pStyle w:val="TableParagraph"/>
              <w:ind w:left="241" w:right="238"/>
              <w:jc w:val="center"/>
              <w:rPr>
                <w:sz w:val="16"/>
              </w:rPr>
            </w:pPr>
            <w:r>
              <w:rPr>
                <w:color w:val="404040"/>
                <w:sz w:val="16"/>
              </w:rPr>
              <w:t>-50</w:t>
            </w:r>
          </w:p>
        </w:tc>
        <w:tc>
          <w:tcPr>
            <w:tcW w:w="850" w:type="dxa"/>
            <w:tcBorders>
              <w:top w:val="single" w:sz="4" w:space="0" w:color="DF2528"/>
              <w:left w:val="nil"/>
              <w:bottom w:val="single" w:sz="4" w:space="0" w:color="DF2528"/>
            </w:tcBorders>
          </w:tcPr>
          <w:p>
            <w:pPr>
              <w:pStyle w:val="TableParagraph"/>
              <w:ind w:left="155" w:right="140"/>
              <w:jc w:val="center"/>
              <w:rPr>
                <w:sz w:val="16"/>
              </w:rPr>
            </w:pPr>
            <w:r>
              <w:rPr>
                <w:color w:val="404040"/>
                <w:sz w:val="16"/>
              </w:rPr>
              <w:t>-9.6%</w:t>
            </w:r>
          </w:p>
        </w:tc>
        <w:tc>
          <w:tcPr>
            <w:tcW w:w="1133" w:type="dxa"/>
            <w:tcBorders>
              <w:top w:val="single" w:sz="4" w:space="0" w:color="DF2528"/>
              <w:bottom w:val="single" w:sz="4" w:space="0" w:color="DF2528"/>
            </w:tcBorders>
          </w:tcPr>
          <w:p>
            <w:pPr>
              <w:pStyle w:val="TableParagraph"/>
              <w:ind w:left="272" w:right="263"/>
              <w:jc w:val="center"/>
              <w:rPr>
                <w:sz w:val="16"/>
              </w:rPr>
            </w:pPr>
            <w:r>
              <w:rPr>
                <w:color w:val="404040"/>
                <w:sz w:val="16"/>
              </w:rPr>
              <w:t>-4.9%</w:t>
            </w:r>
          </w:p>
        </w:tc>
        <w:tc>
          <w:tcPr>
            <w:tcW w:w="1189" w:type="dxa"/>
            <w:tcBorders>
              <w:top w:val="single" w:sz="4" w:space="0" w:color="DF2528"/>
              <w:bottom w:val="single" w:sz="4" w:space="0" w:color="DF2528"/>
              <w:right w:val="nil"/>
            </w:tcBorders>
          </w:tcPr>
          <w:p>
            <w:pPr>
              <w:pStyle w:val="TableParagraph"/>
              <w:ind w:left="211" w:right="205"/>
              <w:jc w:val="center"/>
              <w:rPr>
                <w:sz w:val="16"/>
              </w:rPr>
            </w:pPr>
            <w:r>
              <w:rPr>
                <w:color w:val="404040"/>
                <w:sz w:val="16"/>
              </w:rPr>
              <w:t>-4.7%</w:t>
            </w:r>
          </w:p>
        </w:tc>
        <w:tc>
          <w:tcPr>
            <w:tcW w:w="1191" w:type="dxa"/>
            <w:tcBorders>
              <w:top w:val="single" w:sz="4" w:space="0" w:color="DF2528"/>
              <w:left w:val="nil"/>
              <w:bottom w:val="single" w:sz="4" w:space="0" w:color="DF2528"/>
              <w:right w:val="nil"/>
            </w:tcBorders>
          </w:tcPr>
          <w:p>
            <w:pPr>
              <w:pStyle w:val="TableParagraph"/>
              <w:ind w:left="467" w:right="451"/>
              <w:jc w:val="center"/>
              <w:rPr>
                <w:sz w:val="16"/>
              </w:rPr>
            </w:pPr>
            <w:r>
              <w:rPr>
                <w:color w:val="404040"/>
                <w:sz w:val="16"/>
              </w:rPr>
              <w:t>-20</w:t>
            </w:r>
          </w:p>
        </w:tc>
      </w:tr>
      <w:tr>
        <w:trPr>
          <w:trHeight w:val="263" w:hRule="atLeast"/>
        </w:trPr>
        <w:tc>
          <w:tcPr>
            <w:tcW w:w="2438" w:type="dxa"/>
            <w:tcBorders>
              <w:top w:val="single" w:sz="4" w:space="0" w:color="DF2528"/>
              <w:left w:val="nil"/>
              <w:bottom w:val="single" w:sz="4" w:space="0" w:color="DF2528"/>
            </w:tcBorders>
          </w:tcPr>
          <w:p>
            <w:pPr>
              <w:pStyle w:val="TableParagraph"/>
              <w:ind w:left="112"/>
              <w:rPr>
                <w:sz w:val="16"/>
              </w:rPr>
            </w:pPr>
            <w:r>
              <w:rPr>
                <w:color w:val="404040"/>
                <w:sz w:val="16"/>
              </w:rPr>
              <w:t>- 3 Parenting</w:t>
            </w:r>
          </w:p>
        </w:tc>
        <w:tc>
          <w:tcPr>
            <w:tcW w:w="849" w:type="dxa"/>
            <w:tcBorders>
              <w:top w:val="single" w:sz="4" w:space="0" w:color="DF2528"/>
              <w:bottom w:val="single" w:sz="4" w:space="0" w:color="DF2528"/>
              <w:right w:val="single" w:sz="4" w:space="0" w:color="DF2528"/>
            </w:tcBorders>
          </w:tcPr>
          <w:p>
            <w:pPr>
              <w:pStyle w:val="TableParagraph"/>
              <w:ind w:left="198" w:right="199"/>
              <w:jc w:val="center"/>
              <w:rPr>
                <w:sz w:val="16"/>
              </w:rPr>
            </w:pPr>
            <w:r>
              <w:rPr>
                <w:color w:val="404040"/>
                <w:sz w:val="16"/>
              </w:rPr>
              <w:t>210</w:t>
            </w:r>
          </w:p>
        </w:tc>
        <w:tc>
          <w:tcPr>
            <w:tcW w:w="848" w:type="dxa"/>
            <w:tcBorders>
              <w:top w:val="single" w:sz="4" w:space="0" w:color="DF2528"/>
              <w:left w:val="single" w:sz="4" w:space="0" w:color="DF2528"/>
              <w:bottom w:val="single" w:sz="4" w:space="0" w:color="DF2528"/>
              <w:right w:val="nil"/>
            </w:tcBorders>
          </w:tcPr>
          <w:p>
            <w:pPr>
              <w:pStyle w:val="TableParagraph"/>
              <w:ind w:right="288"/>
              <w:jc w:val="right"/>
              <w:rPr>
                <w:sz w:val="16"/>
              </w:rPr>
            </w:pPr>
            <w:r>
              <w:rPr>
                <w:color w:val="404040"/>
                <w:sz w:val="16"/>
              </w:rPr>
              <w:t>259</w:t>
            </w:r>
          </w:p>
        </w:tc>
        <w:tc>
          <w:tcPr>
            <w:tcW w:w="851" w:type="dxa"/>
            <w:tcBorders>
              <w:top w:val="single" w:sz="4" w:space="0" w:color="DF2528"/>
              <w:left w:val="nil"/>
              <w:bottom w:val="single" w:sz="4" w:space="0" w:color="DF2528"/>
            </w:tcBorders>
          </w:tcPr>
          <w:p>
            <w:pPr>
              <w:pStyle w:val="TableParagraph"/>
              <w:ind w:right="284"/>
              <w:jc w:val="right"/>
              <w:rPr>
                <w:sz w:val="16"/>
              </w:rPr>
            </w:pPr>
            <w:r>
              <w:rPr>
                <w:color w:val="404040"/>
                <w:sz w:val="16"/>
              </w:rPr>
              <w:t>220</w:t>
            </w:r>
          </w:p>
        </w:tc>
        <w:tc>
          <w:tcPr>
            <w:tcW w:w="848" w:type="dxa"/>
            <w:tcBorders>
              <w:top w:val="single" w:sz="4" w:space="0" w:color="DF2528"/>
              <w:bottom w:val="single" w:sz="4" w:space="0" w:color="DF2528"/>
              <w:right w:val="nil"/>
            </w:tcBorders>
          </w:tcPr>
          <w:p>
            <w:pPr>
              <w:pStyle w:val="TableParagraph"/>
              <w:ind w:left="241" w:right="238"/>
              <w:jc w:val="center"/>
              <w:rPr>
                <w:sz w:val="16"/>
              </w:rPr>
            </w:pPr>
            <w:r>
              <w:rPr>
                <w:color w:val="404040"/>
                <w:sz w:val="16"/>
              </w:rPr>
              <w:t>-39</w:t>
            </w:r>
          </w:p>
        </w:tc>
        <w:tc>
          <w:tcPr>
            <w:tcW w:w="850" w:type="dxa"/>
            <w:tcBorders>
              <w:top w:val="single" w:sz="4" w:space="0" w:color="DF2528"/>
              <w:left w:val="nil"/>
              <w:bottom w:val="single" w:sz="4" w:space="0" w:color="DF2528"/>
            </w:tcBorders>
          </w:tcPr>
          <w:p>
            <w:pPr>
              <w:pStyle w:val="TableParagraph"/>
              <w:ind w:left="155" w:right="142"/>
              <w:jc w:val="center"/>
              <w:rPr>
                <w:sz w:val="16"/>
              </w:rPr>
            </w:pPr>
            <w:r>
              <w:rPr>
                <w:color w:val="404040"/>
                <w:sz w:val="16"/>
              </w:rPr>
              <w:t>-15.1%</w:t>
            </w:r>
          </w:p>
        </w:tc>
        <w:tc>
          <w:tcPr>
            <w:tcW w:w="1133" w:type="dxa"/>
            <w:tcBorders>
              <w:top w:val="single" w:sz="4" w:space="0" w:color="DF2528"/>
              <w:bottom w:val="single" w:sz="4" w:space="0" w:color="DF2528"/>
            </w:tcBorders>
          </w:tcPr>
          <w:p>
            <w:pPr>
              <w:pStyle w:val="TableParagraph"/>
              <w:ind w:left="270" w:right="263"/>
              <w:jc w:val="center"/>
              <w:rPr>
                <w:sz w:val="16"/>
              </w:rPr>
            </w:pPr>
            <w:r>
              <w:rPr>
                <w:color w:val="404040"/>
                <w:sz w:val="16"/>
              </w:rPr>
              <w:t>-12.0%</w:t>
            </w:r>
          </w:p>
        </w:tc>
        <w:tc>
          <w:tcPr>
            <w:tcW w:w="1189" w:type="dxa"/>
            <w:tcBorders>
              <w:top w:val="single" w:sz="4" w:space="0" w:color="DF2528"/>
              <w:bottom w:val="single" w:sz="4" w:space="0" w:color="DF2528"/>
              <w:right w:val="nil"/>
            </w:tcBorders>
          </w:tcPr>
          <w:p>
            <w:pPr>
              <w:pStyle w:val="TableParagraph"/>
              <w:ind w:left="211" w:right="205"/>
              <w:jc w:val="center"/>
              <w:rPr>
                <w:sz w:val="16"/>
              </w:rPr>
            </w:pPr>
            <w:r>
              <w:rPr>
                <w:color w:val="404040"/>
                <w:sz w:val="16"/>
              </w:rPr>
              <w:t>-3.2%</w:t>
            </w:r>
          </w:p>
        </w:tc>
        <w:tc>
          <w:tcPr>
            <w:tcW w:w="1191" w:type="dxa"/>
            <w:tcBorders>
              <w:top w:val="single" w:sz="4" w:space="0" w:color="DF2528"/>
              <w:left w:val="nil"/>
              <w:bottom w:val="single" w:sz="4" w:space="0" w:color="DF2528"/>
              <w:right w:val="nil"/>
            </w:tcBorders>
          </w:tcPr>
          <w:p>
            <w:pPr>
              <w:pStyle w:val="TableParagraph"/>
              <w:ind w:left="467" w:right="451"/>
              <w:jc w:val="center"/>
              <w:rPr>
                <w:sz w:val="16"/>
              </w:rPr>
            </w:pPr>
            <w:r>
              <w:rPr>
                <w:color w:val="404040"/>
                <w:sz w:val="16"/>
              </w:rPr>
              <w:t>-22</w:t>
            </w:r>
          </w:p>
        </w:tc>
      </w:tr>
      <w:tr>
        <w:trPr>
          <w:trHeight w:val="263" w:hRule="atLeast"/>
        </w:trPr>
        <w:tc>
          <w:tcPr>
            <w:tcW w:w="2438" w:type="dxa"/>
            <w:tcBorders>
              <w:top w:val="single" w:sz="4" w:space="0" w:color="DF2528"/>
              <w:left w:val="nil"/>
              <w:bottom w:val="single" w:sz="4" w:space="0" w:color="DF2528"/>
            </w:tcBorders>
          </w:tcPr>
          <w:p>
            <w:pPr>
              <w:pStyle w:val="TableParagraph"/>
              <w:ind w:left="112"/>
              <w:rPr>
                <w:sz w:val="16"/>
              </w:rPr>
            </w:pPr>
            <w:r>
              <w:rPr>
                <w:color w:val="404040"/>
                <w:sz w:val="16"/>
              </w:rPr>
              <w:t>- 4 Carers</w:t>
            </w:r>
          </w:p>
        </w:tc>
        <w:tc>
          <w:tcPr>
            <w:tcW w:w="849" w:type="dxa"/>
            <w:tcBorders>
              <w:top w:val="single" w:sz="4" w:space="0" w:color="DF2528"/>
              <w:bottom w:val="single" w:sz="4" w:space="0" w:color="DF2528"/>
              <w:right w:val="single" w:sz="4" w:space="0" w:color="DF2528"/>
            </w:tcBorders>
          </w:tcPr>
          <w:p>
            <w:pPr>
              <w:pStyle w:val="TableParagraph"/>
              <w:ind w:left="198" w:right="199"/>
              <w:jc w:val="center"/>
              <w:rPr>
                <w:sz w:val="16"/>
              </w:rPr>
            </w:pPr>
            <w:r>
              <w:rPr>
                <w:color w:val="404040"/>
                <w:sz w:val="16"/>
              </w:rPr>
              <w:t>125</w:t>
            </w:r>
          </w:p>
        </w:tc>
        <w:tc>
          <w:tcPr>
            <w:tcW w:w="848" w:type="dxa"/>
            <w:tcBorders>
              <w:top w:val="single" w:sz="4" w:space="0" w:color="DF2528"/>
              <w:left w:val="single" w:sz="4" w:space="0" w:color="DF2528"/>
              <w:bottom w:val="single" w:sz="4" w:space="0" w:color="DF2528"/>
              <w:right w:val="nil"/>
            </w:tcBorders>
          </w:tcPr>
          <w:p>
            <w:pPr>
              <w:pStyle w:val="TableParagraph"/>
              <w:ind w:right="288"/>
              <w:jc w:val="right"/>
              <w:rPr>
                <w:sz w:val="16"/>
              </w:rPr>
            </w:pPr>
            <w:r>
              <w:rPr>
                <w:color w:val="404040"/>
                <w:sz w:val="16"/>
              </w:rPr>
              <w:t>148</w:t>
            </w:r>
          </w:p>
        </w:tc>
        <w:tc>
          <w:tcPr>
            <w:tcW w:w="851" w:type="dxa"/>
            <w:tcBorders>
              <w:top w:val="single" w:sz="4" w:space="0" w:color="DF2528"/>
              <w:left w:val="nil"/>
              <w:bottom w:val="single" w:sz="4" w:space="0" w:color="DF2528"/>
            </w:tcBorders>
          </w:tcPr>
          <w:p>
            <w:pPr>
              <w:pStyle w:val="TableParagraph"/>
              <w:ind w:right="284"/>
              <w:jc w:val="right"/>
              <w:rPr>
                <w:sz w:val="16"/>
              </w:rPr>
            </w:pPr>
            <w:r>
              <w:rPr>
                <w:color w:val="404040"/>
                <w:sz w:val="16"/>
              </w:rPr>
              <w:t>155</w:t>
            </w:r>
          </w:p>
        </w:tc>
        <w:tc>
          <w:tcPr>
            <w:tcW w:w="848" w:type="dxa"/>
            <w:tcBorders>
              <w:top w:val="single" w:sz="4" w:space="0" w:color="DF2528"/>
              <w:bottom w:val="single" w:sz="4" w:space="0" w:color="DF2528"/>
              <w:right w:val="nil"/>
            </w:tcBorders>
          </w:tcPr>
          <w:p>
            <w:pPr>
              <w:pStyle w:val="TableParagraph"/>
              <w:ind w:left="241" w:right="237"/>
              <w:jc w:val="center"/>
              <w:rPr>
                <w:sz w:val="16"/>
              </w:rPr>
            </w:pPr>
            <w:r>
              <w:rPr>
                <w:color w:val="404040"/>
                <w:sz w:val="16"/>
              </w:rPr>
              <w:t>+8</w:t>
            </w:r>
          </w:p>
        </w:tc>
        <w:tc>
          <w:tcPr>
            <w:tcW w:w="850" w:type="dxa"/>
            <w:tcBorders>
              <w:top w:val="single" w:sz="4" w:space="0" w:color="DF2528"/>
              <w:left w:val="nil"/>
              <w:bottom w:val="single" w:sz="4" w:space="0" w:color="DF2528"/>
            </w:tcBorders>
          </w:tcPr>
          <w:p>
            <w:pPr>
              <w:pStyle w:val="TableParagraph"/>
              <w:ind w:left="155" w:right="142"/>
              <w:jc w:val="center"/>
              <w:rPr>
                <w:sz w:val="16"/>
              </w:rPr>
            </w:pPr>
            <w:r>
              <w:rPr>
                <w:color w:val="404040"/>
                <w:sz w:val="16"/>
              </w:rPr>
              <w:t>+5.4%</w:t>
            </w:r>
          </w:p>
        </w:tc>
        <w:tc>
          <w:tcPr>
            <w:tcW w:w="1133" w:type="dxa"/>
            <w:tcBorders>
              <w:top w:val="single" w:sz="4" w:space="0" w:color="DF2528"/>
              <w:bottom w:val="single" w:sz="4" w:space="0" w:color="DF2528"/>
            </w:tcBorders>
          </w:tcPr>
          <w:p>
            <w:pPr>
              <w:pStyle w:val="TableParagraph"/>
              <w:ind w:left="270" w:right="263"/>
              <w:jc w:val="center"/>
              <w:rPr>
                <w:sz w:val="16"/>
              </w:rPr>
            </w:pPr>
            <w:r>
              <w:rPr>
                <w:color w:val="404040"/>
                <w:sz w:val="16"/>
              </w:rPr>
              <w:t>+6.0%</w:t>
            </w:r>
          </w:p>
        </w:tc>
        <w:tc>
          <w:tcPr>
            <w:tcW w:w="1189" w:type="dxa"/>
            <w:tcBorders>
              <w:top w:val="single" w:sz="4" w:space="0" w:color="DF2528"/>
              <w:bottom w:val="single" w:sz="4" w:space="0" w:color="DF2528"/>
              <w:right w:val="nil"/>
            </w:tcBorders>
          </w:tcPr>
          <w:p>
            <w:pPr>
              <w:pStyle w:val="TableParagraph"/>
              <w:ind w:left="211" w:right="205"/>
              <w:jc w:val="center"/>
              <w:rPr>
                <w:sz w:val="16"/>
              </w:rPr>
            </w:pPr>
            <w:r>
              <w:rPr>
                <w:color w:val="404040"/>
                <w:sz w:val="16"/>
              </w:rPr>
              <w:t>-0.7%</w:t>
            </w:r>
          </w:p>
        </w:tc>
        <w:tc>
          <w:tcPr>
            <w:tcW w:w="1191" w:type="dxa"/>
            <w:tcBorders>
              <w:top w:val="single" w:sz="4" w:space="0" w:color="DF2528"/>
              <w:left w:val="nil"/>
              <w:bottom w:val="single" w:sz="4" w:space="0" w:color="DF2528"/>
              <w:right w:val="nil"/>
            </w:tcBorders>
          </w:tcPr>
          <w:p>
            <w:pPr>
              <w:pStyle w:val="TableParagraph"/>
              <w:ind w:left="465" w:right="451"/>
              <w:jc w:val="center"/>
              <w:rPr>
                <w:sz w:val="16"/>
              </w:rPr>
            </w:pPr>
            <w:r>
              <w:rPr>
                <w:color w:val="404040"/>
                <w:sz w:val="16"/>
              </w:rPr>
              <w:t>-3</w:t>
            </w:r>
          </w:p>
        </w:tc>
      </w:tr>
      <w:tr>
        <w:trPr>
          <w:trHeight w:val="263" w:hRule="atLeast"/>
        </w:trPr>
        <w:tc>
          <w:tcPr>
            <w:tcW w:w="2438" w:type="dxa"/>
            <w:tcBorders>
              <w:top w:val="single" w:sz="4" w:space="0" w:color="DF2528"/>
              <w:left w:val="nil"/>
              <w:bottom w:val="single" w:sz="4" w:space="0" w:color="DF2528"/>
            </w:tcBorders>
          </w:tcPr>
          <w:p>
            <w:pPr>
              <w:pStyle w:val="TableParagraph"/>
              <w:ind w:left="112"/>
              <w:rPr>
                <w:sz w:val="16"/>
              </w:rPr>
            </w:pPr>
            <w:r>
              <w:rPr>
                <w:color w:val="404040"/>
                <w:sz w:val="16"/>
              </w:rPr>
              <w:t>- 5 Disability Support</w:t>
            </w:r>
          </w:p>
        </w:tc>
        <w:tc>
          <w:tcPr>
            <w:tcW w:w="849" w:type="dxa"/>
            <w:tcBorders>
              <w:top w:val="single" w:sz="4" w:space="0" w:color="DF2528"/>
              <w:bottom w:val="single" w:sz="4" w:space="0" w:color="DF2528"/>
              <w:right w:val="single" w:sz="4" w:space="0" w:color="DF2528"/>
            </w:tcBorders>
          </w:tcPr>
          <w:p>
            <w:pPr>
              <w:pStyle w:val="TableParagraph"/>
              <w:ind w:left="198" w:right="199"/>
              <w:jc w:val="center"/>
              <w:rPr>
                <w:sz w:val="16"/>
              </w:rPr>
            </w:pPr>
            <w:r>
              <w:rPr>
                <w:color w:val="404040"/>
                <w:sz w:val="16"/>
              </w:rPr>
              <w:t>351</w:t>
            </w:r>
          </w:p>
        </w:tc>
        <w:tc>
          <w:tcPr>
            <w:tcW w:w="848" w:type="dxa"/>
            <w:tcBorders>
              <w:top w:val="single" w:sz="4" w:space="0" w:color="DF2528"/>
              <w:left w:val="single" w:sz="4" w:space="0" w:color="DF2528"/>
              <w:bottom w:val="single" w:sz="4" w:space="0" w:color="DF2528"/>
              <w:right w:val="nil"/>
            </w:tcBorders>
          </w:tcPr>
          <w:p>
            <w:pPr>
              <w:pStyle w:val="TableParagraph"/>
              <w:ind w:right="288"/>
              <w:jc w:val="right"/>
              <w:rPr>
                <w:sz w:val="16"/>
              </w:rPr>
            </w:pPr>
            <w:r>
              <w:rPr>
                <w:color w:val="404040"/>
                <w:sz w:val="16"/>
              </w:rPr>
              <w:t>417</w:t>
            </w:r>
          </w:p>
        </w:tc>
        <w:tc>
          <w:tcPr>
            <w:tcW w:w="851" w:type="dxa"/>
            <w:tcBorders>
              <w:top w:val="single" w:sz="4" w:space="0" w:color="DF2528"/>
              <w:left w:val="nil"/>
              <w:bottom w:val="single" w:sz="4" w:space="0" w:color="DF2528"/>
            </w:tcBorders>
          </w:tcPr>
          <w:p>
            <w:pPr>
              <w:pStyle w:val="TableParagraph"/>
              <w:ind w:right="284"/>
              <w:jc w:val="right"/>
              <w:rPr>
                <w:sz w:val="16"/>
              </w:rPr>
            </w:pPr>
            <w:r>
              <w:rPr>
                <w:color w:val="404040"/>
                <w:sz w:val="16"/>
              </w:rPr>
              <w:t>417</w:t>
            </w:r>
          </w:p>
        </w:tc>
        <w:tc>
          <w:tcPr>
            <w:tcW w:w="848" w:type="dxa"/>
            <w:tcBorders>
              <w:top w:val="single" w:sz="4" w:space="0" w:color="DF2528"/>
              <w:bottom w:val="single" w:sz="4" w:space="0" w:color="DF2528"/>
              <w:right w:val="nil"/>
            </w:tcBorders>
          </w:tcPr>
          <w:p>
            <w:pPr>
              <w:pStyle w:val="TableParagraph"/>
              <w:ind w:left="241" w:right="237"/>
              <w:jc w:val="center"/>
              <w:rPr>
                <w:sz w:val="16"/>
              </w:rPr>
            </w:pPr>
            <w:r>
              <w:rPr>
                <w:color w:val="404040"/>
                <w:sz w:val="16"/>
              </w:rPr>
              <w:t>+0</w:t>
            </w:r>
          </w:p>
        </w:tc>
        <w:tc>
          <w:tcPr>
            <w:tcW w:w="850" w:type="dxa"/>
            <w:tcBorders>
              <w:top w:val="single" w:sz="4" w:space="0" w:color="DF2528"/>
              <w:left w:val="nil"/>
              <w:bottom w:val="single" w:sz="4" w:space="0" w:color="DF2528"/>
            </w:tcBorders>
          </w:tcPr>
          <w:p>
            <w:pPr>
              <w:pStyle w:val="TableParagraph"/>
              <w:ind w:left="155" w:right="142"/>
              <w:jc w:val="center"/>
              <w:rPr>
                <w:sz w:val="16"/>
              </w:rPr>
            </w:pPr>
            <w:r>
              <w:rPr>
                <w:color w:val="404040"/>
                <w:sz w:val="16"/>
              </w:rPr>
              <w:t>+0.1%</w:t>
            </w:r>
          </w:p>
        </w:tc>
        <w:tc>
          <w:tcPr>
            <w:tcW w:w="1133" w:type="dxa"/>
            <w:tcBorders>
              <w:top w:val="single" w:sz="4" w:space="0" w:color="DF2528"/>
              <w:bottom w:val="single" w:sz="4" w:space="0" w:color="DF2528"/>
            </w:tcBorders>
          </w:tcPr>
          <w:p>
            <w:pPr>
              <w:pStyle w:val="TableParagraph"/>
              <w:ind w:left="270" w:right="263"/>
              <w:jc w:val="center"/>
              <w:rPr>
                <w:sz w:val="16"/>
              </w:rPr>
            </w:pPr>
            <w:r>
              <w:rPr>
                <w:color w:val="404040"/>
                <w:sz w:val="16"/>
              </w:rPr>
              <w:t>+0.2%</w:t>
            </w:r>
          </w:p>
        </w:tc>
        <w:tc>
          <w:tcPr>
            <w:tcW w:w="1189" w:type="dxa"/>
            <w:tcBorders>
              <w:top w:val="single" w:sz="4" w:space="0" w:color="DF2528"/>
              <w:bottom w:val="single" w:sz="4" w:space="0" w:color="DF2528"/>
              <w:right w:val="nil"/>
            </w:tcBorders>
          </w:tcPr>
          <w:p>
            <w:pPr>
              <w:pStyle w:val="TableParagraph"/>
              <w:ind w:left="211" w:right="205"/>
              <w:jc w:val="center"/>
              <w:rPr>
                <w:sz w:val="16"/>
              </w:rPr>
            </w:pPr>
            <w:r>
              <w:rPr>
                <w:color w:val="404040"/>
                <w:sz w:val="16"/>
              </w:rPr>
              <w:t>-0.2%</w:t>
            </w:r>
          </w:p>
        </w:tc>
        <w:tc>
          <w:tcPr>
            <w:tcW w:w="1191" w:type="dxa"/>
            <w:tcBorders>
              <w:top w:val="single" w:sz="4" w:space="0" w:color="DF2528"/>
              <w:left w:val="nil"/>
              <w:bottom w:val="single" w:sz="4" w:space="0" w:color="DF2528"/>
              <w:right w:val="nil"/>
            </w:tcBorders>
          </w:tcPr>
          <w:p>
            <w:pPr>
              <w:pStyle w:val="TableParagraph"/>
              <w:ind w:left="465" w:right="451"/>
              <w:jc w:val="center"/>
              <w:rPr>
                <w:sz w:val="16"/>
              </w:rPr>
            </w:pPr>
            <w:r>
              <w:rPr>
                <w:color w:val="404040"/>
                <w:sz w:val="16"/>
              </w:rPr>
              <w:t>-1</w:t>
            </w:r>
          </w:p>
        </w:tc>
      </w:tr>
      <w:tr>
        <w:trPr>
          <w:trHeight w:val="263" w:hRule="atLeast"/>
        </w:trPr>
        <w:tc>
          <w:tcPr>
            <w:tcW w:w="2438" w:type="dxa"/>
            <w:tcBorders>
              <w:top w:val="single" w:sz="4" w:space="0" w:color="DF2528"/>
              <w:left w:val="nil"/>
              <w:bottom w:val="single" w:sz="4" w:space="0" w:color="DF2528"/>
            </w:tcBorders>
          </w:tcPr>
          <w:p>
            <w:pPr>
              <w:pStyle w:val="TableParagraph"/>
              <w:ind w:left="112"/>
              <w:rPr>
                <w:sz w:val="16"/>
              </w:rPr>
            </w:pPr>
            <w:r>
              <w:rPr>
                <w:color w:val="404040"/>
                <w:sz w:val="16"/>
              </w:rPr>
              <w:t>- 6 Pension Age</w:t>
            </w:r>
          </w:p>
        </w:tc>
        <w:tc>
          <w:tcPr>
            <w:tcW w:w="849" w:type="dxa"/>
            <w:tcBorders>
              <w:top w:val="single" w:sz="4" w:space="0" w:color="DF2528"/>
              <w:bottom w:val="single" w:sz="4" w:space="0" w:color="DF2528"/>
              <w:right w:val="single" w:sz="4" w:space="0" w:color="DF2528"/>
            </w:tcBorders>
          </w:tcPr>
          <w:p>
            <w:pPr>
              <w:pStyle w:val="TableParagraph"/>
              <w:ind w:left="198" w:right="199"/>
              <w:jc w:val="center"/>
              <w:rPr>
                <w:sz w:val="16"/>
              </w:rPr>
            </w:pPr>
            <w:r>
              <w:rPr>
                <w:color w:val="404040"/>
                <w:sz w:val="16"/>
              </w:rPr>
              <w:t>542</w:t>
            </w:r>
          </w:p>
        </w:tc>
        <w:tc>
          <w:tcPr>
            <w:tcW w:w="848" w:type="dxa"/>
            <w:tcBorders>
              <w:top w:val="single" w:sz="4" w:space="0" w:color="DF2528"/>
              <w:left w:val="single" w:sz="4" w:space="0" w:color="DF2528"/>
              <w:bottom w:val="single" w:sz="4" w:space="0" w:color="DF2528"/>
              <w:right w:val="nil"/>
            </w:tcBorders>
          </w:tcPr>
          <w:p>
            <w:pPr>
              <w:pStyle w:val="TableParagraph"/>
              <w:ind w:right="288"/>
              <w:jc w:val="right"/>
              <w:rPr>
                <w:sz w:val="16"/>
              </w:rPr>
            </w:pPr>
            <w:r>
              <w:rPr>
                <w:color w:val="404040"/>
                <w:sz w:val="16"/>
              </w:rPr>
              <w:t>591</w:t>
            </w:r>
          </w:p>
        </w:tc>
        <w:tc>
          <w:tcPr>
            <w:tcW w:w="851" w:type="dxa"/>
            <w:tcBorders>
              <w:top w:val="single" w:sz="4" w:space="0" w:color="DF2528"/>
              <w:left w:val="nil"/>
              <w:bottom w:val="single" w:sz="4" w:space="0" w:color="DF2528"/>
            </w:tcBorders>
          </w:tcPr>
          <w:p>
            <w:pPr>
              <w:pStyle w:val="TableParagraph"/>
              <w:ind w:right="284"/>
              <w:jc w:val="right"/>
              <w:rPr>
                <w:sz w:val="16"/>
              </w:rPr>
            </w:pPr>
            <w:r>
              <w:rPr>
                <w:color w:val="404040"/>
                <w:sz w:val="16"/>
              </w:rPr>
              <w:t>577</w:t>
            </w:r>
          </w:p>
        </w:tc>
        <w:tc>
          <w:tcPr>
            <w:tcW w:w="848" w:type="dxa"/>
            <w:tcBorders>
              <w:top w:val="single" w:sz="4" w:space="0" w:color="DF2528"/>
              <w:bottom w:val="single" w:sz="4" w:space="0" w:color="DF2528"/>
              <w:right w:val="nil"/>
            </w:tcBorders>
          </w:tcPr>
          <w:p>
            <w:pPr>
              <w:pStyle w:val="TableParagraph"/>
              <w:ind w:left="241" w:right="238"/>
              <w:jc w:val="center"/>
              <w:rPr>
                <w:sz w:val="16"/>
              </w:rPr>
            </w:pPr>
            <w:r>
              <w:rPr>
                <w:color w:val="404040"/>
                <w:sz w:val="16"/>
              </w:rPr>
              <w:t>-14</w:t>
            </w:r>
          </w:p>
        </w:tc>
        <w:tc>
          <w:tcPr>
            <w:tcW w:w="850" w:type="dxa"/>
            <w:tcBorders>
              <w:top w:val="single" w:sz="4" w:space="0" w:color="DF2528"/>
              <w:left w:val="nil"/>
              <w:bottom w:val="single" w:sz="4" w:space="0" w:color="DF2528"/>
            </w:tcBorders>
          </w:tcPr>
          <w:p>
            <w:pPr>
              <w:pStyle w:val="TableParagraph"/>
              <w:ind w:left="155" w:right="140"/>
              <w:jc w:val="center"/>
              <w:rPr>
                <w:sz w:val="16"/>
              </w:rPr>
            </w:pPr>
            <w:r>
              <w:rPr>
                <w:color w:val="404040"/>
                <w:sz w:val="16"/>
              </w:rPr>
              <w:t>-2.4%</w:t>
            </w:r>
          </w:p>
        </w:tc>
        <w:tc>
          <w:tcPr>
            <w:tcW w:w="1133" w:type="dxa"/>
            <w:tcBorders>
              <w:top w:val="single" w:sz="4" w:space="0" w:color="DF2528"/>
              <w:bottom w:val="single" w:sz="4" w:space="0" w:color="DF2528"/>
            </w:tcBorders>
          </w:tcPr>
          <w:p>
            <w:pPr>
              <w:pStyle w:val="TableParagraph"/>
              <w:ind w:left="272" w:right="263"/>
              <w:jc w:val="center"/>
              <w:rPr>
                <w:sz w:val="16"/>
              </w:rPr>
            </w:pPr>
            <w:r>
              <w:rPr>
                <w:color w:val="404040"/>
                <w:sz w:val="16"/>
              </w:rPr>
              <w:t>-3.3%</w:t>
            </w:r>
          </w:p>
        </w:tc>
        <w:tc>
          <w:tcPr>
            <w:tcW w:w="1189" w:type="dxa"/>
            <w:tcBorders>
              <w:top w:val="single" w:sz="4" w:space="0" w:color="DF2528"/>
              <w:bottom w:val="single" w:sz="4" w:space="0" w:color="DF2528"/>
              <w:right w:val="nil"/>
            </w:tcBorders>
          </w:tcPr>
          <w:p>
            <w:pPr>
              <w:pStyle w:val="TableParagraph"/>
              <w:ind w:left="211" w:right="208"/>
              <w:jc w:val="center"/>
              <w:rPr>
                <w:sz w:val="16"/>
              </w:rPr>
            </w:pPr>
            <w:r>
              <w:rPr>
                <w:color w:val="404040"/>
                <w:sz w:val="16"/>
              </w:rPr>
              <w:t>+1.0%</w:t>
            </w:r>
          </w:p>
        </w:tc>
        <w:tc>
          <w:tcPr>
            <w:tcW w:w="1191" w:type="dxa"/>
            <w:tcBorders>
              <w:top w:val="single" w:sz="4" w:space="0" w:color="DF2528"/>
              <w:left w:val="nil"/>
              <w:bottom w:val="single" w:sz="4" w:space="0" w:color="DF2528"/>
              <w:right w:val="nil"/>
            </w:tcBorders>
          </w:tcPr>
          <w:p>
            <w:pPr>
              <w:pStyle w:val="TableParagraph"/>
              <w:ind w:left="467" w:right="451"/>
              <w:jc w:val="center"/>
              <w:rPr>
                <w:sz w:val="16"/>
              </w:rPr>
            </w:pPr>
            <w:r>
              <w:rPr>
                <w:color w:val="404040"/>
                <w:sz w:val="16"/>
              </w:rPr>
              <w:t>+2</w:t>
            </w:r>
          </w:p>
        </w:tc>
      </w:tr>
      <w:tr>
        <w:trPr>
          <w:trHeight w:val="266" w:hRule="atLeast"/>
        </w:trPr>
        <w:tc>
          <w:tcPr>
            <w:tcW w:w="2438" w:type="dxa"/>
            <w:tcBorders>
              <w:top w:val="single" w:sz="4" w:space="0" w:color="DF2528"/>
              <w:left w:val="nil"/>
              <w:bottom w:val="single" w:sz="4" w:space="0" w:color="DF2528"/>
            </w:tcBorders>
          </w:tcPr>
          <w:p>
            <w:pPr>
              <w:pStyle w:val="TableParagraph"/>
              <w:spacing w:before="39"/>
              <w:ind w:left="112"/>
              <w:rPr>
                <w:sz w:val="16"/>
              </w:rPr>
            </w:pPr>
            <w:r>
              <w:rPr>
                <w:color w:val="404040"/>
                <w:sz w:val="16"/>
              </w:rPr>
              <w:t>- 7 Non IS Family</w:t>
            </w:r>
          </w:p>
        </w:tc>
        <w:tc>
          <w:tcPr>
            <w:tcW w:w="849" w:type="dxa"/>
            <w:tcBorders>
              <w:top w:val="single" w:sz="4" w:space="0" w:color="DF2528"/>
              <w:bottom w:val="single" w:sz="4" w:space="0" w:color="DF2528"/>
              <w:right w:val="single" w:sz="4" w:space="0" w:color="DF2528"/>
            </w:tcBorders>
          </w:tcPr>
          <w:p>
            <w:pPr>
              <w:pStyle w:val="TableParagraph"/>
              <w:spacing w:before="39"/>
              <w:ind w:left="198" w:right="199"/>
              <w:jc w:val="center"/>
              <w:rPr>
                <w:sz w:val="16"/>
              </w:rPr>
            </w:pPr>
            <w:r>
              <w:rPr>
                <w:color w:val="404040"/>
                <w:sz w:val="16"/>
              </w:rPr>
              <w:t>303</w:t>
            </w:r>
          </w:p>
        </w:tc>
        <w:tc>
          <w:tcPr>
            <w:tcW w:w="848" w:type="dxa"/>
            <w:tcBorders>
              <w:top w:val="single" w:sz="4" w:space="0" w:color="DF2528"/>
              <w:left w:val="single" w:sz="4" w:space="0" w:color="DF2528"/>
              <w:bottom w:val="single" w:sz="4" w:space="0" w:color="DF2528"/>
              <w:right w:val="nil"/>
            </w:tcBorders>
          </w:tcPr>
          <w:p>
            <w:pPr>
              <w:pStyle w:val="TableParagraph"/>
              <w:spacing w:before="39"/>
              <w:ind w:right="288"/>
              <w:jc w:val="right"/>
              <w:rPr>
                <w:sz w:val="16"/>
              </w:rPr>
            </w:pPr>
            <w:r>
              <w:rPr>
                <w:color w:val="404040"/>
                <w:sz w:val="16"/>
              </w:rPr>
              <w:t>403</w:t>
            </w:r>
          </w:p>
        </w:tc>
        <w:tc>
          <w:tcPr>
            <w:tcW w:w="851" w:type="dxa"/>
            <w:tcBorders>
              <w:top w:val="single" w:sz="4" w:space="0" w:color="DF2528"/>
              <w:left w:val="nil"/>
              <w:bottom w:val="single" w:sz="4" w:space="0" w:color="DF2528"/>
            </w:tcBorders>
          </w:tcPr>
          <w:p>
            <w:pPr>
              <w:pStyle w:val="TableParagraph"/>
              <w:spacing w:before="39"/>
              <w:ind w:right="284"/>
              <w:jc w:val="right"/>
              <w:rPr>
                <w:sz w:val="16"/>
              </w:rPr>
            </w:pPr>
            <w:r>
              <w:rPr>
                <w:color w:val="404040"/>
                <w:sz w:val="16"/>
              </w:rPr>
              <w:t>354</w:t>
            </w:r>
          </w:p>
        </w:tc>
        <w:tc>
          <w:tcPr>
            <w:tcW w:w="848" w:type="dxa"/>
            <w:tcBorders>
              <w:top w:val="single" w:sz="4" w:space="0" w:color="DF2528"/>
              <w:bottom w:val="single" w:sz="4" w:space="0" w:color="DF2528"/>
              <w:right w:val="nil"/>
            </w:tcBorders>
          </w:tcPr>
          <w:p>
            <w:pPr>
              <w:pStyle w:val="TableParagraph"/>
              <w:spacing w:before="39"/>
              <w:ind w:left="241" w:right="238"/>
              <w:jc w:val="center"/>
              <w:rPr>
                <w:sz w:val="16"/>
              </w:rPr>
            </w:pPr>
            <w:r>
              <w:rPr>
                <w:color w:val="404040"/>
                <w:sz w:val="16"/>
              </w:rPr>
              <w:t>-49</w:t>
            </w:r>
          </w:p>
        </w:tc>
        <w:tc>
          <w:tcPr>
            <w:tcW w:w="850" w:type="dxa"/>
            <w:tcBorders>
              <w:top w:val="single" w:sz="4" w:space="0" w:color="DF2528"/>
              <w:left w:val="nil"/>
              <w:bottom w:val="single" w:sz="4" w:space="0" w:color="DF2528"/>
            </w:tcBorders>
          </w:tcPr>
          <w:p>
            <w:pPr>
              <w:pStyle w:val="TableParagraph"/>
              <w:spacing w:before="39"/>
              <w:ind w:left="155" w:right="142"/>
              <w:jc w:val="center"/>
              <w:rPr>
                <w:sz w:val="16"/>
              </w:rPr>
            </w:pPr>
            <w:r>
              <w:rPr>
                <w:color w:val="404040"/>
                <w:sz w:val="16"/>
              </w:rPr>
              <w:t>-12.1%</w:t>
            </w:r>
          </w:p>
        </w:tc>
        <w:tc>
          <w:tcPr>
            <w:tcW w:w="1133" w:type="dxa"/>
            <w:tcBorders>
              <w:top w:val="single" w:sz="4" w:space="0" w:color="DF2528"/>
              <w:bottom w:val="single" w:sz="4" w:space="0" w:color="DF2528"/>
            </w:tcBorders>
          </w:tcPr>
          <w:p>
            <w:pPr>
              <w:pStyle w:val="TableParagraph"/>
              <w:spacing w:before="39"/>
              <w:ind w:left="272" w:right="263"/>
              <w:jc w:val="center"/>
              <w:rPr>
                <w:sz w:val="16"/>
              </w:rPr>
            </w:pPr>
            <w:r>
              <w:rPr>
                <w:color w:val="404040"/>
                <w:sz w:val="16"/>
              </w:rPr>
              <w:t>-0.3%</w:t>
            </w:r>
          </w:p>
        </w:tc>
        <w:tc>
          <w:tcPr>
            <w:tcW w:w="1189" w:type="dxa"/>
            <w:tcBorders>
              <w:top w:val="single" w:sz="4" w:space="0" w:color="DF2528"/>
              <w:bottom w:val="single" w:sz="4" w:space="0" w:color="DF2528"/>
              <w:right w:val="nil"/>
            </w:tcBorders>
          </w:tcPr>
          <w:p>
            <w:pPr>
              <w:pStyle w:val="TableParagraph"/>
              <w:spacing w:before="39"/>
              <w:ind w:left="211" w:right="208"/>
              <w:jc w:val="center"/>
              <w:rPr>
                <w:sz w:val="16"/>
              </w:rPr>
            </w:pPr>
            <w:r>
              <w:rPr>
                <w:color w:val="404040"/>
                <w:sz w:val="16"/>
              </w:rPr>
              <w:t>-11.8%</w:t>
            </w:r>
          </w:p>
        </w:tc>
        <w:tc>
          <w:tcPr>
            <w:tcW w:w="1191" w:type="dxa"/>
            <w:tcBorders>
              <w:top w:val="single" w:sz="4" w:space="0" w:color="DF2528"/>
              <w:left w:val="nil"/>
              <w:bottom w:val="single" w:sz="4" w:space="0" w:color="DF2528"/>
              <w:right w:val="nil"/>
            </w:tcBorders>
          </w:tcPr>
          <w:p>
            <w:pPr>
              <w:pStyle w:val="TableParagraph"/>
              <w:spacing w:before="39"/>
              <w:ind w:left="467" w:right="451"/>
              <w:jc w:val="center"/>
              <w:rPr>
                <w:sz w:val="16"/>
              </w:rPr>
            </w:pPr>
            <w:r>
              <w:rPr>
                <w:color w:val="404040"/>
                <w:sz w:val="16"/>
              </w:rPr>
              <w:t>-31</w:t>
            </w:r>
          </w:p>
        </w:tc>
      </w:tr>
      <w:tr>
        <w:trPr>
          <w:trHeight w:val="263" w:hRule="atLeast"/>
        </w:trPr>
        <w:tc>
          <w:tcPr>
            <w:tcW w:w="2438" w:type="dxa"/>
            <w:tcBorders>
              <w:top w:val="single" w:sz="4" w:space="0" w:color="DF2528"/>
              <w:left w:val="nil"/>
              <w:bottom w:val="single" w:sz="4" w:space="0" w:color="DF2528"/>
            </w:tcBorders>
          </w:tcPr>
          <w:p>
            <w:pPr>
              <w:pStyle w:val="TableParagraph"/>
              <w:ind w:left="112"/>
              <w:rPr>
                <w:sz w:val="16"/>
              </w:rPr>
            </w:pPr>
            <w:r>
              <w:rPr>
                <w:color w:val="404040"/>
                <w:sz w:val="16"/>
              </w:rPr>
              <w:t>- 8 Non IS Carer</w:t>
            </w:r>
          </w:p>
        </w:tc>
        <w:tc>
          <w:tcPr>
            <w:tcW w:w="849" w:type="dxa"/>
            <w:tcBorders>
              <w:top w:val="single" w:sz="4" w:space="0" w:color="DF2528"/>
              <w:bottom w:val="single" w:sz="4" w:space="0" w:color="DF2528"/>
              <w:right w:val="single" w:sz="4" w:space="0" w:color="DF2528"/>
            </w:tcBorders>
          </w:tcPr>
          <w:p>
            <w:pPr>
              <w:pStyle w:val="TableParagraph"/>
              <w:ind w:left="198" w:right="197"/>
              <w:jc w:val="center"/>
              <w:rPr>
                <w:sz w:val="16"/>
              </w:rPr>
            </w:pPr>
            <w:r>
              <w:rPr>
                <w:color w:val="404040"/>
                <w:sz w:val="16"/>
              </w:rPr>
              <w:t>42</w:t>
            </w:r>
          </w:p>
        </w:tc>
        <w:tc>
          <w:tcPr>
            <w:tcW w:w="848" w:type="dxa"/>
            <w:tcBorders>
              <w:top w:val="single" w:sz="4" w:space="0" w:color="DF2528"/>
              <w:left w:val="single" w:sz="4" w:space="0" w:color="DF2528"/>
              <w:bottom w:val="single" w:sz="4" w:space="0" w:color="DF2528"/>
              <w:right w:val="nil"/>
            </w:tcBorders>
          </w:tcPr>
          <w:p>
            <w:pPr>
              <w:pStyle w:val="TableParagraph"/>
              <w:ind w:left="239" w:right="240"/>
              <w:jc w:val="center"/>
              <w:rPr>
                <w:sz w:val="16"/>
              </w:rPr>
            </w:pPr>
            <w:r>
              <w:rPr>
                <w:color w:val="404040"/>
                <w:sz w:val="16"/>
              </w:rPr>
              <w:t>53</w:t>
            </w:r>
          </w:p>
        </w:tc>
        <w:tc>
          <w:tcPr>
            <w:tcW w:w="851" w:type="dxa"/>
            <w:tcBorders>
              <w:top w:val="single" w:sz="4" w:space="0" w:color="DF2528"/>
              <w:left w:val="nil"/>
              <w:bottom w:val="single" w:sz="4" w:space="0" w:color="DF2528"/>
            </w:tcBorders>
          </w:tcPr>
          <w:p>
            <w:pPr>
              <w:pStyle w:val="TableParagraph"/>
              <w:ind w:right="327"/>
              <w:jc w:val="right"/>
              <w:rPr>
                <w:sz w:val="16"/>
              </w:rPr>
            </w:pPr>
            <w:r>
              <w:rPr>
                <w:color w:val="404040"/>
                <w:sz w:val="16"/>
              </w:rPr>
              <w:t>51</w:t>
            </w:r>
          </w:p>
        </w:tc>
        <w:tc>
          <w:tcPr>
            <w:tcW w:w="848" w:type="dxa"/>
            <w:tcBorders>
              <w:top w:val="single" w:sz="4" w:space="0" w:color="DF2528"/>
              <w:bottom w:val="single" w:sz="4" w:space="0" w:color="DF2528"/>
              <w:right w:val="nil"/>
            </w:tcBorders>
          </w:tcPr>
          <w:p>
            <w:pPr>
              <w:pStyle w:val="TableParagraph"/>
              <w:ind w:left="241" w:right="240"/>
              <w:jc w:val="center"/>
              <w:rPr>
                <w:sz w:val="16"/>
              </w:rPr>
            </w:pPr>
            <w:r>
              <w:rPr>
                <w:color w:val="404040"/>
                <w:sz w:val="16"/>
              </w:rPr>
              <w:t>-1</w:t>
            </w:r>
          </w:p>
        </w:tc>
        <w:tc>
          <w:tcPr>
            <w:tcW w:w="850" w:type="dxa"/>
            <w:tcBorders>
              <w:top w:val="single" w:sz="4" w:space="0" w:color="DF2528"/>
              <w:left w:val="nil"/>
              <w:bottom w:val="single" w:sz="4" w:space="0" w:color="DF2528"/>
            </w:tcBorders>
          </w:tcPr>
          <w:p>
            <w:pPr>
              <w:pStyle w:val="TableParagraph"/>
              <w:ind w:left="155" w:right="140"/>
              <w:jc w:val="center"/>
              <w:rPr>
                <w:sz w:val="16"/>
              </w:rPr>
            </w:pPr>
            <w:r>
              <w:rPr>
                <w:color w:val="404040"/>
                <w:sz w:val="16"/>
              </w:rPr>
              <w:t>-2.6%</w:t>
            </w:r>
          </w:p>
        </w:tc>
        <w:tc>
          <w:tcPr>
            <w:tcW w:w="1133" w:type="dxa"/>
            <w:tcBorders>
              <w:top w:val="single" w:sz="4" w:space="0" w:color="DF2528"/>
              <w:bottom w:val="single" w:sz="4" w:space="0" w:color="DF2528"/>
            </w:tcBorders>
          </w:tcPr>
          <w:p>
            <w:pPr>
              <w:pStyle w:val="TableParagraph"/>
              <w:ind w:left="270" w:right="263"/>
              <w:jc w:val="center"/>
              <w:rPr>
                <w:sz w:val="16"/>
              </w:rPr>
            </w:pPr>
            <w:r>
              <w:rPr>
                <w:color w:val="404040"/>
                <w:sz w:val="16"/>
              </w:rPr>
              <w:t>+7.5%</w:t>
            </w:r>
          </w:p>
        </w:tc>
        <w:tc>
          <w:tcPr>
            <w:tcW w:w="1189" w:type="dxa"/>
            <w:tcBorders>
              <w:top w:val="single" w:sz="4" w:space="0" w:color="DF2528"/>
              <w:bottom w:val="single" w:sz="4" w:space="0" w:color="DF2528"/>
              <w:right w:val="nil"/>
            </w:tcBorders>
          </w:tcPr>
          <w:p>
            <w:pPr>
              <w:pStyle w:val="TableParagraph"/>
              <w:ind w:left="211" w:right="208"/>
              <w:jc w:val="center"/>
              <w:rPr>
                <w:sz w:val="16"/>
              </w:rPr>
            </w:pPr>
            <w:r>
              <w:rPr>
                <w:color w:val="404040"/>
                <w:sz w:val="16"/>
              </w:rPr>
              <w:t>-10.1%</w:t>
            </w:r>
          </w:p>
        </w:tc>
        <w:tc>
          <w:tcPr>
            <w:tcW w:w="1191" w:type="dxa"/>
            <w:tcBorders>
              <w:top w:val="single" w:sz="4" w:space="0" w:color="DF2528"/>
              <w:left w:val="nil"/>
              <w:bottom w:val="single" w:sz="4" w:space="0" w:color="DF2528"/>
              <w:right w:val="nil"/>
            </w:tcBorders>
          </w:tcPr>
          <w:p>
            <w:pPr>
              <w:pStyle w:val="TableParagraph"/>
              <w:ind w:left="467" w:right="451"/>
              <w:jc w:val="center"/>
              <w:rPr>
                <w:sz w:val="16"/>
              </w:rPr>
            </w:pPr>
            <w:r>
              <w:rPr>
                <w:color w:val="404040"/>
                <w:sz w:val="16"/>
              </w:rPr>
              <w:t>-24</w:t>
            </w:r>
          </w:p>
        </w:tc>
      </w:tr>
      <w:tr>
        <w:trPr>
          <w:trHeight w:val="263" w:hRule="atLeast"/>
        </w:trPr>
        <w:tc>
          <w:tcPr>
            <w:tcW w:w="2438" w:type="dxa"/>
            <w:tcBorders>
              <w:top w:val="single" w:sz="4" w:space="0" w:color="DF2528"/>
              <w:left w:val="nil"/>
              <w:bottom w:val="single" w:sz="4" w:space="0" w:color="DF2528"/>
            </w:tcBorders>
          </w:tcPr>
          <w:p>
            <w:pPr>
              <w:pStyle w:val="TableParagraph"/>
              <w:ind w:left="112"/>
              <w:rPr>
                <w:sz w:val="16"/>
              </w:rPr>
            </w:pPr>
            <w:r>
              <w:rPr>
                <w:color w:val="404040"/>
                <w:sz w:val="16"/>
              </w:rPr>
              <w:t>- 9 Non IS Other</w:t>
            </w:r>
          </w:p>
        </w:tc>
        <w:tc>
          <w:tcPr>
            <w:tcW w:w="849" w:type="dxa"/>
            <w:tcBorders>
              <w:top w:val="single" w:sz="4" w:space="0" w:color="DF2528"/>
              <w:bottom w:val="single" w:sz="4" w:space="0" w:color="DF2528"/>
              <w:right w:val="single" w:sz="4" w:space="0" w:color="DF2528"/>
            </w:tcBorders>
          </w:tcPr>
          <w:p>
            <w:pPr>
              <w:pStyle w:val="TableParagraph"/>
              <w:ind w:left="198" w:right="197"/>
              <w:jc w:val="center"/>
              <w:rPr>
                <w:sz w:val="16"/>
              </w:rPr>
            </w:pPr>
            <w:r>
              <w:rPr>
                <w:color w:val="404040"/>
                <w:sz w:val="16"/>
              </w:rPr>
              <w:t>72</w:t>
            </w:r>
          </w:p>
        </w:tc>
        <w:tc>
          <w:tcPr>
            <w:tcW w:w="848" w:type="dxa"/>
            <w:tcBorders>
              <w:top w:val="single" w:sz="4" w:space="0" w:color="DF2528"/>
              <w:left w:val="single" w:sz="4" w:space="0" w:color="DF2528"/>
              <w:bottom w:val="single" w:sz="4" w:space="0" w:color="DF2528"/>
              <w:right w:val="nil"/>
            </w:tcBorders>
          </w:tcPr>
          <w:p>
            <w:pPr>
              <w:pStyle w:val="TableParagraph"/>
              <w:ind w:left="239" w:right="240"/>
              <w:jc w:val="center"/>
              <w:rPr>
                <w:sz w:val="16"/>
              </w:rPr>
            </w:pPr>
            <w:r>
              <w:rPr>
                <w:color w:val="404040"/>
                <w:sz w:val="16"/>
              </w:rPr>
              <w:t>96</w:t>
            </w:r>
          </w:p>
        </w:tc>
        <w:tc>
          <w:tcPr>
            <w:tcW w:w="851" w:type="dxa"/>
            <w:tcBorders>
              <w:top w:val="single" w:sz="4" w:space="0" w:color="DF2528"/>
              <w:left w:val="nil"/>
              <w:bottom w:val="single" w:sz="4" w:space="0" w:color="DF2528"/>
            </w:tcBorders>
          </w:tcPr>
          <w:p>
            <w:pPr>
              <w:pStyle w:val="TableParagraph"/>
              <w:ind w:right="327"/>
              <w:jc w:val="right"/>
              <w:rPr>
                <w:sz w:val="16"/>
              </w:rPr>
            </w:pPr>
            <w:r>
              <w:rPr>
                <w:color w:val="404040"/>
                <w:sz w:val="16"/>
              </w:rPr>
              <w:t>98</w:t>
            </w:r>
          </w:p>
        </w:tc>
        <w:tc>
          <w:tcPr>
            <w:tcW w:w="848" w:type="dxa"/>
            <w:tcBorders>
              <w:top w:val="single" w:sz="4" w:space="0" w:color="DF2528"/>
              <w:bottom w:val="single" w:sz="4" w:space="0" w:color="DF2528"/>
              <w:right w:val="nil"/>
            </w:tcBorders>
          </w:tcPr>
          <w:p>
            <w:pPr>
              <w:pStyle w:val="TableParagraph"/>
              <w:ind w:left="241" w:right="237"/>
              <w:jc w:val="center"/>
              <w:rPr>
                <w:sz w:val="16"/>
              </w:rPr>
            </w:pPr>
            <w:r>
              <w:rPr>
                <w:color w:val="404040"/>
                <w:sz w:val="16"/>
              </w:rPr>
              <w:t>+3</w:t>
            </w:r>
          </w:p>
        </w:tc>
        <w:tc>
          <w:tcPr>
            <w:tcW w:w="850" w:type="dxa"/>
            <w:tcBorders>
              <w:top w:val="single" w:sz="4" w:space="0" w:color="DF2528"/>
              <w:left w:val="nil"/>
              <w:bottom w:val="single" w:sz="4" w:space="0" w:color="DF2528"/>
            </w:tcBorders>
          </w:tcPr>
          <w:p>
            <w:pPr>
              <w:pStyle w:val="TableParagraph"/>
              <w:ind w:left="155" w:right="142"/>
              <w:jc w:val="center"/>
              <w:rPr>
                <w:sz w:val="16"/>
              </w:rPr>
            </w:pPr>
            <w:r>
              <w:rPr>
                <w:color w:val="404040"/>
                <w:sz w:val="16"/>
              </w:rPr>
              <w:t>+3.0%</w:t>
            </w:r>
          </w:p>
        </w:tc>
        <w:tc>
          <w:tcPr>
            <w:tcW w:w="1133" w:type="dxa"/>
            <w:tcBorders>
              <w:top w:val="single" w:sz="4" w:space="0" w:color="DF2528"/>
              <w:bottom w:val="single" w:sz="4" w:space="0" w:color="DF2528"/>
            </w:tcBorders>
          </w:tcPr>
          <w:p>
            <w:pPr>
              <w:pStyle w:val="TableParagraph"/>
              <w:ind w:left="272" w:right="263"/>
              <w:jc w:val="center"/>
              <w:rPr>
                <w:sz w:val="16"/>
              </w:rPr>
            </w:pPr>
            <w:r>
              <w:rPr>
                <w:color w:val="404040"/>
                <w:sz w:val="16"/>
              </w:rPr>
              <w:t>+16.6%</w:t>
            </w:r>
          </w:p>
        </w:tc>
        <w:tc>
          <w:tcPr>
            <w:tcW w:w="1189" w:type="dxa"/>
            <w:tcBorders>
              <w:top w:val="single" w:sz="4" w:space="0" w:color="DF2528"/>
              <w:bottom w:val="single" w:sz="4" w:space="0" w:color="DF2528"/>
              <w:right w:val="nil"/>
            </w:tcBorders>
          </w:tcPr>
          <w:p>
            <w:pPr>
              <w:pStyle w:val="TableParagraph"/>
              <w:ind w:left="211" w:right="208"/>
              <w:jc w:val="center"/>
              <w:rPr>
                <w:sz w:val="16"/>
              </w:rPr>
            </w:pPr>
            <w:r>
              <w:rPr>
                <w:color w:val="404040"/>
                <w:sz w:val="16"/>
              </w:rPr>
              <w:t>-13.6%</w:t>
            </w:r>
          </w:p>
        </w:tc>
        <w:tc>
          <w:tcPr>
            <w:tcW w:w="1191" w:type="dxa"/>
            <w:tcBorders>
              <w:top w:val="single" w:sz="4" w:space="0" w:color="DF2528"/>
              <w:left w:val="nil"/>
              <w:bottom w:val="single" w:sz="4" w:space="0" w:color="DF2528"/>
              <w:right w:val="nil"/>
            </w:tcBorders>
          </w:tcPr>
          <w:p>
            <w:pPr>
              <w:pStyle w:val="TableParagraph"/>
              <w:ind w:left="467" w:right="451"/>
              <w:jc w:val="center"/>
              <w:rPr>
                <w:sz w:val="16"/>
              </w:rPr>
            </w:pPr>
            <w:r>
              <w:rPr>
                <w:color w:val="404040"/>
                <w:sz w:val="16"/>
              </w:rPr>
              <w:t>-20</w:t>
            </w:r>
          </w:p>
        </w:tc>
      </w:tr>
      <w:tr>
        <w:trPr>
          <w:trHeight w:val="263" w:hRule="atLeast"/>
        </w:trPr>
        <w:tc>
          <w:tcPr>
            <w:tcW w:w="2438" w:type="dxa"/>
            <w:tcBorders>
              <w:top w:val="single" w:sz="4" w:space="0" w:color="DF2528"/>
              <w:left w:val="nil"/>
              <w:bottom w:val="single" w:sz="4" w:space="0" w:color="FFFFFF"/>
            </w:tcBorders>
            <w:shd w:val="clear" w:color="auto" w:fill="F4C9C9"/>
          </w:tcPr>
          <w:p>
            <w:pPr>
              <w:pStyle w:val="TableParagraph"/>
              <w:ind w:left="112"/>
              <w:rPr>
                <w:i/>
                <w:sz w:val="16"/>
              </w:rPr>
            </w:pPr>
            <w:r>
              <w:rPr>
                <w:i/>
                <w:color w:val="404040"/>
                <w:sz w:val="16"/>
              </w:rPr>
              <w:t>Total current welfare recipients</w:t>
            </w:r>
          </w:p>
        </w:tc>
        <w:tc>
          <w:tcPr>
            <w:tcW w:w="849" w:type="dxa"/>
            <w:tcBorders>
              <w:top w:val="single" w:sz="4" w:space="0" w:color="DF2528"/>
              <w:bottom w:val="single" w:sz="4" w:space="0" w:color="FFFFFF"/>
              <w:right w:val="single" w:sz="4" w:space="0" w:color="DF2528"/>
            </w:tcBorders>
            <w:shd w:val="clear" w:color="auto" w:fill="F4C9C9"/>
          </w:tcPr>
          <w:p>
            <w:pPr>
              <w:pStyle w:val="TableParagraph"/>
              <w:ind w:left="198" w:right="199"/>
              <w:jc w:val="center"/>
              <w:rPr>
                <w:i/>
                <w:sz w:val="16"/>
              </w:rPr>
            </w:pPr>
            <w:r>
              <w:rPr>
                <w:i/>
                <w:color w:val="404040"/>
                <w:sz w:val="16"/>
              </w:rPr>
              <w:t>2,134</w:t>
            </w:r>
          </w:p>
        </w:tc>
        <w:tc>
          <w:tcPr>
            <w:tcW w:w="848" w:type="dxa"/>
            <w:tcBorders>
              <w:top w:val="single" w:sz="4" w:space="0" w:color="DF2528"/>
              <w:left w:val="single" w:sz="4" w:space="0" w:color="DF2528"/>
              <w:bottom w:val="single" w:sz="4" w:space="0" w:color="FFFFFF"/>
              <w:right w:val="nil"/>
            </w:tcBorders>
            <w:shd w:val="clear" w:color="auto" w:fill="F4C9C9"/>
          </w:tcPr>
          <w:p>
            <w:pPr>
              <w:pStyle w:val="TableParagraph"/>
              <w:ind w:right="221"/>
              <w:jc w:val="right"/>
              <w:rPr>
                <w:i/>
                <w:sz w:val="16"/>
              </w:rPr>
            </w:pPr>
            <w:r>
              <w:rPr>
                <w:i/>
                <w:color w:val="404040"/>
                <w:sz w:val="16"/>
              </w:rPr>
              <w:t>2,599</w:t>
            </w:r>
          </w:p>
        </w:tc>
        <w:tc>
          <w:tcPr>
            <w:tcW w:w="851" w:type="dxa"/>
            <w:tcBorders>
              <w:top w:val="single" w:sz="4" w:space="0" w:color="DF2528"/>
              <w:left w:val="nil"/>
              <w:bottom w:val="single" w:sz="4" w:space="0" w:color="FFFFFF"/>
            </w:tcBorders>
            <w:shd w:val="clear" w:color="auto" w:fill="F4C9C9"/>
          </w:tcPr>
          <w:p>
            <w:pPr>
              <w:pStyle w:val="TableParagraph"/>
              <w:ind w:right="217"/>
              <w:jc w:val="right"/>
              <w:rPr>
                <w:i/>
                <w:sz w:val="16"/>
              </w:rPr>
            </w:pPr>
            <w:r>
              <w:rPr>
                <w:i/>
                <w:color w:val="404040"/>
                <w:sz w:val="16"/>
              </w:rPr>
              <w:t>2,439</w:t>
            </w:r>
          </w:p>
        </w:tc>
        <w:tc>
          <w:tcPr>
            <w:tcW w:w="848" w:type="dxa"/>
            <w:tcBorders>
              <w:top w:val="single" w:sz="4" w:space="0" w:color="DF2528"/>
              <w:bottom w:val="single" w:sz="4" w:space="0" w:color="FFFFFF"/>
              <w:right w:val="nil"/>
            </w:tcBorders>
            <w:shd w:val="clear" w:color="auto" w:fill="F4C9C9"/>
          </w:tcPr>
          <w:p>
            <w:pPr>
              <w:pStyle w:val="TableParagraph"/>
              <w:ind w:left="241" w:right="240"/>
              <w:jc w:val="center"/>
              <w:rPr>
                <w:i/>
                <w:sz w:val="16"/>
              </w:rPr>
            </w:pPr>
            <w:r>
              <w:rPr>
                <w:i/>
                <w:color w:val="404040"/>
                <w:sz w:val="16"/>
              </w:rPr>
              <w:t>-160</w:t>
            </w:r>
          </w:p>
        </w:tc>
        <w:tc>
          <w:tcPr>
            <w:tcW w:w="850" w:type="dxa"/>
            <w:tcBorders>
              <w:top w:val="single" w:sz="4" w:space="0" w:color="DF2528"/>
              <w:left w:val="nil"/>
              <w:bottom w:val="single" w:sz="4" w:space="0" w:color="FFFFFF"/>
            </w:tcBorders>
            <w:shd w:val="clear" w:color="auto" w:fill="F4C9C9"/>
          </w:tcPr>
          <w:p>
            <w:pPr>
              <w:pStyle w:val="TableParagraph"/>
              <w:ind w:left="155" w:right="140"/>
              <w:jc w:val="center"/>
              <w:rPr>
                <w:i/>
                <w:sz w:val="16"/>
              </w:rPr>
            </w:pPr>
            <w:r>
              <w:rPr>
                <w:i/>
                <w:color w:val="404040"/>
                <w:sz w:val="16"/>
              </w:rPr>
              <w:t>-6.2%</w:t>
            </w:r>
          </w:p>
        </w:tc>
        <w:tc>
          <w:tcPr>
            <w:tcW w:w="1133" w:type="dxa"/>
            <w:tcBorders>
              <w:top w:val="single" w:sz="4" w:space="0" w:color="DF2528"/>
              <w:bottom w:val="single" w:sz="4" w:space="0" w:color="FFFFFF"/>
            </w:tcBorders>
            <w:shd w:val="clear" w:color="auto" w:fill="F4C9C9"/>
          </w:tcPr>
          <w:p>
            <w:pPr>
              <w:pStyle w:val="TableParagraph"/>
              <w:ind w:left="272" w:right="263"/>
              <w:jc w:val="center"/>
              <w:rPr>
                <w:i/>
                <w:sz w:val="16"/>
              </w:rPr>
            </w:pPr>
            <w:r>
              <w:rPr>
                <w:i/>
                <w:color w:val="404040"/>
                <w:sz w:val="16"/>
              </w:rPr>
              <w:t>-1.1%</w:t>
            </w:r>
          </w:p>
        </w:tc>
        <w:tc>
          <w:tcPr>
            <w:tcW w:w="1189" w:type="dxa"/>
            <w:tcBorders>
              <w:top w:val="single" w:sz="4" w:space="0" w:color="DF2528"/>
              <w:bottom w:val="single" w:sz="4" w:space="0" w:color="FFFFFF"/>
              <w:right w:val="nil"/>
            </w:tcBorders>
            <w:shd w:val="clear" w:color="auto" w:fill="F4C9C9"/>
          </w:tcPr>
          <w:p>
            <w:pPr>
              <w:pStyle w:val="TableParagraph"/>
              <w:ind w:left="211" w:right="205"/>
              <w:jc w:val="center"/>
              <w:rPr>
                <w:i/>
                <w:sz w:val="16"/>
              </w:rPr>
            </w:pPr>
            <w:r>
              <w:rPr>
                <w:i/>
                <w:color w:val="404040"/>
                <w:sz w:val="16"/>
              </w:rPr>
              <w:t>-5.0%</w:t>
            </w:r>
          </w:p>
        </w:tc>
        <w:tc>
          <w:tcPr>
            <w:tcW w:w="1191" w:type="dxa"/>
            <w:tcBorders>
              <w:top w:val="single" w:sz="4" w:space="0" w:color="DF2528"/>
              <w:left w:val="nil"/>
              <w:bottom w:val="single" w:sz="4" w:space="0" w:color="FFFFFF"/>
              <w:right w:val="nil"/>
            </w:tcBorders>
            <w:shd w:val="clear" w:color="auto" w:fill="F4C9C9"/>
          </w:tcPr>
          <w:p>
            <w:pPr>
              <w:pStyle w:val="TableParagraph"/>
              <w:ind w:left="467" w:right="451"/>
              <w:jc w:val="center"/>
              <w:rPr>
                <w:i/>
                <w:sz w:val="16"/>
              </w:rPr>
            </w:pPr>
            <w:r>
              <w:rPr>
                <w:i/>
                <w:color w:val="404040"/>
                <w:sz w:val="16"/>
              </w:rPr>
              <w:t>-16</w:t>
            </w:r>
          </w:p>
        </w:tc>
      </w:tr>
      <w:tr>
        <w:trPr>
          <w:trHeight w:val="258" w:hRule="atLeast"/>
        </w:trPr>
        <w:tc>
          <w:tcPr>
            <w:tcW w:w="2438" w:type="dxa"/>
            <w:tcBorders>
              <w:top w:val="single" w:sz="4" w:space="0" w:color="FFFFFF"/>
              <w:left w:val="nil"/>
              <w:bottom w:val="nil"/>
            </w:tcBorders>
            <w:shd w:val="clear" w:color="auto" w:fill="DF2528"/>
          </w:tcPr>
          <w:p>
            <w:pPr>
              <w:pStyle w:val="TableParagraph"/>
              <w:spacing w:before="34"/>
              <w:ind w:left="112"/>
              <w:rPr>
                <w:b/>
                <w:sz w:val="16"/>
              </w:rPr>
            </w:pPr>
            <w:r>
              <w:rPr>
                <w:b/>
                <w:color w:val="FFFFFF"/>
                <w:sz w:val="16"/>
              </w:rPr>
              <w:t>Non welfare recipients</w:t>
            </w:r>
          </w:p>
        </w:tc>
        <w:tc>
          <w:tcPr>
            <w:tcW w:w="849" w:type="dxa"/>
            <w:tcBorders>
              <w:top w:val="single" w:sz="4" w:space="0" w:color="FFFFFF"/>
              <w:bottom w:val="nil"/>
              <w:right w:val="nil"/>
            </w:tcBorders>
            <w:shd w:val="clear" w:color="auto" w:fill="DF2528"/>
          </w:tcPr>
          <w:p>
            <w:pPr>
              <w:pStyle w:val="TableParagraph"/>
              <w:spacing w:before="0"/>
              <w:rPr>
                <w:rFonts w:ascii="Times New Roman"/>
                <w:sz w:val="16"/>
              </w:rPr>
            </w:pPr>
          </w:p>
        </w:tc>
        <w:tc>
          <w:tcPr>
            <w:tcW w:w="1699" w:type="dxa"/>
            <w:gridSpan w:val="2"/>
            <w:tcBorders>
              <w:top w:val="single" w:sz="4" w:space="0" w:color="FFFFFF"/>
              <w:left w:val="nil"/>
              <w:bottom w:val="nil"/>
            </w:tcBorders>
            <w:shd w:val="clear" w:color="auto" w:fill="DF2528"/>
          </w:tcPr>
          <w:p>
            <w:pPr>
              <w:pStyle w:val="TableParagraph"/>
              <w:spacing w:before="0"/>
              <w:rPr>
                <w:rFonts w:ascii="Times New Roman"/>
                <w:sz w:val="16"/>
              </w:rPr>
            </w:pPr>
          </w:p>
        </w:tc>
        <w:tc>
          <w:tcPr>
            <w:tcW w:w="1698" w:type="dxa"/>
            <w:gridSpan w:val="2"/>
            <w:tcBorders>
              <w:top w:val="single" w:sz="4" w:space="0" w:color="FFFFFF"/>
              <w:bottom w:val="nil"/>
            </w:tcBorders>
            <w:shd w:val="clear" w:color="auto" w:fill="DF2528"/>
          </w:tcPr>
          <w:p>
            <w:pPr>
              <w:pStyle w:val="TableParagraph"/>
              <w:spacing w:before="0"/>
              <w:rPr>
                <w:rFonts w:ascii="Times New Roman"/>
                <w:sz w:val="16"/>
              </w:rPr>
            </w:pPr>
          </w:p>
        </w:tc>
        <w:tc>
          <w:tcPr>
            <w:tcW w:w="1133" w:type="dxa"/>
            <w:tcBorders>
              <w:top w:val="single" w:sz="4" w:space="0" w:color="FFFFFF"/>
              <w:bottom w:val="nil"/>
            </w:tcBorders>
            <w:shd w:val="clear" w:color="auto" w:fill="DF2528"/>
          </w:tcPr>
          <w:p>
            <w:pPr>
              <w:pStyle w:val="TableParagraph"/>
              <w:spacing w:before="0"/>
              <w:rPr>
                <w:rFonts w:ascii="Times New Roman"/>
                <w:sz w:val="16"/>
              </w:rPr>
            </w:pPr>
          </w:p>
        </w:tc>
        <w:tc>
          <w:tcPr>
            <w:tcW w:w="2380" w:type="dxa"/>
            <w:gridSpan w:val="2"/>
            <w:tcBorders>
              <w:top w:val="single" w:sz="4" w:space="0" w:color="FFFFFF"/>
              <w:bottom w:val="nil"/>
              <w:right w:val="nil"/>
            </w:tcBorders>
            <w:shd w:val="clear" w:color="auto" w:fill="DF2528"/>
          </w:tcPr>
          <w:p>
            <w:pPr>
              <w:pStyle w:val="TableParagraph"/>
              <w:spacing w:before="0"/>
              <w:rPr>
                <w:rFonts w:ascii="Times New Roman"/>
                <w:sz w:val="16"/>
              </w:rPr>
            </w:pPr>
          </w:p>
        </w:tc>
      </w:tr>
      <w:tr>
        <w:trPr>
          <w:trHeight w:val="453" w:hRule="atLeast"/>
        </w:trPr>
        <w:tc>
          <w:tcPr>
            <w:tcW w:w="2438" w:type="dxa"/>
            <w:tcBorders>
              <w:top w:val="single" w:sz="4" w:space="0" w:color="DF2528"/>
              <w:left w:val="nil"/>
              <w:bottom w:val="single" w:sz="4" w:space="0" w:color="DF2528"/>
            </w:tcBorders>
          </w:tcPr>
          <w:p>
            <w:pPr>
              <w:pStyle w:val="TableParagraph"/>
              <w:spacing w:before="41"/>
              <w:ind w:left="112" w:right="798"/>
              <w:rPr>
                <w:sz w:val="16"/>
              </w:rPr>
            </w:pPr>
            <w:r>
              <w:rPr>
                <w:color w:val="404040"/>
                <w:sz w:val="16"/>
              </w:rPr>
              <w:t>- 10 Previous welfare recipients</w:t>
            </w:r>
          </w:p>
        </w:tc>
        <w:tc>
          <w:tcPr>
            <w:tcW w:w="849" w:type="dxa"/>
            <w:tcBorders>
              <w:top w:val="single" w:sz="4" w:space="0" w:color="DF2528"/>
              <w:bottom w:val="single" w:sz="4" w:space="0" w:color="DF2528"/>
              <w:right w:val="single" w:sz="4" w:space="0" w:color="DF2528"/>
            </w:tcBorders>
          </w:tcPr>
          <w:p>
            <w:pPr>
              <w:pStyle w:val="TableParagraph"/>
              <w:spacing w:before="41"/>
              <w:ind w:left="198" w:right="199"/>
              <w:jc w:val="center"/>
              <w:rPr>
                <w:sz w:val="16"/>
              </w:rPr>
            </w:pPr>
            <w:r>
              <w:rPr>
                <w:color w:val="404040"/>
                <w:sz w:val="16"/>
              </w:rPr>
              <w:t>735</w:t>
            </w:r>
          </w:p>
        </w:tc>
        <w:tc>
          <w:tcPr>
            <w:tcW w:w="848" w:type="dxa"/>
            <w:tcBorders>
              <w:top w:val="single" w:sz="4" w:space="0" w:color="DF2528"/>
              <w:left w:val="single" w:sz="4" w:space="0" w:color="DF2528"/>
              <w:bottom w:val="single" w:sz="4" w:space="0" w:color="DF2528"/>
              <w:right w:val="nil"/>
            </w:tcBorders>
          </w:tcPr>
          <w:p>
            <w:pPr>
              <w:pStyle w:val="TableParagraph"/>
              <w:spacing w:before="41"/>
              <w:ind w:right="288"/>
              <w:jc w:val="right"/>
              <w:rPr>
                <w:sz w:val="16"/>
              </w:rPr>
            </w:pPr>
            <w:r>
              <w:rPr>
                <w:color w:val="404040"/>
                <w:sz w:val="16"/>
              </w:rPr>
              <w:t>990</w:t>
            </w:r>
          </w:p>
        </w:tc>
        <w:tc>
          <w:tcPr>
            <w:tcW w:w="851" w:type="dxa"/>
            <w:tcBorders>
              <w:top w:val="single" w:sz="4" w:space="0" w:color="DF2528"/>
              <w:left w:val="nil"/>
              <w:bottom w:val="single" w:sz="4" w:space="0" w:color="DF2528"/>
            </w:tcBorders>
          </w:tcPr>
          <w:p>
            <w:pPr>
              <w:pStyle w:val="TableParagraph"/>
              <w:spacing w:before="41"/>
              <w:ind w:right="284"/>
              <w:jc w:val="right"/>
              <w:rPr>
                <w:sz w:val="16"/>
              </w:rPr>
            </w:pPr>
            <w:r>
              <w:rPr>
                <w:color w:val="404040"/>
                <w:sz w:val="16"/>
              </w:rPr>
              <w:t>900</w:t>
            </w:r>
          </w:p>
        </w:tc>
        <w:tc>
          <w:tcPr>
            <w:tcW w:w="848" w:type="dxa"/>
            <w:tcBorders>
              <w:top w:val="single" w:sz="4" w:space="0" w:color="DF2528"/>
              <w:bottom w:val="single" w:sz="4" w:space="0" w:color="DF2528"/>
              <w:right w:val="nil"/>
            </w:tcBorders>
          </w:tcPr>
          <w:p>
            <w:pPr>
              <w:pStyle w:val="TableParagraph"/>
              <w:spacing w:before="41"/>
              <w:ind w:left="241" w:right="238"/>
              <w:jc w:val="center"/>
              <w:rPr>
                <w:sz w:val="16"/>
              </w:rPr>
            </w:pPr>
            <w:r>
              <w:rPr>
                <w:color w:val="404040"/>
                <w:sz w:val="16"/>
              </w:rPr>
              <w:t>-90</w:t>
            </w:r>
          </w:p>
        </w:tc>
        <w:tc>
          <w:tcPr>
            <w:tcW w:w="850" w:type="dxa"/>
            <w:tcBorders>
              <w:top w:val="single" w:sz="4" w:space="0" w:color="DF2528"/>
              <w:left w:val="nil"/>
              <w:bottom w:val="single" w:sz="4" w:space="0" w:color="DF2528"/>
            </w:tcBorders>
          </w:tcPr>
          <w:p>
            <w:pPr>
              <w:pStyle w:val="TableParagraph"/>
              <w:spacing w:before="41"/>
              <w:ind w:left="155" w:right="140"/>
              <w:jc w:val="center"/>
              <w:rPr>
                <w:sz w:val="16"/>
              </w:rPr>
            </w:pPr>
            <w:r>
              <w:rPr>
                <w:color w:val="404040"/>
                <w:sz w:val="16"/>
              </w:rPr>
              <w:t>-9.1%</w:t>
            </w:r>
          </w:p>
        </w:tc>
        <w:tc>
          <w:tcPr>
            <w:tcW w:w="1133" w:type="dxa"/>
            <w:tcBorders>
              <w:top w:val="single" w:sz="4" w:space="0" w:color="DF2528"/>
              <w:bottom w:val="single" w:sz="4" w:space="0" w:color="DF2528"/>
            </w:tcBorders>
          </w:tcPr>
          <w:p>
            <w:pPr>
              <w:pStyle w:val="TableParagraph"/>
              <w:spacing w:before="41"/>
              <w:ind w:left="270" w:right="263"/>
              <w:jc w:val="center"/>
              <w:rPr>
                <w:sz w:val="16"/>
              </w:rPr>
            </w:pPr>
            <w:r>
              <w:rPr>
                <w:color w:val="404040"/>
                <w:sz w:val="16"/>
              </w:rPr>
              <w:t>+7.1%</w:t>
            </w:r>
          </w:p>
        </w:tc>
        <w:tc>
          <w:tcPr>
            <w:tcW w:w="1189" w:type="dxa"/>
            <w:tcBorders>
              <w:top w:val="single" w:sz="4" w:space="0" w:color="DF2528"/>
              <w:bottom w:val="single" w:sz="4" w:space="0" w:color="DF2528"/>
              <w:right w:val="nil"/>
            </w:tcBorders>
          </w:tcPr>
          <w:p>
            <w:pPr>
              <w:pStyle w:val="TableParagraph"/>
              <w:spacing w:before="41"/>
              <w:ind w:left="211" w:right="208"/>
              <w:jc w:val="center"/>
              <w:rPr>
                <w:sz w:val="16"/>
              </w:rPr>
            </w:pPr>
            <w:r>
              <w:rPr>
                <w:color w:val="404040"/>
                <w:sz w:val="16"/>
              </w:rPr>
              <w:t>-16.2%</w:t>
            </w:r>
          </w:p>
        </w:tc>
        <w:tc>
          <w:tcPr>
            <w:tcW w:w="1191" w:type="dxa"/>
            <w:tcBorders>
              <w:top w:val="single" w:sz="4" w:space="0" w:color="DF2528"/>
              <w:left w:val="nil"/>
              <w:bottom w:val="single" w:sz="4" w:space="0" w:color="DF2528"/>
              <w:right w:val="nil"/>
            </w:tcBorders>
          </w:tcPr>
          <w:p>
            <w:pPr>
              <w:pStyle w:val="TableParagraph"/>
              <w:spacing w:before="41"/>
              <w:ind w:left="467" w:right="451"/>
              <w:jc w:val="center"/>
              <w:rPr>
                <w:sz w:val="16"/>
              </w:rPr>
            </w:pPr>
            <w:r>
              <w:rPr>
                <w:color w:val="404040"/>
                <w:sz w:val="16"/>
              </w:rPr>
              <w:t>-33</w:t>
            </w:r>
          </w:p>
        </w:tc>
      </w:tr>
      <w:tr>
        <w:trPr>
          <w:trHeight w:val="448" w:hRule="atLeast"/>
        </w:trPr>
        <w:tc>
          <w:tcPr>
            <w:tcW w:w="2438" w:type="dxa"/>
            <w:tcBorders>
              <w:top w:val="single" w:sz="4" w:space="0" w:color="DF2528"/>
              <w:left w:val="nil"/>
              <w:bottom w:val="single" w:sz="4" w:space="0" w:color="DF2528"/>
            </w:tcBorders>
          </w:tcPr>
          <w:p>
            <w:pPr>
              <w:pStyle w:val="TableParagraph"/>
              <w:ind w:left="112" w:right="718"/>
              <w:rPr>
                <w:sz w:val="16"/>
              </w:rPr>
            </w:pPr>
            <w:r>
              <w:rPr>
                <w:color w:val="404040"/>
                <w:sz w:val="16"/>
              </w:rPr>
              <w:t>- 12 Rest of Australian Population</w:t>
            </w:r>
          </w:p>
        </w:tc>
        <w:tc>
          <w:tcPr>
            <w:tcW w:w="849" w:type="dxa"/>
            <w:tcBorders>
              <w:top w:val="single" w:sz="4" w:space="0" w:color="DF2528"/>
              <w:bottom w:val="single" w:sz="4" w:space="0" w:color="DF2528"/>
              <w:right w:val="single" w:sz="4" w:space="0" w:color="DF2528"/>
            </w:tcBorders>
          </w:tcPr>
          <w:p>
            <w:pPr>
              <w:pStyle w:val="TableParagraph"/>
              <w:ind w:left="198" w:right="199"/>
              <w:jc w:val="center"/>
              <w:rPr>
                <w:sz w:val="16"/>
              </w:rPr>
            </w:pPr>
            <w:r>
              <w:rPr>
                <w:color w:val="404040"/>
                <w:sz w:val="16"/>
              </w:rPr>
              <w:t>1,812</w:t>
            </w:r>
          </w:p>
        </w:tc>
        <w:tc>
          <w:tcPr>
            <w:tcW w:w="848" w:type="dxa"/>
            <w:tcBorders>
              <w:top w:val="single" w:sz="4" w:space="0" w:color="DF2528"/>
              <w:left w:val="single" w:sz="4" w:space="0" w:color="DF2528"/>
              <w:bottom w:val="single" w:sz="4" w:space="0" w:color="DF2528"/>
              <w:right w:val="nil"/>
            </w:tcBorders>
          </w:tcPr>
          <w:p>
            <w:pPr>
              <w:pStyle w:val="TableParagraph"/>
              <w:ind w:right="221"/>
              <w:jc w:val="right"/>
              <w:rPr>
                <w:sz w:val="16"/>
              </w:rPr>
            </w:pPr>
            <w:r>
              <w:rPr>
                <w:color w:val="404040"/>
                <w:sz w:val="16"/>
              </w:rPr>
              <w:t>2,708</w:t>
            </w:r>
          </w:p>
        </w:tc>
        <w:tc>
          <w:tcPr>
            <w:tcW w:w="851" w:type="dxa"/>
            <w:tcBorders>
              <w:top w:val="single" w:sz="4" w:space="0" w:color="DF2528"/>
              <w:left w:val="nil"/>
              <w:bottom w:val="single" w:sz="4" w:space="0" w:color="DF2528"/>
            </w:tcBorders>
          </w:tcPr>
          <w:p>
            <w:pPr>
              <w:pStyle w:val="TableParagraph"/>
              <w:ind w:right="217"/>
              <w:jc w:val="right"/>
              <w:rPr>
                <w:sz w:val="16"/>
              </w:rPr>
            </w:pPr>
            <w:r>
              <w:rPr>
                <w:color w:val="404040"/>
                <w:sz w:val="16"/>
              </w:rPr>
              <w:t>2,323</w:t>
            </w:r>
          </w:p>
        </w:tc>
        <w:tc>
          <w:tcPr>
            <w:tcW w:w="848" w:type="dxa"/>
            <w:tcBorders>
              <w:top w:val="single" w:sz="4" w:space="0" w:color="DF2528"/>
              <w:bottom w:val="single" w:sz="4" w:space="0" w:color="DF2528"/>
              <w:right w:val="nil"/>
            </w:tcBorders>
          </w:tcPr>
          <w:p>
            <w:pPr>
              <w:pStyle w:val="TableParagraph"/>
              <w:ind w:left="241" w:right="240"/>
              <w:jc w:val="center"/>
              <w:rPr>
                <w:sz w:val="16"/>
              </w:rPr>
            </w:pPr>
            <w:r>
              <w:rPr>
                <w:color w:val="404040"/>
                <w:sz w:val="16"/>
              </w:rPr>
              <w:t>-385</w:t>
            </w:r>
          </w:p>
        </w:tc>
        <w:tc>
          <w:tcPr>
            <w:tcW w:w="850" w:type="dxa"/>
            <w:tcBorders>
              <w:top w:val="single" w:sz="4" w:space="0" w:color="DF2528"/>
              <w:left w:val="nil"/>
              <w:bottom w:val="single" w:sz="4" w:space="0" w:color="DF2528"/>
            </w:tcBorders>
          </w:tcPr>
          <w:p>
            <w:pPr>
              <w:pStyle w:val="TableParagraph"/>
              <w:ind w:left="155" w:right="142"/>
              <w:jc w:val="center"/>
              <w:rPr>
                <w:sz w:val="16"/>
              </w:rPr>
            </w:pPr>
            <w:r>
              <w:rPr>
                <w:color w:val="404040"/>
                <w:sz w:val="16"/>
              </w:rPr>
              <w:t>-14.2%</w:t>
            </w:r>
          </w:p>
        </w:tc>
        <w:tc>
          <w:tcPr>
            <w:tcW w:w="1133" w:type="dxa"/>
            <w:tcBorders>
              <w:top w:val="single" w:sz="4" w:space="0" w:color="DF2528"/>
              <w:bottom w:val="single" w:sz="4" w:space="0" w:color="DF2528"/>
            </w:tcBorders>
          </w:tcPr>
          <w:p>
            <w:pPr>
              <w:pStyle w:val="TableParagraph"/>
              <w:ind w:left="270" w:right="263"/>
              <w:jc w:val="center"/>
              <w:rPr>
                <w:sz w:val="16"/>
              </w:rPr>
            </w:pPr>
            <w:r>
              <w:rPr>
                <w:color w:val="404040"/>
                <w:sz w:val="16"/>
              </w:rPr>
              <w:t>+1.0%</w:t>
            </w:r>
          </w:p>
        </w:tc>
        <w:tc>
          <w:tcPr>
            <w:tcW w:w="1189" w:type="dxa"/>
            <w:tcBorders>
              <w:top w:val="single" w:sz="4" w:space="0" w:color="DF2528"/>
              <w:bottom w:val="single" w:sz="4" w:space="0" w:color="DF2528"/>
              <w:right w:val="nil"/>
            </w:tcBorders>
          </w:tcPr>
          <w:p>
            <w:pPr>
              <w:pStyle w:val="TableParagraph"/>
              <w:ind w:left="211" w:right="208"/>
              <w:jc w:val="center"/>
              <w:rPr>
                <w:sz w:val="16"/>
              </w:rPr>
            </w:pPr>
            <w:r>
              <w:rPr>
                <w:color w:val="404040"/>
                <w:sz w:val="16"/>
              </w:rPr>
              <w:t>-15.3%</w:t>
            </w:r>
          </w:p>
        </w:tc>
        <w:tc>
          <w:tcPr>
            <w:tcW w:w="1191" w:type="dxa"/>
            <w:tcBorders>
              <w:top w:val="single" w:sz="4" w:space="0" w:color="DF2528"/>
              <w:left w:val="nil"/>
              <w:bottom w:val="single" w:sz="4" w:space="0" w:color="DF2528"/>
              <w:right w:val="nil"/>
            </w:tcBorders>
          </w:tcPr>
          <w:p>
            <w:pPr>
              <w:pStyle w:val="TableParagraph"/>
              <w:ind w:left="467" w:right="451"/>
              <w:jc w:val="center"/>
              <w:rPr>
                <w:sz w:val="16"/>
              </w:rPr>
            </w:pPr>
            <w:r>
              <w:rPr>
                <w:color w:val="404040"/>
                <w:sz w:val="16"/>
              </w:rPr>
              <w:t>-34</w:t>
            </w:r>
          </w:p>
        </w:tc>
      </w:tr>
      <w:tr>
        <w:trPr>
          <w:trHeight w:val="263" w:hRule="atLeast"/>
        </w:trPr>
        <w:tc>
          <w:tcPr>
            <w:tcW w:w="2438" w:type="dxa"/>
            <w:tcBorders>
              <w:top w:val="single" w:sz="4" w:space="0" w:color="DF2528"/>
              <w:left w:val="nil"/>
              <w:bottom w:val="single" w:sz="4" w:space="0" w:color="FFFFFF"/>
            </w:tcBorders>
            <w:shd w:val="clear" w:color="auto" w:fill="F4C9C9"/>
          </w:tcPr>
          <w:p>
            <w:pPr>
              <w:pStyle w:val="TableParagraph"/>
              <w:ind w:left="112"/>
              <w:rPr>
                <w:i/>
                <w:sz w:val="16"/>
              </w:rPr>
            </w:pPr>
            <w:r>
              <w:rPr>
                <w:i/>
                <w:color w:val="404040"/>
                <w:sz w:val="16"/>
              </w:rPr>
              <w:t>Total non-welfare recipients</w:t>
            </w:r>
          </w:p>
        </w:tc>
        <w:tc>
          <w:tcPr>
            <w:tcW w:w="849" w:type="dxa"/>
            <w:tcBorders>
              <w:top w:val="single" w:sz="4" w:space="0" w:color="DF2528"/>
              <w:bottom w:val="single" w:sz="4" w:space="0" w:color="FFFFFF"/>
              <w:right w:val="single" w:sz="4" w:space="0" w:color="DF2528"/>
            </w:tcBorders>
            <w:shd w:val="clear" w:color="auto" w:fill="F4C9C9"/>
          </w:tcPr>
          <w:p>
            <w:pPr>
              <w:pStyle w:val="TableParagraph"/>
              <w:ind w:left="198" w:right="199"/>
              <w:jc w:val="center"/>
              <w:rPr>
                <w:i/>
                <w:sz w:val="16"/>
              </w:rPr>
            </w:pPr>
            <w:r>
              <w:rPr>
                <w:i/>
                <w:color w:val="404040"/>
                <w:sz w:val="16"/>
              </w:rPr>
              <w:t>2,547</w:t>
            </w:r>
          </w:p>
        </w:tc>
        <w:tc>
          <w:tcPr>
            <w:tcW w:w="848" w:type="dxa"/>
            <w:tcBorders>
              <w:top w:val="single" w:sz="4" w:space="0" w:color="DF2528"/>
              <w:left w:val="single" w:sz="4" w:space="0" w:color="DF2528"/>
              <w:bottom w:val="single" w:sz="4" w:space="0" w:color="FFFFFF"/>
              <w:right w:val="nil"/>
            </w:tcBorders>
            <w:shd w:val="clear" w:color="auto" w:fill="F4C9C9"/>
          </w:tcPr>
          <w:p>
            <w:pPr>
              <w:pStyle w:val="TableParagraph"/>
              <w:ind w:right="221"/>
              <w:jc w:val="right"/>
              <w:rPr>
                <w:i/>
                <w:sz w:val="16"/>
              </w:rPr>
            </w:pPr>
            <w:r>
              <w:rPr>
                <w:i/>
                <w:color w:val="404040"/>
                <w:sz w:val="16"/>
              </w:rPr>
              <w:t>3,699</w:t>
            </w:r>
          </w:p>
        </w:tc>
        <w:tc>
          <w:tcPr>
            <w:tcW w:w="851" w:type="dxa"/>
            <w:tcBorders>
              <w:top w:val="single" w:sz="4" w:space="0" w:color="DF2528"/>
              <w:left w:val="nil"/>
              <w:bottom w:val="single" w:sz="4" w:space="0" w:color="FFFFFF"/>
            </w:tcBorders>
            <w:shd w:val="clear" w:color="auto" w:fill="F4C9C9"/>
          </w:tcPr>
          <w:p>
            <w:pPr>
              <w:pStyle w:val="TableParagraph"/>
              <w:ind w:right="217"/>
              <w:jc w:val="right"/>
              <w:rPr>
                <w:i/>
                <w:sz w:val="16"/>
              </w:rPr>
            </w:pPr>
            <w:r>
              <w:rPr>
                <w:i/>
                <w:color w:val="404040"/>
                <w:sz w:val="16"/>
              </w:rPr>
              <w:t>3,223</w:t>
            </w:r>
          </w:p>
        </w:tc>
        <w:tc>
          <w:tcPr>
            <w:tcW w:w="848" w:type="dxa"/>
            <w:tcBorders>
              <w:top w:val="single" w:sz="4" w:space="0" w:color="DF2528"/>
              <w:bottom w:val="single" w:sz="4" w:space="0" w:color="FFFFFF"/>
              <w:right w:val="nil"/>
            </w:tcBorders>
            <w:shd w:val="clear" w:color="auto" w:fill="F4C9C9"/>
          </w:tcPr>
          <w:p>
            <w:pPr>
              <w:pStyle w:val="TableParagraph"/>
              <w:ind w:left="241" w:right="240"/>
              <w:jc w:val="center"/>
              <w:rPr>
                <w:i/>
                <w:sz w:val="16"/>
              </w:rPr>
            </w:pPr>
            <w:r>
              <w:rPr>
                <w:i/>
                <w:color w:val="404040"/>
                <w:sz w:val="16"/>
              </w:rPr>
              <w:t>-475</w:t>
            </w:r>
          </w:p>
        </w:tc>
        <w:tc>
          <w:tcPr>
            <w:tcW w:w="850" w:type="dxa"/>
            <w:tcBorders>
              <w:top w:val="single" w:sz="4" w:space="0" w:color="DF2528"/>
              <w:left w:val="nil"/>
              <w:bottom w:val="single" w:sz="4" w:space="0" w:color="FFFFFF"/>
            </w:tcBorders>
            <w:shd w:val="clear" w:color="auto" w:fill="F4C9C9"/>
          </w:tcPr>
          <w:p>
            <w:pPr>
              <w:pStyle w:val="TableParagraph"/>
              <w:ind w:left="155" w:right="142"/>
              <w:jc w:val="center"/>
              <w:rPr>
                <w:i/>
                <w:sz w:val="16"/>
              </w:rPr>
            </w:pPr>
            <w:r>
              <w:rPr>
                <w:i/>
                <w:color w:val="404040"/>
                <w:sz w:val="16"/>
              </w:rPr>
              <w:t>-12.9%</w:t>
            </w:r>
          </w:p>
        </w:tc>
        <w:tc>
          <w:tcPr>
            <w:tcW w:w="1133" w:type="dxa"/>
            <w:tcBorders>
              <w:top w:val="single" w:sz="4" w:space="0" w:color="DF2528"/>
              <w:bottom w:val="single" w:sz="4" w:space="0" w:color="FFFFFF"/>
            </w:tcBorders>
            <w:shd w:val="clear" w:color="auto" w:fill="F4C9C9"/>
          </w:tcPr>
          <w:p>
            <w:pPr>
              <w:pStyle w:val="TableParagraph"/>
              <w:ind w:left="270" w:right="263"/>
              <w:jc w:val="center"/>
              <w:rPr>
                <w:i/>
                <w:sz w:val="16"/>
              </w:rPr>
            </w:pPr>
            <w:r>
              <w:rPr>
                <w:i/>
                <w:color w:val="404040"/>
                <w:sz w:val="16"/>
              </w:rPr>
              <w:t>+2.8%</w:t>
            </w:r>
          </w:p>
        </w:tc>
        <w:tc>
          <w:tcPr>
            <w:tcW w:w="1189" w:type="dxa"/>
            <w:tcBorders>
              <w:top w:val="single" w:sz="4" w:space="0" w:color="DF2528"/>
              <w:bottom w:val="single" w:sz="4" w:space="0" w:color="FFFFFF"/>
              <w:right w:val="nil"/>
            </w:tcBorders>
            <w:shd w:val="clear" w:color="auto" w:fill="F4C9C9"/>
          </w:tcPr>
          <w:p>
            <w:pPr>
              <w:pStyle w:val="TableParagraph"/>
              <w:ind w:left="211" w:right="208"/>
              <w:jc w:val="center"/>
              <w:rPr>
                <w:i/>
                <w:sz w:val="16"/>
              </w:rPr>
            </w:pPr>
            <w:r>
              <w:rPr>
                <w:i/>
                <w:color w:val="404040"/>
                <w:sz w:val="16"/>
              </w:rPr>
              <w:t>-15.7%</w:t>
            </w:r>
          </w:p>
        </w:tc>
        <w:tc>
          <w:tcPr>
            <w:tcW w:w="1191" w:type="dxa"/>
            <w:tcBorders>
              <w:top w:val="single" w:sz="4" w:space="0" w:color="DF2528"/>
              <w:left w:val="nil"/>
              <w:bottom w:val="single" w:sz="4" w:space="0" w:color="FFFFFF"/>
              <w:right w:val="nil"/>
            </w:tcBorders>
            <w:shd w:val="clear" w:color="auto" w:fill="F4C9C9"/>
          </w:tcPr>
          <w:p>
            <w:pPr>
              <w:pStyle w:val="TableParagraph"/>
              <w:ind w:left="467" w:right="451"/>
              <w:jc w:val="center"/>
              <w:rPr>
                <w:i/>
                <w:sz w:val="16"/>
              </w:rPr>
            </w:pPr>
            <w:r>
              <w:rPr>
                <w:i/>
                <w:color w:val="404040"/>
                <w:sz w:val="16"/>
              </w:rPr>
              <w:t>-34</w:t>
            </w:r>
          </w:p>
        </w:tc>
      </w:tr>
      <w:tr>
        <w:trPr>
          <w:trHeight w:val="448" w:hRule="atLeast"/>
        </w:trPr>
        <w:tc>
          <w:tcPr>
            <w:tcW w:w="2438" w:type="dxa"/>
            <w:tcBorders>
              <w:top w:val="single" w:sz="4" w:space="0" w:color="FFFFFF"/>
              <w:left w:val="nil"/>
              <w:bottom w:val="nil"/>
            </w:tcBorders>
            <w:shd w:val="clear" w:color="auto" w:fill="DF2528"/>
          </w:tcPr>
          <w:p>
            <w:pPr>
              <w:pStyle w:val="TableParagraph"/>
              <w:spacing w:before="34"/>
              <w:ind w:left="112" w:right="851"/>
              <w:rPr>
                <w:b/>
                <w:sz w:val="16"/>
              </w:rPr>
            </w:pPr>
            <w:r>
              <w:rPr>
                <w:b/>
                <w:color w:val="FFFFFF"/>
                <w:sz w:val="16"/>
              </w:rPr>
              <w:t>Australian resident population</w:t>
            </w:r>
          </w:p>
        </w:tc>
        <w:tc>
          <w:tcPr>
            <w:tcW w:w="849" w:type="dxa"/>
            <w:tcBorders>
              <w:top w:val="single" w:sz="4" w:space="0" w:color="FFFFFF"/>
              <w:bottom w:val="nil"/>
              <w:right w:val="nil"/>
            </w:tcBorders>
            <w:shd w:val="clear" w:color="auto" w:fill="DF2528"/>
          </w:tcPr>
          <w:p>
            <w:pPr>
              <w:pStyle w:val="TableParagraph"/>
              <w:spacing w:before="34"/>
              <w:ind w:left="199" w:right="203"/>
              <w:jc w:val="center"/>
              <w:rPr>
                <w:b/>
                <w:sz w:val="16"/>
              </w:rPr>
            </w:pPr>
            <w:r>
              <w:rPr>
                <w:b/>
                <w:color w:val="FFFFFF"/>
                <w:sz w:val="16"/>
              </w:rPr>
              <w:t>4,681</w:t>
            </w:r>
          </w:p>
        </w:tc>
        <w:tc>
          <w:tcPr>
            <w:tcW w:w="848" w:type="dxa"/>
            <w:tcBorders>
              <w:top w:val="single" w:sz="4" w:space="0" w:color="FFFFFF"/>
              <w:left w:val="nil"/>
              <w:bottom w:val="nil"/>
              <w:right w:val="nil"/>
            </w:tcBorders>
            <w:shd w:val="clear" w:color="auto" w:fill="DF2528"/>
          </w:tcPr>
          <w:p>
            <w:pPr>
              <w:pStyle w:val="TableParagraph"/>
              <w:spacing w:before="34"/>
              <w:ind w:right="221"/>
              <w:jc w:val="right"/>
              <w:rPr>
                <w:b/>
                <w:sz w:val="16"/>
              </w:rPr>
            </w:pPr>
            <w:r>
              <w:rPr>
                <w:b/>
                <w:color w:val="FFFFFF"/>
                <w:sz w:val="16"/>
              </w:rPr>
              <w:t>6,298</w:t>
            </w:r>
          </w:p>
        </w:tc>
        <w:tc>
          <w:tcPr>
            <w:tcW w:w="851" w:type="dxa"/>
            <w:tcBorders>
              <w:top w:val="single" w:sz="4" w:space="0" w:color="FFFFFF"/>
              <w:left w:val="nil"/>
              <w:bottom w:val="nil"/>
            </w:tcBorders>
            <w:shd w:val="clear" w:color="auto" w:fill="DF2528"/>
          </w:tcPr>
          <w:p>
            <w:pPr>
              <w:pStyle w:val="TableParagraph"/>
              <w:spacing w:before="34"/>
              <w:ind w:right="217"/>
              <w:jc w:val="right"/>
              <w:rPr>
                <w:b/>
                <w:sz w:val="16"/>
              </w:rPr>
            </w:pPr>
            <w:r>
              <w:rPr>
                <w:b/>
                <w:color w:val="FFFFFF"/>
                <w:sz w:val="16"/>
              </w:rPr>
              <w:t>5,662</w:t>
            </w:r>
          </w:p>
        </w:tc>
        <w:tc>
          <w:tcPr>
            <w:tcW w:w="848" w:type="dxa"/>
            <w:tcBorders>
              <w:top w:val="single" w:sz="4" w:space="0" w:color="FFFFFF"/>
              <w:bottom w:val="nil"/>
            </w:tcBorders>
            <w:shd w:val="clear" w:color="auto" w:fill="DF2528"/>
          </w:tcPr>
          <w:p>
            <w:pPr>
              <w:pStyle w:val="TableParagraph"/>
              <w:spacing w:before="34"/>
              <w:ind w:left="241" w:right="235"/>
              <w:jc w:val="center"/>
              <w:rPr>
                <w:b/>
                <w:sz w:val="16"/>
              </w:rPr>
            </w:pPr>
            <w:r>
              <w:rPr>
                <w:b/>
                <w:color w:val="FFFFFF"/>
                <w:sz w:val="16"/>
              </w:rPr>
              <w:t>-636</w:t>
            </w:r>
          </w:p>
        </w:tc>
        <w:tc>
          <w:tcPr>
            <w:tcW w:w="850" w:type="dxa"/>
            <w:tcBorders>
              <w:top w:val="single" w:sz="4" w:space="0" w:color="FFFFFF"/>
              <w:bottom w:val="nil"/>
            </w:tcBorders>
            <w:shd w:val="clear" w:color="auto" w:fill="DF2528"/>
          </w:tcPr>
          <w:p>
            <w:pPr>
              <w:pStyle w:val="TableParagraph"/>
              <w:spacing w:before="34"/>
              <w:ind w:left="150" w:right="142"/>
              <w:jc w:val="center"/>
              <w:rPr>
                <w:b/>
                <w:sz w:val="16"/>
              </w:rPr>
            </w:pPr>
            <w:r>
              <w:rPr>
                <w:b/>
                <w:color w:val="FFFFFF"/>
                <w:sz w:val="16"/>
              </w:rPr>
              <w:t>-10.1%</w:t>
            </w:r>
          </w:p>
        </w:tc>
        <w:tc>
          <w:tcPr>
            <w:tcW w:w="1133" w:type="dxa"/>
            <w:tcBorders>
              <w:top w:val="single" w:sz="4" w:space="0" w:color="FFFFFF"/>
              <w:bottom w:val="nil"/>
              <w:right w:val="nil"/>
            </w:tcBorders>
            <w:shd w:val="clear" w:color="auto" w:fill="DF2528"/>
          </w:tcPr>
          <w:p>
            <w:pPr>
              <w:pStyle w:val="TableParagraph"/>
              <w:spacing w:before="34"/>
              <w:ind w:left="315" w:right="313"/>
              <w:jc w:val="center"/>
              <w:rPr>
                <w:b/>
                <w:sz w:val="16"/>
              </w:rPr>
            </w:pPr>
            <w:r>
              <w:rPr>
                <w:b/>
                <w:color w:val="FFFFFF"/>
                <w:sz w:val="16"/>
              </w:rPr>
              <w:t>+1.5%</w:t>
            </w:r>
          </w:p>
        </w:tc>
        <w:tc>
          <w:tcPr>
            <w:tcW w:w="1189" w:type="dxa"/>
            <w:tcBorders>
              <w:top w:val="single" w:sz="4" w:space="0" w:color="FFFFFF"/>
              <w:left w:val="nil"/>
              <w:bottom w:val="nil"/>
            </w:tcBorders>
            <w:shd w:val="clear" w:color="auto" w:fill="DF2528"/>
          </w:tcPr>
          <w:p>
            <w:pPr>
              <w:pStyle w:val="TableParagraph"/>
              <w:spacing w:before="34"/>
              <w:ind w:left="211" w:right="198"/>
              <w:jc w:val="center"/>
              <w:rPr>
                <w:b/>
                <w:sz w:val="16"/>
              </w:rPr>
            </w:pPr>
            <w:r>
              <w:rPr>
                <w:b/>
                <w:color w:val="FFFFFF"/>
                <w:sz w:val="16"/>
              </w:rPr>
              <w:t>-11.6%</w:t>
            </w:r>
          </w:p>
        </w:tc>
        <w:tc>
          <w:tcPr>
            <w:tcW w:w="1191" w:type="dxa"/>
            <w:tcBorders>
              <w:top w:val="single" w:sz="4" w:space="0" w:color="FFFFFF"/>
              <w:bottom w:val="nil"/>
              <w:right w:val="nil"/>
            </w:tcBorders>
            <w:shd w:val="clear" w:color="auto" w:fill="DF2528"/>
          </w:tcPr>
          <w:p>
            <w:pPr>
              <w:pStyle w:val="TableParagraph"/>
              <w:spacing w:before="34"/>
              <w:ind w:left="462" w:right="451"/>
              <w:jc w:val="center"/>
              <w:rPr>
                <w:b/>
                <w:sz w:val="16"/>
              </w:rPr>
            </w:pPr>
            <w:r>
              <w:rPr>
                <w:b/>
                <w:color w:val="FFFFFF"/>
                <w:sz w:val="16"/>
              </w:rPr>
              <w:t>-29</w:t>
            </w:r>
          </w:p>
        </w:tc>
      </w:tr>
    </w:tbl>
    <w:p>
      <w:pPr>
        <w:spacing w:before="87"/>
        <w:ind w:left="900" w:right="1513" w:firstLine="0"/>
        <w:jc w:val="left"/>
        <w:rPr>
          <w:sz w:val="16"/>
        </w:rPr>
      </w:pPr>
      <w:r>
        <w:rPr>
          <w:color w:val="DF2F1E"/>
          <w:sz w:val="16"/>
        </w:rPr>
        <w:t>All changes shown in the table above are relative to the rebased June 2017 results, which allows for external change of reducing the discount rate from 6% to 5%.</w:t>
      </w:r>
    </w:p>
    <w:p>
      <w:pPr>
        <w:pStyle w:val="BodyText"/>
        <w:spacing w:line="242" w:lineRule="auto" w:before="118"/>
        <w:ind w:left="900" w:right="1143"/>
      </w:pPr>
      <w:r>
        <w:rPr>
          <w:color w:val="404040"/>
        </w:rPr>
        <w:t>We can see that the majority of the $636bn decrease in total lifetime cost comes from </w:t>
      </w:r>
      <w:r>
        <w:rPr>
          <w:b/>
          <w:color w:val="404040"/>
        </w:rPr>
        <w:t>non-welfare recipients </w:t>
      </w:r>
      <w:r>
        <w:rPr>
          <w:color w:val="404040"/>
        </w:rPr>
        <w:t>(classes 10 and 12), with a </w:t>
      </w:r>
      <w:r>
        <w:rPr>
          <w:b/>
          <w:color w:val="404040"/>
        </w:rPr>
        <w:t>$475bn decrease </w:t>
      </w:r>
      <w:r>
        <w:rPr>
          <w:color w:val="404040"/>
        </w:rPr>
        <w:t>in their estimated total lifetime cost. The costs for these groups are typically further into the future (reflecting their younger average age) and more uncertain. This means they are more sensitive to changes in the assumptions, as these are updated to reflect the emerging experience.</w:t>
      </w:r>
    </w:p>
    <w:p>
      <w:pPr>
        <w:pStyle w:val="BodyText"/>
        <w:spacing w:before="115"/>
        <w:ind w:left="900" w:right="1242"/>
      </w:pPr>
      <w:r>
        <w:rPr>
          <w:color w:val="404040"/>
        </w:rPr>
        <w:t>This change in average lifetime cost is further broken down below into the changes relating to inflation, policy changes, and other changes.</w:t>
      </w:r>
    </w:p>
    <w:p>
      <w:pPr>
        <w:spacing w:after="0"/>
        <w:sectPr>
          <w:pgSz w:w="11910" w:h="16850"/>
          <w:pgMar w:header="572" w:footer="581" w:top="780" w:bottom="780" w:left="120" w:right="0"/>
        </w:sectPr>
      </w:pPr>
    </w:p>
    <w:p>
      <w:pPr>
        <w:pStyle w:val="BodyText"/>
      </w:pPr>
    </w:p>
    <w:p>
      <w:pPr>
        <w:pStyle w:val="BodyText"/>
      </w:pPr>
    </w:p>
    <w:p>
      <w:pPr>
        <w:pStyle w:val="BodyText"/>
        <w:spacing w:before="5"/>
        <w:rPr>
          <w:sz w:val="21"/>
        </w:rPr>
      </w:pPr>
    </w:p>
    <w:p>
      <w:pPr>
        <w:pStyle w:val="Heading9"/>
        <w:spacing w:after="44"/>
      </w:pPr>
      <w:r>
        <w:rPr/>
        <w:pict>
          <v:group style="position:absolute;margin-left:53.880001pt;margin-top:18.349863pt;width:422.8pt;height:73.45pt;mso-position-horizontal-relative:page;mso-position-vertical-relative:paragraph;z-index:-287819776" coordorigin="1078,367" coordsize="8456,1469">
            <v:shape style="position:absolute;left:1077;top:376;width:8451;height:1186" coordorigin="1078,377" coordsize="8451,1186" path="m3823,377l3715,377,1190,377,1078,377,1078,1562,3823,1562,3823,377m5410,377l5302,377,3941,377,3833,377,3833,1562,3941,1562,5302,1562,5410,1562,5410,377m6883,377l6775,377,5527,377,5419,377,5419,1562,6883,1562,6883,377m8244,377l8136,377,7001,377,6893,377,6893,1562,7001,1562,8136,1562,8244,1562,8244,377m9528,377l9420,377,8364,377,8256,377,8256,1562,8364,1562,9420,1562,9528,1562,9528,377e" filled="true" fillcolor="#df2528" stroked="false">
              <v:path arrowok="t"/>
              <v:fill type="solid"/>
            </v:shape>
            <v:shape style="position:absolute;left:1077;top:371;width:8451;height:2" coordorigin="1078,372" coordsize="8451,0" path="m1078,372l3823,372m3833,372l5410,372m5419,372l6883,372m6893,372l8244,372m8254,372l9528,372e" filled="false" stroked="true" strokeweight=".48pt" strokecolor="#df2528">
              <v:path arrowok="t"/>
              <v:stroke dashstyle="solid"/>
            </v:shape>
            <v:shape style="position:absolute;left:1077;top:1571;width:8456;height:264" coordorigin="1078,1572" coordsize="8456,264" path="m8251,1572l8136,1572,7001,1572,6888,1572,6775,1572,5527,1572,5414,1572,5302,1572,3941,1572,3828,1572,3715,1572,1190,1572,1078,1572,1078,1836,1190,1836,3715,1836,3828,1836,3941,1836,5302,1836,5414,1836,5527,1836,6775,1836,6888,1836,7001,1836,8136,1836,8251,1836,8251,1572m9533,1572l9420,1572,8364,1572,8251,1572,8251,1836,8364,1836,9420,1836,9533,1836,9533,1572e" filled="true" fillcolor="#df2528" stroked="false">
              <v:path arrowok="t"/>
              <v:fill type="solid"/>
            </v:shape>
            <v:shape style="position:absolute;left:1190;top:1611;width:1996;height:180" type="#_x0000_t202" filled="false" stroked="false">
              <v:textbox inset="0,0,0,0">
                <w:txbxContent>
                  <w:p>
                    <w:pPr>
                      <w:spacing w:line="179" w:lineRule="exact" w:before="0"/>
                      <w:ind w:left="0" w:right="0" w:firstLine="0"/>
                      <w:jc w:val="left"/>
                      <w:rPr>
                        <w:b/>
                        <w:sz w:val="16"/>
                      </w:rPr>
                    </w:pPr>
                    <w:r>
                      <w:rPr>
                        <w:b/>
                        <w:color w:val="FFFFFF"/>
                        <w:sz w:val="16"/>
                      </w:rPr>
                      <w:t>Current welfare recipients</w:t>
                    </w:r>
                  </w:p>
                </w:txbxContent>
              </v:textbox>
              <w10:wrap type="none"/>
            </v:shape>
            <w10:wrap type="none"/>
          </v:group>
        </w:pict>
      </w:r>
      <w:r>
        <w:rPr/>
        <w:pict>
          <v:group style="position:absolute;margin-left:53.880001pt;margin-top:91.789864pt;width:422.8pt;height:.5pt;mso-position-horizontal-relative:page;mso-position-vertical-relative:paragraph;z-index:252084224" coordorigin="1078,1836" coordsize="8456,10">
            <v:line style="position:absolute" from="1078,1841" to="3823,1841" stroked="true" strokeweight=".48pt" strokecolor="#df2528">
              <v:stroke dashstyle="solid"/>
            </v:line>
            <v:shape style="position:absolute;left:3823;top:1835;width:20;height:10" coordorigin="3823,1836" coordsize="20,10" path="m3842,1836l3833,1836,3823,1836,3823,1845,3833,1845,3842,1845,3842,1836e" filled="true" fillcolor="#df2528" stroked="false">
              <v:path arrowok="t"/>
              <v:fill type="solid"/>
            </v:shape>
            <v:line style="position:absolute" from="3842,1841" to="5410,1841" stroked="true" strokeweight=".48pt" strokecolor="#df2528">
              <v:stroke dashstyle="solid"/>
            </v:line>
            <v:shape style="position:absolute;left:5409;top:1835;width:20;height:10" coordorigin="5410,1836" coordsize="20,10" path="m5429,1836l5419,1836,5410,1836,5410,1845,5419,1845,5429,1845,5429,1836e" filled="true" fillcolor="#df2528" stroked="false">
              <v:path arrowok="t"/>
              <v:fill type="solid"/>
            </v:shape>
            <v:line style="position:absolute" from="5429,1841" to="6888,1841" stroked="true" strokeweight=".48pt" strokecolor="#df2528">
              <v:stroke dashstyle="solid"/>
            </v:line>
            <v:rect style="position:absolute;left:6888;top:1835;width:10;height:10" filled="true" fillcolor="#df2528" stroked="false">
              <v:fill type="solid"/>
            </v:rect>
            <v:line style="position:absolute" from="6898,1841" to="8249,1841" stroked="true" strokeweight=".48pt" strokecolor="#df2528">
              <v:stroke dashstyle="solid"/>
            </v:line>
            <v:rect style="position:absolute;left:8248;top:1835;width:10;height:10" filled="true" fillcolor="#df2528" stroked="false">
              <v:fill type="solid"/>
            </v:rect>
            <v:line style="position:absolute" from="8258,1841" to="9533,1841" stroked="true" strokeweight=".48pt" strokecolor="#df2528">
              <v:stroke dashstyle="solid"/>
            </v:line>
            <w10:wrap type="none"/>
          </v:group>
        </w:pict>
      </w:r>
      <w:r>
        <w:rPr>
          <w:color w:val="DF2F1E"/>
        </w:rPr>
        <w:t>Table 13: Breakdown in average lifetime cost changes by class</w:t>
      </w:r>
    </w:p>
    <w:tbl>
      <w:tblPr>
        <w:tblW w:w="0" w:type="auto"/>
        <w:jc w:val="left"/>
        <w:tblInd w:w="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50"/>
        <w:gridCol w:w="1586"/>
        <w:gridCol w:w="1473"/>
        <w:gridCol w:w="1360"/>
        <w:gridCol w:w="1283"/>
      </w:tblGrid>
      <w:tr>
        <w:trPr>
          <w:trHeight w:val="231" w:hRule="atLeast"/>
        </w:trPr>
        <w:tc>
          <w:tcPr>
            <w:tcW w:w="2750" w:type="dxa"/>
            <w:tcBorders>
              <w:right w:val="single" w:sz="4" w:space="0" w:color="FFFFFF"/>
            </w:tcBorders>
            <w:shd w:val="clear" w:color="auto" w:fill="DF2528"/>
          </w:tcPr>
          <w:p>
            <w:pPr>
              <w:pStyle w:val="TableParagraph"/>
              <w:spacing w:line="167" w:lineRule="exact" w:before="44"/>
              <w:ind w:left="117"/>
              <w:rPr>
                <w:b/>
                <w:sz w:val="16"/>
              </w:rPr>
            </w:pPr>
            <w:r>
              <w:rPr>
                <w:b/>
                <w:color w:val="FFFFFF"/>
                <w:sz w:val="16"/>
              </w:rPr>
              <w:t>Population segment</w:t>
            </w:r>
          </w:p>
        </w:tc>
        <w:tc>
          <w:tcPr>
            <w:tcW w:w="1586" w:type="dxa"/>
            <w:tcBorders>
              <w:left w:val="single" w:sz="4" w:space="0" w:color="FFFFFF"/>
              <w:right w:val="single" w:sz="4" w:space="0" w:color="FFFFFF"/>
            </w:tcBorders>
            <w:shd w:val="clear" w:color="auto" w:fill="DF2528"/>
          </w:tcPr>
          <w:p>
            <w:pPr>
              <w:pStyle w:val="TableParagraph"/>
              <w:spacing w:line="167" w:lineRule="exact" w:before="44"/>
              <w:ind w:left="149" w:right="139"/>
              <w:jc w:val="center"/>
              <w:rPr>
                <w:b/>
                <w:sz w:val="16"/>
              </w:rPr>
            </w:pPr>
            <w:r>
              <w:rPr>
                <w:b/>
                <w:color w:val="FFFFFF"/>
                <w:sz w:val="16"/>
              </w:rPr>
              <w:t>Change in</w:t>
            </w:r>
          </w:p>
        </w:tc>
        <w:tc>
          <w:tcPr>
            <w:tcW w:w="1473" w:type="dxa"/>
            <w:tcBorders>
              <w:left w:val="single" w:sz="4" w:space="0" w:color="FFFFFF"/>
              <w:right w:val="single" w:sz="4" w:space="0" w:color="DF2F1E"/>
            </w:tcBorders>
            <w:shd w:val="clear" w:color="auto" w:fill="DF2528"/>
          </w:tcPr>
          <w:p>
            <w:pPr>
              <w:pStyle w:val="TableParagraph"/>
              <w:spacing w:line="167" w:lineRule="exact" w:before="44"/>
              <w:ind w:left="128" w:right="118"/>
              <w:jc w:val="center"/>
              <w:rPr>
                <w:b/>
                <w:sz w:val="16"/>
              </w:rPr>
            </w:pPr>
            <w:r>
              <w:rPr>
                <w:b/>
                <w:color w:val="FFFFFF"/>
                <w:sz w:val="16"/>
              </w:rPr>
              <w:t>Impact of</w:t>
            </w:r>
          </w:p>
        </w:tc>
        <w:tc>
          <w:tcPr>
            <w:tcW w:w="1360" w:type="dxa"/>
            <w:tcBorders>
              <w:left w:val="single" w:sz="4" w:space="0" w:color="DF2F1E"/>
              <w:right w:val="single" w:sz="4" w:space="0" w:color="DF2F1E"/>
            </w:tcBorders>
            <w:shd w:val="clear" w:color="auto" w:fill="DF2528"/>
          </w:tcPr>
          <w:p>
            <w:pPr>
              <w:pStyle w:val="TableParagraph"/>
              <w:spacing w:line="167" w:lineRule="exact" w:before="44"/>
              <w:ind w:left="104" w:right="93"/>
              <w:jc w:val="center"/>
              <w:rPr>
                <w:b/>
                <w:sz w:val="16"/>
              </w:rPr>
            </w:pPr>
            <w:r>
              <w:rPr>
                <w:b/>
                <w:color w:val="FFFFFF"/>
                <w:sz w:val="16"/>
              </w:rPr>
              <w:t>Impact of Age</w:t>
            </w:r>
          </w:p>
        </w:tc>
        <w:tc>
          <w:tcPr>
            <w:tcW w:w="1283" w:type="dxa"/>
            <w:tcBorders>
              <w:left w:val="single" w:sz="4" w:space="0" w:color="DF2F1E"/>
              <w:right w:val="single" w:sz="4" w:space="0" w:color="DF2F1E"/>
            </w:tcBorders>
            <w:shd w:val="clear" w:color="auto" w:fill="DF2528"/>
          </w:tcPr>
          <w:p>
            <w:pPr>
              <w:pStyle w:val="TableParagraph"/>
              <w:spacing w:line="167" w:lineRule="exact" w:before="44"/>
              <w:ind w:left="178" w:right="163"/>
              <w:jc w:val="center"/>
              <w:rPr>
                <w:b/>
                <w:sz w:val="16"/>
              </w:rPr>
            </w:pPr>
            <w:r>
              <w:rPr>
                <w:b/>
                <w:color w:val="FFFFFF"/>
                <w:sz w:val="16"/>
              </w:rPr>
              <w:t>Impact of</w:t>
            </w:r>
          </w:p>
        </w:tc>
      </w:tr>
      <w:tr>
        <w:trPr>
          <w:trHeight w:val="184" w:hRule="atLeast"/>
        </w:trPr>
        <w:tc>
          <w:tcPr>
            <w:tcW w:w="2750" w:type="dxa"/>
            <w:tcBorders>
              <w:right w:val="single" w:sz="4" w:space="0" w:color="FFFFFF"/>
            </w:tcBorders>
            <w:shd w:val="clear" w:color="auto" w:fill="DF2528"/>
          </w:tcPr>
          <w:p>
            <w:pPr>
              <w:pStyle w:val="TableParagraph"/>
              <w:spacing w:before="0"/>
              <w:rPr>
                <w:rFonts w:ascii="Times New Roman"/>
                <w:sz w:val="12"/>
              </w:rPr>
            </w:pPr>
          </w:p>
        </w:tc>
        <w:tc>
          <w:tcPr>
            <w:tcW w:w="1586" w:type="dxa"/>
            <w:tcBorders>
              <w:left w:val="single" w:sz="4" w:space="0" w:color="FFFFFF"/>
              <w:right w:val="single" w:sz="4" w:space="0" w:color="FFFFFF"/>
            </w:tcBorders>
            <w:shd w:val="clear" w:color="auto" w:fill="DF2528"/>
          </w:tcPr>
          <w:p>
            <w:pPr>
              <w:pStyle w:val="TableParagraph"/>
              <w:spacing w:line="165" w:lineRule="exact" w:before="0"/>
              <w:ind w:left="152" w:right="139"/>
              <w:jc w:val="center"/>
              <w:rPr>
                <w:b/>
                <w:sz w:val="16"/>
              </w:rPr>
            </w:pPr>
            <w:r>
              <w:rPr>
                <w:b/>
                <w:color w:val="FFFFFF"/>
                <w:sz w:val="16"/>
              </w:rPr>
              <w:t>lifetime cost –</w:t>
            </w:r>
          </w:p>
        </w:tc>
        <w:tc>
          <w:tcPr>
            <w:tcW w:w="1473" w:type="dxa"/>
            <w:tcBorders>
              <w:left w:val="single" w:sz="4" w:space="0" w:color="FFFFFF"/>
              <w:right w:val="single" w:sz="4" w:space="0" w:color="DF2F1E"/>
            </w:tcBorders>
            <w:shd w:val="clear" w:color="auto" w:fill="DF2528"/>
          </w:tcPr>
          <w:p>
            <w:pPr>
              <w:pStyle w:val="TableParagraph"/>
              <w:spacing w:line="165" w:lineRule="exact" w:before="0"/>
              <w:ind w:left="129" w:right="118"/>
              <w:jc w:val="center"/>
              <w:rPr>
                <w:b/>
                <w:sz w:val="16"/>
              </w:rPr>
            </w:pPr>
            <w:r>
              <w:rPr>
                <w:b/>
                <w:color w:val="FFFFFF"/>
                <w:sz w:val="16"/>
              </w:rPr>
              <w:t>change in</w:t>
            </w:r>
          </w:p>
        </w:tc>
        <w:tc>
          <w:tcPr>
            <w:tcW w:w="1360" w:type="dxa"/>
            <w:tcBorders>
              <w:left w:val="single" w:sz="4" w:space="0" w:color="DF2F1E"/>
              <w:right w:val="single" w:sz="4" w:space="0" w:color="DF2F1E"/>
            </w:tcBorders>
            <w:shd w:val="clear" w:color="auto" w:fill="DF2528"/>
          </w:tcPr>
          <w:p>
            <w:pPr>
              <w:pStyle w:val="TableParagraph"/>
              <w:spacing w:line="165" w:lineRule="exact" w:before="0"/>
              <w:ind w:left="104" w:right="94"/>
              <w:jc w:val="center"/>
              <w:rPr>
                <w:b/>
                <w:sz w:val="16"/>
              </w:rPr>
            </w:pPr>
            <w:r>
              <w:rPr>
                <w:b/>
                <w:color w:val="FFFFFF"/>
                <w:sz w:val="16"/>
              </w:rPr>
              <w:t>Pension</w:t>
            </w:r>
          </w:p>
        </w:tc>
        <w:tc>
          <w:tcPr>
            <w:tcW w:w="1283" w:type="dxa"/>
            <w:tcBorders>
              <w:left w:val="single" w:sz="4" w:space="0" w:color="DF2F1E"/>
              <w:right w:val="single" w:sz="4" w:space="0" w:color="DF2F1E"/>
            </w:tcBorders>
            <w:shd w:val="clear" w:color="auto" w:fill="DF2528"/>
          </w:tcPr>
          <w:p>
            <w:pPr>
              <w:pStyle w:val="TableParagraph"/>
              <w:spacing w:line="165" w:lineRule="exact" w:before="0"/>
              <w:ind w:left="178" w:right="163"/>
              <w:jc w:val="center"/>
              <w:rPr>
                <w:b/>
                <w:sz w:val="16"/>
              </w:rPr>
            </w:pPr>
            <w:r>
              <w:rPr>
                <w:b/>
                <w:color w:val="FFFFFF"/>
                <w:sz w:val="16"/>
              </w:rPr>
              <w:t>other</w:t>
            </w:r>
          </w:p>
        </w:tc>
      </w:tr>
      <w:tr>
        <w:trPr>
          <w:trHeight w:val="184" w:hRule="atLeast"/>
        </w:trPr>
        <w:tc>
          <w:tcPr>
            <w:tcW w:w="2750" w:type="dxa"/>
            <w:tcBorders>
              <w:right w:val="single" w:sz="4" w:space="0" w:color="FFFFFF"/>
            </w:tcBorders>
            <w:shd w:val="clear" w:color="auto" w:fill="DF2528"/>
          </w:tcPr>
          <w:p>
            <w:pPr>
              <w:pStyle w:val="TableParagraph"/>
              <w:spacing w:before="0"/>
              <w:rPr>
                <w:rFonts w:ascii="Times New Roman"/>
                <w:sz w:val="12"/>
              </w:rPr>
            </w:pPr>
          </w:p>
        </w:tc>
        <w:tc>
          <w:tcPr>
            <w:tcW w:w="1586" w:type="dxa"/>
            <w:tcBorders>
              <w:left w:val="single" w:sz="4" w:space="0" w:color="FFFFFF"/>
              <w:right w:val="single" w:sz="4" w:space="0" w:color="FFFFFF"/>
            </w:tcBorders>
            <w:shd w:val="clear" w:color="auto" w:fill="DF2528"/>
          </w:tcPr>
          <w:p>
            <w:pPr>
              <w:pStyle w:val="TableParagraph"/>
              <w:spacing w:line="165" w:lineRule="exact" w:before="0"/>
              <w:ind w:left="152" w:right="139"/>
              <w:jc w:val="center"/>
              <w:rPr>
                <w:b/>
                <w:sz w:val="16"/>
              </w:rPr>
            </w:pPr>
            <w:r>
              <w:rPr>
                <w:b/>
                <w:color w:val="FFFFFF"/>
                <w:sz w:val="16"/>
              </w:rPr>
              <w:t>ave lifetime cost</w:t>
            </w:r>
          </w:p>
        </w:tc>
        <w:tc>
          <w:tcPr>
            <w:tcW w:w="1473" w:type="dxa"/>
            <w:tcBorders>
              <w:left w:val="single" w:sz="4" w:space="0" w:color="FFFFFF"/>
              <w:right w:val="single" w:sz="4" w:space="0" w:color="DF2F1E"/>
            </w:tcBorders>
            <w:shd w:val="clear" w:color="auto" w:fill="DF2528"/>
          </w:tcPr>
          <w:p>
            <w:pPr>
              <w:pStyle w:val="TableParagraph"/>
              <w:spacing w:line="165" w:lineRule="exact" w:before="0"/>
              <w:ind w:left="130" w:right="118"/>
              <w:jc w:val="center"/>
              <w:rPr>
                <w:b/>
                <w:sz w:val="16"/>
              </w:rPr>
            </w:pPr>
            <w:r>
              <w:rPr>
                <w:b/>
                <w:color w:val="FFFFFF"/>
                <w:sz w:val="16"/>
              </w:rPr>
              <w:t>inflation on ave</w:t>
            </w:r>
          </w:p>
        </w:tc>
        <w:tc>
          <w:tcPr>
            <w:tcW w:w="1360" w:type="dxa"/>
            <w:tcBorders>
              <w:left w:val="single" w:sz="4" w:space="0" w:color="DF2F1E"/>
              <w:right w:val="single" w:sz="4" w:space="0" w:color="DF2F1E"/>
            </w:tcBorders>
            <w:shd w:val="clear" w:color="auto" w:fill="DF2528"/>
          </w:tcPr>
          <w:p>
            <w:pPr>
              <w:pStyle w:val="TableParagraph"/>
              <w:spacing w:line="165" w:lineRule="exact" w:before="0"/>
              <w:ind w:left="104" w:right="91"/>
              <w:jc w:val="center"/>
              <w:rPr>
                <w:b/>
                <w:sz w:val="16"/>
              </w:rPr>
            </w:pPr>
            <w:r>
              <w:rPr>
                <w:b/>
                <w:color w:val="FFFFFF"/>
                <w:sz w:val="16"/>
              </w:rPr>
              <w:t>forecast</w:t>
            </w:r>
          </w:p>
        </w:tc>
        <w:tc>
          <w:tcPr>
            <w:tcW w:w="1283" w:type="dxa"/>
            <w:tcBorders>
              <w:left w:val="single" w:sz="4" w:space="0" w:color="DF2F1E"/>
              <w:right w:val="single" w:sz="4" w:space="0" w:color="DF2F1E"/>
            </w:tcBorders>
            <w:shd w:val="clear" w:color="auto" w:fill="DF2528"/>
          </w:tcPr>
          <w:p>
            <w:pPr>
              <w:pStyle w:val="TableParagraph"/>
              <w:spacing w:line="165" w:lineRule="exact" w:before="0"/>
              <w:ind w:left="178" w:right="164"/>
              <w:jc w:val="center"/>
              <w:rPr>
                <w:b/>
                <w:sz w:val="16"/>
              </w:rPr>
            </w:pPr>
            <w:r>
              <w:rPr>
                <w:b/>
                <w:color w:val="FFFFFF"/>
                <w:sz w:val="16"/>
              </w:rPr>
              <w:t>changes on</w:t>
            </w:r>
          </w:p>
        </w:tc>
      </w:tr>
      <w:tr>
        <w:trPr>
          <w:trHeight w:val="183" w:hRule="atLeast"/>
        </w:trPr>
        <w:tc>
          <w:tcPr>
            <w:tcW w:w="2750" w:type="dxa"/>
            <w:tcBorders>
              <w:right w:val="single" w:sz="4" w:space="0" w:color="FFFFFF"/>
            </w:tcBorders>
            <w:shd w:val="clear" w:color="auto" w:fill="DF2528"/>
          </w:tcPr>
          <w:p>
            <w:pPr>
              <w:pStyle w:val="TableParagraph"/>
              <w:spacing w:before="0"/>
              <w:rPr>
                <w:rFonts w:ascii="Times New Roman"/>
                <w:sz w:val="12"/>
              </w:rPr>
            </w:pPr>
          </w:p>
        </w:tc>
        <w:tc>
          <w:tcPr>
            <w:tcW w:w="1586" w:type="dxa"/>
            <w:tcBorders>
              <w:left w:val="single" w:sz="4" w:space="0" w:color="FFFFFF"/>
              <w:right w:val="single" w:sz="4" w:space="0" w:color="FFFFFF"/>
            </w:tcBorders>
            <w:shd w:val="clear" w:color="auto" w:fill="DF2528"/>
          </w:tcPr>
          <w:p>
            <w:pPr>
              <w:pStyle w:val="TableParagraph"/>
              <w:spacing w:line="164" w:lineRule="exact" w:before="0"/>
              <w:ind w:left="147" w:right="139"/>
              <w:jc w:val="center"/>
              <w:rPr>
                <w:b/>
                <w:sz w:val="16"/>
              </w:rPr>
            </w:pPr>
            <w:r>
              <w:rPr>
                <w:b/>
                <w:color w:val="FFFFFF"/>
                <w:sz w:val="16"/>
              </w:rPr>
              <w:t>change</w:t>
            </w:r>
          </w:p>
        </w:tc>
        <w:tc>
          <w:tcPr>
            <w:tcW w:w="1473" w:type="dxa"/>
            <w:tcBorders>
              <w:left w:val="single" w:sz="4" w:space="0" w:color="FFFFFF"/>
              <w:right w:val="single" w:sz="4" w:space="0" w:color="DF2F1E"/>
            </w:tcBorders>
            <w:shd w:val="clear" w:color="auto" w:fill="DF2528"/>
          </w:tcPr>
          <w:p>
            <w:pPr>
              <w:pStyle w:val="TableParagraph"/>
              <w:spacing w:line="164" w:lineRule="exact" w:before="0"/>
              <w:ind w:left="129" w:right="118"/>
              <w:jc w:val="center"/>
              <w:rPr>
                <w:b/>
                <w:sz w:val="16"/>
              </w:rPr>
            </w:pPr>
            <w:r>
              <w:rPr>
                <w:b/>
                <w:color w:val="FFFFFF"/>
                <w:sz w:val="16"/>
              </w:rPr>
              <w:t>lifetime cost</w:t>
            </w:r>
          </w:p>
        </w:tc>
        <w:tc>
          <w:tcPr>
            <w:tcW w:w="1360" w:type="dxa"/>
            <w:tcBorders>
              <w:left w:val="single" w:sz="4" w:space="0" w:color="DF2F1E"/>
              <w:right w:val="single" w:sz="4" w:space="0" w:color="DF2F1E"/>
            </w:tcBorders>
            <w:shd w:val="clear" w:color="auto" w:fill="DF2528"/>
          </w:tcPr>
          <w:p>
            <w:pPr>
              <w:pStyle w:val="TableParagraph"/>
              <w:spacing w:line="164" w:lineRule="exact" w:before="0"/>
              <w:ind w:left="104" w:right="94"/>
              <w:jc w:val="center"/>
              <w:rPr>
                <w:b/>
                <w:sz w:val="16"/>
              </w:rPr>
            </w:pPr>
            <w:r>
              <w:rPr>
                <w:b/>
                <w:color w:val="FFFFFF"/>
                <w:sz w:val="16"/>
              </w:rPr>
              <w:t>change on ave</w:t>
            </w:r>
          </w:p>
        </w:tc>
        <w:tc>
          <w:tcPr>
            <w:tcW w:w="1283" w:type="dxa"/>
            <w:tcBorders>
              <w:left w:val="single" w:sz="4" w:space="0" w:color="DF2F1E"/>
              <w:right w:val="single" w:sz="4" w:space="0" w:color="DF2F1E"/>
            </w:tcBorders>
            <w:shd w:val="clear" w:color="auto" w:fill="DF2528"/>
          </w:tcPr>
          <w:p>
            <w:pPr>
              <w:pStyle w:val="TableParagraph"/>
              <w:spacing w:line="164" w:lineRule="exact" w:before="0"/>
              <w:ind w:left="178" w:right="161"/>
              <w:jc w:val="center"/>
              <w:rPr>
                <w:b/>
                <w:sz w:val="16"/>
              </w:rPr>
            </w:pPr>
            <w:r>
              <w:rPr>
                <w:b/>
                <w:color w:val="FFFFFF"/>
                <w:sz w:val="16"/>
              </w:rPr>
              <w:t>ave lifetime</w:t>
            </w:r>
          </w:p>
        </w:tc>
      </w:tr>
      <w:tr>
        <w:trPr>
          <w:trHeight w:val="182" w:hRule="atLeast"/>
        </w:trPr>
        <w:tc>
          <w:tcPr>
            <w:tcW w:w="2750" w:type="dxa"/>
            <w:tcBorders>
              <w:right w:val="single" w:sz="4" w:space="0" w:color="FFFFFF"/>
            </w:tcBorders>
            <w:shd w:val="clear" w:color="auto" w:fill="DF2528"/>
          </w:tcPr>
          <w:p>
            <w:pPr>
              <w:pStyle w:val="TableParagraph"/>
              <w:spacing w:before="0"/>
              <w:rPr>
                <w:rFonts w:ascii="Times New Roman"/>
                <w:sz w:val="12"/>
              </w:rPr>
            </w:pPr>
          </w:p>
        </w:tc>
        <w:tc>
          <w:tcPr>
            <w:tcW w:w="1586" w:type="dxa"/>
            <w:tcBorders>
              <w:left w:val="single" w:sz="4" w:space="0" w:color="FFFFFF"/>
              <w:right w:val="single" w:sz="4" w:space="0" w:color="FFFFFF"/>
            </w:tcBorders>
            <w:shd w:val="clear" w:color="auto" w:fill="DF2528"/>
          </w:tcPr>
          <w:p>
            <w:pPr>
              <w:pStyle w:val="TableParagraph"/>
              <w:spacing w:line="162" w:lineRule="exact" w:before="0"/>
              <w:ind w:left="148" w:right="139"/>
              <w:jc w:val="center"/>
              <w:rPr>
                <w:b/>
                <w:sz w:val="16"/>
              </w:rPr>
            </w:pPr>
            <w:r>
              <w:rPr>
                <w:b/>
                <w:color w:val="FFFFFF"/>
                <w:sz w:val="16"/>
              </w:rPr>
              <w:t>component</w:t>
            </w:r>
          </w:p>
        </w:tc>
        <w:tc>
          <w:tcPr>
            <w:tcW w:w="1473" w:type="dxa"/>
            <w:tcBorders>
              <w:left w:val="single" w:sz="4" w:space="0" w:color="FFFFFF"/>
              <w:right w:val="single" w:sz="4" w:space="0" w:color="DF2F1E"/>
            </w:tcBorders>
            <w:shd w:val="clear" w:color="auto" w:fill="DF2528"/>
          </w:tcPr>
          <w:p>
            <w:pPr>
              <w:pStyle w:val="TableParagraph"/>
              <w:spacing w:line="162" w:lineRule="exact" w:before="0"/>
              <w:ind w:left="127" w:right="118"/>
              <w:jc w:val="center"/>
              <w:rPr>
                <w:b/>
                <w:sz w:val="16"/>
              </w:rPr>
            </w:pPr>
            <w:r>
              <w:rPr>
                <w:b/>
                <w:color w:val="FFFFFF"/>
                <w:sz w:val="16"/>
              </w:rPr>
              <w:t>($’000)</w:t>
            </w:r>
          </w:p>
        </w:tc>
        <w:tc>
          <w:tcPr>
            <w:tcW w:w="1360" w:type="dxa"/>
            <w:tcBorders>
              <w:left w:val="single" w:sz="4" w:space="0" w:color="DF2F1E"/>
              <w:right w:val="single" w:sz="4" w:space="0" w:color="DF2F1E"/>
            </w:tcBorders>
            <w:shd w:val="clear" w:color="auto" w:fill="DF2528"/>
          </w:tcPr>
          <w:p>
            <w:pPr>
              <w:pStyle w:val="TableParagraph"/>
              <w:spacing w:line="162" w:lineRule="exact" w:before="0"/>
              <w:ind w:left="104" w:right="94"/>
              <w:jc w:val="center"/>
              <w:rPr>
                <w:b/>
                <w:sz w:val="16"/>
              </w:rPr>
            </w:pPr>
            <w:r>
              <w:rPr>
                <w:b/>
                <w:color w:val="FFFFFF"/>
                <w:sz w:val="16"/>
              </w:rPr>
              <w:t>lifetime cost</w:t>
            </w:r>
          </w:p>
        </w:tc>
        <w:tc>
          <w:tcPr>
            <w:tcW w:w="1283" w:type="dxa"/>
            <w:tcBorders>
              <w:left w:val="single" w:sz="4" w:space="0" w:color="DF2F1E"/>
              <w:right w:val="single" w:sz="4" w:space="0" w:color="DF2F1E"/>
            </w:tcBorders>
            <w:shd w:val="clear" w:color="auto" w:fill="DF2528"/>
          </w:tcPr>
          <w:p>
            <w:pPr>
              <w:pStyle w:val="TableParagraph"/>
              <w:spacing w:line="162" w:lineRule="exact" w:before="0"/>
              <w:ind w:left="178" w:right="164"/>
              <w:jc w:val="center"/>
              <w:rPr>
                <w:b/>
                <w:sz w:val="16"/>
              </w:rPr>
            </w:pPr>
            <w:r>
              <w:rPr>
                <w:b/>
                <w:color w:val="FFFFFF"/>
                <w:sz w:val="16"/>
              </w:rPr>
              <w:t>cost</w:t>
            </w:r>
          </w:p>
        </w:tc>
      </w:tr>
      <w:tr>
        <w:trPr>
          <w:trHeight w:val="228" w:hRule="atLeast"/>
        </w:trPr>
        <w:tc>
          <w:tcPr>
            <w:tcW w:w="2750" w:type="dxa"/>
            <w:tcBorders>
              <w:bottom w:val="single" w:sz="4" w:space="0" w:color="FFFFFF"/>
              <w:right w:val="single" w:sz="4" w:space="0" w:color="FFFFFF"/>
            </w:tcBorders>
            <w:shd w:val="clear" w:color="auto" w:fill="DF2528"/>
          </w:tcPr>
          <w:p>
            <w:pPr>
              <w:pStyle w:val="TableParagraph"/>
              <w:spacing w:before="0"/>
              <w:rPr>
                <w:rFonts w:ascii="Times New Roman"/>
                <w:sz w:val="16"/>
              </w:rPr>
            </w:pPr>
          </w:p>
        </w:tc>
        <w:tc>
          <w:tcPr>
            <w:tcW w:w="1586" w:type="dxa"/>
            <w:tcBorders>
              <w:left w:val="single" w:sz="4" w:space="0" w:color="FFFFFF"/>
              <w:bottom w:val="single" w:sz="4" w:space="0" w:color="FFFFFF"/>
              <w:right w:val="single" w:sz="4" w:space="0" w:color="FFFFFF"/>
            </w:tcBorders>
            <w:shd w:val="clear" w:color="auto" w:fill="DF2528"/>
          </w:tcPr>
          <w:p>
            <w:pPr>
              <w:pStyle w:val="TableParagraph"/>
              <w:spacing w:line="181" w:lineRule="exact" w:before="0"/>
              <w:ind w:left="149" w:right="139"/>
              <w:jc w:val="center"/>
              <w:rPr>
                <w:b/>
                <w:sz w:val="16"/>
              </w:rPr>
            </w:pPr>
            <w:r>
              <w:rPr>
                <w:b/>
                <w:color w:val="FFFFFF"/>
                <w:sz w:val="16"/>
              </w:rPr>
              <w:t>($’000)</w:t>
            </w:r>
          </w:p>
        </w:tc>
        <w:tc>
          <w:tcPr>
            <w:tcW w:w="1473" w:type="dxa"/>
            <w:tcBorders>
              <w:left w:val="single" w:sz="4" w:space="0" w:color="FFFFFF"/>
              <w:bottom w:val="single" w:sz="4" w:space="0" w:color="FFFFFF"/>
              <w:right w:val="single" w:sz="4" w:space="0" w:color="DF2F1E"/>
            </w:tcBorders>
            <w:shd w:val="clear" w:color="auto" w:fill="DF2528"/>
          </w:tcPr>
          <w:p>
            <w:pPr>
              <w:pStyle w:val="TableParagraph"/>
              <w:spacing w:before="0"/>
              <w:rPr>
                <w:rFonts w:ascii="Times New Roman"/>
                <w:sz w:val="16"/>
              </w:rPr>
            </w:pPr>
          </w:p>
        </w:tc>
        <w:tc>
          <w:tcPr>
            <w:tcW w:w="1360" w:type="dxa"/>
            <w:tcBorders>
              <w:left w:val="single" w:sz="4" w:space="0" w:color="DF2F1E"/>
              <w:bottom w:val="single" w:sz="4" w:space="0" w:color="FFFFFF"/>
              <w:right w:val="single" w:sz="4" w:space="0" w:color="DF2F1E"/>
            </w:tcBorders>
            <w:shd w:val="clear" w:color="auto" w:fill="DF2528"/>
          </w:tcPr>
          <w:p>
            <w:pPr>
              <w:pStyle w:val="TableParagraph"/>
              <w:spacing w:line="181" w:lineRule="exact" w:before="0"/>
              <w:ind w:left="104" w:right="91"/>
              <w:jc w:val="center"/>
              <w:rPr>
                <w:b/>
                <w:sz w:val="16"/>
              </w:rPr>
            </w:pPr>
            <w:r>
              <w:rPr>
                <w:b/>
                <w:color w:val="FFFFFF"/>
                <w:sz w:val="16"/>
              </w:rPr>
              <w:t>($’000)</w:t>
            </w:r>
          </w:p>
        </w:tc>
        <w:tc>
          <w:tcPr>
            <w:tcW w:w="1283" w:type="dxa"/>
            <w:tcBorders>
              <w:left w:val="single" w:sz="4" w:space="0" w:color="DF2F1E"/>
              <w:bottom w:val="single" w:sz="4" w:space="0" w:color="FFFFFF"/>
              <w:right w:val="single" w:sz="4" w:space="0" w:color="DF2F1E"/>
            </w:tcBorders>
            <w:shd w:val="clear" w:color="auto" w:fill="DF2528"/>
          </w:tcPr>
          <w:p>
            <w:pPr>
              <w:pStyle w:val="TableParagraph"/>
              <w:spacing w:line="181" w:lineRule="exact" w:before="0"/>
              <w:ind w:left="178" w:right="164"/>
              <w:jc w:val="center"/>
              <w:rPr>
                <w:b/>
                <w:sz w:val="16"/>
              </w:rPr>
            </w:pPr>
            <w:r>
              <w:rPr>
                <w:b/>
                <w:color w:val="FFFFFF"/>
                <w:sz w:val="16"/>
              </w:rPr>
              <w:t>($’000)</w:t>
            </w:r>
          </w:p>
        </w:tc>
      </w:tr>
    </w:tbl>
    <w:p>
      <w:pPr>
        <w:pStyle w:val="BodyText"/>
        <w:spacing w:before="9"/>
        <w:rPr>
          <w:b/>
          <w:sz w:val="23"/>
        </w:rPr>
      </w:pPr>
    </w:p>
    <w:tbl>
      <w:tblPr>
        <w:tblW w:w="0" w:type="auto"/>
        <w:jc w:val="left"/>
        <w:tblInd w:w="965" w:type="dxa"/>
        <w:tblBorders>
          <w:top w:val="single" w:sz="4" w:space="0" w:color="DF2528"/>
          <w:left w:val="single" w:sz="4" w:space="0" w:color="DF2528"/>
          <w:bottom w:val="single" w:sz="4" w:space="0" w:color="DF2528"/>
          <w:right w:val="single" w:sz="4" w:space="0" w:color="DF2528"/>
          <w:insideH w:val="single" w:sz="4" w:space="0" w:color="DF2528"/>
          <w:insideV w:val="single" w:sz="4" w:space="0" w:color="DF2528"/>
        </w:tblBorders>
        <w:tblLayout w:type="fixed"/>
        <w:tblCellMar>
          <w:top w:w="0" w:type="dxa"/>
          <w:left w:w="0" w:type="dxa"/>
          <w:bottom w:w="0" w:type="dxa"/>
          <w:right w:w="0" w:type="dxa"/>
        </w:tblCellMar>
        <w:tblLook w:val="01E0"/>
      </w:tblPr>
      <w:tblGrid>
        <w:gridCol w:w="2750"/>
        <w:gridCol w:w="1586"/>
        <w:gridCol w:w="1466"/>
        <w:gridCol w:w="1336"/>
        <w:gridCol w:w="1314"/>
      </w:tblGrid>
      <w:tr>
        <w:trPr>
          <w:trHeight w:val="263" w:hRule="atLeast"/>
        </w:trPr>
        <w:tc>
          <w:tcPr>
            <w:tcW w:w="2750" w:type="dxa"/>
            <w:tcBorders>
              <w:top w:val="nil"/>
              <w:left w:val="nil"/>
              <w:right w:val="single" w:sz="4" w:space="0" w:color="DF2F1E"/>
            </w:tcBorders>
          </w:tcPr>
          <w:p>
            <w:pPr>
              <w:pStyle w:val="TableParagraph"/>
              <w:ind w:left="112"/>
              <w:rPr>
                <w:sz w:val="16"/>
              </w:rPr>
            </w:pPr>
            <w:r>
              <w:rPr>
                <w:color w:val="404040"/>
                <w:sz w:val="16"/>
              </w:rPr>
              <w:t>- 1 Studying</w:t>
            </w:r>
          </w:p>
        </w:tc>
        <w:tc>
          <w:tcPr>
            <w:tcW w:w="1586" w:type="dxa"/>
            <w:tcBorders>
              <w:top w:val="nil"/>
              <w:left w:val="single" w:sz="4" w:space="0" w:color="DF2F1E"/>
              <w:right w:val="single" w:sz="4" w:space="0" w:color="DF2F1E"/>
            </w:tcBorders>
          </w:tcPr>
          <w:p>
            <w:pPr>
              <w:pStyle w:val="TableParagraph"/>
              <w:ind w:left="672"/>
              <w:rPr>
                <w:sz w:val="16"/>
              </w:rPr>
            </w:pPr>
            <w:r>
              <w:rPr>
                <w:color w:val="404040"/>
                <w:sz w:val="16"/>
              </w:rPr>
              <w:t>-39</w:t>
            </w:r>
          </w:p>
        </w:tc>
        <w:tc>
          <w:tcPr>
            <w:tcW w:w="1466" w:type="dxa"/>
            <w:tcBorders>
              <w:top w:val="nil"/>
              <w:left w:val="single" w:sz="4" w:space="0" w:color="DF2F1E"/>
              <w:right w:val="nil"/>
            </w:tcBorders>
          </w:tcPr>
          <w:p>
            <w:pPr>
              <w:pStyle w:val="TableParagraph"/>
              <w:ind w:left="641"/>
              <w:rPr>
                <w:sz w:val="16"/>
              </w:rPr>
            </w:pPr>
            <w:r>
              <w:rPr>
                <w:color w:val="404040"/>
                <w:sz w:val="16"/>
              </w:rPr>
              <w:t>+7</w:t>
            </w:r>
          </w:p>
        </w:tc>
        <w:tc>
          <w:tcPr>
            <w:tcW w:w="1336" w:type="dxa"/>
            <w:tcBorders>
              <w:top w:val="nil"/>
              <w:left w:val="nil"/>
              <w:right w:val="nil"/>
            </w:tcBorders>
          </w:tcPr>
          <w:p>
            <w:pPr>
              <w:pStyle w:val="TableParagraph"/>
              <w:ind w:left="617"/>
              <w:rPr>
                <w:sz w:val="16"/>
              </w:rPr>
            </w:pPr>
            <w:r>
              <w:rPr>
                <w:color w:val="404040"/>
                <w:sz w:val="16"/>
              </w:rPr>
              <w:t>-5</w:t>
            </w:r>
          </w:p>
        </w:tc>
        <w:tc>
          <w:tcPr>
            <w:tcW w:w="1314" w:type="dxa"/>
            <w:tcBorders>
              <w:top w:val="nil"/>
              <w:left w:val="nil"/>
              <w:right w:val="nil"/>
            </w:tcBorders>
          </w:tcPr>
          <w:p>
            <w:pPr>
              <w:pStyle w:val="TableParagraph"/>
              <w:ind w:left="540" w:right="502"/>
              <w:jc w:val="center"/>
              <w:rPr>
                <w:sz w:val="16"/>
              </w:rPr>
            </w:pPr>
            <w:r>
              <w:rPr>
                <w:color w:val="404040"/>
                <w:sz w:val="16"/>
              </w:rPr>
              <w:t>-40</w:t>
            </w:r>
          </w:p>
        </w:tc>
      </w:tr>
      <w:tr>
        <w:trPr>
          <w:trHeight w:val="263" w:hRule="atLeast"/>
        </w:trPr>
        <w:tc>
          <w:tcPr>
            <w:tcW w:w="2750" w:type="dxa"/>
            <w:tcBorders>
              <w:left w:val="nil"/>
              <w:right w:val="single" w:sz="4" w:space="0" w:color="DF2F1E"/>
            </w:tcBorders>
          </w:tcPr>
          <w:p>
            <w:pPr>
              <w:pStyle w:val="TableParagraph"/>
              <w:ind w:left="112"/>
              <w:rPr>
                <w:sz w:val="16"/>
              </w:rPr>
            </w:pPr>
            <w:r>
              <w:rPr>
                <w:color w:val="404040"/>
                <w:sz w:val="16"/>
              </w:rPr>
              <w:t>- 2 Working Age</w:t>
            </w:r>
          </w:p>
        </w:tc>
        <w:tc>
          <w:tcPr>
            <w:tcW w:w="1586" w:type="dxa"/>
            <w:tcBorders>
              <w:left w:val="single" w:sz="4" w:space="0" w:color="DF2F1E"/>
              <w:right w:val="single" w:sz="4" w:space="0" w:color="DF2F1E"/>
            </w:tcBorders>
          </w:tcPr>
          <w:p>
            <w:pPr>
              <w:pStyle w:val="TableParagraph"/>
              <w:ind w:left="672"/>
              <w:rPr>
                <w:sz w:val="16"/>
              </w:rPr>
            </w:pPr>
            <w:r>
              <w:rPr>
                <w:color w:val="404040"/>
                <w:sz w:val="16"/>
              </w:rPr>
              <w:t>-20</w:t>
            </w:r>
          </w:p>
        </w:tc>
        <w:tc>
          <w:tcPr>
            <w:tcW w:w="1466" w:type="dxa"/>
            <w:tcBorders>
              <w:left w:val="single" w:sz="4" w:space="0" w:color="DF2F1E"/>
              <w:right w:val="nil"/>
            </w:tcBorders>
          </w:tcPr>
          <w:p>
            <w:pPr>
              <w:pStyle w:val="TableParagraph"/>
              <w:ind w:left="641"/>
              <w:rPr>
                <w:sz w:val="16"/>
              </w:rPr>
            </w:pPr>
            <w:r>
              <w:rPr>
                <w:color w:val="404040"/>
                <w:sz w:val="16"/>
              </w:rPr>
              <w:t>+8</w:t>
            </w:r>
          </w:p>
        </w:tc>
        <w:tc>
          <w:tcPr>
            <w:tcW w:w="1336" w:type="dxa"/>
            <w:tcBorders>
              <w:left w:val="nil"/>
              <w:right w:val="nil"/>
            </w:tcBorders>
          </w:tcPr>
          <w:p>
            <w:pPr>
              <w:pStyle w:val="TableParagraph"/>
              <w:ind w:left="617"/>
              <w:rPr>
                <w:sz w:val="16"/>
              </w:rPr>
            </w:pPr>
            <w:r>
              <w:rPr>
                <w:color w:val="404040"/>
                <w:sz w:val="16"/>
              </w:rPr>
              <w:t>-5</w:t>
            </w:r>
          </w:p>
        </w:tc>
        <w:tc>
          <w:tcPr>
            <w:tcW w:w="1314" w:type="dxa"/>
            <w:tcBorders>
              <w:left w:val="nil"/>
              <w:right w:val="nil"/>
            </w:tcBorders>
          </w:tcPr>
          <w:p>
            <w:pPr>
              <w:pStyle w:val="TableParagraph"/>
              <w:ind w:left="540" w:right="502"/>
              <w:jc w:val="center"/>
              <w:rPr>
                <w:sz w:val="16"/>
              </w:rPr>
            </w:pPr>
            <w:r>
              <w:rPr>
                <w:color w:val="404040"/>
                <w:sz w:val="16"/>
              </w:rPr>
              <w:t>-23</w:t>
            </w:r>
          </w:p>
        </w:tc>
      </w:tr>
      <w:tr>
        <w:trPr>
          <w:trHeight w:val="263" w:hRule="atLeast"/>
        </w:trPr>
        <w:tc>
          <w:tcPr>
            <w:tcW w:w="2750" w:type="dxa"/>
            <w:tcBorders>
              <w:left w:val="nil"/>
              <w:right w:val="single" w:sz="4" w:space="0" w:color="DF2F1E"/>
            </w:tcBorders>
          </w:tcPr>
          <w:p>
            <w:pPr>
              <w:pStyle w:val="TableParagraph"/>
              <w:ind w:left="112"/>
              <w:rPr>
                <w:sz w:val="16"/>
              </w:rPr>
            </w:pPr>
            <w:r>
              <w:rPr>
                <w:color w:val="404040"/>
                <w:sz w:val="16"/>
              </w:rPr>
              <w:t>- 3 Parenting</w:t>
            </w:r>
          </w:p>
        </w:tc>
        <w:tc>
          <w:tcPr>
            <w:tcW w:w="1586" w:type="dxa"/>
            <w:tcBorders>
              <w:left w:val="single" w:sz="4" w:space="0" w:color="DF2F1E"/>
              <w:right w:val="single" w:sz="4" w:space="0" w:color="DF2F1E"/>
            </w:tcBorders>
          </w:tcPr>
          <w:p>
            <w:pPr>
              <w:pStyle w:val="TableParagraph"/>
              <w:ind w:left="672"/>
              <w:rPr>
                <w:sz w:val="16"/>
              </w:rPr>
            </w:pPr>
            <w:r>
              <w:rPr>
                <w:color w:val="404040"/>
                <w:sz w:val="16"/>
              </w:rPr>
              <w:t>-22</w:t>
            </w:r>
          </w:p>
        </w:tc>
        <w:tc>
          <w:tcPr>
            <w:tcW w:w="1466" w:type="dxa"/>
            <w:tcBorders>
              <w:left w:val="single" w:sz="4" w:space="0" w:color="DF2F1E"/>
              <w:right w:val="nil"/>
            </w:tcBorders>
          </w:tcPr>
          <w:p>
            <w:pPr>
              <w:pStyle w:val="TableParagraph"/>
              <w:ind w:left="595"/>
              <w:rPr>
                <w:sz w:val="16"/>
              </w:rPr>
            </w:pPr>
            <w:r>
              <w:rPr>
                <w:color w:val="404040"/>
                <w:sz w:val="16"/>
              </w:rPr>
              <w:t>+14</w:t>
            </w:r>
          </w:p>
        </w:tc>
        <w:tc>
          <w:tcPr>
            <w:tcW w:w="1336" w:type="dxa"/>
            <w:tcBorders>
              <w:left w:val="nil"/>
              <w:right w:val="nil"/>
            </w:tcBorders>
          </w:tcPr>
          <w:p>
            <w:pPr>
              <w:pStyle w:val="TableParagraph"/>
              <w:ind w:left="617"/>
              <w:rPr>
                <w:sz w:val="16"/>
              </w:rPr>
            </w:pPr>
            <w:r>
              <w:rPr>
                <w:color w:val="404040"/>
                <w:sz w:val="16"/>
              </w:rPr>
              <w:t>-5</w:t>
            </w:r>
          </w:p>
        </w:tc>
        <w:tc>
          <w:tcPr>
            <w:tcW w:w="1314" w:type="dxa"/>
            <w:tcBorders>
              <w:left w:val="nil"/>
              <w:right w:val="nil"/>
            </w:tcBorders>
          </w:tcPr>
          <w:p>
            <w:pPr>
              <w:pStyle w:val="TableParagraph"/>
              <w:ind w:left="540" w:right="502"/>
              <w:jc w:val="center"/>
              <w:rPr>
                <w:sz w:val="16"/>
              </w:rPr>
            </w:pPr>
            <w:r>
              <w:rPr>
                <w:color w:val="404040"/>
                <w:sz w:val="16"/>
              </w:rPr>
              <w:t>-31</w:t>
            </w:r>
          </w:p>
        </w:tc>
      </w:tr>
      <w:tr>
        <w:trPr>
          <w:trHeight w:val="263" w:hRule="atLeast"/>
        </w:trPr>
        <w:tc>
          <w:tcPr>
            <w:tcW w:w="2750" w:type="dxa"/>
            <w:tcBorders>
              <w:left w:val="nil"/>
              <w:right w:val="single" w:sz="4" w:space="0" w:color="DF2F1E"/>
            </w:tcBorders>
          </w:tcPr>
          <w:p>
            <w:pPr>
              <w:pStyle w:val="TableParagraph"/>
              <w:ind w:left="112"/>
              <w:rPr>
                <w:sz w:val="16"/>
              </w:rPr>
            </w:pPr>
            <w:r>
              <w:rPr>
                <w:color w:val="404040"/>
                <w:sz w:val="16"/>
              </w:rPr>
              <w:t>- 4 Carers</w:t>
            </w:r>
          </w:p>
        </w:tc>
        <w:tc>
          <w:tcPr>
            <w:tcW w:w="1586" w:type="dxa"/>
            <w:tcBorders>
              <w:left w:val="single" w:sz="4" w:space="0" w:color="DF2F1E"/>
              <w:right w:val="single" w:sz="4" w:space="0" w:color="DF2F1E"/>
            </w:tcBorders>
          </w:tcPr>
          <w:p>
            <w:pPr>
              <w:pStyle w:val="TableParagraph"/>
              <w:ind w:left="717"/>
              <w:rPr>
                <w:sz w:val="16"/>
              </w:rPr>
            </w:pPr>
            <w:r>
              <w:rPr>
                <w:color w:val="404040"/>
                <w:sz w:val="16"/>
              </w:rPr>
              <w:t>-3</w:t>
            </w:r>
          </w:p>
        </w:tc>
        <w:tc>
          <w:tcPr>
            <w:tcW w:w="1466" w:type="dxa"/>
            <w:tcBorders>
              <w:left w:val="single" w:sz="4" w:space="0" w:color="DF2F1E"/>
              <w:right w:val="nil"/>
            </w:tcBorders>
          </w:tcPr>
          <w:p>
            <w:pPr>
              <w:pStyle w:val="TableParagraph"/>
              <w:ind w:left="595"/>
              <w:rPr>
                <w:sz w:val="16"/>
              </w:rPr>
            </w:pPr>
            <w:r>
              <w:rPr>
                <w:color w:val="404040"/>
                <w:sz w:val="16"/>
              </w:rPr>
              <w:t>+11</w:t>
            </w:r>
          </w:p>
        </w:tc>
        <w:tc>
          <w:tcPr>
            <w:tcW w:w="1336" w:type="dxa"/>
            <w:tcBorders>
              <w:left w:val="nil"/>
              <w:right w:val="nil"/>
            </w:tcBorders>
          </w:tcPr>
          <w:p>
            <w:pPr>
              <w:pStyle w:val="TableParagraph"/>
              <w:ind w:left="617"/>
              <w:rPr>
                <w:sz w:val="16"/>
              </w:rPr>
            </w:pPr>
            <w:r>
              <w:rPr>
                <w:color w:val="404040"/>
                <w:sz w:val="16"/>
              </w:rPr>
              <w:t>-3</w:t>
            </w:r>
          </w:p>
        </w:tc>
        <w:tc>
          <w:tcPr>
            <w:tcW w:w="1314" w:type="dxa"/>
            <w:tcBorders>
              <w:left w:val="nil"/>
              <w:right w:val="nil"/>
            </w:tcBorders>
          </w:tcPr>
          <w:p>
            <w:pPr>
              <w:pStyle w:val="TableParagraph"/>
              <w:ind w:left="540" w:right="502"/>
              <w:jc w:val="center"/>
              <w:rPr>
                <w:sz w:val="16"/>
              </w:rPr>
            </w:pPr>
            <w:r>
              <w:rPr>
                <w:color w:val="404040"/>
                <w:sz w:val="16"/>
              </w:rPr>
              <w:t>-12</w:t>
            </w:r>
          </w:p>
        </w:tc>
      </w:tr>
      <w:tr>
        <w:trPr>
          <w:trHeight w:val="265" w:hRule="atLeast"/>
        </w:trPr>
        <w:tc>
          <w:tcPr>
            <w:tcW w:w="2750" w:type="dxa"/>
            <w:tcBorders>
              <w:left w:val="nil"/>
              <w:right w:val="single" w:sz="4" w:space="0" w:color="DF2F1E"/>
            </w:tcBorders>
          </w:tcPr>
          <w:p>
            <w:pPr>
              <w:pStyle w:val="TableParagraph"/>
              <w:spacing w:before="39"/>
              <w:ind w:left="112"/>
              <w:rPr>
                <w:sz w:val="16"/>
              </w:rPr>
            </w:pPr>
            <w:r>
              <w:rPr>
                <w:color w:val="404040"/>
                <w:sz w:val="16"/>
              </w:rPr>
              <w:t>- 5 Disability Support</w:t>
            </w:r>
          </w:p>
        </w:tc>
        <w:tc>
          <w:tcPr>
            <w:tcW w:w="1586" w:type="dxa"/>
            <w:tcBorders>
              <w:left w:val="single" w:sz="4" w:space="0" w:color="DF2F1E"/>
              <w:right w:val="single" w:sz="4" w:space="0" w:color="DF2F1E"/>
            </w:tcBorders>
          </w:tcPr>
          <w:p>
            <w:pPr>
              <w:pStyle w:val="TableParagraph"/>
              <w:spacing w:before="39"/>
              <w:ind w:left="717"/>
              <w:rPr>
                <w:sz w:val="16"/>
              </w:rPr>
            </w:pPr>
            <w:r>
              <w:rPr>
                <w:color w:val="404040"/>
                <w:sz w:val="16"/>
              </w:rPr>
              <w:t>-1</w:t>
            </w:r>
          </w:p>
        </w:tc>
        <w:tc>
          <w:tcPr>
            <w:tcW w:w="1466" w:type="dxa"/>
            <w:tcBorders>
              <w:left w:val="single" w:sz="4" w:space="0" w:color="DF2F1E"/>
              <w:right w:val="nil"/>
            </w:tcBorders>
          </w:tcPr>
          <w:p>
            <w:pPr>
              <w:pStyle w:val="TableParagraph"/>
              <w:spacing w:before="39"/>
              <w:ind w:left="595"/>
              <w:rPr>
                <w:sz w:val="16"/>
              </w:rPr>
            </w:pPr>
            <w:r>
              <w:rPr>
                <w:color w:val="404040"/>
                <w:sz w:val="16"/>
              </w:rPr>
              <w:t>+10</w:t>
            </w:r>
          </w:p>
        </w:tc>
        <w:tc>
          <w:tcPr>
            <w:tcW w:w="1336" w:type="dxa"/>
            <w:tcBorders>
              <w:left w:val="nil"/>
              <w:right w:val="nil"/>
            </w:tcBorders>
          </w:tcPr>
          <w:p>
            <w:pPr>
              <w:pStyle w:val="TableParagraph"/>
              <w:spacing w:before="39"/>
              <w:ind w:left="617"/>
              <w:rPr>
                <w:sz w:val="16"/>
              </w:rPr>
            </w:pPr>
            <w:r>
              <w:rPr>
                <w:color w:val="404040"/>
                <w:sz w:val="16"/>
              </w:rPr>
              <w:t>-3</w:t>
            </w:r>
          </w:p>
        </w:tc>
        <w:tc>
          <w:tcPr>
            <w:tcW w:w="1314" w:type="dxa"/>
            <w:tcBorders>
              <w:left w:val="nil"/>
              <w:right w:val="nil"/>
            </w:tcBorders>
          </w:tcPr>
          <w:p>
            <w:pPr>
              <w:pStyle w:val="TableParagraph"/>
              <w:spacing w:before="39"/>
              <w:ind w:left="538" w:right="502"/>
              <w:jc w:val="center"/>
              <w:rPr>
                <w:sz w:val="16"/>
              </w:rPr>
            </w:pPr>
            <w:r>
              <w:rPr>
                <w:color w:val="404040"/>
                <w:sz w:val="16"/>
              </w:rPr>
              <w:t>-8</w:t>
            </w:r>
          </w:p>
        </w:tc>
      </w:tr>
      <w:tr>
        <w:trPr>
          <w:trHeight w:val="263" w:hRule="atLeast"/>
        </w:trPr>
        <w:tc>
          <w:tcPr>
            <w:tcW w:w="2750" w:type="dxa"/>
            <w:tcBorders>
              <w:left w:val="nil"/>
              <w:right w:val="single" w:sz="4" w:space="0" w:color="DF2F1E"/>
            </w:tcBorders>
          </w:tcPr>
          <w:p>
            <w:pPr>
              <w:pStyle w:val="TableParagraph"/>
              <w:ind w:left="112"/>
              <w:rPr>
                <w:sz w:val="16"/>
              </w:rPr>
            </w:pPr>
            <w:r>
              <w:rPr>
                <w:color w:val="404040"/>
                <w:sz w:val="16"/>
              </w:rPr>
              <w:t>- 6 Pension Age</w:t>
            </w:r>
          </w:p>
        </w:tc>
        <w:tc>
          <w:tcPr>
            <w:tcW w:w="1586" w:type="dxa"/>
            <w:tcBorders>
              <w:left w:val="single" w:sz="4" w:space="0" w:color="DF2F1E"/>
              <w:right w:val="single" w:sz="4" w:space="0" w:color="DF2F1E"/>
            </w:tcBorders>
          </w:tcPr>
          <w:p>
            <w:pPr>
              <w:pStyle w:val="TableParagraph"/>
              <w:ind w:left="696"/>
              <w:rPr>
                <w:sz w:val="16"/>
              </w:rPr>
            </w:pPr>
            <w:r>
              <w:rPr>
                <w:color w:val="404040"/>
                <w:sz w:val="16"/>
              </w:rPr>
              <w:t>+2</w:t>
            </w:r>
          </w:p>
        </w:tc>
        <w:tc>
          <w:tcPr>
            <w:tcW w:w="1466" w:type="dxa"/>
            <w:tcBorders>
              <w:left w:val="single" w:sz="4" w:space="0" w:color="DF2F1E"/>
              <w:right w:val="nil"/>
            </w:tcBorders>
          </w:tcPr>
          <w:p>
            <w:pPr>
              <w:pStyle w:val="TableParagraph"/>
              <w:ind w:left="641"/>
              <w:rPr>
                <w:sz w:val="16"/>
              </w:rPr>
            </w:pPr>
            <w:r>
              <w:rPr>
                <w:color w:val="404040"/>
                <w:sz w:val="16"/>
              </w:rPr>
              <w:t>+5</w:t>
            </w:r>
          </w:p>
        </w:tc>
        <w:tc>
          <w:tcPr>
            <w:tcW w:w="1336" w:type="dxa"/>
            <w:tcBorders>
              <w:left w:val="nil"/>
              <w:right w:val="nil"/>
            </w:tcBorders>
          </w:tcPr>
          <w:p>
            <w:pPr>
              <w:pStyle w:val="TableParagraph"/>
              <w:ind w:left="596"/>
              <w:rPr>
                <w:sz w:val="16"/>
              </w:rPr>
            </w:pPr>
            <w:r>
              <w:rPr>
                <w:color w:val="404040"/>
                <w:sz w:val="16"/>
              </w:rPr>
              <w:t>+1</w:t>
            </w:r>
          </w:p>
        </w:tc>
        <w:tc>
          <w:tcPr>
            <w:tcW w:w="1314" w:type="dxa"/>
            <w:tcBorders>
              <w:left w:val="nil"/>
              <w:right w:val="nil"/>
            </w:tcBorders>
          </w:tcPr>
          <w:p>
            <w:pPr>
              <w:pStyle w:val="TableParagraph"/>
              <w:ind w:left="538" w:right="502"/>
              <w:jc w:val="center"/>
              <w:rPr>
                <w:sz w:val="16"/>
              </w:rPr>
            </w:pPr>
            <w:r>
              <w:rPr>
                <w:color w:val="404040"/>
                <w:sz w:val="16"/>
              </w:rPr>
              <w:t>-3</w:t>
            </w:r>
          </w:p>
        </w:tc>
      </w:tr>
      <w:tr>
        <w:trPr>
          <w:trHeight w:val="263" w:hRule="atLeast"/>
        </w:trPr>
        <w:tc>
          <w:tcPr>
            <w:tcW w:w="2750" w:type="dxa"/>
            <w:tcBorders>
              <w:left w:val="nil"/>
              <w:right w:val="single" w:sz="4" w:space="0" w:color="DF2F1E"/>
            </w:tcBorders>
          </w:tcPr>
          <w:p>
            <w:pPr>
              <w:pStyle w:val="TableParagraph"/>
              <w:ind w:left="112"/>
              <w:rPr>
                <w:sz w:val="16"/>
              </w:rPr>
            </w:pPr>
            <w:r>
              <w:rPr>
                <w:color w:val="404040"/>
                <w:sz w:val="16"/>
              </w:rPr>
              <w:t>- 7 Non IS Family</w:t>
            </w:r>
          </w:p>
        </w:tc>
        <w:tc>
          <w:tcPr>
            <w:tcW w:w="1586" w:type="dxa"/>
            <w:tcBorders>
              <w:left w:val="single" w:sz="4" w:space="0" w:color="DF2F1E"/>
              <w:right w:val="single" w:sz="4" w:space="0" w:color="DF2F1E"/>
            </w:tcBorders>
          </w:tcPr>
          <w:p>
            <w:pPr>
              <w:pStyle w:val="TableParagraph"/>
              <w:ind w:left="672"/>
              <w:rPr>
                <w:sz w:val="16"/>
              </w:rPr>
            </w:pPr>
            <w:r>
              <w:rPr>
                <w:color w:val="404040"/>
                <w:sz w:val="16"/>
              </w:rPr>
              <w:t>-31</w:t>
            </w:r>
          </w:p>
        </w:tc>
        <w:tc>
          <w:tcPr>
            <w:tcW w:w="1466" w:type="dxa"/>
            <w:tcBorders>
              <w:left w:val="single" w:sz="4" w:space="0" w:color="DF2F1E"/>
              <w:right w:val="nil"/>
            </w:tcBorders>
          </w:tcPr>
          <w:p>
            <w:pPr>
              <w:pStyle w:val="TableParagraph"/>
              <w:ind w:left="641"/>
              <w:rPr>
                <w:sz w:val="16"/>
              </w:rPr>
            </w:pPr>
            <w:r>
              <w:rPr>
                <w:color w:val="404040"/>
                <w:sz w:val="16"/>
              </w:rPr>
              <w:t>+6</w:t>
            </w:r>
          </w:p>
        </w:tc>
        <w:tc>
          <w:tcPr>
            <w:tcW w:w="1336" w:type="dxa"/>
            <w:tcBorders>
              <w:left w:val="nil"/>
              <w:right w:val="nil"/>
            </w:tcBorders>
          </w:tcPr>
          <w:p>
            <w:pPr>
              <w:pStyle w:val="TableParagraph"/>
              <w:ind w:left="617"/>
              <w:rPr>
                <w:sz w:val="16"/>
              </w:rPr>
            </w:pPr>
            <w:r>
              <w:rPr>
                <w:color w:val="404040"/>
                <w:sz w:val="16"/>
              </w:rPr>
              <w:t>-7</w:t>
            </w:r>
          </w:p>
        </w:tc>
        <w:tc>
          <w:tcPr>
            <w:tcW w:w="1314" w:type="dxa"/>
            <w:tcBorders>
              <w:left w:val="nil"/>
              <w:right w:val="nil"/>
            </w:tcBorders>
          </w:tcPr>
          <w:p>
            <w:pPr>
              <w:pStyle w:val="TableParagraph"/>
              <w:ind w:left="540" w:right="502"/>
              <w:jc w:val="center"/>
              <w:rPr>
                <w:sz w:val="16"/>
              </w:rPr>
            </w:pPr>
            <w:r>
              <w:rPr>
                <w:color w:val="404040"/>
                <w:sz w:val="16"/>
              </w:rPr>
              <w:t>-30</w:t>
            </w:r>
          </w:p>
        </w:tc>
      </w:tr>
      <w:tr>
        <w:trPr>
          <w:trHeight w:val="263" w:hRule="atLeast"/>
        </w:trPr>
        <w:tc>
          <w:tcPr>
            <w:tcW w:w="2750" w:type="dxa"/>
            <w:tcBorders>
              <w:left w:val="nil"/>
              <w:right w:val="single" w:sz="4" w:space="0" w:color="DF2F1E"/>
            </w:tcBorders>
          </w:tcPr>
          <w:p>
            <w:pPr>
              <w:pStyle w:val="TableParagraph"/>
              <w:ind w:left="112"/>
              <w:rPr>
                <w:sz w:val="16"/>
              </w:rPr>
            </w:pPr>
            <w:r>
              <w:rPr>
                <w:color w:val="404040"/>
                <w:sz w:val="16"/>
              </w:rPr>
              <w:t>- 8 Non IS Carer</w:t>
            </w:r>
          </w:p>
        </w:tc>
        <w:tc>
          <w:tcPr>
            <w:tcW w:w="1586" w:type="dxa"/>
            <w:tcBorders>
              <w:left w:val="single" w:sz="4" w:space="0" w:color="DF2F1E"/>
              <w:right w:val="single" w:sz="4" w:space="0" w:color="DF2F1E"/>
            </w:tcBorders>
          </w:tcPr>
          <w:p>
            <w:pPr>
              <w:pStyle w:val="TableParagraph"/>
              <w:ind w:left="672"/>
              <w:rPr>
                <w:sz w:val="16"/>
              </w:rPr>
            </w:pPr>
            <w:r>
              <w:rPr>
                <w:color w:val="404040"/>
                <w:sz w:val="16"/>
              </w:rPr>
              <w:t>-24</w:t>
            </w:r>
          </w:p>
        </w:tc>
        <w:tc>
          <w:tcPr>
            <w:tcW w:w="1466" w:type="dxa"/>
            <w:tcBorders>
              <w:left w:val="single" w:sz="4" w:space="0" w:color="DF2F1E"/>
              <w:right w:val="nil"/>
            </w:tcBorders>
          </w:tcPr>
          <w:p>
            <w:pPr>
              <w:pStyle w:val="TableParagraph"/>
              <w:ind w:left="641"/>
              <w:rPr>
                <w:sz w:val="16"/>
              </w:rPr>
            </w:pPr>
            <w:r>
              <w:rPr>
                <w:color w:val="404040"/>
                <w:sz w:val="16"/>
              </w:rPr>
              <w:t>+5</w:t>
            </w:r>
          </w:p>
        </w:tc>
        <w:tc>
          <w:tcPr>
            <w:tcW w:w="1336" w:type="dxa"/>
            <w:tcBorders>
              <w:left w:val="nil"/>
              <w:right w:val="nil"/>
            </w:tcBorders>
          </w:tcPr>
          <w:p>
            <w:pPr>
              <w:pStyle w:val="TableParagraph"/>
              <w:ind w:left="617"/>
              <w:rPr>
                <w:sz w:val="16"/>
              </w:rPr>
            </w:pPr>
            <w:r>
              <w:rPr>
                <w:color w:val="404040"/>
                <w:sz w:val="16"/>
              </w:rPr>
              <w:t>-5</w:t>
            </w:r>
          </w:p>
        </w:tc>
        <w:tc>
          <w:tcPr>
            <w:tcW w:w="1314" w:type="dxa"/>
            <w:tcBorders>
              <w:left w:val="nil"/>
              <w:right w:val="nil"/>
            </w:tcBorders>
          </w:tcPr>
          <w:p>
            <w:pPr>
              <w:pStyle w:val="TableParagraph"/>
              <w:ind w:left="540" w:right="502"/>
              <w:jc w:val="center"/>
              <w:rPr>
                <w:sz w:val="16"/>
              </w:rPr>
            </w:pPr>
            <w:r>
              <w:rPr>
                <w:color w:val="404040"/>
                <w:sz w:val="16"/>
              </w:rPr>
              <w:t>-25</w:t>
            </w:r>
          </w:p>
        </w:tc>
      </w:tr>
      <w:tr>
        <w:trPr>
          <w:trHeight w:val="263" w:hRule="atLeast"/>
        </w:trPr>
        <w:tc>
          <w:tcPr>
            <w:tcW w:w="2750" w:type="dxa"/>
            <w:tcBorders>
              <w:left w:val="nil"/>
              <w:right w:val="single" w:sz="4" w:space="0" w:color="DF2F1E"/>
            </w:tcBorders>
          </w:tcPr>
          <w:p>
            <w:pPr>
              <w:pStyle w:val="TableParagraph"/>
              <w:ind w:left="112"/>
              <w:rPr>
                <w:sz w:val="16"/>
              </w:rPr>
            </w:pPr>
            <w:r>
              <w:rPr>
                <w:color w:val="404040"/>
                <w:sz w:val="16"/>
              </w:rPr>
              <w:t>- 9 Non IS Other</w:t>
            </w:r>
          </w:p>
        </w:tc>
        <w:tc>
          <w:tcPr>
            <w:tcW w:w="1586" w:type="dxa"/>
            <w:tcBorders>
              <w:left w:val="single" w:sz="4" w:space="0" w:color="DF2F1E"/>
              <w:right w:val="single" w:sz="4" w:space="0" w:color="DF2F1E"/>
            </w:tcBorders>
          </w:tcPr>
          <w:p>
            <w:pPr>
              <w:pStyle w:val="TableParagraph"/>
              <w:ind w:left="672"/>
              <w:rPr>
                <w:sz w:val="16"/>
              </w:rPr>
            </w:pPr>
            <w:r>
              <w:rPr>
                <w:color w:val="404040"/>
                <w:sz w:val="16"/>
              </w:rPr>
              <w:t>-20</w:t>
            </w:r>
          </w:p>
        </w:tc>
        <w:tc>
          <w:tcPr>
            <w:tcW w:w="1466" w:type="dxa"/>
            <w:tcBorders>
              <w:left w:val="single" w:sz="4" w:space="0" w:color="DF2F1E"/>
              <w:right w:val="nil"/>
            </w:tcBorders>
          </w:tcPr>
          <w:p>
            <w:pPr>
              <w:pStyle w:val="TableParagraph"/>
              <w:ind w:left="641"/>
              <w:rPr>
                <w:sz w:val="16"/>
              </w:rPr>
            </w:pPr>
            <w:r>
              <w:rPr>
                <w:color w:val="404040"/>
                <w:sz w:val="16"/>
              </w:rPr>
              <w:t>+4</w:t>
            </w:r>
          </w:p>
        </w:tc>
        <w:tc>
          <w:tcPr>
            <w:tcW w:w="1336" w:type="dxa"/>
            <w:tcBorders>
              <w:left w:val="nil"/>
              <w:right w:val="nil"/>
            </w:tcBorders>
          </w:tcPr>
          <w:p>
            <w:pPr>
              <w:pStyle w:val="TableParagraph"/>
              <w:ind w:left="617"/>
              <w:rPr>
                <w:sz w:val="16"/>
              </w:rPr>
            </w:pPr>
            <w:r>
              <w:rPr>
                <w:color w:val="404040"/>
                <w:sz w:val="16"/>
              </w:rPr>
              <w:t>-3</w:t>
            </w:r>
          </w:p>
        </w:tc>
        <w:tc>
          <w:tcPr>
            <w:tcW w:w="1314" w:type="dxa"/>
            <w:tcBorders>
              <w:left w:val="nil"/>
              <w:right w:val="nil"/>
            </w:tcBorders>
          </w:tcPr>
          <w:p>
            <w:pPr>
              <w:pStyle w:val="TableParagraph"/>
              <w:ind w:left="540" w:right="502"/>
              <w:jc w:val="center"/>
              <w:rPr>
                <w:sz w:val="16"/>
              </w:rPr>
            </w:pPr>
            <w:r>
              <w:rPr>
                <w:color w:val="404040"/>
                <w:sz w:val="16"/>
              </w:rPr>
              <w:t>-21</w:t>
            </w:r>
          </w:p>
        </w:tc>
      </w:tr>
      <w:tr>
        <w:trPr>
          <w:trHeight w:val="262" w:hRule="atLeast"/>
        </w:trPr>
        <w:tc>
          <w:tcPr>
            <w:tcW w:w="2750" w:type="dxa"/>
            <w:tcBorders>
              <w:left w:val="nil"/>
              <w:bottom w:val="single" w:sz="6" w:space="0" w:color="FFFFFF"/>
              <w:right w:val="single" w:sz="4" w:space="0" w:color="DF2F1E"/>
            </w:tcBorders>
            <w:shd w:val="clear" w:color="auto" w:fill="F4C9C9"/>
          </w:tcPr>
          <w:p>
            <w:pPr>
              <w:pStyle w:val="TableParagraph"/>
              <w:ind w:left="112"/>
              <w:rPr>
                <w:i/>
                <w:sz w:val="16"/>
              </w:rPr>
            </w:pPr>
            <w:r>
              <w:rPr>
                <w:i/>
                <w:color w:val="404040"/>
                <w:sz w:val="16"/>
              </w:rPr>
              <w:t>Total current welfare recipients</w:t>
            </w:r>
          </w:p>
        </w:tc>
        <w:tc>
          <w:tcPr>
            <w:tcW w:w="1586" w:type="dxa"/>
            <w:tcBorders>
              <w:left w:val="single" w:sz="4" w:space="0" w:color="DF2F1E"/>
              <w:bottom w:val="single" w:sz="6" w:space="0" w:color="FFFFFF"/>
              <w:right w:val="single" w:sz="4" w:space="0" w:color="DF2F1E"/>
            </w:tcBorders>
            <w:shd w:val="clear" w:color="auto" w:fill="F4C9C9"/>
          </w:tcPr>
          <w:p>
            <w:pPr>
              <w:pStyle w:val="TableParagraph"/>
              <w:ind w:left="672"/>
              <w:rPr>
                <w:i/>
                <w:sz w:val="16"/>
              </w:rPr>
            </w:pPr>
            <w:r>
              <w:rPr>
                <w:i/>
                <w:color w:val="404040"/>
                <w:sz w:val="16"/>
              </w:rPr>
              <w:t>-16</w:t>
            </w:r>
          </w:p>
        </w:tc>
        <w:tc>
          <w:tcPr>
            <w:tcW w:w="1466" w:type="dxa"/>
            <w:tcBorders>
              <w:left w:val="single" w:sz="4" w:space="0" w:color="DF2F1E"/>
              <w:bottom w:val="single" w:sz="6" w:space="0" w:color="FFFFFF"/>
              <w:right w:val="nil"/>
            </w:tcBorders>
            <w:shd w:val="clear" w:color="auto" w:fill="F4C9C9"/>
          </w:tcPr>
          <w:p>
            <w:pPr>
              <w:pStyle w:val="TableParagraph"/>
              <w:ind w:left="641"/>
              <w:rPr>
                <w:i/>
                <w:sz w:val="16"/>
              </w:rPr>
            </w:pPr>
            <w:r>
              <w:rPr>
                <w:i/>
                <w:color w:val="404040"/>
                <w:sz w:val="16"/>
              </w:rPr>
              <w:t>+7</w:t>
            </w:r>
          </w:p>
        </w:tc>
        <w:tc>
          <w:tcPr>
            <w:tcW w:w="1336" w:type="dxa"/>
            <w:tcBorders>
              <w:left w:val="nil"/>
              <w:bottom w:val="single" w:sz="6" w:space="0" w:color="FFFFFF"/>
              <w:right w:val="nil"/>
            </w:tcBorders>
            <w:shd w:val="clear" w:color="auto" w:fill="F4C9C9"/>
          </w:tcPr>
          <w:p>
            <w:pPr>
              <w:pStyle w:val="TableParagraph"/>
              <w:ind w:left="617"/>
              <w:rPr>
                <w:i/>
                <w:sz w:val="16"/>
              </w:rPr>
            </w:pPr>
            <w:r>
              <w:rPr>
                <w:i/>
                <w:color w:val="404040"/>
                <w:sz w:val="16"/>
              </w:rPr>
              <w:t>-3</w:t>
            </w:r>
          </w:p>
        </w:tc>
        <w:tc>
          <w:tcPr>
            <w:tcW w:w="1314" w:type="dxa"/>
            <w:tcBorders>
              <w:left w:val="nil"/>
              <w:bottom w:val="single" w:sz="6" w:space="0" w:color="FFFFFF"/>
              <w:right w:val="nil"/>
            </w:tcBorders>
            <w:shd w:val="clear" w:color="auto" w:fill="F4C9C9"/>
          </w:tcPr>
          <w:p>
            <w:pPr>
              <w:pStyle w:val="TableParagraph"/>
              <w:ind w:left="540" w:right="502"/>
              <w:jc w:val="center"/>
              <w:rPr>
                <w:i/>
                <w:sz w:val="16"/>
              </w:rPr>
            </w:pPr>
            <w:r>
              <w:rPr>
                <w:i/>
                <w:color w:val="404040"/>
                <w:sz w:val="16"/>
              </w:rPr>
              <w:t>-20</w:t>
            </w:r>
          </w:p>
        </w:tc>
      </w:tr>
      <w:tr>
        <w:trPr>
          <w:trHeight w:val="257" w:hRule="atLeast"/>
        </w:trPr>
        <w:tc>
          <w:tcPr>
            <w:tcW w:w="2750" w:type="dxa"/>
            <w:tcBorders>
              <w:top w:val="single" w:sz="6" w:space="0" w:color="FFFFFF"/>
              <w:left w:val="nil"/>
              <w:bottom w:val="nil"/>
              <w:right w:val="single" w:sz="4" w:space="0" w:color="DF2F1E"/>
            </w:tcBorders>
            <w:shd w:val="clear" w:color="auto" w:fill="DF2528"/>
          </w:tcPr>
          <w:p>
            <w:pPr>
              <w:pStyle w:val="TableParagraph"/>
              <w:spacing w:before="33"/>
              <w:ind w:left="112"/>
              <w:rPr>
                <w:b/>
                <w:sz w:val="16"/>
              </w:rPr>
            </w:pPr>
            <w:r>
              <w:rPr>
                <w:b/>
                <w:color w:val="FFFFFF"/>
                <w:sz w:val="16"/>
              </w:rPr>
              <w:t>Non welfare recipients</w:t>
            </w:r>
          </w:p>
        </w:tc>
        <w:tc>
          <w:tcPr>
            <w:tcW w:w="1586" w:type="dxa"/>
            <w:tcBorders>
              <w:top w:val="single" w:sz="6" w:space="0" w:color="FFFFFF"/>
              <w:left w:val="single" w:sz="4" w:space="0" w:color="DF2F1E"/>
              <w:bottom w:val="nil"/>
              <w:right w:val="single" w:sz="4" w:space="0" w:color="DF2F1E"/>
            </w:tcBorders>
            <w:shd w:val="clear" w:color="auto" w:fill="DF2528"/>
          </w:tcPr>
          <w:p>
            <w:pPr>
              <w:pStyle w:val="TableParagraph"/>
              <w:spacing w:before="0"/>
              <w:rPr>
                <w:rFonts w:ascii="Times New Roman"/>
                <w:sz w:val="18"/>
              </w:rPr>
            </w:pPr>
          </w:p>
        </w:tc>
        <w:tc>
          <w:tcPr>
            <w:tcW w:w="4116" w:type="dxa"/>
            <w:gridSpan w:val="3"/>
            <w:tcBorders>
              <w:top w:val="single" w:sz="6" w:space="0" w:color="FFFFFF"/>
              <w:left w:val="single" w:sz="4" w:space="0" w:color="DF2F1E"/>
              <w:bottom w:val="nil"/>
              <w:right w:val="nil"/>
            </w:tcBorders>
            <w:shd w:val="clear" w:color="auto" w:fill="DF2528"/>
          </w:tcPr>
          <w:p>
            <w:pPr>
              <w:pStyle w:val="TableParagraph"/>
              <w:spacing w:before="0"/>
              <w:rPr>
                <w:rFonts w:ascii="Times New Roman"/>
                <w:sz w:val="18"/>
              </w:rPr>
            </w:pPr>
          </w:p>
        </w:tc>
      </w:tr>
      <w:tr>
        <w:trPr>
          <w:trHeight w:val="268" w:hRule="atLeast"/>
        </w:trPr>
        <w:tc>
          <w:tcPr>
            <w:tcW w:w="2750" w:type="dxa"/>
            <w:tcBorders>
              <w:left w:val="nil"/>
              <w:right w:val="single" w:sz="4" w:space="0" w:color="DF2F1E"/>
            </w:tcBorders>
          </w:tcPr>
          <w:p>
            <w:pPr>
              <w:pStyle w:val="TableParagraph"/>
              <w:spacing w:before="41"/>
              <w:ind w:left="112"/>
              <w:rPr>
                <w:sz w:val="16"/>
              </w:rPr>
            </w:pPr>
            <w:r>
              <w:rPr>
                <w:color w:val="404040"/>
                <w:sz w:val="16"/>
              </w:rPr>
              <w:t>- 10 Previous welfare recipients</w:t>
            </w:r>
          </w:p>
        </w:tc>
        <w:tc>
          <w:tcPr>
            <w:tcW w:w="1586" w:type="dxa"/>
            <w:tcBorders>
              <w:left w:val="single" w:sz="4" w:space="0" w:color="DF2F1E"/>
              <w:right w:val="single" w:sz="4" w:space="0" w:color="DF2F1E"/>
            </w:tcBorders>
          </w:tcPr>
          <w:p>
            <w:pPr>
              <w:pStyle w:val="TableParagraph"/>
              <w:spacing w:before="41"/>
              <w:ind w:left="672"/>
              <w:rPr>
                <w:sz w:val="16"/>
              </w:rPr>
            </w:pPr>
            <w:r>
              <w:rPr>
                <w:color w:val="404040"/>
                <w:sz w:val="16"/>
              </w:rPr>
              <w:t>-33</w:t>
            </w:r>
          </w:p>
        </w:tc>
        <w:tc>
          <w:tcPr>
            <w:tcW w:w="1466" w:type="dxa"/>
            <w:tcBorders>
              <w:left w:val="single" w:sz="4" w:space="0" w:color="DF2F1E"/>
              <w:right w:val="nil"/>
            </w:tcBorders>
          </w:tcPr>
          <w:p>
            <w:pPr>
              <w:pStyle w:val="TableParagraph"/>
              <w:spacing w:before="41"/>
              <w:ind w:left="641"/>
              <w:rPr>
                <w:sz w:val="16"/>
              </w:rPr>
            </w:pPr>
            <w:r>
              <w:rPr>
                <w:color w:val="404040"/>
                <w:sz w:val="16"/>
              </w:rPr>
              <w:t>+5</w:t>
            </w:r>
          </w:p>
        </w:tc>
        <w:tc>
          <w:tcPr>
            <w:tcW w:w="1336" w:type="dxa"/>
            <w:tcBorders>
              <w:left w:val="nil"/>
              <w:right w:val="nil"/>
            </w:tcBorders>
          </w:tcPr>
          <w:p>
            <w:pPr>
              <w:pStyle w:val="TableParagraph"/>
              <w:spacing w:before="41"/>
              <w:ind w:left="617"/>
              <w:rPr>
                <w:sz w:val="16"/>
              </w:rPr>
            </w:pPr>
            <w:r>
              <w:rPr>
                <w:color w:val="404040"/>
                <w:sz w:val="16"/>
              </w:rPr>
              <w:t>-5</w:t>
            </w:r>
          </w:p>
        </w:tc>
        <w:tc>
          <w:tcPr>
            <w:tcW w:w="1314" w:type="dxa"/>
            <w:tcBorders>
              <w:left w:val="nil"/>
              <w:right w:val="nil"/>
            </w:tcBorders>
          </w:tcPr>
          <w:p>
            <w:pPr>
              <w:pStyle w:val="TableParagraph"/>
              <w:spacing w:before="41"/>
              <w:ind w:left="540" w:right="502"/>
              <w:jc w:val="center"/>
              <w:rPr>
                <w:sz w:val="16"/>
              </w:rPr>
            </w:pPr>
            <w:r>
              <w:rPr>
                <w:color w:val="404040"/>
                <w:sz w:val="16"/>
              </w:rPr>
              <w:t>-33</w:t>
            </w:r>
          </w:p>
        </w:tc>
      </w:tr>
      <w:tr>
        <w:trPr>
          <w:trHeight w:val="263" w:hRule="atLeast"/>
        </w:trPr>
        <w:tc>
          <w:tcPr>
            <w:tcW w:w="2750" w:type="dxa"/>
            <w:tcBorders>
              <w:left w:val="nil"/>
              <w:right w:val="single" w:sz="4" w:space="0" w:color="DF2F1E"/>
            </w:tcBorders>
          </w:tcPr>
          <w:p>
            <w:pPr>
              <w:pStyle w:val="TableParagraph"/>
              <w:ind w:left="112"/>
              <w:rPr>
                <w:sz w:val="16"/>
              </w:rPr>
            </w:pPr>
            <w:r>
              <w:rPr>
                <w:color w:val="404040"/>
                <w:sz w:val="16"/>
              </w:rPr>
              <w:t>- 12 Rest of Australian Population</w:t>
            </w:r>
          </w:p>
        </w:tc>
        <w:tc>
          <w:tcPr>
            <w:tcW w:w="1586" w:type="dxa"/>
            <w:tcBorders>
              <w:left w:val="single" w:sz="4" w:space="0" w:color="DF2F1E"/>
              <w:right w:val="single" w:sz="4" w:space="0" w:color="DF2F1E"/>
            </w:tcBorders>
          </w:tcPr>
          <w:p>
            <w:pPr>
              <w:pStyle w:val="TableParagraph"/>
              <w:ind w:left="672"/>
              <w:rPr>
                <w:sz w:val="16"/>
              </w:rPr>
            </w:pPr>
            <w:r>
              <w:rPr>
                <w:color w:val="404040"/>
                <w:sz w:val="16"/>
              </w:rPr>
              <w:t>-34</w:t>
            </w:r>
          </w:p>
        </w:tc>
        <w:tc>
          <w:tcPr>
            <w:tcW w:w="1466" w:type="dxa"/>
            <w:tcBorders>
              <w:left w:val="single" w:sz="4" w:space="0" w:color="DF2F1E"/>
              <w:right w:val="nil"/>
            </w:tcBorders>
          </w:tcPr>
          <w:p>
            <w:pPr>
              <w:pStyle w:val="TableParagraph"/>
              <w:ind w:left="641"/>
              <w:rPr>
                <w:sz w:val="16"/>
              </w:rPr>
            </w:pPr>
            <w:r>
              <w:rPr>
                <w:color w:val="404040"/>
                <w:sz w:val="16"/>
              </w:rPr>
              <w:t>+5</w:t>
            </w:r>
          </w:p>
        </w:tc>
        <w:tc>
          <w:tcPr>
            <w:tcW w:w="1336" w:type="dxa"/>
            <w:tcBorders>
              <w:left w:val="nil"/>
              <w:right w:val="nil"/>
            </w:tcBorders>
          </w:tcPr>
          <w:p>
            <w:pPr>
              <w:pStyle w:val="TableParagraph"/>
              <w:ind w:left="617"/>
              <w:rPr>
                <w:sz w:val="16"/>
              </w:rPr>
            </w:pPr>
            <w:r>
              <w:rPr>
                <w:color w:val="404040"/>
                <w:sz w:val="16"/>
              </w:rPr>
              <w:t>-4</w:t>
            </w:r>
          </w:p>
        </w:tc>
        <w:tc>
          <w:tcPr>
            <w:tcW w:w="1314" w:type="dxa"/>
            <w:tcBorders>
              <w:left w:val="nil"/>
              <w:right w:val="nil"/>
            </w:tcBorders>
          </w:tcPr>
          <w:p>
            <w:pPr>
              <w:pStyle w:val="TableParagraph"/>
              <w:ind w:left="540" w:right="502"/>
              <w:jc w:val="center"/>
              <w:rPr>
                <w:sz w:val="16"/>
              </w:rPr>
            </w:pPr>
            <w:r>
              <w:rPr>
                <w:color w:val="404040"/>
                <w:sz w:val="16"/>
              </w:rPr>
              <w:t>-35</w:t>
            </w:r>
          </w:p>
        </w:tc>
      </w:tr>
      <w:tr>
        <w:trPr>
          <w:trHeight w:val="263" w:hRule="atLeast"/>
        </w:trPr>
        <w:tc>
          <w:tcPr>
            <w:tcW w:w="2750" w:type="dxa"/>
            <w:tcBorders>
              <w:left w:val="nil"/>
              <w:bottom w:val="single" w:sz="4" w:space="0" w:color="FFFFFF"/>
              <w:right w:val="single" w:sz="4" w:space="0" w:color="DF2F1E"/>
            </w:tcBorders>
            <w:shd w:val="clear" w:color="auto" w:fill="F4C9C9"/>
          </w:tcPr>
          <w:p>
            <w:pPr>
              <w:pStyle w:val="TableParagraph"/>
              <w:ind w:left="112"/>
              <w:rPr>
                <w:i/>
                <w:sz w:val="16"/>
              </w:rPr>
            </w:pPr>
            <w:r>
              <w:rPr>
                <w:i/>
                <w:color w:val="404040"/>
                <w:sz w:val="16"/>
              </w:rPr>
              <w:t>Total non-welfare recipients</w:t>
            </w:r>
          </w:p>
        </w:tc>
        <w:tc>
          <w:tcPr>
            <w:tcW w:w="1586" w:type="dxa"/>
            <w:tcBorders>
              <w:left w:val="single" w:sz="4" w:space="0" w:color="DF2F1E"/>
              <w:bottom w:val="single" w:sz="4" w:space="0" w:color="FFFFFF"/>
              <w:right w:val="single" w:sz="4" w:space="0" w:color="DF2F1E"/>
            </w:tcBorders>
            <w:shd w:val="clear" w:color="auto" w:fill="F4C9C9"/>
          </w:tcPr>
          <w:p>
            <w:pPr>
              <w:pStyle w:val="TableParagraph"/>
              <w:ind w:left="672"/>
              <w:rPr>
                <w:i/>
                <w:sz w:val="16"/>
              </w:rPr>
            </w:pPr>
            <w:r>
              <w:rPr>
                <w:i/>
                <w:color w:val="404040"/>
                <w:sz w:val="16"/>
              </w:rPr>
              <w:t>-34</w:t>
            </w:r>
          </w:p>
        </w:tc>
        <w:tc>
          <w:tcPr>
            <w:tcW w:w="1466" w:type="dxa"/>
            <w:tcBorders>
              <w:left w:val="single" w:sz="4" w:space="0" w:color="DF2F1E"/>
              <w:bottom w:val="single" w:sz="4" w:space="0" w:color="FFFFFF"/>
              <w:right w:val="nil"/>
            </w:tcBorders>
            <w:shd w:val="clear" w:color="auto" w:fill="F4C9C9"/>
          </w:tcPr>
          <w:p>
            <w:pPr>
              <w:pStyle w:val="TableParagraph"/>
              <w:ind w:left="641"/>
              <w:rPr>
                <w:i/>
                <w:sz w:val="16"/>
              </w:rPr>
            </w:pPr>
            <w:r>
              <w:rPr>
                <w:i/>
                <w:color w:val="404040"/>
                <w:sz w:val="16"/>
              </w:rPr>
              <w:t>+5</w:t>
            </w:r>
          </w:p>
        </w:tc>
        <w:tc>
          <w:tcPr>
            <w:tcW w:w="1336" w:type="dxa"/>
            <w:tcBorders>
              <w:left w:val="nil"/>
              <w:bottom w:val="single" w:sz="4" w:space="0" w:color="FFFFFF"/>
              <w:right w:val="nil"/>
            </w:tcBorders>
            <w:shd w:val="clear" w:color="auto" w:fill="F4C9C9"/>
          </w:tcPr>
          <w:p>
            <w:pPr>
              <w:pStyle w:val="TableParagraph"/>
              <w:ind w:left="617"/>
              <w:rPr>
                <w:i/>
                <w:sz w:val="16"/>
              </w:rPr>
            </w:pPr>
            <w:r>
              <w:rPr>
                <w:i/>
                <w:color w:val="404040"/>
                <w:sz w:val="16"/>
              </w:rPr>
              <w:t>-4</w:t>
            </w:r>
          </w:p>
        </w:tc>
        <w:tc>
          <w:tcPr>
            <w:tcW w:w="1314" w:type="dxa"/>
            <w:tcBorders>
              <w:left w:val="nil"/>
              <w:bottom w:val="single" w:sz="4" w:space="0" w:color="FFFFFF"/>
              <w:right w:val="nil"/>
            </w:tcBorders>
            <w:shd w:val="clear" w:color="auto" w:fill="F4C9C9"/>
          </w:tcPr>
          <w:p>
            <w:pPr>
              <w:pStyle w:val="TableParagraph"/>
              <w:ind w:left="540" w:right="502"/>
              <w:jc w:val="center"/>
              <w:rPr>
                <w:i/>
                <w:sz w:val="16"/>
              </w:rPr>
            </w:pPr>
            <w:r>
              <w:rPr>
                <w:i/>
                <w:color w:val="404040"/>
                <w:sz w:val="16"/>
              </w:rPr>
              <w:t>-35</w:t>
            </w:r>
          </w:p>
        </w:tc>
      </w:tr>
      <w:tr>
        <w:trPr>
          <w:trHeight w:val="263" w:hRule="atLeast"/>
        </w:trPr>
        <w:tc>
          <w:tcPr>
            <w:tcW w:w="2750" w:type="dxa"/>
            <w:tcBorders>
              <w:top w:val="single" w:sz="4" w:space="0" w:color="FFFFFF"/>
              <w:left w:val="nil"/>
              <w:bottom w:val="nil"/>
              <w:right w:val="single" w:sz="4" w:space="0" w:color="DF2F1E"/>
            </w:tcBorders>
            <w:shd w:val="clear" w:color="auto" w:fill="DF2528"/>
          </w:tcPr>
          <w:p>
            <w:pPr>
              <w:pStyle w:val="TableParagraph"/>
              <w:spacing w:before="34"/>
              <w:ind w:left="112"/>
              <w:rPr>
                <w:b/>
                <w:sz w:val="16"/>
              </w:rPr>
            </w:pPr>
            <w:r>
              <w:rPr>
                <w:b/>
                <w:color w:val="FFFFFF"/>
                <w:sz w:val="16"/>
              </w:rPr>
              <w:t>Australian resident population</w:t>
            </w:r>
          </w:p>
        </w:tc>
        <w:tc>
          <w:tcPr>
            <w:tcW w:w="1586" w:type="dxa"/>
            <w:tcBorders>
              <w:top w:val="single" w:sz="4" w:space="0" w:color="FFFFFF"/>
              <w:left w:val="single" w:sz="4" w:space="0" w:color="DF2F1E"/>
              <w:bottom w:val="nil"/>
              <w:right w:val="nil"/>
            </w:tcBorders>
            <w:shd w:val="clear" w:color="auto" w:fill="DF2528"/>
          </w:tcPr>
          <w:p>
            <w:pPr>
              <w:pStyle w:val="TableParagraph"/>
              <w:spacing w:before="34"/>
              <w:ind w:left="672"/>
              <w:rPr>
                <w:b/>
                <w:sz w:val="16"/>
              </w:rPr>
            </w:pPr>
            <w:r>
              <w:rPr>
                <w:b/>
                <w:color w:val="FFFFFF"/>
                <w:sz w:val="16"/>
              </w:rPr>
              <w:t>-29</w:t>
            </w:r>
          </w:p>
        </w:tc>
        <w:tc>
          <w:tcPr>
            <w:tcW w:w="1466" w:type="dxa"/>
            <w:tcBorders>
              <w:top w:val="single" w:sz="4" w:space="0" w:color="FFFFFF"/>
              <w:left w:val="nil"/>
              <w:bottom w:val="nil"/>
              <w:right w:val="nil"/>
            </w:tcBorders>
            <w:shd w:val="clear" w:color="auto" w:fill="DF2528"/>
          </w:tcPr>
          <w:p>
            <w:pPr>
              <w:pStyle w:val="TableParagraph"/>
              <w:spacing w:before="34"/>
              <w:ind w:left="646"/>
              <w:rPr>
                <w:b/>
                <w:sz w:val="16"/>
              </w:rPr>
            </w:pPr>
            <w:r>
              <w:rPr>
                <w:b/>
                <w:color w:val="FFFFFF"/>
                <w:sz w:val="16"/>
              </w:rPr>
              <w:t>+5</w:t>
            </w:r>
          </w:p>
        </w:tc>
        <w:tc>
          <w:tcPr>
            <w:tcW w:w="1336" w:type="dxa"/>
            <w:tcBorders>
              <w:top w:val="single" w:sz="4" w:space="0" w:color="FFFFFF"/>
              <w:left w:val="nil"/>
              <w:bottom w:val="nil"/>
              <w:right w:val="nil"/>
            </w:tcBorders>
            <w:shd w:val="clear" w:color="auto" w:fill="DF2528"/>
          </w:tcPr>
          <w:p>
            <w:pPr>
              <w:pStyle w:val="TableParagraph"/>
              <w:spacing w:before="34"/>
              <w:ind w:left="617"/>
              <w:rPr>
                <w:b/>
                <w:sz w:val="16"/>
              </w:rPr>
            </w:pPr>
            <w:r>
              <w:rPr>
                <w:b/>
                <w:color w:val="FFFFFF"/>
                <w:sz w:val="16"/>
              </w:rPr>
              <w:t>-4</w:t>
            </w:r>
          </w:p>
        </w:tc>
        <w:tc>
          <w:tcPr>
            <w:tcW w:w="1314" w:type="dxa"/>
            <w:tcBorders>
              <w:top w:val="single" w:sz="4" w:space="0" w:color="FFFFFF"/>
              <w:left w:val="nil"/>
              <w:bottom w:val="nil"/>
              <w:right w:val="nil"/>
            </w:tcBorders>
            <w:shd w:val="clear" w:color="auto" w:fill="DF2528"/>
          </w:tcPr>
          <w:p>
            <w:pPr>
              <w:pStyle w:val="TableParagraph"/>
              <w:spacing w:before="34"/>
              <w:ind w:left="540" w:right="502"/>
              <w:jc w:val="center"/>
              <w:rPr>
                <w:b/>
                <w:sz w:val="16"/>
              </w:rPr>
            </w:pPr>
            <w:r>
              <w:rPr>
                <w:b/>
                <w:color w:val="FFFFFF"/>
                <w:sz w:val="16"/>
              </w:rPr>
              <w:t>-31</w:t>
            </w:r>
          </w:p>
        </w:tc>
      </w:tr>
    </w:tbl>
    <w:p>
      <w:pPr>
        <w:spacing w:before="87"/>
        <w:ind w:left="900" w:right="1513" w:firstLine="0"/>
        <w:jc w:val="left"/>
        <w:rPr>
          <w:sz w:val="16"/>
        </w:rPr>
      </w:pPr>
      <w:r>
        <w:rPr>
          <w:color w:val="DF2F1E"/>
          <w:sz w:val="16"/>
        </w:rPr>
        <w:t>All changes shown in the table above are relative to the rebased June 2017 results, which allows for external change of reducing the discount rate from 6% to 5%.</w:t>
      </w:r>
    </w:p>
    <w:p>
      <w:pPr>
        <w:pStyle w:val="BodyText"/>
        <w:spacing w:line="242" w:lineRule="auto" w:before="120"/>
        <w:ind w:left="900" w:right="1531"/>
      </w:pPr>
      <w:r>
        <w:rPr>
          <w:color w:val="404040"/>
        </w:rPr>
        <w:t>The decrease was driven by a 15.7% decrease in the estimated average lifetime cost per person, partially offset by a 2.8% increase in the population in these classes.</w:t>
      </w:r>
    </w:p>
    <w:p>
      <w:pPr>
        <w:spacing w:before="114"/>
        <w:ind w:left="900" w:right="0" w:firstLine="0"/>
        <w:jc w:val="left"/>
        <w:rPr>
          <w:b/>
          <w:sz w:val="20"/>
        </w:rPr>
      </w:pPr>
      <w:r>
        <w:rPr>
          <w:color w:val="404040"/>
          <w:sz w:val="20"/>
        </w:rPr>
        <w:t>At this valuation, the estimated total lifetime cost for </w:t>
      </w:r>
      <w:r>
        <w:rPr>
          <w:b/>
          <w:color w:val="404040"/>
          <w:sz w:val="20"/>
        </w:rPr>
        <w:t>current welfare recipients </w:t>
      </w:r>
      <w:r>
        <w:rPr>
          <w:color w:val="404040"/>
          <w:sz w:val="20"/>
        </w:rPr>
        <w:t>(classes 1 to 9) </w:t>
      </w:r>
      <w:r>
        <w:rPr>
          <w:b/>
          <w:color w:val="404040"/>
          <w:sz w:val="20"/>
        </w:rPr>
        <w:t>decreased by</w:t>
      </w:r>
    </w:p>
    <w:p>
      <w:pPr>
        <w:pStyle w:val="BodyText"/>
        <w:spacing w:line="242" w:lineRule="auto" w:before="1"/>
        <w:ind w:left="899" w:right="1787"/>
      </w:pPr>
      <w:r>
        <w:rPr>
          <w:b/>
          <w:color w:val="404040"/>
        </w:rPr>
        <w:t>$160bn. </w:t>
      </w:r>
      <w:r>
        <w:rPr>
          <w:color w:val="404040"/>
        </w:rPr>
        <w:t>This increase was made up of a 1.1% reduction in the population in these classes and a 5.0% decrease in the estimated average lifetime cost per person.</w:t>
      </w:r>
    </w:p>
    <w:p>
      <w:pPr>
        <w:pStyle w:val="BodyText"/>
        <w:spacing w:before="118"/>
        <w:ind w:left="899" w:right="1354"/>
      </w:pPr>
      <w:r>
        <w:rPr>
          <w:color w:val="404040"/>
        </w:rPr>
        <w:t>The decreases in the estimated average lifetime cost per person can largely be attributed to lower projected</w:t>
      </w:r>
      <w:bookmarkStart w:name="5.4 Changes since the baseline valuation" w:id="148"/>
      <w:bookmarkEnd w:id="148"/>
      <w:r>
        <w:rPr>
          <w:color w:val="404040"/>
        </w:rPr>
      </w:r>
      <w:bookmarkStart w:name="_bookmark37" w:id="149"/>
      <w:bookmarkEnd w:id="149"/>
      <w:r>
        <w:rPr>
          <w:color w:val="404040"/>
        </w:rPr>
      </w:r>
      <w:r>
        <w:rPr>
          <w:color w:val="404040"/>
        </w:rPr>
        <w:t> utilisation of welfare, in response to the update for recent experience.</w:t>
      </w:r>
    </w:p>
    <w:p>
      <w:pPr>
        <w:pStyle w:val="BodyText"/>
        <w:spacing w:before="8"/>
      </w:pPr>
    </w:p>
    <w:p>
      <w:pPr>
        <w:pStyle w:val="ListParagraph"/>
        <w:numPr>
          <w:ilvl w:val="1"/>
          <w:numId w:val="22"/>
        </w:numPr>
        <w:tabs>
          <w:tab w:pos="1752" w:val="left" w:leader="none"/>
          <w:tab w:pos="1753" w:val="left" w:leader="none"/>
        </w:tabs>
        <w:spacing w:line="240" w:lineRule="auto" w:before="0" w:after="0"/>
        <w:ind w:left="1752" w:right="0" w:hanging="853"/>
        <w:jc w:val="left"/>
        <w:rPr>
          <w:sz w:val="28"/>
        </w:rPr>
      </w:pPr>
      <w:r>
        <w:rPr>
          <w:color w:val="DF2F28"/>
          <w:sz w:val="28"/>
        </w:rPr>
        <w:t>Changes since the baseline</w:t>
      </w:r>
      <w:r>
        <w:rPr>
          <w:color w:val="DF2F28"/>
          <w:spacing w:val="-7"/>
          <w:sz w:val="28"/>
        </w:rPr>
        <w:t> </w:t>
      </w:r>
      <w:r>
        <w:rPr>
          <w:color w:val="DF2F28"/>
          <w:sz w:val="28"/>
        </w:rPr>
        <w:t>valuation</w:t>
      </w:r>
    </w:p>
    <w:p>
      <w:pPr>
        <w:pStyle w:val="BodyText"/>
        <w:spacing w:before="123"/>
        <w:ind w:left="900" w:right="1053"/>
      </w:pPr>
      <w:r>
        <w:rPr>
          <w:color w:val="404040"/>
        </w:rPr>
        <w:t>This is the third valuation since the baseline valuation. The figure below shows the cumulative movement in the estimated lifetime cost since the baseline valuation.</w:t>
      </w:r>
    </w:p>
    <w:p>
      <w:pPr>
        <w:pStyle w:val="BodyText"/>
        <w:spacing w:before="118"/>
        <w:ind w:left="899" w:right="1076"/>
      </w:pPr>
      <w:r>
        <w:rPr>
          <w:color w:val="404040"/>
        </w:rPr>
        <w:t>Typically, we would expect the estimated lifetime cost to increase from year to year due to general population growth and inflation. However, the changes in the lifetime cost may also vary each year due to model changes, policy changes, and changes in welfare utilisation and experience. These are discussed in detail in the following section.</w:t>
      </w:r>
    </w:p>
    <w:p>
      <w:pPr>
        <w:spacing w:after="0"/>
        <w:sectPr>
          <w:pgSz w:w="11910" w:h="16850"/>
          <w:pgMar w:header="572" w:footer="581" w:top="780" w:bottom="780" w:left="120" w:right="0"/>
        </w:sectPr>
      </w:pPr>
    </w:p>
    <w:p>
      <w:pPr>
        <w:pStyle w:val="BodyText"/>
      </w:pPr>
    </w:p>
    <w:p>
      <w:pPr>
        <w:pStyle w:val="BodyText"/>
      </w:pPr>
    </w:p>
    <w:p>
      <w:pPr>
        <w:pStyle w:val="BodyText"/>
        <w:spacing w:before="5"/>
        <w:rPr>
          <w:sz w:val="21"/>
        </w:rPr>
      </w:pPr>
    </w:p>
    <w:p>
      <w:pPr>
        <w:pStyle w:val="Heading9"/>
      </w:pPr>
      <w:r>
        <w:rPr>
          <w:color w:val="DF2F1E"/>
        </w:rPr>
        <w:t>Figure 39: Changes since the baseline valuation</w:t>
      </w:r>
    </w:p>
    <w:p>
      <w:pPr>
        <w:pStyle w:val="BodyText"/>
        <w:rPr>
          <w:b/>
          <w:sz w:val="10"/>
        </w:rPr>
      </w:pPr>
    </w:p>
    <w:p>
      <w:pPr>
        <w:spacing w:before="0"/>
        <w:ind w:left="1268" w:right="0" w:firstLine="0"/>
        <w:jc w:val="left"/>
        <w:rPr>
          <w:rFonts w:ascii="Calibri"/>
          <w:sz w:val="10"/>
        </w:rPr>
      </w:pPr>
      <w:r>
        <w:rPr/>
        <w:pict>
          <v:line style="position:absolute;mso-position-horizontal-relative:page;mso-position-vertical-relative:paragraph;z-index:252103680" from="94.508163pt,3.060298pt" to="544.466054pt,3.060298pt" stroked="true" strokeweight=".280620pt" strokecolor="#d9d9d9">
            <v:stroke dashstyle="solid"/>
            <w10:wrap type="none"/>
          </v:line>
        </w:pict>
      </w:r>
      <w:r>
        <w:rPr>
          <w:rFonts w:ascii="Calibri"/>
          <w:w w:val="105"/>
          <w:sz w:val="10"/>
        </w:rPr>
        <w:t>$7,000bn</w:t>
      </w:r>
    </w:p>
    <w:p>
      <w:pPr>
        <w:pStyle w:val="BodyText"/>
        <w:spacing w:before="8"/>
        <w:rPr>
          <w:rFonts w:ascii="Calibri"/>
          <w:sz w:val="29"/>
        </w:rPr>
      </w:pPr>
    </w:p>
    <w:p>
      <w:pPr>
        <w:spacing w:before="85"/>
        <w:ind w:left="1268" w:right="0" w:firstLine="0"/>
        <w:jc w:val="left"/>
        <w:rPr>
          <w:rFonts w:ascii="Calibri"/>
          <w:sz w:val="10"/>
        </w:rPr>
      </w:pPr>
      <w:r>
        <w:rPr/>
        <w:pict>
          <v:group style="position:absolute;margin-left:94.367729pt;margin-top:3.958443pt;width:450.25pt;height:191.1pt;mso-position-horizontal-relative:page;mso-position-vertical-relative:paragraph;z-index:252102656" coordorigin="1887,79" coordsize="9005,3822">
            <v:shape style="position:absolute;left:1890;top:2427;width:9000;height:2" coordorigin="1890,2428" coordsize="9000,0" path="m10797,2428l10889,2428m8151,2428l10448,2428m7095,2428l7797,2428m4977,2428l6741,2428m2331,2428l4623,2428m1890,2428l1977,2428e" filled="false" stroked="true" strokeweight=".280620pt" strokecolor="#d9d9d9">
              <v:path arrowok="t"/>
              <v:stroke dashstyle="solid"/>
            </v:shape>
            <v:rect style="position:absolute;left:1977;top:2127;width:354;height:870" filled="true" fillcolor="#94b3d6" stroked="false">
              <v:fill type="solid"/>
            </v:rect>
            <v:shape style="position:absolute;left:2505;top:2997;width:1944;height:2" coordorigin="2505,2998" coordsize="1944,0" path="m2505,2998l2859,2998m3033,2998l3387,2998m3561,2998l3915,2998m4095,2998l4449,2998e" filled="false" stroked="true" strokeweight=".00063pt" strokecolor="#94b3d6">
              <v:path arrowok="t"/>
              <v:stroke dashstyle="solid"/>
            </v:shape>
            <v:rect style="position:absolute;left:4623;top:2408;width:354;height:590" filled="true" fillcolor="#94b3d6" stroked="false">
              <v:fill type="solid"/>
            </v:rect>
            <v:shape style="position:absolute;left:5151;top:2997;width:1416;height:2" coordorigin="5151,2998" coordsize="1416,0" path="m5151,2998l5505,2998m5679,2998l6033,2998m6213,2998l6567,2998e" filled="false" stroked="true" strokeweight=".00063pt" strokecolor="#94b3d6">
              <v:path arrowok="t"/>
              <v:stroke dashstyle="solid"/>
            </v:shape>
            <v:rect style="position:absolute;left:6740;top:2223;width:354;height:775" filled="true" fillcolor="#94b3d6" stroked="false">
              <v:fill type="solid"/>
            </v:rect>
            <v:line style="position:absolute" from="7269,2998" to="7623,2998" stroked="true" strokeweight=".00063pt" strokecolor="#94b3d6">
              <v:stroke dashstyle="solid"/>
            </v:line>
            <v:shape style="position:absolute;left:7622;top:716;width:2826;height:1140" coordorigin="7623,716" coordsize="2826,1140" path="m8151,1855l10448,1855m7623,1855l7797,1855m8151,1289l10448,1289m7623,1289l7797,1289m8151,716l9387,716m7623,716l7797,716e" filled="false" stroked="true" strokeweight=".280620pt" strokecolor="#d9d9d9">
              <v:path arrowok="t"/>
              <v:stroke dashstyle="solid"/>
            </v:shape>
            <v:rect style="position:absolute;left:7796;top:376;width:354;height:2621" filled="true" fillcolor="#94b3d6" stroked="false">
              <v:fill type="solid"/>
            </v:rect>
            <v:shape style="position:absolute;left:8330;top:2997;width:1939;height:2" coordorigin="8331,2998" coordsize="1939,0" path="m8331,2998l8679,2998m8859,2998l9212,2998m9387,2998l9741,2998m9915,2998l10269,2998e" filled="false" stroked="true" strokeweight=".00063pt" strokecolor="#94b3d6">
              <v:path arrowok="t"/>
              <v:stroke dashstyle="solid"/>
            </v:shape>
            <v:shape style="position:absolute;left:10796;top:1288;width:93;height:567" coordorigin="10797,1289" coordsize="93,567" path="m10797,1855l10889,1855m10797,1289l10889,1289e" filled="false" stroked="true" strokeweight=".280620pt" strokecolor="#d9d9d9">
              <v:path arrowok="t"/>
              <v:stroke dashstyle="solid"/>
            </v:shape>
            <v:rect style="position:absolute;left:10448;top:1100;width:349;height:1897" filled="true" fillcolor="#94b3d6" stroked="false">
              <v:fill type="solid"/>
            </v:rect>
            <v:line style="position:absolute" from="2505,2072" to="2859,2072" stroked="true" strokeweight="5.61225pt" strokecolor="#d99593">
              <v:stroke dashstyle="solid"/>
            </v:line>
            <v:rect style="position:absolute;left:5151;top:2178;width:354;height:231" filled="true" fillcolor="#d99593" stroked="false">
              <v:fill type="solid"/>
            </v:rect>
            <v:shape style="position:absolute;left:1890;top:716;width:5379;height:1140" coordorigin="1890,716" coordsize="5379,1140" path="m1890,1855l7269,1855m1890,1289l7269,1289m1890,716l7269,716e" filled="false" stroked="true" strokeweight=".280620pt" strokecolor="#d9d9d9">
              <v:path arrowok="t"/>
              <v:stroke dashstyle="solid"/>
            </v:shape>
            <v:rect style="position:absolute;left:7268;top:376;width:354;height:1847" filled="true" fillcolor="#d99593" stroked="false">
              <v:fill type="solid"/>
            </v:rect>
            <v:shape style="position:absolute;left:1890;top:149;width:7497;height:2" coordorigin="1890,149" coordsize="7497,0" path="m8679,149l9387,149m1890,149l8331,149e" filled="false" stroked="true" strokeweight=".280620pt" strokecolor="#d9d9d9">
              <v:path arrowok="t"/>
              <v:stroke dashstyle="solid"/>
            </v:shape>
            <v:rect style="position:absolute;left:8330;top:84;width:349;height:292" filled="true" fillcolor="#d99593" stroked="false">
              <v:fill type="solid"/>
            </v:rect>
            <v:rect style="position:absolute;left:3033;top:2015;width:354;height:208" filled="true" fillcolor="#c3d59b" stroked="false">
              <v:fill type="solid"/>
            </v:rect>
            <v:line style="position:absolute" from="3561,2237" to="3915,2237" stroked="true" strokeweight="1.403056pt" strokecolor="#c3d59b">
              <v:stroke dashstyle="solid"/>
            </v:line>
            <v:rect style="position:absolute;left:4095;top:2251;width:354;height:163" filled="true" fillcolor="#c3d59b" stroked="false">
              <v:fill type="solid"/>
            </v:rect>
            <v:line style="position:absolute" from="5679,2181" to="6033,2181" stroked="true" strokeweight=".280614pt" strokecolor="#c3d59b">
              <v:stroke dashstyle="solid"/>
            </v:line>
            <v:line style="position:absolute" from="6213,2203" to="6567,2203" stroked="true" strokeweight="1.964297pt" strokecolor="#c3d59b">
              <v:stroke dashstyle="solid"/>
            </v:line>
            <v:line style="position:absolute" from="8859,82" to="9213,82" stroked="true" strokeweight=".280614pt" strokecolor="#c3d59b">
              <v:stroke dashstyle="solid"/>
            </v:line>
            <v:shape style="position:absolute;left:9740;top:149;width:1149;height:567" coordorigin="9741,149" coordsize="1149,567" path="m9741,716l10889,716m9741,149l10889,149e" filled="false" stroked="true" strokeweight=".280620pt" strokecolor="#d9d9d9">
              <v:path arrowok="t"/>
              <v:stroke dashstyle="solid"/>
            </v:shape>
            <v:rect style="position:absolute;left:9386;top:84;width:354;height:910" filled="true" fillcolor="#c3d59b" stroked="false">
              <v:fill type="solid"/>
            </v:rect>
            <v:line style="position:absolute" from="9915,1047" to="10269,1047" stroked="true" strokeweight="5.331651pt" strokecolor="#c3d59b">
              <v:stroke dashstyle="solid"/>
            </v:line>
            <v:shape style="position:absolute;left:0;top:-289;width:654895;height:14717" coordorigin="0,-289" coordsize="654895,14717" path="m1890,2995l10889,2995m1890,2995l1890,3028m1890,2995l1890,3197m2418,2995l2418,3028m2418,2995l2418,3197m2946,2995l2946,3028m2946,2995l2946,3197m3474,2995l3474,3028m3474,2995l3474,3197m4008,2995l4008,3028m4008,2995l4008,3197m4536,2995l4536,3028m4536,2995l4536,3197m5064,2995l5064,3028m5064,2995l5064,3197m5592,2995l5592,3028m5592,2995l5592,3197m6120,2995l6120,3028m6120,2995l6120,3197m6654,2995l6654,3028m6654,2995l6654,3197m7182,2995l7182,3028m7182,2995l7182,3197m7710,2995l7710,3028m7710,2995l7710,3197m8238,2995l8238,3028m8238,2995l8238,3197m8772,2995l8772,3028m8772,2995l8772,3197m9300,2995l9300,3028m9300,2995l9300,3197m9828,2995l9828,3028m9828,2995l9828,3197m10356,2995l10356,3028m10356,2995l10356,3197m10889,2995l10889,3028m10889,2995l10889,3197e" filled="false" stroked="true" strokeweight=".280744pt" strokecolor="#d9d9d9">
              <v:path arrowok="t"/>
              <v:stroke dashstyle="solid"/>
            </v:shape>
            <v:shape style="position:absolute;left:0;top:-18614;width:653493;height:33042" coordorigin="0,-18614" coordsize="653493,33042" path="m1890,3197l1890,3651m2418,3197l2418,3651m2946,3197l2946,3651m3474,3197l3474,3651m4008,3197l4008,3651m4536,3197l4536,3651m5064,3197l5064,3651m5592,3197l5592,3651m6120,3197l6120,3651m6654,3197l6654,3651m7182,3197l7182,3651m7710,3197l7710,3651m8238,3197l8238,3651m8772,3197l8772,3651m9300,3197l9300,3651m9828,3197l9828,3651m10356,3197l10356,3651m10889,3197l10889,3651e" filled="false" stroked="true" strokeweight=".280741pt" strokecolor="#d9d9d9">
              <v:path arrowok="t"/>
              <v:stroke dashstyle="solid"/>
            </v:shape>
            <v:shape style="position:absolute;left:0;top:-289;width:654895;height:14717" coordorigin="0,-289" coordsize="654895,14717" path="m1890,3651l1890,3853m2418,3651l2418,3853m4536,3651l4536,3853m5064,3651l5064,3853m6654,3651l6654,3853m7182,3651l7182,3853m7710,3651l7710,3853m8238,3651l8238,3853m10356,3651l10356,3853m10889,3651l10889,3853e" filled="false" stroked="true" strokeweight=".280744pt" strokecolor="#d9d9d9">
              <v:path arrowok="t"/>
              <v:stroke dashstyle="solid"/>
            </v:shape>
            <v:shape style="position:absolute;left:0;top:4069;width:636352;height:150419" coordorigin="0,4070" coordsize="636352,150419" path="m2154,2125l2682,2125m3738,2254l4272,2254m5328,2181l5856,2181m7446,379l7974,379m9564,991l10092,991e" filled="false" stroked="true" strokeweight=".280745pt" strokecolor="#7e7e7e">
              <v:path arrowok="t"/>
              <v:stroke dashstyle="solid"/>
            </v:shape>
            <v:shape style="position:absolute;left:0;top:-17397;width:633805;height:162262" coordorigin="0,-17397" coordsize="633805,162262" path="m2682,2013l3210,2013m4272,2411l4800,2411m5856,2187l6390,2187m7974,379l8508,379m10092,1103l10625,1103e" filled="false" stroked="true" strokeweight=".280746pt" strokecolor="#7e7e7e">
              <v:path arrowok="t"/>
              <v:stroke dashstyle="solid"/>
            </v:shape>
            <v:shape style="position:absolute;left:0;top:-4026;width:613834;height:225236" coordorigin="0,-4025" coordsize="613834,225236" path="m3210,2220l3738,2220m4800,2411l5328,2411m6390,2220l6918,2220,7446,2220m8508,82l9036,82,9564,82e" filled="false" stroked="true" strokeweight=".280746pt" strokecolor="#7e7e7e">
              <v:path arrowok="t"/>
              <v:stroke dashstyle="solid"/>
            </v:shape>
            <v:shape style="position:absolute;left:2477;top:3693;width:4124;height:197" coordorigin="2477,3693" coordsize="4124,197" path="m4471,3726l4469,3713,4462,3703,4451,3696,4439,3693,2510,3693,2497,3696,2487,3703,2480,3713,2477,3726,2477,3857,2480,3870,2487,3880,2497,3887,2510,3890,4439,3890,4451,3887,4462,3880,4469,3870,4471,3857,4471,3726m6600,3726l6598,3713,6591,3703,6580,3696,6568,3693,5145,3693,5132,3696,5121,3703,5114,3713,5112,3726,5112,3857,5114,3870,5121,3880,5132,3887,5145,3890,6568,3890,6580,3887,6591,3880,6598,3870,6600,3857,6600,3726e" filled="true" fillcolor="#a6a6a6" stroked="false">
              <v:path arrowok="t"/>
              <v:fill opacity="25442f" type="solid"/>
            </v:shape>
            <v:shape style="position:absolute;left:1949;top:3693;width:5191;height:197" coordorigin="1949,3693" coordsize="5191,197" path="m2365,3726l2362,3713,2355,3703,2345,3696,2332,3693,1982,3693,1969,3696,1959,3703,1952,3713,1949,3726,1949,3857,1952,3870,1959,3880,1969,3887,1982,3890,2332,3890,2345,3887,2355,3880,2362,3870,2365,3857,2365,3726m4994,3726l4991,3713,4984,3703,4974,3696,4961,3693,4605,3693,4593,3696,4582,3703,4575,3713,4572,3726,4572,3857,4575,3870,4582,3880,4593,3887,4605,3890,4961,3890,4974,3887,4984,3880,4991,3870,4994,3857,4994,3726m7140,3726l7137,3713,7130,3703,7120,3696,7107,3693,6751,3693,6738,3696,6728,3703,6721,3713,6718,3726,6718,3857,6721,3870,6728,3880,6738,3887,6751,3890,7107,3890,7120,3887,7130,3880,7137,3870,7140,3857,7140,3726e" filled="true" fillcolor="#94b3d6" stroked="false">
              <v:path arrowok="t"/>
              <v:fill opacity="25442f" type="solid"/>
            </v:shape>
            <v:shape style="position:absolute;left:8285;top:3693;width:2040;height:197" coordorigin="8286,3693" coordsize="2040,197" path="m10292,3890l8318,3890,8306,3887,8295,3880,8288,3870,8286,3857,8286,3726,8288,3713,8295,3703,8306,3696,8318,3693,10292,3693,10305,3696,10315,3703,10322,3713,10325,3726,10325,3857,10322,3870,10315,3880,10305,3887,10292,3890xe" filled="true" fillcolor="#a6a6a6" stroked="false">
              <v:path arrowok="t"/>
              <v:fill opacity="25442f" type="solid"/>
            </v:shape>
            <v:shape style="position:absolute;left:7785;top:3693;width:3051;height:197" coordorigin="7786,3693" coordsize="3051,197" path="m8207,3726l8204,3713,8197,3703,8187,3696,8174,3693,7818,3693,7806,3696,7795,3703,7788,3713,7786,3726,7786,3857,7788,3870,7795,3880,7806,3887,7818,3890,8174,3890,8187,3887,8197,3880,8204,3870,8207,3857,8207,3726m10836,3726l10833,3713,10826,3703,10816,3696,10803,3693,10447,3693,10435,3696,10424,3703,10417,3713,10415,3726,10415,3857,10417,3870,10424,3880,10435,3887,10447,3890,10803,3890,10816,3887,10826,3880,10833,3870,10836,3857,10836,3726e" filled="true" fillcolor="#94b3d6" stroked="false">
              <v:path arrowok="t"/>
              <v:fill opacity="25442f" type="solid"/>
            </v:shape>
            <v:shape style="position:absolute;left:7240;top:3699;width:444;height:203" coordorigin="7241,3699" coordsize="444,203" path="m7651,3901l7274,3901,7261,3898,7251,3891,7243,3881,7241,3867,7241,3733,7243,3720,7251,3709,7261,3702,7274,3699,7651,3699,7664,3702,7675,3709,7682,3720,7685,3733,7685,3867,7682,3881,7675,3891,7664,3898,7651,3901xe" filled="true" fillcolor="#a6a6a6" stroked="false">
              <v:path arrowok="t"/>
              <v:fill opacity="25442f" type="solid"/>
            </v:shape>
            <v:shape style="position:absolute;left:1936;top:3083;width:8910;height:307" type="#_x0000_t202" filled="false" stroked="false">
              <v:textbox inset="0,0,0,0">
                <w:txbxContent>
                  <w:p>
                    <w:pPr>
                      <w:tabs>
                        <w:tab w:pos="1653" w:val="left" w:leader="none"/>
                        <w:tab w:pos="3797" w:val="left" w:leader="none"/>
                        <w:tab w:pos="4300" w:val="left" w:leader="none"/>
                        <w:tab w:pos="6973" w:val="left" w:leader="none"/>
                        <w:tab w:pos="7450" w:val="left" w:leader="none"/>
                        <w:tab w:pos="8006" w:val="left" w:leader="none"/>
                      </w:tabs>
                      <w:spacing w:line="107" w:lineRule="exact" w:before="0"/>
                      <w:ind w:left="14" w:right="0" w:firstLine="0"/>
                      <w:jc w:val="left"/>
                      <w:rPr>
                        <w:rFonts w:ascii="Calibri"/>
                        <w:sz w:val="10"/>
                      </w:rPr>
                    </w:pPr>
                    <w:r>
                      <w:rPr>
                        <w:rFonts w:ascii="Calibri"/>
                        <w:w w:val="105"/>
                        <w:sz w:val="10"/>
                      </w:rPr>
                      <w:t>$4,764bn     </w:t>
                    </w:r>
                    <w:r>
                      <w:rPr>
                        <w:rFonts w:ascii="Calibri"/>
                        <w:spacing w:val="19"/>
                        <w:w w:val="105"/>
                        <w:sz w:val="10"/>
                      </w:rPr>
                      <w:t> </w:t>
                    </w:r>
                    <w:r>
                      <w:rPr>
                        <w:rFonts w:ascii="Calibri"/>
                        <w:w w:val="105"/>
                        <w:sz w:val="10"/>
                      </w:rPr>
                      <w:t>+$97bn      </w:t>
                    </w:r>
                    <w:r>
                      <w:rPr>
                        <w:rFonts w:ascii="Calibri"/>
                        <w:spacing w:val="23"/>
                        <w:w w:val="105"/>
                        <w:sz w:val="10"/>
                      </w:rPr>
                      <w:t> </w:t>
                    </w:r>
                    <w:r>
                      <w:rPr>
                        <w:rFonts w:ascii="Calibri"/>
                        <w:w w:val="105"/>
                        <w:sz w:val="10"/>
                      </w:rPr>
                      <w:t>-$181bn</w:t>
                      <w:tab/>
                      <w:t>-$28bn      </w:t>
                    </w:r>
                    <w:r>
                      <w:rPr>
                        <w:rFonts w:ascii="Calibri"/>
                        <w:spacing w:val="23"/>
                        <w:w w:val="105"/>
                        <w:sz w:val="10"/>
                      </w:rPr>
                      <w:t> </w:t>
                    </w:r>
                    <w:r>
                      <w:rPr>
                        <w:rFonts w:ascii="Calibri"/>
                        <w:w w:val="105"/>
                        <w:sz w:val="10"/>
                      </w:rPr>
                      <w:t>-$139bn     </w:t>
                    </w:r>
                    <w:r>
                      <w:rPr>
                        <w:rFonts w:ascii="Calibri"/>
                        <w:spacing w:val="15"/>
                        <w:w w:val="105"/>
                        <w:sz w:val="10"/>
                      </w:rPr>
                      <w:t> </w:t>
                    </w:r>
                    <w:r>
                      <w:rPr>
                        <w:rFonts w:ascii="Calibri"/>
                        <w:w w:val="105"/>
                        <w:sz w:val="10"/>
                      </w:rPr>
                      <w:t>$4,514bn    </w:t>
                    </w:r>
                    <w:r>
                      <w:rPr>
                        <w:rFonts w:ascii="Calibri"/>
                        <w:spacing w:val="18"/>
                        <w:w w:val="105"/>
                        <w:sz w:val="10"/>
                      </w:rPr>
                      <w:t> </w:t>
                    </w:r>
                    <w:r>
                      <w:rPr>
                        <w:rFonts w:ascii="Calibri"/>
                        <w:w w:val="105"/>
                        <w:sz w:val="10"/>
                      </w:rPr>
                      <w:t>+$202bn</w:t>
                      <w:tab/>
                      <w:t>-$4bn</w:t>
                      <w:tab/>
                      <w:t>-$31bn        $4,681bn    +$1,617bn  </w:t>
                    </w:r>
                    <w:r>
                      <w:rPr>
                        <w:rFonts w:ascii="Calibri"/>
                        <w:spacing w:val="15"/>
                        <w:w w:val="105"/>
                        <w:sz w:val="10"/>
                      </w:rPr>
                      <w:t> </w:t>
                    </w:r>
                    <w:r>
                      <w:rPr>
                        <w:rFonts w:ascii="Calibri"/>
                        <w:w w:val="105"/>
                        <w:sz w:val="10"/>
                      </w:rPr>
                      <w:t>$6,298bn    </w:t>
                    </w:r>
                    <w:r>
                      <w:rPr>
                        <w:rFonts w:ascii="Calibri"/>
                        <w:spacing w:val="18"/>
                        <w:w w:val="105"/>
                        <w:sz w:val="10"/>
                      </w:rPr>
                      <w:t> </w:t>
                    </w:r>
                    <w:r>
                      <w:rPr>
                        <w:rFonts w:ascii="Calibri"/>
                        <w:w w:val="105"/>
                        <w:sz w:val="10"/>
                      </w:rPr>
                      <w:t>+$261bn</w:t>
                      <w:tab/>
                      <w:t>-$4bn</w:t>
                      <w:tab/>
                      <w:t>-$797bn</w:t>
                      <w:tab/>
                      <w:t>-$96bn</w:t>
                    </w:r>
                    <w:r>
                      <w:rPr>
                        <w:rFonts w:ascii="Calibri"/>
                        <w:spacing w:val="8"/>
                        <w:w w:val="105"/>
                        <w:sz w:val="10"/>
                      </w:rPr>
                      <w:t> </w:t>
                    </w:r>
                    <w:r>
                      <w:rPr>
                        <w:rFonts w:ascii="Calibri"/>
                        <w:w w:val="105"/>
                        <w:sz w:val="10"/>
                      </w:rPr>
                      <w:t>$5,662bn</w:t>
                    </w:r>
                  </w:p>
                  <w:p>
                    <w:pPr>
                      <w:tabs>
                        <w:tab w:pos="1679" w:val="left" w:leader="none"/>
                      </w:tabs>
                      <w:spacing w:before="78"/>
                      <w:ind w:left="0" w:right="0" w:firstLine="0"/>
                      <w:jc w:val="left"/>
                      <w:rPr>
                        <w:rFonts w:ascii="Calibri"/>
                        <w:sz w:val="10"/>
                      </w:rPr>
                    </w:pPr>
                    <w:r>
                      <w:rPr>
                        <w:rFonts w:ascii="Calibri"/>
                        <w:w w:val="105"/>
                        <w:sz w:val="10"/>
                      </w:rPr>
                      <w:t>June 2015  </w:t>
                    </w:r>
                    <w:r>
                      <w:rPr>
                        <w:rFonts w:ascii="Calibri"/>
                        <w:spacing w:val="5"/>
                        <w:w w:val="105"/>
                        <w:sz w:val="10"/>
                      </w:rPr>
                      <w:t> </w:t>
                    </w:r>
                    <w:r>
                      <w:rPr>
                        <w:rFonts w:ascii="Calibri"/>
                        <w:w w:val="105"/>
                        <w:sz w:val="10"/>
                      </w:rPr>
                      <w:t>Population     </w:t>
                    </w:r>
                    <w:r>
                      <w:rPr>
                        <w:rFonts w:ascii="Calibri"/>
                        <w:spacing w:val="12"/>
                        <w:w w:val="105"/>
                        <w:sz w:val="10"/>
                      </w:rPr>
                      <w:t> </w:t>
                    </w:r>
                    <w:r>
                      <w:rPr>
                        <w:rFonts w:ascii="Calibri"/>
                        <w:w w:val="105"/>
                        <w:sz w:val="10"/>
                      </w:rPr>
                      <w:t>Model</w:t>
                      <w:tab/>
                      <w:t>Policy Experience June 2016</w:t>
                    </w:r>
                    <w:r>
                      <w:rPr>
                        <w:rFonts w:ascii="Calibri"/>
                        <w:spacing w:val="16"/>
                        <w:w w:val="105"/>
                        <w:sz w:val="10"/>
                      </w:rPr>
                      <w:t> </w:t>
                    </w:r>
                    <w:r>
                      <w:rPr>
                        <w:rFonts w:ascii="Calibri"/>
                        <w:w w:val="105"/>
                        <w:sz w:val="10"/>
                      </w:rPr>
                      <w:t>Population</w:t>
                    </w:r>
                  </w:p>
                </w:txbxContent>
              </v:textbox>
              <w10:wrap type="none"/>
            </v:shape>
            <v:shape style="position:absolute;left:1948;top:3411;width:431;height:107" type="#_x0000_t202" filled="false" stroked="false">
              <v:textbox inset="0,0,0,0">
                <w:txbxContent>
                  <w:p>
                    <w:pPr>
                      <w:spacing w:line="107" w:lineRule="exact" w:before="0"/>
                      <w:ind w:left="0" w:right="0" w:firstLine="0"/>
                      <w:jc w:val="left"/>
                      <w:rPr>
                        <w:rFonts w:ascii="Calibri"/>
                        <w:sz w:val="10"/>
                      </w:rPr>
                    </w:pPr>
                    <w:r>
                      <w:rPr>
                        <w:rFonts w:ascii="Calibri"/>
                        <w:w w:val="105"/>
                        <w:sz w:val="10"/>
                      </w:rPr>
                      <w:t>Valuation</w:t>
                    </w:r>
                  </w:p>
                </w:txbxContent>
              </v:textbox>
              <w10:wrap type="none"/>
            </v:shape>
            <v:shape style="position:absolute;left:2455;top:3411;width:475;height:235" type="#_x0000_t202" filled="false" stroked="false">
              <v:textbox inset="0,0,0,0">
                <w:txbxContent>
                  <w:p>
                    <w:pPr>
                      <w:spacing w:line="107" w:lineRule="exact" w:before="0"/>
                      <w:ind w:left="0" w:right="19" w:firstLine="0"/>
                      <w:jc w:val="center"/>
                      <w:rPr>
                        <w:rFonts w:ascii="Calibri"/>
                        <w:sz w:val="10"/>
                      </w:rPr>
                    </w:pPr>
                    <w:r>
                      <w:rPr>
                        <w:rFonts w:ascii="Calibri"/>
                        <w:w w:val="106"/>
                        <w:sz w:val="10"/>
                      </w:rPr>
                      <w:t>&amp;</w:t>
                    </w:r>
                  </w:p>
                  <w:p>
                    <w:pPr>
                      <w:spacing w:before="6"/>
                      <w:ind w:left="0" w:right="18" w:firstLine="0"/>
                      <w:jc w:val="center"/>
                      <w:rPr>
                        <w:rFonts w:ascii="Calibri"/>
                        <w:sz w:val="10"/>
                      </w:rPr>
                    </w:pPr>
                    <w:r>
                      <w:rPr>
                        <w:rFonts w:ascii="Calibri"/>
                        <w:w w:val="105"/>
                        <w:sz w:val="10"/>
                      </w:rPr>
                      <w:t>indexation</w:t>
                    </w:r>
                  </w:p>
                </w:txbxContent>
              </v:textbox>
              <w10:wrap type="none"/>
            </v:shape>
            <v:shape style="position:absolute;left:2972;top:3411;width:2053;height:107" type="#_x0000_t202" filled="false" stroked="false">
              <v:textbox inset="0,0,0,0">
                <w:txbxContent>
                  <w:p>
                    <w:pPr>
                      <w:spacing w:line="107" w:lineRule="exact" w:before="0"/>
                      <w:ind w:left="0" w:right="0" w:firstLine="0"/>
                      <w:jc w:val="left"/>
                      <w:rPr>
                        <w:rFonts w:ascii="Calibri"/>
                        <w:sz w:val="10"/>
                      </w:rPr>
                    </w:pPr>
                    <w:r>
                      <w:rPr>
                        <w:rFonts w:ascii="Calibri"/>
                        <w:w w:val="105"/>
                        <w:sz w:val="10"/>
                      </w:rPr>
                      <w:t>refinement changes &amp; assns Valuation</w:t>
                    </w:r>
                  </w:p>
                </w:txbxContent>
              </v:textbox>
              <w10:wrap type="none"/>
            </v:shape>
            <v:shape style="position:absolute;left:5102;top:3411;width:475;height:235" type="#_x0000_t202" filled="false" stroked="false">
              <v:textbox inset="0,0,0,0">
                <w:txbxContent>
                  <w:p>
                    <w:pPr>
                      <w:spacing w:line="107" w:lineRule="exact" w:before="0"/>
                      <w:ind w:left="0" w:right="19" w:firstLine="0"/>
                      <w:jc w:val="center"/>
                      <w:rPr>
                        <w:rFonts w:ascii="Calibri"/>
                        <w:sz w:val="10"/>
                      </w:rPr>
                    </w:pPr>
                    <w:r>
                      <w:rPr>
                        <w:rFonts w:ascii="Calibri"/>
                        <w:w w:val="106"/>
                        <w:sz w:val="10"/>
                      </w:rPr>
                      <w:t>&amp;</w:t>
                    </w:r>
                  </w:p>
                  <w:p>
                    <w:pPr>
                      <w:spacing w:before="6"/>
                      <w:ind w:left="0" w:right="18" w:firstLine="0"/>
                      <w:jc w:val="center"/>
                      <w:rPr>
                        <w:rFonts w:ascii="Calibri"/>
                        <w:sz w:val="10"/>
                      </w:rPr>
                    </w:pPr>
                    <w:r>
                      <w:rPr>
                        <w:rFonts w:ascii="Calibri"/>
                        <w:w w:val="105"/>
                        <w:sz w:val="10"/>
                      </w:rPr>
                      <w:t>indexation</w:t>
                    </w:r>
                  </w:p>
                </w:txbxContent>
              </v:textbox>
              <w10:wrap type="none"/>
            </v:shape>
            <v:shape style="position:absolute;left:5684;top:3283;width:371;height:235" type="#_x0000_t202" filled="false" stroked="false">
              <v:textbox inset="0,0,0,0">
                <w:txbxContent>
                  <w:p>
                    <w:pPr>
                      <w:spacing w:line="107" w:lineRule="exact" w:before="0"/>
                      <w:ind w:left="48" w:right="0" w:firstLine="0"/>
                      <w:jc w:val="left"/>
                      <w:rPr>
                        <w:rFonts w:ascii="Calibri"/>
                        <w:sz w:val="10"/>
                      </w:rPr>
                    </w:pPr>
                    <w:r>
                      <w:rPr>
                        <w:rFonts w:ascii="Calibri"/>
                        <w:w w:val="105"/>
                        <w:sz w:val="10"/>
                      </w:rPr>
                      <w:t>Policy</w:t>
                    </w:r>
                  </w:p>
                  <w:p>
                    <w:pPr>
                      <w:spacing w:before="6"/>
                      <w:ind w:left="0" w:right="0" w:firstLine="0"/>
                      <w:jc w:val="left"/>
                      <w:rPr>
                        <w:rFonts w:ascii="Calibri"/>
                        <w:sz w:val="10"/>
                      </w:rPr>
                    </w:pPr>
                    <w:r>
                      <w:rPr>
                        <w:rFonts w:ascii="Calibri"/>
                        <w:w w:val="105"/>
                        <w:sz w:val="10"/>
                      </w:rPr>
                      <w:t>changes</w:t>
                    </w:r>
                  </w:p>
                </w:txbxContent>
              </v:textbox>
              <w10:wrap type="none"/>
            </v:shape>
            <v:shape style="position:absolute;left:6153;top:3283;width:2607;height:107" type="#_x0000_t202" filled="false" stroked="false">
              <v:textbox inset="0,0,0,0">
                <w:txbxContent>
                  <w:p>
                    <w:pPr>
                      <w:spacing w:line="107" w:lineRule="exact" w:before="0"/>
                      <w:ind w:left="0" w:right="0" w:firstLine="0"/>
                      <w:jc w:val="left"/>
                      <w:rPr>
                        <w:rFonts w:ascii="Calibri"/>
                        <w:sz w:val="10"/>
                      </w:rPr>
                    </w:pPr>
                    <w:r>
                      <w:rPr>
                        <w:rFonts w:ascii="Calibri"/>
                        <w:w w:val="105"/>
                        <w:sz w:val="10"/>
                      </w:rPr>
                      <w:t>Experience June 2017 Discount June 2017 Population</w:t>
                    </w:r>
                  </w:p>
                </w:txbxContent>
              </v:textbox>
              <w10:wrap type="none"/>
            </v:shape>
            <v:shape style="position:absolute;left:6225;top:3411;width:343;height:107" type="#_x0000_t202" filled="false" stroked="false">
              <v:textbox inset="0,0,0,0">
                <w:txbxContent>
                  <w:p>
                    <w:pPr>
                      <w:spacing w:line="107" w:lineRule="exact" w:before="0"/>
                      <w:ind w:left="0" w:right="0" w:firstLine="0"/>
                      <w:jc w:val="left"/>
                      <w:rPr>
                        <w:rFonts w:ascii="Calibri"/>
                        <w:sz w:val="10"/>
                      </w:rPr>
                    </w:pPr>
                    <w:r>
                      <w:rPr>
                        <w:rFonts w:ascii="Calibri"/>
                        <w:w w:val="105"/>
                        <w:sz w:val="10"/>
                      </w:rPr>
                      <w:t>&amp; assns</w:t>
                    </w:r>
                  </w:p>
                </w:txbxContent>
              </v:textbox>
              <w10:wrap type="none"/>
            </v:shape>
            <v:shape style="position:absolute;left:6712;top:3411;width:1517;height:107" type="#_x0000_t202" filled="false" stroked="false">
              <v:textbox inset="0,0,0,0">
                <w:txbxContent>
                  <w:p>
                    <w:pPr>
                      <w:spacing w:line="107" w:lineRule="exact" w:before="0"/>
                      <w:ind w:left="0" w:right="0" w:firstLine="0"/>
                      <w:jc w:val="left"/>
                      <w:rPr>
                        <w:rFonts w:ascii="Calibri"/>
                        <w:sz w:val="10"/>
                      </w:rPr>
                    </w:pPr>
                    <w:r>
                      <w:rPr>
                        <w:rFonts w:ascii="Calibri"/>
                        <w:w w:val="105"/>
                        <w:sz w:val="10"/>
                      </w:rPr>
                      <w:t>Valuation rate change Valuation -</w:t>
                    </w:r>
                  </w:p>
                </w:txbxContent>
              </v:textbox>
              <w10:wrap type="none"/>
            </v:shape>
            <v:shape style="position:absolute;left:8469;top:3411;width:93;height:107" type="#_x0000_t202" filled="false" stroked="false">
              <v:textbox inset="0,0,0,0">
                <w:txbxContent>
                  <w:p>
                    <w:pPr>
                      <w:spacing w:line="107" w:lineRule="exact" w:before="0"/>
                      <w:ind w:left="0" w:right="0" w:firstLine="0"/>
                      <w:jc w:val="left"/>
                      <w:rPr>
                        <w:rFonts w:ascii="Calibri"/>
                        <w:sz w:val="10"/>
                      </w:rPr>
                    </w:pPr>
                    <w:r>
                      <w:rPr>
                        <w:rFonts w:ascii="Calibri"/>
                        <w:w w:val="106"/>
                        <w:sz w:val="10"/>
                      </w:rPr>
                      <w:t>&amp;</w:t>
                    </w:r>
                  </w:p>
                </w:txbxContent>
              </v:textbox>
              <w10:wrap type="none"/>
            </v:shape>
            <v:shape style="position:absolute;left:8860;top:3283;width:1993;height:235" type="#_x0000_t202" filled="false" stroked="false">
              <v:textbox inset="0,0,0,0">
                <w:txbxContent>
                  <w:p>
                    <w:pPr>
                      <w:spacing w:line="107" w:lineRule="exact" w:before="0"/>
                      <w:ind w:left="48" w:right="0" w:firstLine="0"/>
                      <w:jc w:val="left"/>
                      <w:rPr>
                        <w:rFonts w:ascii="Calibri"/>
                        <w:sz w:val="10"/>
                      </w:rPr>
                    </w:pPr>
                    <w:r>
                      <w:rPr>
                        <w:rFonts w:ascii="Calibri"/>
                        <w:w w:val="105"/>
                        <w:sz w:val="10"/>
                      </w:rPr>
                      <w:t>Policy       Experience  Age pension  June</w:t>
                    </w:r>
                    <w:r>
                      <w:rPr>
                        <w:rFonts w:ascii="Calibri"/>
                        <w:spacing w:val="-15"/>
                        <w:w w:val="105"/>
                        <w:sz w:val="10"/>
                      </w:rPr>
                      <w:t> </w:t>
                    </w:r>
                    <w:r>
                      <w:rPr>
                        <w:rFonts w:ascii="Calibri"/>
                        <w:spacing w:val="-3"/>
                        <w:w w:val="105"/>
                        <w:sz w:val="10"/>
                      </w:rPr>
                      <w:t>2018</w:t>
                    </w:r>
                  </w:p>
                  <w:p>
                    <w:pPr>
                      <w:tabs>
                        <w:tab w:pos="1080" w:val="left" w:leader="none"/>
                      </w:tabs>
                      <w:spacing w:before="6"/>
                      <w:ind w:left="0" w:right="0" w:firstLine="0"/>
                      <w:jc w:val="left"/>
                      <w:rPr>
                        <w:rFonts w:ascii="Calibri"/>
                        <w:sz w:val="10"/>
                      </w:rPr>
                    </w:pPr>
                    <w:r>
                      <w:rPr>
                        <w:rFonts w:ascii="Calibri"/>
                        <w:w w:val="105"/>
                        <w:sz w:val="10"/>
                      </w:rPr>
                      <w:t>changes      </w:t>
                    </w:r>
                    <w:r>
                      <w:rPr>
                        <w:rFonts w:ascii="Calibri"/>
                        <w:spacing w:val="22"/>
                        <w:w w:val="105"/>
                        <w:sz w:val="10"/>
                      </w:rPr>
                      <w:t> </w:t>
                    </w:r>
                    <w:r>
                      <w:rPr>
                        <w:rFonts w:ascii="Calibri"/>
                        <w:w w:val="105"/>
                        <w:sz w:val="10"/>
                      </w:rPr>
                      <w:t>&amp;</w:t>
                    </w:r>
                    <w:r>
                      <w:rPr>
                        <w:rFonts w:ascii="Calibri"/>
                        <w:spacing w:val="-1"/>
                        <w:w w:val="105"/>
                        <w:sz w:val="10"/>
                      </w:rPr>
                      <w:t> </w:t>
                    </w:r>
                    <w:r>
                      <w:rPr>
                        <w:rFonts w:ascii="Calibri"/>
                        <w:w w:val="105"/>
                        <w:sz w:val="10"/>
                      </w:rPr>
                      <w:t>assns</w:t>
                      <w:tab/>
                      <w:t>update      </w:t>
                    </w:r>
                    <w:r>
                      <w:rPr>
                        <w:rFonts w:ascii="Calibri"/>
                        <w:spacing w:val="2"/>
                        <w:w w:val="105"/>
                        <w:sz w:val="10"/>
                      </w:rPr>
                      <w:t> </w:t>
                    </w:r>
                    <w:r>
                      <w:rPr>
                        <w:rFonts w:ascii="Calibri"/>
                        <w:w w:val="105"/>
                        <w:sz w:val="10"/>
                      </w:rPr>
                      <w:t>Valuation</w:t>
                    </w:r>
                  </w:p>
                </w:txbxContent>
              </v:textbox>
              <w10:wrap type="none"/>
            </v:shape>
            <v:shape style="position:absolute;left:7804;top:3538;width:950;height:107" type="#_x0000_t202" filled="false" stroked="false">
              <v:textbox inset="0,0,0,0">
                <w:txbxContent>
                  <w:p>
                    <w:pPr>
                      <w:spacing w:line="107" w:lineRule="exact" w:before="0"/>
                      <w:ind w:left="0" w:right="0" w:firstLine="0"/>
                      <w:jc w:val="left"/>
                      <w:rPr>
                        <w:rFonts w:ascii="Calibri"/>
                        <w:sz w:val="10"/>
                      </w:rPr>
                    </w:pPr>
                    <w:r>
                      <w:rPr>
                        <w:rFonts w:ascii="Calibri"/>
                        <w:w w:val="105"/>
                        <w:sz w:val="10"/>
                      </w:rPr>
                      <w:t>rebased indexation</w:t>
                    </w:r>
                  </w:p>
                </w:txbxContent>
              </v:textbox>
              <w10:wrap type="none"/>
            </v:shape>
            <v:shape style="position:absolute;left:1976;top:3738;width:374;height:107" type="#_x0000_t202" filled="false" stroked="false">
              <v:textbox inset="0,0,0,0">
                <w:txbxContent>
                  <w:p>
                    <w:pPr>
                      <w:spacing w:line="107" w:lineRule="exact" w:before="0"/>
                      <w:ind w:left="0" w:right="0" w:firstLine="0"/>
                      <w:jc w:val="left"/>
                      <w:rPr>
                        <w:rFonts w:ascii="Calibri"/>
                        <w:sz w:val="10"/>
                      </w:rPr>
                    </w:pPr>
                    <w:r>
                      <w:rPr>
                        <w:rFonts w:ascii="Calibri"/>
                        <w:w w:val="105"/>
                        <w:sz w:val="10"/>
                      </w:rPr>
                      <w:t>J15 Valn</w:t>
                    </w:r>
                  </w:p>
                </w:txbxContent>
              </v:textbox>
              <w10:wrap type="none"/>
            </v:shape>
            <v:shape style="position:absolute;left:2904;top:3738;width:1161;height:107" type="#_x0000_t202" filled="false" stroked="false">
              <v:textbox inset="0,0,0,0">
                <w:txbxContent>
                  <w:p>
                    <w:pPr>
                      <w:spacing w:line="107" w:lineRule="exact" w:before="0"/>
                      <w:ind w:left="0" w:right="0" w:firstLine="0"/>
                      <w:jc w:val="left"/>
                      <w:rPr>
                        <w:rFonts w:ascii="Calibri"/>
                        <w:sz w:val="10"/>
                      </w:rPr>
                    </w:pPr>
                    <w:r>
                      <w:rPr>
                        <w:rFonts w:ascii="Calibri"/>
                        <w:w w:val="105"/>
                        <w:sz w:val="10"/>
                      </w:rPr>
                      <w:t>Movement from J15 to J16</w:t>
                    </w:r>
                  </w:p>
                </w:txbxContent>
              </v:textbox>
              <w10:wrap type="none"/>
            </v:shape>
            <v:shape style="position:absolute;left:4623;top:3738;width:3551;height:107" type="#_x0000_t202" filled="false" stroked="false">
              <v:textbox inset="0,0,0,0">
                <w:txbxContent>
                  <w:p>
                    <w:pPr>
                      <w:tabs>
                        <w:tab w:pos="663" w:val="left" w:leader="none"/>
                        <w:tab w:pos="2117" w:val="left" w:leader="none"/>
                      </w:tabs>
                      <w:spacing w:line="107" w:lineRule="exact" w:before="0"/>
                      <w:ind w:left="0" w:right="0" w:firstLine="0"/>
                      <w:jc w:val="left"/>
                      <w:rPr>
                        <w:rFonts w:ascii="Calibri"/>
                        <w:sz w:val="10"/>
                      </w:rPr>
                    </w:pPr>
                    <w:r>
                      <w:rPr>
                        <w:rFonts w:ascii="Calibri"/>
                        <w:w w:val="105"/>
                        <w:sz w:val="10"/>
                      </w:rPr>
                      <w:t>J16</w:t>
                    </w:r>
                    <w:r>
                      <w:rPr>
                        <w:rFonts w:ascii="Calibri"/>
                        <w:spacing w:val="-1"/>
                        <w:w w:val="105"/>
                        <w:sz w:val="10"/>
                      </w:rPr>
                      <w:t> </w:t>
                    </w:r>
                    <w:r>
                      <w:rPr>
                        <w:rFonts w:ascii="Calibri"/>
                        <w:w w:val="105"/>
                        <w:sz w:val="10"/>
                      </w:rPr>
                      <w:t>Valn</w:t>
                      <w:tab/>
                      <w:t>Movement from J16</w:t>
                    </w:r>
                    <w:r>
                      <w:rPr>
                        <w:rFonts w:ascii="Calibri"/>
                        <w:spacing w:val="-11"/>
                        <w:w w:val="105"/>
                        <w:sz w:val="10"/>
                      </w:rPr>
                      <w:t> </w:t>
                    </w:r>
                    <w:r>
                      <w:rPr>
                        <w:rFonts w:ascii="Calibri"/>
                        <w:w w:val="105"/>
                        <w:sz w:val="10"/>
                      </w:rPr>
                      <w:t>to</w:t>
                    </w:r>
                    <w:r>
                      <w:rPr>
                        <w:rFonts w:ascii="Calibri"/>
                        <w:spacing w:val="-1"/>
                        <w:w w:val="105"/>
                        <w:sz w:val="10"/>
                      </w:rPr>
                      <w:t> </w:t>
                    </w:r>
                    <w:r>
                      <w:rPr>
                        <w:rFonts w:ascii="Calibri"/>
                        <w:w w:val="105"/>
                        <w:sz w:val="10"/>
                      </w:rPr>
                      <w:t>J17</w:t>
                      <w:tab/>
                      <w:t>J17 Valn Rebasing J17</w:t>
                    </w:r>
                    <w:r>
                      <w:rPr>
                        <w:rFonts w:ascii="Calibri"/>
                        <w:spacing w:val="3"/>
                        <w:w w:val="105"/>
                        <w:sz w:val="10"/>
                      </w:rPr>
                      <w:t> </w:t>
                    </w:r>
                    <w:r>
                      <w:rPr>
                        <w:rFonts w:ascii="Calibri"/>
                        <w:w w:val="105"/>
                        <w:sz w:val="10"/>
                      </w:rPr>
                      <w:t>Valn</w:t>
                    </w:r>
                  </w:p>
                </w:txbxContent>
              </v:textbox>
              <w10:wrap type="none"/>
            </v:shape>
            <v:shape style="position:absolute;left:8727;top:3738;width:1161;height:107" type="#_x0000_t202" filled="false" stroked="false">
              <v:textbox inset="0,0,0,0">
                <w:txbxContent>
                  <w:p>
                    <w:pPr>
                      <w:spacing w:line="107" w:lineRule="exact" w:before="0"/>
                      <w:ind w:left="0" w:right="0" w:firstLine="0"/>
                      <w:jc w:val="left"/>
                      <w:rPr>
                        <w:rFonts w:ascii="Calibri"/>
                        <w:sz w:val="10"/>
                      </w:rPr>
                    </w:pPr>
                    <w:r>
                      <w:rPr>
                        <w:rFonts w:ascii="Calibri"/>
                        <w:w w:val="105"/>
                        <w:sz w:val="10"/>
                      </w:rPr>
                      <w:t>Movement from J17 to J18</w:t>
                    </w:r>
                  </w:p>
                </w:txbxContent>
              </v:textbox>
              <w10:wrap type="none"/>
            </v:shape>
            <v:shape style="position:absolute;left:10446;top:3738;width:374;height:107" type="#_x0000_t202" filled="false" stroked="false">
              <v:textbox inset="0,0,0,0">
                <w:txbxContent>
                  <w:p>
                    <w:pPr>
                      <w:spacing w:line="107" w:lineRule="exact" w:before="0"/>
                      <w:ind w:left="0" w:right="0" w:firstLine="0"/>
                      <w:jc w:val="left"/>
                      <w:rPr>
                        <w:rFonts w:ascii="Calibri"/>
                        <w:sz w:val="10"/>
                      </w:rPr>
                    </w:pPr>
                    <w:r>
                      <w:rPr>
                        <w:rFonts w:ascii="Calibri"/>
                        <w:w w:val="105"/>
                        <w:sz w:val="10"/>
                      </w:rPr>
                      <w:t>J18 Valn</w:t>
                    </w:r>
                  </w:p>
                </w:txbxContent>
              </v:textbox>
              <w10:wrap type="none"/>
            </v:shape>
            <w10:wrap type="none"/>
          </v:group>
        </w:pict>
      </w:r>
      <w:r>
        <w:rPr>
          <w:rFonts w:ascii="Calibri"/>
          <w:w w:val="105"/>
          <w:sz w:val="10"/>
        </w:rPr>
        <w:t>$6,500bn</w:t>
      </w:r>
    </w:p>
    <w:p>
      <w:pPr>
        <w:pStyle w:val="BodyText"/>
        <w:spacing w:before="8"/>
        <w:rPr>
          <w:rFonts w:ascii="Calibri"/>
          <w:sz w:val="29"/>
        </w:rPr>
      </w:pPr>
    </w:p>
    <w:p>
      <w:pPr>
        <w:spacing w:before="85"/>
        <w:ind w:left="1268" w:right="0" w:firstLine="0"/>
        <w:jc w:val="left"/>
        <w:rPr>
          <w:rFonts w:ascii="Calibri"/>
          <w:sz w:val="10"/>
        </w:rPr>
      </w:pPr>
      <w:r>
        <w:rPr>
          <w:rFonts w:ascii="Calibri"/>
          <w:w w:val="105"/>
          <w:sz w:val="10"/>
        </w:rPr>
        <w:t>$6,000bn</w:t>
      </w:r>
    </w:p>
    <w:p>
      <w:pPr>
        <w:pStyle w:val="BodyText"/>
        <w:spacing w:before="9"/>
        <w:rPr>
          <w:rFonts w:ascii="Calibri"/>
          <w:sz w:val="29"/>
        </w:rPr>
      </w:pPr>
    </w:p>
    <w:p>
      <w:pPr>
        <w:spacing w:before="85"/>
        <w:ind w:left="1268" w:right="0" w:firstLine="0"/>
        <w:jc w:val="left"/>
        <w:rPr>
          <w:rFonts w:ascii="Calibri"/>
          <w:sz w:val="10"/>
        </w:rPr>
      </w:pPr>
      <w:r>
        <w:rPr>
          <w:rFonts w:ascii="Calibri"/>
          <w:w w:val="105"/>
          <w:sz w:val="10"/>
        </w:rPr>
        <w:t>$5,500bn</w:t>
      </w:r>
    </w:p>
    <w:p>
      <w:pPr>
        <w:pStyle w:val="BodyText"/>
        <w:spacing w:before="8"/>
        <w:rPr>
          <w:rFonts w:ascii="Calibri"/>
          <w:sz w:val="29"/>
        </w:rPr>
      </w:pPr>
    </w:p>
    <w:p>
      <w:pPr>
        <w:spacing w:before="85"/>
        <w:ind w:left="1268" w:right="0" w:firstLine="0"/>
        <w:jc w:val="left"/>
        <w:rPr>
          <w:rFonts w:ascii="Calibri"/>
          <w:sz w:val="10"/>
        </w:rPr>
      </w:pPr>
      <w:r>
        <w:rPr>
          <w:rFonts w:ascii="Calibri"/>
          <w:w w:val="105"/>
          <w:sz w:val="10"/>
        </w:rPr>
        <w:t>$5,000bn</w:t>
      </w:r>
    </w:p>
    <w:p>
      <w:pPr>
        <w:pStyle w:val="BodyText"/>
        <w:spacing w:before="8"/>
        <w:rPr>
          <w:rFonts w:ascii="Calibri"/>
          <w:sz w:val="29"/>
        </w:rPr>
      </w:pPr>
    </w:p>
    <w:p>
      <w:pPr>
        <w:spacing w:before="85"/>
        <w:ind w:left="1268" w:right="0" w:firstLine="0"/>
        <w:jc w:val="left"/>
        <w:rPr>
          <w:rFonts w:ascii="Calibri"/>
          <w:sz w:val="10"/>
        </w:rPr>
      </w:pPr>
      <w:r>
        <w:rPr>
          <w:rFonts w:ascii="Calibri"/>
          <w:w w:val="105"/>
          <w:sz w:val="10"/>
        </w:rPr>
        <w:t>$4,500bn</w:t>
      </w:r>
    </w:p>
    <w:p>
      <w:pPr>
        <w:pStyle w:val="BodyText"/>
        <w:spacing w:before="8"/>
        <w:rPr>
          <w:rFonts w:ascii="Calibri"/>
          <w:sz w:val="29"/>
        </w:rPr>
      </w:pPr>
    </w:p>
    <w:p>
      <w:pPr>
        <w:spacing w:before="85"/>
        <w:ind w:left="1268" w:right="0" w:firstLine="0"/>
        <w:jc w:val="left"/>
        <w:rPr>
          <w:rFonts w:ascii="Calibri"/>
          <w:sz w:val="10"/>
        </w:rPr>
      </w:pPr>
      <w:r>
        <w:rPr>
          <w:rFonts w:ascii="Calibri"/>
          <w:w w:val="105"/>
          <w:sz w:val="10"/>
        </w:rPr>
        <w:t>$4,000bn</w:t>
      </w: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spacing w:before="10"/>
        <w:rPr>
          <w:rFonts w:ascii="Calibri"/>
          <w:sz w:val="15"/>
        </w:rPr>
      </w:pPr>
    </w:p>
    <w:p>
      <w:pPr>
        <w:spacing w:before="95"/>
        <w:ind w:left="900" w:right="0" w:firstLine="0"/>
        <w:jc w:val="left"/>
        <w:rPr>
          <w:sz w:val="16"/>
        </w:rPr>
      </w:pPr>
      <w:r>
        <w:rPr>
          <w:color w:val="DF2F1E"/>
          <w:sz w:val="16"/>
        </w:rPr>
        <w:t>Notes:</w:t>
      </w:r>
    </w:p>
    <w:p>
      <w:pPr>
        <w:spacing w:before="80"/>
        <w:ind w:left="900" w:right="1434" w:hanging="1"/>
        <w:jc w:val="left"/>
        <w:rPr>
          <w:sz w:val="16"/>
        </w:rPr>
      </w:pPr>
      <w:r>
        <w:rPr>
          <w:color w:val="DF2F1E"/>
          <w:sz w:val="16"/>
        </w:rPr>
        <w:t>The movements for prior years are drawn from the previous valuations, however the presentation of this change has been modified to better align with this year’s description of the change in results.</w:t>
      </w:r>
    </w:p>
    <w:p>
      <w:pPr>
        <w:pStyle w:val="BodyText"/>
        <w:spacing w:before="120"/>
        <w:ind w:left="900" w:right="1008"/>
      </w:pPr>
      <w:r>
        <w:rPr>
          <w:color w:val="404040"/>
        </w:rPr>
        <w:t>For the June 2017 valuation total, we have included both the original total result ($4,681bn) in order to reconcile with previous years’ results, and also the rebased total allowing for the updated 5% discount rate ($6,298bn) in order to reconcile with the June 2018 result. All else being equal, movements between June 2017 and 2018 are larger than previous movements, since they allow for the lower discount rate which makes all items larger.</w:t>
      </w:r>
    </w:p>
    <w:p>
      <w:pPr>
        <w:pStyle w:val="BodyText"/>
        <w:spacing w:before="10"/>
      </w:pPr>
    </w:p>
    <w:p>
      <w:pPr>
        <w:pStyle w:val="Heading4"/>
        <w:spacing w:before="1"/>
      </w:pPr>
      <w:bookmarkStart w:name="Population growth and indexation" w:id="150"/>
      <w:bookmarkEnd w:id="150"/>
      <w:r>
        <w:rPr/>
      </w:r>
      <w:r>
        <w:rPr>
          <w:color w:val="DF2F28"/>
        </w:rPr>
        <w:t>Population growth and indexation</w:t>
      </w:r>
    </w:p>
    <w:p>
      <w:pPr>
        <w:pStyle w:val="BodyText"/>
        <w:spacing w:before="121"/>
        <w:ind w:left="899" w:right="1049"/>
      </w:pPr>
      <w:r>
        <w:rPr>
          <w:color w:val="404040"/>
        </w:rPr>
        <w:t>From year to year, we would expect the Australian population to grow through births, deaths, and net migration, with a corresponding increase in the estimated total lifetime cost. Historically, the Australian population has grown between 1 to 2% each year. Since the baseline valuation, the impact of the change in the Australian population has increased the total lifetime cost by </w:t>
      </w:r>
      <w:r>
        <w:rPr>
          <w:b/>
          <w:color w:val="404040"/>
        </w:rPr>
        <w:t>$59bn </w:t>
      </w:r>
      <w:r>
        <w:rPr>
          <w:color w:val="404040"/>
        </w:rPr>
        <w:t>at the June 2016 valuation, by </w:t>
      </w:r>
      <w:r>
        <w:rPr>
          <w:b/>
          <w:color w:val="404040"/>
        </w:rPr>
        <w:t>$67bn </w:t>
      </w:r>
      <w:r>
        <w:rPr>
          <w:color w:val="404040"/>
        </w:rPr>
        <w:t>at the June 2017 valuation, and by </w:t>
      </w:r>
      <w:r>
        <w:rPr>
          <w:b/>
          <w:color w:val="404040"/>
        </w:rPr>
        <w:t>$124bn </w:t>
      </w:r>
      <w:r>
        <w:rPr>
          <w:color w:val="404040"/>
        </w:rPr>
        <w:t>at the June 2018 valuation. This increase in June 2018 is larger than in previous years due to the lower discount rate, which makes all items</w:t>
      </w:r>
      <w:r>
        <w:rPr>
          <w:color w:val="404040"/>
          <w:spacing w:val="-4"/>
        </w:rPr>
        <w:t> </w:t>
      </w:r>
      <w:r>
        <w:rPr>
          <w:color w:val="404040"/>
        </w:rPr>
        <w:t>larger.</w:t>
      </w:r>
    </w:p>
    <w:p>
      <w:pPr>
        <w:pStyle w:val="BodyText"/>
        <w:spacing w:before="121"/>
        <w:ind w:left="899" w:right="1098"/>
      </w:pPr>
      <w:r>
        <w:rPr>
          <w:color w:val="404040"/>
        </w:rPr>
        <w:t>From year to year, welfare payments are expected to increase based on increases in relevant inflation indices and / or wages measures such as Consumer Price Index (CPI) or Male Total Average Weekly Earnings (MTAWE). As a result, we would also expect a corresponding increase in the total lifetime cost at each valuation. The long term inflation rate is expected to be approximately 2% to 4%.The future outlook for inflation is revised at each valuation based on Australian Government forecasts. Since the baseline valuation, the impact of payment indexation has resulted in an overall </w:t>
      </w:r>
      <w:r>
        <w:rPr>
          <w:b/>
          <w:color w:val="404040"/>
        </w:rPr>
        <w:t>$38bn increase </w:t>
      </w:r>
      <w:r>
        <w:rPr>
          <w:color w:val="404040"/>
        </w:rPr>
        <w:t>at the June 2016 valuation, a </w:t>
      </w:r>
      <w:r>
        <w:rPr>
          <w:b/>
          <w:color w:val="404040"/>
        </w:rPr>
        <w:t>$135bn increase </w:t>
      </w:r>
      <w:r>
        <w:rPr>
          <w:color w:val="404040"/>
        </w:rPr>
        <w:t>at the June 2017 valuation, and a </w:t>
      </w:r>
      <w:r>
        <w:rPr>
          <w:b/>
          <w:color w:val="404040"/>
        </w:rPr>
        <w:t>$137bn </w:t>
      </w:r>
      <w:r>
        <w:rPr>
          <w:color w:val="404040"/>
        </w:rPr>
        <w:t>increase at the June 2018 valuation. Inflation over the 2015/16 year was much lower than expected, resulting in a smaller indexation impact compared to that observed at the June 2017 and June 2018 valuations.</w:t>
      </w:r>
    </w:p>
    <w:p>
      <w:pPr>
        <w:pStyle w:val="BodyText"/>
        <w:spacing w:before="7"/>
      </w:pPr>
    </w:p>
    <w:p>
      <w:pPr>
        <w:pStyle w:val="Heading4"/>
      </w:pPr>
      <w:bookmarkStart w:name="Model refinements / Age Pension update" w:id="151"/>
      <w:bookmarkEnd w:id="151"/>
      <w:r>
        <w:rPr/>
      </w:r>
      <w:r>
        <w:rPr>
          <w:color w:val="DF2F28"/>
        </w:rPr>
        <w:t>Model refinements / Age Pension update</w:t>
      </w:r>
    </w:p>
    <w:p>
      <w:pPr>
        <w:pStyle w:val="BodyText"/>
        <w:spacing w:before="121"/>
        <w:ind w:left="899" w:right="1131"/>
      </w:pPr>
      <w:r>
        <w:rPr>
          <w:color w:val="404040"/>
        </w:rPr>
        <w:t>Over the last three valuations, refinements were made to the model with the aim to introduce greater differentiation of costs between groups; for example, to differentiate better between those who are expected to have high persistency in the welfare system, and those who are expected to have lower persistency.</w:t>
      </w:r>
    </w:p>
    <w:p>
      <w:pPr>
        <w:pStyle w:val="BodyText"/>
        <w:spacing w:before="122"/>
        <w:ind w:left="899" w:right="1377"/>
      </w:pPr>
      <w:r>
        <w:rPr>
          <w:color w:val="404040"/>
        </w:rPr>
        <w:t>At the June 2016 valuation, significant model refinements were made, with the introduction of new welfare recipient characteristic variables, as well as the economic module. Overall, these refinements resulted in an</w:t>
      </w:r>
    </w:p>
    <w:p>
      <w:pPr>
        <w:pStyle w:val="BodyText"/>
        <w:spacing w:line="242" w:lineRule="auto"/>
        <w:ind w:left="899" w:right="1454"/>
      </w:pPr>
      <w:r>
        <w:rPr>
          <w:b/>
          <w:color w:val="404040"/>
        </w:rPr>
        <w:t>$181bn decrease </w:t>
      </w:r>
      <w:r>
        <w:rPr>
          <w:color w:val="404040"/>
        </w:rPr>
        <w:t>in the total lifetime cost, of which the majority related to the introduction of the economic module, and the associated change in the long term unemployment rate assumption.</w:t>
      </w:r>
    </w:p>
    <w:p>
      <w:pPr>
        <w:spacing w:after="0" w:line="242" w:lineRule="auto"/>
        <w:sectPr>
          <w:pgSz w:w="11910" w:h="16850"/>
          <w:pgMar w:header="572" w:footer="581" w:top="780" w:bottom="780" w:left="120" w:right="0"/>
        </w:sectPr>
      </w:pPr>
    </w:p>
    <w:p>
      <w:pPr>
        <w:pStyle w:val="BodyText"/>
      </w:pPr>
    </w:p>
    <w:p>
      <w:pPr>
        <w:pStyle w:val="BodyText"/>
      </w:pPr>
    </w:p>
    <w:p>
      <w:pPr>
        <w:pStyle w:val="BodyText"/>
        <w:spacing w:before="5"/>
        <w:rPr>
          <w:sz w:val="21"/>
        </w:rPr>
      </w:pPr>
    </w:p>
    <w:p>
      <w:pPr>
        <w:pStyle w:val="BodyText"/>
        <w:spacing w:before="93"/>
        <w:ind w:left="899" w:right="1110"/>
      </w:pPr>
      <w:r>
        <w:rPr>
          <w:color w:val="404040"/>
        </w:rPr>
        <w:t>At the June 2017 valuation, three new variables were introduced to the model; </w:t>
      </w:r>
      <w:r>
        <w:rPr>
          <w:b/>
          <w:color w:val="404040"/>
        </w:rPr>
        <w:t>parental welfare dependence</w:t>
      </w:r>
      <w:r>
        <w:rPr>
          <w:color w:val="404040"/>
        </w:rPr>
        <w:t>, a student’s current </w:t>
      </w:r>
      <w:r>
        <w:rPr>
          <w:b/>
          <w:color w:val="404040"/>
        </w:rPr>
        <w:t>education sector</w:t>
      </w:r>
      <w:r>
        <w:rPr>
          <w:color w:val="404040"/>
        </w:rPr>
        <w:t>, and a variable describing </w:t>
      </w:r>
      <w:r>
        <w:rPr>
          <w:b/>
          <w:color w:val="404040"/>
        </w:rPr>
        <w:t>barriers to work </w:t>
      </w:r>
      <w:r>
        <w:rPr>
          <w:color w:val="404040"/>
        </w:rPr>
        <w:t>for Working Age recipients. These three variables will primarily affect non-welfare recipients, and those in the Studying and Working Age classes respectively, but will also have flow on impacts to the other classes. While these variables will enable better differentiation between welfare recipients, these have minimal impact on the valuation result overall.</w:t>
      </w:r>
    </w:p>
    <w:p>
      <w:pPr>
        <w:pStyle w:val="BodyText"/>
        <w:spacing w:before="122"/>
        <w:ind w:left="899" w:right="1121"/>
      </w:pPr>
      <w:r>
        <w:rPr>
          <w:color w:val="404040"/>
        </w:rPr>
        <w:t>At the June 2018 valuation, the model has been extended to include information on people’s </w:t>
      </w:r>
      <w:r>
        <w:rPr>
          <w:b/>
          <w:color w:val="404040"/>
        </w:rPr>
        <w:t>locational advantage / disadvantage</w:t>
      </w:r>
      <w:r>
        <w:rPr>
          <w:color w:val="404040"/>
        </w:rPr>
        <w:t>, through the inclusion of a measure of socio-economic advantage or disadvantage of the location; and also to include information on whether people who entered the country as a </w:t>
      </w:r>
      <w:r>
        <w:rPr>
          <w:b/>
          <w:color w:val="404040"/>
        </w:rPr>
        <w:t>refugee</w:t>
      </w:r>
      <w:r>
        <w:rPr>
          <w:color w:val="404040"/>
        </w:rPr>
        <w:t>.</w:t>
      </w:r>
    </w:p>
    <w:p>
      <w:pPr>
        <w:pStyle w:val="BodyText"/>
        <w:spacing w:before="119"/>
        <w:ind w:left="899" w:right="1910" w:hanging="1"/>
      </w:pPr>
      <w:r>
        <w:rPr>
          <w:color w:val="404040"/>
        </w:rPr>
        <w:t>Additionally, at June 2018 we updated the Age Pension utilisation forecast, which resulted in a </w:t>
      </w:r>
      <w:r>
        <w:rPr>
          <w:b/>
          <w:color w:val="404040"/>
        </w:rPr>
        <w:t>$96bn decrease </w:t>
      </w:r>
      <w:r>
        <w:rPr>
          <w:color w:val="404040"/>
        </w:rPr>
        <w:t>in the lifetime cost.</w:t>
      </w:r>
    </w:p>
    <w:p>
      <w:pPr>
        <w:pStyle w:val="BodyText"/>
        <w:rPr>
          <w:sz w:val="21"/>
        </w:rPr>
      </w:pPr>
    </w:p>
    <w:p>
      <w:pPr>
        <w:pStyle w:val="Heading4"/>
      </w:pPr>
      <w:bookmarkStart w:name="Policy Changes" w:id="152"/>
      <w:bookmarkEnd w:id="152"/>
      <w:r>
        <w:rPr/>
      </w:r>
      <w:r>
        <w:rPr>
          <w:color w:val="DF2F28"/>
        </w:rPr>
        <w:t>Policy Changes</w:t>
      </w:r>
    </w:p>
    <w:p>
      <w:pPr>
        <w:pStyle w:val="BodyText"/>
        <w:spacing w:before="121"/>
        <w:ind w:left="900" w:right="1155"/>
      </w:pPr>
      <w:r>
        <w:rPr>
          <w:color w:val="404040"/>
        </w:rPr>
        <w:t>Over the last three valuations, a number of policy changes have been legislated which influence the payment design and eligibility of welfare benefits. As these policy changes affect the behaviour and utilisation of the welfare system, where possible we have made explicit allowances for the impact of these policy changes.</w:t>
      </w:r>
    </w:p>
    <w:p>
      <w:pPr>
        <w:pStyle w:val="BodyText"/>
        <w:spacing w:line="242" w:lineRule="auto" w:before="117"/>
        <w:ind w:left="900" w:right="1008"/>
      </w:pPr>
      <w:r>
        <w:rPr>
          <w:color w:val="404040"/>
        </w:rPr>
        <w:t>Since the baseline valuation, the impact of material individual policy changes has resulted in a </w:t>
      </w:r>
      <w:r>
        <w:rPr>
          <w:b/>
          <w:color w:val="404040"/>
        </w:rPr>
        <w:t>$28bn decrease </w:t>
      </w:r>
      <w:r>
        <w:rPr>
          <w:color w:val="404040"/>
        </w:rPr>
        <w:t>at the June 2016 valuation, a </w:t>
      </w:r>
      <w:r>
        <w:rPr>
          <w:b/>
          <w:color w:val="404040"/>
        </w:rPr>
        <w:t>$4bn decrease </w:t>
      </w:r>
      <w:r>
        <w:rPr>
          <w:color w:val="404040"/>
        </w:rPr>
        <w:t>at the June 2017 valuation, and a further </w:t>
      </w:r>
      <w:r>
        <w:rPr>
          <w:b/>
          <w:color w:val="404040"/>
        </w:rPr>
        <w:t>$4bn decrease </w:t>
      </w:r>
      <w:r>
        <w:rPr>
          <w:color w:val="404040"/>
        </w:rPr>
        <w:t>at the June 2018 valuation.</w:t>
      </w:r>
    </w:p>
    <w:p>
      <w:pPr>
        <w:pStyle w:val="BodyText"/>
        <w:spacing w:before="117"/>
        <w:ind w:left="900" w:right="1197"/>
      </w:pPr>
      <w:r>
        <w:rPr>
          <w:color w:val="404040"/>
        </w:rPr>
        <w:t>At the June 2016 valuation, a number of policy changes were legislated, including the reduction in the income limit for FTB Part B, the removal of FTB Part B for couple families with a youngest child aged 13 and over, cessation of the Large Family Supplement, changes affecting Family Day Care services, and replacing the Student Start-up Scholarship with the Student Start-up Loan. Each of these resulted in a decrease in the lifetime cost.</w:t>
      </w:r>
    </w:p>
    <w:p>
      <w:pPr>
        <w:pStyle w:val="BodyText"/>
        <w:spacing w:before="120"/>
        <w:ind w:left="900" w:right="1175"/>
      </w:pPr>
      <w:r>
        <w:rPr>
          <w:color w:val="404040"/>
        </w:rPr>
        <w:t>At the June 2017 valuation, a substantial increase due to the introduction of the Child Care Subsidy was more than offset by the introduction of the $80,000 income limit for claiming the Family Tax Benefit Part A supplement and the two year freeze on FTB rates.</w:t>
      </w:r>
    </w:p>
    <w:p>
      <w:pPr>
        <w:pStyle w:val="BodyText"/>
        <w:spacing w:before="119"/>
        <w:ind w:left="900" w:right="1364"/>
      </w:pPr>
      <w:r>
        <w:rPr>
          <w:color w:val="404040"/>
        </w:rPr>
        <w:t>At the June 2018 valuation, the main change related to the introduction of a targeted compliance framework which will apply strong penalties to job seekers who persistently and deliberately do not comply with their employment pathway plan (EPP) requirements.</w:t>
      </w:r>
    </w:p>
    <w:p>
      <w:pPr>
        <w:pStyle w:val="BodyText"/>
        <w:spacing w:before="121"/>
        <w:ind w:left="900" w:right="1275"/>
      </w:pPr>
      <w:r>
        <w:rPr>
          <w:color w:val="404040"/>
        </w:rPr>
        <w:t>There are also many other policy changes which are made each year. While they are not expected to have a material impact on the valuation when considered individually, their impact will be reflected in the observed experience over time.</w:t>
      </w:r>
    </w:p>
    <w:p>
      <w:pPr>
        <w:pStyle w:val="BodyText"/>
        <w:spacing w:before="7"/>
      </w:pPr>
    </w:p>
    <w:p>
      <w:pPr>
        <w:pStyle w:val="Heading4"/>
      </w:pPr>
      <w:bookmarkStart w:name="Experience and Assumptions" w:id="153"/>
      <w:bookmarkEnd w:id="153"/>
      <w:r>
        <w:rPr/>
      </w:r>
      <w:r>
        <w:rPr>
          <w:color w:val="DF2F28"/>
        </w:rPr>
        <w:t>Experience and Assumptions</w:t>
      </w:r>
    </w:p>
    <w:p>
      <w:pPr>
        <w:pStyle w:val="BodyText"/>
        <w:spacing w:before="121"/>
        <w:ind w:left="899" w:right="1076"/>
      </w:pPr>
      <w:r>
        <w:rPr>
          <w:color w:val="404040"/>
        </w:rPr>
        <w:t>The general welfare system utilisation of the population will also change over time. In general, the proportion of people utilising welfare over the period since the baseline valuation has been lower than previous levels. This has resulted in a reduction in the total lifetime cost of </w:t>
      </w:r>
      <w:r>
        <w:rPr>
          <w:b/>
          <w:color w:val="404040"/>
        </w:rPr>
        <w:t>$8bn </w:t>
      </w:r>
      <w:r>
        <w:rPr>
          <w:color w:val="404040"/>
        </w:rPr>
        <w:t>at the June 2016 valuation, a reduction of </w:t>
      </w:r>
      <w:r>
        <w:rPr>
          <w:b/>
          <w:color w:val="404040"/>
        </w:rPr>
        <w:t>$28bn </w:t>
      </w:r>
      <w:r>
        <w:rPr>
          <w:color w:val="404040"/>
        </w:rPr>
        <w:t>at the June 2017 valuation, and a reduction of </w:t>
      </w:r>
      <w:r>
        <w:rPr>
          <w:b/>
          <w:color w:val="404040"/>
        </w:rPr>
        <w:t>$34bn </w:t>
      </w:r>
      <w:r>
        <w:rPr>
          <w:color w:val="404040"/>
        </w:rPr>
        <w:t>at the June 2018 valuation.</w:t>
      </w:r>
    </w:p>
    <w:p>
      <w:pPr>
        <w:pStyle w:val="BodyText"/>
        <w:spacing w:before="122"/>
        <w:ind w:left="899" w:right="1588"/>
      </w:pPr>
      <w:r>
        <w:rPr>
          <w:color w:val="404040"/>
        </w:rPr>
        <w:t>Additionally, at each valuation, where relevant, assumptions relating to characteristics, class movements, payment utilisation and average sizes are updated to reflect recent experience.</w:t>
      </w:r>
    </w:p>
    <w:p>
      <w:pPr>
        <w:pStyle w:val="BodyText"/>
        <w:spacing w:line="242" w:lineRule="auto" w:before="116"/>
        <w:ind w:left="899" w:right="1043"/>
      </w:pPr>
      <w:r>
        <w:rPr>
          <w:color w:val="404040"/>
        </w:rPr>
        <w:t>At the June 2016 valuation, updates for experience resulted in a </w:t>
      </w:r>
      <w:r>
        <w:rPr>
          <w:b/>
          <w:color w:val="404040"/>
        </w:rPr>
        <w:t>$131bn decrease </w:t>
      </w:r>
      <w:r>
        <w:rPr>
          <w:color w:val="404040"/>
        </w:rPr>
        <w:t>in the total lifetime cost. This was primarily driven by a falling trend in the proportion of women with children (affecting the Parenting and Family classes), reduced entries into the Working Age class, other changes to class movements, and partially offset by an increase in the average size of Working Age payments (over and above</w:t>
      </w:r>
      <w:r>
        <w:rPr>
          <w:color w:val="404040"/>
          <w:spacing w:val="-22"/>
        </w:rPr>
        <w:t> </w:t>
      </w:r>
      <w:r>
        <w:rPr>
          <w:color w:val="404040"/>
        </w:rPr>
        <w:t>indexation).</w:t>
      </w:r>
    </w:p>
    <w:p>
      <w:pPr>
        <w:pStyle w:val="BodyText"/>
        <w:spacing w:line="242" w:lineRule="auto" w:before="111"/>
        <w:ind w:left="899" w:right="1155"/>
      </w:pPr>
      <w:r>
        <w:rPr>
          <w:color w:val="404040"/>
        </w:rPr>
        <w:t>At the June 2017 valuation, updates for experience resulted in a </w:t>
      </w:r>
      <w:r>
        <w:rPr>
          <w:b/>
          <w:color w:val="404040"/>
        </w:rPr>
        <w:t>$3bn decrease</w:t>
      </w:r>
      <w:r>
        <w:rPr>
          <w:color w:val="404040"/>
        </w:rPr>
        <w:t>. This has primarily been driven</w:t>
      </w:r>
      <w:r>
        <w:rPr>
          <w:color w:val="404040"/>
          <w:spacing w:val="-4"/>
        </w:rPr>
        <w:t> </w:t>
      </w:r>
      <w:r>
        <w:rPr>
          <w:color w:val="404040"/>
        </w:rPr>
        <w:t>by</w:t>
      </w:r>
      <w:r>
        <w:rPr>
          <w:color w:val="404040"/>
          <w:spacing w:val="-6"/>
        </w:rPr>
        <w:t> </w:t>
      </w:r>
      <w:r>
        <w:rPr>
          <w:color w:val="404040"/>
        </w:rPr>
        <w:t>reduced</w:t>
      </w:r>
      <w:r>
        <w:rPr>
          <w:color w:val="404040"/>
          <w:spacing w:val="-1"/>
        </w:rPr>
        <w:t> </w:t>
      </w:r>
      <w:r>
        <w:rPr>
          <w:color w:val="404040"/>
        </w:rPr>
        <w:t>entries</w:t>
      </w:r>
      <w:r>
        <w:rPr>
          <w:color w:val="404040"/>
          <w:spacing w:val="-3"/>
        </w:rPr>
        <w:t> </w:t>
      </w:r>
      <w:r>
        <w:rPr>
          <w:color w:val="404040"/>
        </w:rPr>
        <w:t>and</w:t>
      </w:r>
      <w:r>
        <w:rPr>
          <w:color w:val="404040"/>
          <w:spacing w:val="-3"/>
        </w:rPr>
        <w:t> </w:t>
      </w:r>
      <w:r>
        <w:rPr>
          <w:color w:val="404040"/>
        </w:rPr>
        <w:t>movements</w:t>
      </w:r>
      <w:r>
        <w:rPr>
          <w:color w:val="404040"/>
          <w:spacing w:val="-2"/>
        </w:rPr>
        <w:t> </w:t>
      </w:r>
      <w:r>
        <w:rPr>
          <w:color w:val="404040"/>
        </w:rPr>
        <w:t>into</w:t>
      </w:r>
      <w:r>
        <w:rPr>
          <w:color w:val="404040"/>
          <w:spacing w:val="-4"/>
        </w:rPr>
        <w:t> </w:t>
      </w:r>
      <w:r>
        <w:rPr>
          <w:color w:val="404040"/>
        </w:rPr>
        <w:t>some</w:t>
      </w:r>
      <w:r>
        <w:rPr>
          <w:color w:val="404040"/>
          <w:spacing w:val="-3"/>
        </w:rPr>
        <w:t> </w:t>
      </w:r>
      <w:r>
        <w:rPr>
          <w:color w:val="404040"/>
        </w:rPr>
        <w:t>Income</w:t>
      </w:r>
      <w:r>
        <w:rPr>
          <w:color w:val="404040"/>
          <w:spacing w:val="-3"/>
        </w:rPr>
        <w:t> </w:t>
      </w:r>
      <w:r>
        <w:rPr>
          <w:color w:val="404040"/>
        </w:rPr>
        <w:t>Support</w:t>
      </w:r>
      <w:r>
        <w:rPr>
          <w:color w:val="404040"/>
          <w:spacing w:val="-4"/>
        </w:rPr>
        <w:t> </w:t>
      </w:r>
      <w:r>
        <w:rPr>
          <w:color w:val="404040"/>
        </w:rPr>
        <w:t>classes</w:t>
      </w:r>
      <w:r>
        <w:rPr>
          <w:color w:val="404040"/>
          <w:spacing w:val="-2"/>
        </w:rPr>
        <w:t> </w:t>
      </w:r>
      <w:r>
        <w:rPr>
          <w:color w:val="404040"/>
        </w:rPr>
        <w:t>offset</w:t>
      </w:r>
      <w:r>
        <w:rPr>
          <w:color w:val="404040"/>
          <w:spacing w:val="-3"/>
        </w:rPr>
        <w:t> </w:t>
      </w:r>
      <w:r>
        <w:rPr>
          <w:color w:val="404040"/>
        </w:rPr>
        <w:t>by</w:t>
      </w:r>
      <w:r>
        <w:rPr>
          <w:color w:val="404040"/>
          <w:spacing w:val="-5"/>
        </w:rPr>
        <w:t> </w:t>
      </w:r>
      <w:r>
        <w:rPr>
          <w:color w:val="404040"/>
        </w:rPr>
        <w:t>increases</w:t>
      </w:r>
      <w:r>
        <w:rPr>
          <w:color w:val="404040"/>
          <w:spacing w:val="-2"/>
        </w:rPr>
        <w:t> </w:t>
      </w:r>
      <w:r>
        <w:rPr>
          <w:color w:val="404040"/>
        </w:rPr>
        <w:t>to</w:t>
      </w:r>
      <w:r>
        <w:rPr>
          <w:color w:val="404040"/>
          <w:spacing w:val="-3"/>
        </w:rPr>
        <w:t> </w:t>
      </w:r>
      <w:r>
        <w:rPr>
          <w:color w:val="404040"/>
        </w:rPr>
        <w:t>the</w:t>
      </w:r>
      <w:r>
        <w:rPr>
          <w:color w:val="404040"/>
          <w:spacing w:val="-2"/>
        </w:rPr>
        <w:t> </w:t>
      </w:r>
      <w:r>
        <w:rPr>
          <w:color w:val="404040"/>
        </w:rPr>
        <w:t>Age Pension average size in response to higher recent payment experience for new age</w:t>
      </w:r>
      <w:r>
        <w:rPr>
          <w:color w:val="404040"/>
          <w:spacing w:val="-16"/>
        </w:rPr>
        <w:t> </w:t>
      </w:r>
      <w:r>
        <w:rPr>
          <w:color w:val="404040"/>
        </w:rPr>
        <w:t>pensioners.</w:t>
      </w:r>
    </w:p>
    <w:p>
      <w:pPr>
        <w:pStyle w:val="BodyText"/>
        <w:spacing w:line="242" w:lineRule="auto" w:before="114"/>
        <w:ind w:left="899" w:right="1092"/>
        <w:jc w:val="both"/>
      </w:pPr>
      <w:r>
        <w:rPr>
          <w:color w:val="404040"/>
        </w:rPr>
        <w:t>At the June 2018 valuation, updates for other experience resulted in a </w:t>
      </w:r>
      <w:r>
        <w:rPr>
          <w:b/>
          <w:color w:val="404040"/>
        </w:rPr>
        <w:t>$763bn decrease</w:t>
      </w:r>
      <w:r>
        <w:rPr>
          <w:color w:val="404040"/>
        </w:rPr>
        <w:t>. This primarily relates to lower future utilisation of welfare in response to low entry experience and high exit experience over the year. Additionally there were decreases in the average payment sizes.</w:t>
      </w:r>
    </w:p>
    <w:p>
      <w:pPr>
        <w:spacing w:after="0" w:line="242" w:lineRule="auto"/>
        <w:jc w:val="both"/>
        <w:sectPr>
          <w:pgSz w:w="11910" w:h="16850"/>
          <w:pgMar w:header="572" w:footer="581" w:top="780" w:bottom="780" w:left="120" w:right="0"/>
        </w:sectPr>
      </w:pPr>
    </w:p>
    <w:p>
      <w:pPr>
        <w:pStyle w:val="BodyText"/>
      </w:pPr>
    </w:p>
    <w:p>
      <w:pPr>
        <w:pStyle w:val="BodyText"/>
      </w:pPr>
    </w:p>
    <w:p>
      <w:pPr>
        <w:pStyle w:val="BodyText"/>
        <w:spacing w:before="8"/>
        <w:rPr>
          <w:sz w:val="21"/>
        </w:rPr>
      </w:pPr>
    </w:p>
    <w:p>
      <w:pPr>
        <w:pStyle w:val="ListParagraph"/>
        <w:numPr>
          <w:ilvl w:val="1"/>
          <w:numId w:val="22"/>
        </w:numPr>
        <w:tabs>
          <w:tab w:pos="1752" w:val="left" w:leader="none"/>
          <w:tab w:pos="1753" w:val="left" w:leader="none"/>
        </w:tabs>
        <w:spacing w:line="240" w:lineRule="auto" w:before="91" w:after="0"/>
        <w:ind w:left="1752" w:right="0" w:hanging="853"/>
        <w:jc w:val="left"/>
        <w:rPr>
          <w:sz w:val="28"/>
        </w:rPr>
      </w:pPr>
      <w:bookmarkStart w:name="5.5 Forecasts" w:id="154"/>
      <w:bookmarkEnd w:id="154"/>
      <w:r>
        <w:rPr/>
      </w:r>
      <w:bookmarkStart w:name="_bookmark38" w:id="155"/>
      <w:bookmarkEnd w:id="155"/>
      <w:r>
        <w:rPr/>
      </w:r>
      <w:bookmarkStart w:name="_bookmark38" w:id="156"/>
      <w:bookmarkEnd w:id="156"/>
      <w:r>
        <w:rPr>
          <w:color w:val="DF2F28"/>
          <w:sz w:val="28"/>
        </w:rPr>
        <w:t>F</w:t>
      </w:r>
      <w:r>
        <w:rPr>
          <w:color w:val="DF2F28"/>
          <w:sz w:val="28"/>
        </w:rPr>
        <w:t>orecasts</w:t>
      </w:r>
    </w:p>
    <w:p>
      <w:pPr>
        <w:pStyle w:val="Heading4"/>
        <w:spacing w:before="242"/>
      </w:pPr>
      <w:bookmarkStart w:name="Lifetime cost" w:id="157"/>
      <w:bookmarkEnd w:id="157"/>
      <w:r>
        <w:rPr/>
      </w:r>
      <w:r>
        <w:rPr>
          <w:color w:val="DF2F28"/>
        </w:rPr>
        <w:t>Lifetime cost</w:t>
      </w:r>
    </w:p>
    <w:p>
      <w:pPr>
        <w:pStyle w:val="BodyText"/>
        <w:spacing w:before="121"/>
        <w:ind w:left="900" w:right="1155"/>
      </w:pPr>
      <w:r>
        <w:rPr>
          <w:color w:val="404040"/>
        </w:rPr>
        <w:t>Lifetime cost forecasts are expectations of lifetime cost at future valuation dates. They provide useful benchmarks for future years’ valuations. As each subsequent valuation is performed, the differences to the benchmark can be examined to understand how the lifetime cost results differ from expectations.</w:t>
      </w:r>
    </w:p>
    <w:p>
      <w:pPr>
        <w:pStyle w:val="BodyText"/>
        <w:spacing w:before="119"/>
        <w:ind w:left="899" w:right="1043"/>
      </w:pPr>
      <w:r>
        <w:rPr>
          <w:color w:val="404040"/>
        </w:rPr>
        <w:t>Based on the current valuation we have developed a partial forecast of lifetime cost at the next five years for the people in the 30 June 2018 population. At 30 June 2019, it will be possible to reassess the lifetime cost and explain the movements in the lifetime cost assessment. It will also be possible to show the additional components of</w:t>
      </w:r>
      <w:r>
        <w:rPr>
          <w:color w:val="404040"/>
          <w:spacing w:val="-2"/>
        </w:rPr>
        <w:t> </w:t>
      </w:r>
      <w:r>
        <w:rPr>
          <w:color w:val="404040"/>
        </w:rPr>
        <w:t>lifetime</w:t>
      </w:r>
      <w:r>
        <w:rPr>
          <w:color w:val="404040"/>
          <w:spacing w:val="-3"/>
        </w:rPr>
        <w:t> </w:t>
      </w:r>
      <w:r>
        <w:rPr>
          <w:color w:val="404040"/>
        </w:rPr>
        <w:t>cost</w:t>
      </w:r>
      <w:r>
        <w:rPr>
          <w:color w:val="404040"/>
          <w:spacing w:val="-4"/>
        </w:rPr>
        <w:t> </w:t>
      </w:r>
      <w:r>
        <w:rPr>
          <w:color w:val="404040"/>
        </w:rPr>
        <w:t>being</w:t>
      </w:r>
      <w:r>
        <w:rPr>
          <w:color w:val="404040"/>
          <w:spacing w:val="-1"/>
        </w:rPr>
        <w:t> </w:t>
      </w:r>
      <w:r>
        <w:rPr>
          <w:color w:val="404040"/>
        </w:rPr>
        <w:t>added</w:t>
      </w:r>
      <w:r>
        <w:rPr>
          <w:color w:val="404040"/>
          <w:spacing w:val="-4"/>
        </w:rPr>
        <w:t> </w:t>
      </w:r>
      <w:r>
        <w:rPr>
          <w:color w:val="404040"/>
        </w:rPr>
        <w:t>for</w:t>
      </w:r>
      <w:r>
        <w:rPr>
          <w:color w:val="404040"/>
          <w:spacing w:val="-2"/>
        </w:rPr>
        <w:t> </w:t>
      </w:r>
      <w:r>
        <w:rPr>
          <w:color w:val="404040"/>
        </w:rPr>
        <w:t>new</w:t>
      </w:r>
      <w:r>
        <w:rPr>
          <w:color w:val="404040"/>
          <w:spacing w:val="-4"/>
        </w:rPr>
        <w:t> </w:t>
      </w:r>
      <w:r>
        <w:rPr>
          <w:color w:val="404040"/>
        </w:rPr>
        <w:t>members</w:t>
      </w:r>
      <w:r>
        <w:rPr>
          <w:color w:val="404040"/>
          <w:spacing w:val="-2"/>
        </w:rPr>
        <w:t> </w:t>
      </w:r>
      <w:r>
        <w:rPr>
          <w:color w:val="404040"/>
        </w:rPr>
        <w:t>of</w:t>
      </w:r>
      <w:r>
        <w:rPr>
          <w:color w:val="404040"/>
          <w:spacing w:val="-2"/>
        </w:rPr>
        <w:t> </w:t>
      </w:r>
      <w:r>
        <w:rPr>
          <w:color w:val="404040"/>
        </w:rPr>
        <w:t>the</w:t>
      </w:r>
      <w:r>
        <w:rPr>
          <w:color w:val="404040"/>
          <w:spacing w:val="-3"/>
        </w:rPr>
        <w:t> </w:t>
      </w:r>
      <w:r>
        <w:rPr>
          <w:color w:val="404040"/>
        </w:rPr>
        <w:t>population,</w:t>
      </w:r>
      <w:r>
        <w:rPr>
          <w:color w:val="404040"/>
          <w:spacing w:val="-4"/>
        </w:rPr>
        <w:t> </w:t>
      </w:r>
      <w:r>
        <w:rPr>
          <w:color w:val="404040"/>
        </w:rPr>
        <w:t>including</w:t>
      </w:r>
      <w:r>
        <w:rPr>
          <w:color w:val="404040"/>
          <w:spacing w:val="-3"/>
        </w:rPr>
        <w:t> </w:t>
      </w:r>
      <w:r>
        <w:rPr>
          <w:color w:val="404040"/>
        </w:rPr>
        <w:t>new</w:t>
      </w:r>
      <w:r>
        <w:rPr>
          <w:color w:val="404040"/>
          <w:spacing w:val="-4"/>
        </w:rPr>
        <w:t> </w:t>
      </w:r>
      <w:r>
        <w:rPr>
          <w:color w:val="404040"/>
        </w:rPr>
        <w:t>births and</w:t>
      </w:r>
      <w:r>
        <w:rPr>
          <w:color w:val="404040"/>
          <w:spacing w:val="-3"/>
        </w:rPr>
        <w:t> </w:t>
      </w:r>
      <w:r>
        <w:rPr>
          <w:color w:val="404040"/>
        </w:rPr>
        <w:t>migrants.</w:t>
      </w:r>
    </w:p>
    <w:p>
      <w:pPr>
        <w:pStyle w:val="Heading9"/>
        <w:spacing w:before="177"/>
        <w:ind w:left="954"/>
      </w:pPr>
      <w:r>
        <w:rPr>
          <w:color w:val="DF2F1E"/>
        </w:rPr>
        <w:t>Figure 40: Projected Lifetime cost ($bn)</w:t>
      </w:r>
    </w:p>
    <w:p>
      <w:pPr>
        <w:spacing w:before="120"/>
        <w:ind w:left="1111" w:right="0" w:firstLine="0"/>
        <w:jc w:val="left"/>
        <w:rPr>
          <w:rFonts w:ascii="Calibri"/>
          <w:sz w:val="14"/>
        </w:rPr>
      </w:pPr>
      <w:r>
        <w:rPr/>
        <w:pict>
          <v:group style="position:absolute;margin-left:84.236694pt;margin-top:8.772547pt;width:247.75pt;height:130.75pt;mso-position-horizontal-relative:page;mso-position-vertical-relative:paragraph;z-index:252110848" coordorigin="1685,175" coordsize="4955,2615">
            <v:shape style="position:absolute;left:1968;top:398;width:4375;height:2350" coordorigin="1969,399" coordsize="4375,2350" path="m2229,706l1969,706,1969,2749,2229,2749,2229,706m3056,647l2796,647,2796,2749,3056,2749,3056,647m3872,588l3612,588,3612,2749,3872,2749,3872,588m4700,517l4440,517,4440,2749,4700,2749,4700,517m5528,458l5267,458,5267,2749,5528,2749,5528,458m6343,399l6095,399,6095,2749,6343,2749,6343,399e" filled="true" fillcolor="#f4b083" stroked="false">
              <v:path arrowok="t"/>
              <v:fill type="solid"/>
            </v:shape>
            <v:shape style="position:absolute;left:0;top:5913;width:652697;height:6246" coordorigin="0,5914" coordsize="652697,6246" path="m1691,2743l6633,2743m1691,2743l1691,2790m2507,2743l2507,2790m3334,2743l3334,2790m4162,2743l4162,2790m4978,2743l4978,2790m5805,2743l5805,2790m6633,2743l6633,2790e" filled="false" stroked="true" strokeweight=".590821pt" strokecolor="#d9d9d9">
              <v:path arrowok="t"/>
              <v:stroke dashstyle="solid"/>
            </v:shape>
            <v:shape style="position:absolute;left:5229;top:239;width:340;height:142" type="#_x0000_t202" filled="false" stroked="false">
              <v:textbox inset="0,0,0,0">
                <w:txbxContent>
                  <w:p>
                    <w:pPr>
                      <w:spacing w:line="142" w:lineRule="exact" w:before="0"/>
                      <w:ind w:left="0" w:right="0" w:firstLine="0"/>
                      <w:jc w:val="left"/>
                      <w:rPr>
                        <w:rFonts w:ascii="Calibri"/>
                        <w:sz w:val="14"/>
                      </w:rPr>
                    </w:pPr>
                    <w:r>
                      <w:rPr>
                        <w:rFonts w:ascii="Calibri"/>
                        <w:color w:val="404040"/>
                        <w:sz w:val="14"/>
                      </w:rPr>
                      <w:t>6,330</w:t>
                    </w:r>
                  </w:p>
                </w:txbxContent>
              </v:textbox>
              <w10:wrap type="none"/>
            </v:shape>
            <v:shape style="position:absolute;left:6053;top:175;width:340;height:142" type="#_x0000_t202" filled="false" stroked="false">
              <v:textbox inset="0,0,0,0">
                <w:txbxContent>
                  <w:p>
                    <w:pPr>
                      <w:spacing w:line="142" w:lineRule="exact" w:before="0"/>
                      <w:ind w:left="0" w:right="0" w:firstLine="0"/>
                      <w:jc w:val="left"/>
                      <w:rPr>
                        <w:rFonts w:ascii="Calibri"/>
                        <w:sz w:val="14"/>
                      </w:rPr>
                    </w:pPr>
                    <w:r>
                      <w:rPr>
                        <w:rFonts w:ascii="Calibri"/>
                        <w:color w:val="404040"/>
                        <w:sz w:val="14"/>
                      </w:rPr>
                      <w:t>6,507</w:t>
                    </w:r>
                  </w:p>
                </w:txbxContent>
              </v:textbox>
              <w10:wrap type="none"/>
            </v:shape>
            <v:shape style="position:absolute;left:3581;top:363;width:340;height:142" type="#_x0000_t202" filled="false" stroked="false">
              <v:textbox inset="0,0,0,0">
                <w:txbxContent>
                  <w:p>
                    <w:pPr>
                      <w:spacing w:line="142" w:lineRule="exact" w:before="0"/>
                      <w:ind w:left="0" w:right="0" w:firstLine="0"/>
                      <w:jc w:val="left"/>
                      <w:rPr>
                        <w:rFonts w:ascii="Calibri"/>
                        <w:sz w:val="14"/>
                      </w:rPr>
                    </w:pPr>
                    <w:r>
                      <w:rPr>
                        <w:rFonts w:ascii="Calibri"/>
                        <w:color w:val="404040"/>
                        <w:sz w:val="14"/>
                      </w:rPr>
                      <w:t>5,987</w:t>
                    </w:r>
                  </w:p>
                </w:txbxContent>
              </v:textbox>
              <w10:wrap type="none"/>
            </v:shape>
            <v:shape style="position:absolute;left:4405;top:302;width:340;height:142" type="#_x0000_t202" filled="false" stroked="false">
              <v:textbox inset="0,0,0,0">
                <w:txbxContent>
                  <w:p>
                    <w:pPr>
                      <w:spacing w:line="142" w:lineRule="exact" w:before="0"/>
                      <w:ind w:left="0" w:right="0" w:firstLine="0"/>
                      <w:jc w:val="left"/>
                      <w:rPr>
                        <w:rFonts w:ascii="Calibri"/>
                        <w:sz w:val="14"/>
                      </w:rPr>
                    </w:pPr>
                    <w:r>
                      <w:rPr>
                        <w:rFonts w:ascii="Calibri"/>
                        <w:color w:val="404040"/>
                        <w:sz w:val="14"/>
                      </w:rPr>
                      <w:t>6,156</w:t>
                    </w:r>
                  </w:p>
                </w:txbxContent>
              </v:textbox>
              <w10:wrap type="none"/>
            </v:shape>
            <v:shape style="position:absolute;left:1932;top:480;width:340;height:142" type="#_x0000_t202" filled="false" stroked="false">
              <v:textbox inset="0,0,0,0">
                <w:txbxContent>
                  <w:p>
                    <w:pPr>
                      <w:spacing w:line="142" w:lineRule="exact" w:before="0"/>
                      <w:ind w:left="0" w:right="0" w:firstLine="0"/>
                      <w:jc w:val="left"/>
                      <w:rPr>
                        <w:rFonts w:ascii="Calibri"/>
                        <w:sz w:val="14"/>
                      </w:rPr>
                    </w:pPr>
                    <w:r>
                      <w:rPr>
                        <w:rFonts w:ascii="Calibri"/>
                        <w:color w:val="404040"/>
                        <w:sz w:val="14"/>
                      </w:rPr>
                      <w:t>5,662</w:t>
                    </w:r>
                  </w:p>
                </w:txbxContent>
              </v:textbox>
              <w10:wrap type="none"/>
            </v:shape>
            <v:shape style="position:absolute;left:2756;top:422;width:340;height:142" type="#_x0000_t202" filled="false" stroked="false">
              <v:textbox inset="0,0,0,0">
                <w:txbxContent>
                  <w:p>
                    <w:pPr>
                      <w:spacing w:line="142" w:lineRule="exact" w:before="0"/>
                      <w:ind w:left="0" w:right="0" w:firstLine="0"/>
                      <w:jc w:val="left"/>
                      <w:rPr>
                        <w:rFonts w:ascii="Calibri"/>
                        <w:sz w:val="14"/>
                      </w:rPr>
                    </w:pPr>
                    <w:r>
                      <w:rPr>
                        <w:rFonts w:ascii="Calibri"/>
                        <w:color w:val="404040"/>
                        <w:sz w:val="14"/>
                      </w:rPr>
                      <w:t>5,822</w:t>
                    </w:r>
                  </w:p>
                </w:txbxContent>
              </v:textbox>
              <w10:wrap type="none"/>
            </v:shape>
            <w10:wrap type="none"/>
          </v:group>
        </w:pict>
      </w:r>
      <w:r>
        <w:rPr>
          <w:rFonts w:ascii="Calibri"/>
          <w:color w:val="585858"/>
          <w:sz w:val="14"/>
        </w:rPr>
        <w:t>7,000</w:t>
      </w:r>
    </w:p>
    <w:p>
      <w:pPr>
        <w:pStyle w:val="BodyText"/>
        <w:spacing w:before="7"/>
        <w:rPr>
          <w:rFonts w:ascii="Calibri"/>
          <w:sz w:val="15"/>
        </w:rPr>
      </w:pPr>
    </w:p>
    <w:p>
      <w:pPr>
        <w:spacing w:before="0"/>
        <w:ind w:left="1111" w:right="0" w:firstLine="0"/>
        <w:jc w:val="left"/>
        <w:rPr>
          <w:rFonts w:ascii="Calibri"/>
          <w:sz w:val="14"/>
        </w:rPr>
      </w:pPr>
      <w:r>
        <w:rPr>
          <w:rFonts w:ascii="Calibri"/>
          <w:color w:val="585858"/>
          <w:sz w:val="14"/>
        </w:rPr>
        <w:t>6,000</w:t>
      </w:r>
    </w:p>
    <w:p>
      <w:pPr>
        <w:pStyle w:val="BodyText"/>
        <w:spacing w:before="7"/>
        <w:rPr>
          <w:rFonts w:ascii="Calibri"/>
          <w:sz w:val="9"/>
        </w:rPr>
      </w:pPr>
    </w:p>
    <w:p>
      <w:pPr>
        <w:spacing w:before="73"/>
        <w:ind w:left="1111" w:right="0" w:firstLine="0"/>
        <w:jc w:val="left"/>
        <w:rPr>
          <w:rFonts w:ascii="Calibri"/>
          <w:sz w:val="14"/>
        </w:rPr>
      </w:pPr>
      <w:r>
        <w:rPr>
          <w:rFonts w:ascii="Calibri"/>
          <w:color w:val="585858"/>
          <w:sz w:val="14"/>
        </w:rPr>
        <w:t>5,000</w:t>
      </w:r>
    </w:p>
    <w:p>
      <w:pPr>
        <w:pStyle w:val="BodyText"/>
        <w:spacing w:before="8"/>
        <w:rPr>
          <w:rFonts w:ascii="Calibri"/>
          <w:sz w:val="9"/>
        </w:rPr>
      </w:pPr>
    </w:p>
    <w:p>
      <w:pPr>
        <w:spacing w:before="73"/>
        <w:ind w:left="1111" w:right="0" w:firstLine="0"/>
        <w:jc w:val="left"/>
        <w:rPr>
          <w:rFonts w:ascii="Calibri"/>
          <w:sz w:val="14"/>
        </w:rPr>
      </w:pPr>
      <w:r>
        <w:rPr>
          <w:rFonts w:ascii="Calibri"/>
          <w:color w:val="585858"/>
          <w:sz w:val="14"/>
        </w:rPr>
        <w:t>4,000</w:t>
      </w:r>
    </w:p>
    <w:p>
      <w:pPr>
        <w:pStyle w:val="BodyText"/>
        <w:spacing w:before="7"/>
        <w:rPr>
          <w:rFonts w:ascii="Calibri"/>
          <w:sz w:val="9"/>
        </w:rPr>
      </w:pPr>
    </w:p>
    <w:p>
      <w:pPr>
        <w:spacing w:before="73"/>
        <w:ind w:left="1111" w:right="0" w:firstLine="0"/>
        <w:jc w:val="left"/>
        <w:rPr>
          <w:rFonts w:ascii="Calibri"/>
          <w:sz w:val="14"/>
        </w:rPr>
      </w:pPr>
      <w:r>
        <w:rPr>
          <w:rFonts w:ascii="Calibri"/>
          <w:color w:val="585858"/>
          <w:sz w:val="14"/>
        </w:rPr>
        <w:t>3,000</w:t>
      </w:r>
    </w:p>
    <w:p>
      <w:pPr>
        <w:pStyle w:val="BodyText"/>
        <w:spacing w:before="7"/>
        <w:rPr>
          <w:rFonts w:ascii="Calibri"/>
          <w:sz w:val="9"/>
        </w:rPr>
      </w:pPr>
    </w:p>
    <w:p>
      <w:pPr>
        <w:spacing w:before="74"/>
        <w:ind w:left="1111" w:right="0" w:firstLine="0"/>
        <w:jc w:val="left"/>
        <w:rPr>
          <w:rFonts w:ascii="Calibri"/>
          <w:sz w:val="14"/>
        </w:rPr>
      </w:pPr>
      <w:r>
        <w:rPr>
          <w:rFonts w:ascii="Calibri"/>
          <w:color w:val="585858"/>
          <w:sz w:val="14"/>
        </w:rPr>
        <w:t>2,000</w:t>
      </w:r>
    </w:p>
    <w:p>
      <w:pPr>
        <w:pStyle w:val="BodyText"/>
        <w:spacing w:before="7"/>
        <w:rPr>
          <w:rFonts w:ascii="Calibri"/>
          <w:sz w:val="9"/>
        </w:rPr>
      </w:pPr>
    </w:p>
    <w:p>
      <w:pPr>
        <w:spacing w:before="73"/>
        <w:ind w:left="1111" w:right="0" w:firstLine="0"/>
        <w:jc w:val="left"/>
        <w:rPr>
          <w:rFonts w:ascii="Calibri"/>
          <w:sz w:val="14"/>
        </w:rPr>
      </w:pPr>
      <w:r>
        <w:rPr>
          <w:rFonts w:ascii="Calibri"/>
          <w:color w:val="585858"/>
          <w:sz w:val="14"/>
        </w:rPr>
        <w:t>1,000</w:t>
      </w:r>
    </w:p>
    <w:p>
      <w:pPr>
        <w:pStyle w:val="BodyText"/>
        <w:spacing w:before="7"/>
        <w:rPr>
          <w:rFonts w:ascii="Calibri"/>
          <w:sz w:val="9"/>
        </w:rPr>
      </w:pPr>
    </w:p>
    <w:p>
      <w:pPr>
        <w:spacing w:before="74"/>
        <w:ind w:left="0" w:right="8987" w:firstLine="0"/>
        <w:jc w:val="center"/>
        <w:rPr>
          <w:rFonts w:ascii="Calibri"/>
          <w:sz w:val="14"/>
        </w:rPr>
      </w:pPr>
      <w:r>
        <w:rPr>
          <w:rFonts w:ascii="Calibri"/>
          <w:color w:val="585858"/>
          <w:w w:val="101"/>
          <w:sz w:val="14"/>
        </w:rPr>
        <w:t>0</w:t>
      </w:r>
    </w:p>
    <w:p>
      <w:pPr>
        <w:tabs>
          <w:tab w:pos="824" w:val="left" w:leader="none"/>
          <w:tab w:pos="1648" w:val="left" w:leader="none"/>
          <w:tab w:pos="2472" w:val="left" w:leader="none"/>
          <w:tab w:pos="3296" w:val="left" w:leader="none"/>
          <w:tab w:pos="4120" w:val="left" w:leader="none"/>
        </w:tabs>
        <w:spacing w:before="13"/>
        <w:ind w:left="0" w:right="3710" w:firstLine="0"/>
        <w:jc w:val="center"/>
        <w:rPr>
          <w:rFonts w:ascii="Calibri"/>
          <w:sz w:val="14"/>
        </w:rPr>
      </w:pPr>
      <w:r>
        <w:rPr>
          <w:rFonts w:ascii="Calibri"/>
          <w:color w:val="585858"/>
          <w:sz w:val="14"/>
        </w:rPr>
        <w:t>2018</w:t>
        <w:tab/>
        <w:t>2019</w:t>
        <w:tab/>
        <w:t>2020</w:t>
        <w:tab/>
        <w:t>2021</w:t>
        <w:tab/>
        <w:t>2022</w:t>
        <w:tab/>
        <w:t>2023</w:t>
      </w:r>
    </w:p>
    <w:p>
      <w:pPr>
        <w:spacing w:before="63"/>
        <w:ind w:left="1079" w:right="4790" w:firstLine="0"/>
        <w:jc w:val="center"/>
        <w:rPr>
          <w:rFonts w:ascii="Calibri"/>
          <w:sz w:val="15"/>
        </w:rPr>
      </w:pPr>
      <w:r>
        <w:rPr>
          <w:rFonts w:ascii="Calibri"/>
          <w:color w:val="585858"/>
          <w:sz w:val="15"/>
        </w:rPr>
        <w:t>Year ending 30-June</w:t>
      </w:r>
    </w:p>
    <w:p>
      <w:pPr>
        <w:pStyle w:val="BodyText"/>
        <w:rPr>
          <w:rFonts w:ascii="Calibri"/>
        </w:rPr>
      </w:pPr>
    </w:p>
    <w:p>
      <w:pPr>
        <w:pStyle w:val="BodyText"/>
        <w:spacing w:before="10"/>
        <w:rPr>
          <w:rFonts w:ascii="Calibri"/>
          <w:sz w:val="26"/>
        </w:rPr>
      </w:pPr>
    </w:p>
    <w:p>
      <w:pPr>
        <w:pStyle w:val="Heading4"/>
        <w:spacing w:before="92"/>
      </w:pPr>
      <w:bookmarkStart w:name="People in each class" w:id="158"/>
      <w:bookmarkEnd w:id="158"/>
      <w:r>
        <w:rPr/>
      </w:r>
      <w:r>
        <w:rPr>
          <w:color w:val="DF2F28"/>
        </w:rPr>
        <w:t>People in each class</w:t>
      </w:r>
    </w:p>
    <w:p>
      <w:pPr>
        <w:pStyle w:val="BodyText"/>
        <w:spacing w:before="122"/>
        <w:ind w:left="899" w:right="1020"/>
      </w:pPr>
      <w:r>
        <w:rPr>
          <w:color w:val="404040"/>
        </w:rPr>
        <w:t>The chart below looks at the actual and projected numbers of people in each welfare class. The red and orange bars show the actual number of people in each class for the year ending 30 June 2018, as well as the expected numbers of people in each active class over the period June 2019 to June 2023. We have also included information from the previous June 2017 valuation for comparison: the grey bar shows the actual number of</w:t>
      </w:r>
    </w:p>
    <w:p>
      <w:pPr>
        <w:spacing w:after="0"/>
        <w:sectPr>
          <w:pgSz w:w="11910" w:h="16850"/>
          <w:pgMar w:header="572" w:footer="581" w:top="780" w:bottom="780" w:left="120" w:right="0"/>
        </w:sectPr>
      </w:pPr>
    </w:p>
    <w:p>
      <w:pPr>
        <w:pStyle w:val="BodyText"/>
      </w:pPr>
    </w:p>
    <w:p>
      <w:pPr>
        <w:pStyle w:val="BodyText"/>
      </w:pPr>
    </w:p>
    <w:p>
      <w:pPr>
        <w:pStyle w:val="BodyText"/>
        <w:spacing w:before="7"/>
        <w:rPr>
          <w:sz w:val="21"/>
        </w:rPr>
      </w:pPr>
    </w:p>
    <w:p>
      <w:pPr>
        <w:pStyle w:val="BodyText"/>
        <w:spacing w:before="93"/>
        <w:ind w:left="900" w:right="1263"/>
      </w:pPr>
      <w:r>
        <w:rPr>
          <w:color w:val="404040"/>
        </w:rPr>
        <w:t>people in each class for the year ending 30 June 2017; while the black / grey outline bars show the projected numbers based on the June 2017 valuation.</w:t>
      </w:r>
    </w:p>
    <w:p>
      <w:pPr>
        <w:pStyle w:val="Heading9"/>
        <w:spacing w:before="176"/>
      </w:pPr>
      <w:r>
        <w:rPr>
          <w:color w:val="DF2F1E"/>
        </w:rPr>
        <w:t>Figure 41: Actual and Projected numbers of people in each active welfare class</w:t>
      </w:r>
    </w:p>
    <w:p>
      <w:pPr>
        <w:pStyle w:val="BodyText"/>
        <w:rPr>
          <w:b/>
        </w:rPr>
      </w:pPr>
    </w:p>
    <w:p>
      <w:pPr>
        <w:pStyle w:val="BodyText"/>
        <w:rPr>
          <w:b/>
          <w:sz w:val="12"/>
        </w:rPr>
      </w:pPr>
    </w:p>
    <w:p>
      <w:pPr>
        <w:tabs>
          <w:tab w:pos="8666" w:val="left" w:leader="none"/>
        </w:tabs>
        <w:spacing w:line="145" w:lineRule="exact" w:before="78"/>
        <w:ind w:left="0" w:right="114" w:firstLine="0"/>
        <w:jc w:val="center"/>
        <w:rPr>
          <w:rFonts w:ascii="Calibri"/>
          <w:sz w:val="12"/>
        </w:rPr>
      </w:pPr>
      <w:r>
        <w:rPr>
          <w:rFonts w:ascii="Calibri"/>
          <w:color w:val="585858"/>
          <w:w w:val="105"/>
          <w:sz w:val="12"/>
        </w:rPr>
        <w:t>3,000,000</w:t>
      </w:r>
      <w:r>
        <w:rPr>
          <w:rFonts w:ascii="Calibri"/>
          <w:color w:val="585858"/>
          <w:sz w:val="12"/>
        </w:rPr>
        <w:t>   </w:t>
      </w:r>
      <w:r>
        <w:rPr>
          <w:rFonts w:ascii="Calibri"/>
          <w:color w:val="585858"/>
          <w:spacing w:val="5"/>
          <w:sz w:val="12"/>
        </w:rPr>
        <w:t> </w:t>
      </w:r>
      <w:r>
        <w:rPr>
          <w:rFonts w:ascii="Calibri"/>
          <w:color w:val="585858"/>
          <w:w w:val="105"/>
          <w:sz w:val="12"/>
          <w:u w:val="single" w:color="D9D9D9"/>
        </w:rPr>
        <w:t> </w:t>
      </w:r>
      <w:r>
        <w:rPr>
          <w:rFonts w:ascii="Calibri"/>
          <w:color w:val="585858"/>
          <w:sz w:val="12"/>
          <w:u w:val="single" w:color="D9D9D9"/>
        </w:rPr>
        <w:tab/>
      </w:r>
    </w:p>
    <w:p>
      <w:pPr>
        <w:spacing w:line="157" w:lineRule="exact" w:before="0"/>
        <w:ind w:left="8741" w:right="2151" w:firstLine="0"/>
        <w:jc w:val="center"/>
        <w:rPr>
          <w:rFonts w:ascii="Calibri"/>
          <w:sz w:val="13"/>
        </w:rPr>
      </w:pPr>
      <w:r>
        <w:rPr/>
        <w:pict>
          <v:rect style="position:absolute;margin-left:439.088379pt;margin-top:2.477966pt;width:4.00939pt;height:4.004945pt;mso-position-horizontal-relative:page;mso-position-vertical-relative:paragraph;z-index:252113920" filled="true" fillcolor="#854000" stroked="false">
            <v:fill type="solid"/>
            <w10:wrap type="none"/>
          </v:rect>
        </w:pict>
      </w:r>
      <w:r>
        <w:rPr>
          <w:rFonts w:ascii="Calibri"/>
          <w:color w:val="585858"/>
          <w:w w:val="105"/>
          <w:sz w:val="13"/>
        </w:rPr>
        <w:t>Jun-18 (Actual)</w:t>
      </w:r>
    </w:p>
    <w:p>
      <w:pPr>
        <w:pStyle w:val="BodyText"/>
        <w:spacing w:before="5"/>
        <w:rPr>
          <w:rFonts w:ascii="Calibri"/>
          <w:sz w:val="27"/>
        </w:rPr>
      </w:pPr>
    </w:p>
    <w:p>
      <w:pPr>
        <w:spacing w:before="80"/>
        <w:ind w:left="1501" w:right="0" w:firstLine="0"/>
        <w:jc w:val="left"/>
        <w:rPr>
          <w:rFonts w:ascii="Calibri"/>
          <w:sz w:val="12"/>
        </w:rPr>
      </w:pPr>
      <w:r>
        <w:rPr/>
        <w:pict>
          <v:group style="position:absolute;margin-left:111.726318pt;margin-top:-10.388347pt;width:402.7pt;height:197.75pt;mso-position-horizontal-relative:page;mso-position-vertical-relative:paragraph;z-index:252112896" coordorigin="2235,-208" coordsize="8054,3955">
            <v:shape style="position:absolute;left:9572;top:3031;width:717;height:2" coordorigin="9572,3031" coordsize="717,0" path="m10202,3031l10288,3031m10099,3031l10122,3031m9996,3031l10008,3031m9882,3031l9904,3031m9778,3031l9801,3031m9675,3031l9698,3031m9572,3031l9595,3031e" filled="false" stroked="true" strokeweight=".57224pt" strokecolor="#d9d9d9">
              <v:path arrowok="t"/>
              <v:stroke dashstyle="solid"/>
            </v:shape>
            <v:line style="position:absolute" from="9635,2785" to="9635,3747" stroked="true" strokeweight="4.009707pt" strokecolor="#854000">
              <v:stroke dashstyle="solid"/>
            </v:line>
            <v:line style="position:absolute" from="9738,2820" to="9738,3747" stroked="true" strokeweight="4.009674pt" strokecolor="#b85700">
              <v:stroke dashstyle="solid"/>
            </v:line>
            <v:line style="position:absolute" from="9841,2865" to="9841,3747" stroked="true" strokeweight="4.009665pt" strokecolor="#d26300">
              <v:stroke dashstyle="solid"/>
            </v:line>
            <v:line style="position:absolute" from="9950,2888" to="9950,3747" stroked="true" strokeweight="4.582484pt" strokecolor="#df8358">
              <v:stroke dashstyle="solid"/>
            </v:line>
            <v:line style="position:absolute" from="10053,2923" to="10053,3747" stroked="true" strokeweight="4.582474pt" strokecolor="#ffa351">
              <v:stroke dashstyle="solid"/>
            </v:line>
            <v:shape style="position:absolute;left:7773;top:1600;width:1719;height:1431" coordorigin="7774,1601" coordsize="1719,1431" path="m8404,3031l9492,3031m8301,3031l8324,3031m8197,3031l8220,3031m8094,3031l8117,3031m7991,3031l8014,3031m7888,3031l7911,3031m7774,3031l7797,3031m7888,2310l7911,2310m7774,2310l7797,2310m7888,1601l7911,1601m7774,1601l7797,1601e" filled="false" stroked="true" strokeweight=".57224pt" strokecolor="#d9d9d9">
              <v:path arrowok="t"/>
              <v:stroke dashstyle="solid"/>
            </v:shape>
            <v:line style="position:absolute" from="7842,1538" to="7842,3747" stroked="true" strokeweight="4.582505pt" strokecolor="#854000">
              <v:stroke dashstyle="solid"/>
            </v:line>
            <v:shape style="position:absolute;left:7991;top:1600;width:23;height:710" coordorigin="7991,1601" coordsize="23,710" path="m7991,2310l8014,2310m7991,1601l8014,1601e" filled="false" stroked="true" strokeweight=".57224pt" strokecolor="#d9d9d9">
              <v:path arrowok="t"/>
              <v:stroke dashstyle="solid"/>
            </v:shape>
            <v:line style="position:absolute" from="7951,1480" to="7951,3747" stroked="true" strokeweight="4.009674pt" strokecolor="#b85700">
              <v:stroke dashstyle="solid"/>
            </v:line>
            <v:shape style="position:absolute;left:8094;top:1600;width:23;height:710" coordorigin="8094,1601" coordsize="23,710" path="m8094,2310l8117,2310m8094,1601l8117,1601e" filled="false" stroked="true" strokeweight=".57224pt" strokecolor="#d9d9d9">
              <v:path arrowok="t"/>
              <v:stroke dashstyle="solid"/>
            </v:shape>
            <v:line style="position:absolute" from="8054,1503" to="8054,3747" stroked="true" strokeweight="4.009692pt" strokecolor="#d26300">
              <v:stroke dashstyle="solid"/>
            </v:line>
            <v:shape style="position:absolute;left:8197;top:1600;width:23;height:710" coordorigin="8197,1601" coordsize="23,710" path="m8197,2310l8220,2310m8197,1601l8220,1601e" filled="false" stroked="true" strokeweight=".57224pt" strokecolor="#d9d9d9">
              <v:path arrowok="t"/>
              <v:stroke dashstyle="solid"/>
            </v:shape>
            <v:line style="position:absolute" from="8157,1526" to="8157,3747" stroked="true" strokeweight="4.009687pt" strokecolor="#df8358">
              <v:stroke dashstyle="solid"/>
            </v:line>
            <v:shape style="position:absolute;left:8300;top:1600;width:23;height:710" coordorigin="8301,1601" coordsize="23,710" path="m8301,2310l8324,2310m8301,1601l8324,1601e" filled="false" stroked="true" strokeweight=".57224pt" strokecolor="#d9d9d9">
              <v:path arrowok="t"/>
              <v:stroke dashstyle="solid"/>
            </v:shape>
            <v:line style="position:absolute" from="8261,1549" to="8261,3747" stroked="true" strokeweight="4.009680pt" strokecolor="#ffa351">
              <v:stroke dashstyle="solid"/>
            </v:line>
            <v:shape style="position:absolute;left:6880;top:158;width:814;height:2873" coordorigin="6880,159" coordsize="814,2873" path="m7510,3031l7693,3031m7407,3031l7430,3031m7304,3031l7327,3031m7201,3031l7224,3031m7098,3031l7121,3031m6983,3031l7006,3031m6880,3031l6903,3031m6983,2310l7006,2310m6880,2310l6903,2310m6983,1601l7006,1601m6880,1601l6903,1601m6983,880l7006,880m6880,880l6903,880m6983,159l7006,159m6880,159l6903,159e" filled="false" stroked="true" strokeweight=".57224pt" strokecolor="#d9d9d9">
              <v:path arrowok="t"/>
              <v:stroke dashstyle="solid"/>
            </v:shape>
            <v:line style="position:absolute" from="6943,153" to="6943,3747" stroked="true" strokeweight="4.009707pt" strokecolor="#854000">
              <v:stroke dashstyle="solid"/>
            </v:line>
            <v:shape style="position:absolute;left:7097;top:158;width:23;height:2152" coordorigin="7098,159" coordsize="23,2152" path="m7098,2310l7121,2310m7098,1601l7121,1601m7098,880l7121,880m7098,159l7121,159e" filled="false" stroked="true" strokeweight=".57224pt" strokecolor="#d9d9d9">
              <v:path arrowok="t"/>
              <v:stroke dashstyle="solid"/>
            </v:shape>
            <v:line style="position:absolute" from="7052,96" to="7052,3747" stroked="true" strokeweight="4.58249pt" strokecolor="#b85700">
              <v:stroke dashstyle="solid"/>
            </v:line>
            <v:shape style="position:absolute;left:7200;top:158;width:23;height:2152" coordorigin="7201,159" coordsize="23,2152" path="m7201,2310l7224,2310m7201,1601l7224,1601m7201,880l7224,880m7201,159l7224,159e" filled="false" stroked="true" strokeweight=".57224pt" strokecolor="#d9d9d9">
              <v:path arrowok="t"/>
              <v:stroke dashstyle="solid"/>
            </v:shape>
            <v:line style="position:absolute" from="7161,96" to="7161,3747" stroked="true" strokeweight="4.009665pt" strokecolor="#d26300">
              <v:stroke dashstyle="solid"/>
            </v:line>
            <v:shape style="position:absolute;left:7303;top:158;width:23;height:2152" coordorigin="7304,159" coordsize="23,2152" path="m7304,2310l7327,2310m7304,1601l7327,1601m7304,880l7327,880m7304,159l7327,159e" filled="false" stroked="true" strokeweight=".57224pt" strokecolor="#d9d9d9">
              <v:path arrowok="t"/>
              <v:stroke dashstyle="solid"/>
            </v:shape>
            <v:line style="position:absolute" from="7264,27" to="7264,3747" stroked="true" strokeweight="4.00966pt" strokecolor="#df8358">
              <v:stroke dashstyle="solid"/>
            </v:line>
            <v:shape style="position:absolute;left:7407;top:158;width:23;height:2152" coordorigin="7407,159" coordsize="23,2152" path="m7407,2310l7430,2310m7407,1601l7430,1601m7407,880l7430,880m7407,159l7430,159e" filled="false" stroked="true" strokeweight=".57224pt" strokecolor="#d9d9d9">
              <v:path arrowok="t"/>
              <v:stroke dashstyle="solid"/>
            </v:shape>
            <v:line style="position:absolute" from="7367,27" to="7367,3747" stroked="true" strokeweight="4.009680pt" strokecolor="#ffa351">
              <v:stroke dashstyle="solid"/>
            </v:line>
            <v:shape style="position:absolute;left:7510;top:158;width:1054;height:2152" coordorigin="7510,159" coordsize="1054,2152" path="m7510,2310l7693,2310m7510,1601l7693,1601m7510,880l8564,880m7510,159l8564,159e" filled="false" stroked="true" strokeweight=".57224pt" strokecolor="#d9d9d9">
              <v:path arrowok="t"/>
              <v:stroke dashstyle="solid"/>
            </v:shape>
            <v:line style="position:absolute" from="7470,-42" to="7470,3747" stroked="true" strokeweight="4.009685pt" strokecolor="#ffc28a">
              <v:stroke dashstyle="solid"/>
            </v:line>
            <v:shape style="position:absolute;left:8403;top:1600;width:1885;height:710" coordorigin="8404,1601" coordsize="1885,710" path="m8404,2310l10288,2310m8404,1601l10288,1601e" filled="false" stroked="true" strokeweight=".57224pt" strokecolor="#d9d9d9">
              <v:path arrowok="t"/>
              <v:stroke dashstyle="solid"/>
            </v:shape>
            <v:line style="position:absolute" from="8364,1561" to="8364,3747" stroked="true" strokeweight="4.009713pt" strokecolor="#ffc28a">
              <v:stroke dashstyle="solid"/>
            </v:line>
            <v:line style="position:absolute" from="8742,3438" to="8742,3747" stroked="true" strokeweight="4.009681pt" strokecolor="#854000">
              <v:stroke dashstyle="solid"/>
            </v:line>
            <v:line style="position:absolute" from="8845,3426" to="8845,3747" stroked="true" strokeweight="4.009674pt" strokecolor="#b85700">
              <v:stroke dashstyle="solid"/>
            </v:line>
            <v:line style="position:absolute" from="8948,3426" to="8948,3747" stroked="true" strokeweight="4.009665pt" strokecolor="#d26300">
              <v:stroke dashstyle="solid"/>
            </v:line>
            <v:line style="position:absolute" from="9051,3426" to="9051,3747" stroked="true" strokeweight="4.00966pt" strokecolor="#df8358">
              <v:stroke dashstyle="solid"/>
            </v:line>
            <v:line style="position:absolute" from="9160,3415" to="9160,3747" stroked="true" strokeweight="4.582474pt" strokecolor="#ffa351">
              <v:stroke dashstyle="solid"/>
            </v:line>
            <v:line style="position:absolute" from="9263,3415" to="9263,3747" stroked="true" strokeweight="4.582511pt" strokecolor="#ffc28a">
              <v:stroke dashstyle="solid"/>
            </v:line>
            <v:line style="position:absolute" from="10162,2945" to="10162,3747" stroked="true" strokeweight="4.009685pt" strokecolor="#ffc28a">
              <v:stroke dashstyle="solid"/>
            </v:line>
            <v:shape style="position:absolute;left:5986;top:3031;width:814;height:2" coordorigin="5986,3031" coordsize="814,0" path="m6617,3031l6800,3031m6513,3031l6536,3031m6410,3031l6433,3031m6307,3031l6319,3031m6193,3031l6216,3031m6090,3031l6112,3031m5986,3031l6009,3031e" filled="false" stroked="true" strokeweight=".57224pt" strokecolor="#d9d9d9">
              <v:path arrowok="t"/>
              <v:stroke dashstyle="solid"/>
            </v:shape>
            <v:line style="position:absolute" from="6049,2648" to="6049,3747" stroked="true" strokeweight="4.009694pt" strokecolor="#854000">
              <v:stroke dashstyle="solid"/>
            </v:line>
            <v:line style="position:absolute" from="6153,2671" to="6153,3747" stroked="true" strokeweight="4.00966pt" strokecolor="#b85700">
              <v:stroke dashstyle="solid"/>
            </v:line>
            <v:line style="position:absolute" from="6261,2671" to="6261,3747" stroked="true" strokeweight="4.582489pt" strokecolor="#d26300">
              <v:stroke dashstyle="solid"/>
            </v:line>
            <v:line style="position:absolute" from="6364,2694" to="6364,3747" stroked="true" strokeweight="4.582498pt" strokecolor="#df8358">
              <v:stroke dashstyle="solid"/>
            </v:line>
            <v:line style="position:absolute" from="6473,2694" to="6473,3747" stroked="true" strokeweight="4.009680pt" strokecolor="#ffa351">
              <v:stroke dashstyle="solid"/>
            </v:line>
            <v:shape style="position:absolute;left:3294;top:2310;width:2613;height:722" coordorigin="3294,2310" coordsize="2613,722" path="m3936,3031l5906,3031m3821,3031l3844,3031m3718,3031l3741,3031m3615,3031l3638,3031m3512,3031l3535,3031m3409,3031l3432,3031m3294,3031l3317,3031m3409,2310l3432,2310m3294,2310l3317,2310e" filled="false" stroked="true" strokeweight=".57224pt" strokecolor="#d9d9d9">
              <v:path arrowok="t"/>
              <v:stroke dashstyle="solid"/>
            </v:shape>
            <v:line style="position:absolute" from="3363,1984" to="3363,3747" stroked="true" strokeweight="4.582505pt" strokecolor="#854000">
              <v:stroke dashstyle="solid"/>
            </v:line>
            <v:line style="position:absolute" from="3512,2310" to="3535,2310" stroked="true" strokeweight=".57224pt" strokecolor="#d9d9d9">
              <v:stroke dashstyle="solid"/>
            </v:line>
            <v:line style="position:absolute" from="3472,2030" to="3472,3747" stroked="true" strokeweight="4.009674pt" strokecolor="#b85700">
              <v:stroke dashstyle="solid"/>
            </v:line>
            <v:line style="position:absolute" from="3615,2310" to="3638,2310" stroked="true" strokeweight=".57224pt" strokecolor="#d9d9d9">
              <v:stroke dashstyle="solid"/>
            </v:line>
            <v:line style="position:absolute" from="3575,2007" to="3575,3747" stroked="true" strokeweight="4.009678pt" strokecolor="#d26300">
              <v:stroke dashstyle="solid"/>
            </v:line>
            <v:line style="position:absolute" from="3718,2310" to="3741,2310" stroked="true" strokeweight=".57224pt" strokecolor="#d9d9d9">
              <v:stroke dashstyle="solid"/>
            </v:line>
            <v:line style="position:absolute" from="3678,1996" to="3678,3747" stroked="true" strokeweight="4.009674pt" strokecolor="#df8358">
              <v:stroke dashstyle="solid"/>
            </v:line>
            <v:line style="position:absolute" from="3821,2310" to="3844,2310" stroked="true" strokeweight=".57224pt" strokecolor="#d9d9d9">
              <v:stroke dashstyle="solid"/>
            </v:line>
            <v:line style="position:absolute" from="3781,1996" to="3781,3747" stroked="true" strokeweight="4.009680pt" strokecolor="#ffa351">
              <v:stroke dashstyle="solid"/>
            </v:line>
            <v:line style="position:absolute" from="3936,2310" to="6800,2310" stroked="true" strokeweight=".57224pt" strokecolor="#d9d9d9">
              <v:stroke dashstyle="solid"/>
            </v:line>
            <v:line style="position:absolute" from="3890,2007" to="3890,3747" stroked="true" strokeweight="4.582498pt" strokecolor="#ffc28a">
              <v:stroke dashstyle="solid"/>
            </v:line>
            <v:line style="position:absolute" from="4262,3197" to="4262,3747" stroked="true" strokeweight="4.009694pt" strokecolor="#854000">
              <v:stroke dashstyle="solid"/>
            </v:line>
            <v:line style="position:absolute" from="4365,3209" to="4365,3747" stroked="true" strokeweight="4.009674pt" strokecolor="#b85700">
              <v:stroke dashstyle="solid"/>
            </v:line>
            <v:line style="position:absolute" from="4468,3232" to="4468,3747" stroked="true" strokeweight="4.009678pt" strokecolor="#d26300">
              <v:stroke dashstyle="solid"/>
            </v:line>
            <v:line style="position:absolute" from="4572,3243" to="4572,3747" stroked="true" strokeweight="4.009674pt" strokecolor="#df8358">
              <v:stroke dashstyle="solid"/>
            </v:line>
            <v:line style="position:absolute" from="4680,3243" to="4680,3747" stroked="true" strokeweight="4.582501pt" strokecolor="#ffa351">
              <v:stroke dashstyle="solid"/>
            </v:line>
            <v:line style="position:absolute" from="4784,3254" to="4784,3747" stroked="true" strokeweight="4.582511pt" strokecolor="#ffc28a">
              <v:stroke dashstyle="solid"/>
            </v:line>
            <v:line style="position:absolute" from="5156,3323" to="5156,3747" stroked="true" strokeweight="4.009681pt" strokecolor="#854000">
              <v:stroke dashstyle="solid"/>
            </v:line>
            <v:line style="position:absolute" from="5259,3312" to="5259,3747" stroked="true" strokeweight="4.009674pt" strokecolor="#b85700">
              <v:stroke dashstyle="solid"/>
            </v:line>
            <v:line style="position:absolute" from="5362,3300" to="5362,3747" stroked="true" strokeweight="4.009678pt" strokecolor="#d26300">
              <v:stroke dashstyle="solid"/>
            </v:line>
            <v:line style="position:absolute" from="5471,3289" to="5471,3747" stroked="true" strokeweight="4.582484pt" strokecolor="#df8358">
              <v:stroke dashstyle="solid"/>
            </v:line>
            <v:line style="position:absolute" from="5574,3277" to="5574,3747" stroked="true" strokeweight="4.582487pt" strokecolor="#ffa351">
              <v:stroke dashstyle="solid"/>
            </v:line>
            <v:line style="position:absolute" from="5683,3277" to="5683,3747" stroked="true" strokeweight="4.009699pt" strokecolor="#ffc28a">
              <v:stroke dashstyle="solid"/>
            </v:line>
            <v:line style="position:absolute" from="6576,2705" to="6576,3747" stroked="true" strokeweight="4.009685pt" strokecolor="#ffc28a">
              <v:stroke dashstyle="solid"/>
            </v:line>
            <v:shape style="position:absolute;left:2234;top:2310;width:980;height:722" coordorigin="2235,2310" coordsize="980,722" path="m2235,3031l3214,3031m2235,2310l3214,2310e" filled="false" stroked="true" strokeweight=".57224pt" strokecolor="#d9d9d9">
              <v:path arrowok="t"/>
              <v:stroke dashstyle="solid"/>
            </v:shape>
            <v:line style="position:absolute" from="3254,1870" to="3254,3747" stroked="true" strokeweight="4.009686pt" strokecolor="#7e7e7e">
              <v:stroke dashstyle="solid"/>
            </v:line>
            <v:line style="position:absolute" from="4153,3129" to="4153,3747" stroked="true" strokeweight="4.582498pt" strokecolor="#7e7e7e">
              <v:stroke dashstyle="solid"/>
            </v:line>
            <v:line style="position:absolute" from="5053,3346" to="5053,3747" stroked="true" strokeweight="4.009686pt" strokecolor="#7e7e7e">
              <v:stroke dashstyle="solid"/>
            </v:line>
            <v:line style="position:absolute" from="5946,2648" to="5946,3747" stroked="true" strokeweight="4.009699pt" strokecolor="#7e7e7e">
              <v:stroke dashstyle="solid"/>
            </v:line>
            <v:shape style="position:absolute;left:2234;top:158;width:4566;height:1443" coordorigin="2235,159" coordsize="4566,1443" path="m2235,1601l6800,1601m2235,880l6800,880m2235,159l6800,159e" filled="false" stroked="true" strokeweight=".57224pt" strokecolor="#d9d9d9">
              <v:path arrowok="t"/>
              <v:stroke dashstyle="solid"/>
            </v:shape>
            <v:line style="position:absolute" from="6840,-7" to="6840,3747" stroked="true" strokeweight="4.009686pt" strokecolor="#7e7e7e">
              <v:stroke dashstyle="solid"/>
            </v:line>
            <v:line style="position:absolute" from="7734,1538" to="7734,3747" stroked="true" strokeweight="4.009686pt" strokecolor="#7e7e7e">
              <v:stroke dashstyle="solid"/>
            </v:line>
            <v:line style="position:absolute" from="8633,3460" to="8633,3747" stroked="true" strokeweight="4.582498pt" strokecolor="#7e7e7e">
              <v:stroke dashstyle="solid"/>
            </v:line>
            <v:line style="position:absolute" from="9532,2900" to="9532,3747" stroked="true" strokeweight="4.009686pt" strokecolor="#7e7e7e">
              <v:stroke dashstyle="solid"/>
            </v:line>
            <v:line style="position:absolute" from="2464,3232" to="2464,3747" stroked="true" strokeweight="4.009694pt" strokecolor="#854000">
              <v:stroke dashstyle="solid"/>
            </v:line>
            <v:line style="position:absolute" from="2572,3243" to="2572,3747" stroked="true" strokeweight="4.582476pt" strokecolor="#b85700">
              <v:stroke dashstyle="solid"/>
            </v:line>
            <v:line style="position:absolute" from="2681,3254" to="2681,3747" stroked="true" strokeweight="4.009678pt" strokecolor="#d26300">
              <v:stroke dashstyle="solid"/>
            </v:line>
            <v:line style="position:absolute" from="2784,3254" to="2784,3747" stroked="true" strokeweight="4.009674pt" strokecolor="#df8358">
              <v:stroke dashstyle="solid"/>
            </v:line>
            <v:line style="position:absolute" from="2888,3266" to="2888,3747" stroked="true" strokeweight="4.009680pt" strokecolor="#ffa351">
              <v:stroke dashstyle="solid"/>
            </v:line>
            <v:line style="position:absolute" from="2991,3266" to="2991,3747" stroked="true" strokeweight="4.009685pt" strokecolor="#ffc28a">
              <v:stroke dashstyle="solid"/>
            </v:line>
            <v:line style="position:absolute" from="2361,3209" to="2361,3747" stroked="true" strokeweight="4.009686pt" strokecolor="#7e7e7e">
              <v:stroke dashstyle="solid"/>
            </v:line>
            <v:shape style="position:absolute;left:14855;top:-314390;width:552276;height:275264" coordorigin="14856,-314390" coordsize="552276,275264" path="m2429,3192l2509,3192,2509,3741,2429,3741,2429,3192xm3323,1841l3403,1841,3403,3741,3323,3741,3323,1841xm4216,3123l4297,3123,4297,3741,4216,3741,4216,3123xm5110,3329l5190,3329,5190,3741,5110,3741,5110,3329xm6004,2642l6095,2642,6095,3741,6004,3741,6004,2642xm6909,136l6989,136,6989,3741,6909,3741,6909,136xm7802,1543l7882,1543,7882,3741,7802,3741,7802,1543xm8696,3443l8776,3443,8776,3741,8696,3741,8696,3443xm9589,2768l9670,2768,9670,3741,9589,3741,9589,2768xe" filled="false" stroked="true" strokeweight=".572533pt" strokecolor="#000000">
              <v:path arrowok="t"/>
              <v:stroke dashstyle="solid"/>
            </v:shape>
            <v:shape style="position:absolute;left:22411;top:-309942;width:545641;height:278424" coordorigin="22412,-309941" coordsize="545641,278424" path="m2532,3214l2613,3214,2613,3741,2532,3741,2532,3214xm3426,1864l3506,1864,3506,3741,3426,3741,3426,1864xm4320,3123l4400,3123,4400,3741,4320,3741,4320,3123xm5213,3306l5305,3306,5305,3741,5213,3741,5213,3306xm6118,2654l6198,2654,6198,3741,6118,3741,6118,2654xm7012,44l7092,44,7092,3741,7012,3741,7012,44xm7905,1509l7986,1509,7986,3741,7905,3741,7905,1509xm8799,3443l8879,3443,8879,3741,8799,3741,8799,3443xm9693,2860l9784,2860,9784,3741,9693,3741,9693,2860xe" filled="false" stroked="true" strokeweight=".572534pt" strokecolor="#404040">
              <v:path arrowok="t"/>
              <v:stroke dashstyle="solid"/>
            </v:shape>
            <v:shape style="position:absolute;left:29899;top:-307043;width:540747;height:277635" coordorigin="29899,-307042" coordsize="540747,277635" path="m2635,3226l2716,3226,2716,3741,2635,3741,2635,3226xm3529,1852l3609,1852,3609,3741,3529,3741,3529,1852xm4423,3123l4514,3123,4514,3741,4423,3741,4423,3123xm5328,3283l5408,3283,5408,3741,5328,3741,5328,3283xm6221,2642l6301,2642,6301,3741,6221,3741,6221,2642xm7115,21l7195,21,7195,3741,7115,3741,7115,21xm8008,1543l8089,1543,8089,3741,8008,3741,8008,1543xm8902,3432l8994,3432,8994,3741,8902,3741,8902,3432xm9807,2883l9887,2883,9887,3741,9807,3741,9807,2883xe" filled="false" stroked="true" strokeweight=".572529pt" strokecolor="#585858">
              <v:path arrowok="t"/>
              <v:stroke dashstyle="solid"/>
            </v:shape>
            <v:shape style="position:absolute;left:37253;top:-304195;width:535940;height:281940" coordorigin="37253,-304195" coordsize="535940,281940" path="m2739,3226l2819,3226,2819,3741,2739,3741,2739,3226xm3632,1898l3724,1898,3724,3741,3632,3741,3632,1898xm4537,3123l4617,3123,4617,3741,4537,3741,4537,3123xm5431,3272l5511,3272,5511,3741,5431,3741,5431,3272xm6324,2642l6405,2642,6405,3741,6324,3741,6324,2642xm7218,-70l7298,-70,7298,3741,7218,3741,7218,-70xm8112,1555l8203,1555,8203,3741,8112,3741,8112,1555xm9017,3432l9097,3432,9097,3741,9017,3741,9017,3432xm9910,2905l9990,2905,9990,3741,9910,3741,9910,2905xe" filled="false" stroked="true" strokeweight=".572524pt" strokecolor="#7e7e7e">
              <v:path arrowok="t"/>
              <v:stroke dashstyle="solid"/>
            </v:shape>
            <v:shape style="position:absolute;left:44282;top:-300017;width:528889;height:279902" coordorigin="44283,-300017" coordsize="528889,279902" path="m2842,3226l2933,3226,2933,3741,2842,3741,2842,3226xm3747,1921l3827,1921,3827,3741,3747,3741,3747,1921xm4640,3111l4721,3111,4721,3741,4640,3741,4640,3111xm5534,3260l5614,3260,5614,3741,5534,3741,5534,3260xm6428,2631l6508,2631,6508,3741,6428,3741,6428,2631xm7321,-93l7413,-93,7413,3741,7321,3741,7321,-93xm8226,1566l8306,1566,8306,3741,8226,3741,8226,1566xm9120,3420l9200,3420,9200,3741,9120,3741,9120,3420xm10013,2928l10094,2928,10094,3741,10013,3741,10013,2928xe" filled="false" stroked="true" strokeweight=".572525pt" strokecolor="#878787">
              <v:path arrowok="t"/>
              <v:stroke dashstyle="solid"/>
            </v:shape>
            <v:shape style="position:absolute;left:52180;top:-297293;width:523461;height:284094" coordorigin="52180,-297292" coordsize="523461,284094" path="m2956,3226l3036,3226,3036,3741,2956,3741,2956,3226xm3850,1944l3930,1944,3930,3741,3850,3741,3850,1944xm4743,3111l4824,3111,4824,3741,4743,3741,4743,3111xm5637,3249l5717,3249,5717,3741,5637,3741,5637,3249xm6531,2642l6622,2642,6622,3741,6531,3741,6531,2642xm7436,-185l7516,-185,7516,3741,7436,3741,7436,-185xm8329,1578l8409,1578,8409,3741,8329,3741,8329,1578xm9223,3420l9303,3420,9303,3741,9223,3741,9223,3420xm10116,2963l10197,2963,10197,3741,10116,3741,10116,2963xe" filled="false" stroked="true" strokeweight=".572529pt" strokecolor="#a6a6a6">
              <v:path arrowok="t"/>
              <v:stroke dashstyle="solid"/>
            </v:shape>
            <v:line style="position:absolute" from="2235,3741" to="10288,3741" stroked="true" strokeweight=".572243pt" strokecolor="#d9d9d9">
              <v:stroke dashstyle="solid"/>
            </v:line>
            <v:rect style="position:absolute;left:8781;top:-180;width:81;height:81" filled="true" fillcolor="#b85700" stroked="false">
              <v:fill type="solid"/>
            </v:rect>
            <v:rect style="position:absolute;left:8781;top:84;width:81;height:81" filled="true" fillcolor="#d26300" stroked="false">
              <v:fill type="solid"/>
            </v:rect>
            <v:rect style="position:absolute;left:8781;top:347;width:81;height:81" filled="true" fillcolor="#df8358" stroked="false">
              <v:fill type="solid"/>
            </v:rect>
            <v:rect style="position:absolute;left:8781;top:622;width:81;height:69" filled="true" fillcolor="#ffa351" stroked="false">
              <v:fill type="solid"/>
            </v:rect>
            <v:rect style="position:absolute;left:8781;top:885;width:81;height:69" filled="true" fillcolor="#ffc28a" stroked="false">
              <v:fill type="solid"/>
            </v:rect>
            <v:rect style="position:absolute;left:8781;top:1148;width:81;height:69" filled="true" fillcolor="#7e7e7e" stroked="false">
              <v:fill type="solid"/>
            </v:rect>
            <v:rect style="position:absolute;left:8787;top:1406;width:69;height:81" filled="false" stroked="true" strokeweight=".572501pt" strokecolor="#000000">
              <v:stroke dashstyle="solid"/>
            </v:rect>
            <v:shape style="position:absolute;left:2234;top:-208;width:8054;height:3955" type="#_x0000_t202" filled="false" stroked="false">
              <v:textbox inset="0,0,0,0">
                <w:txbxContent>
                  <w:p>
                    <w:pPr>
                      <w:spacing w:line="138" w:lineRule="exact" w:before="0"/>
                      <w:ind w:left="0" w:right="1026" w:firstLine="0"/>
                      <w:jc w:val="right"/>
                      <w:rPr>
                        <w:rFonts w:ascii="Calibri"/>
                        <w:sz w:val="13"/>
                      </w:rPr>
                    </w:pPr>
                    <w:r>
                      <w:rPr>
                        <w:rFonts w:ascii="Calibri"/>
                        <w:color w:val="585858"/>
                        <w:spacing w:val="-1"/>
                        <w:w w:val="105"/>
                        <w:sz w:val="13"/>
                      </w:rPr>
                      <w:t>Jun-19</w:t>
                    </w:r>
                  </w:p>
                  <w:p>
                    <w:pPr>
                      <w:spacing w:line="400" w:lineRule="auto" w:before="105"/>
                      <w:ind w:left="6658" w:right="1026" w:firstLine="0"/>
                      <w:jc w:val="both"/>
                      <w:rPr>
                        <w:rFonts w:ascii="Calibri"/>
                        <w:sz w:val="13"/>
                      </w:rPr>
                    </w:pPr>
                    <w:r>
                      <w:rPr>
                        <w:rFonts w:ascii="Calibri"/>
                        <w:color w:val="585858"/>
                        <w:spacing w:val="-1"/>
                        <w:w w:val="105"/>
                        <w:sz w:val="13"/>
                      </w:rPr>
                      <w:t>Jun-20 Jun-21 Jun-22 Jun-23</w:t>
                    </w:r>
                  </w:p>
                  <w:p>
                    <w:pPr>
                      <w:spacing w:line="400" w:lineRule="auto" w:before="0"/>
                      <w:ind w:left="6658" w:right="103" w:firstLine="0"/>
                      <w:jc w:val="both"/>
                      <w:rPr>
                        <w:rFonts w:ascii="Calibri"/>
                        <w:sz w:val="13"/>
                      </w:rPr>
                    </w:pPr>
                    <w:r>
                      <w:rPr>
                        <w:rFonts w:ascii="Calibri"/>
                        <w:color w:val="585858"/>
                        <w:w w:val="105"/>
                        <w:sz w:val="13"/>
                      </w:rPr>
                      <w:t>J1J val - Jun-17 (Actual) J17 val - projected</w:t>
                    </w:r>
                  </w:p>
                </w:txbxContent>
              </v:textbox>
              <w10:wrap type="none"/>
            </v:shape>
            <w10:wrap type="none"/>
          </v:group>
        </w:pict>
      </w:r>
      <w:r>
        <w:rPr>
          <w:rFonts w:ascii="Calibri"/>
          <w:color w:val="585858"/>
          <w:w w:val="105"/>
          <w:sz w:val="12"/>
        </w:rPr>
        <w:t>2,500,000</w:t>
      </w:r>
    </w:p>
    <w:p>
      <w:pPr>
        <w:pStyle w:val="BodyText"/>
        <w:rPr>
          <w:rFonts w:ascii="Calibri"/>
        </w:rPr>
      </w:pPr>
    </w:p>
    <w:p>
      <w:pPr>
        <w:pStyle w:val="BodyText"/>
        <w:spacing w:before="2"/>
        <w:rPr>
          <w:rFonts w:ascii="Calibri"/>
        </w:rPr>
      </w:pPr>
    </w:p>
    <w:p>
      <w:pPr>
        <w:spacing w:before="80"/>
        <w:ind w:left="1501" w:right="0" w:firstLine="0"/>
        <w:jc w:val="left"/>
        <w:rPr>
          <w:rFonts w:ascii="Calibri"/>
          <w:sz w:val="12"/>
        </w:rPr>
      </w:pPr>
      <w:r>
        <w:rPr/>
        <w:pict>
          <v:shape style="position:absolute;margin-left:65.004425pt;margin-top:2.435394pt;width:8.9pt;height:54.8pt;mso-position-horizontal-relative:page;mso-position-vertical-relative:paragraph;z-index:252114944" type="#_x0000_t202" filled="false" stroked="false">
            <v:textbox inset="0,0,0,0" style="layout-flow:vertical;mso-layout-flow-alt:bottom-to-top">
              <w:txbxContent>
                <w:p>
                  <w:pPr>
                    <w:spacing w:line="158" w:lineRule="exact" w:before="0"/>
                    <w:ind w:left="20" w:right="0" w:firstLine="0"/>
                    <w:jc w:val="left"/>
                    <w:rPr>
                      <w:rFonts w:ascii="Calibri"/>
                      <w:sz w:val="13"/>
                    </w:rPr>
                  </w:pPr>
                  <w:r>
                    <w:rPr>
                      <w:rFonts w:ascii="Calibri"/>
                      <w:color w:val="585858"/>
                      <w:w w:val="105"/>
                      <w:sz w:val="13"/>
                    </w:rPr>
                    <w:t>Number of People</w:t>
                  </w:r>
                </w:p>
              </w:txbxContent>
            </v:textbox>
            <w10:wrap type="none"/>
          </v:shape>
        </w:pict>
      </w:r>
      <w:r>
        <w:rPr>
          <w:rFonts w:ascii="Calibri"/>
          <w:color w:val="585858"/>
          <w:w w:val="105"/>
          <w:sz w:val="12"/>
        </w:rPr>
        <w:t>2,000,000</w:t>
      </w:r>
    </w:p>
    <w:p>
      <w:pPr>
        <w:pStyle w:val="BodyText"/>
        <w:rPr>
          <w:rFonts w:ascii="Calibri"/>
        </w:rPr>
      </w:pPr>
    </w:p>
    <w:p>
      <w:pPr>
        <w:pStyle w:val="BodyText"/>
        <w:spacing w:before="2"/>
        <w:rPr>
          <w:rFonts w:ascii="Calibri"/>
        </w:rPr>
      </w:pPr>
    </w:p>
    <w:p>
      <w:pPr>
        <w:spacing w:before="81"/>
        <w:ind w:left="1501" w:right="0" w:firstLine="0"/>
        <w:jc w:val="left"/>
        <w:rPr>
          <w:rFonts w:ascii="Calibri"/>
          <w:sz w:val="12"/>
        </w:rPr>
      </w:pPr>
      <w:r>
        <w:rPr>
          <w:rFonts w:ascii="Calibri"/>
          <w:color w:val="585858"/>
          <w:w w:val="105"/>
          <w:sz w:val="12"/>
        </w:rPr>
        <w:t>1,500,000</w:t>
      </w:r>
    </w:p>
    <w:p>
      <w:pPr>
        <w:pStyle w:val="BodyText"/>
        <w:rPr>
          <w:rFonts w:ascii="Calibri"/>
        </w:rPr>
      </w:pPr>
    </w:p>
    <w:p>
      <w:pPr>
        <w:pStyle w:val="BodyText"/>
        <w:spacing w:before="2"/>
        <w:rPr>
          <w:rFonts w:ascii="Calibri"/>
        </w:rPr>
      </w:pPr>
    </w:p>
    <w:p>
      <w:pPr>
        <w:spacing w:before="80"/>
        <w:ind w:left="1501" w:right="0" w:firstLine="0"/>
        <w:jc w:val="left"/>
        <w:rPr>
          <w:rFonts w:ascii="Calibri"/>
          <w:sz w:val="12"/>
        </w:rPr>
      </w:pPr>
      <w:r>
        <w:rPr>
          <w:rFonts w:ascii="Calibri"/>
          <w:color w:val="585858"/>
          <w:w w:val="105"/>
          <w:sz w:val="12"/>
        </w:rPr>
        <w:t>1,000,000</w:t>
      </w:r>
    </w:p>
    <w:p>
      <w:pPr>
        <w:pStyle w:val="BodyText"/>
        <w:rPr>
          <w:rFonts w:ascii="Calibri"/>
        </w:rPr>
      </w:pPr>
    </w:p>
    <w:p>
      <w:pPr>
        <w:pStyle w:val="BodyText"/>
        <w:spacing w:before="2"/>
        <w:rPr>
          <w:rFonts w:ascii="Calibri"/>
        </w:rPr>
      </w:pPr>
    </w:p>
    <w:p>
      <w:pPr>
        <w:spacing w:before="80"/>
        <w:ind w:left="1593" w:right="0" w:firstLine="0"/>
        <w:jc w:val="left"/>
        <w:rPr>
          <w:rFonts w:ascii="Calibri"/>
          <w:sz w:val="12"/>
        </w:rPr>
      </w:pPr>
      <w:r>
        <w:rPr>
          <w:rFonts w:ascii="Calibri"/>
          <w:color w:val="585858"/>
          <w:w w:val="105"/>
          <w:sz w:val="12"/>
        </w:rPr>
        <w:t>500,000</w:t>
      </w:r>
    </w:p>
    <w:p>
      <w:pPr>
        <w:pStyle w:val="BodyText"/>
        <w:rPr>
          <w:rFonts w:ascii="Calibri"/>
        </w:rPr>
      </w:pPr>
    </w:p>
    <w:p>
      <w:pPr>
        <w:pStyle w:val="BodyText"/>
        <w:spacing w:before="2"/>
        <w:rPr>
          <w:rFonts w:ascii="Calibri"/>
        </w:rPr>
      </w:pPr>
    </w:p>
    <w:p>
      <w:pPr>
        <w:spacing w:after="0"/>
        <w:rPr>
          <w:rFonts w:ascii="Calibri"/>
        </w:rPr>
        <w:sectPr>
          <w:pgSz w:w="11910" w:h="16850"/>
          <w:pgMar w:header="572" w:footer="581" w:top="780" w:bottom="780" w:left="120" w:right="0"/>
        </w:sectPr>
      </w:pPr>
    </w:p>
    <w:p>
      <w:pPr>
        <w:spacing w:before="81"/>
        <w:ind w:left="1934" w:right="0" w:firstLine="0"/>
        <w:jc w:val="left"/>
        <w:rPr>
          <w:rFonts w:ascii="Calibri"/>
          <w:sz w:val="12"/>
        </w:rPr>
      </w:pPr>
      <w:r>
        <w:rPr>
          <w:rFonts w:ascii="Calibri"/>
          <w:color w:val="585858"/>
          <w:w w:val="105"/>
          <w:sz w:val="12"/>
        </w:rPr>
        <w:t>0</w:t>
      </w:r>
    </w:p>
    <w:p>
      <w:pPr>
        <w:tabs>
          <w:tab w:pos="1821" w:val="left" w:leader="none"/>
          <w:tab w:pos="2750" w:val="left" w:leader="none"/>
          <w:tab w:pos="3569" w:val="left" w:leader="none"/>
        </w:tabs>
        <w:spacing w:before="24"/>
        <w:ind w:left="0" w:right="0" w:firstLine="0"/>
        <w:jc w:val="right"/>
        <w:rPr>
          <w:rFonts w:ascii="Calibri"/>
          <w:sz w:val="13"/>
        </w:rPr>
      </w:pPr>
      <w:r>
        <w:rPr>
          <w:rFonts w:ascii="Calibri"/>
          <w:color w:val="585858"/>
          <w:w w:val="105"/>
          <w:sz w:val="13"/>
        </w:rPr>
        <w:t>1 Studying      2</w:t>
      </w:r>
      <w:r>
        <w:rPr>
          <w:rFonts w:ascii="Calibri"/>
          <w:color w:val="585858"/>
          <w:spacing w:val="9"/>
          <w:w w:val="105"/>
          <w:sz w:val="13"/>
        </w:rPr>
        <w:t> </w:t>
      </w:r>
      <w:r>
        <w:rPr>
          <w:rFonts w:ascii="Calibri"/>
          <w:color w:val="585858"/>
          <w:w w:val="105"/>
          <w:sz w:val="13"/>
        </w:rPr>
        <w:t>Working</w:t>
      </w:r>
      <w:r>
        <w:rPr>
          <w:rFonts w:ascii="Calibri"/>
          <w:color w:val="585858"/>
          <w:spacing w:val="6"/>
          <w:w w:val="105"/>
          <w:sz w:val="13"/>
        </w:rPr>
        <w:t> </w:t>
      </w:r>
      <w:r>
        <w:rPr>
          <w:rFonts w:ascii="Calibri"/>
          <w:color w:val="585858"/>
          <w:spacing w:val="-3"/>
          <w:w w:val="105"/>
          <w:sz w:val="13"/>
        </w:rPr>
        <w:t>Age</w:t>
        <w:tab/>
      </w:r>
      <w:r>
        <w:rPr>
          <w:rFonts w:ascii="Calibri"/>
          <w:color w:val="585858"/>
          <w:w w:val="105"/>
          <w:sz w:val="13"/>
        </w:rPr>
        <w:t>3</w:t>
      </w:r>
      <w:r>
        <w:rPr>
          <w:rFonts w:ascii="Calibri"/>
          <w:color w:val="585858"/>
          <w:spacing w:val="1"/>
          <w:w w:val="105"/>
          <w:sz w:val="13"/>
        </w:rPr>
        <w:t> </w:t>
      </w:r>
      <w:r>
        <w:rPr>
          <w:rFonts w:ascii="Calibri"/>
          <w:color w:val="585858"/>
          <w:w w:val="105"/>
          <w:sz w:val="13"/>
        </w:rPr>
        <w:t>Parents</w:t>
        <w:tab/>
        <w:t>4 Carers</w:t>
        <w:tab/>
        <w:t>5</w:t>
      </w:r>
      <w:r>
        <w:rPr>
          <w:rFonts w:ascii="Calibri"/>
          <w:color w:val="585858"/>
          <w:spacing w:val="-1"/>
          <w:w w:val="105"/>
          <w:sz w:val="13"/>
        </w:rPr>
        <w:t> </w:t>
      </w:r>
      <w:r>
        <w:rPr>
          <w:rFonts w:ascii="Calibri"/>
          <w:color w:val="585858"/>
          <w:w w:val="105"/>
          <w:sz w:val="13"/>
        </w:rPr>
        <w:t>Disability</w:t>
      </w:r>
    </w:p>
    <w:p>
      <w:pPr>
        <w:spacing w:before="9"/>
        <w:ind w:left="0" w:right="80" w:firstLine="0"/>
        <w:jc w:val="right"/>
        <w:rPr>
          <w:rFonts w:ascii="Calibri"/>
          <w:sz w:val="13"/>
        </w:rPr>
      </w:pPr>
      <w:r>
        <w:rPr>
          <w:rFonts w:ascii="Calibri"/>
          <w:color w:val="585858"/>
          <w:w w:val="105"/>
          <w:sz w:val="13"/>
        </w:rPr>
        <w:t>Support</w:t>
      </w:r>
    </w:p>
    <w:p>
      <w:pPr>
        <w:pStyle w:val="BodyText"/>
        <w:spacing w:before="7"/>
        <w:rPr>
          <w:rFonts w:ascii="Calibri"/>
        </w:rPr>
      </w:pPr>
      <w:r>
        <w:rPr/>
        <w:br w:type="column"/>
      </w:r>
      <w:r>
        <w:rPr>
          <w:rFonts w:ascii="Calibri"/>
        </w:rPr>
      </w:r>
    </w:p>
    <w:p>
      <w:pPr>
        <w:pStyle w:val="ListParagraph"/>
        <w:numPr>
          <w:ilvl w:val="0"/>
          <w:numId w:val="22"/>
        </w:numPr>
        <w:tabs>
          <w:tab w:pos="260" w:val="left" w:leader="none"/>
        </w:tabs>
        <w:spacing w:line="240" w:lineRule="auto" w:before="0" w:after="0"/>
        <w:ind w:left="259" w:right="0" w:hanging="104"/>
        <w:jc w:val="left"/>
        <w:rPr>
          <w:rFonts w:ascii="Calibri"/>
          <w:color w:val="585858"/>
          <w:sz w:val="13"/>
        </w:rPr>
      </w:pPr>
      <w:r>
        <w:rPr>
          <w:rFonts w:ascii="Calibri"/>
          <w:color w:val="585858"/>
          <w:w w:val="105"/>
          <w:sz w:val="13"/>
        </w:rPr>
        <w:t>Pension Age 7 Non IS Family 8 Non IS Carer 9 Non IS</w:t>
      </w:r>
      <w:r>
        <w:rPr>
          <w:rFonts w:ascii="Calibri"/>
          <w:color w:val="585858"/>
          <w:spacing w:val="-18"/>
          <w:w w:val="105"/>
          <w:sz w:val="13"/>
        </w:rPr>
        <w:t> </w:t>
      </w:r>
      <w:r>
        <w:rPr>
          <w:rFonts w:ascii="Calibri"/>
          <w:color w:val="585858"/>
          <w:w w:val="105"/>
          <w:sz w:val="13"/>
        </w:rPr>
        <w:t>Other</w:t>
      </w:r>
    </w:p>
    <w:p>
      <w:pPr>
        <w:spacing w:after="0" w:line="240" w:lineRule="auto"/>
        <w:jc w:val="left"/>
        <w:rPr>
          <w:rFonts w:ascii="Calibri"/>
          <w:sz w:val="13"/>
        </w:rPr>
        <w:sectPr>
          <w:type w:val="continuous"/>
          <w:pgSz w:w="11910" w:h="16850"/>
          <w:pgMar w:top="1600" w:bottom="280" w:left="120" w:right="0"/>
          <w:cols w:num="2" w:equalWidth="0">
            <w:col w:w="6447" w:space="40"/>
            <w:col w:w="5303"/>
          </w:cols>
        </w:sectPr>
      </w:pPr>
    </w:p>
    <w:p>
      <w:pPr>
        <w:pStyle w:val="BodyText"/>
        <w:rPr>
          <w:rFonts w:ascii="Calibri"/>
        </w:rPr>
      </w:pPr>
    </w:p>
    <w:p>
      <w:pPr>
        <w:pStyle w:val="BodyText"/>
        <w:spacing w:before="7"/>
        <w:rPr>
          <w:rFonts w:ascii="Calibri"/>
          <w:sz w:val="19"/>
        </w:rPr>
      </w:pPr>
    </w:p>
    <w:p>
      <w:pPr>
        <w:spacing w:before="95"/>
        <w:ind w:left="900" w:right="0" w:firstLine="0"/>
        <w:jc w:val="left"/>
        <w:rPr>
          <w:sz w:val="16"/>
        </w:rPr>
      </w:pPr>
      <w:r>
        <w:rPr>
          <w:color w:val="DF2F1E"/>
          <w:sz w:val="16"/>
        </w:rPr>
        <w:t>Notes:</w:t>
      </w:r>
    </w:p>
    <w:p>
      <w:pPr>
        <w:pStyle w:val="ListParagraph"/>
        <w:numPr>
          <w:ilvl w:val="0"/>
          <w:numId w:val="36"/>
        </w:numPr>
        <w:tabs>
          <w:tab w:pos="1619" w:val="left" w:leader="none"/>
          <w:tab w:pos="1621" w:val="left" w:leader="none"/>
        </w:tabs>
        <w:spacing w:line="240" w:lineRule="auto" w:before="79" w:after="0"/>
        <w:ind w:left="1620" w:right="1073" w:hanging="361"/>
        <w:jc w:val="left"/>
        <w:rPr>
          <w:sz w:val="16"/>
        </w:rPr>
      </w:pPr>
      <w:r>
        <w:rPr>
          <w:color w:val="DF2F1E"/>
          <w:sz w:val="16"/>
        </w:rPr>
        <w:t>The actual numbers will be slightly higher than this as the population is expected to grow through migration and births. Over this five year timeframe migration will have the bigger impact as most people only enter the payment system in their own right in their teenage years and therefore births over this period will not impact the upcoming short-term welfare</w:t>
      </w:r>
      <w:r>
        <w:rPr>
          <w:color w:val="DF2F1E"/>
          <w:spacing w:val="-12"/>
          <w:sz w:val="16"/>
        </w:rPr>
        <w:t> </w:t>
      </w:r>
      <w:r>
        <w:rPr>
          <w:color w:val="DF2F1E"/>
          <w:sz w:val="16"/>
        </w:rPr>
        <w:t>use.</w:t>
      </w:r>
    </w:p>
    <w:p>
      <w:pPr>
        <w:pStyle w:val="ListParagraph"/>
        <w:numPr>
          <w:ilvl w:val="0"/>
          <w:numId w:val="36"/>
        </w:numPr>
        <w:tabs>
          <w:tab w:pos="1607" w:val="left" w:leader="none"/>
          <w:tab w:pos="1608" w:val="left" w:leader="none"/>
        </w:tabs>
        <w:spacing w:line="240" w:lineRule="auto" w:before="79" w:after="0"/>
        <w:ind w:left="1608" w:right="1149" w:hanging="361"/>
        <w:jc w:val="left"/>
        <w:rPr>
          <w:sz w:val="16"/>
        </w:rPr>
      </w:pPr>
      <w:r>
        <w:rPr>
          <w:color w:val="DF2F1E"/>
          <w:sz w:val="16"/>
        </w:rPr>
        <w:t>Consequently the Department should use this information with care and consider making adjustments for the undercount before using them for purposes such as planning or</w:t>
      </w:r>
      <w:r>
        <w:rPr>
          <w:color w:val="DF2F1E"/>
          <w:spacing w:val="-6"/>
          <w:sz w:val="16"/>
        </w:rPr>
        <w:t> </w:t>
      </w:r>
      <w:r>
        <w:rPr>
          <w:color w:val="DF2F1E"/>
          <w:sz w:val="16"/>
        </w:rPr>
        <w:t>budgeting.</w:t>
      </w:r>
    </w:p>
    <w:p>
      <w:pPr>
        <w:pStyle w:val="ListParagraph"/>
        <w:numPr>
          <w:ilvl w:val="0"/>
          <w:numId w:val="36"/>
        </w:numPr>
        <w:tabs>
          <w:tab w:pos="1608" w:val="left" w:leader="none"/>
          <w:tab w:pos="1609" w:val="left" w:leader="none"/>
        </w:tabs>
        <w:spacing w:line="240" w:lineRule="auto" w:before="79" w:after="0"/>
        <w:ind w:left="1608" w:right="1021" w:hanging="361"/>
        <w:jc w:val="left"/>
        <w:rPr>
          <w:sz w:val="16"/>
        </w:rPr>
      </w:pPr>
      <w:r>
        <w:rPr>
          <w:color w:val="DF2F1E"/>
          <w:sz w:val="16"/>
        </w:rPr>
        <w:t>We have adjusted the actual population in the chart above to allow for the main impact of the data maturity issue described in section </w:t>
      </w:r>
      <w:hyperlink w:history="true" w:anchor="_bookmark23">
        <w:r>
          <w:rPr>
            <w:color w:val="DF2F1E"/>
            <w:sz w:val="16"/>
          </w:rPr>
          <w:t>3.3. </w:t>
        </w:r>
      </w:hyperlink>
      <w:r>
        <w:rPr>
          <w:color w:val="DF2F1E"/>
          <w:sz w:val="16"/>
        </w:rPr>
        <w:t>We have also excluded projected deaths during the year from the projections. These adjustments are to allow a more consistent comparison between the actual and projected</w:t>
      </w:r>
      <w:r>
        <w:rPr>
          <w:color w:val="DF2F1E"/>
          <w:spacing w:val="-4"/>
          <w:sz w:val="16"/>
        </w:rPr>
        <w:t> </w:t>
      </w:r>
      <w:r>
        <w:rPr>
          <w:color w:val="DF2F1E"/>
          <w:sz w:val="16"/>
        </w:rPr>
        <w:t>numbers.</w:t>
      </w:r>
    </w:p>
    <w:p>
      <w:pPr>
        <w:pStyle w:val="BodyText"/>
        <w:spacing w:before="120"/>
        <w:ind w:left="900"/>
      </w:pPr>
      <w:r>
        <w:rPr>
          <w:color w:val="404040"/>
        </w:rPr>
        <w:t>Key features:</w:t>
      </w:r>
    </w:p>
    <w:p>
      <w:pPr>
        <w:pStyle w:val="ListParagraph"/>
        <w:numPr>
          <w:ilvl w:val="0"/>
          <w:numId w:val="31"/>
        </w:numPr>
        <w:tabs>
          <w:tab w:pos="1184" w:val="left" w:leader="none"/>
        </w:tabs>
        <w:spacing w:line="240" w:lineRule="auto" w:before="118" w:after="0"/>
        <w:ind w:left="1183" w:right="1061" w:hanging="284"/>
        <w:jc w:val="left"/>
        <w:rPr>
          <w:rFonts w:ascii="Symbol" w:hAnsi="Symbol"/>
          <w:color w:val="404040"/>
          <w:sz w:val="20"/>
        </w:rPr>
      </w:pPr>
      <w:r>
        <w:rPr>
          <w:color w:val="404040"/>
          <w:sz w:val="20"/>
        </w:rPr>
        <w:t>The total projected numbers of people from the June 2018 valuation (the red and orange bars) are generally significantly lower than the projections from the previous June 2017 valuation (the black / grey outline bars). This is reflective of the recent decrease in entries and increase in exits, which will act to reduce the total number of welfare recipients if this experience continues. The decrease is a continuation of the decreasing trend seen at the last</w:t>
      </w:r>
      <w:r>
        <w:rPr>
          <w:color w:val="404040"/>
          <w:spacing w:val="-2"/>
          <w:sz w:val="20"/>
        </w:rPr>
        <w:t> </w:t>
      </w:r>
      <w:r>
        <w:rPr>
          <w:color w:val="404040"/>
          <w:sz w:val="20"/>
        </w:rPr>
        <w:t>valuation.</w:t>
      </w:r>
    </w:p>
    <w:p>
      <w:pPr>
        <w:pStyle w:val="ListParagraph"/>
        <w:numPr>
          <w:ilvl w:val="0"/>
          <w:numId w:val="31"/>
        </w:numPr>
        <w:tabs>
          <w:tab w:pos="1184" w:val="left" w:leader="none"/>
        </w:tabs>
        <w:spacing w:line="240" w:lineRule="auto" w:before="120" w:after="0"/>
        <w:ind w:left="1183" w:right="1032" w:hanging="284"/>
        <w:jc w:val="left"/>
        <w:rPr>
          <w:rFonts w:ascii="Symbol" w:hAnsi="Symbol"/>
          <w:color w:val="404040"/>
          <w:sz w:val="20"/>
        </w:rPr>
      </w:pPr>
      <w:r>
        <w:rPr>
          <w:color w:val="404040"/>
          <w:sz w:val="20"/>
        </w:rPr>
        <w:t>In particular, decreases in the projection can be seen for the Working Age, Parents, Disability Support and Pension Age classes, relative to the June 2017 projection. This is reflective of the significant decrease in entries observed over the last year. While decreases appear more modest in the Carers and Disability Support classes, these still translate to large decreases in the lifetime cost due to the high expected duration on payments for people in these</w:t>
      </w:r>
      <w:r>
        <w:rPr>
          <w:color w:val="404040"/>
          <w:spacing w:val="-3"/>
          <w:sz w:val="20"/>
        </w:rPr>
        <w:t> </w:t>
      </w:r>
      <w:r>
        <w:rPr>
          <w:color w:val="404040"/>
          <w:sz w:val="20"/>
        </w:rPr>
        <w:t>classes.</w:t>
      </w:r>
    </w:p>
    <w:p>
      <w:pPr>
        <w:pStyle w:val="ListParagraph"/>
        <w:numPr>
          <w:ilvl w:val="0"/>
          <w:numId w:val="31"/>
        </w:numPr>
        <w:tabs>
          <w:tab w:pos="1184" w:val="left" w:leader="none"/>
        </w:tabs>
        <w:spacing w:line="240" w:lineRule="auto" w:before="119" w:after="0"/>
        <w:ind w:left="1183" w:right="1065" w:hanging="284"/>
        <w:jc w:val="left"/>
        <w:rPr>
          <w:rFonts w:ascii="Symbol" w:hAnsi="Symbol"/>
          <w:color w:val="404040"/>
          <w:sz w:val="20"/>
        </w:rPr>
      </w:pPr>
      <w:r>
        <w:rPr>
          <w:color w:val="404040"/>
          <w:sz w:val="20"/>
        </w:rPr>
        <w:t>Despite the decrease noted above, the number of age pensioners is still projected to increase, although at a lower rate than was expected based on the June 2017 valuation. This increase reflects the increasing population of people above age retirement age as a result of improved longevity. This is being partially offset by the impact of the increase in the Age Pension age from 65 to 67, starting from 1 July 2017 – by itself this change in Age Pension age would act to decrease the number of people in this</w:t>
      </w:r>
      <w:r>
        <w:rPr>
          <w:color w:val="404040"/>
          <w:spacing w:val="-14"/>
          <w:sz w:val="20"/>
        </w:rPr>
        <w:t> </w:t>
      </w:r>
      <w:r>
        <w:rPr>
          <w:color w:val="404040"/>
          <w:sz w:val="20"/>
        </w:rPr>
        <w:t>class.</w:t>
      </w:r>
    </w:p>
    <w:p>
      <w:pPr>
        <w:pStyle w:val="ListParagraph"/>
        <w:numPr>
          <w:ilvl w:val="0"/>
          <w:numId w:val="31"/>
        </w:numPr>
        <w:tabs>
          <w:tab w:pos="1184" w:val="left" w:leader="none"/>
        </w:tabs>
        <w:spacing w:line="240" w:lineRule="auto" w:before="119" w:after="0"/>
        <w:ind w:left="1183" w:right="1186" w:hanging="284"/>
        <w:jc w:val="left"/>
        <w:rPr>
          <w:rFonts w:ascii="Symbol" w:hAnsi="Symbol"/>
          <w:color w:val="404040"/>
          <w:sz w:val="20"/>
        </w:rPr>
      </w:pPr>
      <w:r>
        <w:rPr>
          <w:color w:val="404040"/>
          <w:sz w:val="20"/>
        </w:rPr>
        <w:t>The number of people in the Carers class has been growing from year to year and we expect this to continue</w:t>
      </w:r>
      <w:r>
        <w:rPr>
          <w:color w:val="404040"/>
          <w:spacing w:val="-2"/>
          <w:sz w:val="20"/>
        </w:rPr>
        <w:t> </w:t>
      </w:r>
      <w:r>
        <w:rPr>
          <w:color w:val="404040"/>
          <w:sz w:val="20"/>
        </w:rPr>
        <w:t>in</w:t>
      </w:r>
      <w:r>
        <w:rPr>
          <w:color w:val="404040"/>
          <w:spacing w:val="-3"/>
          <w:sz w:val="20"/>
        </w:rPr>
        <w:t> </w:t>
      </w:r>
      <w:r>
        <w:rPr>
          <w:color w:val="404040"/>
          <w:sz w:val="20"/>
        </w:rPr>
        <w:t>the</w:t>
      </w:r>
      <w:r>
        <w:rPr>
          <w:color w:val="404040"/>
          <w:spacing w:val="-4"/>
          <w:sz w:val="20"/>
        </w:rPr>
        <w:t> </w:t>
      </w:r>
      <w:r>
        <w:rPr>
          <w:color w:val="404040"/>
          <w:sz w:val="20"/>
        </w:rPr>
        <w:t>future.</w:t>
      </w:r>
      <w:r>
        <w:rPr>
          <w:color w:val="404040"/>
          <w:spacing w:val="-3"/>
          <w:sz w:val="20"/>
        </w:rPr>
        <w:t> </w:t>
      </w:r>
      <w:r>
        <w:rPr>
          <w:color w:val="404040"/>
          <w:sz w:val="20"/>
        </w:rPr>
        <w:t>As</w:t>
      </w:r>
      <w:r>
        <w:rPr>
          <w:color w:val="404040"/>
          <w:spacing w:val="-2"/>
          <w:sz w:val="20"/>
        </w:rPr>
        <w:t> </w:t>
      </w:r>
      <w:r>
        <w:rPr>
          <w:color w:val="404040"/>
          <w:sz w:val="20"/>
        </w:rPr>
        <w:t>the</w:t>
      </w:r>
      <w:r>
        <w:rPr>
          <w:color w:val="404040"/>
          <w:spacing w:val="-4"/>
          <w:sz w:val="20"/>
        </w:rPr>
        <w:t> </w:t>
      </w:r>
      <w:r>
        <w:rPr>
          <w:color w:val="404040"/>
          <w:sz w:val="20"/>
        </w:rPr>
        <w:t>population</w:t>
      </w:r>
      <w:r>
        <w:rPr>
          <w:color w:val="404040"/>
          <w:spacing w:val="-1"/>
          <w:sz w:val="20"/>
        </w:rPr>
        <w:t> </w:t>
      </w:r>
      <w:r>
        <w:rPr>
          <w:color w:val="404040"/>
          <w:sz w:val="20"/>
        </w:rPr>
        <w:t>ages</w:t>
      </w:r>
      <w:r>
        <w:rPr>
          <w:color w:val="404040"/>
          <w:spacing w:val="1"/>
          <w:sz w:val="20"/>
        </w:rPr>
        <w:t> </w:t>
      </w:r>
      <w:r>
        <w:rPr>
          <w:color w:val="404040"/>
          <w:sz w:val="20"/>
        </w:rPr>
        <w:t>and</w:t>
      </w:r>
      <w:r>
        <w:rPr>
          <w:color w:val="404040"/>
          <w:spacing w:val="-2"/>
          <w:sz w:val="20"/>
        </w:rPr>
        <w:t> </w:t>
      </w:r>
      <w:r>
        <w:rPr>
          <w:color w:val="404040"/>
          <w:sz w:val="20"/>
        </w:rPr>
        <w:t>there</w:t>
      </w:r>
      <w:r>
        <w:rPr>
          <w:color w:val="404040"/>
          <w:spacing w:val="-3"/>
          <w:sz w:val="20"/>
        </w:rPr>
        <w:t> </w:t>
      </w:r>
      <w:r>
        <w:rPr>
          <w:color w:val="404040"/>
          <w:sz w:val="20"/>
        </w:rPr>
        <w:t>are</w:t>
      </w:r>
      <w:r>
        <w:rPr>
          <w:color w:val="404040"/>
          <w:spacing w:val="-4"/>
          <w:sz w:val="20"/>
        </w:rPr>
        <w:t> </w:t>
      </w:r>
      <w:r>
        <w:rPr>
          <w:color w:val="404040"/>
          <w:sz w:val="20"/>
        </w:rPr>
        <w:t>a</w:t>
      </w:r>
      <w:r>
        <w:rPr>
          <w:color w:val="404040"/>
          <w:spacing w:val="-1"/>
          <w:sz w:val="20"/>
        </w:rPr>
        <w:t> </w:t>
      </w:r>
      <w:r>
        <w:rPr>
          <w:color w:val="404040"/>
          <w:sz w:val="20"/>
        </w:rPr>
        <w:t>higher</w:t>
      </w:r>
      <w:r>
        <w:rPr>
          <w:color w:val="404040"/>
          <w:spacing w:val="-2"/>
          <w:sz w:val="20"/>
        </w:rPr>
        <w:t> </w:t>
      </w:r>
      <w:r>
        <w:rPr>
          <w:color w:val="404040"/>
          <w:sz w:val="20"/>
        </w:rPr>
        <w:t>number</w:t>
      </w:r>
      <w:r>
        <w:rPr>
          <w:color w:val="404040"/>
          <w:spacing w:val="-3"/>
          <w:sz w:val="20"/>
        </w:rPr>
        <w:t> </w:t>
      </w:r>
      <w:r>
        <w:rPr>
          <w:color w:val="404040"/>
          <w:sz w:val="20"/>
        </w:rPr>
        <w:t>of</w:t>
      </w:r>
      <w:r>
        <w:rPr>
          <w:color w:val="404040"/>
          <w:spacing w:val="-1"/>
          <w:sz w:val="20"/>
        </w:rPr>
        <w:t> </w:t>
      </w:r>
      <w:r>
        <w:rPr>
          <w:color w:val="404040"/>
          <w:sz w:val="20"/>
        </w:rPr>
        <w:t>older</w:t>
      </w:r>
      <w:r>
        <w:rPr>
          <w:color w:val="404040"/>
          <w:spacing w:val="-2"/>
          <w:sz w:val="20"/>
        </w:rPr>
        <w:t> </w:t>
      </w:r>
      <w:r>
        <w:rPr>
          <w:color w:val="404040"/>
          <w:sz w:val="20"/>
        </w:rPr>
        <w:t>people</w:t>
      </w:r>
      <w:r>
        <w:rPr>
          <w:color w:val="404040"/>
          <w:spacing w:val="-4"/>
          <w:sz w:val="20"/>
        </w:rPr>
        <w:t> </w:t>
      </w:r>
      <w:r>
        <w:rPr>
          <w:color w:val="404040"/>
          <w:sz w:val="20"/>
        </w:rPr>
        <w:t>needing</w:t>
      </w:r>
      <w:r>
        <w:rPr>
          <w:color w:val="404040"/>
          <w:spacing w:val="-3"/>
          <w:sz w:val="20"/>
        </w:rPr>
        <w:t> </w:t>
      </w:r>
      <w:r>
        <w:rPr>
          <w:color w:val="404040"/>
          <w:sz w:val="20"/>
        </w:rPr>
        <w:t>care,</w:t>
      </w:r>
    </w:p>
    <w:p>
      <w:pPr>
        <w:spacing w:after="0" w:line="240" w:lineRule="auto"/>
        <w:jc w:val="left"/>
        <w:rPr>
          <w:rFonts w:ascii="Symbol" w:hAnsi="Symbol"/>
          <w:sz w:val="20"/>
        </w:rPr>
        <w:sectPr>
          <w:type w:val="continuous"/>
          <w:pgSz w:w="11910" w:h="16850"/>
          <w:pgMar w:top="1600" w:bottom="280" w:left="120" w:right="0"/>
        </w:sectPr>
      </w:pPr>
    </w:p>
    <w:p>
      <w:pPr>
        <w:pStyle w:val="BodyText"/>
      </w:pPr>
    </w:p>
    <w:p>
      <w:pPr>
        <w:pStyle w:val="BodyText"/>
      </w:pPr>
    </w:p>
    <w:p>
      <w:pPr>
        <w:pStyle w:val="BodyText"/>
        <w:spacing w:before="7"/>
        <w:rPr>
          <w:sz w:val="21"/>
        </w:rPr>
      </w:pPr>
    </w:p>
    <w:p>
      <w:pPr>
        <w:pStyle w:val="BodyText"/>
        <w:spacing w:before="93"/>
        <w:ind w:left="1183" w:right="1582"/>
      </w:pPr>
      <w:r>
        <w:rPr>
          <w:color w:val="404040"/>
        </w:rPr>
        <w:t>there may be more demand for this payment. Note also that this class includes a group of people over pension age who may be caring for ageing partners.</w:t>
      </w:r>
    </w:p>
    <w:p>
      <w:pPr>
        <w:pStyle w:val="ListParagraph"/>
        <w:numPr>
          <w:ilvl w:val="0"/>
          <w:numId w:val="31"/>
        </w:numPr>
        <w:tabs>
          <w:tab w:pos="1184" w:val="left" w:leader="none"/>
        </w:tabs>
        <w:spacing w:line="240" w:lineRule="auto" w:before="122" w:after="0"/>
        <w:ind w:left="1183" w:right="1054" w:hanging="284"/>
        <w:jc w:val="left"/>
        <w:rPr>
          <w:rFonts w:ascii="Symbol" w:hAnsi="Symbol"/>
          <w:color w:val="404040"/>
          <w:sz w:val="20"/>
        </w:rPr>
      </w:pPr>
      <w:r>
        <w:rPr>
          <w:color w:val="404040"/>
          <w:sz w:val="20"/>
        </w:rPr>
        <w:t>The number of people in the Working Age class is projected to remain fairly stable over this period, although at a lower level than was seen last year following a reduction in class numbers over</w:t>
      </w:r>
      <w:r>
        <w:rPr>
          <w:color w:val="404040"/>
          <w:spacing w:val="-17"/>
          <w:sz w:val="20"/>
        </w:rPr>
        <w:t> </w:t>
      </w:r>
      <w:r>
        <w:rPr>
          <w:color w:val="404040"/>
          <w:sz w:val="20"/>
        </w:rPr>
        <w:t>2017/18.</w:t>
      </w:r>
    </w:p>
    <w:p>
      <w:pPr>
        <w:pStyle w:val="ListParagraph"/>
        <w:numPr>
          <w:ilvl w:val="0"/>
          <w:numId w:val="31"/>
        </w:numPr>
        <w:tabs>
          <w:tab w:pos="1184" w:val="left" w:leader="none"/>
        </w:tabs>
        <w:spacing w:line="240" w:lineRule="auto" w:before="118" w:after="0"/>
        <w:ind w:left="1183" w:right="1441" w:hanging="284"/>
        <w:jc w:val="left"/>
        <w:rPr>
          <w:rFonts w:ascii="Symbol" w:hAnsi="Symbol"/>
          <w:color w:val="404040"/>
          <w:sz w:val="20"/>
        </w:rPr>
      </w:pPr>
      <w:r>
        <w:rPr>
          <w:color w:val="404040"/>
          <w:sz w:val="20"/>
        </w:rPr>
        <w:t>The number of people in the Studying class is expected to reduce as there are fewer people in their late teens and early 20s today than was the case in the recent</w:t>
      </w:r>
      <w:r>
        <w:rPr>
          <w:color w:val="404040"/>
          <w:spacing w:val="-10"/>
          <w:sz w:val="20"/>
        </w:rPr>
        <w:t> </w:t>
      </w:r>
      <w:r>
        <w:rPr>
          <w:color w:val="404040"/>
          <w:sz w:val="20"/>
        </w:rPr>
        <w:t>past.</w:t>
      </w:r>
    </w:p>
    <w:p>
      <w:pPr>
        <w:pStyle w:val="ListParagraph"/>
        <w:numPr>
          <w:ilvl w:val="0"/>
          <w:numId w:val="31"/>
        </w:numPr>
        <w:tabs>
          <w:tab w:pos="1184" w:val="left" w:leader="none"/>
        </w:tabs>
        <w:spacing w:line="240" w:lineRule="auto" w:before="117" w:after="0"/>
        <w:ind w:left="1183" w:right="1079" w:hanging="284"/>
        <w:jc w:val="left"/>
        <w:rPr>
          <w:rFonts w:ascii="Symbol" w:hAnsi="Symbol"/>
          <w:color w:val="404040"/>
          <w:sz w:val="20"/>
        </w:rPr>
      </w:pPr>
      <w:r>
        <w:rPr>
          <w:color w:val="404040"/>
          <w:sz w:val="20"/>
        </w:rPr>
        <w:t>The number of people in the Non IS Other class increased in June 2018 following a large movement from the pension age class to the Non IS Other class as a result of the changes in eligibility relating to the pension assets test. The projection then shows decreasing numbers over the period. This is largely driven by</w:t>
      </w:r>
      <w:r>
        <w:rPr>
          <w:color w:val="404040"/>
          <w:spacing w:val="-7"/>
          <w:sz w:val="20"/>
        </w:rPr>
        <w:t> </w:t>
      </w:r>
      <w:r>
        <w:rPr>
          <w:color w:val="404040"/>
          <w:sz w:val="20"/>
        </w:rPr>
        <w:t>the</w:t>
      </w:r>
      <w:r>
        <w:rPr>
          <w:color w:val="404040"/>
          <w:spacing w:val="-4"/>
          <w:sz w:val="20"/>
        </w:rPr>
        <w:t> </w:t>
      </w:r>
      <w:r>
        <w:rPr>
          <w:color w:val="404040"/>
          <w:sz w:val="20"/>
        </w:rPr>
        <w:t>closure</w:t>
      </w:r>
      <w:r>
        <w:rPr>
          <w:color w:val="404040"/>
          <w:spacing w:val="-4"/>
          <w:sz w:val="20"/>
        </w:rPr>
        <w:t> </w:t>
      </w:r>
      <w:r>
        <w:rPr>
          <w:color w:val="404040"/>
          <w:sz w:val="20"/>
        </w:rPr>
        <w:t>of</w:t>
      </w:r>
      <w:r>
        <w:rPr>
          <w:color w:val="404040"/>
          <w:spacing w:val="-1"/>
          <w:sz w:val="20"/>
        </w:rPr>
        <w:t> </w:t>
      </w:r>
      <w:r>
        <w:rPr>
          <w:color w:val="404040"/>
          <w:sz w:val="20"/>
        </w:rPr>
        <w:t>carbon</w:t>
      </w:r>
      <w:r>
        <w:rPr>
          <w:color w:val="404040"/>
          <w:spacing w:val="-2"/>
          <w:sz w:val="20"/>
        </w:rPr>
        <w:t> </w:t>
      </w:r>
      <w:r>
        <w:rPr>
          <w:color w:val="404040"/>
          <w:sz w:val="20"/>
        </w:rPr>
        <w:t>tax</w:t>
      </w:r>
      <w:r>
        <w:rPr>
          <w:color w:val="404040"/>
          <w:spacing w:val="-3"/>
          <w:sz w:val="20"/>
        </w:rPr>
        <w:t> </w:t>
      </w:r>
      <w:r>
        <w:rPr>
          <w:color w:val="404040"/>
          <w:sz w:val="20"/>
        </w:rPr>
        <w:t>compensation</w:t>
      </w:r>
      <w:r>
        <w:rPr>
          <w:color w:val="404040"/>
          <w:spacing w:val="-4"/>
          <w:sz w:val="20"/>
        </w:rPr>
        <w:t> </w:t>
      </w:r>
      <w:r>
        <w:rPr>
          <w:color w:val="404040"/>
          <w:sz w:val="20"/>
        </w:rPr>
        <w:t>to</w:t>
      </w:r>
      <w:r>
        <w:rPr>
          <w:color w:val="404040"/>
          <w:spacing w:val="-2"/>
          <w:sz w:val="20"/>
        </w:rPr>
        <w:t> </w:t>
      </w:r>
      <w:r>
        <w:rPr>
          <w:color w:val="404040"/>
          <w:sz w:val="20"/>
        </w:rPr>
        <w:t>new</w:t>
      </w:r>
      <w:r>
        <w:rPr>
          <w:color w:val="404040"/>
          <w:spacing w:val="-4"/>
          <w:sz w:val="20"/>
        </w:rPr>
        <w:t> </w:t>
      </w:r>
      <w:r>
        <w:rPr>
          <w:color w:val="404040"/>
          <w:sz w:val="20"/>
        </w:rPr>
        <w:t>recipients</w:t>
      </w:r>
      <w:r>
        <w:rPr>
          <w:color w:val="404040"/>
          <w:spacing w:val="-2"/>
          <w:sz w:val="20"/>
        </w:rPr>
        <w:t> </w:t>
      </w:r>
      <w:r>
        <w:rPr>
          <w:color w:val="404040"/>
          <w:sz w:val="20"/>
        </w:rPr>
        <w:t>of</w:t>
      </w:r>
      <w:r>
        <w:rPr>
          <w:color w:val="404040"/>
          <w:spacing w:val="-2"/>
          <w:sz w:val="20"/>
        </w:rPr>
        <w:t> </w:t>
      </w:r>
      <w:r>
        <w:rPr>
          <w:color w:val="404040"/>
          <w:sz w:val="20"/>
        </w:rPr>
        <w:t>concession</w:t>
      </w:r>
      <w:r>
        <w:rPr>
          <w:color w:val="404040"/>
          <w:spacing w:val="-4"/>
          <w:sz w:val="20"/>
        </w:rPr>
        <w:t> </w:t>
      </w:r>
      <w:r>
        <w:rPr>
          <w:color w:val="404040"/>
          <w:sz w:val="20"/>
        </w:rPr>
        <w:t>cards from</w:t>
      </w:r>
      <w:r>
        <w:rPr>
          <w:color w:val="404040"/>
          <w:spacing w:val="1"/>
          <w:sz w:val="20"/>
        </w:rPr>
        <w:t> </w:t>
      </w:r>
      <w:r>
        <w:rPr>
          <w:color w:val="404040"/>
          <w:sz w:val="20"/>
        </w:rPr>
        <w:t>March</w:t>
      </w:r>
      <w:r>
        <w:rPr>
          <w:color w:val="404040"/>
          <w:spacing w:val="-4"/>
          <w:sz w:val="20"/>
        </w:rPr>
        <w:t> </w:t>
      </w:r>
      <w:r>
        <w:rPr>
          <w:color w:val="404040"/>
          <w:sz w:val="20"/>
        </w:rPr>
        <w:t>2017,</w:t>
      </w:r>
      <w:r>
        <w:rPr>
          <w:color w:val="404040"/>
          <w:spacing w:val="-2"/>
          <w:sz w:val="20"/>
        </w:rPr>
        <w:t> </w:t>
      </w:r>
      <w:r>
        <w:rPr>
          <w:color w:val="404040"/>
          <w:sz w:val="20"/>
        </w:rPr>
        <w:t>which</w:t>
      </w:r>
      <w:r>
        <w:rPr>
          <w:color w:val="404040"/>
          <w:spacing w:val="-1"/>
          <w:sz w:val="20"/>
        </w:rPr>
        <w:t> </w:t>
      </w:r>
      <w:r>
        <w:rPr>
          <w:color w:val="404040"/>
          <w:sz w:val="20"/>
        </w:rPr>
        <w:t>is expected to result in decreased numbers of people above retirement age in Non IS</w:t>
      </w:r>
      <w:r>
        <w:rPr>
          <w:color w:val="404040"/>
          <w:spacing w:val="-16"/>
          <w:sz w:val="20"/>
        </w:rPr>
        <w:t> </w:t>
      </w:r>
      <w:r>
        <w:rPr>
          <w:color w:val="404040"/>
          <w:sz w:val="20"/>
        </w:rPr>
        <w:t>Other.</w:t>
      </w:r>
    </w:p>
    <w:p>
      <w:pPr>
        <w:pStyle w:val="BodyText"/>
        <w:spacing w:before="8"/>
      </w:pPr>
    </w:p>
    <w:p>
      <w:pPr>
        <w:tabs>
          <w:tab w:pos="1752" w:val="left" w:leader="none"/>
        </w:tabs>
        <w:spacing w:before="0"/>
        <w:ind w:left="900" w:right="0" w:firstLine="0"/>
        <w:jc w:val="left"/>
        <w:rPr>
          <w:sz w:val="28"/>
        </w:rPr>
      </w:pPr>
      <w:bookmarkStart w:name="5.6 Areas of sensitivity and uncertainty" w:id="159"/>
      <w:bookmarkEnd w:id="159"/>
      <w:r>
        <w:rPr/>
      </w:r>
      <w:bookmarkStart w:name="_bookmark39" w:id="160"/>
      <w:bookmarkEnd w:id="160"/>
      <w:r>
        <w:rPr/>
      </w:r>
      <w:r>
        <w:rPr>
          <w:color w:val="DF2F28"/>
          <w:sz w:val="28"/>
        </w:rPr>
        <w:t>5.6</w:t>
        <w:tab/>
        <w:t>Areas of sensitivity and</w:t>
      </w:r>
      <w:r>
        <w:rPr>
          <w:color w:val="DF2F28"/>
          <w:spacing w:val="-6"/>
          <w:sz w:val="28"/>
        </w:rPr>
        <w:t> </w:t>
      </w:r>
      <w:r>
        <w:rPr>
          <w:color w:val="DF2F28"/>
          <w:sz w:val="28"/>
        </w:rPr>
        <w:t>uncertainty</w:t>
      </w:r>
    </w:p>
    <w:p>
      <w:pPr>
        <w:pStyle w:val="Heading4"/>
        <w:spacing w:before="241"/>
      </w:pPr>
      <w:bookmarkStart w:name="Limitations of the valuation" w:id="161"/>
      <w:bookmarkEnd w:id="161"/>
      <w:r>
        <w:rPr/>
      </w:r>
      <w:r>
        <w:rPr>
          <w:color w:val="DF2F28"/>
        </w:rPr>
        <w:t>Limitations of the valuation</w:t>
      </w:r>
    </w:p>
    <w:p>
      <w:pPr>
        <w:pStyle w:val="BodyText"/>
        <w:spacing w:before="122"/>
        <w:ind w:left="900" w:right="1298"/>
      </w:pPr>
      <w:r>
        <w:rPr>
          <w:color w:val="404040"/>
        </w:rPr>
        <w:t>The valuation explores the cost of future welfare payments over the remaining natural lifetimes of the model population on the basis that the currently legislated policy persists over that timeframe. While this exercise is intended to provide useful information, it is important to understand its limitations.</w:t>
      </w:r>
    </w:p>
    <w:p>
      <w:pPr>
        <w:pStyle w:val="BodyText"/>
        <w:spacing w:before="119"/>
        <w:ind w:left="900" w:right="1254" w:hanging="1"/>
      </w:pPr>
      <w:r>
        <w:rPr>
          <w:color w:val="404040"/>
        </w:rPr>
        <w:t>The payment system changes frequently. Hence, the scenario contemplated in the valuation of current policy continuing will be unlikely to eventuate in practice. As time progresses further into the future, the potential for different policies to be put in place is greater and so differences between actual and projected payments are likely to be larger.</w:t>
      </w:r>
    </w:p>
    <w:p>
      <w:pPr>
        <w:pStyle w:val="BodyText"/>
        <w:spacing w:before="119"/>
        <w:ind w:left="900" w:right="1052"/>
      </w:pPr>
      <w:r>
        <w:rPr>
          <w:color w:val="404040"/>
        </w:rPr>
        <w:t>The valuation explores the use of the welfare system allowing for expected demographic changes and considering the broader economic environment. Other external factors may influence the demands on the system. These factors extend as far as changing patterns of life and work; changes in the composition of households; changes in the mix of industries and work opportunities; impacts of trends in population health and healthcare driving changes in demand for supports and behavioural changes from individuals and in terms of the informal supports provided between members of different generations. The extremely long term nature of the projected payments within the model means that all these factors, and others that we have not yet contemplated, are likely to influence the use of the welfare system in future years and hence impact the liabilities. We have not considered such trends explicitly.</w:t>
      </w:r>
    </w:p>
    <w:p>
      <w:pPr>
        <w:pStyle w:val="BodyText"/>
        <w:spacing w:before="9"/>
      </w:pPr>
    </w:p>
    <w:p>
      <w:pPr>
        <w:pStyle w:val="Heading4"/>
        <w:spacing w:before="1"/>
      </w:pPr>
      <w:bookmarkStart w:name="Uncertainty" w:id="162"/>
      <w:bookmarkEnd w:id="162"/>
      <w:r>
        <w:rPr/>
      </w:r>
      <w:r>
        <w:rPr>
          <w:color w:val="DF2F28"/>
        </w:rPr>
        <w:t>Uncertainty</w:t>
      </w:r>
    </w:p>
    <w:p>
      <w:pPr>
        <w:pStyle w:val="BodyText"/>
        <w:spacing w:before="121"/>
        <w:ind w:left="900" w:right="1064"/>
      </w:pPr>
      <w:r>
        <w:rPr>
          <w:color w:val="404040"/>
        </w:rPr>
        <w:t>For each person, their actual life outcomes and the welfare payments received are uncertain. This is reflected in the assumption sets adopted in the valuation model which are probabilities of different events occurring throughout people’s lives and the likely costs of the resultant life trajectories. For each group of people, and the population as a whole, the valuation results presented above represent the mean of the lifetime costs derived from the range of modelled future outcomes.</w:t>
      </w:r>
    </w:p>
    <w:p>
      <w:pPr>
        <w:pStyle w:val="BodyText"/>
        <w:spacing w:before="120"/>
        <w:ind w:left="900" w:right="1039"/>
      </w:pPr>
      <w:r>
        <w:rPr>
          <w:color w:val="404040"/>
        </w:rPr>
        <w:t>Many of the assumptions underlying the actuarial valuation are developed by considering patterns of past use of the welfare system. In some cases, the past experience has been volatile and in others the experience has varied from year to year, most likely as a result of policy changes. Some policy changes are recent and not fully reflected in the observed experience; people may also behave differently in the future than they have in the past. These considerations mean that the assumptions are inherently uncertain and the actual future experience may differ from that modelled.</w:t>
      </w:r>
    </w:p>
    <w:p>
      <w:pPr>
        <w:pStyle w:val="BodyText"/>
        <w:spacing w:before="121"/>
        <w:ind w:left="900" w:right="1076"/>
      </w:pPr>
      <w:r>
        <w:rPr>
          <w:color w:val="404040"/>
        </w:rPr>
        <w:t>The long term nature of the lifetime cost results means they are highly sensitive to some of the assumptions. In particular:</w:t>
      </w:r>
    </w:p>
    <w:p>
      <w:pPr>
        <w:pStyle w:val="ListParagraph"/>
        <w:numPr>
          <w:ilvl w:val="0"/>
          <w:numId w:val="31"/>
        </w:numPr>
        <w:tabs>
          <w:tab w:pos="1184" w:val="left" w:leader="none"/>
        </w:tabs>
        <w:spacing w:line="240" w:lineRule="auto" w:before="119" w:after="0"/>
        <w:ind w:left="1183" w:right="1212" w:hanging="284"/>
        <w:jc w:val="left"/>
        <w:rPr>
          <w:rFonts w:ascii="Symbol" w:hAnsi="Symbol"/>
          <w:sz w:val="20"/>
        </w:rPr>
      </w:pPr>
      <w:r>
        <w:rPr>
          <w:color w:val="404040"/>
          <w:sz w:val="20"/>
        </w:rPr>
        <w:t>The</w:t>
      </w:r>
      <w:r>
        <w:rPr>
          <w:color w:val="404040"/>
          <w:spacing w:val="-4"/>
          <w:sz w:val="20"/>
        </w:rPr>
        <w:t> </w:t>
      </w:r>
      <w:r>
        <w:rPr>
          <w:color w:val="404040"/>
          <w:sz w:val="20"/>
        </w:rPr>
        <w:t>assumed</w:t>
      </w:r>
      <w:r>
        <w:rPr>
          <w:color w:val="404040"/>
          <w:spacing w:val="-6"/>
          <w:sz w:val="20"/>
        </w:rPr>
        <w:t> </w:t>
      </w:r>
      <w:r>
        <w:rPr>
          <w:color w:val="404040"/>
          <w:sz w:val="20"/>
        </w:rPr>
        <w:t>mortality</w:t>
      </w:r>
      <w:r>
        <w:rPr>
          <w:color w:val="404040"/>
          <w:spacing w:val="-6"/>
          <w:sz w:val="20"/>
        </w:rPr>
        <w:t> </w:t>
      </w:r>
      <w:r>
        <w:rPr>
          <w:color w:val="404040"/>
          <w:sz w:val="20"/>
        </w:rPr>
        <w:t>rates</w:t>
      </w:r>
      <w:r>
        <w:rPr>
          <w:color w:val="404040"/>
          <w:spacing w:val="-3"/>
          <w:sz w:val="20"/>
        </w:rPr>
        <w:t> </w:t>
      </w:r>
      <w:r>
        <w:rPr>
          <w:color w:val="404040"/>
          <w:sz w:val="20"/>
        </w:rPr>
        <w:t>and</w:t>
      </w:r>
      <w:r>
        <w:rPr>
          <w:color w:val="404040"/>
          <w:spacing w:val="-3"/>
          <w:sz w:val="20"/>
        </w:rPr>
        <w:t> </w:t>
      </w:r>
      <w:r>
        <w:rPr>
          <w:color w:val="404040"/>
          <w:sz w:val="20"/>
        </w:rPr>
        <w:t>mortality</w:t>
      </w:r>
      <w:r>
        <w:rPr>
          <w:color w:val="404040"/>
          <w:spacing w:val="-4"/>
          <w:sz w:val="20"/>
        </w:rPr>
        <w:t> </w:t>
      </w:r>
      <w:r>
        <w:rPr>
          <w:color w:val="404040"/>
          <w:sz w:val="20"/>
        </w:rPr>
        <w:t>improvements</w:t>
      </w:r>
      <w:r>
        <w:rPr>
          <w:color w:val="404040"/>
          <w:spacing w:val="-2"/>
          <w:sz w:val="20"/>
        </w:rPr>
        <w:t> </w:t>
      </w:r>
      <w:r>
        <w:rPr>
          <w:color w:val="404040"/>
          <w:sz w:val="20"/>
        </w:rPr>
        <w:t>have</w:t>
      </w:r>
      <w:r>
        <w:rPr>
          <w:color w:val="404040"/>
          <w:spacing w:val="-2"/>
          <w:sz w:val="20"/>
        </w:rPr>
        <w:t> </w:t>
      </w:r>
      <w:r>
        <w:rPr>
          <w:color w:val="404040"/>
          <w:sz w:val="20"/>
        </w:rPr>
        <w:t>a</w:t>
      </w:r>
      <w:r>
        <w:rPr>
          <w:color w:val="404040"/>
          <w:spacing w:val="-3"/>
          <w:sz w:val="20"/>
        </w:rPr>
        <w:t> </w:t>
      </w:r>
      <w:r>
        <w:rPr>
          <w:color w:val="404040"/>
          <w:sz w:val="20"/>
        </w:rPr>
        <w:t>systemic</w:t>
      </w:r>
      <w:r>
        <w:rPr>
          <w:color w:val="404040"/>
          <w:spacing w:val="-2"/>
          <w:sz w:val="20"/>
        </w:rPr>
        <w:t> </w:t>
      </w:r>
      <w:r>
        <w:rPr>
          <w:color w:val="404040"/>
          <w:sz w:val="20"/>
        </w:rPr>
        <w:t>impact</w:t>
      </w:r>
      <w:r>
        <w:rPr>
          <w:color w:val="404040"/>
          <w:spacing w:val="-6"/>
          <w:sz w:val="20"/>
        </w:rPr>
        <w:t> </w:t>
      </w:r>
      <w:r>
        <w:rPr>
          <w:color w:val="404040"/>
          <w:sz w:val="20"/>
        </w:rPr>
        <w:t>on</w:t>
      </w:r>
      <w:r>
        <w:rPr>
          <w:color w:val="404040"/>
          <w:spacing w:val="-3"/>
          <w:sz w:val="20"/>
        </w:rPr>
        <w:t> </w:t>
      </w:r>
      <w:r>
        <w:rPr>
          <w:color w:val="404040"/>
          <w:sz w:val="20"/>
        </w:rPr>
        <w:t>the</w:t>
      </w:r>
      <w:r>
        <w:rPr>
          <w:color w:val="404040"/>
          <w:spacing w:val="-1"/>
          <w:sz w:val="20"/>
        </w:rPr>
        <w:t> </w:t>
      </w:r>
      <w:r>
        <w:rPr>
          <w:color w:val="404040"/>
          <w:sz w:val="20"/>
        </w:rPr>
        <w:t>whole</w:t>
      </w:r>
      <w:r>
        <w:rPr>
          <w:color w:val="404040"/>
          <w:spacing w:val="-4"/>
          <w:sz w:val="20"/>
        </w:rPr>
        <w:t> </w:t>
      </w:r>
      <w:r>
        <w:rPr>
          <w:color w:val="404040"/>
          <w:sz w:val="20"/>
        </w:rPr>
        <w:t>population. Small changes to future mortality rates mean that, on average, people receive the age pension for a different length of time and this can impact the lifetime costs</w:t>
      </w:r>
      <w:r>
        <w:rPr>
          <w:color w:val="404040"/>
          <w:spacing w:val="-8"/>
          <w:sz w:val="20"/>
        </w:rPr>
        <w:t> </w:t>
      </w:r>
      <w:r>
        <w:rPr>
          <w:color w:val="404040"/>
          <w:sz w:val="20"/>
        </w:rPr>
        <w:t>materially.</w:t>
      </w:r>
    </w:p>
    <w:p>
      <w:pPr>
        <w:pStyle w:val="ListParagraph"/>
        <w:numPr>
          <w:ilvl w:val="0"/>
          <w:numId w:val="31"/>
        </w:numPr>
        <w:tabs>
          <w:tab w:pos="1184" w:val="left" w:leader="none"/>
        </w:tabs>
        <w:spacing w:line="240" w:lineRule="auto" w:before="118" w:after="0"/>
        <w:ind w:left="1183" w:right="1196" w:hanging="284"/>
        <w:jc w:val="left"/>
        <w:rPr>
          <w:rFonts w:ascii="Symbol" w:hAnsi="Symbol"/>
          <w:sz w:val="20"/>
        </w:rPr>
      </w:pPr>
      <w:r>
        <w:rPr>
          <w:color w:val="404040"/>
          <w:sz w:val="20"/>
        </w:rPr>
        <w:t>The inflation and discounting assumptions also have an extremely large impact on the lifetime cost results. Many of the payments are not received until many years into the future and for some of the population are concentrated in the latter part of people’s lives. This means small changes in the indexation and discount rates can have a large impact on the lifetime</w:t>
      </w:r>
      <w:r>
        <w:rPr>
          <w:color w:val="404040"/>
          <w:spacing w:val="-6"/>
          <w:sz w:val="20"/>
        </w:rPr>
        <w:t> </w:t>
      </w:r>
      <w:r>
        <w:rPr>
          <w:color w:val="404040"/>
          <w:sz w:val="20"/>
        </w:rPr>
        <w:t>cost.</w:t>
      </w:r>
    </w:p>
    <w:p>
      <w:pPr>
        <w:spacing w:after="0" w:line="240" w:lineRule="auto"/>
        <w:jc w:val="left"/>
        <w:rPr>
          <w:rFonts w:ascii="Symbol" w:hAnsi="Symbol"/>
          <w:sz w:val="20"/>
        </w:rPr>
        <w:sectPr>
          <w:pgSz w:w="11910" w:h="16850"/>
          <w:pgMar w:header="572" w:footer="581" w:top="780" w:bottom="780" w:left="120" w:right="0"/>
        </w:sectPr>
      </w:pPr>
    </w:p>
    <w:p>
      <w:pPr>
        <w:pStyle w:val="BodyText"/>
      </w:pPr>
    </w:p>
    <w:p>
      <w:pPr>
        <w:pStyle w:val="BodyText"/>
      </w:pPr>
    </w:p>
    <w:p>
      <w:pPr>
        <w:pStyle w:val="BodyText"/>
        <w:spacing w:before="7"/>
        <w:rPr>
          <w:sz w:val="21"/>
        </w:rPr>
      </w:pPr>
    </w:p>
    <w:p>
      <w:pPr>
        <w:pStyle w:val="BodyText"/>
        <w:spacing w:before="93"/>
        <w:ind w:left="1183" w:right="1060"/>
      </w:pPr>
      <w:r>
        <w:rPr>
          <w:color w:val="404040"/>
        </w:rPr>
        <w:t>The impact is greatest for changes to the discount rate as this impacts all future payments over all timeframes. It is greater for changes to MTAWE than changes in the CPI as the payments that occur later in people’s lives benefit from MTAWE benchmarking and have a longer average duration.</w:t>
      </w:r>
    </w:p>
    <w:p>
      <w:pPr>
        <w:pStyle w:val="BodyText"/>
        <w:spacing w:before="121"/>
        <w:ind w:left="900" w:right="1331"/>
      </w:pPr>
      <w:r>
        <w:rPr>
          <w:color w:val="404040"/>
        </w:rPr>
        <w:t>An important part of the analysis has been to use risk based assumptions to achieve a differentiation in the lifetime cost results for different groups of the population, with these being more reflective of their underlying risk profile, to the extent that this is captured within the variables modelled.</w:t>
      </w:r>
    </w:p>
    <w:p>
      <w:pPr>
        <w:pStyle w:val="BodyText"/>
        <w:spacing w:before="119"/>
        <w:ind w:left="900" w:right="1253"/>
      </w:pPr>
      <w:r>
        <w:rPr>
          <w:color w:val="404040"/>
        </w:rPr>
        <w:t>While the use of risk characteristic variables improves the explanatory power of the modelling, the analysis demonstrates that not all of the variation in welfare utilisation for different people can be explained by the risk characteristics included. Although there may be opportunities to continue to include some further variables in future valuations there will be a limit to the extent to which variation between groups and individuals can be explained.</w:t>
      </w:r>
    </w:p>
    <w:p>
      <w:pPr>
        <w:pStyle w:val="BodyText"/>
        <w:spacing w:before="123"/>
        <w:ind w:left="900" w:right="1009"/>
      </w:pPr>
      <w:r>
        <w:rPr>
          <w:color w:val="404040"/>
        </w:rPr>
        <w:t>A number of the risk based characteristics are dynamic in nature. Examples in the valuation include educational attainment, partial capacity to work, partnering status, number and age profile of children, and SEIFA. Quite small variation in adopted parameters can have a significant compounding effect over the long periods of time projected. An important validation step has been to check the reasonableness of the distributions of these parameters across the projected population into future years. What represents reasonable is ultimately a subjective judgement. Where possible, we have attempted to validate with other external reference points.</w:t>
      </w:r>
    </w:p>
    <w:p>
      <w:pPr>
        <w:pStyle w:val="BodyText"/>
        <w:ind w:left="900" w:right="1196"/>
      </w:pPr>
      <w:r>
        <w:rPr>
          <w:color w:val="404040"/>
        </w:rPr>
        <w:t>Changes in profile may also impact on the predictive strength of the characteristic over time. For example, obtaining a university degree may not be as powerful an influence on lifetime earnings and employment as it was for earlier generations, due to a greater proportion of the population obtaining a degree and the changing composition of the economy.</w:t>
      </w:r>
    </w:p>
    <w:p>
      <w:pPr>
        <w:pStyle w:val="BodyText"/>
        <w:spacing w:before="120"/>
        <w:ind w:left="900" w:right="1087"/>
      </w:pPr>
      <w:r>
        <w:rPr>
          <w:color w:val="404040"/>
        </w:rPr>
        <w:t>Similarly, the class and payment utilisation variables used to project future welfare utilisation are themselves dynamic and the lifetime cost is sensitive to variations in these assumptions. In addition, there is uncertainty as to how well the adopted assumptions reflect the likely future experience of the population under the current policy settings.</w:t>
      </w:r>
    </w:p>
    <w:p>
      <w:pPr>
        <w:pStyle w:val="BodyText"/>
        <w:spacing w:before="119"/>
        <w:ind w:left="899" w:right="1087"/>
      </w:pPr>
      <w:r>
        <w:rPr>
          <w:color w:val="404040"/>
        </w:rPr>
        <w:t>By its nature, the lifetime cost assessment for the rest of the Australian population group may be even more uncertain than the lifetime cost for people currently and recently in receipt of Commonwealth payments. This comprises those segments of the population who have either never been in receipt of Commonwealth payments or who have not been in the last three years. As a result, less is known about the current situation and characteristics of people in these segments. Furthermore their projected future consumption of welfare is generally further into the future than for current and recent welfare recipients. The further out into the future the costs are projected, the more uncertain they become for the range of reasons discussed above.</w:t>
      </w:r>
    </w:p>
    <w:p>
      <w:pPr>
        <w:pStyle w:val="BodyText"/>
        <w:spacing w:before="121"/>
        <w:ind w:left="899"/>
      </w:pPr>
      <w:r>
        <w:rPr>
          <w:color w:val="404040"/>
        </w:rPr>
        <w:t>We have illustrated the sensitivity to the key valuation model assumptions in the section below.</w:t>
      </w:r>
    </w:p>
    <w:p>
      <w:pPr>
        <w:pStyle w:val="BodyText"/>
        <w:spacing w:before="7"/>
      </w:pPr>
    </w:p>
    <w:p>
      <w:pPr>
        <w:pStyle w:val="Heading4"/>
      </w:pPr>
      <w:bookmarkStart w:name="Sensitivity" w:id="163"/>
      <w:bookmarkEnd w:id="163"/>
      <w:r>
        <w:rPr/>
      </w:r>
      <w:r>
        <w:rPr>
          <w:color w:val="DF2F28"/>
        </w:rPr>
        <w:t>Sensitivity</w:t>
      </w:r>
    </w:p>
    <w:p>
      <w:pPr>
        <w:pStyle w:val="BodyText"/>
        <w:spacing w:before="122"/>
        <w:ind w:left="900" w:right="1310"/>
      </w:pPr>
      <w:r>
        <w:rPr>
          <w:color w:val="404040"/>
        </w:rPr>
        <w:t>The lifetime cost results are sensitive to the underlying assumptions. To illustrate these sensitivities we have tested a range of alternate assumptions and the results are presented below.</w:t>
      </w:r>
    </w:p>
    <w:p>
      <w:pPr>
        <w:pStyle w:val="Heading9"/>
        <w:spacing w:before="176" w:after="54"/>
      </w:pPr>
      <w:r>
        <w:rPr>
          <w:color w:val="DF2F1E"/>
        </w:rPr>
        <w:t>Table 14: Sensitivity of current liabilities to changes in assumptions</w:t>
      </w:r>
    </w:p>
    <w:tbl>
      <w:tblPr>
        <w:tblW w:w="0" w:type="auto"/>
        <w:jc w:val="left"/>
        <w:tblInd w:w="907" w:type="dxa"/>
        <w:tblBorders>
          <w:top w:val="single" w:sz="4" w:space="0" w:color="DF2F1E"/>
          <w:left w:val="single" w:sz="4" w:space="0" w:color="DF2F1E"/>
          <w:bottom w:val="single" w:sz="4" w:space="0" w:color="DF2F1E"/>
          <w:right w:val="single" w:sz="4" w:space="0" w:color="DF2F1E"/>
          <w:insideH w:val="single" w:sz="4" w:space="0" w:color="DF2F1E"/>
          <w:insideV w:val="single" w:sz="4" w:space="0" w:color="DF2F1E"/>
        </w:tblBorders>
        <w:tblLayout w:type="fixed"/>
        <w:tblCellMar>
          <w:top w:w="0" w:type="dxa"/>
          <w:left w:w="0" w:type="dxa"/>
          <w:bottom w:w="0" w:type="dxa"/>
          <w:right w:w="0" w:type="dxa"/>
        </w:tblCellMar>
        <w:tblLook w:val="01E0"/>
      </w:tblPr>
      <w:tblGrid>
        <w:gridCol w:w="1255"/>
        <w:gridCol w:w="3665"/>
        <w:gridCol w:w="1169"/>
        <w:gridCol w:w="1164"/>
        <w:gridCol w:w="1166"/>
        <w:gridCol w:w="1113"/>
      </w:tblGrid>
      <w:tr>
        <w:trPr>
          <w:trHeight w:val="1182" w:hRule="atLeast"/>
        </w:trPr>
        <w:tc>
          <w:tcPr>
            <w:tcW w:w="1255" w:type="dxa"/>
            <w:tcBorders>
              <w:top w:val="nil"/>
              <w:left w:val="nil"/>
              <w:bottom w:val="nil"/>
              <w:right w:val="nil"/>
            </w:tcBorders>
            <w:shd w:val="clear" w:color="auto" w:fill="DF2F1E"/>
          </w:tcPr>
          <w:p>
            <w:pPr>
              <w:pStyle w:val="TableParagraph"/>
              <w:spacing w:before="0"/>
              <w:rPr>
                <w:b/>
                <w:sz w:val="18"/>
              </w:rPr>
            </w:pPr>
          </w:p>
          <w:p>
            <w:pPr>
              <w:pStyle w:val="TableParagraph"/>
              <w:spacing w:before="1"/>
              <w:rPr>
                <w:b/>
                <w:sz w:val="17"/>
              </w:rPr>
            </w:pPr>
          </w:p>
          <w:p>
            <w:pPr>
              <w:pStyle w:val="TableParagraph"/>
              <w:spacing w:before="1"/>
              <w:ind w:left="112" w:right="198"/>
              <w:rPr>
                <w:b/>
                <w:sz w:val="16"/>
              </w:rPr>
            </w:pPr>
            <w:r>
              <w:rPr>
                <w:b/>
                <w:color w:val="FFFFFF"/>
                <w:sz w:val="16"/>
              </w:rPr>
              <w:t>Assumption set</w:t>
            </w:r>
          </w:p>
        </w:tc>
        <w:tc>
          <w:tcPr>
            <w:tcW w:w="3665" w:type="dxa"/>
            <w:tcBorders>
              <w:top w:val="nil"/>
              <w:left w:val="nil"/>
              <w:bottom w:val="nil"/>
              <w:right w:val="nil"/>
            </w:tcBorders>
            <w:shd w:val="clear" w:color="auto" w:fill="DF2F1E"/>
          </w:tcPr>
          <w:p>
            <w:pPr>
              <w:pStyle w:val="TableParagraph"/>
              <w:spacing w:before="0"/>
              <w:rPr>
                <w:b/>
                <w:sz w:val="18"/>
              </w:rPr>
            </w:pPr>
          </w:p>
          <w:p>
            <w:pPr>
              <w:pStyle w:val="TableParagraph"/>
              <w:spacing w:before="1"/>
              <w:rPr>
                <w:b/>
                <w:sz w:val="25"/>
              </w:rPr>
            </w:pPr>
          </w:p>
          <w:p>
            <w:pPr>
              <w:pStyle w:val="TableParagraph"/>
              <w:spacing w:before="0"/>
              <w:ind w:left="108"/>
              <w:rPr>
                <w:b/>
                <w:sz w:val="16"/>
              </w:rPr>
            </w:pPr>
            <w:r>
              <w:rPr>
                <w:b/>
                <w:color w:val="FFFFFF"/>
                <w:sz w:val="16"/>
              </w:rPr>
              <w:t>Sensitivity test</w:t>
            </w:r>
          </w:p>
        </w:tc>
        <w:tc>
          <w:tcPr>
            <w:tcW w:w="1169" w:type="dxa"/>
            <w:tcBorders>
              <w:top w:val="nil"/>
              <w:left w:val="nil"/>
              <w:bottom w:val="nil"/>
              <w:right w:val="nil"/>
            </w:tcBorders>
            <w:shd w:val="clear" w:color="auto" w:fill="DF2F1E"/>
          </w:tcPr>
          <w:p>
            <w:pPr>
              <w:pStyle w:val="TableParagraph"/>
              <w:spacing w:before="34"/>
              <w:ind w:left="153" w:right="148" w:hanging="4"/>
              <w:jc w:val="center"/>
              <w:rPr>
                <w:b/>
                <w:sz w:val="16"/>
              </w:rPr>
            </w:pPr>
            <w:r>
              <w:rPr>
                <w:b/>
                <w:color w:val="FFFFFF"/>
                <w:sz w:val="16"/>
              </w:rPr>
              <w:t>Change in lifetime cost, non- Age Pension component</w:t>
            </w:r>
          </w:p>
        </w:tc>
        <w:tc>
          <w:tcPr>
            <w:tcW w:w="1164" w:type="dxa"/>
            <w:tcBorders>
              <w:top w:val="nil"/>
              <w:left w:val="nil"/>
              <w:bottom w:val="nil"/>
              <w:right w:val="nil"/>
            </w:tcBorders>
            <w:shd w:val="clear" w:color="auto" w:fill="DF2F1E"/>
          </w:tcPr>
          <w:p>
            <w:pPr>
              <w:pStyle w:val="TableParagraph"/>
              <w:spacing w:before="128"/>
              <w:ind w:left="151" w:right="145" w:hanging="4"/>
              <w:jc w:val="center"/>
              <w:rPr>
                <w:b/>
                <w:sz w:val="16"/>
              </w:rPr>
            </w:pPr>
            <w:r>
              <w:rPr>
                <w:b/>
                <w:color w:val="FFFFFF"/>
                <w:sz w:val="16"/>
              </w:rPr>
              <w:t>Change in lifetime cost, Age Pension component</w:t>
            </w:r>
          </w:p>
        </w:tc>
        <w:tc>
          <w:tcPr>
            <w:tcW w:w="1166" w:type="dxa"/>
            <w:tcBorders>
              <w:top w:val="nil"/>
              <w:left w:val="nil"/>
              <w:bottom w:val="nil"/>
              <w:right w:val="nil"/>
            </w:tcBorders>
            <w:shd w:val="clear" w:color="auto" w:fill="DF2F1E"/>
          </w:tcPr>
          <w:p>
            <w:pPr>
              <w:pStyle w:val="TableParagraph"/>
              <w:spacing w:before="1"/>
              <w:rPr>
                <w:b/>
                <w:sz w:val="19"/>
              </w:rPr>
            </w:pPr>
          </w:p>
          <w:p>
            <w:pPr>
              <w:pStyle w:val="TableParagraph"/>
              <w:spacing w:before="0"/>
              <w:ind w:left="115" w:right="113" w:hanging="4"/>
              <w:jc w:val="center"/>
              <w:rPr>
                <w:b/>
                <w:sz w:val="16"/>
              </w:rPr>
            </w:pPr>
            <w:r>
              <w:rPr>
                <w:b/>
                <w:color w:val="FFFFFF"/>
                <w:sz w:val="16"/>
              </w:rPr>
              <w:t>Total change in lifetime cost ($)</w:t>
            </w:r>
          </w:p>
        </w:tc>
        <w:tc>
          <w:tcPr>
            <w:tcW w:w="1113" w:type="dxa"/>
            <w:tcBorders>
              <w:top w:val="nil"/>
              <w:left w:val="nil"/>
              <w:bottom w:val="nil"/>
              <w:right w:val="nil"/>
            </w:tcBorders>
            <w:shd w:val="clear" w:color="auto" w:fill="DF2F1E"/>
          </w:tcPr>
          <w:p>
            <w:pPr>
              <w:pStyle w:val="TableParagraph"/>
              <w:spacing w:before="1"/>
              <w:rPr>
                <w:b/>
                <w:sz w:val="19"/>
              </w:rPr>
            </w:pPr>
          </w:p>
          <w:p>
            <w:pPr>
              <w:pStyle w:val="TableParagraph"/>
              <w:spacing w:before="0"/>
              <w:ind w:left="180" w:right="182" w:hanging="4"/>
              <w:jc w:val="center"/>
              <w:rPr>
                <w:b/>
                <w:sz w:val="16"/>
              </w:rPr>
            </w:pPr>
            <w:r>
              <w:rPr>
                <w:b/>
                <w:color w:val="FFFFFF"/>
                <w:sz w:val="16"/>
              </w:rPr>
              <w:t>Total change in lifetime cost (%)</w:t>
            </w:r>
          </w:p>
        </w:tc>
      </w:tr>
      <w:tr>
        <w:trPr>
          <w:trHeight w:val="448" w:hRule="atLeast"/>
        </w:trPr>
        <w:tc>
          <w:tcPr>
            <w:tcW w:w="1255" w:type="dxa"/>
            <w:tcBorders>
              <w:top w:val="nil"/>
              <w:left w:val="nil"/>
              <w:right w:val="nil"/>
            </w:tcBorders>
          </w:tcPr>
          <w:p>
            <w:pPr>
              <w:pStyle w:val="TableParagraph"/>
              <w:spacing w:before="39"/>
              <w:ind w:left="112"/>
              <w:rPr>
                <w:sz w:val="16"/>
              </w:rPr>
            </w:pPr>
            <w:r>
              <w:rPr>
                <w:color w:val="404040"/>
                <w:sz w:val="16"/>
              </w:rPr>
              <w:t>Mortality</w:t>
            </w:r>
          </w:p>
        </w:tc>
        <w:tc>
          <w:tcPr>
            <w:tcW w:w="3665" w:type="dxa"/>
            <w:tcBorders>
              <w:top w:val="nil"/>
              <w:left w:val="nil"/>
            </w:tcBorders>
          </w:tcPr>
          <w:p>
            <w:pPr>
              <w:pStyle w:val="TableParagraph"/>
              <w:spacing w:before="39"/>
              <w:ind w:left="108" w:right="357"/>
              <w:rPr>
                <w:sz w:val="16"/>
              </w:rPr>
            </w:pPr>
            <w:r>
              <w:rPr>
                <w:color w:val="404040"/>
                <w:sz w:val="16"/>
              </w:rPr>
              <w:t>Removal of mortality adjustments for specific population groups</w:t>
            </w:r>
          </w:p>
        </w:tc>
        <w:tc>
          <w:tcPr>
            <w:tcW w:w="1169" w:type="dxa"/>
            <w:tcBorders>
              <w:right w:val="nil"/>
            </w:tcBorders>
          </w:tcPr>
          <w:p>
            <w:pPr>
              <w:pStyle w:val="TableParagraph"/>
              <w:spacing w:before="39"/>
              <w:ind w:left="246" w:right="248"/>
              <w:jc w:val="center"/>
              <w:rPr>
                <w:sz w:val="16"/>
              </w:rPr>
            </w:pPr>
            <w:r>
              <w:rPr>
                <w:color w:val="404040"/>
                <w:sz w:val="16"/>
              </w:rPr>
              <w:t>+$61bn</w:t>
            </w:r>
          </w:p>
        </w:tc>
        <w:tc>
          <w:tcPr>
            <w:tcW w:w="1164" w:type="dxa"/>
            <w:tcBorders>
              <w:left w:val="nil"/>
            </w:tcBorders>
          </w:tcPr>
          <w:p>
            <w:pPr>
              <w:pStyle w:val="TableParagraph"/>
              <w:spacing w:before="39"/>
              <w:ind w:right="305"/>
              <w:jc w:val="right"/>
              <w:rPr>
                <w:sz w:val="16"/>
              </w:rPr>
            </w:pPr>
            <w:r>
              <w:rPr>
                <w:color w:val="404040"/>
                <w:sz w:val="16"/>
              </w:rPr>
              <w:t>+$48bn</w:t>
            </w:r>
          </w:p>
        </w:tc>
        <w:tc>
          <w:tcPr>
            <w:tcW w:w="1166" w:type="dxa"/>
            <w:tcBorders>
              <w:right w:val="nil"/>
            </w:tcBorders>
          </w:tcPr>
          <w:p>
            <w:pPr>
              <w:pStyle w:val="TableParagraph"/>
              <w:spacing w:before="39"/>
              <w:ind w:left="177" w:right="182"/>
              <w:jc w:val="center"/>
              <w:rPr>
                <w:sz w:val="16"/>
              </w:rPr>
            </w:pPr>
            <w:r>
              <w:rPr>
                <w:color w:val="404040"/>
                <w:sz w:val="16"/>
              </w:rPr>
              <w:t>+$109bn</w:t>
            </w:r>
          </w:p>
        </w:tc>
        <w:tc>
          <w:tcPr>
            <w:tcW w:w="1113" w:type="dxa"/>
            <w:tcBorders>
              <w:left w:val="nil"/>
              <w:right w:val="nil"/>
            </w:tcBorders>
          </w:tcPr>
          <w:p>
            <w:pPr>
              <w:pStyle w:val="TableParagraph"/>
              <w:spacing w:before="39"/>
              <w:ind w:left="260" w:right="263"/>
              <w:jc w:val="center"/>
              <w:rPr>
                <w:sz w:val="16"/>
              </w:rPr>
            </w:pPr>
            <w:r>
              <w:rPr>
                <w:color w:val="404040"/>
                <w:sz w:val="16"/>
              </w:rPr>
              <w:t>+1.9%</w:t>
            </w:r>
          </w:p>
        </w:tc>
      </w:tr>
      <w:tr>
        <w:trPr>
          <w:trHeight w:val="285" w:hRule="atLeast"/>
        </w:trPr>
        <w:tc>
          <w:tcPr>
            <w:tcW w:w="1255" w:type="dxa"/>
            <w:tcBorders>
              <w:left w:val="nil"/>
              <w:right w:val="nil"/>
            </w:tcBorders>
          </w:tcPr>
          <w:p>
            <w:pPr>
              <w:pStyle w:val="TableParagraph"/>
              <w:ind w:left="112"/>
              <w:rPr>
                <w:sz w:val="16"/>
              </w:rPr>
            </w:pPr>
            <w:r>
              <w:rPr>
                <w:color w:val="404040"/>
                <w:sz w:val="16"/>
              </w:rPr>
              <w:t>Mortality</w:t>
            </w:r>
          </w:p>
        </w:tc>
        <w:tc>
          <w:tcPr>
            <w:tcW w:w="3665" w:type="dxa"/>
            <w:tcBorders>
              <w:left w:val="nil"/>
            </w:tcBorders>
          </w:tcPr>
          <w:p>
            <w:pPr>
              <w:pStyle w:val="TableParagraph"/>
              <w:ind w:left="108"/>
              <w:rPr>
                <w:sz w:val="16"/>
              </w:rPr>
            </w:pPr>
            <w:r>
              <w:rPr>
                <w:color w:val="404040"/>
                <w:sz w:val="16"/>
              </w:rPr>
              <w:t>Increase future mortality improvements by 25%</w:t>
            </w:r>
          </w:p>
        </w:tc>
        <w:tc>
          <w:tcPr>
            <w:tcW w:w="1169" w:type="dxa"/>
            <w:tcBorders>
              <w:right w:val="nil"/>
            </w:tcBorders>
          </w:tcPr>
          <w:p>
            <w:pPr>
              <w:pStyle w:val="TableParagraph"/>
              <w:ind w:left="246" w:right="248"/>
              <w:jc w:val="center"/>
              <w:rPr>
                <w:sz w:val="16"/>
              </w:rPr>
            </w:pPr>
            <w:r>
              <w:rPr>
                <w:color w:val="404040"/>
                <w:sz w:val="16"/>
              </w:rPr>
              <w:t>+$20bn</w:t>
            </w:r>
          </w:p>
        </w:tc>
        <w:tc>
          <w:tcPr>
            <w:tcW w:w="1164" w:type="dxa"/>
            <w:tcBorders>
              <w:left w:val="nil"/>
            </w:tcBorders>
          </w:tcPr>
          <w:p>
            <w:pPr>
              <w:pStyle w:val="TableParagraph"/>
              <w:ind w:right="262"/>
              <w:jc w:val="right"/>
              <w:rPr>
                <w:sz w:val="16"/>
              </w:rPr>
            </w:pPr>
            <w:r>
              <w:rPr>
                <w:color w:val="404040"/>
                <w:sz w:val="16"/>
              </w:rPr>
              <w:t>+$154bn</w:t>
            </w:r>
          </w:p>
        </w:tc>
        <w:tc>
          <w:tcPr>
            <w:tcW w:w="1166" w:type="dxa"/>
            <w:tcBorders>
              <w:right w:val="nil"/>
            </w:tcBorders>
          </w:tcPr>
          <w:p>
            <w:pPr>
              <w:pStyle w:val="TableParagraph"/>
              <w:ind w:left="177" w:right="182"/>
              <w:jc w:val="center"/>
              <w:rPr>
                <w:sz w:val="16"/>
              </w:rPr>
            </w:pPr>
            <w:r>
              <w:rPr>
                <w:color w:val="404040"/>
                <w:sz w:val="16"/>
              </w:rPr>
              <w:t>+$174bn</w:t>
            </w:r>
          </w:p>
        </w:tc>
        <w:tc>
          <w:tcPr>
            <w:tcW w:w="1113" w:type="dxa"/>
            <w:tcBorders>
              <w:left w:val="nil"/>
              <w:right w:val="nil"/>
            </w:tcBorders>
          </w:tcPr>
          <w:p>
            <w:pPr>
              <w:pStyle w:val="TableParagraph"/>
              <w:ind w:left="260" w:right="263"/>
              <w:jc w:val="center"/>
              <w:rPr>
                <w:sz w:val="16"/>
              </w:rPr>
            </w:pPr>
            <w:r>
              <w:rPr>
                <w:color w:val="404040"/>
                <w:sz w:val="16"/>
              </w:rPr>
              <w:t>+3.1%</w:t>
            </w:r>
          </w:p>
        </w:tc>
      </w:tr>
      <w:tr>
        <w:trPr>
          <w:trHeight w:val="282" w:hRule="atLeast"/>
        </w:trPr>
        <w:tc>
          <w:tcPr>
            <w:tcW w:w="1255" w:type="dxa"/>
            <w:tcBorders>
              <w:left w:val="nil"/>
              <w:right w:val="nil"/>
            </w:tcBorders>
          </w:tcPr>
          <w:p>
            <w:pPr>
              <w:pStyle w:val="TableParagraph"/>
              <w:ind w:left="112"/>
              <w:rPr>
                <w:sz w:val="16"/>
              </w:rPr>
            </w:pPr>
            <w:r>
              <w:rPr>
                <w:color w:val="404040"/>
                <w:sz w:val="16"/>
              </w:rPr>
              <w:t>Mortality</w:t>
            </w:r>
          </w:p>
        </w:tc>
        <w:tc>
          <w:tcPr>
            <w:tcW w:w="3665" w:type="dxa"/>
            <w:tcBorders>
              <w:left w:val="nil"/>
            </w:tcBorders>
          </w:tcPr>
          <w:p>
            <w:pPr>
              <w:pStyle w:val="TableParagraph"/>
              <w:ind w:left="108"/>
              <w:rPr>
                <w:sz w:val="16"/>
              </w:rPr>
            </w:pPr>
            <w:r>
              <w:rPr>
                <w:color w:val="404040"/>
                <w:sz w:val="16"/>
              </w:rPr>
              <w:t>Remove future mortality improvements</w:t>
            </w:r>
          </w:p>
        </w:tc>
        <w:tc>
          <w:tcPr>
            <w:tcW w:w="1169" w:type="dxa"/>
            <w:tcBorders>
              <w:right w:val="nil"/>
            </w:tcBorders>
          </w:tcPr>
          <w:p>
            <w:pPr>
              <w:pStyle w:val="TableParagraph"/>
              <w:ind w:left="244" w:right="249"/>
              <w:jc w:val="center"/>
              <w:rPr>
                <w:sz w:val="16"/>
              </w:rPr>
            </w:pPr>
            <w:r>
              <w:rPr>
                <w:color w:val="404040"/>
                <w:sz w:val="16"/>
              </w:rPr>
              <w:t>-$132bn</w:t>
            </w:r>
          </w:p>
        </w:tc>
        <w:tc>
          <w:tcPr>
            <w:tcW w:w="1164" w:type="dxa"/>
            <w:tcBorders>
              <w:left w:val="nil"/>
            </w:tcBorders>
          </w:tcPr>
          <w:p>
            <w:pPr>
              <w:pStyle w:val="TableParagraph"/>
              <w:ind w:right="283"/>
              <w:jc w:val="right"/>
              <w:rPr>
                <w:sz w:val="16"/>
              </w:rPr>
            </w:pPr>
            <w:r>
              <w:rPr>
                <w:color w:val="404040"/>
                <w:sz w:val="16"/>
              </w:rPr>
              <w:t>-$845bn</w:t>
            </w:r>
          </w:p>
        </w:tc>
        <w:tc>
          <w:tcPr>
            <w:tcW w:w="1166" w:type="dxa"/>
            <w:tcBorders>
              <w:right w:val="nil"/>
            </w:tcBorders>
          </w:tcPr>
          <w:p>
            <w:pPr>
              <w:pStyle w:val="TableParagraph"/>
              <w:ind w:left="174" w:right="182"/>
              <w:jc w:val="center"/>
              <w:rPr>
                <w:sz w:val="16"/>
              </w:rPr>
            </w:pPr>
            <w:r>
              <w:rPr>
                <w:color w:val="404040"/>
                <w:sz w:val="16"/>
              </w:rPr>
              <w:t>-$977bn</w:t>
            </w:r>
          </w:p>
        </w:tc>
        <w:tc>
          <w:tcPr>
            <w:tcW w:w="1113" w:type="dxa"/>
            <w:tcBorders>
              <w:left w:val="nil"/>
              <w:right w:val="nil"/>
            </w:tcBorders>
          </w:tcPr>
          <w:p>
            <w:pPr>
              <w:pStyle w:val="TableParagraph"/>
              <w:ind w:left="260" w:right="263"/>
              <w:jc w:val="center"/>
              <w:rPr>
                <w:sz w:val="16"/>
              </w:rPr>
            </w:pPr>
            <w:r>
              <w:rPr>
                <w:color w:val="404040"/>
                <w:sz w:val="16"/>
              </w:rPr>
              <w:t>-17.3%</w:t>
            </w:r>
          </w:p>
        </w:tc>
      </w:tr>
      <w:tr>
        <w:trPr>
          <w:trHeight w:val="285" w:hRule="atLeast"/>
        </w:trPr>
        <w:tc>
          <w:tcPr>
            <w:tcW w:w="1255" w:type="dxa"/>
            <w:tcBorders>
              <w:left w:val="nil"/>
              <w:right w:val="nil"/>
            </w:tcBorders>
          </w:tcPr>
          <w:p>
            <w:pPr>
              <w:pStyle w:val="TableParagraph"/>
              <w:ind w:left="112"/>
              <w:rPr>
                <w:sz w:val="16"/>
              </w:rPr>
            </w:pPr>
            <w:r>
              <w:rPr>
                <w:color w:val="404040"/>
                <w:sz w:val="16"/>
              </w:rPr>
              <w:t>Economic</w:t>
            </w:r>
          </w:p>
        </w:tc>
        <w:tc>
          <w:tcPr>
            <w:tcW w:w="3665" w:type="dxa"/>
            <w:tcBorders>
              <w:left w:val="nil"/>
            </w:tcBorders>
          </w:tcPr>
          <w:p>
            <w:pPr>
              <w:pStyle w:val="TableParagraph"/>
              <w:ind w:left="108"/>
              <w:rPr>
                <w:sz w:val="16"/>
              </w:rPr>
            </w:pPr>
            <w:r>
              <w:rPr>
                <w:color w:val="404040"/>
                <w:sz w:val="16"/>
              </w:rPr>
              <w:t>Discount rate increases 1% to +6%</w:t>
            </w:r>
          </w:p>
        </w:tc>
        <w:tc>
          <w:tcPr>
            <w:tcW w:w="1169" w:type="dxa"/>
            <w:tcBorders>
              <w:right w:val="nil"/>
            </w:tcBorders>
          </w:tcPr>
          <w:p>
            <w:pPr>
              <w:pStyle w:val="TableParagraph"/>
              <w:ind w:left="244" w:right="249"/>
              <w:jc w:val="center"/>
              <w:rPr>
                <w:sz w:val="16"/>
              </w:rPr>
            </w:pPr>
            <w:r>
              <w:rPr>
                <w:color w:val="404040"/>
                <w:sz w:val="16"/>
              </w:rPr>
              <w:t>-$386bn</w:t>
            </w:r>
          </w:p>
        </w:tc>
        <w:tc>
          <w:tcPr>
            <w:tcW w:w="1164" w:type="dxa"/>
            <w:tcBorders>
              <w:left w:val="nil"/>
            </w:tcBorders>
          </w:tcPr>
          <w:p>
            <w:pPr>
              <w:pStyle w:val="TableParagraph"/>
              <w:ind w:right="214"/>
              <w:jc w:val="right"/>
              <w:rPr>
                <w:sz w:val="16"/>
              </w:rPr>
            </w:pPr>
            <w:r>
              <w:rPr>
                <w:color w:val="404040"/>
                <w:sz w:val="16"/>
              </w:rPr>
              <w:t>-$1,044bn</w:t>
            </w:r>
          </w:p>
        </w:tc>
        <w:tc>
          <w:tcPr>
            <w:tcW w:w="1166" w:type="dxa"/>
            <w:tcBorders>
              <w:right w:val="nil"/>
            </w:tcBorders>
          </w:tcPr>
          <w:p>
            <w:pPr>
              <w:pStyle w:val="TableParagraph"/>
              <w:ind w:left="177" w:right="180"/>
              <w:jc w:val="center"/>
              <w:rPr>
                <w:sz w:val="16"/>
              </w:rPr>
            </w:pPr>
            <w:r>
              <w:rPr>
                <w:color w:val="404040"/>
                <w:sz w:val="16"/>
              </w:rPr>
              <w:t>-$1,430bn</w:t>
            </w:r>
          </w:p>
        </w:tc>
        <w:tc>
          <w:tcPr>
            <w:tcW w:w="1113" w:type="dxa"/>
            <w:tcBorders>
              <w:left w:val="nil"/>
              <w:right w:val="nil"/>
            </w:tcBorders>
          </w:tcPr>
          <w:p>
            <w:pPr>
              <w:pStyle w:val="TableParagraph"/>
              <w:ind w:left="260" w:right="263"/>
              <w:jc w:val="center"/>
              <w:rPr>
                <w:sz w:val="16"/>
              </w:rPr>
            </w:pPr>
            <w:r>
              <w:rPr>
                <w:color w:val="404040"/>
                <w:sz w:val="16"/>
              </w:rPr>
              <w:t>-25.3%</w:t>
            </w:r>
          </w:p>
        </w:tc>
      </w:tr>
      <w:tr>
        <w:trPr>
          <w:trHeight w:val="282" w:hRule="atLeast"/>
        </w:trPr>
        <w:tc>
          <w:tcPr>
            <w:tcW w:w="1255" w:type="dxa"/>
            <w:tcBorders>
              <w:left w:val="nil"/>
              <w:right w:val="nil"/>
            </w:tcBorders>
          </w:tcPr>
          <w:p>
            <w:pPr>
              <w:pStyle w:val="TableParagraph"/>
              <w:ind w:left="112"/>
              <w:rPr>
                <w:sz w:val="16"/>
              </w:rPr>
            </w:pPr>
            <w:r>
              <w:rPr>
                <w:color w:val="404040"/>
                <w:sz w:val="16"/>
              </w:rPr>
              <w:t>Economic</w:t>
            </w:r>
          </w:p>
        </w:tc>
        <w:tc>
          <w:tcPr>
            <w:tcW w:w="3665" w:type="dxa"/>
            <w:tcBorders>
              <w:left w:val="nil"/>
            </w:tcBorders>
          </w:tcPr>
          <w:p>
            <w:pPr>
              <w:pStyle w:val="TableParagraph"/>
              <w:ind w:left="108"/>
              <w:rPr>
                <w:sz w:val="16"/>
              </w:rPr>
            </w:pPr>
            <w:r>
              <w:rPr>
                <w:color w:val="404040"/>
                <w:sz w:val="16"/>
              </w:rPr>
              <w:t>Discount rate reduces 1% to +4%</w:t>
            </w:r>
          </w:p>
        </w:tc>
        <w:tc>
          <w:tcPr>
            <w:tcW w:w="1169" w:type="dxa"/>
            <w:tcBorders>
              <w:right w:val="nil"/>
            </w:tcBorders>
          </w:tcPr>
          <w:p>
            <w:pPr>
              <w:pStyle w:val="TableParagraph"/>
              <w:ind w:left="246" w:right="249"/>
              <w:jc w:val="center"/>
              <w:rPr>
                <w:sz w:val="16"/>
              </w:rPr>
            </w:pPr>
            <w:r>
              <w:rPr>
                <w:color w:val="404040"/>
                <w:sz w:val="16"/>
              </w:rPr>
              <w:t>+$547bn</w:t>
            </w:r>
          </w:p>
        </w:tc>
        <w:tc>
          <w:tcPr>
            <w:tcW w:w="1164" w:type="dxa"/>
            <w:tcBorders>
              <w:left w:val="nil"/>
            </w:tcBorders>
          </w:tcPr>
          <w:p>
            <w:pPr>
              <w:pStyle w:val="TableParagraph"/>
              <w:ind w:right="195"/>
              <w:jc w:val="right"/>
              <w:rPr>
                <w:sz w:val="16"/>
              </w:rPr>
            </w:pPr>
            <w:r>
              <w:rPr>
                <w:color w:val="404040"/>
                <w:sz w:val="16"/>
              </w:rPr>
              <w:t>+$1,772bn</w:t>
            </w:r>
          </w:p>
        </w:tc>
        <w:tc>
          <w:tcPr>
            <w:tcW w:w="1166" w:type="dxa"/>
            <w:tcBorders>
              <w:right w:val="nil"/>
            </w:tcBorders>
          </w:tcPr>
          <w:p>
            <w:pPr>
              <w:pStyle w:val="TableParagraph"/>
              <w:ind w:left="177" w:right="182"/>
              <w:jc w:val="center"/>
              <w:rPr>
                <w:sz w:val="16"/>
              </w:rPr>
            </w:pPr>
            <w:r>
              <w:rPr>
                <w:color w:val="404040"/>
                <w:sz w:val="16"/>
              </w:rPr>
              <w:t>+$2,319bn</w:t>
            </w:r>
          </w:p>
        </w:tc>
        <w:tc>
          <w:tcPr>
            <w:tcW w:w="1113" w:type="dxa"/>
            <w:tcBorders>
              <w:left w:val="nil"/>
              <w:right w:val="nil"/>
            </w:tcBorders>
          </w:tcPr>
          <w:p>
            <w:pPr>
              <w:pStyle w:val="TableParagraph"/>
              <w:ind w:left="262" w:right="263"/>
              <w:jc w:val="center"/>
              <w:rPr>
                <w:sz w:val="16"/>
              </w:rPr>
            </w:pPr>
            <w:r>
              <w:rPr>
                <w:color w:val="404040"/>
                <w:sz w:val="16"/>
              </w:rPr>
              <w:t>+40.9%</w:t>
            </w:r>
          </w:p>
        </w:tc>
      </w:tr>
      <w:tr>
        <w:trPr>
          <w:trHeight w:val="448" w:hRule="atLeast"/>
        </w:trPr>
        <w:tc>
          <w:tcPr>
            <w:tcW w:w="1255" w:type="dxa"/>
            <w:tcBorders>
              <w:left w:val="nil"/>
              <w:right w:val="nil"/>
            </w:tcBorders>
          </w:tcPr>
          <w:p>
            <w:pPr>
              <w:pStyle w:val="TableParagraph"/>
              <w:ind w:left="112"/>
              <w:rPr>
                <w:sz w:val="16"/>
              </w:rPr>
            </w:pPr>
            <w:r>
              <w:rPr>
                <w:color w:val="404040"/>
                <w:sz w:val="16"/>
              </w:rPr>
              <w:t>Economic</w:t>
            </w:r>
          </w:p>
        </w:tc>
        <w:tc>
          <w:tcPr>
            <w:tcW w:w="3665" w:type="dxa"/>
            <w:tcBorders>
              <w:left w:val="nil"/>
            </w:tcBorders>
          </w:tcPr>
          <w:p>
            <w:pPr>
              <w:pStyle w:val="TableParagraph"/>
              <w:ind w:left="108" w:right="419"/>
              <w:rPr>
                <w:sz w:val="16"/>
              </w:rPr>
            </w:pPr>
            <w:r>
              <w:rPr>
                <w:color w:val="404040"/>
                <w:sz w:val="16"/>
              </w:rPr>
              <w:t>Long term CPI assumption increases by 1% (from 2.5% to 3.5%, starting from 2025/26)</w:t>
            </w:r>
          </w:p>
        </w:tc>
        <w:tc>
          <w:tcPr>
            <w:tcW w:w="1169" w:type="dxa"/>
            <w:tcBorders>
              <w:right w:val="nil"/>
            </w:tcBorders>
          </w:tcPr>
          <w:p>
            <w:pPr>
              <w:pStyle w:val="TableParagraph"/>
              <w:ind w:left="246" w:right="249"/>
              <w:jc w:val="center"/>
              <w:rPr>
                <w:sz w:val="16"/>
              </w:rPr>
            </w:pPr>
            <w:r>
              <w:rPr>
                <w:color w:val="404040"/>
                <w:sz w:val="16"/>
              </w:rPr>
              <w:t>+$210bn</w:t>
            </w:r>
          </w:p>
        </w:tc>
        <w:tc>
          <w:tcPr>
            <w:tcW w:w="1164" w:type="dxa"/>
            <w:tcBorders>
              <w:left w:val="nil"/>
            </w:tcBorders>
          </w:tcPr>
          <w:p>
            <w:pPr>
              <w:pStyle w:val="TableParagraph"/>
              <w:ind w:left="7"/>
              <w:jc w:val="center"/>
              <w:rPr>
                <w:sz w:val="16"/>
              </w:rPr>
            </w:pPr>
            <w:r>
              <w:rPr>
                <w:color w:val="404040"/>
                <w:w w:val="100"/>
                <w:sz w:val="16"/>
              </w:rPr>
              <w:t>-</w:t>
            </w:r>
          </w:p>
        </w:tc>
        <w:tc>
          <w:tcPr>
            <w:tcW w:w="1166" w:type="dxa"/>
            <w:tcBorders>
              <w:right w:val="nil"/>
            </w:tcBorders>
          </w:tcPr>
          <w:p>
            <w:pPr>
              <w:pStyle w:val="TableParagraph"/>
              <w:ind w:left="177" w:right="182"/>
              <w:jc w:val="center"/>
              <w:rPr>
                <w:sz w:val="16"/>
              </w:rPr>
            </w:pPr>
            <w:r>
              <w:rPr>
                <w:color w:val="404040"/>
                <w:sz w:val="16"/>
              </w:rPr>
              <w:t>+$210bn</w:t>
            </w:r>
          </w:p>
        </w:tc>
        <w:tc>
          <w:tcPr>
            <w:tcW w:w="1113" w:type="dxa"/>
            <w:tcBorders>
              <w:left w:val="nil"/>
              <w:right w:val="nil"/>
            </w:tcBorders>
          </w:tcPr>
          <w:p>
            <w:pPr>
              <w:pStyle w:val="TableParagraph"/>
              <w:ind w:left="260" w:right="263"/>
              <w:jc w:val="center"/>
              <w:rPr>
                <w:sz w:val="16"/>
              </w:rPr>
            </w:pPr>
            <w:r>
              <w:rPr>
                <w:color w:val="404040"/>
                <w:sz w:val="16"/>
              </w:rPr>
              <w:t>+3.7%</w:t>
            </w:r>
          </w:p>
        </w:tc>
      </w:tr>
      <w:tr>
        <w:trPr>
          <w:trHeight w:val="448" w:hRule="atLeast"/>
        </w:trPr>
        <w:tc>
          <w:tcPr>
            <w:tcW w:w="1255" w:type="dxa"/>
            <w:tcBorders>
              <w:left w:val="nil"/>
              <w:right w:val="nil"/>
            </w:tcBorders>
          </w:tcPr>
          <w:p>
            <w:pPr>
              <w:pStyle w:val="TableParagraph"/>
              <w:ind w:left="112"/>
              <w:rPr>
                <w:sz w:val="16"/>
              </w:rPr>
            </w:pPr>
            <w:r>
              <w:rPr>
                <w:color w:val="404040"/>
                <w:sz w:val="16"/>
              </w:rPr>
              <w:t>Economic</w:t>
            </w:r>
          </w:p>
        </w:tc>
        <w:tc>
          <w:tcPr>
            <w:tcW w:w="3665" w:type="dxa"/>
            <w:tcBorders>
              <w:left w:val="nil"/>
            </w:tcBorders>
          </w:tcPr>
          <w:p>
            <w:pPr>
              <w:pStyle w:val="TableParagraph"/>
              <w:ind w:left="108" w:right="117"/>
              <w:rPr>
                <w:sz w:val="16"/>
              </w:rPr>
            </w:pPr>
            <w:r>
              <w:rPr>
                <w:color w:val="404040"/>
                <w:sz w:val="16"/>
              </w:rPr>
              <w:t>Long term CPI assumption reduces by 1% (from 2.5% to 1.5%, starting from 2025/26)</w:t>
            </w:r>
          </w:p>
        </w:tc>
        <w:tc>
          <w:tcPr>
            <w:tcW w:w="1169" w:type="dxa"/>
            <w:tcBorders>
              <w:right w:val="nil"/>
            </w:tcBorders>
          </w:tcPr>
          <w:p>
            <w:pPr>
              <w:pStyle w:val="TableParagraph"/>
              <w:ind w:left="244" w:right="249"/>
              <w:jc w:val="center"/>
              <w:rPr>
                <w:sz w:val="16"/>
              </w:rPr>
            </w:pPr>
            <w:r>
              <w:rPr>
                <w:color w:val="404040"/>
                <w:sz w:val="16"/>
              </w:rPr>
              <w:t>-$156bn</w:t>
            </w:r>
          </w:p>
        </w:tc>
        <w:tc>
          <w:tcPr>
            <w:tcW w:w="1164" w:type="dxa"/>
            <w:tcBorders>
              <w:left w:val="nil"/>
            </w:tcBorders>
          </w:tcPr>
          <w:p>
            <w:pPr>
              <w:pStyle w:val="TableParagraph"/>
              <w:ind w:left="7"/>
              <w:jc w:val="center"/>
              <w:rPr>
                <w:sz w:val="16"/>
              </w:rPr>
            </w:pPr>
            <w:r>
              <w:rPr>
                <w:color w:val="404040"/>
                <w:w w:val="100"/>
                <w:sz w:val="16"/>
              </w:rPr>
              <w:t>-</w:t>
            </w:r>
          </w:p>
        </w:tc>
        <w:tc>
          <w:tcPr>
            <w:tcW w:w="1166" w:type="dxa"/>
            <w:tcBorders>
              <w:right w:val="nil"/>
            </w:tcBorders>
          </w:tcPr>
          <w:p>
            <w:pPr>
              <w:pStyle w:val="TableParagraph"/>
              <w:ind w:left="174" w:right="182"/>
              <w:jc w:val="center"/>
              <w:rPr>
                <w:sz w:val="16"/>
              </w:rPr>
            </w:pPr>
            <w:r>
              <w:rPr>
                <w:color w:val="404040"/>
                <w:sz w:val="16"/>
              </w:rPr>
              <w:t>-$156bn</w:t>
            </w:r>
          </w:p>
        </w:tc>
        <w:tc>
          <w:tcPr>
            <w:tcW w:w="1113" w:type="dxa"/>
            <w:tcBorders>
              <w:left w:val="nil"/>
              <w:right w:val="nil"/>
            </w:tcBorders>
          </w:tcPr>
          <w:p>
            <w:pPr>
              <w:pStyle w:val="TableParagraph"/>
              <w:ind w:left="262" w:right="263"/>
              <w:jc w:val="center"/>
              <w:rPr>
                <w:sz w:val="16"/>
              </w:rPr>
            </w:pPr>
            <w:r>
              <w:rPr>
                <w:color w:val="404040"/>
                <w:sz w:val="16"/>
              </w:rPr>
              <w:t>-2.7%</w:t>
            </w:r>
          </w:p>
        </w:tc>
      </w:tr>
    </w:tbl>
    <w:p>
      <w:pPr>
        <w:spacing w:after="0"/>
        <w:jc w:val="center"/>
        <w:rPr>
          <w:sz w:val="16"/>
        </w:rPr>
        <w:sectPr>
          <w:pgSz w:w="11910" w:h="16850"/>
          <w:pgMar w:header="572" w:footer="581" w:top="780" w:bottom="780" w:left="120" w:right="0"/>
        </w:sectPr>
      </w:pPr>
    </w:p>
    <w:p>
      <w:pPr>
        <w:pStyle w:val="BodyText"/>
        <w:rPr>
          <w:b/>
        </w:rPr>
      </w:pPr>
    </w:p>
    <w:p>
      <w:pPr>
        <w:pStyle w:val="BodyText"/>
        <w:rPr>
          <w:b/>
        </w:rPr>
      </w:pPr>
    </w:p>
    <w:p>
      <w:pPr>
        <w:pStyle w:val="BodyText"/>
        <w:rPr>
          <w:b/>
        </w:rPr>
      </w:pPr>
    </w:p>
    <w:p>
      <w:pPr>
        <w:pStyle w:val="BodyText"/>
        <w:spacing w:before="9"/>
        <w:rPr>
          <w:b/>
          <w:sz w:val="10"/>
        </w:rPr>
      </w:pPr>
    </w:p>
    <w:tbl>
      <w:tblPr>
        <w:tblW w:w="0" w:type="auto"/>
        <w:jc w:val="left"/>
        <w:tblInd w:w="907" w:type="dxa"/>
        <w:tblBorders>
          <w:top w:val="single" w:sz="4" w:space="0" w:color="DF2F1E"/>
          <w:left w:val="single" w:sz="4" w:space="0" w:color="DF2F1E"/>
          <w:bottom w:val="single" w:sz="4" w:space="0" w:color="DF2F1E"/>
          <w:right w:val="single" w:sz="4" w:space="0" w:color="DF2F1E"/>
          <w:insideH w:val="single" w:sz="4" w:space="0" w:color="DF2F1E"/>
          <w:insideV w:val="single" w:sz="4" w:space="0" w:color="DF2F1E"/>
        </w:tblBorders>
        <w:tblLayout w:type="fixed"/>
        <w:tblCellMar>
          <w:top w:w="0" w:type="dxa"/>
          <w:left w:w="0" w:type="dxa"/>
          <w:bottom w:w="0" w:type="dxa"/>
          <w:right w:w="0" w:type="dxa"/>
        </w:tblCellMar>
        <w:tblLook w:val="01E0"/>
      </w:tblPr>
      <w:tblGrid>
        <w:gridCol w:w="1255"/>
        <w:gridCol w:w="3665"/>
        <w:gridCol w:w="1169"/>
        <w:gridCol w:w="1164"/>
        <w:gridCol w:w="1166"/>
        <w:gridCol w:w="1113"/>
      </w:tblGrid>
      <w:tr>
        <w:trPr>
          <w:trHeight w:val="1182" w:hRule="atLeast"/>
        </w:trPr>
        <w:tc>
          <w:tcPr>
            <w:tcW w:w="1255" w:type="dxa"/>
            <w:tcBorders>
              <w:top w:val="nil"/>
              <w:left w:val="nil"/>
              <w:bottom w:val="nil"/>
              <w:right w:val="nil"/>
            </w:tcBorders>
            <w:shd w:val="clear" w:color="auto" w:fill="DF2F1E"/>
          </w:tcPr>
          <w:p>
            <w:pPr>
              <w:pStyle w:val="TableParagraph"/>
              <w:spacing w:before="0"/>
              <w:rPr>
                <w:b/>
                <w:sz w:val="18"/>
              </w:rPr>
            </w:pPr>
          </w:p>
          <w:p>
            <w:pPr>
              <w:pStyle w:val="TableParagraph"/>
              <w:spacing w:before="10"/>
              <w:rPr>
                <w:b/>
                <w:sz w:val="16"/>
              </w:rPr>
            </w:pPr>
          </w:p>
          <w:p>
            <w:pPr>
              <w:pStyle w:val="TableParagraph"/>
              <w:spacing w:before="1"/>
              <w:ind w:left="112" w:right="198"/>
              <w:rPr>
                <w:b/>
                <w:sz w:val="16"/>
              </w:rPr>
            </w:pPr>
            <w:r>
              <w:rPr>
                <w:b/>
                <w:color w:val="FFFFFF"/>
                <w:sz w:val="16"/>
              </w:rPr>
              <w:t>Assumption set</w:t>
            </w:r>
          </w:p>
        </w:tc>
        <w:tc>
          <w:tcPr>
            <w:tcW w:w="3665" w:type="dxa"/>
            <w:tcBorders>
              <w:top w:val="nil"/>
              <w:left w:val="nil"/>
              <w:bottom w:val="nil"/>
              <w:right w:val="nil"/>
            </w:tcBorders>
            <w:shd w:val="clear" w:color="auto" w:fill="DF2F1E"/>
          </w:tcPr>
          <w:p>
            <w:pPr>
              <w:pStyle w:val="TableParagraph"/>
              <w:spacing w:before="0"/>
              <w:rPr>
                <w:b/>
                <w:sz w:val="18"/>
              </w:rPr>
            </w:pPr>
          </w:p>
          <w:p>
            <w:pPr>
              <w:pStyle w:val="TableParagraph"/>
              <w:spacing w:before="10"/>
              <w:rPr>
                <w:b/>
                <w:sz w:val="24"/>
              </w:rPr>
            </w:pPr>
          </w:p>
          <w:p>
            <w:pPr>
              <w:pStyle w:val="TableParagraph"/>
              <w:spacing w:before="0"/>
              <w:ind w:left="108"/>
              <w:rPr>
                <w:b/>
                <w:sz w:val="16"/>
              </w:rPr>
            </w:pPr>
            <w:r>
              <w:rPr>
                <w:b/>
                <w:color w:val="FFFFFF"/>
                <w:sz w:val="16"/>
              </w:rPr>
              <w:t>Sensitivity test</w:t>
            </w:r>
          </w:p>
        </w:tc>
        <w:tc>
          <w:tcPr>
            <w:tcW w:w="1169" w:type="dxa"/>
            <w:tcBorders>
              <w:top w:val="nil"/>
              <w:left w:val="nil"/>
              <w:bottom w:val="nil"/>
              <w:right w:val="nil"/>
            </w:tcBorders>
            <w:shd w:val="clear" w:color="auto" w:fill="DF2F1E"/>
          </w:tcPr>
          <w:p>
            <w:pPr>
              <w:pStyle w:val="TableParagraph"/>
              <w:spacing w:before="34"/>
              <w:ind w:left="153" w:right="148" w:hanging="4"/>
              <w:jc w:val="center"/>
              <w:rPr>
                <w:b/>
                <w:sz w:val="16"/>
              </w:rPr>
            </w:pPr>
            <w:r>
              <w:rPr>
                <w:b/>
                <w:color w:val="FFFFFF"/>
                <w:sz w:val="16"/>
              </w:rPr>
              <w:t>Change in lifetime cost, non- Age Pension component</w:t>
            </w:r>
          </w:p>
        </w:tc>
        <w:tc>
          <w:tcPr>
            <w:tcW w:w="1164" w:type="dxa"/>
            <w:tcBorders>
              <w:top w:val="nil"/>
              <w:left w:val="nil"/>
              <w:bottom w:val="nil"/>
              <w:right w:val="nil"/>
            </w:tcBorders>
            <w:shd w:val="clear" w:color="auto" w:fill="DF2F1E"/>
          </w:tcPr>
          <w:p>
            <w:pPr>
              <w:pStyle w:val="TableParagraph"/>
              <w:spacing w:before="126"/>
              <w:ind w:left="151" w:right="145" w:hanging="4"/>
              <w:jc w:val="center"/>
              <w:rPr>
                <w:b/>
                <w:sz w:val="16"/>
              </w:rPr>
            </w:pPr>
            <w:r>
              <w:rPr>
                <w:b/>
                <w:color w:val="FFFFFF"/>
                <w:sz w:val="16"/>
              </w:rPr>
              <w:t>Change in lifetime cost, Age Pension component</w:t>
            </w:r>
          </w:p>
        </w:tc>
        <w:tc>
          <w:tcPr>
            <w:tcW w:w="1166" w:type="dxa"/>
            <w:tcBorders>
              <w:top w:val="nil"/>
              <w:left w:val="nil"/>
              <w:bottom w:val="nil"/>
              <w:right w:val="nil"/>
            </w:tcBorders>
            <w:shd w:val="clear" w:color="auto" w:fill="DF2F1E"/>
          </w:tcPr>
          <w:p>
            <w:pPr>
              <w:pStyle w:val="TableParagraph"/>
              <w:spacing w:before="10"/>
              <w:rPr>
                <w:b/>
                <w:sz w:val="18"/>
              </w:rPr>
            </w:pPr>
          </w:p>
          <w:p>
            <w:pPr>
              <w:pStyle w:val="TableParagraph"/>
              <w:spacing w:before="0"/>
              <w:ind w:left="115" w:right="113" w:hanging="4"/>
              <w:jc w:val="center"/>
              <w:rPr>
                <w:b/>
                <w:sz w:val="16"/>
              </w:rPr>
            </w:pPr>
            <w:r>
              <w:rPr>
                <w:b/>
                <w:color w:val="FFFFFF"/>
                <w:sz w:val="16"/>
              </w:rPr>
              <w:t>Total change in lifetime cost ($)</w:t>
            </w:r>
          </w:p>
        </w:tc>
        <w:tc>
          <w:tcPr>
            <w:tcW w:w="1113" w:type="dxa"/>
            <w:tcBorders>
              <w:top w:val="nil"/>
              <w:left w:val="nil"/>
              <w:bottom w:val="nil"/>
              <w:right w:val="nil"/>
            </w:tcBorders>
            <w:shd w:val="clear" w:color="auto" w:fill="DF2F1E"/>
          </w:tcPr>
          <w:p>
            <w:pPr>
              <w:pStyle w:val="TableParagraph"/>
              <w:spacing w:before="10"/>
              <w:rPr>
                <w:b/>
                <w:sz w:val="18"/>
              </w:rPr>
            </w:pPr>
          </w:p>
          <w:p>
            <w:pPr>
              <w:pStyle w:val="TableParagraph"/>
              <w:spacing w:before="0"/>
              <w:ind w:left="180" w:right="182" w:hanging="4"/>
              <w:jc w:val="center"/>
              <w:rPr>
                <w:b/>
                <w:sz w:val="16"/>
              </w:rPr>
            </w:pPr>
            <w:r>
              <w:rPr>
                <w:b/>
                <w:color w:val="FFFFFF"/>
                <w:sz w:val="16"/>
              </w:rPr>
              <w:t>Total change in lifetime cost (%)</w:t>
            </w:r>
          </w:p>
        </w:tc>
      </w:tr>
      <w:tr>
        <w:trPr>
          <w:trHeight w:val="448" w:hRule="atLeast"/>
        </w:trPr>
        <w:tc>
          <w:tcPr>
            <w:tcW w:w="1255" w:type="dxa"/>
            <w:tcBorders>
              <w:top w:val="nil"/>
              <w:left w:val="nil"/>
              <w:right w:val="nil"/>
            </w:tcBorders>
          </w:tcPr>
          <w:p>
            <w:pPr>
              <w:pStyle w:val="TableParagraph"/>
              <w:ind w:left="112"/>
              <w:rPr>
                <w:sz w:val="16"/>
              </w:rPr>
            </w:pPr>
            <w:r>
              <w:rPr>
                <w:color w:val="404040"/>
                <w:sz w:val="16"/>
              </w:rPr>
              <w:t>Economic</w:t>
            </w:r>
          </w:p>
        </w:tc>
        <w:tc>
          <w:tcPr>
            <w:tcW w:w="3665" w:type="dxa"/>
            <w:tcBorders>
              <w:top w:val="nil"/>
              <w:left w:val="nil"/>
            </w:tcBorders>
          </w:tcPr>
          <w:p>
            <w:pPr>
              <w:pStyle w:val="TableParagraph"/>
              <w:ind w:left="108" w:right="90"/>
              <w:rPr>
                <w:sz w:val="16"/>
              </w:rPr>
            </w:pPr>
            <w:r>
              <w:rPr>
                <w:color w:val="404040"/>
                <w:sz w:val="16"/>
              </w:rPr>
              <w:t>Long term MTAWE assumption increases by 1% (from 4% to 5%, starting from 2025/26)</w:t>
            </w:r>
          </w:p>
        </w:tc>
        <w:tc>
          <w:tcPr>
            <w:tcW w:w="1169" w:type="dxa"/>
            <w:tcBorders>
              <w:right w:val="nil"/>
            </w:tcBorders>
          </w:tcPr>
          <w:p>
            <w:pPr>
              <w:pStyle w:val="TableParagraph"/>
              <w:ind w:left="246" w:right="249"/>
              <w:jc w:val="center"/>
              <w:rPr>
                <w:sz w:val="16"/>
              </w:rPr>
            </w:pPr>
            <w:r>
              <w:rPr>
                <w:color w:val="404040"/>
                <w:sz w:val="16"/>
              </w:rPr>
              <w:t>+$176bn</w:t>
            </w:r>
          </w:p>
        </w:tc>
        <w:tc>
          <w:tcPr>
            <w:tcW w:w="1164" w:type="dxa"/>
            <w:tcBorders>
              <w:left w:val="nil"/>
            </w:tcBorders>
          </w:tcPr>
          <w:p>
            <w:pPr>
              <w:pStyle w:val="TableParagraph"/>
              <w:ind w:right="195"/>
              <w:jc w:val="right"/>
              <w:rPr>
                <w:sz w:val="16"/>
              </w:rPr>
            </w:pPr>
            <w:r>
              <w:rPr>
                <w:color w:val="404040"/>
                <w:sz w:val="16"/>
              </w:rPr>
              <w:t>+$1,465bn</w:t>
            </w:r>
          </w:p>
        </w:tc>
        <w:tc>
          <w:tcPr>
            <w:tcW w:w="1166" w:type="dxa"/>
            <w:tcBorders>
              <w:right w:val="nil"/>
            </w:tcBorders>
          </w:tcPr>
          <w:p>
            <w:pPr>
              <w:pStyle w:val="TableParagraph"/>
              <w:ind w:left="177" w:right="182"/>
              <w:jc w:val="center"/>
              <w:rPr>
                <w:sz w:val="16"/>
              </w:rPr>
            </w:pPr>
            <w:r>
              <w:rPr>
                <w:color w:val="404040"/>
                <w:sz w:val="16"/>
              </w:rPr>
              <w:t>+$1,641bn</w:t>
            </w:r>
          </w:p>
        </w:tc>
        <w:tc>
          <w:tcPr>
            <w:tcW w:w="1113" w:type="dxa"/>
            <w:tcBorders>
              <w:left w:val="nil"/>
              <w:right w:val="nil"/>
            </w:tcBorders>
          </w:tcPr>
          <w:p>
            <w:pPr>
              <w:pStyle w:val="TableParagraph"/>
              <w:ind w:left="262" w:right="263"/>
              <w:jc w:val="center"/>
              <w:rPr>
                <w:sz w:val="16"/>
              </w:rPr>
            </w:pPr>
            <w:r>
              <w:rPr>
                <w:color w:val="404040"/>
                <w:sz w:val="16"/>
              </w:rPr>
              <w:t>+29.0%</w:t>
            </w:r>
          </w:p>
        </w:tc>
      </w:tr>
      <w:tr>
        <w:trPr>
          <w:trHeight w:val="448" w:hRule="atLeast"/>
        </w:trPr>
        <w:tc>
          <w:tcPr>
            <w:tcW w:w="1255" w:type="dxa"/>
            <w:tcBorders>
              <w:left w:val="nil"/>
              <w:right w:val="nil"/>
            </w:tcBorders>
          </w:tcPr>
          <w:p>
            <w:pPr>
              <w:pStyle w:val="TableParagraph"/>
              <w:ind w:left="112"/>
              <w:rPr>
                <w:sz w:val="16"/>
              </w:rPr>
            </w:pPr>
            <w:r>
              <w:rPr>
                <w:color w:val="404040"/>
                <w:sz w:val="16"/>
              </w:rPr>
              <w:t>Economic</w:t>
            </w:r>
          </w:p>
        </w:tc>
        <w:tc>
          <w:tcPr>
            <w:tcW w:w="3665" w:type="dxa"/>
            <w:tcBorders>
              <w:left w:val="nil"/>
            </w:tcBorders>
          </w:tcPr>
          <w:p>
            <w:pPr>
              <w:pStyle w:val="TableParagraph"/>
              <w:ind w:left="108" w:right="206"/>
              <w:rPr>
                <w:sz w:val="16"/>
              </w:rPr>
            </w:pPr>
            <w:r>
              <w:rPr>
                <w:color w:val="404040"/>
                <w:sz w:val="16"/>
              </w:rPr>
              <w:t>Long term MTAWE assumption reduces by 1% (from 4% to 3%, starting from 2025/26)</w:t>
            </w:r>
          </w:p>
        </w:tc>
        <w:tc>
          <w:tcPr>
            <w:tcW w:w="1169" w:type="dxa"/>
            <w:tcBorders>
              <w:right w:val="nil"/>
            </w:tcBorders>
          </w:tcPr>
          <w:p>
            <w:pPr>
              <w:pStyle w:val="TableParagraph"/>
              <w:ind w:left="244" w:right="249"/>
              <w:jc w:val="center"/>
              <w:rPr>
                <w:sz w:val="16"/>
              </w:rPr>
            </w:pPr>
            <w:r>
              <w:rPr>
                <w:color w:val="404040"/>
                <w:sz w:val="16"/>
              </w:rPr>
              <w:t>-$126bn</w:t>
            </w:r>
          </w:p>
        </w:tc>
        <w:tc>
          <w:tcPr>
            <w:tcW w:w="1164" w:type="dxa"/>
            <w:tcBorders>
              <w:left w:val="nil"/>
            </w:tcBorders>
          </w:tcPr>
          <w:p>
            <w:pPr>
              <w:pStyle w:val="TableParagraph"/>
              <w:ind w:right="283"/>
              <w:jc w:val="right"/>
              <w:rPr>
                <w:sz w:val="16"/>
              </w:rPr>
            </w:pPr>
            <w:r>
              <w:rPr>
                <w:color w:val="404040"/>
                <w:sz w:val="16"/>
              </w:rPr>
              <w:t>-$913bn</w:t>
            </w:r>
          </w:p>
        </w:tc>
        <w:tc>
          <w:tcPr>
            <w:tcW w:w="1166" w:type="dxa"/>
            <w:tcBorders>
              <w:right w:val="nil"/>
            </w:tcBorders>
          </w:tcPr>
          <w:p>
            <w:pPr>
              <w:pStyle w:val="TableParagraph"/>
              <w:ind w:left="177" w:right="180"/>
              <w:jc w:val="center"/>
              <w:rPr>
                <w:sz w:val="16"/>
              </w:rPr>
            </w:pPr>
            <w:r>
              <w:rPr>
                <w:color w:val="404040"/>
                <w:sz w:val="16"/>
              </w:rPr>
              <w:t>-$1,040bn</w:t>
            </w:r>
          </w:p>
        </w:tc>
        <w:tc>
          <w:tcPr>
            <w:tcW w:w="1113" w:type="dxa"/>
            <w:tcBorders>
              <w:left w:val="nil"/>
              <w:right w:val="nil"/>
            </w:tcBorders>
          </w:tcPr>
          <w:p>
            <w:pPr>
              <w:pStyle w:val="TableParagraph"/>
              <w:ind w:left="260" w:right="263"/>
              <w:jc w:val="center"/>
              <w:rPr>
                <w:sz w:val="16"/>
              </w:rPr>
            </w:pPr>
            <w:r>
              <w:rPr>
                <w:color w:val="404040"/>
                <w:sz w:val="16"/>
              </w:rPr>
              <w:t>-18.4%</w:t>
            </w:r>
          </w:p>
        </w:tc>
      </w:tr>
      <w:tr>
        <w:trPr>
          <w:trHeight w:val="448" w:hRule="atLeast"/>
        </w:trPr>
        <w:tc>
          <w:tcPr>
            <w:tcW w:w="1255" w:type="dxa"/>
            <w:tcBorders>
              <w:left w:val="nil"/>
              <w:right w:val="nil"/>
            </w:tcBorders>
          </w:tcPr>
          <w:p>
            <w:pPr>
              <w:pStyle w:val="TableParagraph"/>
              <w:ind w:left="112"/>
              <w:rPr>
                <w:sz w:val="16"/>
              </w:rPr>
            </w:pPr>
            <w:r>
              <w:rPr>
                <w:color w:val="404040"/>
                <w:sz w:val="16"/>
              </w:rPr>
              <w:t>Age Pension</w:t>
            </w:r>
          </w:p>
        </w:tc>
        <w:tc>
          <w:tcPr>
            <w:tcW w:w="3665" w:type="dxa"/>
            <w:tcBorders>
              <w:left w:val="nil"/>
            </w:tcBorders>
          </w:tcPr>
          <w:p>
            <w:pPr>
              <w:pStyle w:val="TableParagraph"/>
              <w:ind w:left="108" w:right="427"/>
              <w:rPr>
                <w:sz w:val="16"/>
              </w:rPr>
            </w:pPr>
            <w:r>
              <w:rPr>
                <w:color w:val="404040"/>
                <w:sz w:val="16"/>
              </w:rPr>
              <w:t>Adjustment to reflect a scenario of future changes in Age Pension utilisation removed</w:t>
            </w:r>
          </w:p>
        </w:tc>
        <w:tc>
          <w:tcPr>
            <w:tcW w:w="1169" w:type="dxa"/>
            <w:tcBorders>
              <w:right w:val="nil"/>
            </w:tcBorders>
          </w:tcPr>
          <w:p>
            <w:pPr>
              <w:pStyle w:val="TableParagraph"/>
              <w:ind w:left="246" w:right="249"/>
              <w:jc w:val="center"/>
              <w:rPr>
                <w:sz w:val="16"/>
              </w:rPr>
            </w:pPr>
            <w:r>
              <w:rPr>
                <w:color w:val="404040"/>
                <w:sz w:val="16"/>
              </w:rPr>
              <w:t>+$8bn</w:t>
            </w:r>
          </w:p>
        </w:tc>
        <w:tc>
          <w:tcPr>
            <w:tcW w:w="1164" w:type="dxa"/>
            <w:tcBorders>
              <w:left w:val="nil"/>
            </w:tcBorders>
          </w:tcPr>
          <w:p>
            <w:pPr>
              <w:pStyle w:val="TableParagraph"/>
              <w:ind w:right="262"/>
              <w:jc w:val="right"/>
              <w:rPr>
                <w:sz w:val="16"/>
              </w:rPr>
            </w:pPr>
            <w:r>
              <w:rPr>
                <w:color w:val="404040"/>
                <w:sz w:val="16"/>
              </w:rPr>
              <w:t>+$122bn</w:t>
            </w:r>
          </w:p>
        </w:tc>
        <w:tc>
          <w:tcPr>
            <w:tcW w:w="1166" w:type="dxa"/>
            <w:tcBorders>
              <w:right w:val="nil"/>
            </w:tcBorders>
          </w:tcPr>
          <w:p>
            <w:pPr>
              <w:pStyle w:val="TableParagraph"/>
              <w:ind w:left="177" w:right="182"/>
              <w:jc w:val="center"/>
              <w:rPr>
                <w:sz w:val="16"/>
              </w:rPr>
            </w:pPr>
            <w:r>
              <w:rPr>
                <w:color w:val="404040"/>
                <w:sz w:val="16"/>
              </w:rPr>
              <w:t>+$129bn</w:t>
            </w:r>
          </w:p>
        </w:tc>
        <w:tc>
          <w:tcPr>
            <w:tcW w:w="1113" w:type="dxa"/>
            <w:tcBorders>
              <w:left w:val="nil"/>
              <w:right w:val="nil"/>
            </w:tcBorders>
          </w:tcPr>
          <w:p>
            <w:pPr>
              <w:pStyle w:val="TableParagraph"/>
              <w:ind w:left="260" w:right="263"/>
              <w:jc w:val="center"/>
              <w:rPr>
                <w:sz w:val="16"/>
              </w:rPr>
            </w:pPr>
            <w:r>
              <w:rPr>
                <w:color w:val="404040"/>
                <w:sz w:val="16"/>
              </w:rPr>
              <w:t>+2.3%</w:t>
            </w:r>
          </w:p>
        </w:tc>
      </w:tr>
      <w:tr>
        <w:trPr>
          <w:trHeight w:val="630" w:hRule="atLeast"/>
        </w:trPr>
        <w:tc>
          <w:tcPr>
            <w:tcW w:w="1255" w:type="dxa"/>
            <w:tcBorders>
              <w:left w:val="nil"/>
              <w:right w:val="nil"/>
            </w:tcBorders>
          </w:tcPr>
          <w:p>
            <w:pPr>
              <w:pStyle w:val="TableParagraph"/>
              <w:ind w:left="112" w:right="144"/>
              <w:rPr>
                <w:sz w:val="16"/>
              </w:rPr>
            </w:pPr>
            <w:r>
              <w:rPr>
                <w:color w:val="404040"/>
                <w:sz w:val="16"/>
              </w:rPr>
              <w:t>Entry and exit rates</w:t>
            </w:r>
          </w:p>
        </w:tc>
        <w:tc>
          <w:tcPr>
            <w:tcW w:w="3665" w:type="dxa"/>
            <w:tcBorders>
              <w:left w:val="nil"/>
            </w:tcBorders>
          </w:tcPr>
          <w:p>
            <w:pPr>
              <w:pStyle w:val="TableParagraph"/>
              <w:ind w:left="108" w:right="81"/>
              <w:rPr>
                <w:sz w:val="16"/>
              </w:rPr>
            </w:pPr>
            <w:r>
              <w:rPr>
                <w:color w:val="404040"/>
                <w:sz w:val="16"/>
              </w:rPr>
              <w:t>Rates of movement from the rest of the population to the active classes increase by 10% for ages up to retirement age</w:t>
            </w:r>
          </w:p>
        </w:tc>
        <w:tc>
          <w:tcPr>
            <w:tcW w:w="1169" w:type="dxa"/>
            <w:tcBorders>
              <w:right w:val="nil"/>
            </w:tcBorders>
          </w:tcPr>
          <w:p>
            <w:pPr>
              <w:pStyle w:val="TableParagraph"/>
              <w:ind w:left="246" w:right="248"/>
              <w:jc w:val="center"/>
              <w:rPr>
                <w:sz w:val="16"/>
              </w:rPr>
            </w:pPr>
            <w:r>
              <w:rPr>
                <w:color w:val="404040"/>
                <w:sz w:val="16"/>
              </w:rPr>
              <w:t>+$87bn</w:t>
            </w:r>
          </w:p>
        </w:tc>
        <w:tc>
          <w:tcPr>
            <w:tcW w:w="1164" w:type="dxa"/>
            <w:tcBorders>
              <w:left w:val="nil"/>
            </w:tcBorders>
          </w:tcPr>
          <w:p>
            <w:pPr>
              <w:pStyle w:val="TableParagraph"/>
              <w:ind w:right="305"/>
              <w:jc w:val="right"/>
              <w:rPr>
                <w:sz w:val="16"/>
              </w:rPr>
            </w:pPr>
            <w:r>
              <w:rPr>
                <w:color w:val="404040"/>
                <w:sz w:val="16"/>
              </w:rPr>
              <w:t>+$34bn</w:t>
            </w:r>
          </w:p>
        </w:tc>
        <w:tc>
          <w:tcPr>
            <w:tcW w:w="1166" w:type="dxa"/>
            <w:tcBorders>
              <w:right w:val="nil"/>
            </w:tcBorders>
          </w:tcPr>
          <w:p>
            <w:pPr>
              <w:pStyle w:val="TableParagraph"/>
              <w:ind w:left="177" w:right="182"/>
              <w:jc w:val="center"/>
              <w:rPr>
                <w:sz w:val="16"/>
              </w:rPr>
            </w:pPr>
            <w:r>
              <w:rPr>
                <w:color w:val="404040"/>
                <w:sz w:val="16"/>
              </w:rPr>
              <w:t>+$120bn</w:t>
            </w:r>
          </w:p>
        </w:tc>
        <w:tc>
          <w:tcPr>
            <w:tcW w:w="1113" w:type="dxa"/>
            <w:tcBorders>
              <w:left w:val="nil"/>
              <w:right w:val="nil"/>
            </w:tcBorders>
          </w:tcPr>
          <w:p>
            <w:pPr>
              <w:pStyle w:val="TableParagraph"/>
              <w:ind w:left="260" w:right="263"/>
              <w:jc w:val="center"/>
              <w:rPr>
                <w:sz w:val="16"/>
              </w:rPr>
            </w:pPr>
            <w:r>
              <w:rPr>
                <w:color w:val="404040"/>
                <w:sz w:val="16"/>
              </w:rPr>
              <w:t>+2.1%</w:t>
            </w:r>
          </w:p>
        </w:tc>
      </w:tr>
      <w:tr>
        <w:trPr>
          <w:trHeight w:val="633" w:hRule="atLeast"/>
        </w:trPr>
        <w:tc>
          <w:tcPr>
            <w:tcW w:w="1255" w:type="dxa"/>
            <w:tcBorders>
              <w:left w:val="nil"/>
              <w:right w:val="nil"/>
            </w:tcBorders>
          </w:tcPr>
          <w:p>
            <w:pPr>
              <w:pStyle w:val="TableParagraph"/>
              <w:ind w:left="112" w:right="144"/>
              <w:rPr>
                <w:sz w:val="16"/>
              </w:rPr>
            </w:pPr>
            <w:r>
              <w:rPr>
                <w:color w:val="404040"/>
                <w:sz w:val="16"/>
              </w:rPr>
              <w:t>Entry and exit rates</w:t>
            </w:r>
          </w:p>
        </w:tc>
        <w:tc>
          <w:tcPr>
            <w:tcW w:w="3665" w:type="dxa"/>
            <w:tcBorders>
              <w:left w:val="nil"/>
            </w:tcBorders>
          </w:tcPr>
          <w:p>
            <w:pPr>
              <w:pStyle w:val="TableParagraph"/>
              <w:ind w:left="108" w:right="81"/>
              <w:rPr>
                <w:sz w:val="16"/>
              </w:rPr>
            </w:pPr>
            <w:r>
              <w:rPr>
                <w:color w:val="404040"/>
                <w:sz w:val="16"/>
              </w:rPr>
              <w:t>Rates of movement from the rest of the population to the active classes increase by 10% for retirement age and above</w:t>
            </w:r>
          </w:p>
        </w:tc>
        <w:tc>
          <w:tcPr>
            <w:tcW w:w="1169" w:type="dxa"/>
            <w:tcBorders>
              <w:right w:val="nil"/>
            </w:tcBorders>
          </w:tcPr>
          <w:p>
            <w:pPr>
              <w:pStyle w:val="TableParagraph"/>
              <w:ind w:left="246" w:right="249"/>
              <w:jc w:val="center"/>
              <w:rPr>
                <w:sz w:val="16"/>
              </w:rPr>
            </w:pPr>
            <w:r>
              <w:rPr>
                <w:color w:val="404040"/>
                <w:sz w:val="16"/>
              </w:rPr>
              <w:t>+$7bn</w:t>
            </w:r>
          </w:p>
        </w:tc>
        <w:tc>
          <w:tcPr>
            <w:tcW w:w="1164" w:type="dxa"/>
            <w:tcBorders>
              <w:left w:val="nil"/>
            </w:tcBorders>
          </w:tcPr>
          <w:p>
            <w:pPr>
              <w:pStyle w:val="TableParagraph"/>
              <w:ind w:right="262"/>
              <w:jc w:val="right"/>
              <w:rPr>
                <w:sz w:val="16"/>
              </w:rPr>
            </w:pPr>
            <w:r>
              <w:rPr>
                <w:color w:val="404040"/>
                <w:sz w:val="16"/>
              </w:rPr>
              <w:t>+$115bn</w:t>
            </w:r>
          </w:p>
        </w:tc>
        <w:tc>
          <w:tcPr>
            <w:tcW w:w="1166" w:type="dxa"/>
            <w:tcBorders>
              <w:right w:val="nil"/>
            </w:tcBorders>
          </w:tcPr>
          <w:p>
            <w:pPr>
              <w:pStyle w:val="TableParagraph"/>
              <w:ind w:left="177" w:right="182"/>
              <w:jc w:val="center"/>
              <w:rPr>
                <w:sz w:val="16"/>
              </w:rPr>
            </w:pPr>
            <w:r>
              <w:rPr>
                <w:color w:val="404040"/>
                <w:sz w:val="16"/>
              </w:rPr>
              <w:t>+$121bn</w:t>
            </w:r>
          </w:p>
        </w:tc>
        <w:tc>
          <w:tcPr>
            <w:tcW w:w="1113" w:type="dxa"/>
            <w:tcBorders>
              <w:left w:val="nil"/>
              <w:right w:val="nil"/>
            </w:tcBorders>
          </w:tcPr>
          <w:p>
            <w:pPr>
              <w:pStyle w:val="TableParagraph"/>
              <w:ind w:left="260" w:right="263"/>
              <w:jc w:val="center"/>
              <w:rPr>
                <w:sz w:val="16"/>
              </w:rPr>
            </w:pPr>
            <w:r>
              <w:rPr>
                <w:color w:val="404040"/>
                <w:sz w:val="16"/>
              </w:rPr>
              <w:t>+2.1%</w:t>
            </w:r>
          </w:p>
        </w:tc>
      </w:tr>
      <w:tr>
        <w:trPr>
          <w:trHeight w:val="445" w:hRule="atLeast"/>
        </w:trPr>
        <w:tc>
          <w:tcPr>
            <w:tcW w:w="1255" w:type="dxa"/>
            <w:tcBorders>
              <w:left w:val="nil"/>
              <w:right w:val="nil"/>
            </w:tcBorders>
          </w:tcPr>
          <w:p>
            <w:pPr>
              <w:pStyle w:val="TableParagraph"/>
              <w:ind w:left="112" w:right="144"/>
              <w:rPr>
                <w:sz w:val="16"/>
              </w:rPr>
            </w:pPr>
            <w:r>
              <w:rPr>
                <w:color w:val="404040"/>
                <w:sz w:val="16"/>
              </w:rPr>
              <w:t>Entry and exit rates</w:t>
            </w:r>
          </w:p>
        </w:tc>
        <w:tc>
          <w:tcPr>
            <w:tcW w:w="3665" w:type="dxa"/>
            <w:tcBorders>
              <w:left w:val="nil"/>
            </w:tcBorders>
          </w:tcPr>
          <w:p>
            <w:pPr>
              <w:pStyle w:val="TableParagraph"/>
              <w:ind w:left="108" w:right="295"/>
              <w:rPr>
                <w:sz w:val="16"/>
              </w:rPr>
            </w:pPr>
            <w:r>
              <w:rPr>
                <w:color w:val="404040"/>
                <w:sz w:val="16"/>
              </w:rPr>
              <w:t>Rates of movement from the active classes to the rest of the population increase by 10%</w:t>
            </w:r>
          </w:p>
        </w:tc>
        <w:tc>
          <w:tcPr>
            <w:tcW w:w="1169" w:type="dxa"/>
            <w:tcBorders>
              <w:right w:val="nil"/>
            </w:tcBorders>
          </w:tcPr>
          <w:p>
            <w:pPr>
              <w:pStyle w:val="TableParagraph"/>
              <w:ind w:left="246" w:right="249"/>
              <w:jc w:val="center"/>
              <w:rPr>
                <w:sz w:val="16"/>
              </w:rPr>
            </w:pPr>
            <w:r>
              <w:rPr>
                <w:color w:val="404040"/>
                <w:sz w:val="16"/>
              </w:rPr>
              <w:t>-$44bn</w:t>
            </w:r>
          </w:p>
        </w:tc>
        <w:tc>
          <w:tcPr>
            <w:tcW w:w="1164" w:type="dxa"/>
            <w:tcBorders>
              <w:left w:val="nil"/>
            </w:tcBorders>
          </w:tcPr>
          <w:p>
            <w:pPr>
              <w:pStyle w:val="TableParagraph"/>
              <w:ind w:left="333"/>
              <w:rPr>
                <w:sz w:val="16"/>
              </w:rPr>
            </w:pPr>
            <w:r>
              <w:rPr>
                <w:color w:val="404040"/>
                <w:sz w:val="16"/>
              </w:rPr>
              <w:t>-$29bn</w:t>
            </w:r>
          </w:p>
        </w:tc>
        <w:tc>
          <w:tcPr>
            <w:tcW w:w="1166" w:type="dxa"/>
            <w:tcBorders>
              <w:right w:val="nil"/>
            </w:tcBorders>
          </w:tcPr>
          <w:p>
            <w:pPr>
              <w:pStyle w:val="TableParagraph"/>
              <w:ind w:left="177" w:right="182"/>
              <w:jc w:val="center"/>
              <w:rPr>
                <w:sz w:val="16"/>
              </w:rPr>
            </w:pPr>
            <w:r>
              <w:rPr>
                <w:color w:val="404040"/>
                <w:sz w:val="16"/>
              </w:rPr>
              <w:t>-$74bn</w:t>
            </w:r>
          </w:p>
        </w:tc>
        <w:tc>
          <w:tcPr>
            <w:tcW w:w="1113" w:type="dxa"/>
            <w:tcBorders>
              <w:left w:val="nil"/>
              <w:right w:val="nil"/>
            </w:tcBorders>
          </w:tcPr>
          <w:p>
            <w:pPr>
              <w:pStyle w:val="TableParagraph"/>
              <w:ind w:left="262" w:right="263"/>
              <w:jc w:val="center"/>
              <w:rPr>
                <w:sz w:val="16"/>
              </w:rPr>
            </w:pPr>
            <w:r>
              <w:rPr>
                <w:color w:val="404040"/>
                <w:sz w:val="16"/>
              </w:rPr>
              <w:t>-1.3%</w:t>
            </w:r>
          </w:p>
        </w:tc>
      </w:tr>
      <w:tr>
        <w:trPr>
          <w:trHeight w:val="448" w:hRule="atLeast"/>
        </w:trPr>
        <w:tc>
          <w:tcPr>
            <w:tcW w:w="1255" w:type="dxa"/>
            <w:tcBorders>
              <w:left w:val="nil"/>
              <w:right w:val="nil"/>
            </w:tcBorders>
          </w:tcPr>
          <w:p>
            <w:pPr>
              <w:pStyle w:val="TableParagraph"/>
              <w:spacing w:before="39"/>
              <w:ind w:left="112" w:right="420"/>
              <w:rPr>
                <w:sz w:val="16"/>
              </w:rPr>
            </w:pPr>
            <w:r>
              <w:rPr>
                <w:color w:val="404040"/>
                <w:sz w:val="16"/>
              </w:rPr>
              <w:t>Economic module</w:t>
            </w:r>
          </w:p>
        </w:tc>
        <w:tc>
          <w:tcPr>
            <w:tcW w:w="3665" w:type="dxa"/>
            <w:tcBorders>
              <w:left w:val="nil"/>
            </w:tcBorders>
          </w:tcPr>
          <w:p>
            <w:pPr>
              <w:pStyle w:val="TableParagraph"/>
              <w:spacing w:before="39"/>
              <w:ind w:left="108" w:right="873"/>
              <w:rPr>
                <w:sz w:val="16"/>
              </w:rPr>
            </w:pPr>
            <w:r>
              <w:rPr>
                <w:color w:val="404040"/>
                <w:sz w:val="16"/>
              </w:rPr>
              <w:t>Long term unemployment rate of 4% (1% decrease from base assumption)</w:t>
            </w:r>
          </w:p>
        </w:tc>
        <w:tc>
          <w:tcPr>
            <w:tcW w:w="1169" w:type="dxa"/>
            <w:tcBorders>
              <w:right w:val="nil"/>
            </w:tcBorders>
          </w:tcPr>
          <w:p>
            <w:pPr>
              <w:pStyle w:val="TableParagraph"/>
              <w:spacing w:before="39"/>
              <w:ind w:left="244" w:right="249"/>
              <w:jc w:val="center"/>
              <w:rPr>
                <w:sz w:val="16"/>
              </w:rPr>
            </w:pPr>
            <w:r>
              <w:rPr>
                <w:color w:val="404040"/>
                <w:sz w:val="16"/>
              </w:rPr>
              <w:t>-$110bn</w:t>
            </w:r>
          </w:p>
        </w:tc>
        <w:tc>
          <w:tcPr>
            <w:tcW w:w="1164" w:type="dxa"/>
            <w:tcBorders>
              <w:left w:val="nil"/>
            </w:tcBorders>
          </w:tcPr>
          <w:p>
            <w:pPr>
              <w:pStyle w:val="TableParagraph"/>
              <w:spacing w:before="39"/>
              <w:ind w:left="333"/>
              <w:rPr>
                <w:sz w:val="16"/>
              </w:rPr>
            </w:pPr>
            <w:r>
              <w:rPr>
                <w:color w:val="404040"/>
                <w:sz w:val="16"/>
              </w:rPr>
              <w:t>-$74bn</w:t>
            </w:r>
          </w:p>
        </w:tc>
        <w:tc>
          <w:tcPr>
            <w:tcW w:w="1166" w:type="dxa"/>
            <w:tcBorders>
              <w:right w:val="nil"/>
            </w:tcBorders>
          </w:tcPr>
          <w:p>
            <w:pPr>
              <w:pStyle w:val="TableParagraph"/>
              <w:spacing w:before="39"/>
              <w:ind w:left="174" w:right="182"/>
              <w:jc w:val="center"/>
              <w:rPr>
                <w:sz w:val="16"/>
              </w:rPr>
            </w:pPr>
            <w:r>
              <w:rPr>
                <w:color w:val="404040"/>
                <w:sz w:val="16"/>
              </w:rPr>
              <w:t>-$184bn</w:t>
            </w:r>
          </w:p>
        </w:tc>
        <w:tc>
          <w:tcPr>
            <w:tcW w:w="1113" w:type="dxa"/>
            <w:tcBorders>
              <w:left w:val="nil"/>
              <w:right w:val="nil"/>
            </w:tcBorders>
          </w:tcPr>
          <w:p>
            <w:pPr>
              <w:pStyle w:val="TableParagraph"/>
              <w:spacing w:before="39"/>
              <w:ind w:left="262" w:right="263"/>
              <w:jc w:val="center"/>
              <w:rPr>
                <w:sz w:val="16"/>
              </w:rPr>
            </w:pPr>
            <w:r>
              <w:rPr>
                <w:color w:val="404040"/>
                <w:sz w:val="16"/>
              </w:rPr>
              <w:t>-3.2%</w:t>
            </w:r>
          </w:p>
        </w:tc>
      </w:tr>
      <w:tr>
        <w:trPr>
          <w:trHeight w:val="448" w:hRule="atLeast"/>
        </w:trPr>
        <w:tc>
          <w:tcPr>
            <w:tcW w:w="1255" w:type="dxa"/>
            <w:tcBorders>
              <w:left w:val="nil"/>
              <w:right w:val="nil"/>
            </w:tcBorders>
          </w:tcPr>
          <w:p>
            <w:pPr>
              <w:pStyle w:val="TableParagraph"/>
              <w:ind w:left="112" w:right="420"/>
              <w:rPr>
                <w:sz w:val="16"/>
              </w:rPr>
            </w:pPr>
            <w:r>
              <w:rPr>
                <w:color w:val="404040"/>
                <w:sz w:val="16"/>
              </w:rPr>
              <w:t>Economic module</w:t>
            </w:r>
          </w:p>
        </w:tc>
        <w:tc>
          <w:tcPr>
            <w:tcW w:w="3665" w:type="dxa"/>
            <w:tcBorders>
              <w:left w:val="nil"/>
            </w:tcBorders>
          </w:tcPr>
          <w:p>
            <w:pPr>
              <w:pStyle w:val="TableParagraph"/>
              <w:ind w:left="108" w:right="926"/>
              <w:rPr>
                <w:sz w:val="16"/>
              </w:rPr>
            </w:pPr>
            <w:r>
              <w:rPr>
                <w:color w:val="404040"/>
                <w:sz w:val="16"/>
              </w:rPr>
              <w:t>Long term unemployment rate of 6% (1% increase from base assumption)</w:t>
            </w:r>
          </w:p>
        </w:tc>
        <w:tc>
          <w:tcPr>
            <w:tcW w:w="1169" w:type="dxa"/>
            <w:tcBorders>
              <w:right w:val="nil"/>
            </w:tcBorders>
          </w:tcPr>
          <w:p>
            <w:pPr>
              <w:pStyle w:val="TableParagraph"/>
              <w:ind w:left="246" w:right="249"/>
              <w:jc w:val="center"/>
              <w:rPr>
                <w:sz w:val="16"/>
              </w:rPr>
            </w:pPr>
            <w:r>
              <w:rPr>
                <w:color w:val="404040"/>
                <w:sz w:val="16"/>
              </w:rPr>
              <w:t>+$126bn</w:t>
            </w:r>
          </w:p>
        </w:tc>
        <w:tc>
          <w:tcPr>
            <w:tcW w:w="1164" w:type="dxa"/>
            <w:tcBorders>
              <w:left w:val="nil"/>
            </w:tcBorders>
          </w:tcPr>
          <w:p>
            <w:pPr>
              <w:pStyle w:val="TableParagraph"/>
              <w:ind w:right="305"/>
              <w:jc w:val="right"/>
              <w:rPr>
                <w:sz w:val="16"/>
              </w:rPr>
            </w:pPr>
            <w:r>
              <w:rPr>
                <w:color w:val="404040"/>
                <w:sz w:val="16"/>
              </w:rPr>
              <w:t>+$73bn</w:t>
            </w:r>
          </w:p>
        </w:tc>
        <w:tc>
          <w:tcPr>
            <w:tcW w:w="1166" w:type="dxa"/>
            <w:tcBorders>
              <w:right w:val="nil"/>
            </w:tcBorders>
          </w:tcPr>
          <w:p>
            <w:pPr>
              <w:pStyle w:val="TableParagraph"/>
              <w:ind w:left="177" w:right="182"/>
              <w:jc w:val="center"/>
              <w:rPr>
                <w:sz w:val="16"/>
              </w:rPr>
            </w:pPr>
            <w:r>
              <w:rPr>
                <w:color w:val="404040"/>
                <w:sz w:val="16"/>
              </w:rPr>
              <w:t>+$200bn</w:t>
            </w:r>
          </w:p>
        </w:tc>
        <w:tc>
          <w:tcPr>
            <w:tcW w:w="1113" w:type="dxa"/>
            <w:tcBorders>
              <w:left w:val="nil"/>
              <w:right w:val="nil"/>
            </w:tcBorders>
          </w:tcPr>
          <w:p>
            <w:pPr>
              <w:pStyle w:val="TableParagraph"/>
              <w:ind w:left="260" w:right="263"/>
              <w:jc w:val="center"/>
              <w:rPr>
                <w:sz w:val="16"/>
              </w:rPr>
            </w:pPr>
            <w:r>
              <w:rPr>
                <w:color w:val="404040"/>
                <w:sz w:val="16"/>
              </w:rPr>
              <w:t>+3.5%</w:t>
            </w:r>
          </w:p>
        </w:tc>
      </w:tr>
      <w:tr>
        <w:trPr>
          <w:trHeight w:val="448" w:hRule="atLeast"/>
        </w:trPr>
        <w:tc>
          <w:tcPr>
            <w:tcW w:w="1255" w:type="dxa"/>
            <w:tcBorders>
              <w:left w:val="nil"/>
              <w:right w:val="nil"/>
            </w:tcBorders>
          </w:tcPr>
          <w:p>
            <w:pPr>
              <w:pStyle w:val="TableParagraph"/>
              <w:ind w:left="112" w:right="420"/>
              <w:rPr>
                <w:sz w:val="16"/>
              </w:rPr>
            </w:pPr>
            <w:r>
              <w:rPr>
                <w:color w:val="404040"/>
                <w:sz w:val="16"/>
              </w:rPr>
              <w:t>Economic module</w:t>
            </w:r>
          </w:p>
        </w:tc>
        <w:tc>
          <w:tcPr>
            <w:tcW w:w="3665" w:type="dxa"/>
            <w:tcBorders>
              <w:left w:val="nil"/>
            </w:tcBorders>
          </w:tcPr>
          <w:p>
            <w:pPr>
              <w:pStyle w:val="TableParagraph"/>
              <w:ind w:left="108" w:right="926"/>
              <w:rPr>
                <w:sz w:val="16"/>
              </w:rPr>
            </w:pPr>
            <w:r>
              <w:rPr>
                <w:color w:val="404040"/>
                <w:sz w:val="16"/>
              </w:rPr>
              <w:t>Long term unemployment rate of 7% (2% increase from base assumption)</w:t>
            </w:r>
          </w:p>
        </w:tc>
        <w:tc>
          <w:tcPr>
            <w:tcW w:w="1169" w:type="dxa"/>
            <w:tcBorders>
              <w:right w:val="nil"/>
            </w:tcBorders>
          </w:tcPr>
          <w:p>
            <w:pPr>
              <w:pStyle w:val="TableParagraph"/>
              <w:ind w:left="246" w:right="249"/>
              <w:jc w:val="center"/>
              <w:rPr>
                <w:sz w:val="16"/>
              </w:rPr>
            </w:pPr>
            <w:r>
              <w:rPr>
                <w:color w:val="404040"/>
                <w:sz w:val="16"/>
              </w:rPr>
              <w:t>+$282bn</w:t>
            </w:r>
          </w:p>
        </w:tc>
        <w:tc>
          <w:tcPr>
            <w:tcW w:w="1164" w:type="dxa"/>
            <w:tcBorders>
              <w:left w:val="nil"/>
            </w:tcBorders>
          </w:tcPr>
          <w:p>
            <w:pPr>
              <w:pStyle w:val="TableParagraph"/>
              <w:ind w:right="262"/>
              <w:jc w:val="right"/>
              <w:rPr>
                <w:sz w:val="16"/>
              </w:rPr>
            </w:pPr>
            <w:r>
              <w:rPr>
                <w:color w:val="404040"/>
                <w:sz w:val="16"/>
              </w:rPr>
              <w:t>+$161bn</w:t>
            </w:r>
          </w:p>
        </w:tc>
        <w:tc>
          <w:tcPr>
            <w:tcW w:w="1166" w:type="dxa"/>
            <w:tcBorders>
              <w:right w:val="nil"/>
            </w:tcBorders>
          </w:tcPr>
          <w:p>
            <w:pPr>
              <w:pStyle w:val="TableParagraph"/>
              <w:ind w:left="177" w:right="182"/>
              <w:jc w:val="center"/>
              <w:rPr>
                <w:sz w:val="16"/>
              </w:rPr>
            </w:pPr>
            <w:r>
              <w:rPr>
                <w:color w:val="404040"/>
                <w:sz w:val="16"/>
              </w:rPr>
              <w:t>+$442bn</w:t>
            </w:r>
          </w:p>
        </w:tc>
        <w:tc>
          <w:tcPr>
            <w:tcW w:w="1113" w:type="dxa"/>
            <w:tcBorders>
              <w:left w:val="nil"/>
              <w:right w:val="nil"/>
            </w:tcBorders>
          </w:tcPr>
          <w:p>
            <w:pPr>
              <w:pStyle w:val="TableParagraph"/>
              <w:ind w:left="260" w:right="263"/>
              <w:jc w:val="center"/>
              <w:rPr>
                <w:sz w:val="16"/>
              </w:rPr>
            </w:pPr>
            <w:r>
              <w:rPr>
                <w:color w:val="404040"/>
                <w:sz w:val="16"/>
              </w:rPr>
              <w:t>+7.8%</w:t>
            </w:r>
          </w:p>
        </w:tc>
      </w:tr>
    </w:tbl>
    <w:p>
      <w:pPr>
        <w:pStyle w:val="BodyText"/>
        <w:spacing w:before="6"/>
        <w:rPr>
          <w:b/>
          <w:sz w:val="12"/>
        </w:rPr>
      </w:pPr>
    </w:p>
    <w:p>
      <w:pPr>
        <w:pStyle w:val="Heading6"/>
        <w:spacing w:before="93"/>
        <w:rPr>
          <w:i/>
        </w:rPr>
      </w:pPr>
      <w:r>
        <w:rPr>
          <w:i/>
          <w:color w:val="DF2F1E"/>
        </w:rPr>
        <w:t>Age Pension sensitivities</w:t>
      </w:r>
    </w:p>
    <w:p>
      <w:pPr>
        <w:pStyle w:val="BodyText"/>
        <w:spacing w:before="121"/>
        <w:ind w:left="900" w:right="1153" w:hanging="1"/>
      </w:pPr>
      <w:r>
        <w:rPr>
          <w:color w:val="404040"/>
        </w:rPr>
        <w:t>Age Pension costs may vary in future as a result of changes in various external factors such as workforce participation, levels of home ownership and levels of superannuation and other savings. Our forecast scenario of Age Pension utilisation has been set following consideration of these factors, along with recent experience.</w:t>
      </w:r>
    </w:p>
    <w:p>
      <w:pPr>
        <w:pStyle w:val="BodyText"/>
        <w:spacing w:before="122"/>
        <w:ind w:left="900" w:right="922"/>
      </w:pPr>
      <w:r>
        <w:rPr>
          <w:color w:val="404040"/>
        </w:rPr>
        <w:t>To illustrate the sensitivity to this assumption we have assessed the change in lifetime costs that would occur if we had not made the adjustment. Removing the adjustment would increase the liabilities by 2.3% (that is, applying this adjustment has reduced the lifetime cost by 2.3%).</w:t>
      </w:r>
    </w:p>
    <w:p>
      <w:pPr>
        <w:pStyle w:val="BodyText"/>
        <w:spacing w:before="6"/>
      </w:pPr>
    </w:p>
    <w:p>
      <w:pPr>
        <w:pStyle w:val="Heading6"/>
        <w:spacing w:before="1"/>
        <w:rPr>
          <w:i/>
        </w:rPr>
      </w:pPr>
      <w:r>
        <w:rPr>
          <w:i/>
          <w:color w:val="DF2F1E"/>
        </w:rPr>
        <w:t>Simulation run differences</w:t>
      </w:r>
    </w:p>
    <w:p>
      <w:pPr>
        <w:pStyle w:val="BodyText"/>
        <w:spacing w:before="123"/>
        <w:ind w:left="899" w:right="1176"/>
      </w:pPr>
      <w:r>
        <w:rPr>
          <w:color w:val="404040"/>
        </w:rPr>
        <w:t>The valuation is based on a simulation method which generates a possible future scenario for each individual, based on random numbers.</w:t>
      </w:r>
    </w:p>
    <w:p>
      <w:pPr>
        <w:pStyle w:val="BodyText"/>
        <w:spacing w:before="118"/>
        <w:ind w:left="899" w:right="1165"/>
      </w:pPr>
      <w:r>
        <w:rPr>
          <w:color w:val="404040"/>
        </w:rPr>
        <w:t>The overall and class level results presented in this report are based on a simulation run of one simulation per person. We considered this number of simulations sufficient owing to the substantial numbers of people within each of these population groups. Where results are presented for smaller groups of people, such as the average lifetime cost of cohorts with different characteristics, the model has been run with a minimum of 100,000 simulations in total (for instance, this is equivalent to 100 simulations per person for a group of 1,000 people or lower numbers per person for larger groups).</w:t>
      </w:r>
    </w:p>
    <w:p>
      <w:pPr>
        <w:pStyle w:val="BodyText"/>
        <w:spacing w:before="121"/>
        <w:ind w:left="899" w:right="1288"/>
      </w:pPr>
      <w:r>
        <w:rPr>
          <w:color w:val="404040"/>
        </w:rPr>
        <w:t>If the model is re-run using an alternative set of random numbers then the simulated future scenario for each individual will change.</w:t>
      </w:r>
    </w:p>
    <w:p>
      <w:pPr>
        <w:pStyle w:val="BodyText"/>
        <w:spacing w:before="121"/>
        <w:ind w:left="899" w:right="1065"/>
      </w:pPr>
      <w:r>
        <w:rPr>
          <w:color w:val="404040"/>
        </w:rPr>
        <w:t>Testing has previously been carried out in order to validate the choice of using one simulation per person when developing the overall and class level results. In particular, this testing confirmed that the uncertainty arising from the simulation process itself are small and likely much less than the uncertainty associated with the model assumptions (as illustrated in the sensitivities table).</w:t>
      </w:r>
    </w:p>
    <w:p>
      <w:pPr>
        <w:spacing w:after="0"/>
        <w:sectPr>
          <w:pgSz w:w="11910" w:h="16850"/>
          <w:pgMar w:header="572" w:footer="581" w:top="780" w:bottom="780" w:left="120" w:right="0"/>
        </w:sectPr>
      </w:pPr>
    </w:p>
    <w:p>
      <w:pPr>
        <w:pStyle w:val="BodyText"/>
      </w:pPr>
    </w:p>
    <w:p>
      <w:pPr>
        <w:pStyle w:val="BodyText"/>
      </w:pPr>
    </w:p>
    <w:p>
      <w:pPr>
        <w:pStyle w:val="BodyText"/>
        <w:rPr>
          <w:sz w:val="22"/>
        </w:rPr>
      </w:pPr>
    </w:p>
    <w:p>
      <w:pPr>
        <w:pStyle w:val="ListParagraph"/>
        <w:numPr>
          <w:ilvl w:val="0"/>
          <w:numId w:val="37"/>
        </w:numPr>
        <w:tabs>
          <w:tab w:pos="1752" w:val="left" w:leader="none"/>
          <w:tab w:pos="1753" w:val="left" w:leader="none"/>
        </w:tabs>
        <w:spacing w:line="240" w:lineRule="auto" w:before="88" w:after="0"/>
        <w:ind w:left="1752" w:right="0" w:hanging="853"/>
        <w:jc w:val="left"/>
        <w:rPr>
          <w:sz w:val="40"/>
        </w:rPr>
      </w:pPr>
      <w:bookmarkStart w:name="6 Results for income support recipients" w:id="164"/>
      <w:bookmarkEnd w:id="164"/>
      <w:r>
        <w:rPr/>
      </w:r>
      <w:bookmarkStart w:name="_bookmark40" w:id="165"/>
      <w:bookmarkEnd w:id="165"/>
      <w:r>
        <w:rPr/>
      </w:r>
      <w:bookmarkStart w:name="_bookmark40" w:id="166"/>
      <w:bookmarkEnd w:id="166"/>
      <w:r>
        <w:rPr>
          <w:color w:val="DF2F1E"/>
          <w:sz w:val="40"/>
        </w:rPr>
        <w:t>R</w:t>
      </w:r>
      <w:r>
        <w:rPr>
          <w:color w:val="DF2F1E"/>
          <w:sz w:val="40"/>
        </w:rPr>
        <w:t>esults for income support</w:t>
      </w:r>
      <w:r>
        <w:rPr>
          <w:color w:val="DF2F1E"/>
          <w:spacing w:val="-9"/>
          <w:sz w:val="40"/>
        </w:rPr>
        <w:t> </w:t>
      </w:r>
      <w:r>
        <w:rPr>
          <w:color w:val="DF2F1E"/>
          <w:sz w:val="40"/>
        </w:rPr>
        <w:t>recipients</w:t>
      </w:r>
    </w:p>
    <w:p>
      <w:pPr>
        <w:pStyle w:val="BodyText"/>
        <w:spacing w:before="241"/>
        <w:ind w:left="900" w:right="1153"/>
      </w:pPr>
      <w:r>
        <w:rPr>
          <w:color w:val="404040"/>
        </w:rPr>
        <w:t>In this section and the next two sections, for each welfare class, we present information on the profile of the people in that class and a breakdown of the payments received during 2017/18. We then discuss the experience and assumptions relating to the main class movements and payment amounts. Finally, we present results based on the application of the assumptions to the people currently in the class using the valuation model.</w:t>
      </w:r>
    </w:p>
    <w:p>
      <w:pPr>
        <w:pStyle w:val="BodyText"/>
        <w:spacing w:before="120"/>
        <w:ind w:left="900"/>
      </w:pPr>
      <w:r>
        <w:rPr>
          <w:color w:val="404040"/>
        </w:rPr>
        <w:t>This section covers the income support classes.</w:t>
      </w:r>
    </w:p>
    <w:p>
      <w:pPr>
        <w:pStyle w:val="BodyText"/>
        <w:spacing w:before="7"/>
      </w:pPr>
    </w:p>
    <w:p>
      <w:pPr>
        <w:pStyle w:val="ListParagraph"/>
        <w:numPr>
          <w:ilvl w:val="1"/>
          <w:numId w:val="37"/>
        </w:numPr>
        <w:tabs>
          <w:tab w:pos="1752" w:val="left" w:leader="none"/>
          <w:tab w:pos="1753" w:val="left" w:leader="none"/>
        </w:tabs>
        <w:spacing w:line="240" w:lineRule="auto" w:before="1" w:after="0"/>
        <w:ind w:left="1752" w:right="0" w:hanging="853"/>
        <w:jc w:val="left"/>
        <w:rPr>
          <w:sz w:val="28"/>
        </w:rPr>
      </w:pPr>
      <w:bookmarkStart w:name="6.1 Studying Payment recipients" w:id="167"/>
      <w:bookmarkEnd w:id="167"/>
      <w:r>
        <w:rPr/>
      </w:r>
      <w:bookmarkStart w:name="_bookmark41" w:id="168"/>
      <w:bookmarkEnd w:id="168"/>
      <w:r>
        <w:rPr/>
      </w:r>
      <w:bookmarkStart w:name="_bookmark41" w:id="169"/>
      <w:bookmarkEnd w:id="169"/>
      <w:r>
        <w:rPr>
          <w:color w:val="DF2F28"/>
          <w:sz w:val="28"/>
        </w:rPr>
        <w:t>S</w:t>
      </w:r>
      <w:r>
        <w:rPr>
          <w:color w:val="DF2F28"/>
          <w:sz w:val="28"/>
        </w:rPr>
        <w:t>tudying Payment</w:t>
      </w:r>
      <w:r>
        <w:rPr>
          <w:color w:val="DF2F28"/>
          <w:spacing w:val="2"/>
          <w:sz w:val="28"/>
        </w:rPr>
        <w:t> </w:t>
      </w:r>
      <w:r>
        <w:rPr>
          <w:color w:val="DF2F28"/>
          <w:sz w:val="28"/>
        </w:rPr>
        <w:t>recipients</w:t>
      </w:r>
    </w:p>
    <w:p>
      <w:pPr>
        <w:pStyle w:val="BodyText"/>
        <w:spacing w:before="9"/>
        <w:rPr>
          <w:sz w:val="12"/>
        </w:rPr>
      </w:pPr>
    </w:p>
    <w:p>
      <w:pPr>
        <w:pStyle w:val="Heading9"/>
        <w:ind w:left="1008"/>
      </w:pPr>
      <w:r>
        <w:rPr/>
        <w:pict>
          <v:shape style="position:absolute;margin-left:51.000004pt;margin-top:-1.210161pt;width:470.2pt;height:322.6pt;mso-position-horizontal-relative:page;mso-position-vertical-relative:paragraph;z-index:-287787008" coordorigin="1020,-24" coordsize="9404,6452" path="m10423,-24l10313,-24,1128,-24,1020,-24,1020,6427,1128,6427,10313,6427,10423,6427,10423,-24e" filled="true" fillcolor="#f3aba3" stroked="false">
            <v:path arrowok="t"/>
            <v:fill type="solid"/>
            <w10:wrap type="none"/>
          </v:shape>
        </w:pict>
      </w:r>
      <w:r>
        <w:rPr>
          <w:color w:val="404040"/>
        </w:rPr>
        <w:t>Key points</w:t>
      </w:r>
    </w:p>
    <w:p>
      <w:pPr>
        <w:pStyle w:val="BodyText"/>
        <w:spacing w:before="123"/>
        <w:ind w:left="1008" w:right="1623"/>
      </w:pPr>
      <w:r>
        <w:rPr>
          <w:color w:val="404040"/>
        </w:rPr>
        <w:t>There were 359,000 people in the Studying class in 2018, who were mostly aged 18 to 30. The majority of people in this class enter the Studying class as their first welfare class, and go on to either leave the system or move to the Working Age class after finishing their studies.</w:t>
      </w:r>
    </w:p>
    <w:p>
      <w:pPr>
        <w:pStyle w:val="ListParagraph"/>
        <w:numPr>
          <w:ilvl w:val="2"/>
          <w:numId w:val="37"/>
        </w:numPr>
        <w:tabs>
          <w:tab w:pos="1292" w:val="left" w:leader="none"/>
        </w:tabs>
        <w:spacing w:line="240" w:lineRule="auto" w:before="119" w:after="0"/>
        <w:ind w:left="1291" w:right="1914" w:hanging="284"/>
        <w:jc w:val="left"/>
        <w:rPr>
          <w:rFonts w:ascii="Symbol" w:hAnsi="Symbol"/>
          <w:color w:val="404040"/>
          <w:sz w:val="20"/>
        </w:rPr>
      </w:pPr>
      <w:r>
        <w:rPr>
          <w:color w:val="404040"/>
          <w:sz w:val="20"/>
        </w:rPr>
        <w:t>Over the last five years an increasing proportion of individuals have exited the system rather than transitioning to the Working Age class after finishing their</w:t>
      </w:r>
      <w:r>
        <w:rPr>
          <w:color w:val="404040"/>
          <w:spacing w:val="-8"/>
          <w:sz w:val="20"/>
        </w:rPr>
        <w:t> </w:t>
      </w:r>
      <w:r>
        <w:rPr>
          <w:color w:val="404040"/>
          <w:sz w:val="20"/>
        </w:rPr>
        <w:t>studies.</w:t>
      </w:r>
    </w:p>
    <w:p>
      <w:pPr>
        <w:pStyle w:val="ListParagraph"/>
        <w:numPr>
          <w:ilvl w:val="2"/>
          <w:numId w:val="37"/>
        </w:numPr>
        <w:tabs>
          <w:tab w:pos="1292" w:val="left" w:leader="none"/>
        </w:tabs>
        <w:spacing w:line="240" w:lineRule="auto" w:before="118" w:after="0"/>
        <w:ind w:left="1291" w:right="1612" w:hanging="284"/>
        <w:jc w:val="left"/>
        <w:rPr>
          <w:rFonts w:ascii="Symbol" w:hAnsi="Symbol"/>
          <w:color w:val="404040"/>
          <w:sz w:val="20"/>
        </w:rPr>
      </w:pPr>
      <w:r>
        <w:rPr>
          <w:color w:val="404040"/>
          <w:sz w:val="20"/>
        </w:rPr>
        <w:t>The replacement of the Student Start-up Scholarship with the Student Start-up Loan has led to lower average payment sizes since</w:t>
      </w:r>
      <w:r>
        <w:rPr>
          <w:color w:val="404040"/>
          <w:spacing w:val="-2"/>
          <w:sz w:val="20"/>
        </w:rPr>
        <w:t> </w:t>
      </w:r>
      <w:r>
        <w:rPr>
          <w:color w:val="404040"/>
          <w:sz w:val="20"/>
        </w:rPr>
        <w:t>2015/16.</w:t>
      </w:r>
    </w:p>
    <w:p>
      <w:pPr>
        <w:pStyle w:val="ListParagraph"/>
        <w:numPr>
          <w:ilvl w:val="2"/>
          <w:numId w:val="37"/>
        </w:numPr>
        <w:tabs>
          <w:tab w:pos="1292" w:val="left" w:leader="none"/>
        </w:tabs>
        <w:spacing w:line="240" w:lineRule="auto" w:before="120" w:after="0"/>
        <w:ind w:left="1291" w:right="1622" w:hanging="284"/>
        <w:jc w:val="left"/>
        <w:rPr>
          <w:rFonts w:ascii="Symbol" w:hAnsi="Symbol"/>
          <w:color w:val="404040"/>
          <w:sz w:val="20"/>
        </w:rPr>
      </w:pPr>
      <w:r>
        <w:rPr>
          <w:color w:val="404040"/>
          <w:sz w:val="20"/>
        </w:rPr>
        <w:t>Looking at the new variables this year, we see that people who live in areas with the highest levels of</w:t>
      </w:r>
      <w:r>
        <w:rPr>
          <w:color w:val="404040"/>
          <w:spacing w:val="-3"/>
          <w:sz w:val="20"/>
        </w:rPr>
        <w:t> </w:t>
      </w:r>
      <w:r>
        <w:rPr>
          <w:color w:val="404040"/>
          <w:sz w:val="20"/>
        </w:rPr>
        <w:t>socio-economic</w:t>
      </w:r>
      <w:r>
        <w:rPr>
          <w:color w:val="404040"/>
          <w:spacing w:val="-3"/>
          <w:sz w:val="20"/>
        </w:rPr>
        <w:t> </w:t>
      </w:r>
      <w:r>
        <w:rPr>
          <w:color w:val="404040"/>
          <w:sz w:val="20"/>
        </w:rPr>
        <w:t>disadvantage</w:t>
      </w:r>
      <w:r>
        <w:rPr>
          <w:color w:val="404040"/>
          <w:spacing w:val="-4"/>
          <w:sz w:val="20"/>
        </w:rPr>
        <w:t> </w:t>
      </w:r>
      <w:r>
        <w:rPr>
          <w:color w:val="404040"/>
          <w:sz w:val="20"/>
        </w:rPr>
        <w:t>have</w:t>
      </w:r>
      <w:r>
        <w:rPr>
          <w:color w:val="404040"/>
          <w:spacing w:val="-2"/>
          <w:sz w:val="20"/>
        </w:rPr>
        <w:t> </w:t>
      </w:r>
      <w:r>
        <w:rPr>
          <w:color w:val="404040"/>
          <w:sz w:val="20"/>
        </w:rPr>
        <w:t>higher</w:t>
      </w:r>
      <w:r>
        <w:rPr>
          <w:color w:val="404040"/>
          <w:spacing w:val="-1"/>
          <w:sz w:val="20"/>
        </w:rPr>
        <w:t> </w:t>
      </w:r>
      <w:r>
        <w:rPr>
          <w:color w:val="404040"/>
          <w:sz w:val="20"/>
        </w:rPr>
        <w:t>lifetime</w:t>
      </w:r>
      <w:r>
        <w:rPr>
          <w:color w:val="404040"/>
          <w:spacing w:val="-4"/>
          <w:sz w:val="20"/>
        </w:rPr>
        <w:t> </w:t>
      </w:r>
      <w:r>
        <w:rPr>
          <w:color w:val="404040"/>
          <w:sz w:val="20"/>
        </w:rPr>
        <w:t>costs</w:t>
      </w:r>
      <w:r>
        <w:rPr>
          <w:color w:val="404040"/>
          <w:spacing w:val="-3"/>
          <w:sz w:val="20"/>
        </w:rPr>
        <w:t> </w:t>
      </w:r>
      <w:r>
        <w:rPr>
          <w:color w:val="404040"/>
          <w:sz w:val="20"/>
        </w:rPr>
        <w:t>than</w:t>
      </w:r>
      <w:r>
        <w:rPr>
          <w:color w:val="404040"/>
          <w:spacing w:val="-2"/>
          <w:sz w:val="20"/>
        </w:rPr>
        <w:t> </w:t>
      </w:r>
      <w:r>
        <w:rPr>
          <w:color w:val="404040"/>
          <w:sz w:val="20"/>
        </w:rPr>
        <w:t>others</w:t>
      </w:r>
      <w:r>
        <w:rPr>
          <w:color w:val="404040"/>
          <w:spacing w:val="-3"/>
          <w:sz w:val="20"/>
        </w:rPr>
        <w:t> </w:t>
      </w:r>
      <w:r>
        <w:rPr>
          <w:color w:val="404040"/>
          <w:sz w:val="20"/>
        </w:rPr>
        <w:t>on</w:t>
      </w:r>
      <w:r>
        <w:rPr>
          <w:color w:val="404040"/>
          <w:spacing w:val="-4"/>
          <w:sz w:val="20"/>
        </w:rPr>
        <w:t> </w:t>
      </w:r>
      <w:r>
        <w:rPr>
          <w:color w:val="404040"/>
          <w:sz w:val="20"/>
        </w:rPr>
        <w:t>average.</w:t>
      </w:r>
      <w:r>
        <w:rPr>
          <w:color w:val="404040"/>
          <w:spacing w:val="-7"/>
          <w:sz w:val="20"/>
        </w:rPr>
        <w:t> </w:t>
      </w:r>
      <w:r>
        <w:rPr>
          <w:color w:val="404040"/>
          <w:spacing w:val="5"/>
          <w:sz w:val="20"/>
        </w:rPr>
        <w:t>We</w:t>
      </w:r>
      <w:r>
        <w:rPr>
          <w:color w:val="404040"/>
          <w:spacing w:val="-6"/>
          <w:sz w:val="20"/>
        </w:rPr>
        <w:t> </w:t>
      </w:r>
      <w:r>
        <w:rPr>
          <w:color w:val="404040"/>
          <w:sz w:val="20"/>
        </w:rPr>
        <w:t>can</w:t>
      </w:r>
      <w:r>
        <w:rPr>
          <w:color w:val="404040"/>
          <w:spacing w:val="-4"/>
          <w:sz w:val="20"/>
        </w:rPr>
        <w:t> </w:t>
      </w:r>
      <w:r>
        <w:rPr>
          <w:color w:val="404040"/>
          <w:sz w:val="20"/>
        </w:rPr>
        <w:t>also</w:t>
      </w:r>
      <w:r>
        <w:rPr>
          <w:color w:val="404040"/>
          <w:spacing w:val="-4"/>
          <w:sz w:val="20"/>
        </w:rPr>
        <w:t> </w:t>
      </w:r>
      <w:r>
        <w:rPr>
          <w:color w:val="404040"/>
          <w:sz w:val="20"/>
        </w:rPr>
        <w:t>see that being in receipt of payments at the valuation is associated with higher lifetime costs. These features are as expected and the inclusion of these variables has helped make the model outputs more realistic. </w:t>
      </w:r>
      <w:r>
        <w:rPr>
          <w:color w:val="404040"/>
          <w:spacing w:val="5"/>
          <w:sz w:val="20"/>
        </w:rPr>
        <w:t>We</w:t>
      </w:r>
      <w:r>
        <w:rPr>
          <w:color w:val="404040"/>
          <w:spacing w:val="-40"/>
          <w:sz w:val="20"/>
        </w:rPr>
        <w:t> </w:t>
      </w:r>
      <w:r>
        <w:rPr>
          <w:color w:val="404040"/>
          <w:sz w:val="20"/>
        </w:rPr>
        <w:t>generally see these same features to varying degrees across the other classes.</w:t>
      </w:r>
    </w:p>
    <w:p>
      <w:pPr>
        <w:pStyle w:val="ListParagraph"/>
        <w:numPr>
          <w:ilvl w:val="2"/>
          <w:numId w:val="37"/>
        </w:numPr>
        <w:tabs>
          <w:tab w:pos="1292" w:val="left" w:leader="none"/>
        </w:tabs>
        <w:spacing w:line="240" w:lineRule="auto" w:before="117" w:after="0"/>
        <w:ind w:left="1291" w:right="1943" w:hanging="284"/>
        <w:jc w:val="left"/>
        <w:rPr>
          <w:rFonts w:ascii="Symbol" w:hAnsi="Symbol"/>
          <w:color w:val="404040"/>
          <w:sz w:val="20"/>
        </w:rPr>
      </w:pPr>
      <w:r>
        <w:rPr>
          <w:color w:val="404040"/>
          <w:sz w:val="20"/>
        </w:rPr>
        <w:t>Students undertaking higher education have typically spent longer in the Studying class but have had a higher chance of exiting the welfare system completely upon leaving the class, when compared to secondary school students or vocational education and training</w:t>
      </w:r>
      <w:r>
        <w:rPr>
          <w:color w:val="404040"/>
          <w:spacing w:val="-14"/>
          <w:sz w:val="20"/>
        </w:rPr>
        <w:t> </w:t>
      </w:r>
      <w:r>
        <w:rPr>
          <w:color w:val="404040"/>
          <w:sz w:val="20"/>
        </w:rPr>
        <w:t>students.</w:t>
      </w:r>
    </w:p>
    <w:p>
      <w:pPr>
        <w:pStyle w:val="ListParagraph"/>
        <w:numPr>
          <w:ilvl w:val="2"/>
          <w:numId w:val="37"/>
        </w:numPr>
        <w:tabs>
          <w:tab w:pos="1292" w:val="left" w:leader="none"/>
        </w:tabs>
        <w:spacing w:line="240" w:lineRule="auto" w:before="118" w:after="0"/>
        <w:ind w:left="1291" w:right="1903" w:hanging="284"/>
        <w:jc w:val="left"/>
        <w:rPr>
          <w:rFonts w:ascii="Symbol" w:hAnsi="Symbol"/>
          <w:sz w:val="20"/>
        </w:rPr>
      </w:pPr>
      <w:r>
        <w:rPr>
          <w:color w:val="404040"/>
          <w:sz w:val="20"/>
        </w:rPr>
        <w:t>Students whose parents have a more intensive history of welfare use tend to spend longer in the Studying</w:t>
      </w:r>
      <w:r>
        <w:rPr>
          <w:color w:val="404040"/>
          <w:spacing w:val="-4"/>
          <w:sz w:val="20"/>
        </w:rPr>
        <w:t> </w:t>
      </w:r>
      <w:r>
        <w:rPr>
          <w:color w:val="404040"/>
          <w:sz w:val="20"/>
        </w:rPr>
        <w:t>class</w:t>
      </w:r>
      <w:r>
        <w:rPr>
          <w:color w:val="404040"/>
          <w:spacing w:val="-3"/>
          <w:sz w:val="20"/>
        </w:rPr>
        <w:t> </w:t>
      </w:r>
      <w:r>
        <w:rPr>
          <w:color w:val="404040"/>
          <w:sz w:val="20"/>
        </w:rPr>
        <w:t>and</w:t>
      </w:r>
      <w:r>
        <w:rPr>
          <w:color w:val="404040"/>
          <w:spacing w:val="-4"/>
          <w:sz w:val="20"/>
        </w:rPr>
        <w:t> </w:t>
      </w:r>
      <w:r>
        <w:rPr>
          <w:color w:val="404040"/>
          <w:sz w:val="20"/>
        </w:rPr>
        <w:t>have</w:t>
      </w:r>
      <w:r>
        <w:rPr>
          <w:color w:val="404040"/>
          <w:spacing w:val="-3"/>
          <w:sz w:val="20"/>
        </w:rPr>
        <w:t> </w:t>
      </w:r>
      <w:r>
        <w:rPr>
          <w:color w:val="404040"/>
          <w:sz w:val="20"/>
        </w:rPr>
        <w:t>a</w:t>
      </w:r>
      <w:r>
        <w:rPr>
          <w:color w:val="404040"/>
          <w:spacing w:val="-2"/>
          <w:sz w:val="20"/>
        </w:rPr>
        <w:t> </w:t>
      </w:r>
      <w:r>
        <w:rPr>
          <w:color w:val="404040"/>
          <w:sz w:val="20"/>
        </w:rPr>
        <w:t>higher</w:t>
      </w:r>
      <w:r>
        <w:rPr>
          <w:color w:val="404040"/>
          <w:spacing w:val="-3"/>
          <w:sz w:val="20"/>
        </w:rPr>
        <w:t> </w:t>
      </w:r>
      <w:r>
        <w:rPr>
          <w:color w:val="404040"/>
          <w:sz w:val="20"/>
        </w:rPr>
        <w:t>chance</w:t>
      </w:r>
      <w:r>
        <w:rPr>
          <w:color w:val="404040"/>
          <w:spacing w:val="-4"/>
          <w:sz w:val="20"/>
        </w:rPr>
        <w:t> </w:t>
      </w:r>
      <w:r>
        <w:rPr>
          <w:color w:val="404040"/>
          <w:sz w:val="20"/>
        </w:rPr>
        <w:t>of</w:t>
      </w:r>
      <w:r>
        <w:rPr>
          <w:color w:val="404040"/>
          <w:spacing w:val="-2"/>
          <w:sz w:val="20"/>
        </w:rPr>
        <w:t> </w:t>
      </w:r>
      <w:r>
        <w:rPr>
          <w:color w:val="404040"/>
          <w:sz w:val="20"/>
        </w:rPr>
        <w:t>transitioning</w:t>
      </w:r>
      <w:r>
        <w:rPr>
          <w:color w:val="404040"/>
          <w:spacing w:val="-4"/>
          <w:sz w:val="20"/>
        </w:rPr>
        <w:t> </w:t>
      </w:r>
      <w:r>
        <w:rPr>
          <w:color w:val="404040"/>
          <w:sz w:val="20"/>
        </w:rPr>
        <w:t>to</w:t>
      </w:r>
      <w:r>
        <w:rPr>
          <w:color w:val="404040"/>
          <w:spacing w:val="-2"/>
          <w:sz w:val="20"/>
        </w:rPr>
        <w:t> </w:t>
      </w:r>
      <w:r>
        <w:rPr>
          <w:color w:val="404040"/>
          <w:sz w:val="20"/>
        </w:rPr>
        <w:t>another</w:t>
      </w:r>
      <w:r>
        <w:rPr>
          <w:color w:val="404040"/>
          <w:spacing w:val="-3"/>
          <w:sz w:val="20"/>
        </w:rPr>
        <w:t> </w:t>
      </w:r>
      <w:r>
        <w:rPr>
          <w:color w:val="404040"/>
          <w:sz w:val="20"/>
        </w:rPr>
        <w:t>form</w:t>
      </w:r>
      <w:r>
        <w:rPr>
          <w:color w:val="404040"/>
          <w:spacing w:val="1"/>
          <w:sz w:val="20"/>
        </w:rPr>
        <w:t> </w:t>
      </w:r>
      <w:r>
        <w:rPr>
          <w:color w:val="404040"/>
          <w:sz w:val="20"/>
        </w:rPr>
        <w:t>of</w:t>
      </w:r>
      <w:r>
        <w:rPr>
          <w:color w:val="404040"/>
          <w:spacing w:val="-2"/>
          <w:sz w:val="20"/>
        </w:rPr>
        <w:t> </w:t>
      </w:r>
      <w:r>
        <w:rPr>
          <w:color w:val="404040"/>
          <w:sz w:val="20"/>
        </w:rPr>
        <w:t>income</w:t>
      </w:r>
      <w:r>
        <w:rPr>
          <w:color w:val="404040"/>
          <w:spacing w:val="-4"/>
          <w:sz w:val="20"/>
        </w:rPr>
        <w:t> </w:t>
      </w:r>
      <w:r>
        <w:rPr>
          <w:color w:val="404040"/>
          <w:sz w:val="20"/>
        </w:rPr>
        <w:t>support</w:t>
      </w:r>
      <w:r>
        <w:rPr>
          <w:color w:val="404040"/>
          <w:spacing w:val="-2"/>
          <w:sz w:val="20"/>
        </w:rPr>
        <w:t> </w:t>
      </w:r>
      <w:r>
        <w:rPr>
          <w:color w:val="404040"/>
          <w:sz w:val="20"/>
        </w:rPr>
        <w:t>when leaving the Studying</w:t>
      </w:r>
      <w:r>
        <w:rPr>
          <w:color w:val="404040"/>
          <w:spacing w:val="-2"/>
          <w:sz w:val="20"/>
        </w:rPr>
        <w:t> </w:t>
      </w:r>
      <w:r>
        <w:rPr>
          <w:color w:val="404040"/>
          <w:sz w:val="20"/>
        </w:rPr>
        <w:t>class.</w:t>
      </w:r>
    </w:p>
    <w:p>
      <w:pPr>
        <w:pStyle w:val="ListParagraph"/>
        <w:numPr>
          <w:ilvl w:val="2"/>
          <w:numId w:val="37"/>
        </w:numPr>
        <w:tabs>
          <w:tab w:pos="1292" w:val="left" w:leader="none"/>
        </w:tabs>
        <w:spacing w:line="240" w:lineRule="auto" w:before="118" w:after="0"/>
        <w:ind w:left="1291" w:right="1867" w:hanging="284"/>
        <w:jc w:val="left"/>
        <w:rPr>
          <w:rFonts w:ascii="Symbol" w:hAnsi="Symbol"/>
          <w:sz w:val="20"/>
        </w:rPr>
      </w:pPr>
      <w:r>
        <w:rPr>
          <w:color w:val="404040"/>
          <w:sz w:val="20"/>
        </w:rPr>
        <w:t>The lifetime cost for this class is $94bn, which is $18bn below the rebased 2017 lifetime cost. The reduction is driven by a decrease in the number of people in the class, as well as decreased assumptions for future payment utilisation in light of recent decreases in persistency in income support</w:t>
      </w:r>
      <w:r>
        <w:rPr>
          <w:color w:val="404040"/>
          <w:spacing w:val="-2"/>
          <w:sz w:val="20"/>
        </w:rPr>
        <w:t> </w:t>
      </w:r>
      <w:r>
        <w:rPr>
          <w:color w:val="404040"/>
          <w:sz w:val="20"/>
        </w:rPr>
        <w:t>use.</w:t>
      </w:r>
    </w:p>
    <w:p>
      <w:pPr>
        <w:pStyle w:val="BodyText"/>
        <w:spacing w:before="2"/>
        <w:rPr>
          <w:sz w:val="31"/>
        </w:rPr>
      </w:pPr>
    </w:p>
    <w:p>
      <w:pPr>
        <w:pStyle w:val="Heading4"/>
        <w:spacing w:before="1"/>
      </w:pPr>
      <w:bookmarkStart w:name="Recent and projected trends for people r" w:id="170"/>
      <w:bookmarkEnd w:id="170"/>
      <w:r>
        <w:rPr/>
      </w:r>
      <w:r>
        <w:rPr>
          <w:color w:val="DF2F28"/>
        </w:rPr>
        <w:t>Recent and projected trends for people receiving Studying payments</w:t>
      </w:r>
    </w:p>
    <w:p>
      <w:pPr>
        <w:pStyle w:val="BodyText"/>
        <w:spacing w:before="121"/>
        <w:ind w:left="899" w:right="1209"/>
      </w:pPr>
      <w:r>
        <w:rPr>
          <w:color w:val="404040"/>
        </w:rPr>
        <w:t>There were 359,000 people (4.5% of current welfare recipients) in the Studying class in the 2018 model population. This represents 1.4% of the population of Australia which is a decrease from 1.5% at the previous valuation.</w:t>
      </w:r>
    </w:p>
    <w:p>
      <w:pPr>
        <w:pStyle w:val="BodyText"/>
        <w:spacing w:before="119"/>
        <w:ind w:left="899" w:right="1531"/>
      </w:pPr>
      <w:r>
        <w:rPr>
          <w:color w:val="404040"/>
        </w:rPr>
        <w:t>The following chart shows a breakdown of the number of people in the Studying class by age, gender and payment type.</w:t>
      </w:r>
    </w:p>
    <w:p>
      <w:pPr>
        <w:spacing w:after="0"/>
        <w:sectPr>
          <w:headerReference w:type="default" r:id="rId74"/>
          <w:footerReference w:type="default" r:id="rId75"/>
          <w:pgSz w:w="11910" w:h="16850"/>
          <w:pgMar w:header="572" w:footer="581" w:top="780" w:bottom="780" w:left="120" w:right="0"/>
          <w:pgNumType w:start="73"/>
        </w:sectPr>
      </w:pPr>
    </w:p>
    <w:p>
      <w:pPr>
        <w:pStyle w:val="BodyText"/>
      </w:pPr>
    </w:p>
    <w:p>
      <w:pPr>
        <w:pStyle w:val="BodyText"/>
      </w:pPr>
    </w:p>
    <w:p>
      <w:pPr>
        <w:pStyle w:val="BodyText"/>
        <w:spacing w:before="5"/>
        <w:rPr>
          <w:sz w:val="21"/>
        </w:rPr>
      </w:pPr>
    </w:p>
    <w:p>
      <w:pPr>
        <w:pStyle w:val="Heading9"/>
      </w:pPr>
      <w:r>
        <w:rPr>
          <w:color w:val="DF2F1E"/>
        </w:rPr>
        <w:t>Figure 42: 2018 profile of people in class 1 – Studying (age / gender / payment type)</w:t>
      </w:r>
    </w:p>
    <w:p>
      <w:pPr>
        <w:spacing w:after="0"/>
        <w:sectPr>
          <w:pgSz w:w="11910" w:h="16850"/>
          <w:pgMar w:header="572" w:footer="581" w:top="780" w:bottom="780" w:left="120" w:right="0"/>
        </w:sectPr>
      </w:pPr>
    </w:p>
    <w:p>
      <w:pPr>
        <w:pStyle w:val="BodyText"/>
        <w:spacing w:before="8"/>
        <w:rPr>
          <w:b/>
          <w:sz w:val="12"/>
        </w:rPr>
      </w:pPr>
    </w:p>
    <w:p>
      <w:pPr>
        <w:spacing w:before="0"/>
        <w:ind w:left="1587" w:right="0" w:firstLine="0"/>
        <w:jc w:val="left"/>
        <w:rPr>
          <w:rFonts w:ascii="Calibri"/>
          <w:sz w:val="16"/>
        </w:rPr>
      </w:pPr>
      <w:r>
        <w:rPr/>
        <w:pict>
          <v:group style="position:absolute;margin-left:97.900467pt;margin-top:4.853418pt;width:219.15pt;height:126.9pt;mso-position-horizontal-relative:page;mso-position-vertical-relative:paragraph;z-index:252118016" coordorigin="1958,97" coordsize="4383,2538">
            <v:shape style="position:absolute;left:-283665;top:-310499;width:283665;height:325380" coordorigin="-283664,-310499" coordsize="283665,325380" path="m6335,102l6335,2582m5613,102l5613,2582m4890,102l4890,2582m4168,102l4168,2582e" filled="false" stroked="true" strokeweight=".530463pt" strokecolor="#f1f1f1">
              <v:path arrowok="t"/>
              <v:stroke dashstyle="solid"/>
            </v:shape>
            <v:rect style="position:absolute;left:4151;top:2130;width:22;height:22" filled="true" fillcolor="#16375e" stroked="false">
              <v:fill type="solid"/>
            </v:rect>
            <v:shape style="position:absolute;left:4167;top:2152;width:2;height:138" coordorigin="4168,2152" coordsize="0,138" path="m4168,2152l4168,2290,4168,2152xe" filled="true" fillcolor="#16375e" stroked="false">
              <v:path arrowok="t"/>
              <v:fill type="solid"/>
            </v:shape>
            <v:shape style="position:absolute;left:4130;top:1940;width:43;height:190" coordorigin="4131,1941" coordsize="43,190" path="m4173,1994l4152,1994,4152,2046,4141,2046,4141,2078,4131,2078,4131,2130,4173,2130,4173,2078,4173,2046,4173,1994m4173,1941l4152,1941,4152,1994,4173,1994,4173,1941e" filled="true" fillcolor="#16375e" stroked="false">
              <v:path arrowok="t"/>
              <v:fill type="solid"/>
            </v:shape>
            <v:line style="position:absolute" from="4168,786" to="4168,1941" stroked="true" strokeweight=".531182pt" strokecolor="#16375e">
              <v:stroke dashstyle="solid"/>
            </v:line>
            <v:rect style="position:absolute;left:4162;top:722;width:11;height:32" filled="true" fillcolor="#16375e" stroked="false">
              <v:fill type="solid"/>
            </v:rect>
            <v:line style="position:absolute" from="3950,1867" to="4162,1867" stroked="true" strokeweight=".998642pt" strokecolor="#b7dee8">
              <v:stroke dashstyle="solid"/>
            </v:line>
            <v:shape style="position:absolute;left:4066;top:1876;width:96;height:64" coordorigin="4067,1877" coordsize="96,64" path="m4162,1877l4067,1877,4067,1909,4152,1909,4152,1941,4162,1941,4162,1909,4162,1877e" filled="true" fillcolor="#b7dee8" stroked="false">
              <v:path arrowok="t"/>
              <v:fill type="solid"/>
            </v:shape>
            <v:line style="position:absolute" from="3961,1813" to="4162,1813" stroked="true" strokeweight="1.059478pt" strokecolor="#b7dee8">
              <v:stroke dashstyle="solid"/>
            </v:line>
            <v:line style="position:absolute" from="3929,1841" to="4162,1841" stroked="true" strokeweight="1.597827pt" strokecolor="#b7dee8">
              <v:stroke dashstyle="solid"/>
            </v:line>
            <v:rect style="position:absolute;left:4056;top:1718;width:117;height:20" filled="true" fillcolor="#b7dee8" stroked="false">
              <v:fill type="solid"/>
            </v:rect>
            <v:line style="position:absolute" from="4024,1755" to="4162,1755" stroked="true" strokeweight="1.597827pt" strokecolor="#b7dee8">
              <v:stroke dashstyle="solid"/>
            </v:line>
            <v:shape style="position:absolute;left:4162;top:1739;width:11;height:2" coordorigin="4162,1739" coordsize="11,0" path="m4173,1739l4162,1739,4173,1739xe" filled="true" fillcolor="#b7dee8" stroked="false">
              <v:path arrowok="t"/>
              <v:fill type="solid"/>
            </v:shape>
            <v:line style="position:absolute" from="4003,1787" to="4162,1787" stroked="true" strokeweight="1.589209pt" strokecolor="#b7dee8">
              <v:stroke dashstyle="solid"/>
            </v:line>
            <v:shape style="position:absolute;left:4077;top:1219;width:96;height:500" coordorigin="4077,1220" coordsize="96,500" path="m4173,1687l4077,1687,4077,1719,4173,1719,4173,1687m4173,1665l4088,1665,4088,1686,4173,1686,4173,1665m4173,1549l4120,1549,4120,1581,4109,1581,4109,1633,4099,1633,4099,1665,4173,1665,4173,1633,4173,1581,4173,1549m4173,1527l4131,1527,4131,1549,4173,1549,4173,1527m4173,1443l4141,1443,4141,1495,4131,1495,4131,1527,4173,1527,4173,1495,4173,1443m4173,1390l4141,1390,4141,1443,4173,1443,4173,1390m4173,1305l4152,1305,4152,1357,4141,1357,4141,1389,4173,1389,4173,1357,4173,1305m4173,1252l4152,1252,4152,1305,4173,1305,4173,1252m4173,1220l4152,1220,4152,1252,4173,1252,4173,1220e" filled="true" fillcolor="#b7dee8" stroked="false">
              <v:path arrowok="t"/>
              <v:fill type="solid"/>
            </v:shape>
            <v:line style="position:absolute" from="4168,754" to="4168,1220" stroked="true" strokeweight=".531176pt" strokecolor="#b7dee8">
              <v:stroke dashstyle="solid"/>
            </v:line>
            <v:shape style="position:absolute;left:4162;top:531;width:11;height:191" coordorigin="4162,531" coordsize="11,191" path="m4173,669l4162,669,4162,701,4162,722,4173,722,4173,701,4173,669m4173,616l4162,616,4162,648,4173,648,4173,616m4173,531l4162,531,4162,563,4173,563,4173,531e" filled="true" fillcolor="#b7dee8" stroked="false">
              <v:path arrowok="t"/>
              <v:fill type="solid"/>
            </v:shape>
            <v:rect style="position:absolute;left:4162;top:2152;width:11;height:32" filled="true" fillcolor="#00afef" stroked="false">
              <v:fill type="solid"/>
            </v:rect>
            <v:line style="position:absolute" from="3961,2115" to="4131,2115" stroked="true" strokeweight="1.589217pt" strokecolor="#00afef">
              <v:stroke dashstyle="solid"/>
            </v:line>
            <v:rect style="position:absolute;left:4098;top:2131;width:54;height:22" filled="true" fillcolor="#00afef" stroked="false">
              <v:fill type="solid"/>
            </v:rect>
            <v:line style="position:absolute" from="3456,102" to="3456,2582" stroked="true" strokeweight=".531186pt" strokecolor="#f1f1f1">
              <v:stroke dashstyle="solid"/>
            </v:line>
            <v:line style="position:absolute" from="2930,2031" to="4152,2031" stroked="true" strokeweight="1.589217pt" strokecolor="#00afef">
              <v:stroke dashstyle="solid"/>
            </v:line>
            <v:line style="position:absolute" from="2856,2062" to="4141,2062" stroked="true" strokeweight="1.589217pt" strokecolor="#00afef">
              <v:stroke dashstyle="solid"/>
            </v:line>
            <v:line style="position:absolute" from="3174,2089" to="4131,2089" stroked="true" strokeweight="1.059478pt" strokecolor="#00afef">
              <v:stroke dashstyle="solid"/>
            </v:line>
            <v:line style="position:absolute" from="3302,1925" to="4162,1925" stroked="true" strokeweight="1.589217pt" strokecolor="#00afef">
              <v:stroke dashstyle="solid"/>
            </v:line>
            <v:line style="position:absolute" from="2994,1952" to="4152,1952" stroked="true" strokeweight="1.098501pt" strokecolor="#00afef">
              <v:stroke dashstyle="solid"/>
            </v:line>
            <v:line style="position:absolute" from="2930,1979" to="4152,1979" stroked="true" strokeweight="1.597819pt" strokecolor="#00afef">
              <v:stroke dashstyle="solid"/>
            </v:line>
            <v:line style="position:absolute" from="3089,2004" to="4152,2004" stroked="true" strokeweight=".998637pt" strokecolor="#00afef">
              <v:stroke dashstyle="solid"/>
            </v:line>
            <v:shape style="position:absolute;left:3854;top:1771;width:149;height:85" coordorigin="3854,1771" coordsize="149,85" path="m3929,1824l3854,1824,3854,1856,3929,1856,3929,1824m3961,1803l3939,1803,3939,1824,3961,1824,3961,1803m4003,1771l3992,1771,3992,1803,4003,1803,4003,1771e" filled="true" fillcolor="#00afef" stroked="false">
              <v:path arrowok="t"/>
              <v:fill type="solid"/>
            </v:shape>
            <v:line style="position:absolute" from="3737,1866" to="3950,1866" stroked="true" strokeweight="1.059478pt" strokecolor="#00afef">
              <v:stroke dashstyle="solid"/>
            </v:line>
            <v:line style="position:absolute" from="3557,1893" to="4067,1893" stroked="true" strokeweight="1.589217pt" strokecolor="#00afef">
              <v:stroke dashstyle="solid"/>
            </v:line>
            <v:shape style="position:absolute;left:4013;top:1442;width:128;height:329" coordorigin="4014,1443" coordsize="128,329" path="m4024,1739l4014,1739,4014,1771,4024,1771,4024,1739m4056,1718l4046,1718,4046,1739,4056,1739,4056,1718m4088,1665l4077,1665,4077,1686,4088,1686,4088,1665m4099,1633l4088,1633,4088,1665,4099,1665,4099,1633m4109,1580l4099,1580,4099,1602,4099,1633,4109,1633,4109,1602,4109,1580m4120,1549l4109,1549,4109,1580,4120,1580,4120,1549m4131,1496l4120,1496,4120,1549,4131,1549,4131,1496m4141,1443l4131,1443,4131,1496,4141,1496,4141,1443e" filled="true" fillcolor="#00afef" stroked="false">
              <v:path arrowok="t"/>
              <v:fill type="solid"/>
            </v:shape>
            <v:shape style="position:absolute;left:4173;top:2131;width:32;height:138" coordorigin="4173,2131" coordsize="32,138" path="m4205,2131l4173,2131,4173,2152,4173,2269,4184,2269,4184,2152,4205,2152,4205,2131e" filled="true" fillcolor="#16375e" stroked="false">
              <v:path arrowok="t"/>
              <v:fill type="solid"/>
            </v:shape>
            <v:line style="position:absolute" from="4178,786" to="4178,1856" stroked="true" strokeweight=".531186pt" strokecolor="#16375e">
              <v:stroke dashstyle="solid"/>
            </v:line>
            <v:shape style="position:absolute;left:4173;top:700;width:64;height:1430" coordorigin="4173,701" coordsize="64,1430" path="m4184,701l4173,701,4173,754,4184,754,4184,701m4237,2078l4226,2078,4226,2046,4216,2046,4216,1994,4205,1994,4205,1941,4194,1941,4194,1909,4184,1909,4184,1857,4173,1857,4173,1909,4173,1941,4173,1994,4173,2046,4173,2078,4173,2100,4173,2130,4226,2130,4226,2100,4237,2100,4237,2099,4237,2078e" filled="true" fillcolor="#16375e" stroked="false">
              <v:path arrowok="t"/>
              <v:fill type="solid"/>
            </v:shape>
            <v:shape style="position:absolute;left:4173;top:1718;width:139;height:52" coordorigin="4173,1719" coordsize="139,52" path="m4311,1739l4290,1739,4290,1719,4173,1719,4173,1739,4184,1739,4184,1771,4311,1771,4311,1739e" filled="true" fillcolor="#b7dee8" stroked="false">
              <v:path arrowok="t"/>
              <v:fill type="solid"/>
            </v:shape>
            <v:line style="position:absolute" from="4184,1787" to="4332,1787" stroked="true" strokeweight="1.597828pt" strokecolor="#b7dee8">
              <v:stroke dashstyle="solid"/>
            </v:line>
            <v:shape style="position:absolute;left:4289;top:1739;width:22;height:2" coordorigin="4290,1739" coordsize="22,0" path="m4311,1739l4290,1739,4311,1739xe" filled="true" fillcolor="#b7dee8" stroked="false">
              <v:path arrowok="t"/>
              <v:fill type="solid"/>
            </v:shape>
            <v:line style="position:absolute" from="4184,1813" to="4396,1813" stroked="true" strokeweight="1.059471pt" strokecolor="#b7dee8">
              <v:stroke dashstyle="solid"/>
            </v:line>
            <v:line style="position:absolute" from="4184,1851" to="4428,1851" stroked="true" strokeweight="2.596471pt" strokecolor="#b7dee8">
              <v:stroke dashstyle="solid"/>
            </v:line>
            <v:shape style="position:absolute;left:4173;top:1198;width:128;height:742" coordorigin="4173,1199" coordsize="128,742" path="m4205,1909l4194,1909,4194,1941,4205,1941,4205,1909m4205,1199l4173,1199,4173,1252,4205,1252,4205,1199m4301,1877l4184,1877,4184,1909,4301,1909,4301,1877e" filled="true" fillcolor="#b7dee8" stroked="false">
              <v:path arrowok="t"/>
              <v:fill type="solid"/>
            </v:shape>
            <v:line style="position:absolute" from="4194,1252" to="4194,1496" stroked="true" strokeweight="2.124713pt" strokecolor="#b7dee8">
              <v:stroke dashstyle="solid"/>
            </v:line>
            <v:shape style="position:absolute;left:4173;top:1495;width:96;height:224" coordorigin="4173,1496" coordsize="96,224" path="m4226,1496l4173,1496,4173,1580,4226,1580,4226,1496m4269,1687l4258,1687,4258,1686,4258,1665,4247,1665,4247,1633,4237,1633,4237,1581,4173,1581,4173,1633,4173,1665,4173,1687,4173,1719,4269,1719,4269,1687e" filled="true" fillcolor="#b7dee8" stroked="false">
              <v:path arrowok="t"/>
              <v:fill type="solid"/>
            </v:shape>
            <v:line style="position:absolute" from="4184,1029" to="4184,1167" stroked="true" strokeweight="1.062352pt" strokecolor="#b7dee8">
              <v:stroke dashstyle="solid"/>
            </v:line>
            <v:shape style="position:absolute;left:4173;top:1167;width:32;height:32" coordorigin="4173,1167" coordsize="32,32" path="m4205,1167l4194,1167,4173,1167,4173,1199,4205,1199,4205,1167e" filled="true" fillcolor="#b7dee8" stroked="false">
              <v:path arrowok="t"/>
              <v:fill type="solid"/>
            </v:shape>
            <v:line style="position:absolute" from="4178,722" to="4178,1029" stroked="true" strokeweight=".531183pt" strokecolor="#b7dee8">
              <v:stroke dashstyle="solid"/>
            </v:line>
            <v:rect style="position:absolute;left:4173;top:616;width:11;height:32" filled="true" fillcolor="#b7dee8" stroked="false">
              <v:fill type="solid"/>
            </v:rect>
            <v:shape style="position:absolute;left:4173;top:2131;width:128;height:53" coordorigin="4173,2131" coordsize="128,53" path="m4184,2152l4173,2152,4173,2184,4184,2184,4184,2152m4301,2131l4205,2131,4205,2152,4301,2152,4301,2131e" filled="true" fillcolor="#00afef" stroked="false">
              <v:path arrowok="t"/>
              <v:fill type="solid"/>
            </v:shape>
            <v:line style="position:absolute" from="4237,2089" to="5607,2089" stroked="true" strokeweight="1.098499pt" strokecolor="#00afef">
              <v:stroke dashstyle="solid"/>
            </v:line>
            <v:line style="position:absolute" from="4226,2115" to="4524,2115" stroked="true" strokeweight="1.497953pt" strokecolor="#00afef">
              <v:stroke dashstyle="solid"/>
            </v:line>
            <v:line style="position:absolute" from="4524,2099" to="5607,2099" stroked="true" strokeweight=".000007pt" strokecolor="#00afef">
              <v:stroke dashstyle="solid"/>
            </v:line>
            <v:line style="position:absolute" from="4216,2004" to="5692,2004" stroked="true" strokeweight="1.059470pt" strokecolor="#00afef">
              <v:stroke dashstyle="solid"/>
            </v:line>
            <v:shape style="position:absolute;left:4215;top:2030;width:1817;height:32" coordorigin="4216,2030" coordsize="1817,32" path="m4216,2030l5979,2030m4226,2062l6032,2062e" filled="false" stroked="true" strokeweight="1.597817pt" strokecolor="#00afef">
              <v:path arrowok="t"/>
              <v:stroke dashstyle="solid"/>
            </v:shape>
            <v:shape style="position:absolute;left:5979;top:2046;width:54;height:2" coordorigin="5979,2046" coordsize="54,0" path="m6032,2046l5979,2046,6032,2046xe" filled="true" fillcolor="#00afef" stroked="false">
              <v:path arrowok="t"/>
              <v:fill type="solid"/>
            </v:shape>
            <v:line style="position:absolute" from="4205,1952" to="5682,1952" stroked="true" strokeweight="1.098499pt" strokecolor="#00afef">
              <v:stroke dashstyle="solid"/>
            </v:line>
            <v:line style="position:absolute" from="4205,1978" to="5830,1978" stroked="true" strokeweight="1.597817pt" strokecolor="#00afef">
              <v:stroke dashstyle="solid"/>
            </v:line>
            <v:line style="position:absolute" from="4428,1866" to="4662,1866" stroked="true" strokeweight="1.059463pt" strokecolor="#00afef">
              <v:stroke dashstyle="solid"/>
            </v:line>
            <v:line style="position:absolute" from="4301,1893" to="4874,1893" stroked="true" strokeweight="1.597817pt" strokecolor="#00afef">
              <v:stroke dashstyle="solid"/>
            </v:line>
            <v:line style="position:absolute" from="4662,1877" to="4874,1877" stroked="true" strokeweight=".000007pt" strokecolor="#00afef">
              <v:stroke dashstyle="solid"/>
            </v:line>
            <v:line style="position:absolute" from="4194,1925" to="5214,1925" stroked="true" strokeweight="1.589204pt" strokecolor="#00afef">
              <v:stroke dashstyle="solid"/>
            </v:line>
            <v:shape style="position:absolute;left:4215;top:1357;width:298;height:498" coordorigin="4216,1358" coordsize="298,498" path="m4226,1411l4216,1411,4216,1443,4226,1443,4226,1411m4226,1358l4216,1358,4216,1390,4226,1390,4226,1358m4237,1496l4226,1496,4226,1580,4237,1580,4237,1496m4247,1580l4237,1580,4237,1633,4247,1633,4247,1580m4258,1633l4247,1633,4247,1665,4258,1665,4258,1633m4301,1718l4290,1718,4290,1739,4301,1739,4301,1718m4322,1739l4311,1739,4311,1771,4322,1771,4322,1739m4343,1771l4332,1771,4332,1803,4343,1803,4343,1771m4417,1803l4396,1803,4396,1824,4417,1824,4417,1803m4513,1824l4428,1824,4428,1856,4513,1856,4513,1824e" filled="true" fillcolor="#00afef" stroked="false">
              <v:path arrowok="t"/>
              <v:fill type="solid"/>
            </v:shape>
            <v:line style="position:absolute" from="2734,102" to="2734,2582" stroked="true" strokeweight=".531186pt" strokecolor="#f1f1f1">
              <v:stroke dashstyle="solid"/>
            </v:line>
            <v:line style="position:absolute" from="6335,2582" to="2011,2582" stroked="true" strokeweight=".529734pt" strokecolor="#bebebe">
              <v:stroke dashstyle="solid"/>
            </v:line>
            <v:shape style="position:absolute;left:-651543;top:6876;width:651543;height:8005" coordorigin="-651542,6877" coordsize="651543,8005" path="m6335,2582l6335,2634m5613,2582l5613,2634m4890,2582l4890,2634m4168,2582l4168,2634m3456,2582l3456,2634m2734,2582l2734,2634m2011,2582l2011,2634e" filled="false" stroked="true" strokeweight=".530458pt" strokecolor="#bebebe">
              <v:path arrowok="t"/>
              <v:stroke dashstyle="solid"/>
            </v:shape>
            <v:line style="position:absolute" from="2011,2582" to="2011,102" stroked="true" strokeweight=".531176pt" strokecolor="#bebebe">
              <v:stroke dashstyle="solid"/>
            </v:line>
            <v:shape style="position:absolute;left:0;top:14880;width:13805;height:646044" coordorigin="0,14881" coordsize="13805,646044" path="m1958,2581l2011,2581m1958,2306l2011,2306m1958,2031l2011,2031m1958,1755l2011,1755m1958,1480l2011,1480m1958,1204l2011,1204m1958,929l2011,929m1958,653l2011,653m1958,378l2011,378m1958,102l2011,102e" filled="false" stroked="true" strokeweight=".530451pt" strokecolor="#bebebe">
              <v:path arrowok="t"/>
              <v:stroke dashstyle="solid"/>
            </v:shape>
            <v:shape style="position:absolute;left:3511;top:292;width:1566;height:213" type="#_x0000_t202" filled="false" stroked="false">
              <v:textbox inset="0,0,0,0">
                <w:txbxContent>
                  <w:p>
                    <w:pPr>
                      <w:tabs>
                        <w:tab w:pos="793" w:val="left" w:leader="none"/>
                      </w:tabs>
                      <w:spacing w:line="213" w:lineRule="exact" w:before="0"/>
                      <w:ind w:left="0" w:right="0" w:firstLine="0"/>
                      <w:jc w:val="left"/>
                      <w:rPr>
                        <w:rFonts w:ascii="Symbol" w:hAnsi="Symbol"/>
                        <w:sz w:val="17"/>
                      </w:rPr>
                    </w:pPr>
                    <w:r>
                      <w:rPr>
                        <w:rFonts w:ascii="Symbol" w:hAnsi="Symbol"/>
                        <w:color w:val="A6A6A6"/>
                        <w:sz w:val="17"/>
                      </w:rPr>
                      <w:t></w:t>
                    </w:r>
                    <w:r>
                      <w:rPr>
                        <w:rFonts w:ascii="Times New Roman" w:hAnsi="Times New Roman"/>
                        <w:color w:val="A6A6A6"/>
                        <w:spacing w:val="-10"/>
                        <w:sz w:val="17"/>
                      </w:rPr>
                      <w:t> </w:t>
                    </w:r>
                    <w:r>
                      <w:rPr>
                        <w:rFonts w:ascii="Calibri" w:hAnsi="Calibri"/>
                        <w:color w:val="A6A6A6"/>
                        <w:sz w:val="17"/>
                      </w:rPr>
                      <w:t>Male</w:t>
                      <w:tab/>
                      <w:t>Female</w:t>
                    </w:r>
                    <w:r>
                      <w:rPr>
                        <w:rFonts w:ascii="Calibri" w:hAnsi="Calibri"/>
                        <w:color w:val="A6A6A6"/>
                        <w:spacing w:val="2"/>
                        <w:sz w:val="17"/>
                      </w:rPr>
                      <w:t> </w:t>
                    </w:r>
                    <w:r>
                      <w:rPr>
                        <w:rFonts w:ascii="Symbol" w:hAnsi="Symbol"/>
                        <w:color w:val="A6A6A6"/>
                        <w:sz w:val="17"/>
                      </w:rPr>
                      <w:t></w:t>
                    </w:r>
                  </w:p>
                </w:txbxContent>
              </v:textbox>
              <w10:wrap type="none"/>
            </v:shape>
            <w10:wrap type="none"/>
          </v:group>
        </w:pict>
      </w:r>
      <w:r>
        <w:rPr>
          <w:rFonts w:ascii="Calibri"/>
          <w:spacing w:val="-7"/>
          <w:sz w:val="16"/>
        </w:rPr>
        <w:t>90</w:t>
      </w:r>
    </w:p>
    <w:p>
      <w:pPr>
        <w:spacing w:before="80"/>
        <w:ind w:left="1587" w:right="0" w:firstLine="0"/>
        <w:jc w:val="left"/>
        <w:rPr>
          <w:rFonts w:ascii="Calibri"/>
          <w:sz w:val="16"/>
        </w:rPr>
      </w:pPr>
      <w:r>
        <w:rPr>
          <w:rFonts w:ascii="Calibri"/>
          <w:spacing w:val="-7"/>
          <w:sz w:val="16"/>
        </w:rPr>
        <w:t>80</w:t>
      </w:r>
    </w:p>
    <w:p>
      <w:pPr>
        <w:spacing w:before="79"/>
        <w:ind w:left="1587" w:right="0" w:firstLine="0"/>
        <w:jc w:val="left"/>
        <w:rPr>
          <w:rFonts w:ascii="Calibri"/>
          <w:sz w:val="16"/>
        </w:rPr>
      </w:pPr>
      <w:r>
        <w:rPr/>
        <w:pict>
          <v:shape style="position:absolute;margin-left:75.322227pt;margin-top:4.963478pt;width:8.950pt;height:77.55pt;mso-position-horizontal-relative:page;mso-position-vertical-relative:paragraph;z-index:252134400" type="#_x0000_t202" filled="false" stroked="false">
            <v:textbox inset="0,0,0,0" style="layout-flow:vertical;mso-layout-flow-alt:bottom-to-top">
              <w:txbxContent>
                <w:p>
                  <w:pPr>
                    <w:spacing w:line="161" w:lineRule="exact" w:before="0"/>
                    <w:ind w:left="20" w:right="0" w:firstLine="0"/>
                    <w:jc w:val="left"/>
                    <w:rPr>
                      <w:rFonts w:ascii="Calibri"/>
                      <w:b/>
                      <w:sz w:val="14"/>
                    </w:rPr>
                  </w:pPr>
                  <w:r>
                    <w:rPr>
                      <w:rFonts w:ascii="Calibri"/>
                      <w:b/>
                      <w:sz w:val="14"/>
                    </w:rPr>
                    <w:t>Age at the Valuation Date</w:t>
                  </w:r>
                </w:p>
              </w:txbxContent>
            </v:textbox>
            <w10:wrap type="none"/>
          </v:shape>
        </w:pict>
      </w:r>
      <w:r>
        <w:rPr>
          <w:rFonts w:ascii="Calibri"/>
          <w:spacing w:val="-7"/>
          <w:sz w:val="16"/>
        </w:rPr>
        <w:t>70</w:t>
      </w:r>
    </w:p>
    <w:p>
      <w:pPr>
        <w:spacing w:before="80"/>
        <w:ind w:left="1587" w:right="0" w:firstLine="0"/>
        <w:jc w:val="left"/>
        <w:rPr>
          <w:rFonts w:ascii="Calibri"/>
          <w:sz w:val="16"/>
        </w:rPr>
      </w:pPr>
      <w:r>
        <w:rPr>
          <w:rFonts w:ascii="Calibri"/>
          <w:spacing w:val="-7"/>
          <w:sz w:val="16"/>
        </w:rPr>
        <w:t>60</w:t>
      </w:r>
    </w:p>
    <w:p>
      <w:pPr>
        <w:spacing w:before="80"/>
        <w:ind w:left="1587" w:right="0" w:firstLine="0"/>
        <w:jc w:val="left"/>
        <w:rPr>
          <w:rFonts w:ascii="Calibri"/>
          <w:sz w:val="16"/>
        </w:rPr>
      </w:pPr>
      <w:r>
        <w:rPr>
          <w:rFonts w:ascii="Calibri"/>
          <w:spacing w:val="-7"/>
          <w:sz w:val="16"/>
        </w:rPr>
        <w:t>50</w:t>
      </w:r>
    </w:p>
    <w:p>
      <w:pPr>
        <w:spacing w:before="80"/>
        <w:ind w:left="1587" w:right="0" w:firstLine="0"/>
        <w:jc w:val="left"/>
        <w:rPr>
          <w:rFonts w:ascii="Calibri"/>
          <w:sz w:val="16"/>
        </w:rPr>
      </w:pPr>
      <w:r>
        <w:rPr>
          <w:rFonts w:ascii="Calibri"/>
          <w:spacing w:val="-7"/>
          <w:sz w:val="16"/>
        </w:rPr>
        <w:t>40</w:t>
      </w:r>
    </w:p>
    <w:p>
      <w:pPr>
        <w:spacing w:before="79"/>
        <w:ind w:left="1587" w:right="0" w:firstLine="0"/>
        <w:jc w:val="left"/>
        <w:rPr>
          <w:rFonts w:ascii="Calibri"/>
          <w:sz w:val="16"/>
        </w:rPr>
      </w:pPr>
      <w:r>
        <w:rPr>
          <w:rFonts w:ascii="Calibri"/>
          <w:spacing w:val="-7"/>
          <w:sz w:val="16"/>
        </w:rPr>
        <w:t>30</w:t>
      </w:r>
    </w:p>
    <w:p>
      <w:pPr>
        <w:spacing w:before="80"/>
        <w:ind w:left="1587" w:right="0" w:firstLine="0"/>
        <w:jc w:val="left"/>
        <w:rPr>
          <w:rFonts w:ascii="Calibri"/>
          <w:sz w:val="16"/>
        </w:rPr>
      </w:pPr>
      <w:r>
        <w:rPr>
          <w:rFonts w:ascii="Calibri"/>
          <w:spacing w:val="-7"/>
          <w:sz w:val="16"/>
        </w:rPr>
        <w:t>20</w:t>
      </w:r>
    </w:p>
    <w:p>
      <w:pPr>
        <w:spacing w:before="80"/>
        <w:ind w:left="1587" w:right="0" w:firstLine="0"/>
        <w:jc w:val="left"/>
        <w:rPr>
          <w:rFonts w:ascii="Calibri"/>
          <w:sz w:val="16"/>
        </w:rPr>
      </w:pPr>
      <w:r>
        <w:rPr>
          <w:rFonts w:ascii="Calibri"/>
          <w:spacing w:val="-7"/>
          <w:sz w:val="16"/>
        </w:rPr>
        <w:t>10</w:t>
      </w:r>
    </w:p>
    <w:p>
      <w:pPr>
        <w:spacing w:before="79"/>
        <w:ind w:left="1666" w:right="0" w:firstLine="0"/>
        <w:jc w:val="left"/>
        <w:rPr>
          <w:rFonts w:ascii="Calibri"/>
          <w:sz w:val="16"/>
        </w:rPr>
      </w:pPr>
      <w:r>
        <w:rPr>
          <w:rFonts w:ascii="Calibri"/>
          <w:w w:val="99"/>
          <w:sz w:val="16"/>
        </w:rPr>
        <w:t>0</w:t>
      </w:r>
    </w:p>
    <w:p>
      <w:pPr>
        <w:spacing w:before="7"/>
        <w:ind w:left="1672" w:right="0" w:firstLine="0"/>
        <w:jc w:val="left"/>
        <w:rPr>
          <w:rFonts w:ascii="Calibri"/>
          <w:sz w:val="16"/>
        </w:rPr>
      </w:pPr>
      <w:r>
        <w:rPr>
          <w:rFonts w:ascii="Calibri"/>
          <w:spacing w:val="-4"/>
          <w:sz w:val="16"/>
        </w:rPr>
        <w:t>30,000</w:t>
      </w:r>
    </w:p>
    <w:p>
      <w:pPr>
        <w:pStyle w:val="BodyText"/>
        <w:rPr>
          <w:rFonts w:ascii="Calibri"/>
          <w:sz w:val="16"/>
        </w:rPr>
      </w:pPr>
      <w:r>
        <w:rPr/>
        <w:br w:type="column"/>
      </w:r>
      <w:r>
        <w:rPr>
          <w:rFonts w:ascii="Calibri"/>
          <w:sz w:val="16"/>
        </w:rPr>
      </w: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spacing w:before="3"/>
        <w:rPr>
          <w:rFonts w:ascii="Calibri"/>
          <w:sz w:val="23"/>
        </w:rPr>
      </w:pPr>
    </w:p>
    <w:p>
      <w:pPr>
        <w:spacing w:before="0"/>
        <w:ind w:left="255" w:right="0" w:firstLine="0"/>
        <w:jc w:val="left"/>
        <w:rPr>
          <w:rFonts w:ascii="Calibri"/>
          <w:sz w:val="16"/>
        </w:rPr>
      </w:pPr>
      <w:r>
        <w:rPr>
          <w:rFonts w:ascii="Calibri"/>
          <w:spacing w:val="-4"/>
          <w:sz w:val="16"/>
        </w:rPr>
        <w:t>20,000</w:t>
      </w:r>
    </w:p>
    <w:p>
      <w:pPr>
        <w:pStyle w:val="BodyText"/>
        <w:rPr>
          <w:rFonts w:ascii="Calibri"/>
          <w:sz w:val="16"/>
        </w:rPr>
      </w:pPr>
      <w:r>
        <w:rPr/>
        <w:br w:type="column"/>
      </w:r>
      <w:r>
        <w:rPr>
          <w:rFonts w:ascii="Calibri"/>
          <w:sz w:val="16"/>
        </w:rPr>
      </w: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spacing w:before="3"/>
        <w:rPr>
          <w:rFonts w:ascii="Calibri"/>
          <w:sz w:val="23"/>
        </w:rPr>
      </w:pPr>
    </w:p>
    <w:p>
      <w:pPr>
        <w:spacing w:before="0"/>
        <w:ind w:left="255" w:right="0" w:firstLine="0"/>
        <w:jc w:val="left"/>
        <w:rPr>
          <w:rFonts w:ascii="Calibri"/>
          <w:sz w:val="16"/>
        </w:rPr>
      </w:pPr>
      <w:r>
        <w:rPr>
          <w:rFonts w:ascii="Calibri"/>
          <w:spacing w:val="-4"/>
          <w:sz w:val="16"/>
        </w:rPr>
        <w:t>10,000</w:t>
      </w:r>
    </w:p>
    <w:p>
      <w:pPr>
        <w:pStyle w:val="BodyText"/>
        <w:rPr>
          <w:rFonts w:ascii="Calibri"/>
          <w:sz w:val="16"/>
        </w:rPr>
      </w:pPr>
      <w:r>
        <w:rPr/>
        <w:br w:type="column"/>
      </w:r>
      <w:r>
        <w:rPr>
          <w:rFonts w:ascii="Calibri"/>
          <w:sz w:val="16"/>
        </w:rPr>
      </w: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spacing w:before="3"/>
        <w:rPr>
          <w:rFonts w:ascii="Calibri"/>
          <w:sz w:val="23"/>
        </w:rPr>
      </w:pPr>
    </w:p>
    <w:p>
      <w:pPr>
        <w:tabs>
          <w:tab w:pos="976" w:val="left" w:leader="none"/>
        </w:tabs>
        <w:spacing w:before="0"/>
        <w:ind w:left="433" w:right="0" w:firstLine="0"/>
        <w:jc w:val="left"/>
        <w:rPr>
          <w:rFonts w:ascii="Calibri"/>
          <w:sz w:val="16"/>
        </w:rPr>
      </w:pPr>
      <w:r>
        <w:rPr>
          <w:rFonts w:ascii="Calibri"/>
          <w:sz w:val="16"/>
        </w:rPr>
        <w:t>0</w:t>
        <w:tab/>
      </w:r>
      <w:r>
        <w:rPr>
          <w:rFonts w:ascii="Calibri"/>
          <w:spacing w:val="-7"/>
          <w:sz w:val="16"/>
        </w:rPr>
        <w:t>10,000</w:t>
      </w:r>
    </w:p>
    <w:p>
      <w:pPr>
        <w:pStyle w:val="BodyText"/>
        <w:rPr>
          <w:rFonts w:ascii="Calibri"/>
          <w:sz w:val="16"/>
        </w:rPr>
      </w:pPr>
      <w:r>
        <w:rPr/>
        <w:br w:type="column"/>
      </w:r>
      <w:r>
        <w:rPr>
          <w:rFonts w:ascii="Calibri"/>
          <w:sz w:val="16"/>
        </w:rPr>
      </w: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spacing w:before="3"/>
        <w:rPr>
          <w:rFonts w:ascii="Calibri"/>
          <w:sz w:val="23"/>
        </w:rPr>
      </w:pPr>
    </w:p>
    <w:p>
      <w:pPr>
        <w:spacing w:before="0"/>
        <w:ind w:left="255" w:right="0" w:firstLine="0"/>
        <w:jc w:val="left"/>
        <w:rPr>
          <w:rFonts w:ascii="Calibri"/>
          <w:sz w:val="16"/>
        </w:rPr>
      </w:pPr>
      <w:r>
        <w:rPr>
          <w:rFonts w:ascii="Calibri"/>
          <w:spacing w:val="-4"/>
          <w:sz w:val="16"/>
        </w:rPr>
        <w:t>20,000</w:t>
      </w:r>
    </w:p>
    <w:p>
      <w:pPr>
        <w:pStyle w:val="BodyText"/>
        <w:rPr>
          <w:rFonts w:ascii="Calibri"/>
          <w:sz w:val="16"/>
        </w:rPr>
      </w:pPr>
      <w:r>
        <w:rPr/>
        <w:br w:type="column"/>
      </w:r>
      <w:r>
        <w:rPr>
          <w:rFonts w:ascii="Calibri"/>
          <w:sz w:val="16"/>
        </w:rPr>
      </w: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spacing w:before="3"/>
        <w:rPr>
          <w:rFonts w:ascii="Calibri"/>
          <w:sz w:val="23"/>
        </w:rPr>
      </w:pPr>
    </w:p>
    <w:p>
      <w:pPr>
        <w:spacing w:before="0"/>
        <w:ind w:left="255" w:right="0" w:firstLine="0"/>
        <w:jc w:val="left"/>
        <w:rPr>
          <w:rFonts w:ascii="Calibri"/>
          <w:sz w:val="16"/>
        </w:rPr>
      </w:pPr>
      <w:r>
        <w:rPr>
          <w:rFonts w:ascii="Calibri"/>
          <w:spacing w:val="-4"/>
          <w:sz w:val="16"/>
        </w:rPr>
        <w:t>30,000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6"/>
        <w:rPr>
          <w:rFonts w:ascii="Calibri"/>
          <w:sz w:val="11"/>
        </w:rPr>
      </w:pPr>
    </w:p>
    <w:p>
      <w:pPr>
        <w:spacing w:before="0"/>
        <w:ind w:left="1092" w:right="0" w:firstLine="0"/>
        <w:jc w:val="left"/>
        <w:rPr>
          <w:rFonts w:ascii="Calibri"/>
          <w:sz w:val="14"/>
        </w:rPr>
      </w:pPr>
      <w:r>
        <w:rPr>
          <w:rFonts w:ascii="Calibri"/>
          <w:sz w:val="14"/>
        </w:rPr>
        <w:t>ABSTUDY</w:t>
      </w:r>
    </w:p>
    <w:p>
      <w:pPr>
        <w:spacing w:before="73"/>
        <w:ind w:left="1092" w:right="0" w:firstLine="0"/>
        <w:jc w:val="left"/>
        <w:rPr>
          <w:rFonts w:ascii="Calibri"/>
          <w:sz w:val="14"/>
        </w:rPr>
      </w:pPr>
      <w:r>
        <w:rPr/>
        <w:pict>
          <v:rect style="position:absolute;margin-left:378.209564pt;margin-top:-5.842069pt;width:3.875586pt;height:3.922276pt;mso-position-horizontal-relative:page;mso-position-vertical-relative:paragraph;z-index:252119040" filled="true" fillcolor="#16375e" stroked="false">
            <v:fill type="solid"/>
            <w10:wrap type="none"/>
          </v:rect>
        </w:pict>
      </w:r>
      <w:r>
        <w:rPr/>
        <w:pict>
          <v:rect style="position:absolute;margin-left:378.209564pt;margin-top:6.352793pt;width:3.875586pt;height:3.922276pt;mso-position-horizontal-relative:page;mso-position-vertical-relative:paragraph;z-index:252120064" filled="true" fillcolor="#b7dee8" stroked="false">
            <v:fill type="solid"/>
            <w10:wrap type="none"/>
          </v:rect>
        </w:pict>
      </w:r>
      <w:r>
        <w:rPr>
          <w:rFonts w:ascii="Calibri"/>
          <w:sz w:val="14"/>
        </w:rPr>
        <w:t>Austudy</w:t>
      </w:r>
    </w:p>
    <w:p>
      <w:pPr>
        <w:spacing w:before="72"/>
        <w:ind w:left="1092" w:right="0" w:firstLine="0"/>
        <w:jc w:val="left"/>
        <w:rPr>
          <w:rFonts w:ascii="Calibri"/>
          <w:sz w:val="14"/>
        </w:rPr>
      </w:pPr>
      <w:r>
        <w:rPr/>
        <w:pict>
          <v:rect style="position:absolute;margin-left:378.209564pt;margin-top:6.243916pt;width:3.875586pt;height:3.922276pt;mso-position-horizontal-relative:page;mso-position-vertical-relative:paragraph;z-index:252121088" filled="true" fillcolor="#00afef" stroked="false">
            <v:fill type="solid"/>
            <w10:wrap type="none"/>
          </v:rect>
        </w:pict>
      </w:r>
      <w:r>
        <w:rPr>
          <w:rFonts w:ascii="Calibri"/>
          <w:sz w:val="14"/>
        </w:rPr>
        <w:t>Youth Allowance (Studying)</w:t>
      </w:r>
    </w:p>
    <w:p>
      <w:pPr>
        <w:spacing w:after="0"/>
        <w:jc w:val="left"/>
        <w:rPr>
          <w:rFonts w:ascii="Calibri"/>
          <w:sz w:val="14"/>
        </w:rPr>
        <w:sectPr>
          <w:type w:val="continuous"/>
          <w:pgSz w:w="11910" w:h="16850"/>
          <w:pgMar w:top="1600" w:bottom="280" w:left="120" w:right="0"/>
          <w:cols w:num="7" w:equalWidth="0">
            <w:col w:w="2099" w:space="40"/>
            <w:col w:w="681" w:space="39"/>
            <w:col w:w="681" w:space="40"/>
            <w:col w:w="1402" w:space="39"/>
            <w:col w:w="681" w:space="40"/>
            <w:col w:w="681" w:space="40"/>
            <w:col w:w="5327"/>
          </w:cols>
        </w:sectPr>
      </w:pPr>
    </w:p>
    <w:p>
      <w:pPr>
        <w:spacing w:before="38"/>
        <w:ind w:left="2621" w:right="0" w:firstLine="0"/>
        <w:jc w:val="left"/>
        <w:rPr>
          <w:rFonts w:ascii="Calibri"/>
          <w:b/>
          <w:sz w:val="17"/>
        </w:rPr>
      </w:pPr>
      <w:r>
        <w:rPr>
          <w:rFonts w:ascii="Calibri"/>
          <w:b/>
          <w:sz w:val="17"/>
        </w:rPr>
        <w:t>People in Class by Age at Valuation Date</w:t>
      </w:r>
    </w:p>
    <w:p>
      <w:pPr>
        <w:pStyle w:val="BodyText"/>
        <w:spacing w:before="6"/>
        <w:rPr>
          <w:rFonts w:ascii="Calibri"/>
          <w:b/>
          <w:sz w:val="23"/>
        </w:rPr>
      </w:pPr>
    </w:p>
    <w:p>
      <w:pPr>
        <w:pStyle w:val="BodyText"/>
        <w:spacing w:before="93"/>
        <w:ind w:left="900" w:right="1236"/>
        <w:jc w:val="both"/>
      </w:pPr>
      <w:r>
        <w:rPr>
          <w:color w:val="404040"/>
        </w:rPr>
        <w:t>From the chart, we can see that there are a mix of both men and women, albeit with more women at younger ages. The people in the class are mostly in the age range 15 to 30, although there are some people receiving these payments at most ages through to retirement age.</w:t>
      </w:r>
    </w:p>
    <w:p>
      <w:pPr>
        <w:pStyle w:val="BodyText"/>
        <w:spacing w:before="121"/>
        <w:ind w:left="899" w:right="1177"/>
        <w:jc w:val="both"/>
      </w:pPr>
      <w:r>
        <w:rPr>
          <w:color w:val="404040"/>
        </w:rPr>
        <w:t>The vast majority of people in the Studying class are on Youth Allowance (if aged up to 24) or Austudy (if over 24 years old). There are a small number of Indigenous Australians on ABSTUDY across all ages.</w:t>
      </w:r>
    </w:p>
    <w:p>
      <w:pPr>
        <w:pStyle w:val="BodyText"/>
        <w:spacing w:before="9"/>
      </w:pPr>
    </w:p>
    <w:p>
      <w:pPr>
        <w:pStyle w:val="Heading6"/>
        <w:rPr>
          <w:i/>
        </w:rPr>
      </w:pPr>
      <w:r>
        <w:rPr>
          <w:i/>
          <w:color w:val="DF2F1E"/>
        </w:rPr>
        <w:t>Movements into and out of this class</w:t>
      </w:r>
    </w:p>
    <w:p>
      <w:pPr>
        <w:pStyle w:val="BodyText"/>
        <w:spacing w:before="121"/>
        <w:ind w:left="899" w:right="1331"/>
      </w:pPr>
      <w:r>
        <w:rPr>
          <w:color w:val="404040"/>
        </w:rPr>
        <w:t>Over the last three years, an average of 135,500 people (around 36% of the people in this class) per annum enter this class from another welfare class or from outside the welfare system. Over this same period, an average of 147,800 people (around 39% of people in this class) per annum have transitioned out of the Studying class.</w:t>
      </w:r>
    </w:p>
    <w:p>
      <w:pPr>
        <w:pStyle w:val="BodyText"/>
        <w:spacing w:before="119"/>
        <w:ind w:left="900" w:right="1687"/>
      </w:pPr>
      <w:r>
        <w:rPr>
          <w:color w:val="404040"/>
        </w:rPr>
        <w:t>The following chart shows the breakdown of these transitions by previous / destination class and year of transition. This is shown for both the last five years, and also the first five years of the projection.</w:t>
      </w:r>
    </w:p>
    <w:p>
      <w:pPr>
        <w:pStyle w:val="Heading9"/>
        <w:spacing w:before="176"/>
        <w:ind w:left="899"/>
      </w:pPr>
      <w:r>
        <w:rPr>
          <w:color w:val="DF2F1E"/>
        </w:rPr>
        <w:t>Figure 43: Number of people entering class 1 – Studying (by class entered from)</w:t>
      </w:r>
    </w:p>
    <w:p>
      <w:pPr>
        <w:spacing w:before="63"/>
        <w:ind w:left="0" w:right="10083" w:firstLine="0"/>
        <w:jc w:val="right"/>
        <w:rPr>
          <w:rFonts w:ascii="Calibri"/>
          <w:sz w:val="16"/>
        </w:rPr>
      </w:pPr>
      <w:r>
        <w:rPr/>
        <w:pict>
          <v:group style="position:absolute;margin-left:98.294228pt;margin-top:8.165303pt;width:412.55pt;height:143.8pt;mso-position-horizontal-relative:page;mso-position-vertical-relative:paragraph;z-index:252133376" coordorigin="1966,163" coordsize="8251,2876">
            <v:shape style="position:absolute;left:1971;top:2156;width:8240;height:2" coordorigin="1972,2157" coordsize="8240,0" path="m9963,2157l10211,2157m9138,2157l9633,2157m8313,2157l8808,2157m7488,2157l7983,2157m6663,2157l7158,2157m5838,2157l6333,2157m5025,2157l5520,2157m4200,2157l4695,2157m3374,2157l3870,2157m2549,2157l3044,2157m1972,2157l2219,2157e" filled="false" stroked="true" strokeweight=".588049pt" strokecolor="#d9d9d9">
              <v:path arrowok="t"/>
              <v:stroke dashstyle="solid"/>
            </v:shape>
            <v:shape style="position:absolute;left:2219;top:2015;width:7745;height:389" coordorigin="2219,2016" coordsize="7745,389" path="m2549,2027l2219,2027,2219,2404,2549,2404,2549,2027m3374,2016l3044,2016,3044,2404,3374,2404,3374,2016m4200,2016l3870,2016,3870,2404,4200,2404,4200,2016m5025,2086l4695,2086,4695,2404,5025,2404,5025,2086m5838,2110l5520,2110,5520,2404,5838,2404,5838,2110m6663,2110l6333,2110,6333,2404,6663,2404,6663,2110m7488,2122l7158,2122,7158,2404,7488,2404,7488,2122m8313,2122l7983,2122,7983,2404,8313,2404,8313,2122m9138,2133l8808,2133,8808,2404,9138,2404,9138,2133m9963,2133l9633,2133,9633,2404,9963,2404,9963,2133e" filled="true" fillcolor="#009544" stroked="false">
              <v:path arrowok="t"/>
              <v:fill type="solid"/>
            </v:shape>
            <v:line style="position:absolute" from="2219,2022" to="2549,2022" stroked="true" strokeweight=".588047pt" strokecolor="#e16b09">
              <v:stroke dashstyle="solid"/>
            </v:line>
            <v:shape style="position:absolute;left:3044;top:2009;width:1156;height:2" coordorigin="3044,2010" coordsize="1156,0" path="m3044,2010l3374,2010m3870,2010l4200,2010e" filled="false" stroked="true" strokeweight=".588047pt" strokecolor="#e16b09">
              <v:path arrowok="t"/>
              <v:stroke dashstyle="solid"/>
            </v:shape>
            <v:rect style="position:absolute;left:4694;top:2062;width:331;height:24" filled="true" fillcolor="#e16b09" stroked="false">
              <v:fill type="solid"/>
            </v:rect>
            <v:line style="position:absolute" from="5520,2104" to="5838,2104" stroked="true" strokeweight=".588047pt" strokecolor="#e16b09">
              <v:stroke dashstyle="solid"/>
            </v:line>
            <v:rect style="position:absolute;left:6333;top:2086;width:331;height:24" filled="true" fillcolor="#e16b09" stroked="false">
              <v:fill type="solid"/>
            </v:rect>
            <v:shape style="position:absolute;left:7158;top:2115;width:1156;height:2" coordorigin="7158,2116" coordsize="1156,0" path="m7158,2116l7488,2116m7983,2116l8313,2116e" filled="false" stroked="true" strokeweight=".588047pt" strokecolor="#e16b09">
              <v:path arrowok="t"/>
              <v:stroke dashstyle="solid"/>
            </v:shape>
            <v:rect style="position:absolute;left:8808;top:2109;width:331;height:24" filled="true" fillcolor="#e16b09" stroked="false">
              <v:fill type="solid"/>
            </v:rect>
            <v:line style="position:absolute" from="9633,2127" to="9963,2127" stroked="true" strokeweight=".588047pt" strokecolor="#e16b09">
              <v:stroke dashstyle="solid"/>
            </v:line>
            <v:line style="position:absolute" from="2219,2010" to="2549,2010" stroked="true" strokeweight=".588047pt" strokecolor="#e08ad6">
              <v:stroke dashstyle="solid"/>
            </v:line>
            <v:shape style="position:absolute;left:3044;top:1998;width:1156;height:2" coordorigin="3044,1998" coordsize="1156,0" path="m3044,1998l3374,1998m3870,1998l4200,1998e" filled="false" stroked="true" strokeweight=".588047pt" strokecolor="#e08ad6">
              <v:path arrowok="t"/>
              <v:stroke dashstyle="solid"/>
            </v:shape>
            <v:shape style="position:absolute;left:4694;top:2056;width:4444;height:48" coordorigin="4695,2057" coordsize="4444,48" path="m4695,2057l5025,2057m5520,2092l5838,2092m6333,2080l6663,2080m7158,2104l7488,2104m7983,2104l8313,2104m8808,2104l9138,2104e" filled="false" stroked="true" strokeweight=".588047pt" strokecolor="#e08ad6">
              <v:path arrowok="t"/>
              <v:stroke dashstyle="solid"/>
            </v:shape>
            <v:line style="position:absolute" from="9633,2116" to="9963,2116" stroked="true" strokeweight=".588047pt" strokecolor="#e08ad6">
              <v:stroke dashstyle="solid"/>
            </v:line>
            <v:line style="position:absolute" from="2219,1998" to="2549,1998" stroked="true" strokeweight=".588051pt" strokecolor="#8063a1">
              <v:stroke dashstyle="solid"/>
            </v:line>
            <v:shape style="position:absolute;left:2549;top:1909;width:1321;height:2" coordorigin="2549,1910" coordsize="1321,0" path="m3374,1910l3870,1910m2549,1910l3044,1910e" filled="false" stroked="true" strokeweight=".588049pt" strokecolor="#d9d9d9">
              <v:path arrowok="t"/>
              <v:stroke dashstyle="solid"/>
            </v:shape>
            <v:line style="position:absolute" from="3044,1986" to="3374,1986" stroked="true" strokeweight=".588051pt" strokecolor="#8063a1">
              <v:stroke dashstyle="solid"/>
            </v:line>
            <v:line style="position:absolute" from="4200,1910" to="4695,1910" stroked="true" strokeweight=".588049pt" strokecolor="#d9d9d9">
              <v:stroke dashstyle="solid"/>
            </v:line>
            <v:line style="position:absolute" from="3870,1986" to="4200,1986" stroked="true" strokeweight=".588051pt" strokecolor="#8063a1">
              <v:stroke dashstyle="solid"/>
            </v:line>
            <v:line style="position:absolute" from="4695,2057" to="5025,2057" stroked="true" strokeweight=".588057pt" strokecolor="#8063a1">
              <v:stroke dashstyle="solid"/>
            </v:line>
            <v:line style="position:absolute" from="5520,2080" to="5838,2080" stroked="true" strokeweight=".588051pt" strokecolor="#8063a1">
              <v:stroke dashstyle="solid"/>
            </v:line>
            <v:line style="position:absolute" from="2219,1998" to="2549,1998" stroked="true" strokeweight=".588041pt" strokecolor="#c0504d">
              <v:stroke dashstyle="solid"/>
            </v:line>
            <v:line style="position:absolute" from="3044,1986" to="3374,1986" stroked="true" strokeweight=".588041pt" strokecolor="#c0504d">
              <v:stroke dashstyle="solid"/>
            </v:line>
            <v:shape style="position:absolute;left:4694;top:2056;width:2794;height:36" coordorigin="4695,2057" coordsize="2794,36" path="m4695,2057l5025,2057m6333,2080l6663,2080m7158,2092l7488,2092e" filled="false" stroked="true" strokeweight=".588041pt" strokecolor="#c0504d">
              <v:path arrowok="t"/>
              <v:stroke dashstyle="solid"/>
            </v:shape>
            <v:line style="position:absolute" from="1972,1910" to="2219,1910" stroked="true" strokeweight=".588049pt" strokecolor="#d9d9d9">
              <v:stroke dashstyle="solid"/>
            </v:line>
            <v:shape style="position:absolute;left:2219;top:1980;width:1981;height:12" coordorigin="2219,1980" coordsize="1981,12" path="m2219,1992l2549,1992m3044,1980l3374,1980m3870,1980l4200,1980e" filled="false" stroked="true" strokeweight="1.176094pt" strokecolor="#f8a763">
              <v:path arrowok="t"/>
              <v:stroke dashstyle="solid"/>
            </v:shape>
            <v:rect style="position:absolute;left:4694;top:2039;width:331;height:24" filled="true" fillcolor="#f8a763" stroked="false">
              <v:fill type="solid"/>
            </v:rect>
            <v:line style="position:absolute" from="5520,2080" to="5838,2080" stroked="true" strokeweight=".588047pt" strokecolor="#f8a763">
              <v:stroke dashstyle="solid"/>
            </v:line>
            <v:rect style="position:absolute;left:6333;top:2062;width:331;height:24" filled="true" fillcolor="#f8a763" stroked="false">
              <v:fill type="solid"/>
            </v:rect>
            <v:line style="position:absolute" from="7158,2086" to="7488,2086" stroked="true" strokeweight="1.176094pt" strokecolor="#f8a763">
              <v:stroke dashstyle="solid"/>
            </v:line>
            <v:shape style="position:absolute;left:7983;top:2092;width:1981;height:12" coordorigin="7983,2092" coordsize="1981,12" path="m7983,2092l8313,2092m8808,2092l9138,2092m9633,2104l9963,2104e" filled="false" stroked="true" strokeweight=".588047pt" strokecolor="#f8a763">
              <v:path arrowok="t"/>
              <v:stroke dashstyle="solid"/>
            </v:shape>
            <v:shape style="position:absolute;left:2219;top:1962;width:1981;height:12" coordorigin="2219,1963" coordsize="1981,12" path="m2219,1974l2549,1974m3044,1963l3374,1963m3870,1963l4200,1963e" filled="false" stroked="true" strokeweight=".588047pt" strokecolor="#ecb8e7">
              <v:path arrowok="t"/>
              <v:stroke dashstyle="solid"/>
            </v:shape>
            <v:shape style="position:absolute;left:4694;top:2033;width:1144;height:36" coordorigin="4695,2033" coordsize="1144,36" path="m4695,2033l5025,2033m5520,2069l5838,2069e" filled="false" stroked="true" strokeweight=".588047pt" strokecolor="#ecb8e7">
              <v:path arrowok="t"/>
              <v:stroke dashstyle="solid"/>
            </v:shape>
            <v:line style="position:absolute" from="6333,2057" to="6663,2057" stroked="true" strokeweight=".588047pt" strokecolor="#ecb8e7">
              <v:stroke dashstyle="solid"/>
            </v:line>
            <v:line style="position:absolute" from="7158,2069" to="7488,2069" stroked="true" strokeweight=".588047pt" strokecolor="#ecb8e7">
              <v:stroke dashstyle="solid"/>
            </v:line>
            <v:shape style="position:absolute;left:7983;top:2080;width:1981;height:12" coordorigin="7983,2080" coordsize="1981,12" path="m7983,2080l8313,2080m8808,2080l9138,2080m9633,2092l9963,2092e" filled="false" stroked="true" strokeweight=".588047pt" strokecolor="#ecb8e7">
              <v:path arrowok="t"/>
              <v:stroke dashstyle="solid"/>
            </v:shape>
            <v:shape style="position:absolute;left:2219;top:1933;width:7745;height:153" coordorigin="2219,1933" coordsize="7745,153" path="m2549,1945l2219,1945,2219,1980,2549,1980,2549,1945m3374,1933l3044,1933,3044,1969,3374,1969,3374,1933m4200,1933l3870,1933,3870,1969,4200,1969,4200,1933m5025,2004l4695,2004,4695,2039,5025,2039,5025,2004m5838,2039l5520,2039,5520,2063,5838,2063,5838,2039m6663,2039l6333,2039,6333,2063,6663,2063,6663,2039m7488,2051l7158,2051,7158,2074,7488,2074,7488,2051m8313,2051l7983,2051,7983,2074,8313,2074,8313,2051m9138,2051l8808,2051,8808,2086,9138,2086,9138,2051m9963,2063l9633,2063,9633,2086,9963,2086,9963,2063e" filled="true" fillcolor="#938953" stroked="false">
              <v:path arrowok="t"/>
              <v:fill type="solid"/>
            </v:shape>
            <v:shape style="position:absolute;left:1971;top:1662;width:1073;height:2" coordorigin="1972,1663" coordsize="1073,0" path="m2549,1663l3044,1663m1972,1663l2219,1663e" filled="false" stroked="true" strokeweight=".588049pt" strokecolor="#d9d9d9">
              <v:path arrowok="t"/>
              <v:stroke dashstyle="solid"/>
            </v:shape>
            <v:rect style="position:absolute;left:2219;top:1639;width:331;height:306" filled="true" fillcolor="#ffd600" stroked="false">
              <v:fill type="solid"/>
            </v:rect>
            <v:line style="position:absolute" from="3374,1663" to="3870,1663" stroked="true" strokeweight=".588049pt" strokecolor="#d9d9d9">
              <v:stroke dashstyle="solid"/>
            </v:line>
            <v:rect style="position:absolute;left:3044;top:1698;width:331;height:236" filled="true" fillcolor="#ffd600" stroked="false">
              <v:fill type="solid"/>
            </v:rect>
            <v:line style="position:absolute" from="4200,1663" to="4695,1663" stroked="true" strokeweight=".588049pt" strokecolor="#d9d9d9">
              <v:stroke dashstyle="solid"/>
            </v:line>
            <v:rect style="position:absolute;left:3869;top:1709;width:331;height:224" filled="true" fillcolor="#ffd600" stroked="false">
              <v:fill type="solid"/>
            </v:rect>
            <v:line style="position:absolute" from="5025,1910" to="5520,1910" stroked="true" strokeweight=".588049pt" strokecolor="#d9d9d9">
              <v:stroke dashstyle="solid"/>
            </v:line>
            <v:rect style="position:absolute;left:4694;top:1803;width:331;height:200" filled="true" fillcolor="#ffd600" stroked="false">
              <v:fill type="solid"/>
            </v:rect>
            <v:line style="position:absolute" from="5838,1910" to="6333,1910" stroked="true" strokeweight=".588049pt" strokecolor="#d9d9d9">
              <v:stroke dashstyle="solid"/>
            </v:line>
            <v:rect style="position:absolute;left:5519;top:1839;width:319;height:200" filled="true" fillcolor="#ffd600" stroked="false">
              <v:fill type="solid"/>
            </v:rect>
            <v:line style="position:absolute" from="6663,1910" to="7158,1910" stroked="true" strokeweight=".588049pt" strokecolor="#d9d9d9">
              <v:stroke dashstyle="solid"/>
            </v:line>
            <v:rect style="position:absolute;left:6333;top:1827;width:331;height:212" filled="true" fillcolor="#ffd600" stroked="false">
              <v:fill type="solid"/>
            </v:rect>
            <v:line style="position:absolute" from="7488,1910" to="7983,1910" stroked="true" strokeweight=".588049pt" strokecolor="#d9d9d9">
              <v:stroke dashstyle="solid"/>
            </v:line>
            <v:rect style="position:absolute;left:7158;top:1839;width:331;height:212" filled="true" fillcolor="#ffd600" stroked="false">
              <v:fill type="solid"/>
            </v:rect>
            <v:line style="position:absolute" from="8313,1910" to="8808,1910" stroked="true" strokeweight=".588049pt" strokecolor="#d9d9d9">
              <v:stroke dashstyle="solid"/>
            </v:line>
            <v:rect style="position:absolute;left:7983;top:1851;width:331;height:200" filled="true" fillcolor="#ffd600" stroked="false">
              <v:fill type="solid"/>
            </v:rect>
            <v:line style="position:absolute" from="9138,1910" to="9633,1910" stroked="true" strokeweight=".588049pt" strokecolor="#d9d9d9">
              <v:stroke dashstyle="solid"/>
            </v:line>
            <v:rect style="position:absolute;left:8808;top:1851;width:331;height:200" filled="true" fillcolor="#ffd600" stroked="false">
              <v:fill type="solid"/>
            </v:rect>
            <v:line style="position:absolute" from="9963,1910" to="10211,1910" stroked="true" strokeweight=".588049pt" strokecolor="#d9d9d9">
              <v:stroke dashstyle="solid"/>
            </v:line>
            <v:rect style="position:absolute;left:9633;top:1874;width:331;height:189" filled="true" fillcolor="#ffd600" stroked="false">
              <v:fill type="solid"/>
            </v:rect>
            <v:shape style="position:absolute;left:1971;top:674;width:1073;height:741" coordorigin="1972,675" coordsize="1073,741" path="m2549,1416l3044,1416m1972,1416l2219,1416m2549,1169l3044,1169m1972,1169l2219,1169m2549,922l3044,922m1972,922l2219,922m2549,675l3044,675m1972,675l2219,675e" filled="false" stroked="true" strokeweight=".588049pt" strokecolor="#d9d9d9">
              <v:path arrowok="t"/>
              <v:stroke dashstyle="solid"/>
            </v:shape>
            <v:rect style="position:absolute;left:2219;top:604;width:331;height:1035" filled="true" fillcolor="#ffeb8f" stroked="false">
              <v:fill type="solid"/>
            </v:rect>
            <v:shape style="position:absolute;left:3374;top:674;width:496;height:741" coordorigin="3374,675" coordsize="496,741" path="m3374,1416l3870,1416m3374,1169l3870,1169m3374,922l3870,922m3374,675l3870,675e" filled="false" stroked="true" strokeweight=".588049pt" strokecolor="#d9d9d9">
              <v:path arrowok="t"/>
              <v:stroke dashstyle="solid"/>
            </v:shape>
            <v:rect style="position:absolute;left:3044;top:569;width:331;height:1130" filled="true" fillcolor="#ffeb8f" stroked="false">
              <v:fill type="solid"/>
            </v:rect>
            <v:shape style="position:absolute;left:4199;top:674;width:6012;height:741" coordorigin="4200,675" coordsize="6012,741" path="m4200,1416l4695,1416m4200,1169l4695,1169m4200,922l4695,922m4200,675l10211,675e" filled="false" stroked="true" strokeweight=".588049pt" strokecolor="#d9d9d9">
              <v:path arrowok="t"/>
              <v:stroke dashstyle="solid"/>
            </v:shape>
            <v:rect style="position:absolute;left:3869;top:604;width:331;height:1106" filled="true" fillcolor="#ffeb8f" stroked="false">
              <v:fill type="solid"/>
            </v:rect>
            <v:shape style="position:absolute;left:5024;top:921;width:496;height:741" coordorigin="5025,922" coordsize="496,741" path="m5025,1663l5520,1663m5025,1416l5520,1416m5025,1169l5520,1169m5025,922l5520,922e" filled="false" stroked="true" strokeweight=".588049pt" strokecolor="#d9d9d9">
              <v:path arrowok="t"/>
              <v:stroke dashstyle="solid"/>
            </v:shape>
            <v:rect style="position:absolute;left:4694;top:745;width:331;height:1059" filled="true" fillcolor="#ffeb8f" stroked="false">
              <v:fill type="solid"/>
            </v:rect>
            <v:shape style="position:absolute;left:5837;top:921;width:496;height:741" coordorigin="5838,922" coordsize="496,741" path="m5838,1663l6333,1663m5838,1416l6333,1416m5838,1169l6333,1169m5838,922l6333,922e" filled="false" stroked="true" strokeweight=".588049pt" strokecolor="#d9d9d9">
              <v:path arrowok="t"/>
              <v:stroke dashstyle="solid"/>
            </v:shape>
            <v:rect style="position:absolute;left:5519;top:827;width:319;height:1012" filled="true" fillcolor="#ffeb8f" stroked="false">
              <v:fill type="solid"/>
            </v:rect>
            <v:shape style="position:absolute;left:6663;top:921;width:496;height:741" coordorigin="6663,922" coordsize="496,741" path="m6663,1663l7158,1663m6663,1416l7158,1416m6663,1169l7158,1169m6663,922l7158,922e" filled="false" stroked="true" strokeweight=".588049pt" strokecolor="#d9d9d9">
              <v:path arrowok="t"/>
              <v:stroke dashstyle="solid"/>
            </v:shape>
            <v:rect style="position:absolute;left:6333;top:804;width:331;height:1024" filled="true" fillcolor="#ffeb8f" stroked="false">
              <v:fill type="solid"/>
            </v:rect>
            <v:shape style="position:absolute;left:7488;top:921;width:496;height:741" coordorigin="7488,922" coordsize="496,741" path="m7488,1663l7983,1663m7488,1416l7983,1416m7488,1169l7983,1169m7488,922l7983,922e" filled="false" stroked="true" strokeweight=".588049pt" strokecolor="#d9d9d9">
              <v:path arrowok="t"/>
              <v:stroke dashstyle="solid"/>
            </v:shape>
            <v:rect style="position:absolute;left:7158;top:839;width:331;height:1000" filled="true" fillcolor="#ffeb8f" stroked="false">
              <v:fill type="solid"/>
            </v:rect>
            <v:shape style="position:absolute;left:8313;top:921;width:496;height:741" coordorigin="8313,922" coordsize="496,741" path="m8313,1663l8808,1663m8313,1416l8808,1416m8313,1169l8808,1169m8313,922l8808,922e" filled="false" stroked="true" strokeweight=".588049pt" strokecolor="#d9d9d9">
              <v:path arrowok="t"/>
              <v:stroke dashstyle="solid"/>
            </v:shape>
            <v:rect style="position:absolute;left:7983;top:827;width:331;height:1024" filled="true" fillcolor="#ffeb8f" stroked="false">
              <v:fill type="solid"/>
            </v:rect>
            <v:shape style="position:absolute;left:9138;top:921;width:496;height:741" coordorigin="9138,922" coordsize="496,741" path="m9138,1663l9633,1663m9138,1416l9633,1416m9138,1169l9633,1169m9138,922l9633,922e" filled="false" stroked="true" strokeweight=".588049pt" strokecolor="#d9d9d9">
              <v:path arrowok="t"/>
              <v:stroke dashstyle="solid"/>
            </v:shape>
            <v:rect style="position:absolute;left:8808;top:851;width:331;height:1000" filled="true" fillcolor="#ffeb8f" stroked="false">
              <v:fill type="solid"/>
            </v:rect>
            <v:shape style="position:absolute;left:9963;top:921;width:248;height:741" coordorigin="9963,922" coordsize="248,741" path="m9963,1663l10211,1663m9963,1416l10211,1416m9963,1169l10211,1169m9963,922l10211,922e" filled="false" stroked="true" strokeweight=".588049pt" strokecolor="#d9d9d9">
              <v:path arrowok="t"/>
              <v:stroke dashstyle="solid"/>
            </v:shape>
            <v:rect style="position:absolute;left:9633;top:874;width:331;height:1000" filled="true" fillcolor="#ffeb8f" stroked="false">
              <v:fill type="solid"/>
            </v:rect>
            <v:shape style="position:absolute;left:0;top:-17619;width:652743;height:25214" coordorigin="0,-17618" coordsize="652743,25214" path="m1972,2404l10211,2404m1972,2404l1972,2463m1972,2404l1972,2721m2797,2404l2797,2463m2797,2404l2797,2721m3622,2404l3622,2463m3622,2404l3622,2721m4447,2404l4447,2463m4447,2404l4447,2721m5272,2404l5272,2463m5272,2404l5272,2721m6085,2404l6085,2463m6085,2404l6085,2721m6911,2404l6911,2463m6911,2404l6911,2721m7736,2404l7736,2463m7736,2404l7736,2721m8561,2404l8561,2463m8561,2404l8561,2721m9386,2404l9386,2463m9386,2404l9386,2721m10211,2404l10211,2463m10211,2404l10211,2721e" filled="false" stroked="true" strokeweight=".588699pt" strokecolor="#d9d9d9">
              <v:path arrowok="t"/>
              <v:stroke dashstyle="solid"/>
            </v:shape>
            <v:shape style="position:absolute;left:0;top:-17619;width:652743;height:25214" coordorigin="0,-17618" coordsize="652743,25214" path="m1972,2721l1972,3039m6085,2721l6085,3039m10211,2721l10211,3039e" filled="false" stroked="true" strokeweight=".588699pt" strokecolor="#d9d9d9">
              <v:path arrowok="t"/>
              <v:stroke dashstyle="solid"/>
            </v:shape>
            <v:shape style="position:absolute;left:0;top:141851;width:634093;height:19050" coordorigin="0,141852" coordsize="634093,19050" path="m1972,416l10211,416m1972,169l10211,169e" filled="false" stroked="true" strokeweight=".588702pt" strokecolor="#d9d9d9">
              <v:path arrowok="t"/>
              <v:stroke dashstyle="solid"/>
            </v:shape>
            <v:line style="position:absolute" from="6104,181" to="6097,2420" stroked="true" strokeweight=".589358pt" strokecolor="#a6a6a6">
              <v:stroke dashstyle="solid"/>
            </v:line>
            <v:shape style="position:absolute;left:2219;top:2542;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2014</w:t>
                    </w:r>
                  </w:p>
                </w:txbxContent>
              </v:textbox>
              <w10:wrap type="none"/>
            </v:shape>
            <v:shape style="position:absolute;left:3042;top:2542;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2015</w:t>
                    </w:r>
                  </w:p>
                </w:txbxContent>
              </v:textbox>
              <w10:wrap type="none"/>
            </v:shape>
            <v:shape style="position:absolute;left:3865;top:2542;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2016</w:t>
                    </w:r>
                  </w:p>
                </w:txbxContent>
              </v:textbox>
              <w10:wrap type="none"/>
            </v:shape>
            <v:shape style="position:absolute;left:4688;top:2542;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2017</w:t>
                    </w:r>
                  </w:p>
                </w:txbxContent>
              </v:textbox>
              <w10:wrap type="none"/>
            </v:shape>
            <v:shape style="position:absolute;left:5511;top:2542;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2018</w:t>
                    </w:r>
                  </w:p>
                </w:txbxContent>
              </v:textbox>
              <w10:wrap type="none"/>
            </v:shape>
            <v:shape style="position:absolute;left:6334;top:2542;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2019</w:t>
                    </w:r>
                  </w:p>
                </w:txbxContent>
              </v:textbox>
              <w10:wrap type="none"/>
            </v:shape>
            <v:shape style="position:absolute;left:7157;top:2542;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2020</w:t>
                    </w:r>
                  </w:p>
                </w:txbxContent>
              </v:textbox>
              <w10:wrap type="none"/>
            </v:shape>
            <v:shape style="position:absolute;left:7980;top:2542;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2021</w:t>
                    </w:r>
                  </w:p>
                </w:txbxContent>
              </v:textbox>
              <w10:wrap type="none"/>
            </v:shape>
            <v:shape style="position:absolute;left:8803;top:2542;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2022</w:t>
                    </w:r>
                  </w:p>
                </w:txbxContent>
              </v:textbox>
              <w10:wrap type="none"/>
            </v:shape>
            <v:shape style="position:absolute;left:9627;top:2542;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2023</w:t>
                    </w:r>
                  </w:p>
                </w:txbxContent>
              </v:textbox>
              <w10:wrap type="none"/>
            </v:shape>
            <v:shape style="position:absolute;left:3776;top:2860;width:4711;height:165" type="#_x0000_t202" filled="false" stroked="false">
              <v:textbox inset="0,0,0,0">
                <w:txbxContent>
                  <w:p>
                    <w:pPr>
                      <w:tabs>
                        <w:tab w:pos="4049" w:val="left" w:leader="none"/>
                      </w:tabs>
                      <w:spacing w:line="165" w:lineRule="exact" w:before="0"/>
                      <w:ind w:left="0" w:right="0" w:firstLine="0"/>
                      <w:jc w:val="left"/>
                      <w:rPr>
                        <w:rFonts w:ascii="Calibri"/>
                        <w:sz w:val="16"/>
                      </w:rPr>
                    </w:pPr>
                    <w:r>
                      <w:rPr>
                        <w:rFonts w:ascii="Calibri"/>
                        <w:color w:val="585858"/>
                        <w:w w:val="105"/>
                        <w:sz w:val="16"/>
                      </w:rPr>
                      <w:t>Historic</w:t>
                      <w:tab/>
                    </w:r>
                    <w:r>
                      <w:rPr>
                        <w:rFonts w:ascii="Calibri"/>
                        <w:color w:val="585858"/>
                        <w:sz w:val="16"/>
                      </w:rPr>
                      <w:t>Projected</w:t>
                    </w:r>
                  </w:p>
                </w:txbxContent>
              </v:textbox>
              <w10:wrap type="none"/>
            </v:shape>
            <w10:wrap type="none"/>
          </v:group>
        </w:pict>
      </w:r>
      <w:r>
        <w:rPr>
          <w:rFonts w:ascii="Calibri"/>
          <w:color w:val="585858"/>
          <w:spacing w:val="-2"/>
          <w:sz w:val="16"/>
        </w:rPr>
        <w:t>180,000</w:t>
      </w:r>
    </w:p>
    <w:p>
      <w:pPr>
        <w:spacing w:before="53"/>
        <w:ind w:left="0" w:right="10083" w:firstLine="0"/>
        <w:jc w:val="right"/>
        <w:rPr>
          <w:rFonts w:ascii="Calibri"/>
          <w:sz w:val="16"/>
        </w:rPr>
      </w:pPr>
      <w:r>
        <w:rPr>
          <w:rFonts w:ascii="Calibri"/>
          <w:color w:val="585858"/>
          <w:spacing w:val="-2"/>
          <w:sz w:val="16"/>
        </w:rPr>
        <w:t>160,000</w:t>
      </w:r>
    </w:p>
    <w:p>
      <w:pPr>
        <w:spacing w:before="53"/>
        <w:ind w:left="0" w:right="10083" w:firstLine="0"/>
        <w:jc w:val="right"/>
        <w:rPr>
          <w:rFonts w:ascii="Calibri"/>
          <w:sz w:val="16"/>
        </w:rPr>
      </w:pPr>
      <w:r>
        <w:rPr>
          <w:rFonts w:ascii="Calibri"/>
          <w:color w:val="585858"/>
          <w:spacing w:val="-2"/>
          <w:sz w:val="16"/>
        </w:rPr>
        <w:t>140,000</w:t>
      </w:r>
    </w:p>
    <w:p>
      <w:pPr>
        <w:spacing w:before="53"/>
        <w:ind w:left="0" w:right="10083" w:firstLine="0"/>
        <w:jc w:val="right"/>
        <w:rPr>
          <w:rFonts w:ascii="Calibri"/>
          <w:sz w:val="16"/>
        </w:rPr>
      </w:pPr>
      <w:r>
        <w:rPr>
          <w:rFonts w:ascii="Calibri"/>
          <w:color w:val="585858"/>
          <w:spacing w:val="-2"/>
          <w:sz w:val="16"/>
        </w:rPr>
        <w:t>120,000</w:t>
      </w:r>
    </w:p>
    <w:p>
      <w:pPr>
        <w:spacing w:before="54"/>
        <w:ind w:left="0" w:right="10083" w:firstLine="0"/>
        <w:jc w:val="right"/>
        <w:rPr>
          <w:rFonts w:ascii="Calibri"/>
          <w:sz w:val="16"/>
        </w:rPr>
      </w:pPr>
      <w:r>
        <w:rPr>
          <w:rFonts w:ascii="Calibri"/>
          <w:color w:val="585858"/>
          <w:spacing w:val="-2"/>
          <w:sz w:val="16"/>
        </w:rPr>
        <w:t>100,000</w:t>
      </w:r>
    </w:p>
    <w:p>
      <w:pPr>
        <w:spacing w:before="53"/>
        <w:ind w:left="0" w:right="10082" w:firstLine="0"/>
        <w:jc w:val="right"/>
        <w:rPr>
          <w:rFonts w:ascii="Calibri"/>
          <w:sz w:val="16"/>
        </w:rPr>
      </w:pPr>
      <w:r>
        <w:rPr>
          <w:rFonts w:ascii="Calibri"/>
          <w:color w:val="585858"/>
          <w:spacing w:val="-1"/>
          <w:sz w:val="16"/>
        </w:rPr>
        <w:t>80,000</w:t>
      </w:r>
    </w:p>
    <w:p>
      <w:pPr>
        <w:spacing w:before="53"/>
        <w:ind w:left="0" w:right="10082" w:firstLine="0"/>
        <w:jc w:val="right"/>
        <w:rPr>
          <w:rFonts w:ascii="Calibri"/>
          <w:sz w:val="16"/>
        </w:rPr>
      </w:pPr>
      <w:r>
        <w:rPr>
          <w:rFonts w:ascii="Calibri"/>
          <w:color w:val="585858"/>
          <w:spacing w:val="-1"/>
          <w:sz w:val="16"/>
        </w:rPr>
        <w:t>60,000</w:t>
      </w:r>
    </w:p>
    <w:p>
      <w:pPr>
        <w:spacing w:before="53"/>
        <w:ind w:left="0" w:right="10082" w:firstLine="0"/>
        <w:jc w:val="right"/>
        <w:rPr>
          <w:rFonts w:ascii="Calibri"/>
          <w:sz w:val="16"/>
        </w:rPr>
      </w:pPr>
      <w:r>
        <w:rPr>
          <w:rFonts w:ascii="Calibri"/>
          <w:color w:val="585858"/>
          <w:spacing w:val="-1"/>
          <w:sz w:val="16"/>
        </w:rPr>
        <w:t>40,000</w:t>
      </w:r>
    </w:p>
    <w:p>
      <w:pPr>
        <w:spacing w:before="53"/>
        <w:ind w:left="0" w:right="10082" w:firstLine="0"/>
        <w:jc w:val="right"/>
        <w:rPr>
          <w:rFonts w:ascii="Calibri"/>
          <w:sz w:val="16"/>
        </w:rPr>
      </w:pPr>
      <w:r>
        <w:rPr>
          <w:rFonts w:ascii="Calibri"/>
          <w:color w:val="585858"/>
          <w:spacing w:val="-1"/>
          <w:sz w:val="16"/>
        </w:rPr>
        <w:t>20,000</w:t>
      </w:r>
    </w:p>
    <w:p>
      <w:pPr>
        <w:spacing w:before="54"/>
        <w:ind w:left="0" w:right="10082" w:firstLine="0"/>
        <w:jc w:val="right"/>
        <w:rPr>
          <w:rFonts w:ascii="Calibri"/>
          <w:sz w:val="16"/>
        </w:rPr>
      </w:pPr>
      <w:r>
        <w:rPr>
          <w:rFonts w:ascii="Calibri"/>
          <w:color w:val="585858"/>
          <w:w w:val="103"/>
          <w:sz w:val="16"/>
        </w:rPr>
        <w:t>0</w:t>
      </w:r>
    </w:p>
    <w:p>
      <w:pPr>
        <w:pStyle w:val="BodyText"/>
        <w:rPr>
          <w:rFonts w:ascii="Calibri"/>
        </w:rPr>
      </w:pPr>
    </w:p>
    <w:p>
      <w:pPr>
        <w:pStyle w:val="BodyText"/>
        <w:spacing w:before="3"/>
        <w:rPr>
          <w:rFonts w:ascii="Calibri"/>
          <w:sz w:val="26"/>
        </w:rPr>
      </w:pPr>
    </w:p>
    <w:p>
      <w:pPr>
        <w:spacing w:before="60"/>
        <w:ind w:left="1602" w:right="1423" w:firstLine="0"/>
        <w:jc w:val="center"/>
        <w:rPr>
          <w:rFonts w:ascii="Calibri"/>
          <w:b/>
          <w:sz w:val="19"/>
        </w:rPr>
      </w:pPr>
      <w:r>
        <w:rPr>
          <w:rFonts w:ascii="Calibri"/>
          <w:b/>
          <w:color w:val="585858"/>
          <w:sz w:val="19"/>
        </w:rPr>
        <w:t>Year Ending 30 June</w:t>
      </w:r>
    </w:p>
    <w:p>
      <w:pPr>
        <w:spacing w:after="0"/>
        <w:jc w:val="center"/>
        <w:rPr>
          <w:rFonts w:ascii="Calibri"/>
          <w:sz w:val="19"/>
        </w:rPr>
        <w:sectPr>
          <w:type w:val="continuous"/>
          <w:pgSz w:w="11910" w:h="16850"/>
          <w:pgMar w:top="1600" w:bottom="280" w:left="120" w:right="0"/>
        </w:sect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spacing w:before="11"/>
        <w:rPr>
          <w:rFonts w:ascii="Calibri"/>
          <w:b/>
          <w:sz w:val="18"/>
        </w:rPr>
      </w:pPr>
    </w:p>
    <w:p>
      <w:pPr>
        <w:pStyle w:val="Heading9"/>
        <w:spacing w:before="0"/>
      </w:pPr>
      <w:r>
        <w:rPr>
          <w:color w:val="DF2F1E"/>
        </w:rPr>
        <w:t>Figure 44: Number of people exiting class 1 – Studying (by class exited to)</w:t>
      </w:r>
    </w:p>
    <w:p>
      <w:pPr>
        <w:spacing w:before="59"/>
        <w:ind w:left="0" w:right="10085" w:firstLine="0"/>
        <w:jc w:val="right"/>
        <w:rPr>
          <w:rFonts w:ascii="Calibri"/>
          <w:sz w:val="16"/>
        </w:rPr>
      </w:pPr>
      <w:r>
        <w:rPr/>
        <w:pict>
          <v:group style="position:absolute;margin-left:98.354408pt;margin-top:8.20879pt;width:412.6pt;height:144.050pt;mso-position-horizontal-relative:page;mso-position-vertical-relative:paragraph;z-index:252146688" coordorigin="1967,164" coordsize="8252,2881">
            <v:shape style="position:absolute;left:1973;top:1666;width:8240;height:495" coordorigin="1973,1666" coordsize="8240,495" path="m9964,2161l10212,2161m9150,2161l9634,2161m8324,2161l8819,2161m7497,2161l7993,2161m6671,2161l7167,2161m5845,2161l6340,2161m5018,2161l5514,2161m4204,2161l4688,2161m3378,2161l3873,2161m2551,2161l3047,2161m1973,2161l2221,2161m2551,1914l3047,1914m1973,1914l2221,1914m2551,1666l3047,1666m1973,1666l2221,1666e" filled="false" stroked="true" strokeweight=".589103pt" strokecolor="#d9d9d9">
              <v:path arrowok="t"/>
              <v:stroke dashstyle="solid"/>
            </v:shape>
            <v:rect style="position:absolute;left:2220;top:1548;width:331;height:861" filled="true" fillcolor="#009544" stroked="false">
              <v:fill type="solid"/>
            </v:rect>
            <v:shape style="position:absolute;left:3377;top:1666;width:496;height:248" coordorigin="3378,1666" coordsize="496,248" path="m3378,1914l3873,1914m3378,1666l3873,1666e" filled="false" stroked="true" strokeweight=".589103pt" strokecolor="#d9d9d9">
              <v:path arrowok="t"/>
              <v:stroke dashstyle="solid"/>
            </v:shape>
            <v:rect style="position:absolute;left:3047;top:1607;width:331;height:802" filled="true" fillcolor="#009544" stroked="false">
              <v:fill type="solid"/>
            </v:rect>
            <v:shape style="position:absolute;left:4203;top:1666;width:484;height:248" coordorigin="4204,1666" coordsize="484,248" path="m4204,1914l4688,1914m4204,1666l4688,1666e" filled="false" stroked="true" strokeweight=".589103pt" strokecolor="#d9d9d9">
              <v:path arrowok="t"/>
              <v:stroke dashstyle="solid"/>
            </v:shape>
            <v:rect style="position:absolute;left:3873;top:1642;width:331;height:766" filled="true" fillcolor="#009544" stroked="false">
              <v:fill type="solid"/>
            </v:rect>
            <v:shape style="position:absolute;left:5018;top:1666;width:496;height:248" coordorigin="5018,1666" coordsize="496,248" path="m5018,1914l5514,1914m5018,1666l5514,1666e" filled="false" stroked="true" strokeweight=".589103pt" strokecolor="#d9d9d9">
              <v:path arrowok="t"/>
              <v:stroke dashstyle="solid"/>
            </v:shape>
            <v:rect style="position:absolute;left:4687;top:1631;width:331;height:778" filled="true" fillcolor="#009544" stroked="false">
              <v:fill type="solid"/>
            </v:rect>
            <v:line style="position:absolute" from="5845,1914" to="6340,1914" stroked="true" strokeweight=".589103pt" strokecolor="#d9d9d9">
              <v:stroke dashstyle="solid"/>
            </v:line>
            <v:rect style="position:absolute;left:5514;top:1772;width:331;height:637" filled="true" fillcolor="#009544" stroked="false">
              <v:fill type="solid"/>
            </v:rect>
            <v:line style="position:absolute" from="6671,1914" to="7167,1914" stroked="true" strokeweight=".589103pt" strokecolor="#d9d9d9">
              <v:stroke dashstyle="solid"/>
            </v:line>
            <v:rect style="position:absolute;left:6340;top:1748;width:331;height:660" filled="true" fillcolor="#009544" stroked="false">
              <v:fill type="solid"/>
            </v:rect>
            <v:line style="position:absolute" from="7497,1914" to="7993,1914" stroked="true" strokeweight=".589103pt" strokecolor="#d9d9d9">
              <v:stroke dashstyle="solid"/>
            </v:line>
            <v:rect style="position:absolute;left:7166;top:1760;width:331;height:649" filled="true" fillcolor="#009544" stroked="false">
              <v:fill type="solid"/>
            </v:rect>
            <v:line style="position:absolute" from="8324,1914" to="8819,1914" stroked="true" strokeweight=".589103pt" strokecolor="#d9d9d9">
              <v:stroke dashstyle="solid"/>
            </v:line>
            <v:rect style="position:absolute;left:7993;top:1772;width:331;height:637" filled="true" fillcolor="#009544" stroked="false">
              <v:fill type="solid"/>
            </v:rect>
            <v:line style="position:absolute" from="9150,1914" to="9634,1914" stroked="true" strokeweight=".589103pt" strokecolor="#d9d9d9">
              <v:stroke dashstyle="solid"/>
            </v:line>
            <v:rect style="position:absolute;left:8819;top:1784;width:331;height:625" filled="true" fillcolor="#009544" stroked="false">
              <v:fill type="solid"/>
            </v:rect>
            <v:line style="position:absolute" from="9964,1914" to="10212,1914" stroked="true" strokeweight=".589103pt" strokecolor="#d9d9d9">
              <v:stroke dashstyle="solid"/>
            </v:line>
            <v:rect style="position:absolute;left:9633;top:1784;width:331;height:625" filled="true" fillcolor="#009544" stroked="false">
              <v:fill type="solid"/>
            </v:rect>
            <v:shape style="position:absolute;left:2220;top:1513;width:3624;height:260" coordorigin="2221,1513" coordsize="3624,260" path="m2551,1513l2221,1513,2221,1549,2551,1549,2551,1513m3378,1572l3047,1572,3047,1608,3378,1608,3378,1572m4204,1608l3873,1608,3873,1643,4204,1643,4204,1608m5018,1608l4688,1608,4688,1631,5018,1631,5018,1608m5845,1749l5514,1749,5514,1772,5845,1772,5845,1749e" filled="true" fillcolor="#e16b09" stroked="false">
              <v:path arrowok="t"/>
              <v:fill type="solid"/>
            </v:shape>
            <v:line style="position:absolute" from="5845,1666" to="7167,1666" stroked="true" strokeweight=".589103pt" strokecolor="#d9d9d9">
              <v:stroke dashstyle="solid"/>
            </v:line>
            <v:rect style="position:absolute;left:6340;top:1725;width:331;height:24" filled="true" fillcolor="#e16b09" stroked="false">
              <v:fill type="solid"/>
            </v:rect>
            <v:line style="position:absolute" from="7497,1666" to="7993,1666" stroked="true" strokeweight=".589103pt" strokecolor="#d9d9d9">
              <v:stroke dashstyle="solid"/>
            </v:line>
            <v:rect style="position:absolute;left:7166;top:1737;width:331;height:24" filled="true" fillcolor="#e16b09" stroked="false">
              <v:fill type="solid"/>
            </v:rect>
            <v:line style="position:absolute" from="8324,1666" to="8819,1666" stroked="true" strokeweight=".589103pt" strokecolor="#d9d9d9">
              <v:stroke dashstyle="solid"/>
            </v:line>
            <v:shape style="position:absolute;left:7993;top:1737;width:1972;height:48" coordorigin="7993,1737" coordsize="1972,48" path="m8324,1737l7993,1737,7993,1772,8324,1772,8324,1737m9150,1749l8819,1749,8819,1784,9150,1784,9150,1749m9964,1749l9634,1749,9634,1784,9964,1784,9964,1749e" filled="true" fillcolor="#e16b09" stroked="false">
              <v:path arrowok="t"/>
              <v:fill type="solid"/>
            </v:shape>
            <v:line style="position:absolute" from="2221,1507" to="2551,1507" stroked="true" strokeweight=".589104pt" strokecolor="#e08ad6">
              <v:stroke dashstyle="solid"/>
            </v:line>
            <v:shape style="position:absolute;left:3047;top:1566;width:1972;height:36" coordorigin="3047,1566" coordsize="1972,36" path="m3047,1566l3378,1566m3873,1602l4204,1602m4688,1602l5018,1602e" filled="false" stroked="true" strokeweight=".589104pt" strokecolor="#e08ad6">
              <v:path arrowok="t"/>
              <v:stroke dashstyle="solid"/>
            </v:shape>
            <v:shape style="position:absolute;left:5514;top:1719;width:1157;height:24" coordorigin="5514,1719" coordsize="1157,24" path="m5514,1743l5845,1743m6341,1719l6671,1719e" filled="false" stroked="true" strokeweight=".589104pt" strokecolor="#e08ad6">
              <v:path arrowok="t"/>
              <v:stroke dashstyle="solid"/>
            </v:shape>
            <v:shape style="position:absolute;left:7166;top:1731;width:1157;height:2" coordorigin="7167,1731" coordsize="1157,0" path="m7167,1731l7497,1731m7993,1731l8324,1731e" filled="false" stroked="true" strokeweight=".589104pt" strokecolor="#e08ad6">
              <v:path arrowok="t"/>
              <v:stroke dashstyle="solid"/>
            </v:shape>
            <v:line style="position:absolute" from="9150,1666" to="9634,1666" stroked="true" strokeweight=".589103pt" strokecolor="#d9d9d9">
              <v:stroke dashstyle="solid"/>
            </v:line>
            <v:line style="position:absolute" from="8819,1743" to="9150,1743" stroked="true" strokeweight=".589104pt" strokecolor="#e08ad6">
              <v:stroke dashstyle="solid"/>
            </v:line>
            <v:line style="position:absolute" from="9964,1666" to="10212,1666" stroked="true" strokeweight=".589103pt" strokecolor="#d9d9d9">
              <v:stroke dashstyle="solid"/>
            </v:line>
            <v:line style="position:absolute" from="9634,1743" to="9964,1743" stroked="true" strokeweight=".589104pt" strokecolor="#e08ad6">
              <v:stroke dashstyle="solid"/>
            </v:line>
            <v:line style="position:absolute" from="2221,1496" to="2551,1496" stroked="true" strokeweight=".589104pt" strokecolor="#8063a1">
              <v:stroke dashstyle="solid"/>
            </v:line>
            <v:shape style="position:absolute;left:3047;top:1554;width:1972;height:36" coordorigin="3047,1554" coordsize="1972,36" path="m3047,1554l3378,1554m3873,1590l4204,1590m4688,1590l5018,1590e" filled="false" stroked="true" strokeweight=".589104pt" strokecolor="#8063a1">
              <v:path arrowok="t"/>
              <v:stroke dashstyle="solid"/>
            </v:shape>
            <v:line style="position:absolute" from="5514,1731" to="5845,1731" stroked="true" strokeweight=".589104pt" strokecolor="#8063a1">
              <v:stroke dashstyle="solid"/>
            </v:line>
            <v:shape style="position:absolute;left:6340;top:1707;width:1984;height:12" coordorigin="6341,1708" coordsize="1984,12" path="m6341,1708l6671,1708m7167,1719l7497,1719m7993,1719l8324,1719e" filled="false" stroked="true" strokeweight=".589104pt" strokecolor="#8063a1">
              <v:path arrowok="t"/>
              <v:stroke dashstyle="solid"/>
            </v:shape>
            <v:shape style="position:absolute;left:8819;top:1731;width:1145;height:2" coordorigin="8819,1731" coordsize="1145,0" path="m8819,1731l9150,1731m9634,1731l9964,1731e" filled="false" stroked="true" strokeweight=".589104pt" strokecolor="#8063a1">
              <v:path arrowok="t"/>
              <v:stroke dashstyle="solid"/>
            </v:shape>
            <v:shape style="position:absolute;left:1973;top:1407;width:1075;height:2" coordorigin="1973,1407" coordsize="1075,0" path="m2551,1407l3047,1407m1973,1407l2221,1407e" filled="false" stroked="true" strokeweight=".589103pt" strokecolor="#d9d9d9">
              <v:path arrowok="t"/>
              <v:stroke dashstyle="solid"/>
            </v:shape>
            <v:line style="position:absolute" from="2221,1484" to="2551,1484" stroked="true" strokeweight=".589104pt" strokecolor="#c0504d">
              <v:stroke dashstyle="solid"/>
            </v:line>
            <v:line style="position:absolute" from="3047,1543" to="3378,1543" stroked="true" strokeweight=".589104pt" strokecolor="#c0504d">
              <v:stroke dashstyle="solid"/>
            </v:line>
            <v:shape style="position:absolute;left:3873;top:1578;width:1972;height:142" coordorigin="3873,1578" coordsize="1972,142" path="m3873,1578l4204,1578m4688,1578l5018,1578m5514,1719l5845,1719e" filled="false" stroked="true" strokeweight=".589104pt" strokecolor="#c0504d">
              <v:path arrowok="t"/>
              <v:stroke dashstyle="solid"/>
            </v:shape>
            <v:line style="position:absolute" from="6341,1696" to="6671,1696" stroked="true" strokeweight=".589104pt" strokecolor="#c0504d">
              <v:stroke dashstyle="solid"/>
            </v:line>
            <v:shape style="position:absolute;left:7166;top:1707;width:1157;height:12" coordorigin="7167,1708" coordsize="1157,12" path="m7167,1708l7497,1708m7993,1719l8324,1719e" filled="false" stroked="true" strokeweight=".589104pt" strokecolor="#c0504d">
              <v:path arrowok="t"/>
              <v:stroke dashstyle="solid"/>
            </v:shape>
            <v:shape style="position:absolute;left:8819;top:1731;width:1145;height:2" coordorigin="8819,1731" coordsize="1145,0" path="m8819,1731l9150,1731m9634,1731l9964,1731e" filled="false" stroked="true" strokeweight=".589104pt" strokecolor="#c0504d">
              <v:path arrowok="t"/>
              <v:stroke dashstyle="solid"/>
            </v:shape>
            <v:line style="position:absolute" from="2221,1478" to="2551,1478" stroked="true" strokeweight="1.178208pt" strokecolor="#f8a763">
              <v:stroke dashstyle="solid"/>
            </v:line>
            <v:shape style="position:absolute;left:3047;top:1536;width:1157;height:36" coordorigin="3047,1537" coordsize="1157,36" path="m3047,1537l3378,1537m3873,1572l4204,1572e" filled="false" stroked="true" strokeweight="1.178208pt" strokecolor="#f8a763">
              <v:path arrowok="t"/>
              <v:stroke dashstyle="solid"/>
            </v:shape>
            <v:line style="position:absolute" from="4688,1566" to="5018,1566" stroked="true" strokeweight="1.767324pt" strokecolor="#f8a763">
              <v:stroke dashstyle="solid"/>
            </v:line>
            <v:line style="position:absolute" from="5514,1714" to="5845,1714" stroked="true" strokeweight="1.178208pt" strokecolor="#f8a763">
              <v:stroke dashstyle="solid"/>
            </v:line>
            <v:shape style="position:absolute;left:6340;top:1689;width:1157;height:12" coordorigin="6341,1690" coordsize="1157,12" path="m6341,1690l6671,1690m7167,1702l7497,1702e" filled="false" stroked="true" strokeweight="1.178208pt" strokecolor="#f8a763">
              <v:path arrowok="t"/>
              <v:stroke dashstyle="solid"/>
            </v:shape>
            <v:line style="position:absolute" from="7993,1714" to="8324,1714" stroked="true" strokeweight="1.178208pt" strokecolor="#f8a763">
              <v:stroke dashstyle="solid"/>
            </v:line>
            <v:shape style="position:absolute;left:8819;top:1725;width:1145;height:2" coordorigin="8819,1725" coordsize="1145,0" path="m8819,1725l9150,1725m9634,1725l9964,1725e" filled="false" stroked="true" strokeweight="1.178208pt" strokecolor="#f8a763">
              <v:path arrowok="t"/>
              <v:stroke dashstyle="solid"/>
            </v:shape>
            <v:line style="position:absolute" from="2221,1460" to="2551,1460" stroked="true" strokeweight=".589104pt" strokecolor="#ecb8e7">
              <v:stroke dashstyle="solid"/>
            </v:line>
            <v:line style="position:absolute" from="3047,1519" to="3378,1519" stroked="true" strokeweight=".589104pt" strokecolor="#ecb8e7">
              <v:stroke dashstyle="solid"/>
            </v:line>
            <v:line style="position:absolute" from="3873,1554" to="4204,1554" stroked="true" strokeweight=".589104pt" strokecolor="#ecb8e7">
              <v:stroke dashstyle="solid"/>
            </v:line>
            <v:shape style="position:absolute;left:4687;top:1542;width:1984;height:154" coordorigin="4688,1543" coordsize="1984,154" path="m4688,1543l5018,1543m5514,1696l5845,1696m6341,1672l6671,1672e" filled="false" stroked="true" strokeweight=".589104pt" strokecolor="#ecb8e7">
              <v:path arrowok="t"/>
              <v:stroke dashstyle="solid"/>
            </v:shape>
            <v:line style="position:absolute" from="7167,1684" to="7497,1684" stroked="true" strokeweight=".589104pt" strokecolor="#ecb8e7">
              <v:stroke dashstyle="solid"/>
            </v:line>
            <v:line style="position:absolute" from="7993,1696" to="8324,1696" stroked="true" strokeweight=".589104pt" strokecolor="#ecb8e7">
              <v:stroke dashstyle="solid"/>
            </v:line>
            <v:shape style="position:absolute;left:8819;top:1707;width:1145;height:2" coordorigin="8819,1708" coordsize="1145,0" path="m8819,1708l9150,1708m9634,1708l9964,1708e" filled="false" stroked="true" strokeweight=".589104pt" strokecolor="#ecb8e7">
              <v:path arrowok="t"/>
              <v:stroke dashstyle="solid"/>
            </v:shape>
            <v:shape style="position:absolute;left:2220;top:1418;width:2798;height:130" coordorigin="2221,1419" coordsize="2798,130" path="m2551,1419l2221,1419,2221,1466,2551,1466,2551,1419m3378,1501l3047,1501,3047,1525,3378,1525,3378,1501m4204,1525l3873,1525,3873,1549,4204,1549,4204,1525m5018,1525l4688,1525,4688,1549,5018,1549,5018,1525e" filled="true" fillcolor="#938953" stroked="false">
              <v:path arrowok="t"/>
              <v:fill type="solid"/>
            </v:shape>
            <v:line style="position:absolute" from="5514,1684" to="5845,1684" stroked="true" strokeweight=".589104pt" strokecolor="#938953">
              <v:stroke dashstyle="solid"/>
            </v:line>
            <v:rect style="position:absolute;left:6340;top:1654;width:331;height:24" filled="true" fillcolor="#938953" stroked="false">
              <v:fill type="solid"/>
            </v:rect>
            <v:line style="position:absolute" from="7167,1684" to="7497,1684" stroked="true" strokeweight=".589104pt" strokecolor="#938953">
              <v:stroke dashstyle="solid"/>
            </v:line>
            <v:shape style="position:absolute;left:7993;top:1678;width:1157;height:36" coordorigin="7993,1678" coordsize="1157,36" path="m8324,1678l7993,1678,7993,1702,8324,1702,8324,1678m9150,1690l8819,1690,8819,1714,9150,1714,9150,1690e" filled="true" fillcolor="#938953" stroked="false">
              <v:path arrowok="t"/>
              <v:fill type="solid"/>
            </v:shape>
            <v:line style="position:absolute" from="9634,1696" to="9964,1696" stroked="true" strokeweight=".589104pt" strokecolor="#938953">
              <v:stroke dashstyle="solid"/>
            </v:line>
            <v:shape style="position:absolute;left:1973;top:664;width:1075;height:495" coordorigin="1973,665" coordsize="1075,495" path="m2551,1160l3047,1160m1973,1160l2221,1160m2551,912l3047,912m1973,912l2221,912m2551,665l3047,665m1973,665l2221,665e" filled="false" stroked="true" strokeweight=".589103pt" strokecolor="#d9d9d9">
              <v:path arrowok="t"/>
              <v:stroke dashstyle="solid"/>
            </v:shape>
            <v:rect style="position:absolute;left:2220;top:594;width:331;height:825" filled="true" fillcolor="#ffd600" stroked="false">
              <v:fill type="solid"/>
            </v:rect>
            <v:shape style="position:absolute;left:3377;top:664;width:496;height:743" coordorigin="3378,665" coordsize="496,743" path="m3378,1407l3873,1407m3378,1160l3873,1160m3378,912l3873,912m3378,665l3873,665e" filled="false" stroked="true" strokeweight=".589103pt" strokecolor="#d9d9d9">
              <v:path arrowok="t"/>
              <v:stroke dashstyle="solid"/>
            </v:shape>
            <v:rect style="position:absolute;left:3047;top:606;width:331;height:896" filled="true" fillcolor="#ffd600" stroked="false">
              <v:fill type="solid"/>
            </v:rect>
            <v:shape style="position:absolute;left:4203;top:664;width:484;height:743" coordorigin="4204,665" coordsize="484,743" path="m4204,1407l4688,1407m4204,1160l4688,1160m4204,912l4688,912m4204,665l4688,665e" filled="false" stroked="true" strokeweight=".589103pt" strokecolor="#d9d9d9">
              <v:path arrowok="t"/>
              <v:stroke dashstyle="solid"/>
            </v:shape>
            <v:rect style="position:absolute;left:3873;top:558;width:331;height:967" filled="true" fillcolor="#ffd600" stroked="false">
              <v:fill type="solid"/>
            </v:rect>
            <v:shape style="position:absolute;left:5018;top:664;width:496;height:743" coordorigin="5018,665" coordsize="496,743" path="m5018,1407l5514,1407m5018,1160l5514,1160m5018,912l5514,912m5018,665l5514,665e" filled="false" stroked="true" strokeweight=".589103pt" strokecolor="#d9d9d9">
              <v:path arrowok="t"/>
              <v:stroke dashstyle="solid"/>
            </v:shape>
            <v:rect style="position:absolute;left:4687;top:511;width:331;height:1014" filled="true" fillcolor="#ffd600" stroked="false">
              <v:fill type="solid"/>
            </v:rect>
            <v:shape style="position:absolute;left:5844;top:664;width:4368;height:743" coordorigin="5845,665" coordsize="4368,743" path="m5845,1407l6341,1407m5845,1160l6341,1160m5845,912l6341,912m5845,665l10212,665e" filled="false" stroked="true" strokeweight=".589103pt" strokecolor="#d9d9d9">
              <v:path arrowok="t"/>
              <v:stroke dashstyle="solid"/>
            </v:shape>
            <v:rect style="position:absolute;left:5514;top:641;width:331;height:1037" filled="true" fillcolor="#ffd600" stroked="false">
              <v:fill type="solid"/>
            </v:rect>
            <v:shape style="position:absolute;left:6671;top:912;width:496;height:495" coordorigin="6671,912" coordsize="496,495" path="m6671,1407l7167,1407m6671,1160l7167,1160m6671,912l7167,912e" filled="false" stroked="true" strokeweight=".589103pt" strokecolor="#d9d9d9">
              <v:path arrowok="t"/>
              <v:stroke dashstyle="solid"/>
            </v:shape>
            <v:rect style="position:absolute;left:6340;top:676;width:331;height:978" filled="true" fillcolor="#ffd600" stroked="false">
              <v:fill type="solid"/>
            </v:rect>
            <v:shape style="position:absolute;left:7497;top:912;width:496;height:495" coordorigin="7497,912" coordsize="496,495" path="m7497,1407l7993,1407m7497,1160l7993,1160m7497,912l7993,912e" filled="false" stroked="true" strokeweight=".589103pt" strokecolor="#d9d9d9">
              <v:path arrowok="t"/>
              <v:stroke dashstyle="solid"/>
            </v:shape>
            <v:rect style="position:absolute;left:7166;top:759;width:331;height:919" filled="true" fillcolor="#ffd600" stroked="false">
              <v:fill type="solid"/>
            </v:rect>
            <v:shape style="position:absolute;left:8323;top:912;width:496;height:495" coordorigin="8324,912" coordsize="496,495" path="m8324,1407l8819,1407m8324,1160l8819,1160m8324,912l8819,912e" filled="false" stroked="true" strokeweight=".589103pt" strokecolor="#d9d9d9">
              <v:path arrowok="t"/>
              <v:stroke dashstyle="solid"/>
            </v:shape>
            <v:rect style="position:absolute;left:7993;top:794;width:331;height:884" filled="true" fillcolor="#ffd600" stroked="false">
              <v:fill type="solid"/>
            </v:rect>
            <v:shape style="position:absolute;left:9149;top:912;width:484;height:495" coordorigin="9150,912" coordsize="484,495" path="m9150,1407l9634,1407m9150,1160l9634,1160m9150,912l9634,912e" filled="false" stroked="true" strokeweight=".589103pt" strokecolor="#d9d9d9">
              <v:path arrowok="t"/>
              <v:stroke dashstyle="solid"/>
            </v:shape>
            <v:rect style="position:absolute;left:8819;top:806;width:331;height:884" filled="true" fillcolor="#ffd600" stroked="false">
              <v:fill type="solid"/>
            </v:rect>
            <v:shape style="position:absolute;left:9964;top:912;width:248;height:495" coordorigin="9964,912" coordsize="248,495" path="m9964,1407l10212,1407m9964,1160l10212,1160m9964,912l10212,912e" filled="false" stroked="true" strokeweight=".589103pt" strokecolor="#d9d9d9">
              <v:path arrowok="t"/>
              <v:stroke dashstyle="solid"/>
            </v:shape>
            <v:rect style="position:absolute;left:9633;top:829;width:331;height:861" filled="true" fillcolor="#ffd600" stroked="false">
              <v:fill type="solid"/>
            </v:rect>
            <v:line style="position:absolute" from="2221,588" to="2551,588" stroked="true" strokeweight=".589106pt" strokecolor="#000000">
              <v:stroke dashstyle="solid"/>
            </v:line>
            <v:shape style="position:absolute;left:3047;top:505;width:1972;height:95" coordorigin="3047,506" coordsize="1972,95" path="m3047,600l3378,600m3873,553l4204,553m4688,506l5018,506e" filled="false" stroked="true" strokeweight=".589106pt" strokecolor="#000000">
              <v:path arrowok="t"/>
              <v:stroke dashstyle="solid"/>
            </v:shape>
            <v:shape style="position:absolute;left:5514;top:635;width:1984;height:118" coordorigin="5514,635" coordsize="1984,118" path="m5514,635l5845,635m6340,671l6671,671m7167,753l7497,753e" filled="false" stroked="true" strokeweight=".589106pt" strokecolor="#000000">
              <v:path arrowok="t"/>
              <v:stroke dashstyle="solid"/>
            </v:shape>
            <v:line style="position:absolute" from="7993,789" to="8324,789" stroked="true" strokeweight=".589106pt" strokecolor="#000000">
              <v:stroke dashstyle="solid"/>
            </v:line>
            <v:shape style="position:absolute;left:8819;top:800;width:1145;height:24" coordorigin="8819,800" coordsize="1145,24" path="m8819,800l9150,800m9634,824l9964,824e" filled="false" stroked="true" strokeweight=".589106pt" strokecolor="#000000">
              <v:path arrowok="t"/>
              <v:stroke dashstyle="solid"/>
            </v:shape>
            <v:line style="position:absolute" from="1973,2409" to="10212,2409" stroked="true" strokeweight=".589103pt" strokecolor="#d9d9d9">
              <v:stroke dashstyle="solid"/>
            </v:line>
            <v:shape style="position:absolute;left:0;top:-10595;width:651809;height:25214" coordorigin="0,-10594" coordsize="651809,25214" path="m1973,2409l1973,2456m1973,2409l1973,2727m2799,2409l2799,2456m2799,2409l2799,2727m3626,2409l3626,2456m3626,2409l3626,2727m4440,2409l4440,2456m4440,2409l4440,2727m5266,2409l5266,2456m5266,2409l5266,2727m6093,2409l6093,2456m6093,2409l6093,2727m6919,2409l6919,2456m6919,2409l6919,2727m7745,2409l7745,2456m7745,2409l7745,2727m8571,2409l8571,2456m8571,2409l8571,2727m9386,2409l9386,2456m9386,2409l9386,2727m10212,2409l10212,2456m10212,2409l10212,2727e" filled="false" stroked="true" strokeweight=".589654pt" strokecolor="#d9d9d9">
              <v:path arrowok="t"/>
              <v:stroke dashstyle="solid"/>
            </v:shape>
            <v:shape style="position:absolute;left:0;top:-10595;width:651809;height:25214" coordorigin="0,-10594" coordsize="651809,25214" path="m1973,2727l1973,3045m6093,2727l6093,3045m10212,2727l10212,3045e" filled="false" stroked="true" strokeweight=".589654pt" strokecolor="#d9d9d9">
              <v:path arrowok="t"/>
              <v:stroke dashstyle="solid"/>
            </v:shape>
            <v:shape style="position:absolute;left:0;top:149518;width:636216;height:19142" coordorigin="0,149519" coordsize="636216,19142" path="m1973,418l10212,418m1973,170l10212,170e" filled="false" stroked="true" strokeweight=".589652pt" strokecolor="#d9d9d9">
              <v:path arrowok="t"/>
              <v:stroke dashstyle="solid"/>
            </v:shape>
            <v:line style="position:absolute" from="6099,170" to="6093,2413" stroked="true" strokeweight=".590209pt" strokecolor="#a6a6a6">
              <v:stroke dashstyle="solid"/>
            </v:line>
            <v:shape style="position:absolute;left:2217;top:2543;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2014</w:t>
                    </w:r>
                  </w:p>
                </w:txbxContent>
              </v:textbox>
              <w10:wrap type="none"/>
            </v:shape>
            <v:shape style="position:absolute;left:3041;top:2543;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2015</w:t>
                    </w:r>
                  </w:p>
                </w:txbxContent>
              </v:textbox>
              <w10:wrap type="none"/>
            </v:shape>
            <v:shape style="position:absolute;left:3866;top:2543;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2016</w:t>
                    </w:r>
                  </w:p>
                </w:txbxContent>
              </v:textbox>
              <w10:wrap type="none"/>
            </v:shape>
            <v:shape style="position:absolute;left:4690;top:2543;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2017</w:t>
                    </w:r>
                  </w:p>
                </w:txbxContent>
              </v:textbox>
              <w10:wrap type="none"/>
            </v:shape>
            <v:shape style="position:absolute;left:5514;top:2543;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2018</w:t>
                    </w:r>
                  </w:p>
                </w:txbxContent>
              </v:textbox>
              <w10:wrap type="none"/>
            </v:shape>
            <v:shape style="position:absolute;left:6339;top:2543;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2019</w:t>
                    </w:r>
                  </w:p>
                </w:txbxContent>
              </v:textbox>
              <w10:wrap type="none"/>
            </v:shape>
            <v:shape style="position:absolute;left:7163;top:2543;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2020</w:t>
                    </w:r>
                  </w:p>
                </w:txbxContent>
              </v:textbox>
              <w10:wrap type="none"/>
            </v:shape>
            <v:shape style="position:absolute;left:7987;top:2543;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2021</w:t>
                    </w:r>
                  </w:p>
                </w:txbxContent>
              </v:textbox>
              <w10:wrap type="none"/>
            </v:shape>
            <v:shape style="position:absolute;left:8811;top:2543;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2022</w:t>
                    </w:r>
                  </w:p>
                </w:txbxContent>
              </v:textbox>
              <w10:wrap type="none"/>
            </v:shape>
            <v:shape style="position:absolute;left:9636;top:2543;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2023</w:t>
                    </w:r>
                  </w:p>
                </w:txbxContent>
              </v:textbox>
              <w10:wrap type="none"/>
            </v:shape>
            <v:shape style="position:absolute;left:3777;top:2860;width:4718;height:165" type="#_x0000_t202" filled="false" stroked="false">
              <v:textbox inset="0,0,0,0">
                <w:txbxContent>
                  <w:p>
                    <w:pPr>
                      <w:tabs>
                        <w:tab w:pos="4054" w:val="left" w:leader="none"/>
                      </w:tabs>
                      <w:spacing w:line="165" w:lineRule="exact" w:before="0"/>
                      <w:ind w:left="0" w:right="0" w:firstLine="0"/>
                      <w:jc w:val="left"/>
                      <w:rPr>
                        <w:rFonts w:ascii="Calibri"/>
                        <w:sz w:val="16"/>
                      </w:rPr>
                    </w:pPr>
                    <w:r>
                      <w:rPr>
                        <w:rFonts w:ascii="Calibri"/>
                        <w:color w:val="585858"/>
                        <w:w w:val="105"/>
                        <w:sz w:val="16"/>
                      </w:rPr>
                      <w:t>Historic</w:t>
                      <w:tab/>
                    </w:r>
                    <w:r>
                      <w:rPr>
                        <w:rFonts w:ascii="Calibri"/>
                        <w:color w:val="585858"/>
                        <w:sz w:val="16"/>
                      </w:rPr>
                      <w:t>Projected</w:t>
                    </w:r>
                  </w:p>
                </w:txbxContent>
              </v:textbox>
              <w10:wrap type="none"/>
            </v:shape>
            <w10:wrap type="none"/>
          </v:group>
        </w:pict>
      </w:r>
      <w:r>
        <w:rPr>
          <w:rFonts w:ascii="Calibri"/>
          <w:color w:val="585858"/>
          <w:spacing w:val="-2"/>
          <w:sz w:val="16"/>
        </w:rPr>
        <w:t>180,000</w:t>
      </w:r>
    </w:p>
    <w:p>
      <w:pPr>
        <w:spacing w:before="54"/>
        <w:ind w:left="0" w:right="10085" w:firstLine="0"/>
        <w:jc w:val="right"/>
        <w:rPr>
          <w:rFonts w:ascii="Calibri"/>
          <w:sz w:val="16"/>
        </w:rPr>
      </w:pPr>
      <w:r>
        <w:rPr>
          <w:rFonts w:ascii="Calibri"/>
          <w:color w:val="585858"/>
          <w:spacing w:val="-2"/>
          <w:sz w:val="16"/>
        </w:rPr>
        <w:t>160,000</w:t>
      </w:r>
    </w:p>
    <w:p>
      <w:pPr>
        <w:spacing w:before="53"/>
        <w:ind w:left="0" w:right="10085" w:firstLine="0"/>
        <w:jc w:val="right"/>
        <w:rPr>
          <w:rFonts w:ascii="Calibri"/>
          <w:sz w:val="16"/>
        </w:rPr>
      </w:pPr>
      <w:r>
        <w:rPr>
          <w:rFonts w:ascii="Calibri"/>
          <w:color w:val="585858"/>
          <w:spacing w:val="-2"/>
          <w:sz w:val="16"/>
        </w:rPr>
        <w:t>140,000</w:t>
      </w:r>
    </w:p>
    <w:p>
      <w:pPr>
        <w:spacing w:before="54"/>
        <w:ind w:left="0" w:right="10085" w:firstLine="0"/>
        <w:jc w:val="right"/>
        <w:rPr>
          <w:rFonts w:ascii="Calibri"/>
          <w:sz w:val="16"/>
        </w:rPr>
      </w:pPr>
      <w:r>
        <w:rPr>
          <w:rFonts w:ascii="Calibri"/>
          <w:color w:val="585858"/>
          <w:spacing w:val="-2"/>
          <w:sz w:val="16"/>
        </w:rPr>
        <w:t>120,000</w:t>
      </w:r>
    </w:p>
    <w:p>
      <w:pPr>
        <w:spacing w:before="54"/>
        <w:ind w:left="0" w:right="10085" w:firstLine="0"/>
        <w:jc w:val="right"/>
        <w:rPr>
          <w:rFonts w:ascii="Calibri"/>
          <w:sz w:val="16"/>
        </w:rPr>
      </w:pPr>
      <w:r>
        <w:rPr>
          <w:rFonts w:ascii="Calibri"/>
          <w:color w:val="585858"/>
          <w:spacing w:val="-2"/>
          <w:sz w:val="16"/>
        </w:rPr>
        <w:t>100,000</w:t>
      </w:r>
    </w:p>
    <w:p>
      <w:pPr>
        <w:spacing w:before="53"/>
        <w:ind w:left="0" w:right="10084" w:firstLine="0"/>
        <w:jc w:val="right"/>
        <w:rPr>
          <w:rFonts w:ascii="Calibri"/>
          <w:sz w:val="16"/>
        </w:rPr>
      </w:pPr>
      <w:r>
        <w:rPr>
          <w:rFonts w:ascii="Calibri"/>
          <w:color w:val="585858"/>
          <w:spacing w:val="-1"/>
          <w:sz w:val="16"/>
        </w:rPr>
        <w:t>80,000</w:t>
      </w:r>
    </w:p>
    <w:p>
      <w:pPr>
        <w:spacing w:before="54"/>
        <w:ind w:left="0" w:right="10084" w:firstLine="0"/>
        <w:jc w:val="right"/>
        <w:rPr>
          <w:rFonts w:ascii="Calibri"/>
          <w:sz w:val="16"/>
        </w:rPr>
      </w:pPr>
      <w:r>
        <w:rPr>
          <w:rFonts w:ascii="Calibri"/>
          <w:color w:val="585858"/>
          <w:spacing w:val="-1"/>
          <w:sz w:val="16"/>
        </w:rPr>
        <w:t>60,000</w:t>
      </w:r>
    </w:p>
    <w:p>
      <w:pPr>
        <w:spacing w:before="54"/>
        <w:ind w:left="0" w:right="10084" w:firstLine="0"/>
        <w:jc w:val="right"/>
        <w:rPr>
          <w:rFonts w:ascii="Calibri"/>
          <w:sz w:val="16"/>
        </w:rPr>
      </w:pPr>
      <w:r>
        <w:rPr>
          <w:rFonts w:ascii="Calibri"/>
          <w:color w:val="585858"/>
          <w:spacing w:val="-1"/>
          <w:sz w:val="16"/>
        </w:rPr>
        <w:t>40,000</w:t>
      </w:r>
    </w:p>
    <w:p>
      <w:pPr>
        <w:spacing w:before="53"/>
        <w:ind w:left="0" w:right="10084" w:firstLine="0"/>
        <w:jc w:val="right"/>
        <w:rPr>
          <w:rFonts w:ascii="Calibri"/>
          <w:sz w:val="16"/>
        </w:rPr>
      </w:pPr>
      <w:r>
        <w:rPr>
          <w:rFonts w:ascii="Calibri"/>
          <w:color w:val="585858"/>
          <w:spacing w:val="-1"/>
          <w:sz w:val="16"/>
        </w:rPr>
        <w:t>20,000</w:t>
      </w:r>
    </w:p>
    <w:p>
      <w:pPr>
        <w:spacing w:before="54"/>
        <w:ind w:left="0" w:right="10084" w:firstLine="0"/>
        <w:jc w:val="right"/>
        <w:rPr>
          <w:rFonts w:ascii="Calibri"/>
          <w:sz w:val="16"/>
        </w:rPr>
      </w:pPr>
      <w:r>
        <w:rPr>
          <w:rFonts w:ascii="Calibri"/>
          <w:color w:val="585858"/>
          <w:w w:val="103"/>
          <w:sz w:val="16"/>
        </w:rPr>
        <w:t>0</w:t>
      </w:r>
    </w:p>
    <w:p>
      <w:pPr>
        <w:pStyle w:val="BodyText"/>
        <w:rPr>
          <w:rFonts w:ascii="Calibri"/>
        </w:rPr>
      </w:pPr>
    </w:p>
    <w:p>
      <w:pPr>
        <w:pStyle w:val="BodyText"/>
        <w:spacing w:before="4"/>
        <w:rPr>
          <w:rFonts w:ascii="Calibri"/>
          <w:sz w:val="26"/>
        </w:rPr>
      </w:pPr>
    </w:p>
    <w:p>
      <w:pPr>
        <w:spacing w:before="61"/>
        <w:ind w:left="1602" w:right="1415" w:firstLine="0"/>
        <w:jc w:val="center"/>
        <w:rPr>
          <w:rFonts w:ascii="Calibri"/>
          <w:b/>
          <w:sz w:val="19"/>
        </w:rPr>
      </w:pPr>
      <w:r>
        <w:rPr>
          <w:rFonts w:ascii="Calibri"/>
          <w:b/>
          <w:color w:val="585858"/>
          <w:sz w:val="19"/>
        </w:rPr>
        <w:t>Year Ending 30 June</w:t>
      </w:r>
    </w:p>
    <w:p>
      <w:pPr>
        <w:pStyle w:val="BodyText"/>
        <w:spacing w:before="1"/>
        <w:rPr>
          <w:rFonts w:ascii="Calibri"/>
          <w:b/>
          <w:sz w:val="9"/>
        </w:rPr>
      </w:pPr>
    </w:p>
    <w:p>
      <w:pPr>
        <w:spacing w:before="76"/>
        <w:ind w:left="1597" w:right="9672" w:firstLine="0"/>
        <w:jc w:val="center"/>
        <w:rPr>
          <w:rFonts w:ascii="Calibri"/>
          <w:sz w:val="12"/>
        </w:rPr>
      </w:pPr>
      <w:r>
        <w:rPr>
          <w:rFonts w:ascii="Calibri"/>
          <w:sz w:val="12"/>
        </w:rPr>
        <w:t>Class key:</w:t>
      </w:r>
    </w:p>
    <w:p>
      <w:pPr>
        <w:tabs>
          <w:tab w:pos="1445" w:val="left" w:leader="none"/>
          <w:tab w:pos="2891" w:val="left" w:leader="none"/>
          <w:tab w:pos="4337" w:val="left" w:leader="none"/>
          <w:tab w:pos="5782" w:val="left" w:leader="none"/>
          <w:tab w:pos="7228" w:val="left" w:leader="none"/>
        </w:tabs>
        <w:spacing w:before="45"/>
        <w:ind w:left="0" w:right="132" w:firstLine="0"/>
        <w:jc w:val="center"/>
        <w:rPr>
          <w:rFonts w:ascii="Calibri"/>
          <w:sz w:val="12"/>
        </w:rPr>
      </w:pPr>
      <w:r>
        <w:rPr/>
        <w:pict>
          <v:group style="position:absolute;margin-left:85.804085pt;margin-top:1.553453pt;width:10.95pt;height:18.850pt;mso-position-horizontal-relative:page;mso-position-vertical-relative:paragraph;z-index:252147712" coordorigin="1716,31" coordsize="219,377">
            <v:rect style="position:absolute;left:1716;top:31;width:219;height:169" filled="true" fillcolor="#1f487c" stroked="false">
              <v:fill type="solid"/>
            </v:rect>
            <v:rect style="position:absolute;left:1716;top:239;width:219;height:169" filled="true" fillcolor="#f8a763" stroked="false">
              <v:fill type="solid"/>
            </v:rect>
            <w10:wrap type="none"/>
          </v:group>
        </w:pict>
      </w:r>
      <w:r>
        <w:rPr/>
        <w:pict>
          <v:group style="position:absolute;margin-left:157.689728pt;margin-top:1.553453pt;width:11.35pt;height:18.850pt;mso-position-horizontal-relative:page;mso-position-vertical-relative:paragraph;z-index:-287754240" coordorigin="3154,31" coordsize="227,377">
            <v:rect style="position:absolute;left:3153;top:31;width:227;height:169" filled="true" fillcolor="#009544" stroked="false">
              <v:fill type="solid"/>
            </v:rect>
            <v:rect style="position:absolute;left:3153;top:239;width:227;height:169" filled="true" fillcolor="#ecb8e7" stroked="false">
              <v:fill type="solid"/>
            </v:rect>
            <w10:wrap type="none"/>
          </v:group>
        </w:pict>
      </w:r>
      <w:r>
        <w:rPr/>
        <w:pict>
          <v:group style="position:absolute;margin-left:229.97963pt;margin-top:1.553453pt;width:11.35pt;height:18.850pt;mso-position-horizontal-relative:page;mso-position-vertical-relative:paragraph;z-index:-287753216" coordorigin="4600,31" coordsize="227,377">
            <v:rect style="position:absolute;left:4599;top:31;width:227;height:169" filled="true" fillcolor="#e16b09" stroked="false">
              <v:fill type="solid"/>
            </v:rect>
            <v:rect style="position:absolute;left:4599;top:239;width:227;height:169" filled="true" fillcolor="#938953" stroked="false">
              <v:fill type="solid"/>
            </v:rect>
            <w10:wrap type="none"/>
          </v:group>
        </w:pict>
      </w:r>
      <w:r>
        <w:rPr/>
        <w:pict>
          <v:group style="position:absolute;margin-left:302.269928pt;margin-top:1.553453pt;width:11.35pt;height:18.850pt;mso-position-horizontal-relative:page;mso-position-vertical-relative:paragraph;z-index:-287752192" coordorigin="6045,31" coordsize="227,377">
            <v:rect style="position:absolute;left:6045;top:31;width:227;height:169" filled="true" fillcolor="#e08ad6" stroked="false">
              <v:fill type="solid"/>
            </v:rect>
            <v:rect style="position:absolute;left:6045;top:239;width:227;height:169" filled="true" fillcolor="#ffd600" stroked="false">
              <v:fill type="solid"/>
            </v:rect>
            <w10:wrap type="none"/>
          </v:group>
        </w:pict>
      </w:r>
      <w:r>
        <w:rPr/>
        <w:pict>
          <v:group style="position:absolute;margin-left:374.559845pt;margin-top:1.553453pt;width:11.35pt;height:18.850pt;mso-position-horizontal-relative:page;mso-position-vertical-relative:paragraph;z-index:-287751168" coordorigin="7491,31" coordsize="227,377">
            <v:rect style="position:absolute;left:7491;top:31;width:227;height:169" filled="true" fillcolor="#8063a1" stroked="false">
              <v:fill type="solid"/>
            </v:rect>
            <v:rect style="position:absolute;left:7491;top:239;width:227;height:169" filled="true" fillcolor="#000000" stroked="false">
              <v:fill type="solid"/>
            </v:rect>
            <w10:wrap type="none"/>
          </v:group>
        </w:pict>
      </w:r>
      <w:r>
        <w:rPr/>
        <w:pict>
          <v:group style="position:absolute;margin-left:446.849335pt;margin-top:1.553453pt;width:11.35pt;height:18.850pt;mso-position-horizontal-relative:page;mso-position-vertical-relative:paragraph;z-index:-287750144" coordorigin="8937,31" coordsize="227,377">
            <v:rect style="position:absolute;left:8936;top:31;width:227;height:169" filled="true" fillcolor="#c0504d" stroked="false">
              <v:fill type="solid"/>
            </v:rect>
            <v:rect style="position:absolute;left:8936;top:239;width:227;height:169" filled="true" fillcolor="#ffeb8f" stroked="false">
              <v:fill type="solid"/>
            </v:rect>
            <w10:wrap type="none"/>
          </v:group>
        </w:pict>
      </w:r>
      <w:r>
        <w:rPr>
          <w:rFonts w:ascii="Calibri"/>
          <w:sz w:val="12"/>
        </w:rPr>
        <w:t>1</w:t>
      </w:r>
      <w:r>
        <w:rPr>
          <w:rFonts w:ascii="Calibri"/>
          <w:spacing w:val="-7"/>
          <w:sz w:val="12"/>
        </w:rPr>
        <w:t> </w:t>
      </w:r>
      <w:r>
        <w:rPr>
          <w:rFonts w:ascii="Calibri"/>
          <w:sz w:val="12"/>
        </w:rPr>
        <w:t>-</w:t>
      </w:r>
      <w:r>
        <w:rPr>
          <w:rFonts w:ascii="Calibri"/>
          <w:spacing w:val="2"/>
          <w:sz w:val="12"/>
        </w:rPr>
        <w:t> </w:t>
      </w:r>
      <w:r>
        <w:rPr>
          <w:rFonts w:ascii="Calibri"/>
          <w:sz w:val="12"/>
        </w:rPr>
        <w:t>Studying</w:t>
        <w:tab/>
        <w:t>2 -</w:t>
      </w:r>
      <w:r>
        <w:rPr>
          <w:rFonts w:ascii="Calibri"/>
          <w:spacing w:val="-6"/>
          <w:sz w:val="12"/>
        </w:rPr>
        <w:t> </w:t>
      </w:r>
      <w:r>
        <w:rPr>
          <w:rFonts w:ascii="Calibri"/>
          <w:sz w:val="12"/>
        </w:rPr>
        <w:t>Working</w:t>
      </w:r>
      <w:r>
        <w:rPr>
          <w:rFonts w:ascii="Calibri"/>
          <w:spacing w:val="-3"/>
          <w:sz w:val="12"/>
        </w:rPr>
        <w:t> </w:t>
      </w:r>
      <w:r>
        <w:rPr>
          <w:rFonts w:ascii="Calibri"/>
          <w:sz w:val="12"/>
        </w:rPr>
        <w:t>Age</w:t>
        <w:tab/>
        <w:t>3</w:t>
      </w:r>
      <w:r>
        <w:rPr>
          <w:rFonts w:ascii="Calibri"/>
          <w:spacing w:val="-7"/>
          <w:sz w:val="12"/>
        </w:rPr>
        <w:t> </w:t>
      </w:r>
      <w:r>
        <w:rPr>
          <w:rFonts w:ascii="Calibri"/>
          <w:sz w:val="12"/>
        </w:rPr>
        <w:t>-</w:t>
      </w:r>
      <w:r>
        <w:rPr>
          <w:rFonts w:ascii="Calibri"/>
          <w:spacing w:val="1"/>
          <w:sz w:val="12"/>
        </w:rPr>
        <w:t> </w:t>
      </w:r>
      <w:r>
        <w:rPr>
          <w:rFonts w:ascii="Calibri"/>
          <w:sz w:val="12"/>
        </w:rPr>
        <w:t>Parents</w:t>
        <w:tab/>
        <w:t>4</w:t>
      </w:r>
      <w:r>
        <w:rPr>
          <w:rFonts w:ascii="Calibri"/>
          <w:spacing w:val="-8"/>
          <w:sz w:val="12"/>
        </w:rPr>
        <w:t> </w:t>
      </w:r>
      <w:r>
        <w:rPr>
          <w:rFonts w:ascii="Calibri"/>
          <w:sz w:val="12"/>
        </w:rPr>
        <w:t>- Carers</w:t>
        <w:tab/>
        <w:t>5 -</w:t>
      </w:r>
      <w:r>
        <w:rPr>
          <w:rFonts w:ascii="Calibri"/>
          <w:spacing w:val="-2"/>
          <w:sz w:val="12"/>
        </w:rPr>
        <w:t> </w:t>
      </w:r>
      <w:r>
        <w:rPr>
          <w:rFonts w:ascii="Calibri"/>
          <w:sz w:val="12"/>
        </w:rPr>
        <w:t>Disability</w:t>
      </w:r>
      <w:r>
        <w:rPr>
          <w:rFonts w:ascii="Calibri"/>
          <w:spacing w:val="1"/>
          <w:sz w:val="12"/>
        </w:rPr>
        <w:t> </w:t>
      </w:r>
      <w:r>
        <w:rPr>
          <w:rFonts w:ascii="Calibri"/>
          <w:sz w:val="12"/>
        </w:rPr>
        <w:t>Support</w:t>
        <w:tab/>
        <w:t>6 - Pension</w:t>
      </w:r>
      <w:r>
        <w:rPr>
          <w:rFonts w:ascii="Calibri"/>
          <w:spacing w:val="-10"/>
          <w:sz w:val="12"/>
        </w:rPr>
        <w:t> </w:t>
      </w:r>
      <w:r>
        <w:rPr>
          <w:rFonts w:ascii="Calibri"/>
          <w:sz w:val="12"/>
        </w:rPr>
        <w:t>Age</w:t>
      </w:r>
    </w:p>
    <w:p>
      <w:pPr>
        <w:spacing w:after="0"/>
        <w:jc w:val="center"/>
        <w:rPr>
          <w:rFonts w:ascii="Calibri"/>
          <w:sz w:val="12"/>
        </w:rPr>
        <w:sectPr>
          <w:pgSz w:w="11910" w:h="16850"/>
          <w:pgMar w:header="572" w:footer="581" w:top="780" w:bottom="780" w:left="120" w:right="0"/>
        </w:sectPr>
      </w:pPr>
    </w:p>
    <w:p>
      <w:pPr>
        <w:spacing w:before="62"/>
        <w:ind w:left="0" w:right="0" w:firstLine="0"/>
        <w:jc w:val="right"/>
        <w:rPr>
          <w:rFonts w:ascii="Calibri"/>
          <w:sz w:val="12"/>
        </w:rPr>
      </w:pPr>
      <w:r>
        <w:rPr>
          <w:rFonts w:ascii="Calibri"/>
          <w:sz w:val="12"/>
        </w:rPr>
        <w:t>7 - Non IS Family</w:t>
      </w:r>
    </w:p>
    <w:p>
      <w:pPr>
        <w:pStyle w:val="ListParagraph"/>
        <w:numPr>
          <w:ilvl w:val="0"/>
          <w:numId w:val="38"/>
        </w:numPr>
        <w:tabs>
          <w:tab w:pos="665" w:val="left" w:leader="none"/>
        </w:tabs>
        <w:spacing w:line="240" w:lineRule="auto" w:before="62" w:after="0"/>
        <w:ind w:left="664" w:right="0" w:hanging="82"/>
        <w:jc w:val="left"/>
        <w:rPr>
          <w:rFonts w:ascii="Calibri"/>
          <w:sz w:val="12"/>
        </w:rPr>
      </w:pPr>
      <w:r>
        <w:rPr>
          <w:rFonts w:ascii="Calibri"/>
          <w:w w:val="100"/>
          <w:sz w:val="12"/>
        </w:rPr>
        <w:br w:type="column"/>
      </w:r>
      <w:r>
        <w:rPr>
          <w:rFonts w:ascii="Calibri"/>
          <w:sz w:val="12"/>
        </w:rPr>
        <w:t>- Non IS</w:t>
      </w:r>
      <w:r>
        <w:rPr>
          <w:rFonts w:ascii="Calibri"/>
          <w:spacing w:val="2"/>
          <w:sz w:val="12"/>
        </w:rPr>
        <w:t> </w:t>
      </w:r>
      <w:r>
        <w:rPr>
          <w:rFonts w:ascii="Calibri"/>
          <w:spacing w:val="-3"/>
          <w:sz w:val="12"/>
        </w:rPr>
        <w:t>Carer</w:t>
      </w:r>
    </w:p>
    <w:p>
      <w:pPr>
        <w:pStyle w:val="ListParagraph"/>
        <w:numPr>
          <w:ilvl w:val="0"/>
          <w:numId w:val="38"/>
        </w:numPr>
        <w:tabs>
          <w:tab w:pos="726" w:val="left" w:leader="none"/>
        </w:tabs>
        <w:spacing w:line="240" w:lineRule="auto" w:before="62" w:after="0"/>
        <w:ind w:left="725" w:right="0" w:hanging="82"/>
        <w:jc w:val="left"/>
        <w:rPr>
          <w:rFonts w:ascii="Calibri"/>
          <w:sz w:val="12"/>
        </w:rPr>
      </w:pPr>
      <w:r>
        <w:rPr>
          <w:rFonts w:ascii="Calibri"/>
          <w:w w:val="100"/>
          <w:sz w:val="12"/>
        </w:rPr>
        <w:br w:type="column"/>
      </w:r>
      <w:r>
        <w:rPr>
          <w:rFonts w:ascii="Calibri"/>
          <w:sz w:val="12"/>
        </w:rPr>
        <w:t>- Non IS</w:t>
      </w:r>
      <w:r>
        <w:rPr>
          <w:rFonts w:ascii="Calibri"/>
          <w:spacing w:val="5"/>
          <w:sz w:val="12"/>
        </w:rPr>
        <w:t> </w:t>
      </w:r>
      <w:r>
        <w:rPr>
          <w:rFonts w:ascii="Calibri"/>
          <w:spacing w:val="-3"/>
          <w:sz w:val="12"/>
        </w:rPr>
        <w:t>Other</w:t>
      </w:r>
    </w:p>
    <w:p>
      <w:pPr>
        <w:pStyle w:val="ListParagraph"/>
        <w:numPr>
          <w:ilvl w:val="0"/>
          <w:numId w:val="38"/>
        </w:numPr>
        <w:tabs>
          <w:tab w:pos="759" w:val="left" w:leader="none"/>
        </w:tabs>
        <w:spacing w:line="261" w:lineRule="auto" w:before="62" w:after="0"/>
        <w:ind w:left="620" w:right="0" w:firstLine="0"/>
        <w:jc w:val="left"/>
        <w:rPr>
          <w:rFonts w:ascii="Calibri"/>
          <w:sz w:val="12"/>
        </w:rPr>
      </w:pPr>
      <w:r>
        <w:rPr>
          <w:rFonts w:ascii="Calibri"/>
          <w:w w:val="100"/>
          <w:sz w:val="12"/>
        </w:rPr>
        <w:br w:type="column"/>
      </w:r>
      <w:r>
        <w:rPr>
          <w:rFonts w:ascii="Calibri"/>
          <w:sz w:val="12"/>
        </w:rPr>
        <w:t>- Previous Welfare Recipient</w:t>
      </w:r>
    </w:p>
    <w:p>
      <w:pPr>
        <w:pStyle w:val="ListParagraph"/>
        <w:numPr>
          <w:ilvl w:val="0"/>
          <w:numId w:val="38"/>
        </w:numPr>
        <w:tabs>
          <w:tab w:pos="482" w:val="left" w:leader="none"/>
        </w:tabs>
        <w:spacing w:line="240" w:lineRule="auto" w:before="62" w:after="0"/>
        <w:ind w:left="481" w:right="0" w:hanging="139"/>
        <w:jc w:val="left"/>
        <w:rPr>
          <w:rFonts w:ascii="Calibri"/>
          <w:sz w:val="12"/>
        </w:rPr>
      </w:pPr>
      <w:r>
        <w:rPr>
          <w:rFonts w:ascii="Calibri"/>
          <w:w w:val="100"/>
          <w:sz w:val="12"/>
        </w:rPr>
        <w:br w:type="column"/>
      </w:r>
      <w:r>
        <w:rPr>
          <w:rFonts w:ascii="Calibri"/>
          <w:sz w:val="12"/>
        </w:rPr>
        <w:t>-</w:t>
      </w:r>
      <w:r>
        <w:rPr>
          <w:rFonts w:ascii="Calibri"/>
          <w:spacing w:val="3"/>
          <w:sz w:val="12"/>
        </w:rPr>
        <w:t> </w:t>
      </w:r>
      <w:r>
        <w:rPr>
          <w:rFonts w:ascii="Calibri"/>
          <w:spacing w:val="-5"/>
          <w:sz w:val="12"/>
        </w:rPr>
        <w:t>Dead</w:t>
      </w:r>
    </w:p>
    <w:p>
      <w:pPr>
        <w:pStyle w:val="ListParagraph"/>
        <w:numPr>
          <w:ilvl w:val="0"/>
          <w:numId w:val="38"/>
        </w:numPr>
        <w:tabs>
          <w:tab w:pos="1084" w:val="left" w:leader="none"/>
        </w:tabs>
        <w:spacing w:line="261" w:lineRule="auto" w:before="62" w:after="0"/>
        <w:ind w:left="946" w:right="1894" w:firstLine="0"/>
        <w:jc w:val="left"/>
        <w:rPr>
          <w:rFonts w:ascii="Calibri"/>
          <w:sz w:val="12"/>
        </w:rPr>
      </w:pPr>
      <w:r>
        <w:rPr>
          <w:rFonts w:ascii="Calibri"/>
          <w:w w:val="100"/>
          <w:sz w:val="12"/>
        </w:rPr>
        <w:br w:type="column"/>
      </w:r>
      <w:r>
        <w:rPr>
          <w:rFonts w:ascii="Calibri"/>
          <w:sz w:val="12"/>
        </w:rPr>
        <w:t>- Rest of Aust. Population</w:t>
      </w:r>
    </w:p>
    <w:p>
      <w:pPr>
        <w:spacing w:after="0" w:line="261" w:lineRule="auto"/>
        <w:jc w:val="left"/>
        <w:rPr>
          <w:rFonts w:ascii="Calibri"/>
          <w:sz w:val="12"/>
        </w:rPr>
        <w:sectPr>
          <w:type w:val="continuous"/>
          <w:pgSz w:w="11910" w:h="16850"/>
          <w:pgMar w:top="1600" w:bottom="280" w:left="120" w:right="0"/>
          <w:cols w:num="6" w:equalWidth="0">
            <w:col w:w="2653" w:space="40"/>
            <w:col w:w="1345" w:space="39"/>
            <w:col w:w="1430" w:space="40"/>
            <w:col w:w="1683" w:space="39"/>
            <w:col w:w="804" w:space="40"/>
            <w:col w:w="3677"/>
          </w:cols>
        </w:sectPr>
      </w:pPr>
    </w:p>
    <w:p>
      <w:pPr>
        <w:pStyle w:val="BodyText"/>
        <w:rPr>
          <w:rFonts w:ascii="Calibri"/>
        </w:rPr>
      </w:pPr>
    </w:p>
    <w:p>
      <w:pPr>
        <w:pStyle w:val="BodyText"/>
        <w:spacing w:before="9"/>
        <w:rPr>
          <w:rFonts w:ascii="Calibri"/>
          <w:sz w:val="19"/>
        </w:rPr>
      </w:pPr>
    </w:p>
    <w:p>
      <w:pPr>
        <w:pStyle w:val="BodyText"/>
        <w:ind w:left="900" w:right="1086"/>
      </w:pPr>
      <w:r>
        <w:rPr>
          <w:color w:val="404040"/>
        </w:rPr>
        <w:t>We can see that most people enter this class directly from outside the welfare system, many of whom have never received welfare payments before. This is not unexpected, given the age profile and nature of benefits in this class. Of the people who enter this class from within the welfare system, most people come from the Working Age class.</w:t>
      </w:r>
    </w:p>
    <w:p>
      <w:pPr>
        <w:pStyle w:val="BodyText"/>
        <w:spacing w:before="120"/>
        <w:ind w:left="899" w:right="1079"/>
        <w:jc w:val="both"/>
      </w:pPr>
      <w:r>
        <w:rPr>
          <w:color w:val="404040"/>
        </w:rPr>
        <w:t>People in this class also show a high level of mobility; as can be seen by the high numbers of entries and exits relative to the total number of people in the class. Of those exiting the class, most people generally transition to the Working Age class or transition out of the welfare system.</w:t>
      </w:r>
    </w:p>
    <w:p>
      <w:pPr>
        <w:pStyle w:val="BodyText"/>
        <w:spacing w:before="121"/>
        <w:ind w:left="900" w:right="1287"/>
      </w:pPr>
      <w:r>
        <w:rPr>
          <w:color w:val="404040"/>
        </w:rPr>
        <w:t>Over the last few years, entries into the Studying class have been lower than exits, resulting in a decrease in the number of people in the class. Entry rates into the Studying class have reduced since 2017 due to lower numbers of people entering from the Working Age and Rest of Population classes.</w:t>
      </w:r>
    </w:p>
    <w:p>
      <w:pPr>
        <w:pStyle w:val="BodyText"/>
        <w:spacing w:before="119"/>
        <w:ind w:left="900" w:right="1376"/>
      </w:pPr>
      <w:r>
        <w:rPr>
          <w:color w:val="404040"/>
        </w:rPr>
        <w:t>The level of entries is projected to remain similar for the next few years, and the level of exits is projected to reduce towards a similar level to the entries.</w:t>
      </w:r>
    </w:p>
    <w:p>
      <w:pPr>
        <w:spacing w:after="0"/>
        <w:sectPr>
          <w:type w:val="continuous"/>
          <w:pgSz w:w="11910" w:h="16850"/>
          <w:pgMar w:top="1600" w:bottom="280" w:left="120" w:right="0"/>
        </w:sectPr>
      </w:pPr>
    </w:p>
    <w:p>
      <w:pPr>
        <w:pStyle w:val="BodyText"/>
      </w:pPr>
    </w:p>
    <w:p>
      <w:pPr>
        <w:pStyle w:val="BodyText"/>
      </w:pPr>
    </w:p>
    <w:p>
      <w:pPr>
        <w:pStyle w:val="BodyText"/>
        <w:spacing w:before="7"/>
        <w:rPr>
          <w:sz w:val="21"/>
        </w:rPr>
      </w:pPr>
    </w:p>
    <w:p>
      <w:pPr>
        <w:pStyle w:val="Heading6"/>
        <w:spacing w:before="94"/>
        <w:rPr>
          <w:i/>
        </w:rPr>
      </w:pPr>
      <w:r>
        <w:rPr>
          <w:i/>
          <w:color w:val="DF2F1E"/>
        </w:rPr>
        <w:t>Payments received</w:t>
      </w:r>
    </w:p>
    <w:p>
      <w:pPr>
        <w:pStyle w:val="BodyText"/>
        <w:spacing w:before="121"/>
        <w:ind w:left="899" w:right="1009"/>
      </w:pPr>
      <w:r>
        <w:rPr>
          <w:color w:val="404040"/>
        </w:rPr>
        <w:t>During 2017/18, people in this class received a total of $2.7 billion. This is 2.3% of the total payments made in 2017/18. The chart below shows the average amount paid in a year to each person in this class, shown for both recent years and the first five years of the projection.</w:t>
      </w:r>
    </w:p>
    <w:p>
      <w:pPr>
        <w:pStyle w:val="Heading9"/>
        <w:spacing w:before="176"/>
      </w:pPr>
      <w:r>
        <w:rPr>
          <w:color w:val="DF2F1E"/>
        </w:rPr>
        <w:t>Figure 45: Average payments per person in class 1 – Studying (restated to 2017/18 $ values)</w:t>
      </w:r>
    </w:p>
    <w:p>
      <w:pPr>
        <w:pStyle w:val="BodyText"/>
        <w:spacing w:before="8"/>
        <w:rPr>
          <w:b/>
          <w:sz w:val="22"/>
        </w:rPr>
      </w:pPr>
    </w:p>
    <w:p>
      <w:pPr>
        <w:spacing w:before="71"/>
        <w:ind w:left="0" w:right="10231" w:firstLine="0"/>
        <w:jc w:val="right"/>
        <w:rPr>
          <w:rFonts w:ascii="Calibri"/>
          <w:sz w:val="15"/>
        </w:rPr>
      </w:pPr>
      <w:r>
        <w:rPr/>
        <w:pict>
          <v:group style="position:absolute;margin-left:88.370232pt;margin-top:7.987803pt;width:420.25pt;height:141.15pt;mso-position-horizontal-relative:page;mso-position-vertical-relative:paragraph;z-index:252173312" coordorigin="1767,160" coordsize="8405,2823">
            <v:shape style="position:absolute;left:1825;top:1053;width:8341;height:1099" coordorigin="1826,1054" coordsize="8341,1099" path="m9932,2152l10166,2152m9100,2152l9557,2152m8269,2152l8725,2152m7425,2152l7894,2152m6594,2152l7062,2152m5762,2152l6230,2152m4930,2152l5387,2152m4087,2152l4555,2152m3255,2152l3724,2152m2423,2152l2892,2152m1826,2152l2049,2152m2423,1930l2892,1930m1826,1930l2049,1930m2423,1708l2892,1708m1826,1708l2049,1708m2423,1498l2892,1498m1826,1498l2049,1498m2423,1276l2892,1276m1826,1276l2049,1276m2423,1054l3724,1054m1826,1054l2049,1054e" filled="false" stroked="true" strokeweight=".584348pt" strokecolor="#f1f1f1">
              <v:path arrowok="t"/>
              <v:stroke dashstyle="solid"/>
            </v:shape>
            <v:rect style="position:absolute;left:2048;top:1123;width:375;height:1251" filled="true" fillcolor="#1f487c" stroked="false">
              <v:fill type="solid"/>
            </v:rect>
            <v:shape style="position:absolute;left:3255;top:1275;width:469;height:655" coordorigin="3255,1276" coordsize="469,655" path="m3255,1930l3724,1930m3255,1708l3724,1708m3255,1498l3724,1498m3255,1276l3724,1276e" filled="false" stroked="true" strokeweight=".584348pt" strokecolor="#f1f1f1">
              <v:path arrowok="t"/>
              <v:stroke dashstyle="solid"/>
            </v:shape>
            <v:rect style="position:absolute;left:2891;top:1147;width:364;height:1228" filled="true" fillcolor="#1f487c" stroked="false">
              <v:fill type="solid"/>
            </v:rect>
            <v:shape style="position:absolute;left:4086;top:1275;width:469;height:655" coordorigin="4087,1276" coordsize="469,655" path="m4087,1930l4555,1930m4087,1708l4555,1708m4087,1498l4555,1498m4087,1276l4555,1276e" filled="false" stroked="true" strokeweight=".584348pt" strokecolor="#f1f1f1">
              <v:path arrowok="t"/>
              <v:stroke dashstyle="solid"/>
            </v:shape>
            <v:rect style="position:absolute;left:3723;top:1159;width:364;height:1216" filled="true" fillcolor="#1f487c" stroked="false">
              <v:fill type="solid"/>
            </v:rect>
            <v:shape style="position:absolute;left:4930;top:1275;width:457;height:655" coordorigin="4930,1276" coordsize="457,655" path="m4930,1930l5387,1930m4930,1708l5387,1708m4930,1498l5387,1498m4930,1276l5387,1276e" filled="false" stroked="true" strokeweight=".584348pt" strokecolor="#f1f1f1">
              <v:path arrowok="t"/>
              <v:stroke dashstyle="solid"/>
            </v:shape>
            <v:rect style="position:absolute;left:4555;top:1170;width:375;height:1204" filled="true" fillcolor="#1f487c" stroked="false">
              <v:fill type="solid"/>
            </v:rect>
            <v:shape style="position:absolute;left:5761;top:1275;width:469;height:655" coordorigin="5762,1276" coordsize="469,655" path="m5762,1930l6230,1930m5762,1708l6230,1708m5762,1498l6230,1498m5762,1276l6230,1276e" filled="false" stroked="true" strokeweight=".584348pt" strokecolor="#f1f1f1">
              <v:path arrowok="t"/>
              <v:stroke dashstyle="solid"/>
            </v:shape>
            <v:rect style="position:absolute;left:5386;top:1182;width:375;height:1193" filled="true" fillcolor="#1f487c" stroked="false">
              <v:fill type="solid"/>
            </v:rect>
            <v:shape style="position:absolute;left:6593;top:1275;width:469;height:655" coordorigin="6594,1276" coordsize="469,655" path="m6594,1930l7062,1930m6594,1708l7062,1708m6594,1498l7062,1498m6594,1276l7062,1276e" filled="false" stroked="true" strokeweight=".584348pt" strokecolor="#f1f1f1">
              <v:path arrowok="t"/>
              <v:stroke dashstyle="solid"/>
            </v:shape>
            <v:rect style="position:absolute;left:6230;top:1170;width:364;height:1204" filled="true" fillcolor="#1f487c" stroked="false">
              <v:fill type="solid"/>
            </v:rect>
            <v:shape style="position:absolute;left:7425;top:1275;width:469;height:655" coordorigin="7425,1276" coordsize="469,655" path="m7425,1930l7894,1930m7425,1708l7894,1708m7425,1498l7894,1498m7425,1276l7894,1276e" filled="false" stroked="true" strokeweight=".584348pt" strokecolor="#f1f1f1">
              <v:path arrowok="t"/>
              <v:stroke dashstyle="solid"/>
            </v:shape>
            <v:rect style="position:absolute;left:7062;top:1182;width:364;height:1193" filled="true" fillcolor="#1f487c" stroked="false">
              <v:fill type="solid"/>
            </v:rect>
            <v:shape style="position:absolute;left:8268;top:1275;width:457;height:655" coordorigin="8269,1276" coordsize="457,655" path="m8269,1930l8725,1930m8269,1708l8725,1708m8269,1498l8725,1498m8269,1276l8725,1276e" filled="false" stroked="true" strokeweight=".584348pt" strokecolor="#f1f1f1">
              <v:path arrowok="t"/>
              <v:stroke dashstyle="solid"/>
            </v:shape>
            <v:rect style="position:absolute;left:7893;top:1182;width:375;height:1193" filled="true" fillcolor="#1f487c" stroked="false">
              <v:fill type="solid"/>
            </v:rect>
            <v:shape style="position:absolute;left:9100;top:1275;width:457;height:655" coordorigin="9100,1276" coordsize="457,655" path="m9100,1930l9557,1930m9100,1708l9557,1708m9100,1498l9557,1498m9100,1276l9557,1276e" filled="false" stroked="true" strokeweight=".584348pt" strokecolor="#f1f1f1">
              <v:path arrowok="t"/>
              <v:stroke dashstyle="solid"/>
            </v:shape>
            <v:rect style="position:absolute;left:8725;top:1182;width:375;height:1193" filled="true" fillcolor="#1f487c" stroked="false">
              <v:fill type="solid"/>
            </v:rect>
            <v:shape style="position:absolute;left:9931;top:1275;width:235;height:655" coordorigin="9932,1276" coordsize="235,655" path="m9932,1930l10166,1930m9932,1708l10166,1708m9932,1498l10166,1498m9932,1276l10166,1276e" filled="false" stroked="true" strokeweight=".584348pt" strokecolor="#f1f1f1">
              <v:path arrowok="t"/>
              <v:stroke dashstyle="solid"/>
            </v:shape>
            <v:rect style="position:absolute;left:9557;top:1182;width:375;height:1193" filled="true" fillcolor="#1f487c" stroked="false">
              <v:fill type="solid"/>
            </v:rect>
            <v:shape style="position:absolute;left:2048;top:1030;width:1207;height:117" coordorigin="2049,1030" coordsize="1207,117" path="m2423,1030l2049,1030,2049,1124,2423,1124,2423,1030m3255,1054l2892,1054,2892,1147,3255,1147,3255,1054e" filled="true" fillcolor="#009544" stroked="false">
              <v:path arrowok="t"/>
              <v:fill type="solid"/>
            </v:shape>
            <v:line style="position:absolute" from="4087,1054" to="10166,1054" stroked="true" strokeweight=".584348pt" strokecolor="#f1f1f1">
              <v:stroke dashstyle="solid"/>
            </v:line>
            <v:shape style="position:absolute;left:3723;top:1065;width:6209;height:117" coordorigin="3724,1066" coordsize="6209,117" path="m4087,1066l3724,1066,3724,1159,4087,1159,4087,1066m4930,1089l4555,1089,4555,1171,4930,1171,4930,1089m5762,1112l5387,1112,5387,1182,5762,1182,5762,1112m6594,1101l6230,1101,6230,1171,6594,1171,6594,1101m7425,1112l7062,1112,7062,1182,7425,1182,7425,1112m8269,1112l7894,1112,7894,1182,8269,1182,8269,1112m9100,1112l8725,1112,8725,1182,9100,1182,9100,1112m9932,1112l9557,1112,9557,1182,9932,1182,9932,1112e" filled="true" fillcolor="#009544" stroked="false">
              <v:path arrowok="t"/>
              <v:fill type="solid"/>
            </v:shape>
            <v:shape style="position:absolute;left:2048;top:1024;width:1207;height:24" coordorigin="2049,1025" coordsize="1207,24" path="m2049,1025l2423,1025m2892,1048l3255,1048e" filled="false" stroked="true" strokeweight=".584349pt" strokecolor="#e16b09">
              <v:path arrowok="t"/>
              <v:stroke dashstyle="solid"/>
            </v:shape>
            <v:shape style="position:absolute;left:4555;top:1083;width:1207;height:24" coordorigin="4555,1083" coordsize="1207,24" path="m4555,1083l4930,1083m5387,1106l5762,1106e" filled="false" stroked="true" strokeweight=".584349pt" strokecolor="#e16b09">
              <v:path arrowok="t"/>
              <v:stroke dashstyle="solid"/>
            </v:shape>
            <v:line style="position:absolute" from="6230,1095" to="6594,1095" stroked="true" strokeweight=".584349pt" strokecolor="#e16b09">
              <v:stroke dashstyle="solid"/>
            </v:line>
            <v:shape style="position:absolute;left:7062;top:1106;width:2870;height:2" coordorigin="7062,1106" coordsize="2870,0" path="m7062,1106l7425,1106m7894,1106l8269,1106m8725,1106l9100,1106m9557,1106l9932,1106e" filled="false" stroked="true" strokeweight=".584349pt" strokecolor="#e16b09">
              <v:path arrowok="t"/>
              <v:stroke dashstyle="solid"/>
            </v:shape>
            <v:shape style="position:absolute;left:2048;top:1024;width:1207;height:24" coordorigin="2049,1025" coordsize="1207,24" path="m2049,1025l2423,1025m2892,1048l3255,1048e" filled="false" stroked="true" strokeweight=".584349pt" strokecolor="#e08ad6">
              <v:path arrowok="t"/>
              <v:stroke dashstyle="solid"/>
            </v:shape>
            <v:shape style="position:absolute;left:4555;top:1083;width:1207;height:24" coordorigin="4555,1083" coordsize="1207,24" path="m4555,1083l4930,1083m5387,1106l5762,1106e" filled="false" stroked="true" strokeweight=".584349pt" strokecolor="#e08ad6">
              <v:path arrowok="t"/>
              <v:stroke dashstyle="solid"/>
            </v:shape>
            <v:shape style="position:absolute;left:6230;top:1094;width:1195;height:2" coordorigin="6230,1095" coordsize="1195,0" path="m6230,1095l6594,1095m7062,1095l7425,1095e" filled="false" stroked="true" strokeweight=".584349pt" strokecolor="#e08ad6">
              <v:path arrowok="t"/>
              <v:stroke dashstyle="solid"/>
            </v:shape>
            <v:shape style="position:absolute;left:7893;top:1106;width:2039;height:2" coordorigin="7894,1106" coordsize="2039,0" path="m7894,1106l8269,1106m8725,1106l9100,1106m9557,1106l9932,1106e" filled="false" stroked="true" strokeweight=".584349pt" strokecolor="#e08ad6">
              <v:path arrowok="t"/>
              <v:stroke dashstyle="solid"/>
            </v:shape>
            <v:shape style="position:absolute;left:2048;top:1024;width:1207;height:24" coordorigin="2049,1025" coordsize="1207,24" path="m2049,1025l2423,1025m2892,1048l3255,1048e" filled="false" stroked="true" strokeweight=".584349pt" strokecolor="#8063a1">
              <v:path arrowok="t"/>
              <v:stroke dashstyle="solid"/>
            </v:shape>
            <v:shape style="position:absolute;left:4555;top:1083;width:1207;height:24" coordorigin="4555,1083" coordsize="1207,24" path="m4555,1083l4930,1083m5387,1106l5762,1106e" filled="false" stroked="true" strokeweight=".584349pt" strokecolor="#8063a1">
              <v:path arrowok="t"/>
              <v:stroke dashstyle="solid"/>
            </v:shape>
            <v:shape style="position:absolute;left:6230;top:1094;width:3702;height:2" coordorigin="6230,1095" coordsize="3702,0" path="m6230,1095l6594,1095m7062,1095l7425,1095m7894,1095l8269,1095m8725,1095l9100,1095m9557,1095l9932,1095e" filled="false" stroked="true" strokeweight=".584349pt" strokecolor="#8063a1">
              <v:path arrowok="t"/>
              <v:stroke dashstyle="solid"/>
            </v:shape>
            <v:line style="position:absolute" from="2049,1025" to="2423,1025" stroked="true" strokeweight=".584347pt" strokecolor="#c0504d">
              <v:stroke dashstyle="solid"/>
            </v:line>
            <v:line style="position:absolute" from="2892,1048" to="3255,1048" stroked="true" strokeweight=".584347pt" strokecolor="#c0504d">
              <v:stroke dashstyle="solid"/>
            </v:line>
            <v:shape style="position:absolute;left:4555;top:1083;width:2870;height:12" coordorigin="4555,1083" coordsize="2870,12" path="m4555,1083l4930,1083m6230,1095l6594,1095m7062,1095l7425,1095e" filled="false" stroked="true" strokeweight=".584347pt" strokecolor="#c0504d">
              <v:path arrowok="t"/>
              <v:stroke dashstyle="solid"/>
            </v:shape>
            <v:shape style="position:absolute;left:2048;top:1024;width:1207;height:24" coordorigin="2049,1025" coordsize="1207,24" path="m2049,1025l2423,1025m2892,1048l3255,1048e" filled="false" stroked="true" strokeweight=".584349pt" strokecolor="#c9dba4">
              <v:path arrowok="t"/>
              <v:stroke dashstyle="solid"/>
            </v:shape>
            <v:line style="position:absolute" from="5387,1106" to="5762,1106" stroked="true" strokeweight=".584349pt" strokecolor="#c9dba4">
              <v:stroke dashstyle="solid"/>
            </v:line>
            <v:shape style="position:absolute;left:6230;top:1094;width:3702;height:2" coordorigin="6230,1095" coordsize="3702,0" path="m6230,1095l6594,1095m9557,1095l9932,1095e" filled="false" stroked="true" strokeweight=".584349pt" strokecolor="#c9dba4">
              <v:path arrowok="t"/>
              <v:stroke dashstyle="solid"/>
            </v:shape>
            <v:shape style="position:absolute;left:2048;top:960;width:4545;height:152" coordorigin="2049,960" coordsize="4545,152" path="m2423,960l2049,960,2049,1030,2423,1030,2423,960m3255,984l2892,984,2892,1054,3255,1054,3255,984m4087,984l3724,984,3724,1066,4087,1066,4087,984m4930,1019l4555,1019,4555,1089,4930,1089,4930,1019m5762,1042l5387,1042,5387,1112,5762,1112,5762,1042m6594,1030l6230,1030,6230,1101,6594,1101,6594,1030e" filled="true" fillcolor="#f8a763" stroked="false">
              <v:path arrowok="t"/>
              <v:fill type="solid"/>
            </v:shape>
            <v:line style="position:absolute" from="7062,1066" to="7425,1066" stroked="true" strokeweight="3.506109pt" strokecolor="#f8a763">
              <v:stroke dashstyle="solid"/>
            </v:line>
            <v:shape style="position:absolute;left:7893;top:1042;width:2039;height:59" coordorigin="7894,1042" coordsize="2039,59" path="m8269,1042l7894,1042,7894,1101,8269,1101,8269,1042m9100,1042l8725,1042,8725,1101,9100,1101,9100,1042m9932,1042l9557,1042,9557,1101,9932,1101,9932,1042e" filled="true" fillcolor="#f8a763" stroked="false">
              <v:path arrowok="t"/>
              <v:fill type="solid"/>
            </v:shape>
            <v:line style="position:absolute" from="2049,954" to="2423,954" stroked="true" strokeweight=".584349pt" strokecolor="#f9c090">
              <v:stroke dashstyle="solid"/>
            </v:line>
            <v:rect style="position:absolute;left:2891;top:960;width:364;height:24" filled="true" fillcolor="#f9c090" stroked="false">
              <v:fill type="solid"/>
            </v:rect>
            <v:line style="position:absolute" from="3724,978" to="4087,978" stroked="true" strokeweight=".584349pt" strokecolor="#f9c090">
              <v:stroke dashstyle="solid"/>
            </v:line>
            <v:shape style="position:absolute;left:4555;top:1012;width:1207;height:24" coordorigin="4555,1013" coordsize="1207,24" path="m4555,1013l4930,1013m5387,1036l5762,1036e" filled="false" stroked="true" strokeweight=".584349pt" strokecolor="#f9c090">
              <v:path arrowok="t"/>
              <v:stroke dashstyle="solid"/>
            </v:shape>
            <v:shape style="position:absolute;left:6230;top:1024;width:1195;height:2" coordorigin="6230,1025" coordsize="1195,0" path="m6230,1025l6594,1025m7062,1025l7425,1025e" filled="false" stroked="true" strokeweight=".584349pt" strokecolor="#f9c090">
              <v:path arrowok="t"/>
              <v:stroke dashstyle="solid"/>
            </v:shape>
            <v:shape style="position:absolute;left:7893;top:1018;width:2039;height:24" coordorigin="7894,1019" coordsize="2039,24" path="m8269,1019l7894,1019,7894,1042,8269,1042,8269,1019m9100,1019l8725,1019,8725,1042,9100,1042,9100,1019m9932,1019l9557,1019,9557,1042,9932,1042,9932,1019e" filled="true" fillcolor="#f9c090" stroked="false">
              <v:path arrowok="t"/>
              <v:fill type="solid"/>
            </v:shape>
            <v:shape style="position:absolute;left:2048;top:942;width:2039;height:24" coordorigin="2049,943" coordsize="2039,24" path="m2049,943l2423,943m3724,966l4087,966e" filled="false" stroked="true" strokeweight=".584349pt" strokecolor="#fbddc4">
              <v:path arrowok="t"/>
              <v:stroke dashstyle="solid"/>
            </v:shape>
            <v:line style="position:absolute" from="4555,1001" to="4930,1001" stroked="true" strokeweight=".584349pt" strokecolor="#fbddc4">
              <v:stroke dashstyle="solid"/>
            </v:line>
            <v:shape style="position:absolute;left:6230;top:1012;width:1195;height:2" coordorigin="6230,1013" coordsize="1195,0" path="m6230,1013l6594,1013m7062,1013l7425,1013e" filled="false" stroked="true" strokeweight=".584349pt" strokecolor="#fbddc4">
              <v:path arrowok="t"/>
              <v:stroke dashstyle="solid"/>
            </v:shape>
            <v:shape style="position:absolute;left:2048;top:942;width:2039;height:24" coordorigin="2049,943" coordsize="2039,24" path="m2049,943l2423,943m3724,966l4087,966e" filled="false" stroked="true" strokeweight=".584349pt" strokecolor="#938953">
              <v:path arrowok="t"/>
              <v:stroke dashstyle="solid"/>
            </v:shape>
            <v:line style="position:absolute" from="4555,1001" to="4930,1001" stroked="true" strokeweight=".584349pt" strokecolor="#938953">
              <v:stroke dashstyle="solid"/>
            </v:line>
            <v:line style="position:absolute" from="7062,1013" to="7425,1013" stroked="true" strokeweight=".584349pt" strokecolor="#938953">
              <v:stroke dashstyle="solid"/>
            </v:line>
            <v:line style="position:absolute" from="4555,1001" to="4930,1001" stroked="true" strokeweight=".584349pt" strokecolor="#ecb8e7">
              <v:stroke dashstyle="solid"/>
            </v:line>
            <v:line style="position:absolute" from="7062,1013" to="7425,1013" stroked="true" strokeweight=".584349pt" strokecolor="#ecb8e7">
              <v:stroke dashstyle="solid"/>
            </v:line>
            <v:shape style="position:absolute;left:1825;top:609;width:1898;height:223" coordorigin="1826,610" coordsize="1898,223" path="m2423,832l2892,832m1826,832l2049,832m1826,610l3724,610e" filled="false" stroked="true" strokeweight=".584348pt" strokecolor="#f1f1f1">
              <v:path arrowok="t"/>
              <v:stroke dashstyle="solid"/>
            </v:shape>
            <v:rect style="position:absolute;left:2048;top:621;width:375;height:316" filled="true" fillcolor="#c4bc96" stroked="false">
              <v:fill type="solid"/>
            </v:rect>
            <v:line style="position:absolute" from="3255,832" to="3724,832" stroked="true" strokeweight=".584348pt" strokecolor="#f1f1f1">
              <v:stroke dashstyle="solid"/>
            </v:line>
            <v:rect style="position:absolute;left:2891;top:656;width:364;height:304" filled="true" fillcolor="#c4bc96" stroked="false">
              <v:fill type="solid"/>
            </v:rect>
            <v:line style="position:absolute" from="4087,832" to="4555,832" stroked="true" strokeweight=".584348pt" strokecolor="#f1f1f1">
              <v:stroke dashstyle="solid"/>
            </v:line>
            <v:rect style="position:absolute;left:3723;top:691;width:364;height:269" filled="true" fillcolor="#c4bc96" stroked="false">
              <v:fill type="solid"/>
            </v:rect>
            <v:line style="position:absolute" from="4930,832" to="6230,832" stroked="true" strokeweight=".584348pt" strokecolor="#f1f1f1">
              <v:stroke dashstyle="solid"/>
            </v:line>
            <v:shape style="position:absolute;left:4555;top:785;width:1207;height:246" coordorigin="4555,785" coordsize="1207,246" path="m4930,785l4555,785,4555,995,4930,995,4930,785m5762,879l5387,879,5387,1030,5762,1030,5762,879e" filled="true" fillcolor="#c4bc96" stroked="false">
              <v:path arrowok="t"/>
              <v:fill type="solid"/>
            </v:shape>
            <v:line style="position:absolute" from="6230,966" to="6594,966" stroked="true" strokeweight="4.090459pt" strokecolor="#c4bc96">
              <v:stroke dashstyle="solid"/>
            </v:line>
            <v:line style="position:absolute" from="7062,972" to="7425,972" stroked="true" strokeweight="3.506109pt" strokecolor="#c4bc96">
              <v:stroke dashstyle="solid"/>
            </v:line>
            <v:shape style="position:absolute;left:7893;top:936;width:2039;height:82" coordorigin="7894,937" coordsize="2039,82" path="m8269,937l7894,937,7894,1019,8269,1019,8269,937m9100,937l8725,937,8725,1019,9100,1019,9100,937m9932,937l9557,937,9557,1019,9932,1019,9932,937e" filled="true" fillcolor="#c4bc96" stroked="false">
              <v:path arrowok="t"/>
              <v:fill type="solid"/>
            </v:shape>
            <v:shape style="position:absolute;left:2048;top:615;width:1207;height:36" coordorigin="2049,616" coordsize="1207,36" path="m2049,616l2423,616m2892,651l3255,651e" filled="false" stroked="true" strokeweight=".584349pt" strokecolor="#808080">
              <v:path arrowok="t"/>
              <v:stroke dashstyle="solid"/>
            </v:shape>
            <v:line style="position:absolute" from="4087,610" to="10166,610" stroked="true" strokeweight=".584348pt" strokecolor="#f1f1f1">
              <v:stroke dashstyle="solid"/>
            </v:line>
            <v:line style="position:absolute" from="3724,686" to="4087,686" stroked="true" strokeweight=".584349pt" strokecolor="#808080">
              <v:stroke dashstyle="solid"/>
            </v:line>
            <v:shape style="position:absolute;left:4555;top:779;width:2039;height:141" coordorigin="4555,779" coordsize="2039,141" path="m4555,779l4930,779m5387,873l5762,873m6230,919l6594,919e" filled="false" stroked="true" strokeweight=".584349pt" strokecolor="#808080">
              <v:path arrowok="t"/>
              <v:stroke dashstyle="solid"/>
            </v:shape>
            <v:shape style="position:absolute;left:7062;top:931;width:2870;height:2" coordorigin="7062,931" coordsize="2870,0" path="m7062,931l7425,931m7894,931l8269,931m8725,931l9100,931m9557,931l9932,931e" filled="false" stroked="true" strokeweight=".584349pt" strokecolor="#808080">
              <v:path arrowok="t"/>
              <v:stroke dashstyle="solid"/>
            </v:shape>
            <v:shape style="position:absolute;left:2048;top:551;width:2882;height:234" coordorigin="2049,551" coordsize="2882,234" path="m2423,551l2049,551,2049,621,2423,621,2423,551m3255,586l2892,586,2892,656,3255,656,3255,586m4087,621l3724,621,3724,692,4087,692,4087,621m4930,738l4555,738,4555,785,4930,785,4930,738e" filled="true" fillcolor="#a6a6a6" stroked="false">
              <v:path arrowok="t"/>
              <v:fill type="solid"/>
            </v:shape>
            <v:line style="position:absolute" from="5387,855" to="5762,855" stroked="true" strokeweight="1.168711pt" strokecolor="#a6a6a6">
              <v:stroke dashstyle="solid"/>
            </v:line>
            <v:line style="position:absolute" from="6594,832" to="7062,832" stroked="true" strokeweight=".584348pt" strokecolor="#f1f1f1">
              <v:stroke dashstyle="solid"/>
            </v:line>
            <v:rect style="position:absolute;left:6230;top:890;width:364;height:36" filled="true" fillcolor="#a6a6a6" stroked="false">
              <v:fill type="solid"/>
            </v:rect>
            <v:line style="position:absolute" from="7425,832" to="7894,832" stroked="true" strokeweight=".584348pt" strokecolor="#f1f1f1">
              <v:stroke dashstyle="solid"/>
            </v:line>
            <v:rect style="position:absolute;left:7062;top:901;width:364;height:36" filled="true" fillcolor="#a6a6a6" stroked="false">
              <v:fill type="solid"/>
            </v:rect>
            <v:line style="position:absolute" from="8269,832" to="8725,832" stroked="true" strokeweight=".584348pt" strokecolor="#f1f1f1">
              <v:stroke dashstyle="solid"/>
            </v:line>
            <v:rect style="position:absolute;left:7893;top:901;width:375;height:36" filled="true" fillcolor="#a6a6a6" stroked="false">
              <v:fill type="solid"/>
            </v:rect>
            <v:line style="position:absolute" from="9100,832" to="9557,832" stroked="true" strokeweight=".584348pt" strokecolor="#f1f1f1">
              <v:stroke dashstyle="solid"/>
            </v:line>
            <v:rect style="position:absolute;left:8725;top:901;width:375;height:36" filled="true" fillcolor="#a6a6a6" stroked="false">
              <v:fill type="solid"/>
            </v:rect>
            <v:line style="position:absolute" from="9932,832" to="10166,832" stroked="true" strokeweight=".584348pt" strokecolor="#f1f1f1">
              <v:stroke dashstyle="solid"/>
            </v:line>
            <v:rect style="position:absolute;left:9557;top:901;width:375;height:36" filled="true" fillcolor="#a6a6a6" stroked="false">
              <v:fill type="solid"/>
            </v:rect>
            <v:line style="position:absolute" from="5387,838" to="5762,838" stroked="true" strokeweight=".584344pt" strokecolor="#d9d9d9">
              <v:stroke dashstyle="solid"/>
            </v:line>
            <v:line style="position:absolute" from="1826,388" to="10166,388" stroked="true" strokeweight=".584348pt" strokecolor="#f1f1f1">
              <v:stroke dashstyle="solid"/>
            </v:line>
            <v:rect style="position:absolute;left:2048;top:411;width:375;height:141" filled="true" fillcolor="#413c22" stroked="false">
              <v:fill type="solid"/>
            </v:rect>
            <v:shape style="position:absolute;left:2891;top:457;width:2039;height:281" coordorigin="2892,458" coordsize="2039,281" path="m3255,458l2892,458,2892,586,3255,586,3255,458m4087,493l3724,493,3724,621,4087,621,4087,493m4930,610l4555,610,4555,738,4930,738,4930,610e" filled="true" fillcolor="#413c22" stroked="false">
              <v:path arrowok="t"/>
              <v:fill type="solid"/>
            </v:shape>
            <v:line style="position:absolute" from="5387,773" to="5762,773" stroked="true" strokeweight="5.843497pt" strokecolor="#413c22">
              <v:stroke dashstyle="solid"/>
            </v:line>
            <v:shape style="position:absolute;left:6230;top:761;width:3702;height:141" coordorigin="6230,762" coordsize="3702,141" path="m6594,762l6230,762,6230,890,6594,890,6594,762m7425,773l7062,773,7062,902,7425,902,7425,773m8269,773l7894,773,7894,902,8269,902,8269,773m9100,773l8725,773,8725,902,9100,902,9100,773m9932,773l9557,773,9557,902,9932,902,9932,773e" filled="true" fillcolor="#413c22" stroked="false">
              <v:path arrowok="t"/>
              <v:fill type="solid"/>
            </v:shape>
            <v:line style="position:absolute" from="1826,166" to="10166,166" stroked="true" strokeweight=".584348pt" strokecolor="#f1f1f1">
              <v:stroke dashstyle="solid"/>
            </v:line>
            <v:line style="position:absolute" from="1826,2374" to="1826,166" stroked="true" strokeweight=".585702pt" strokecolor="#bebebe">
              <v:stroke dashstyle="solid"/>
            </v:line>
            <v:shape style="position:absolute;left:0;top:13522;width:17319;height:654628" coordorigin="0,13523" coordsize="17319,654628" path="m1767,2374l1826,2374m1767,2152l1826,2152m1767,1930l1826,1930m1767,1708l1826,1708m1767,1498l1826,1498m1767,1276l1826,1276m1767,1054l1826,1054m1767,832l1826,832m1767,610l1826,610m1767,388l1826,388m1767,166l1826,166e" filled="false" stroked="true" strokeweight=".585026pt" strokecolor="#bebebe">
              <v:path arrowok="t"/>
              <v:stroke dashstyle="solid"/>
            </v:shape>
            <v:line style="position:absolute" from="1826,2374" to="10166,2374" stroked="true" strokeweight=".584346pt" strokecolor="#bebebe">
              <v:stroke dashstyle="solid"/>
            </v:line>
            <v:shape style="position:absolute;left:0;top:-10290;width:652097;height:23813" coordorigin="0,-10290" coordsize="652097,23813" path="m1826,2374l1826,2421m1826,2374l1826,2678m2658,2374l2658,2421m2658,2374l2658,2678m3489,2374l3489,2421m3489,2374l3489,2678m4321,2374l4321,2421m4321,2374l4321,2678m5164,2374l5164,2421m5164,2374l5164,2678m5996,2374l5996,2421m5996,2374l5996,2678m6828,2374l6828,2421m6828,2374l6828,2678m7659,2374l7659,2421m7659,2374l7659,2678m8491,2374l8491,2421m8491,2374l8491,2678m9335,2374l9335,2421m9335,2374l9335,2678m10166,2374l10166,2421m10166,2374l10166,2678e" filled="false" stroked="true" strokeweight=".585017pt" strokecolor="#bebebe">
              <v:path arrowok="t"/>
              <v:stroke dashstyle="solid"/>
            </v:shape>
            <v:shape style="position:absolute;left:0;top:-10290;width:652097;height:23813" coordorigin="0,-10290" coordsize="652097,23813" path="m1826,2678l1826,2982m5996,2678l5996,2982m10166,2678l10166,2982e" filled="false" stroked="true" strokeweight=".585017pt" strokecolor="#bebebe">
              <v:path arrowok="t"/>
              <v:stroke dashstyle="solid"/>
            </v:shape>
            <v:line style="position:absolute" from="5996,2344" to="5996,224" stroked="true" strokeweight=".585698pt" strokecolor="#7e7e7e">
              <v:stroke dashstyle="solid"/>
            </v:line>
            <v:shape style="position:absolute;left:2080;top:2513;width:332;height:152" type="#_x0000_t202" filled="false" stroked="false">
              <v:textbox inset="0,0,0,0">
                <w:txbxContent>
                  <w:p>
                    <w:pPr>
                      <w:spacing w:line="152" w:lineRule="exact" w:before="0"/>
                      <w:ind w:left="0" w:right="0" w:firstLine="0"/>
                      <w:jc w:val="left"/>
                      <w:rPr>
                        <w:rFonts w:ascii="Calibri"/>
                        <w:sz w:val="15"/>
                      </w:rPr>
                    </w:pPr>
                    <w:r>
                      <w:rPr>
                        <w:rFonts w:ascii="Calibri"/>
                        <w:color w:val="585858"/>
                        <w:sz w:val="15"/>
                      </w:rPr>
                      <w:t>2014</w:t>
                    </w:r>
                  </w:p>
                </w:txbxContent>
              </v:textbox>
              <w10:wrap type="none"/>
            </v:shape>
            <v:shape style="position:absolute;left:2914;top:2513;width:332;height:152" type="#_x0000_t202" filled="false" stroked="false">
              <v:textbox inset="0,0,0,0">
                <w:txbxContent>
                  <w:p>
                    <w:pPr>
                      <w:spacing w:line="152" w:lineRule="exact" w:before="0"/>
                      <w:ind w:left="0" w:right="0" w:firstLine="0"/>
                      <w:jc w:val="left"/>
                      <w:rPr>
                        <w:rFonts w:ascii="Calibri"/>
                        <w:sz w:val="15"/>
                      </w:rPr>
                    </w:pPr>
                    <w:r>
                      <w:rPr>
                        <w:rFonts w:ascii="Calibri"/>
                        <w:color w:val="585858"/>
                        <w:sz w:val="15"/>
                      </w:rPr>
                      <w:t>2015</w:t>
                    </w:r>
                  </w:p>
                </w:txbxContent>
              </v:textbox>
              <w10:wrap type="none"/>
            </v:shape>
            <v:shape style="position:absolute;left:3748;top:2513;width:332;height:152" type="#_x0000_t202" filled="false" stroked="false">
              <v:textbox inset="0,0,0,0">
                <w:txbxContent>
                  <w:p>
                    <w:pPr>
                      <w:spacing w:line="152" w:lineRule="exact" w:before="0"/>
                      <w:ind w:left="0" w:right="0" w:firstLine="0"/>
                      <w:jc w:val="left"/>
                      <w:rPr>
                        <w:rFonts w:ascii="Calibri"/>
                        <w:sz w:val="15"/>
                      </w:rPr>
                    </w:pPr>
                    <w:r>
                      <w:rPr>
                        <w:rFonts w:ascii="Calibri"/>
                        <w:color w:val="585858"/>
                        <w:sz w:val="15"/>
                      </w:rPr>
                      <w:t>2016</w:t>
                    </w:r>
                  </w:p>
                </w:txbxContent>
              </v:textbox>
              <w10:wrap type="none"/>
            </v:shape>
            <v:shape style="position:absolute;left:4583;top:2513;width:332;height:152" type="#_x0000_t202" filled="false" stroked="false">
              <v:textbox inset="0,0,0,0">
                <w:txbxContent>
                  <w:p>
                    <w:pPr>
                      <w:spacing w:line="152" w:lineRule="exact" w:before="0"/>
                      <w:ind w:left="0" w:right="0" w:firstLine="0"/>
                      <w:jc w:val="left"/>
                      <w:rPr>
                        <w:rFonts w:ascii="Calibri"/>
                        <w:sz w:val="15"/>
                      </w:rPr>
                    </w:pPr>
                    <w:r>
                      <w:rPr>
                        <w:rFonts w:ascii="Calibri"/>
                        <w:color w:val="585858"/>
                        <w:sz w:val="15"/>
                      </w:rPr>
                      <w:t>2017</w:t>
                    </w:r>
                  </w:p>
                </w:txbxContent>
              </v:textbox>
              <w10:wrap type="none"/>
            </v:shape>
            <v:shape style="position:absolute;left:5417;top:2513;width:332;height:152" type="#_x0000_t202" filled="false" stroked="false">
              <v:textbox inset="0,0,0,0">
                <w:txbxContent>
                  <w:p>
                    <w:pPr>
                      <w:spacing w:line="152" w:lineRule="exact" w:before="0"/>
                      <w:ind w:left="0" w:right="0" w:firstLine="0"/>
                      <w:jc w:val="left"/>
                      <w:rPr>
                        <w:rFonts w:ascii="Calibri"/>
                        <w:sz w:val="15"/>
                      </w:rPr>
                    </w:pPr>
                    <w:r>
                      <w:rPr>
                        <w:rFonts w:ascii="Calibri"/>
                        <w:color w:val="585858"/>
                        <w:sz w:val="15"/>
                      </w:rPr>
                      <w:t>2018</w:t>
                    </w:r>
                  </w:p>
                </w:txbxContent>
              </v:textbox>
              <w10:wrap type="none"/>
            </v:shape>
            <v:shape style="position:absolute;left:6251;top:2513;width:332;height:152" type="#_x0000_t202" filled="false" stroked="false">
              <v:textbox inset="0,0,0,0">
                <w:txbxContent>
                  <w:p>
                    <w:pPr>
                      <w:spacing w:line="152" w:lineRule="exact" w:before="0"/>
                      <w:ind w:left="0" w:right="0" w:firstLine="0"/>
                      <w:jc w:val="left"/>
                      <w:rPr>
                        <w:rFonts w:ascii="Calibri"/>
                        <w:sz w:val="15"/>
                      </w:rPr>
                    </w:pPr>
                    <w:r>
                      <w:rPr>
                        <w:rFonts w:ascii="Calibri"/>
                        <w:color w:val="585858"/>
                        <w:sz w:val="15"/>
                      </w:rPr>
                      <w:t>2019</w:t>
                    </w:r>
                  </w:p>
                </w:txbxContent>
              </v:textbox>
              <w10:wrap type="none"/>
            </v:shape>
            <v:shape style="position:absolute;left:7085;top:2513;width:332;height:152" type="#_x0000_t202" filled="false" stroked="false">
              <v:textbox inset="0,0,0,0">
                <w:txbxContent>
                  <w:p>
                    <w:pPr>
                      <w:spacing w:line="152" w:lineRule="exact" w:before="0"/>
                      <w:ind w:left="0" w:right="0" w:firstLine="0"/>
                      <w:jc w:val="left"/>
                      <w:rPr>
                        <w:rFonts w:ascii="Calibri"/>
                        <w:sz w:val="15"/>
                      </w:rPr>
                    </w:pPr>
                    <w:r>
                      <w:rPr>
                        <w:rFonts w:ascii="Calibri"/>
                        <w:color w:val="585858"/>
                        <w:sz w:val="15"/>
                      </w:rPr>
                      <w:t>2020</w:t>
                    </w:r>
                  </w:p>
                </w:txbxContent>
              </v:textbox>
              <w10:wrap type="none"/>
            </v:shape>
            <v:shape style="position:absolute;left:7920;top:2513;width:332;height:152" type="#_x0000_t202" filled="false" stroked="false">
              <v:textbox inset="0,0,0,0">
                <w:txbxContent>
                  <w:p>
                    <w:pPr>
                      <w:spacing w:line="152" w:lineRule="exact" w:before="0"/>
                      <w:ind w:left="0" w:right="0" w:firstLine="0"/>
                      <w:jc w:val="left"/>
                      <w:rPr>
                        <w:rFonts w:ascii="Calibri"/>
                        <w:sz w:val="15"/>
                      </w:rPr>
                    </w:pPr>
                    <w:r>
                      <w:rPr>
                        <w:rFonts w:ascii="Calibri"/>
                        <w:color w:val="585858"/>
                        <w:sz w:val="15"/>
                      </w:rPr>
                      <w:t>2021</w:t>
                    </w:r>
                  </w:p>
                </w:txbxContent>
              </v:textbox>
              <w10:wrap type="none"/>
            </v:shape>
            <v:shape style="position:absolute;left:8754;top:2513;width:332;height:152" type="#_x0000_t202" filled="false" stroked="false">
              <v:textbox inset="0,0,0,0">
                <w:txbxContent>
                  <w:p>
                    <w:pPr>
                      <w:spacing w:line="152" w:lineRule="exact" w:before="0"/>
                      <w:ind w:left="0" w:right="0" w:firstLine="0"/>
                      <w:jc w:val="left"/>
                      <w:rPr>
                        <w:rFonts w:ascii="Calibri"/>
                        <w:sz w:val="15"/>
                      </w:rPr>
                    </w:pPr>
                    <w:r>
                      <w:rPr>
                        <w:rFonts w:ascii="Calibri"/>
                        <w:color w:val="585858"/>
                        <w:sz w:val="15"/>
                      </w:rPr>
                      <w:t>2022</w:t>
                    </w:r>
                  </w:p>
                </w:txbxContent>
              </v:textbox>
              <w10:wrap type="none"/>
            </v:shape>
            <v:shape style="position:absolute;left:9588;top:2513;width:332;height:152" type="#_x0000_t202" filled="false" stroked="false">
              <v:textbox inset="0,0,0,0">
                <w:txbxContent>
                  <w:p>
                    <w:pPr>
                      <w:spacing w:line="152" w:lineRule="exact" w:before="0"/>
                      <w:ind w:left="0" w:right="0" w:firstLine="0"/>
                      <w:jc w:val="left"/>
                      <w:rPr>
                        <w:rFonts w:ascii="Calibri"/>
                        <w:sz w:val="15"/>
                      </w:rPr>
                    </w:pPr>
                    <w:r>
                      <w:rPr>
                        <w:rFonts w:ascii="Calibri"/>
                        <w:color w:val="585858"/>
                        <w:sz w:val="15"/>
                      </w:rPr>
                      <w:t>2023</w:t>
                    </w:r>
                  </w:p>
                </w:txbxContent>
              </v:textbox>
              <w10:wrap type="none"/>
            </v:shape>
            <v:shape style="position:absolute;left:3664;top:2814;width:4736;height:152" type="#_x0000_t202" filled="false" stroked="false">
              <v:textbox inset="0,0,0,0">
                <w:txbxContent>
                  <w:p>
                    <w:pPr>
                      <w:tabs>
                        <w:tab w:pos="4108" w:val="left" w:leader="none"/>
                      </w:tabs>
                      <w:spacing w:line="152" w:lineRule="exact" w:before="0"/>
                      <w:ind w:left="0" w:right="0" w:firstLine="0"/>
                      <w:jc w:val="left"/>
                      <w:rPr>
                        <w:rFonts w:ascii="Calibri"/>
                        <w:sz w:val="15"/>
                      </w:rPr>
                    </w:pPr>
                    <w:r>
                      <w:rPr>
                        <w:rFonts w:ascii="Calibri"/>
                        <w:color w:val="585858"/>
                        <w:sz w:val="15"/>
                      </w:rPr>
                      <w:t>Historic</w:t>
                      <w:tab/>
                      <w:t>Projected</w:t>
                    </w:r>
                  </w:p>
                </w:txbxContent>
              </v:textbox>
              <w10:wrap type="none"/>
            </v:shape>
            <w10:wrap type="none"/>
          </v:group>
        </w:pict>
      </w:r>
      <w:r>
        <w:rPr>
          <w:rFonts w:ascii="Calibri"/>
          <w:color w:val="585858"/>
          <w:sz w:val="15"/>
        </w:rPr>
        <w:t>$10,000</w:t>
      </w:r>
    </w:p>
    <w:p>
      <w:pPr>
        <w:spacing w:before="39"/>
        <w:ind w:left="0" w:right="10234" w:firstLine="0"/>
        <w:jc w:val="right"/>
        <w:rPr>
          <w:rFonts w:ascii="Calibri"/>
          <w:sz w:val="15"/>
        </w:rPr>
      </w:pPr>
      <w:r>
        <w:rPr>
          <w:rFonts w:ascii="Calibri"/>
          <w:color w:val="585858"/>
          <w:sz w:val="15"/>
        </w:rPr>
        <w:t>$9,000</w:t>
      </w:r>
    </w:p>
    <w:p>
      <w:pPr>
        <w:spacing w:before="38"/>
        <w:ind w:left="0" w:right="10234" w:firstLine="0"/>
        <w:jc w:val="right"/>
        <w:rPr>
          <w:rFonts w:ascii="Calibri"/>
          <w:sz w:val="15"/>
        </w:rPr>
      </w:pPr>
      <w:r>
        <w:rPr>
          <w:rFonts w:ascii="Calibri"/>
          <w:color w:val="585858"/>
          <w:sz w:val="15"/>
        </w:rPr>
        <w:t>$8,000</w:t>
      </w:r>
    </w:p>
    <w:p>
      <w:pPr>
        <w:spacing w:before="38"/>
        <w:ind w:left="0" w:right="10234" w:firstLine="0"/>
        <w:jc w:val="right"/>
        <w:rPr>
          <w:rFonts w:ascii="Calibri"/>
          <w:sz w:val="15"/>
        </w:rPr>
      </w:pPr>
      <w:r>
        <w:rPr>
          <w:rFonts w:ascii="Calibri"/>
          <w:color w:val="585858"/>
          <w:sz w:val="15"/>
        </w:rPr>
        <w:t>$7,000</w:t>
      </w:r>
    </w:p>
    <w:p>
      <w:pPr>
        <w:spacing w:before="38"/>
        <w:ind w:left="0" w:right="10234" w:firstLine="0"/>
        <w:jc w:val="right"/>
        <w:rPr>
          <w:rFonts w:ascii="Calibri"/>
          <w:sz w:val="15"/>
        </w:rPr>
      </w:pPr>
      <w:r>
        <w:rPr>
          <w:rFonts w:ascii="Calibri"/>
          <w:color w:val="585858"/>
          <w:sz w:val="15"/>
        </w:rPr>
        <w:t>$6,000</w:t>
      </w:r>
    </w:p>
    <w:p>
      <w:pPr>
        <w:spacing w:before="38"/>
        <w:ind w:left="0" w:right="10234" w:firstLine="0"/>
        <w:jc w:val="right"/>
        <w:rPr>
          <w:rFonts w:ascii="Calibri"/>
          <w:sz w:val="15"/>
        </w:rPr>
      </w:pPr>
      <w:r>
        <w:rPr>
          <w:rFonts w:ascii="Calibri"/>
          <w:color w:val="585858"/>
          <w:sz w:val="15"/>
        </w:rPr>
        <w:t>$5,000</w:t>
      </w:r>
    </w:p>
    <w:p>
      <w:pPr>
        <w:spacing w:before="38"/>
        <w:ind w:left="0" w:right="10234" w:firstLine="0"/>
        <w:jc w:val="right"/>
        <w:rPr>
          <w:rFonts w:ascii="Calibri"/>
          <w:sz w:val="15"/>
        </w:rPr>
      </w:pPr>
      <w:r>
        <w:rPr>
          <w:rFonts w:ascii="Calibri"/>
          <w:color w:val="585858"/>
          <w:sz w:val="15"/>
        </w:rPr>
        <w:t>$4,000</w:t>
      </w:r>
    </w:p>
    <w:p>
      <w:pPr>
        <w:spacing w:before="38"/>
        <w:ind w:left="0" w:right="10234" w:firstLine="0"/>
        <w:jc w:val="right"/>
        <w:rPr>
          <w:rFonts w:ascii="Calibri"/>
          <w:sz w:val="15"/>
        </w:rPr>
      </w:pPr>
      <w:r>
        <w:rPr>
          <w:rFonts w:ascii="Calibri"/>
          <w:color w:val="585858"/>
          <w:sz w:val="15"/>
        </w:rPr>
        <w:t>$3,000</w:t>
      </w:r>
    </w:p>
    <w:p>
      <w:pPr>
        <w:spacing w:before="38"/>
        <w:ind w:left="0" w:right="10234" w:firstLine="0"/>
        <w:jc w:val="right"/>
        <w:rPr>
          <w:rFonts w:ascii="Calibri"/>
          <w:sz w:val="15"/>
        </w:rPr>
      </w:pPr>
      <w:r>
        <w:rPr>
          <w:rFonts w:ascii="Calibri"/>
          <w:color w:val="585858"/>
          <w:sz w:val="15"/>
        </w:rPr>
        <w:t>$2,000</w:t>
      </w:r>
    </w:p>
    <w:p>
      <w:pPr>
        <w:spacing w:before="38"/>
        <w:ind w:left="0" w:right="10234" w:firstLine="0"/>
        <w:jc w:val="right"/>
        <w:rPr>
          <w:rFonts w:ascii="Calibri"/>
          <w:sz w:val="15"/>
        </w:rPr>
      </w:pPr>
      <w:r>
        <w:rPr>
          <w:rFonts w:ascii="Calibri"/>
          <w:color w:val="585858"/>
          <w:sz w:val="15"/>
        </w:rPr>
        <w:t>$1,000</w:t>
      </w:r>
    </w:p>
    <w:p>
      <w:pPr>
        <w:spacing w:before="38"/>
        <w:ind w:left="0" w:right="10227" w:firstLine="0"/>
        <w:jc w:val="right"/>
        <w:rPr>
          <w:rFonts w:ascii="Calibri"/>
          <w:sz w:val="15"/>
        </w:rPr>
      </w:pPr>
      <w:r>
        <w:rPr>
          <w:rFonts w:ascii="Calibri"/>
          <w:color w:val="585858"/>
          <w:sz w:val="15"/>
        </w:rPr>
        <w:t>$0</w:t>
      </w:r>
    </w:p>
    <w:p>
      <w:pPr>
        <w:pStyle w:val="BodyText"/>
        <w:rPr>
          <w:rFonts w:ascii="Calibri"/>
        </w:rPr>
      </w:pPr>
    </w:p>
    <w:p>
      <w:pPr>
        <w:pStyle w:val="BodyText"/>
        <w:spacing w:before="10"/>
        <w:rPr>
          <w:rFonts w:ascii="Calibri"/>
          <w:sz w:val="18"/>
        </w:rPr>
      </w:pPr>
    </w:p>
    <w:p>
      <w:pPr>
        <w:spacing w:before="72"/>
        <w:ind w:left="1602" w:right="1653" w:firstLine="0"/>
        <w:jc w:val="center"/>
        <w:rPr>
          <w:rFonts w:ascii="Calibri"/>
          <w:b/>
          <w:sz w:val="15"/>
        </w:rPr>
      </w:pPr>
      <w:r>
        <w:rPr/>
        <w:pict>
          <v:group style="position:absolute;margin-left:92.77636pt;margin-top:28.389576pt;width:10.15pt;height:22.2pt;mso-position-horizontal-relative:page;mso-position-vertical-relative:paragraph;z-index:-287728640" coordorigin="1856,568" coordsize="203,444">
            <v:rect style="position:absolute;left:1855;top:567;width:203;height:136" filled="true" fillcolor="#1f487c" stroked="false">
              <v:fill type="solid"/>
            </v:rect>
            <v:rect style="position:absolute;left:1855;top:722;width:203;height:135" filled="true" fillcolor="#f8a763" stroked="false">
              <v:fill type="solid"/>
            </v:rect>
            <v:rect style="position:absolute;left:1855;top:876;width:203;height:135" filled="true" fillcolor="#808080" stroked="false">
              <v:fill type="solid"/>
            </v:rect>
            <w10:wrap type="none"/>
          </v:group>
        </w:pict>
      </w:r>
      <w:r>
        <w:rPr/>
        <w:pict>
          <v:rect style="position:absolute;margin-left:424.247192pt;margin-top:28.38921pt;width:10.439708pt;height:6.750637pt;mso-position-horizontal-relative:page;mso-position-vertical-relative:paragraph;z-index:-287727616" filled="true" fillcolor="#c9dba4" stroked="false">
            <v:fill type="solid"/>
            <w10:wrap type="none"/>
          </v:rect>
        </w:pict>
      </w:r>
      <w:r>
        <w:rPr>
          <w:rFonts w:ascii="Calibri"/>
          <w:b/>
          <w:color w:val="585858"/>
          <w:sz w:val="15"/>
        </w:rPr>
        <w:t>Year Ending  30 June</w:t>
      </w:r>
    </w:p>
    <w:p>
      <w:pPr>
        <w:pStyle w:val="BodyText"/>
        <w:spacing w:before="5"/>
        <w:rPr>
          <w:rFonts w:ascii="Calibri"/>
          <w:b/>
          <w:sz w:val="15"/>
        </w:rPr>
      </w:pPr>
    </w:p>
    <w:tbl>
      <w:tblPr>
        <w:tblW w:w="0" w:type="auto"/>
        <w:jc w:val="left"/>
        <w:tblInd w:w="16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74"/>
        <w:gridCol w:w="215"/>
        <w:gridCol w:w="823"/>
        <w:gridCol w:w="89"/>
        <w:gridCol w:w="208"/>
        <w:gridCol w:w="945"/>
        <w:gridCol w:w="58"/>
        <w:gridCol w:w="208"/>
        <w:gridCol w:w="1183"/>
        <w:gridCol w:w="56"/>
        <w:gridCol w:w="209"/>
        <w:gridCol w:w="706"/>
        <w:gridCol w:w="72"/>
        <w:gridCol w:w="210"/>
        <w:gridCol w:w="729"/>
        <w:gridCol w:w="837"/>
      </w:tblGrid>
      <w:tr>
        <w:trPr>
          <w:trHeight w:val="110" w:hRule="atLeast"/>
        </w:trPr>
        <w:tc>
          <w:tcPr>
            <w:tcW w:w="1074" w:type="dxa"/>
          </w:tcPr>
          <w:p>
            <w:pPr>
              <w:pStyle w:val="TableParagraph"/>
              <w:spacing w:line="90" w:lineRule="exact" w:before="0"/>
              <w:ind w:left="33" w:right="44"/>
              <w:jc w:val="center"/>
              <w:rPr>
                <w:rFonts w:ascii="Calibri"/>
                <w:b/>
                <w:sz w:val="9"/>
              </w:rPr>
            </w:pPr>
            <w:r>
              <w:rPr>
                <w:rFonts w:ascii="Calibri"/>
                <w:b/>
                <w:w w:val="110"/>
                <w:sz w:val="9"/>
              </w:rPr>
              <w:t>Payment Category Key:</w:t>
            </w:r>
          </w:p>
        </w:tc>
        <w:tc>
          <w:tcPr>
            <w:tcW w:w="6548" w:type="dxa"/>
            <w:gridSpan w:val="15"/>
          </w:tcPr>
          <w:p>
            <w:pPr>
              <w:pStyle w:val="TableParagraph"/>
              <w:spacing w:before="0"/>
              <w:rPr>
                <w:rFonts w:ascii="Times New Roman"/>
                <w:sz w:val="6"/>
              </w:rPr>
            </w:pPr>
          </w:p>
        </w:tc>
      </w:tr>
      <w:tr>
        <w:trPr>
          <w:trHeight w:val="167" w:hRule="atLeast"/>
        </w:trPr>
        <w:tc>
          <w:tcPr>
            <w:tcW w:w="1074" w:type="dxa"/>
          </w:tcPr>
          <w:p>
            <w:pPr>
              <w:pStyle w:val="TableParagraph"/>
              <w:spacing w:before="31"/>
              <w:ind w:left="33" w:right="2"/>
              <w:jc w:val="center"/>
              <w:rPr>
                <w:rFonts w:ascii="Calibri"/>
                <w:sz w:val="9"/>
              </w:rPr>
            </w:pPr>
            <w:r>
              <w:rPr>
                <w:rFonts w:ascii="Calibri"/>
                <w:w w:val="110"/>
                <w:sz w:val="9"/>
              </w:rPr>
              <w:t>A - IS Studying</w:t>
            </w:r>
          </w:p>
        </w:tc>
        <w:tc>
          <w:tcPr>
            <w:tcW w:w="215" w:type="dxa"/>
            <w:shd w:val="clear" w:color="auto" w:fill="009544"/>
          </w:tcPr>
          <w:p>
            <w:pPr>
              <w:pStyle w:val="TableParagraph"/>
              <w:spacing w:line="135" w:lineRule="exact" w:before="0"/>
              <w:ind w:right="-58"/>
              <w:rPr>
                <w:rFonts w:ascii="Calibri"/>
                <w:sz w:val="13"/>
              </w:rPr>
            </w:pPr>
            <w:r>
              <w:rPr>
                <w:rFonts w:ascii="Calibri"/>
                <w:position w:val="-2"/>
                <w:sz w:val="13"/>
              </w:rPr>
              <w:pict>
                <v:group style="width:10.45pt;height:6.8pt;mso-position-horizontal-relative:char;mso-position-vertical-relative:line" coordorigin="0,0" coordsize="209,136">
                  <v:rect style="position:absolute;left:0;top:0;width:209;height:136" filled="true" fillcolor="#009544" stroked="false">
                    <v:fill type="solid"/>
                  </v:rect>
                </v:group>
              </w:pict>
            </w:r>
            <w:r>
              <w:rPr>
                <w:rFonts w:ascii="Calibri"/>
                <w:position w:val="-2"/>
                <w:sz w:val="13"/>
              </w:rPr>
            </w:r>
          </w:p>
        </w:tc>
        <w:tc>
          <w:tcPr>
            <w:tcW w:w="823" w:type="dxa"/>
          </w:tcPr>
          <w:p>
            <w:pPr>
              <w:pStyle w:val="TableParagraph"/>
              <w:spacing w:before="31"/>
              <w:ind w:left="7"/>
              <w:rPr>
                <w:rFonts w:ascii="Calibri"/>
                <w:sz w:val="9"/>
              </w:rPr>
            </w:pPr>
            <w:r>
              <w:rPr>
                <w:rFonts w:ascii="Calibri"/>
                <w:w w:val="110"/>
                <w:sz w:val="9"/>
              </w:rPr>
              <w:t>B - IS Working Age</w:t>
            </w:r>
          </w:p>
        </w:tc>
        <w:tc>
          <w:tcPr>
            <w:tcW w:w="89" w:type="dxa"/>
          </w:tcPr>
          <w:p>
            <w:pPr>
              <w:pStyle w:val="TableParagraph"/>
              <w:spacing w:before="0"/>
              <w:rPr>
                <w:rFonts w:ascii="Times New Roman"/>
                <w:sz w:val="10"/>
              </w:rPr>
            </w:pPr>
          </w:p>
        </w:tc>
        <w:tc>
          <w:tcPr>
            <w:tcW w:w="208" w:type="dxa"/>
            <w:shd w:val="clear" w:color="auto" w:fill="E16B09"/>
          </w:tcPr>
          <w:p>
            <w:pPr>
              <w:pStyle w:val="TableParagraph"/>
              <w:spacing w:line="135" w:lineRule="exact" w:before="0"/>
              <w:ind w:left="2" w:right="-58"/>
              <w:rPr>
                <w:rFonts w:ascii="Calibri"/>
                <w:sz w:val="13"/>
              </w:rPr>
            </w:pPr>
            <w:r>
              <w:rPr>
                <w:rFonts w:ascii="Calibri"/>
                <w:position w:val="-2"/>
                <w:sz w:val="13"/>
              </w:rPr>
              <w:pict>
                <v:group style="width:10.45pt;height:6.8pt;mso-position-horizontal-relative:char;mso-position-vertical-relative:line" coordorigin="0,0" coordsize="209,136">
                  <v:rect style="position:absolute;left:0;top:0;width:209;height:136" filled="true" fillcolor="#e16b09" stroked="false">
                    <v:fill type="solid"/>
                  </v:rect>
                </v:group>
              </w:pict>
            </w:r>
            <w:r>
              <w:rPr>
                <w:rFonts w:ascii="Calibri"/>
                <w:position w:val="-2"/>
                <w:sz w:val="13"/>
              </w:rPr>
            </w:r>
          </w:p>
        </w:tc>
        <w:tc>
          <w:tcPr>
            <w:tcW w:w="945" w:type="dxa"/>
          </w:tcPr>
          <w:p>
            <w:pPr>
              <w:pStyle w:val="TableParagraph"/>
              <w:spacing w:before="31"/>
              <w:ind w:left="16"/>
              <w:rPr>
                <w:rFonts w:ascii="Calibri"/>
                <w:sz w:val="9"/>
              </w:rPr>
            </w:pPr>
            <w:r>
              <w:rPr>
                <w:rFonts w:ascii="Calibri"/>
                <w:w w:val="110"/>
                <w:sz w:val="9"/>
              </w:rPr>
              <w:t>C - IS Parents</w:t>
            </w:r>
          </w:p>
        </w:tc>
        <w:tc>
          <w:tcPr>
            <w:tcW w:w="58" w:type="dxa"/>
          </w:tcPr>
          <w:p>
            <w:pPr>
              <w:pStyle w:val="TableParagraph"/>
              <w:spacing w:before="0"/>
              <w:rPr>
                <w:rFonts w:ascii="Times New Roman"/>
                <w:sz w:val="10"/>
              </w:rPr>
            </w:pPr>
          </w:p>
        </w:tc>
        <w:tc>
          <w:tcPr>
            <w:tcW w:w="208" w:type="dxa"/>
            <w:shd w:val="clear" w:color="auto" w:fill="E08AD6"/>
          </w:tcPr>
          <w:p>
            <w:pPr>
              <w:pStyle w:val="TableParagraph"/>
              <w:spacing w:line="135" w:lineRule="exact" w:before="0"/>
              <w:ind w:left="4" w:right="-58"/>
              <w:rPr>
                <w:rFonts w:ascii="Calibri"/>
                <w:sz w:val="13"/>
              </w:rPr>
            </w:pPr>
            <w:r>
              <w:rPr>
                <w:rFonts w:ascii="Calibri"/>
                <w:position w:val="-2"/>
                <w:sz w:val="13"/>
              </w:rPr>
              <w:pict>
                <v:group style="width:10.45pt;height:6.8pt;mso-position-horizontal-relative:char;mso-position-vertical-relative:line" coordorigin="0,0" coordsize="209,136">
                  <v:rect style="position:absolute;left:0;top:0;width:209;height:136" filled="true" fillcolor="#e08ad6" stroked="false">
                    <v:fill type="solid"/>
                  </v:rect>
                </v:group>
              </w:pict>
            </w:r>
            <w:r>
              <w:rPr>
                <w:rFonts w:ascii="Calibri"/>
                <w:position w:val="-2"/>
                <w:sz w:val="13"/>
              </w:rPr>
            </w:r>
          </w:p>
        </w:tc>
        <w:tc>
          <w:tcPr>
            <w:tcW w:w="1183" w:type="dxa"/>
          </w:tcPr>
          <w:p>
            <w:pPr>
              <w:pStyle w:val="TableParagraph"/>
              <w:spacing w:before="31"/>
              <w:ind w:left="18"/>
              <w:rPr>
                <w:rFonts w:ascii="Calibri"/>
                <w:sz w:val="9"/>
              </w:rPr>
            </w:pPr>
            <w:r>
              <w:rPr>
                <w:rFonts w:ascii="Calibri"/>
                <w:w w:val="110"/>
                <w:sz w:val="9"/>
              </w:rPr>
              <w:t>D - IS Carer</w:t>
            </w:r>
          </w:p>
        </w:tc>
        <w:tc>
          <w:tcPr>
            <w:tcW w:w="56" w:type="dxa"/>
          </w:tcPr>
          <w:p>
            <w:pPr>
              <w:pStyle w:val="TableParagraph"/>
              <w:spacing w:before="0"/>
              <w:rPr>
                <w:rFonts w:ascii="Times New Roman"/>
                <w:sz w:val="10"/>
              </w:rPr>
            </w:pPr>
          </w:p>
        </w:tc>
        <w:tc>
          <w:tcPr>
            <w:tcW w:w="209" w:type="dxa"/>
            <w:shd w:val="clear" w:color="auto" w:fill="8063A1"/>
          </w:tcPr>
          <w:p>
            <w:pPr>
              <w:pStyle w:val="TableParagraph"/>
              <w:spacing w:line="135" w:lineRule="exact" w:before="0"/>
              <w:ind w:left="6" w:right="-58"/>
              <w:rPr>
                <w:rFonts w:ascii="Calibri"/>
                <w:sz w:val="13"/>
              </w:rPr>
            </w:pPr>
            <w:r>
              <w:rPr>
                <w:rFonts w:ascii="Calibri"/>
                <w:position w:val="-2"/>
                <w:sz w:val="13"/>
              </w:rPr>
              <w:pict>
                <v:group style="width:10.45pt;height:6.8pt;mso-position-horizontal-relative:char;mso-position-vertical-relative:line" coordorigin="0,0" coordsize="209,136">
                  <v:rect style="position:absolute;left:0;top:0;width:209;height:136" filled="true" fillcolor="#8063a1" stroked="false">
                    <v:fill type="solid"/>
                  </v:rect>
                </v:group>
              </w:pict>
            </w:r>
            <w:r>
              <w:rPr>
                <w:rFonts w:ascii="Calibri"/>
                <w:position w:val="-2"/>
                <w:sz w:val="13"/>
              </w:rPr>
            </w:r>
          </w:p>
        </w:tc>
        <w:tc>
          <w:tcPr>
            <w:tcW w:w="706" w:type="dxa"/>
          </w:tcPr>
          <w:p>
            <w:pPr>
              <w:pStyle w:val="TableParagraph"/>
              <w:spacing w:before="31"/>
              <w:ind w:left="19"/>
              <w:rPr>
                <w:rFonts w:ascii="Calibri"/>
                <w:sz w:val="9"/>
              </w:rPr>
            </w:pPr>
            <w:r>
              <w:rPr>
                <w:rFonts w:ascii="Calibri"/>
                <w:w w:val="110"/>
                <w:sz w:val="9"/>
              </w:rPr>
              <w:t>E - IS Disability</w:t>
            </w:r>
          </w:p>
        </w:tc>
        <w:tc>
          <w:tcPr>
            <w:tcW w:w="72" w:type="dxa"/>
          </w:tcPr>
          <w:p>
            <w:pPr>
              <w:pStyle w:val="TableParagraph"/>
              <w:spacing w:before="0"/>
              <w:rPr>
                <w:rFonts w:ascii="Times New Roman"/>
                <w:sz w:val="10"/>
              </w:rPr>
            </w:pPr>
          </w:p>
        </w:tc>
        <w:tc>
          <w:tcPr>
            <w:tcW w:w="210" w:type="dxa"/>
            <w:shd w:val="clear" w:color="auto" w:fill="C0504D"/>
          </w:tcPr>
          <w:p>
            <w:pPr>
              <w:pStyle w:val="TableParagraph"/>
              <w:spacing w:line="135" w:lineRule="exact" w:before="0"/>
              <w:ind w:left="4" w:right="-58"/>
              <w:rPr>
                <w:rFonts w:ascii="Calibri"/>
                <w:sz w:val="13"/>
              </w:rPr>
            </w:pPr>
            <w:r>
              <w:rPr>
                <w:rFonts w:ascii="Calibri"/>
                <w:position w:val="-2"/>
                <w:sz w:val="13"/>
              </w:rPr>
              <w:pict>
                <v:group style="width:10.45pt;height:6.8pt;mso-position-horizontal-relative:char;mso-position-vertical-relative:line" coordorigin="0,0" coordsize="209,136">
                  <v:rect style="position:absolute;left:0;top:0;width:209;height:136" filled="true" fillcolor="#c0504d" stroked="false">
                    <v:fill type="solid"/>
                  </v:rect>
                </v:group>
              </w:pict>
            </w:r>
            <w:r>
              <w:rPr>
                <w:rFonts w:ascii="Calibri"/>
                <w:position w:val="-2"/>
                <w:sz w:val="13"/>
              </w:rPr>
            </w:r>
          </w:p>
        </w:tc>
        <w:tc>
          <w:tcPr>
            <w:tcW w:w="729" w:type="dxa"/>
          </w:tcPr>
          <w:p>
            <w:pPr>
              <w:pStyle w:val="TableParagraph"/>
              <w:spacing w:before="31"/>
              <w:ind w:left="16"/>
              <w:rPr>
                <w:rFonts w:ascii="Calibri"/>
                <w:sz w:val="9"/>
              </w:rPr>
            </w:pPr>
            <w:r>
              <w:rPr>
                <w:rFonts w:ascii="Calibri"/>
                <w:w w:val="110"/>
                <w:sz w:val="9"/>
              </w:rPr>
              <w:t>F - IS Age</w:t>
            </w:r>
          </w:p>
        </w:tc>
        <w:tc>
          <w:tcPr>
            <w:tcW w:w="837" w:type="dxa"/>
          </w:tcPr>
          <w:p>
            <w:pPr>
              <w:pStyle w:val="TableParagraph"/>
              <w:spacing w:before="31"/>
              <w:ind w:left="116"/>
              <w:rPr>
                <w:rFonts w:ascii="Calibri"/>
                <w:sz w:val="9"/>
              </w:rPr>
            </w:pPr>
            <w:r>
              <w:rPr>
                <w:rFonts w:ascii="Calibri"/>
                <w:w w:val="110"/>
                <w:sz w:val="9"/>
              </w:rPr>
              <w:t>G - IS Dependant</w:t>
            </w:r>
          </w:p>
        </w:tc>
      </w:tr>
      <w:tr>
        <w:trPr>
          <w:trHeight w:val="135" w:hRule="atLeast"/>
        </w:trPr>
        <w:tc>
          <w:tcPr>
            <w:tcW w:w="1074" w:type="dxa"/>
          </w:tcPr>
          <w:p>
            <w:pPr>
              <w:pStyle w:val="TableParagraph"/>
              <w:spacing w:line="98" w:lineRule="exact" w:before="17"/>
              <w:ind w:left="33" w:right="44"/>
              <w:jc w:val="center"/>
              <w:rPr>
                <w:rFonts w:ascii="Calibri"/>
                <w:sz w:val="9"/>
              </w:rPr>
            </w:pPr>
            <w:r>
              <w:rPr>
                <w:rFonts w:ascii="Calibri"/>
                <w:w w:val="110"/>
                <w:sz w:val="9"/>
              </w:rPr>
              <w:t>H - Other FTB</w:t>
            </w:r>
          </w:p>
        </w:tc>
        <w:tc>
          <w:tcPr>
            <w:tcW w:w="215" w:type="dxa"/>
            <w:shd w:val="clear" w:color="auto" w:fill="F9C090"/>
          </w:tcPr>
          <w:p>
            <w:pPr>
              <w:pStyle w:val="TableParagraph"/>
              <w:spacing w:before="0"/>
              <w:rPr>
                <w:rFonts w:ascii="Times New Roman"/>
                <w:sz w:val="8"/>
              </w:rPr>
            </w:pPr>
          </w:p>
        </w:tc>
        <w:tc>
          <w:tcPr>
            <w:tcW w:w="823" w:type="dxa"/>
          </w:tcPr>
          <w:p>
            <w:pPr>
              <w:pStyle w:val="TableParagraph"/>
              <w:spacing w:line="98" w:lineRule="exact" w:before="17"/>
              <w:ind w:left="7"/>
              <w:rPr>
                <w:rFonts w:ascii="Calibri"/>
                <w:sz w:val="9"/>
              </w:rPr>
            </w:pPr>
            <w:r>
              <w:rPr>
                <w:rFonts w:ascii="Calibri"/>
                <w:w w:val="110"/>
                <w:sz w:val="9"/>
              </w:rPr>
              <w:t>I - Other Family</w:t>
            </w:r>
          </w:p>
        </w:tc>
        <w:tc>
          <w:tcPr>
            <w:tcW w:w="89" w:type="dxa"/>
            <w:shd w:val="clear" w:color="auto" w:fill="FBDDC4"/>
          </w:tcPr>
          <w:p>
            <w:pPr>
              <w:pStyle w:val="TableParagraph"/>
              <w:spacing w:before="0"/>
              <w:rPr>
                <w:rFonts w:ascii="Times New Roman"/>
                <w:sz w:val="8"/>
              </w:rPr>
            </w:pPr>
          </w:p>
        </w:tc>
        <w:tc>
          <w:tcPr>
            <w:tcW w:w="208" w:type="dxa"/>
            <w:shd w:val="clear" w:color="auto" w:fill="FBDDC4"/>
          </w:tcPr>
          <w:p>
            <w:pPr>
              <w:pStyle w:val="TableParagraph"/>
              <w:spacing w:before="0"/>
              <w:rPr>
                <w:rFonts w:ascii="Times New Roman"/>
                <w:sz w:val="8"/>
              </w:rPr>
            </w:pPr>
          </w:p>
        </w:tc>
        <w:tc>
          <w:tcPr>
            <w:tcW w:w="945" w:type="dxa"/>
          </w:tcPr>
          <w:p>
            <w:pPr>
              <w:pStyle w:val="TableParagraph"/>
              <w:spacing w:line="98" w:lineRule="exact" w:before="17"/>
              <w:ind w:left="16"/>
              <w:rPr>
                <w:rFonts w:ascii="Calibri"/>
                <w:sz w:val="9"/>
              </w:rPr>
            </w:pPr>
            <w:r>
              <w:rPr>
                <w:rFonts w:ascii="Calibri"/>
                <w:w w:val="110"/>
                <w:sz w:val="9"/>
              </w:rPr>
              <w:t>J - Other New Parents</w:t>
            </w:r>
          </w:p>
        </w:tc>
        <w:tc>
          <w:tcPr>
            <w:tcW w:w="58" w:type="dxa"/>
            <w:shd w:val="clear" w:color="auto" w:fill="938953"/>
          </w:tcPr>
          <w:p>
            <w:pPr>
              <w:pStyle w:val="TableParagraph"/>
              <w:spacing w:before="0"/>
              <w:rPr>
                <w:rFonts w:ascii="Times New Roman"/>
                <w:sz w:val="8"/>
              </w:rPr>
            </w:pPr>
          </w:p>
        </w:tc>
        <w:tc>
          <w:tcPr>
            <w:tcW w:w="208" w:type="dxa"/>
            <w:shd w:val="clear" w:color="auto" w:fill="938953"/>
          </w:tcPr>
          <w:p>
            <w:pPr>
              <w:pStyle w:val="TableParagraph"/>
              <w:spacing w:before="0"/>
              <w:rPr>
                <w:rFonts w:ascii="Times New Roman"/>
                <w:sz w:val="8"/>
              </w:rPr>
            </w:pPr>
          </w:p>
        </w:tc>
        <w:tc>
          <w:tcPr>
            <w:tcW w:w="1183" w:type="dxa"/>
          </w:tcPr>
          <w:p>
            <w:pPr>
              <w:pStyle w:val="TableParagraph"/>
              <w:spacing w:line="98" w:lineRule="exact" w:before="17"/>
              <w:ind w:left="18"/>
              <w:rPr>
                <w:rFonts w:ascii="Calibri"/>
                <w:sz w:val="9"/>
              </w:rPr>
            </w:pPr>
            <w:r>
              <w:rPr>
                <w:rFonts w:ascii="Calibri"/>
                <w:w w:val="110"/>
                <w:sz w:val="9"/>
              </w:rPr>
              <w:t>L - Other Health &amp; Disability</w:t>
            </w:r>
          </w:p>
        </w:tc>
        <w:tc>
          <w:tcPr>
            <w:tcW w:w="56" w:type="dxa"/>
            <w:shd w:val="clear" w:color="auto" w:fill="ECB8E7"/>
          </w:tcPr>
          <w:p>
            <w:pPr>
              <w:pStyle w:val="TableParagraph"/>
              <w:spacing w:before="0"/>
              <w:rPr>
                <w:rFonts w:ascii="Times New Roman"/>
                <w:sz w:val="8"/>
              </w:rPr>
            </w:pPr>
          </w:p>
        </w:tc>
        <w:tc>
          <w:tcPr>
            <w:tcW w:w="209" w:type="dxa"/>
            <w:shd w:val="clear" w:color="auto" w:fill="ECB8E7"/>
          </w:tcPr>
          <w:p>
            <w:pPr>
              <w:pStyle w:val="TableParagraph"/>
              <w:spacing w:before="0"/>
              <w:rPr>
                <w:rFonts w:ascii="Times New Roman"/>
                <w:sz w:val="8"/>
              </w:rPr>
            </w:pPr>
          </w:p>
        </w:tc>
        <w:tc>
          <w:tcPr>
            <w:tcW w:w="706" w:type="dxa"/>
          </w:tcPr>
          <w:p>
            <w:pPr>
              <w:pStyle w:val="TableParagraph"/>
              <w:spacing w:line="98" w:lineRule="exact" w:before="17"/>
              <w:ind w:left="19"/>
              <w:rPr>
                <w:rFonts w:ascii="Calibri"/>
                <w:sz w:val="9"/>
              </w:rPr>
            </w:pPr>
            <w:r>
              <w:rPr>
                <w:rFonts w:ascii="Calibri"/>
                <w:w w:val="110"/>
                <w:sz w:val="9"/>
              </w:rPr>
              <w:t>M - Other Carer</w:t>
            </w:r>
          </w:p>
        </w:tc>
        <w:tc>
          <w:tcPr>
            <w:tcW w:w="72" w:type="dxa"/>
            <w:shd w:val="clear" w:color="auto" w:fill="C4BC96"/>
          </w:tcPr>
          <w:p>
            <w:pPr>
              <w:pStyle w:val="TableParagraph"/>
              <w:spacing w:before="0"/>
              <w:rPr>
                <w:rFonts w:ascii="Times New Roman"/>
                <w:sz w:val="8"/>
              </w:rPr>
            </w:pPr>
          </w:p>
        </w:tc>
        <w:tc>
          <w:tcPr>
            <w:tcW w:w="210" w:type="dxa"/>
            <w:shd w:val="clear" w:color="auto" w:fill="C4BC96"/>
          </w:tcPr>
          <w:p>
            <w:pPr>
              <w:pStyle w:val="TableParagraph"/>
              <w:spacing w:before="0"/>
              <w:rPr>
                <w:rFonts w:ascii="Times New Roman"/>
                <w:sz w:val="8"/>
              </w:rPr>
            </w:pPr>
          </w:p>
        </w:tc>
        <w:tc>
          <w:tcPr>
            <w:tcW w:w="729" w:type="dxa"/>
          </w:tcPr>
          <w:p>
            <w:pPr>
              <w:pStyle w:val="TableParagraph"/>
              <w:spacing w:line="98" w:lineRule="exact" w:before="17"/>
              <w:ind w:left="16"/>
              <w:rPr>
                <w:rFonts w:ascii="Calibri"/>
                <w:sz w:val="9"/>
              </w:rPr>
            </w:pPr>
            <w:r>
              <w:rPr>
                <w:rFonts w:ascii="Calibri"/>
                <w:w w:val="110"/>
                <w:sz w:val="9"/>
              </w:rPr>
              <w:t>N - Other Study</w:t>
            </w:r>
            <w:r>
              <w:rPr>
                <w:rFonts w:ascii="Calibri"/>
                <w:spacing w:val="-15"/>
                <w:w w:val="110"/>
                <w:sz w:val="9"/>
              </w:rPr>
              <w:t> </w:t>
            </w:r>
            <w:r>
              <w:rPr>
                <w:rFonts w:ascii="Calibri"/>
                <w:w w:val="110"/>
                <w:sz w:val="9"/>
              </w:rPr>
              <w:t>&amp;</w:t>
            </w:r>
          </w:p>
        </w:tc>
        <w:tc>
          <w:tcPr>
            <w:tcW w:w="837" w:type="dxa"/>
          </w:tcPr>
          <w:p>
            <w:pPr>
              <w:pStyle w:val="TableParagraph"/>
              <w:spacing w:line="98" w:lineRule="exact" w:before="17"/>
              <w:ind w:left="11"/>
              <w:rPr>
                <w:rFonts w:ascii="Calibri"/>
                <w:sz w:val="9"/>
              </w:rPr>
            </w:pPr>
            <w:r>
              <w:rPr>
                <w:rFonts w:ascii="Calibri"/>
                <w:w w:val="110"/>
                <w:sz w:val="9"/>
              </w:rPr>
              <w:t>Skills</w:t>
            </w:r>
          </w:p>
        </w:tc>
      </w:tr>
      <w:tr>
        <w:trPr>
          <w:trHeight w:val="274" w:hRule="atLeast"/>
        </w:trPr>
        <w:tc>
          <w:tcPr>
            <w:tcW w:w="1074" w:type="dxa"/>
          </w:tcPr>
          <w:p>
            <w:pPr>
              <w:pStyle w:val="TableParagraph"/>
              <w:spacing w:line="130" w:lineRule="atLeast" w:before="16"/>
              <w:ind w:left="265" w:right="-16"/>
              <w:rPr>
                <w:rFonts w:ascii="Calibri"/>
                <w:sz w:val="9"/>
              </w:rPr>
            </w:pPr>
            <w:r>
              <w:rPr>
                <w:rFonts w:ascii="Calibri"/>
                <w:w w:val="110"/>
                <w:sz w:val="9"/>
              </w:rPr>
              <w:t>O - Other Remote &amp; Regional</w:t>
            </w:r>
          </w:p>
        </w:tc>
        <w:tc>
          <w:tcPr>
            <w:tcW w:w="215" w:type="dxa"/>
          </w:tcPr>
          <w:p>
            <w:pPr>
              <w:pStyle w:val="TableParagraph"/>
              <w:spacing w:line="135" w:lineRule="exact" w:before="0"/>
              <w:ind w:right="-58"/>
              <w:rPr>
                <w:rFonts w:ascii="Calibri"/>
                <w:sz w:val="13"/>
              </w:rPr>
            </w:pPr>
            <w:r>
              <w:rPr>
                <w:rFonts w:ascii="Calibri"/>
                <w:position w:val="-2"/>
                <w:sz w:val="13"/>
              </w:rPr>
              <w:pict>
                <v:group style="width:10.45pt;height:6.75pt;mso-position-horizontal-relative:char;mso-position-vertical-relative:line" coordorigin="0,0" coordsize="209,135">
                  <v:rect style="position:absolute;left:0;top:0;width:209;height:135" filled="true" fillcolor="#a6a6a6" stroked="false">
                    <v:fill type="solid"/>
                  </v:rect>
                </v:group>
              </w:pict>
            </w:r>
            <w:r>
              <w:rPr>
                <w:rFonts w:ascii="Calibri"/>
                <w:position w:val="-2"/>
                <w:sz w:val="13"/>
              </w:rPr>
            </w:r>
          </w:p>
        </w:tc>
        <w:tc>
          <w:tcPr>
            <w:tcW w:w="823" w:type="dxa"/>
          </w:tcPr>
          <w:p>
            <w:pPr>
              <w:pStyle w:val="TableParagraph"/>
              <w:spacing w:line="130" w:lineRule="atLeast" w:before="16"/>
              <w:ind w:left="7"/>
              <w:rPr>
                <w:rFonts w:ascii="Calibri"/>
                <w:sz w:val="9"/>
              </w:rPr>
            </w:pPr>
            <w:r>
              <w:rPr>
                <w:rFonts w:ascii="Calibri"/>
                <w:w w:val="110"/>
                <w:sz w:val="9"/>
              </w:rPr>
              <w:t>P - Other General Allowances</w:t>
            </w:r>
          </w:p>
        </w:tc>
        <w:tc>
          <w:tcPr>
            <w:tcW w:w="89" w:type="dxa"/>
          </w:tcPr>
          <w:p>
            <w:pPr>
              <w:pStyle w:val="TableParagraph"/>
              <w:spacing w:before="0"/>
              <w:rPr>
                <w:rFonts w:ascii="Times New Roman"/>
                <w:sz w:val="18"/>
              </w:rPr>
            </w:pPr>
          </w:p>
        </w:tc>
        <w:tc>
          <w:tcPr>
            <w:tcW w:w="208" w:type="dxa"/>
          </w:tcPr>
          <w:p>
            <w:pPr>
              <w:pStyle w:val="TableParagraph"/>
              <w:spacing w:line="135" w:lineRule="exact" w:before="0"/>
              <w:ind w:left="2" w:right="-58"/>
              <w:rPr>
                <w:rFonts w:ascii="Calibri"/>
                <w:sz w:val="13"/>
              </w:rPr>
            </w:pPr>
            <w:r>
              <w:rPr>
                <w:rFonts w:ascii="Calibri"/>
                <w:position w:val="-2"/>
                <w:sz w:val="13"/>
              </w:rPr>
              <w:pict>
                <v:group style="width:10.45pt;height:6.75pt;mso-position-horizontal-relative:char;mso-position-vertical-relative:line" coordorigin="0,0" coordsize="209,135">
                  <v:rect style="position:absolute;left:0;top:0;width:209;height:135" filled="true" fillcolor="#d9d9d9" stroked="false">
                    <v:fill type="solid"/>
                  </v:rect>
                </v:group>
              </w:pict>
            </w:r>
            <w:r>
              <w:rPr>
                <w:rFonts w:ascii="Calibri"/>
                <w:position w:val="-2"/>
                <w:sz w:val="13"/>
              </w:rPr>
            </w:r>
          </w:p>
        </w:tc>
        <w:tc>
          <w:tcPr>
            <w:tcW w:w="945" w:type="dxa"/>
          </w:tcPr>
          <w:p>
            <w:pPr>
              <w:pStyle w:val="TableParagraph"/>
              <w:spacing w:before="36"/>
              <w:ind w:left="16"/>
              <w:rPr>
                <w:rFonts w:ascii="Calibri"/>
                <w:sz w:val="9"/>
              </w:rPr>
            </w:pPr>
            <w:r>
              <w:rPr>
                <w:rFonts w:ascii="Calibri"/>
                <w:w w:val="110"/>
                <w:sz w:val="9"/>
              </w:rPr>
              <w:t>Q - All Other</w:t>
            </w:r>
          </w:p>
        </w:tc>
        <w:tc>
          <w:tcPr>
            <w:tcW w:w="58" w:type="dxa"/>
          </w:tcPr>
          <w:p>
            <w:pPr>
              <w:pStyle w:val="TableParagraph"/>
              <w:spacing w:before="0"/>
              <w:rPr>
                <w:rFonts w:ascii="Times New Roman"/>
                <w:sz w:val="18"/>
              </w:rPr>
            </w:pPr>
          </w:p>
        </w:tc>
        <w:tc>
          <w:tcPr>
            <w:tcW w:w="208" w:type="dxa"/>
          </w:tcPr>
          <w:p>
            <w:pPr>
              <w:pStyle w:val="TableParagraph"/>
              <w:spacing w:line="135" w:lineRule="exact" w:before="0"/>
              <w:ind w:left="4" w:right="-58"/>
              <w:rPr>
                <w:rFonts w:ascii="Calibri"/>
                <w:sz w:val="13"/>
              </w:rPr>
            </w:pPr>
            <w:r>
              <w:rPr>
                <w:rFonts w:ascii="Calibri"/>
                <w:position w:val="-2"/>
                <w:sz w:val="13"/>
              </w:rPr>
              <w:pict>
                <v:group style="width:10.45pt;height:6.75pt;mso-position-horizontal-relative:char;mso-position-vertical-relative:line" coordorigin="0,0" coordsize="209,135">
                  <v:rect style="position:absolute;left:0;top:0;width:209;height:135" filled="true" fillcolor="#413c22" stroked="false">
                    <v:fill type="solid"/>
                  </v:rect>
                </v:group>
              </w:pict>
            </w:r>
            <w:r>
              <w:rPr>
                <w:rFonts w:ascii="Calibri"/>
                <w:position w:val="-2"/>
                <w:sz w:val="13"/>
              </w:rPr>
            </w:r>
          </w:p>
        </w:tc>
        <w:tc>
          <w:tcPr>
            <w:tcW w:w="1183" w:type="dxa"/>
          </w:tcPr>
          <w:p>
            <w:pPr>
              <w:pStyle w:val="TableParagraph"/>
              <w:spacing w:before="36"/>
              <w:ind w:left="18"/>
              <w:rPr>
                <w:rFonts w:ascii="Calibri"/>
                <w:sz w:val="9"/>
              </w:rPr>
            </w:pPr>
            <w:r>
              <w:rPr>
                <w:rFonts w:ascii="Calibri"/>
                <w:w w:val="110"/>
                <w:sz w:val="9"/>
              </w:rPr>
              <w:t>R - Rent Assistance</w:t>
            </w:r>
          </w:p>
        </w:tc>
        <w:tc>
          <w:tcPr>
            <w:tcW w:w="56" w:type="dxa"/>
          </w:tcPr>
          <w:p>
            <w:pPr>
              <w:pStyle w:val="TableParagraph"/>
              <w:spacing w:before="0"/>
              <w:rPr>
                <w:rFonts w:ascii="Times New Roman"/>
                <w:sz w:val="18"/>
              </w:rPr>
            </w:pPr>
          </w:p>
        </w:tc>
        <w:tc>
          <w:tcPr>
            <w:tcW w:w="209" w:type="dxa"/>
          </w:tcPr>
          <w:p>
            <w:pPr>
              <w:pStyle w:val="TableParagraph"/>
              <w:spacing w:before="0"/>
              <w:rPr>
                <w:rFonts w:ascii="Times New Roman"/>
                <w:sz w:val="18"/>
              </w:rPr>
            </w:pPr>
          </w:p>
        </w:tc>
        <w:tc>
          <w:tcPr>
            <w:tcW w:w="706" w:type="dxa"/>
          </w:tcPr>
          <w:p>
            <w:pPr>
              <w:pStyle w:val="TableParagraph"/>
              <w:spacing w:before="0"/>
              <w:rPr>
                <w:rFonts w:ascii="Times New Roman"/>
                <w:sz w:val="18"/>
              </w:rPr>
            </w:pPr>
          </w:p>
        </w:tc>
        <w:tc>
          <w:tcPr>
            <w:tcW w:w="72" w:type="dxa"/>
          </w:tcPr>
          <w:p>
            <w:pPr>
              <w:pStyle w:val="TableParagraph"/>
              <w:spacing w:before="0"/>
              <w:rPr>
                <w:rFonts w:ascii="Times New Roman"/>
                <w:sz w:val="18"/>
              </w:rPr>
            </w:pPr>
          </w:p>
        </w:tc>
        <w:tc>
          <w:tcPr>
            <w:tcW w:w="210" w:type="dxa"/>
          </w:tcPr>
          <w:p>
            <w:pPr>
              <w:pStyle w:val="TableParagraph"/>
              <w:spacing w:before="0"/>
              <w:rPr>
                <w:rFonts w:ascii="Times New Roman"/>
                <w:sz w:val="18"/>
              </w:rPr>
            </w:pPr>
          </w:p>
        </w:tc>
        <w:tc>
          <w:tcPr>
            <w:tcW w:w="729" w:type="dxa"/>
          </w:tcPr>
          <w:p>
            <w:pPr>
              <w:pStyle w:val="TableParagraph"/>
              <w:spacing w:before="0"/>
              <w:rPr>
                <w:rFonts w:ascii="Times New Roman"/>
                <w:sz w:val="18"/>
              </w:rPr>
            </w:pPr>
          </w:p>
        </w:tc>
        <w:tc>
          <w:tcPr>
            <w:tcW w:w="837" w:type="dxa"/>
          </w:tcPr>
          <w:p>
            <w:pPr>
              <w:pStyle w:val="TableParagraph"/>
              <w:spacing w:before="0"/>
              <w:rPr>
                <w:rFonts w:ascii="Times New Roman"/>
                <w:sz w:val="18"/>
              </w:rPr>
            </w:pPr>
          </w:p>
        </w:tc>
      </w:tr>
    </w:tbl>
    <w:p>
      <w:pPr>
        <w:pStyle w:val="BodyText"/>
        <w:rPr>
          <w:rFonts w:ascii="Calibri"/>
          <w:b/>
          <w:sz w:val="14"/>
        </w:rPr>
      </w:pPr>
    </w:p>
    <w:p>
      <w:pPr>
        <w:pStyle w:val="BodyText"/>
        <w:rPr>
          <w:rFonts w:ascii="Calibri"/>
          <w:b/>
          <w:sz w:val="14"/>
        </w:rPr>
      </w:pPr>
    </w:p>
    <w:p>
      <w:pPr>
        <w:pStyle w:val="BodyText"/>
        <w:spacing w:before="8"/>
        <w:rPr>
          <w:rFonts w:ascii="Calibri"/>
          <w:b/>
          <w:sz w:val="11"/>
        </w:rPr>
      </w:pPr>
    </w:p>
    <w:p>
      <w:pPr>
        <w:pStyle w:val="BodyText"/>
        <w:ind w:left="899" w:right="1071"/>
      </w:pPr>
      <w:r>
        <w:rPr>
          <w:color w:val="404040"/>
        </w:rPr>
        <w:t>During 2017/18, the average payment made was $7,500 (compared to $8,000 last year) with slightly higher average payments being made to women as a result of them being more likely to also be claiming FTB and other family payments alongside the main study payment and study supplements. This reduction has been largely driven by lower Other Study &amp; Skills payments, which reduced from $900 to $700 over the last year. In particular, fewer people in the Studying class have utilised Other Study &amp; Skills payments since the Student Start-up Scholarship (SSS) was replaced with the Student Start-up Loan (SSL) in January 2016. The projection shows a further decrease in the use of Other Study &amp; Skill. This is in part because the projection allows for the inclusion of a bad debt allowance for the SSL, to allow for a proportion of recipients not repaying this loan in full.</w:t>
      </w:r>
    </w:p>
    <w:p>
      <w:pPr>
        <w:pStyle w:val="BodyText"/>
        <w:spacing w:before="8"/>
      </w:pPr>
    </w:p>
    <w:p>
      <w:pPr>
        <w:pStyle w:val="Heading4"/>
        <w:jc w:val="both"/>
      </w:pPr>
      <w:bookmarkStart w:name="What does the model show for people in t" w:id="171"/>
      <w:bookmarkEnd w:id="171"/>
      <w:r>
        <w:rPr/>
      </w:r>
      <w:r>
        <w:rPr>
          <w:color w:val="DF2F28"/>
        </w:rPr>
        <w:t>What does the model show for people in the Studying class?</w:t>
      </w:r>
    </w:p>
    <w:p>
      <w:pPr>
        <w:pStyle w:val="BodyText"/>
        <w:spacing w:before="9"/>
      </w:pPr>
    </w:p>
    <w:p>
      <w:pPr>
        <w:pStyle w:val="Heading6"/>
        <w:jc w:val="both"/>
        <w:rPr>
          <w:i/>
        </w:rPr>
      </w:pPr>
      <w:r>
        <w:rPr>
          <w:i/>
          <w:color w:val="DF2F1E"/>
        </w:rPr>
        <w:t>Lifetime costs</w:t>
      </w:r>
    </w:p>
    <w:p>
      <w:pPr>
        <w:pStyle w:val="BodyText"/>
        <w:spacing w:line="242" w:lineRule="auto" w:before="119"/>
        <w:ind w:left="899" w:right="1278"/>
        <w:jc w:val="both"/>
      </w:pPr>
      <w:r>
        <w:rPr>
          <w:color w:val="404040"/>
        </w:rPr>
        <w:t>We estimated the lifetime cost for the people in this class to be </w:t>
      </w:r>
      <w:r>
        <w:rPr>
          <w:b/>
          <w:color w:val="404040"/>
        </w:rPr>
        <w:t>$94bn </w:t>
      </w:r>
      <w:r>
        <w:rPr>
          <w:color w:val="404040"/>
        </w:rPr>
        <w:t>(or </w:t>
      </w:r>
      <w:r>
        <w:rPr>
          <w:b/>
          <w:color w:val="404040"/>
        </w:rPr>
        <w:t>1.7% </w:t>
      </w:r>
      <w:r>
        <w:rPr>
          <w:color w:val="404040"/>
        </w:rPr>
        <w:t>of the total lifetime cost). The average lifetime cost for people in this class is </w:t>
      </w:r>
      <w:r>
        <w:rPr>
          <w:b/>
          <w:color w:val="404040"/>
        </w:rPr>
        <w:t>$263,000</w:t>
      </w:r>
      <w:r>
        <w:rPr>
          <w:color w:val="404040"/>
        </w:rPr>
        <w:t>. The variation by age and gender is illustrated in the figure below.</w:t>
      </w:r>
    </w:p>
    <w:p>
      <w:pPr>
        <w:spacing w:after="0" w:line="242" w:lineRule="auto"/>
        <w:jc w:val="both"/>
        <w:sectPr>
          <w:pgSz w:w="11910" w:h="16850"/>
          <w:pgMar w:header="572" w:footer="581" w:top="780" w:bottom="780" w:left="120" w:right="0"/>
        </w:sectPr>
      </w:pPr>
    </w:p>
    <w:p>
      <w:pPr>
        <w:pStyle w:val="BodyText"/>
      </w:pPr>
    </w:p>
    <w:p>
      <w:pPr>
        <w:pStyle w:val="BodyText"/>
      </w:pPr>
    </w:p>
    <w:p>
      <w:pPr>
        <w:pStyle w:val="BodyText"/>
        <w:spacing w:before="5"/>
        <w:rPr>
          <w:sz w:val="21"/>
        </w:rPr>
      </w:pPr>
    </w:p>
    <w:p>
      <w:pPr>
        <w:pStyle w:val="Heading9"/>
      </w:pPr>
      <w:r>
        <w:rPr>
          <w:color w:val="DF2F1E"/>
        </w:rPr>
        <w:t>Figure 46: Average lifetime cost by age and gender (class 1)</w:t>
      </w:r>
    </w:p>
    <w:p>
      <w:pPr>
        <w:pStyle w:val="BodyText"/>
        <w:spacing w:before="9"/>
        <w:rPr>
          <w:b/>
          <w:sz w:val="12"/>
        </w:rPr>
      </w:pPr>
    </w:p>
    <w:p>
      <w:pPr>
        <w:spacing w:after="0"/>
        <w:rPr>
          <w:sz w:val="12"/>
        </w:rPr>
        <w:sectPr>
          <w:pgSz w:w="11910" w:h="16850"/>
          <w:pgMar w:header="572" w:footer="581" w:top="780" w:bottom="780" w:left="120" w:right="0"/>
        </w:sectPr>
      </w:pPr>
    </w:p>
    <w:p>
      <w:pPr>
        <w:spacing w:before="72"/>
        <w:ind w:left="1599" w:right="0" w:firstLine="0"/>
        <w:jc w:val="left"/>
        <w:rPr>
          <w:rFonts w:ascii="Calibri"/>
          <w:sz w:val="14"/>
        </w:rPr>
      </w:pPr>
      <w:r>
        <w:rPr/>
        <w:pict>
          <v:group style="position:absolute;margin-left:97.698647pt;margin-top:7.333509pt;width:239.15pt;height:128.75pt;mso-position-horizontal-relative:page;mso-position-vertical-relative:paragraph;z-index:252178432" coordorigin="1954,147" coordsize="4783,2575">
            <v:shape style="position:absolute;left:1953;top:146;width:4783;height:2575" type="#_x0000_t75" stroked="false">
              <v:imagedata r:id="rId76" o:title=""/>
            </v:shape>
            <v:shape style="position:absolute;left:3114;top:239;width:633;height:204" type="#_x0000_t202" filled="false" stroked="false">
              <v:textbox inset="0,0,0,0">
                <w:txbxContent>
                  <w:p>
                    <w:pPr>
                      <w:spacing w:line="204" w:lineRule="exact" w:before="0"/>
                      <w:ind w:left="0" w:right="0" w:firstLine="0"/>
                      <w:jc w:val="left"/>
                      <w:rPr>
                        <w:rFonts w:ascii="Calibri"/>
                        <w:sz w:val="20"/>
                      </w:rPr>
                    </w:pPr>
                    <w:r>
                      <w:rPr>
                        <w:rFonts w:ascii="Calibri"/>
                        <w:color w:val="BEBEBE"/>
                        <w:sz w:val="20"/>
                      </w:rPr>
                      <w:t>&lt;- Male</w:t>
                    </w:r>
                  </w:p>
                </w:txbxContent>
              </v:textbox>
              <w10:wrap type="none"/>
            </v:shape>
            <v:shape style="position:absolute;left:4988;top:239;width:831;height:204" type="#_x0000_t202" filled="false" stroked="false">
              <v:textbox inset="0,0,0,0">
                <w:txbxContent>
                  <w:p>
                    <w:pPr>
                      <w:spacing w:line="204" w:lineRule="exact" w:before="0"/>
                      <w:ind w:left="0" w:right="0" w:firstLine="0"/>
                      <w:jc w:val="left"/>
                      <w:rPr>
                        <w:rFonts w:ascii="Calibri"/>
                        <w:sz w:val="20"/>
                      </w:rPr>
                    </w:pPr>
                    <w:r>
                      <w:rPr>
                        <w:rFonts w:ascii="Calibri"/>
                        <w:color w:val="BEBEBE"/>
                        <w:sz w:val="20"/>
                      </w:rPr>
                      <w:t>Female -&gt;</w:t>
                    </w:r>
                  </w:p>
                </w:txbxContent>
              </v:textbox>
              <w10:wrap type="none"/>
            </v:shape>
            <w10:wrap type="none"/>
          </v:group>
        </w:pict>
      </w:r>
      <w:r>
        <w:rPr>
          <w:rFonts w:ascii="Calibri"/>
          <w:sz w:val="14"/>
        </w:rPr>
        <w:t>90</w:t>
      </w:r>
    </w:p>
    <w:p>
      <w:pPr>
        <w:spacing w:before="107"/>
        <w:ind w:left="1599" w:right="0" w:firstLine="0"/>
        <w:jc w:val="left"/>
        <w:rPr>
          <w:rFonts w:ascii="Calibri"/>
          <w:sz w:val="14"/>
        </w:rPr>
      </w:pPr>
      <w:r>
        <w:rPr>
          <w:rFonts w:ascii="Calibri"/>
          <w:sz w:val="14"/>
        </w:rPr>
        <w:t>80</w:t>
      </w:r>
    </w:p>
    <w:p>
      <w:pPr>
        <w:spacing w:before="107"/>
        <w:ind w:left="1599" w:right="0" w:firstLine="0"/>
        <w:jc w:val="left"/>
        <w:rPr>
          <w:rFonts w:ascii="Calibri"/>
          <w:sz w:val="14"/>
        </w:rPr>
      </w:pPr>
      <w:r>
        <w:rPr/>
        <w:pict>
          <v:shape style="position:absolute;margin-left:75.840225pt;margin-top:11.540086pt;width:9pt;height:66.7pt;mso-position-horizontal-relative:page;mso-position-vertical-relative:paragraph;z-index:252180480" type="#_x0000_t202" filled="false" stroked="false">
            <v:textbox inset="0,0,0,0" style="layout-flow:vertical;mso-layout-flow-alt:bottom-to-top">
              <w:txbxContent>
                <w:p>
                  <w:pPr>
                    <w:spacing w:line="162" w:lineRule="exact" w:before="0"/>
                    <w:ind w:left="20" w:right="0" w:firstLine="0"/>
                    <w:jc w:val="left"/>
                    <w:rPr>
                      <w:rFonts w:ascii="Calibri"/>
                      <w:b/>
                      <w:sz w:val="14"/>
                    </w:rPr>
                  </w:pPr>
                  <w:r>
                    <w:rPr>
                      <w:rFonts w:ascii="Calibri"/>
                      <w:b/>
                      <w:sz w:val="14"/>
                    </w:rPr>
                    <w:t>Age at Valuation Date</w:t>
                  </w:r>
                </w:p>
              </w:txbxContent>
            </v:textbox>
            <w10:wrap type="none"/>
          </v:shape>
        </w:pict>
      </w:r>
      <w:r>
        <w:rPr>
          <w:rFonts w:ascii="Calibri"/>
          <w:sz w:val="14"/>
        </w:rPr>
        <w:t>70</w:t>
      </w:r>
    </w:p>
    <w:p>
      <w:pPr>
        <w:spacing w:before="107"/>
        <w:ind w:left="1599" w:right="0" w:firstLine="0"/>
        <w:jc w:val="left"/>
        <w:rPr>
          <w:rFonts w:ascii="Calibri"/>
          <w:sz w:val="14"/>
        </w:rPr>
      </w:pPr>
      <w:r>
        <w:rPr>
          <w:rFonts w:ascii="Calibri"/>
          <w:sz w:val="14"/>
        </w:rPr>
        <w:t>60</w:t>
      </w:r>
    </w:p>
    <w:p>
      <w:pPr>
        <w:spacing w:before="107"/>
        <w:ind w:left="1599" w:right="0" w:firstLine="0"/>
        <w:jc w:val="left"/>
        <w:rPr>
          <w:rFonts w:ascii="Calibri"/>
          <w:sz w:val="14"/>
        </w:rPr>
      </w:pPr>
      <w:r>
        <w:rPr>
          <w:rFonts w:ascii="Calibri"/>
          <w:sz w:val="14"/>
        </w:rPr>
        <w:t>50</w:t>
      </w:r>
    </w:p>
    <w:p>
      <w:pPr>
        <w:spacing w:before="106"/>
        <w:ind w:left="1599" w:right="0" w:firstLine="0"/>
        <w:jc w:val="left"/>
        <w:rPr>
          <w:rFonts w:ascii="Calibri"/>
          <w:sz w:val="14"/>
        </w:rPr>
      </w:pPr>
      <w:r>
        <w:rPr>
          <w:rFonts w:ascii="Calibri"/>
          <w:sz w:val="14"/>
        </w:rPr>
        <w:t>40</w:t>
      </w:r>
    </w:p>
    <w:p>
      <w:pPr>
        <w:spacing w:before="107"/>
        <w:ind w:left="1599" w:right="0" w:firstLine="0"/>
        <w:jc w:val="left"/>
        <w:rPr>
          <w:rFonts w:ascii="Calibri"/>
          <w:sz w:val="14"/>
        </w:rPr>
      </w:pPr>
      <w:r>
        <w:rPr>
          <w:rFonts w:ascii="Calibri"/>
          <w:sz w:val="14"/>
        </w:rPr>
        <w:t>30</w:t>
      </w:r>
    </w:p>
    <w:p>
      <w:pPr>
        <w:spacing w:before="107"/>
        <w:ind w:left="1599" w:right="0" w:firstLine="0"/>
        <w:jc w:val="left"/>
        <w:rPr>
          <w:rFonts w:ascii="Calibri"/>
          <w:sz w:val="14"/>
        </w:rPr>
      </w:pPr>
      <w:r>
        <w:rPr>
          <w:rFonts w:ascii="Calibri"/>
          <w:sz w:val="14"/>
        </w:rPr>
        <w:t>20</w:t>
      </w:r>
    </w:p>
    <w:p>
      <w:pPr>
        <w:spacing w:before="107"/>
        <w:ind w:left="1599" w:right="0" w:firstLine="0"/>
        <w:jc w:val="left"/>
        <w:rPr>
          <w:rFonts w:ascii="Calibri"/>
          <w:sz w:val="14"/>
        </w:rPr>
      </w:pPr>
      <w:r>
        <w:rPr>
          <w:rFonts w:ascii="Calibri"/>
          <w:sz w:val="14"/>
        </w:rPr>
        <w:t>10</w:t>
      </w:r>
    </w:p>
    <w:p>
      <w:pPr>
        <w:spacing w:before="107"/>
        <w:ind w:left="1672" w:right="0" w:firstLine="0"/>
        <w:jc w:val="left"/>
        <w:rPr>
          <w:rFonts w:ascii="Calibri"/>
          <w:sz w:val="14"/>
        </w:rPr>
      </w:pPr>
      <w:r>
        <w:rPr>
          <w:rFonts w:ascii="Calibri"/>
          <w:w w:val="99"/>
          <w:sz w:val="14"/>
        </w:rPr>
        <w:t>0</w:t>
      </w:r>
    </w:p>
    <w:p>
      <w:pPr>
        <w:spacing w:before="29"/>
        <w:ind w:left="1768" w:right="0" w:firstLine="0"/>
        <w:jc w:val="left"/>
        <w:rPr>
          <w:rFonts w:ascii="Calibri"/>
          <w:sz w:val="14"/>
        </w:rPr>
      </w:pPr>
      <w:r>
        <w:rPr>
          <w:rFonts w:ascii="Calibri"/>
          <w:sz w:val="14"/>
        </w:rPr>
        <w:t>600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1"/>
        <w:rPr>
          <w:rFonts w:ascii="Calibri"/>
          <w:sz w:val="17"/>
        </w:rPr>
      </w:pPr>
    </w:p>
    <w:p>
      <w:pPr>
        <w:spacing w:before="0"/>
        <w:ind w:left="133" w:right="0" w:firstLine="0"/>
        <w:jc w:val="left"/>
        <w:rPr>
          <w:rFonts w:ascii="Calibri"/>
          <w:sz w:val="14"/>
        </w:rPr>
      </w:pPr>
      <w:r>
        <w:rPr>
          <w:rFonts w:ascii="Calibri"/>
          <w:sz w:val="14"/>
        </w:rPr>
        <w:t>500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1"/>
        <w:rPr>
          <w:rFonts w:ascii="Calibri"/>
          <w:sz w:val="17"/>
        </w:rPr>
      </w:pPr>
    </w:p>
    <w:p>
      <w:pPr>
        <w:spacing w:before="0"/>
        <w:ind w:left="133" w:right="0" w:firstLine="0"/>
        <w:jc w:val="left"/>
        <w:rPr>
          <w:rFonts w:ascii="Calibri"/>
          <w:sz w:val="14"/>
        </w:rPr>
      </w:pPr>
      <w:r>
        <w:rPr>
          <w:rFonts w:ascii="Calibri"/>
          <w:sz w:val="14"/>
        </w:rPr>
        <w:t>400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1"/>
        <w:rPr>
          <w:rFonts w:ascii="Calibri"/>
          <w:sz w:val="17"/>
        </w:rPr>
      </w:pPr>
    </w:p>
    <w:p>
      <w:pPr>
        <w:spacing w:before="0"/>
        <w:ind w:left="133" w:right="0" w:firstLine="0"/>
        <w:jc w:val="left"/>
        <w:rPr>
          <w:rFonts w:ascii="Calibri"/>
          <w:sz w:val="14"/>
        </w:rPr>
      </w:pPr>
      <w:r>
        <w:rPr>
          <w:rFonts w:ascii="Calibri"/>
          <w:sz w:val="14"/>
        </w:rPr>
        <w:t>300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1"/>
        <w:rPr>
          <w:rFonts w:ascii="Calibri"/>
          <w:sz w:val="17"/>
        </w:rPr>
      </w:pPr>
    </w:p>
    <w:p>
      <w:pPr>
        <w:spacing w:before="0"/>
        <w:ind w:left="133" w:right="0" w:firstLine="0"/>
        <w:jc w:val="left"/>
        <w:rPr>
          <w:rFonts w:ascii="Calibri"/>
          <w:sz w:val="14"/>
        </w:rPr>
      </w:pPr>
      <w:r>
        <w:rPr>
          <w:rFonts w:ascii="Calibri"/>
          <w:sz w:val="14"/>
        </w:rPr>
        <w:t>200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1"/>
        <w:rPr>
          <w:rFonts w:ascii="Calibri"/>
          <w:sz w:val="17"/>
        </w:rPr>
      </w:pPr>
    </w:p>
    <w:p>
      <w:pPr>
        <w:tabs>
          <w:tab w:pos="601" w:val="left" w:leader="none"/>
        </w:tabs>
        <w:spacing w:before="0"/>
        <w:ind w:left="133" w:right="0" w:firstLine="0"/>
        <w:jc w:val="left"/>
        <w:rPr>
          <w:rFonts w:ascii="Calibri"/>
          <w:sz w:val="14"/>
        </w:rPr>
      </w:pPr>
      <w:r>
        <w:rPr>
          <w:rFonts w:ascii="Calibri"/>
          <w:spacing w:val="2"/>
          <w:sz w:val="14"/>
        </w:rPr>
        <w:t>100</w:t>
        <w:tab/>
      </w:r>
      <w:r>
        <w:rPr>
          <w:rFonts w:ascii="Calibri"/>
          <w:spacing w:val="-20"/>
          <w:sz w:val="14"/>
        </w:rPr>
        <w:t>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1"/>
        <w:rPr>
          <w:rFonts w:ascii="Calibri"/>
          <w:sz w:val="17"/>
        </w:rPr>
      </w:pPr>
    </w:p>
    <w:p>
      <w:pPr>
        <w:spacing w:before="0"/>
        <w:ind w:left="211" w:right="0" w:firstLine="0"/>
        <w:jc w:val="left"/>
        <w:rPr>
          <w:rFonts w:ascii="Calibri"/>
          <w:sz w:val="14"/>
        </w:rPr>
      </w:pPr>
      <w:r>
        <w:rPr>
          <w:rFonts w:ascii="Calibri"/>
          <w:sz w:val="14"/>
        </w:rPr>
        <w:t>100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1"/>
        <w:rPr>
          <w:rFonts w:ascii="Calibri"/>
          <w:sz w:val="17"/>
        </w:rPr>
      </w:pPr>
    </w:p>
    <w:p>
      <w:pPr>
        <w:spacing w:before="0"/>
        <w:ind w:left="133" w:right="0" w:firstLine="0"/>
        <w:jc w:val="left"/>
        <w:rPr>
          <w:rFonts w:ascii="Calibri"/>
          <w:sz w:val="14"/>
        </w:rPr>
      </w:pPr>
      <w:r>
        <w:rPr>
          <w:rFonts w:ascii="Calibri"/>
          <w:sz w:val="14"/>
        </w:rPr>
        <w:t>200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1"/>
        <w:rPr>
          <w:rFonts w:ascii="Calibri"/>
          <w:sz w:val="17"/>
        </w:rPr>
      </w:pPr>
    </w:p>
    <w:p>
      <w:pPr>
        <w:spacing w:before="0"/>
        <w:ind w:left="133" w:right="0" w:firstLine="0"/>
        <w:jc w:val="left"/>
        <w:rPr>
          <w:rFonts w:ascii="Calibri"/>
          <w:sz w:val="14"/>
        </w:rPr>
      </w:pPr>
      <w:r>
        <w:rPr>
          <w:rFonts w:ascii="Calibri"/>
          <w:sz w:val="14"/>
        </w:rPr>
        <w:t>300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1"/>
        <w:rPr>
          <w:rFonts w:ascii="Calibri"/>
          <w:sz w:val="17"/>
        </w:rPr>
      </w:pPr>
    </w:p>
    <w:p>
      <w:pPr>
        <w:spacing w:before="0"/>
        <w:ind w:left="133" w:right="0" w:firstLine="0"/>
        <w:jc w:val="left"/>
        <w:rPr>
          <w:rFonts w:ascii="Calibri"/>
          <w:sz w:val="14"/>
        </w:rPr>
      </w:pPr>
      <w:r>
        <w:rPr>
          <w:rFonts w:ascii="Calibri"/>
          <w:sz w:val="14"/>
        </w:rPr>
        <w:t>400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1"/>
        <w:rPr>
          <w:rFonts w:ascii="Calibri"/>
          <w:sz w:val="17"/>
        </w:rPr>
      </w:pPr>
    </w:p>
    <w:p>
      <w:pPr>
        <w:spacing w:before="0"/>
        <w:ind w:left="133" w:right="0" w:firstLine="0"/>
        <w:jc w:val="left"/>
        <w:rPr>
          <w:rFonts w:ascii="Calibri"/>
          <w:sz w:val="14"/>
        </w:rPr>
      </w:pPr>
      <w:r>
        <w:rPr>
          <w:rFonts w:ascii="Calibri"/>
          <w:sz w:val="14"/>
        </w:rPr>
        <w:t>500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1"/>
        <w:rPr>
          <w:rFonts w:ascii="Calibri"/>
          <w:sz w:val="17"/>
        </w:rPr>
      </w:pPr>
    </w:p>
    <w:p>
      <w:pPr>
        <w:spacing w:before="0"/>
        <w:ind w:left="133" w:right="0" w:firstLine="0"/>
        <w:jc w:val="left"/>
        <w:rPr>
          <w:rFonts w:ascii="Calibri"/>
          <w:sz w:val="14"/>
        </w:rPr>
      </w:pPr>
      <w:r>
        <w:rPr>
          <w:rFonts w:ascii="Calibri"/>
          <w:sz w:val="14"/>
        </w:rPr>
        <w:t>600</w:t>
      </w:r>
    </w:p>
    <w:p>
      <w:pPr>
        <w:pStyle w:val="BodyText"/>
        <w:rPr>
          <w:rFonts w:ascii="Calibri"/>
          <w:sz w:val="10"/>
        </w:rPr>
      </w:pPr>
      <w:r>
        <w:rPr/>
        <w:br w:type="column"/>
      </w:r>
      <w:r>
        <w:rPr>
          <w:rFonts w:ascii="Calibri"/>
          <w:sz w:val="10"/>
        </w:rPr>
      </w:r>
    </w:p>
    <w:p>
      <w:pPr>
        <w:spacing w:before="69"/>
        <w:ind w:left="914" w:right="0" w:firstLine="0"/>
        <w:jc w:val="left"/>
        <w:rPr>
          <w:rFonts w:ascii="Calibri"/>
          <w:b/>
          <w:sz w:val="10"/>
        </w:rPr>
      </w:pPr>
      <w:r>
        <w:rPr>
          <w:rFonts w:ascii="Calibri"/>
          <w:b/>
          <w:w w:val="105"/>
          <w:sz w:val="10"/>
        </w:rPr>
        <w:t>Payment Category Key:</w:t>
      </w:r>
    </w:p>
    <w:p>
      <w:pPr>
        <w:spacing w:before="32"/>
        <w:ind w:left="1129" w:right="0" w:firstLine="0"/>
        <w:jc w:val="left"/>
        <w:rPr>
          <w:rFonts w:ascii="Calibri"/>
          <w:sz w:val="10"/>
        </w:rPr>
      </w:pPr>
      <w:r>
        <w:rPr/>
        <w:drawing>
          <wp:anchor distT="0" distB="0" distL="0" distR="0" allowOverlap="1" layoutInCell="1" locked="0" behindDoc="0" simplePos="0" relativeHeight="252179456">
            <wp:simplePos x="0" y="0"/>
            <wp:positionH relativeFrom="page">
              <wp:posOffset>4946606</wp:posOffset>
            </wp:positionH>
            <wp:positionV relativeFrom="paragraph">
              <wp:posOffset>9949</wp:posOffset>
            </wp:positionV>
            <wp:extent cx="136420" cy="1509145"/>
            <wp:effectExtent l="0" t="0" r="0" b="0"/>
            <wp:wrapNone/>
            <wp:docPr id="67" name="image55.png"/>
            <wp:cNvGraphicFramePr>
              <a:graphicFrameLocks noChangeAspect="1"/>
            </wp:cNvGraphicFramePr>
            <a:graphic>
              <a:graphicData uri="http://schemas.openxmlformats.org/drawingml/2006/picture">
                <pic:pic>
                  <pic:nvPicPr>
                    <pic:cNvPr id="68" name="image55.png"/>
                    <pic:cNvPicPr/>
                  </pic:nvPicPr>
                  <pic:blipFill>
                    <a:blip r:embed="rId77" cstate="print"/>
                    <a:stretch>
                      <a:fillRect/>
                    </a:stretch>
                  </pic:blipFill>
                  <pic:spPr>
                    <a:xfrm>
                      <a:off x="0" y="0"/>
                      <a:ext cx="136420" cy="1509145"/>
                    </a:xfrm>
                    <a:prstGeom prst="rect">
                      <a:avLst/>
                    </a:prstGeom>
                  </pic:spPr>
                </pic:pic>
              </a:graphicData>
            </a:graphic>
          </wp:anchor>
        </w:drawing>
      </w:r>
      <w:r>
        <w:rPr>
          <w:rFonts w:ascii="Calibri"/>
          <w:w w:val="105"/>
          <w:sz w:val="10"/>
        </w:rPr>
        <w:t>A - IS Studying</w:t>
      </w:r>
    </w:p>
    <w:p>
      <w:pPr>
        <w:spacing w:line="273" w:lineRule="auto" w:before="17"/>
        <w:ind w:left="1129" w:right="3089" w:firstLine="0"/>
        <w:jc w:val="left"/>
        <w:rPr>
          <w:rFonts w:ascii="Calibri"/>
          <w:sz w:val="10"/>
        </w:rPr>
      </w:pPr>
      <w:r>
        <w:rPr>
          <w:rFonts w:ascii="Calibri"/>
          <w:w w:val="105"/>
          <w:sz w:val="10"/>
        </w:rPr>
        <w:t>B - IS Working Age C - IS Parents</w:t>
      </w:r>
    </w:p>
    <w:p>
      <w:pPr>
        <w:spacing w:before="0"/>
        <w:ind w:left="1129" w:right="0" w:firstLine="0"/>
        <w:jc w:val="left"/>
        <w:rPr>
          <w:rFonts w:ascii="Calibri"/>
          <w:sz w:val="10"/>
        </w:rPr>
      </w:pPr>
      <w:r>
        <w:rPr>
          <w:rFonts w:ascii="Calibri"/>
          <w:w w:val="105"/>
          <w:sz w:val="10"/>
        </w:rPr>
        <w:t>D - IS Carer</w:t>
      </w:r>
    </w:p>
    <w:p>
      <w:pPr>
        <w:spacing w:line="273" w:lineRule="auto" w:before="17"/>
        <w:ind w:left="1129" w:right="3253" w:firstLine="0"/>
        <w:jc w:val="left"/>
        <w:rPr>
          <w:rFonts w:ascii="Calibri"/>
          <w:sz w:val="10"/>
        </w:rPr>
      </w:pPr>
      <w:r>
        <w:rPr>
          <w:rFonts w:ascii="Calibri"/>
          <w:w w:val="105"/>
          <w:sz w:val="10"/>
        </w:rPr>
        <w:t>E - IS Disability F - IS Age</w:t>
      </w:r>
    </w:p>
    <w:p>
      <w:pPr>
        <w:spacing w:line="273" w:lineRule="auto" w:before="1"/>
        <w:ind w:left="1129" w:right="3153" w:firstLine="0"/>
        <w:jc w:val="left"/>
        <w:rPr>
          <w:rFonts w:ascii="Calibri"/>
          <w:sz w:val="10"/>
        </w:rPr>
      </w:pPr>
      <w:r>
        <w:rPr>
          <w:rFonts w:ascii="Calibri"/>
          <w:w w:val="105"/>
          <w:sz w:val="10"/>
        </w:rPr>
        <w:t>G - IS Dependant H - Other FTB</w:t>
      </w:r>
    </w:p>
    <w:p>
      <w:pPr>
        <w:spacing w:before="0"/>
        <w:ind w:left="1129" w:right="0" w:firstLine="0"/>
        <w:jc w:val="left"/>
        <w:rPr>
          <w:rFonts w:ascii="Calibri"/>
          <w:sz w:val="10"/>
        </w:rPr>
      </w:pPr>
      <w:r>
        <w:rPr>
          <w:rFonts w:ascii="Calibri"/>
          <w:w w:val="105"/>
          <w:sz w:val="10"/>
        </w:rPr>
        <w:t>I - Other Family</w:t>
      </w:r>
    </w:p>
    <w:p>
      <w:pPr>
        <w:spacing w:before="18"/>
        <w:ind w:left="1129" w:right="0" w:firstLine="0"/>
        <w:jc w:val="left"/>
        <w:rPr>
          <w:rFonts w:ascii="Calibri"/>
          <w:sz w:val="10"/>
        </w:rPr>
      </w:pPr>
      <w:r>
        <w:rPr>
          <w:rFonts w:ascii="Calibri"/>
          <w:w w:val="105"/>
          <w:sz w:val="10"/>
        </w:rPr>
        <w:t>J - Other New Parents</w:t>
      </w:r>
    </w:p>
    <w:p>
      <w:pPr>
        <w:spacing w:line="273" w:lineRule="auto" w:before="17"/>
        <w:ind w:left="1129" w:right="2685" w:firstLine="0"/>
        <w:jc w:val="left"/>
        <w:rPr>
          <w:rFonts w:ascii="Calibri"/>
          <w:sz w:val="10"/>
        </w:rPr>
      </w:pPr>
      <w:r>
        <w:rPr>
          <w:rFonts w:ascii="Calibri"/>
          <w:w w:val="105"/>
          <w:sz w:val="10"/>
        </w:rPr>
        <w:t>L - Other Health &amp; Disability M - Other Carer</w:t>
      </w:r>
    </w:p>
    <w:p>
      <w:pPr>
        <w:spacing w:before="0"/>
        <w:ind w:left="1129" w:right="0" w:firstLine="0"/>
        <w:jc w:val="left"/>
        <w:rPr>
          <w:rFonts w:ascii="Calibri"/>
          <w:sz w:val="10"/>
        </w:rPr>
      </w:pPr>
      <w:r>
        <w:rPr>
          <w:rFonts w:ascii="Calibri"/>
          <w:w w:val="105"/>
          <w:sz w:val="10"/>
        </w:rPr>
        <w:t>N - Other Study &amp; Skills</w:t>
      </w:r>
    </w:p>
    <w:p>
      <w:pPr>
        <w:spacing w:line="273" w:lineRule="auto" w:before="18"/>
        <w:ind w:left="1129" w:right="2632" w:firstLine="0"/>
        <w:jc w:val="both"/>
        <w:rPr>
          <w:rFonts w:ascii="Calibri"/>
          <w:sz w:val="10"/>
        </w:rPr>
      </w:pPr>
      <w:r>
        <w:rPr>
          <w:rFonts w:ascii="Calibri"/>
          <w:w w:val="105"/>
          <w:sz w:val="10"/>
        </w:rPr>
        <w:t>O - Other Remote &amp; Regional P - Other General Allowances Q - All Other</w:t>
      </w:r>
    </w:p>
    <w:p>
      <w:pPr>
        <w:spacing w:before="0"/>
        <w:ind w:left="1129" w:right="0" w:firstLine="0"/>
        <w:jc w:val="both"/>
        <w:rPr>
          <w:rFonts w:ascii="Calibri"/>
          <w:sz w:val="10"/>
        </w:rPr>
      </w:pPr>
      <w:r>
        <w:rPr>
          <w:rFonts w:ascii="Calibri"/>
          <w:w w:val="105"/>
          <w:sz w:val="10"/>
        </w:rPr>
        <w:t>R - Rent Assistance</w:t>
      </w:r>
    </w:p>
    <w:p>
      <w:pPr>
        <w:spacing w:after="0"/>
        <w:jc w:val="both"/>
        <w:rPr>
          <w:rFonts w:ascii="Calibri"/>
          <w:sz w:val="10"/>
        </w:rPr>
        <w:sectPr>
          <w:type w:val="continuous"/>
          <w:pgSz w:w="11910" w:h="16850"/>
          <w:pgMar w:top="1600" w:bottom="280" w:left="120" w:right="0"/>
          <w:cols w:num="13" w:equalWidth="0">
            <w:col w:w="1990" w:space="40"/>
            <w:col w:w="355" w:space="39"/>
            <w:col w:w="355" w:space="40"/>
            <w:col w:w="355" w:space="40"/>
            <w:col w:w="355" w:space="40"/>
            <w:col w:w="673" w:space="40"/>
            <w:col w:w="433" w:space="39"/>
            <w:col w:w="355" w:space="40"/>
            <w:col w:w="355" w:space="40"/>
            <w:col w:w="355" w:space="40"/>
            <w:col w:w="355" w:space="40"/>
            <w:col w:w="355" w:space="39"/>
            <w:col w:w="5022"/>
          </w:cols>
        </w:sectPr>
      </w:pPr>
    </w:p>
    <w:p>
      <w:pPr>
        <w:spacing w:before="47"/>
        <w:ind w:left="3360" w:right="0" w:firstLine="0"/>
        <w:jc w:val="left"/>
        <w:rPr>
          <w:rFonts w:ascii="Calibri"/>
          <w:b/>
          <w:sz w:val="14"/>
        </w:rPr>
      </w:pPr>
      <w:r>
        <w:rPr>
          <w:rFonts w:ascii="Calibri"/>
          <w:b/>
          <w:sz w:val="14"/>
        </w:rPr>
        <w:t>Average Lifetime Cost ($000s)</w:t>
      </w:r>
    </w:p>
    <w:p>
      <w:pPr>
        <w:pStyle w:val="BodyText"/>
        <w:spacing w:before="11"/>
        <w:rPr>
          <w:rFonts w:ascii="Calibri"/>
          <w:b/>
          <w:sz w:val="19"/>
        </w:rPr>
      </w:pPr>
    </w:p>
    <w:p>
      <w:pPr>
        <w:pStyle w:val="BodyText"/>
        <w:spacing w:before="93"/>
        <w:ind w:left="899" w:right="1110"/>
      </w:pPr>
      <w:r>
        <w:rPr>
          <w:color w:val="404040"/>
        </w:rPr>
        <w:t>This is the lowest average lifetime cost of the pre-retirement income support classes, despite the people in this class generally being younger and thus having a longer future lifetime.</w:t>
      </w:r>
    </w:p>
    <w:p>
      <w:pPr>
        <w:pStyle w:val="BodyText"/>
        <w:spacing w:before="120"/>
        <w:ind w:left="900" w:right="1042" w:hanging="1"/>
      </w:pPr>
      <w:r>
        <w:rPr>
          <w:color w:val="404040"/>
        </w:rPr>
        <w:t>We can see that the most substantial part of this cost is for the Age Pension. This component of the average lifetime cost is lower for younger people as their time of retirement is further away and because younger people are more likely to exit and may later draw a lower level of Age Pension.</w:t>
      </w:r>
    </w:p>
    <w:p>
      <w:pPr>
        <w:pStyle w:val="BodyText"/>
        <w:spacing w:before="122"/>
        <w:ind w:left="900" w:right="1042"/>
      </w:pPr>
      <w:r>
        <w:rPr>
          <w:color w:val="404040"/>
        </w:rPr>
        <w:t>The next most apparent feature is the difference between the average lifetime costs for men and women. Women have higher costs through most of the age range as they are more likely to receive FTB or other family payments. For both men and women there are additional cost components for all the main income support payment types reflecting the probability of people moving from the current Studying class onto these payments. There are some differences between the genders, in particular reflecting the different probabilities of moving onto Parenting payments versus Working Age payments.</w:t>
      </w:r>
    </w:p>
    <w:p>
      <w:pPr>
        <w:pStyle w:val="BodyText"/>
        <w:spacing w:before="118"/>
        <w:ind w:left="899" w:right="1449"/>
      </w:pPr>
      <w:r>
        <w:rPr>
          <w:color w:val="404040"/>
        </w:rPr>
        <w:t>To further explore differences in the average lifetime costs for people within class 1, we have prepared the table below, which shows the average lifetime cost for 18 to 25 year olds currently receiving studying payments, split by key characteristics. We have selected a set age group to reduce the effect of age on the future lifetime cost. It is important to note that some characteristics serve as proxies for more fundamental socio-economic factors, and as such, they may not necessarily be the underlying cause of any differences observed in the average lifetime costs of individuals. Further, the variations and relativities to the average lifetime cost that have been shown may differ for other age bands.</w:t>
      </w:r>
    </w:p>
    <w:p>
      <w:pPr>
        <w:spacing w:after="0"/>
        <w:sectPr>
          <w:type w:val="continuous"/>
          <w:pgSz w:w="11910" w:h="16850"/>
          <w:pgMar w:top="1600" w:bottom="280" w:left="120" w:right="0"/>
        </w:sectPr>
      </w:pPr>
    </w:p>
    <w:p>
      <w:pPr>
        <w:pStyle w:val="BodyText"/>
      </w:pPr>
    </w:p>
    <w:p>
      <w:pPr>
        <w:pStyle w:val="BodyText"/>
      </w:pPr>
    </w:p>
    <w:p>
      <w:pPr>
        <w:pStyle w:val="BodyText"/>
        <w:spacing w:before="5"/>
        <w:rPr>
          <w:sz w:val="21"/>
        </w:rPr>
      </w:pPr>
    </w:p>
    <w:p>
      <w:pPr>
        <w:pStyle w:val="Heading9"/>
        <w:spacing w:after="44"/>
        <w:ind w:right="2078"/>
      </w:pPr>
      <w:r>
        <w:rPr>
          <w:color w:val="DF2F1E"/>
        </w:rPr>
        <w:t>Table 15: Average lifetime cost for 18 to 25 year old studying payment recipients split by key characteristics</w:t>
      </w:r>
    </w:p>
    <w:tbl>
      <w:tblPr>
        <w:tblW w:w="0" w:type="auto"/>
        <w:jc w:val="left"/>
        <w:tblInd w:w="1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05"/>
        <w:gridCol w:w="1037"/>
        <w:gridCol w:w="1658"/>
        <w:gridCol w:w="1575"/>
        <w:gridCol w:w="1607"/>
      </w:tblGrid>
      <w:tr>
        <w:trPr>
          <w:trHeight w:val="652" w:hRule="atLeast"/>
        </w:trPr>
        <w:tc>
          <w:tcPr>
            <w:tcW w:w="3905" w:type="dxa"/>
            <w:shd w:val="clear" w:color="auto" w:fill="DF2F1E"/>
          </w:tcPr>
          <w:p>
            <w:pPr>
              <w:pStyle w:val="TableParagraph"/>
              <w:spacing w:before="0"/>
              <w:rPr>
                <w:rFonts w:ascii="Times New Roman"/>
                <w:sz w:val="16"/>
              </w:rPr>
            </w:pPr>
          </w:p>
        </w:tc>
        <w:tc>
          <w:tcPr>
            <w:tcW w:w="1037" w:type="dxa"/>
            <w:shd w:val="clear" w:color="auto" w:fill="DF2F1E"/>
          </w:tcPr>
          <w:p>
            <w:pPr>
              <w:pStyle w:val="TableParagraph"/>
              <w:spacing w:before="44"/>
              <w:ind w:left="237" w:right="122" w:hanging="142"/>
              <w:rPr>
                <w:b/>
                <w:sz w:val="16"/>
              </w:rPr>
            </w:pPr>
            <w:r>
              <w:rPr>
                <w:b/>
                <w:color w:val="FFFFFF"/>
                <w:sz w:val="16"/>
              </w:rPr>
              <w:t>Number of people</w:t>
            </w:r>
          </w:p>
        </w:tc>
        <w:tc>
          <w:tcPr>
            <w:tcW w:w="1658" w:type="dxa"/>
            <w:shd w:val="clear" w:color="auto" w:fill="DF2F1E"/>
          </w:tcPr>
          <w:p>
            <w:pPr>
              <w:pStyle w:val="TableParagraph"/>
              <w:spacing w:before="44"/>
              <w:ind w:left="277" w:right="130" w:hanging="130"/>
              <w:rPr>
                <w:b/>
                <w:sz w:val="16"/>
              </w:rPr>
            </w:pPr>
            <w:r>
              <w:rPr>
                <w:b/>
                <w:color w:val="FFFFFF"/>
                <w:sz w:val="16"/>
              </w:rPr>
              <w:t>Number of people as % of cohort</w:t>
            </w:r>
          </w:p>
        </w:tc>
        <w:tc>
          <w:tcPr>
            <w:tcW w:w="1575" w:type="dxa"/>
            <w:shd w:val="clear" w:color="auto" w:fill="DF2F1E"/>
          </w:tcPr>
          <w:p>
            <w:pPr>
              <w:pStyle w:val="TableParagraph"/>
              <w:spacing w:before="44"/>
              <w:ind w:left="492" w:right="162" w:hanging="336"/>
              <w:rPr>
                <w:b/>
                <w:sz w:val="16"/>
              </w:rPr>
            </w:pPr>
            <w:r>
              <w:rPr>
                <w:b/>
                <w:color w:val="FFFFFF"/>
                <w:sz w:val="16"/>
              </w:rPr>
              <w:t>Average lifetime cost ($)</w:t>
            </w:r>
          </w:p>
        </w:tc>
        <w:tc>
          <w:tcPr>
            <w:tcW w:w="1607" w:type="dxa"/>
            <w:shd w:val="clear" w:color="auto" w:fill="DF2F1E"/>
          </w:tcPr>
          <w:p>
            <w:pPr>
              <w:pStyle w:val="TableParagraph"/>
              <w:spacing w:before="44"/>
              <w:ind w:left="189" w:right="177"/>
              <w:jc w:val="center"/>
              <w:rPr>
                <w:b/>
                <w:sz w:val="16"/>
              </w:rPr>
            </w:pPr>
            <w:r>
              <w:rPr>
                <w:b/>
                <w:color w:val="FFFFFF"/>
                <w:sz w:val="16"/>
              </w:rPr>
              <w:t>Average lifetime cost relative to cohort</w:t>
            </w:r>
          </w:p>
        </w:tc>
      </w:tr>
      <w:tr>
        <w:trPr>
          <w:trHeight w:val="263" w:hRule="atLeast"/>
        </w:trPr>
        <w:tc>
          <w:tcPr>
            <w:tcW w:w="3905" w:type="dxa"/>
            <w:tcBorders>
              <w:left w:val="single" w:sz="4" w:space="0" w:color="DF2F1E"/>
              <w:bottom w:val="single" w:sz="4" w:space="0" w:color="DF2F1E"/>
            </w:tcBorders>
            <w:shd w:val="clear" w:color="auto" w:fill="F7DCE0"/>
          </w:tcPr>
          <w:p>
            <w:pPr>
              <w:pStyle w:val="TableParagraph"/>
              <w:spacing w:before="34"/>
              <w:ind w:left="107"/>
              <w:rPr>
                <w:b/>
                <w:sz w:val="16"/>
              </w:rPr>
            </w:pPr>
            <w:r>
              <w:rPr>
                <w:b/>
                <w:color w:val="404040"/>
                <w:sz w:val="16"/>
              </w:rPr>
              <w:t>Total</w:t>
            </w:r>
          </w:p>
        </w:tc>
        <w:tc>
          <w:tcPr>
            <w:tcW w:w="1037" w:type="dxa"/>
            <w:tcBorders>
              <w:bottom w:val="single" w:sz="4" w:space="0" w:color="DF2F1E"/>
            </w:tcBorders>
            <w:shd w:val="clear" w:color="auto" w:fill="F7DCE0"/>
          </w:tcPr>
          <w:p>
            <w:pPr>
              <w:pStyle w:val="TableParagraph"/>
              <w:spacing w:before="34"/>
              <w:ind w:right="250"/>
              <w:jc w:val="right"/>
              <w:rPr>
                <w:b/>
                <w:sz w:val="16"/>
              </w:rPr>
            </w:pPr>
            <w:r>
              <w:rPr>
                <w:b/>
                <w:color w:val="404040"/>
                <w:sz w:val="16"/>
              </w:rPr>
              <w:t>279,000</w:t>
            </w:r>
          </w:p>
        </w:tc>
        <w:tc>
          <w:tcPr>
            <w:tcW w:w="1658" w:type="dxa"/>
            <w:tcBorders>
              <w:bottom w:val="single" w:sz="4" w:space="0" w:color="DF2F1E"/>
            </w:tcBorders>
            <w:shd w:val="clear" w:color="auto" w:fill="F7DCE0"/>
          </w:tcPr>
          <w:p>
            <w:pPr>
              <w:pStyle w:val="TableParagraph"/>
              <w:spacing w:before="34"/>
              <w:ind w:left="623"/>
              <w:rPr>
                <w:b/>
                <w:sz w:val="16"/>
              </w:rPr>
            </w:pPr>
            <w:r>
              <w:rPr>
                <w:b/>
                <w:color w:val="404040"/>
                <w:sz w:val="16"/>
              </w:rPr>
              <w:t>100%</w:t>
            </w:r>
          </w:p>
        </w:tc>
        <w:tc>
          <w:tcPr>
            <w:tcW w:w="1575" w:type="dxa"/>
            <w:tcBorders>
              <w:bottom w:val="single" w:sz="4" w:space="0" w:color="DF2F1E"/>
            </w:tcBorders>
            <w:shd w:val="clear" w:color="auto" w:fill="F7DCE0"/>
          </w:tcPr>
          <w:p>
            <w:pPr>
              <w:pStyle w:val="TableParagraph"/>
              <w:spacing w:before="34"/>
              <w:ind w:left="466" w:right="486"/>
              <w:jc w:val="center"/>
              <w:rPr>
                <w:b/>
                <w:sz w:val="16"/>
              </w:rPr>
            </w:pPr>
            <w:r>
              <w:rPr>
                <w:b/>
                <w:color w:val="404040"/>
                <w:sz w:val="16"/>
              </w:rPr>
              <w:t>254,000</w:t>
            </w:r>
          </w:p>
        </w:tc>
        <w:tc>
          <w:tcPr>
            <w:tcW w:w="1607" w:type="dxa"/>
            <w:tcBorders>
              <w:bottom w:val="single" w:sz="4" w:space="0" w:color="DF2F1E"/>
              <w:right w:val="single" w:sz="4" w:space="0" w:color="DF2F1E"/>
            </w:tcBorders>
            <w:shd w:val="clear" w:color="auto" w:fill="F7DCE0"/>
          </w:tcPr>
          <w:p>
            <w:pPr>
              <w:pStyle w:val="TableParagraph"/>
              <w:spacing w:before="34"/>
              <w:ind w:left="580" w:right="570"/>
              <w:jc w:val="center"/>
              <w:rPr>
                <w:b/>
                <w:sz w:val="16"/>
              </w:rPr>
            </w:pPr>
            <w:r>
              <w:rPr>
                <w:b/>
                <w:color w:val="404040"/>
                <w:sz w:val="16"/>
              </w:rPr>
              <w:t>100%</w:t>
            </w:r>
          </w:p>
        </w:tc>
      </w:tr>
      <w:tr>
        <w:trPr>
          <w:trHeight w:val="262" w:hRule="atLeast"/>
        </w:trPr>
        <w:tc>
          <w:tcPr>
            <w:tcW w:w="3905" w:type="dxa"/>
            <w:tcBorders>
              <w:top w:val="single" w:sz="4" w:space="0" w:color="DF2F1E"/>
              <w:left w:val="single" w:sz="4" w:space="0" w:color="DF2F1E"/>
            </w:tcBorders>
          </w:tcPr>
          <w:p>
            <w:pPr>
              <w:pStyle w:val="TableParagraph"/>
              <w:spacing w:before="34"/>
              <w:ind w:left="107"/>
              <w:rPr>
                <w:b/>
                <w:sz w:val="16"/>
              </w:rPr>
            </w:pPr>
            <w:r>
              <w:rPr>
                <w:b/>
                <w:color w:val="404040"/>
                <w:sz w:val="16"/>
              </w:rPr>
              <w:t>Education sector</w:t>
            </w:r>
          </w:p>
        </w:tc>
        <w:tc>
          <w:tcPr>
            <w:tcW w:w="1037" w:type="dxa"/>
            <w:tcBorders>
              <w:top w:val="single" w:sz="4" w:space="0" w:color="DF2F1E"/>
            </w:tcBorders>
          </w:tcPr>
          <w:p>
            <w:pPr>
              <w:pStyle w:val="TableParagraph"/>
              <w:spacing w:before="0"/>
              <w:rPr>
                <w:rFonts w:ascii="Times New Roman"/>
                <w:sz w:val="16"/>
              </w:rPr>
            </w:pPr>
          </w:p>
        </w:tc>
        <w:tc>
          <w:tcPr>
            <w:tcW w:w="1658" w:type="dxa"/>
            <w:tcBorders>
              <w:top w:val="single" w:sz="4" w:space="0" w:color="DF2F1E"/>
            </w:tcBorders>
          </w:tcPr>
          <w:p>
            <w:pPr>
              <w:pStyle w:val="TableParagraph"/>
              <w:spacing w:before="0"/>
              <w:rPr>
                <w:rFonts w:ascii="Times New Roman"/>
                <w:sz w:val="16"/>
              </w:rPr>
            </w:pPr>
          </w:p>
        </w:tc>
        <w:tc>
          <w:tcPr>
            <w:tcW w:w="1575" w:type="dxa"/>
            <w:tcBorders>
              <w:top w:val="single" w:sz="4" w:space="0" w:color="DF2F1E"/>
            </w:tcBorders>
          </w:tcPr>
          <w:p>
            <w:pPr>
              <w:pStyle w:val="TableParagraph"/>
              <w:spacing w:before="0"/>
              <w:rPr>
                <w:rFonts w:ascii="Times New Roman"/>
                <w:sz w:val="16"/>
              </w:rPr>
            </w:pPr>
          </w:p>
        </w:tc>
        <w:tc>
          <w:tcPr>
            <w:tcW w:w="1607" w:type="dxa"/>
            <w:tcBorders>
              <w:top w:val="single" w:sz="4" w:space="0" w:color="DF2F1E"/>
              <w:right w:val="single" w:sz="4" w:space="0" w:color="DF2F1E"/>
            </w:tcBorders>
          </w:tcPr>
          <w:p>
            <w:pPr>
              <w:pStyle w:val="TableParagraph"/>
              <w:spacing w:before="0"/>
              <w:rPr>
                <w:rFonts w:ascii="Times New Roman"/>
                <w:sz w:val="16"/>
              </w:rPr>
            </w:pPr>
          </w:p>
        </w:tc>
      </w:tr>
      <w:tr>
        <w:trPr>
          <w:trHeight w:val="265" w:hRule="atLeast"/>
        </w:trPr>
        <w:tc>
          <w:tcPr>
            <w:tcW w:w="3905" w:type="dxa"/>
            <w:tcBorders>
              <w:left w:val="single" w:sz="4" w:space="0" w:color="DF2F1E"/>
            </w:tcBorders>
          </w:tcPr>
          <w:p>
            <w:pPr>
              <w:pStyle w:val="TableParagraph"/>
              <w:spacing w:before="39"/>
              <w:ind w:left="287"/>
              <w:rPr>
                <w:b/>
                <w:i/>
                <w:sz w:val="16"/>
              </w:rPr>
            </w:pPr>
            <w:r>
              <w:rPr>
                <w:b/>
                <w:i/>
                <w:color w:val="404040"/>
                <w:sz w:val="16"/>
              </w:rPr>
              <w:t>- Higher education</w:t>
            </w:r>
          </w:p>
        </w:tc>
        <w:tc>
          <w:tcPr>
            <w:tcW w:w="1037" w:type="dxa"/>
          </w:tcPr>
          <w:p>
            <w:pPr>
              <w:pStyle w:val="TableParagraph"/>
              <w:spacing w:before="39"/>
              <w:ind w:right="250"/>
              <w:jc w:val="right"/>
              <w:rPr>
                <w:sz w:val="16"/>
              </w:rPr>
            </w:pPr>
            <w:r>
              <w:rPr>
                <w:color w:val="404040"/>
                <w:sz w:val="16"/>
              </w:rPr>
              <w:t>235,000</w:t>
            </w:r>
          </w:p>
        </w:tc>
        <w:tc>
          <w:tcPr>
            <w:tcW w:w="1658" w:type="dxa"/>
          </w:tcPr>
          <w:p>
            <w:pPr>
              <w:pStyle w:val="TableParagraph"/>
              <w:spacing w:before="39"/>
              <w:ind w:left="669"/>
              <w:rPr>
                <w:sz w:val="16"/>
              </w:rPr>
            </w:pPr>
            <w:r>
              <w:rPr>
                <w:color w:val="404040"/>
                <w:sz w:val="16"/>
              </w:rPr>
              <w:t>85%</w:t>
            </w:r>
          </w:p>
        </w:tc>
        <w:tc>
          <w:tcPr>
            <w:tcW w:w="1575" w:type="dxa"/>
          </w:tcPr>
          <w:p>
            <w:pPr>
              <w:pStyle w:val="TableParagraph"/>
              <w:spacing w:before="39"/>
              <w:ind w:left="466" w:right="486"/>
              <w:jc w:val="center"/>
              <w:rPr>
                <w:sz w:val="16"/>
              </w:rPr>
            </w:pPr>
            <w:r>
              <w:rPr>
                <w:color w:val="404040"/>
                <w:sz w:val="16"/>
              </w:rPr>
              <w:t>246,000</w:t>
            </w:r>
          </w:p>
        </w:tc>
        <w:tc>
          <w:tcPr>
            <w:tcW w:w="1607" w:type="dxa"/>
            <w:tcBorders>
              <w:right w:val="single" w:sz="4" w:space="0" w:color="DF2F1E"/>
            </w:tcBorders>
          </w:tcPr>
          <w:p>
            <w:pPr>
              <w:pStyle w:val="TableParagraph"/>
              <w:spacing w:before="39"/>
              <w:ind w:left="580" w:right="568"/>
              <w:jc w:val="center"/>
              <w:rPr>
                <w:sz w:val="16"/>
              </w:rPr>
            </w:pPr>
            <w:r>
              <w:rPr>
                <w:color w:val="404040"/>
                <w:sz w:val="16"/>
              </w:rPr>
              <w:t>97%</w:t>
            </w:r>
          </w:p>
        </w:tc>
      </w:tr>
      <w:tr>
        <w:trPr>
          <w:trHeight w:val="263" w:hRule="atLeast"/>
        </w:trPr>
        <w:tc>
          <w:tcPr>
            <w:tcW w:w="3905" w:type="dxa"/>
            <w:tcBorders>
              <w:left w:val="single" w:sz="4" w:space="0" w:color="DF2F1E"/>
            </w:tcBorders>
          </w:tcPr>
          <w:p>
            <w:pPr>
              <w:pStyle w:val="TableParagraph"/>
              <w:ind w:left="287"/>
              <w:rPr>
                <w:b/>
                <w:i/>
                <w:sz w:val="16"/>
              </w:rPr>
            </w:pPr>
            <w:r>
              <w:rPr>
                <w:b/>
                <w:i/>
                <w:color w:val="404040"/>
                <w:sz w:val="16"/>
              </w:rPr>
              <w:t>- School</w:t>
            </w:r>
          </w:p>
        </w:tc>
        <w:tc>
          <w:tcPr>
            <w:tcW w:w="1037" w:type="dxa"/>
          </w:tcPr>
          <w:p>
            <w:pPr>
              <w:pStyle w:val="TableParagraph"/>
              <w:ind w:right="339"/>
              <w:jc w:val="right"/>
              <w:rPr>
                <w:sz w:val="16"/>
              </w:rPr>
            </w:pPr>
            <w:r>
              <w:rPr>
                <w:color w:val="404040"/>
                <w:sz w:val="16"/>
              </w:rPr>
              <w:t>8,000</w:t>
            </w:r>
          </w:p>
        </w:tc>
        <w:tc>
          <w:tcPr>
            <w:tcW w:w="1658" w:type="dxa"/>
          </w:tcPr>
          <w:p>
            <w:pPr>
              <w:pStyle w:val="TableParagraph"/>
              <w:ind w:left="712"/>
              <w:rPr>
                <w:sz w:val="16"/>
              </w:rPr>
            </w:pPr>
            <w:r>
              <w:rPr>
                <w:color w:val="404040"/>
                <w:sz w:val="16"/>
              </w:rPr>
              <w:t>3%</w:t>
            </w:r>
          </w:p>
        </w:tc>
        <w:tc>
          <w:tcPr>
            <w:tcW w:w="1575" w:type="dxa"/>
          </w:tcPr>
          <w:p>
            <w:pPr>
              <w:pStyle w:val="TableParagraph"/>
              <w:ind w:left="466" w:right="486"/>
              <w:jc w:val="center"/>
              <w:rPr>
                <w:sz w:val="16"/>
              </w:rPr>
            </w:pPr>
            <w:r>
              <w:rPr>
                <w:color w:val="404040"/>
                <w:sz w:val="16"/>
              </w:rPr>
              <w:t>332,000</w:t>
            </w:r>
          </w:p>
        </w:tc>
        <w:tc>
          <w:tcPr>
            <w:tcW w:w="1607" w:type="dxa"/>
            <w:tcBorders>
              <w:right w:val="single" w:sz="4" w:space="0" w:color="DF2F1E"/>
            </w:tcBorders>
          </w:tcPr>
          <w:p>
            <w:pPr>
              <w:pStyle w:val="TableParagraph"/>
              <w:ind w:left="580" w:right="570"/>
              <w:jc w:val="center"/>
              <w:rPr>
                <w:sz w:val="16"/>
              </w:rPr>
            </w:pPr>
            <w:r>
              <w:rPr>
                <w:color w:val="404040"/>
                <w:sz w:val="16"/>
              </w:rPr>
              <w:t>131%</w:t>
            </w:r>
          </w:p>
        </w:tc>
      </w:tr>
      <w:tr>
        <w:trPr>
          <w:trHeight w:val="264" w:hRule="atLeast"/>
        </w:trPr>
        <w:tc>
          <w:tcPr>
            <w:tcW w:w="3905" w:type="dxa"/>
            <w:tcBorders>
              <w:left w:val="single" w:sz="4" w:space="0" w:color="DF2F1E"/>
              <w:bottom w:val="single" w:sz="4" w:space="0" w:color="DF2F1E"/>
            </w:tcBorders>
          </w:tcPr>
          <w:p>
            <w:pPr>
              <w:pStyle w:val="TableParagraph"/>
              <w:ind w:left="287"/>
              <w:rPr>
                <w:b/>
                <w:i/>
                <w:sz w:val="16"/>
              </w:rPr>
            </w:pPr>
            <w:r>
              <w:rPr>
                <w:b/>
                <w:i/>
                <w:color w:val="404040"/>
                <w:sz w:val="16"/>
              </w:rPr>
              <w:t>- VET</w:t>
            </w:r>
          </w:p>
        </w:tc>
        <w:tc>
          <w:tcPr>
            <w:tcW w:w="1037" w:type="dxa"/>
            <w:tcBorders>
              <w:bottom w:val="single" w:sz="4" w:space="0" w:color="DF2F1E"/>
            </w:tcBorders>
          </w:tcPr>
          <w:p>
            <w:pPr>
              <w:pStyle w:val="TableParagraph"/>
              <w:ind w:right="293"/>
              <w:jc w:val="right"/>
              <w:rPr>
                <w:sz w:val="16"/>
              </w:rPr>
            </w:pPr>
            <w:r>
              <w:rPr>
                <w:color w:val="404040"/>
                <w:sz w:val="16"/>
              </w:rPr>
              <w:t>33,000</w:t>
            </w:r>
          </w:p>
        </w:tc>
        <w:tc>
          <w:tcPr>
            <w:tcW w:w="1658" w:type="dxa"/>
            <w:tcBorders>
              <w:bottom w:val="single" w:sz="4" w:space="0" w:color="DF2F1E"/>
            </w:tcBorders>
          </w:tcPr>
          <w:p>
            <w:pPr>
              <w:pStyle w:val="TableParagraph"/>
              <w:ind w:left="669"/>
              <w:rPr>
                <w:sz w:val="16"/>
              </w:rPr>
            </w:pPr>
            <w:r>
              <w:rPr>
                <w:color w:val="404040"/>
                <w:sz w:val="16"/>
              </w:rPr>
              <w:t>12%</w:t>
            </w:r>
          </w:p>
        </w:tc>
        <w:tc>
          <w:tcPr>
            <w:tcW w:w="1575" w:type="dxa"/>
            <w:tcBorders>
              <w:bottom w:val="single" w:sz="4" w:space="0" w:color="DF2F1E"/>
            </w:tcBorders>
          </w:tcPr>
          <w:p>
            <w:pPr>
              <w:pStyle w:val="TableParagraph"/>
              <w:ind w:left="466" w:right="486"/>
              <w:jc w:val="center"/>
              <w:rPr>
                <w:sz w:val="16"/>
              </w:rPr>
            </w:pPr>
            <w:r>
              <w:rPr>
                <w:color w:val="404040"/>
                <w:sz w:val="16"/>
              </w:rPr>
              <w:t>291,000</w:t>
            </w:r>
          </w:p>
        </w:tc>
        <w:tc>
          <w:tcPr>
            <w:tcW w:w="1607" w:type="dxa"/>
            <w:tcBorders>
              <w:bottom w:val="single" w:sz="4" w:space="0" w:color="DF2F1E"/>
              <w:right w:val="single" w:sz="4" w:space="0" w:color="DF2F1E"/>
            </w:tcBorders>
          </w:tcPr>
          <w:p>
            <w:pPr>
              <w:pStyle w:val="TableParagraph"/>
              <w:ind w:left="580" w:right="570"/>
              <w:jc w:val="center"/>
              <w:rPr>
                <w:sz w:val="16"/>
              </w:rPr>
            </w:pPr>
            <w:r>
              <w:rPr>
                <w:color w:val="404040"/>
                <w:sz w:val="16"/>
              </w:rPr>
              <w:t>115%</w:t>
            </w:r>
          </w:p>
        </w:tc>
      </w:tr>
      <w:tr>
        <w:trPr>
          <w:trHeight w:val="262" w:hRule="atLeast"/>
        </w:trPr>
        <w:tc>
          <w:tcPr>
            <w:tcW w:w="3905" w:type="dxa"/>
            <w:tcBorders>
              <w:top w:val="single" w:sz="4" w:space="0" w:color="DF2F1E"/>
              <w:left w:val="single" w:sz="4" w:space="0" w:color="DF2F1E"/>
            </w:tcBorders>
          </w:tcPr>
          <w:p>
            <w:pPr>
              <w:pStyle w:val="TableParagraph"/>
              <w:spacing w:before="34"/>
              <w:ind w:left="107"/>
              <w:rPr>
                <w:b/>
                <w:sz w:val="16"/>
              </w:rPr>
            </w:pPr>
            <w:r>
              <w:rPr>
                <w:b/>
                <w:color w:val="404040"/>
                <w:sz w:val="16"/>
              </w:rPr>
              <w:t>Highest educational attainment recorded</w:t>
            </w:r>
          </w:p>
        </w:tc>
        <w:tc>
          <w:tcPr>
            <w:tcW w:w="1037" w:type="dxa"/>
            <w:tcBorders>
              <w:top w:val="single" w:sz="4" w:space="0" w:color="DF2F1E"/>
            </w:tcBorders>
          </w:tcPr>
          <w:p>
            <w:pPr>
              <w:pStyle w:val="TableParagraph"/>
              <w:spacing w:before="0"/>
              <w:rPr>
                <w:rFonts w:ascii="Times New Roman"/>
                <w:sz w:val="16"/>
              </w:rPr>
            </w:pPr>
          </w:p>
        </w:tc>
        <w:tc>
          <w:tcPr>
            <w:tcW w:w="1658" w:type="dxa"/>
            <w:tcBorders>
              <w:top w:val="single" w:sz="4" w:space="0" w:color="DF2F1E"/>
            </w:tcBorders>
          </w:tcPr>
          <w:p>
            <w:pPr>
              <w:pStyle w:val="TableParagraph"/>
              <w:spacing w:before="0"/>
              <w:rPr>
                <w:rFonts w:ascii="Times New Roman"/>
                <w:sz w:val="16"/>
              </w:rPr>
            </w:pPr>
          </w:p>
        </w:tc>
        <w:tc>
          <w:tcPr>
            <w:tcW w:w="1575" w:type="dxa"/>
            <w:tcBorders>
              <w:top w:val="single" w:sz="4" w:space="0" w:color="DF2F1E"/>
            </w:tcBorders>
          </w:tcPr>
          <w:p>
            <w:pPr>
              <w:pStyle w:val="TableParagraph"/>
              <w:spacing w:before="0"/>
              <w:rPr>
                <w:rFonts w:ascii="Times New Roman"/>
                <w:sz w:val="16"/>
              </w:rPr>
            </w:pPr>
          </w:p>
        </w:tc>
        <w:tc>
          <w:tcPr>
            <w:tcW w:w="1607" w:type="dxa"/>
            <w:tcBorders>
              <w:top w:val="single" w:sz="4" w:space="0" w:color="DF2F1E"/>
              <w:right w:val="single" w:sz="4" w:space="0" w:color="DF2F1E"/>
            </w:tcBorders>
          </w:tcPr>
          <w:p>
            <w:pPr>
              <w:pStyle w:val="TableParagraph"/>
              <w:spacing w:before="0"/>
              <w:rPr>
                <w:rFonts w:ascii="Times New Roman"/>
                <w:sz w:val="16"/>
              </w:rPr>
            </w:pPr>
          </w:p>
        </w:tc>
      </w:tr>
      <w:tr>
        <w:trPr>
          <w:trHeight w:val="265" w:hRule="atLeast"/>
        </w:trPr>
        <w:tc>
          <w:tcPr>
            <w:tcW w:w="3905" w:type="dxa"/>
            <w:tcBorders>
              <w:left w:val="single" w:sz="4" w:space="0" w:color="DF2F1E"/>
            </w:tcBorders>
          </w:tcPr>
          <w:p>
            <w:pPr>
              <w:pStyle w:val="TableParagraph"/>
              <w:spacing w:before="39"/>
              <w:ind w:left="287"/>
              <w:rPr>
                <w:b/>
                <w:i/>
                <w:sz w:val="16"/>
              </w:rPr>
            </w:pPr>
            <w:r>
              <w:rPr>
                <w:b/>
                <w:i/>
                <w:color w:val="404040"/>
                <w:sz w:val="16"/>
              </w:rPr>
              <w:t>- Year 10 or less</w:t>
            </w:r>
          </w:p>
        </w:tc>
        <w:tc>
          <w:tcPr>
            <w:tcW w:w="1037" w:type="dxa"/>
          </w:tcPr>
          <w:p>
            <w:pPr>
              <w:pStyle w:val="TableParagraph"/>
              <w:spacing w:before="39"/>
              <w:ind w:right="339"/>
              <w:jc w:val="right"/>
              <w:rPr>
                <w:sz w:val="16"/>
              </w:rPr>
            </w:pPr>
            <w:r>
              <w:rPr>
                <w:color w:val="404040"/>
                <w:sz w:val="16"/>
              </w:rPr>
              <w:t>7,000</w:t>
            </w:r>
          </w:p>
        </w:tc>
        <w:tc>
          <w:tcPr>
            <w:tcW w:w="1658" w:type="dxa"/>
          </w:tcPr>
          <w:p>
            <w:pPr>
              <w:pStyle w:val="TableParagraph"/>
              <w:spacing w:before="39"/>
              <w:ind w:left="712"/>
              <w:rPr>
                <w:sz w:val="16"/>
              </w:rPr>
            </w:pPr>
            <w:r>
              <w:rPr>
                <w:color w:val="404040"/>
                <w:sz w:val="16"/>
              </w:rPr>
              <w:t>3%</w:t>
            </w:r>
          </w:p>
        </w:tc>
        <w:tc>
          <w:tcPr>
            <w:tcW w:w="1575" w:type="dxa"/>
          </w:tcPr>
          <w:p>
            <w:pPr>
              <w:pStyle w:val="TableParagraph"/>
              <w:spacing w:before="39"/>
              <w:ind w:left="466" w:right="486"/>
              <w:jc w:val="center"/>
              <w:rPr>
                <w:sz w:val="16"/>
              </w:rPr>
            </w:pPr>
            <w:r>
              <w:rPr>
                <w:color w:val="404040"/>
                <w:sz w:val="16"/>
              </w:rPr>
              <w:t>334,000</w:t>
            </w:r>
          </w:p>
        </w:tc>
        <w:tc>
          <w:tcPr>
            <w:tcW w:w="1607" w:type="dxa"/>
            <w:tcBorders>
              <w:right w:val="single" w:sz="4" w:space="0" w:color="DF2F1E"/>
            </w:tcBorders>
          </w:tcPr>
          <w:p>
            <w:pPr>
              <w:pStyle w:val="TableParagraph"/>
              <w:spacing w:before="39"/>
              <w:ind w:left="580" w:right="570"/>
              <w:jc w:val="center"/>
              <w:rPr>
                <w:sz w:val="16"/>
              </w:rPr>
            </w:pPr>
            <w:r>
              <w:rPr>
                <w:color w:val="404040"/>
                <w:sz w:val="16"/>
              </w:rPr>
              <w:t>131%</w:t>
            </w:r>
          </w:p>
        </w:tc>
      </w:tr>
      <w:tr>
        <w:trPr>
          <w:trHeight w:val="263" w:hRule="atLeast"/>
        </w:trPr>
        <w:tc>
          <w:tcPr>
            <w:tcW w:w="3905" w:type="dxa"/>
            <w:tcBorders>
              <w:left w:val="single" w:sz="4" w:space="0" w:color="DF2F1E"/>
            </w:tcBorders>
          </w:tcPr>
          <w:p>
            <w:pPr>
              <w:pStyle w:val="TableParagraph"/>
              <w:ind w:left="287"/>
              <w:rPr>
                <w:b/>
                <w:i/>
                <w:sz w:val="16"/>
              </w:rPr>
            </w:pPr>
            <w:r>
              <w:rPr>
                <w:b/>
                <w:i/>
                <w:color w:val="404040"/>
                <w:sz w:val="16"/>
              </w:rPr>
              <w:t>- Year 11</w:t>
            </w:r>
          </w:p>
        </w:tc>
        <w:tc>
          <w:tcPr>
            <w:tcW w:w="1037" w:type="dxa"/>
          </w:tcPr>
          <w:p>
            <w:pPr>
              <w:pStyle w:val="TableParagraph"/>
              <w:ind w:right="293"/>
              <w:jc w:val="right"/>
              <w:rPr>
                <w:sz w:val="16"/>
              </w:rPr>
            </w:pPr>
            <w:r>
              <w:rPr>
                <w:color w:val="404040"/>
                <w:sz w:val="16"/>
              </w:rPr>
              <w:t>10,000</w:t>
            </w:r>
          </w:p>
        </w:tc>
        <w:tc>
          <w:tcPr>
            <w:tcW w:w="1658" w:type="dxa"/>
          </w:tcPr>
          <w:p>
            <w:pPr>
              <w:pStyle w:val="TableParagraph"/>
              <w:ind w:left="712"/>
              <w:rPr>
                <w:sz w:val="16"/>
              </w:rPr>
            </w:pPr>
            <w:r>
              <w:rPr>
                <w:color w:val="404040"/>
                <w:sz w:val="16"/>
              </w:rPr>
              <w:t>3%</w:t>
            </w:r>
          </w:p>
        </w:tc>
        <w:tc>
          <w:tcPr>
            <w:tcW w:w="1575" w:type="dxa"/>
          </w:tcPr>
          <w:p>
            <w:pPr>
              <w:pStyle w:val="TableParagraph"/>
              <w:ind w:left="466" w:right="486"/>
              <w:jc w:val="center"/>
              <w:rPr>
                <w:sz w:val="16"/>
              </w:rPr>
            </w:pPr>
            <w:r>
              <w:rPr>
                <w:color w:val="404040"/>
                <w:sz w:val="16"/>
              </w:rPr>
              <w:t>306,000</w:t>
            </w:r>
          </w:p>
        </w:tc>
        <w:tc>
          <w:tcPr>
            <w:tcW w:w="1607" w:type="dxa"/>
            <w:tcBorders>
              <w:right w:val="single" w:sz="4" w:space="0" w:color="DF2F1E"/>
            </w:tcBorders>
          </w:tcPr>
          <w:p>
            <w:pPr>
              <w:pStyle w:val="TableParagraph"/>
              <w:ind w:left="580" w:right="570"/>
              <w:jc w:val="center"/>
              <w:rPr>
                <w:sz w:val="16"/>
              </w:rPr>
            </w:pPr>
            <w:r>
              <w:rPr>
                <w:color w:val="404040"/>
                <w:sz w:val="16"/>
              </w:rPr>
              <w:t>120%</w:t>
            </w:r>
          </w:p>
        </w:tc>
      </w:tr>
      <w:tr>
        <w:trPr>
          <w:trHeight w:val="264" w:hRule="atLeast"/>
        </w:trPr>
        <w:tc>
          <w:tcPr>
            <w:tcW w:w="3905" w:type="dxa"/>
            <w:tcBorders>
              <w:left w:val="single" w:sz="4" w:space="0" w:color="DF2F1E"/>
            </w:tcBorders>
          </w:tcPr>
          <w:p>
            <w:pPr>
              <w:pStyle w:val="TableParagraph"/>
              <w:ind w:left="287"/>
              <w:rPr>
                <w:b/>
                <w:i/>
                <w:sz w:val="16"/>
              </w:rPr>
            </w:pPr>
            <w:r>
              <w:rPr>
                <w:b/>
                <w:i/>
                <w:color w:val="404040"/>
                <w:sz w:val="16"/>
              </w:rPr>
              <w:t>- Year 12</w:t>
            </w:r>
          </w:p>
        </w:tc>
        <w:tc>
          <w:tcPr>
            <w:tcW w:w="1037" w:type="dxa"/>
          </w:tcPr>
          <w:p>
            <w:pPr>
              <w:pStyle w:val="TableParagraph"/>
              <w:ind w:right="250"/>
              <w:jc w:val="right"/>
              <w:rPr>
                <w:sz w:val="16"/>
              </w:rPr>
            </w:pPr>
            <w:r>
              <w:rPr>
                <w:color w:val="404040"/>
                <w:sz w:val="16"/>
              </w:rPr>
              <w:t>225,000</w:t>
            </w:r>
          </w:p>
        </w:tc>
        <w:tc>
          <w:tcPr>
            <w:tcW w:w="1658" w:type="dxa"/>
          </w:tcPr>
          <w:p>
            <w:pPr>
              <w:pStyle w:val="TableParagraph"/>
              <w:ind w:left="669"/>
              <w:rPr>
                <w:sz w:val="16"/>
              </w:rPr>
            </w:pPr>
            <w:r>
              <w:rPr>
                <w:color w:val="404040"/>
                <w:sz w:val="16"/>
              </w:rPr>
              <w:t>81%</w:t>
            </w:r>
          </w:p>
        </w:tc>
        <w:tc>
          <w:tcPr>
            <w:tcW w:w="1575" w:type="dxa"/>
          </w:tcPr>
          <w:p>
            <w:pPr>
              <w:pStyle w:val="TableParagraph"/>
              <w:ind w:left="466" w:right="486"/>
              <w:jc w:val="center"/>
              <w:rPr>
                <w:sz w:val="16"/>
              </w:rPr>
            </w:pPr>
            <w:r>
              <w:rPr>
                <w:color w:val="404040"/>
                <w:sz w:val="16"/>
              </w:rPr>
              <w:t>247,000</w:t>
            </w:r>
          </w:p>
        </w:tc>
        <w:tc>
          <w:tcPr>
            <w:tcW w:w="1607" w:type="dxa"/>
            <w:tcBorders>
              <w:right w:val="single" w:sz="4" w:space="0" w:color="DF2F1E"/>
            </w:tcBorders>
          </w:tcPr>
          <w:p>
            <w:pPr>
              <w:pStyle w:val="TableParagraph"/>
              <w:ind w:left="580" w:right="568"/>
              <w:jc w:val="center"/>
              <w:rPr>
                <w:sz w:val="16"/>
              </w:rPr>
            </w:pPr>
            <w:r>
              <w:rPr>
                <w:color w:val="404040"/>
                <w:sz w:val="16"/>
              </w:rPr>
              <w:t>97%</w:t>
            </w:r>
          </w:p>
        </w:tc>
      </w:tr>
      <w:tr>
        <w:trPr>
          <w:trHeight w:val="264" w:hRule="atLeast"/>
        </w:trPr>
        <w:tc>
          <w:tcPr>
            <w:tcW w:w="3905" w:type="dxa"/>
            <w:tcBorders>
              <w:left w:val="single" w:sz="4" w:space="0" w:color="DF2F1E"/>
            </w:tcBorders>
          </w:tcPr>
          <w:p>
            <w:pPr>
              <w:pStyle w:val="TableParagraph"/>
              <w:ind w:left="287"/>
              <w:rPr>
                <w:b/>
                <w:i/>
                <w:sz w:val="16"/>
              </w:rPr>
            </w:pPr>
            <w:r>
              <w:rPr>
                <w:b/>
                <w:i/>
                <w:color w:val="404040"/>
                <w:sz w:val="16"/>
              </w:rPr>
              <w:t>- Certificate</w:t>
            </w:r>
          </w:p>
        </w:tc>
        <w:tc>
          <w:tcPr>
            <w:tcW w:w="1037" w:type="dxa"/>
          </w:tcPr>
          <w:p>
            <w:pPr>
              <w:pStyle w:val="TableParagraph"/>
              <w:ind w:right="293"/>
              <w:jc w:val="right"/>
              <w:rPr>
                <w:sz w:val="16"/>
              </w:rPr>
            </w:pPr>
            <w:r>
              <w:rPr>
                <w:color w:val="404040"/>
                <w:sz w:val="16"/>
              </w:rPr>
              <w:t>16,000</w:t>
            </w:r>
          </w:p>
        </w:tc>
        <w:tc>
          <w:tcPr>
            <w:tcW w:w="1658" w:type="dxa"/>
          </w:tcPr>
          <w:p>
            <w:pPr>
              <w:pStyle w:val="TableParagraph"/>
              <w:ind w:left="712"/>
              <w:rPr>
                <w:sz w:val="16"/>
              </w:rPr>
            </w:pPr>
            <w:r>
              <w:rPr>
                <w:color w:val="404040"/>
                <w:sz w:val="16"/>
              </w:rPr>
              <w:t>6%</w:t>
            </w:r>
          </w:p>
        </w:tc>
        <w:tc>
          <w:tcPr>
            <w:tcW w:w="1575" w:type="dxa"/>
          </w:tcPr>
          <w:p>
            <w:pPr>
              <w:pStyle w:val="TableParagraph"/>
              <w:ind w:left="466" w:right="486"/>
              <w:jc w:val="center"/>
              <w:rPr>
                <w:sz w:val="16"/>
              </w:rPr>
            </w:pPr>
            <w:r>
              <w:rPr>
                <w:color w:val="404040"/>
                <w:sz w:val="16"/>
              </w:rPr>
              <w:t>304,000</w:t>
            </w:r>
          </w:p>
        </w:tc>
        <w:tc>
          <w:tcPr>
            <w:tcW w:w="1607" w:type="dxa"/>
            <w:tcBorders>
              <w:right w:val="single" w:sz="4" w:space="0" w:color="DF2F1E"/>
            </w:tcBorders>
          </w:tcPr>
          <w:p>
            <w:pPr>
              <w:pStyle w:val="TableParagraph"/>
              <w:ind w:left="580" w:right="570"/>
              <w:jc w:val="center"/>
              <w:rPr>
                <w:sz w:val="16"/>
              </w:rPr>
            </w:pPr>
            <w:r>
              <w:rPr>
                <w:color w:val="404040"/>
                <w:sz w:val="16"/>
              </w:rPr>
              <w:t>119%</w:t>
            </w:r>
          </w:p>
        </w:tc>
      </w:tr>
      <w:tr>
        <w:trPr>
          <w:trHeight w:val="264" w:hRule="atLeast"/>
        </w:trPr>
        <w:tc>
          <w:tcPr>
            <w:tcW w:w="3905" w:type="dxa"/>
            <w:tcBorders>
              <w:left w:val="single" w:sz="4" w:space="0" w:color="DF2F1E"/>
            </w:tcBorders>
          </w:tcPr>
          <w:p>
            <w:pPr>
              <w:pStyle w:val="TableParagraph"/>
              <w:ind w:left="287"/>
              <w:rPr>
                <w:b/>
                <w:i/>
                <w:sz w:val="16"/>
              </w:rPr>
            </w:pPr>
            <w:r>
              <w:rPr>
                <w:b/>
                <w:i/>
                <w:color w:val="404040"/>
                <w:sz w:val="16"/>
              </w:rPr>
              <w:t>- Diploma</w:t>
            </w:r>
          </w:p>
        </w:tc>
        <w:tc>
          <w:tcPr>
            <w:tcW w:w="1037" w:type="dxa"/>
          </w:tcPr>
          <w:p>
            <w:pPr>
              <w:pStyle w:val="TableParagraph"/>
              <w:ind w:right="293"/>
              <w:jc w:val="right"/>
              <w:rPr>
                <w:sz w:val="16"/>
              </w:rPr>
            </w:pPr>
            <w:r>
              <w:rPr>
                <w:color w:val="404040"/>
                <w:sz w:val="16"/>
              </w:rPr>
              <w:t>13,000</w:t>
            </w:r>
          </w:p>
        </w:tc>
        <w:tc>
          <w:tcPr>
            <w:tcW w:w="1658" w:type="dxa"/>
          </w:tcPr>
          <w:p>
            <w:pPr>
              <w:pStyle w:val="TableParagraph"/>
              <w:ind w:left="712"/>
              <w:rPr>
                <w:sz w:val="16"/>
              </w:rPr>
            </w:pPr>
            <w:r>
              <w:rPr>
                <w:color w:val="404040"/>
                <w:sz w:val="16"/>
              </w:rPr>
              <w:t>5%</w:t>
            </w:r>
          </w:p>
        </w:tc>
        <w:tc>
          <w:tcPr>
            <w:tcW w:w="1575" w:type="dxa"/>
          </w:tcPr>
          <w:p>
            <w:pPr>
              <w:pStyle w:val="TableParagraph"/>
              <w:ind w:left="466" w:right="486"/>
              <w:jc w:val="center"/>
              <w:rPr>
                <w:sz w:val="16"/>
              </w:rPr>
            </w:pPr>
            <w:r>
              <w:rPr>
                <w:color w:val="404040"/>
                <w:sz w:val="16"/>
              </w:rPr>
              <w:t>250,000</w:t>
            </w:r>
          </w:p>
        </w:tc>
        <w:tc>
          <w:tcPr>
            <w:tcW w:w="1607" w:type="dxa"/>
            <w:tcBorders>
              <w:right w:val="single" w:sz="4" w:space="0" w:color="DF2F1E"/>
            </w:tcBorders>
          </w:tcPr>
          <w:p>
            <w:pPr>
              <w:pStyle w:val="TableParagraph"/>
              <w:ind w:left="580" w:right="568"/>
              <w:jc w:val="center"/>
              <w:rPr>
                <w:sz w:val="16"/>
              </w:rPr>
            </w:pPr>
            <w:r>
              <w:rPr>
                <w:color w:val="404040"/>
                <w:sz w:val="16"/>
              </w:rPr>
              <w:t>98%</w:t>
            </w:r>
          </w:p>
        </w:tc>
      </w:tr>
      <w:tr>
        <w:trPr>
          <w:trHeight w:val="264" w:hRule="atLeast"/>
        </w:trPr>
        <w:tc>
          <w:tcPr>
            <w:tcW w:w="3905" w:type="dxa"/>
            <w:tcBorders>
              <w:left w:val="single" w:sz="4" w:space="0" w:color="DF2F1E"/>
              <w:bottom w:val="single" w:sz="4" w:space="0" w:color="DF2F1E"/>
            </w:tcBorders>
          </w:tcPr>
          <w:p>
            <w:pPr>
              <w:pStyle w:val="TableParagraph"/>
              <w:ind w:left="287"/>
              <w:rPr>
                <w:b/>
                <w:i/>
                <w:sz w:val="16"/>
              </w:rPr>
            </w:pPr>
            <w:r>
              <w:rPr>
                <w:b/>
                <w:i/>
                <w:color w:val="404040"/>
                <w:sz w:val="16"/>
              </w:rPr>
              <w:t>- Bachelors / Postgraduate</w:t>
            </w:r>
          </w:p>
        </w:tc>
        <w:tc>
          <w:tcPr>
            <w:tcW w:w="1037" w:type="dxa"/>
            <w:tcBorders>
              <w:bottom w:val="single" w:sz="4" w:space="0" w:color="DF2F1E"/>
            </w:tcBorders>
          </w:tcPr>
          <w:p>
            <w:pPr>
              <w:pStyle w:val="TableParagraph"/>
              <w:ind w:right="339"/>
              <w:jc w:val="right"/>
              <w:rPr>
                <w:sz w:val="16"/>
              </w:rPr>
            </w:pPr>
            <w:r>
              <w:rPr>
                <w:color w:val="404040"/>
                <w:sz w:val="16"/>
              </w:rPr>
              <w:t>7,000</w:t>
            </w:r>
          </w:p>
        </w:tc>
        <w:tc>
          <w:tcPr>
            <w:tcW w:w="1658" w:type="dxa"/>
            <w:tcBorders>
              <w:bottom w:val="single" w:sz="4" w:space="0" w:color="DF2F1E"/>
            </w:tcBorders>
          </w:tcPr>
          <w:p>
            <w:pPr>
              <w:pStyle w:val="TableParagraph"/>
              <w:ind w:left="712"/>
              <w:rPr>
                <w:sz w:val="16"/>
              </w:rPr>
            </w:pPr>
            <w:r>
              <w:rPr>
                <w:color w:val="404040"/>
                <w:sz w:val="16"/>
              </w:rPr>
              <w:t>2%</w:t>
            </w:r>
          </w:p>
        </w:tc>
        <w:tc>
          <w:tcPr>
            <w:tcW w:w="1575" w:type="dxa"/>
            <w:tcBorders>
              <w:bottom w:val="single" w:sz="4" w:space="0" w:color="DF2F1E"/>
            </w:tcBorders>
          </w:tcPr>
          <w:p>
            <w:pPr>
              <w:pStyle w:val="TableParagraph"/>
              <w:ind w:left="466" w:right="486"/>
              <w:jc w:val="center"/>
              <w:rPr>
                <w:sz w:val="16"/>
              </w:rPr>
            </w:pPr>
            <w:r>
              <w:rPr>
                <w:color w:val="404040"/>
                <w:sz w:val="16"/>
              </w:rPr>
              <w:t>229,000</w:t>
            </w:r>
          </w:p>
        </w:tc>
        <w:tc>
          <w:tcPr>
            <w:tcW w:w="1607" w:type="dxa"/>
            <w:tcBorders>
              <w:bottom w:val="single" w:sz="4" w:space="0" w:color="DF2F1E"/>
              <w:right w:val="single" w:sz="4" w:space="0" w:color="DF2F1E"/>
            </w:tcBorders>
          </w:tcPr>
          <w:p>
            <w:pPr>
              <w:pStyle w:val="TableParagraph"/>
              <w:ind w:left="580" w:right="568"/>
              <w:jc w:val="center"/>
              <w:rPr>
                <w:sz w:val="16"/>
              </w:rPr>
            </w:pPr>
            <w:r>
              <w:rPr>
                <w:color w:val="404040"/>
                <w:sz w:val="16"/>
              </w:rPr>
              <w:t>90%</w:t>
            </w:r>
          </w:p>
        </w:tc>
      </w:tr>
      <w:tr>
        <w:trPr>
          <w:trHeight w:val="262" w:hRule="atLeast"/>
        </w:trPr>
        <w:tc>
          <w:tcPr>
            <w:tcW w:w="3905" w:type="dxa"/>
            <w:tcBorders>
              <w:top w:val="single" w:sz="4" w:space="0" w:color="DF2F1E"/>
              <w:left w:val="single" w:sz="4" w:space="0" w:color="DF2F1E"/>
            </w:tcBorders>
          </w:tcPr>
          <w:p>
            <w:pPr>
              <w:pStyle w:val="TableParagraph"/>
              <w:spacing w:before="34"/>
              <w:ind w:left="107"/>
              <w:rPr>
                <w:b/>
                <w:sz w:val="16"/>
              </w:rPr>
            </w:pPr>
            <w:r>
              <w:rPr>
                <w:b/>
                <w:color w:val="404040"/>
                <w:sz w:val="16"/>
              </w:rPr>
              <w:t>Earnings</w:t>
            </w:r>
          </w:p>
        </w:tc>
        <w:tc>
          <w:tcPr>
            <w:tcW w:w="1037" w:type="dxa"/>
            <w:tcBorders>
              <w:top w:val="single" w:sz="4" w:space="0" w:color="DF2F1E"/>
            </w:tcBorders>
          </w:tcPr>
          <w:p>
            <w:pPr>
              <w:pStyle w:val="TableParagraph"/>
              <w:spacing w:before="0"/>
              <w:rPr>
                <w:rFonts w:ascii="Times New Roman"/>
                <w:sz w:val="16"/>
              </w:rPr>
            </w:pPr>
          </w:p>
        </w:tc>
        <w:tc>
          <w:tcPr>
            <w:tcW w:w="1658" w:type="dxa"/>
            <w:tcBorders>
              <w:top w:val="single" w:sz="4" w:space="0" w:color="DF2F1E"/>
            </w:tcBorders>
          </w:tcPr>
          <w:p>
            <w:pPr>
              <w:pStyle w:val="TableParagraph"/>
              <w:spacing w:before="0"/>
              <w:rPr>
                <w:rFonts w:ascii="Times New Roman"/>
                <w:sz w:val="16"/>
              </w:rPr>
            </w:pPr>
          </w:p>
        </w:tc>
        <w:tc>
          <w:tcPr>
            <w:tcW w:w="1575" w:type="dxa"/>
            <w:tcBorders>
              <w:top w:val="single" w:sz="4" w:space="0" w:color="DF2F1E"/>
            </w:tcBorders>
          </w:tcPr>
          <w:p>
            <w:pPr>
              <w:pStyle w:val="TableParagraph"/>
              <w:spacing w:before="0"/>
              <w:rPr>
                <w:rFonts w:ascii="Times New Roman"/>
                <w:sz w:val="16"/>
              </w:rPr>
            </w:pPr>
          </w:p>
        </w:tc>
        <w:tc>
          <w:tcPr>
            <w:tcW w:w="1607" w:type="dxa"/>
            <w:tcBorders>
              <w:top w:val="single" w:sz="4" w:space="0" w:color="DF2F1E"/>
              <w:right w:val="single" w:sz="4" w:space="0" w:color="DF2F1E"/>
            </w:tcBorders>
          </w:tcPr>
          <w:p>
            <w:pPr>
              <w:pStyle w:val="TableParagraph"/>
              <w:spacing w:before="0"/>
              <w:rPr>
                <w:rFonts w:ascii="Times New Roman"/>
                <w:sz w:val="16"/>
              </w:rPr>
            </w:pPr>
          </w:p>
        </w:tc>
      </w:tr>
      <w:tr>
        <w:trPr>
          <w:trHeight w:val="265" w:hRule="atLeast"/>
        </w:trPr>
        <w:tc>
          <w:tcPr>
            <w:tcW w:w="3905" w:type="dxa"/>
            <w:tcBorders>
              <w:left w:val="single" w:sz="4" w:space="0" w:color="DF2F1E"/>
            </w:tcBorders>
          </w:tcPr>
          <w:p>
            <w:pPr>
              <w:pStyle w:val="TableParagraph"/>
              <w:spacing w:before="39"/>
              <w:ind w:left="287"/>
              <w:rPr>
                <w:b/>
                <w:i/>
                <w:sz w:val="16"/>
              </w:rPr>
            </w:pPr>
            <w:r>
              <w:rPr>
                <w:b/>
                <w:i/>
                <w:color w:val="404040"/>
                <w:sz w:val="16"/>
              </w:rPr>
              <w:t>- No earnings</w:t>
            </w:r>
          </w:p>
        </w:tc>
        <w:tc>
          <w:tcPr>
            <w:tcW w:w="1037" w:type="dxa"/>
          </w:tcPr>
          <w:p>
            <w:pPr>
              <w:pStyle w:val="TableParagraph"/>
              <w:spacing w:before="39"/>
              <w:ind w:right="250"/>
              <w:jc w:val="right"/>
              <w:rPr>
                <w:sz w:val="16"/>
              </w:rPr>
            </w:pPr>
            <w:r>
              <w:rPr>
                <w:color w:val="404040"/>
                <w:sz w:val="16"/>
              </w:rPr>
              <w:t>119,000</w:t>
            </w:r>
          </w:p>
        </w:tc>
        <w:tc>
          <w:tcPr>
            <w:tcW w:w="1658" w:type="dxa"/>
          </w:tcPr>
          <w:p>
            <w:pPr>
              <w:pStyle w:val="TableParagraph"/>
              <w:spacing w:before="39"/>
              <w:ind w:left="669"/>
              <w:rPr>
                <w:sz w:val="16"/>
              </w:rPr>
            </w:pPr>
            <w:r>
              <w:rPr>
                <w:color w:val="404040"/>
                <w:sz w:val="16"/>
              </w:rPr>
              <w:t>43%</w:t>
            </w:r>
          </w:p>
        </w:tc>
        <w:tc>
          <w:tcPr>
            <w:tcW w:w="1575" w:type="dxa"/>
          </w:tcPr>
          <w:p>
            <w:pPr>
              <w:pStyle w:val="TableParagraph"/>
              <w:spacing w:before="39"/>
              <w:ind w:left="466" w:right="486"/>
              <w:jc w:val="center"/>
              <w:rPr>
                <w:sz w:val="16"/>
              </w:rPr>
            </w:pPr>
            <w:r>
              <w:rPr>
                <w:color w:val="404040"/>
                <w:sz w:val="16"/>
              </w:rPr>
              <w:t>261,000</w:t>
            </w:r>
          </w:p>
        </w:tc>
        <w:tc>
          <w:tcPr>
            <w:tcW w:w="1607" w:type="dxa"/>
            <w:tcBorders>
              <w:right w:val="single" w:sz="4" w:space="0" w:color="DF2F1E"/>
            </w:tcBorders>
          </w:tcPr>
          <w:p>
            <w:pPr>
              <w:pStyle w:val="TableParagraph"/>
              <w:spacing w:before="39"/>
              <w:ind w:left="580" w:right="571"/>
              <w:jc w:val="center"/>
              <w:rPr>
                <w:sz w:val="16"/>
              </w:rPr>
            </w:pPr>
            <w:r>
              <w:rPr>
                <w:color w:val="404040"/>
                <w:sz w:val="16"/>
              </w:rPr>
              <w:t>102%</w:t>
            </w:r>
          </w:p>
        </w:tc>
      </w:tr>
      <w:tr>
        <w:trPr>
          <w:trHeight w:val="264" w:hRule="atLeast"/>
        </w:trPr>
        <w:tc>
          <w:tcPr>
            <w:tcW w:w="3905" w:type="dxa"/>
            <w:tcBorders>
              <w:left w:val="single" w:sz="4" w:space="0" w:color="DF2F1E"/>
              <w:bottom w:val="single" w:sz="4" w:space="0" w:color="DF2F1E"/>
            </w:tcBorders>
          </w:tcPr>
          <w:p>
            <w:pPr>
              <w:pStyle w:val="TableParagraph"/>
              <w:ind w:left="287"/>
              <w:rPr>
                <w:b/>
                <w:i/>
                <w:sz w:val="16"/>
              </w:rPr>
            </w:pPr>
            <w:r>
              <w:rPr>
                <w:b/>
                <w:i/>
                <w:color w:val="404040"/>
                <w:sz w:val="16"/>
              </w:rPr>
              <w:t>- Has earnings</w:t>
            </w:r>
          </w:p>
        </w:tc>
        <w:tc>
          <w:tcPr>
            <w:tcW w:w="1037" w:type="dxa"/>
            <w:tcBorders>
              <w:bottom w:val="single" w:sz="4" w:space="0" w:color="DF2F1E"/>
            </w:tcBorders>
          </w:tcPr>
          <w:p>
            <w:pPr>
              <w:pStyle w:val="TableParagraph"/>
              <w:ind w:right="250"/>
              <w:jc w:val="right"/>
              <w:rPr>
                <w:sz w:val="16"/>
              </w:rPr>
            </w:pPr>
            <w:r>
              <w:rPr>
                <w:color w:val="404040"/>
                <w:sz w:val="16"/>
              </w:rPr>
              <w:t>159,000</w:t>
            </w:r>
          </w:p>
        </w:tc>
        <w:tc>
          <w:tcPr>
            <w:tcW w:w="1658" w:type="dxa"/>
            <w:tcBorders>
              <w:bottom w:val="single" w:sz="4" w:space="0" w:color="DF2F1E"/>
            </w:tcBorders>
          </w:tcPr>
          <w:p>
            <w:pPr>
              <w:pStyle w:val="TableParagraph"/>
              <w:ind w:left="669"/>
              <w:rPr>
                <w:sz w:val="16"/>
              </w:rPr>
            </w:pPr>
            <w:r>
              <w:rPr>
                <w:color w:val="404040"/>
                <w:sz w:val="16"/>
              </w:rPr>
              <w:t>57%</w:t>
            </w:r>
          </w:p>
        </w:tc>
        <w:tc>
          <w:tcPr>
            <w:tcW w:w="1575" w:type="dxa"/>
            <w:tcBorders>
              <w:bottom w:val="single" w:sz="4" w:space="0" w:color="DF2F1E"/>
            </w:tcBorders>
          </w:tcPr>
          <w:p>
            <w:pPr>
              <w:pStyle w:val="TableParagraph"/>
              <w:ind w:left="466" w:right="486"/>
              <w:jc w:val="center"/>
              <w:rPr>
                <w:sz w:val="16"/>
              </w:rPr>
            </w:pPr>
            <w:r>
              <w:rPr>
                <w:color w:val="404040"/>
                <w:sz w:val="16"/>
              </w:rPr>
              <w:t>250,000</w:t>
            </w:r>
          </w:p>
        </w:tc>
        <w:tc>
          <w:tcPr>
            <w:tcW w:w="1607" w:type="dxa"/>
            <w:tcBorders>
              <w:bottom w:val="single" w:sz="4" w:space="0" w:color="DF2F1E"/>
              <w:right w:val="single" w:sz="4" w:space="0" w:color="DF2F1E"/>
            </w:tcBorders>
          </w:tcPr>
          <w:p>
            <w:pPr>
              <w:pStyle w:val="TableParagraph"/>
              <w:ind w:left="580" w:right="568"/>
              <w:jc w:val="center"/>
              <w:rPr>
                <w:sz w:val="16"/>
              </w:rPr>
            </w:pPr>
            <w:r>
              <w:rPr>
                <w:color w:val="404040"/>
                <w:sz w:val="16"/>
              </w:rPr>
              <w:t>98%</w:t>
            </w:r>
          </w:p>
        </w:tc>
      </w:tr>
      <w:tr>
        <w:trPr>
          <w:trHeight w:val="262" w:hRule="atLeast"/>
        </w:trPr>
        <w:tc>
          <w:tcPr>
            <w:tcW w:w="3905" w:type="dxa"/>
            <w:tcBorders>
              <w:top w:val="single" w:sz="4" w:space="0" w:color="DF2F1E"/>
              <w:left w:val="single" w:sz="4" w:space="0" w:color="DF2F1E"/>
            </w:tcBorders>
          </w:tcPr>
          <w:p>
            <w:pPr>
              <w:pStyle w:val="TableParagraph"/>
              <w:spacing w:before="34"/>
              <w:ind w:left="107"/>
              <w:rPr>
                <w:b/>
                <w:sz w:val="16"/>
              </w:rPr>
            </w:pPr>
            <w:r>
              <w:rPr>
                <w:b/>
                <w:color w:val="404040"/>
                <w:sz w:val="16"/>
              </w:rPr>
              <w:t>Payment type</w:t>
            </w:r>
          </w:p>
        </w:tc>
        <w:tc>
          <w:tcPr>
            <w:tcW w:w="1037" w:type="dxa"/>
            <w:tcBorders>
              <w:top w:val="single" w:sz="4" w:space="0" w:color="DF2F1E"/>
            </w:tcBorders>
          </w:tcPr>
          <w:p>
            <w:pPr>
              <w:pStyle w:val="TableParagraph"/>
              <w:spacing w:before="0"/>
              <w:rPr>
                <w:rFonts w:ascii="Times New Roman"/>
                <w:sz w:val="16"/>
              </w:rPr>
            </w:pPr>
          </w:p>
        </w:tc>
        <w:tc>
          <w:tcPr>
            <w:tcW w:w="1658" w:type="dxa"/>
            <w:tcBorders>
              <w:top w:val="single" w:sz="4" w:space="0" w:color="DF2F1E"/>
            </w:tcBorders>
          </w:tcPr>
          <w:p>
            <w:pPr>
              <w:pStyle w:val="TableParagraph"/>
              <w:spacing w:before="0"/>
              <w:rPr>
                <w:rFonts w:ascii="Times New Roman"/>
                <w:sz w:val="16"/>
              </w:rPr>
            </w:pPr>
          </w:p>
        </w:tc>
        <w:tc>
          <w:tcPr>
            <w:tcW w:w="1575" w:type="dxa"/>
            <w:tcBorders>
              <w:top w:val="single" w:sz="4" w:space="0" w:color="DF2F1E"/>
            </w:tcBorders>
          </w:tcPr>
          <w:p>
            <w:pPr>
              <w:pStyle w:val="TableParagraph"/>
              <w:spacing w:before="0"/>
              <w:rPr>
                <w:rFonts w:ascii="Times New Roman"/>
                <w:sz w:val="16"/>
              </w:rPr>
            </w:pPr>
          </w:p>
        </w:tc>
        <w:tc>
          <w:tcPr>
            <w:tcW w:w="1607" w:type="dxa"/>
            <w:tcBorders>
              <w:top w:val="single" w:sz="4" w:space="0" w:color="DF2F1E"/>
              <w:right w:val="single" w:sz="4" w:space="0" w:color="DF2F1E"/>
            </w:tcBorders>
          </w:tcPr>
          <w:p>
            <w:pPr>
              <w:pStyle w:val="TableParagraph"/>
              <w:spacing w:before="0"/>
              <w:rPr>
                <w:rFonts w:ascii="Times New Roman"/>
                <w:sz w:val="16"/>
              </w:rPr>
            </w:pPr>
          </w:p>
        </w:tc>
      </w:tr>
      <w:tr>
        <w:trPr>
          <w:trHeight w:val="265" w:hRule="atLeast"/>
        </w:trPr>
        <w:tc>
          <w:tcPr>
            <w:tcW w:w="3905" w:type="dxa"/>
            <w:tcBorders>
              <w:left w:val="single" w:sz="4" w:space="0" w:color="DF2F1E"/>
            </w:tcBorders>
          </w:tcPr>
          <w:p>
            <w:pPr>
              <w:pStyle w:val="TableParagraph"/>
              <w:spacing w:before="39"/>
              <w:ind w:left="287"/>
              <w:rPr>
                <w:b/>
                <w:i/>
                <w:sz w:val="16"/>
              </w:rPr>
            </w:pPr>
            <w:r>
              <w:rPr>
                <w:b/>
                <w:i/>
                <w:color w:val="404040"/>
                <w:sz w:val="16"/>
              </w:rPr>
              <w:t>- Austudy</w:t>
            </w:r>
          </w:p>
        </w:tc>
        <w:tc>
          <w:tcPr>
            <w:tcW w:w="1037" w:type="dxa"/>
          </w:tcPr>
          <w:p>
            <w:pPr>
              <w:pStyle w:val="TableParagraph"/>
              <w:spacing w:before="39"/>
              <w:ind w:right="339"/>
              <w:jc w:val="right"/>
              <w:rPr>
                <w:sz w:val="16"/>
              </w:rPr>
            </w:pPr>
            <w:r>
              <w:rPr>
                <w:color w:val="404040"/>
                <w:sz w:val="16"/>
              </w:rPr>
              <w:t>3,000</w:t>
            </w:r>
          </w:p>
        </w:tc>
        <w:tc>
          <w:tcPr>
            <w:tcW w:w="1658" w:type="dxa"/>
          </w:tcPr>
          <w:p>
            <w:pPr>
              <w:pStyle w:val="TableParagraph"/>
              <w:spacing w:before="39"/>
              <w:ind w:left="712"/>
              <w:rPr>
                <w:sz w:val="16"/>
              </w:rPr>
            </w:pPr>
            <w:r>
              <w:rPr>
                <w:color w:val="404040"/>
                <w:sz w:val="16"/>
              </w:rPr>
              <w:t>1%</w:t>
            </w:r>
          </w:p>
        </w:tc>
        <w:tc>
          <w:tcPr>
            <w:tcW w:w="1575" w:type="dxa"/>
          </w:tcPr>
          <w:p>
            <w:pPr>
              <w:pStyle w:val="TableParagraph"/>
              <w:spacing w:before="39"/>
              <w:ind w:left="466" w:right="486"/>
              <w:jc w:val="center"/>
              <w:rPr>
                <w:sz w:val="16"/>
              </w:rPr>
            </w:pPr>
            <w:r>
              <w:rPr>
                <w:color w:val="404040"/>
                <w:sz w:val="16"/>
              </w:rPr>
              <w:t>253,000</w:t>
            </w:r>
          </w:p>
        </w:tc>
        <w:tc>
          <w:tcPr>
            <w:tcW w:w="1607" w:type="dxa"/>
            <w:tcBorders>
              <w:right w:val="single" w:sz="4" w:space="0" w:color="DF2F1E"/>
            </w:tcBorders>
          </w:tcPr>
          <w:p>
            <w:pPr>
              <w:pStyle w:val="TableParagraph"/>
              <w:spacing w:before="39"/>
              <w:ind w:left="580" w:right="570"/>
              <w:jc w:val="center"/>
              <w:rPr>
                <w:sz w:val="16"/>
              </w:rPr>
            </w:pPr>
            <w:r>
              <w:rPr>
                <w:color w:val="404040"/>
                <w:sz w:val="16"/>
              </w:rPr>
              <w:t>100%</w:t>
            </w:r>
          </w:p>
        </w:tc>
      </w:tr>
      <w:tr>
        <w:trPr>
          <w:trHeight w:val="263" w:hRule="atLeast"/>
        </w:trPr>
        <w:tc>
          <w:tcPr>
            <w:tcW w:w="3905" w:type="dxa"/>
            <w:tcBorders>
              <w:left w:val="single" w:sz="4" w:space="0" w:color="DF2F1E"/>
            </w:tcBorders>
          </w:tcPr>
          <w:p>
            <w:pPr>
              <w:pStyle w:val="TableParagraph"/>
              <w:ind w:left="287"/>
              <w:rPr>
                <w:b/>
                <w:i/>
                <w:sz w:val="16"/>
              </w:rPr>
            </w:pPr>
            <w:r>
              <w:rPr>
                <w:b/>
                <w:i/>
                <w:color w:val="404040"/>
                <w:sz w:val="16"/>
              </w:rPr>
              <w:t>- ABSTUDY</w:t>
            </w:r>
          </w:p>
        </w:tc>
        <w:tc>
          <w:tcPr>
            <w:tcW w:w="1037" w:type="dxa"/>
          </w:tcPr>
          <w:p>
            <w:pPr>
              <w:pStyle w:val="TableParagraph"/>
              <w:ind w:right="339"/>
              <w:jc w:val="right"/>
              <w:rPr>
                <w:sz w:val="16"/>
              </w:rPr>
            </w:pPr>
            <w:r>
              <w:rPr>
                <w:color w:val="404040"/>
                <w:sz w:val="16"/>
              </w:rPr>
              <w:t>7,000</w:t>
            </w:r>
          </w:p>
        </w:tc>
        <w:tc>
          <w:tcPr>
            <w:tcW w:w="1658" w:type="dxa"/>
          </w:tcPr>
          <w:p>
            <w:pPr>
              <w:pStyle w:val="TableParagraph"/>
              <w:ind w:left="712"/>
              <w:rPr>
                <w:sz w:val="16"/>
              </w:rPr>
            </w:pPr>
            <w:r>
              <w:rPr>
                <w:color w:val="404040"/>
                <w:sz w:val="16"/>
              </w:rPr>
              <w:t>2%</w:t>
            </w:r>
          </w:p>
        </w:tc>
        <w:tc>
          <w:tcPr>
            <w:tcW w:w="1575" w:type="dxa"/>
          </w:tcPr>
          <w:p>
            <w:pPr>
              <w:pStyle w:val="TableParagraph"/>
              <w:ind w:left="466" w:right="486"/>
              <w:jc w:val="center"/>
              <w:rPr>
                <w:sz w:val="16"/>
              </w:rPr>
            </w:pPr>
            <w:r>
              <w:rPr>
                <w:color w:val="404040"/>
                <w:sz w:val="16"/>
              </w:rPr>
              <w:t>428,000</w:t>
            </w:r>
          </w:p>
        </w:tc>
        <w:tc>
          <w:tcPr>
            <w:tcW w:w="1607" w:type="dxa"/>
            <w:tcBorders>
              <w:right w:val="single" w:sz="4" w:space="0" w:color="DF2F1E"/>
            </w:tcBorders>
          </w:tcPr>
          <w:p>
            <w:pPr>
              <w:pStyle w:val="TableParagraph"/>
              <w:ind w:left="580" w:right="570"/>
              <w:jc w:val="center"/>
              <w:rPr>
                <w:sz w:val="16"/>
              </w:rPr>
            </w:pPr>
            <w:r>
              <w:rPr>
                <w:color w:val="404040"/>
                <w:sz w:val="16"/>
              </w:rPr>
              <w:t>168%</w:t>
            </w:r>
          </w:p>
        </w:tc>
      </w:tr>
      <w:tr>
        <w:trPr>
          <w:trHeight w:val="264" w:hRule="atLeast"/>
        </w:trPr>
        <w:tc>
          <w:tcPr>
            <w:tcW w:w="3905" w:type="dxa"/>
            <w:tcBorders>
              <w:left w:val="single" w:sz="4" w:space="0" w:color="DF2F1E"/>
              <w:bottom w:val="single" w:sz="4" w:space="0" w:color="DF2F1E"/>
            </w:tcBorders>
          </w:tcPr>
          <w:p>
            <w:pPr>
              <w:pStyle w:val="TableParagraph"/>
              <w:ind w:left="287"/>
              <w:rPr>
                <w:b/>
                <w:i/>
                <w:sz w:val="16"/>
              </w:rPr>
            </w:pPr>
            <w:r>
              <w:rPr>
                <w:b/>
                <w:i/>
                <w:color w:val="404040"/>
                <w:sz w:val="16"/>
              </w:rPr>
              <w:t>- Youth Allowance (Student)</w:t>
            </w:r>
          </w:p>
        </w:tc>
        <w:tc>
          <w:tcPr>
            <w:tcW w:w="1037" w:type="dxa"/>
            <w:tcBorders>
              <w:bottom w:val="single" w:sz="4" w:space="0" w:color="DF2F1E"/>
            </w:tcBorders>
          </w:tcPr>
          <w:p>
            <w:pPr>
              <w:pStyle w:val="TableParagraph"/>
              <w:ind w:right="250"/>
              <w:jc w:val="right"/>
              <w:rPr>
                <w:sz w:val="16"/>
              </w:rPr>
            </w:pPr>
            <w:r>
              <w:rPr>
                <w:color w:val="404040"/>
                <w:sz w:val="16"/>
              </w:rPr>
              <w:t>269,000</w:t>
            </w:r>
          </w:p>
        </w:tc>
        <w:tc>
          <w:tcPr>
            <w:tcW w:w="1658" w:type="dxa"/>
            <w:tcBorders>
              <w:bottom w:val="single" w:sz="4" w:space="0" w:color="DF2F1E"/>
            </w:tcBorders>
          </w:tcPr>
          <w:p>
            <w:pPr>
              <w:pStyle w:val="TableParagraph"/>
              <w:ind w:left="669"/>
              <w:rPr>
                <w:sz w:val="16"/>
              </w:rPr>
            </w:pPr>
            <w:r>
              <w:rPr>
                <w:color w:val="404040"/>
                <w:sz w:val="16"/>
              </w:rPr>
              <w:t>97%</w:t>
            </w:r>
          </w:p>
        </w:tc>
        <w:tc>
          <w:tcPr>
            <w:tcW w:w="1575" w:type="dxa"/>
            <w:tcBorders>
              <w:bottom w:val="single" w:sz="4" w:space="0" w:color="DF2F1E"/>
            </w:tcBorders>
          </w:tcPr>
          <w:p>
            <w:pPr>
              <w:pStyle w:val="TableParagraph"/>
              <w:ind w:left="466" w:right="486"/>
              <w:jc w:val="center"/>
              <w:rPr>
                <w:sz w:val="16"/>
              </w:rPr>
            </w:pPr>
            <w:r>
              <w:rPr>
                <w:color w:val="404040"/>
                <w:sz w:val="16"/>
              </w:rPr>
              <w:t>250,000</w:t>
            </w:r>
          </w:p>
        </w:tc>
        <w:tc>
          <w:tcPr>
            <w:tcW w:w="1607" w:type="dxa"/>
            <w:tcBorders>
              <w:bottom w:val="single" w:sz="4" w:space="0" w:color="DF2F1E"/>
              <w:right w:val="single" w:sz="4" w:space="0" w:color="DF2F1E"/>
            </w:tcBorders>
          </w:tcPr>
          <w:p>
            <w:pPr>
              <w:pStyle w:val="TableParagraph"/>
              <w:ind w:left="580" w:right="568"/>
              <w:jc w:val="center"/>
              <w:rPr>
                <w:sz w:val="16"/>
              </w:rPr>
            </w:pPr>
            <w:r>
              <w:rPr>
                <w:color w:val="404040"/>
                <w:sz w:val="16"/>
              </w:rPr>
              <w:t>98%</w:t>
            </w:r>
          </w:p>
        </w:tc>
      </w:tr>
      <w:tr>
        <w:trPr>
          <w:trHeight w:val="262" w:hRule="atLeast"/>
        </w:trPr>
        <w:tc>
          <w:tcPr>
            <w:tcW w:w="3905" w:type="dxa"/>
            <w:tcBorders>
              <w:top w:val="single" w:sz="4" w:space="0" w:color="DF2F1E"/>
              <w:left w:val="single" w:sz="4" w:space="0" w:color="DF2F1E"/>
            </w:tcBorders>
          </w:tcPr>
          <w:p>
            <w:pPr>
              <w:pStyle w:val="TableParagraph"/>
              <w:spacing w:before="34"/>
              <w:ind w:left="107"/>
              <w:rPr>
                <w:b/>
                <w:sz w:val="16"/>
              </w:rPr>
            </w:pPr>
            <w:r>
              <w:rPr>
                <w:b/>
                <w:color w:val="404040"/>
                <w:sz w:val="16"/>
              </w:rPr>
              <w:t>Level of parental welfare dependence</w:t>
            </w:r>
          </w:p>
        </w:tc>
        <w:tc>
          <w:tcPr>
            <w:tcW w:w="1037" w:type="dxa"/>
            <w:tcBorders>
              <w:top w:val="single" w:sz="4" w:space="0" w:color="DF2F1E"/>
            </w:tcBorders>
          </w:tcPr>
          <w:p>
            <w:pPr>
              <w:pStyle w:val="TableParagraph"/>
              <w:spacing w:before="0"/>
              <w:rPr>
                <w:rFonts w:ascii="Times New Roman"/>
                <w:sz w:val="16"/>
              </w:rPr>
            </w:pPr>
          </w:p>
        </w:tc>
        <w:tc>
          <w:tcPr>
            <w:tcW w:w="1658" w:type="dxa"/>
            <w:tcBorders>
              <w:top w:val="single" w:sz="4" w:space="0" w:color="DF2F1E"/>
            </w:tcBorders>
          </w:tcPr>
          <w:p>
            <w:pPr>
              <w:pStyle w:val="TableParagraph"/>
              <w:spacing w:before="0"/>
              <w:rPr>
                <w:rFonts w:ascii="Times New Roman"/>
                <w:sz w:val="16"/>
              </w:rPr>
            </w:pPr>
          </w:p>
        </w:tc>
        <w:tc>
          <w:tcPr>
            <w:tcW w:w="1575" w:type="dxa"/>
            <w:tcBorders>
              <w:top w:val="single" w:sz="4" w:space="0" w:color="DF2F1E"/>
            </w:tcBorders>
          </w:tcPr>
          <w:p>
            <w:pPr>
              <w:pStyle w:val="TableParagraph"/>
              <w:spacing w:before="0"/>
              <w:rPr>
                <w:rFonts w:ascii="Times New Roman"/>
                <w:sz w:val="16"/>
              </w:rPr>
            </w:pPr>
          </w:p>
        </w:tc>
        <w:tc>
          <w:tcPr>
            <w:tcW w:w="1607" w:type="dxa"/>
            <w:tcBorders>
              <w:top w:val="single" w:sz="4" w:space="0" w:color="DF2F1E"/>
              <w:right w:val="single" w:sz="4" w:space="0" w:color="DF2F1E"/>
            </w:tcBorders>
          </w:tcPr>
          <w:p>
            <w:pPr>
              <w:pStyle w:val="TableParagraph"/>
              <w:spacing w:before="0"/>
              <w:rPr>
                <w:rFonts w:ascii="Times New Roman"/>
                <w:sz w:val="16"/>
              </w:rPr>
            </w:pPr>
          </w:p>
        </w:tc>
      </w:tr>
      <w:tr>
        <w:trPr>
          <w:trHeight w:val="265" w:hRule="atLeast"/>
        </w:trPr>
        <w:tc>
          <w:tcPr>
            <w:tcW w:w="3905" w:type="dxa"/>
            <w:tcBorders>
              <w:left w:val="single" w:sz="4" w:space="0" w:color="DF2F1E"/>
            </w:tcBorders>
          </w:tcPr>
          <w:p>
            <w:pPr>
              <w:pStyle w:val="TableParagraph"/>
              <w:spacing w:before="39"/>
              <w:ind w:left="287"/>
              <w:rPr>
                <w:b/>
                <w:i/>
                <w:sz w:val="16"/>
              </w:rPr>
            </w:pPr>
            <w:r>
              <w:rPr>
                <w:b/>
                <w:i/>
                <w:color w:val="404040"/>
                <w:sz w:val="16"/>
              </w:rPr>
              <w:t>- None (0%)</w:t>
            </w:r>
          </w:p>
        </w:tc>
        <w:tc>
          <w:tcPr>
            <w:tcW w:w="1037" w:type="dxa"/>
          </w:tcPr>
          <w:p>
            <w:pPr>
              <w:pStyle w:val="TableParagraph"/>
              <w:spacing w:before="39"/>
              <w:ind w:right="250"/>
              <w:jc w:val="right"/>
              <w:rPr>
                <w:sz w:val="16"/>
              </w:rPr>
            </w:pPr>
            <w:r>
              <w:rPr>
                <w:color w:val="404040"/>
                <w:sz w:val="16"/>
              </w:rPr>
              <w:t>128,000</w:t>
            </w:r>
          </w:p>
        </w:tc>
        <w:tc>
          <w:tcPr>
            <w:tcW w:w="1658" w:type="dxa"/>
          </w:tcPr>
          <w:p>
            <w:pPr>
              <w:pStyle w:val="TableParagraph"/>
              <w:spacing w:before="39"/>
              <w:ind w:left="669"/>
              <w:rPr>
                <w:sz w:val="16"/>
              </w:rPr>
            </w:pPr>
            <w:r>
              <w:rPr>
                <w:color w:val="404040"/>
                <w:sz w:val="16"/>
              </w:rPr>
              <w:t>46%</w:t>
            </w:r>
          </w:p>
        </w:tc>
        <w:tc>
          <w:tcPr>
            <w:tcW w:w="1575" w:type="dxa"/>
          </w:tcPr>
          <w:p>
            <w:pPr>
              <w:pStyle w:val="TableParagraph"/>
              <w:spacing w:before="39"/>
              <w:ind w:left="466" w:right="486"/>
              <w:jc w:val="center"/>
              <w:rPr>
                <w:sz w:val="16"/>
              </w:rPr>
            </w:pPr>
            <w:r>
              <w:rPr>
                <w:color w:val="404040"/>
                <w:sz w:val="16"/>
              </w:rPr>
              <w:t>237,000</w:t>
            </w:r>
          </w:p>
        </w:tc>
        <w:tc>
          <w:tcPr>
            <w:tcW w:w="1607" w:type="dxa"/>
            <w:tcBorders>
              <w:right w:val="single" w:sz="4" w:space="0" w:color="DF2F1E"/>
            </w:tcBorders>
          </w:tcPr>
          <w:p>
            <w:pPr>
              <w:pStyle w:val="TableParagraph"/>
              <w:spacing w:before="39"/>
              <w:ind w:left="580" w:right="568"/>
              <w:jc w:val="center"/>
              <w:rPr>
                <w:sz w:val="16"/>
              </w:rPr>
            </w:pPr>
            <w:r>
              <w:rPr>
                <w:color w:val="404040"/>
                <w:sz w:val="16"/>
              </w:rPr>
              <w:t>93%</w:t>
            </w:r>
          </w:p>
        </w:tc>
      </w:tr>
      <w:tr>
        <w:trPr>
          <w:trHeight w:val="263" w:hRule="atLeast"/>
        </w:trPr>
        <w:tc>
          <w:tcPr>
            <w:tcW w:w="3905" w:type="dxa"/>
            <w:tcBorders>
              <w:left w:val="single" w:sz="4" w:space="0" w:color="DF2F1E"/>
            </w:tcBorders>
          </w:tcPr>
          <w:p>
            <w:pPr>
              <w:pStyle w:val="TableParagraph"/>
              <w:ind w:left="287"/>
              <w:rPr>
                <w:b/>
                <w:i/>
                <w:sz w:val="16"/>
              </w:rPr>
            </w:pPr>
            <w:r>
              <w:rPr>
                <w:b/>
                <w:i/>
                <w:color w:val="404040"/>
                <w:sz w:val="16"/>
              </w:rPr>
              <w:t>- Some (1%-35%)</w:t>
            </w:r>
          </w:p>
        </w:tc>
        <w:tc>
          <w:tcPr>
            <w:tcW w:w="1037" w:type="dxa"/>
          </w:tcPr>
          <w:p>
            <w:pPr>
              <w:pStyle w:val="TableParagraph"/>
              <w:ind w:right="293"/>
              <w:jc w:val="right"/>
              <w:rPr>
                <w:sz w:val="16"/>
              </w:rPr>
            </w:pPr>
            <w:r>
              <w:rPr>
                <w:color w:val="404040"/>
                <w:sz w:val="16"/>
              </w:rPr>
              <w:t>73,000</w:t>
            </w:r>
          </w:p>
        </w:tc>
        <w:tc>
          <w:tcPr>
            <w:tcW w:w="1658" w:type="dxa"/>
          </w:tcPr>
          <w:p>
            <w:pPr>
              <w:pStyle w:val="TableParagraph"/>
              <w:ind w:left="669"/>
              <w:rPr>
                <w:sz w:val="16"/>
              </w:rPr>
            </w:pPr>
            <w:r>
              <w:rPr>
                <w:color w:val="404040"/>
                <w:sz w:val="16"/>
              </w:rPr>
              <w:t>26%</w:t>
            </w:r>
          </w:p>
        </w:tc>
        <w:tc>
          <w:tcPr>
            <w:tcW w:w="1575" w:type="dxa"/>
          </w:tcPr>
          <w:p>
            <w:pPr>
              <w:pStyle w:val="TableParagraph"/>
              <w:ind w:left="466" w:right="486"/>
              <w:jc w:val="center"/>
              <w:rPr>
                <w:sz w:val="16"/>
              </w:rPr>
            </w:pPr>
            <w:r>
              <w:rPr>
                <w:color w:val="404040"/>
                <w:sz w:val="16"/>
              </w:rPr>
              <w:t>256,000</w:t>
            </w:r>
          </w:p>
        </w:tc>
        <w:tc>
          <w:tcPr>
            <w:tcW w:w="1607" w:type="dxa"/>
            <w:tcBorders>
              <w:right w:val="single" w:sz="4" w:space="0" w:color="DF2F1E"/>
            </w:tcBorders>
          </w:tcPr>
          <w:p>
            <w:pPr>
              <w:pStyle w:val="TableParagraph"/>
              <w:ind w:left="580" w:right="570"/>
              <w:jc w:val="center"/>
              <w:rPr>
                <w:sz w:val="16"/>
              </w:rPr>
            </w:pPr>
            <w:r>
              <w:rPr>
                <w:color w:val="404040"/>
                <w:sz w:val="16"/>
              </w:rPr>
              <w:t>101%</w:t>
            </w:r>
          </w:p>
        </w:tc>
      </w:tr>
      <w:tr>
        <w:trPr>
          <w:trHeight w:val="263" w:hRule="atLeast"/>
        </w:trPr>
        <w:tc>
          <w:tcPr>
            <w:tcW w:w="3905" w:type="dxa"/>
            <w:tcBorders>
              <w:left w:val="single" w:sz="4" w:space="0" w:color="DF2F1E"/>
            </w:tcBorders>
          </w:tcPr>
          <w:p>
            <w:pPr>
              <w:pStyle w:val="TableParagraph"/>
              <w:ind w:left="287"/>
              <w:rPr>
                <w:b/>
                <w:i/>
                <w:sz w:val="16"/>
              </w:rPr>
            </w:pPr>
            <w:r>
              <w:rPr>
                <w:b/>
                <w:i/>
                <w:color w:val="404040"/>
                <w:sz w:val="16"/>
              </w:rPr>
              <w:t>- High (36%-80%)</w:t>
            </w:r>
          </w:p>
        </w:tc>
        <w:tc>
          <w:tcPr>
            <w:tcW w:w="1037" w:type="dxa"/>
          </w:tcPr>
          <w:p>
            <w:pPr>
              <w:pStyle w:val="TableParagraph"/>
              <w:ind w:right="293"/>
              <w:jc w:val="right"/>
              <w:rPr>
                <w:sz w:val="16"/>
              </w:rPr>
            </w:pPr>
            <w:r>
              <w:rPr>
                <w:color w:val="404040"/>
                <w:sz w:val="16"/>
              </w:rPr>
              <w:t>47,000</w:t>
            </w:r>
          </w:p>
        </w:tc>
        <w:tc>
          <w:tcPr>
            <w:tcW w:w="1658" w:type="dxa"/>
          </w:tcPr>
          <w:p>
            <w:pPr>
              <w:pStyle w:val="TableParagraph"/>
              <w:ind w:left="669"/>
              <w:rPr>
                <w:sz w:val="16"/>
              </w:rPr>
            </w:pPr>
            <w:r>
              <w:rPr>
                <w:color w:val="404040"/>
                <w:sz w:val="16"/>
              </w:rPr>
              <w:t>17%</w:t>
            </w:r>
          </w:p>
        </w:tc>
        <w:tc>
          <w:tcPr>
            <w:tcW w:w="1575" w:type="dxa"/>
          </w:tcPr>
          <w:p>
            <w:pPr>
              <w:pStyle w:val="TableParagraph"/>
              <w:ind w:left="466" w:right="486"/>
              <w:jc w:val="center"/>
              <w:rPr>
                <w:sz w:val="16"/>
              </w:rPr>
            </w:pPr>
            <w:r>
              <w:rPr>
                <w:color w:val="404040"/>
                <w:sz w:val="16"/>
              </w:rPr>
              <w:t>275,000</w:t>
            </w:r>
          </w:p>
        </w:tc>
        <w:tc>
          <w:tcPr>
            <w:tcW w:w="1607" w:type="dxa"/>
            <w:tcBorders>
              <w:right w:val="single" w:sz="4" w:space="0" w:color="DF2F1E"/>
            </w:tcBorders>
          </w:tcPr>
          <w:p>
            <w:pPr>
              <w:pStyle w:val="TableParagraph"/>
              <w:ind w:left="580" w:right="570"/>
              <w:jc w:val="center"/>
              <w:rPr>
                <w:sz w:val="16"/>
              </w:rPr>
            </w:pPr>
            <w:r>
              <w:rPr>
                <w:color w:val="404040"/>
                <w:sz w:val="16"/>
              </w:rPr>
              <w:t>108%</w:t>
            </w:r>
          </w:p>
        </w:tc>
      </w:tr>
      <w:tr>
        <w:trPr>
          <w:trHeight w:val="264" w:hRule="atLeast"/>
        </w:trPr>
        <w:tc>
          <w:tcPr>
            <w:tcW w:w="3905" w:type="dxa"/>
            <w:tcBorders>
              <w:left w:val="single" w:sz="4" w:space="0" w:color="DF2F1E"/>
              <w:bottom w:val="single" w:sz="4" w:space="0" w:color="DF2F1E"/>
            </w:tcBorders>
          </w:tcPr>
          <w:p>
            <w:pPr>
              <w:pStyle w:val="TableParagraph"/>
              <w:ind w:left="287"/>
              <w:rPr>
                <w:b/>
                <w:i/>
                <w:sz w:val="16"/>
              </w:rPr>
            </w:pPr>
            <w:r>
              <w:rPr>
                <w:b/>
                <w:i/>
                <w:color w:val="404040"/>
                <w:sz w:val="16"/>
              </w:rPr>
              <w:t>- Very high (81%+)</w:t>
            </w:r>
          </w:p>
        </w:tc>
        <w:tc>
          <w:tcPr>
            <w:tcW w:w="1037" w:type="dxa"/>
            <w:tcBorders>
              <w:bottom w:val="single" w:sz="4" w:space="0" w:color="DF2F1E"/>
            </w:tcBorders>
          </w:tcPr>
          <w:p>
            <w:pPr>
              <w:pStyle w:val="TableParagraph"/>
              <w:ind w:right="293"/>
              <w:jc w:val="right"/>
              <w:rPr>
                <w:sz w:val="16"/>
              </w:rPr>
            </w:pPr>
            <w:r>
              <w:rPr>
                <w:color w:val="404040"/>
                <w:sz w:val="16"/>
              </w:rPr>
              <w:t>31,000</w:t>
            </w:r>
          </w:p>
        </w:tc>
        <w:tc>
          <w:tcPr>
            <w:tcW w:w="1658" w:type="dxa"/>
            <w:tcBorders>
              <w:bottom w:val="single" w:sz="4" w:space="0" w:color="DF2F1E"/>
            </w:tcBorders>
          </w:tcPr>
          <w:p>
            <w:pPr>
              <w:pStyle w:val="TableParagraph"/>
              <w:ind w:left="669"/>
              <w:rPr>
                <w:sz w:val="16"/>
              </w:rPr>
            </w:pPr>
            <w:r>
              <w:rPr>
                <w:color w:val="404040"/>
                <w:sz w:val="16"/>
              </w:rPr>
              <w:t>11%</w:t>
            </w:r>
          </w:p>
        </w:tc>
        <w:tc>
          <w:tcPr>
            <w:tcW w:w="1575" w:type="dxa"/>
            <w:tcBorders>
              <w:bottom w:val="single" w:sz="4" w:space="0" w:color="DF2F1E"/>
            </w:tcBorders>
          </w:tcPr>
          <w:p>
            <w:pPr>
              <w:pStyle w:val="TableParagraph"/>
              <w:ind w:left="466" w:right="486"/>
              <w:jc w:val="center"/>
              <w:rPr>
                <w:sz w:val="16"/>
              </w:rPr>
            </w:pPr>
            <w:r>
              <w:rPr>
                <w:color w:val="404040"/>
                <w:sz w:val="16"/>
              </w:rPr>
              <w:t>291,000</w:t>
            </w:r>
          </w:p>
        </w:tc>
        <w:tc>
          <w:tcPr>
            <w:tcW w:w="1607" w:type="dxa"/>
            <w:tcBorders>
              <w:bottom w:val="single" w:sz="4" w:space="0" w:color="DF2F1E"/>
              <w:right w:val="single" w:sz="4" w:space="0" w:color="DF2F1E"/>
            </w:tcBorders>
          </w:tcPr>
          <w:p>
            <w:pPr>
              <w:pStyle w:val="TableParagraph"/>
              <w:ind w:left="580" w:right="570"/>
              <w:jc w:val="center"/>
              <w:rPr>
                <w:sz w:val="16"/>
              </w:rPr>
            </w:pPr>
            <w:r>
              <w:rPr>
                <w:color w:val="404040"/>
                <w:sz w:val="16"/>
              </w:rPr>
              <w:t>114%</w:t>
            </w:r>
          </w:p>
        </w:tc>
      </w:tr>
      <w:tr>
        <w:trPr>
          <w:trHeight w:val="262" w:hRule="atLeast"/>
        </w:trPr>
        <w:tc>
          <w:tcPr>
            <w:tcW w:w="3905" w:type="dxa"/>
            <w:tcBorders>
              <w:top w:val="single" w:sz="4" w:space="0" w:color="DF2F1E"/>
              <w:left w:val="single" w:sz="4" w:space="0" w:color="DF2F1E"/>
            </w:tcBorders>
          </w:tcPr>
          <w:p>
            <w:pPr>
              <w:pStyle w:val="TableParagraph"/>
              <w:spacing w:before="34"/>
              <w:ind w:left="107"/>
              <w:rPr>
                <w:b/>
                <w:sz w:val="16"/>
              </w:rPr>
            </w:pPr>
            <w:r>
              <w:rPr>
                <w:b/>
                <w:color w:val="404040"/>
                <w:sz w:val="16"/>
              </w:rPr>
              <w:t>Indigenous status</w:t>
            </w:r>
          </w:p>
        </w:tc>
        <w:tc>
          <w:tcPr>
            <w:tcW w:w="1037" w:type="dxa"/>
            <w:tcBorders>
              <w:top w:val="single" w:sz="4" w:space="0" w:color="DF2F1E"/>
            </w:tcBorders>
          </w:tcPr>
          <w:p>
            <w:pPr>
              <w:pStyle w:val="TableParagraph"/>
              <w:spacing w:before="0"/>
              <w:rPr>
                <w:rFonts w:ascii="Times New Roman"/>
                <w:sz w:val="16"/>
              </w:rPr>
            </w:pPr>
          </w:p>
        </w:tc>
        <w:tc>
          <w:tcPr>
            <w:tcW w:w="1658" w:type="dxa"/>
            <w:tcBorders>
              <w:top w:val="single" w:sz="4" w:space="0" w:color="DF2F1E"/>
            </w:tcBorders>
          </w:tcPr>
          <w:p>
            <w:pPr>
              <w:pStyle w:val="TableParagraph"/>
              <w:spacing w:before="0"/>
              <w:rPr>
                <w:rFonts w:ascii="Times New Roman"/>
                <w:sz w:val="16"/>
              </w:rPr>
            </w:pPr>
          </w:p>
        </w:tc>
        <w:tc>
          <w:tcPr>
            <w:tcW w:w="1575" w:type="dxa"/>
            <w:tcBorders>
              <w:top w:val="single" w:sz="4" w:space="0" w:color="DF2F1E"/>
            </w:tcBorders>
          </w:tcPr>
          <w:p>
            <w:pPr>
              <w:pStyle w:val="TableParagraph"/>
              <w:spacing w:before="0"/>
              <w:rPr>
                <w:rFonts w:ascii="Times New Roman"/>
                <w:sz w:val="16"/>
              </w:rPr>
            </w:pPr>
          </w:p>
        </w:tc>
        <w:tc>
          <w:tcPr>
            <w:tcW w:w="1607" w:type="dxa"/>
            <w:tcBorders>
              <w:top w:val="single" w:sz="4" w:space="0" w:color="DF2F1E"/>
              <w:right w:val="single" w:sz="4" w:space="0" w:color="DF2F1E"/>
            </w:tcBorders>
          </w:tcPr>
          <w:p>
            <w:pPr>
              <w:pStyle w:val="TableParagraph"/>
              <w:spacing w:before="0"/>
              <w:rPr>
                <w:rFonts w:ascii="Times New Roman"/>
                <w:sz w:val="16"/>
              </w:rPr>
            </w:pPr>
          </w:p>
        </w:tc>
      </w:tr>
      <w:tr>
        <w:trPr>
          <w:trHeight w:val="265" w:hRule="atLeast"/>
        </w:trPr>
        <w:tc>
          <w:tcPr>
            <w:tcW w:w="3905" w:type="dxa"/>
            <w:tcBorders>
              <w:left w:val="single" w:sz="4" w:space="0" w:color="DF2F1E"/>
            </w:tcBorders>
          </w:tcPr>
          <w:p>
            <w:pPr>
              <w:pStyle w:val="TableParagraph"/>
              <w:spacing w:before="39"/>
              <w:ind w:left="287"/>
              <w:rPr>
                <w:b/>
                <w:i/>
                <w:sz w:val="16"/>
              </w:rPr>
            </w:pPr>
            <w:r>
              <w:rPr>
                <w:b/>
                <w:i/>
                <w:color w:val="404040"/>
                <w:sz w:val="16"/>
              </w:rPr>
              <w:t>- Indigenous</w:t>
            </w:r>
          </w:p>
        </w:tc>
        <w:tc>
          <w:tcPr>
            <w:tcW w:w="1037" w:type="dxa"/>
          </w:tcPr>
          <w:p>
            <w:pPr>
              <w:pStyle w:val="TableParagraph"/>
              <w:spacing w:before="39"/>
              <w:ind w:right="339"/>
              <w:jc w:val="right"/>
              <w:rPr>
                <w:sz w:val="16"/>
              </w:rPr>
            </w:pPr>
            <w:r>
              <w:rPr>
                <w:color w:val="404040"/>
                <w:sz w:val="16"/>
              </w:rPr>
              <w:t>9,000</w:t>
            </w:r>
          </w:p>
        </w:tc>
        <w:tc>
          <w:tcPr>
            <w:tcW w:w="1658" w:type="dxa"/>
          </w:tcPr>
          <w:p>
            <w:pPr>
              <w:pStyle w:val="TableParagraph"/>
              <w:spacing w:before="39"/>
              <w:ind w:left="712"/>
              <w:rPr>
                <w:sz w:val="16"/>
              </w:rPr>
            </w:pPr>
            <w:r>
              <w:rPr>
                <w:color w:val="404040"/>
                <w:sz w:val="16"/>
              </w:rPr>
              <w:t>3%</w:t>
            </w:r>
          </w:p>
        </w:tc>
        <w:tc>
          <w:tcPr>
            <w:tcW w:w="1575" w:type="dxa"/>
          </w:tcPr>
          <w:p>
            <w:pPr>
              <w:pStyle w:val="TableParagraph"/>
              <w:spacing w:before="39"/>
              <w:ind w:left="466" w:right="486"/>
              <w:jc w:val="center"/>
              <w:rPr>
                <w:sz w:val="16"/>
              </w:rPr>
            </w:pPr>
            <w:r>
              <w:rPr>
                <w:color w:val="404040"/>
                <w:sz w:val="16"/>
              </w:rPr>
              <w:t>429,000</w:t>
            </w:r>
          </w:p>
        </w:tc>
        <w:tc>
          <w:tcPr>
            <w:tcW w:w="1607" w:type="dxa"/>
            <w:tcBorders>
              <w:right w:val="single" w:sz="4" w:space="0" w:color="DF2F1E"/>
            </w:tcBorders>
          </w:tcPr>
          <w:p>
            <w:pPr>
              <w:pStyle w:val="TableParagraph"/>
              <w:spacing w:before="39"/>
              <w:ind w:left="580" w:right="570"/>
              <w:jc w:val="center"/>
              <w:rPr>
                <w:sz w:val="16"/>
              </w:rPr>
            </w:pPr>
            <w:r>
              <w:rPr>
                <w:color w:val="404040"/>
                <w:sz w:val="16"/>
              </w:rPr>
              <w:t>169%</w:t>
            </w:r>
          </w:p>
        </w:tc>
      </w:tr>
      <w:tr>
        <w:trPr>
          <w:trHeight w:val="264" w:hRule="atLeast"/>
        </w:trPr>
        <w:tc>
          <w:tcPr>
            <w:tcW w:w="3905" w:type="dxa"/>
            <w:tcBorders>
              <w:left w:val="single" w:sz="4" w:space="0" w:color="DF2F1E"/>
              <w:bottom w:val="single" w:sz="4" w:space="0" w:color="DF2528"/>
            </w:tcBorders>
          </w:tcPr>
          <w:p>
            <w:pPr>
              <w:pStyle w:val="TableParagraph"/>
              <w:ind w:left="287"/>
              <w:rPr>
                <w:b/>
                <w:i/>
                <w:sz w:val="16"/>
              </w:rPr>
            </w:pPr>
            <w:r>
              <w:rPr>
                <w:b/>
                <w:i/>
                <w:color w:val="404040"/>
                <w:sz w:val="16"/>
              </w:rPr>
              <w:t>- Non-Indigenous</w:t>
            </w:r>
          </w:p>
        </w:tc>
        <w:tc>
          <w:tcPr>
            <w:tcW w:w="1037" w:type="dxa"/>
            <w:tcBorders>
              <w:bottom w:val="single" w:sz="4" w:space="0" w:color="DF2528"/>
            </w:tcBorders>
          </w:tcPr>
          <w:p>
            <w:pPr>
              <w:pStyle w:val="TableParagraph"/>
              <w:ind w:right="250"/>
              <w:jc w:val="right"/>
              <w:rPr>
                <w:sz w:val="16"/>
              </w:rPr>
            </w:pPr>
            <w:r>
              <w:rPr>
                <w:color w:val="404040"/>
                <w:sz w:val="16"/>
              </w:rPr>
              <w:t>269,000</w:t>
            </w:r>
          </w:p>
        </w:tc>
        <w:tc>
          <w:tcPr>
            <w:tcW w:w="1658" w:type="dxa"/>
            <w:tcBorders>
              <w:bottom w:val="single" w:sz="4" w:space="0" w:color="DF2528"/>
            </w:tcBorders>
          </w:tcPr>
          <w:p>
            <w:pPr>
              <w:pStyle w:val="TableParagraph"/>
              <w:ind w:left="669"/>
              <w:rPr>
                <w:sz w:val="16"/>
              </w:rPr>
            </w:pPr>
            <w:r>
              <w:rPr>
                <w:color w:val="404040"/>
                <w:sz w:val="16"/>
              </w:rPr>
              <w:t>97%</w:t>
            </w:r>
          </w:p>
        </w:tc>
        <w:tc>
          <w:tcPr>
            <w:tcW w:w="1575" w:type="dxa"/>
            <w:tcBorders>
              <w:bottom w:val="single" w:sz="4" w:space="0" w:color="DF2528"/>
            </w:tcBorders>
          </w:tcPr>
          <w:p>
            <w:pPr>
              <w:pStyle w:val="TableParagraph"/>
              <w:ind w:left="466" w:right="486"/>
              <w:jc w:val="center"/>
              <w:rPr>
                <w:sz w:val="16"/>
              </w:rPr>
            </w:pPr>
            <w:r>
              <w:rPr>
                <w:color w:val="404040"/>
                <w:sz w:val="16"/>
              </w:rPr>
              <w:t>248,000</w:t>
            </w:r>
          </w:p>
        </w:tc>
        <w:tc>
          <w:tcPr>
            <w:tcW w:w="1607" w:type="dxa"/>
            <w:tcBorders>
              <w:bottom w:val="single" w:sz="4" w:space="0" w:color="DF2528"/>
              <w:right w:val="single" w:sz="4" w:space="0" w:color="DF2F1E"/>
            </w:tcBorders>
          </w:tcPr>
          <w:p>
            <w:pPr>
              <w:pStyle w:val="TableParagraph"/>
              <w:ind w:left="580" w:right="568"/>
              <w:jc w:val="center"/>
              <w:rPr>
                <w:sz w:val="16"/>
              </w:rPr>
            </w:pPr>
            <w:r>
              <w:rPr>
                <w:color w:val="404040"/>
                <w:sz w:val="16"/>
              </w:rPr>
              <w:t>98%</w:t>
            </w:r>
          </w:p>
        </w:tc>
      </w:tr>
      <w:tr>
        <w:trPr>
          <w:trHeight w:val="264" w:hRule="atLeast"/>
        </w:trPr>
        <w:tc>
          <w:tcPr>
            <w:tcW w:w="3905" w:type="dxa"/>
            <w:tcBorders>
              <w:top w:val="single" w:sz="4" w:space="0" w:color="DF2528"/>
              <w:left w:val="single" w:sz="4" w:space="0" w:color="DF2F1E"/>
            </w:tcBorders>
          </w:tcPr>
          <w:p>
            <w:pPr>
              <w:pStyle w:val="TableParagraph"/>
              <w:ind w:left="107"/>
              <w:rPr>
                <w:b/>
                <w:sz w:val="16"/>
              </w:rPr>
            </w:pPr>
            <w:r>
              <w:rPr>
                <w:b/>
                <w:color w:val="404040"/>
                <w:sz w:val="16"/>
              </w:rPr>
              <w:t>Geography – socio-economic area grouping</w:t>
            </w:r>
          </w:p>
        </w:tc>
        <w:tc>
          <w:tcPr>
            <w:tcW w:w="1037" w:type="dxa"/>
            <w:tcBorders>
              <w:top w:val="single" w:sz="4" w:space="0" w:color="DF2528"/>
            </w:tcBorders>
          </w:tcPr>
          <w:p>
            <w:pPr>
              <w:pStyle w:val="TableParagraph"/>
              <w:spacing w:before="0"/>
              <w:rPr>
                <w:rFonts w:ascii="Times New Roman"/>
                <w:sz w:val="16"/>
              </w:rPr>
            </w:pPr>
          </w:p>
        </w:tc>
        <w:tc>
          <w:tcPr>
            <w:tcW w:w="1658" w:type="dxa"/>
            <w:tcBorders>
              <w:top w:val="single" w:sz="4" w:space="0" w:color="DF2528"/>
            </w:tcBorders>
          </w:tcPr>
          <w:p>
            <w:pPr>
              <w:pStyle w:val="TableParagraph"/>
              <w:spacing w:before="0"/>
              <w:rPr>
                <w:rFonts w:ascii="Times New Roman"/>
                <w:sz w:val="16"/>
              </w:rPr>
            </w:pPr>
          </w:p>
        </w:tc>
        <w:tc>
          <w:tcPr>
            <w:tcW w:w="1575" w:type="dxa"/>
            <w:tcBorders>
              <w:top w:val="single" w:sz="4" w:space="0" w:color="DF2528"/>
            </w:tcBorders>
          </w:tcPr>
          <w:p>
            <w:pPr>
              <w:pStyle w:val="TableParagraph"/>
              <w:spacing w:before="0"/>
              <w:rPr>
                <w:rFonts w:ascii="Times New Roman"/>
                <w:sz w:val="16"/>
              </w:rPr>
            </w:pPr>
          </w:p>
        </w:tc>
        <w:tc>
          <w:tcPr>
            <w:tcW w:w="1607" w:type="dxa"/>
            <w:tcBorders>
              <w:top w:val="single" w:sz="4" w:space="0" w:color="DF2528"/>
              <w:right w:val="single" w:sz="4" w:space="0" w:color="DF2F1E"/>
            </w:tcBorders>
          </w:tcPr>
          <w:p>
            <w:pPr>
              <w:pStyle w:val="TableParagraph"/>
              <w:spacing w:before="0"/>
              <w:rPr>
                <w:rFonts w:ascii="Times New Roman"/>
                <w:sz w:val="16"/>
              </w:rPr>
            </w:pPr>
          </w:p>
        </w:tc>
      </w:tr>
      <w:tr>
        <w:trPr>
          <w:trHeight w:val="265" w:hRule="atLeast"/>
        </w:trPr>
        <w:tc>
          <w:tcPr>
            <w:tcW w:w="3905" w:type="dxa"/>
            <w:tcBorders>
              <w:left w:val="single" w:sz="4" w:space="0" w:color="DF2F1E"/>
            </w:tcBorders>
          </w:tcPr>
          <w:p>
            <w:pPr>
              <w:pStyle w:val="TableParagraph"/>
              <w:spacing w:before="39"/>
              <w:ind w:left="287"/>
              <w:rPr>
                <w:b/>
                <w:i/>
                <w:sz w:val="16"/>
              </w:rPr>
            </w:pPr>
            <w:r>
              <w:rPr>
                <w:b/>
                <w:i/>
                <w:color w:val="404040"/>
                <w:sz w:val="16"/>
              </w:rPr>
              <w:t>- Lowest 20% (most disadvantaged)</w:t>
            </w:r>
          </w:p>
        </w:tc>
        <w:tc>
          <w:tcPr>
            <w:tcW w:w="1037" w:type="dxa"/>
          </w:tcPr>
          <w:p>
            <w:pPr>
              <w:pStyle w:val="TableParagraph"/>
              <w:spacing w:before="39"/>
              <w:ind w:right="293"/>
              <w:jc w:val="right"/>
              <w:rPr>
                <w:sz w:val="16"/>
              </w:rPr>
            </w:pPr>
            <w:r>
              <w:rPr>
                <w:color w:val="404040"/>
                <w:sz w:val="16"/>
              </w:rPr>
              <w:t>51,000</w:t>
            </w:r>
          </w:p>
        </w:tc>
        <w:tc>
          <w:tcPr>
            <w:tcW w:w="1658" w:type="dxa"/>
          </w:tcPr>
          <w:p>
            <w:pPr>
              <w:pStyle w:val="TableParagraph"/>
              <w:spacing w:before="39"/>
              <w:ind w:left="669"/>
              <w:rPr>
                <w:sz w:val="16"/>
              </w:rPr>
            </w:pPr>
            <w:r>
              <w:rPr>
                <w:color w:val="404040"/>
                <w:sz w:val="16"/>
              </w:rPr>
              <w:t>18%</w:t>
            </w:r>
          </w:p>
        </w:tc>
        <w:tc>
          <w:tcPr>
            <w:tcW w:w="1575" w:type="dxa"/>
          </w:tcPr>
          <w:p>
            <w:pPr>
              <w:pStyle w:val="TableParagraph"/>
              <w:spacing w:before="39"/>
              <w:ind w:left="466" w:right="486"/>
              <w:jc w:val="center"/>
              <w:rPr>
                <w:sz w:val="16"/>
              </w:rPr>
            </w:pPr>
            <w:r>
              <w:rPr>
                <w:color w:val="404040"/>
                <w:sz w:val="16"/>
              </w:rPr>
              <w:t>291,000</w:t>
            </w:r>
          </w:p>
        </w:tc>
        <w:tc>
          <w:tcPr>
            <w:tcW w:w="1607" w:type="dxa"/>
            <w:tcBorders>
              <w:right w:val="single" w:sz="4" w:space="0" w:color="DF2F1E"/>
            </w:tcBorders>
          </w:tcPr>
          <w:p>
            <w:pPr>
              <w:pStyle w:val="TableParagraph"/>
              <w:spacing w:before="39"/>
              <w:ind w:left="580" w:right="570"/>
              <w:jc w:val="center"/>
              <w:rPr>
                <w:sz w:val="16"/>
              </w:rPr>
            </w:pPr>
            <w:r>
              <w:rPr>
                <w:color w:val="404040"/>
                <w:sz w:val="16"/>
              </w:rPr>
              <w:t>114%</w:t>
            </w:r>
          </w:p>
        </w:tc>
      </w:tr>
      <w:tr>
        <w:trPr>
          <w:trHeight w:val="264" w:hRule="atLeast"/>
        </w:trPr>
        <w:tc>
          <w:tcPr>
            <w:tcW w:w="3905" w:type="dxa"/>
            <w:tcBorders>
              <w:left w:val="single" w:sz="4" w:space="0" w:color="DF2F1E"/>
            </w:tcBorders>
          </w:tcPr>
          <w:p>
            <w:pPr>
              <w:pStyle w:val="TableParagraph"/>
              <w:ind w:left="287"/>
              <w:rPr>
                <w:b/>
                <w:i/>
                <w:sz w:val="16"/>
              </w:rPr>
            </w:pPr>
            <w:r>
              <w:rPr>
                <w:b/>
                <w:i/>
                <w:color w:val="404040"/>
                <w:sz w:val="16"/>
              </w:rPr>
              <w:t>- 20% to 40%</w:t>
            </w:r>
          </w:p>
        </w:tc>
        <w:tc>
          <w:tcPr>
            <w:tcW w:w="1037" w:type="dxa"/>
          </w:tcPr>
          <w:p>
            <w:pPr>
              <w:pStyle w:val="TableParagraph"/>
              <w:ind w:right="293"/>
              <w:jc w:val="right"/>
              <w:rPr>
                <w:sz w:val="16"/>
              </w:rPr>
            </w:pPr>
            <w:r>
              <w:rPr>
                <w:color w:val="404040"/>
                <w:sz w:val="16"/>
              </w:rPr>
              <w:t>48,000</w:t>
            </w:r>
          </w:p>
        </w:tc>
        <w:tc>
          <w:tcPr>
            <w:tcW w:w="1658" w:type="dxa"/>
          </w:tcPr>
          <w:p>
            <w:pPr>
              <w:pStyle w:val="TableParagraph"/>
              <w:ind w:left="669"/>
              <w:rPr>
                <w:sz w:val="16"/>
              </w:rPr>
            </w:pPr>
            <w:r>
              <w:rPr>
                <w:color w:val="404040"/>
                <w:sz w:val="16"/>
              </w:rPr>
              <w:t>17%</w:t>
            </w:r>
          </w:p>
        </w:tc>
        <w:tc>
          <w:tcPr>
            <w:tcW w:w="1575" w:type="dxa"/>
          </w:tcPr>
          <w:p>
            <w:pPr>
              <w:pStyle w:val="TableParagraph"/>
              <w:ind w:left="466" w:right="486"/>
              <w:jc w:val="center"/>
              <w:rPr>
                <w:sz w:val="16"/>
              </w:rPr>
            </w:pPr>
            <w:r>
              <w:rPr>
                <w:color w:val="404040"/>
                <w:sz w:val="16"/>
              </w:rPr>
              <w:t>272,000</w:t>
            </w:r>
          </w:p>
        </w:tc>
        <w:tc>
          <w:tcPr>
            <w:tcW w:w="1607" w:type="dxa"/>
            <w:tcBorders>
              <w:right w:val="single" w:sz="4" w:space="0" w:color="DF2F1E"/>
            </w:tcBorders>
          </w:tcPr>
          <w:p>
            <w:pPr>
              <w:pStyle w:val="TableParagraph"/>
              <w:ind w:left="580" w:right="570"/>
              <w:jc w:val="center"/>
              <w:rPr>
                <w:sz w:val="16"/>
              </w:rPr>
            </w:pPr>
            <w:r>
              <w:rPr>
                <w:color w:val="404040"/>
                <w:sz w:val="16"/>
              </w:rPr>
              <w:t>107%</w:t>
            </w:r>
          </w:p>
        </w:tc>
      </w:tr>
      <w:tr>
        <w:trPr>
          <w:trHeight w:val="263" w:hRule="atLeast"/>
        </w:trPr>
        <w:tc>
          <w:tcPr>
            <w:tcW w:w="3905" w:type="dxa"/>
            <w:tcBorders>
              <w:left w:val="single" w:sz="4" w:space="0" w:color="DF2F1E"/>
            </w:tcBorders>
          </w:tcPr>
          <w:p>
            <w:pPr>
              <w:pStyle w:val="TableParagraph"/>
              <w:ind w:left="287"/>
              <w:rPr>
                <w:b/>
                <w:i/>
                <w:sz w:val="16"/>
              </w:rPr>
            </w:pPr>
            <w:r>
              <w:rPr>
                <w:b/>
                <w:i/>
                <w:color w:val="404040"/>
                <w:sz w:val="16"/>
              </w:rPr>
              <w:t>- 40% to 60%</w:t>
            </w:r>
          </w:p>
        </w:tc>
        <w:tc>
          <w:tcPr>
            <w:tcW w:w="1037" w:type="dxa"/>
          </w:tcPr>
          <w:p>
            <w:pPr>
              <w:pStyle w:val="TableParagraph"/>
              <w:ind w:right="293"/>
              <w:jc w:val="right"/>
              <w:rPr>
                <w:sz w:val="16"/>
              </w:rPr>
            </w:pPr>
            <w:r>
              <w:rPr>
                <w:color w:val="404040"/>
                <w:sz w:val="16"/>
              </w:rPr>
              <w:t>54,000</w:t>
            </w:r>
          </w:p>
        </w:tc>
        <w:tc>
          <w:tcPr>
            <w:tcW w:w="1658" w:type="dxa"/>
          </w:tcPr>
          <w:p>
            <w:pPr>
              <w:pStyle w:val="TableParagraph"/>
              <w:ind w:left="669"/>
              <w:rPr>
                <w:sz w:val="16"/>
              </w:rPr>
            </w:pPr>
            <w:r>
              <w:rPr>
                <w:color w:val="404040"/>
                <w:sz w:val="16"/>
              </w:rPr>
              <w:t>19%</w:t>
            </w:r>
          </w:p>
        </w:tc>
        <w:tc>
          <w:tcPr>
            <w:tcW w:w="1575" w:type="dxa"/>
          </w:tcPr>
          <w:p>
            <w:pPr>
              <w:pStyle w:val="TableParagraph"/>
              <w:ind w:left="466" w:right="486"/>
              <w:jc w:val="center"/>
              <w:rPr>
                <w:sz w:val="16"/>
              </w:rPr>
            </w:pPr>
            <w:r>
              <w:rPr>
                <w:color w:val="404040"/>
                <w:sz w:val="16"/>
              </w:rPr>
              <w:t>256,000</w:t>
            </w:r>
          </w:p>
        </w:tc>
        <w:tc>
          <w:tcPr>
            <w:tcW w:w="1607" w:type="dxa"/>
            <w:tcBorders>
              <w:right w:val="single" w:sz="4" w:space="0" w:color="DF2F1E"/>
            </w:tcBorders>
          </w:tcPr>
          <w:p>
            <w:pPr>
              <w:pStyle w:val="TableParagraph"/>
              <w:ind w:left="580" w:right="570"/>
              <w:jc w:val="center"/>
              <w:rPr>
                <w:sz w:val="16"/>
              </w:rPr>
            </w:pPr>
            <w:r>
              <w:rPr>
                <w:color w:val="404040"/>
                <w:sz w:val="16"/>
              </w:rPr>
              <w:t>101%</w:t>
            </w:r>
          </w:p>
        </w:tc>
      </w:tr>
      <w:tr>
        <w:trPr>
          <w:trHeight w:val="263" w:hRule="atLeast"/>
        </w:trPr>
        <w:tc>
          <w:tcPr>
            <w:tcW w:w="3905" w:type="dxa"/>
            <w:tcBorders>
              <w:left w:val="single" w:sz="4" w:space="0" w:color="DF2F1E"/>
            </w:tcBorders>
          </w:tcPr>
          <w:p>
            <w:pPr>
              <w:pStyle w:val="TableParagraph"/>
              <w:ind w:left="287"/>
              <w:rPr>
                <w:b/>
                <w:i/>
                <w:sz w:val="16"/>
              </w:rPr>
            </w:pPr>
            <w:r>
              <w:rPr>
                <w:b/>
                <w:i/>
                <w:color w:val="404040"/>
                <w:sz w:val="16"/>
              </w:rPr>
              <w:t>- 60% to 80%</w:t>
            </w:r>
          </w:p>
        </w:tc>
        <w:tc>
          <w:tcPr>
            <w:tcW w:w="1037" w:type="dxa"/>
          </w:tcPr>
          <w:p>
            <w:pPr>
              <w:pStyle w:val="TableParagraph"/>
              <w:ind w:right="293"/>
              <w:jc w:val="right"/>
              <w:rPr>
                <w:sz w:val="16"/>
              </w:rPr>
            </w:pPr>
            <w:r>
              <w:rPr>
                <w:color w:val="404040"/>
                <w:sz w:val="16"/>
              </w:rPr>
              <w:t>62,000</w:t>
            </w:r>
          </w:p>
        </w:tc>
        <w:tc>
          <w:tcPr>
            <w:tcW w:w="1658" w:type="dxa"/>
          </w:tcPr>
          <w:p>
            <w:pPr>
              <w:pStyle w:val="TableParagraph"/>
              <w:ind w:left="669"/>
              <w:rPr>
                <w:sz w:val="16"/>
              </w:rPr>
            </w:pPr>
            <w:r>
              <w:rPr>
                <w:color w:val="404040"/>
                <w:sz w:val="16"/>
              </w:rPr>
              <w:t>22%</w:t>
            </w:r>
          </w:p>
        </w:tc>
        <w:tc>
          <w:tcPr>
            <w:tcW w:w="1575" w:type="dxa"/>
          </w:tcPr>
          <w:p>
            <w:pPr>
              <w:pStyle w:val="TableParagraph"/>
              <w:ind w:left="466" w:right="486"/>
              <w:jc w:val="center"/>
              <w:rPr>
                <w:sz w:val="16"/>
              </w:rPr>
            </w:pPr>
            <w:r>
              <w:rPr>
                <w:color w:val="404040"/>
                <w:sz w:val="16"/>
              </w:rPr>
              <w:t>241,000</w:t>
            </w:r>
          </w:p>
        </w:tc>
        <w:tc>
          <w:tcPr>
            <w:tcW w:w="1607" w:type="dxa"/>
            <w:tcBorders>
              <w:right w:val="single" w:sz="4" w:space="0" w:color="DF2F1E"/>
            </w:tcBorders>
          </w:tcPr>
          <w:p>
            <w:pPr>
              <w:pStyle w:val="TableParagraph"/>
              <w:ind w:left="580" w:right="568"/>
              <w:jc w:val="center"/>
              <w:rPr>
                <w:sz w:val="16"/>
              </w:rPr>
            </w:pPr>
            <w:r>
              <w:rPr>
                <w:color w:val="404040"/>
                <w:sz w:val="16"/>
              </w:rPr>
              <w:t>95%</w:t>
            </w:r>
          </w:p>
        </w:tc>
      </w:tr>
      <w:tr>
        <w:trPr>
          <w:trHeight w:val="264" w:hRule="atLeast"/>
        </w:trPr>
        <w:tc>
          <w:tcPr>
            <w:tcW w:w="3905" w:type="dxa"/>
            <w:tcBorders>
              <w:left w:val="single" w:sz="4" w:space="0" w:color="DF2F1E"/>
              <w:bottom w:val="single" w:sz="4" w:space="0" w:color="DF2528"/>
            </w:tcBorders>
          </w:tcPr>
          <w:p>
            <w:pPr>
              <w:pStyle w:val="TableParagraph"/>
              <w:ind w:left="287"/>
              <w:rPr>
                <w:b/>
                <w:i/>
                <w:sz w:val="16"/>
              </w:rPr>
            </w:pPr>
            <w:r>
              <w:rPr>
                <w:b/>
                <w:i/>
                <w:color w:val="404040"/>
                <w:sz w:val="16"/>
              </w:rPr>
              <w:t>- Highest 20% (least disadvantaged)</w:t>
            </w:r>
          </w:p>
        </w:tc>
        <w:tc>
          <w:tcPr>
            <w:tcW w:w="1037" w:type="dxa"/>
            <w:tcBorders>
              <w:bottom w:val="single" w:sz="4" w:space="0" w:color="DF2528"/>
            </w:tcBorders>
          </w:tcPr>
          <w:p>
            <w:pPr>
              <w:pStyle w:val="TableParagraph"/>
              <w:ind w:right="293"/>
              <w:jc w:val="right"/>
              <w:rPr>
                <w:sz w:val="16"/>
              </w:rPr>
            </w:pPr>
            <w:r>
              <w:rPr>
                <w:color w:val="404040"/>
                <w:sz w:val="16"/>
              </w:rPr>
              <w:t>63,000</w:t>
            </w:r>
          </w:p>
        </w:tc>
        <w:tc>
          <w:tcPr>
            <w:tcW w:w="1658" w:type="dxa"/>
            <w:tcBorders>
              <w:bottom w:val="single" w:sz="4" w:space="0" w:color="DF2528"/>
            </w:tcBorders>
          </w:tcPr>
          <w:p>
            <w:pPr>
              <w:pStyle w:val="TableParagraph"/>
              <w:ind w:left="669"/>
              <w:rPr>
                <w:sz w:val="16"/>
              </w:rPr>
            </w:pPr>
            <w:r>
              <w:rPr>
                <w:color w:val="404040"/>
                <w:sz w:val="16"/>
              </w:rPr>
              <w:t>23%</w:t>
            </w:r>
          </w:p>
        </w:tc>
        <w:tc>
          <w:tcPr>
            <w:tcW w:w="1575" w:type="dxa"/>
            <w:tcBorders>
              <w:bottom w:val="single" w:sz="4" w:space="0" w:color="DF2528"/>
            </w:tcBorders>
          </w:tcPr>
          <w:p>
            <w:pPr>
              <w:pStyle w:val="TableParagraph"/>
              <w:ind w:left="466" w:right="486"/>
              <w:jc w:val="center"/>
              <w:rPr>
                <w:sz w:val="16"/>
              </w:rPr>
            </w:pPr>
            <w:r>
              <w:rPr>
                <w:color w:val="404040"/>
                <w:sz w:val="16"/>
              </w:rPr>
              <w:t>224,000</w:t>
            </w:r>
          </w:p>
        </w:tc>
        <w:tc>
          <w:tcPr>
            <w:tcW w:w="1607" w:type="dxa"/>
            <w:tcBorders>
              <w:bottom w:val="single" w:sz="4" w:space="0" w:color="DF2528"/>
              <w:right w:val="single" w:sz="4" w:space="0" w:color="DF2F1E"/>
            </w:tcBorders>
          </w:tcPr>
          <w:p>
            <w:pPr>
              <w:pStyle w:val="TableParagraph"/>
              <w:ind w:left="580" w:right="568"/>
              <w:jc w:val="center"/>
              <w:rPr>
                <w:sz w:val="16"/>
              </w:rPr>
            </w:pPr>
            <w:r>
              <w:rPr>
                <w:color w:val="404040"/>
                <w:sz w:val="16"/>
              </w:rPr>
              <w:t>88%</w:t>
            </w:r>
          </w:p>
        </w:tc>
      </w:tr>
      <w:tr>
        <w:trPr>
          <w:trHeight w:val="262" w:hRule="atLeast"/>
        </w:trPr>
        <w:tc>
          <w:tcPr>
            <w:tcW w:w="3905" w:type="dxa"/>
            <w:tcBorders>
              <w:top w:val="single" w:sz="4" w:space="0" w:color="DF2528"/>
              <w:left w:val="single" w:sz="4" w:space="0" w:color="DF2F1E"/>
            </w:tcBorders>
          </w:tcPr>
          <w:p>
            <w:pPr>
              <w:pStyle w:val="TableParagraph"/>
              <w:spacing w:before="34"/>
              <w:ind w:left="107"/>
              <w:rPr>
                <w:b/>
                <w:sz w:val="16"/>
              </w:rPr>
            </w:pPr>
            <w:r>
              <w:rPr>
                <w:b/>
                <w:color w:val="404040"/>
                <w:sz w:val="16"/>
              </w:rPr>
              <w:t>Payments at valuation date</w:t>
            </w:r>
          </w:p>
        </w:tc>
        <w:tc>
          <w:tcPr>
            <w:tcW w:w="1037" w:type="dxa"/>
            <w:tcBorders>
              <w:top w:val="single" w:sz="4" w:space="0" w:color="DF2528"/>
            </w:tcBorders>
          </w:tcPr>
          <w:p>
            <w:pPr>
              <w:pStyle w:val="TableParagraph"/>
              <w:spacing w:before="0"/>
              <w:rPr>
                <w:rFonts w:ascii="Times New Roman"/>
                <w:sz w:val="16"/>
              </w:rPr>
            </w:pPr>
          </w:p>
        </w:tc>
        <w:tc>
          <w:tcPr>
            <w:tcW w:w="1658" w:type="dxa"/>
            <w:tcBorders>
              <w:top w:val="single" w:sz="4" w:space="0" w:color="DF2528"/>
            </w:tcBorders>
          </w:tcPr>
          <w:p>
            <w:pPr>
              <w:pStyle w:val="TableParagraph"/>
              <w:spacing w:before="0"/>
              <w:rPr>
                <w:rFonts w:ascii="Times New Roman"/>
                <w:sz w:val="16"/>
              </w:rPr>
            </w:pPr>
          </w:p>
        </w:tc>
        <w:tc>
          <w:tcPr>
            <w:tcW w:w="1575" w:type="dxa"/>
            <w:tcBorders>
              <w:top w:val="single" w:sz="4" w:space="0" w:color="DF2528"/>
            </w:tcBorders>
          </w:tcPr>
          <w:p>
            <w:pPr>
              <w:pStyle w:val="TableParagraph"/>
              <w:spacing w:before="0"/>
              <w:rPr>
                <w:rFonts w:ascii="Times New Roman"/>
                <w:sz w:val="16"/>
              </w:rPr>
            </w:pPr>
          </w:p>
        </w:tc>
        <w:tc>
          <w:tcPr>
            <w:tcW w:w="1607" w:type="dxa"/>
            <w:tcBorders>
              <w:top w:val="single" w:sz="4" w:space="0" w:color="DF2528"/>
              <w:right w:val="single" w:sz="4" w:space="0" w:color="DF2F1E"/>
            </w:tcBorders>
          </w:tcPr>
          <w:p>
            <w:pPr>
              <w:pStyle w:val="TableParagraph"/>
              <w:spacing w:before="0"/>
              <w:rPr>
                <w:rFonts w:ascii="Times New Roman"/>
                <w:sz w:val="16"/>
              </w:rPr>
            </w:pPr>
          </w:p>
        </w:tc>
      </w:tr>
      <w:tr>
        <w:trPr>
          <w:trHeight w:val="265" w:hRule="atLeast"/>
        </w:trPr>
        <w:tc>
          <w:tcPr>
            <w:tcW w:w="3905" w:type="dxa"/>
            <w:tcBorders>
              <w:left w:val="single" w:sz="4" w:space="0" w:color="DF2F1E"/>
            </w:tcBorders>
          </w:tcPr>
          <w:p>
            <w:pPr>
              <w:pStyle w:val="TableParagraph"/>
              <w:spacing w:before="39"/>
              <w:ind w:left="287"/>
              <w:rPr>
                <w:b/>
                <w:i/>
                <w:sz w:val="16"/>
              </w:rPr>
            </w:pPr>
            <w:r>
              <w:rPr>
                <w:b/>
                <w:i/>
                <w:color w:val="404040"/>
                <w:sz w:val="16"/>
              </w:rPr>
              <w:t>- In receipt of payments at valuation date</w:t>
            </w:r>
          </w:p>
        </w:tc>
        <w:tc>
          <w:tcPr>
            <w:tcW w:w="1037" w:type="dxa"/>
          </w:tcPr>
          <w:p>
            <w:pPr>
              <w:pStyle w:val="TableParagraph"/>
              <w:spacing w:before="39"/>
              <w:ind w:right="250"/>
              <w:jc w:val="right"/>
              <w:rPr>
                <w:sz w:val="16"/>
              </w:rPr>
            </w:pPr>
            <w:r>
              <w:rPr>
                <w:color w:val="404040"/>
                <w:sz w:val="16"/>
              </w:rPr>
              <w:t>182,000</w:t>
            </w:r>
          </w:p>
        </w:tc>
        <w:tc>
          <w:tcPr>
            <w:tcW w:w="1658" w:type="dxa"/>
          </w:tcPr>
          <w:p>
            <w:pPr>
              <w:pStyle w:val="TableParagraph"/>
              <w:spacing w:before="39"/>
              <w:ind w:left="669"/>
              <w:rPr>
                <w:sz w:val="16"/>
              </w:rPr>
            </w:pPr>
            <w:r>
              <w:rPr>
                <w:color w:val="404040"/>
                <w:sz w:val="16"/>
              </w:rPr>
              <w:t>65%</w:t>
            </w:r>
          </w:p>
        </w:tc>
        <w:tc>
          <w:tcPr>
            <w:tcW w:w="1575" w:type="dxa"/>
          </w:tcPr>
          <w:p>
            <w:pPr>
              <w:pStyle w:val="TableParagraph"/>
              <w:spacing w:before="39"/>
              <w:ind w:left="466" w:right="486"/>
              <w:jc w:val="center"/>
              <w:rPr>
                <w:sz w:val="16"/>
              </w:rPr>
            </w:pPr>
            <w:r>
              <w:rPr>
                <w:color w:val="404040"/>
                <w:sz w:val="16"/>
              </w:rPr>
              <w:t>263,000</w:t>
            </w:r>
          </w:p>
        </w:tc>
        <w:tc>
          <w:tcPr>
            <w:tcW w:w="1607" w:type="dxa"/>
            <w:tcBorders>
              <w:right w:val="single" w:sz="4" w:space="0" w:color="DF2F1E"/>
            </w:tcBorders>
          </w:tcPr>
          <w:p>
            <w:pPr>
              <w:pStyle w:val="TableParagraph"/>
              <w:spacing w:before="39"/>
              <w:ind w:left="580" w:right="571"/>
              <w:jc w:val="center"/>
              <w:rPr>
                <w:sz w:val="16"/>
              </w:rPr>
            </w:pPr>
            <w:r>
              <w:rPr>
                <w:color w:val="404040"/>
                <w:sz w:val="16"/>
              </w:rPr>
              <w:t>103%</w:t>
            </w:r>
          </w:p>
        </w:tc>
      </w:tr>
      <w:tr>
        <w:trPr>
          <w:trHeight w:val="264" w:hRule="atLeast"/>
        </w:trPr>
        <w:tc>
          <w:tcPr>
            <w:tcW w:w="3905" w:type="dxa"/>
            <w:tcBorders>
              <w:left w:val="single" w:sz="4" w:space="0" w:color="DF2F1E"/>
              <w:bottom w:val="single" w:sz="4" w:space="0" w:color="DF2F1E"/>
            </w:tcBorders>
          </w:tcPr>
          <w:p>
            <w:pPr>
              <w:pStyle w:val="TableParagraph"/>
              <w:ind w:left="287"/>
              <w:rPr>
                <w:b/>
                <w:i/>
                <w:sz w:val="16"/>
              </w:rPr>
            </w:pPr>
            <w:r>
              <w:rPr>
                <w:b/>
                <w:i/>
                <w:color w:val="404040"/>
                <w:sz w:val="16"/>
              </w:rPr>
              <w:t>- Not in receipt of payments at valuation date</w:t>
            </w:r>
          </w:p>
        </w:tc>
        <w:tc>
          <w:tcPr>
            <w:tcW w:w="1037" w:type="dxa"/>
            <w:tcBorders>
              <w:bottom w:val="single" w:sz="4" w:space="0" w:color="DF2F1E"/>
            </w:tcBorders>
          </w:tcPr>
          <w:p>
            <w:pPr>
              <w:pStyle w:val="TableParagraph"/>
              <w:ind w:right="293"/>
              <w:jc w:val="right"/>
              <w:rPr>
                <w:sz w:val="16"/>
              </w:rPr>
            </w:pPr>
            <w:r>
              <w:rPr>
                <w:color w:val="404040"/>
                <w:sz w:val="16"/>
              </w:rPr>
              <w:t>96,000</w:t>
            </w:r>
          </w:p>
        </w:tc>
        <w:tc>
          <w:tcPr>
            <w:tcW w:w="1658" w:type="dxa"/>
            <w:tcBorders>
              <w:bottom w:val="single" w:sz="4" w:space="0" w:color="DF2F1E"/>
            </w:tcBorders>
          </w:tcPr>
          <w:p>
            <w:pPr>
              <w:pStyle w:val="TableParagraph"/>
              <w:ind w:left="669"/>
              <w:rPr>
                <w:sz w:val="16"/>
              </w:rPr>
            </w:pPr>
            <w:r>
              <w:rPr>
                <w:color w:val="404040"/>
                <w:sz w:val="16"/>
              </w:rPr>
              <w:t>35%</w:t>
            </w:r>
          </w:p>
        </w:tc>
        <w:tc>
          <w:tcPr>
            <w:tcW w:w="1575" w:type="dxa"/>
            <w:tcBorders>
              <w:bottom w:val="single" w:sz="4" w:space="0" w:color="DF2F1E"/>
            </w:tcBorders>
          </w:tcPr>
          <w:p>
            <w:pPr>
              <w:pStyle w:val="TableParagraph"/>
              <w:ind w:left="466" w:right="486"/>
              <w:jc w:val="center"/>
              <w:rPr>
                <w:sz w:val="16"/>
              </w:rPr>
            </w:pPr>
            <w:r>
              <w:rPr>
                <w:color w:val="404040"/>
                <w:sz w:val="16"/>
              </w:rPr>
              <w:t>238,000</w:t>
            </w:r>
          </w:p>
        </w:tc>
        <w:tc>
          <w:tcPr>
            <w:tcW w:w="1607" w:type="dxa"/>
            <w:tcBorders>
              <w:bottom w:val="single" w:sz="4" w:space="0" w:color="DF2F1E"/>
              <w:right w:val="single" w:sz="4" w:space="0" w:color="DF2F1E"/>
            </w:tcBorders>
          </w:tcPr>
          <w:p>
            <w:pPr>
              <w:pStyle w:val="TableParagraph"/>
              <w:ind w:left="580" w:right="568"/>
              <w:jc w:val="center"/>
              <w:rPr>
                <w:sz w:val="16"/>
              </w:rPr>
            </w:pPr>
            <w:r>
              <w:rPr>
                <w:color w:val="404040"/>
                <w:sz w:val="16"/>
              </w:rPr>
              <w:t>94%</w:t>
            </w:r>
          </w:p>
        </w:tc>
      </w:tr>
    </w:tbl>
    <w:p>
      <w:pPr>
        <w:pStyle w:val="BodyText"/>
        <w:spacing w:before="119"/>
        <w:ind w:left="900"/>
      </w:pPr>
      <w:r>
        <w:rPr>
          <w:color w:val="404040"/>
        </w:rPr>
        <w:t>From the table, we can see that for the current cohort of 18 to 25 year old studying payment recipients:</w:t>
      </w:r>
    </w:p>
    <w:p>
      <w:pPr>
        <w:pStyle w:val="ListParagraph"/>
        <w:numPr>
          <w:ilvl w:val="0"/>
          <w:numId w:val="39"/>
        </w:numPr>
        <w:tabs>
          <w:tab w:pos="1184" w:val="left" w:leader="none"/>
        </w:tabs>
        <w:spacing w:line="240" w:lineRule="auto" w:before="119" w:after="0"/>
        <w:ind w:left="1182" w:right="1275" w:hanging="284"/>
        <w:jc w:val="left"/>
        <w:rPr>
          <w:rFonts w:ascii="Symbol" w:hAnsi="Symbol"/>
          <w:sz w:val="20"/>
        </w:rPr>
      </w:pPr>
      <w:r>
        <w:rPr>
          <w:color w:val="404040"/>
          <w:sz w:val="20"/>
        </w:rPr>
        <w:t>As would be expected, people currently living in areas with the lowest 20% socio-economic area grouping (which have the highest level of socio-economic disadvantage), have higher lifetime costs on</w:t>
      </w:r>
      <w:r>
        <w:rPr>
          <w:color w:val="404040"/>
          <w:spacing w:val="-32"/>
          <w:sz w:val="20"/>
        </w:rPr>
        <w:t> </w:t>
      </w:r>
      <w:r>
        <w:rPr>
          <w:color w:val="404040"/>
          <w:sz w:val="20"/>
        </w:rPr>
        <w:t>average.</w:t>
      </w:r>
    </w:p>
    <w:p>
      <w:pPr>
        <w:pStyle w:val="ListParagraph"/>
        <w:numPr>
          <w:ilvl w:val="0"/>
          <w:numId w:val="39"/>
        </w:numPr>
        <w:tabs>
          <w:tab w:pos="1183" w:val="left" w:leader="none"/>
        </w:tabs>
        <w:spacing w:line="240" w:lineRule="auto" w:before="118" w:after="0"/>
        <w:ind w:left="1182" w:right="1265" w:hanging="284"/>
        <w:jc w:val="left"/>
        <w:rPr>
          <w:rFonts w:ascii="Symbol" w:hAnsi="Symbol"/>
          <w:sz w:val="20"/>
        </w:rPr>
      </w:pPr>
      <w:r>
        <w:rPr>
          <w:color w:val="404040"/>
          <w:spacing w:val="3"/>
          <w:sz w:val="20"/>
        </w:rPr>
        <w:t>We</w:t>
      </w:r>
      <w:r>
        <w:rPr>
          <w:color w:val="404040"/>
          <w:spacing w:val="-7"/>
          <w:sz w:val="20"/>
        </w:rPr>
        <w:t> </w:t>
      </w:r>
      <w:r>
        <w:rPr>
          <w:color w:val="404040"/>
          <w:sz w:val="20"/>
        </w:rPr>
        <w:t>can</w:t>
      </w:r>
      <w:r>
        <w:rPr>
          <w:color w:val="404040"/>
          <w:spacing w:val="-4"/>
          <w:sz w:val="20"/>
        </w:rPr>
        <w:t> </w:t>
      </w:r>
      <w:r>
        <w:rPr>
          <w:color w:val="404040"/>
          <w:sz w:val="20"/>
        </w:rPr>
        <w:t>also</w:t>
      </w:r>
      <w:r>
        <w:rPr>
          <w:color w:val="404040"/>
          <w:spacing w:val="-4"/>
          <w:sz w:val="20"/>
        </w:rPr>
        <w:t> </w:t>
      </w:r>
      <w:r>
        <w:rPr>
          <w:color w:val="404040"/>
          <w:sz w:val="20"/>
        </w:rPr>
        <w:t>see</w:t>
      </w:r>
      <w:r>
        <w:rPr>
          <w:color w:val="404040"/>
          <w:spacing w:val="-4"/>
          <w:sz w:val="20"/>
        </w:rPr>
        <w:t> </w:t>
      </w:r>
      <w:r>
        <w:rPr>
          <w:color w:val="404040"/>
          <w:sz w:val="20"/>
        </w:rPr>
        <w:t>that</w:t>
      </w:r>
      <w:r>
        <w:rPr>
          <w:color w:val="404040"/>
          <w:spacing w:val="-2"/>
          <w:sz w:val="20"/>
        </w:rPr>
        <w:t> </w:t>
      </w:r>
      <w:r>
        <w:rPr>
          <w:color w:val="404040"/>
          <w:sz w:val="20"/>
        </w:rPr>
        <w:t>being</w:t>
      </w:r>
      <w:r>
        <w:rPr>
          <w:color w:val="404040"/>
          <w:spacing w:val="-2"/>
          <w:sz w:val="20"/>
        </w:rPr>
        <w:t> </w:t>
      </w:r>
      <w:r>
        <w:rPr>
          <w:color w:val="404040"/>
          <w:sz w:val="20"/>
        </w:rPr>
        <w:t>in</w:t>
      </w:r>
      <w:r>
        <w:rPr>
          <w:color w:val="404040"/>
          <w:spacing w:val="-4"/>
          <w:sz w:val="20"/>
        </w:rPr>
        <w:t> </w:t>
      </w:r>
      <w:r>
        <w:rPr>
          <w:color w:val="404040"/>
          <w:sz w:val="20"/>
        </w:rPr>
        <w:t>receipt</w:t>
      </w:r>
      <w:r>
        <w:rPr>
          <w:color w:val="404040"/>
          <w:spacing w:val="-2"/>
          <w:sz w:val="20"/>
        </w:rPr>
        <w:t> </w:t>
      </w:r>
      <w:r>
        <w:rPr>
          <w:color w:val="404040"/>
          <w:sz w:val="20"/>
        </w:rPr>
        <w:t>of</w:t>
      </w:r>
      <w:r>
        <w:rPr>
          <w:color w:val="404040"/>
          <w:spacing w:val="-2"/>
          <w:sz w:val="20"/>
        </w:rPr>
        <w:t> </w:t>
      </w:r>
      <w:r>
        <w:rPr>
          <w:color w:val="404040"/>
          <w:sz w:val="20"/>
        </w:rPr>
        <w:t>payments</w:t>
      </w:r>
      <w:r>
        <w:rPr>
          <w:color w:val="404040"/>
          <w:spacing w:val="-3"/>
          <w:sz w:val="20"/>
        </w:rPr>
        <w:t> </w:t>
      </w:r>
      <w:r>
        <w:rPr>
          <w:color w:val="404040"/>
          <w:sz w:val="20"/>
        </w:rPr>
        <w:t>at</w:t>
      </w:r>
      <w:r>
        <w:rPr>
          <w:color w:val="404040"/>
          <w:spacing w:val="-4"/>
          <w:sz w:val="20"/>
        </w:rPr>
        <w:t> </w:t>
      </w:r>
      <w:r>
        <w:rPr>
          <w:color w:val="404040"/>
          <w:sz w:val="20"/>
        </w:rPr>
        <w:t>the</w:t>
      </w:r>
      <w:r>
        <w:rPr>
          <w:color w:val="404040"/>
          <w:spacing w:val="-2"/>
          <w:sz w:val="20"/>
        </w:rPr>
        <w:t> </w:t>
      </w:r>
      <w:r>
        <w:rPr>
          <w:color w:val="404040"/>
          <w:sz w:val="20"/>
        </w:rPr>
        <w:t>valuation</w:t>
      </w:r>
      <w:r>
        <w:rPr>
          <w:color w:val="404040"/>
          <w:spacing w:val="-3"/>
          <w:sz w:val="20"/>
        </w:rPr>
        <w:t> </w:t>
      </w:r>
      <w:r>
        <w:rPr>
          <w:color w:val="404040"/>
          <w:sz w:val="20"/>
        </w:rPr>
        <w:t>is</w:t>
      </w:r>
      <w:r>
        <w:rPr>
          <w:color w:val="404040"/>
          <w:spacing w:val="-3"/>
          <w:sz w:val="20"/>
        </w:rPr>
        <w:t> </w:t>
      </w:r>
      <w:r>
        <w:rPr>
          <w:color w:val="404040"/>
          <w:sz w:val="20"/>
        </w:rPr>
        <w:t>associated</w:t>
      </w:r>
      <w:r>
        <w:rPr>
          <w:color w:val="404040"/>
          <w:spacing w:val="1"/>
          <w:sz w:val="20"/>
        </w:rPr>
        <w:t> </w:t>
      </w:r>
      <w:r>
        <w:rPr>
          <w:color w:val="404040"/>
          <w:sz w:val="20"/>
        </w:rPr>
        <w:t>with</w:t>
      </w:r>
      <w:r>
        <w:rPr>
          <w:color w:val="404040"/>
          <w:spacing w:val="-2"/>
          <w:sz w:val="20"/>
        </w:rPr>
        <w:t> </w:t>
      </w:r>
      <w:r>
        <w:rPr>
          <w:color w:val="404040"/>
          <w:sz w:val="20"/>
        </w:rPr>
        <w:t>higher</w:t>
      </w:r>
      <w:r>
        <w:rPr>
          <w:color w:val="404040"/>
          <w:spacing w:val="-1"/>
          <w:sz w:val="20"/>
        </w:rPr>
        <w:t> </w:t>
      </w:r>
      <w:r>
        <w:rPr>
          <w:color w:val="404040"/>
          <w:sz w:val="20"/>
        </w:rPr>
        <w:t>lifetime</w:t>
      </w:r>
      <w:r>
        <w:rPr>
          <w:color w:val="404040"/>
          <w:spacing w:val="-4"/>
          <w:sz w:val="20"/>
        </w:rPr>
        <w:t> </w:t>
      </w:r>
      <w:r>
        <w:rPr>
          <w:color w:val="404040"/>
          <w:sz w:val="20"/>
        </w:rPr>
        <w:t>costs, again as would be</w:t>
      </w:r>
      <w:r>
        <w:rPr>
          <w:color w:val="404040"/>
          <w:spacing w:val="-1"/>
          <w:sz w:val="20"/>
        </w:rPr>
        <w:t> </w:t>
      </w:r>
      <w:r>
        <w:rPr>
          <w:color w:val="404040"/>
          <w:sz w:val="20"/>
        </w:rPr>
        <w:t>expected.</w:t>
      </w:r>
    </w:p>
    <w:p>
      <w:pPr>
        <w:pStyle w:val="ListParagraph"/>
        <w:numPr>
          <w:ilvl w:val="0"/>
          <w:numId w:val="39"/>
        </w:numPr>
        <w:tabs>
          <w:tab w:pos="1183" w:val="left" w:leader="none"/>
        </w:tabs>
        <w:spacing w:line="240" w:lineRule="auto" w:before="118" w:after="0"/>
        <w:ind w:left="1182" w:right="1065" w:hanging="284"/>
        <w:jc w:val="left"/>
        <w:rPr>
          <w:rFonts w:ascii="Symbol" w:hAnsi="Symbol"/>
          <w:sz w:val="20"/>
        </w:rPr>
      </w:pPr>
      <w:r>
        <w:rPr>
          <w:color w:val="404040"/>
          <w:sz w:val="20"/>
        </w:rPr>
        <w:t>Those receiving ABSTUDY payments have noticeably higher average lifetime costs than the other people in their cohort. This reflects that this group of Indigenous Australians are more likely to stay within the welfare system in the</w:t>
      </w:r>
      <w:r>
        <w:rPr>
          <w:color w:val="404040"/>
          <w:spacing w:val="1"/>
          <w:sz w:val="20"/>
        </w:rPr>
        <w:t> </w:t>
      </w:r>
      <w:r>
        <w:rPr>
          <w:color w:val="404040"/>
          <w:sz w:val="20"/>
        </w:rPr>
        <w:t>future.</w:t>
      </w:r>
    </w:p>
    <w:p>
      <w:pPr>
        <w:pStyle w:val="ListParagraph"/>
        <w:numPr>
          <w:ilvl w:val="0"/>
          <w:numId w:val="39"/>
        </w:numPr>
        <w:tabs>
          <w:tab w:pos="1183" w:val="left" w:leader="none"/>
        </w:tabs>
        <w:spacing w:line="240" w:lineRule="auto" w:before="118" w:after="0"/>
        <w:ind w:left="1182" w:right="1165" w:hanging="284"/>
        <w:jc w:val="left"/>
        <w:rPr>
          <w:rFonts w:ascii="Symbol" w:hAnsi="Symbol"/>
          <w:sz w:val="20"/>
        </w:rPr>
      </w:pPr>
      <w:r>
        <w:rPr>
          <w:color w:val="404040"/>
          <w:sz w:val="20"/>
        </w:rPr>
        <w:t>Those in the school or VET education sectors tend to have greater welfare dependency going forward than those currently in higher education which is reflected by their higher average lifetime</w:t>
      </w:r>
      <w:r>
        <w:rPr>
          <w:color w:val="404040"/>
          <w:spacing w:val="-17"/>
          <w:sz w:val="20"/>
        </w:rPr>
        <w:t> </w:t>
      </w:r>
      <w:r>
        <w:rPr>
          <w:color w:val="404040"/>
          <w:sz w:val="20"/>
        </w:rPr>
        <w:t>costs.</w:t>
      </w:r>
    </w:p>
    <w:p>
      <w:pPr>
        <w:spacing w:after="0" w:line="240" w:lineRule="auto"/>
        <w:jc w:val="left"/>
        <w:rPr>
          <w:rFonts w:ascii="Symbol" w:hAnsi="Symbol"/>
          <w:sz w:val="20"/>
        </w:rPr>
        <w:sectPr>
          <w:pgSz w:w="11910" w:h="16850"/>
          <w:pgMar w:header="572" w:footer="581" w:top="780" w:bottom="780" w:left="120" w:right="0"/>
        </w:sectPr>
      </w:pPr>
    </w:p>
    <w:p>
      <w:pPr>
        <w:pStyle w:val="BodyText"/>
      </w:pPr>
    </w:p>
    <w:p>
      <w:pPr>
        <w:pStyle w:val="BodyText"/>
      </w:pPr>
    </w:p>
    <w:p>
      <w:pPr>
        <w:pStyle w:val="BodyText"/>
        <w:spacing w:before="2"/>
        <w:rPr>
          <w:sz w:val="21"/>
        </w:rPr>
      </w:pPr>
    </w:p>
    <w:p>
      <w:pPr>
        <w:pStyle w:val="ListParagraph"/>
        <w:numPr>
          <w:ilvl w:val="0"/>
          <w:numId w:val="39"/>
        </w:numPr>
        <w:tabs>
          <w:tab w:pos="1184" w:val="left" w:leader="none"/>
        </w:tabs>
        <w:spacing w:line="240" w:lineRule="auto" w:before="99" w:after="0"/>
        <w:ind w:left="1183" w:right="1188" w:hanging="284"/>
        <w:jc w:val="left"/>
        <w:rPr>
          <w:rFonts w:ascii="Symbol" w:hAnsi="Symbol"/>
          <w:sz w:val="20"/>
        </w:rPr>
      </w:pPr>
      <w:r>
        <w:rPr>
          <w:color w:val="404040"/>
          <w:sz w:val="20"/>
        </w:rPr>
        <w:t>Those</w:t>
      </w:r>
      <w:r>
        <w:rPr>
          <w:color w:val="404040"/>
          <w:spacing w:val="-4"/>
          <w:sz w:val="20"/>
        </w:rPr>
        <w:t> </w:t>
      </w:r>
      <w:r>
        <w:rPr>
          <w:color w:val="404040"/>
          <w:sz w:val="20"/>
        </w:rPr>
        <w:t>with</w:t>
      </w:r>
      <w:r>
        <w:rPr>
          <w:color w:val="404040"/>
          <w:spacing w:val="-4"/>
          <w:sz w:val="20"/>
        </w:rPr>
        <w:t> </w:t>
      </w:r>
      <w:r>
        <w:rPr>
          <w:color w:val="404040"/>
          <w:sz w:val="20"/>
        </w:rPr>
        <w:t>higher</w:t>
      </w:r>
      <w:r>
        <w:rPr>
          <w:color w:val="404040"/>
          <w:spacing w:val="-3"/>
          <w:sz w:val="20"/>
        </w:rPr>
        <w:t> </w:t>
      </w:r>
      <w:r>
        <w:rPr>
          <w:color w:val="404040"/>
          <w:sz w:val="20"/>
        </w:rPr>
        <w:t>levels of</w:t>
      </w:r>
      <w:r>
        <w:rPr>
          <w:color w:val="404040"/>
          <w:spacing w:val="-2"/>
          <w:sz w:val="20"/>
        </w:rPr>
        <w:t> </w:t>
      </w:r>
      <w:r>
        <w:rPr>
          <w:color w:val="404040"/>
          <w:sz w:val="20"/>
        </w:rPr>
        <w:t>parental</w:t>
      </w:r>
      <w:r>
        <w:rPr>
          <w:color w:val="404040"/>
          <w:spacing w:val="-3"/>
          <w:sz w:val="20"/>
        </w:rPr>
        <w:t> </w:t>
      </w:r>
      <w:r>
        <w:rPr>
          <w:color w:val="404040"/>
          <w:sz w:val="20"/>
        </w:rPr>
        <w:t>welfare</w:t>
      </w:r>
      <w:r>
        <w:rPr>
          <w:color w:val="404040"/>
          <w:spacing w:val="-4"/>
          <w:sz w:val="20"/>
        </w:rPr>
        <w:t> </w:t>
      </w:r>
      <w:r>
        <w:rPr>
          <w:color w:val="404040"/>
          <w:sz w:val="20"/>
        </w:rPr>
        <w:t>dependence</w:t>
      </w:r>
      <w:r>
        <w:rPr>
          <w:color w:val="404040"/>
          <w:spacing w:val="-4"/>
          <w:sz w:val="20"/>
        </w:rPr>
        <w:t> </w:t>
      </w:r>
      <w:r>
        <w:rPr>
          <w:color w:val="404040"/>
          <w:sz w:val="20"/>
        </w:rPr>
        <w:t>tend</w:t>
      </w:r>
      <w:r>
        <w:rPr>
          <w:color w:val="404040"/>
          <w:spacing w:val="-2"/>
          <w:sz w:val="20"/>
        </w:rPr>
        <w:t> </w:t>
      </w:r>
      <w:r>
        <w:rPr>
          <w:color w:val="404040"/>
          <w:sz w:val="20"/>
        </w:rPr>
        <w:t>to</w:t>
      </w:r>
      <w:r>
        <w:rPr>
          <w:color w:val="404040"/>
          <w:spacing w:val="-2"/>
          <w:sz w:val="20"/>
        </w:rPr>
        <w:t> </w:t>
      </w:r>
      <w:r>
        <w:rPr>
          <w:color w:val="404040"/>
          <w:sz w:val="20"/>
        </w:rPr>
        <w:t>have</w:t>
      </w:r>
      <w:r>
        <w:rPr>
          <w:color w:val="404040"/>
          <w:spacing w:val="-4"/>
          <w:sz w:val="20"/>
        </w:rPr>
        <w:t> </w:t>
      </w:r>
      <w:r>
        <w:rPr>
          <w:color w:val="404040"/>
          <w:sz w:val="20"/>
        </w:rPr>
        <w:t>higher</w:t>
      </w:r>
      <w:r>
        <w:rPr>
          <w:color w:val="404040"/>
          <w:spacing w:val="-3"/>
          <w:sz w:val="20"/>
        </w:rPr>
        <w:t> </w:t>
      </w:r>
      <w:r>
        <w:rPr>
          <w:color w:val="404040"/>
          <w:sz w:val="20"/>
        </w:rPr>
        <w:t>levels</w:t>
      </w:r>
      <w:r>
        <w:rPr>
          <w:color w:val="404040"/>
          <w:spacing w:val="-3"/>
          <w:sz w:val="20"/>
        </w:rPr>
        <w:t> </w:t>
      </w:r>
      <w:r>
        <w:rPr>
          <w:color w:val="404040"/>
          <w:sz w:val="20"/>
        </w:rPr>
        <w:t>of</w:t>
      </w:r>
      <w:r>
        <w:rPr>
          <w:color w:val="404040"/>
          <w:spacing w:val="-1"/>
          <w:sz w:val="20"/>
        </w:rPr>
        <w:t> </w:t>
      </w:r>
      <w:r>
        <w:rPr>
          <w:color w:val="404040"/>
          <w:sz w:val="20"/>
        </w:rPr>
        <w:t>welfare</w:t>
      </w:r>
      <w:r>
        <w:rPr>
          <w:color w:val="404040"/>
          <w:spacing w:val="-4"/>
          <w:sz w:val="20"/>
        </w:rPr>
        <w:t> </w:t>
      </w:r>
      <w:r>
        <w:rPr>
          <w:color w:val="404040"/>
          <w:sz w:val="20"/>
        </w:rPr>
        <w:t>dependence in their own</w:t>
      </w:r>
      <w:r>
        <w:rPr>
          <w:color w:val="404040"/>
          <w:spacing w:val="-1"/>
          <w:sz w:val="20"/>
        </w:rPr>
        <w:t> </w:t>
      </w:r>
      <w:r>
        <w:rPr>
          <w:color w:val="404040"/>
          <w:sz w:val="20"/>
        </w:rPr>
        <w:t>right.</w:t>
      </w:r>
    </w:p>
    <w:p>
      <w:pPr>
        <w:pStyle w:val="BodyText"/>
        <w:spacing w:before="7"/>
      </w:pPr>
    </w:p>
    <w:p>
      <w:pPr>
        <w:pStyle w:val="Heading6"/>
        <w:rPr>
          <w:i/>
        </w:rPr>
      </w:pPr>
      <w:r>
        <w:rPr>
          <w:i/>
          <w:color w:val="DF2F1E"/>
        </w:rPr>
        <w:t>Change in lifetime costs since the 2017 valuation</w:t>
      </w:r>
    </w:p>
    <w:p>
      <w:pPr>
        <w:pStyle w:val="BodyText"/>
        <w:spacing w:before="121"/>
        <w:ind w:left="899" w:right="1042"/>
      </w:pPr>
      <w:r>
        <w:rPr>
          <w:color w:val="404040"/>
        </w:rPr>
        <w:t>The lifetime cost for the people in this class is $94bn and has reduced by $18bn compared to the rebased June 2017 valuation. This was driven by a reduction in both the number of people in this class and in the average payment size:</w:t>
      </w:r>
    </w:p>
    <w:p>
      <w:pPr>
        <w:pStyle w:val="ListParagraph"/>
        <w:numPr>
          <w:ilvl w:val="0"/>
          <w:numId w:val="39"/>
        </w:numPr>
        <w:tabs>
          <w:tab w:pos="1184" w:val="left" w:leader="none"/>
        </w:tabs>
        <w:spacing w:line="240" w:lineRule="auto" w:before="120" w:after="0"/>
        <w:ind w:left="1182" w:right="1328" w:hanging="284"/>
        <w:jc w:val="left"/>
        <w:rPr>
          <w:rFonts w:ascii="Symbol" w:hAnsi="Symbol"/>
          <w:sz w:val="20"/>
        </w:rPr>
      </w:pPr>
      <w:r>
        <w:rPr>
          <w:color w:val="404040"/>
          <w:sz w:val="20"/>
        </w:rPr>
        <w:t>The number of people in this class has reduced due to higher exits than entries over the past year; these people exiting the Studying class generally moved to the Working Age class or out of the welfare</w:t>
      </w:r>
      <w:r>
        <w:rPr>
          <w:color w:val="404040"/>
          <w:spacing w:val="-38"/>
          <w:sz w:val="20"/>
        </w:rPr>
        <w:t> </w:t>
      </w:r>
      <w:r>
        <w:rPr>
          <w:color w:val="404040"/>
          <w:sz w:val="20"/>
        </w:rPr>
        <w:t>system.</w:t>
      </w:r>
    </w:p>
    <w:p>
      <w:pPr>
        <w:pStyle w:val="ListParagraph"/>
        <w:numPr>
          <w:ilvl w:val="0"/>
          <w:numId w:val="39"/>
        </w:numPr>
        <w:tabs>
          <w:tab w:pos="1183" w:val="left" w:leader="none"/>
        </w:tabs>
        <w:spacing w:line="240" w:lineRule="auto" w:before="118" w:after="0"/>
        <w:ind w:left="1182" w:right="1162" w:hanging="284"/>
        <w:jc w:val="left"/>
        <w:rPr>
          <w:rFonts w:ascii="Symbol" w:hAnsi="Symbol"/>
          <w:sz w:val="20"/>
        </w:rPr>
      </w:pPr>
      <w:r>
        <w:rPr>
          <w:color w:val="404040"/>
          <w:sz w:val="20"/>
        </w:rPr>
        <w:t>The average cost has decreased by $39,000 (12.4%) since the (rebased) previous valuation. The following table provides a breakdown of the change in average lifetime cost by grouped payment</w:t>
      </w:r>
      <w:r>
        <w:rPr>
          <w:color w:val="404040"/>
          <w:spacing w:val="-22"/>
          <w:sz w:val="20"/>
        </w:rPr>
        <w:t> </w:t>
      </w:r>
      <w:r>
        <w:rPr>
          <w:color w:val="404040"/>
          <w:sz w:val="20"/>
        </w:rPr>
        <w:t>category.</w:t>
      </w:r>
    </w:p>
    <w:p>
      <w:pPr>
        <w:pStyle w:val="Heading9"/>
        <w:spacing w:before="175" w:after="56"/>
        <w:ind w:left="899"/>
      </w:pPr>
      <w:r>
        <w:rPr>
          <w:color w:val="DF2F1E"/>
        </w:rPr>
        <w:t>Table 16: Breakdown of change in average lifetime cost for class 1 by payment category</w:t>
      </w:r>
    </w:p>
    <w:tbl>
      <w:tblPr>
        <w:tblW w:w="0" w:type="auto"/>
        <w:jc w:val="left"/>
        <w:tblInd w:w="1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20"/>
        <w:gridCol w:w="1272"/>
        <w:gridCol w:w="980"/>
        <w:gridCol w:w="1042"/>
        <w:gridCol w:w="959"/>
        <w:gridCol w:w="1207"/>
        <w:gridCol w:w="1204"/>
      </w:tblGrid>
      <w:tr>
        <w:trPr>
          <w:trHeight w:val="268" w:hRule="atLeast"/>
        </w:trPr>
        <w:tc>
          <w:tcPr>
            <w:tcW w:w="3120" w:type="dxa"/>
            <w:shd w:val="clear" w:color="auto" w:fill="DF2F1E"/>
          </w:tcPr>
          <w:p>
            <w:pPr>
              <w:pStyle w:val="TableParagraph"/>
              <w:spacing w:before="0"/>
              <w:rPr>
                <w:rFonts w:ascii="Times New Roman"/>
                <w:sz w:val="18"/>
              </w:rPr>
            </w:pPr>
          </w:p>
        </w:tc>
        <w:tc>
          <w:tcPr>
            <w:tcW w:w="1272" w:type="dxa"/>
            <w:shd w:val="clear" w:color="auto" w:fill="DF2F1E"/>
          </w:tcPr>
          <w:p>
            <w:pPr>
              <w:pStyle w:val="TableParagraph"/>
              <w:spacing w:before="0"/>
              <w:rPr>
                <w:rFonts w:ascii="Times New Roman"/>
                <w:sz w:val="18"/>
              </w:rPr>
            </w:pPr>
          </w:p>
        </w:tc>
        <w:tc>
          <w:tcPr>
            <w:tcW w:w="2981" w:type="dxa"/>
            <w:gridSpan w:val="3"/>
            <w:shd w:val="clear" w:color="auto" w:fill="DF2F1E"/>
          </w:tcPr>
          <w:p>
            <w:pPr>
              <w:pStyle w:val="TableParagraph"/>
              <w:spacing w:before="34"/>
              <w:ind w:left="1401" w:right="1387"/>
              <w:jc w:val="center"/>
              <w:rPr>
                <w:b/>
                <w:sz w:val="16"/>
              </w:rPr>
            </w:pPr>
            <w:r>
              <w:rPr>
                <w:b/>
                <w:color w:val="FFFFFF"/>
                <w:sz w:val="16"/>
              </w:rPr>
              <w:t>IS</w:t>
            </w:r>
          </w:p>
        </w:tc>
        <w:tc>
          <w:tcPr>
            <w:tcW w:w="1207" w:type="dxa"/>
            <w:shd w:val="clear" w:color="auto" w:fill="DF2F1E"/>
          </w:tcPr>
          <w:p>
            <w:pPr>
              <w:pStyle w:val="TableParagraph"/>
              <w:spacing w:before="34"/>
              <w:ind w:right="51"/>
              <w:jc w:val="right"/>
              <w:rPr>
                <w:b/>
                <w:sz w:val="16"/>
              </w:rPr>
            </w:pPr>
            <w:r>
              <w:rPr>
                <w:b/>
                <w:color w:val="FFFFFF"/>
                <w:sz w:val="16"/>
              </w:rPr>
              <w:t>Non</w:t>
            </w:r>
          </w:p>
        </w:tc>
        <w:tc>
          <w:tcPr>
            <w:tcW w:w="1204" w:type="dxa"/>
            <w:shd w:val="clear" w:color="auto" w:fill="DF2F1E"/>
          </w:tcPr>
          <w:p>
            <w:pPr>
              <w:pStyle w:val="TableParagraph"/>
              <w:spacing w:before="31"/>
              <w:ind w:left="59"/>
              <w:rPr>
                <w:b/>
                <w:sz w:val="10"/>
              </w:rPr>
            </w:pPr>
            <w:r>
              <w:rPr>
                <w:b/>
                <w:color w:val="FFFFFF"/>
                <w:sz w:val="16"/>
              </w:rPr>
              <w:t>IS</w:t>
            </w:r>
            <w:r>
              <w:rPr>
                <w:b/>
                <w:color w:val="FFFFFF"/>
                <w:position w:val="6"/>
                <w:sz w:val="10"/>
              </w:rPr>
              <w:t>1</w:t>
            </w:r>
          </w:p>
        </w:tc>
      </w:tr>
      <w:tr>
        <w:trPr>
          <w:trHeight w:val="642" w:hRule="atLeast"/>
        </w:trPr>
        <w:tc>
          <w:tcPr>
            <w:tcW w:w="3120" w:type="dxa"/>
            <w:shd w:val="clear" w:color="auto" w:fill="DF2F1E"/>
          </w:tcPr>
          <w:p>
            <w:pPr>
              <w:pStyle w:val="TableParagraph"/>
              <w:spacing w:before="0"/>
              <w:rPr>
                <w:rFonts w:ascii="Times New Roman"/>
                <w:sz w:val="18"/>
              </w:rPr>
            </w:pPr>
          </w:p>
        </w:tc>
        <w:tc>
          <w:tcPr>
            <w:tcW w:w="1272" w:type="dxa"/>
            <w:shd w:val="clear" w:color="auto" w:fill="DF2F1E"/>
          </w:tcPr>
          <w:p>
            <w:pPr>
              <w:pStyle w:val="TableParagraph"/>
              <w:spacing w:before="39"/>
              <w:ind w:left="430" w:right="419"/>
              <w:jc w:val="center"/>
              <w:rPr>
                <w:b/>
                <w:sz w:val="16"/>
              </w:rPr>
            </w:pPr>
            <w:r>
              <w:rPr>
                <w:b/>
                <w:color w:val="FFFFFF"/>
                <w:sz w:val="16"/>
              </w:rPr>
              <w:t>Total</w:t>
            </w:r>
          </w:p>
        </w:tc>
        <w:tc>
          <w:tcPr>
            <w:tcW w:w="980" w:type="dxa"/>
            <w:shd w:val="clear" w:color="auto" w:fill="DF2F1E"/>
          </w:tcPr>
          <w:p>
            <w:pPr>
              <w:pStyle w:val="TableParagraph"/>
              <w:spacing w:before="39"/>
              <w:ind w:left="142" w:right="112"/>
              <w:jc w:val="center"/>
              <w:rPr>
                <w:b/>
                <w:sz w:val="16"/>
              </w:rPr>
            </w:pPr>
            <w:r>
              <w:rPr>
                <w:b/>
                <w:color w:val="FFFFFF"/>
                <w:sz w:val="16"/>
              </w:rPr>
              <w:t>Studying</w:t>
            </w:r>
          </w:p>
        </w:tc>
        <w:tc>
          <w:tcPr>
            <w:tcW w:w="1042" w:type="dxa"/>
            <w:shd w:val="clear" w:color="auto" w:fill="DF2F1E"/>
          </w:tcPr>
          <w:p>
            <w:pPr>
              <w:pStyle w:val="TableParagraph"/>
              <w:spacing w:before="39"/>
              <w:ind w:left="140" w:right="145" w:hanging="1"/>
              <w:jc w:val="center"/>
              <w:rPr>
                <w:b/>
                <w:sz w:val="16"/>
              </w:rPr>
            </w:pPr>
            <w:r>
              <w:rPr>
                <w:b/>
                <w:color w:val="FFFFFF"/>
                <w:sz w:val="16"/>
              </w:rPr>
              <w:t>Other (excl. Age Pension)</w:t>
            </w:r>
          </w:p>
        </w:tc>
        <w:tc>
          <w:tcPr>
            <w:tcW w:w="959" w:type="dxa"/>
            <w:shd w:val="clear" w:color="auto" w:fill="DF2F1E"/>
          </w:tcPr>
          <w:p>
            <w:pPr>
              <w:pStyle w:val="TableParagraph"/>
              <w:spacing w:before="39"/>
              <w:ind w:left="154" w:right="162" w:firstLine="160"/>
              <w:rPr>
                <w:b/>
                <w:sz w:val="16"/>
              </w:rPr>
            </w:pPr>
            <w:r>
              <w:rPr>
                <w:b/>
                <w:color w:val="FFFFFF"/>
                <w:sz w:val="16"/>
              </w:rPr>
              <w:t>Age Pension</w:t>
            </w:r>
          </w:p>
        </w:tc>
        <w:tc>
          <w:tcPr>
            <w:tcW w:w="1207" w:type="dxa"/>
            <w:shd w:val="clear" w:color="auto" w:fill="DF2F1E"/>
          </w:tcPr>
          <w:p>
            <w:pPr>
              <w:pStyle w:val="TableParagraph"/>
              <w:spacing w:before="39"/>
              <w:ind w:left="105" w:right="77" w:firstLine="249"/>
              <w:rPr>
                <w:b/>
                <w:sz w:val="16"/>
              </w:rPr>
            </w:pPr>
            <w:r>
              <w:rPr>
                <w:b/>
                <w:color w:val="FFFFFF"/>
                <w:sz w:val="16"/>
              </w:rPr>
              <w:t>Family Supplements</w:t>
            </w:r>
          </w:p>
        </w:tc>
        <w:tc>
          <w:tcPr>
            <w:tcW w:w="1204" w:type="dxa"/>
            <w:shd w:val="clear" w:color="auto" w:fill="DF2F1E"/>
          </w:tcPr>
          <w:p>
            <w:pPr>
              <w:pStyle w:val="TableParagraph"/>
              <w:spacing w:before="39"/>
              <w:ind w:left="103" w:right="76" w:firstLine="288"/>
              <w:rPr>
                <w:b/>
                <w:sz w:val="16"/>
              </w:rPr>
            </w:pPr>
            <w:r>
              <w:rPr>
                <w:b/>
                <w:color w:val="FFFFFF"/>
                <w:sz w:val="16"/>
              </w:rPr>
              <w:t>Other Supplements</w:t>
            </w:r>
          </w:p>
        </w:tc>
      </w:tr>
      <w:tr>
        <w:trPr>
          <w:trHeight w:val="258" w:hRule="atLeast"/>
        </w:trPr>
        <w:tc>
          <w:tcPr>
            <w:tcW w:w="3120" w:type="dxa"/>
            <w:tcBorders>
              <w:top w:val="single" w:sz="4" w:space="0" w:color="DF2F1E"/>
              <w:left w:val="single" w:sz="4" w:space="0" w:color="DF2F1E"/>
              <w:bottom w:val="single" w:sz="4" w:space="0" w:color="DF2528"/>
              <w:right w:val="single" w:sz="4" w:space="0" w:color="DF2F1E"/>
            </w:tcBorders>
          </w:tcPr>
          <w:p>
            <w:pPr>
              <w:pStyle w:val="TableParagraph"/>
              <w:spacing w:before="29"/>
              <w:ind w:left="57"/>
              <w:rPr>
                <w:b/>
                <w:sz w:val="16"/>
              </w:rPr>
            </w:pPr>
            <w:r>
              <w:rPr>
                <w:b/>
                <w:color w:val="404040"/>
                <w:sz w:val="16"/>
              </w:rPr>
              <w:t>Jun-17 Total Lifetime Cost</w:t>
            </w:r>
          </w:p>
        </w:tc>
        <w:tc>
          <w:tcPr>
            <w:tcW w:w="1272" w:type="dxa"/>
            <w:tcBorders>
              <w:top w:val="single" w:sz="4" w:space="0" w:color="DF2F1E"/>
              <w:left w:val="single" w:sz="4" w:space="0" w:color="DF2F1E"/>
              <w:bottom w:val="single" w:sz="4" w:space="0" w:color="DF2528"/>
              <w:right w:val="single" w:sz="4" w:space="0" w:color="DF2F1E"/>
            </w:tcBorders>
          </w:tcPr>
          <w:p>
            <w:pPr>
              <w:pStyle w:val="TableParagraph"/>
              <w:spacing w:before="32"/>
              <w:ind w:left="36" w:right="25"/>
              <w:jc w:val="center"/>
              <w:rPr>
                <w:sz w:val="16"/>
              </w:rPr>
            </w:pPr>
            <w:r>
              <w:rPr>
                <w:color w:val="404040"/>
                <w:sz w:val="16"/>
              </w:rPr>
              <w:t>$79bn</w:t>
            </w:r>
          </w:p>
        </w:tc>
        <w:tc>
          <w:tcPr>
            <w:tcW w:w="5392" w:type="dxa"/>
            <w:gridSpan w:val="5"/>
            <w:vMerge w:val="restart"/>
            <w:tcBorders>
              <w:top w:val="single" w:sz="4" w:space="0" w:color="DF2F1E"/>
              <w:left w:val="single" w:sz="4" w:space="0" w:color="DF2F1E"/>
              <w:bottom w:val="single" w:sz="4" w:space="0" w:color="DF2F1E"/>
              <w:right w:val="single" w:sz="4" w:space="0" w:color="DF2F1E"/>
            </w:tcBorders>
            <w:shd w:val="clear" w:color="auto" w:fill="D9D9D9"/>
          </w:tcPr>
          <w:p>
            <w:pPr>
              <w:pStyle w:val="TableParagraph"/>
              <w:spacing w:before="0"/>
              <w:rPr>
                <w:rFonts w:ascii="Times New Roman"/>
                <w:sz w:val="18"/>
              </w:rPr>
            </w:pPr>
          </w:p>
        </w:tc>
      </w:tr>
      <w:tr>
        <w:trPr>
          <w:trHeight w:val="257" w:hRule="atLeast"/>
        </w:trPr>
        <w:tc>
          <w:tcPr>
            <w:tcW w:w="3120" w:type="dxa"/>
            <w:tcBorders>
              <w:top w:val="single" w:sz="4" w:space="0" w:color="DF2528"/>
              <w:left w:val="single" w:sz="4" w:space="0" w:color="DF2F1E"/>
              <w:right w:val="single" w:sz="4" w:space="0" w:color="DF2F1E"/>
            </w:tcBorders>
          </w:tcPr>
          <w:p>
            <w:pPr>
              <w:pStyle w:val="TableParagraph"/>
              <w:spacing w:before="31"/>
              <w:ind w:left="57"/>
              <w:rPr>
                <w:b/>
                <w:sz w:val="10"/>
              </w:rPr>
            </w:pPr>
            <w:r>
              <w:rPr>
                <w:b/>
                <w:color w:val="404040"/>
                <w:sz w:val="16"/>
              </w:rPr>
              <w:t>Jun-17 Total Lifetime Cost – rebased</w:t>
            </w:r>
            <w:r>
              <w:rPr>
                <w:b/>
                <w:color w:val="404040"/>
                <w:position w:val="6"/>
                <w:sz w:val="10"/>
              </w:rPr>
              <w:t>2</w:t>
            </w:r>
          </w:p>
        </w:tc>
        <w:tc>
          <w:tcPr>
            <w:tcW w:w="1272" w:type="dxa"/>
            <w:tcBorders>
              <w:top w:val="single" w:sz="4" w:space="0" w:color="DF2528"/>
              <w:left w:val="single" w:sz="4" w:space="0" w:color="DF2F1E"/>
              <w:right w:val="single" w:sz="4" w:space="0" w:color="DF2F1E"/>
            </w:tcBorders>
          </w:tcPr>
          <w:p>
            <w:pPr>
              <w:pStyle w:val="TableParagraph"/>
              <w:ind w:left="39" w:right="25"/>
              <w:jc w:val="center"/>
              <w:rPr>
                <w:sz w:val="16"/>
              </w:rPr>
            </w:pPr>
            <w:r>
              <w:rPr>
                <w:color w:val="404040"/>
                <w:sz w:val="16"/>
              </w:rPr>
              <w:t>$112bn</w:t>
            </w:r>
          </w:p>
        </w:tc>
        <w:tc>
          <w:tcPr>
            <w:tcW w:w="5392" w:type="dxa"/>
            <w:gridSpan w:val="5"/>
            <w:vMerge/>
            <w:tcBorders>
              <w:top w:val="nil"/>
              <w:left w:val="single" w:sz="4" w:space="0" w:color="DF2F1E"/>
              <w:bottom w:val="single" w:sz="4" w:space="0" w:color="DF2F1E"/>
              <w:right w:val="single" w:sz="4" w:space="0" w:color="DF2F1E"/>
            </w:tcBorders>
            <w:shd w:val="clear" w:color="auto" w:fill="D9D9D9"/>
          </w:tcPr>
          <w:p>
            <w:pPr>
              <w:rPr>
                <w:sz w:val="2"/>
                <w:szCs w:val="2"/>
              </w:rPr>
            </w:pPr>
          </w:p>
        </w:tc>
      </w:tr>
      <w:tr>
        <w:trPr>
          <w:trHeight w:val="260" w:hRule="atLeast"/>
        </w:trPr>
        <w:tc>
          <w:tcPr>
            <w:tcW w:w="3120" w:type="dxa"/>
            <w:tcBorders>
              <w:left w:val="single" w:sz="4" w:space="0" w:color="DF2F1E"/>
              <w:bottom w:val="single" w:sz="4" w:space="0" w:color="DF2F1E"/>
              <w:right w:val="single" w:sz="4" w:space="0" w:color="DF2F1E"/>
            </w:tcBorders>
          </w:tcPr>
          <w:p>
            <w:pPr>
              <w:pStyle w:val="TableParagraph"/>
              <w:spacing w:before="31"/>
              <w:ind w:left="57"/>
              <w:rPr>
                <w:b/>
                <w:sz w:val="16"/>
              </w:rPr>
            </w:pPr>
            <w:r>
              <w:rPr>
                <w:b/>
                <w:color w:val="404040"/>
                <w:sz w:val="16"/>
              </w:rPr>
              <w:t>Jun-18 Total Lifetime Cost</w:t>
            </w:r>
          </w:p>
        </w:tc>
        <w:tc>
          <w:tcPr>
            <w:tcW w:w="1272" w:type="dxa"/>
            <w:tcBorders>
              <w:left w:val="single" w:sz="4" w:space="0" w:color="DF2F1E"/>
              <w:bottom w:val="single" w:sz="4" w:space="0" w:color="DF2F1E"/>
              <w:right w:val="single" w:sz="4" w:space="0" w:color="DF2F1E"/>
            </w:tcBorders>
          </w:tcPr>
          <w:p>
            <w:pPr>
              <w:pStyle w:val="TableParagraph"/>
              <w:spacing w:before="34"/>
              <w:ind w:left="36" w:right="25"/>
              <w:jc w:val="center"/>
              <w:rPr>
                <w:sz w:val="16"/>
              </w:rPr>
            </w:pPr>
            <w:r>
              <w:rPr>
                <w:color w:val="404040"/>
                <w:sz w:val="16"/>
              </w:rPr>
              <w:t>$94bn</w:t>
            </w:r>
          </w:p>
        </w:tc>
        <w:tc>
          <w:tcPr>
            <w:tcW w:w="5392" w:type="dxa"/>
            <w:gridSpan w:val="5"/>
            <w:vMerge/>
            <w:tcBorders>
              <w:top w:val="nil"/>
              <w:left w:val="single" w:sz="4" w:space="0" w:color="DF2F1E"/>
              <w:bottom w:val="single" w:sz="4" w:space="0" w:color="DF2F1E"/>
              <w:right w:val="single" w:sz="4" w:space="0" w:color="DF2F1E"/>
            </w:tcBorders>
            <w:shd w:val="clear" w:color="auto" w:fill="D9D9D9"/>
          </w:tcPr>
          <w:p>
            <w:pPr>
              <w:rPr>
                <w:sz w:val="2"/>
                <w:szCs w:val="2"/>
              </w:rPr>
            </w:pPr>
          </w:p>
        </w:tc>
      </w:tr>
      <w:tr>
        <w:trPr>
          <w:trHeight w:val="263" w:hRule="atLeast"/>
        </w:trPr>
        <w:tc>
          <w:tcPr>
            <w:tcW w:w="3120" w:type="dxa"/>
            <w:tcBorders>
              <w:top w:val="single" w:sz="4" w:space="0" w:color="DF2F1E"/>
              <w:left w:val="single" w:sz="4" w:space="0" w:color="DF2F1E"/>
              <w:bottom w:val="single" w:sz="4" w:space="0" w:color="DF2F1E"/>
              <w:right w:val="single" w:sz="4" w:space="0" w:color="DF2F1E"/>
            </w:tcBorders>
          </w:tcPr>
          <w:p>
            <w:pPr>
              <w:pStyle w:val="TableParagraph"/>
              <w:spacing w:before="31"/>
              <w:ind w:left="57"/>
              <w:rPr>
                <w:b/>
                <w:sz w:val="10"/>
              </w:rPr>
            </w:pPr>
            <w:r>
              <w:rPr>
                <w:b/>
                <w:color w:val="404040"/>
                <w:sz w:val="16"/>
              </w:rPr>
              <w:t>Change in Total Lifetime Cost</w:t>
            </w:r>
            <w:r>
              <w:rPr>
                <w:b/>
                <w:color w:val="404040"/>
                <w:position w:val="6"/>
                <w:sz w:val="10"/>
              </w:rPr>
              <w:t>2</w:t>
            </w:r>
          </w:p>
        </w:tc>
        <w:tc>
          <w:tcPr>
            <w:tcW w:w="1272" w:type="dxa"/>
            <w:tcBorders>
              <w:top w:val="single" w:sz="4" w:space="0" w:color="DF2F1E"/>
              <w:left w:val="single" w:sz="4" w:space="0" w:color="DF2F1E"/>
              <w:bottom w:val="single" w:sz="4" w:space="0" w:color="DF2F1E"/>
              <w:right w:val="single" w:sz="4" w:space="0" w:color="DF2F1E"/>
            </w:tcBorders>
          </w:tcPr>
          <w:p>
            <w:pPr>
              <w:pStyle w:val="TableParagraph"/>
              <w:ind w:left="39" w:right="25"/>
              <w:jc w:val="center"/>
              <w:rPr>
                <w:sz w:val="16"/>
              </w:rPr>
            </w:pPr>
            <w:r>
              <w:rPr>
                <w:color w:val="404040"/>
                <w:sz w:val="16"/>
              </w:rPr>
              <w:t>-$18bn (-15.8%)</w:t>
            </w:r>
          </w:p>
        </w:tc>
        <w:tc>
          <w:tcPr>
            <w:tcW w:w="5392" w:type="dxa"/>
            <w:gridSpan w:val="5"/>
            <w:vMerge/>
            <w:tcBorders>
              <w:top w:val="nil"/>
              <w:left w:val="single" w:sz="4" w:space="0" w:color="DF2F1E"/>
              <w:bottom w:val="single" w:sz="4" w:space="0" w:color="DF2F1E"/>
              <w:right w:val="single" w:sz="4" w:space="0" w:color="DF2F1E"/>
            </w:tcBorders>
            <w:shd w:val="clear" w:color="auto" w:fill="D9D9D9"/>
          </w:tcPr>
          <w:p>
            <w:pPr>
              <w:rPr>
                <w:sz w:val="2"/>
                <w:szCs w:val="2"/>
              </w:rPr>
            </w:pPr>
          </w:p>
        </w:tc>
      </w:tr>
      <w:tr>
        <w:trPr>
          <w:trHeight w:val="263" w:hRule="atLeast"/>
        </w:trPr>
        <w:tc>
          <w:tcPr>
            <w:tcW w:w="3120" w:type="dxa"/>
            <w:tcBorders>
              <w:top w:val="single" w:sz="4" w:space="0" w:color="DF2F1E"/>
              <w:left w:val="single" w:sz="4" w:space="0" w:color="DF2F1E"/>
              <w:bottom w:val="single" w:sz="4" w:space="0" w:color="DF2F1E"/>
              <w:right w:val="single" w:sz="4" w:space="0" w:color="DF2F1E"/>
            </w:tcBorders>
          </w:tcPr>
          <w:p>
            <w:pPr>
              <w:pStyle w:val="TableParagraph"/>
              <w:spacing w:before="34"/>
              <w:ind w:left="57"/>
              <w:rPr>
                <w:b/>
                <w:sz w:val="16"/>
              </w:rPr>
            </w:pPr>
            <w:r>
              <w:rPr>
                <w:b/>
                <w:color w:val="404040"/>
                <w:sz w:val="16"/>
              </w:rPr>
              <w:t>Change due to People in Class</w:t>
            </w:r>
          </w:p>
        </w:tc>
        <w:tc>
          <w:tcPr>
            <w:tcW w:w="1272" w:type="dxa"/>
            <w:tcBorders>
              <w:top w:val="single" w:sz="4" w:space="0" w:color="DF2F1E"/>
              <w:left w:val="single" w:sz="4" w:space="0" w:color="DF2F1E"/>
              <w:bottom w:val="single" w:sz="4" w:space="0" w:color="DF2F1E"/>
              <w:right w:val="single" w:sz="4" w:space="0" w:color="DF2F1E"/>
            </w:tcBorders>
          </w:tcPr>
          <w:p>
            <w:pPr>
              <w:pStyle w:val="TableParagraph"/>
              <w:ind w:left="39" w:right="25"/>
              <w:jc w:val="center"/>
              <w:rPr>
                <w:sz w:val="16"/>
              </w:rPr>
            </w:pPr>
            <w:r>
              <w:rPr>
                <w:color w:val="404040"/>
                <w:sz w:val="16"/>
              </w:rPr>
              <w:t>-3.4%</w:t>
            </w:r>
          </w:p>
        </w:tc>
        <w:tc>
          <w:tcPr>
            <w:tcW w:w="5392" w:type="dxa"/>
            <w:gridSpan w:val="5"/>
            <w:vMerge/>
            <w:tcBorders>
              <w:top w:val="nil"/>
              <w:left w:val="single" w:sz="4" w:space="0" w:color="DF2F1E"/>
              <w:bottom w:val="single" w:sz="4" w:space="0" w:color="DF2F1E"/>
              <w:right w:val="single" w:sz="4" w:space="0" w:color="DF2F1E"/>
            </w:tcBorders>
            <w:shd w:val="clear" w:color="auto" w:fill="D9D9D9"/>
          </w:tcPr>
          <w:p>
            <w:pPr>
              <w:rPr>
                <w:sz w:val="2"/>
                <w:szCs w:val="2"/>
              </w:rPr>
            </w:pPr>
          </w:p>
        </w:tc>
      </w:tr>
      <w:tr>
        <w:trPr>
          <w:trHeight w:val="262" w:hRule="atLeast"/>
        </w:trPr>
        <w:tc>
          <w:tcPr>
            <w:tcW w:w="3120" w:type="dxa"/>
            <w:tcBorders>
              <w:top w:val="single" w:sz="4" w:space="0" w:color="DF2F1E"/>
              <w:left w:val="single" w:sz="4" w:space="0" w:color="DF2F1E"/>
              <w:right w:val="single" w:sz="4" w:space="0" w:color="DF2F1E"/>
            </w:tcBorders>
          </w:tcPr>
          <w:p>
            <w:pPr>
              <w:pStyle w:val="TableParagraph"/>
              <w:spacing w:before="31"/>
              <w:ind w:left="57"/>
              <w:rPr>
                <w:b/>
                <w:sz w:val="10"/>
              </w:rPr>
            </w:pPr>
            <w:r>
              <w:rPr>
                <w:b/>
                <w:color w:val="404040"/>
                <w:sz w:val="16"/>
              </w:rPr>
              <w:t>Change due to Average Lifetime Cost</w:t>
            </w:r>
            <w:r>
              <w:rPr>
                <w:b/>
                <w:color w:val="404040"/>
                <w:position w:val="6"/>
                <w:sz w:val="10"/>
              </w:rPr>
              <w:t>2</w:t>
            </w:r>
          </w:p>
        </w:tc>
        <w:tc>
          <w:tcPr>
            <w:tcW w:w="1272" w:type="dxa"/>
            <w:tcBorders>
              <w:top w:val="single" w:sz="4" w:space="0" w:color="DF2F1E"/>
              <w:left w:val="single" w:sz="4" w:space="0" w:color="DF2F1E"/>
              <w:right w:val="single" w:sz="4" w:space="0" w:color="DF2F1E"/>
            </w:tcBorders>
          </w:tcPr>
          <w:p>
            <w:pPr>
              <w:pStyle w:val="TableParagraph"/>
              <w:ind w:left="39" w:right="25"/>
              <w:jc w:val="center"/>
              <w:rPr>
                <w:sz w:val="16"/>
              </w:rPr>
            </w:pPr>
            <w:r>
              <w:rPr>
                <w:color w:val="404040"/>
                <w:sz w:val="16"/>
              </w:rPr>
              <w:t>-$39k (-12.4%)</w:t>
            </w:r>
          </w:p>
        </w:tc>
        <w:tc>
          <w:tcPr>
            <w:tcW w:w="980" w:type="dxa"/>
            <w:tcBorders>
              <w:top w:val="single" w:sz="4" w:space="0" w:color="DF2F1E"/>
              <w:left w:val="single" w:sz="4" w:space="0" w:color="DF2F1E"/>
            </w:tcBorders>
          </w:tcPr>
          <w:p>
            <w:pPr>
              <w:pStyle w:val="TableParagraph"/>
              <w:ind w:left="305" w:right="277"/>
              <w:jc w:val="center"/>
              <w:rPr>
                <w:sz w:val="16"/>
              </w:rPr>
            </w:pPr>
            <w:r>
              <w:rPr>
                <w:color w:val="A6A6A6"/>
                <w:sz w:val="16"/>
              </w:rPr>
              <w:t>&lt;$1k</w:t>
            </w:r>
          </w:p>
        </w:tc>
        <w:tc>
          <w:tcPr>
            <w:tcW w:w="1042" w:type="dxa"/>
            <w:tcBorders>
              <w:top w:val="single" w:sz="4" w:space="0" w:color="DF2F1E"/>
            </w:tcBorders>
          </w:tcPr>
          <w:p>
            <w:pPr>
              <w:pStyle w:val="TableParagraph"/>
              <w:ind w:left="296" w:right="305"/>
              <w:jc w:val="center"/>
              <w:rPr>
                <w:sz w:val="16"/>
              </w:rPr>
            </w:pPr>
            <w:r>
              <w:rPr>
                <w:color w:val="404040"/>
                <w:sz w:val="16"/>
              </w:rPr>
              <w:t>-$14k</w:t>
            </w:r>
          </w:p>
        </w:tc>
        <w:tc>
          <w:tcPr>
            <w:tcW w:w="959" w:type="dxa"/>
            <w:tcBorders>
              <w:top w:val="single" w:sz="4" w:space="0" w:color="DF2F1E"/>
              <w:right w:val="dashSmallGap" w:sz="4" w:space="0" w:color="DF2F1E"/>
            </w:tcBorders>
          </w:tcPr>
          <w:p>
            <w:pPr>
              <w:pStyle w:val="TableParagraph"/>
              <w:ind w:left="244" w:right="267"/>
              <w:jc w:val="center"/>
              <w:rPr>
                <w:sz w:val="16"/>
              </w:rPr>
            </w:pPr>
            <w:r>
              <w:rPr>
                <w:color w:val="404040"/>
                <w:sz w:val="16"/>
              </w:rPr>
              <w:t>-$19k</w:t>
            </w:r>
          </w:p>
        </w:tc>
        <w:tc>
          <w:tcPr>
            <w:tcW w:w="1207" w:type="dxa"/>
            <w:tcBorders>
              <w:top w:val="single" w:sz="4" w:space="0" w:color="DF2F1E"/>
              <w:left w:val="dashSmallGap" w:sz="4" w:space="0" w:color="DF2F1E"/>
            </w:tcBorders>
          </w:tcPr>
          <w:p>
            <w:pPr>
              <w:pStyle w:val="TableParagraph"/>
              <w:ind w:left="445"/>
              <w:rPr>
                <w:sz w:val="16"/>
              </w:rPr>
            </w:pPr>
            <w:r>
              <w:rPr>
                <w:color w:val="404040"/>
                <w:sz w:val="16"/>
              </w:rPr>
              <w:t>-$3k</w:t>
            </w:r>
          </w:p>
        </w:tc>
        <w:tc>
          <w:tcPr>
            <w:tcW w:w="1204" w:type="dxa"/>
            <w:tcBorders>
              <w:top w:val="single" w:sz="4" w:space="0" w:color="DF2F1E"/>
              <w:right w:val="single" w:sz="4" w:space="0" w:color="DF2F1E"/>
            </w:tcBorders>
          </w:tcPr>
          <w:p>
            <w:pPr>
              <w:pStyle w:val="TableParagraph"/>
              <w:ind w:right="438"/>
              <w:jc w:val="right"/>
              <w:rPr>
                <w:sz w:val="16"/>
              </w:rPr>
            </w:pPr>
            <w:r>
              <w:rPr>
                <w:color w:val="404040"/>
                <w:sz w:val="16"/>
              </w:rPr>
              <w:t>-$3k</w:t>
            </w:r>
          </w:p>
        </w:tc>
      </w:tr>
      <w:tr>
        <w:trPr>
          <w:trHeight w:val="263" w:hRule="atLeast"/>
        </w:trPr>
        <w:tc>
          <w:tcPr>
            <w:tcW w:w="3120" w:type="dxa"/>
            <w:tcBorders>
              <w:left w:val="single" w:sz="4" w:space="0" w:color="DF2F1E"/>
              <w:right w:val="single" w:sz="4" w:space="0" w:color="DF2F1E"/>
            </w:tcBorders>
          </w:tcPr>
          <w:p>
            <w:pPr>
              <w:pStyle w:val="TableParagraph"/>
              <w:spacing w:before="36"/>
              <w:ind w:left="57"/>
              <w:rPr>
                <w:b/>
                <w:sz w:val="16"/>
              </w:rPr>
            </w:pPr>
            <w:r>
              <w:rPr>
                <w:b/>
                <w:color w:val="404040"/>
                <w:sz w:val="16"/>
              </w:rPr>
              <w:t>- Impact of change in inflation</w:t>
            </w:r>
          </w:p>
        </w:tc>
        <w:tc>
          <w:tcPr>
            <w:tcW w:w="1272" w:type="dxa"/>
            <w:tcBorders>
              <w:left w:val="single" w:sz="4" w:space="0" w:color="DF2F1E"/>
              <w:right w:val="single" w:sz="4" w:space="0" w:color="DF2F1E"/>
            </w:tcBorders>
          </w:tcPr>
          <w:p>
            <w:pPr>
              <w:pStyle w:val="TableParagraph"/>
              <w:spacing w:before="39"/>
              <w:ind w:left="39" w:right="25"/>
              <w:jc w:val="center"/>
              <w:rPr>
                <w:sz w:val="16"/>
              </w:rPr>
            </w:pPr>
            <w:r>
              <w:rPr>
                <w:color w:val="404040"/>
                <w:sz w:val="16"/>
              </w:rPr>
              <w:t>+$7k</w:t>
            </w:r>
          </w:p>
        </w:tc>
        <w:tc>
          <w:tcPr>
            <w:tcW w:w="980" w:type="dxa"/>
            <w:tcBorders>
              <w:left w:val="single" w:sz="4" w:space="0" w:color="DF2F1E"/>
            </w:tcBorders>
          </w:tcPr>
          <w:p>
            <w:pPr>
              <w:pStyle w:val="TableParagraph"/>
              <w:spacing w:before="39"/>
              <w:ind w:left="305" w:right="277"/>
              <w:jc w:val="center"/>
              <w:rPr>
                <w:sz w:val="16"/>
              </w:rPr>
            </w:pPr>
            <w:r>
              <w:rPr>
                <w:color w:val="A6A6A6"/>
                <w:sz w:val="16"/>
              </w:rPr>
              <w:t>&lt;$1k</w:t>
            </w:r>
          </w:p>
        </w:tc>
        <w:tc>
          <w:tcPr>
            <w:tcW w:w="1042" w:type="dxa"/>
          </w:tcPr>
          <w:p>
            <w:pPr>
              <w:pStyle w:val="TableParagraph"/>
              <w:spacing w:before="39"/>
              <w:ind w:left="296" w:right="300"/>
              <w:jc w:val="center"/>
              <w:rPr>
                <w:sz w:val="16"/>
              </w:rPr>
            </w:pPr>
            <w:r>
              <w:rPr>
                <w:color w:val="404040"/>
                <w:sz w:val="16"/>
              </w:rPr>
              <w:t>+$2k</w:t>
            </w:r>
          </w:p>
        </w:tc>
        <w:tc>
          <w:tcPr>
            <w:tcW w:w="959" w:type="dxa"/>
            <w:tcBorders>
              <w:right w:val="dashSmallGap" w:sz="4" w:space="0" w:color="DF2F1E"/>
            </w:tcBorders>
          </w:tcPr>
          <w:p>
            <w:pPr>
              <w:pStyle w:val="TableParagraph"/>
              <w:spacing w:before="39"/>
              <w:ind w:left="245" w:right="262"/>
              <w:jc w:val="center"/>
              <w:rPr>
                <w:sz w:val="16"/>
              </w:rPr>
            </w:pPr>
            <w:r>
              <w:rPr>
                <w:color w:val="404040"/>
                <w:sz w:val="16"/>
              </w:rPr>
              <w:t>+$3k</w:t>
            </w:r>
          </w:p>
        </w:tc>
        <w:tc>
          <w:tcPr>
            <w:tcW w:w="1207" w:type="dxa"/>
            <w:tcBorders>
              <w:left w:val="dashSmallGap" w:sz="4" w:space="0" w:color="DF2F1E"/>
            </w:tcBorders>
          </w:tcPr>
          <w:p>
            <w:pPr>
              <w:pStyle w:val="TableParagraph"/>
              <w:spacing w:before="39"/>
              <w:ind w:left="426"/>
              <w:rPr>
                <w:sz w:val="16"/>
              </w:rPr>
            </w:pPr>
            <w:r>
              <w:rPr>
                <w:color w:val="404040"/>
                <w:sz w:val="16"/>
              </w:rPr>
              <w:t>+$1k</w:t>
            </w:r>
          </w:p>
        </w:tc>
        <w:tc>
          <w:tcPr>
            <w:tcW w:w="1204" w:type="dxa"/>
            <w:tcBorders>
              <w:right w:val="single" w:sz="4" w:space="0" w:color="DF2F1E"/>
            </w:tcBorders>
          </w:tcPr>
          <w:p>
            <w:pPr>
              <w:pStyle w:val="TableParagraph"/>
              <w:spacing w:before="39"/>
              <w:ind w:right="416"/>
              <w:jc w:val="right"/>
              <w:rPr>
                <w:sz w:val="16"/>
              </w:rPr>
            </w:pPr>
            <w:r>
              <w:rPr>
                <w:color w:val="A6A6A6"/>
                <w:sz w:val="16"/>
              </w:rPr>
              <w:t>&lt;$1k</w:t>
            </w:r>
          </w:p>
        </w:tc>
      </w:tr>
      <w:tr>
        <w:trPr>
          <w:trHeight w:val="264" w:hRule="atLeast"/>
        </w:trPr>
        <w:tc>
          <w:tcPr>
            <w:tcW w:w="3120" w:type="dxa"/>
            <w:tcBorders>
              <w:left w:val="single" w:sz="4" w:space="0" w:color="DF2F1E"/>
              <w:right w:val="single" w:sz="4" w:space="0" w:color="DF2F1E"/>
            </w:tcBorders>
          </w:tcPr>
          <w:p>
            <w:pPr>
              <w:pStyle w:val="TableParagraph"/>
              <w:spacing w:before="36"/>
              <w:ind w:left="57"/>
              <w:rPr>
                <w:b/>
                <w:sz w:val="16"/>
              </w:rPr>
            </w:pPr>
            <w:r>
              <w:rPr>
                <w:b/>
                <w:color w:val="404040"/>
                <w:sz w:val="16"/>
              </w:rPr>
              <w:t>- Impact of Age Pension forecast</w:t>
            </w:r>
          </w:p>
        </w:tc>
        <w:tc>
          <w:tcPr>
            <w:tcW w:w="1272" w:type="dxa"/>
            <w:tcBorders>
              <w:left w:val="single" w:sz="4" w:space="0" w:color="DF2F1E"/>
              <w:right w:val="single" w:sz="4" w:space="0" w:color="DF2F1E"/>
            </w:tcBorders>
          </w:tcPr>
          <w:p>
            <w:pPr>
              <w:pStyle w:val="TableParagraph"/>
              <w:spacing w:before="39"/>
              <w:ind w:left="37" w:right="25"/>
              <w:jc w:val="center"/>
              <w:rPr>
                <w:sz w:val="16"/>
              </w:rPr>
            </w:pPr>
            <w:r>
              <w:rPr>
                <w:color w:val="404040"/>
                <w:sz w:val="16"/>
              </w:rPr>
              <w:t>-$5k</w:t>
            </w:r>
          </w:p>
        </w:tc>
        <w:tc>
          <w:tcPr>
            <w:tcW w:w="980" w:type="dxa"/>
            <w:tcBorders>
              <w:left w:val="single" w:sz="4" w:space="0" w:color="DF2F1E"/>
            </w:tcBorders>
          </w:tcPr>
          <w:p>
            <w:pPr>
              <w:pStyle w:val="TableParagraph"/>
              <w:spacing w:before="39"/>
              <w:ind w:left="305" w:right="277"/>
              <w:jc w:val="center"/>
              <w:rPr>
                <w:sz w:val="16"/>
              </w:rPr>
            </w:pPr>
            <w:r>
              <w:rPr>
                <w:color w:val="A6A6A6"/>
                <w:sz w:val="16"/>
              </w:rPr>
              <w:t>&lt;$1k</w:t>
            </w:r>
          </w:p>
        </w:tc>
        <w:tc>
          <w:tcPr>
            <w:tcW w:w="1042" w:type="dxa"/>
          </w:tcPr>
          <w:p>
            <w:pPr>
              <w:pStyle w:val="TableParagraph"/>
              <w:spacing w:before="39"/>
              <w:ind w:left="296" w:right="300"/>
              <w:jc w:val="center"/>
              <w:rPr>
                <w:sz w:val="16"/>
              </w:rPr>
            </w:pPr>
            <w:r>
              <w:rPr>
                <w:color w:val="A6A6A6"/>
                <w:sz w:val="16"/>
              </w:rPr>
              <w:t>&lt;$1k</w:t>
            </w:r>
          </w:p>
        </w:tc>
        <w:tc>
          <w:tcPr>
            <w:tcW w:w="959" w:type="dxa"/>
            <w:tcBorders>
              <w:right w:val="dashSmallGap" w:sz="4" w:space="0" w:color="DF2F1E"/>
            </w:tcBorders>
          </w:tcPr>
          <w:p>
            <w:pPr>
              <w:pStyle w:val="TableParagraph"/>
              <w:spacing w:before="39"/>
              <w:ind w:left="245" w:right="265"/>
              <w:jc w:val="center"/>
              <w:rPr>
                <w:sz w:val="16"/>
              </w:rPr>
            </w:pPr>
            <w:r>
              <w:rPr>
                <w:color w:val="404040"/>
                <w:sz w:val="16"/>
              </w:rPr>
              <w:t>-$5k</w:t>
            </w:r>
          </w:p>
        </w:tc>
        <w:tc>
          <w:tcPr>
            <w:tcW w:w="1207" w:type="dxa"/>
            <w:tcBorders>
              <w:left w:val="dashSmallGap" w:sz="4" w:space="0" w:color="DF2F1E"/>
            </w:tcBorders>
          </w:tcPr>
          <w:p>
            <w:pPr>
              <w:pStyle w:val="TableParagraph"/>
              <w:spacing w:before="39"/>
              <w:ind w:left="426"/>
              <w:rPr>
                <w:sz w:val="16"/>
              </w:rPr>
            </w:pPr>
            <w:r>
              <w:rPr>
                <w:color w:val="A6A6A6"/>
                <w:sz w:val="16"/>
              </w:rPr>
              <w:t>&lt;$1k</w:t>
            </w:r>
          </w:p>
        </w:tc>
        <w:tc>
          <w:tcPr>
            <w:tcW w:w="1204" w:type="dxa"/>
            <w:tcBorders>
              <w:right w:val="single" w:sz="4" w:space="0" w:color="DF2F1E"/>
            </w:tcBorders>
          </w:tcPr>
          <w:p>
            <w:pPr>
              <w:pStyle w:val="TableParagraph"/>
              <w:spacing w:before="39"/>
              <w:ind w:right="416"/>
              <w:jc w:val="right"/>
              <w:rPr>
                <w:sz w:val="16"/>
              </w:rPr>
            </w:pPr>
            <w:r>
              <w:rPr>
                <w:color w:val="A6A6A6"/>
                <w:sz w:val="16"/>
              </w:rPr>
              <w:t>&lt;$1k</w:t>
            </w:r>
          </w:p>
        </w:tc>
      </w:tr>
      <w:tr>
        <w:trPr>
          <w:trHeight w:val="265" w:hRule="atLeast"/>
        </w:trPr>
        <w:tc>
          <w:tcPr>
            <w:tcW w:w="3120" w:type="dxa"/>
            <w:tcBorders>
              <w:left w:val="single" w:sz="4" w:space="0" w:color="DF2F1E"/>
              <w:bottom w:val="single" w:sz="4" w:space="0" w:color="DF2F1E"/>
              <w:right w:val="single" w:sz="4" w:space="0" w:color="DF2F1E"/>
            </w:tcBorders>
          </w:tcPr>
          <w:p>
            <w:pPr>
              <w:pStyle w:val="TableParagraph"/>
              <w:spacing w:before="36"/>
              <w:ind w:left="57"/>
              <w:rPr>
                <w:b/>
                <w:sz w:val="16"/>
              </w:rPr>
            </w:pPr>
            <w:r>
              <w:rPr>
                <w:b/>
                <w:color w:val="404040"/>
                <w:sz w:val="16"/>
              </w:rPr>
              <w:t>- Impact of other changes</w:t>
            </w:r>
          </w:p>
        </w:tc>
        <w:tc>
          <w:tcPr>
            <w:tcW w:w="1272" w:type="dxa"/>
            <w:tcBorders>
              <w:left w:val="single" w:sz="4" w:space="0" w:color="DF2F1E"/>
              <w:bottom w:val="single" w:sz="4" w:space="0" w:color="DF2F1E"/>
              <w:right w:val="single" w:sz="4" w:space="0" w:color="DF2F1E"/>
            </w:tcBorders>
          </w:tcPr>
          <w:p>
            <w:pPr>
              <w:pStyle w:val="TableParagraph"/>
              <w:spacing w:before="39"/>
              <w:ind w:left="34" w:right="25"/>
              <w:jc w:val="center"/>
              <w:rPr>
                <w:sz w:val="16"/>
              </w:rPr>
            </w:pPr>
            <w:r>
              <w:rPr>
                <w:color w:val="404040"/>
                <w:sz w:val="16"/>
              </w:rPr>
              <w:t>-$40k</w:t>
            </w:r>
          </w:p>
        </w:tc>
        <w:tc>
          <w:tcPr>
            <w:tcW w:w="980" w:type="dxa"/>
            <w:tcBorders>
              <w:left w:val="single" w:sz="4" w:space="0" w:color="DF2F1E"/>
              <w:bottom w:val="single" w:sz="4" w:space="0" w:color="DF2F1E"/>
            </w:tcBorders>
          </w:tcPr>
          <w:p>
            <w:pPr>
              <w:pStyle w:val="TableParagraph"/>
              <w:spacing w:before="39"/>
              <w:ind w:left="304" w:right="277"/>
              <w:jc w:val="center"/>
              <w:rPr>
                <w:sz w:val="16"/>
              </w:rPr>
            </w:pPr>
            <w:r>
              <w:rPr>
                <w:color w:val="A6A6A6"/>
                <w:sz w:val="16"/>
              </w:rPr>
              <w:t>&lt;$1k</w:t>
            </w:r>
          </w:p>
        </w:tc>
        <w:tc>
          <w:tcPr>
            <w:tcW w:w="1042" w:type="dxa"/>
            <w:tcBorders>
              <w:bottom w:val="single" w:sz="4" w:space="0" w:color="DF2F1E"/>
            </w:tcBorders>
          </w:tcPr>
          <w:p>
            <w:pPr>
              <w:pStyle w:val="TableParagraph"/>
              <w:spacing w:before="39"/>
              <w:ind w:left="296" w:right="305"/>
              <w:jc w:val="center"/>
              <w:rPr>
                <w:sz w:val="16"/>
              </w:rPr>
            </w:pPr>
            <w:r>
              <w:rPr>
                <w:color w:val="404040"/>
                <w:sz w:val="16"/>
              </w:rPr>
              <w:t>-$15k</w:t>
            </w:r>
          </w:p>
        </w:tc>
        <w:tc>
          <w:tcPr>
            <w:tcW w:w="959" w:type="dxa"/>
            <w:tcBorders>
              <w:bottom w:val="single" w:sz="4" w:space="0" w:color="DF2F1E"/>
              <w:right w:val="dashSmallGap" w:sz="4" w:space="0" w:color="DF2F1E"/>
            </w:tcBorders>
          </w:tcPr>
          <w:p>
            <w:pPr>
              <w:pStyle w:val="TableParagraph"/>
              <w:spacing w:before="39"/>
              <w:ind w:left="244" w:right="267"/>
              <w:jc w:val="center"/>
              <w:rPr>
                <w:sz w:val="16"/>
              </w:rPr>
            </w:pPr>
            <w:r>
              <w:rPr>
                <w:color w:val="404040"/>
                <w:sz w:val="16"/>
              </w:rPr>
              <w:t>-$17k</w:t>
            </w:r>
          </w:p>
        </w:tc>
        <w:tc>
          <w:tcPr>
            <w:tcW w:w="1207" w:type="dxa"/>
            <w:tcBorders>
              <w:left w:val="dashSmallGap" w:sz="4" w:space="0" w:color="DF2F1E"/>
              <w:bottom w:val="single" w:sz="4" w:space="0" w:color="DF2F1E"/>
            </w:tcBorders>
          </w:tcPr>
          <w:p>
            <w:pPr>
              <w:pStyle w:val="TableParagraph"/>
              <w:spacing w:before="39"/>
              <w:ind w:left="445"/>
              <w:rPr>
                <w:sz w:val="16"/>
              </w:rPr>
            </w:pPr>
            <w:r>
              <w:rPr>
                <w:color w:val="404040"/>
                <w:sz w:val="16"/>
              </w:rPr>
              <w:t>-$4k</w:t>
            </w:r>
          </w:p>
        </w:tc>
        <w:tc>
          <w:tcPr>
            <w:tcW w:w="1204" w:type="dxa"/>
            <w:tcBorders>
              <w:bottom w:val="single" w:sz="4" w:space="0" w:color="DF2F1E"/>
              <w:right w:val="single" w:sz="4" w:space="0" w:color="DF2F1E"/>
            </w:tcBorders>
          </w:tcPr>
          <w:p>
            <w:pPr>
              <w:pStyle w:val="TableParagraph"/>
              <w:spacing w:before="39"/>
              <w:ind w:right="438"/>
              <w:jc w:val="right"/>
              <w:rPr>
                <w:sz w:val="16"/>
              </w:rPr>
            </w:pPr>
            <w:r>
              <w:rPr>
                <w:color w:val="404040"/>
                <w:sz w:val="16"/>
              </w:rPr>
              <w:t>-$3k</w:t>
            </w:r>
          </w:p>
        </w:tc>
      </w:tr>
    </w:tbl>
    <w:p>
      <w:pPr>
        <w:spacing w:before="78"/>
        <w:ind w:left="900" w:right="0" w:firstLine="0"/>
        <w:jc w:val="left"/>
        <w:rPr>
          <w:sz w:val="16"/>
        </w:rPr>
      </w:pPr>
      <w:r>
        <w:rPr>
          <w:color w:val="DF2F1E"/>
          <w:sz w:val="16"/>
        </w:rPr>
        <w:t>Notes:</w:t>
      </w:r>
    </w:p>
    <w:p>
      <w:pPr>
        <w:pStyle w:val="ListParagraph"/>
        <w:numPr>
          <w:ilvl w:val="1"/>
          <w:numId w:val="38"/>
        </w:numPr>
        <w:tabs>
          <w:tab w:pos="1619" w:val="left" w:leader="none"/>
          <w:tab w:pos="1621" w:val="left" w:leader="none"/>
        </w:tabs>
        <w:spacing w:line="240" w:lineRule="auto" w:before="80" w:after="0"/>
        <w:ind w:left="1620" w:right="1555" w:hanging="361"/>
        <w:jc w:val="left"/>
        <w:rPr>
          <w:sz w:val="16"/>
        </w:rPr>
      </w:pPr>
      <w:r>
        <w:rPr>
          <w:color w:val="DF2F1E"/>
          <w:sz w:val="16"/>
        </w:rPr>
        <w:t>Note that payment categories H, I and J have been included in family supplements and the remaining non income support payment categories in other</w:t>
      </w:r>
      <w:r>
        <w:rPr>
          <w:color w:val="DF2F1E"/>
          <w:spacing w:val="-3"/>
          <w:sz w:val="16"/>
        </w:rPr>
        <w:t> </w:t>
      </w:r>
      <w:r>
        <w:rPr>
          <w:color w:val="DF2F1E"/>
          <w:sz w:val="16"/>
        </w:rPr>
        <w:t>supplements.</w:t>
      </w:r>
    </w:p>
    <w:p>
      <w:pPr>
        <w:pStyle w:val="ListParagraph"/>
        <w:numPr>
          <w:ilvl w:val="1"/>
          <w:numId w:val="38"/>
        </w:numPr>
        <w:tabs>
          <w:tab w:pos="1620" w:val="left" w:leader="none"/>
          <w:tab w:pos="1621" w:val="left" w:leader="none"/>
        </w:tabs>
        <w:spacing w:line="240" w:lineRule="auto" w:before="80" w:after="0"/>
        <w:ind w:left="1620" w:right="1484" w:hanging="361"/>
        <w:jc w:val="left"/>
        <w:rPr>
          <w:sz w:val="16"/>
        </w:rPr>
      </w:pPr>
      <w:r>
        <w:rPr>
          <w:color w:val="DF2F1E"/>
          <w:sz w:val="16"/>
        </w:rPr>
        <w:t>The June 2017 rebased Lifetime Cost represents a recalculation of the June 2017 lifetime cost, but using a discount rate of 5% p.a. for consistency with the June 2018 results. All changes are shown relative to this rebased lifetime</w:t>
      </w:r>
      <w:r>
        <w:rPr>
          <w:color w:val="DF2F1E"/>
          <w:spacing w:val="-31"/>
          <w:sz w:val="16"/>
        </w:rPr>
        <w:t> </w:t>
      </w:r>
      <w:r>
        <w:rPr>
          <w:color w:val="DF2F1E"/>
          <w:sz w:val="16"/>
        </w:rPr>
        <w:t>cost.</w:t>
      </w:r>
    </w:p>
    <w:p>
      <w:pPr>
        <w:pStyle w:val="BodyText"/>
        <w:spacing w:before="121"/>
        <w:ind w:left="900"/>
      </w:pPr>
      <w:r>
        <w:rPr>
          <w:color w:val="404040"/>
        </w:rPr>
        <w:t>The decrease in average lifetime cost has been primarily driven by:</w:t>
      </w:r>
    </w:p>
    <w:p>
      <w:pPr>
        <w:pStyle w:val="ListParagraph"/>
        <w:numPr>
          <w:ilvl w:val="0"/>
          <w:numId w:val="39"/>
        </w:numPr>
        <w:tabs>
          <w:tab w:pos="1184" w:val="left" w:leader="none"/>
        </w:tabs>
        <w:spacing w:line="240" w:lineRule="auto" w:before="121" w:after="0"/>
        <w:ind w:left="1183" w:right="1520" w:hanging="284"/>
        <w:jc w:val="left"/>
        <w:rPr>
          <w:rFonts w:ascii="Symbol" w:hAnsi="Symbol"/>
          <w:sz w:val="20"/>
        </w:rPr>
      </w:pPr>
      <w:r>
        <w:rPr>
          <w:color w:val="404040"/>
          <w:sz w:val="20"/>
        </w:rPr>
        <w:t>a decrease in the likelihood of transitioning to the Working Age class, which reduces the contribution of Working Age payments to the average lifetime cost for people in the Studying</w:t>
      </w:r>
      <w:r>
        <w:rPr>
          <w:color w:val="404040"/>
          <w:spacing w:val="-9"/>
          <w:sz w:val="20"/>
        </w:rPr>
        <w:t> </w:t>
      </w:r>
      <w:r>
        <w:rPr>
          <w:color w:val="404040"/>
          <w:sz w:val="20"/>
        </w:rPr>
        <w:t>class;</w:t>
      </w:r>
    </w:p>
    <w:p>
      <w:pPr>
        <w:pStyle w:val="ListParagraph"/>
        <w:numPr>
          <w:ilvl w:val="0"/>
          <w:numId w:val="39"/>
        </w:numPr>
        <w:tabs>
          <w:tab w:pos="1184" w:val="left" w:leader="none"/>
        </w:tabs>
        <w:spacing w:line="240" w:lineRule="auto" w:before="118" w:after="0"/>
        <w:ind w:left="1183" w:right="1363" w:hanging="284"/>
        <w:jc w:val="left"/>
        <w:rPr>
          <w:rFonts w:ascii="Symbol" w:hAnsi="Symbol"/>
          <w:sz w:val="20"/>
        </w:rPr>
      </w:pPr>
      <w:r>
        <w:rPr>
          <w:color w:val="404040"/>
          <w:sz w:val="20"/>
        </w:rPr>
        <w:t>a flow on decrease to the likelihood of subsequently transitioning to both the other pre-retirement income support classes and to Age</w:t>
      </w:r>
      <w:r>
        <w:rPr>
          <w:color w:val="404040"/>
          <w:spacing w:val="1"/>
          <w:sz w:val="20"/>
        </w:rPr>
        <w:t> </w:t>
      </w:r>
      <w:r>
        <w:rPr>
          <w:color w:val="404040"/>
          <w:sz w:val="20"/>
        </w:rPr>
        <w:t>Pension;</w:t>
      </w:r>
    </w:p>
    <w:p>
      <w:pPr>
        <w:pStyle w:val="ListParagraph"/>
        <w:numPr>
          <w:ilvl w:val="0"/>
          <w:numId w:val="39"/>
        </w:numPr>
        <w:tabs>
          <w:tab w:pos="1184" w:val="left" w:leader="none"/>
        </w:tabs>
        <w:spacing w:line="240" w:lineRule="auto" w:before="117" w:after="0"/>
        <w:ind w:left="1183" w:right="0" w:hanging="284"/>
        <w:jc w:val="left"/>
        <w:rPr>
          <w:rFonts w:ascii="Symbol" w:hAnsi="Symbol"/>
          <w:sz w:val="20"/>
        </w:rPr>
      </w:pPr>
      <w:r>
        <w:rPr>
          <w:color w:val="404040"/>
          <w:sz w:val="20"/>
        </w:rPr>
        <w:t>a further decrease in projected Age Pension use as a result of the change to the Age Pension forecast;</w:t>
      </w:r>
      <w:r>
        <w:rPr>
          <w:color w:val="404040"/>
          <w:spacing w:val="-18"/>
          <w:sz w:val="20"/>
        </w:rPr>
        <w:t> </w:t>
      </w:r>
      <w:r>
        <w:rPr>
          <w:color w:val="404040"/>
          <w:sz w:val="20"/>
        </w:rPr>
        <w:t>and</w:t>
      </w:r>
    </w:p>
    <w:p>
      <w:pPr>
        <w:pStyle w:val="ListParagraph"/>
        <w:numPr>
          <w:ilvl w:val="0"/>
          <w:numId w:val="39"/>
        </w:numPr>
        <w:tabs>
          <w:tab w:pos="1185" w:val="left" w:leader="none"/>
        </w:tabs>
        <w:spacing w:line="240" w:lineRule="auto" w:before="120" w:after="0"/>
        <w:ind w:left="1183" w:right="1373" w:hanging="284"/>
        <w:jc w:val="left"/>
        <w:rPr>
          <w:rFonts w:ascii="Symbol" w:hAnsi="Symbol"/>
          <w:sz w:val="20"/>
        </w:rPr>
      </w:pPr>
      <w:r>
        <w:rPr>
          <w:color w:val="404040"/>
          <w:sz w:val="20"/>
        </w:rPr>
        <w:t>a decrease in the expected amount of supplements received, primarily as a consequence of the reduced projected use of income support</w:t>
      </w:r>
      <w:r>
        <w:rPr>
          <w:color w:val="404040"/>
          <w:spacing w:val="-2"/>
          <w:sz w:val="20"/>
        </w:rPr>
        <w:t> </w:t>
      </w:r>
      <w:r>
        <w:rPr>
          <w:color w:val="404040"/>
          <w:sz w:val="20"/>
        </w:rPr>
        <w:t>payments.</w:t>
      </w:r>
    </w:p>
    <w:p>
      <w:pPr>
        <w:pStyle w:val="BodyText"/>
        <w:spacing w:before="120"/>
        <w:ind w:left="900"/>
      </w:pPr>
      <w:r>
        <w:rPr>
          <w:color w:val="404040"/>
        </w:rPr>
        <w:t>These decreases have been partially offset by an increase in the cost of future payments as a result of inflation.</w:t>
      </w:r>
    </w:p>
    <w:p>
      <w:pPr>
        <w:pStyle w:val="BodyText"/>
        <w:spacing w:before="118"/>
        <w:ind w:left="900" w:right="1131"/>
      </w:pPr>
      <w:r>
        <w:rPr>
          <w:color w:val="404040"/>
        </w:rPr>
        <w:t>Note that the part of the cost arising directly from student payments has not changed materially since the June 2017 Valuation.</w:t>
      </w:r>
    </w:p>
    <w:p>
      <w:pPr>
        <w:pStyle w:val="BodyText"/>
        <w:spacing w:before="8"/>
      </w:pPr>
    </w:p>
    <w:p>
      <w:pPr>
        <w:pStyle w:val="Heading6"/>
        <w:rPr>
          <w:i/>
        </w:rPr>
      </w:pPr>
      <w:r>
        <w:rPr>
          <w:i/>
          <w:color w:val="DF2F1E"/>
        </w:rPr>
        <w:t>Future outcomes</w:t>
      </w:r>
    </w:p>
    <w:p>
      <w:pPr>
        <w:pStyle w:val="BodyText"/>
        <w:spacing w:before="121"/>
        <w:ind w:left="900" w:right="1134"/>
      </w:pPr>
      <w:r>
        <w:rPr>
          <w:color w:val="404040"/>
        </w:rPr>
        <w:t>In developing the valuation results the projection model also produces information on the expected transitions for people out of each class, as shown below. We have also included equivalent projections from the previous</w:t>
      </w:r>
    </w:p>
    <w:p>
      <w:pPr>
        <w:spacing w:after="0"/>
        <w:sectPr>
          <w:pgSz w:w="11910" w:h="16850"/>
          <w:pgMar w:header="572" w:footer="581" w:top="780" w:bottom="780" w:left="120" w:right="0"/>
        </w:sectPr>
      </w:pPr>
    </w:p>
    <w:p>
      <w:pPr>
        <w:pStyle w:val="BodyText"/>
      </w:pPr>
    </w:p>
    <w:p>
      <w:pPr>
        <w:pStyle w:val="BodyText"/>
      </w:pPr>
    </w:p>
    <w:p>
      <w:pPr>
        <w:pStyle w:val="BodyText"/>
        <w:spacing w:before="7"/>
        <w:rPr>
          <w:sz w:val="21"/>
        </w:rPr>
      </w:pPr>
    </w:p>
    <w:p>
      <w:pPr>
        <w:pStyle w:val="BodyText"/>
        <w:spacing w:before="93"/>
        <w:ind w:left="900" w:right="1097"/>
      </w:pPr>
      <w:r>
        <w:rPr>
          <w:color w:val="404040"/>
        </w:rPr>
        <w:t>valuation and these are shown for both the current class and the total active classes with the two white dashed lines.</w:t>
      </w:r>
    </w:p>
    <w:p>
      <w:pPr>
        <w:pStyle w:val="Heading9"/>
        <w:spacing w:before="176"/>
      </w:pPr>
      <w:r>
        <w:rPr>
          <w:color w:val="DF2F1E"/>
        </w:rPr>
        <w:t>Figure 47: Expected future trajectory for people in class 1</w:t>
      </w:r>
    </w:p>
    <w:p>
      <w:pPr>
        <w:spacing w:after="0"/>
        <w:sectPr>
          <w:pgSz w:w="11910" w:h="16850"/>
          <w:pgMar w:header="572" w:footer="581" w:top="780" w:bottom="780" w:left="120" w:right="0"/>
        </w:sectPr>
      </w:pPr>
    </w:p>
    <w:p>
      <w:pPr>
        <w:pStyle w:val="BodyText"/>
        <w:rPr>
          <w:b/>
          <w:sz w:val="15"/>
        </w:rPr>
      </w:pPr>
    </w:p>
    <w:p>
      <w:pPr>
        <w:spacing w:before="0"/>
        <w:ind w:left="0" w:right="989" w:firstLine="0"/>
        <w:jc w:val="right"/>
        <w:rPr>
          <w:rFonts w:ascii="Calibri"/>
          <w:sz w:val="15"/>
        </w:rPr>
      </w:pPr>
      <w:r>
        <w:rPr/>
        <w:pict>
          <v:group style="position:absolute;margin-left:108.751266pt;margin-top:4.047112pt;width:248.6pt;height:118.9pt;mso-position-horizontal-relative:page;mso-position-vertical-relative:paragraph;z-index:252186624" coordorigin="2175,81" coordsize="4972,2378">
            <v:shape style="position:absolute;left:2223;top:98;width:4906;height:2312" coordorigin="2223,99" coordsize="4906,2312" path="m7129,2410l2223,2410,2223,99,2391,985,2559,1536,2715,1871,2883,2087,3051,2207,3207,2279,3374,2326,3530,2350,4022,2386,4358,2386,4514,2398,6973,2398,7129,2410xe" filled="true" fillcolor="#1f487c" stroked="false">
              <v:path arrowok="t"/>
              <v:fill type="solid"/>
            </v:shape>
            <v:shape style="position:absolute;left:2223;top:98;width:4906;height:2312" coordorigin="2223,99" coordsize="4906,2312" path="m2223,99l2391,985,2559,1536,2715,1871,2883,2087,3051,2207,3207,2279,3374,2326,3530,2350,3698,2362,3866,2374,4022,2386,4190,2386,4358,2386,4514,2398,4682,2398,4838,2398,6973,2398,7129,2410,2223,2410,2223,99xe" filled="false" stroked="true" strokeweight=".598958pt" strokecolor="#1f487c">
              <v:path arrowok="t"/>
              <v:stroke dashstyle="solid"/>
            </v:shape>
            <v:shape style="position:absolute;left:2223;top:98;width:4906;height:2312" coordorigin="2223,99" coordsize="4906,2312" path="m7129,2410l6973,2398,4514,2398,4358,2386,4022,2386,3530,2350,3374,2326,3207,2279,3051,2207,2883,2087,2715,1871,2559,1536,2391,985,2223,99,2391,650,2559,1153,2715,1512,2883,1776,3051,1943,3207,2051,3374,2111,3530,2159,3866,2207,4190,2231,4358,2231,4514,2243,7129,2243,7129,2410xm7129,2243l5174,2243,5330,2231,7129,2231,7129,2243xe" filled="true" fillcolor="#009544" stroked="false">
              <v:path arrowok="t"/>
              <v:fill type="solid"/>
            </v:shape>
            <v:shape style="position:absolute;left:2223;top:98;width:4906;height:2312" coordorigin="2223,99" coordsize="4906,2312" path="m2223,99l2391,650,2559,1153,2715,1512,2883,1776,3051,1943,3207,2051,3374,2111,3530,2159,3698,2183,3866,2207,4022,2219,4190,2231,4358,2231,4514,2243,4682,2243,4838,2243,5006,2243,5174,2243,5330,2231,7129,2231,7129,2410,6973,2398,6805,2398,6637,2398,4514,2398,4358,2386,4190,2386,4022,2386,3866,2374,3698,2362,3530,2350,3374,2326,3207,2279,3051,2207,2883,2087,2715,1871,2559,1536,2391,985,2223,99xe" filled="false" stroked="true" strokeweight=".598958pt" strokecolor="#009544">
              <v:path arrowok="t"/>
              <v:stroke dashstyle="solid"/>
            </v:shape>
            <v:shape style="position:absolute;left:2223;top:98;width:4906;height:2144" coordorigin="2223,99" coordsize="4906,2144" path="m7129,2231l4190,2231,3866,2207,3530,2159,3374,2111,3207,2051,3051,1943,2883,1776,2715,1512,2559,1153,2391,650,2223,99,2391,638,2559,1117,2715,1476,2883,1716,3051,1871,3207,1967,3374,2027,3530,2063,3698,2087,3866,2099,4022,2123,4190,2123,4514,2147,4682,2147,4838,2159,5006,2159,5174,2171,5330,2171,5497,2183,5665,2183,5821,2195,5989,2195,6157,2207,6481,2207,6637,2219,7129,2219,7129,2231xm5174,2243l4514,2243,4358,2231,5330,2231,5174,2243xe" filled="true" fillcolor="#e16b09" stroked="false">
              <v:path arrowok="t"/>
              <v:fill type="solid"/>
            </v:shape>
            <v:shape style="position:absolute;left:2223;top:98;width:4906;height:2144" coordorigin="2223,99" coordsize="4906,2144" path="m2223,99l2391,638,2559,1117,2715,1476,2883,1716,3051,1871,3207,1967,3374,2027,3530,2063,3698,2087,3866,2099,4022,2123,4190,2123,4358,2135,4514,2147,4682,2147,4838,2159,5006,2159,5174,2171,5330,2171,5497,2183,5665,2183,5821,2195,5989,2195,6157,2207,6313,2207,6481,2207,6637,2219,6805,2219,6973,2219,7129,2219,7129,2231,5330,2231,5174,2243,5006,2243,4838,2243,4682,2243,4514,2243,4358,2231,4190,2231,4022,2219,3866,2207,3698,2183,3530,2159,3374,2111,3207,2051,3051,1943,2883,1776,2715,1512,2559,1153,2391,650,2223,99xe" filled="false" stroked="true" strokeweight=".598933pt" strokecolor="#e16b09">
              <v:path arrowok="t"/>
              <v:stroke dashstyle="solid"/>
            </v:shape>
            <v:shape style="position:absolute;left:2223;top:98;width:4906;height:2120" coordorigin="2223,99" coordsize="4906,2120" path="m4682,2123l4022,2123,3866,2099,3698,2087,3530,2063,3374,2027,3207,1967,3051,1871,2883,1716,2715,1476,2559,1117,2391,638,2223,99,2391,626,2559,1105,2715,1464,2883,1704,3051,1859,3207,1943,3374,2003,3530,2039,3698,2063,4358,2111,4514,2111,4682,2123xm5665,2147l4514,2147,4190,2123,5006,2123,5174,2135,5497,2135,5665,2147xm6313,2159l4838,2159,4682,2147,6157,2147,6313,2159xm7129,2219l6637,2219,6481,2207,6157,2207,5989,2195,5821,2195,5665,2183,5497,2183,5330,2171,5174,2171,5006,2159,7129,2159,7129,2219xe" filled="true" fillcolor="#e08ad6" stroked="false">
              <v:path arrowok="t"/>
              <v:fill type="solid"/>
            </v:shape>
            <v:shape style="position:absolute;left:2223;top:98;width:4906;height:2120" coordorigin="2223,99" coordsize="4906,2120" path="m2223,99l2391,626,2559,1105,2715,1464,2883,1704,3051,1859,3207,1943,3374,2003,3530,2039,3698,2063,3866,2075,4022,2087,4190,2099,4358,2111,4514,2111,4682,2123,4838,2123,5006,2123,5174,2135,5330,2135,5497,2135,5665,2147,5821,2147,5989,2147,6157,2147,6313,2159,7129,2159,7129,2219,6973,2219,6805,2219,6637,2219,6481,2207,6313,2207,6157,2207,5989,2195,5821,2195,5665,2183,5497,2183,5330,2171,5174,2171,5006,2159,4838,2159,4682,2147,4514,2147,4358,2135,4190,2123,4022,2123,3866,2099,3698,2087,3530,2063,3374,2027,3207,1967,3051,1871,2883,1716,2715,1476,2559,1117,2391,638,2223,99xe" filled="false" stroked="true" strokeweight=".598930pt" strokecolor="#e08ad6">
              <v:path arrowok="t"/>
              <v:stroke dashstyle="solid"/>
            </v:shape>
            <v:shape style="position:absolute;left:2558;top:1104;width:4570;height:1054" coordorigin="2559,1105" coordsize="4570,1054" path="m5665,2111l4358,2111,3698,2063,3530,2039,3374,2003,3207,1943,3051,1859,2883,1704,2715,1464,2559,1105,2715,1452,2883,1692,3051,1847,3207,1931,3374,1991,3530,2027,3698,2051,4022,2075,4190,2075,4358,2087,4682,2087,4838,2099,5497,2099,5665,2111xm7129,2159l6313,2159,6157,2147,5665,2147,5497,2135,5174,2135,5006,2123,4682,2123,4514,2111,6973,2111,7129,2099,7129,2159xe" filled="true" fillcolor="#8063a1" stroked="false">
              <v:path arrowok="t"/>
              <v:fill type="solid"/>
            </v:shape>
            <v:shape style="position:absolute;left:2223;top:98;width:4906;height:2060" coordorigin="2223,99" coordsize="4906,2060" path="m2223,99l2391,626,2559,1105,2715,1452,2883,1692,3051,1847,3207,1931,3374,1991,3530,2027,3698,2051,3866,2063,4022,2075,4190,2075,4358,2087,4514,2087,4682,2087,4838,2099,5006,2099,5174,2099,5330,2099,5497,2099,5665,2111,6973,2111,7129,2099,7129,2159,6973,2159,6805,2159,6637,2159,6481,2159,6313,2159,6157,2147,5989,2147,5821,2147,5665,2147,5497,2135,5330,2135,5174,2135,5006,2123,4838,2123,4682,2123,4514,2111,4358,2111,4190,2099,4022,2087,3866,2075,3698,2063,3530,2039,3374,2003,3207,1943,3051,1859,2883,1704,2715,1464,2559,1105,2391,626,2223,99xe" filled="false" stroked="true" strokeweight=".598927pt" strokecolor="#8063a1">
              <v:path arrowok="t"/>
              <v:stroke dashstyle="solid"/>
            </v:shape>
            <v:shape style="position:absolute;left:3530;top:2027;width:3599;height:84" coordorigin="3530,2027" coordsize="3599,84" path="m4358,2075l4022,2075,3698,2051,3530,2027,4022,2063,4190,2063,4358,2075xm6973,2111l5665,2111,5497,2099,4838,2099,4682,2087,4358,2087,4190,2075,5989,2075,6157,2063,6637,2063,6805,2051,6973,2051,7129,2039,7129,2099,6973,2111xe" filled="true" fillcolor="#c0504d" stroked="false">
              <v:path arrowok="t"/>
              <v:fill type="solid"/>
            </v:shape>
            <v:shape style="position:absolute;left:2223;top:98;width:4906;height:2012" coordorigin="2223,99" coordsize="4906,2012" path="m2223,99l2391,626,2559,1105,2715,1452,2883,1692,3051,1847,3207,1931,3374,1991,3530,2027,3698,2039,3866,2051,4022,2063,4190,2063,4358,2075,5989,2075,6157,2063,6313,2063,6481,2063,6637,2063,6805,2051,6973,2051,7129,2039,7129,2099,6973,2111,6805,2111,6637,2111,5665,2111,5497,2099,5330,2099,5174,2099,5006,2099,4838,2099,4682,2087,4514,2087,4358,2087,4190,2075,4022,2075,3866,2063,3698,2051,3530,2027,3374,1991,3207,1931,3051,1847,2883,1692,2715,1452,2559,1105,2391,626,2223,99xe" filled="false" stroked="true" strokeweight=".598921pt" strokecolor="#c0504d">
              <v:path arrowok="t"/>
              <v:stroke dashstyle="solid"/>
            </v:shape>
            <v:shape style="position:absolute;left:2223;top:98;width:4906;height:1976" coordorigin="2223,99" coordsize="4906,1976" path="m6637,2063l4022,2063,3530,2027,3374,1991,3207,1931,3051,1847,2883,1692,2715,1452,2559,1105,2391,626,2223,99,2391,614,2559,1081,2715,1404,2883,1608,3051,1728,3207,1776,3374,1787,6101,1787,6157,1799,6313,1823,6481,1847,6637,1871,6805,1895,7129,1919,7129,2039,6973,2051,6805,2051,6637,2063xm6101,1787l3374,1787,3530,1776,3698,1752,3866,1716,4022,1692,4358,1644,4514,1632,5006,1632,5174,1644,5330,1668,5665,1716,5821,1740,5989,1764,6101,1787xm5989,2075l4358,2075,4190,2063,6157,2063,5989,2075xe" filled="true" fillcolor="#f8a763" stroked="false">
              <v:path arrowok="t"/>
              <v:fill type="solid"/>
            </v:shape>
            <v:shape style="position:absolute;left:2223;top:98;width:4906;height:1976" coordorigin="2223,99" coordsize="4906,1976" path="m2223,99l2391,614,2559,1081,2715,1404,2883,1608,3051,1728,3207,1776,3374,1787,3530,1776,3698,1752,3866,1716,4022,1692,4190,1668,4358,1644,4514,1632,4682,1632,4838,1632,5006,1632,5174,1644,5330,1668,5497,1692,5665,1716,5821,1740,5989,1764,6157,1799,6313,1823,6481,1847,6637,1871,6805,1895,6973,1907,7129,1919,7129,2039,6973,2051,6805,2051,6637,2063,6481,2063,6313,2063,6157,2063,5989,2075,4358,2075,4190,2063,4022,2063,3866,2051,3698,2039,3530,2027,3374,1991,3207,1931,3051,1847,2883,1692,2715,1452,2559,1105,2391,626,2223,99xe" filled="false" stroked="true" strokeweight=".598917pt" strokecolor="#f8a763">
              <v:path arrowok="t"/>
              <v:stroke dashstyle="solid"/>
            </v:shape>
            <v:shape style="position:absolute;left:2390;top:613;width:4738;height:1306" coordorigin="2391,614" coordsize="4738,1306" path="m2883,1608l2715,1404,2559,1081,2391,614,2559,1069,2715,1392,2883,1608xm3530,1776l3374,1776,3530,1764,3698,1740,3866,1704,4022,1680,4190,1644,4358,1620,4682,1596,5006,1596,5330,1620,5413,1632,4514,1632,4358,1644,4022,1692,3866,1716,3698,1752,3530,1776xm3374,1787l3207,1776,3051,1728,2883,1608,3051,1716,3207,1764,3374,1776,3530,1776,3374,1787xm7129,1919l6805,1895,6637,1871,6481,1847,6313,1823,6157,1799,5989,1764,5821,1740,5665,1716,5330,1668,5174,1644,5006,1632,5413,1632,5665,1668,5821,1704,6157,1752,6313,1776,6481,1811,6637,1823,6973,1871,7129,1883,7129,1919xe" filled="true" fillcolor="#ecb8e7" stroked="false">
              <v:path arrowok="t"/>
              <v:fill type="solid"/>
            </v:shape>
            <v:shape style="position:absolute;left:2223;top:98;width:4906;height:1821" coordorigin="2223,99" coordsize="4906,1821" path="m2223,99l2391,614,2559,1069,2715,1392,2883,1608,3051,1716,3207,1764,3374,1776,3530,1764,3698,1740,3866,1704,4022,1680,4190,1644,4358,1620,4514,1608,4682,1596,4838,1596,5006,1596,5174,1608,5330,1620,5497,1644,5665,1668,5821,1704,5989,1728,6157,1752,6313,1776,6481,1811,6637,1823,6805,1847,6973,1871,7129,1883,7129,1919,6973,1907,6805,1895,6637,1871,6481,1847,6313,1823,6157,1799,5989,1764,5821,1740,5665,1716,5497,1692,5330,1668,5174,1644,5006,1632,4838,1632,4682,1632,4514,1632,4358,1644,4190,1668,4022,1692,3866,1716,3698,1752,3530,1776,3374,1787,3207,1776,3051,1728,2883,1608,2715,1404,2559,1081,2391,614,2223,99xe" filled="false" stroked="true" strokeweight=".598898pt" strokecolor="#ecb8e7">
              <v:path arrowok="t"/>
              <v:stroke dashstyle="solid"/>
            </v:shape>
            <v:shape style="position:absolute;left:2223;top:98;width:4906;height:1785" coordorigin="2223,99" coordsize="4906,1785" path="m3374,1776l3207,1764,3051,1716,2883,1608,2715,1392,2559,1069,2391,614,2223,99,2391,602,2559,1045,2715,1344,2883,1548,3051,1644,3207,1680,4022,1680,3866,1704,3698,1740,3530,1764,3374,1776xm4022,1680l3374,1680,3530,1668,3866,1596,4022,1572,4358,1524,4514,1512,4838,1512,5006,1524,5174,1548,5330,1572,5497,1596,4682,1596,4358,1620,4190,1644,4022,1680xm7129,1883l6973,1871,6637,1823,6481,1811,6313,1776,6157,1752,5821,1704,5665,1668,5330,1620,5006,1596,5497,1596,5665,1632,5821,1656,5989,1692,6157,1716,6313,1752,6481,1776,6637,1811,6805,1835,6973,1847,7129,1871,7129,1883xe" filled="true" fillcolor="#938953" stroked="false">
              <v:path arrowok="t"/>
              <v:fill type="solid"/>
            </v:shape>
            <v:shape style="position:absolute;left:2223;top:98;width:4906;height:1785" coordorigin="2223,99" coordsize="4906,1785" path="m2223,99l2391,602,2559,1045,2715,1344,2883,1548,3051,1644,3207,1680,3374,1680,3530,1668,3698,1632,3866,1596,4022,1572,4190,1548,4358,1524,4514,1512,4682,1512,4838,1512,5006,1524,5174,1548,5330,1572,5497,1596,5665,1632,5821,1656,5989,1692,6157,1716,6313,1752,6481,1776,6637,1811,6805,1835,6973,1847,7129,1871,7129,1883,6973,1871,6805,1847,6637,1823,6481,1811,6313,1776,6157,1752,5989,1728,5821,1704,5665,1668,5497,1644,5330,1620,5174,1608,5006,1596,4838,1596,4682,1596,4514,1608,4358,1620,4190,1644,4022,1680,3866,1704,3698,1740,3530,1764,3374,1776,3207,1764,3051,1716,2883,1608,2715,1392,2559,1069,2391,614,2223,99xe" filled="false" stroked="true" strokeweight=".598894pt" strokecolor="#938953">
              <v:path arrowok="t"/>
              <v:stroke dashstyle="solid"/>
            </v:shape>
            <v:shape style="position:absolute;left:2223;top:98;width:4906;height:1773" coordorigin="2223,99" coordsize="4906,1773" path="m3374,1680l3207,1680,3051,1644,2883,1548,2715,1344,2559,1045,2391,602,2223,99,4190,99,4358,111,5330,111,5497,123,6157,123,6313,135,6805,135,6973,147,7129,147,7129,1512,4514,1512,4358,1524,4022,1572,3866,1596,3530,1668,3374,1680xm7129,1871l6973,1847,6805,1835,6637,1811,6481,1776,6313,1752,6157,1716,5989,1692,5821,1656,5665,1632,5497,1596,5330,1572,5174,1548,5006,1524,4838,1512,7129,1512,7129,1871xe" filled="true" fillcolor="#ffd600" stroked="false">
              <v:path arrowok="t"/>
              <v:fill type="solid"/>
            </v:shape>
            <v:shape style="position:absolute;left:2223;top:98;width:4906;height:1773" coordorigin="2223,99" coordsize="4906,1773" path="m2223,99l2223,99,4190,99,4358,111,5330,111,5497,123,5665,123,5821,123,5989,123,6157,123,6313,135,6481,135,6637,135,6805,135,6973,147,7129,147,7129,1871,6973,1847,6805,1835,6637,1811,6481,1776,6313,1752,6157,1716,5989,1692,5821,1656,5665,1632,5497,1596,5330,1572,5174,1548,5006,1524,4838,1512,4682,1512,4514,1512,4358,1524,4190,1548,4022,1572,3866,1596,3698,1632,3530,1668,3374,1680,3207,1680,3051,1644,2883,1548,2715,1344,2559,1045,2391,602,2223,99xe" filled="false" stroked="true" strokeweight=".598892pt" strokecolor="#ffd600">
              <v:path arrowok="t"/>
              <v:stroke dashstyle="solid"/>
            </v:shape>
            <v:shape style="position:absolute;left:2223;top:98;width:4906;height:48" coordorigin="2223,99" coordsize="4906,48" path="m2223,99l2223,99,4190,99,4358,111,5330,111,5497,123,5665,123,5821,123,5989,123,6157,123,6313,135,6481,135,6637,135,6805,135,6973,147,7129,147,6973,147,6805,135,6637,135,6481,135,6313,135,6157,123,5989,123,5821,123,5665,123,5497,123,5330,111,4358,111,4190,99,2391,99,2223,99xe" filled="false" stroked="true" strokeweight=".598786pt" strokecolor="#ffeb8f">
              <v:path arrowok="t"/>
              <v:stroke dashstyle="solid"/>
            </v:shape>
            <v:line style="position:absolute" from="4190,123" to="7129,123" stroked="true" strokeweight="2.395145pt" strokecolor="#000000">
              <v:stroke dashstyle="solid"/>
            </v:line>
            <v:shape style="position:absolute;left:2223;top:98;width:4906;height:48" coordorigin="2223,99" coordsize="4906,48" path="m2223,99l2223,99,7129,99,7129,147,6973,147,6805,135,6637,135,6481,135,6313,135,6157,123,5989,123,5821,123,5665,123,5497,123,5330,111,4358,111,4190,99,2391,99,2223,99xe" filled="false" stroked="true" strokeweight=".598786pt" strokecolor="#000000">
              <v:path arrowok="t"/>
              <v:stroke dashstyle="solid"/>
            </v:shape>
            <v:line style="position:absolute" from="2217,99" to="7135,99" stroked="true" strokeweight=".598786pt" strokecolor="#000000">
              <v:stroke dashstyle="solid"/>
            </v:line>
            <v:line style="position:absolute" from="2223,2410" to="2223,99" stroked="true" strokeweight=".599706pt" strokecolor="#858585">
              <v:stroke dashstyle="solid"/>
            </v:line>
            <v:shape style="position:absolute;left:0;top:14216;width:13369;height:645027" coordorigin="0,14216" coordsize="13369,645027" path="m2175,2410l2223,2410m2175,2183l2223,2183m2175,1943l2223,1943m2175,1716l2223,1716m2175,1488l2223,1488m2175,1249l2223,1249m2175,1021l2223,1021m2175,794l2223,794m2175,554l2223,554m2175,326l2223,326m2175,99l2223,99e" filled="false" stroked="true" strokeweight=".599247pt" strokecolor="#858585">
              <v:path arrowok="t"/>
              <v:stroke dashstyle="solid"/>
            </v:shape>
            <v:shape style="position:absolute;left:0;top:7812;width:654744;height:6404" coordorigin="0,7813" coordsize="654744,6404" path="m2223,2410l7129,2410m2223,2410l2223,2458m2391,2410l2391,2458m2559,2410l2559,2458m2715,2410l2715,2458m2883,2410l2883,2458m3051,2410l3051,2458m3207,2410l3207,2458m3374,2410l3374,2458m3530,2410l3530,2458m3698,2410l3698,2458m3866,2410l3866,2458m4022,2410l4022,2458m4190,2410l4190,2458m4358,2410l4358,2458m4514,2410l4514,2458m4682,2410l4682,2458m4838,2410l4838,2458m5006,2410l5006,2458m5174,2410l5174,2458m5330,2410l5330,2458m5497,2410l5497,2458m5665,2410l5665,2458m5821,2410l5821,2458m5989,2410l5989,2458m6157,2410l6157,2458m6313,2410l6313,2458m6481,2410l6481,2458m6637,2410l6637,2458m6805,2410l6805,2458m6973,2410l6973,2458m7129,2410l7129,2458e" filled="false" stroked="true" strokeweight=".599250pt" strokecolor="#858585">
              <v:path arrowok="t"/>
              <v:stroke dashstyle="solid"/>
            </v:shape>
            <v:shape style="position:absolute;left:2229;top:92;width:4906;height:1677" coordorigin="2229,93" coordsize="4906,1677" path="m2229,93l2397,560,2553,1003,2721,1302,2877,1506,3045,1614,3213,1662,3368,1662,3536,1638,3704,1602,3860,1566,4028,1542,4184,1518,4352,1494,4520,1482,4676,1470,4844,1470,5012,1482,5168,1494,5336,1506,5491,1530,5659,1554,5827,1578,5983,1614,6151,1638,6319,1662,6475,1698,6643,1722,6811,1734,6967,1758,7135,1770e" filled="false" stroked="true" strokeweight="1.197769pt" strokecolor="#ffffff">
              <v:path arrowok="t"/>
              <v:stroke dashstyle="longdash"/>
            </v:shape>
            <w10:wrap type="none"/>
          </v:group>
        </w:pict>
      </w:r>
      <w:r>
        <w:rPr>
          <w:rFonts w:ascii="Calibri"/>
          <w:sz w:val="15"/>
        </w:rPr>
        <w:t>100%</w:t>
      </w:r>
    </w:p>
    <w:p>
      <w:pPr>
        <w:spacing w:before="49"/>
        <w:ind w:left="0" w:right="980" w:firstLine="0"/>
        <w:jc w:val="right"/>
        <w:rPr>
          <w:rFonts w:ascii="Calibri"/>
          <w:sz w:val="15"/>
        </w:rPr>
      </w:pPr>
      <w:r>
        <w:rPr/>
        <w:pict>
          <v:shape style="position:absolute;margin-left:74.910973pt;margin-top:7.784968pt;width:9.8pt;height:91.95pt;mso-position-horizontal-relative:page;mso-position-vertical-relative:paragraph;z-index:252188672" type="#_x0000_t202" filled="false" stroked="false">
            <v:textbox inset="0,0,0,0" style="layout-flow:vertical;mso-layout-flow-alt:bottom-to-top">
              <w:txbxContent>
                <w:p>
                  <w:pPr>
                    <w:spacing w:line="177" w:lineRule="exact" w:before="0"/>
                    <w:ind w:left="20" w:right="0" w:firstLine="0"/>
                    <w:jc w:val="left"/>
                    <w:rPr>
                      <w:rFonts w:ascii="Calibri"/>
                      <w:b/>
                      <w:sz w:val="15"/>
                    </w:rPr>
                  </w:pPr>
                  <w:r>
                    <w:rPr>
                      <w:rFonts w:ascii="Calibri"/>
                      <w:b/>
                      <w:w w:val="105"/>
                      <w:sz w:val="15"/>
                    </w:rPr>
                    <w:t>Proportion In Welfare Class</w:t>
                  </w:r>
                </w:p>
              </w:txbxContent>
            </v:textbox>
            <w10:wrap type="none"/>
          </v:shape>
        </w:pict>
      </w:r>
      <w:r>
        <w:rPr>
          <w:rFonts w:ascii="Calibri"/>
          <w:spacing w:val="2"/>
          <w:sz w:val="15"/>
        </w:rPr>
        <w:t>90%</w:t>
      </w:r>
    </w:p>
    <w:p>
      <w:pPr>
        <w:spacing w:before="48"/>
        <w:ind w:left="0" w:right="980" w:firstLine="0"/>
        <w:jc w:val="right"/>
        <w:rPr>
          <w:rFonts w:ascii="Calibri"/>
          <w:sz w:val="15"/>
        </w:rPr>
      </w:pPr>
      <w:r>
        <w:rPr>
          <w:rFonts w:ascii="Calibri"/>
          <w:spacing w:val="2"/>
          <w:sz w:val="15"/>
        </w:rPr>
        <w:t>80%</w:t>
      </w:r>
    </w:p>
    <w:p>
      <w:pPr>
        <w:spacing w:before="49"/>
        <w:ind w:left="0" w:right="980" w:firstLine="0"/>
        <w:jc w:val="right"/>
        <w:rPr>
          <w:rFonts w:ascii="Calibri"/>
          <w:sz w:val="15"/>
        </w:rPr>
      </w:pPr>
      <w:r>
        <w:rPr>
          <w:rFonts w:ascii="Calibri"/>
          <w:spacing w:val="2"/>
          <w:sz w:val="15"/>
        </w:rPr>
        <w:t>70%</w:t>
      </w:r>
    </w:p>
    <w:p>
      <w:pPr>
        <w:spacing w:before="48"/>
        <w:ind w:left="0" w:right="980" w:firstLine="0"/>
        <w:jc w:val="right"/>
        <w:rPr>
          <w:rFonts w:ascii="Calibri"/>
          <w:sz w:val="15"/>
        </w:rPr>
      </w:pPr>
      <w:r>
        <w:rPr>
          <w:rFonts w:ascii="Calibri"/>
          <w:spacing w:val="2"/>
          <w:sz w:val="15"/>
        </w:rPr>
        <w:t>60%</w:t>
      </w:r>
    </w:p>
    <w:p>
      <w:pPr>
        <w:spacing w:before="48"/>
        <w:ind w:left="0" w:right="980" w:firstLine="0"/>
        <w:jc w:val="right"/>
        <w:rPr>
          <w:rFonts w:ascii="Calibri"/>
          <w:sz w:val="15"/>
        </w:rPr>
      </w:pPr>
      <w:r>
        <w:rPr>
          <w:rFonts w:ascii="Calibri"/>
          <w:spacing w:val="2"/>
          <w:sz w:val="15"/>
        </w:rPr>
        <w:t>50%</w:t>
      </w:r>
    </w:p>
    <w:p>
      <w:pPr>
        <w:spacing w:before="49"/>
        <w:ind w:left="0" w:right="980" w:firstLine="0"/>
        <w:jc w:val="right"/>
        <w:rPr>
          <w:rFonts w:ascii="Calibri"/>
          <w:sz w:val="15"/>
        </w:rPr>
      </w:pPr>
      <w:r>
        <w:rPr>
          <w:rFonts w:ascii="Calibri"/>
          <w:spacing w:val="2"/>
          <w:sz w:val="15"/>
        </w:rPr>
        <w:t>40%</w:t>
      </w:r>
    </w:p>
    <w:p>
      <w:pPr>
        <w:spacing w:before="48"/>
        <w:ind w:left="0" w:right="980" w:firstLine="0"/>
        <w:jc w:val="right"/>
        <w:rPr>
          <w:rFonts w:ascii="Calibri"/>
          <w:sz w:val="15"/>
        </w:rPr>
      </w:pPr>
      <w:r>
        <w:rPr>
          <w:rFonts w:ascii="Calibri"/>
          <w:spacing w:val="2"/>
          <w:sz w:val="15"/>
        </w:rPr>
        <w:t>30%</w:t>
      </w:r>
    </w:p>
    <w:p>
      <w:pPr>
        <w:spacing w:before="49"/>
        <w:ind w:left="0" w:right="980" w:firstLine="0"/>
        <w:jc w:val="right"/>
        <w:rPr>
          <w:rFonts w:ascii="Calibri"/>
          <w:sz w:val="15"/>
        </w:rPr>
      </w:pPr>
      <w:r>
        <w:rPr>
          <w:rFonts w:ascii="Calibri"/>
          <w:spacing w:val="2"/>
          <w:sz w:val="15"/>
        </w:rPr>
        <w:t>20%</w:t>
      </w:r>
    </w:p>
    <w:p>
      <w:pPr>
        <w:spacing w:before="48"/>
        <w:ind w:left="0" w:right="980" w:firstLine="0"/>
        <w:jc w:val="right"/>
        <w:rPr>
          <w:rFonts w:ascii="Calibri"/>
          <w:sz w:val="15"/>
        </w:rPr>
      </w:pPr>
      <w:r>
        <w:rPr>
          <w:rFonts w:ascii="Calibri"/>
          <w:spacing w:val="2"/>
          <w:sz w:val="15"/>
        </w:rPr>
        <w:t>10%</w:t>
      </w:r>
    </w:p>
    <w:p>
      <w:pPr>
        <w:spacing w:before="49"/>
        <w:ind w:left="0" w:right="983" w:firstLine="0"/>
        <w:jc w:val="right"/>
        <w:rPr>
          <w:rFonts w:ascii="Calibri"/>
          <w:sz w:val="15"/>
        </w:rPr>
      </w:pPr>
      <w:r>
        <w:rPr>
          <w:rFonts w:ascii="Calibri"/>
          <w:w w:val="105"/>
          <w:sz w:val="15"/>
        </w:rPr>
        <w:t>0%</w:t>
      </w:r>
    </w:p>
    <w:p>
      <w:pPr>
        <w:pStyle w:val="BodyText"/>
        <w:spacing w:before="10"/>
        <w:rPr>
          <w:rFonts w:ascii="Calibri"/>
          <w:sz w:val="5"/>
        </w:rPr>
      </w:pPr>
    </w:p>
    <w:p>
      <w:pPr>
        <w:pStyle w:val="BodyText"/>
        <w:tabs>
          <w:tab w:pos="2681" w:val="left" w:leader="none"/>
        </w:tabs>
        <w:ind w:left="1864" w:right="-44"/>
        <w:rPr>
          <w:rFonts w:ascii="Calibri"/>
        </w:rPr>
      </w:pPr>
      <w:r>
        <w:rPr>
          <w:rFonts w:ascii="Calibri"/>
        </w:rPr>
        <w:drawing>
          <wp:inline distT="0" distB="0" distL="0" distR="0">
            <wp:extent cx="168755" cy="171450"/>
            <wp:effectExtent l="0" t="0" r="0" b="0"/>
            <wp:docPr id="69" name="image56.png"/>
            <wp:cNvGraphicFramePr>
              <a:graphicFrameLocks noChangeAspect="1"/>
            </wp:cNvGraphicFramePr>
            <a:graphic>
              <a:graphicData uri="http://schemas.openxmlformats.org/drawingml/2006/picture">
                <pic:pic>
                  <pic:nvPicPr>
                    <pic:cNvPr id="70" name="image56.png"/>
                    <pic:cNvPicPr/>
                  </pic:nvPicPr>
                  <pic:blipFill>
                    <a:blip r:embed="rId78" cstate="print"/>
                    <a:stretch>
                      <a:fillRect/>
                    </a:stretch>
                  </pic:blipFill>
                  <pic:spPr>
                    <a:xfrm>
                      <a:off x="0" y="0"/>
                      <a:ext cx="168755" cy="171450"/>
                    </a:xfrm>
                    <a:prstGeom prst="rect">
                      <a:avLst/>
                    </a:prstGeom>
                  </pic:spPr>
                </pic:pic>
              </a:graphicData>
            </a:graphic>
          </wp:inline>
        </w:drawing>
      </w:r>
      <w:r>
        <w:rPr>
          <w:rFonts w:ascii="Calibri"/>
        </w:rPr>
      </w:r>
      <w:r>
        <w:rPr>
          <w:rFonts w:ascii="Calibri"/>
        </w:rPr>
        <w:tab/>
      </w:r>
      <w:r>
        <w:rPr>
          <w:rFonts w:ascii="Calibri"/>
        </w:rPr>
        <w:drawing>
          <wp:inline distT="0" distB="0" distL="0" distR="0">
            <wp:extent cx="167142" cy="170021"/>
            <wp:effectExtent l="0" t="0" r="0" b="0"/>
            <wp:docPr id="71" name="image57.png"/>
            <wp:cNvGraphicFramePr>
              <a:graphicFrameLocks noChangeAspect="1"/>
            </wp:cNvGraphicFramePr>
            <a:graphic>
              <a:graphicData uri="http://schemas.openxmlformats.org/drawingml/2006/picture">
                <pic:pic>
                  <pic:nvPicPr>
                    <pic:cNvPr id="72" name="image57.png"/>
                    <pic:cNvPicPr/>
                  </pic:nvPicPr>
                  <pic:blipFill>
                    <a:blip r:embed="rId79" cstate="print"/>
                    <a:stretch>
                      <a:fillRect/>
                    </a:stretch>
                  </pic:blipFill>
                  <pic:spPr>
                    <a:xfrm>
                      <a:off x="0" y="0"/>
                      <a:ext cx="167142" cy="170021"/>
                    </a:xfrm>
                    <a:prstGeom prst="rect">
                      <a:avLst/>
                    </a:prstGeom>
                  </pic:spPr>
                </pic:pic>
              </a:graphicData>
            </a:graphic>
          </wp:inline>
        </w:drawing>
      </w:r>
      <w:r>
        <w:rPr>
          <w:rFonts w:ascii="Calibri"/>
        </w:rPr>
      </w:r>
    </w:p>
    <w:p>
      <w:pPr>
        <w:pStyle w:val="BodyText"/>
        <w:rPr>
          <w:rFonts w:ascii="Calibri"/>
        </w:rPr>
      </w:pPr>
      <w:r>
        <w:rPr/>
        <w:br w:type="column"/>
      </w:r>
      <w:r>
        <w:rPr>
          <w:rFonts w:ascii="Calibri"/>
        </w:rPr>
      </w: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spacing w:before="6"/>
        <w:rPr>
          <w:rFonts w:ascii="Calibri"/>
          <w:sz w:val="21"/>
        </w:rPr>
      </w:pPr>
      <w:r>
        <w:rPr/>
        <w:drawing>
          <wp:anchor distT="0" distB="0" distL="0" distR="0" allowOverlap="1" layoutInCell="1" locked="0" behindDoc="0" simplePos="0" relativeHeight="511">
            <wp:simplePos x="0" y="0"/>
            <wp:positionH relativeFrom="page">
              <wp:posOffset>2297798</wp:posOffset>
            </wp:positionH>
            <wp:positionV relativeFrom="paragraph">
              <wp:posOffset>191353</wp:posOffset>
            </wp:positionV>
            <wp:extent cx="168755" cy="171450"/>
            <wp:effectExtent l="0" t="0" r="0" b="0"/>
            <wp:wrapTopAndBottom/>
            <wp:docPr id="73" name="image58.png"/>
            <wp:cNvGraphicFramePr>
              <a:graphicFrameLocks noChangeAspect="1"/>
            </wp:cNvGraphicFramePr>
            <a:graphic>
              <a:graphicData uri="http://schemas.openxmlformats.org/drawingml/2006/picture">
                <pic:pic>
                  <pic:nvPicPr>
                    <pic:cNvPr id="74" name="image58.png"/>
                    <pic:cNvPicPr/>
                  </pic:nvPicPr>
                  <pic:blipFill>
                    <a:blip r:embed="rId80" cstate="print"/>
                    <a:stretch>
                      <a:fillRect/>
                    </a:stretch>
                  </pic:blipFill>
                  <pic:spPr>
                    <a:xfrm>
                      <a:off x="0" y="0"/>
                      <a:ext cx="168755" cy="171450"/>
                    </a:xfrm>
                    <a:prstGeom prst="rect">
                      <a:avLst/>
                    </a:prstGeom>
                  </pic:spPr>
                </pic:pic>
              </a:graphicData>
            </a:graphic>
          </wp:anchor>
        </w:drawing>
      </w:r>
      <w:r>
        <w:rPr/>
        <w:drawing>
          <wp:anchor distT="0" distB="0" distL="0" distR="0" allowOverlap="1" layoutInCell="1" locked="0" behindDoc="0" simplePos="0" relativeHeight="512">
            <wp:simplePos x="0" y="0"/>
            <wp:positionH relativeFrom="page">
              <wp:posOffset>2816756</wp:posOffset>
            </wp:positionH>
            <wp:positionV relativeFrom="paragraph">
              <wp:posOffset>193277</wp:posOffset>
            </wp:positionV>
            <wp:extent cx="167142" cy="170021"/>
            <wp:effectExtent l="0" t="0" r="0" b="0"/>
            <wp:wrapTopAndBottom/>
            <wp:docPr id="75" name="image59.png"/>
            <wp:cNvGraphicFramePr>
              <a:graphicFrameLocks noChangeAspect="1"/>
            </wp:cNvGraphicFramePr>
            <a:graphic>
              <a:graphicData uri="http://schemas.openxmlformats.org/drawingml/2006/picture">
                <pic:pic>
                  <pic:nvPicPr>
                    <pic:cNvPr id="76" name="image59.png"/>
                    <pic:cNvPicPr/>
                  </pic:nvPicPr>
                  <pic:blipFill>
                    <a:blip r:embed="rId81" cstate="print"/>
                    <a:stretch>
                      <a:fillRect/>
                    </a:stretch>
                  </pic:blipFill>
                  <pic:spPr>
                    <a:xfrm>
                      <a:off x="0" y="0"/>
                      <a:ext cx="167142" cy="170021"/>
                    </a:xfrm>
                    <a:prstGeom prst="rect">
                      <a:avLst/>
                    </a:prstGeom>
                  </pic:spPr>
                </pic:pic>
              </a:graphicData>
            </a:graphic>
          </wp:anchor>
        </w:drawing>
      </w:r>
      <w:r>
        <w:rPr/>
        <w:drawing>
          <wp:anchor distT="0" distB="0" distL="0" distR="0" allowOverlap="1" layoutInCell="1" locked="0" behindDoc="0" simplePos="0" relativeHeight="513">
            <wp:simplePos x="0" y="0"/>
            <wp:positionH relativeFrom="page">
              <wp:posOffset>3335713</wp:posOffset>
            </wp:positionH>
            <wp:positionV relativeFrom="paragraph">
              <wp:posOffset>191354</wp:posOffset>
            </wp:positionV>
            <wp:extent cx="168755" cy="171450"/>
            <wp:effectExtent l="0" t="0" r="0" b="0"/>
            <wp:wrapTopAndBottom/>
            <wp:docPr id="77" name="image60.png"/>
            <wp:cNvGraphicFramePr>
              <a:graphicFrameLocks noChangeAspect="1"/>
            </wp:cNvGraphicFramePr>
            <a:graphic>
              <a:graphicData uri="http://schemas.openxmlformats.org/drawingml/2006/picture">
                <pic:pic>
                  <pic:nvPicPr>
                    <pic:cNvPr id="78" name="image60.png"/>
                    <pic:cNvPicPr/>
                  </pic:nvPicPr>
                  <pic:blipFill>
                    <a:blip r:embed="rId82" cstate="print"/>
                    <a:stretch>
                      <a:fillRect/>
                    </a:stretch>
                  </pic:blipFill>
                  <pic:spPr>
                    <a:xfrm>
                      <a:off x="0" y="0"/>
                      <a:ext cx="168755" cy="171450"/>
                    </a:xfrm>
                    <a:prstGeom prst="rect">
                      <a:avLst/>
                    </a:prstGeom>
                  </pic:spPr>
                </pic:pic>
              </a:graphicData>
            </a:graphic>
          </wp:anchor>
        </w:drawing>
      </w:r>
      <w:r>
        <w:rPr/>
        <w:drawing>
          <wp:anchor distT="0" distB="0" distL="0" distR="0" allowOverlap="1" layoutInCell="1" locked="0" behindDoc="0" simplePos="0" relativeHeight="514">
            <wp:simplePos x="0" y="0"/>
            <wp:positionH relativeFrom="page">
              <wp:posOffset>3854670</wp:posOffset>
            </wp:positionH>
            <wp:positionV relativeFrom="paragraph">
              <wp:posOffset>193277</wp:posOffset>
            </wp:positionV>
            <wp:extent cx="167142" cy="170021"/>
            <wp:effectExtent l="0" t="0" r="0" b="0"/>
            <wp:wrapTopAndBottom/>
            <wp:docPr id="79" name="image61.png"/>
            <wp:cNvGraphicFramePr>
              <a:graphicFrameLocks noChangeAspect="1"/>
            </wp:cNvGraphicFramePr>
            <a:graphic>
              <a:graphicData uri="http://schemas.openxmlformats.org/drawingml/2006/picture">
                <pic:pic>
                  <pic:nvPicPr>
                    <pic:cNvPr id="80" name="image61.png"/>
                    <pic:cNvPicPr/>
                  </pic:nvPicPr>
                  <pic:blipFill>
                    <a:blip r:embed="rId83" cstate="print"/>
                    <a:stretch>
                      <a:fillRect/>
                    </a:stretch>
                  </pic:blipFill>
                  <pic:spPr>
                    <a:xfrm>
                      <a:off x="0" y="0"/>
                      <a:ext cx="167142" cy="170021"/>
                    </a:xfrm>
                    <a:prstGeom prst="rect">
                      <a:avLst/>
                    </a:prstGeom>
                  </pic:spPr>
                </pic:pic>
              </a:graphicData>
            </a:graphic>
          </wp:anchor>
        </w:drawing>
      </w:r>
      <w:r>
        <w:rPr/>
        <w:drawing>
          <wp:anchor distT="0" distB="0" distL="0" distR="0" allowOverlap="1" layoutInCell="1" locked="0" behindDoc="0" simplePos="0" relativeHeight="515">
            <wp:simplePos x="0" y="0"/>
            <wp:positionH relativeFrom="page">
              <wp:posOffset>4373629</wp:posOffset>
            </wp:positionH>
            <wp:positionV relativeFrom="paragraph">
              <wp:posOffset>191353</wp:posOffset>
            </wp:positionV>
            <wp:extent cx="168755" cy="171450"/>
            <wp:effectExtent l="0" t="0" r="0" b="0"/>
            <wp:wrapTopAndBottom/>
            <wp:docPr id="81" name="image62.png"/>
            <wp:cNvGraphicFramePr>
              <a:graphicFrameLocks noChangeAspect="1"/>
            </wp:cNvGraphicFramePr>
            <a:graphic>
              <a:graphicData uri="http://schemas.openxmlformats.org/drawingml/2006/picture">
                <pic:pic>
                  <pic:nvPicPr>
                    <pic:cNvPr id="82" name="image62.png"/>
                    <pic:cNvPicPr/>
                  </pic:nvPicPr>
                  <pic:blipFill>
                    <a:blip r:embed="rId84" cstate="print"/>
                    <a:stretch>
                      <a:fillRect/>
                    </a:stretch>
                  </pic:blipFill>
                  <pic:spPr>
                    <a:xfrm>
                      <a:off x="0" y="0"/>
                      <a:ext cx="168755" cy="171450"/>
                    </a:xfrm>
                    <a:prstGeom prst="rect">
                      <a:avLst/>
                    </a:prstGeom>
                  </pic:spPr>
                </pic:pic>
              </a:graphicData>
            </a:graphic>
          </wp:anchor>
        </w:drawing>
      </w:r>
    </w:p>
    <w:p>
      <w:pPr>
        <w:spacing w:before="68"/>
        <w:ind w:left="1404" w:right="2310" w:firstLine="0"/>
        <w:jc w:val="center"/>
        <w:rPr>
          <w:rFonts w:ascii="Calibri"/>
          <w:b/>
          <w:sz w:val="15"/>
        </w:rPr>
      </w:pPr>
      <w:r>
        <w:rPr>
          <w:rFonts w:ascii="Calibri"/>
          <w:b/>
          <w:w w:val="105"/>
          <w:sz w:val="15"/>
        </w:rPr>
        <w:t>Year</w:t>
      </w:r>
    </w:p>
    <w:p>
      <w:pPr>
        <w:pStyle w:val="BodyText"/>
        <w:rPr>
          <w:rFonts w:ascii="Calibri"/>
          <w:b/>
          <w:sz w:val="14"/>
        </w:rPr>
      </w:pPr>
      <w:r>
        <w:rPr/>
        <w:br w:type="column"/>
      </w:r>
      <w:r>
        <w:rPr>
          <w:rFonts w:ascii="Calibri"/>
          <w:b/>
          <w:sz w:val="14"/>
        </w:rPr>
      </w:r>
    </w:p>
    <w:p>
      <w:pPr>
        <w:pStyle w:val="BodyText"/>
        <w:spacing w:before="7"/>
        <w:rPr>
          <w:rFonts w:ascii="Calibri"/>
          <w:b/>
          <w:sz w:val="12"/>
        </w:rPr>
      </w:pPr>
    </w:p>
    <w:p>
      <w:pPr>
        <w:spacing w:before="0"/>
        <w:ind w:left="821" w:right="0" w:firstLine="0"/>
        <w:jc w:val="left"/>
        <w:rPr>
          <w:rFonts w:ascii="Calibri"/>
          <w:sz w:val="14"/>
        </w:rPr>
      </w:pPr>
      <w:r>
        <w:rPr>
          <w:rFonts w:ascii="Calibri"/>
          <w:sz w:val="14"/>
        </w:rPr>
        <w:t>Class key:</w:t>
      </w:r>
    </w:p>
    <w:p>
      <w:pPr>
        <w:pStyle w:val="ListParagraph"/>
        <w:numPr>
          <w:ilvl w:val="0"/>
          <w:numId w:val="40"/>
        </w:numPr>
        <w:tabs>
          <w:tab w:pos="1278" w:val="left" w:leader="none"/>
        </w:tabs>
        <w:spacing w:line="240" w:lineRule="auto" w:before="15" w:after="0"/>
        <w:ind w:left="1277" w:right="0" w:hanging="104"/>
        <w:jc w:val="left"/>
        <w:rPr>
          <w:rFonts w:ascii="Calibri"/>
          <w:sz w:val="14"/>
        </w:rPr>
      </w:pPr>
      <w:r>
        <w:rPr/>
        <w:pict>
          <v:group style="position:absolute;margin-left:399.710632pt;margin-top:.044pt;width:17.9pt;height:130.5pt;mso-position-horizontal-relative:page;mso-position-vertical-relative:paragraph;z-index:252187648" coordorigin="7994,1" coordsize="358,2610">
            <v:rect style="position:absolute;left:7997;top:0;width:354;height:186" filled="true" fillcolor="#1f487c" stroked="false">
              <v:fill type="solid"/>
            </v:rect>
            <v:rect style="position:absolute;left:7997;top:186;width:354;height:186" filled="true" fillcolor="#009544" stroked="false">
              <v:fill type="solid"/>
            </v:rect>
            <v:rect style="position:absolute;left:7997;top:372;width:354;height:186" filled="true" fillcolor="#e16b09" stroked="false">
              <v:fill type="solid"/>
            </v:rect>
            <v:rect style="position:absolute;left:7997;top:558;width:354;height:186" filled="true" fillcolor="#e08ad6" stroked="false">
              <v:fill type="solid"/>
            </v:rect>
            <v:rect style="position:absolute;left:7997;top:744;width:354;height:186" filled="true" fillcolor="#8063a1" stroked="false">
              <v:fill type="solid"/>
            </v:rect>
            <v:rect style="position:absolute;left:7997;top:930;width:354;height:186" filled="true" fillcolor="#c0504d" stroked="false">
              <v:fill type="solid"/>
            </v:rect>
            <v:rect style="position:absolute;left:7997;top:1116;width:354;height:186" filled="true" fillcolor="#f8a763" stroked="false">
              <v:fill type="solid"/>
            </v:rect>
            <v:rect style="position:absolute;left:7997;top:1302;width:354;height:186" filled="true" fillcolor="#ecb8e7" stroked="false">
              <v:fill type="solid"/>
            </v:rect>
            <v:rect style="position:absolute;left:7997;top:1488;width:354;height:186" filled="true" fillcolor="#938953" stroked="false">
              <v:fill type="solid"/>
            </v:rect>
            <v:rect style="position:absolute;left:7997;top:1674;width:354;height:186" filled="true" fillcolor="#ffd600" stroked="false">
              <v:fill type="solid"/>
            </v:rect>
            <v:rect style="position:absolute;left:7997;top:1859;width:354;height:186" filled="true" fillcolor="#000000" stroked="false">
              <v:fill type="solid"/>
            </v:rect>
            <v:rect style="position:absolute;left:7997;top:2045;width:354;height:186" filled="true" fillcolor="#ffeb8f" stroked="false">
              <v:fill type="solid"/>
            </v:rect>
            <v:rect style="position:absolute;left:7997;top:2231;width:354;height:379" filled="true" fillcolor="#a6a6a6" stroked="false">
              <v:fill type="solid"/>
            </v:rect>
            <v:line style="position:absolute" from="8344,7" to="8344,2610" stroked="true" strokeweight="0pt" strokecolor="#ffffff">
              <v:stroke dashstyle="solid"/>
            </v:line>
            <v:line style="position:absolute" from="8347,7" to="8347,2610" stroked="true" strokeweight=".321105pt" strokecolor="#ffffff">
              <v:stroke dashstyle="solid"/>
            </v:line>
            <v:line style="position:absolute" from="7997,4" to="8351,4" stroked="true" strokeweight=".320535pt" strokecolor="#ffffff">
              <v:stroke dashstyle="solid"/>
            </v:line>
            <v:line style="position:absolute" from="7997,187" to="8351,187" stroked="true" strokeweight="0pt" strokecolor="#ffffff">
              <v:stroke dashstyle="solid"/>
            </v:line>
            <v:line style="position:absolute" from="7997,190" to="8351,190" stroked="true" strokeweight=".320535pt" strokecolor="#ffffff">
              <v:stroke dashstyle="solid"/>
            </v:line>
            <v:line style="position:absolute" from="7997,373" to="8351,373" stroked="true" strokeweight="0pt" strokecolor="#ffffff">
              <v:stroke dashstyle="solid"/>
            </v:line>
            <v:line style="position:absolute" from="7997,376" to="8351,376" stroked="true" strokeweight=".320535pt" strokecolor="#ffffff">
              <v:stroke dashstyle="solid"/>
            </v:line>
            <v:line style="position:absolute" from="7997,559" to="8351,559" stroked="true" strokeweight="0pt" strokecolor="#ffffff">
              <v:stroke dashstyle="solid"/>
            </v:line>
            <v:line style="position:absolute" from="7997,562" to="8351,562" stroked="true" strokeweight=".320535pt" strokecolor="#ffffff">
              <v:stroke dashstyle="solid"/>
            </v:line>
            <v:line style="position:absolute" from="7997,745" to="8351,745" stroked="true" strokeweight="0pt" strokecolor="#ffffff">
              <v:stroke dashstyle="solid"/>
            </v:line>
            <v:line style="position:absolute" from="7997,748" to="8351,748" stroked="true" strokeweight=".320535pt" strokecolor="#ffffff">
              <v:stroke dashstyle="solid"/>
            </v:line>
            <v:line style="position:absolute" from="7997,930" to="8351,930" stroked="true" strokeweight="0pt" strokecolor="#ffffff">
              <v:stroke dashstyle="solid"/>
            </v:line>
            <v:line style="position:absolute" from="7997,934" to="8351,934" stroked="true" strokeweight=".320535pt" strokecolor="#ffffff">
              <v:stroke dashstyle="solid"/>
            </v:line>
            <v:line style="position:absolute" from="7997,1116" to="8351,1116" stroked="true" strokeweight="0pt" strokecolor="#ffffff">
              <v:stroke dashstyle="solid"/>
            </v:line>
            <v:line style="position:absolute" from="7997,1120" to="8351,1120" stroked="true" strokeweight=".320535pt" strokecolor="#ffffff">
              <v:stroke dashstyle="solid"/>
            </v:line>
            <v:line style="position:absolute" from="7997,1302" to="8351,1302" stroked="true" strokeweight="0pt" strokecolor="#ffffff">
              <v:stroke dashstyle="solid"/>
            </v:line>
            <v:line style="position:absolute" from="7997,1305" to="8351,1305" stroked="true" strokeweight=".320535pt" strokecolor="#ffffff">
              <v:stroke dashstyle="solid"/>
            </v:line>
            <v:line style="position:absolute" from="7997,1488" to="8351,1488" stroked="true" strokeweight="0pt" strokecolor="#ffffff">
              <v:stroke dashstyle="solid"/>
            </v:line>
            <v:line style="position:absolute" from="7997,1491" to="8351,1491" stroked="true" strokeweight=".320535pt" strokecolor="#ffffff">
              <v:stroke dashstyle="solid"/>
            </v:line>
            <v:line style="position:absolute" from="7997,1674" to="8351,1674" stroked="true" strokeweight="0pt" strokecolor="#ffffff">
              <v:stroke dashstyle="solid"/>
            </v:line>
            <v:line style="position:absolute" from="7997,1677" to="8351,1677" stroked="true" strokeweight=".320535pt" strokecolor="#ffffff">
              <v:stroke dashstyle="solid"/>
            </v:line>
            <v:line style="position:absolute" from="7997,1860" to="8351,1860" stroked="true" strokeweight="0pt" strokecolor="#ffffff">
              <v:stroke dashstyle="solid"/>
            </v:line>
            <v:line style="position:absolute" from="7997,1863" to="8351,1863" stroked="true" strokeweight=".320856pt" strokecolor="#ffffff">
              <v:stroke dashstyle="solid"/>
            </v:line>
            <v:line style="position:absolute" from="7997,2046" to="8351,2046" stroked="true" strokeweight="0pt" strokecolor="#ffffff">
              <v:stroke dashstyle="solid"/>
            </v:line>
            <v:line style="position:absolute" from="7997,2049" to="8351,2049" stroked="true" strokeweight=".320535pt" strokecolor="#ffffff">
              <v:stroke dashstyle="solid"/>
            </v:line>
            <v:line style="position:absolute" from="7997,2232" to="8351,2232" stroked="true" strokeweight="0pt" strokecolor="#ffffff">
              <v:stroke dashstyle="solid"/>
            </v:line>
            <v:line style="position:absolute" from="7997,2235" to="8351,2235" stroked="true" strokeweight=".320535pt" strokecolor="#ffffff">
              <v:stroke dashstyle="solid"/>
            </v:line>
            <v:line style="position:absolute" from="7997,2418" to="8351,2418" stroked="true" strokeweight="0pt" strokecolor="#ffffff">
              <v:stroke dashstyle="solid"/>
            </v:line>
            <v:line style="position:absolute" from="7997,2421" to="8351,2421" stroked="true" strokeweight=".320535pt" strokecolor="#ffffff">
              <v:stroke dashstyle="solid"/>
            </v:line>
            <v:line style="position:absolute" from="7997,2604" to="8351,2604" stroked="true" strokeweight="0pt" strokecolor="#ffffff">
              <v:stroke dashstyle="solid"/>
            </v:line>
            <v:line style="position:absolute" from="7997,2607" to="8351,2607" stroked="true" strokeweight=".320535pt" strokecolor="#ffffff">
              <v:stroke dashstyle="solid"/>
            </v:line>
            <v:line style="position:absolute" from="7994,2344" to="8352,2344" stroked="true" strokeweight=".961678pt" strokecolor="#ffffff">
              <v:stroke dashstyle="solid"/>
            </v:line>
            <v:line style="position:absolute" from="7994,2517" to="8352,2517" stroked="true" strokeweight=".961678pt" strokecolor="#ffffff">
              <v:stroke dashstyle="solid"/>
            </v:line>
            <w10:wrap type="none"/>
          </v:group>
        </w:pict>
      </w:r>
      <w:r>
        <w:rPr>
          <w:rFonts w:ascii="Calibri"/>
          <w:sz w:val="14"/>
        </w:rPr>
        <w:t>Studying</w:t>
      </w:r>
    </w:p>
    <w:p>
      <w:pPr>
        <w:pStyle w:val="ListParagraph"/>
        <w:numPr>
          <w:ilvl w:val="0"/>
          <w:numId w:val="40"/>
        </w:numPr>
        <w:tabs>
          <w:tab w:pos="1278" w:val="left" w:leader="none"/>
        </w:tabs>
        <w:spacing w:line="240" w:lineRule="auto" w:before="15" w:after="0"/>
        <w:ind w:left="1277" w:right="0" w:hanging="104"/>
        <w:jc w:val="left"/>
        <w:rPr>
          <w:rFonts w:ascii="Calibri"/>
          <w:sz w:val="14"/>
        </w:rPr>
      </w:pPr>
      <w:r>
        <w:rPr>
          <w:rFonts w:ascii="Calibri"/>
          <w:sz w:val="14"/>
        </w:rPr>
        <w:t>Working</w:t>
      </w:r>
      <w:r>
        <w:rPr>
          <w:rFonts w:ascii="Calibri"/>
          <w:spacing w:val="-2"/>
          <w:sz w:val="14"/>
        </w:rPr>
        <w:t> </w:t>
      </w:r>
      <w:r>
        <w:rPr>
          <w:rFonts w:ascii="Calibri"/>
          <w:sz w:val="14"/>
        </w:rPr>
        <w:t>Age</w:t>
      </w:r>
    </w:p>
    <w:p>
      <w:pPr>
        <w:pStyle w:val="ListParagraph"/>
        <w:numPr>
          <w:ilvl w:val="0"/>
          <w:numId w:val="40"/>
        </w:numPr>
        <w:tabs>
          <w:tab w:pos="1278" w:val="left" w:leader="none"/>
        </w:tabs>
        <w:spacing w:line="240" w:lineRule="auto" w:before="15" w:after="0"/>
        <w:ind w:left="1277" w:right="0" w:hanging="104"/>
        <w:jc w:val="left"/>
        <w:rPr>
          <w:rFonts w:ascii="Calibri"/>
          <w:sz w:val="14"/>
        </w:rPr>
      </w:pPr>
      <w:r>
        <w:rPr>
          <w:rFonts w:ascii="Calibri"/>
          <w:sz w:val="14"/>
        </w:rPr>
        <w:t>Parents</w:t>
      </w:r>
    </w:p>
    <w:p>
      <w:pPr>
        <w:pStyle w:val="ListParagraph"/>
        <w:numPr>
          <w:ilvl w:val="0"/>
          <w:numId w:val="40"/>
        </w:numPr>
        <w:tabs>
          <w:tab w:pos="1278" w:val="left" w:leader="none"/>
        </w:tabs>
        <w:spacing w:line="240" w:lineRule="auto" w:before="15" w:after="0"/>
        <w:ind w:left="1277" w:right="0" w:hanging="104"/>
        <w:jc w:val="left"/>
        <w:rPr>
          <w:rFonts w:ascii="Calibri"/>
          <w:sz w:val="14"/>
        </w:rPr>
      </w:pPr>
      <w:r>
        <w:rPr>
          <w:rFonts w:ascii="Calibri"/>
          <w:sz w:val="14"/>
        </w:rPr>
        <w:t>Carers</w:t>
      </w:r>
    </w:p>
    <w:p>
      <w:pPr>
        <w:pStyle w:val="ListParagraph"/>
        <w:numPr>
          <w:ilvl w:val="0"/>
          <w:numId w:val="40"/>
        </w:numPr>
        <w:tabs>
          <w:tab w:pos="1278" w:val="left" w:leader="none"/>
        </w:tabs>
        <w:spacing w:line="240" w:lineRule="auto" w:before="15" w:after="0"/>
        <w:ind w:left="1277" w:right="0" w:hanging="104"/>
        <w:jc w:val="left"/>
        <w:rPr>
          <w:rFonts w:ascii="Calibri"/>
          <w:sz w:val="14"/>
        </w:rPr>
      </w:pPr>
      <w:r>
        <w:rPr>
          <w:rFonts w:ascii="Calibri"/>
          <w:sz w:val="14"/>
        </w:rPr>
        <w:t>Disability Support</w:t>
      </w:r>
    </w:p>
    <w:p>
      <w:pPr>
        <w:pStyle w:val="ListParagraph"/>
        <w:numPr>
          <w:ilvl w:val="0"/>
          <w:numId w:val="40"/>
        </w:numPr>
        <w:tabs>
          <w:tab w:pos="1278" w:val="left" w:leader="none"/>
        </w:tabs>
        <w:spacing w:line="261" w:lineRule="auto" w:before="15" w:after="0"/>
        <w:ind w:left="1174" w:right="2642" w:firstLine="0"/>
        <w:jc w:val="left"/>
        <w:rPr>
          <w:rFonts w:ascii="Calibri"/>
          <w:sz w:val="14"/>
        </w:rPr>
      </w:pPr>
      <w:r>
        <w:rPr>
          <w:rFonts w:ascii="Calibri"/>
          <w:sz w:val="14"/>
        </w:rPr>
        <w:t>Pension Age 7 Non IS Family 8 Non IS Carer 9 Non IS</w:t>
      </w:r>
      <w:r>
        <w:rPr>
          <w:rFonts w:ascii="Calibri"/>
          <w:spacing w:val="7"/>
          <w:sz w:val="14"/>
        </w:rPr>
        <w:t> </w:t>
      </w:r>
      <w:r>
        <w:rPr>
          <w:rFonts w:ascii="Calibri"/>
          <w:sz w:val="14"/>
        </w:rPr>
        <w:t>Other</w:t>
      </w:r>
    </w:p>
    <w:p>
      <w:pPr>
        <w:spacing w:line="261" w:lineRule="auto" w:before="0"/>
        <w:ind w:left="1174" w:right="1706" w:firstLine="0"/>
        <w:jc w:val="left"/>
        <w:rPr>
          <w:rFonts w:ascii="Calibri"/>
          <w:sz w:val="14"/>
        </w:rPr>
      </w:pPr>
      <w:r>
        <w:rPr>
          <w:rFonts w:ascii="Calibri"/>
          <w:sz w:val="14"/>
        </w:rPr>
        <w:t>10 Previous Welfare Recipient 11 Dead</w:t>
      </w:r>
    </w:p>
    <w:p>
      <w:pPr>
        <w:spacing w:line="261" w:lineRule="auto" w:before="0"/>
        <w:ind w:left="1174" w:right="1829" w:firstLine="0"/>
        <w:jc w:val="left"/>
        <w:rPr>
          <w:rFonts w:ascii="Calibri"/>
          <w:sz w:val="14"/>
        </w:rPr>
      </w:pPr>
      <w:r>
        <w:rPr>
          <w:rFonts w:ascii="Calibri"/>
          <w:sz w:val="14"/>
        </w:rPr>
        <w:t>12 Rest of Aust. Population Prior valuation - all active Prior valuation - current class</w:t>
      </w:r>
    </w:p>
    <w:p>
      <w:pPr>
        <w:spacing w:after="0" w:line="261" w:lineRule="auto"/>
        <w:jc w:val="left"/>
        <w:rPr>
          <w:rFonts w:ascii="Calibri"/>
          <w:sz w:val="14"/>
        </w:rPr>
        <w:sectPr>
          <w:type w:val="continuous"/>
          <w:pgSz w:w="11910" w:h="16850"/>
          <w:pgMar w:top="1600" w:bottom="280" w:left="120" w:right="0"/>
          <w:cols w:num="3" w:equalWidth="0">
            <w:col w:w="2946" w:space="40"/>
            <w:col w:w="4050" w:space="39"/>
            <w:col w:w="4715"/>
          </w:cols>
        </w:sectPr>
      </w:pPr>
    </w:p>
    <w:p>
      <w:pPr>
        <w:pStyle w:val="BodyText"/>
        <w:spacing w:before="3"/>
        <w:rPr>
          <w:rFonts w:ascii="Calibri"/>
          <w:sz w:val="21"/>
        </w:rPr>
      </w:pPr>
    </w:p>
    <w:p>
      <w:pPr>
        <w:pStyle w:val="BodyText"/>
        <w:spacing w:before="93"/>
        <w:ind w:left="900"/>
      </w:pPr>
      <w:r>
        <w:rPr>
          <w:color w:val="404040"/>
        </w:rPr>
        <w:t>Some observations we can make based on our analysis are that:</w:t>
      </w:r>
    </w:p>
    <w:p>
      <w:pPr>
        <w:pStyle w:val="ListParagraph"/>
        <w:numPr>
          <w:ilvl w:val="0"/>
          <w:numId w:val="39"/>
        </w:numPr>
        <w:tabs>
          <w:tab w:pos="1184" w:val="left" w:leader="none"/>
        </w:tabs>
        <w:spacing w:line="240" w:lineRule="auto" w:before="119" w:after="0"/>
        <w:ind w:left="1183" w:right="1140" w:hanging="284"/>
        <w:jc w:val="left"/>
        <w:rPr>
          <w:rFonts w:ascii="Symbol" w:hAnsi="Symbol"/>
          <w:color w:val="404040"/>
          <w:sz w:val="20"/>
        </w:rPr>
      </w:pPr>
      <w:r>
        <w:rPr>
          <w:color w:val="404040"/>
          <w:sz w:val="20"/>
        </w:rPr>
        <w:t>Similar to last year about 90% of people are projected to exit the class over the next five years. Over half of those</w:t>
      </w:r>
      <w:r>
        <w:rPr>
          <w:color w:val="404040"/>
          <w:spacing w:val="-4"/>
          <w:sz w:val="20"/>
        </w:rPr>
        <w:t> </w:t>
      </w:r>
      <w:r>
        <w:rPr>
          <w:color w:val="404040"/>
          <w:sz w:val="20"/>
        </w:rPr>
        <w:t>present</w:t>
      </w:r>
      <w:r>
        <w:rPr>
          <w:color w:val="404040"/>
          <w:spacing w:val="-4"/>
          <w:sz w:val="20"/>
        </w:rPr>
        <w:t> </w:t>
      </w:r>
      <w:r>
        <w:rPr>
          <w:color w:val="404040"/>
          <w:sz w:val="20"/>
        </w:rPr>
        <w:t>today</w:t>
      </w:r>
      <w:r>
        <w:rPr>
          <w:color w:val="404040"/>
          <w:spacing w:val="-4"/>
          <w:sz w:val="20"/>
        </w:rPr>
        <w:t> </w:t>
      </w:r>
      <w:r>
        <w:rPr>
          <w:color w:val="404040"/>
          <w:sz w:val="20"/>
        </w:rPr>
        <w:t>are</w:t>
      </w:r>
      <w:r>
        <w:rPr>
          <w:color w:val="404040"/>
          <w:spacing w:val="-4"/>
          <w:sz w:val="20"/>
        </w:rPr>
        <w:t> </w:t>
      </w:r>
      <w:r>
        <w:rPr>
          <w:color w:val="404040"/>
          <w:sz w:val="20"/>
        </w:rPr>
        <w:t>expected</w:t>
      </w:r>
      <w:r>
        <w:rPr>
          <w:color w:val="404040"/>
          <w:spacing w:val="-2"/>
          <w:sz w:val="20"/>
        </w:rPr>
        <w:t> </w:t>
      </w:r>
      <w:r>
        <w:rPr>
          <w:color w:val="404040"/>
          <w:sz w:val="20"/>
        </w:rPr>
        <w:t>to</w:t>
      </w:r>
      <w:r>
        <w:rPr>
          <w:color w:val="404040"/>
          <w:spacing w:val="-1"/>
          <w:sz w:val="20"/>
        </w:rPr>
        <w:t> </w:t>
      </w:r>
      <w:r>
        <w:rPr>
          <w:color w:val="404040"/>
          <w:sz w:val="20"/>
        </w:rPr>
        <w:t>leave</w:t>
      </w:r>
      <w:r>
        <w:rPr>
          <w:color w:val="404040"/>
          <w:spacing w:val="-2"/>
          <w:sz w:val="20"/>
        </w:rPr>
        <w:t> </w:t>
      </w:r>
      <w:r>
        <w:rPr>
          <w:color w:val="404040"/>
          <w:sz w:val="20"/>
        </w:rPr>
        <w:t>the</w:t>
      </w:r>
      <w:r>
        <w:rPr>
          <w:color w:val="404040"/>
          <w:spacing w:val="-2"/>
          <w:sz w:val="20"/>
        </w:rPr>
        <w:t> </w:t>
      </w:r>
      <w:r>
        <w:rPr>
          <w:color w:val="404040"/>
          <w:sz w:val="20"/>
        </w:rPr>
        <w:t>payment</w:t>
      </w:r>
      <w:r>
        <w:rPr>
          <w:color w:val="404040"/>
          <w:spacing w:val="-3"/>
          <w:sz w:val="20"/>
        </w:rPr>
        <w:t> </w:t>
      </w:r>
      <w:r>
        <w:rPr>
          <w:color w:val="404040"/>
          <w:sz w:val="20"/>
        </w:rPr>
        <w:t>system</w:t>
      </w:r>
      <w:r>
        <w:rPr>
          <w:color w:val="404040"/>
          <w:spacing w:val="1"/>
          <w:sz w:val="20"/>
        </w:rPr>
        <w:t> </w:t>
      </w:r>
      <w:r>
        <w:rPr>
          <w:color w:val="404040"/>
          <w:sz w:val="20"/>
        </w:rPr>
        <w:t>completely</w:t>
      </w:r>
      <w:r>
        <w:rPr>
          <w:color w:val="404040"/>
          <w:spacing w:val="-5"/>
          <w:sz w:val="20"/>
        </w:rPr>
        <w:t> </w:t>
      </w:r>
      <w:r>
        <w:rPr>
          <w:color w:val="404040"/>
          <w:sz w:val="20"/>
        </w:rPr>
        <w:t>over</w:t>
      </w:r>
      <w:r>
        <w:rPr>
          <w:color w:val="404040"/>
          <w:spacing w:val="-2"/>
          <w:sz w:val="20"/>
        </w:rPr>
        <w:t> </w:t>
      </w:r>
      <w:r>
        <w:rPr>
          <w:color w:val="404040"/>
          <w:sz w:val="20"/>
        </w:rPr>
        <w:t>this</w:t>
      </w:r>
      <w:r>
        <w:rPr>
          <w:color w:val="404040"/>
          <w:spacing w:val="-3"/>
          <w:sz w:val="20"/>
        </w:rPr>
        <w:t> </w:t>
      </w:r>
      <w:r>
        <w:rPr>
          <w:color w:val="404040"/>
          <w:sz w:val="20"/>
        </w:rPr>
        <w:t>timeframe.</w:t>
      </w:r>
      <w:r>
        <w:rPr>
          <w:color w:val="404040"/>
          <w:spacing w:val="-4"/>
          <w:sz w:val="20"/>
        </w:rPr>
        <w:t> </w:t>
      </w:r>
      <w:r>
        <w:rPr>
          <w:color w:val="404040"/>
          <w:sz w:val="20"/>
        </w:rPr>
        <w:t>Of</w:t>
      </w:r>
      <w:r>
        <w:rPr>
          <w:color w:val="404040"/>
          <w:spacing w:val="-1"/>
          <w:sz w:val="20"/>
        </w:rPr>
        <w:t> </w:t>
      </w:r>
      <w:r>
        <w:rPr>
          <w:color w:val="404040"/>
          <w:sz w:val="20"/>
        </w:rPr>
        <w:t>the</w:t>
      </w:r>
      <w:r>
        <w:rPr>
          <w:color w:val="404040"/>
          <w:spacing w:val="-4"/>
          <w:sz w:val="20"/>
        </w:rPr>
        <w:t> </w:t>
      </w:r>
      <w:r>
        <w:rPr>
          <w:color w:val="404040"/>
          <w:sz w:val="20"/>
        </w:rPr>
        <w:t>rest:</w:t>
      </w:r>
    </w:p>
    <w:p>
      <w:pPr>
        <w:pStyle w:val="ListParagraph"/>
        <w:numPr>
          <w:ilvl w:val="1"/>
          <w:numId w:val="39"/>
        </w:numPr>
        <w:tabs>
          <w:tab w:pos="1467" w:val="left" w:leader="none"/>
        </w:tabs>
        <w:spacing w:line="240" w:lineRule="auto" w:before="122" w:after="0"/>
        <w:ind w:left="1466" w:right="0" w:hanging="284"/>
        <w:jc w:val="left"/>
        <w:rPr>
          <w:sz w:val="20"/>
        </w:rPr>
      </w:pPr>
      <w:r>
        <w:rPr>
          <w:color w:val="404040"/>
          <w:sz w:val="20"/>
        </w:rPr>
        <w:t>many are expected to move onto Working Age payments and some onto Parenting</w:t>
      </w:r>
      <w:r>
        <w:rPr>
          <w:color w:val="404040"/>
          <w:spacing w:val="-20"/>
          <w:sz w:val="20"/>
        </w:rPr>
        <w:t> </w:t>
      </w:r>
      <w:r>
        <w:rPr>
          <w:color w:val="404040"/>
          <w:sz w:val="20"/>
        </w:rPr>
        <w:t>payments</w:t>
      </w:r>
    </w:p>
    <w:p>
      <w:pPr>
        <w:pStyle w:val="ListParagraph"/>
        <w:numPr>
          <w:ilvl w:val="1"/>
          <w:numId w:val="39"/>
        </w:numPr>
        <w:tabs>
          <w:tab w:pos="1467" w:val="left" w:leader="none"/>
        </w:tabs>
        <w:spacing w:line="240" w:lineRule="auto" w:before="118" w:after="0"/>
        <w:ind w:left="1466" w:right="0" w:hanging="284"/>
        <w:jc w:val="left"/>
        <w:rPr>
          <w:sz w:val="20"/>
        </w:rPr>
      </w:pPr>
      <w:r>
        <w:rPr>
          <w:color w:val="404040"/>
          <w:sz w:val="20"/>
        </w:rPr>
        <w:t>small proportions are expected to transition to the Carer payment and Disability Support</w:t>
      </w:r>
      <w:r>
        <w:rPr>
          <w:color w:val="404040"/>
          <w:spacing w:val="-18"/>
          <w:sz w:val="20"/>
        </w:rPr>
        <w:t> </w:t>
      </w:r>
      <w:r>
        <w:rPr>
          <w:color w:val="404040"/>
          <w:sz w:val="20"/>
        </w:rPr>
        <w:t>Pension</w:t>
      </w:r>
    </w:p>
    <w:p>
      <w:pPr>
        <w:pStyle w:val="ListParagraph"/>
        <w:numPr>
          <w:ilvl w:val="0"/>
          <w:numId w:val="39"/>
        </w:numPr>
        <w:tabs>
          <w:tab w:pos="1183" w:val="left" w:leader="none"/>
        </w:tabs>
        <w:spacing w:line="240" w:lineRule="auto" w:before="119" w:after="0"/>
        <w:ind w:left="1182" w:right="1489" w:hanging="284"/>
        <w:jc w:val="left"/>
        <w:rPr>
          <w:rFonts w:ascii="Symbol" w:hAnsi="Symbol"/>
          <w:color w:val="404040"/>
          <w:sz w:val="20"/>
        </w:rPr>
      </w:pPr>
      <w:r>
        <w:rPr>
          <w:color w:val="404040"/>
          <w:sz w:val="20"/>
        </w:rPr>
        <w:t>Of the group who are projected to exit over the next five years, a proportion are projected to later return primarily to class ‘7 Non IS Family’ over the following 10</w:t>
      </w:r>
      <w:r>
        <w:rPr>
          <w:color w:val="404040"/>
          <w:spacing w:val="-10"/>
          <w:sz w:val="20"/>
        </w:rPr>
        <w:t> </w:t>
      </w:r>
      <w:r>
        <w:rPr>
          <w:color w:val="404040"/>
          <w:sz w:val="20"/>
        </w:rPr>
        <w:t>years.</w:t>
      </w:r>
    </w:p>
    <w:p>
      <w:pPr>
        <w:pStyle w:val="ListParagraph"/>
        <w:numPr>
          <w:ilvl w:val="0"/>
          <w:numId w:val="39"/>
        </w:numPr>
        <w:tabs>
          <w:tab w:pos="1183" w:val="left" w:leader="none"/>
        </w:tabs>
        <w:spacing w:line="237" w:lineRule="auto" w:before="122" w:after="0"/>
        <w:ind w:left="1182" w:right="1318" w:hanging="284"/>
        <w:jc w:val="left"/>
        <w:rPr>
          <w:rFonts w:ascii="Symbol" w:hAnsi="Symbol"/>
          <w:color w:val="404040"/>
          <w:sz w:val="20"/>
        </w:rPr>
      </w:pPr>
      <w:r>
        <w:rPr>
          <w:color w:val="404040"/>
          <w:sz w:val="20"/>
        </w:rPr>
        <w:t>A slightly larger portion of the group are projected to exit the system over the next five years when compared to the June 2017 valuation (which is shown with the lower dashed line). This is driven partly by fewer students transitioning to Working Age and other income support</w:t>
      </w:r>
      <w:r>
        <w:rPr>
          <w:color w:val="404040"/>
          <w:spacing w:val="-11"/>
          <w:sz w:val="20"/>
        </w:rPr>
        <w:t> </w:t>
      </w:r>
      <w:r>
        <w:rPr>
          <w:color w:val="404040"/>
          <w:sz w:val="20"/>
        </w:rPr>
        <w:t>classes.</w:t>
      </w:r>
    </w:p>
    <w:p>
      <w:pPr>
        <w:pStyle w:val="ListParagraph"/>
        <w:numPr>
          <w:ilvl w:val="0"/>
          <w:numId w:val="39"/>
        </w:numPr>
        <w:tabs>
          <w:tab w:pos="1183" w:val="left" w:leader="none"/>
        </w:tabs>
        <w:spacing w:line="240" w:lineRule="auto" w:before="123" w:after="0"/>
        <w:ind w:left="1182" w:right="1301" w:hanging="284"/>
        <w:jc w:val="left"/>
        <w:rPr>
          <w:rFonts w:ascii="Symbol" w:hAnsi="Symbol"/>
          <w:color w:val="404040"/>
          <w:sz w:val="20"/>
        </w:rPr>
      </w:pPr>
      <w:r>
        <w:rPr>
          <w:color w:val="404040"/>
          <w:sz w:val="20"/>
        </w:rPr>
        <w:t>Only a small proportion (around 2%) of people currently in this class are projected to be in this class in 10 years’</w:t>
      </w:r>
      <w:r>
        <w:rPr>
          <w:color w:val="404040"/>
          <w:spacing w:val="-1"/>
          <w:sz w:val="20"/>
        </w:rPr>
        <w:t> </w:t>
      </w:r>
      <w:r>
        <w:rPr>
          <w:color w:val="404040"/>
          <w:sz w:val="20"/>
        </w:rPr>
        <w:t>time.</w:t>
      </w:r>
    </w:p>
    <w:p>
      <w:pPr>
        <w:pStyle w:val="ListParagraph"/>
        <w:numPr>
          <w:ilvl w:val="0"/>
          <w:numId w:val="39"/>
        </w:numPr>
        <w:tabs>
          <w:tab w:pos="1184" w:val="left" w:leader="none"/>
        </w:tabs>
        <w:spacing w:line="240" w:lineRule="auto" w:before="118" w:after="0"/>
        <w:ind w:left="1183" w:right="1334" w:hanging="284"/>
        <w:jc w:val="left"/>
        <w:rPr>
          <w:rFonts w:ascii="Symbol" w:hAnsi="Symbol"/>
          <w:color w:val="404040"/>
          <w:sz w:val="20"/>
        </w:rPr>
      </w:pPr>
      <w:r>
        <w:rPr>
          <w:color w:val="404040"/>
          <w:sz w:val="20"/>
        </w:rPr>
        <w:t>For</w:t>
      </w:r>
      <w:r>
        <w:rPr>
          <w:color w:val="404040"/>
          <w:spacing w:val="-3"/>
          <w:sz w:val="20"/>
        </w:rPr>
        <w:t> </w:t>
      </w:r>
      <w:r>
        <w:rPr>
          <w:color w:val="404040"/>
          <w:sz w:val="20"/>
        </w:rPr>
        <w:t>each</w:t>
      </w:r>
      <w:r>
        <w:rPr>
          <w:color w:val="404040"/>
          <w:spacing w:val="-3"/>
          <w:sz w:val="20"/>
        </w:rPr>
        <w:t> </w:t>
      </w:r>
      <w:r>
        <w:rPr>
          <w:color w:val="404040"/>
          <w:sz w:val="20"/>
        </w:rPr>
        <w:t>future year,</w:t>
      </w:r>
      <w:r>
        <w:rPr>
          <w:color w:val="404040"/>
          <w:spacing w:val="-3"/>
          <w:sz w:val="20"/>
        </w:rPr>
        <w:t> </w:t>
      </w:r>
      <w:r>
        <w:rPr>
          <w:color w:val="404040"/>
          <w:sz w:val="20"/>
        </w:rPr>
        <w:t>around</w:t>
      </w:r>
      <w:r>
        <w:rPr>
          <w:color w:val="404040"/>
          <w:spacing w:val="-3"/>
          <w:sz w:val="20"/>
        </w:rPr>
        <w:t> </w:t>
      </w:r>
      <w:r>
        <w:rPr>
          <w:color w:val="404040"/>
          <w:sz w:val="20"/>
        </w:rPr>
        <w:t>15%</w:t>
      </w:r>
      <w:r>
        <w:rPr>
          <w:color w:val="404040"/>
          <w:spacing w:val="-1"/>
          <w:sz w:val="20"/>
        </w:rPr>
        <w:t> </w:t>
      </w:r>
      <w:r>
        <w:rPr>
          <w:color w:val="404040"/>
          <w:sz w:val="20"/>
        </w:rPr>
        <w:t>or</w:t>
      </w:r>
      <w:r>
        <w:rPr>
          <w:color w:val="404040"/>
          <w:spacing w:val="-2"/>
          <w:sz w:val="20"/>
        </w:rPr>
        <w:t> </w:t>
      </w:r>
      <w:r>
        <w:rPr>
          <w:color w:val="404040"/>
          <w:sz w:val="20"/>
        </w:rPr>
        <w:t>more</w:t>
      </w:r>
      <w:r>
        <w:rPr>
          <w:color w:val="404040"/>
          <w:spacing w:val="-3"/>
          <w:sz w:val="20"/>
        </w:rPr>
        <w:t> </w:t>
      </w:r>
      <w:r>
        <w:rPr>
          <w:color w:val="404040"/>
          <w:sz w:val="20"/>
        </w:rPr>
        <w:t>of</w:t>
      </w:r>
      <w:r>
        <w:rPr>
          <w:color w:val="404040"/>
          <w:spacing w:val="-1"/>
          <w:sz w:val="20"/>
        </w:rPr>
        <w:t> </w:t>
      </w:r>
      <w:r>
        <w:rPr>
          <w:color w:val="404040"/>
          <w:sz w:val="20"/>
        </w:rPr>
        <w:t>this</w:t>
      </w:r>
      <w:r>
        <w:rPr>
          <w:color w:val="404040"/>
          <w:spacing w:val="-3"/>
          <w:sz w:val="20"/>
        </w:rPr>
        <w:t> </w:t>
      </w:r>
      <w:r>
        <w:rPr>
          <w:color w:val="404040"/>
          <w:sz w:val="20"/>
        </w:rPr>
        <w:t>group</w:t>
      </w:r>
      <w:r>
        <w:rPr>
          <w:color w:val="404040"/>
          <w:spacing w:val="-3"/>
          <w:sz w:val="20"/>
        </w:rPr>
        <w:t> </w:t>
      </w:r>
      <w:r>
        <w:rPr>
          <w:color w:val="404040"/>
          <w:sz w:val="20"/>
        </w:rPr>
        <w:t>are</w:t>
      </w:r>
      <w:r>
        <w:rPr>
          <w:color w:val="404040"/>
          <w:spacing w:val="-3"/>
          <w:sz w:val="20"/>
        </w:rPr>
        <w:t> </w:t>
      </w:r>
      <w:r>
        <w:rPr>
          <w:color w:val="404040"/>
          <w:sz w:val="20"/>
        </w:rPr>
        <w:t>projected</w:t>
      </w:r>
      <w:r>
        <w:rPr>
          <w:color w:val="404040"/>
          <w:spacing w:val="-4"/>
          <w:sz w:val="20"/>
        </w:rPr>
        <w:t> </w:t>
      </w:r>
      <w:r>
        <w:rPr>
          <w:color w:val="404040"/>
          <w:sz w:val="20"/>
        </w:rPr>
        <w:t>to</w:t>
      </w:r>
      <w:r>
        <w:rPr>
          <w:color w:val="404040"/>
          <w:spacing w:val="-3"/>
          <w:sz w:val="20"/>
        </w:rPr>
        <w:t> </w:t>
      </w:r>
      <w:r>
        <w:rPr>
          <w:color w:val="404040"/>
          <w:sz w:val="20"/>
        </w:rPr>
        <w:t>receive</w:t>
      </w:r>
      <w:r>
        <w:rPr>
          <w:color w:val="404040"/>
          <w:spacing w:val="-1"/>
          <w:sz w:val="20"/>
        </w:rPr>
        <w:t> </w:t>
      </w:r>
      <w:r>
        <w:rPr>
          <w:color w:val="404040"/>
          <w:sz w:val="20"/>
        </w:rPr>
        <w:t>income</w:t>
      </w:r>
      <w:r>
        <w:rPr>
          <w:color w:val="404040"/>
          <w:spacing w:val="-4"/>
          <w:sz w:val="20"/>
        </w:rPr>
        <w:t> </w:t>
      </w:r>
      <w:r>
        <w:rPr>
          <w:color w:val="404040"/>
          <w:sz w:val="20"/>
        </w:rPr>
        <w:t>support.</w:t>
      </w:r>
      <w:r>
        <w:rPr>
          <w:color w:val="404040"/>
          <w:spacing w:val="-3"/>
          <w:sz w:val="20"/>
        </w:rPr>
        <w:t> </w:t>
      </w:r>
      <w:r>
        <w:rPr>
          <w:color w:val="404040"/>
          <w:sz w:val="20"/>
        </w:rPr>
        <w:t>After</w:t>
      </w:r>
      <w:r>
        <w:rPr>
          <w:color w:val="404040"/>
          <w:spacing w:val="-2"/>
          <w:sz w:val="20"/>
        </w:rPr>
        <w:t> </w:t>
      </w:r>
      <w:r>
        <w:rPr>
          <w:color w:val="404040"/>
          <w:sz w:val="20"/>
        </w:rPr>
        <w:t>30 years, this proportion increases as more people progress to the Age</w:t>
      </w:r>
      <w:r>
        <w:rPr>
          <w:color w:val="404040"/>
          <w:spacing w:val="-9"/>
          <w:sz w:val="20"/>
        </w:rPr>
        <w:t> </w:t>
      </w:r>
      <w:r>
        <w:rPr>
          <w:color w:val="404040"/>
          <w:sz w:val="20"/>
        </w:rPr>
        <w:t>Pension.</w:t>
      </w:r>
    </w:p>
    <w:p>
      <w:pPr>
        <w:pStyle w:val="BodyText"/>
        <w:spacing w:before="7"/>
      </w:pPr>
    </w:p>
    <w:p>
      <w:pPr>
        <w:pStyle w:val="Heading6"/>
        <w:rPr>
          <w:i/>
        </w:rPr>
      </w:pPr>
      <w:r>
        <w:rPr>
          <w:i/>
          <w:color w:val="DF2F1E"/>
        </w:rPr>
        <w:t>Duration</w:t>
      </w:r>
    </w:p>
    <w:p>
      <w:pPr>
        <w:pStyle w:val="BodyText"/>
        <w:spacing w:line="242" w:lineRule="auto" w:before="119"/>
        <w:ind w:left="900" w:right="1576"/>
      </w:pPr>
      <w:r>
        <w:rPr>
          <w:color w:val="404040"/>
        </w:rPr>
        <w:t>The average future life expectancy for people in the Studying class is </w:t>
      </w:r>
      <w:r>
        <w:rPr>
          <w:b/>
          <w:color w:val="404040"/>
        </w:rPr>
        <w:t>67 </w:t>
      </w:r>
      <w:r>
        <w:rPr>
          <w:color w:val="404040"/>
        </w:rPr>
        <w:t>years. This reflects the relatively young age profile of people in this class.</w:t>
      </w:r>
    </w:p>
    <w:p>
      <w:pPr>
        <w:pStyle w:val="BodyText"/>
        <w:spacing w:before="119"/>
        <w:ind w:left="900" w:right="1155"/>
      </w:pPr>
      <w:r>
        <w:rPr>
          <w:color w:val="404040"/>
        </w:rPr>
        <w:t>The table below provides a summary of the expected welfare system use of people currently in this class over this time. This has been developed by considering which classes people move into as they move through the welfare system over their lives.</w:t>
      </w:r>
    </w:p>
    <w:p>
      <w:pPr>
        <w:pStyle w:val="Heading9"/>
        <w:spacing w:before="174" w:after="56"/>
      </w:pPr>
      <w:r>
        <w:rPr>
          <w:color w:val="DF2F1E"/>
        </w:rPr>
        <w:t>Table 17: Average expected durations in welfare system for people currently in class 1</w:t>
      </w:r>
    </w:p>
    <w:tbl>
      <w:tblPr>
        <w:tblW w:w="0" w:type="auto"/>
        <w:jc w:val="left"/>
        <w:tblInd w:w="1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30"/>
        <w:gridCol w:w="1765"/>
        <w:gridCol w:w="2773"/>
      </w:tblGrid>
      <w:tr>
        <w:trPr>
          <w:trHeight w:val="273" w:hRule="atLeast"/>
        </w:trPr>
        <w:tc>
          <w:tcPr>
            <w:tcW w:w="4330" w:type="dxa"/>
            <w:shd w:val="clear" w:color="auto" w:fill="DF2F1E"/>
          </w:tcPr>
          <w:p>
            <w:pPr>
              <w:pStyle w:val="TableParagraph"/>
              <w:spacing w:before="0"/>
              <w:rPr>
                <w:rFonts w:ascii="Times New Roman"/>
                <w:sz w:val="18"/>
              </w:rPr>
            </w:pPr>
          </w:p>
        </w:tc>
        <w:tc>
          <w:tcPr>
            <w:tcW w:w="1765" w:type="dxa"/>
            <w:shd w:val="clear" w:color="auto" w:fill="DF2F1E"/>
          </w:tcPr>
          <w:p>
            <w:pPr>
              <w:pStyle w:val="TableParagraph"/>
              <w:spacing w:before="34"/>
              <w:ind w:left="149" w:right="383"/>
              <w:jc w:val="center"/>
              <w:rPr>
                <w:b/>
                <w:sz w:val="16"/>
              </w:rPr>
            </w:pPr>
            <w:r>
              <w:rPr>
                <w:b/>
                <w:color w:val="FFFFFF"/>
                <w:sz w:val="16"/>
              </w:rPr>
              <w:t>Expected Years</w:t>
            </w:r>
          </w:p>
        </w:tc>
        <w:tc>
          <w:tcPr>
            <w:tcW w:w="2773" w:type="dxa"/>
            <w:shd w:val="clear" w:color="auto" w:fill="DF2F1E"/>
          </w:tcPr>
          <w:p>
            <w:pPr>
              <w:pStyle w:val="TableParagraph"/>
              <w:spacing w:before="34"/>
              <w:ind w:left="394" w:right="124"/>
              <w:jc w:val="center"/>
              <w:rPr>
                <w:b/>
                <w:sz w:val="16"/>
              </w:rPr>
            </w:pPr>
            <w:r>
              <w:rPr>
                <w:b/>
                <w:color w:val="FFFFFF"/>
                <w:sz w:val="16"/>
              </w:rPr>
              <w:t>Proportion of Future Lifetime</w:t>
            </w:r>
          </w:p>
        </w:tc>
      </w:tr>
      <w:tr>
        <w:trPr>
          <w:trHeight w:val="261" w:hRule="atLeast"/>
        </w:trPr>
        <w:tc>
          <w:tcPr>
            <w:tcW w:w="4330" w:type="dxa"/>
            <w:tcBorders>
              <w:left w:val="single" w:sz="4" w:space="0" w:color="DF2F1E"/>
            </w:tcBorders>
          </w:tcPr>
          <w:p>
            <w:pPr>
              <w:pStyle w:val="TableParagraph"/>
              <w:spacing w:before="34"/>
              <w:ind w:left="107"/>
              <w:rPr>
                <w:b/>
                <w:sz w:val="16"/>
              </w:rPr>
            </w:pPr>
            <w:r>
              <w:rPr>
                <w:b/>
                <w:color w:val="404040"/>
                <w:sz w:val="16"/>
              </w:rPr>
              <w:t>Years with some income support payments:</w:t>
            </w:r>
          </w:p>
        </w:tc>
        <w:tc>
          <w:tcPr>
            <w:tcW w:w="1765" w:type="dxa"/>
          </w:tcPr>
          <w:p>
            <w:pPr>
              <w:pStyle w:val="TableParagraph"/>
              <w:spacing w:before="0"/>
              <w:rPr>
                <w:rFonts w:ascii="Times New Roman"/>
                <w:sz w:val="18"/>
              </w:rPr>
            </w:pPr>
          </w:p>
        </w:tc>
        <w:tc>
          <w:tcPr>
            <w:tcW w:w="2773" w:type="dxa"/>
            <w:tcBorders>
              <w:right w:val="single" w:sz="4" w:space="0" w:color="DF2F1E"/>
            </w:tcBorders>
          </w:tcPr>
          <w:p>
            <w:pPr>
              <w:pStyle w:val="TableParagraph"/>
              <w:spacing w:before="0"/>
              <w:rPr>
                <w:rFonts w:ascii="Times New Roman"/>
                <w:sz w:val="18"/>
              </w:rPr>
            </w:pPr>
          </w:p>
        </w:tc>
      </w:tr>
      <w:tr>
        <w:trPr>
          <w:trHeight w:val="265" w:hRule="atLeast"/>
        </w:trPr>
        <w:tc>
          <w:tcPr>
            <w:tcW w:w="4330" w:type="dxa"/>
            <w:tcBorders>
              <w:left w:val="single" w:sz="4" w:space="0" w:color="DF2F1E"/>
            </w:tcBorders>
          </w:tcPr>
          <w:p>
            <w:pPr>
              <w:pStyle w:val="TableParagraph"/>
              <w:tabs>
                <w:tab w:pos="513" w:val="left" w:leader="none"/>
              </w:tabs>
              <w:ind w:left="153"/>
              <w:rPr>
                <w:b/>
                <w:sz w:val="16"/>
              </w:rPr>
            </w:pPr>
            <w:r>
              <w:rPr>
                <w:color w:val="404040"/>
                <w:sz w:val="16"/>
              </w:rPr>
              <w:t>-</w:t>
              <w:tab/>
            </w:r>
            <w:r>
              <w:rPr>
                <w:b/>
                <w:color w:val="404040"/>
                <w:sz w:val="16"/>
              </w:rPr>
              <w:t>Not </w:t>
            </w:r>
            <w:r>
              <w:rPr>
                <w:b/>
                <w:color w:val="404040"/>
                <w:spacing w:val="-3"/>
                <w:sz w:val="16"/>
              </w:rPr>
              <w:t>Age </w:t>
            </w:r>
            <w:r>
              <w:rPr>
                <w:b/>
                <w:color w:val="404040"/>
                <w:sz w:val="16"/>
              </w:rPr>
              <w:t>Pension (classes</w:t>
            </w:r>
            <w:r>
              <w:rPr>
                <w:b/>
                <w:color w:val="404040"/>
                <w:spacing w:val="5"/>
                <w:sz w:val="16"/>
              </w:rPr>
              <w:t> </w:t>
            </w:r>
            <w:r>
              <w:rPr>
                <w:b/>
                <w:color w:val="404040"/>
                <w:sz w:val="16"/>
              </w:rPr>
              <w:t>1-5)</w:t>
            </w:r>
          </w:p>
        </w:tc>
        <w:tc>
          <w:tcPr>
            <w:tcW w:w="1765" w:type="dxa"/>
          </w:tcPr>
          <w:p>
            <w:pPr>
              <w:pStyle w:val="TableParagraph"/>
              <w:spacing w:before="40"/>
              <w:ind w:right="234"/>
              <w:jc w:val="center"/>
              <w:rPr>
                <w:sz w:val="16"/>
              </w:rPr>
            </w:pPr>
            <w:r>
              <w:rPr>
                <w:color w:val="404040"/>
                <w:w w:val="100"/>
                <w:sz w:val="16"/>
              </w:rPr>
              <w:t>9</w:t>
            </w:r>
          </w:p>
        </w:tc>
        <w:tc>
          <w:tcPr>
            <w:tcW w:w="2773" w:type="dxa"/>
            <w:tcBorders>
              <w:right w:val="single" w:sz="4" w:space="0" w:color="DF2F1E"/>
            </w:tcBorders>
          </w:tcPr>
          <w:p>
            <w:pPr>
              <w:pStyle w:val="TableParagraph"/>
              <w:spacing w:before="40"/>
              <w:ind w:left="1293" w:right="1023"/>
              <w:jc w:val="center"/>
              <w:rPr>
                <w:sz w:val="16"/>
              </w:rPr>
            </w:pPr>
            <w:r>
              <w:rPr>
                <w:color w:val="404040"/>
                <w:sz w:val="16"/>
              </w:rPr>
              <w:t>13%</w:t>
            </w:r>
          </w:p>
        </w:tc>
      </w:tr>
      <w:tr>
        <w:trPr>
          <w:trHeight w:val="265" w:hRule="atLeast"/>
        </w:trPr>
        <w:tc>
          <w:tcPr>
            <w:tcW w:w="4330" w:type="dxa"/>
            <w:tcBorders>
              <w:left w:val="single" w:sz="4" w:space="0" w:color="DF2F1E"/>
              <w:bottom w:val="single" w:sz="4" w:space="0" w:color="DF2F1E"/>
            </w:tcBorders>
          </w:tcPr>
          <w:p>
            <w:pPr>
              <w:pStyle w:val="TableParagraph"/>
              <w:tabs>
                <w:tab w:pos="513" w:val="left" w:leader="none"/>
              </w:tabs>
              <w:spacing w:before="36"/>
              <w:ind w:left="153"/>
              <w:rPr>
                <w:b/>
                <w:sz w:val="16"/>
              </w:rPr>
            </w:pPr>
            <w:r>
              <w:rPr>
                <w:color w:val="404040"/>
                <w:sz w:val="16"/>
              </w:rPr>
              <w:t>-</w:t>
              <w:tab/>
            </w:r>
            <w:r>
              <w:rPr>
                <w:b/>
                <w:color w:val="404040"/>
                <w:sz w:val="16"/>
              </w:rPr>
              <w:t>Age Pension (class</w:t>
            </w:r>
            <w:r>
              <w:rPr>
                <w:b/>
                <w:color w:val="404040"/>
                <w:spacing w:val="-3"/>
                <w:sz w:val="16"/>
              </w:rPr>
              <w:t> </w:t>
            </w:r>
            <w:r>
              <w:rPr>
                <w:b/>
                <w:color w:val="404040"/>
                <w:sz w:val="16"/>
              </w:rPr>
              <w:t>6)</w:t>
            </w:r>
          </w:p>
        </w:tc>
        <w:tc>
          <w:tcPr>
            <w:tcW w:w="1765" w:type="dxa"/>
            <w:tcBorders>
              <w:bottom w:val="single" w:sz="4" w:space="0" w:color="DF2F1E"/>
            </w:tcBorders>
          </w:tcPr>
          <w:p>
            <w:pPr>
              <w:pStyle w:val="TableParagraph"/>
              <w:spacing w:before="39"/>
              <w:ind w:left="149" w:right="381"/>
              <w:jc w:val="center"/>
              <w:rPr>
                <w:sz w:val="16"/>
              </w:rPr>
            </w:pPr>
            <w:r>
              <w:rPr>
                <w:color w:val="404040"/>
                <w:sz w:val="16"/>
              </w:rPr>
              <w:t>15</w:t>
            </w:r>
          </w:p>
        </w:tc>
        <w:tc>
          <w:tcPr>
            <w:tcW w:w="2773" w:type="dxa"/>
            <w:tcBorders>
              <w:bottom w:val="single" w:sz="4" w:space="0" w:color="DF2F1E"/>
              <w:right w:val="single" w:sz="4" w:space="0" w:color="DF2F1E"/>
            </w:tcBorders>
          </w:tcPr>
          <w:p>
            <w:pPr>
              <w:pStyle w:val="TableParagraph"/>
              <w:spacing w:before="39"/>
              <w:ind w:left="1293" w:right="1023"/>
              <w:jc w:val="center"/>
              <w:rPr>
                <w:sz w:val="16"/>
              </w:rPr>
            </w:pPr>
            <w:r>
              <w:rPr>
                <w:color w:val="404040"/>
                <w:sz w:val="16"/>
              </w:rPr>
              <w:t>22%</w:t>
            </w:r>
          </w:p>
        </w:tc>
      </w:tr>
      <w:tr>
        <w:trPr>
          <w:trHeight w:val="263" w:hRule="atLeast"/>
        </w:trPr>
        <w:tc>
          <w:tcPr>
            <w:tcW w:w="4330" w:type="dxa"/>
            <w:tcBorders>
              <w:top w:val="single" w:sz="4" w:space="0" w:color="DF2F1E"/>
              <w:left w:val="single" w:sz="4" w:space="0" w:color="DF2F1E"/>
              <w:bottom w:val="single" w:sz="4" w:space="0" w:color="DF2F1E"/>
            </w:tcBorders>
          </w:tcPr>
          <w:p>
            <w:pPr>
              <w:pStyle w:val="TableParagraph"/>
              <w:spacing w:before="34"/>
              <w:ind w:left="107"/>
              <w:rPr>
                <w:b/>
                <w:sz w:val="16"/>
              </w:rPr>
            </w:pPr>
            <w:r>
              <w:rPr>
                <w:b/>
                <w:color w:val="404040"/>
                <w:sz w:val="16"/>
              </w:rPr>
              <w:t>Years with non income support payments only</w:t>
            </w:r>
          </w:p>
        </w:tc>
        <w:tc>
          <w:tcPr>
            <w:tcW w:w="1765" w:type="dxa"/>
            <w:tcBorders>
              <w:top w:val="single" w:sz="4" w:space="0" w:color="DF2F1E"/>
              <w:bottom w:val="single" w:sz="4" w:space="0" w:color="DF2F1E"/>
            </w:tcBorders>
          </w:tcPr>
          <w:p>
            <w:pPr>
              <w:pStyle w:val="TableParagraph"/>
              <w:ind w:right="234"/>
              <w:jc w:val="center"/>
              <w:rPr>
                <w:sz w:val="16"/>
              </w:rPr>
            </w:pPr>
            <w:r>
              <w:rPr>
                <w:color w:val="404040"/>
                <w:w w:val="100"/>
                <w:sz w:val="16"/>
              </w:rPr>
              <w:t>5</w:t>
            </w:r>
          </w:p>
        </w:tc>
        <w:tc>
          <w:tcPr>
            <w:tcW w:w="2773" w:type="dxa"/>
            <w:tcBorders>
              <w:top w:val="single" w:sz="4" w:space="0" w:color="DF2F1E"/>
              <w:bottom w:val="single" w:sz="4" w:space="0" w:color="DF2F1E"/>
              <w:right w:val="single" w:sz="4" w:space="0" w:color="DF2F1E"/>
            </w:tcBorders>
          </w:tcPr>
          <w:p>
            <w:pPr>
              <w:pStyle w:val="TableParagraph"/>
              <w:ind w:left="1293" w:right="1020"/>
              <w:jc w:val="center"/>
              <w:rPr>
                <w:sz w:val="16"/>
              </w:rPr>
            </w:pPr>
            <w:r>
              <w:rPr>
                <w:color w:val="404040"/>
                <w:sz w:val="16"/>
              </w:rPr>
              <w:t>8%</w:t>
            </w:r>
          </w:p>
        </w:tc>
      </w:tr>
      <w:tr>
        <w:trPr>
          <w:trHeight w:val="265" w:hRule="atLeast"/>
        </w:trPr>
        <w:tc>
          <w:tcPr>
            <w:tcW w:w="4330" w:type="dxa"/>
            <w:tcBorders>
              <w:top w:val="single" w:sz="4" w:space="0" w:color="DF2F1E"/>
              <w:left w:val="single" w:sz="4" w:space="0" w:color="DF2F1E"/>
              <w:bottom w:val="single" w:sz="4" w:space="0" w:color="DF2F1E"/>
            </w:tcBorders>
          </w:tcPr>
          <w:p>
            <w:pPr>
              <w:pStyle w:val="TableParagraph"/>
              <w:ind w:left="107"/>
              <w:rPr>
                <w:b/>
                <w:sz w:val="16"/>
              </w:rPr>
            </w:pPr>
            <w:r>
              <w:rPr>
                <w:b/>
                <w:color w:val="404040"/>
                <w:sz w:val="16"/>
              </w:rPr>
              <w:t>Years not receiving any welfare payments</w:t>
            </w:r>
          </w:p>
        </w:tc>
        <w:tc>
          <w:tcPr>
            <w:tcW w:w="1765" w:type="dxa"/>
            <w:tcBorders>
              <w:top w:val="single" w:sz="4" w:space="0" w:color="DF2F1E"/>
              <w:bottom w:val="single" w:sz="4" w:space="0" w:color="DF2F1E"/>
            </w:tcBorders>
          </w:tcPr>
          <w:p>
            <w:pPr>
              <w:pStyle w:val="TableParagraph"/>
              <w:spacing w:before="39"/>
              <w:ind w:left="149" w:right="381"/>
              <w:jc w:val="center"/>
              <w:rPr>
                <w:sz w:val="16"/>
              </w:rPr>
            </w:pPr>
            <w:r>
              <w:rPr>
                <w:color w:val="404040"/>
                <w:sz w:val="16"/>
              </w:rPr>
              <w:t>39</w:t>
            </w:r>
          </w:p>
        </w:tc>
        <w:tc>
          <w:tcPr>
            <w:tcW w:w="2773" w:type="dxa"/>
            <w:tcBorders>
              <w:top w:val="single" w:sz="4" w:space="0" w:color="DF2F1E"/>
              <w:bottom w:val="single" w:sz="4" w:space="0" w:color="DF2F1E"/>
              <w:right w:val="single" w:sz="4" w:space="0" w:color="DF2F1E"/>
            </w:tcBorders>
          </w:tcPr>
          <w:p>
            <w:pPr>
              <w:pStyle w:val="TableParagraph"/>
              <w:spacing w:before="39"/>
              <w:ind w:left="1293" w:right="1023"/>
              <w:jc w:val="center"/>
              <w:rPr>
                <w:sz w:val="16"/>
              </w:rPr>
            </w:pPr>
            <w:r>
              <w:rPr>
                <w:color w:val="404040"/>
                <w:sz w:val="16"/>
              </w:rPr>
              <w:t>57%</w:t>
            </w:r>
          </w:p>
        </w:tc>
      </w:tr>
      <w:tr>
        <w:trPr>
          <w:trHeight w:val="263" w:hRule="atLeast"/>
        </w:trPr>
        <w:tc>
          <w:tcPr>
            <w:tcW w:w="4330" w:type="dxa"/>
            <w:tcBorders>
              <w:top w:val="single" w:sz="4" w:space="0" w:color="DF2F1E"/>
              <w:left w:val="single" w:sz="4" w:space="0" w:color="DF2F1E"/>
              <w:bottom w:val="single" w:sz="4" w:space="0" w:color="DF2F1E"/>
            </w:tcBorders>
          </w:tcPr>
          <w:p>
            <w:pPr>
              <w:pStyle w:val="TableParagraph"/>
              <w:spacing w:before="34"/>
              <w:ind w:left="107"/>
              <w:rPr>
                <w:b/>
                <w:sz w:val="16"/>
              </w:rPr>
            </w:pPr>
            <w:r>
              <w:rPr>
                <w:b/>
                <w:color w:val="404040"/>
                <w:sz w:val="16"/>
              </w:rPr>
              <w:t>Total</w:t>
            </w:r>
          </w:p>
        </w:tc>
        <w:tc>
          <w:tcPr>
            <w:tcW w:w="1765" w:type="dxa"/>
            <w:tcBorders>
              <w:top w:val="single" w:sz="4" w:space="0" w:color="DF2F1E"/>
              <w:bottom w:val="single" w:sz="4" w:space="0" w:color="DF2F1E"/>
            </w:tcBorders>
          </w:tcPr>
          <w:p>
            <w:pPr>
              <w:pStyle w:val="TableParagraph"/>
              <w:ind w:left="149" w:right="381"/>
              <w:jc w:val="center"/>
              <w:rPr>
                <w:sz w:val="16"/>
              </w:rPr>
            </w:pPr>
            <w:r>
              <w:rPr>
                <w:color w:val="404040"/>
                <w:sz w:val="16"/>
              </w:rPr>
              <w:t>67</w:t>
            </w:r>
          </w:p>
        </w:tc>
        <w:tc>
          <w:tcPr>
            <w:tcW w:w="2773" w:type="dxa"/>
            <w:tcBorders>
              <w:top w:val="single" w:sz="4" w:space="0" w:color="DF2F1E"/>
              <w:bottom w:val="single" w:sz="4" w:space="0" w:color="DF2F1E"/>
              <w:right w:val="single" w:sz="4" w:space="0" w:color="DF2F1E"/>
            </w:tcBorders>
          </w:tcPr>
          <w:p>
            <w:pPr>
              <w:pStyle w:val="TableParagraph"/>
              <w:ind w:left="1293" w:right="1025"/>
              <w:jc w:val="center"/>
              <w:rPr>
                <w:sz w:val="16"/>
              </w:rPr>
            </w:pPr>
            <w:r>
              <w:rPr>
                <w:color w:val="404040"/>
                <w:sz w:val="16"/>
              </w:rPr>
              <w:t>100%</w:t>
            </w:r>
          </w:p>
        </w:tc>
      </w:tr>
    </w:tbl>
    <w:p>
      <w:pPr>
        <w:spacing w:after="0"/>
        <w:jc w:val="center"/>
        <w:rPr>
          <w:sz w:val="16"/>
        </w:rPr>
        <w:sectPr>
          <w:type w:val="continuous"/>
          <w:pgSz w:w="11910" w:h="16850"/>
          <w:pgMar w:top="1600" w:bottom="280" w:left="120" w:right="0"/>
        </w:sectPr>
      </w:pPr>
    </w:p>
    <w:p>
      <w:pPr>
        <w:pStyle w:val="BodyText"/>
        <w:rPr>
          <w:b/>
        </w:rPr>
      </w:pPr>
    </w:p>
    <w:p>
      <w:pPr>
        <w:pStyle w:val="BodyText"/>
        <w:rPr>
          <w:b/>
        </w:rPr>
      </w:pPr>
    </w:p>
    <w:p>
      <w:pPr>
        <w:pStyle w:val="BodyText"/>
        <w:spacing w:before="8"/>
        <w:rPr>
          <w:b/>
          <w:sz w:val="21"/>
        </w:rPr>
      </w:pPr>
    </w:p>
    <w:p>
      <w:pPr>
        <w:pStyle w:val="ListParagraph"/>
        <w:numPr>
          <w:ilvl w:val="1"/>
          <w:numId w:val="37"/>
        </w:numPr>
        <w:tabs>
          <w:tab w:pos="1752" w:val="left" w:leader="none"/>
          <w:tab w:pos="1753" w:val="left" w:leader="none"/>
        </w:tabs>
        <w:spacing w:line="240" w:lineRule="auto" w:before="91" w:after="0"/>
        <w:ind w:left="1752" w:right="0" w:hanging="853"/>
        <w:jc w:val="left"/>
        <w:rPr>
          <w:sz w:val="28"/>
        </w:rPr>
      </w:pPr>
      <w:bookmarkStart w:name="6.2 Working Age Payment recipients" w:id="172"/>
      <w:bookmarkEnd w:id="172"/>
      <w:r>
        <w:rPr/>
      </w:r>
      <w:bookmarkStart w:name="_bookmark42" w:id="173"/>
      <w:bookmarkEnd w:id="173"/>
      <w:r>
        <w:rPr/>
      </w:r>
      <w:bookmarkStart w:name="_bookmark42" w:id="174"/>
      <w:bookmarkEnd w:id="174"/>
      <w:r>
        <w:rPr>
          <w:color w:val="DF2F28"/>
          <w:sz w:val="28"/>
        </w:rPr>
        <w:t>W</w:t>
      </w:r>
      <w:r>
        <w:rPr>
          <w:color w:val="DF2F28"/>
          <w:sz w:val="28"/>
        </w:rPr>
        <w:t>orking Age Payment</w:t>
      </w:r>
      <w:r>
        <w:rPr>
          <w:color w:val="DF2F28"/>
          <w:spacing w:val="-5"/>
          <w:sz w:val="28"/>
        </w:rPr>
        <w:t> </w:t>
      </w:r>
      <w:r>
        <w:rPr>
          <w:color w:val="DF2F28"/>
          <w:sz w:val="28"/>
        </w:rPr>
        <w:t>recipients</w:t>
      </w:r>
    </w:p>
    <w:p>
      <w:pPr>
        <w:pStyle w:val="BodyText"/>
        <w:spacing w:before="10"/>
        <w:rPr>
          <w:sz w:val="12"/>
        </w:rPr>
      </w:pPr>
    </w:p>
    <w:p>
      <w:pPr>
        <w:pStyle w:val="Heading9"/>
        <w:ind w:left="1008"/>
      </w:pPr>
      <w:r>
        <w:rPr/>
        <w:pict>
          <v:shape style="position:absolute;margin-left:51.000004pt;margin-top:-1.210123pt;width:493.35pt;height:391.45pt;mso-position-horizontal-relative:page;mso-position-vertical-relative:paragraph;z-index:-287713280" coordorigin="1020,-24" coordsize="9867,7829" path="m10886,-24l10778,-24,1128,-24,1020,-24,1020,7805,1128,7805,10778,7805,10886,7805,10886,-24e" filled="true" fillcolor="#f3aba3" stroked="false">
            <v:path arrowok="t"/>
            <v:fill type="solid"/>
            <w10:wrap type="none"/>
          </v:shape>
        </w:pict>
      </w:r>
      <w:r>
        <w:rPr>
          <w:color w:val="404040"/>
        </w:rPr>
        <w:t>Key points</w:t>
      </w:r>
    </w:p>
    <w:p>
      <w:pPr>
        <w:pStyle w:val="BodyText"/>
        <w:spacing w:before="120"/>
        <w:ind w:left="1008" w:right="1190"/>
      </w:pPr>
      <w:r>
        <w:rPr>
          <w:color w:val="404040"/>
        </w:rPr>
        <w:t>There were 1,237,000 people in the Working Age class in 2018, who were mostly aged 18 to 65. This is 4.9% fewer than at the June 2017 valuation. The Working Age class is reasonably mobile with high numbers of people seen to transition to and from Studying, Parenting, Non IS Family and the non-welfare recipient classes.</w:t>
      </w:r>
    </w:p>
    <w:p>
      <w:pPr>
        <w:pStyle w:val="ListParagraph"/>
        <w:numPr>
          <w:ilvl w:val="2"/>
          <w:numId w:val="37"/>
        </w:numPr>
        <w:tabs>
          <w:tab w:pos="1292" w:val="left" w:leader="none"/>
        </w:tabs>
        <w:spacing w:line="240" w:lineRule="auto" w:before="120" w:after="0"/>
        <w:ind w:left="1291" w:right="1441" w:hanging="284"/>
        <w:jc w:val="left"/>
        <w:rPr>
          <w:rFonts w:ascii="Symbol" w:hAnsi="Symbol"/>
          <w:color w:val="404040"/>
          <w:sz w:val="20"/>
        </w:rPr>
      </w:pPr>
      <w:r>
        <w:rPr>
          <w:color w:val="404040"/>
          <w:sz w:val="20"/>
        </w:rPr>
        <w:t>Over the last five years a reducing number of people have entered the Working Age class. Additionally over the last few years more exits from this class have been exits from the welfare system rather than transitions into other</w:t>
      </w:r>
      <w:r>
        <w:rPr>
          <w:color w:val="404040"/>
          <w:spacing w:val="3"/>
          <w:sz w:val="20"/>
        </w:rPr>
        <w:t> </w:t>
      </w:r>
      <w:r>
        <w:rPr>
          <w:color w:val="404040"/>
          <w:sz w:val="20"/>
        </w:rPr>
        <w:t>classes.</w:t>
      </w:r>
    </w:p>
    <w:p>
      <w:pPr>
        <w:pStyle w:val="ListParagraph"/>
        <w:numPr>
          <w:ilvl w:val="2"/>
          <w:numId w:val="37"/>
        </w:numPr>
        <w:tabs>
          <w:tab w:pos="1292" w:val="left" w:leader="none"/>
        </w:tabs>
        <w:spacing w:line="240" w:lineRule="auto" w:before="119" w:after="0"/>
        <w:ind w:left="1291" w:right="1673" w:hanging="284"/>
        <w:jc w:val="left"/>
        <w:rPr>
          <w:rFonts w:ascii="Symbol" w:hAnsi="Symbol"/>
          <w:color w:val="404040"/>
          <w:sz w:val="20"/>
        </w:rPr>
      </w:pPr>
      <w:r>
        <w:rPr>
          <w:color w:val="404040"/>
          <w:sz w:val="20"/>
        </w:rPr>
        <w:t>The longer a person remains on Working Age benefits, the less likely they have been to leave the Working</w:t>
      </w:r>
      <w:r>
        <w:rPr>
          <w:color w:val="404040"/>
          <w:spacing w:val="-4"/>
          <w:sz w:val="20"/>
        </w:rPr>
        <w:t> </w:t>
      </w:r>
      <w:r>
        <w:rPr>
          <w:color w:val="404040"/>
          <w:sz w:val="20"/>
        </w:rPr>
        <w:t>Age</w:t>
      </w:r>
      <w:r>
        <w:rPr>
          <w:color w:val="404040"/>
          <w:spacing w:val="-4"/>
          <w:sz w:val="20"/>
        </w:rPr>
        <w:t> </w:t>
      </w:r>
      <w:r>
        <w:rPr>
          <w:color w:val="404040"/>
          <w:sz w:val="20"/>
        </w:rPr>
        <w:t>class</w:t>
      </w:r>
      <w:r>
        <w:rPr>
          <w:color w:val="404040"/>
          <w:spacing w:val="-2"/>
          <w:sz w:val="20"/>
        </w:rPr>
        <w:t> </w:t>
      </w:r>
      <w:r>
        <w:rPr>
          <w:color w:val="404040"/>
          <w:sz w:val="20"/>
        </w:rPr>
        <w:t>before</w:t>
      </w:r>
      <w:r>
        <w:rPr>
          <w:color w:val="404040"/>
          <w:spacing w:val="-4"/>
          <w:sz w:val="20"/>
        </w:rPr>
        <w:t> </w:t>
      </w:r>
      <w:r>
        <w:rPr>
          <w:color w:val="404040"/>
          <w:sz w:val="20"/>
        </w:rPr>
        <w:t>retirement.</w:t>
      </w:r>
      <w:r>
        <w:rPr>
          <w:color w:val="404040"/>
          <w:spacing w:val="-3"/>
          <w:sz w:val="20"/>
        </w:rPr>
        <w:t> </w:t>
      </w:r>
      <w:r>
        <w:rPr>
          <w:color w:val="404040"/>
          <w:sz w:val="20"/>
        </w:rPr>
        <w:t>Similarly,</w:t>
      </w:r>
      <w:r>
        <w:rPr>
          <w:color w:val="404040"/>
          <w:spacing w:val="-4"/>
          <w:sz w:val="20"/>
        </w:rPr>
        <w:t> </w:t>
      </w:r>
      <w:r>
        <w:rPr>
          <w:color w:val="404040"/>
          <w:sz w:val="20"/>
        </w:rPr>
        <w:t>those</w:t>
      </w:r>
      <w:r>
        <w:rPr>
          <w:color w:val="404040"/>
          <w:spacing w:val="-1"/>
          <w:sz w:val="20"/>
        </w:rPr>
        <w:t> </w:t>
      </w:r>
      <w:r>
        <w:rPr>
          <w:color w:val="404040"/>
          <w:sz w:val="20"/>
        </w:rPr>
        <w:t>who</w:t>
      </w:r>
      <w:r>
        <w:rPr>
          <w:color w:val="404040"/>
          <w:spacing w:val="-4"/>
          <w:sz w:val="20"/>
        </w:rPr>
        <w:t> </w:t>
      </w:r>
      <w:r>
        <w:rPr>
          <w:color w:val="404040"/>
          <w:sz w:val="20"/>
        </w:rPr>
        <w:t>enter</w:t>
      </w:r>
      <w:r>
        <w:rPr>
          <w:color w:val="404040"/>
          <w:spacing w:val="-3"/>
          <w:sz w:val="20"/>
        </w:rPr>
        <w:t> </w:t>
      </w:r>
      <w:r>
        <w:rPr>
          <w:color w:val="404040"/>
          <w:sz w:val="20"/>
        </w:rPr>
        <w:t>the</w:t>
      </w:r>
      <w:r>
        <w:rPr>
          <w:color w:val="404040"/>
          <w:spacing w:val="-6"/>
          <w:sz w:val="20"/>
        </w:rPr>
        <w:t> </w:t>
      </w:r>
      <w:r>
        <w:rPr>
          <w:color w:val="404040"/>
          <w:sz w:val="20"/>
        </w:rPr>
        <w:t>Working</w:t>
      </w:r>
      <w:r>
        <w:rPr>
          <w:color w:val="404040"/>
          <w:spacing w:val="-4"/>
          <w:sz w:val="20"/>
        </w:rPr>
        <w:t> </w:t>
      </w:r>
      <w:r>
        <w:rPr>
          <w:color w:val="404040"/>
          <w:sz w:val="20"/>
        </w:rPr>
        <w:t>Age</w:t>
      </w:r>
      <w:r>
        <w:rPr>
          <w:color w:val="404040"/>
          <w:spacing w:val="-1"/>
          <w:sz w:val="20"/>
        </w:rPr>
        <w:t> </w:t>
      </w:r>
      <w:r>
        <w:rPr>
          <w:color w:val="404040"/>
          <w:sz w:val="20"/>
        </w:rPr>
        <w:t>class</w:t>
      </w:r>
      <w:r>
        <w:rPr>
          <w:color w:val="404040"/>
          <w:spacing w:val="-3"/>
          <w:sz w:val="20"/>
        </w:rPr>
        <w:t> </w:t>
      </w:r>
      <w:r>
        <w:rPr>
          <w:color w:val="404040"/>
          <w:sz w:val="20"/>
        </w:rPr>
        <w:t>directly</w:t>
      </w:r>
      <w:r>
        <w:rPr>
          <w:color w:val="404040"/>
          <w:spacing w:val="-6"/>
          <w:sz w:val="20"/>
        </w:rPr>
        <w:t> </w:t>
      </w:r>
      <w:r>
        <w:rPr>
          <w:color w:val="404040"/>
          <w:sz w:val="20"/>
        </w:rPr>
        <w:t>from another welfare class have generally been less likely to exit the</w:t>
      </w:r>
      <w:r>
        <w:rPr>
          <w:color w:val="404040"/>
          <w:spacing w:val="-8"/>
          <w:sz w:val="20"/>
        </w:rPr>
        <w:t> </w:t>
      </w:r>
      <w:r>
        <w:rPr>
          <w:color w:val="404040"/>
          <w:sz w:val="20"/>
        </w:rPr>
        <w:t>system.</w:t>
      </w:r>
    </w:p>
    <w:p>
      <w:pPr>
        <w:pStyle w:val="ListParagraph"/>
        <w:numPr>
          <w:ilvl w:val="2"/>
          <w:numId w:val="37"/>
        </w:numPr>
        <w:tabs>
          <w:tab w:pos="1292" w:val="left" w:leader="none"/>
        </w:tabs>
        <w:spacing w:line="240" w:lineRule="auto" w:before="118" w:after="0"/>
        <w:ind w:left="1291" w:right="1360" w:hanging="284"/>
        <w:jc w:val="left"/>
        <w:rPr>
          <w:rFonts w:ascii="Symbol" w:hAnsi="Symbol"/>
          <w:color w:val="404040"/>
          <w:sz w:val="20"/>
        </w:rPr>
      </w:pPr>
      <w:r>
        <w:rPr>
          <w:color w:val="404040"/>
          <w:sz w:val="20"/>
        </w:rPr>
        <w:t>As with the Studying class, we see that being in receipt of payments at the valuation is associated with higher lifetime costs. The impact of this is larger for the Working Age class compared to the Studying class. This is reflective of the greater persistency on payments for people in receipt of Working Age payments,</w:t>
      </w:r>
      <w:r>
        <w:rPr>
          <w:color w:val="404040"/>
          <w:spacing w:val="-1"/>
          <w:sz w:val="20"/>
        </w:rPr>
        <w:t> </w:t>
      </w:r>
      <w:r>
        <w:rPr>
          <w:color w:val="404040"/>
          <w:sz w:val="20"/>
        </w:rPr>
        <w:t>which</w:t>
      </w:r>
      <w:r>
        <w:rPr>
          <w:color w:val="404040"/>
          <w:spacing w:val="-4"/>
          <w:sz w:val="20"/>
        </w:rPr>
        <w:t> </w:t>
      </w:r>
      <w:r>
        <w:rPr>
          <w:color w:val="404040"/>
          <w:sz w:val="20"/>
        </w:rPr>
        <w:t>makes</w:t>
      </w:r>
      <w:r>
        <w:rPr>
          <w:color w:val="404040"/>
          <w:spacing w:val="-3"/>
          <w:sz w:val="20"/>
        </w:rPr>
        <w:t> </w:t>
      </w:r>
      <w:r>
        <w:rPr>
          <w:color w:val="404040"/>
          <w:sz w:val="20"/>
        </w:rPr>
        <w:t>being</w:t>
      </w:r>
      <w:r>
        <w:rPr>
          <w:color w:val="404040"/>
          <w:spacing w:val="-1"/>
          <w:sz w:val="20"/>
        </w:rPr>
        <w:t> </w:t>
      </w:r>
      <w:r>
        <w:rPr>
          <w:color w:val="404040"/>
          <w:sz w:val="20"/>
        </w:rPr>
        <w:t>in</w:t>
      </w:r>
      <w:r>
        <w:rPr>
          <w:color w:val="404040"/>
          <w:spacing w:val="-4"/>
          <w:sz w:val="20"/>
        </w:rPr>
        <w:t> </w:t>
      </w:r>
      <w:r>
        <w:rPr>
          <w:color w:val="404040"/>
          <w:sz w:val="20"/>
        </w:rPr>
        <w:t>receipt</w:t>
      </w:r>
      <w:r>
        <w:rPr>
          <w:color w:val="404040"/>
          <w:spacing w:val="-4"/>
          <w:sz w:val="20"/>
        </w:rPr>
        <w:t> </w:t>
      </w:r>
      <w:r>
        <w:rPr>
          <w:color w:val="404040"/>
          <w:sz w:val="20"/>
        </w:rPr>
        <w:t>of</w:t>
      </w:r>
      <w:r>
        <w:rPr>
          <w:color w:val="404040"/>
          <w:spacing w:val="-1"/>
          <w:sz w:val="20"/>
        </w:rPr>
        <w:t> </w:t>
      </w:r>
      <w:r>
        <w:rPr>
          <w:color w:val="404040"/>
          <w:sz w:val="20"/>
        </w:rPr>
        <w:t>payments</w:t>
      </w:r>
      <w:r>
        <w:rPr>
          <w:color w:val="404040"/>
          <w:spacing w:val="-3"/>
          <w:sz w:val="20"/>
        </w:rPr>
        <w:t> </w:t>
      </w:r>
      <w:r>
        <w:rPr>
          <w:color w:val="404040"/>
          <w:sz w:val="20"/>
        </w:rPr>
        <w:t>at</w:t>
      </w:r>
      <w:r>
        <w:rPr>
          <w:color w:val="404040"/>
          <w:spacing w:val="-4"/>
          <w:sz w:val="20"/>
        </w:rPr>
        <w:t> </w:t>
      </w:r>
      <w:r>
        <w:rPr>
          <w:color w:val="404040"/>
          <w:sz w:val="20"/>
        </w:rPr>
        <w:t>the</w:t>
      </w:r>
      <w:r>
        <w:rPr>
          <w:color w:val="404040"/>
          <w:spacing w:val="-1"/>
          <w:sz w:val="20"/>
        </w:rPr>
        <w:t> </w:t>
      </w:r>
      <w:r>
        <w:rPr>
          <w:color w:val="404040"/>
          <w:sz w:val="20"/>
        </w:rPr>
        <w:t>valuation</w:t>
      </w:r>
      <w:r>
        <w:rPr>
          <w:color w:val="404040"/>
          <w:spacing w:val="-4"/>
          <w:sz w:val="20"/>
        </w:rPr>
        <w:t> </w:t>
      </w:r>
      <w:r>
        <w:rPr>
          <w:color w:val="404040"/>
          <w:sz w:val="20"/>
        </w:rPr>
        <w:t>date</w:t>
      </w:r>
      <w:r>
        <w:rPr>
          <w:color w:val="404040"/>
          <w:spacing w:val="-2"/>
          <w:sz w:val="20"/>
        </w:rPr>
        <w:t> </w:t>
      </w:r>
      <w:r>
        <w:rPr>
          <w:color w:val="404040"/>
          <w:sz w:val="20"/>
        </w:rPr>
        <w:t>a</w:t>
      </w:r>
      <w:r>
        <w:rPr>
          <w:color w:val="404040"/>
          <w:spacing w:val="-3"/>
          <w:sz w:val="20"/>
        </w:rPr>
        <w:t> </w:t>
      </w:r>
      <w:r>
        <w:rPr>
          <w:color w:val="404040"/>
          <w:sz w:val="20"/>
        </w:rPr>
        <w:t>more</w:t>
      </w:r>
      <w:r>
        <w:rPr>
          <w:color w:val="404040"/>
          <w:spacing w:val="-4"/>
          <w:sz w:val="20"/>
        </w:rPr>
        <w:t> </w:t>
      </w:r>
      <w:r>
        <w:rPr>
          <w:color w:val="404040"/>
          <w:sz w:val="20"/>
        </w:rPr>
        <w:t>significant</w:t>
      </w:r>
      <w:r>
        <w:rPr>
          <w:color w:val="404040"/>
          <w:spacing w:val="-4"/>
          <w:sz w:val="20"/>
        </w:rPr>
        <w:t> </w:t>
      </w:r>
      <w:r>
        <w:rPr>
          <w:color w:val="404040"/>
          <w:sz w:val="20"/>
        </w:rPr>
        <w:t>feature</w:t>
      </w:r>
      <w:r>
        <w:rPr>
          <w:color w:val="404040"/>
          <w:spacing w:val="-3"/>
          <w:sz w:val="20"/>
        </w:rPr>
        <w:t> </w:t>
      </w:r>
      <w:r>
        <w:rPr>
          <w:color w:val="404040"/>
          <w:sz w:val="20"/>
        </w:rPr>
        <w:t>for the Working Age</w:t>
      </w:r>
      <w:r>
        <w:rPr>
          <w:color w:val="404040"/>
          <w:spacing w:val="-7"/>
          <w:sz w:val="20"/>
        </w:rPr>
        <w:t> </w:t>
      </w:r>
      <w:r>
        <w:rPr>
          <w:color w:val="404040"/>
          <w:sz w:val="20"/>
        </w:rPr>
        <w:t>class.</w:t>
      </w:r>
    </w:p>
    <w:p>
      <w:pPr>
        <w:pStyle w:val="ListParagraph"/>
        <w:numPr>
          <w:ilvl w:val="2"/>
          <w:numId w:val="37"/>
        </w:numPr>
        <w:tabs>
          <w:tab w:pos="1292" w:val="left" w:leader="none"/>
        </w:tabs>
        <w:spacing w:line="240" w:lineRule="auto" w:before="119" w:after="0"/>
        <w:ind w:left="1291" w:right="1320" w:hanging="284"/>
        <w:jc w:val="left"/>
        <w:rPr>
          <w:rFonts w:ascii="Symbol" w:hAnsi="Symbol"/>
          <w:color w:val="404040"/>
          <w:sz w:val="20"/>
        </w:rPr>
      </w:pPr>
      <w:r>
        <w:rPr>
          <w:color w:val="404040"/>
          <w:sz w:val="20"/>
        </w:rPr>
        <w:t>People with employment earnings while in the Working Age class are around 1.5 times more likely to leave the Working Age class and around two times more likely to exit the system than those without any employment</w:t>
      </w:r>
      <w:r>
        <w:rPr>
          <w:color w:val="404040"/>
          <w:spacing w:val="-2"/>
          <w:sz w:val="20"/>
        </w:rPr>
        <w:t> </w:t>
      </w:r>
      <w:r>
        <w:rPr>
          <w:color w:val="404040"/>
          <w:sz w:val="20"/>
        </w:rPr>
        <w:t>earnings.</w:t>
      </w:r>
    </w:p>
    <w:p>
      <w:pPr>
        <w:pStyle w:val="ListParagraph"/>
        <w:numPr>
          <w:ilvl w:val="2"/>
          <w:numId w:val="37"/>
        </w:numPr>
        <w:tabs>
          <w:tab w:pos="1292" w:val="left" w:leader="none"/>
        </w:tabs>
        <w:spacing w:line="240" w:lineRule="auto" w:before="118" w:after="0"/>
        <w:ind w:left="1291" w:right="1227" w:hanging="284"/>
        <w:jc w:val="left"/>
        <w:rPr>
          <w:rFonts w:ascii="Symbol" w:hAnsi="Symbol"/>
          <w:sz w:val="20"/>
        </w:rPr>
      </w:pPr>
      <w:r>
        <w:rPr>
          <w:color w:val="404040"/>
          <w:sz w:val="20"/>
        </w:rPr>
        <w:t>People with lower capacity to work are less likely to leave, and more likely to transition to other income support classes when leaving the Working Age class. There are a growing number of individuals in this class</w:t>
      </w:r>
      <w:r>
        <w:rPr>
          <w:color w:val="404040"/>
          <w:spacing w:val="-3"/>
          <w:sz w:val="20"/>
        </w:rPr>
        <w:t> </w:t>
      </w:r>
      <w:r>
        <w:rPr>
          <w:color w:val="404040"/>
          <w:sz w:val="20"/>
        </w:rPr>
        <w:t>with</w:t>
      </w:r>
      <w:r>
        <w:rPr>
          <w:color w:val="404040"/>
          <w:spacing w:val="-1"/>
          <w:sz w:val="20"/>
        </w:rPr>
        <w:t> </w:t>
      </w:r>
      <w:r>
        <w:rPr>
          <w:color w:val="404040"/>
          <w:sz w:val="20"/>
        </w:rPr>
        <w:t>less</w:t>
      </w:r>
      <w:r>
        <w:rPr>
          <w:color w:val="404040"/>
          <w:spacing w:val="-2"/>
          <w:sz w:val="20"/>
        </w:rPr>
        <w:t> </w:t>
      </w:r>
      <w:r>
        <w:rPr>
          <w:color w:val="404040"/>
          <w:sz w:val="20"/>
        </w:rPr>
        <w:t>capacity</w:t>
      </w:r>
      <w:r>
        <w:rPr>
          <w:color w:val="404040"/>
          <w:spacing w:val="-4"/>
          <w:sz w:val="20"/>
        </w:rPr>
        <w:t> </w:t>
      </w:r>
      <w:r>
        <w:rPr>
          <w:color w:val="404040"/>
          <w:sz w:val="20"/>
        </w:rPr>
        <w:t>to</w:t>
      </w:r>
      <w:r>
        <w:rPr>
          <w:color w:val="404040"/>
          <w:spacing w:val="-1"/>
          <w:sz w:val="20"/>
        </w:rPr>
        <w:t> </w:t>
      </w:r>
      <w:r>
        <w:rPr>
          <w:color w:val="404040"/>
          <w:sz w:val="20"/>
        </w:rPr>
        <w:t>work.</w:t>
      </w:r>
      <w:r>
        <w:rPr>
          <w:color w:val="404040"/>
          <w:spacing w:val="-5"/>
          <w:sz w:val="20"/>
        </w:rPr>
        <w:t> </w:t>
      </w:r>
      <w:r>
        <w:rPr>
          <w:color w:val="404040"/>
          <w:sz w:val="20"/>
        </w:rPr>
        <w:t>This</w:t>
      </w:r>
      <w:r>
        <w:rPr>
          <w:color w:val="404040"/>
          <w:spacing w:val="-2"/>
          <w:sz w:val="20"/>
        </w:rPr>
        <w:t> </w:t>
      </w:r>
      <w:r>
        <w:rPr>
          <w:color w:val="404040"/>
          <w:sz w:val="20"/>
        </w:rPr>
        <w:t>is</w:t>
      </w:r>
      <w:r>
        <w:rPr>
          <w:color w:val="404040"/>
          <w:spacing w:val="-2"/>
          <w:sz w:val="20"/>
        </w:rPr>
        <w:t> </w:t>
      </w:r>
      <w:r>
        <w:rPr>
          <w:color w:val="404040"/>
          <w:sz w:val="20"/>
        </w:rPr>
        <w:t>likely</w:t>
      </w:r>
      <w:r>
        <w:rPr>
          <w:color w:val="404040"/>
          <w:spacing w:val="-4"/>
          <w:sz w:val="20"/>
        </w:rPr>
        <w:t> </w:t>
      </w:r>
      <w:r>
        <w:rPr>
          <w:color w:val="404040"/>
          <w:sz w:val="20"/>
        </w:rPr>
        <w:t>to</w:t>
      </w:r>
      <w:r>
        <w:rPr>
          <w:color w:val="404040"/>
          <w:spacing w:val="-2"/>
          <w:sz w:val="20"/>
        </w:rPr>
        <w:t> </w:t>
      </w:r>
      <w:r>
        <w:rPr>
          <w:color w:val="404040"/>
          <w:sz w:val="20"/>
        </w:rPr>
        <w:t>be</w:t>
      </w:r>
      <w:r>
        <w:rPr>
          <w:color w:val="404040"/>
          <w:spacing w:val="-3"/>
          <w:sz w:val="20"/>
        </w:rPr>
        <w:t> </w:t>
      </w:r>
      <w:r>
        <w:rPr>
          <w:color w:val="404040"/>
          <w:sz w:val="20"/>
        </w:rPr>
        <w:t>a</w:t>
      </w:r>
      <w:r>
        <w:rPr>
          <w:color w:val="404040"/>
          <w:spacing w:val="-1"/>
          <w:sz w:val="20"/>
        </w:rPr>
        <w:t> </w:t>
      </w:r>
      <w:r>
        <w:rPr>
          <w:color w:val="404040"/>
          <w:sz w:val="20"/>
        </w:rPr>
        <w:t>flow</w:t>
      </w:r>
      <w:r>
        <w:rPr>
          <w:color w:val="404040"/>
          <w:spacing w:val="-5"/>
          <w:sz w:val="20"/>
        </w:rPr>
        <w:t> </w:t>
      </w:r>
      <w:r>
        <w:rPr>
          <w:color w:val="404040"/>
          <w:sz w:val="20"/>
        </w:rPr>
        <w:t>on</w:t>
      </w:r>
      <w:r>
        <w:rPr>
          <w:color w:val="404040"/>
          <w:spacing w:val="-1"/>
          <w:sz w:val="20"/>
        </w:rPr>
        <w:t> </w:t>
      </w:r>
      <w:r>
        <w:rPr>
          <w:color w:val="404040"/>
          <w:sz w:val="20"/>
        </w:rPr>
        <w:t>effect</w:t>
      </w:r>
      <w:r>
        <w:rPr>
          <w:color w:val="404040"/>
          <w:spacing w:val="-3"/>
          <w:sz w:val="20"/>
        </w:rPr>
        <w:t> </w:t>
      </w:r>
      <w:r>
        <w:rPr>
          <w:color w:val="404040"/>
          <w:sz w:val="20"/>
        </w:rPr>
        <w:t>of</w:t>
      </w:r>
      <w:r>
        <w:rPr>
          <w:color w:val="404040"/>
          <w:spacing w:val="-3"/>
          <w:sz w:val="20"/>
        </w:rPr>
        <w:t> </w:t>
      </w:r>
      <w:r>
        <w:rPr>
          <w:color w:val="404040"/>
          <w:sz w:val="20"/>
        </w:rPr>
        <w:t>more</w:t>
      </w:r>
      <w:r>
        <w:rPr>
          <w:color w:val="404040"/>
          <w:spacing w:val="-3"/>
          <w:sz w:val="20"/>
        </w:rPr>
        <w:t> </w:t>
      </w:r>
      <w:r>
        <w:rPr>
          <w:color w:val="404040"/>
          <w:sz w:val="20"/>
        </w:rPr>
        <w:t>people</w:t>
      </w:r>
      <w:r>
        <w:rPr>
          <w:color w:val="404040"/>
          <w:spacing w:val="-3"/>
          <w:sz w:val="20"/>
        </w:rPr>
        <w:t> </w:t>
      </w:r>
      <w:r>
        <w:rPr>
          <w:color w:val="404040"/>
          <w:sz w:val="20"/>
        </w:rPr>
        <w:t>remaining</w:t>
      </w:r>
      <w:r>
        <w:rPr>
          <w:color w:val="404040"/>
          <w:spacing w:val="-1"/>
          <w:sz w:val="20"/>
        </w:rPr>
        <w:t> </w:t>
      </w:r>
      <w:r>
        <w:rPr>
          <w:color w:val="404040"/>
          <w:sz w:val="20"/>
        </w:rPr>
        <w:t>in</w:t>
      </w:r>
      <w:r>
        <w:rPr>
          <w:color w:val="404040"/>
          <w:spacing w:val="-2"/>
          <w:sz w:val="20"/>
        </w:rPr>
        <w:t> </w:t>
      </w:r>
      <w:r>
        <w:rPr>
          <w:color w:val="404040"/>
          <w:sz w:val="20"/>
        </w:rPr>
        <w:t>this</w:t>
      </w:r>
      <w:r>
        <w:rPr>
          <w:color w:val="404040"/>
          <w:spacing w:val="-2"/>
          <w:sz w:val="20"/>
        </w:rPr>
        <w:t> </w:t>
      </w:r>
      <w:r>
        <w:rPr>
          <w:color w:val="404040"/>
          <w:sz w:val="20"/>
        </w:rPr>
        <w:t>class rather than transitioning into Disability Support following the tightening of Disability Support Pension eligibility criteria. This changing profile is one of the drivers of the observed increase in the expected average lifetime cost for this</w:t>
      </w:r>
      <w:r>
        <w:rPr>
          <w:color w:val="404040"/>
          <w:spacing w:val="-2"/>
          <w:sz w:val="20"/>
        </w:rPr>
        <w:t> </w:t>
      </w:r>
      <w:r>
        <w:rPr>
          <w:color w:val="404040"/>
          <w:sz w:val="20"/>
        </w:rPr>
        <w:t>class.</w:t>
      </w:r>
    </w:p>
    <w:p>
      <w:pPr>
        <w:pStyle w:val="ListParagraph"/>
        <w:numPr>
          <w:ilvl w:val="2"/>
          <w:numId w:val="37"/>
        </w:numPr>
        <w:tabs>
          <w:tab w:pos="1292" w:val="left" w:leader="none"/>
        </w:tabs>
        <w:spacing w:line="240" w:lineRule="auto" w:before="120" w:after="0"/>
        <w:ind w:left="1291" w:right="1187" w:hanging="284"/>
        <w:jc w:val="left"/>
        <w:rPr>
          <w:rFonts w:ascii="Symbol" w:hAnsi="Symbol"/>
          <w:sz w:val="20"/>
        </w:rPr>
      </w:pPr>
      <w:r>
        <w:rPr>
          <w:color w:val="404040"/>
          <w:sz w:val="20"/>
        </w:rPr>
        <w:t>The lifetime cost for this class is $471bn, which is $50bn below the rebased 2017 lifetime cost. The reduction is driven by a decrease in the number of people in the class, as well as decreased assumptions for future payment utilisation in light of recent decreases in persistency in income support use. This is similar to the drivers to the decrease in lifetime cost for class</w:t>
      </w:r>
      <w:r>
        <w:rPr>
          <w:color w:val="404040"/>
          <w:spacing w:val="-6"/>
          <w:sz w:val="20"/>
        </w:rPr>
        <w:t> </w:t>
      </w:r>
      <w:r>
        <w:rPr>
          <w:color w:val="404040"/>
          <w:sz w:val="20"/>
        </w:rPr>
        <w:t>1.</w:t>
      </w:r>
    </w:p>
    <w:p>
      <w:pPr>
        <w:pStyle w:val="BodyText"/>
        <w:spacing w:before="11"/>
        <w:rPr>
          <w:sz w:val="30"/>
        </w:rPr>
      </w:pPr>
    </w:p>
    <w:p>
      <w:pPr>
        <w:pStyle w:val="Heading4"/>
      </w:pPr>
      <w:bookmarkStart w:name="Recent and projected trends for Working " w:id="175"/>
      <w:bookmarkEnd w:id="175"/>
      <w:r>
        <w:rPr/>
      </w:r>
      <w:r>
        <w:rPr>
          <w:color w:val="DF2F28"/>
        </w:rPr>
        <w:t>Recent and projected trends for Working Age people</w:t>
      </w:r>
    </w:p>
    <w:p>
      <w:pPr>
        <w:pStyle w:val="BodyText"/>
        <w:spacing w:before="121"/>
        <w:ind w:left="900" w:right="1087" w:hanging="1"/>
      </w:pPr>
      <w:r>
        <w:rPr>
          <w:color w:val="404040"/>
        </w:rPr>
        <w:t>There were 1,237,000 people (15.6% of current welfare recipients) in the Working Age class in the 2018 model population. This represents 4.9% of the population of Australia which is a decrease from 5.3% at the previous valuation.</w:t>
      </w:r>
    </w:p>
    <w:p>
      <w:pPr>
        <w:pStyle w:val="BodyText"/>
        <w:spacing w:before="122"/>
        <w:ind w:left="900" w:right="1164"/>
      </w:pPr>
      <w:r>
        <w:rPr>
          <w:color w:val="404040"/>
        </w:rPr>
        <w:t>The following chart shows a breakdown of the number of people in the Working Age class by age, gender and payment type.</w:t>
      </w:r>
    </w:p>
    <w:p>
      <w:pPr>
        <w:spacing w:after="0"/>
        <w:sectPr>
          <w:pgSz w:w="11910" w:h="16850"/>
          <w:pgMar w:header="572" w:footer="581" w:top="780" w:bottom="780" w:left="120" w:right="0"/>
        </w:sectPr>
      </w:pPr>
    </w:p>
    <w:p>
      <w:pPr>
        <w:pStyle w:val="BodyText"/>
      </w:pPr>
    </w:p>
    <w:p>
      <w:pPr>
        <w:pStyle w:val="BodyText"/>
      </w:pPr>
    </w:p>
    <w:p>
      <w:pPr>
        <w:pStyle w:val="BodyText"/>
        <w:spacing w:before="5"/>
        <w:rPr>
          <w:sz w:val="21"/>
        </w:rPr>
      </w:pPr>
    </w:p>
    <w:p>
      <w:pPr>
        <w:pStyle w:val="Heading9"/>
      </w:pPr>
      <w:r>
        <w:rPr>
          <w:color w:val="DF2F1E"/>
        </w:rPr>
        <w:t>Figure 48: 2018 profile of people in class 2 – Working Age (age / gender / payment type)</w:t>
      </w:r>
    </w:p>
    <w:p>
      <w:pPr>
        <w:spacing w:after="0"/>
        <w:sectPr>
          <w:pgSz w:w="11910" w:h="16850"/>
          <w:pgMar w:header="572" w:footer="581" w:top="780" w:bottom="780" w:left="120" w:right="0"/>
        </w:sectPr>
      </w:pPr>
    </w:p>
    <w:p>
      <w:pPr>
        <w:pStyle w:val="BodyText"/>
        <w:spacing w:before="6"/>
        <w:rPr>
          <w:b/>
          <w:sz w:val="12"/>
        </w:rPr>
      </w:pPr>
    </w:p>
    <w:p>
      <w:pPr>
        <w:spacing w:before="0"/>
        <w:ind w:left="1523" w:right="0" w:firstLine="0"/>
        <w:jc w:val="left"/>
        <w:rPr>
          <w:rFonts w:ascii="Calibri"/>
          <w:sz w:val="16"/>
        </w:rPr>
      </w:pPr>
      <w:r>
        <w:rPr/>
        <w:pict>
          <v:group style="position:absolute;margin-left:95.02742pt;margin-top:4.925576pt;width:219.35pt;height:126.9pt;mso-position-horizontal-relative:page;mso-position-vertical-relative:paragraph;z-index:252191744" coordorigin="1901,99" coordsize="4387,2538">
            <v:shape style="position:absolute;left:-93870;top:-309520;width:93870;height:324403" coordorigin="-93870,-309520" coordsize="93870,324403" path="m6282,104l6282,2594m5562,104l5562,2594e" filled="false" stroked="true" strokeweight=".52944pt" strokecolor="#f1f1f1">
              <v:path arrowok="t"/>
              <v:stroke dashstyle="solid"/>
            </v:shape>
            <v:shape style="position:absolute;left:4112;top:103;width:731;height:2490" coordorigin="4112,104" coordsize="731,2490" path="m4843,104l4843,1031m4843,1137l4843,2594m4112,104l4112,1306m4112,1391l4112,2594e" filled="false" stroked="true" strokeweight=".529143pt" strokecolor="#f1f1f1">
              <v:path arrowok="t"/>
              <v:stroke dashstyle="solid"/>
            </v:shape>
            <v:rect style="position:absolute;left:4107;top:1994;width:11;height:32" filled="true" fillcolor="#ccffcc" stroked="false">
              <v:fill type="solid"/>
            </v:rect>
            <v:line style="position:absolute" from="3393,1391" to="3393,2594" stroked="true" strokeweight=".529143pt" strokecolor="#f1f1f1">
              <v:stroke dashstyle="solid"/>
            </v:line>
            <v:line style="position:absolute" from="2673,104" to="2673,2594" stroked="true" strokeweight=".529143pt" strokecolor="#f1f1f1">
              <v:stroke dashstyle="solid"/>
            </v:line>
            <v:shape style="position:absolute;left:2540;top:1926;width:1577;height:32" coordorigin="2541,1926" coordsize="1577,32" path="m2615,1926l4118,1926m2541,1958l4118,1958e" filled="false" stroked="true" strokeweight="1.589196pt" strokecolor="#ccffcc">
              <v:path arrowok="t"/>
              <v:stroke dashstyle="solid"/>
            </v:shape>
            <v:line style="position:absolute" from="2890,1984" to="4118,1984" stroked="true" strokeweight="1.059466pt" strokecolor="#ccffcc">
              <v:stroke dashstyle="solid"/>
            </v:line>
            <v:line style="position:absolute" from="2954,1819" to="4118,1819" stroked="true" strokeweight="1.6009pt" strokecolor="#ccffcc">
              <v:stroke dashstyle="solid"/>
            </v:line>
            <v:line style="position:absolute" from="2890,1846" to="4118,1846" stroked="true" strokeweight="1.100618pt" strokecolor="#ccffcc">
              <v:stroke dashstyle="solid"/>
            </v:line>
            <v:line style="position:absolute" from="2805,1874" to="4118,1874" stroked="true" strokeweight="1.6009pt" strokecolor="#ccffcc">
              <v:stroke dashstyle="solid"/>
            </v:line>
            <v:line style="position:absolute" from="2689,1900" to="4118,1900" stroked="true" strokeweight="1.000562pt" strokecolor="#ccffcc">
              <v:stroke dashstyle="solid"/>
            </v:line>
            <v:rect style="position:absolute;left:3133;top:1719;width:985;height:33" filled="true" fillcolor="#ccffcc" stroked="false">
              <v:fill type="solid"/>
            </v:rect>
            <v:line style="position:absolute" from="3081,1762" to="4118,1762" stroked="true" strokeweight="1.100618pt" strokecolor="#ccffcc">
              <v:stroke dashstyle="solid"/>
            </v:line>
            <v:line style="position:absolute" from="3028,1788" to="4118,1788" stroked="true" strokeweight="1.500843pt" strokecolor="#ccffcc">
              <v:stroke dashstyle="solid"/>
            </v:line>
            <v:shape style="position:absolute;left:3133;top:1635;width:985;height:85" coordorigin="3133,1635" coordsize="985,85" path="m4118,1635l3144,1635,3144,1667,3155,1667,3155,1697,3133,1697,3133,1719,4118,1719,4118,1697,4118,1667,4118,1635e" filled="true" fillcolor="#ccffcc" stroked="false">
              <v:path arrowok="t"/>
              <v:fill type="solid"/>
            </v:shape>
            <v:line style="position:absolute" from="3229,1513" to="4118,1513" stroked="true" strokeweight="1.6009pt" strokecolor="#ccffcc">
              <v:stroke dashstyle="solid"/>
            </v:line>
            <v:shape style="position:absolute;left:3133;top:1529;width:985;height:107" coordorigin="3133,1529" coordsize="985,107" path="m4118,1529l3197,1529,3197,1561,3186,1561,3186,1581,3176,1581,3176,1613,3133,1613,3133,1635,4118,1635,4118,1613,4118,1581,4118,1561,4118,1529e" filled="true" fillcolor="#ccffcc" stroked="false">
              <v:path arrowok="t"/>
              <v:fill type="solid"/>
            </v:shape>
            <v:line style="position:absolute" from="3282,1407" to="4118,1407" stroked="true" strokeweight="1.6009pt" strokecolor="#ccffcc">
              <v:stroke dashstyle="solid"/>
            </v:line>
            <v:shape style="position:absolute;left:3260;top:1423;width:858;height:53" coordorigin="3260,1423" coordsize="858,53" path="m4118,1423l3260,1423,3260,1443,3271,1443,3271,1475,4118,1475,4118,1443,4118,1423e" filled="true" fillcolor="#ccffcc" stroked="false">
              <v:path arrowok="t"/>
              <v:fill type="solid"/>
            </v:shape>
            <v:line style="position:absolute" from="3250,1486" to="4118,1486" stroked="true" strokeweight="1.100618pt" strokecolor="#ccffcc">
              <v:stroke dashstyle="solid"/>
            </v:line>
            <v:line style="position:absolute" from="3393,104" to="3393,1306" stroked="true" strokeweight=".529143pt" strokecolor="#f1f1f1">
              <v:stroke dashstyle="solid"/>
            </v:line>
            <v:rect style="position:absolute;left:3239;top:1306;width:879;height:85" filled="true" fillcolor="#ccffcc" stroked="false">
              <v:fill type="solid"/>
            </v:rect>
            <v:line style="position:absolute" from="3313,1253" to="4118,1253" stroked="true" strokeweight="3.201799pt" strokecolor="#ccffcc">
              <v:stroke dashstyle="solid"/>
            </v:line>
            <v:shape style="position:absolute;left:3249;top:860;width:868;height:447" coordorigin="3250,861" coordsize="868,447" path="m4118,1285l3250,1285,3250,1307,4118,1307,4118,1285m4118,1031l3387,1031,3387,1083,3398,1083,3398,1115,3387,1115,3387,1137,3387,1169,3377,1169,3377,1201,3366,1201,3366,1221,4118,1221,4118,1201,4118,1169,4118,1137,4118,1115,4118,1083,4118,1031m4118,861l3345,861,3345,893,3387,893,3387,925,3398,925,3398,947,3409,947,3409,978,3419,978,3419,999,3409,999,3409,1031,4118,1031,4118,999,4118,978,4118,947,4118,946,4118,925,4118,893,4118,861e" filled="true" fillcolor="#ccffcc" stroked="false">
              <v:path arrowok="t"/>
              <v:fill type="solid"/>
            </v:shape>
            <v:line style="position:absolute" from="3652,798" to="4118,798" stroked="true" strokeweight="1.059466pt" strokecolor="#ccffcc">
              <v:stroke dashstyle="solid"/>
            </v:line>
            <v:line style="position:absolute" from="3303,825" to="4118,825" stroked="true" strokeweight="1.6009pt" strokecolor="#ccffcc">
              <v:stroke dashstyle="solid"/>
            </v:line>
            <v:rect style="position:absolute;left:3334;top:840;width:784;height:21" filled="true" fillcolor="#ccffcc" stroked="false">
              <v:fill type="solid"/>
            </v:rect>
            <v:shape style="position:absolute;left:4112;top:257;width:2;height:530" coordorigin="4112,257" coordsize="0,530" path="m4112,257l4112,787,4112,257xe" filled="true" fillcolor="#ccffcc" stroked="false">
              <v:path arrowok="t"/>
              <v:fill type="solid"/>
            </v:shape>
            <v:shape style="position:absolute;left:2519;top:257;width:1598;height:1738" coordorigin="2520,257" coordsize="1598,1738" path="m2541,1942l2520,1942,2520,1974,2541,1974,2541,1942m2615,1910l2583,1910,2583,1942,2615,1942,2615,1910m2689,1889l2668,1889,2668,1910,2689,1910,2689,1889m2805,1857l2784,1857,2784,1889,2805,1889,2805,1857m2890,1974l2879,1974,2879,1995,2890,1995,2890,1974m2890,1836l2858,1836,2858,1857,2890,1857,2890,1836m2954,1804l2932,1804,2932,1836,2954,1836,2954,1804m3028,1772l3017,1772,3017,1804,3028,1804,3028,1772m3081,1751l3059,1751,3059,1772,3081,1772,3081,1751m3133,1698l3112,1698,3112,1720,3112,1751,3133,1751,3133,1720,3133,1698m3133,1614l3123,1614,3123,1635,3133,1635,3133,1614m3155,1667l3144,1667,3144,1635,3133,1635,3133,1667,3133,1697,3155,1697,3155,1667m3176,1582l3165,1582,3165,1614,3176,1614,3176,1582m3186,1561l3176,1561,3176,1582,3186,1582,3186,1561m3197,1529l3186,1529,3186,1561,3197,1561,3197,1529m3229,1497l3218,1497,3218,1529,3229,1529,3229,1497m3250,1476l3229,1476,3229,1497,3250,1497,3250,1476m3250,1285l3229,1285,3229,1306,3218,1306,3218,1359,3229,1359,3229,1391,3239,1391,3239,1359,3239,1306,3250,1306,3250,1285m3271,1444l3260,1444,3260,1423,3239,1423,3239,1444,3250,1444,3250,1476,3271,1476,3271,1444m3282,1391l3260,1391,3260,1423,3282,1423,3282,1391m3303,808l3292,808,3292,840,3303,840,3303,808m3313,1222l3303,1222,3303,1285,3313,1285,3313,1222m3335,840l3324,840,3324,861,3335,861,3335,840m3345,861l3335,861,3335,893,3345,893,3345,861m3366,1200l3345,1200,3345,1222,3366,1222,3366,1200m3377,1169l3366,1169,3366,1200,3377,1200,3377,1169m3387,893l3377,893,3377,925,3387,925,3387,893m3398,1083l3387,1083,3387,1031,3377,1031,3377,1083,3377,1115,3377,1137,3377,1137,3377,1169,3387,1169,3387,1137,3387,1137,3387,1115,3398,1115,3398,1083m3398,925l3387,925,3387,946,3398,946,3398,925m3419,977l3409,977,3409,947,3398,947,3398,977,3398,999,3398,1031,3409,1031,3409,999,3419,999,3419,977m3652,787l3641,787,3641,808,3652,808,3652,787m4118,755l4107,755,4107,787,4118,787,4118,755m4118,448l4107,448,4107,480,4107,512,4118,512,4118,480,4118,448m4118,395l4107,395,4107,427,4118,427,4118,395m4118,257l4107,257,4107,289,4118,289,4118,257e" filled="true" fillcolor="#003300" stroked="false">
              <v:path arrowok="t"/>
              <v:fill type="solid"/>
            </v:shape>
            <v:shape style="position:absolute;left:3281;top:310;width:837;height:551" coordorigin="3282,310" coordsize="837,551" path="m3292,808l3282,808,3282,840,3292,840,3292,808m3324,840l3313,840,3313,861,3324,861,3324,840m3641,787l3631,787,3631,808,3641,808,3641,787m4118,724l4107,724,4107,755,4118,755,4118,724m4118,310l4107,310,4107,374,4118,374,4118,310e" filled="true" fillcolor="#77923b" stroked="false">
              <v:path arrowok="t"/>
              <v:fill type="solid"/>
            </v:shape>
            <v:shape style="position:absolute;left:2509;top:1168;width:858;height:827" coordorigin="2509,1169" coordsize="858,827" path="m2520,1942l2509,1942,2509,1974,2520,1974,2520,1942m2583,1910l2573,1910,2573,1942,2583,1942,2583,1910m2668,1889l2657,1889,2657,1910,2668,1910,2668,1889m2784,1857l2774,1857,2774,1889,2784,1889,2784,1857m2858,1836l2848,1836,2848,1857,2858,1857,2858,1836m2879,1974l2869,1974,2869,1995,2879,1995,2879,1974m2932,1804l2922,1804,2922,1836,2932,1836,2932,1804m3017,1772l3017,1772,3006,1772,3006,1804,3017,1804,3017,1804,3017,1772m3059,1751l3049,1751,3049,1772,3059,1772,3059,1751m3123,1614l3112,1614,3112,1635,3123,1635,3123,1614m3165,1582l3165,1582,3155,1582,3155,1614,3165,1614,3165,1614,3165,1582m3186,1529l3176,1529,3176,1561,3186,1561,3186,1529m3218,1497l3208,1497,3208,1529,3218,1529,3218,1497m3229,1476l3218,1476,3218,1476,3218,1497,3229,1497,3229,1476,3229,1476m3229,1359l3218,1359,3218,1391,3229,1391,3229,1359m3229,1285l3218,1285,3218,1306,3229,1306,3229,1285m3250,1444l3239,1444,3239,1423,3239,1423,3229,1423,3229,1444,3239,1444,3239,1476,3250,1476,3250,1476,3250,1444m3260,1391l3250,1391,3250,1423,3260,1423,3260,1391m3303,1222l3292,1222,3292,1253,3303,1253,3303,1222m3345,1200l3335,1200,3335,1222,3345,1222,3345,1200m3366,1169l3356,1169,3356,1200,3366,1200,3366,1169e" filled="true" fillcolor="#ebf0de" stroked="false">
              <v:path arrowok="t"/>
              <v:fill type="solid"/>
            </v:shape>
            <v:line style="position:absolute" from="4112,1995" to="4112,2599" stroked="true" strokeweight=".529652pt" strokecolor="#ebf0de">
              <v:stroke dashstyle="solid"/>
            </v:line>
            <v:shape style="position:absolute;left:2509;top:1751;width:551;height:244" coordorigin="2509,1751" coordsize="551,244" path="m2520,1942l2509,1942,2509,1974,2520,1974,2520,1942m2583,1910l2573,1910,2573,1942,2583,1942,2583,1910m2657,1889l2647,1889,2647,1910,2657,1910,2657,1889m2774,1857l2763,1857,2763,1889,2774,1889,2774,1857m2858,1836l2848,1836,2848,1857,2858,1857,2858,1836m2879,1974l2869,1974,2869,1995,2879,1995,2879,1974m2932,1804l2922,1804,2922,1836,2932,1836,2932,1804m3017,1772l2996,1772,2996,1804,3017,1804,3017,1772m3059,1751l3049,1751,3049,1772,3059,1772,3059,1751e" filled="true" fillcolor="#ebf0de" stroked="false">
              <v:path arrowok="t"/>
              <v:fill type="solid"/>
            </v:shape>
            <v:shape style="position:absolute;left:3107;top:1698;width:2;height:53" coordorigin="3107,1698" coordsize="0,53" path="m3107,1698l3107,1751,3107,1698xe" filled="true" fillcolor="#ebf0de" stroked="false">
              <v:path arrowok="t"/>
              <v:fill type="solid"/>
            </v:shape>
            <v:rect style="position:absolute;left:3112;top:1613;width:11;height:22" filled="true" fillcolor="#ebf0de" stroked="false">
              <v:fill type="solid"/>
            </v:rect>
            <v:shape style="position:absolute;left:3128;top:1634;width:2;height:64" coordorigin="3128,1635" coordsize="0,64" path="m3128,1635l3128,1698,3128,1635xe" filled="true" fillcolor="#ebf0de" stroked="false">
              <v:path arrowok="t"/>
              <v:fill type="solid"/>
            </v:shape>
            <v:shape style="position:absolute;left:3170;top:1528;width:2;height:53" coordorigin="3170,1529" coordsize="0,53" path="m3170,1529l3170,1582,3170,1529xe" filled="true" fillcolor="#ebf0de" stroked="false">
              <v:path arrowok="t"/>
              <v:fill type="solid"/>
            </v:shape>
            <v:shape style="position:absolute;left:3154;top:1285;width:75;height:329" coordorigin="3155,1285" coordsize="75,329" path="m3165,1582l3155,1582,3155,1614,3165,1614,3165,1582m3218,1497l3208,1497,3208,1529,3218,1529,3218,1497m3229,1476l3218,1476,3218,1497,3229,1497,3229,1476m3229,1285l3218,1285,3218,1306,3229,1306,3229,1285e" filled="true" fillcolor="#ebf0de" stroked="false">
              <v:path arrowok="t"/>
              <v:fill type="solid"/>
            </v:shape>
            <v:shape style="position:absolute;left:3212;top:1306;width:2;height:53" coordorigin="3213,1306" coordsize="0,53" path="m3213,1306l3213,1359,3213,1306xe" filled="true" fillcolor="#ebf0de" stroked="false">
              <v:path arrowok="t"/>
              <v:fill type="solid"/>
            </v:shape>
            <v:shape style="position:absolute;left:3218;top:1359;width:43;height:117" coordorigin="3218,1359" coordsize="43,117" path="m3229,1359l3218,1359,3218,1391,3229,1391,3229,1359m3239,1423l3229,1423,3229,1444,3239,1444,3239,1423m3250,1444l3239,1444,3239,1476,3250,1476,3250,1444m3260,1391l3250,1391,3250,1423,3260,1423,3260,1391e" filled="true" fillcolor="#ebf0de" stroked="false">
              <v:path arrowok="t"/>
              <v:fill type="solid"/>
            </v:shape>
            <v:shape style="position:absolute;left:3297;top:1221;width:2;height:64" coordorigin="3297,1222" coordsize="0,64" path="m3297,1222l3297,1285,3297,1222xe" filled="true" fillcolor="#ebf0de" stroked="false">
              <v:path arrowok="t"/>
              <v:fill type="solid"/>
            </v:shape>
            <v:rect style="position:absolute;left:3334;top:1200;width:11;height:22" filled="true" fillcolor="#ebf0de" stroked="false">
              <v:fill type="solid"/>
            </v:rect>
            <v:line style="position:absolute" from="3372,1031" to="3372,1169" stroked="true" strokeweight=".529630pt" strokecolor="#ebf0de">
              <v:stroke dashstyle="solid"/>
            </v:line>
            <v:shape style="position:absolute;left:3281;top:787;width:360;height:414" coordorigin="3282,787" coordsize="360,414" path="m3292,808l3282,808,3282,840,3292,840,3292,808m3324,840l3313,840,3313,861,3324,861,3324,840m3335,861l3324,861,3324,893,3335,893,3335,861m3366,1169l3356,1169,3356,1200,3366,1200,3366,1169m3377,893l3366,893,3366,925,3377,925,3377,893m3387,925l3377,925,3377,946,3387,946,3387,925m3398,946l3387,946,3387,1031,3398,1031,3398,946m3641,787l3631,787,3631,808,3641,808,3641,787e" filled="true" fillcolor="#ebf0de" stroked="false">
              <v:path arrowok="t"/>
              <v:fill type="solid"/>
            </v:shape>
            <v:line style="position:absolute" from="4112,533" to="4112,787" stroked="true" strokeweight=".529138pt" strokecolor="#ebf0de">
              <v:stroke dashstyle="solid"/>
            </v:line>
            <v:shape style="position:absolute;left:4112;top:98;width:2;height:435" coordorigin="4112,99" coordsize="0,435" path="m4112,395l4112,533m4112,99l4112,395e" filled="false" stroked="true" strokeweight=".529138pt" strokecolor="#ebf0de">
              <v:path arrowok="t"/>
              <v:stroke dashstyle="solid"/>
            </v:shape>
            <v:line style="position:absolute" from="4118,2037" to="5303,2037" stroked="true" strokeweight="1.059474pt" strokecolor="#008000">
              <v:stroke dashstyle="solid"/>
            </v:line>
            <v:line style="position:absolute" from="4118,2064" to="5388,2064" stroked="true" strokeweight="1.589211pt" strokecolor="#008000">
              <v:stroke dashstyle="solid"/>
            </v:line>
            <v:line style="position:absolute" from="4118,2096" to="5070,2096" stroked="true" strokeweight="1.600895pt" strokecolor="#008000">
              <v:stroke dashstyle="solid"/>
            </v:line>
            <v:line style="position:absolute" from="4118,2123" to="4425,2123" stroked="true" strokeweight="1.100615pt" strokecolor="#008000">
              <v:stroke dashstyle="solid"/>
            </v:line>
            <v:shape style="position:absolute;left:4117;top:2133;width:85;height:53" coordorigin="4118,2134" coordsize="85,53" path="m4202,2134l4118,2134,4118,2164,4118,2186,4128,2186,4128,2164,4202,2164,4202,2134e" filled="true" fillcolor="#008000" stroked="false">
              <v:path arrowok="t"/>
              <v:fill type="solid"/>
            </v:shape>
            <v:line style="position:absolute" from="4118,1985" to="4319,1985" stroked="true" strokeweight="1.100615pt" strokecolor="#008000">
              <v:stroke dashstyle="solid"/>
            </v:line>
            <v:line style="position:absolute" from="4118,2012" to="5197,2012" stroked="true" strokeweight="1.600895pt" strokecolor="#008000">
              <v:stroke dashstyle="solid"/>
            </v:line>
            <v:line style="position:absolute" from="4319,1995" to="5197,1995" stroked="true" strokeweight=".000006pt" strokecolor="#008000">
              <v:stroke dashstyle="solid"/>
            </v:line>
            <v:shape style="position:absolute;left:4122;top:1475;width:2;height:498" coordorigin="4123,1476" coordsize="0,498" path="m4123,1698l4123,1974m4123,1476l4123,1667e" filled="false" stroked="true" strokeweight=".529145pt" strokecolor="#008000">
              <v:path arrowok="t"/>
              <v:stroke dashstyle="solid"/>
            </v:shape>
            <v:line style="position:absolute" from="4123,374" to="4123,787" stroked="true" strokeweight=".52915pt" strokecolor="#ccffcc">
              <v:stroke dashstyle="solid"/>
            </v:line>
            <v:line style="position:absolute" from="4118,797" to="4552,797" stroked="true" strokeweight="1.000557pt" strokecolor="#ccffcc">
              <v:stroke dashstyle="solid"/>
            </v:line>
            <v:line style="position:absolute" from="4118,823" to="4933,823" stroked="true" strokeweight="1.600891pt" strokecolor="#ccffcc">
              <v:stroke dashstyle="solid"/>
            </v:line>
            <v:line style="position:absolute" from="4118,850" to="4901,850" stroked="true" strokeweight="1.100613pt" strokecolor="#ccffcc">
              <v:stroke dashstyle="solid"/>
            </v:line>
            <v:shape style="position:absolute;left:4117;top:876;width:900;height:33" coordorigin="4118,877" coordsize="900,33" path="m4118,877l5017,877m4118,909l4985,909e" filled="false" stroked="true" strokeweight="1.600891pt" strokecolor="#ccffcc">
              <v:path arrowok="t"/>
              <v:stroke dashstyle="solid"/>
            </v:shape>
            <v:line style="position:absolute" from="4118,935" to="4954,935" stroked="true" strokeweight="1.0pt" strokecolor="#ccffcc">
              <v:stroke dashstyle="solid"/>
            </v:line>
            <v:line style="position:absolute" from="4118,961" to="4933,961" stroked="true" strokeweight="1.600891pt" strokecolor="#ccffcc">
              <v:stroke dashstyle="solid"/>
            </v:line>
            <v:shape style="position:absolute;left:4117;top:977;width:815;height:191" coordorigin="4118,977" coordsize="815,191" path="m4933,1137l4922,1137,4922,1031,4901,1031,4901,999,4911,999,4911,977,4118,977,4118,999,4118,1031,4118,1137,4118,1167,4933,1167,4933,1137e" filled="true" fillcolor="#ccffcc" stroked="false">
              <v:path arrowok="t"/>
              <v:fill type="solid"/>
            </v:shape>
            <v:line style="position:absolute" from="4118,1183" to="4954,1183" stroked="true" strokeweight="1.6pt" strokecolor="#ccffcc">
              <v:stroke dashstyle="solid"/>
            </v:line>
            <v:line style="position:absolute" from="4118,1210" to="5017,1210" stroked="true" strokeweight="1.100613pt" strokecolor="#ccffcc">
              <v:stroke dashstyle="solid"/>
            </v:line>
            <v:shape style="position:absolute;left:4117;top:1237;width:974;height:33" coordorigin="4118,1237" coordsize="974,33" path="m4118,1237l5070,1237m4118,1269l5091,1269e" filled="false" stroked="true" strokeweight="1.600891pt" strokecolor="#ccffcc">
              <v:path arrowok="t"/>
              <v:stroke dashstyle="solid"/>
            </v:shape>
            <v:line style="position:absolute" from="4118,1311" to="5165,1311" stroked="true" strokeweight="2.601448pt" strokecolor="#ccffcc">
              <v:stroke dashstyle="solid"/>
            </v:line>
            <v:line style="position:absolute" from="4118,1348" to="5134,1348" stroked="true" strokeweight="1.100613pt" strokecolor="#ccffcc">
              <v:stroke dashstyle="solid"/>
            </v:line>
            <v:shape style="position:absolute;left:4117;top:1375;width:953;height:33" coordorigin="4118,1375" coordsize="953,33" path="m4118,1375l5070,1375m4118,1407l5007,1407e" filled="false" stroked="true" strokeweight="1.600891pt" strokecolor="#ccffcc">
              <v:path arrowok="t"/>
              <v:stroke dashstyle="solid"/>
            </v:shape>
            <v:line style="position:absolute" from="4118,1433" to="4964,1433" stroked="true" strokeweight="1.0pt" strokecolor="#ccffcc">
              <v:stroke dashstyle="solid"/>
            </v:line>
            <v:shape style="position:absolute;left:4117;top:1443;width:794;height:55" coordorigin="4118,1443" coordsize="794,55" path="m4911,1443l4118,1443,4118,1475,4118,1497,4901,1497,4901,1475,4911,1475,4911,1443e" filled="true" fillcolor="#ccffcc" stroked="false">
              <v:path arrowok="t"/>
              <v:fill type="solid"/>
            </v:shape>
            <v:line style="position:absolute" from="4118,1513" to="4869,1513" stroked="true" strokeweight="1.600891pt" strokecolor="#ccffcc">
              <v:stroke dashstyle="solid"/>
            </v:line>
            <v:shape style="position:absolute;left:4128;top:1528;width:710;height:52" coordorigin="4128,1529" coordsize="710,52" path="m4837,1529l4128,1529,4128,1559,4128,1581,4827,1581,4827,1559,4837,1559,4837,1529e" filled="true" fillcolor="#ccffcc" stroked="false">
              <v:path arrowok="t"/>
              <v:fill type="solid"/>
            </v:shape>
            <v:line style="position:absolute" from="4118,1597" to="4795,1597" stroked="true" strokeweight="1.600891pt" strokecolor="#ccffcc">
              <v:stroke dashstyle="solid"/>
            </v:line>
            <v:line style="position:absolute" from="4118,1624" to="4753,1624" stroked="true" strokeweight="1.100613pt" strokecolor="#ccffcc">
              <v:stroke dashstyle="solid"/>
            </v:line>
            <v:line style="position:absolute" from="4118,1650" to="4731,1650" stroked="true" strokeweight="1.5pt" strokecolor="#ccffcc">
              <v:stroke dashstyle="solid"/>
            </v:line>
            <v:shape style="position:absolute;left:4117;top:1665;width:583;height:107" coordorigin="4118,1665" coordsize="583,107" path="m4700,1665l4118,1665,4118,1697,4118,1771,4689,1771,4689,1697,4700,1697,4700,1665e" filled="true" fillcolor="#ccffcc" stroked="false">
              <v:path arrowok="t"/>
              <v:fill type="solid"/>
            </v:shape>
            <v:shape style="position:absolute;left:4117;top:1787;width:625;height:33" coordorigin="4118,1787" coordsize="625,33" path="m4118,1787l4721,1787m4118,1819l4742,1819e" filled="false" stroked="true" strokeweight="1.600891pt" strokecolor="#ccffcc">
              <v:path arrowok="t"/>
              <v:stroke dashstyle="solid"/>
            </v:shape>
            <v:line style="position:absolute" from="4118,1846" to="4806,1846" stroked="true" strokeweight="1.100613pt" strokecolor="#ccffcc">
              <v:stroke dashstyle="solid"/>
            </v:line>
            <v:line style="position:absolute" from="4118,1873" to="4858,1873" stroked="true" strokeweight="1.600891pt" strokecolor="#ccffcc">
              <v:stroke dashstyle="solid"/>
            </v:line>
            <v:line style="position:absolute" from="4118,1900" to="4975,1900" stroked="true" strokeweight="1.000557pt" strokecolor="#ccffcc">
              <v:stroke dashstyle="solid"/>
            </v:line>
            <v:shape style="position:absolute;left:4117;top:1925;width:1091;height:33" coordorigin="4118,1926" coordsize="1091,33" path="m4118,1926l5070,1926m4118,1958l5208,1958e" filled="false" stroked="true" strokeweight="1.600891pt" strokecolor="#ccffcc">
              <v:path arrowok="t"/>
              <v:stroke dashstyle="solid"/>
            </v:shape>
            <v:line style="position:absolute" from="4319,1984" to="5229,1984" stroked="true" strokeweight="1.1pt" strokecolor="#ccffcc">
              <v:stroke dashstyle="solid"/>
            </v:line>
            <v:rect style="position:absolute;left:5197;top:1994;width:11;height:32" filled="true" fillcolor="#ccffcc" stroked="false">
              <v:fill type="solid"/>
            </v:rect>
            <v:shape style="position:absolute;left:4117;top:479;width:1122;height:1516" coordorigin="4118,480" coordsize="1122,1516" path="m4128,565l4118,565,4118,618,4128,618,4128,565m4128,480l4118,480,4118,512,4128,512,4128,480m4562,787l4552,787,4552,808,4562,808,4562,787m4700,1698l4689,1698,4689,1772,4700,1772,4700,1698m4710,1667l4700,1667,4700,1698,4710,1698,4710,1667m4731,1772l4721,1772,4721,1804,4731,1804,4731,1772m4742,1635l4731,1635,4731,1667,4742,1667,4742,1635m4753,1804l4742,1804,4742,1836,4753,1836,4753,1804m4763,1614l4753,1614,4753,1635,4763,1635,4763,1614m4806,1582l4795,1582,4795,1614,4806,1614,4806,1582m4816,1836l4806,1836,4806,1857,4816,1857,4816,1836m4837,1561l4827,1561,4827,1582,4837,1582,4837,1561m4848,1529l4837,1529,4837,1561,4848,1561,4848,1529m4880,1857l4858,1857,4858,1889,4880,1889,4880,1857m4880,1497l4869,1497,4869,1529,4880,1529,4880,1497m4911,1476l4901,1476,4901,1497,4911,1497,4911,1476m4911,999l4901,999,4901,1031,4911,1031,4911,999m4911,840l4901,840,4901,861,4911,861,4911,840m4922,1444l4911,1444,4911,1476,4922,1476,4922,1444m4922,978l4911,978,4911,999,4922,999,4922,978m4943,946l4933,946,4933,978,4943,978,4943,946m4943,808l4933,808,4933,840,4943,840,4943,808m4954,1137l4943,1137,4943,1084,4943,1083,4933,1083,4933,1031,4922,1031,4922,1083,4922,1137,4933,1137,4933,1169,4954,1169,4954,1137m4964,925l4954,925,4954,946,4964,946,4964,925m4975,1423l4964,1423,4964,1444,4975,1444,4975,1423m4975,1169l4954,1169,4954,1200,4975,1200,4975,1169m4996,1889l4975,1889,4975,1910,4996,1910,4996,1889m4996,893l4985,893,4985,925,4996,925,4996,893m5028,1391l5007,1391,5007,1423,5028,1423,5028,1391m5028,1200l5017,1200,5017,1222,5028,1222,5028,1200m5038,861l5017,861,5017,893,5038,893,5038,861m5081,1910l5070,1910,5070,1942,5081,1942,5081,1910m5081,1359l5070,1359,5070,1391,5081,1391,5081,1359m5091,1222l5070,1222,5070,1253,5091,1253,5091,1222m5102,1253l5091,1253,5091,1285,5102,1285,5102,1253m5144,1338l5134,1338,5134,1359,5144,1359,5144,1338m5187,1307l5176,1307,5176,1306,5176,1285,5165,1285,5165,1307,5165,1337,5187,1337,5187,1307m5218,1942l5208,1942,5208,1974,5218,1974,5218,1942m5239,1974l5229,1974,5229,1995,5239,1995,5239,1974e" filled="true" fillcolor="#003300" stroked="false">
              <v:path arrowok="t"/>
              <v:fill type="solid"/>
            </v:shape>
            <v:shape style="position:absolute;left:4117;top:564;width:932;height:636" coordorigin="4118,565" coordsize="932,636" path="m4128,724l4118,724,4118,787,4128,787,4128,724m4128,671l4118,671,4118,702,4128,702,4128,671m4128,565l4118,565,4118,618,4128,618,4128,565m4594,787l4562,787,4562,808,4594,808,4594,787m4985,1169l4975,1169,4975,1200,4985,1200,4985,1169m4996,808l4943,808,4943,840,4911,840,4911,861,4954,861,4954,840,4996,840,4996,808m5049,861l5038,861,5038,893,5049,893,5049,861e" filled="true" fillcolor="#77923b" stroked="false">
              <v:path arrowok="t"/>
              <v:fill type="solid"/>
            </v:shape>
            <v:line style="position:absolute" from="4123,374" to="4123,533" stroked="true" strokeweight=".529138pt" strokecolor="#77923b">
              <v:stroke dashstyle="solid"/>
            </v:line>
            <v:rect style="position:absolute;left:4117;top:257;width:11;height:85" filled="true" fillcolor="#77923b" stroked="false">
              <v:fill type="solid"/>
            </v:rect>
            <v:line style="position:absolute" from="4996,824" to="5313,824" stroked="true" strokeweight="1.589194pt" strokecolor="#66ff66">
              <v:stroke dashstyle="solid"/>
            </v:line>
            <v:line style="position:absolute" from="4954,851" to="5239,851" stroked="true" strokeweight="1.059459pt" strokecolor="#66ff66">
              <v:stroke dashstyle="solid"/>
            </v:line>
            <v:rect style="position:absolute;left:5038;top:861;width:11;height:32" filled="true" fillcolor="#66ff66" stroked="false">
              <v:fill type="solid"/>
            </v:rect>
            <v:line style="position:absolute" from="4594,798" to="4774,798" stroked="true" strokeweight="1.059459pt" strokecolor="#66ff66">
              <v:stroke dashstyle="solid"/>
            </v:line>
            <v:line style="position:absolute" from="4123,99" to="4123,787" stroked="true" strokeweight=".529143pt" strokecolor="#66ff66">
              <v:stroke dashstyle="solid"/>
            </v:line>
            <v:shape style="position:absolute;left:4202;top:1136;width:1196;height:1028" coordorigin="4202,1137" coordsize="1196,1028" path="m4213,2133l4202,2133,4202,2164,4213,2164,4213,2133m4435,2112l4425,2112,4425,2133,4435,2133,4435,2112m4700,1720l4689,1720,4689,1751,4700,1751,4700,1720m4742,1772l4731,1772,4731,1804,4742,1804,4742,1772m4753,1635l4742,1635,4742,1667,4753,1667,4753,1635m4763,1804l4753,1804,4753,1836,4763,1836,4763,1804m4827,1836l4816,1836,4816,1857,4827,1857,4827,1836m4848,1561l4837,1561,4837,1582,4848,1582,4848,1561m4880,1497l4869,1497,4869,1529,4880,1529,4880,1497m4890,1857l4880,1857,4880,1889,4890,1889,4890,1857m4922,1476l4911,1476,4911,1497,4922,1497,4922,1476m4964,1137l4954,1137,4954,1169,4964,1169,4964,1137m4985,1423l4975,1423,4975,1444,4985,1444,4985,1423m5007,1889l4996,1889,4996,1910,5007,1910,5007,1889m5038,1200l5028,1200,5028,1222,5038,1222,5038,1200m5081,2080l5070,2080,5070,2112,5081,2112,5081,2080m5091,1910l5081,1910,5081,1942,5091,1942,5091,1910m5208,1995l5197,1995,5197,2027,5208,2027,5208,1995m5229,1942l5218,1942,5218,1974,5229,1974,5229,1942m5250,1974l5239,1974,5239,1995,5250,1995,5250,1974m5314,2027l5303,2027,5303,2048,5314,2048,5314,2027m5398,2048l5388,2048,5388,2080,5398,2080,5398,2048e" filled="true" fillcolor="#ebf0de" stroked="false">
              <v:path arrowok="t"/>
              <v:fill type="solid"/>
            </v:shape>
            <v:rect style="position:absolute;left:4022;top:2132;width:96;height:32" filled="true" fillcolor="#008000" stroked="false">
              <v:fill type="solid"/>
            </v:rect>
            <v:line style="position:absolute" from="3091,2096" to="4107,2096" stroked="true" strokeweight="1.600902pt" strokecolor="#008000">
              <v:stroke dashstyle="solid"/>
            </v:line>
            <v:line style="position:absolute" from="3779,2123" to="4118,2123" stroked="true" strokeweight="1.10062pt" strokecolor="#008000">
              <v:stroke dashstyle="solid"/>
            </v:line>
            <v:shape style="position:absolute;left:4107;top:2111;width:11;height:2" coordorigin="4107,2112" coordsize="11,0" path="m4118,2112l4107,2112,4118,2112xe" filled="true" fillcolor="#008000" stroked="false">
              <v:path arrowok="t"/>
              <v:fill type="solid"/>
            </v:shape>
            <v:line style="position:absolute" from="2721,2011" to="4107,2011" stroked="true" strokeweight="1.589217pt" strokecolor="#008000">
              <v:stroke dashstyle="solid"/>
            </v:line>
            <v:line style="position:absolute" from="2657,2038" to="4107,2038" stroked="true" strokeweight="1.000564pt" strokecolor="#008000">
              <v:stroke dashstyle="solid"/>
            </v:line>
            <v:shape style="position:absolute;left:4107;top:2026;width:2;height:2" coordorigin="4107,2027" coordsize="0,0" path="m4107,2027xe" filled="true" fillcolor="#008000" stroked="false">
              <v:path arrowok="t"/>
              <v:fill type="solid"/>
            </v:shape>
            <v:line style="position:absolute" from="2678,2064" to="4107,2064" stroked="true" strokeweight="1.589217pt" strokecolor="#008000">
              <v:stroke dashstyle="solid"/>
            </v:line>
            <v:line style="position:absolute" from="2583,1984" to="2869,1984" stroked="true" strokeweight="1.059478pt" strokecolor="#008000">
              <v:stroke dashstyle="solid"/>
            </v:line>
            <v:shape style="position:absolute;left:2487;top:1475;width:731;height:498" coordorigin="2488,1476" coordsize="731,498" path="m2509,1942l2488,1942,2488,1974,2509,1974,2509,1942m2583,1910l2562,1910,2562,1942,2583,1942,2583,1910m2657,1889l2647,1889,2647,1910,2657,1910,2657,1889m2774,1857l2763,1857,2763,1889,2774,1889,2774,1857m2848,1836l2837,1836,2837,1857,2848,1857,2848,1836m2922,1804l2911,1804,2911,1836,2922,1836,2922,1804m2996,1772l2985,1772,2985,1804,2996,1804,2996,1772m3049,1751l3038,1751,3038,1772,3049,1772,3049,1751m3102,1698l3091,1698,3091,1751,3102,1751,3102,1698m3155,1582l3144,1582,3144,1614,3155,1614,3155,1582m3165,1561l3155,1561,3155,1582,3165,1582,3165,1561m3176,1529l3165,1529,3165,1561,3176,1561,3176,1529m3208,1497l3197,1497,3197,1529,3208,1529,3208,1497m3218,1476l3208,1476,3208,1497,3218,1497,3218,1476e" filled="true" fillcolor="#008000" stroked="false">
              <v:path arrowok="t"/>
              <v:fill type="solid"/>
            </v:shape>
            <v:shape style="position:absolute;left:4117;top:1062;width:1281;height:1537" coordorigin="4118,1063" coordsize="1281,1537" path="m4128,2164l4118,2164,4118,2186,4118,2249,4118,2323,4118,2355,4118,2387,4118,2461,4118,2525,4118,2599,4128,2599,4128,2525,4128,2461,4128,2387,4128,2355,4128,2323,4128,2249,4128,2186,4128,2164m4213,2133l4202,2133,4202,2164,4213,2164,4213,2133m4435,2112l4425,2112,4425,2133,4435,2133,4435,2112m4700,1720l4689,1720,4689,1751,4700,1751,4700,1720m4710,1698l4700,1698,4700,1720,4710,1720,4710,1698m4721,1667l4710,1667,4710,1698,4721,1698,4721,1667m4742,1772l4742,1772,4731,1772,4731,1772,4731,1804,4731,1804,4742,1804,4742,1804,4742,1772m4753,1635l4742,1635,4742,1667,4753,1667,4753,1635m4763,1614l4753,1614,4753,1635,4763,1635,4763,1614m4774,1804l4763,1804,4763,1804,4753,1804,4753,1836,4763,1836,4763,1836,4774,1836,4774,1804m4816,1582l4806,1582,4806,1614,4816,1614,4816,1582m4837,1836l4827,1836,4827,1836,4816,1836,4816,1857,4827,1857,4827,1857,4837,1857,4837,1836m4848,1561l4837,1561,4837,1582,4848,1582,4848,1561m4880,1497l4869,1497,4869,1529,4880,1529,4880,1497m4890,1857l4890,1857,4880,1857,4880,1857,4880,1889,4880,1889,4890,1889,4890,1889,4890,1857m4922,1476l4911,1476,4911,1497,4922,1497,4922,1476m4933,1444l4922,1444,4922,1476,4933,1476,4933,1444m4943,1063l4933,1063,4933,1084,4943,1084,4943,1063m4985,1423l4975,1423,4975,1444,4985,1444,4985,1423m4985,1169l4975,1169,4975,1200,4985,1200,4985,1169m5007,1889l5007,1889,4996,1889,4996,1889,4996,1910,4996,1910,4996,1910,5007,1910,5007,1889m5038,1391l5028,1391,5028,1423,5038,1423,5038,1391m5081,2080l5070,2080,5070,2112,5081,2112,5081,2080m5091,1910l5081,1910,5081,1942,5091,1942,5091,1910m5091,1359l5081,1359,5081,1391,5091,1391,5091,1359m5112,1253l5102,1253,5102,1285,5112,1285,5112,1253m5155,1338l5144,1338,5144,1359,5155,1359,5155,1338m5187,1285l5176,1285,5176,1306,5187,1306,5187,1285m5197,1306l5187,1306,5187,1338,5197,1338,5197,1306m5208,1995l5197,1995,5197,2027,5208,2027,5208,1995m5229,1942l5218,1942,5218,1974,5229,1974,5229,1942m5250,1974l5239,1974,5239,1995,5250,1995,5250,1974m5324,2027l5314,2027,5314,2048,5324,2048,5324,2027m5398,2048l5388,2048,5388,2080,5398,2080,5398,2048e" filled="true" fillcolor="#ebf0de" stroked="false">
              <v:path arrowok="t"/>
              <v:fill type="solid"/>
            </v:shape>
            <v:shape style="position:absolute;left:4705;top:1698;width:2;height:75" coordorigin="4705,1698" coordsize="0,75" path="m4705,1698l4705,1772,4705,1698xe" filled="true" fillcolor="#ebf0de" stroked="false">
              <v:path arrowok="t"/>
              <v:fill type="solid"/>
            </v:shape>
            <v:shape style="position:absolute;left:4710;top:1136;width:487;height:562" coordorigin="4710,1137" coordsize="487,562" path="m4721,1667l4710,1667,4710,1698,4721,1698,4721,1667m4753,1635l4742,1635,4742,1667,4753,1667,4753,1635m4763,1614l4753,1614,4753,1635,4763,1635,4763,1614m4816,1582l4806,1582,4806,1614,4816,1614,4816,1582m4848,1561l4837,1561,4837,1582,4848,1582,4848,1561m4858,1529l4848,1529,4848,1561,4858,1561,4858,1529m4880,1497l4869,1497,4869,1529,4880,1529,4880,1497m4922,1476l4911,1476,4911,1497,4922,1497,4922,1476m4933,1444l4922,1444,4922,1476,4933,1476,4933,1444m4964,1137l4954,1137,4954,1169,4964,1169,4964,1137m4985,1423l4975,1423,4975,1444,4985,1444,4985,1423m4985,1169l4975,1169,4975,1200,4985,1200,4985,1169m5038,1391l5028,1391,5028,1423,5038,1423,5038,1391m5049,1200l5038,1200,5038,1222,5049,1222,5049,1200m5091,1359l5081,1359,5081,1391,5091,1391,5091,1359m5102,1222l5091,1222,5091,1253,5102,1253,5102,1222m5112,1253l5102,1253,5102,1285,5112,1285,5112,1253m5155,1338l5144,1338,5144,1359,5155,1359,5155,1338m5187,1285l5176,1285,5176,1306,5187,1306,5187,1285m5197,1306l5187,1306,5187,1338,5197,1338,5197,1306e" filled="true" fillcolor="#ebf0de" stroked="false">
              <v:path arrowok="t"/>
              <v:fill type="solid"/>
            </v:shape>
            <v:shape style="position:absolute;left:4948;top:1083;width:2;height:53" coordorigin="4948,1084" coordsize="0,53" path="m4948,1084l4948,1137,4948,1084xe" filled="true" fillcolor="#ebf0de" stroked="false">
              <v:path arrowok="t"/>
              <v:fill type="solid"/>
            </v:shape>
            <v:shape style="position:absolute;left:4773;top:787;width:551;height:297" coordorigin="4774,787" coordsize="551,297" path="m4784,787l4774,787,4774,808,4784,808,4784,787m4922,999l4911,999,4911,1031,4922,1031,4922,999m4933,978l4922,978,4922,999,4933,999,4933,978m4943,1031l4933,1031,4933,1063,4933,1084,4943,1084,4943,1063,4943,1031m4954,946l4943,946,4943,978,4954,978,4954,946m4975,925l4964,925,4964,946,4975,946,4975,925m5007,893l4996,893,4996,925,5007,925,5007,893m5049,861l5038,861,5038,893,5049,893,5049,861m5250,840l5239,840,5239,861,5250,861,5250,840m5324,808l5314,808,5314,840,5324,840,5324,808e" filled="true" fillcolor="#ebf0de" stroked="false">
              <v:path arrowok="t"/>
              <v:fill type="solid"/>
            </v:shape>
            <v:shape style="position:absolute;left:4122;top:585;width:2;height:202" coordorigin="4123,586" coordsize="0,202" path="m4123,586l4123,787,4123,586xe" filled="true" fillcolor="#ebf0de" stroked="false">
              <v:path arrowok="t"/>
              <v:fill type="solid"/>
            </v:shape>
            <v:line style="position:absolute" from="4123,99" to="4123,374" stroked="true" strokeweight=".529141pt" strokecolor="#ebf0de">
              <v:stroke dashstyle="solid"/>
            </v:line>
            <v:shape style="position:absolute;left:4133;top:373;width:2;height:212" coordorigin="4134,374" coordsize="0,212" path="m4134,374l4134,586,4134,374xe" filled="true" fillcolor="#ebf0de" stroked="false">
              <v:path arrowok="t"/>
              <v:fill type="solid"/>
            </v:shape>
            <v:line style="position:absolute" from="6282,2594" to="1943,2594" stroked="true" strokeweight=".529733pt" strokecolor="#bebebe">
              <v:stroke dashstyle="solid"/>
            </v:line>
            <v:shape style="position:absolute;left:-650875;top:8532;width:650875;height:6350" coordorigin="-650875,8532" coordsize="650875,6350" path="m6282,2594l6282,2636m5562,2594l5562,2636m4843,2594l4843,2636m4112,2594l4112,2636m3393,2594l3393,2636m2673,2594l2673,2636m1943,2594l1943,2636e" filled="false" stroked="true" strokeweight=".529439pt" strokecolor="#bebebe">
              <v:path arrowok="t"/>
              <v:stroke dashstyle="solid"/>
            </v:shape>
            <v:line style="position:absolute" from="1943,2594" to="1943,104" stroked="true" strokeweight=".529146pt" strokecolor="#bebebe">
              <v:stroke dashstyle="solid"/>
            </v:line>
            <v:shape style="position:absolute;left:0;top:14882;width:11044;height:648805" coordorigin="0,14882" coordsize="11044,648805" path="m1901,2594l1943,2594m1901,2318l1943,2318m1901,2043l1943,2043m1901,1767l1943,1767m1901,1492l1943,1492m1901,1206l1943,1206m1901,930l1943,930m1901,655l1943,655m1901,379l1943,379m1901,104l1943,104e" filled="false" stroked="true" strokeweight=".529436pt" strokecolor="#bebebe">
              <v:path arrowok="t"/>
              <v:stroke dashstyle="solid"/>
            </v:shape>
            <v:shape style="position:absolute;left:3400;top:143;width:1565;height:215" type="#_x0000_t202" filled="false" stroked="false">
              <v:textbox inset="0,0,0,0">
                <w:txbxContent>
                  <w:p>
                    <w:pPr>
                      <w:tabs>
                        <w:tab w:pos="795" w:val="left" w:leader="none"/>
                      </w:tabs>
                      <w:spacing w:line="213" w:lineRule="exact" w:before="1"/>
                      <w:ind w:left="0" w:right="0" w:firstLine="0"/>
                      <w:jc w:val="left"/>
                      <w:rPr>
                        <w:rFonts w:ascii="Symbol" w:hAnsi="Symbol"/>
                        <w:sz w:val="17"/>
                      </w:rPr>
                    </w:pPr>
                    <w:r>
                      <w:rPr>
                        <w:rFonts w:ascii="Symbol" w:hAnsi="Symbol"/>
                        <w:color w:val="A6A6A6"/>
                        <w:sz w:val="17"/>
                      </w:rPr>
                      <w:t></w:t>
                    </w:r>
                    <w:r>
                      <w:rPr>
                        <w:rFonts w:ascii="Times New Roman" w:hAnsi="Times New Roman"/>
                        <w:color w:val="A6A6A6"/>
                        <w:spacing w:val="-10"/>
                        <w:sz w:val="17"/>
                      </w:rPr>
                      <w:t> </w:t>
                    </w:r>
                    <w:r>
                      <w:rPr>
                        <w:rFonts w:ascii="Calibri" w:hAnsi="Calibri"/>
                        <w:color w:val="A6A6A6"/>
                        <w:sz w:val="17"/>
                      </w:rPr>
                      <w:t>Male</w:t>
                      <w:tab/>
                      <w:t>Female </w:t>
                    </w:r>
                    <w:r>
                      <w:rPr>
                        <w:rFonts w:ascii="Symbol" w:hAnsi="Symbol"/>
                        <w:color w:val="A6A6A6"/>
                        <w:sz w:val="17"/>
                      </w:rPr>
                      <w:t></w:t>
                    </w:r>
                  </w:p>
                </w:txbxContent>
              </v:textbox>
              <w10:wrap type="none"/>
            </v:shape>
            <w10:wrap type="none"/>
          </v:group>
        </w:pict>
      </w:r>
      <w:r>
        <w:rPr>
          <w:rFonts w:ascii="Calibri"/>
          <w:spacing w:val="-7"/>
          <w:sz w:val="16"/>
        </w:rPr>
        <w:t>90</w:t>
      </w:r>
    </w:p>
    <w:p>
      <w:pPr>
        <w:spacing w:before="81"/>
        <w:ind w:left="1523" w:right="0" w:firstLine="0"/>
        <w:jc w:val="left"/>
        <w:rPr>
          <w:rFonts w:ascii="Calibri"/>
          <w:sz w:val="16"/>
        </w:rPr>
      </w:pPr>
      <w:r>
        <w:rPr>
          <w:rFonts w:ascii="Calibri"/>
          <w:spacing w:val="-7"/>
          <w:sz w:val="16"/>
        </w:rPr>
        <w:t>80</w:t>
      </w:r>
    </w:p>
    <w:p>
      <w:pPr>
        <w:spacing w:before="81"/>
        <w:ind w:left="1523" w:right="0" w:firstLine="0"/>
        <w:jc w:val="left"/>
        <w:rPr>
          <w:rFonts w:ascii="Calibri"/>
          <w:sz w:val="16"/>
        </w:rPr>
      </w:pPr>
      <w:r>
        <w:rPr/>
        <w:pict>
          <v:shape style="position:absolute;margin-left:72.155128pt;margin-top:5.167336pt;width:8.9pt;height:77.55pt;mso-position-horizontal-relative:page;mso-position-vertical-relative:paragraph;z-index:252211200" type="#_x0000_t202" filled="false" stroked="false">
            <v:textbox inset="0,0,0,0" style="layout-flow:vertical;mso-layout-flow-alt:bottom-to-top">
              <w:txbxContent>
                <w:p>
                  <w:pPr>
                    <w:spacing w:line="158" w:lineRule="exact" w:before="0"/>
                    <w:ind w:left="20" w:right="0" w:firstLine="0"/>
                    <w:jc w:val="left"/>
                    <w:rPr>
                      <w:rFonts w:ascii="Calibri"/>
                      <w:b/>
                      <w:sz w:val="13"/>
                    </w:rPr>
                  </w:pPr>
                  <w:r>
                    <w:rPr>
                      <w:rFonts w:ascii="Calibri"/>
                      <w:b/>
                      <w:w w:val="105"/>
                      <w:sz w:val="13"/>
                    </w:rPr>
                    <w:t>Age at the Valuation Date</w:t>
                  </w:r>
                </w:p>
              </w:txbxContent>
            </v:textbox>
            <w10:wrap type="none"/>
          </v:shape>
        </w:pict>
      </w:r>
      <w:r>
        <w:rPr>
          <w:rFonts w:ascii="Calibri"/>
          <w:spacing w:val="-7"/>
          <w:sz w:val="16"/>
        </w:rPr>
        <w:t>70</w:t>
      </w:r>
    </w:p>
    <w:p>
      <w:pPr>
        <w:spacing w:before="80"/>
        <w:ind w:left="1523" w:right="0" w:firstLine="0"/>
        <w:jc w:val="left"/>
        <w:rPr>
          <w:rFonts w:ascii="Calibri"/>
          <w:sz w:val="16"/>
        </w:rPr>
      </w:pPr>
      <w:r>
        <w:rPr>
          <w:rFonts w:ascii="Calibri"/>
          <w:spacing w:val="-7"/>
          <w:sz w:val="16"/>
        </w:rPr>
        <w:t>60</w:t>
      </w:r>
    </w:p>
    <w:p>
      <w:pPr>
        <w:spacing w:before="81"/>
        <w:ind w:left="1523" w:right="0" w:firstLine="0"/>
        <w:jc w:val="left"/>
        <w:rPr>
          <w:rFonts w:ascii="Calibri"/>
          <w:sz w:val="16"/>
        </w:rPr>
      </w:pPr>
      <w:r>
        <w:rPr>
          <w:rFonts w:ascii="Calibri"/>
          <w:spacing w:val="-7"/>
          <w:sz w:val="16"/>
        </w:rPr>
        <w:t>50</w:t>
      </w:r>
    </w:p>
    <w:p>
      <w:pPr>
        <w:spacing w:before="80"/>
        <w:ind w:left="1523" w:right="0" w:firstLine="0"/>
        <w:jc w:val="left"/>
        <w:rPr>
          <w:rFonts w:ascii="Calibri"/>
          <w:sz w:val="16"/>
        </w:rPr>
      </w:pPr>
      <w:r>
        <w:rPr>
          <w:rFonts w:ascii="Calibri"/>
          <w:spacing w:val="-7"/>
          <w:sz w:val="16"/>
        </w:rPr>
        <w:t>40</w:t>
      </w:r>
    </w:p>
    <w:p>
      <w:pPr>
        <w:spacing w:before="81"/>
        <w:ind w:left="1523" w:right="0" w:firstLine="0"/>
        <w:jc w:val="left"/>
        <w:rPr>
          <w:rFonts w:ascii="Calibri"/>
          <w:sz w:val="16"/>
        </w:rPr>
      </w:pPr>
      <w:r>
        <w:rPr>
          <w:rFonts w:ascii="Calibri"/>
          <w:spacing w:val="-7"/>
          <w:sz w:val="16"/>
        </w:rPr>
        <w:t>30</w:t>
      </w:r>
    </w:p>
    <w:p>
      <w:pPr>
        <w:spacing w:before="80"/>
        <w:ind w:left="1523" w:right="0" w:firstLine="0"/>
        <w:jc w:val="left"/>
        <w:rPr>
          <w:rFonts w:ascii="Calibri"/>
          <w:sz w:val="16"/>
        </w:rPr>
      </w:pPr>
      <w:r>
        <w:rPr>
          <w:rFonts w:ascii="Calibri"/>
          <w:spacing w:val="-7"/>
          <w:sz w:val="16"/>
        </w:rPr>
        <w:t>20</w:t>
      </w:r>
    </w:p>
    <w:p>
      <w:pPr>
        <w:spacing w:before="81"/>
        <w:ind w:left="1523" w:right="0" w:firstLine="0"/>
        <w:jc w:val="left"/>
        <w:rPr>
          <w:rFonts w:ascii="Calibri"/>
          <w:sz w:val="16"/>
        </w:rPr>
      </w:pPr>
      <w:r>
        <w:rPr>
          <w:rFonts w:ascii="Calibri"/>
          <w:spacing w:val="-7"/>
          <w:sz w:val="16"/>
        </w:rPr>
        <w:t>10</w:t>
      </w:r>
    </w:p>
    <w:p>
      <w:pPr>
        <w:spacing w:before="80"/>
        <w:ind w:left="1601" w:right="0" w:firstLine="0"/>
        <w:jc w:val="left"/>
        <w:rPr>
          <w:rFonts w:ascii="Calibri"/>
          <w:sz w:val="16"/>
        </w:rPr>
      </w:pPr>
      <w:r>
        <w:rPr>
          <w:rFonts w:ascii="Calibri"/>
          <w:w w:val="99"/>
          <w:sz w:val="16"/>
        </w:rPr>
        <w:t>0</w:t>
      </w:r>
    </w:p>
    <w:p>
      <w:pPr>
        <w:spacing w:before="7"/>
        <w:ind w:left="1608" w:right="0" w:firstLine="0"/>
        <w:jc w:val="left"/>
        <w:rPr>
          <w:rFonts w:ascii="Calibri"/>
          <w:sz w:val="16"/>
        </w:rPr>
      </w:pPr>
      <w:r>
        <w:rPr>
          <w:rFonts w:ascii="Calibri"/>
          <w:spacing w:val="-4"/>
          <w:sz w:val="16"/>
        </w:rPr>
        <w:t>30,000</w:t>
      </w:r>
    </w:p>
    <w:p>
      <w:pPr>
        <w:pStyle w:val="BodyText"/>
        <w:rPr>
          <w:rFonts w:ascii="Calibri"/>
          <w:sz w:val="16"/>
        </w:rPr>
      </w:pPr>
      <w:r>
        <w:rPr/>
        <w:br w:type="column"/>
      </w:r>
      <w:r>
        <w:rPr>
          <w:rFonts w:ascii="Calibri"/>
          <w:sz w:val="16"/>
        </w:rPr>
      </w: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spacing w:before="9"/>
        <w:rPr>
          <w:rFonts w:ascii="Calibri"/>
          <w:sz w:val="23"/>
        </w:rPr>
      </w:pPr>
    </w:p>
    <w:p>
      <w:pPr>
        <w:spacing w:before="0"/>
        <w:ind w:left="260" w:right="0" w:firstLine="0"/>
        <w:jc w:val="left"/>
        <w:rPr>
          <w:rFonts w:ascii="Calibri"/>
          <w:sz w:val="16"/>
        </w:rPr>
      </w:pPr>
      <w:r>
        <w:rPr>
          <w:rFonts w:ascii="Calibri"/>
          <w:spacing w:val="-4"/>
          <w:sz w:val="16"/>
        </w:rPr>
        <w:t>20,000</w:t>
      </w:r>
    </w:p>
    <w:p>
      <w:pPr>
        <w:pStyle w:val="BodyText"/>
        <w:rPr>
          <w:rFonts w:ascii="Calibri"/>
          <w:sz w:val="16"/>
        </w:rPr>
      </w:pPr>
      <w:r>
        <w:rPr/>
        <w:br w:type="column"/>
      </w:r>
      <w:r>
        <w:rPr>
          <w:rFonts w:ascii="Calibri"/>
          <w:sz w:val="16"/>
        </w:rPr>
      </w: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spacing w:before="9"/>
        <w:rPr>
          <w:rFonts w:ascii="Calibri"/>
          <w:sz w:val="23"/>
        </w:rPr>
      </w:pPr>
    </w:p>
    <w:p>
      <w:pPr>
        <w:spacing w:before="0"/>
        <w:ind w:left="260" w:right="0" w:firstLine="0"/>
        <w:jc w:val="left"/>
        <w:rPr>
          <w:rFonts w:ascii="Calibri"/>
          <w:sz w:val="16"/>
        </w:rPr>
      </w:pPr>
      <w:r>
        <w:rPr>
          <w:rFonts w:ascii="Calibri"/>
          <w:spacing w:val="-4"/>
          <w:sz w:val="16"/>
        </w:rPr>
        <w:t>10,000</w:t>
      </w:r>
    </w:p>
    <w:p>
      <w:pPr>
        <w:pStyle w:val="BodyText"/>
        <w:rPr>
          <w:rFonts w:ascii="Calibri"/>
          <w:sz w:val="16"/>
        </w:rPr>
      </w:pPr>
      <w:r>
        <w:rPr/>
        <w:br w:type="column"/>
      </w:r>
      <w:r>
        <w:rPr>
          <w:rFonts w:ascii="Calibri"/>
          <w:sz w:val="16"/>
        </w:rPr>
      </w: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spacing w:before="9"/>
        <w:rPr>
          <w:rFonts w:ascii="Calibri"/>
          <w:sz w:val="23"/>
        </w:rPr>
      </w:pPr>
    </w:p>
    <w:p>
      <w:pPr>
        <w:tabs>
          <w:tab w:pos="983" w:val="left" w:leader="none"/>
        </w:tabs>
        <w:spacing w:before="0"/>
        <w:ind w:left="436" w:right="0" w:firstLine="0"/>
        <w:jc w:val="left"/>
        <w:rPr>
          <w:rFonts w:ascii="Calibri"/>
          <w:sz w:val="16"/>
        </w:rPr>
      </w:pPr>
      <w:r>
        <w:rPr>
          <w:rFonts w:ascii="Calibri"/>
          <w:sz w:val="16"/>
        </w:rPr>
        <w:t>0</w:t>
        <w:tab/>
      </w:r>
      <w:r>
        <w:rPr>
          <w:rFonts w:ascii="Calibri"/>
          <w:spacing w:val="-7"/>
          <w:sz w:val="16"/>
        </w:rPr>
        <w:t>10,000</w:t>
      </w:r>
    </w:p>
    <w:p>
      <w:pPr>
        <w:pStyle w:val="BodyText"/>
        <w:rPr>
          <w:rFonts w:ascii="Calibri"/>
          <w:sz w:val="16"/>
        </w:rPr>
      </w:pPr>
      <w:r>
        <w:rPr/>
        <w:br w:type="column"/>
      </w:r>
      <w:r>
        <w:rPr>
          <w:rFonts w:ascii="Calibri"/>
          <w:sz w:val="16"/>
        </w:rPr>
      </w: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spacing w:before="9"/>
        <w:rPr>
          <w:rFonts w:ascii="Calibri"/>
          <w:sz w:val="23"/>
        </w:rPr>
      </w:pPr>
    </w:p>
    <w:p>
      <w:pPr>
        <w:spacing w:before="0"/>
        <w:ind w:left="260" w:right="0" w:firstLine="0"/>
        <w:jc w:val="left"/>
        <w:rPr>
          <w:rFonts w:ascii="Calibri"/>
          <w:sz w:val="16"/>
        </w:rPr>
      </w:pPr>
      <w:r>
        <w:rPr>
          <w:rFonts w:ascii="Calibri"/>
          <w:spacing w:val="-4"/>
          <w:sz w:val="16"/>
        </w:rPr>
        <w:t>20,000</w:t>
      </w:r>
    </w:p>
    <w:p>
      <w:pPr>
        <w:pStyle w:val="BodyText"/>
        <w:rPr>
          <w:rFonts w:ascii="Calibri"/>
          <w:sz w:val="16"/>
        </w:rPr>
      </w:pPr>
      <w:r>
        <w:rPr/>
        <w:br w:type="column"/>
      </w:r>
      <w:r>
        <w:rPr>
          <w:rFonts w:ascii="Calibri"/>
          <w:sz w:val="16"/>
        </w:rPr>
      </w: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spacing w:before="9"/>
        <w:rPr>
          <w:rFonts w:ascii="Calibri"/>
          <w:sz w:val="23"/>
        </w:rPr>
      </w:pPr>
    </w:p>
    <w:p>
      <w:pPr>
        <w:spacing w:before="0"/>
        <w:ind w:left="260" w:right="0" w:firstLine="0"/>
        <w:jc w:val="left"/>
        <w:rPr>
          <w:rFonts w:ascii="Calibri"/>
          <w:sz w:val="16"/>
        </w:rPr>
      </w:pPr>
      <w:r>
        <w:rPr>
          <w:rFonts w:ascii="Calibri"/>
          <w:spacing w:val="-4"/>
          <w:sz w:val="16"/>
        </w:rPr>
        <w:t>30,000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rPr>
      </w:pPr>
    </w:p>
    <w:p>
      <w:pPr>
        <w:spacing w:before="1"/>
        <w:ind w:left="1145" w:right="0" w:firstLine="0"/>
        <w:jc w:val="left"/>
        <w:rPr>
          <w:rFonts w:ascii="Calibri"/>
          <w:sz w:val="13"/>
        </w:rPr>
      </w:pPr>
      <w:r>
        <w:rPr>
          <w:rFonts w:ascii="Calibri"/>
          <w:w w:val="105"/>
          <w:sz w:val="13"/>
        </w:rPr>
        <w:t>Newstart</w:t>
      </w:r>
    </w:p>
    <w:p>
      <w:pPr>
        <w:spacing w:line="391" w:lineRule="auto" w:before="99"/>
        <w:ind w:left="1145" w:right="3146" w:firstLine="0"/>
        <w:jc w:val="left"/>
        <w:rPr>
          <w:rFonts w:ascii="Calibri"/>
          <w:sz w:val="13"/>
        </w:rPr>
      </w:pPr>
      <w:r>
        <w:rPr/>
        <w:pict>
          <v:rect style="position:absolute;margin-left:378.550476pt;margin-top:-5.553661pt;width:3.777359pt;height:3.700237pt;mso-position-horizontal-relative:page;mso-position-vertical-relative:paragraph;z-index:252192768" filled="true" fillcolor="#ccffcc" stroked="false">
            <v:fill type="solid"/>
            <w10:wrap type="none"/>
          </v:rect>
        </w:pict>
      </w:r>
      <w:r>
        <w:rPr/>
        <w:pict>
          <v:rect style="position:absolute;margin-left:378.550476pt;margin-top:7.328575pt;width:3.777359pt;height:3.768897pt;mso-position-horizontal-relative:page;mso-position-vertical-relative:paragraph;z-index:252193792" filled="true" fillcolor="#003300" stroked="false">
            <v:fill type="solid"/>
            <w10:wrap type="none"/>
          </v:rect>
        </w:pict>
      </w:r>
      <w:r>
        <w:rPr/>
        <w:pict>
          <v:rect style="position:absolute;margin-left:378.550476pt;margin-top:20.211018pt;width:3.777359pt;height:3.768691pt;mso-position-horizontal-relative:page;mso-position-vertical-relative:paragraph;z-index:252194816" filled="true" fillcolor="#77923b" stroked="false">
            <v:fill type="solid"/>
            <w10:wrap type="none"/>
          </v:rect>
        </w:pict>
      </w:r>
      <w:r>
        <w:rPr/>
        <w:pict>
          <v:rect style="position:absolute;margin-left:378.550476pt;margin-top:33.093323pt;width:3.777359pt;height:3.768691pt;mso-position-horizontal-relative:page;mso-position-vertical-relative:paragraph;z-index:252195840" filled="true" fillcolor="#66ff66" stroked="false">
            <v:fill type="solid"/>
            <w10:wrap type="none"/>
          </v:rect>
        </w:pict>
      </w:r>
      <w:r>
        <w:rPr/>
        <w:pict>
          <v:rect style="position:absolute;margin-left:378.550476pt;margin-top:45.975559pt;width:3.777359pt;height:3.768691pt;mso-position-horizontal-relative:page;mso-position-vertical-relative:paragraph;z-index:252196864" filled="true" fillcolor="#ebf0de" stroked="false">
            <v:fill type="solid"/>
            <w10:wrap type="none"/>
          </v:rect>
        </w:pict>
      </w:r>
      <w:r>
        <w:rPr>
          <w:rFonts w:ascii="Calibri"/>
          <w:w w:val="105"/>
          <w:sz w:val="13"/>
        </w:rPr>
        <w:t>Sickness Allowance Partner Allowance Widow Allowance Other</w:t>
      </w:r>
    </w:p>
    <w:p>
      <w:pPr>
        <w:spacing w:line="156" w:lineRule="exact" w:before="0"/>
        <w:ind w:left="1145" w:right="0" w:firstLine="0"/>
        <w:jc w:val="left"/>
        <w:rPr>
          <w:rFonts w:ascii="Calibri"/>
          <w:sz w:val="13"/>
        </w:rPr>
      </w:pPr>
      <w:r>
        <w:rPr/>
        <w:pict>
          <v:rect style="position:absolute;margin-left:378.550476pt;margin-top:2.174466pt;width:3.777359pt;height:3.768828pt;mso-position-horizontal-relative:page;mso-position-vertical-relative:paragraph;z-index:252197888" filled="true" fillcolor="#008000" stroked="false">
            <v:fill type="solid"/>
            <w10:wrap type="none"/>
          </v:rect>
        </w:pict>
      </w:r>
      <w:r>
        <w:rPr>
          <w:rFonts w:ascii="Calibri"/>
          <w:w w:val="105"/>
          <w:sz w:val="13"/>
        </w:rPr>
        <w:t>Youth Allowance (Other)</w:t>
      </w:r>
    </w:p>
    <w:p>
      <w:pPr>
        <w:spacing w:after="0" w:line="156" w:lineRule="exact"/>
        <w:jc w:val="left"/>
        <w:rPr>
          <w:rFonts w:ascii="Calibri"/>
          <w:sz w:val="13"/>
        </w:rPr>
        <w:sectPr>
          <w:type w:val="continuous"/>
          <w:pgSz w:w="11910" w:h="16850"/>
          <w:pgMar w:top="1600" w:bottom="280" w:left="120" w:right="0"/>
          <w:cols w:num="7" w:equalWidth="0">
            <w:col w:w="2033" w:space="40"/>
            <w:col w:w="684" w:space="39"/>
            <w:col w:w="684" w:space="39"/>
            <w:col w:w="1408" w:space="40"/>
            <w:col w:w="684" w:space="40"/>
            <w:col w:w="684" w:space="39"/>
            <w:col w:w="5376"/>
          </w:cols>
        </w:sectPr>
      </w:pPr>
    </w:p>
    <w:p>
      <w:pPr>
        <w:spacing w:before="38"/>
        <w:ind w:left="2570" w:right="0" w:firstLine="0"/>
        <w:jc w:val="left"/>
        <w:rPr>
          <w:rFonts w:ascii="Calibri"/>
          <w:b/>
          <w:sz w:val="17"/>
        </w:rPr>
      </w:pPr>
      <w:r>
        <w:rPr>
          <w:rFonts w:ascii="Calibri"/>
          <w:b/>
          <w:sz w:val="17"/>
        </w:rPr>
        <w:t>People in Class by Age at Valuation Date</w:t>
      </w:r>
    </w:p>
    <w:p>
      <w:pPr>
        <w:pStyle w:val="BodyText"/>
        <w:rPr>
          <w:rFonts w:ascii="Calibri"/>
          <w:b/>
          <w:sz w:val="23"/>
        </w:rPr>
      </w:pPr>
    </w:p>
    <w:p>
      <w:pPr>
        <w:pStyle w:val="BodyText"/>
        <w:spacing w:before="93"/>
        <w:ind w:left="900" w:right="1142"/>
      </w:pPr>
      <w:r>
        <w:rPr>
          <w:color w:val="404040"/>
        </w:rPr>
        <w:t>From the chart, we can see that there are a mix of both men and women, albeit with more men than women at younger ages which may be because more women are receiving Parenting or Studying payments. The numbers in the class peak for people in their twenties and then gradually reduce up to pension age. This pattern is particularly evident for men; for women the shape is different as many women transition to receiving Parenting payments.</w:t>
      </w:r>
    </w:p>
    <w:p>
      <w:pPr>
        <w:pStyle w:val="BodyText"/>
        <w:spacing w:before="122"/>
        <w:ind w:left="900" w:right="1086"/>
      </w:pPr>
      <w:r>
        <w:rPr>
          <w:color w:val="404040"/>
        </w:rPr>
        <w:t>The vast majority of people in the Working Age class are on Youth Allowance (if aged up to 21) or Newstart Allowance (if over 21 years old). The remaining people are mostly on Sickness Allowance; there are also a small number of people (mostly women) at the older ages still accessing Partner Allowance and Widow Allowance. These benefits will be consolidated as part of the transition to the new Jobseeker Payment in 2020.</w:t>
      </w:r>
    </w:p>
    <w:p>
      <w:pPr>
        <w:pStyle w:val="BodyText"/>
        <w:spacing w:before="7"/>
      </w:pPr>
    </w:p>
    <w:p>
      <w:pPr>
        <w:pStyle w:val="Heading6"/>
        <w:rPr>
          <w:i/>
        </w:rPr>
      </w:pPr>
      <w:r>
        <w:rPr>
          <w:i/>
          <w:color w:val="DF2F1E"/>
        </w:rPr>
        <w:t>Movements into and out of this class</w:t>
      </w:r>
    </w:p>
    <w:p>
      <w:pPr>
        <w:pStyle w:val="BodyText"/>
        <w:spacing w:before="121"/>
        <w:ind w:left="899" w:right="1331"/>
      </w:pPr>
      <w:r>
        <w:rPr>
          <w:color w:val="404040"/>
        </w:rPr>
        <w:t>Over the last three years, an average of 349,900 people (around 27% of the people in this class) per annum enter this class from another welfare class or from outside the welfare system. Over this same period, an average of 368,800 people (around 29% of people in this class) per annum have transitioned out of the Working Age class.</w:t>
      </w:r>
    </w:p>
    <w:p>
      <w:pPr>
        <w:pStyle w:val="BodyText"/>
        <w:spacing w:before="122"/>
        <w:ind w:left="900" w:right="1687"/>
      </w:pPr>
      <w:r>
        <w:rPr>
          <w:color w:val="404040"/>
        </w:rPr>
        <w:t>The following chart shows the breakdown of these transitions by previous / destination class and year of transition. This is shown for both the last five years, and also the first five years of the projection.</w:t>
      </w:r>
    </w:p>
    <w:p>
      <w:pPr>
        <w:pStyle w:val="Heading9"/>
        <w:spacing w:before="174"/>
      </w:pPr>
      <w:r>
        <w:rPr>
          <w:color w:val="DF2F1E"/>
        </w:rPr>
        <w:t>Figure 49: Number of people entering class 2 – Working Age (by class entered from)</w:t>
      </w:r>
    </w:p>
    <w:p>
      <w:pPr>
        <w:spacing w:before="63"/>
        <w:ind w:left="0" w:right="10083" w:firstLine="0"/>
        <w:jc w:val="right"/>
        <w:rPr>
          <w:rFonts w:ascii="Calibri"/>
          <w:sz w:val="16"/>
        </w:rPr>
      </w:pPr>
      <w:r>
        <w:rPr/>
        <w:pict>
          <v:group style="position:absolute;margin-left:98.294228pt;margin-top:8.165303pt;width:412.55pt;height:143.8pt;mso-position-horizontal-relative:page;mso-position-vertical-relative:paragraph;z-index:252210176" coordorigin="1966,163" coordsize="8251,2876">
            <v:shape style="position:absolute;left:1971;top:2156;width:8240;height:2" coordorigin="1972,2157" coordsize="8240,0" path="m7488,2157l10211,2157m6663,2157l7158,2157m5025,2157l6333,2157m4200,2157l4695,2157m3374,2157l3870,2157m2549,2157l3044,2157m1972,2157l2219,2157e" filled="false" stroked="true" strokeweight=".588049pt" strokecolor="#d9d9d9">
              <v:path arrowok="t"/>
              <v:stroke dashstyle="solid"/>
            </v:shape>
            <v:shape style="position:absolute;left:2219;top:2062;width:7745;height:342" coordorigin="2219,2063" coordsize="7745,342" path="m2549,2063l2219,2063,2219,2404,2549,2404,2549,2063m3374,2086l3044,2086,3044,2404,3374,2404,3374,2086m4200,2098l3870,2098,3870,2404,4200,2404,4200,2098m5025,2098l4695,2098,4695,2404,5025,2404,5025,2098m5838,2157l5520,2157,5520,2404,5838,2404,5838,2157m6663,2145l6333,2145,6333,2404,6663,2404,6663,2145m7488,2145l7158,2145,7158,2404,7488,2404,7488,2145m8313,2157l7983,2157,7983,2404,8313,2404,8313,2157m9138,2157l8808,2157,8808,2404,9138,2404,9138,2157m9963,2157l9633,2157,9633,2404,9963,2404,9963,2157e" filled="true" fillcolor="#1f487c" stroked="false">
              <v:path arrowok="t"/>
              <v:fill type="solid"/>
            </v:shape>
            <v:shape style="position:absolute;left:1971;top:1909;width:4362;height:2" coordorigin="1972,1910" coordsize="4362,0" path="m2549,1910l6333,1910m1972,1910l2219,1910e" filled="false" stroked="true" strokeweight=".588049pt" strokecolor="#d9d9d9">
              <v:path arrowok="t"/>
              <v:stroke dashstyle="solid"/>
            </v:shape>
            <v:shape style="position:absolute;left:2219;top:1898;width:7745;height:259" coordorigin="2219,1898" coordsize="7745,259" path="m2549,1898l2219,1898,2219,2063,2549,2063,2549,1898m3374,1922l3044,1922,3044,2086,3374,2086,3374,1922m4200,1945l3870,1945,3870,2098,4200,2098,4200,1945m5025,1957l4695,1957,4695,2098,5025,2098,5025,1957m5838,2016l5520,2016,5520,2157,5838,2157,5838,2016m6663,2004l6333,2004,6333,2145,6663,2145,6663,2004m7488,2004l7158,2004,7158,2145,7488,2145,7488,2004m8313,2004l7983,2004,7983,2157,8313,2157,8313,2004m9138,2016l8808,2016,8808,2157,9138,2157,9138,2016m9963,2016l9633,2016,9633,2157,9963,2157,9963,2016e" filled="true" fillcolor="#e16b09" stroked="false">
              <v:path arrowok="t"/>
              <v:fill type="solid"/>
            </v:shape>
            <v:shape style="position:absolute;left:2219;top:1851;width:3619;height:165" coordorigin="2219,1851" coordsize="3619,165" path="m2549,1851l2219,1851,2219,1898,2549,1898,2549,1851m3374,1875l3044,1875,3044,1922,3374,1922,3374,1875m4200,1886l3870,1886,3870,1945,4200,1945,4200,1886m5025,1886l4695,1886,4695,1957,5025,1957,5025,1886m5838,1957l5520,1957,5520,2016,5838,2016,5838,1957e" filled="true" fillcolor="#e08ad6" stroked="false">
              <v:path arrowok="t"/>
              <v:fill type="solid"/>
            </v:shape>
            <v:line style="position:absolute" from="6663,1910" to="7158,1910" stroked="true" strokeweight=".588049pt" strokecolor="#d9d9d9">
              <v:stroke dashstyle="solid"/>
            </v:line>
            <v:rect style="position:absolute;left:6333;top:1933;width:331;height:71" filled="true" fillcolor="#e08ad6" stroked="false">
              <v:fill type="solid"/>
            </v:rect>
            <v:line style="position:absolute" from="7488,1910" to="7983,1910" stroked="true" strokeweight=".588049pt" strokecolor="#d9d9d9">
              <v:stroke dashstyle="solid"/>
            </v:line>
            <v:rect style="position:absolute;left:7158;top:1933;width:331;height:71" filled="true" fillcolor="#e08ad6" stroked="false">
              <v:fill type="solid"/>
            </v:rect>
            <v:line style="position:absolute" from="8313,1910" to="9633,1910" stroked="true" strokeweight=".588049pt" strokecolor="#d9d9d9">
              <v:stroke dashstyle="solid"/>
            </v:line>
            <v:shape style="position:absolute;left:7983;top:1933;width:1156;height:83" coordorigin="7983,1933" coordsize="1156,83" path="m8313,1933l7983,1933,7983,2004,8313,2004,8313,1933m9138,1945l8808,1945,8808,2016,9138,2016,9138,1945e" filled="true" fillcolor="#e08ad6" stroked="false">
              <v:path arrowok="t"/>
              <v:fill type="solid"/>
            </v:shape>
            <v:line style="position:absolute" from="9963,1910" to="10211,1910" stroked="true" strokeweight=".588049pt" strokecolor="#d9d9d9">
              <v:stroke dashstyle="solid"/>
            </v:line>
            <v:rect style="position:absolute;left:9633;top:1945;width:331;height:71" filled="true" fillcolor="#e08ad6" stroked="false">
              <v:fill type="solid"/>
            </v:rect>
            <v:shape style="position:absolute;left:2219;top:1845;width:1156;height:24" coordorigin="2219,1845" coordsize="1156,24" path="m2219,1845l2549,1845m3044,1869l3374,1869e" filled="false" stroked="true" strokeweight=".588045pt" strokecolor="#8063a1">
              <v:path arrowok="t"/>
              <v:stroke dashstyle="solid"/>
            </v:shape>
            <v:rect style="position:absolute;left:3869;top:1862;width:331;height:24" filled="true" fillcolor="#8063a1" stroked="false">
              <v:fill type="solid"/>
            </v:rect>
            <v:line style="position:absolute" from="5520,1951" to="5838,1951" stroked="true" strokeweight=".588045pt" strokecolor="#8063a1">
              <v:stroke dashstyle="solid"/>
            </v:line>
            <v:line style="position:absolute" from="7158,1927" to="7488,1927" stroked="true" strokeweight=".588058pt" strokecolor="#8063a1">
              <v:stroke dashstyle="solid"/>
            </v:line>
            <v:line style="position:absolute" from="8808,1939" to="9138,1939" stroked="true" strokeweight=".588045pt" strokecolor="#8063a1">
              <v:stroke dashstyle="solid"/>
            </v:line>
            <v:line style="position:absolute" from="5520,1939" to="5838,1939" stroked="true" strokeweight=".588045pt" strokecolor="#c0504d">
              <v:stroke dashstyle="solid"/>
            </v:line>
            <v:line style="position:absolute" from="8808,1927" to="9138,1927" stroked="true" strokeweight=".588058pt" strokecolor="#c0504d">
              <v:stroke dashstyle="solid"/>
            </v:line>
            <v:line style="position:absolute" from="1972,1663" to="3044,1663" stroked="true" strokeweight=".588049pt" strokecolor="#d9d9d9">
              <v:stroke dashstyle="solid"/>
            </v:line>
            <v:line style="position:absolute" from="2219,1780" to="2549,1780" stroked="true" strokeweight="5.880513pt" strokecolor="#f8a763">
              <v:stroke dashstyle="solid"/>
            </v:line>
            <v:line style="position:absolute" from="3044,1804" to="3374,1804" stroked="true" strokeweight="5.880513pt" strokecolor="#f8a763">
              <v:stroke dashstyle="solid"/>
            </v:line>
            <v:shape style="position:absolute;left:3869;top:1756;width:1156;height:130" coordorigin="3870,1757" coordsize="1156,130" path="m4200,1757l3870,1757,3870,1863,4200,1863,4200,1757m5025,1780l4695,1780,4695,1886,5025,1886,5025,1780e" filled="true" fillcolor="#f8a763" stroked="false">
              <v:path arrowok="t"/>
              <v:fill type="solid"/>
            </v:shape>
            <v:line style="position:absolute" from="5520,1910" to="5838,1910" stroked="true" strokeweight="3.528308pt" strokecolor="#f8a763">
              <v:stroke dashstyle="solid"/>
            </v:line>
            <v:rect style="position:absolute;left:6333;top:1851;width:331;height:83" filled="true" fillcolor="#f8a763" stroked="false">
              <v:fill type="solid"/>
            </v:rect>
            <v:line style="position:absolute" from="7158,1880" to="7488,1880" stroked="true" strokeweight="4.116353pt" strokecolor="#f8a763">
              <v:stroke dashstyle="solid"/>
            </v:line>
            <v:rect style="position:absolute;left:7983;top:1851;width:331;height:83" filled="true" fillcolor="#f8a763" stroked="false">
              <v:fill type="solid"/>
            </v:rect>
            <v:line style="position:absolute" from="8808,1898" to="9138,1898" stroked="true" strokeweight="3.528308pt" strokecolor="#f8a763">
              <v:stroke dashstyle="solid"/>
            </v:line>
            <v:rect style="position:absolute;left:9633;top:1862;width:331;height:83" filled="true" fillcolor="#f8a763" stroked="false">
              <v:fill type="solid"/>
            </v:rect>
            <v:line style="position:absolute" from="2219,1716" to="2549,1716" stroked="true" strokeweight=".588045pt" strokecolor="#ecb8e7">
              <v:stroke dashstyle="solid"/>
            </v:line>
            <v:line style="position:absolute" from="3374,1663" to="3870,1663" stroked="true" strokeweight=".588049pt" strokecolor="#d9d9d9">
              <v:stroke dashstyle="solid"/>
            </v:line>
            <v:shape style="position:absolute;left:3044;top:1739;width:1156;height:12" coordorigin="3044,1739" coordsize="1156,12" path="m3044,1739l3374,1739m3870,1751l4200,1751e" filled="false" stroked="true" strokeweight=".588045pt" strokecolor="#ecb8e7">
              <v:path arrowok="t"/>
              <v:stroke dashstyle="solid"/>
            </v:shape>
            <v:line style="position:absolute" from="4695,1775" to="5025,1775" stroked="true" strokeweight=".588058pt" strokecolor="#ecb8e7">
              <v:stroke dashstyle="solid"/>
            </v:line>
            <v:shape style="position:absolute;left:5519;top:1845;width:1144;height:24" coordorigin="5520,1845" coordsize="1144,24" path="m5520,1869l5838,1869m6333,1845l6663,1845e" filled="false" stroked="true" strokeweight=".588045pt" strokecolor="#ecb8e7">
              <v:path arrowok="t"/>
              <v:stroke dashstyle="solid"/>
            </v:shape>
            <v:line style="position:absolute" from="7158,1833" to="7488,1833" stroked="true" strokeweight=".588045pt" strokecolor="#ecb8e7">
              <v:stroke dashstyle="solid"/>
            </v:line>
            <v:line style="position:absolute" from="7983,1845" to="8313,1845" stroked="true" strokeweight=".588045pt" strokecolor="#ecb8e7">
              <v:stroke dashstyle="solid"/>
            </v:line>
            <v:shape style="position:absolute;left:8808;top:1856;width:1156;height:2" coordorigin="8808,1857" coordsize="1156,0" path="m8808,1857l9138,1857m9633,1857l9963,1857e" filled="false" stroked="true" strokeweight=".588058pt" strokecolor="#ecb8e7">
              <v:path arrowok="t"/>
              <v:stroke dashstyle="solid"/>
            </v:shape>
            <v:shape style="position:absolute;left:2219;top:1662;width:1156;height:71" coordorigin="2219,1663" coordsize="1156,71" path="m2549,1663l2219,1663,2219,1710,2549,1710,2549,1663m3374,1686l3044,1686,3044,1733,3374,1733,3374,1686e" filled="true" fillcolor="#938953" stroked="false">
              <v:path arrowok="t"/>
              <v:fill type="solid"/>
            </v:shape>
            <v:line style="position:absolute" from="4200,1663" to="4695,1663" stroked="true" strokeweight=".588049pt" strokecolor="#d9d9d9">
              <v:stroke dashstyle="solid"/>
            </v:line>
            <v:shape style="position:absolute;left:3869;top:1698;width:6094;height:165" coordorigin="3870,1698" coordsize="6094,165" path="m4200,1698l3870,1698,3870,1745,4200,1745,4200,1698m5025,1745l4695,1745,4695,1769,5025,1769,5025,1745m5838,1828l5520,1828,5520,1863,5838,1863,5838,1828m6663,1804l6333,1804,6333,1839,6663,1839,6663,1804m7488,1780l7158,1780,7158,1828,7488,1828,7488,1780m8313,1792l7983,1792,7983,1839,8313,1839,8313,1792m9138,1804l8808,1804,8808,1851,9138,1851,9138,1804m9963,1816l9633,1816,9633,1851,9963,1851,9963,1816e" filled="true" fillcolor="#938953" stroked="false">
              <v:path arrowok="t"/>
              <v:fill type="solid"/>
            </v:shape>
            <v:shape style="position:absolute;left:1971;top:921;width:1073;height:494" coordorigin="1972,922" coordsize="1073,494" path="m2549,1416l3044,1416m1972,1416l2219,1416m2549,1169l3044,1169m1972,1169l2219,1169m2549,922l3044,922m1972,922l2219,922e" filled="false" stroked="true" strokeweight=".588049pt" strokecolor="#d9d9d9">
              <v:path arrowok="t"/>
              <v:stroke dashstyle="solid"/>
            </v:shape>
            <v:rect style="position:absolute;left:2219;top:933;width:331;height:730" filled="true" fillcolor="#ffd600" stroked="false">
              <v:fill type="solid"/>
            </v:rect>
            <v:shape style="position:absolute;left:3374;top:1168;width:496;height:247" coordorigin="3374,1169" coordsize="496,247" path="m3374,1416l3870,1416m3374,1169l3870,1169e" filled="false" stroked="true" strokeweight=".588049pt" strokecolor="#d9d9d9">
              <v:path arrowok="t"/>
              <v:stroke dashstyle="solid"/>
            </v:shape>
            <v:rect style="position:absolute;left:3044;top:1027;width:331;height:659" filled="true" fillcolor="#ffd600" stroked="false">
              <v:fill type="solid"/>
            </v:rect>
            <v:shape style="position:absolute;left:4199;top:1168;width:496;height:247" coordorigin="4200,1169" coordsize="496,247" path="m4200,1416l4695,1416m4200,1169l4695,1169e" filled="false" stroked="true" strokeweight=".588049pt" strokecolor="#d9d9d9">
              <v:path arrowok="t"/>
              <v:stroke dashstyle="solid"/>
            </v:shape>
            <v:rect style="position:absolute;left:3869;top:1051;width:331;height:647" filled="true" fillcolor="#ffd600" stroked="false">
              <v:fill type="solid"/>
            </v:rect>
            <v:line style="position:absolute" from="5025,1663" to="5520,1663" stroked="true" strokeweight=".588049pt" strokecolor="#d9d9d9">
              <v:stroke dashstyle="solid"/>
            </v:line>
            <v:shape style="position:absolute;left:5024;top:1168;width:496;height:247" coordorigin="5025,1169" coordsize="496,247" path="m5025,1416l5520,1416m5025,1169l5520,1169e" filled="false" stroked="true" strokeweight=".588049pt" strokecolor="#d9d9d9">
              <v:path arrowok="t"/>
              <v:stroke dashstyle="solid"/>
            </v:shape>
            <v:rect style="position:absolute;left:4694;top:1133;width:331;height:612" filled="true" fillcolor="#ffd600" stroked="false">
              <v:fill type="solid"/>
            </v:rect>
            <v:line style="position:absolute" from="5838,1663" to="6333,1663" stroked="true" strokeweight=".588049pt" strokecolor="#d9d9d9">
              <v:stroke dashstyle="solid"/>
            </v:line>
            <v:line style="position:absolute" from="5838,1416" to="6333,1416" stroked="true" strokeweight=".588049pt" strokecolor="#d9d9d9">
              <v:stroke dashstyle="solid"/>
            </v:line>
            <v:rect style="position:absolute;left:5519;top:1298;width:319;height:530" filled="true" fillcolor="#ffd600" stroked="false">
              <v:fill type="solid"/>
            </v:rect>
            <v:line style="position:absolute" from="6663,1663" to="7158,1663" stroked="true" strokeweight=".588049pt" strokecolor="#d9d9d9">
              <v:stroke dashstyle="solid"/>
            </v:line>
            <v:shape style="position:absolute;left:5837;top:1168;width:1321;height:247" coordorigin="5838,1169" coordsize="1321,247" path="m6663,1416l7158,1416m6663,1169l7158,1169m5838,1169l6333,1169e" filled="false" stroked="true" strokeweight=".588049pt" strokecolor="#d9d9d9">
              <v:path arrowok="t"/>
              <v:stroke dashstyle="solid"/>
            </v:shape>
            <v:rect style="position:absolute;left:6333;top:1180;width:331;height:624" filled="true" fillcolor="#ffd600" stroked="false">
              <v:fill type="solid"/>
            </v:rect>
            <v:line style="position:absolute" from="7488,1663" to="7983,1663" stroked="true" strokeweight=".588049pt" strokecolor="#d9d9d9">
              <v:stroke dashstyle="solid"/>
            </v:line>
            <v:shape style="position:absolute;left:7488;top:1168;width:496;height:247" coordorigin="7488,1169" coordsize="496,247" path="m7488,1416l7983,1416m7488,1169l7983,1169e" filled="false" stroked="true" strokeweight=".588049pt" strokecolor="#d9d9d9">
              <v:path arrowok="t"/>
              <v:stroke dashstyle="solid"/>
            </v:shape>
            <v:rect style="position:absolute;left:7158;top:1110;width:331;height:671" filled="true" fillcolor="#ffd600" stroked="false">
              <v:fill type="solid"/>
            </v:rect>
            <v:line style="position:absolute" from="8313,1663" to="8808,1663" stroked="true" strokeweight=".588049pt" strokecolor="#d9d9d9">
              <v:stroke dashstyle="solid"/>
            </v:line>
            <v:shape style="position:absolute;left:8313;top:1168;width:496;height:247" coordorigin="8313,1169" coordsize="496,247" path="m8313,1416l8808,1416m8313,1169l8808,1169e" filled="false" stroked="true" strokeweight=".588049pt" strokecolor="#d9d9d9">
              <v:path arrowok="t"/>
              <v:stroke dashstyle="solid"/>
            </v:shape>
            <v:rect style="position:absolute;left:7983;top:1098;width:331;height:694" filled="true" fillcolor="#ffd600" stroked="false">
              <v:fill type="solid"/>
            </v:rect>
            <v:line style="position:absolute" from="9138,1663" to="9633,1663" stroked="true" strokeweight=".588049pt" strokecolor="#d9d9d9">
              <v:stroke dashstyle="solid"/>
            </v:line>
            <v:shape style="position:absolute;left:9138;top:1168;width:496;height:247" coordorigin="9138,1169" coordsize="496,247" path="m9138,1416l9633,1416m9138,1169l9633,1169e" filled="false" stroked="true" strokeweight=".588049pt" strokecolor="#d9d9d9">
              <v:path arrowok="t"/>
              <v:stroke dashstyle="solid"/>
            </v:shape>
            <v:rect style="position:absolute;left:8808;top:1110;width:331;height:694" filled="true" fillcolor="#ffd600" stroked="false">
              <v:fill type="solid"/>
            </v:rect>
            <v:line style="position:absolute" from="9963,1663" to="10211,1663" stroked="true" strokeweight=".588049pt" strokecolor="#d9d9d9">
              <v:stroke dashstyle="solid"/>
            </v:line>
            <v:shape style="position:absolute;left:9963;top:1168;width:248;height:247" coordorigin="9963,1169" coordsize="248,247" path="m9963,1416l10211,1416m9963,1169l10211,1169e" filled="false" stroked="true" strokeweight=".588049pt" strokecolor="#d9d9d9">
              <v:path arrowok="t"/>
              <v:stroke dashstyle="solid"/>
            </v:shape>
            <v:rect style="position:absolute;left:9633;top:1086;width:331;height:730" filled="true" fillcolor="#ffd600" stroked="false">
              <v:fill type="solid"/>
            </v:rect>
            <v:shape style="position:absolute;left:1971;top:416;width:8240;height:259" coordorigin="1972,416" coordsize="8240,259" path="m2549,675l3044,675m1972,675l2219,675m2549,416l10211,416m1972,416l2219,416e" filled="false" stroked="true" strokeweight=".588049pt" strokecolor="#d9d9d9">
              <v:path arrowok="t"/>
              <v:stroke dashstyle="solid"/>
            </v:shape>
            <v:rect style="position:absolute;left:2219;top:333;width:331;height:600" filled="true" fillcolor="#ffeb8f" stroked="false">
              <v:fill type="solid"/>
            </v:rect>
            <v:shape style="position:absolute;left:3374;top:674;width:496;height:247" coordorigin="3374,675" coordsize="496,247" path="m3374,922l3870,922m3374,675l3870,675e" filled="false" stroked="true" strokeweight=".588049pt" strokecolor="#d9d9d9">
              <v:path arrowok="t"/>
              <v:stroke dashstyle="solid"/>
            </v:shape>
            <v:rect style="position:absolute;left:3044;top:474;width:331;height:553" filled="true" fillcolor="#ffeb8f" stroked="false">
              <v:fill type="solid"/>
            </v:rect>
            <v:shape style="position:absolute;left:4199;top:674;width:496;height:247" coordorigin="4200,675" coordsize="496,247" path="m4200,922l4695,922m4200,675l4695,675e" filled="false" stroked="true" strokeweight=".588049pt" strokecolor="#d9d9d9">
              <v:path arrowok="t"/>
              <v:stroke dashstyle="solid"/>
            </v:shape>
            <v:rect style="position:absolute;left:3869;top:522;width:331;height:530" filled="true" fillcolor="#ffeb8f" stroked="false">
              <v:fill type="solid"/>
            </v:rect>
            <v:shape style="position:absolute;left:5024;top:674;width:2134;height:247" coordorigin="5025,675" coordsize="2134,247" path="m5025,922l5520,922m5025,675l7158,675e" filled="false" stroked="true" strokeweight=".588049pt" strokecolor="#d9d9d9">
              <v:path arrowok="t"/>
              <v:stroke dashstyle="solid"/>
            </v:shape>
            <v:rect style="position:absolute;left:4694;top:616;width:331;height:518" filled="true" fillcolor="#ffeb8f" stroked="false">
              <v:fill type="solid"/>
            </v:rect>
            <v:line style="position:absolute" from="5838,922" to="6333,922" stroked="true" strokeweight=".588049pt" strokecolor="#d9d9d9">
              <v:stroke dashstyle="solid"/>
            </v:line>
            <v:rect style="position:absolute;left:5519;top:874;width:319;height:424" filled="true" fillcolor="#ffeb8f" stroked="false">
              <v:fill type="solid"/>
            </v:rect>
            <v:line style="position:absolute" from="6663,922" to="7158,922" stroked="true" strokeweight=".588049pt" strokecolor="#d9d9d9">
              <v:stroke dashstyle="solid"/>
            </v:line>
            <v:rect style="position:absolute;left:6333;top:698;width:331;height:483" filled="true" fillcolor="#ffeb8f" stroked="false">
              <v:fill type="solid"/>
            </v:rect>
            <v:shape style="position:absolute;left:7488;top:674;width:496;height:247" coordorigin="7488,675" coordsize="496,247" path="m7488,922l7983,922m7488,675l7983,675e" filled="false" stroked="true" strokeweight=".588049pt" strokecolor="#d9d9d9">
              <v:path arrowok="t"/>
              <v:stroke dashstyle="solid"/>
            </v:shape>
            <v:rect style="position:absolute;left:7158;top:639;width:331;height:471" filled="true" fillcolor="#ffeb8f" stroked="false">
              <v:fill type="solid"/>
            </v:rect>
            <v:shape style="position:absolute;left:8313;top:674;width:1321;height:247" coordorigin="8313,675" coordsize="1321,247" path="m8313,922l8808,922m8313,675l9633,675e" filled="false" stroked="true" strokeweight=".588049pt" strokecolor="#d9d9d9">
              <v:path arrowok="t"/>
              <v:stroke dashstyle="solid"/>
            </v:shape>
            <v:rect style="position:absolute;left:7983;top:639;width:331;height:459" filled="true" fillcolor="#ffeb8f" stroked="false">
              <v:fill type="solid"/>
            </v:rect>
            <v:line style="position:absolute" from="9138,922" to="9633,922" stroked="true" strokeweight=".588049pt" strokecolor="#d9d9d9">
              <v:stroke dashstyle="solid"/>
            </v:line>
            <v:rect style="position:absolute;left:8808;top:674;width:331;height:436" filled="true" fillcolor="#ffeb8f" stroked="false">
              <v:fill type="solid"/>
            </v:rect>
            <v:shape style="position:absolute;left:9963;top:674;width:248;height:247" coordorigin="9963,675" coordsize="248,247" path="m9963,922l10211,922m9963,675l10211,675e" filled="false" stroked="true" strokeweight=".588049pt" strokecolor="#d9d9d9">
              <v:path arrowok="t"/>
              <v:stroke dashstyle="solid"/>
            </v:shape>
            <v:rect style="position:absolute;left:9633;top:651;width:331;height:436" filled="true" fillcolor="#ffeb8f" stroked="false">
              <v:fill type="solid"/>
            </v:rect>
            <v:shape style="position:absolute;left:0;top:-18539;width:652743;height:25214" coordorigin="0,-18538" coordsize="652743,25214" path="m1972,2404l10211,2404m1972,2404l1972,2463m1972,2404l1972,2721m2797,2404l2797,2463m2797,2404l2797,2721m3622,2404l3622,2463m3622,2404l3622,2721m4447,2404l4447,2463m4447,2404l4447,2721m5272,2404l5272,2463m5272,2404l5272,2721m6085,2404l6085,2463m6085,2404l6085,2721m6911,2404l6911,2463m6911,2404l6911,2721m7736,2404l7736,2463m7736,2404l7736,2721m8561,2404l8561,2463m8561,2404l8561,2721m9386,2404l9386,2463m9386,2404l9386,2721m10211,2404l10211,2463m10211,2404l10211,2721e" filled="false" stroked="true" strokeweight=".588699pt" strokecolor="#d9d9d9">
              <v:path arrowok="t"/>
              <v:stroke dashstyle="solid"/>
            </v:shape>
            <v:shape style="position:absolute;left:0;top:-18539;width:652743;height:25214" coordorigin="0,-18538" coordsize="652743,25214" path="m1972,2721l1972,3039m6085,2721l6085,3039m10211,2721l10211,3039e" filled="false" stroked="true" strokeweight=".588699pt" strokecolor="#d9d9d9">
              <v:path arrowok="t"/>
              <v:stroke dashstyle="solid"/>
            </v:shape>
            <v:line style="position:absolute" from="1972,169" to="10211,169" stroked="true" strokeweight=".588049pt" strokecolor="#d9d9d9">
              <v:stroke dashstyle="solid"/>
            </v:line>
            <v:line style="position:absolute" from="6104,181" to="6097,2420" stroked="true" strokeweight=".589358pt" strokecolor="#a6a6a6">
              <v:stroke dashstyle="solid"/>
            </v:line>
            <v:shape style="position:absolute;left:2219;top:2542;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2014</w:t>
                    </w:r>
                  </w:p>
                </w:txbxContent>
              </v:textbox>
              <w10:wrap type="none"/>
            </v:shape>
            <v:shape style="position:absolute;left:3042;top:2542;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2015</w:t>
                    </w:r>
                  </w:p>
                </w:txbxContent>
              </v:textbox>
              <w10:wrap type="none"/>
            </v:shape>
            <v:shape style="position:absolute;left:3865;top:2542;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2016</w:t>
                    </w:r>
                  </w:p>
                </w:txbxContent>
              </v:textbox>
              <w10:wrap type="none"/>
            </v:shape>
            <v:shape style="position:absolute;left:4688;top:2542;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2017</w:t>
                    </w:r>
                  </w:p>
                </w:txbxContent>
              </v:textbox>
              <w10:wrap type="none"/>
            </v:shape>
            <v:shape style="position:absolute;left:5511;top:2542;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2018</w:t>
                    </w:r>
                  </w:p>
                </w:txbxContent>
              </v:textbox>
              <w10:wrap type="none"/>
            </v:shape>
            <v:shape style="position:absolute;left:6334;top:2542;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2019</w:t>
                    </w:r>
                  </w:p>
                </w:txbxContent>
              </v:textbox>
              <w10:wrap type="none"/>
            </v:shape>
            <v:shape style="position:absolute;left:7157;top:2542;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2020</w:t>
                    </w:r>
                  </w:p>
                </w:txbxContent>
              </v:textbox>
              <w10:wrap type="none"/>
            </v:shape>
            <v:shape style="position:absolute;left:7980;top:2542;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2021</w:t>
                    </w:r>
                  </w:p>
                </w:txbxContent>
              </v:textbox>
              <w10:wrap type="none"/>
            </v:shape>
            <v:shape style="position:absolute;left:8803;top:2542;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2022</w:t>
                    </w:r>
                  </w:p>
                </w:txbxContent>
              </v:textbox>
              <w10:wrap type="none"/>
            </v:shape>
            <v:shape style="position:absolute;left:9627;top:2542;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2023</w:t>
                    </w:r>
                  </w:p>
                </w:txbxContent>
              </v:textbox>
              <w10:wrap type="none"/>
            </v:shape>
            <v:shape style="position:absolute;left:3776;top:2860;width:4711;height:165" type="#_x0000_t202" filled="false" stroked="false">
              <v:textbox inset="0,0,0,0">
                <w:txbxContent>
                  <w:p>
                    <w:pPr>
                      <w:tabs>
                        <w:tab w:pos="4049" w:val="left" w:leader="none"/>
                      </w:tabs>
                      <w:spacing w:line="165" w:lineRule="exact" w:before="0"/>
                      <w:ind w:left="0" w:right="0" w:firstLine="0"/>
                      <w:jc w:val="left"/>
                      <w:rPr>
                        <w:rFonts w:ascii="Calibri"/>
                        <w:sz w:val="16"/>
                      </w:rPr>
                    </w:pPr>
                    <w:r>
                      <w:rPr>
                        <w:rFonts w:ascii="Calibri"/>
                        <w:color w:val="585858"/>
                        <w:w w:val="105"/>
                        <w:sz w:val="16"/>
                      </w:rPr>
                      <w:t>Historic</w:t>
                      <w:tab/>
                    </w:r>
                    <w:r>
                      <w:rPr>
                        <w:rFonts w:ascii="Calibri"/>
                        <w:color w:val="585858"/>
                        <w:sz w:val="16"/>
                      </w:rPr>
                      <w:t>Projected</w:t>
                    </w:r>
                  </w:p>
                </w:txbxContent>
              </v:textbox>
              <w10:wrap type="none"/>
            </v:shape>
            <w10:wrap type="none"/>
          </v:group>
        </w:pict>
      </w:r>
      <w:r>
        <w:rPr>
          <w:rFonts w:ascii="Calibri"/>
          <w:color w:val="585858"/>
          <w:spacing w:val="-2"/>
          <w:sz w:val="16"/>
        </w:rPr>
        <w:t>450,000</w:t>
      </w:r>
    </w:p>
    <w:p>
      <w:pPr>
        <w:spacing w:before="53"/>
        <w:ind w:left="0" w:right="10083" w:firstLine="0"/>
        <w:jc w:val="right"/>
        <w:rPr>
          <w:rFonts w:ascii="Calibri"/>
          <w:sz w:val="16"/>
        </w:rPr>
      </w:pPr>
      <w:r>
        <w:rPr>
          <w:rFonts w:ascii="Calibri"/>
          <w:color w:val="585858"/>
          <w:spacing w:val="-2"/>
          <w:sz w:val="16"/>
        </w:rPr>
        <w:t>400,000</w:t>
      </w:r>
    </w:p>
    <w:p>
      <w:pPr>
        <w:spacing w:before="53"/>
        <w:ind w:left="0" w:right="10083" w:firstLine="0"/>
        <w:jc w:val="right"/>
        <w:rPr>
          <w:rFonts w:ascii="Calibri"/>
          <w:sz w:val="16"/>
        </w:rPr>
      </w:pPr>
      <w:r>
        <w:rPr>
          <w:rFonts w:ascii="Calibri"/>
          <w:color w:val="585858"/>
          <w:spacing w:val="-2"/>
          <w:sz w:val="16"/>
        </w:rPr>
        <w:t>350,000</w:t>
      </w:r>
    </w:p>
    <w:p>
      <w:pPr>
        <w:spacing w:before="53"/>
        <w:ind w:left="0" w:right="10083" w:firstLine="0"/>
        <w:jc w:val="right"/>
        <w:rPr>
          <w:rFonts w:ascii="Calibri"/>
          <w:sz w:val="16"/>
        </w:rPr>
      </w:pPr>
      <w:r>
        <w:rPr>
          <w:rFonts w:ascii="Calibri"/>
          <w:color w:val="585858"/>
          <w:spacing w:val="-2"/>
          <w:sz w:val="16"/>
        </w:rPr>
        <w:t>300,000</w:t>
      </w:r>
    </w:p>
    <w:p>
      <w:pPr>
        <w:spacing w:before="54"/>
        <w:ind w:left="0" w:right="10083" w:firstLine="0"/>
        <w:jc w:val="right"/>
        <w:rPr>
          <w:rFonts w:ascii="Calibri"/>
          <w:sz w:val="16"/>
        </w:rPr>
      </w:pPr>
      <w:r>
        <w:rPr>
          <w:rFonts w:ascii="Calibri"/>
          <w:color w:val="585858"/>
          <w:spacing w:val="-2"/>
          <w:sz w:val="16"/>
        </w:rPr>
        <w:t>250,000</w:t>
      </w:r>
    </w:p>
    <w:p>
      <w:pPr>
        <w:spacing w:before="53"/>
        <w:ind w:left="0" w:right="10083" w:firstLine="0"/>
        <w:jc w:val="right"/>
        <w:rPr>
          <w:rFonts w:ascii="Calibri"/>
          <w:sz w:val="16"/>
        </w:rPr>
      </w:pPr>
      <w:r>
        <w:rPr>
          <w:rFonts w:ascii="Calibri"/>
          <w:color w:val="585858"/>
          <w:spacing w:val="-2"/>
          <w:sz w:val="16"/>
        </w:rPr>
        <w:t>200,000</w:t>
      </w:r>
    </w:p>
    <w:p>
      <w:pPr>
        <w:spacing w:before="53"/>
        <w:ind w:left="0" w:right="10083" w:firstLine="0"/>
        <w:jc w:val="right"/>
        <w:rPr>
          <w:rFonts w:ascii="Calibri"/>
          <w:sz w:val="16"/>
        </w:rPr>
      </w:pPr>
      <w:r>
        <w:rPr>
          <w:rFonts w:ascii="Calibri"/>
          <w:color w:val="585858"/>
          <w:spacing w:val="-2"/>
          <w:sz w:val="16"/>
        </w:rPr>
        <w:t>150,000</w:t>
      </w:r>
    </w:p>
    <w:p>
      <w:pPr>
        <w:spacing w:before="53"/>
        <w:ind w:left="0" w:right="10083" w:firstLine="0"/>
        <w:jc w:val="right"/>
        <w:rPr>
          <w:rFonts w:ascii="Calibri"/>
          <w:sz w:val="16"/>
        </w:rPr>
      </w:pPr>
      <w:r>
        <w:rPr>
          <w:rFonts w:ascii="Calibri"/>
          <w:color w:val="585858"/>
          <w:spacing w:val="-2"/>
          <w:sz w:val="16"/>
        </w:rPr>
        <w:t>100,000</w:t>
      </w:r>
    </w:p>
    <w:p>
      <w:pPr>
        <w:spacing w:before="53"/>
        <w:ind w:left="0" w:right="10082" w:firstLine="0"/>
        <w:jc w:val="right"/>
        <w:rPr>
          <w:rFonts w:ascii="Calibri"/>
          <w:sz w:val="16"/>
        </w:rPr>
      </w:pPr>
      <w:r>
        <w:rPr>
          <w:rFonts w:ascii="Calibri"/>
          <w:color w:val="585858"/>
          <w:spacing w:val="-1"/>
          <w:sz w:val="16"/>
        </w:rPr>
        <w:t>50,000</w:t>
      </w:r>
    </w:p>
    <w:p>
      <w:pPr>
        <w:spacing w:before="54"/>
        <w:ind w:left="0" w:right="10082" w:firstLine="0"/>
        <w:jc w:val="right"/>
        <w:rPr>
          <w:rFonts w:ascii="Calibri"/>
          <w:sz w:val="16"/>
        </w:rPr>
      </w:pPr>
      <w:r>
        <w:rPr>
          <w:rFonts w:ascii="Calibri"/>
          <w:color w:val="585858"/>
          <w:w w:val="103"/>
          <w:sz w:val="16"/>
        </w:rPr>
        <w:t>0</w:t>
      </w:r>
    </w:p>
    <w:p>
      <w:pPr>
        <w:pStyle w:val="BodyText"/>
        <w:rPr>
          <w:rFonts w:ascii="Calibri"/>
        </w:rPr>
      </w:pPr>
    </w:p>
    <w:p>
      <w:pPr>
        <w:pStyle w:val="BodyText"/>
        <w:spacing w:before="3"/>
        <w:rPr>
          <w:rFonts w:ascii="Calibri"/>
          <w:sz w:val="26"/>
        </w:rPr>
      </w:pPr>
    </w:p>
    <w:p>
      <w:pPr>
        <w:spacing w:before="60"/>
        <w:ind w:left="1602" w:right="1423" w:firstLine="0"/>
        <w:jc w:val="center"/>
        <w:rPr>
          <w:rFonts w:ascii="Calibri"/>
          <w:b/>
          <w:sz w:val="19"/>
        </w:rPr>
      </w:pPr>
      <w:r>
        <w:rPr>
          <w:rFonts w:ascii="Calibri"/>
          <w:b/>
          <w:color w:val="585858"/>
          <w:sz w:val="19"/>
        </w:rPr>
        <w:t>Year Ending 30 June</w:t>
      </w:r>
    </w:p>
    <w:p>
      <w:pPr>
        <w:spacing w:after="0"/>
        <w:jc w:val="center"/>
        <w:rPr>
          <w:rFonts w:ascii="Calibri"/>
          <w:sz w:val="19"/>
        </w:rPr>
        <w:sectPr>
          <w:type w:val="continuous"/>
          <w:pgSz w:w="11910" w:h="16850"/>
          <w:pgMar w:top="1600" w:bottom="280" w:left="120" w:right="0"/>
        </w:sect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spacing w:before="11"/>
        <w:rPr>
          <w:rFonts w:ascii="Calibri"/>
          <w:b/>
          <w:sz w:val="18"/>
        </w:rPr>
      </w:pPr>
    </w:p>
    <w:p>
      <w:pPr>
        <w:pStyle w:val="Heading9"/>
        <w:spacing w:before="0"/>
      </w:pPr>
      <w:r>
        <w:rPr>
          <w:color w:val="DF2F1E"/>
        </w:rPr>
        <w:t>Figure 50: Number of people exiting class 2 – Working Age (by class exited to)</w:t>
      </w:r>
    </w:p>
    <w:p>
      <w:pPr>
        <w:pStyle w:val="BodyText"/>
        <w:spacing w:before="4"/>
        <w:rPr>
          <w:b/>
          <w:sz w:val="9"/>
        </w:rPr>
      </w:pPr>
    </w:p>
    <w:p>
      <w:pPr>
        <w:spacing w:before="71"/>
        <w:ind w:left="0" w:right="10085" w:firstLine="0"/>
        <w:jc w:val="right"/>
        <w:rPr>
          <w:rFonts w:ascii="Calibri"/>
          <w:sz w:val="16"/>
        </w:rPr>
      </w:pPr>
      <w:r>
        <w:rPr/>
        <w:pict>
          <v:group style="position:absolute;margin-left:98.354408pt;margin-top:8.808789pt;width:412.6pt;height:144.050pt;mso-position-horizontal-relative:page;mso-position-vertical-relative:paragraph;z-index:252223488" coordorigin="1967,176" coordsize="8252,2881">
            <v:shape style="position:absolute;left:1973;top:2173;width:8240;height:2" coordorigin="1973,2173" coordsize="8240,0" path="m9964,2173l10212,2173m6671,2173l9634,2173m5018,2173l6341,2173m4204,2173l4688,2173m3378,2173l3873,2173m2551,2173l3047,2173m1973,2173l2221,2173e" filled="false" stroked="true" strokeweight=".589103pt" strokecolor="#d9d9d9">
              <v:path arrowok="t"/>
              <v:stroke dashstyle="solid"/>
            </v:shape>
            <v:rect style="position:absolute;left:2220;top:2267;width:331;height:154" filled="true" fillcolor="#1f487c" stroked="false">
              <v:fill type="solid"/>
            </v:rect>
            <v:rect style="position:absolute;left:2220;top:2149;width:331;height:118" filled="true" fillcolor="#e16b09" stroked="false">
              <v:fill type="solid"/>
            </v:rect>
            <v:rect style="position:absolute;left:3047;top:2267;width:331;height:154" filled="true" fillcolor="#1f487c" stroked="false">
              <v:fill type="solid"/>
            </v:rect>
            <v:rect style="position:absolute;left:3047;top:2149;width:331;height:118" filled="true" fillcolor="#e16b09" stroked="false">
              <v:fill type="solid"/>
            </v:rect>
            <v:rect style="position:absolute;left:3873;top:2267;width:331;height:154" filled="true" fillcolor="#1f487c" stroked="false">
              <v:fill type="solid"/>
            </v:rect>
            <v:rect style="position:absolute;left:3873;top:2149;width:331;height:118" filled="true" fillcolor="#e16b09" stroked="false">
              <v:fill type="solid"/>
            </v:rect>
            <v:rect style="position:absolute;left:4687;top:2291;width:331;height:130" filled="true" fillcolor="#1f487c" stroked="false">
              <v:fill type="solid"/>
            </v:rect>
            <v:rect style="position:absolute;left:4687;top:2185;width:331;height:107" filled="true" fillcolor="#e16b09" stroked="false">
              <v:fill type="solid"/>
            </v:rect>
            <v:rect style="position:absolute;left:5514;top:2302;width:331;height:118" filled="true" fillcolor="#1f487c" stroked="false">
              <v:fill type="solid"/>
            </v:rect>
            <v:rect style="position:absolute;left:5514;top:2208;width:331;height:95" filled="true" fillcolor="#e16b09" stroked="false">
              <v:fill type="solid"/>
            </v:rect>
            <v:rect style="position:absolute;left:6340;top:2302;width:331;height:118" filled="true" fillcolor="#1f487c" stroked="false">
              <v:fill type="solid"/>
            </v:rect>
            <v:rect style="position:absolute;left:6340;top:2196;width:331;height:107" filled="true" fillcolor="#e16b09" stroked="false">
              <v:fill type="solid"/>
            </v:rect>
            <v:rect style="position:absolute;left:7166;top:2302;width:331;height:118" filled="true" fillcolor="#1f487c" stroked="false">
              <v:fill type="solid"/>
            </v:rect>
            <v:rect style="position:absolute;left:7166;top:2196;width:331;height:107" filled="true" fillcolor="#e16b09" stroked="false">
              <v:fill type="solid"/>
            </v:rect>
            <v:rect style="position:absolute;left:7993;top:2302;width:331;height:118" filled="true" fillcolor="#1f487c" stroked="false">
              <v:fill type="solid"/>
            </v:rect>
            <v:rect style="position:absolute;left:7993;top:2196;width:331;height:107" filled="true" fillcolor="#e16b09" stroked="false">
              <v:fill type="solid"/>
            </v:rect>
            <v:rect style="position:absolute;left:8819;top:2302;width:331;height:118" filled="true" fillcolor="#1f487c" stroked="false">
              <v:fill type="solid"/>
            </v:rect>
            <v:rect style="position:absolute;left:8819;top:2196;width:331;height:107" filled="true" fillcolor="#e16b09" stroked="false">
              <v:fill type="solid"/>
            </v:rect>
            <v:rect style="position:absolute;left:9633;top:2314;width:331;height:107" filled="true" fillcolor="#1f487c" stroked="false">
              <v:fill type="solid"/>
            </v:rect>
            <v:rect style="position:absolute;left:9633;top:2208;width:331;height:107" filled="true" fillcolor="#e16b09" stroked="false">
              <v:fill type="solid"/>
            </v:rect>
            <v:shape style="position:absolute;left:2220;top:2067;width:7744;height:142" coordorigin="2221,2067" coordsize="7744,142" path="m2551,2079l2221,2079,2221,2150,2551,2150,2551,2079m3378,2067l3047,2067,3047,2150,3378,2150,3378,2067m4204,2067l3873,2067,3873,2150,4204,2150,4204,2067m5018,2103l4688,2103,4688,2185,5018,2185,5018,2103m5845,2138l5514,2138,5514,2209,5845,2209,5845,2138m6671,2114l6341,2114,6341,2197,6671,2197,6671,2114m7497,2126l7167,2126,7167,2197,7497,2197,7497,2126m8324,2126l7993,2126,7993,2197,8324,2197,8324,2126m9150,2126l8819,2126,8819,2197,9150,2197,9150,2126m9964,2126l9634,2126,9634,2209,9964,2209,9964,2126e" filled="true" fillcolor="#e08ad6" stroked="false">
              <v:path arrowok="t"/>
              <v:fill type="solid"/>
            </v:shape>
            <v:line style="position:absolute" from="1973,1926" to="3047,1926" stroked="true" strokeweight=".589103pt" strokecolor="#d9d9d9">
              <v:stroke dashstyle="solid"/>
            </v:line>
            <v:rect style="position:absolute;left:2220;top:1961;width:331;height:118" filled="true" fillcolor="#8063a1" stroked="false">
              <v:fill type="solid"/>
            </v:rect>
            <v:line style="position:absolute" from="3378,1926" to="3873,1926" stroked="true" strokeweight=".589103pt" strokecolor="#d9d9d9">
              <v:stroke dashstyle="solid"/>
            </v:line>
            <v:shape style="position:absolute;left:3047;top:1984;width:6918;height:154" coordorigin="3047,1985" coordsize="6918,154" path="m3378,1985l3047,1985,3047,2067,3378,2067,3378,1985m4204,2020l3873,2020,3873,2067,4204,2067,4204,2020m5018,2044l4688,2044,4688,2103,5018,2103,5018,2044m5845,2079l5514,2079,5514,2138,5845,2138,5845,2079m6671,2032l6340,2032,6340,2114,6671,2114,6671,2032m7497,2067l7167,2067,7167,2126,7497,2126,7497,2067m8324,2055l7993,2055,7993,2126,8324,2126,8324,2055m9150,2055l8819,2055,8819,2126,9150,2126,9150,2055m9964,2067l9634,2067,9634,2126,9964,2126,9964,2067e" filled="true" fillcolor="#8063a1" stroked="false">
              <v:path arrowok="t"/>
              <v:fill type="solid"/>
            </v:shape>
            <v:shape style="position:absolute;left:2220;top:1855;width:1157;height:130" coordorigin="2221,1855" coordsize="1157,130" path="m2551,1890l2221,1890,2221,1961,2551,1961,2551,1890m3378,1855l3047,1855,3047,1985,3378,1985,3378,1855e" filled="true" fillcolor="#c0504d" stroked="false">
              <v:path arrowok="t"/>
              <v:fill type="solid"/>
            </v:shape>
            <v:line style="position:absolute" from="4204,1926" to="4688,1926" stroked="true" strokeweight=".589103pt" strokecolor="#d9d9d9">
              <v:stroke dashstyle="solid"/>
            </v:line>
            <v:rect style="position:absolute;left:3873;top:1890;width:331;height:130" filled="true" fillcolor="#c0504d" stroked="false">
              <v:fill type="solid"/>
            </v:rect>
            <v:line style="position:absolute" from="5018,1926" to="5514,1926" stroked="true" strokeweight=".589103pt" strokecolor="#d9d9d9">
              <v:stroke dashstyle="solid"/>
            </v:line>
            <v:shape style="position:absolute;left:4687;top:1914;width:1157;height:165" coordorigin="4688,1914" coordsize="1157,165" path="m5018,1914l4688,1914,4688,2044,5018,2044,5018,1914m5845,2008l5514,2008,5514,2079,5845,2079,5845,2008e" filled="true" fillcolor="#c0504d" stroked="false">
              <v:path arrowok="t"/>
              <v:fill type="solid"/>
            </v:shape>
            <v:shape style="position:absolute;left:5844;top:1925;width:1323;height:2" coordorigin="5845,1926" coordsize="1323,0" path="m6671,1926l7167,1926m5845,1926l6340,1926e" filled="false" stroked="true" strokeweight=".589103pt" strokecolor="#d9d9d9">
              <v:path arrowok="t"/>
              <v:stroke dashstyle="solid"/>
            </v:shape>
            <v:rect style="position:absolute;left:6340;top:1890;width:331;height:142" filled="true" fillcolor="#c0504d" stroked="false">
              <v:fill type="solid"/>
            </v:rect>
            <v:line style="position:absolute" from="7497,1926" to="7993,1926" stroked="true" strokeweight=".589103pt" strokecolor="#d9d9d9">
              <v:stroke dashstyle="solid"/>
            </v:line>
            <v:rect style="position:absolute;left:7166;top:1984;width:331;height:83" filled="true" fillcolor="#c0504d" stroked="false">
              <v:fill type="solid"/>
            </v:rect>
            <v:line style="position:absolute" from="8324,1926" to="8819,1926" stroked="true" strokeweight=".589103pt" strokecolor="#d9d9d9">
              <v:stroke dashstyle="solid"/>
            </v:line>
            <v:rect style="position:absolute;left:7993;top:1914;width:331;height:142" filled="true" fillcolor="#c0504d" stroked="false">
              <v:fill type="solid"/>
            </v:rect>
            <v:line style="position:absolute" from="9150,1926" to="9634,1926" stroked="true" strokeweight=".589103pt" strokecolor="#d9d9d9">
              <v:stroke dashstyle="solid"/>
            </v:line>
            <v:rect style="position:absolute;left:8819;top:1984;width:331;height:71" filled="true" fillcolor="#c0504d" stroked="false">
              <v:fill type="solid"/>
            </v:rect>
            <v:line style="position:absolute" from="9964,1926" to="10212,1926" stroked="true" strokeweight=".589103pt" strokecolor="#d9d9d9">
              <v:stroke dashstyle="solid"/>
            </v:line>
            <v:rect style="position:absolute;left:9633;top:1914;width:331;height:154" filled="true" fillcolor="#c0504d" stroked="false">
              <v:fill type="solid"/>
            </v:rect>
            <v:line style="position:absolute" from="1973,1678" to="4688,1678" stroked="true" strokeweight=".589103pt" strokecolor="#d9d9d9">
              <v:stroke dashstyle="solid"/>
            </v:line>
            <v:shape style="position:absolute;left:2220;top:1701;width:1984;height:189" coordorigin="2221,1702" coordsize="1984,189" path="m2551,1737l2221,1737,2221,1891,2551,1891,2551,1737m3378,1702l3047,1702,3047,1855,3378,1855,3378,1702m4204,1737l3873,1737,3873,1891,4204,1891,4204,1737e" filled="true" fillcolor="#f8a763" stroked="false">
              <v:path arrowok="t"/>
              <v:fill type="solid"/>
            </v:shape>
            <v:line style="position:absolute" from="5018,1678" to="5514,1678" stroked="true" strokeweight=".589103pt" strokecolor="#d9d9d9">
              <v:stroke dashstyle="solid"/>
            </v:line>
            <v:shape style="position:absolute;left:4687;top:1749;width:1157;height:260" coordorigin="4688,1749" coordsize="1157,260" path="m5018,1749l4688,1749,4688,1914,5018,1914,5018,1749m5845,1855l5514,1855,5514,2008,5845,2008,5845,1855e" filled="true" fillcolor="#f8a763" stroked="false">
              <v:path arrowok="t"/>
              <v:fill type="solid"/>
            </v:shape>
            <v:line style="position:absolute" from="5845,1678" to="7167,1678" stroked="true" strokeweight=".589103pt" strokecolor="#d9d9d9">
              <v:stroke dashstyle="solid"/>
            </v:line>
            <v:rect style="position:absolute;left:6340;top:1737;width:331;height:154" filled="true" fillcolor="#f8a763" stroked="false">
              <v:fill type="solid"/>
            </v:rect>
            <v:rect style="position:absolute;left:7166;top:1855;width:331;height:130" filled="true" fillcolor="#f8a763" stroked="false">
              <v:fill type="solid"/>
            </v:rect>
            <v:shape style="position:absolute;left:7993;top:1760;width:1972;height:224" coordorigin="7993,1761" coordsize="1972,224" path="m8324,1773l7993,1773,7993,1914,8324,1914,8324,1773m9150,1832l8819,1832,8819,1985,9150,1985,9150,1832m9964,1761l9634,1761,9634,1914,9964,1914,9964,1761e" filled="true" fillcolor="#f8a763" stroked="false">
              <v:path arrowok="t"/>
              <v:fill type="solid"/>
            </v:shape>
            <v:shape style="position:absolute;left:2220;top:1696;width:1984;height:36" coordorigin="2221,1696" coordsize="1984,36" path="m2221,1731l2551,1731m3047,1696l3378,1696m3873,1731l4204,1731e" filled="false" stroked="true" strokeweight=".589101pt" strokecolor="#ecb8e7">
              <v:path arrowok="t"/>
              <v:stroke dashstyle="solid"/>
            </v:shape>
            <v:line style="position:absolute" from="4688,1743" to="5018,1743" stroked="true" strokeweight=".589114pt" strokecolor="#ecb8e7">
              <v:stroke dashstyle="solid"/>
            </v:line>
            <v:rect style="position:absolute;left:5514;top:1831;width:331;height:24" filled="true" fillcolor="#ecb8e7" stroked="false">
              <v:fill type="solid"/>
            </v:rect>
            <v:line style="position:absolute" from="6341,1731" to="6671,1731" stroked="true" strokeweight=".589101pt" strokecolor="#ecb8e7">
              <v:stroke dashstyle="solid"/>
            </v:line>
            <v:shape style="position:absolute;left:7166;top:1766;width:1157;height:83" coordorigin="7167,1767" coordsize="1157,83" path="m7167,1849l7497,1849m7993,1767l8324,1767e" filled="false" stroked="true" strokeweight=".589101pt" strokecolor="#ecb8e7">
              <v:path arrowok="t"/>
              <v:stroke dashstyle="solid"/>
            </v:shape>
            <v:line style="position:absolute" from="8819,1826" to="9150,1826" stroked="true" strokeweight=".589114pt" strokecolor="#ecb8e7">
              <v:stroke dashstyle="solid"/>
            </v:line>
            <v:shape style="position:absolute;left:9149;top:1678;width:1063;height:2" coordorigin="9150,1678" coordsize="1063,0" path="m9964,1678l10212,1678m9150,1678l9634,1678e" filled="false" stroked="true" strokeweight=".589103pt" strokecolor="#d9d9d9">
              <v:path arrowok="t"/>
              <v:stroke dashstyle="solid"/>
            </v:shape>
            <v:line style="position:absolute" from="9634,1755" to="9964,1755" stroked="true" strokeweight=".589101pt" strokecolor="#ecb8e7">
              <v:stroke dashstyle="solid"/>
            </v:line>
            <v:shape style="position:absolute;left:2220;top:1643;width:5277;height:201" coordorigin="2221,1643" coordsize="5277,201" path="m2551,1678l2221,1678,2221,1726,2551,1726,2551,1678m3378,1643l3047,1643,3047,1690,3378,1690,3378,1643m4204,1678l3873,1678,3873,1726,4204,1726,4204,1678m5018,1690l4688,1690,4688,1737,5018,1737,5018,1690m5845,1773l5514,1773,5514,1832,5845,1832,5845,1773m6671,1678l6341,1678,6341,1726,6671,1726,6671,1678m7497,1796l7167,1796,7167,1843,7497,1843,7497,1796e" filled="true" fillcolor="#938953" stroked="false">
              <v:path arrowok="t"/>
              <v:fill type="solid"/>
            </v:shape>
            <v:shape style="position:absolute;left:7497;top:1678;width:1323;height:2" coordorigin="7497,1678" coordsize="1323,0" path="m8324,1678l8819,1678m7497,1678l7993,1678e" filled="false" stroked="true" strokeweight=".589103pt" strokecolor="#d9d9d9">
              <v:path arrowok="t"/>
              <v:stroke dashstyle="solid"/>
            </v:shape>
            <v:shape style="position:absolute;left:7993;top:1701;width:1972;height:118" coordorigin="7993,1702" coordsize="1972,118" path="m8324,1714l7993,1714,7993,1761,8324,1761,8324,1714m9150,1773l8819,1773,8819,1820,9150,1820,9150,1773m9964,1702l9634,1702,9634,1749,9964,1749,9964,1702e" filled="true" fillcolor="#938953" stroked="false">
              <v:path arrowok="t"/>
              <v:fill type="solid"/>
            </v:shape>
            <v:shape style="position:absolute;left:1973;top:676;width:1075;height:743" coordorigin="1973,677" coordsize="1075,743" path="m2551,1419l3047,1419m1973,1419l2221,1419m2551,1172l3047,1172m1973,1172l2221,1172m2551,924l3047,924m1973,924l2221,924m2551,677l3047,677m1973,677l2221,677e" filled="false" stroked="true" strokeweight=".589103pt" strokecolor="#d9d9d9">
              <v:path arrowok="t"/>
              <v:stroke dashstyle="solid"/>
            </v:shape>
            <v:rect style="position:absolute;left:2220;top:653;width:331;height:1026" filled="true" fillcolor="#ffd600" stroked="false">
              <v:fill type="solid"/>
            </v:rect>
            <v:shape style="position:absolute;left:3377;top:676;width:496;height:743" coordorigin="3378,677" coordsize="496,743" path="m3378,1419l3873,1419m3378,1172l3873,1172m3378,924l3873,924m3378,677l3873,677e" filled="false" stroked="true" strokeweight=".589103pt" strokecolor="#d9d9d9">
              <v:path arrowok="t"/>
              <v:stroke dashstyle="solid"/>
            </v:shape>
            <v:rect style="position:absolute;left:3047;top:547;width:331;height:1096" filled="true" fillcolor="#ffd600" stroked="false">
              <v:fill type="solid"/>
            </v:rect>
            <v:shape style="position:absolute;left:4203;top:676;width:484;height:743" coordorigin="4204,677" coordsize="484,743" path="m4204,1419l4688,1419m4204,1172l4688,1172m4204,924l4688,924m4204,677l4688,677e" filled="false" stroked="true" strokeweight=".589103pt" strokecolor="#d9d9d9">
              <v:path arrowok="t"/>
              <v:stroke dashstyle="solid"/>
            </v:shape>
            <v:rect style="position:absolute;left:3873;top:618;width:331;height:1061" filled="true" fillcolor="#ffd600" stroked="false">
              <v:fill type="solid"/>
            </v:rect>
            <v:shape style="position:absolute;left:5018;top:676;width:496;height:743" coordorigin="5018,677" coordsize="496,743" path="m5018,1419l5514,1419m5018,1172l5514,1172m5018,924l5514,924m5018,677l5514,677e" filled="false" stroked="true" strokeweight=".589103pt" strokecolor="#d9d9d9">
              <v:path arrowok="t"/>
              <v:stroke dashstyle="solid"/>
            </v:shape>
            <v:rect style="position:absolute;left:4687;top:547;width:331;height:1143" filled="true" fillcolor="#ffd600" stroked="false">
              <v:fill type="solid"/>
            </v:rect>
            <v:shape style="position:absolute;left:5844;top:676;width:496;height:743" coordorigin="5845,677" coordsize="496,743" path="m5845,1419l6341,1419m5845,1172l6341,1172m5845,924l6341,924m5845,677l6341,677e" filled="false" stroked="true" strokeweight=".589103pt" strokecolor="#d9d9d9">
              <v:path arrowok="t"/>
              <v:stroke dashstyle="solid"/>
            </v:shape>
            <v:rect style="position:absolute;left:5514;top:641;width:331;height:1132" filled="true" fillcolor="#ffd600" stroked="false">
              <v:fill type="solid"/>
            </v:rect>
            <v:shape style="position:absolute;left:6671;top:676;width:2963;height:743" coordorigin="6671,677" coordsize="2963,743" path="m6671,1419l7167,1419m6671,1172l7167,1172m6671,924l7167,924m6671,677l9634,677e" filled="false" stroked="true" strokeweight=".589103pt" strokecolor="#d9d9d9">
              <v:path arrowok="t"/>
              <v:stroke dashstyle="solid"/>
            </v:shape>
            <v:rect style="position:absolute;left:6340;top:511;width:331;height:1167" filled="true" fillcolor="#ffd600" stroked="false">
              <v:fill type="solid"/>
            </v:rect>
            <v:shape style="position:absolute;left:7497;top:924;width:496;height:495" coordorigin="7497,924" coordsize="496,495" path="m7497,1419l7993,1419m7497,1172l7993,1172m7497,924l7993,924e" filled="false" stroked="true" strokeweight=".589103pt" strokecolor="#d9d9d9">
              <v:path arrowok="t"/>
              <v:stroke dashstyle="solid"/>
            </v:shape>
            <v:rect style="position:absolute;left:7166;top:759;width:331;height:1037" filled="true" fillcolor="#ffd600" stroked="false">
              <v:fill type="solid"/>
            </v:rect>
            <v:shape style="position:absolute;left:8323;top:924;width:496;height:495" coordorigin="8324,924" coordsize="496,495" path="m8324,1419l8819,1419m8324,1172l8819,1172m8324,924l8819,924e" filled="false" stroked="true" strokeweight=".589103pt" strokecolor="#d9d9d9">
              <v:path arrowok="t"/>
              <v:stroke dashstyle="solid"/>
            </v:shape>
            <v:rect style="position:absolute;left:7993;top:676;width:331;height:1037" filled="true" fillcolor="#ffd600" stroked="false">
              <v:fill type="solid"/>
            </v:rect>
            <v:shape style="position:absolute;left:9149;top:924;width:484;height:495" coordorigin="9150,924" coordsize="484,495" path="m9150,1419l9634,1419m9150,1172l9634,1172m9150,924l9634,924e" filled="false" stroked="true" strokeweight=".589103pt" strokecolor="#d9d9d9">
              <v:path arrowok="t"/>
              <v:stroke dashstyle="solid"/>
            </v:shape>
            <v:rect style="position:absolute;left:8819;top:700;width:331;height:1073" filled="true" fillcolor="#ffd600" stroked="false">
              <v:fill type="solid"/>
            </v:rect>
            <v:shape style="position:absolute;left:9964;top:676;width:248;height:743" coordorigin="9964,677" coordsize="248,743" path="m9964,1419l10212,1419m9964,1172l10212,1172m9964,924l10212,924m9964,677l10212,677e" filled="false" stroked="true" strokeweight=".589103pt" strokecolor="#d9d9d9">
              <v:path arrowok="t"/>
              <v:stroke dashstyle="solid"/>
            </v:shape>
            <v:rect style="position:absolute;left:9633;top:653;width:331;height:1049" filled="true" fillcolor="#ffd600" stroked="false">
              <v:fill type="solid"/>
            </v:rect>
            <v:line style="position:absolute" from="2221,647" to="2551,647" stroked="true" strokeweight=".589106pt" strokecolor="#000000">
              <v:stroke dashstyle="solid"/>
            </v:line>
            <v:line style="position:absolute" from="3047,541" to="3378,541" stroked="true" strokeweight=".589106pt" strokecolor="#000000">
              <v:stroke dashstyle="solid"/>
            </v:line>
            <v:rect style="position:absolute;left:3873;top:594;width:331;height:24" filled="true" fillcolor="#000000" stroked="false">
              <v:fill type="solid"/>
            </v:rect>
            <v:line style="position:absolute" from="4688,541" to="5018,541" stroked="true" strokeweight=".589106pt" strokecolor="#000000">
              <v:stroke dashstyle="solid"/>
            </v:line>
            <v:rect style="position:absolute;left:5514;top:618;width:331;height:24" filled="true" fillcolor="#000000" stroked="false">
              <v:fill type="solid"/>
            </v:rect>
            <v:line style="position:absolute" from="1973,430" to="10212,430" stroked="true" strokeweight=".589103pt" strokecolor="#d9d9d9">
              <v:stroke dashstyle="solid"/>
            </v:line>
            <v:line style="position:absolute" from="6340,506" to="6671,506" stroked="true" strokeweight=".589106pt" strokecolor="#000000">
              <v:stroke dashstyle="solid"/>
            </v:line>
            <v:shape style="position:absolute;left:7166;top:671;width:1984;height:83" coordorigin="7167,671" coordsize="1984,83" path="m7167,754l7497,754m7993,671l8324,671m8819,695l9150,695e" filled="false" stroked="true" strokeweight=".589106pt" strokecolor="#000000">
              <v:path arrowok="t"/>
              <v:stroke dashstyle="solid"/>
            </v:shape>
            <v:line style="position:absolute" from="9634,647" to="9964,647" stroked="true" strokeweight=".589106pt" strokecolor="#000000">
              <v:stroke dashstyle="solid"/>
            </v:line>
            <v:line style="position:absolute" from="1973,2421" to="10212,2421" stroked="true" strokeweight=".589103pt" strokecolor="#d9d9d9">
              <v:stroke dashstyle="solid"/>
            </v:line>
            <v:shape style="position:absolute;left:0;top:-10703;width:651809;height:25214" coordorigin="0,-10702" coordsize="651809,25214" path="m1973,2421l1973,2468m1973,2421l1973,2739m2799,2421l2799,2468m2799,2421l2799,2739m3626,2421l3626,2468m3626,2421l3626,2739m4440,2421l4440,2468m4440,2421l4440,2739m5266,2421l5266,2468m5266,2421l5266,2739m6093,2421l6093,2468m6093,2421l6093,2739m6919,2421l6919,2468m6919,2421l6919,2739m7745,2421l7745,2468m7745,2421l7745,2739m8571,2421l8571,2468m8571,2421l8571,2739m9386,2421l9386,2468m9386,2421l9386,2739m10212,2421l10212,2468m10212,2421l10212,2739e" filled="false" stroked="true" strokeweight=".589654pt" strokecolor="#d9d9d9">
              <v:path arrowok="t"/>
              <v:stroke dashstyle="solid"/>
            </v:shape>
            <v:shape style="position:absolute;left:0;top:-10703;width:651809;height:25214" coordorigin="0,-10702" coordsize="651809,25214" path="m1973,2739l1973,3057m6093,2739l6093,3057m10212,2739l10212,3057e" filled="false" stroked="true" strokeweight=".589654pt" strokecolor="#d9d9d9">
              <v:path arrowok="t"/>
              <v:stroke dashstyle="solid"/>
            </v:shape>
            <v:line style="position:absolute" from="1973,182" to="10212,182" stroked="true" strokeweight=".589103pt" strokecolor="#d9d9d9">
              <v:stroke dashstyle="solid"/>
            </v:line>
            <v:line style="position:absolute" from="6099,182" to="6093,2425" stroked="true" strokeweight=".590209pt" strokecolor="#a6a6a6">
              <v:stroke dashstyle="solid"/>
            </v:line>
            <v:shape style="position:absolute;left:2217;top:2555;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2014</w:t>
                    </w:r>
                  </w:p>
                </w:txbxContent>
              </v:textbox>
              <w10:wrap type="none"/>
            </v:shape>
            <v:shape style="position:absolute;left:3041;top:2555;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2015</w:t>
                    </w:r>
                  </w:p>
                </w:txbxContent>
              </v:textbox>
              <w10:wrap type="none"/>
            </v:shape>
            <v:shape style="position:absolute;left:3866;top:2555;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2016</w:t>
                    </w:r>
                  </w:p>
                </w:txbxContent>
              </v:textbox>
              <w10:wrap type="none"/>
            </v:shape>
            <v:shape style="position:absolute;left:4690;top:2555;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2017</w:t>
                    </w:r>
                  </w:p>
                </w:txbxContent>
              </v:textbox>
              <w10:wrap type="none"/>
            </v:shape>
            <v:shape style="position:absolute;left:5514;top:2555;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2018</w:t>
                    </w:r>
                  </w:p>
                </w:txbxContent>
              </v:textbox>
              <w10:wrap type="none"/>
            </v:shape>
            <v:shape style="position:absolute;left:6339;top:2555;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2019</w:t>
                    </w:r>
                  </w:p>
                </w:txbxContent>
              </v:textbox>
              <w10:wrap type="none"/>
            </v:shape>
            <v:shape style="position:absolute;left:7163;top:2555;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2020</w:t>
                    </w:r>
                  </w:p>
                </w:txbxContent>
              </v:textbox>
              <w10:wrap type="none"/>
            </v:shape>
            <v:shape style="position:absolute;left:7987;top:2555;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2021</w:t>
                    </w:r>
                  </w:p>
                </w:txbxContent>
              </v:textbox>
              <w10:wrap type="none"/>
            </v:shape>
            <v:shape style="position:absolute;left:8811;top:2555;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2022</w:t>
                    </w:r>
                  </w:p>
                </w:txbxContent>
              </v:textbox>
              <w10:wrap type="none"/>
            </v:shape>
            <v:shape style="position:absolute;left:9636;top:2555;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2023</w:t>
                    </w:r>
                  </w:p>
                </w:txbxContent>
              </v:textbox>
              <w10:wrap type="none"/>
            </v:shape>
            <v:shape style="position:absolute;left:3777;top:2872;width:4718;height:165" type="#_x0000_t202" filled="false" stroked="false">
              <v:textbox inset="0,0,0,0">
                <w:txbxContent>
                  <w:p>
                    <w:pPr>
                      <w:tabs>
                        <w:tab w:pos="4054" w:val="left" w:leader="none"/>
                      </w:tabs>
                      <w:spacing w:line="165" w:lineRule="exact" w:before="0"/>
                      <w:ind w:left="0" w:right="0" w:firstLine="0"/>
                      <w:jc w:val="left"/>
                      <w:rPr>
                        <w:rFonts w:ascii="Calibri"/>
                        <w:sz w:val="16"/>
                      </w:rPr>
                    </w:pPr>
                    <w:r>
                      <w:rPr>
                        <w:rFonts w:ascii="Calibri"/>
                        <w:color w:val="585858"/>
                        <w:w w:val="105"/>
                        <w:sz w:val="16"/>
                      </w:rPr>
                      <w:t>Historic</w:t>
                      <w:tab/>
                    </w:r>
                    <w:r>
                      <w:rPr>
                        <w:rFonts w:ascii="Calibri"/>
                        <w:color w:val="585858"/>
                        <w:sz w:val="16"/>
                      </w:rPr>
                      <w:t>Projected</w:t>
                    </w:r>
                  </w:p>
                </w:txbxContent>
              </v:textbox>
              <w10:wrap type="none"/>
            </v:shape>
            <w10:wrap type="none"/>
          </v:group>
        </w:pict>
      </w:r>
      <w:r>
        <w:rPr>
          <w:rFonts w:ascii="Calibri"/>
          <w:color w:val="585858"/>
          <w:spacing w:val="-2"/>
          <w:sz w:val="16"/>
        </w:rPr>
        <w:t>450,000</w:t>
      </w:r>
    </w:p>
    <w:p>
      <w:pPr>
        <w:spacing w:before="54"/>
        <w:ind w:left="0" w:right="10085" w:firstLine="0"/>
        <w:jc w:val="right"/>
        <w:rPr>
          <w:rFonts w:ascii="Calibri"/>
          <w:sz w:val="16"/>
        </w:rPr>
      </w:pPr>
      <w:r>
        <w:rPr>
          <w:rFonts w:ascii="Calibri"/>
          <w:color w:val="585858"/>
          <w:spacing w:val="-2"/>
          <w:sz w:val="16"/>
        </w:rPr>
        <w:t>400,000</w:t>
      </w:r>
    </w:p>
    <w:p>
      <w:pPr>
        <w:spacing w:before="54"/>
        <w:ind w:left="0" w:right="10085" w:firstLine="0"/>
        <w:jc w:val="right"/>
        <w:rPr>
          <w:rFonts w:ascii="Calibri"/>
          <w:sz w:val="16"/>
        </w:rPr>
      </w:pPr>
      <w:r>
        <w:rPr>
          <w:rFonts w:ascii="Calibri"/>
          <w:color w:val="585858"/>
          <w:spacing w:val="-2"/>
          <w:sz w:val="16"/>
        </w:rPr>
        <w:t>350,000</w:t>
      </w:r>
    </w:p>
    <w:p>
      <w:pPr>
        <w:spacing w:before="53"/>
        <w:ind w:left="0" w:right="10085" w:firstLine="0"/>
        <w:jc w:val="right"/>
        <w:rPr>
          <w:rFonts w:ascii="Calibri"/>
          <w:sz w:val="16"/>
        </w:rPr>
      </w:pPr>
      <w:r>
        <w:rPr>
          <w:rFonts w:ascii="Calibri"/>
          <w:color w:val="585858"/>
          <w:spacing w:val="-2"/>
          <w:sz w:val="16"/>
        </w:rPr>
        <w:t>300,000</w:t>
      </w:r>
    </w:p>
    <w:p>
      <w:pPr>
        <w:spacing w:before="54"/>
        <w:ind w:left="0" w:right="10085" w:firstLine="0"/>
        <w:jc w:val="right"/>
        <w:rPr>
          <w:rFonts w:ascii="Calibri"/>
          <w:sz w:val="16"/>
        </w:rPr>
      </w:pPr>
      <w:r>
        <w:rPr>
          <w:rFonts w:ascii="Calibri"/>
          <w:color w:val="585858"/>
          <w:spacing w:val="-2"/>
          <w:sz w:val="16"/>
        </w:rPr>
        <w:t>250,000</w:t>
      </w:r>
    </w:p>
    <w:p>
      <w:pPr>
        <w:spacing w:before="54"/>
        <w:ind w:left="0" w:right="10085" w:firstLine="0"/>
        <w:jc w:val="right"/>
        <w:rPr>
          <w:rFonts w:ascii="Calibri"/>
          <w:sz w:val="16"/>
        </w:rPr>
      </w:pPr>
      <w:r>
        <w:rPr>
          <w:rFonts w:ascii="Calibri"/>
          <w:color w:val="585858"/>
          <w:spacing w:val="-2"/>
          <w:sz w:val="16"/>
        </w:rPr>
        <w:t>200,000</w:t>
      </w:r>
    </w:p>
    <w:p>
      <w:pPr>
        <w:spacing w:before="53"/>
        <w:ind w:left="0" w:right="10085" w:firstLine="0"/>
        <w:jc w:val="right"/>
        <w:rPr>
          <w:rFonts w:ascii="Calibri"/>
          <w:sz w:val="16"/>
        </w:rPr>
      </w:pPr>
      <w:r>
        <w:rPr>
          <w:rFonts w:ascii="Calibri"/>
          <w:color w:val="585858"/>
          <w:spacing w:val="-2"/>
          <w:sz w:val="16"/>
        </w:rPr>
        <w:t>150,000</w:t>
      </w:r>
    </w:p>
    <w:p>
      <w:pPr>
        <w:spacing w:before="54"/>
        <w:ind w:left="0" w:right="10085" w:firstLine="0"/>
        <w:jc w:val="right"/>
        <w:rPr>
          <w:rFonts w:ascii="Calibri"/>
          <w:sz w:val="16"/>
        </w:rPr>
      </w:pPr>
      <w:r>
        <w:rPr>
          <w:rFonts w:ascii="Calibri"/>
          <w:color w:val="585858"/>
          <w:spacing w:val="-2"/>
          <w:sz w:val="16"/>
        </w:rPr>
        <w:t>100,000</w:t>
      </w:r>
    </w:p>
    <w:p>
      <w:pPr>
        <w:spacing w:before="54"/>
        <w:ind w:left="0" w:right="10084" w:firstLine="0"/>
        <w:jc w:val="right"/>
        <w:rPr>
          <w:rFonts w:ascii="Calibri"/>
          <w:sz w:val="16"/>
        </w:rPr>
      </w:pPr>
      <w:r>
        <w:rPr>
          <w:rFonts w:ascii="Calibri"/>
          <w:color w:val="585858"/>
          <w:spacing w:val="-1"/>
          <w:sz w:val="16"/>
        </w:rPr>
        <w:t>50,000</w:t>
      </w:r>
    </w:p>
    <w:p>
      <w:pPr>
        <w:spacing w:before="53"/>
        <w:ind w:left="0" w:right="10084" w:firstLine="0"/>
        <w:jc w:val="right"/>
        <w:rPr>
          <w:rFonts w:ascii="Calibri"/>
          <w:sz w:val="16"/>
        </w:rPr>
      </w:pPr>
      <w:r>
        <w:rPr>
          <w:rFonts w:ascii="Calibri"/>
          <w:color w:val="585858"/>
          <w:w w:val="103"/>
          <w:sz w:val="16"/>
        </w:rPr>
        <w:t>0</w:t>
      </w:r>
    </w:p>
    <w:p>
      <w:pPr>
        <w:pStyle w:val="BodyText"/>
        <w:rPr>
          <w:rFonts w:ascii="Calibri"/>
        </w:rPr>
      </w:pPr>
    </w:p>
    <w:p>
      <w:pPr>
        <w:pStyle w:val="BodyText"/>
        <w:spacing w:before="5"/>
        <w:rPr>
          <w:rFonts w:ascii="Calibri"/>
          <w:sz w:val="26"/>
        </w:rPr>
      </w:pPr>
    </w:p>
    <w:p>
      <w:pPr>
        <w:spacing w:before="61"/>
        <w:ind w:left="1602" w:right="1415" w:firstLine="0"/>
        <w:jc w:val="center"/>
        <w:rPr>
          <w:rFonts w:ascii="Calibri"/>
          <w:b/>
          <w:sz w:val="19"/>
        </w:rPr>
      </w:pPr>
      <w:r>
        <w:rPr>
          <w:rFonts w:ascii="Calibri"/>
          <w:b/>
          <w:color w:val="585858"/>
          <w:sz w:val="19"/>
        </w:rPr>
        <w:t>Year Ending 30 June</w:t>
      </w:r>
    </w:p>
    <w:p>
      <w:pPr>
        <w:pStyle w:val="BodyText"/>
        <w:rPr>
          <w:rFonts w:ascii="Calibri"/>
          <w:b/>
          <w:sz w:val="9"/>
        </w:rPr>
      </w:pPr>
    </w:p>
    <w:p>
      <w:pPr>
        <w:spacing w:before="76"/>
        <w:ind w:left="1597" w:right="9672" w:firstLine="0"/>
        <w:jc w:val="center"/>
        <w:rPr>
          <w:rFonts w:ascii="Calibri"/>
          <w:sz w:val="12"/>
        </w:rPr>
      </w:pPr>
      <w:r>
        <w:rPr>
          <w:rFonts w:ascii="Calibri"/>
          <w:sz w:val="12"/>
        </w:rPr>
        <w:t>Class key:</w:t>
      </w:r>
    </w:p>
    <w:p>
      <w:pPr>
        <w:tabs>
          <w:tab w:pos="1445" w:val="left" w:leader="none"/>
          <w:tab w:pos="2891" w:val="left" w:leader="none"/>
          <w:tab w:pos="4337" w:val="left" w:leader="none"/>
          <w:tab w:pos="5782" w:val="left" w:leader="none"/>
          <w:tab w:pos="7228" w:val="left" w:leader="none"/>
        </w:tabs>
        <w:spacing w:before="46"/>
        <w:ind w:left="0" w:right="132" w:firstLine="0"/>
        <w:jc w:val="center"/>
        <w:rPr>
          <w:rFonts w:ascii="Calibri"/>
          <w:sz w:val="12"/>
        </w:rPr>
      </w:pPr>
      <w:r>
        <w:rPr/>
        <w:pict>
          <v:group style="position:absolute;margin-left:85.804085pt;margin-top:1.603449pt;width:10.95pt;height:18.850pt;mso-position-horizontal-relative:page;mso-position-vertical-relative:paragraph;z-index:252224512" coordorigin="1716,32" coordsize="219,377">
            <v:rect style="position:absolute;left:1716;top:32;width:219;height:169" filled="true" fillcolor="#1f487c" stroked="false">
              <v:fill type="solid"/>
            </v:rect>
            <v:rect style="position:absolute;left:1716;top:240;width:219;height:169" filled="true" fillcolor="#f8a763" stroked="false">
              <v:fill type="solid"/>
            </v:rect>
            <w10:wrap type="none"/>
          </v:group>
        </w:pict>
      </w:r>
      <w:r>
        <w:rPr/>
        <w:pict>
          <v:group style="position:absolute;margin-left:157.689728pt;margin-top:1.603449pt;width:11.35pt;height:18.850pt;mso-position-horizontal-relative:page;mso-position-vertical-relative:paragraph;z-index:-287677440" coordorigin="3154,32" coordsize="227,377">
            <v:rect style="position:absolute;left:3153;top:32;width:227;height:169" filled="true" fillcolor="#009544" stroked="false">
              <v:fill type="solid"/>
            </v:rect>
            <v:rect style="position:absolute;left:3153;top:240;width:227;height:169" filled="true" fillcolor="#ecb8e7" stroked="false">
              <v:fill type="solid"/>
            </v:rect>
            <w10:wrap type="none"/>
          </v:group>
        </w:pict>
      </w:r>
      <w:r>
        <w:rPr/>
        <w:pict>
          <v:group style="position:absolute;margin-left:229.97963pt;margin-top:1.603449pt;width:11.35pt;height:18.850pt;mso-position-horizontal-relative:page;mso-position-vertical-relative:paragraph;z-index:-287676416" coordorigin="4600,32" coordsize="227,377">
            <v:rect style="position:absolute;left:4599;top:32;width:227;height:169" filled="true" fillcolor="#e16b09" stroked="false">
              <v:fill type="solid"/>
            </v:rect>
            <v:rect style="position:absolute;left:4599;top:240;width:227;height:169" filled="true" fillcolor="#938953" stroked="false">
              <v:fill type="solid"/>
            </v:rect>
            <w10:wrap type="none"/>
          </v:group>
        </w:pict>
      </w:r>
      <w:r>
        <w:rPr/>
        <w:pict>
          <v:group style="position:absolute;margin-left:302.269928pt;margin-top:1.603449pt;width:11.35pt;height:18.850pt;mso-position-horizontal-relative:page;mso-position-vertical-relative:paragraph;z-index:-287675392" coordorigin="6045,32" coordsize="227,377">
            <v:rect style="position:absolute;left:6045;top:32;width:227;height:169" filled="true" fillcolor="#e08ad6" stroked="false">
              <v:fill type="solid"/>
            </v:rect>
            <v:rect style="position:absolute;left:6045;top:240;width:227;height:169" filled="true" fillcolor="#ffd600" stroked="false">
              <v:fill type="solid"/>
            </v:rect>
            <w10:wrap type="none"/>
          </v:group>
        </w:pict>
      </w:r>
      <w:r>
        <w:rPr/>
        <w:pict>
          <v:group style="position:absolute;margin-left:374.559845pt;margin-top:1.603449pt;width:11.35pt;height:18.850pt;mso-position-horizontal-relative:page;mso-position-vertical-relative:paragraph;z-index:-287674368" coordorigin="7491,32" coordsize="227,377">
            <v:rect style="position:absolute;left:7491;top:32;width:227;height:169" filled="true" fillcolor="#8063a1" stroked="false">
              <v:fill type="solid"/>
            </v:rect>
            <v:rect style="position:absolute;left:7491;top:240;width:227;height:169" filled="true" fillcolor="#000000" stroked="false">
              <v:fill type="solid"/>
            </v:rect>
            <w10:wrap type="none"/>
          </v:group>
        </w:pict>
      </w:r>
      <w:r>
        <w:rPr/>
        <w:pict>
          <v:group style="position:absolute;margin-left:446.849335pt;margin-top:1.603449pt;width:11.35pt;height:18.850pt;mso-position-horizontal-relative:page;mso-position-vertical-relative:paragraph;z-index:-287673344" coordorigin="8937,32" coordsize="227,377">
            <v:rect style="position:absolute;left:8936;top:32;width:227;height:169" filled="true" fillcolor="#c0504d" stroked="false">
              <v:fill type="solid"/>
            </v:rect>
            <v:rect style="position:absolute;left:8936;top:240;width:227;height:169" filled="true" fillcolor="#ffeb8f" stroked="false">
              <v:fill type="solid"/>
            </v:rect>
            <w10:wrap type="none"/>
          </v:group>
        </w:pict>
      </w:r>
      <w:r>
        <w:rPr>
          <w:rFonts w:ascii="Calibri"/>
          <w:sz w:val="12"/>
        </w:rPr>
        <w:t>1</w:t>
      </w:r>
      <w:r>
        <w:rPr>
          <w:rFonts w:ascii="Calibri"/>
          <w:spacing w:val="-7"/>
          <w:sz w:val="12"/>
        </w:rPr>
        <w:t> </w:t>
      </w:r>
      <w:r>
        <w:rPr>
          <w:rFonts w:ascii="Calibri"/>
          <w:sz w:val="12"/>
        </w:rPr>
        <w:t>-</w:t>
      </w:r>
      <w:r>
        <w:rPr>
          <w:rFonts w:ascii="Calibri"/>
          <w:spacing w:val="2"/>
          <w:sz w:val="12"/>
        </w:rPr>
        <w:t> </w:t>
      </w:r>
      <w:r>
        <w:rPr>
          <w:rFonts w:ascii="Calibri"/>
          <w:sz w:val="12"/>
        </w:rPr>
        <w:t>Studying</w:t>
        <w:tab/>
        <w:t>2 -</w:t>
      </w:r>
      <w:r>
        <w:rPr>
          <w:rFonts w:ascii="Calibri"/>
          <w:spacing w:val="-6"/>
          <w:sz w:val="12"/>
        </w:rPr>
        <w:t> </w:t>
      </w:r>
      <w:r>
        <w:rPr>
          <w:rFonts w:ascii="Calibri"/>
          <w:sz w:val="12"/>
        </w:rPr>
        <w:t>Working</w:t>
      </w:r>
      <w:r>
        <w:rPr>
          <w:rFonts w:ascii="Calibri"/>
          <w:spacing w:val="-3"/>
          <w:sz w:val="12"/>
        </w:rPr>
        <w:t> </w:t>
      </w:r>
      <w:r>
        <w:rPr>
          <w:rFonts w:ascii="Calibri"/>
          <w:sz w:val="12"/>
        </w:rPr>
        <w:t>Age</w:t>
        <w:tab/>
        <w:t>3</w:t>
      </w:r>
      <w:r>
        <w:rPr>
          <w:rFonts w:ascii="Calibri"/>
          <w:spacing w:val="-7"/>
          <w:sz w:val="12"/>
        </w:rPr>
        <w:t> </w:t>
      </w:r>
      <w:r>
        <w:rPr>
          <w:rFonts w:ascii="Calibri"/>
          <w:sz w:val="12"/>
        </w:rPr>
        <w:t>-</w:t>
      </w:r>
      <w:r>
        <w:rPr>
          <w:rFonts w:ascii="Calibri"/>
          <w:spacing w:val="1"/>
          <w:sz w:val="12"/>
        </w:rPr>
        <w:t> </w:t>
      </w:r>
      <w:r>
        <w:rPr>
          <w:rFonts w:ascii="Calibri"/>
          <w:sz w:val="12"/>
        </w:rPr>
        <w:t>Parents</w:t>
        <w:tab/>
        <w:t>4</w:t>
      </w:r>
      <w:r>
        <w:rPr>
          <w:rFonts w:ascii="Calibri"/>
          <w:spacing w:val="-8"/>
          <w:sz w:val="12"/>
        </w:rPr>
        <w:t> </w:t>
      </w:r>
      <w:r>
        <w:rPr>
          <w:rFonts w:ascii="Calibri"/>
          <w:sz w:val="12"/>
        </w:rPr>
        <w:t>- Carers</w:t>
        <w:tab/>
        <w:t>5 -</w:t>
      </w:r>
      <w:r>
        <w:rPr>
          <w:rFonts w:ascii="Calibri"/>
          <w:spacing w:val="-2"/>
          <w:sz w:val="12"/>
        </w:rPr>
        <w:t> </w:t>
      </w:r>
      <w:r>
        <w:rPr>
          <w:rFonts w:ascii="Calibri"/>
          <w:sz w:val="12"/>
        </w:rPr>
        <w:t>Disability</w:t>
      </w:r>
      <w:r>
        <w:rPr>
          <w:rFonts w:ascii="Calibri"/>
          <w:spacing w:val="1"/>
          <w:sz w:val="12"/>
        </w:rPr>
        <w:t> </w:t>
      </w:r>
      <w:r>
        <w:rPr>
          <w:rFonts w:ascii="Calibri"/>
          <w:sz w:val="12"/>
        </w:rPr>
        <w:t>Support</w:t>
        <w:tab/>
        <w:t>6 - Pension</w:t>
      </w:r>
      <w:r>
        <w:rPr>
          <w:rFonts w:ascii="Calibri"/>
          <w:spacing w:val="-10"/>
          <w:sz w:val="12"/>
        </w:rPr>
        <w:t> </w:t>
      </w:r>
      <w:r>
        <w:rPr>
          <w:rFonts w:ascii="Calibri"/>
          <w:sz w:val="12"/>
        </w:rPr>
        <w:t>Age</w:t>
      </w:r>
    </w:p>
    <w:p>
      <w:pPr>
        <w:spacing w:after="0"/>
        <w:jc w:val="center"/>
        <w:rPr>
          <w:rFonts w:ascii="Calibri"/>
          <w:sz w:val="12"/>
        </w:rPr>
        <w:sectPr>
          <w:pgSz w:w="11910" w:h="16850"/>
          <w:pgMar w:header="572" w:footer="581" w:top="780" w:bottom="780" w:left="120" w:right="0"/>
        </w:sectPr>
      </w:pPr>
    </w:p>
    <w:p>
      <w:pPr>
        <w:spacing w:before="62"/>
        <w:ind w:left="0" w:right="0" w:firstLine="0"/>
        <w:jc w:val="right"/>
        <w:rPr>
          <w:rFonts w:ascii="Calibri"/>
          <w:sz w:val="12"/>
        </w:rPr>
      </w:pPr>
      <w:r>
        <w:rPr>
          <w:rFonts w:ascii="Calibri"/>
          <w:sz w:val="12"/>
        </w:rPr>
        <w:t>7 - Non IS Family</w:t>
      </w:r>
    </w:p>
    <w:p>
      <w:pPr>
        <w:pStyle w:val="ListParagraph"/>
        <w:numPr>
          <w:ilvl w:val="0"/>
          <w:numId w:val="41"/>
        </w:numPr>
        <w:tabs>
          <w:tab w:pos="665" w:val="left" w:leader="none"/>
        </w:tabs>
        <w:spacing w:line="240" w:lineRule="auto" w:before="62" w:after="0"/>
        <w:ind w:left="664" w:right="0" w:hanging="82"/>
        <w:jc w:val="left"/>
        <w:rPr>
          <w:rFonts w:ascii="Calibri"/>
          <w:sz w:val="12"/>
        </w:rPr>
      </w:pPr>
      <w:r>
        <w:rPr>
          <w:rFonts w:ascii="Calibri"/>
          <w:w w:val="100"/>
          <w:sz w:val="12"/>
        </w:rPr>
        <w:br w:type="column"/>
      </w:r>
      <w:r>
        <w:rPr>
          <w:rFonts w:ascii="Calibri"/>
          <w:sz w:val="12"/>
        </w:rPr>
        <w:t>- Non IS</w:t>
      </w:r>
      <w:r>
        <w:rPr>
          <w:rFonts w:ascii="Calibri"/>
          <w:spacing w:val="2"/>
          <w:sz w:val="12"/>
        </w:rPr>
        <w:t> </w:t>
      </w:r>
      <w:r>
        <w:rPr>
          <w:rFonts w:ascii="Calibri"/>
          <w:spacing w:val="-3"/>
          <w:sz w:val="12"/>
        </w:rPr>
        <w:t>Carer</w:t>
      </w:r>
    </w:p>
    <w:p>
      <w:pPr>
        <w:pStyle w:val="ListParagraph"/>
        <w:numPr>
          <w:ilvl w:val="0"/>
          <w:numId w:val="41"/>
        </w:numPr>
        <w:tabs>
          <w:tab w:pos="726" w:val="left" w:leader="none"/>
        </w:tabs>
        <w:spacing w:line="240" w:lineRule="auto" w:before="62" w:after="0"/>
        <w:ind w:left="725" w:right="0" w:hanging="82"/>
        <w:jc w:val="left"/>
        <w:rPr>
          <w:rFonts w:ascii="Calibri"/>
          <w:sz w:val="12"/>
        </w:rPr>
      </w:pPr>
      <w:r>
        <w:rPr>
          <w:rFonts w:ascii="Calibri"/>
          <w:w w:val="100"/>
          <w:sz w:val="12"/>
        </w:rPr>
        <w:br w:type="column"/>
      </w:r>
      <w:r>
        <w:rPr>
          <w:rFonts w:ascii="Calibri"/>
          <w:sz w:val="12"/>
        </w:rPr>
        <w:t>- Non IS</w:t>
      </w:r>
      <w:r>
        <w:rPr>
          <w:rFonts w:ascii="Calibri"/>
          <w:spacing w:val="5"/>
          <w:sz w:val="12"/>
        </w:rPr>
        <w:t> </w:t>
      </w:r>
      <w:r>
        <w:rPr>
          <w:rFonts w:ascii="Calibri"/>
          <w:spacing w:val="-3"/>
          <w:sz w:val="12"/>
        </w:rPr>
        <w:t>Other</w:t>
      </w:r>
    </w:p>
    <w:p>
      <w:pPr>
        <w:pStyle w:val="ListParagraph"/>
        <w:numPr>
          <w:ilvl w:val="0"/>
          <w:numId w:val="41"/>
        </w:numPr>
        <w:tabs>
          <w:tab w:pos="759" w:val="left" w:leader="none"/>
        </w:tabs>
        <w:spacing w:line="261" w:lineRule="auto" w:before="62" w:after="0"/>
        <w:ind w:left="620" w:right="0" w:firstLine="0"/>
        <w:jc w:val="left"/>
        <w:rPr>
          <w:rFonts w:ascii="Calibri"/>
          <w:sz w:val="12"/>
        </w:rPr>
      </w:pPr>
      <w:r>
        <w:rPr>
          <w:rFonts w:ascii="Calibri"/>
          <w:w w:val="100"/>
          <w:sz w:val="12"/>
        </w:rPr>
        <w:br w:type="column"/>
      </w:r>
      <w:r>
        <w:rPr>
          <w:rFonts w:ascii="Calibri"/>
          <w:sz w:val="12"/>
        </w:rPr>
        <w:t>- Previous Welfare Recipient</w:t>
      </w:r>
    </w:p>
    <w:p>
      <w:pPr>
        <w:pStyle w:val="ListParagraph"/>
        <w:numPr>
          <w:ilvl w:val="0"/>
          <w:numId w:val="41"/>
        </w:numPr>
        <w:tabs>
          <w:tab w:pos="482" w:val="left" w:leader="none"/>
        </w:tabs>
        <w:spacing w:line="240" w:lineRule="auto" w:before="62" w:after="0"/>
        <w:ind w:left="481" w:right="0" w:hanging="139"/>
        <w:jc w:val="left"/>
        <w:rPr>
          <w:rFonts w:ascii="Calibri"/>
          <w:sz w:val="12"/>
        </w:rPr>
      </w:pPr>
      <w:r>
        <w:rPr>
          <w:rFonts w:ascii="Calibri"/>
          <w:w w:val="100"/>
          <w:sz w:val="12"/>
        </w:rPr>
        <w:br w:type="column"/>
      </w:r>
      <w:r>
        <w:rPr>
          <w:rFonts w:ascii="Calibri"/>
          <w:sz w:val="12"/>
        </w:rPr>
        <w:t>-</w:t>
      </w:r>
      <w:r>
        <w:rPr>
          <w:rFonts w:ascii="Calibri"/>
          <w:spacing w:val="3"/>
          <w:sz w:val="12"/>
        </w:rPr>
        <w:t> </w:t>
      </w:r>
      <w:r>
        <w:rPr>
          <w:rFonts w:ascii="Calibri"/>
          <w:spacing w:val="-5"/>
          <w:sz w:val="12"/>
        </w:rPr>
        <w:t>Dead</w:t>
      </w:r>
    </w:p>
    <w:p>
      <w:pPr>
        <w:pStyle w:val="ListParagraph"/>
        <w:numPr>
          <w:ilvl w:val="0"/>
          <w:numId w:val="41"/>
        </w:numPr>
        <w:tabs>
          <w:tab w:pos="1084" w:val="left" w:leader="none"/>
        </w:tabs>
        <w:spacing w:line="261" w:lineRule="auto" w:before="62" w:after="0"/>
        <w:ind w:left="946" w:right="1894" w:firstLine="0"/>
        <w:jc w:val="left"/>
        <w:rPr>
          <w:rFonts w:ascii="Calibri"/>
          <w:sz w:val="12"/>
        </w:rPr>
      </w:pPr>
      <w:r>
        <w:rPr>
          <w:rFonts w:ascii="Calibri"/>
          <w:w w:val="100"/>
          <w:sz w:val="12"/>
        </w:rPr>
        <w:br w:type="column"/>
      </w:r>
      <w:r>
        <w:rPr>
          <w:rFonts w:ascii="Calibri"/>
          <w:sz w:val="12"/>
        </w:rPr>
        <w:t>- Rest of Aust. Population</w:t>
      </w:r>
    </w:p>
    <w:p>
      <w:pPr>
        <w:spacing w:after="0" w:line="261" w:lineRule="auto"/>
        <w:jc w:val="left"/>
        <w:rPr>
          <w:rFonts w:ascii="Calibri"/>
          <w:sz w:val="12"/>
        </w:rPr>
        <w:sectPr>
          <w:type w:val="continuous"/>
          <w:pgSz w:w="11910" w:h="16850"/>
          <w:pgMar w:top="1600" w:bottom="280" w:left="120" w:right="0"/>
          <w:cols w:num="6" w:equalWidth="0">
            <w:col w:w="2653" w:space="40"/>
            <w:col w:w="1345" w:space="39"/>
            <w:col w:w="1430" w:space="40"/>
            <w:col w:w="1683" w:space="39"/>
            <w:col w:w="804" w:space="40"/>
            <w:col w:w="3677"/>
          </w:cols>
        </w:sectPr>
      </w:pPr>
    </w:p>
    <w:p>
      <w:pPr>
        <w:pStyle w:val="BodyText"/>
        <w:rPr>
          <w:rFonts w:ascii="Calibri"/>
        </w:rPr>
      </w:pPr>
    </w:p>
    <w:p>
      <w:pPr>
        <w:pStyle w:val="BodyText"/>
        <w:spacing w:before="8"/>
        <w:rPr>
          <w:rFonts w:ascii="Calibri"/>
          <w:sz w:val="19"/>
        </w:rPr>
      </w:pPr>
    </w:p>
    <w:p>
      <w:pPr>
        <w:pStyle w:val="BodyText"/>
        <w:spacing w:before="1"/>
        <w:ind w:left="899" w:right="1154"/>
      </w:pPr>
      <w:r>
        <w:rPr>
          <w:color w:val="404040"/>
        </w:rPr>
        <w:t>We can see that people generally enter this class from outside the welfare system, many of whom had previously accessed welfare payments. People in this class show some mobility, with a mixture of exits from the system and movements to a range of other classes. Most people who leave this class but remain in the system tend to transition to class ‘1 Studying’ (at the younger ages), class ‘6 Pension Age’ (at retirement) and, for women, classes ‘3 Parenting’ and ‘7 Non IS Family’.</w:t>
      </w:r>
    </w:p>
    <w:p>
      <w:pPr>
        <w:pStyle w:val="BodyText"/>
        <w:spacing w:before="120"/>
        <w:ind w:left="899" w:right="1103"/>
        <w:jc w:val="both"/>
      </w:pPr>
      <w:r>
        <w:rPr>
          <w:color w:val="404040"/>
        </w:rPr>
        <w:t>Historically, entries into class 2 have been a little higher than exits from class 2 and this has led to increases in the number of people in the class each year. However, this has reversed in recent years resulting in decreases in the number of people in the class.</w:t>
      </w:r>
    </w:p>
    <w:p>
      <w:pPr>
        <w:pStyle w:val="BodyText"/>
        <w:spacing w:before="121"/>
        <w:ind w:left="899" w:right="1035"/>
      </w:pPr>
      <w:r>
        <w:rPr>
          <w:color w:val="404040"/>
        </w:rPr>
        <w:t>The projected entries in 2019 are above the level seen in 2018. This is because, at this stage, we do not believe there is enough experience to assume that the entries will continue at the low level seen in 2018 (noting for example that the level of entries seen in 2018 was lower than what might have been expected based on the decrease seen in the unemployment rate alone, suggesting that there were other contributing factors to the low level seen in 2018). Instead, a slightly higher level of entries is projected forward, which gives some credit to the higher levels seen in previous years.</w:t>
      </w:r>
    </w:p>
    <w:p>
      <w:pPr>
        <w:pStyle w:val="BodyText"/>
        <w:spacing w:before="121"/>
        <w:ind w:left="899" w:right="1375"/>
      </w:pPr>
      <w:r>
        <w:rPr>
          <w:color w:val="404040"/>
        </w:rPr>
        <w:t>Over the last few years, more exits from this class have been exits from the welfare system, rather than transitions into other classes. The actual and projected exits into the Pension Age class are lower for 2018, 2020 and 2022. This is the result of fewer people reaching Age Pension age during these years, as the Age Pension age transitions from age 65 to 67.</w:t>
      </w:r>
    </w:p>
    <w:p>
      <w:pPr>
        <w:pStyle w:val="BodyText"/>
        <w:spacing w:before="6"/>
      </w:pPr>
    </w:p>
    <w:p>
      <w:pPr>
        <w:pStyle w:val="Heading6"/>
        <w:rPr>
          <w:i/>
        </w:rPr>
      </w:pPr>
      <w:r>
        <w:rPr>
          <w:i/>
          <w:color w:val="DF2F1E"/>
        </w:rPr>
        <w:t>Payments received</w:t>
      </w:r>
    </w:p>
    <w:p>
      <w:pPr>
        <w:pStyle w:val="BodyText"/>
        <w:spacing w:before="121"/>
        <w:ind w:left="900" w:right="1164"/>
      </w:pPr>
      <w:r>
        <w:rPr>
          <w:color w:val="404040"/>
        </w:rPr>
        <w:t>During 2017/18, people in this class received a total of $14.3 billion. This is 12.4% of the total payments made in 2017/18. The chart below shows the average amount paid in a year to each person in this class, shown for both recent years and the first five years of the projection.</w:t>
      </w:r>
    </w:p>
    <w:p>
      <w:pPr>
        <w:spacing w:after="0"/>
        <w:sectPr>
          <w:type w:val="continuous"/>
          <w:pgSz w:w="11910" w:h="16850"/>
          <w:pgMar w:top="1600" w:bottom="280" w:left="120" w:right="0"/>
        </w:sectPr>
      </w:pPr>
    </w:p>
    <w:p>
      <w:pPr>
        <w:pStyle w:val="BodyText"/>
      </w:pPr>
    </w:p>
    <w:p>
      <w:pPr>
        <w:pStyle w:val="BodyText"/>
      </w:pPr>
    </w:p>
    <w:p>
      <w:pPr>
        <w:pStyle w:val="BodyText"/>
        <w:spacing w:before="5"/>
        <w:rPr>
          <w:sz w:val="21"/>
        </w:rPr>
      </w:pPr>
    </w:p>
    <w:p>
      <w:pPr>
        <w:pStyle w:val="Heading9"/>
      </w:pPr>
      <w:r>
        <w:rPr>
          <w:color w:val="DF2F1E"/>
        </w:rPr>
        <w:t>Figure 51: Average payments per person in class 2 – Working Age (restated to 2017/18 $ values)</w:t>
      </w:r>
    </w:p>
    <w:p>
      <w:pPr>
        <w:pStyle w:val="BodyText"/>
        <w:spacing w:before="8"/>
        <w:rPr>
          <w:b/>
          <w:sz w:val="22"/>
        </w:rPr>
      </w:pPr>
    </w:p>
    <w:p>
      <w:pPr>
        <w:spacing w:before="71"/>
        <w:ind w:left="1042" w:right="0" w:firstLine="0"/>
        <w:jc w:val="left"/>
        <w:rPr>
          <w:rFonts w:ascii="Calibri"/>
          <w:sz w:val="15"/>
        </w:rPr>
      </w:pPr>
      <w:r>
        <w:rPr/>
        <w:pict>
          <v:group style="position:absolute;margin-left:88.370232pt;margin-top:7.987742pt;width:420.25pt;height:141.15pt;mso-position-horizontal-relative:page;mso-position-vertical-relative:paragraph;z-index:252241920" coordorigin="1767,160" coordsize="8405,2823">
            <v:shape style="position:absolute;left:1767;top:159;width:8405;height:2823" type="#_x0000_t75" stroked="false">
              <v:imagedata r:id="rId85" o:title=""/>
            </v:shape>
            <v:shape style="position:absolute;left:2080;top:2513;width:332;height:152" type="#_x0000_t202" filled="false" stroked="false">
              <v:textbox inset="0,0,0,0">
                <w:txbxContent>
                  <w:p>
                    <w:pPr>
                      <w:spacing w:line="152" w:lineRule="exact" w:before="0"/>
                      <w:ind w:left="0" w:right="0" w:firstLine="0"/>
                      <w:jc w:val="left"/>
                      <w:rPr>
                        <w:rFonts w:ascii="Calibri"/>
                        <w:sz w:val="15"/>
                      </w:rPr>
                    </w:pPr>
                    <w:r>
                      <w:rPr>
                        <w:rFonts w:ascii="Calibri"/>
                        <w:color w:val="585858"/>
                        <w:sz w:val="15"/>
                      </w:rPr>
                      <w:t>2014</w:t>
                    </w:r>
                  </w:p>
                </w:txbxContent>
              </v:textbox>
              <w10:wrap type="none"/>
            </v:shape>
            <v:shape style="position:absolute;left:2914;top:2513;width:332;height:152" type="#_x0000_t202" filled="false" stroked="false">
              <v:textbox inset="0,0,0,0">
                <w:txbxContent>
                  <w:p>
                    <w:pPr>
                      <w:spacing w:line="152" w:lineRule="exact" w:before="0"/>
                      <w:ind w:left="0" w:right="0" w:firstLine="0"/>
                      <w:jc w:val="left"/>
                      <w:rPr>
                        <w:rFonts w:ascii="Calibri"/>
                        <w:sz w:val="15"/>
                      </w:rPr>
                    </w:pPr>
                    <w:r>
                      <w:rPr>
                        <w:rFonts w:ascii="Calibri"/>
                        <w:color w:val="585858"/>
                        <w:sz w:val="15"/>
                      </w:rPr>
                      <w:t>2015</w:t>
                    </w:r>
                  </w:p>
                </w:txbxContent>
              </v:textbox>
              <w10:wrap type="none"/>
            </v:shape>
            <v:shape style="position:absolute;left:3748;top:2513;width:332;height:152" type="#_x0000_t202" filled="false" stroked="false">
              <v:textbox inset="0,0,0,0">
                <w:txbxContent>
                  <w:p>
                    <w:pPr>
                      <w:spacing w:line="152" w:lineRule="exact" w:before="0"/>
                      <w:ind w:left="0" w:right="0" w:firstLine="0"/>
                      <w:jc w:val="left"/>
                      <w:rPr>
                        <w:rFonts w:ascii="Calibri"/>
                        <w:sz w:val="15"/>
                      </w:rPr>
                    </w:pPr>
                    <w:r>
                      <w:rPr>
                        <w:rFonts w:ascii="Calibri"/>
                        <w:color w:val="585858"/>
                        <w:sz w:val="15"/>
                      </w:rPr>
                      <w:t>2016</w:t>
                    </w:r>
                  </w:p>
                </w:txbxContent>
              </v:textbox>
              <w10:wrap type="none"/>
            </v:shape>
            <v:shape style="position:absolute;left:4583;top:2513;width:332;height:152" type="#_x0000_t202" filled="false" stroked="false">
              <v:textbox inset="0,0,0,0">
                <w:txbxContent>
                  <w:p>
                    <w:pPr>
                      <w:spacing w:line="152" w:lineRule="exact" w:before="0"/>
                      <w:ind w:left="0" w:right="0" w:firstLine="0"/>
                      <w:jc w:val="left"/>
                      <w:rPr>
                        <w:rFonts w:ascii="Calibri"/>
                        <w:sz w:val="15"/>
                      </w:rPr>
                    </w:pPr>
                    <w:r>
                      <w:rPr>
                        <w:rFonts w:ascii="Calibri"/>
                        <w:color w:val="585858"/>
                        <w:sz w:val="15"/>
                      </w:rPr>
                      <w:t>2017</w:t>
                    </w:r>
                  </w:p>
                </w:txbxContent>
              </v:textbox>
              <w10:wrap type="none"/>
            </v:shape>
            <v:shape style="position:absolute;left:5417;top:2513;width:332;height:152" type="#_x0000_t202" filled="false" stroked="false">
              <v:textbox inset="0,0,0,0">
                <w:txbxContent>
                  <w:p>
                    <w:pPr>
                      <w:spacing w:line="152" w:lineRule="exact" w:before="0"/>
                      <w:ind w:left="0" w:right="0" w:firstLine="0"/>
                      <w:jc w:val="left"/>
                      <w:rPr>
                        <w:rFonts w:ascii="Calibri"/>
                        <w:sz w:val="15"/>
                      </w:rPr>
                    </w:pPr>
                    <w:r>
                      <w:rPr>
                        <w:rFonts w:ascii="Calibri"/>
                        <w:color w:val="585858"/>
                        <w:sz w:val="15"/>
                      </w:rPr>
                      <w:t>2018</w:t>
                    </w:r>
                  </w:p>
                </w:txbxContent>
              </v:textbox>
              <w10:wrap type="none"/>
            </v:shape>
            <v:shape style="position:absolute;left:6251;top:2513;width:332;height:152" type="#_x0000_t202" filled="false" stroked="false">
              <v:textbox inset="0,0,0,0">
                <w:txbxContent>
                  <w:p>
                    <w:pPr>
                      <w:spacing w:line="152" w:lineRule="exact" w:before="0"/>
                      <w:ind w:left="0" w:right="0" w:firstLine="0"/>
                      <w:jc w:val="left"/>
                      <w:rPr>
                        <w:rFonts w:ascii="Calibri"/>
                        <w:sz w:val="15"/>
                      </w:rPr>
                    </w:pPr>
                    <w:r>
                      <w:rPr>
                        <w:rFonts w:ascii="Calibri"/>
                        <w:color w:val="585858"/>
                        <w:sz w:val="15"/>
                      </w:rPr>
                      <w:t>2019</w:t>
                    </w:r>
                  </w:p>
                </w:txbxContent>
              </v:textbox>
              <w10:wrap type="none"/>
            </v:shape>
            <v:shape style="position:absolute;left:7085;top:2513;width:332;height:152" type="#_x0000_t202" filled="false" stroked="false">
              <v:textbox inset="0,0,0,0">
                <w:txbxContent>
                  <w:p>
                    <w:pPr>
                      <w:spacing w:line="152" w:lineRule="exact" w:before="0"/>
                      <w:ind w:left="0" w:right="0" w:firstLine="0"/>
                      <w:jc w:val="left"/>
                      <w:rPr>
                        <w:rFonts w:ascii="Calibri"/>
                        <w:sz w:val="15"/>
                      </w:rPr>
                    </w:pPr>
                    <w:r>
                      <w:rPr>
                        <w:rFonts w:ascii="Calibri"/>
                        <w:color w:val="585858"/>
                        <w:sz w:val="15"/>
                      </w:rPr>
                      <w:t>2020</w:t>
                    </w:r>
                  </w:p>
                </w:txbxContent>
              </v:textbox>
              <w10:wrap type="none"/>
            </v:shape>
            <v:shape style="position:absolute;left:7920;top:2513;width:332;height:152" type="#_x0000_t202" filled="false" stroked="false">
              <v:textbox inset="0,0,0,0">
                <w:txbxContent>
                  <w:p>
                    <w:pPr>
                      <w:spacing w:line="152" w:lineRule="exact" w:before="0"/>
                      <w:ind w:left="0" w:right="0" w:firstLine="0"/>
                      <w:jc w:val="left"/>
                      <w:rPr>
                        <w:rFonts w:ascii="Calibri"/>
                        <w:sz w:val="15"/>
                      </w:rPr>
                    </w:pPr>
                    <w:r>
                      <w:rPr>
                        <w:rFonts w:ascii="Calibri"/>
                        <w:color w:val="585858"/>
                        <w:sz w:val="15"/>
                      </w:rPr>
                      <w:t>2021</w:t>
                    </w:r>
                  </w:p>
                </w:txbxContent>
              </v:textbox>
              <w10:wrap type="none"/>
            </v:shape>
            <v:shape style="position:absolute;left:8754;top:2513;width:332;height:152" type="#_x0000_t202" filled="false" stroked="false">
              <v:textbox inset="0,0,0,0">
                <w:txbxContent>
                  <w:p>
                    <w:pPr>
                      <w:spacing w:line="152" w:lineRule="exact" w:before="0"/>
                      <w:ind w:left="0" w:right="0" w:firstLine="0"/>
                      <w:jc w:val="left"/>
                      <w:rPr>
                        <w:rFonts w:ascii="Calibri"/>
                        <w:sz w:val="15"/>
                      </w:rPr>
                    </w:pPr>
                    <w:r>
                      <w:rPr>
                        <w:rFonts w:ascii="Calibri"/>
                        <w:color w:val="585858"/>
                        <w:sz w:val="15"/>
                      </w:rPr>
                      <w:t>2022</w:t>
                    </w:r>
                  </w:p>
                </w:txbxContent>
              </v:textbox>
              <w10:wrap type="none"/>
            </v:shape>
            <v:shape style="position:absolute;left:9588;top:2513;width:332;height:152" type="#_x0000_t202" filled="false" stroked="false">
              <v:textbox inset="0,0,0,0">
                <w:txbxContent>
                  <w:p>
                    <w:pPr>
                      <w:spacing w:line="152" w:lineRule="exact" w:before="0"/>
                      <w:ind w:left="0" w:right="0" w:firstLine="0"/>
                      <w:jc w:val="left"/>
                      <w:rPr>
                        <w:rFonts w:ascii="Calibri"/>
                        <w:sz w:val="15"/>
                      </w:rPr>
                    </w:pPr>
                    <w:r>
                      <w:rPr>
                        <w:rFonts w:ascii="Calibri"/>
                        <w:color w:val="585858"/>
                        <w:sz w:val="15"/>
                      </w:rPr>
                      <w:t>2023</w:t>
                    </w:r>
                  </w:p>
                </w:txbxContent>
              </v:textbox>
              <w10:wrap type="none"/>
            </v:shape>
            <v:shape style="position:absolute;left:3664;top:2814;width:4736;height:152" type="#_x0000_t202" filled="false" stroked="false">
              <v:textbox inset="0,0,0,0">
                <w:txbxContent>
                  <w:p>
                    <w:pPr>
                      <w:tabs>
                        <w:tab w:pos="4108" w:val="left" w:leader="none"/>
                      </w:tabs>
                      <w:spacing w:line="152" w:lineRule="exact" w:before="0"/>
                      <w:ind w:left="0" w:right="0" w:firstLine="0"/>
                      <w:jc w:val="left"/>
                      <w:rPr>
                        <w:rFonts w:ascii="Calibri"/>
                        <w:sz w:val="15"/>
                      </w:rPr>
                    </w:pPr>
                    <w:r>
                      <w:rPr>
                        <w:rFonts w:ascii="Calibri"/>
                        <w:color w:val="585858"/>
                        <w:sz w:val="15"/>
                      </w:rPr>
                      <w:t>Historic</w:t>
                      <w:tab/>
                      <w:t>Projected</w:t>
                    </w:r>
                  </w:p>
                </w:txbxContent>
              </v:textbox>
              <w10:wrap type="none"/>
            </v:shape>
            <w10:wrap type="none"/>
          </v:group>
        </w:pict>
      </w:r>
      <w:r>
        <w:rPr>
          <w:rFonts w:ascii="Calibri"/>
          <w:color w:val="585858"/>
          <w:sz w:val="15"/>
        </w:rPr>
        <w:t>$14,000</w:t>
      </w:r>
    </w:p>
    <w:p>
      <w:pPr>
        <w:pStyle w:val="BodyText"/>
        <w:spacing w:before="11"/>
        <w:rPr>
          <w:rFonts w:ascii="Calibri"/>
          <w:sz w:val="10"/>
        </w:rPr>
      </w:pPr>
    </w:p>
    <w:p>
      <w:pPr>
        <w:spacing w:before="0"/>
        <w:ind w:left="1042" w:right="0" w:firstLine="0"/>
        <w:jc w:val="left"/>
        <w:rPr>
          <w:rFonts w:ascii="Calibri"/>
          <w:sz w:val="15"/>
        </w:rPr>
      </w:pPr>
      <w:r>
        <w:rPr>
          <w:rFonts w:ascii="Calibri"/>
          <w:color w:val="585858"/>
          <w:sz w:val="15"/>
        </w:rPr>
        <w:t>$12,000</w:t>
      </w:r>
    </w:p>
    <w:p>
      <w:pPr>
        <w:pStyle w:val="BodyText"/>
        <w:spacing w:before="11"/>
        <w:rPr>
          <w:rFonts w:ascii="Calibri"/>
          <w:sz w:val="10"/>
        </w:rPr>
      </w:pPr>
    </w:p>
    <w:p>
      <w:pPr>
        <w:spacing w:before="0"/>
        <w:ind w:left="1042" w:right="0" w:firstLine="0"/>
        <w:jc w:val="left"/>
        <w:rPr>
          <w:rFonts w:ascii="Calibri"/>
          <w:sz w:val="15"/>
        </w:rPr>
      </w:pPr>
      <w:r>
        <w:rPr>
          <w:rFonts w:ascii="Calibri"/>
          <w:color w:val="585858"/>
          <w:sz w:val="15"/>
        </w:rPr>
        <w:t>$10,000</w:t>
      </w:r>
    </w:p>
    <w:p>
      <w:pPr>
        <w:pStyle w:val="BodyText"/>
        <w:spacing w:before="11"/>
        <w:rPr>
          <w:rFonts w:ascii="Calibri"/>
          <w:sz w:val="10"/>
        </w:rPr>
      </w:pPr>
    </w:p>
    <w:p>
      <w:pPr>
        <w:spacing w:before="0"/>
        <w:ind w:left="1121" w:right="0" w:firstLine="0"/>
        <w:jc w:val="left"/>
        <w:rPr>
          <w:rFonts w:ascii="Calibri"/>
          <w:sz w:val="15"/>
        </w:rPr>
      </w:pPr>
      <w:r>
        <w:rPr>
          <w:rFonts w:ascii="Calibri"/>
          <w:color w:val="585858"/>
          <w:sz w:val="15"/>
        </w:rPr>
        <w:t>$8,000</w:t>
      </w:r>
    </w:p>
    <w:p>
      <w:pPr>
        <w:pStyle w:val="BodyText"/>
        <w:spacing w:before="10"/>
        <w:rPr>
          <w:rFonts w:ascii="Calibri"/>
          <w:sz w:val="10"/>
        </w:rPr>
      </w:pPr>
    </w:p>
    <w:p>
      <w:pPr>
        <w:spacing w:before="0"/>
        <w:ind w:left="1121" w:right="0" w:firstLine="0"/>
        <w:jc w:val="left"/>
        <w:rPr>
          <w:rFonts w:ascii="Calibri"/>
          <w:sz w:val="15"/>
        </w:rPr>
      </w:pPr>
      <w:r>
        <w:rPr>
          <w:rFonts w:ascii="Calibri"/>
          <w:color w:val="585858"/>
          <w:sz w:val="15"/>
        </w:rPr>
        <w:t>$6,000</w:t>
      </w:r>
    </w:p>
    <w:p>
      <w:pPr>
        <w:pStyle w:val="BodyText"/>
        <w:spacing w:before="11"/>
        <w:rPr>
          <w:rFonts w:ascii="Calibri"/>
          <w:sz w:val="10"/>
        </w:rPr>
      </w:pPr>
    </w:p>
    <w:p>
      <w:pPr>
        <w:spacing w:before="0"/>
        <w:ind w:left="1121" w:right="0" w:firstLine="0"/>
        <w:jc w:val="left"/>
        <w:rPr>
          <w:rFonts w:ascii="Calibri"/>
          <w:sz w:val="15"/>
        </w:rPr>
      </w:pPr>
      <w:r>
        <w:rPr>
          <w:rFonts w:ascii="Calibri"/>
          <w:color w:val="585858"/>
          <w:sz w:val="15"/>
        </w:rPr>
        <w:t>$4,000</w:t>
      </w:r>
    </w:p>
    <w:p>
      <w:pPr>
        <w:pStyle w:val="BodyText"/>
        <w:spacing w:before="11"/>
        <w:rPr>
          <w:rFonts w:ascii="Calibri"/>
          <w:sz w:val="10"/>
        </w:rPr>
      </w:pPr>
    </w:p>
    <w:p>
      <w:pPr>
        <w:spacing w:before="0"/>
        <w:ind w:left="1121" w:right="0" w:firstLine="0"/>
        <w:jc w:val="left"/>
        <w:rPr>
          <w:rFonts w:ascii="Calibri"/>
          <w:sz w:val="15"/>
        </w:rPr>
      </w:pPr>
      <w:r>
        <w:rPr>
          <w:rFonts w:ascii="Calibri"/>
          <w:color w:val="585858"/>
          <w:sz w:val="15"/>
        </w:rPr>
        <w:t>$2,000</w:t>
      </w:r>
    </w:p>
    <w:p>
      <w:pPr>
        <w:pStyle w:val="BodyText"/>
        <w:spacing w:before="11"/>
        <w:rPr>
          <w:rFonts w:ascii="Calibri"/>
          <w:sz w:val="10"/>
        </w:rPr>
      </w:pPr>
    </w:p>
    <w:p>
      <w:pPr>
        <w:spacing w:before="0"/>
        <w:ind w:left="1398" w:right="0" w:firstLine="0"/>
        <w:jc w:val="left"/>
        <w:rPr>
          <w:rFonts w:ascii="Calibri"/>
          <w:sz w:val="15"/>
        </w:rPr>
      </w:pPr>
      <w:r>
        <w:rPr>
          <w:rFonts w:ascii="Calibri"/>
          <w:color w:val="585858"/>
          <w:sz w:val="15"/>
        </w:rPr>
        <w:t>$0</w:t>
      </w:r>
    </w:p>
    <w:p>
      <w:pPr>
        <w:pStyle w:val="BodyText"/>
        <w:rPr>
          <w:rFonts w:ascii="Calibri"/>
        </w:rPr>
      </w:pPr>
    </w:p>
    <w:p>
      <w:pPr>
        <w:pStyle w:val="BodyText"/>
        <w:spacing w:before="10"/>
        <w:rPr>
          <w:rFonts w:ascii="Calibri"/>
          <w:sz w:val="18"/>
        </w:rPr>
      </w:pPr>
    </w:p>
    <w:p>
      <w:pPr>
        <w:spacing w:before="71"/>
        <w:ind w:left="1602" w:right="1653" w:firstLine="0"/>
        <w:jc w:val="center"/>
        <w:rPr>
          <w:rFonts w:ascii="Calibri"/>
          <w:b/>
          <w:sz w:val="15"/>
        </w:rPr>
      </w:pPr>
      <w:r>
        <w:rPr/>
        <w:drawing>
          <wp:anchor distT="0" distB="0" distL="0" distR="0" allowOverlap="1" layoutInCell="1" locked="0" behindDoc="1" simplePos="0" relativeHeight="215656448">
            <wp:simplePos x="0" y="0"/>
            <wp:positionH relativeFrom="page">
              <wp:posOffset>5387939</wp:posOffset>
            </wp:positionH>
            <wp:positionV relativeFrom="paragraph">
              <wp:posOffset>359918</wp:posOffset>
            </wp:positionV>
            <wp:extent cx="132578" cy="85725"/>
            <wp:effectExtent l="0" t="0" r="0" b="0"/>
            <wp:wrapNone/>
            <wp:docPr id="83" name="image64.png"/>
            <wp:cNvGraphicFramePr>
              <a:graphicFrameLocks noChangeAspect="1"/>
            </wp:cNvGraphicFramePr>
            <a:graphic>
              <a:graphicData uri="http://schemas.openxmlformats.org/drawingml/2006/picture">
                <pic:pic>
                  <pic:nvPicPr>
                    <pic:cNvPr id="84" name="image64.png"/>
                    <pic:cNvPicPr/>
                  </pic:nvPicPr>
                  <pic:blipFill>
                    <a:blip r:embed="rId86" cstate="print"/>
                    <a:stretch>
                      <a:fillRect/>
                    </a:stretch>
                  </pic:blipFill>
                  <pic:spPr>
                    <a:xfrm>
                      <a:off x="0" y="0"/>
                      <a:ext cx="132578" cy="85725"/>
                    </a:xfrm>
                    <a:prstGeom prst="rect">
                      <a:avLst/>
                    </a:prstGeom>
                  </pic:spPr>
                </pic:pic>
              </a:graphicData>
            </a:graphic>
          </wp:anchor>
        </w:drawing>
      </w:r>
      <w:r>
        <w:rPr/>
        <w:drawing>
          <wp:anchor distT="0" distB="0" distL="0" distR="0" allowOverlap="1" layoutInCell="1" locked="0" behindDoc="1" simplePos="0" relativeHeight="215657472">
            <wp:simplePos x="0" y="0"/>
            <wp:positionH relativeFrom="page">
              <wp:posOffset>1178259</wp:posOffset>
            </wp:positionH>
            <wp:positionV relativeFrom="paragraph">
              <wp:posOffset>359918</wp:posOffset>
            </wp:positionV>
            <wp:extent cx="128131" cy="280987"/>
            <wp:effectExtent l="0" t="0" r="0" b="0"/>
            <wp:wrapNone/>
            <wp:docPr id="85" name="image65.png"/>
            <wp:cNvGraphicFramePr>
              <a:graphicFrameLocks noChangeAspect="1"/>
            </wp:cNvGraphicFramePr>
            <a:graphic>
              <a:graphicData uri="http://schemas.openxmlformats.org/drawingml/2006/picture">
                <pic:pic>
                  <pic:nvPicPr>
                    <pic:cNvPr id="86" name="image65.png"/>
                    <pic:cNvPicPr/>
                  </pic:nvPicPr>
                  <pic:blipFill>
                    <a:blip r:embed="rId87" cstate="print"/>
                    <a:stretch>
                      <a:fillRect/>
                    </a:stretch>
                  </pic:blipFill>
                  <pic:spPr>
                    <a:xfrm>
                      <a:off x="0" y="0"/>
                      <a:ext cx="128131" cy="280987"/>
                    </a:xfrm>
                    <a:prstGeom prst="rect">
                      <a:avLst/>
                    </a:prstGeom>
                  </pic:spPr>
                </pic:pic>
              </a:graphicData>
            </a:graphic>
          </wp:anchor>
        </w:drawing>
      </w:r>
      <w:r>
        <w:rPr>
          <w:rFonts w:ascii="Calibri"/>
          <w:b/>
          <w:color w:val="585858"/>
          <w:sz w:val="15"/>
        </w:rPr>
        <w:t>Year Ending  30 June</w:t>
      </w:r>
    </w:p>
    <w:p>
      <w:pPr>
        <w:pStyle w:val="BodyText"/>
        <w:spacing w:before="5"/>
        <w:rPr>
          <w:rFonts w:ascii="Calibri"/>
          <w:b/>
          <w:sz w:val="11"/>
        </w:rPr>
      </w:pPr>
    </w:p>
    <w:tbl>
      <w:tblPr>
        <w:tblW w:w="0" w:type="auto"/>
        <w:jc w:val="left"/>
        <w:tblInd w:w="16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74"/>
        <w:gridCol w:w="215"/>
        <w:gridCol w:w="823"/>
        <w:gridCol w:w="89"/>
        <w:gridCol w:w="208"/>
        <w:gridCol w:w="945"/>
        <w:gridCol w:w="58"/>
        <w:gridCol w:w="208"/>
        <w:gridCol w:w="1183"/>
        <w:gridCol w:w="56"/>
        <w:gridCol w:w="209"/>
        <w:gridCol w:w="706"/>
        <w:gridCol w:w="72"/>
        <w:gridCol w:w="210"/>
        <w:gridCol w:w="729"/>
        <w:gridCol w:w="837"/>
      </w:tblGrid>
      <w:tr>
        <w:trPr>
          <w:trHeight w:val="160" w:hRule="atLeast"/>
        </w:trPr>
        <w:tc>
          <w:tcPr>
            <w:tcW w:w="1074" w:type="dxa"/>
          </w:tcPr>
          <w:p>
            <w:pPr>
              <w:pStyle w:val="TableParagraph"/>
              <w:spacing w:line="103" w:lineRule="exact" w:before="36"/>
              <w:ind w:left="33" w:right="44"/>
              <w:jc w:val="center"/>
              <w:rPr>
                <w:rFonts w:ascii="Calibri"/>
                <w:b/>
                <w:sz w:val="9"/>
              </w:rPr>
            </w:pPr>
            <w:r>
              <w:rPr>
                <w:rFonts w:ascii="Calibri"/>
                <w:b/>
                <w:w w:val="110"/>
                <w:sz w:val="9"/>
              </w:rPr>
              <w:t>Payment Category Key:</w:t>
            </w:r>
          </w:p>
        </w:tc>
        <w:tc>
          <w:tcPr>
            <w:tcW w:w="6548" w:type="dxa"/>
            <w:gridSpan w:val="15"/>
          </w:tcPr>
          <w:p>
            <w:pPr>
              <w:pStyle w:val="TableParagraph"/>
              <w:spacing w:before="0"/>
              <w:rPr>
                <w:rFonts w:ascii="Times New Roman"/>
                <w:sz w:val="10"/>
              </w:rPr>
            </w:pPr>
          </w:p>
        </w:tc>
      </w:tr>
      <w:tr>
        <w:trPr>
          <w:trHeight w:val="167" w:hRule="atLeast"/>
        </w:trPr>
        <w:tc>
          <w:tcPr>
            <w:tcW w:w="1074" w:type="dxa"/>
          </w:tcPr>
          <w:p>
            <w:pPr>
              <w:pStyle w:val="TableParagraph"/>
              <w:spacing w:before="31"/>
              <w:ind w:left="33" w:right="2"/>
              <w:jc w:val="center"/>
              <w:rPr>
                <w:rFonts w:ascii="Calibri"/>
                <w:sz w:val="9"/>
              </w:rPr>
            </w:pPr>
            <w:r>
              <w:rPr>
                <w:rFonts w:ascii="Calibri"/>
                <w:w w:val="110"/>
                <w:sz w:val="9"/>
              </w:rPr>
              <w:t>A - IS Studying</w:t>
            </w:r>
          </w:p>
        </w:tc>
        <w:tc>
          <w:tcPr>
            <w:tcW w:w="215" w:type="dxa"/>
            <w:shd w:val="clear" w:color="auto" w:fill="009544"/>
          </w:tcPr>
          <w:p>
            <w:pPr>
              <w:pStyle w:val="TableParagraph"/>
              <w:spacing w:line="135" w:lineRule="exact" w:before="0"/>
              <w:ind w:right="-44"/>
              <w:rPr>
                <w:rFonts w:ascii="Calibri"/>
                <w:sz w:val="13"/>
              </w:rPr>
            </w:pPr>
            <w:r>
              <w:rPr>
                <w:rFonts w:ascii="Calibri"/>
                <w:position w:val="-2"/>
                <w:sz w:val="13"/>
              </w:rPr>
              <w:drawing>
                <wp:inline distT="0" distB="0" distL="0" distR="0">
                  <wp:extent cx="132578" cy="85725"/>
                  <wp:effectExtent l="0" t="0" r="0" b="0"/>
                  <wp:docPr id="87" name="image66.png"/>
                  <wp:cNvGraphicFramePr>
                    <a:graphicFrameLocks noChangeAspect="1"/>
                  </wp:cNvGraphicFramePr>
                  <a:graphic>
                    <a:graphicData uri="http://schemas.openxmlformats.org/drawingml/2006/picture">
                      <pic:pic>
                        <pic:nvPicPr>
                          <pic:cNvPr id="88" name="image66.png"/>
                          <pic:cNvPicPr/>
                        </pic:nvPicPr>
                        <pic:blipFill>
                          <a:blip r:embed="rId88" cstate="print"/>
                          <a:stretch>
                            <a:fillRect/>
                          </a:stretch>
                        </pic:blipFill>
                        <pic:spPr>
                          <a:xfrm>
                            <a:off x="0" y="0"/>
                            <a:ext cx="132578" cy="85725"/>
                          </a:xfrm>
                          <a:prstGeom prst="rect">
                            <a:avLst/>
                          </a:prstGeom>
                        </pic:spPr>
                      </pic:pic>
                    </a:graphicData>
                  </a:graphic>
                </wp:inline>
              </w:drawing>
            </w:r>
            <w:r>
              <w:rPr>
                <w:rFonts w:ascii="Calibri"/>
                <w:position w:val="-2"/>
                <w:sz w:val="13"/>
              </w:rPr>
            </w:r>
          </w:p>
        </w:tc>
        <w:tc>
          <w:tcPr>
            <w:tcW w:w="823" w:type="dxa"/>
          </w:tcPr>
          <w:p>
            <w:pPr>
              <w:pStyle w:val="TableParagraph"/>
              <w:spacing w:before="31"/>
              <w:ind w:left="7"/>
              <w:rPr>
                <w:rFonts w:ascii="Calibri"/>
                <w:sz w:val="9"/>
              </w:rPr>
            </w:pPr>
            <w:r>
              <w:rPr>
                <w:rFonts w:ascii="Calibri"/>
                <w:w w:val="110"/>
                <w:sz w:val="9"/>
              </w:rPr>
              <w:t>B - IS Working Age</w:t>
            </w:r>
          </w:p>
        </w:tc>
        <w:tc>
          <w:tcPr>
            <w:tcW w:w="89" w:type="dxa"/>
          </w:tcPr>
          <w:p>
            <w:pPr>
              <w:pStyle w:val="TableParagraph"/>
              <w:spacing w:before="0"/>
              <w:rPr>
                <w:rFonts w:ascii="Times New Roman"/>
                <w:sz w:val="10"/>
              </w:rPr>
            </w:pPr>
          </w:p>
        </w:tc>
        <w:tc>
          <w:tcPr>
            <w:tcW w:w="208" w:type="dxa"/>
            <w:shd w:val="clear" w:color="auto" w:fill="E16B09"/>
          </w:tcPr>
          <w:p>
            <w:pPr>
              <w:pStyle w:val="TableParagraph"/>
              <w:spacing w:line="135" w:lineRule="exact" w:before="0"/>
              <w:ind w:left="2" w:right="-44"/>
              <w:rPr>
                <w:rFonts w:ascii="Calibri"/>
                <w:sz w:val="13"/>
              </w:rPr>
            </w:pPr>
            <w:r>
              <w:rPr>
                <w:rFonts w:ascii="Calibri"/>
                <w:position w:val="-2"/>
                <w:sz w:val="13"/>
              </w:rPr>
              <w:drawing>
                <wp:inline distT="0" distB="0" distL="0" distR="0">
                  <wp:extent cx="132582" cy="85725"/>
                  <wp:effectExtent l="0" t="0" r="0" b="0"/>
                  <wp:docPr id="89" name="image67.png"/>
                  <wp:cNvGraphicFramePr>
                    <a:graphicFrameLocks noChangeAspect="1"/>
                  </wp:cNvGraphicFramePr>
                  <a:graphic>
                    <a:graphicData uri="http://schemas.openxmlformats.org/drawingml/2006/picture">
                      <pic:pic>
                        <pic:nvPicPr>
                          <pic:cNvPr id="90" name="image67.png"/>
                          <pic:cNvPicPr/>
                        </pic:nvPicPr>
                        <pic:blipFill>
                          <a:blip r:embed="rId89" cstate="print"/>
                          <a:stretch>
                            <a:fillRect/>
                          </a:stretch>
                        </pic:blipFill>
                        <pic:spPr>
                          <a:xfrm>
                            <a:off x="0" y="0"/>
                            <a:ext cx="132582" cy="85725"/>
                          </a:xfrm>
                          <a:prstGeom prst="rect">
                            <a:avLst/>
                          </a:prstGeom>
                        </pic:spPr>
                      </pic:pic>
                    </a:graphicData>
                  </a:graphic>
                </wp:inline>
              </w:drawing>
            </w:r>
            <w:r>
              <w:rPr>
                <w:rFonts w:ascii="Calibri"/>
                <w:position w:val="-2"/>
                <w:sz w:val="13"/>
              </w:rPr>
            </w:r>
          </w:p>
        </w:tc>
        <w:tc>
          <w:tcPr>
            <w:tcW w:w="945" w:type="dxa"/>
          </w:tcPr>
          <w:p>
            <w:pPr>
              <w:pStyle w:val="TableParagraph"/>
              <w:spacing w:before="31"/>
              <w:ind w:left="16"/>
              <w:rPr>
                <w:rFonts w:ascii="Calibri"/>
                <w:sz w:val="9"/>
              </w:rPr>
            </w:pPr>
            <w:r>
              <w:rPr>
                <w:rFonts w:ascii="Calibri"/>
                <w:w w:val="110"/>
                <w:sz w:val="9"/>
              </w:rPr>
              <w:t>C - IS Parents</w:t>
            </w:r>
          </w:p>
        </w:tc>
        <w:tc>
          <w:tcPr>
            <w:tcW w:w="58" w:type="dxa"/>
          </w:tcPr>
          <w:p>
            <w:pPr>
              <w:pStyle w:val="TableParagraph"/>
              <w:spacing w:before="0"/>
              <w:rPr>
                <w:rFonts w:ascii="Times New Roman"/>
                <w:sz w:val="10"/>
              </w:rPr>
            </w:pPr>
          </w:p>
        </w:tc>
        <w:tc>
          <w:tcPr>
            <w:tcW w:w="208" w:type="dxa"/>
            <w:shd w:val="clear" w:color="auto" w:fill="E08AD6"/>
          </w:tcPr>
          <w:p>
            <w:pPr>
              <w:pStyle w:val="TableParagraph"/>
              <w:spacing w:line="135" w:lineRule="exact" w:before="0"/>
              <w:ind w:left="4" w:right="-58"/>
              <w:rPr>
                <w:rFonts w:ascii="Calibri"/>
                <w:sz w:val="13"/>
              </w:rPr>
            </w:pPr>
            <w:r>
              <w:rPr>
                <w:rFonts w:ascii="Calibri"/>
                <w:position w:val="-2"/>
                <w:sz w:val="13"/>
              </w:rPr>
              <w:drawing>
                <wp:inline distT="0" distB="0" distL="0" distR="0">
                  <wp:extent cx="132582" cy="85725"/>
                  <wp:effectExtent l="0" t="0" r="0" b="0"/>
                  <wp:docPr id="91" name="image68.png"/>
                  <wp:cNvGraphicFramePr>
                    <a:graphicFrameLocks noChangeAspect="1"/>
                  </wp:cNvGraphicFramePr>
                  <a:graphic>
                    <a:graphicData uri="http://schemas.openxmlformats.org/drawingml/2006/picture">
                      <pic:pic>
                        <pic:nvPicPr>
                          <pic:cNvPr id="92" name="image68.png"/>
                          <pic:cNvPicPr/>
                        </pic:nvPicPr>
                        <pic:blipFill>
                          <a:blip r:embed="rId90" cstate="print"/>
                          <a:stretch>
                            <a:fillRect/>
                          </a:stretch>
                        </pic:blipFill>
                        <pic:spPr>
                          <a:xfrm>
                            <a:off x="0" y="0"/>
                            <a:ext cx="132582" cy="85725"/>
                          </a:xfrm>
                          <a:prstGeom prst="rect">
                            <a:avLst/>
                          </a:prstGeom>
                        </pic:spPr>
                      </pic:pic>
                    </a:graphicData>
                  </a:graphic>
                </wp:inline>
              </w:drawing>
            </w:r>
            <w:r>
              <w:rPr>
                <w:rFonts w:ascii="Calibri"/>
                <w:position w:val="-2"/>
                <w:sz w:val="13"/>
              </w:rPr>
            </w:r>
          </w:p>
        </w:tc>
        <w:tc>
          <w:tcPr>
            <w:tcW w:w="1183" w:type="dxa"/>
          </w:tcPr>
          <w:p>
            <w:pPr>
              <w:pStyle w:val="TableParagraph"/>
              <w:spacing w:before="31"/>
              <w:ind w:left="18"/>
              <w:rPr>
                <w:rFonts w:ascii="Calibri"/>
                <w:sz w:val="9"/>
              </w:rPr>
            </w:pPr>
            <w:r>
              <w:rPr>
                <w:rFonts w:ascii="Calibri"/>
                <w:w w:val="110"/>
                <w:sz w:val="9"/>
              </w:rPr>
              <w:t>D - IS Carer</w:t>
            </w:r>
          </w:p>
        </w:tc>
        <w:tc>
          <w:tcPr>
            <w:tcW w:w="56" w:type="dxa"/>
          </w:tcPr>
          <w:p>
            <w:pPr>
              <w:pStyle w:val="TableParagraph"/>
              <w:spacing w:before="0"/>
              <w:rPr>
                <w:rFonts w:ascii="Times New Roman"/>
                <w:sz w:val="10"/>
              </w:rPr>
            </w:pPr>
          </w:p>
        </w:tc>
        <w:tc>
          <w:tcPr>
            <w:tcW w:w="209" w:type="dxa"/>
            <w:shd w:val="clear" w:color="auto" w:fill="8063A1"/>
          </w:tcPr>
          <w:p>
            <w:pPr>
              <w:pStyle w:val="TableParagraph"/>
              <w:spacing w:line="135" w:lineRule="exact" w:before="0"/>
              <w:ind w:left="6" w:right="-58"/>
              <w:rPr>
                <w:rFonts w:ascii="Calibri"/>
                <w:sz w:val="13"/>
              </w:rPr>
            </w:pPr>
            <w:r>
              <w:rPr>
                <w:rFonts w:ascii="Calibri"/>
                <w:position w:val="-2"/>
                <w:sz w:val="13"/>
              </w:rPr>
              <w:drawing>
                <wp:inline distT="0" distB="0" distL="0" distR="0">
                  <wp:extent cx="132582" cy="85725"/>
                  <wp:effectExtent l="0" t="0" r="0" b="0"/>
                  <wp:docPr id="93" name="image69.png"/>
                  <wp:cNvGraphicFramePr>
                    <a:graphicFrameLocks noChangeAspect="1"/>
                  </wp:cNvGraphicFramePr>
                  <a:graphic>
                    <a:graphicData uri="http://schemas.openxmlformats.org/drawingml/2006/picture">
                      <pic:pic>
                        <pic:nvPicPr>
                          <pic:cNvPr id="94" name="image69.png"/>
                          <pic:cNvPicPr/>
                        </pic:nvPicPr>
                        <pic:blipFill>
                          <a:blip r:embed="rId91" cstate="print"/>
                          <a:stretch>
                            <a:fillRect/>
                          </a:stretch>
                        </pic:blipFill>
                        <pic:spPr>
                          <a:xfrm>
                            <a:off x="0" y="0"/>
                            <a:ext cx="132582" cy="85725"/>
                          </a:xfrm>
                          <a:prstGeom prst="rect">
                            <a:avLst/>
                          </a:prstGeom>
                        </pic:spPr>
                      </pic:pic>
                    </a:graphicData>
                  </a:graphic>
                </wp:inline>
              </w:drawing>
            </w:r>
            <w:r>
              <w:rPr>
                <w:rFonts w:ascii="Calibri"/>
                <w:position w:val="-2"/>
                <w:sz w:val="13"/>
              </w:rPr>
            </w:r>
          </w:p>
        </w:tc>
        <w:tc>
          <w:tcPr>
            <w:tcW w:w="706" w:type="dxa"/>
          </w:tcPr>
          <w:p>
            <w:pPr>
              <w:pStyle w:val="TableParagraph"/>
              <w:spacing w:before="31"/>
              <w:ind w:left="19"/>
              <w:rPr>
                <w:rFonts w:ascii="Calibri"/>
                <w:sz w:val="9"/>
              </w:rPr>
            </w:pPr>
            <w:r>
              <w:rPr>
                <w:rFonts w:ascii="Calibri"/>
                <w:w w:val="110"/>
                <w:sz w:val="9"/>
              </w:rPr>
              <w:t>E - IS Disability</w:t>
            </w:r>
          </w:p>
        </w:tc>
        <w:tc>
          <w:tcPr>
            <w:tcW w:w="72" w:type="dxa"/>
          </w:tcPr>
          <w:p>
            <w:pPr>
              <w:pStyle w:val="TableParagraph"/>
              <w:spacing w:before="0"/>
              <w:rPr>
                <w:rFonts w:ascii="Times New Roman"/>
                <w:sz w:val="10"/>
              </w:rPr>
            </w:pPr>
          </w:p>
        </w:tc>
        <w:tc>
          <w:tcPr>
            <w:tcW w:w="210" w:type="dxa"/>
            <w:shd w:val="clear" w:color="auto" w:fill="C0504D"/>
          </w:tcPr>
          <w:p>
            <w:pPr>
              <w:pStyle w:val="TableParagraph"/>
              <w:spacing w:line="135" w:lineRule="exact" w:before="0"/>
              <w:ind w:left="4" w:right="-58"/>
              <w:rPr>
                <w:rFonts w:ascii="Calibri"/>
                <w:sz w:val="13"/>
              </w:rPr>
            </w:pPr>
            <w:r>
              <w:rPr>
                <w:rFonts w:ascii="Calibri"/>
                <w:position w:val="-2"/>
                <w:sz w:val="13"/>
              </w:rPr>
              <w:drawing>
                <wp:inline distT="0" distB="0" distL="0" distR="0">
                  <wp:extent cx="132582" cy="85725"/>
                  <wp:effectExtent l="0" t="0" r="0" b="0"/>
                  <wp:docPr id="95" name="image70.png"/>
                  <wp:cNvGraphicFramePr>
                    <a:graphicFrameLocks noChangeAspect="1"/>
                  </wp:cNvGraphicFramePr>
                  <a:graphic>
                    <a:graphicData uri="http://schemas.openxmlformats.org/drawingml/2006/picture">
                      <pic:pic>
                        <pic:nvPicPr>
                          <pic:cNvPr id="96" name="image70.png"/>
                          <pic:cNvPicPr/>
                        </pic:nvPicPr>
                        <pic:blipFill>
                          <a:blip r:embed="rId92" cstate="print"/>
                          <a:stretch>
                            <a:fillRect/>
                          </a:stretch>
                        </pic:blipFill>
                        <pic:spPr>
                          <a:xfrm>
                            <a:off x="0" y="0"/>
                            <a:ext cx="132582" cy="85725"/>
                          </a:xfrm>
                          <a:prstGeom prst="rect">
                            <a:avLst/>
                          </a:prstGeom>
                        </pic:spPr>
                      </pic:pic>
                    </a:graphicData>
                  </a:graphic>
                </wp:inline>
              </w:drawing>
            </w:r>
            <w:r>
              <w:rPr>
                <w:rFonts w:ascii="Calibri"/>
                <w:position w:val="-2"/>
                <w:sz w:val="13"/>
              </w:rPr>
            </w:r>
          </w:p>
        </w:tc>
        <w:tc>
          <w:tcPr>
            <w:tcW w:w="729" w:type="dxa"/>
          </w:tcPr>
          <w:p>
            <w:pPr>
              <w:pStyle w:val="TableParagraph"/>
              <w:spacing w:before="31"/>
              <w:ind w:left="16"/>
              <w:rPr>
                <w:rFonts w:ascii="Calibri"/>
                <w:sz w:val="9"/>
              </w:rPr>
            </w:pPr>
            <w:r>
              <w:rPr>
                <w:rFonts w:ascii="Calibri"/>
                <w:w w:val="110"/>
                <w:sz w:val="9"/>
              </w:rPr>
              <w:t>F - IS Age</w:t>
            </w:r>
          </w:p>
        </w:tc>
        <w:tc>
          <w:tcPr>
            <w:tcW w:w="837" w:type="dxa"/>
          </w:tcPr>
          <w:p>
            <w:pPr>
              <w:pStyle w:val="TableParagraph"/>
              <w:spacing w:before="31"/>
              <w:ind w:left="116"/>
              <w:rPr>
                <w:rFonts w:ascii="Calibri"/>
                <w:sz w:val="9"/>
              </w:rPr>
            </w:pPr>
            <w:r>
              <w:rPr>
                <w:rFonts w:ascii="Calibri"/>
                <w:w w:val="110"/>
                <w:sz w:val="9"/>
              </w:rPr>
              <w:t>G - IS Dependant</w:t>
            </w:r>
          </w:p>
        </w:tc>
      </w:tr>
      <w:tr>
        <w:trPr>
          <w:trHeight w:val="135" w:hRule="atLeast"/>
        </w:trPr>
        <w:tc>
          <w:tcPr>
            <w:tcW w:w="1074" w:type="dxa"/>
          </w:tcPr>
          <w:p>
            <w:pPr>
              <w:pStyle w:val="TableParagraph"/>
              <w:spacing w:line="98" w:lineRule="exact" w:before="17"/>
              <w:ind w:left="33" w:right="44"/>
              <w:jc w:val="center"/>
              <w:rPr>
                <w:rFonts w:ascii="Calibri"/>
                <w:sz w:val="9"/>
              </w:rPr>
            </w:pPr>
            <w:r>
              <w:rPr>
                <w:rFonts w:ascii="Calibri"/>
                <w:w w:val="110"/>
                <w:sz w:val="9"/>
              </w:rPr>
              <w:t>H - Other FTB</w:t>
            </w:r>
          </w:p>
        </w:tc>
        <w:tc>
          <w:tcPr>
            <w:tcW w:w="215" w:type="dxa"/>
            <w:shd w:val="clear" w:color="auto" w:fill="F9C090"/>
          </w:tcPr>
          <w:p>
            <w:pPr>
              <w:pStyle w:val="TableParagraph"/>
              <w:spacing w:before="0"/>
              <w:rPr>
                <w:rFonts w:ascii="Times New Roman"/>
                <w:sz w:val="8"/>
              </w:rPr>
            </w:pPr>
          </w:p>
        </w:tc>
        <w:tc>
          <w:tcPr>
            <w:tcW w:w="823" w:type="dxa"/>
          </w:tcPr>
          <w:p>
            <w:pPr>
              <w:pStyle w:val="TableParagraph"/>
              <w:spacing w:line="98" w:lineRule="exact" w:before="17"/>
              <w:ind w:left="7"/>
              <w:rPr>
                <w:rFonts w:ascii="Calibri"/>
                <w:sz w:val="9"/>
              </w:rPr>
            </w:pPr>
            <w:r>
              <w:rPr>
                <w:rFonts w:ascii="Calibri"/>
                <w:w w:val="110"/>
                <w:sz w:val="9"/>
              </w:rPr>
              <w:t>I - Other Family</w:t>
            </w:r>
          </w:p>
        </w:tc>
        <w:tc>
          <w:tcPr>
            <w:tcW w:w="89" w:type="dxa"/>
            <w:shd w:val="clear" w:color="auto" w:fill="FBDDC4"/>
          </w:tcPr>
          <w:p>
            <w:pPr>
              <w:pStyle w:val="TableParagraph"/>
              <w:spacing w:before="0"/>
              <w:rPr>
                <w:rFonts w:ascii="Times New Roman"/>
                <w:sz w:val="8"/>
              </w:rPr>
            </w:pPr>
          </w:p>
        </w:tc>
        <w:tc>
          <w:tcPr>
            <w:tcW w:w="208" w:type="dxa"/>
            <w:shd w:val="clear" w:color="auto" w:fill="FBDDC4"/>
          </w:tcPr>
          <w:p>
            <w:pPr>
              <w:pStyle w:val="TableParagraph"/>
              <w:spacing w:before="0"/>
              <w:rPr>
                <w:rFonts w:ascii="Times New Roman"/>
                <w:sz w:val="8"/>
              </w:rPr>
            </w:pPr>
          </w:p>
        </w:tc>
        <w:tc>
          <w:tcPr>
            <w:tcW w:w="945" w:type="dxa"/>
          </w:tcPr>
          <w:p>
            <w:pPr>
              <w:pStyle w:val="TableParagraph"/>
              <w:spacing w:line="98" w:lineRule="exact" w:before="17"/>
              <w:ind w:left="16"/>
              <w:rPr>
                <w:rFonts w:ascii="Calibri"/>
                <w:sz w:val="9"/>
              </w:rPr>
            </w:pPr>
            <w:r>
              <w:rPr>
                <w:rFonts w:ascii="Calibri"/>
                <w:w w:val="110"/>
                <w:sz w:val="9"/>
              </w:rPr>
              <w:t>J - Other New Parents</w:t>
            </w:r>
          </w:p>
        </w:tc>
        <w:tc>
          <w:tcPr>
            <w:tcW w:w="58" w:type="dxa"/>
            <w:shd w:val="clear" w:color="auto" w:fill="938953"/>
          </w:tcPr>
          <w:p>
            <w:pPr>
              <w:pStyle w:val="TableParagraph"/>
              <w:spacing w:before="0"/>
              <w:rPr>
                <w:rFonts w:ascii="Times New Roman"/>
                <w:sz w:val="8"/>
              </w:rPr>
            </w:pPr>
          </w:p>
        </w:tc>
        <w:tc>
          <w:tcPr>
            <w:tcW w:w="208" w:type="dxa"/>
            <w:shd w:val="clear" w:color="auto" w:fill="938953"/>
          </w:tcPr>
          <w:p>
            <w:pPr>
              <w:pStyle w:val="TableParagraph"/>
              <w:spacing w:before="0"/>
              <w:rPr>
                <w:rFonts w:ascii="Times New Roman"/>
                <w:sz w:val="8"/>
              </w:rPr>
            </w:pPr>
          </w:p>
        </w:tc>
        <w:tc>
          <w:tcPr>
            <w:tcW w:w="1183" w:type="dxa"/>
          </w:tcPr>
          <w:p>
            <w:pPr>
              <w:pStyle w:val="TableParagraph"/>
              <w:spacing w:line="98" w:lineRule="exact" w:before="17"/>
              <w:ind w:left="18"/>
              <w:rPr>
                <w:rFonts w:ascii="Calibri"/>
                <w:sz w:val="9"/>
              </w:rPr>
            </w:pPr>
            <w:r>
              <w:rPr>
                <w:rFonts w:ascii="Calibri"/>
                <w:w w:val="110"/>
                <w:sz w:val="9"/>
              </w:rPr>
              <w:t>L - Other Health &amp; Disability</w:t>
            </w:r>
          </w:p>
        </w:tc>
        <w:tc>
          <w:tcPr>
            <w:tcW w:w="56" w:type="dxa"/>
            <w:shd w:val="clear" w:color="auto" w:fill="ECB8E7"/>
          </w:tcPr>
          <w:p>
            <w:pPr>
              <w:pStyle w:val="TableParagraph"/>
              <w:spacing w:before="0"/>
              <w:rPr>
                <w:rFonts w:ascii="Times New Roman"/>
                <w:sz w:val="8"/>
              </w:rPr>
            </w:pPr>
          </w:p>
        </w:tc>
        <w:tc>
          <w:tcPr>
            <w:tcW w:w="209" w:type="dxa"/>
            <w:shd w:val="clear" w:color="auto" w:fill="ECB8E7"/>
          </w:tcPr>
          <w:p>
            <w:pPr>
              <w:pStyle w:val="TableParagraph"/>
              <w:spacing w:before="0"/>
              <w:rPr>
                <w:rFonts w:ascii="Times New Roman"/>
                <w:sz w:val="8"/>
              </w:rPr>
            </w:pPr>
          </w:p>
        </w:tc>
        <w:tc>
          <w:tcPr>
            <w:tcW w:w="706" w:type="dxa"/>
          </w:tcPr>
          <w:p>
            <w:pPr>
              <w:pStyle w:val="TableParagraph"/>
              <w:spacing w:line="98" w:lineRule="exact" w:before="17"/>
              <w:ind w:left="19"/>
              <w:rPr>
                <w:rFonts w:ascii="Calibri"/>
                <w:sz w:val="9"/>
              </w:rPr>
            </w:pPr>
            <w:r>
              <w:rPr>
                <w:rFonts w:ascii="Calibri"/>
                <w:w w:val="110"/>
                <w:sz w:val="9"/>
              </w:rPr>
              <w:t>M - Other Carer</w:t>
            </w:r>
          </w:p>
        </w:tc>
        <w:tc>
          <w:tcPr>
            <w:tcW w:w="72" w:type="dxa"/>
            <w:shd w:val="clear" w:color="auto" w:fill="C4BC96"/>
          </w:tcPr>
          <w:p>
            <w:pPr>
              <w:pStyle w:val="TableParagraph"/>
              <w:spacing w:before="0"/>
              <w:rPr>
                <w:rFonts w:ascii="Times New Roman"/>
                <w:sz w:val="8"/>
              </w:rPr>
            </w:pPr>
          </w:p>
        </w:tc>
        <w:tc>
          <w:tcPr>
            <w:tcW w:w="210" w:type="dxa"/>
            <w:shd w:val="clear" w:color="auto" w:fill="C4BC96"/>
          </w:tcPr>
          <w:p>
            <w:pPr>
              <w:pStyle w:val="TableParagraph"/>
              <w:spacing w:before="0"/>
              <w:rPr>
                <w:rFonts w:ascii="Times New Roman"/>
                <w:sz w:val="8"/>
              </w:rPr>
            </w:pPr>
          </w:p>
        </w:tc>
        <w:tc>
          <w:tcPr>
            <w:tcW w:w="729" w:type="dxa"/>
          </w:tcPr>
          <w:p>
            <w:pPr>
              <w:pStyle w:val="TableParagraph"/>
              <w:spacing w:line="98" w:lineRule="exact" w:before="17"/>
              <w:ind w:left="16"/>
              <w:rPr>
                <w:rFonts w:ascii="Calibri"/>
                <w:sz w:val="9"/>
              </w:rPr>
            </w:pPr>
            <w:r>
              <w:rPr>
                <w:rFonts w:ascii="Calibri"/>
                <w:w w:val="110"/>
                <w:sz w:val="9"/>
              </w:rPr>
              <w:t>N - Other Study</w:t>
            </w:r>
            <w:r>
              <w:rPr>
                <w:rFonts w:ascii="Calibri"/>
                <w:spacing w:val="-15"/>
                <w:w w:val="110"/>
                <w:sz w:val="9"/>
              </w:rPr>
              <w:t> </w:t>
            </w:r>
            <w:r>
              <w:rPr>
                <w:rFonts w:ascii="Calibri"/>
                <w:w w:val="110"/>
                <w:sz w:val="9"/>
              </w:rPr>
              <w:t>&amp;</w:t>
            </w:r>
          </w:p>
        </w:tc>
        <w:tc>
          <w:tcPr>
            <w:tcW w:w="837" w:type="dxa"/>
          </w:tcPr>
          <w:p>
            <w:pPr>
              <w:pStyle w:val="TableParagraph"/>
              <w:spacing w:line="98" w:lineRule="exact" w:before="17"/>
              <w:ind w:left="11"/>
              <w:rPr>
                <w:rFonts w:ascii="Calibri"/>
                <w:sz w:val="9"/>
              </w:rPr>
            </w:pPr>
            <w:r>
              <w:rPr>
                <w:rFonts w:ascii="Calibri"/>
                <w:w w:val="110"/>
                <w:sz w:val="9"/>
              </w:rPr>
              <w:t>Skills</w:t>
            </w:r>
          </w:p>
        </w:tc>
      </w:tr>
      <w:tr>
        <w:trPr>
          <w:trHeight w:val="324" w:hRule="atLeast"/>
        </w:trPr>
        <w:tc>
          <w:tcPr>
            <w:tcW w:w="1074" w:type="dxa"/>
          </w:tcPr>
          <w:p>
            <w:pPr>
              <w:pStyle w:val="TableParagraph"/>
              <w:spacing w:line="280" w:lineRule="auto" w:before="36"/>
              <w:ind w:left="265" w:right="-16"/>
              <w:rPr>
                <w:rFonts w:ascii="Calibri"/>
                <w:sz w:val="9"/>
              </w:rPr>
            </w:pPr>
            <w:r>
              <w:rPr>
                <w:rFonts w:ascii="Calibri"/>
                <w:w w:val="110"/>
                <w:sz w:val="9"/>
              </w:rPr>
              <w:t>O - Other Remote &amp; Regional</w:t>
            </w:r>
          </w:p>
        </w:tc>
        <w:tc>
          <w:tcPr>
            <w:tcW w:w="215" w:type="dxa"/>
          </w:tcPr>
          <w:p>
            <w:pPr>
              <w:pStyle w:val="TableParagraph"/>
              <w:spacing w:line="135" w:lineRule="exact" w:before="0"/>
              <w:ind w:right="-44"/>
              <w:rPr>
                <w:rFonts w:ascii="Calibri"/>
                <w:sz w:val="13"/>
              </w:rPr>
            </w:pPr>
            <w:r>
              <w:rPr>
                <w:rFonts w:ascii="Calibri"/>
                <w:position w:val="-2"/>
                <w:sz w:val="13"/>
              </w:rPr>
              <w:drawing>
                <wp:inline distT="0" distB="0" distL="0" distR="0">
                  <wp:extent cx="132578" cy="85725"/>
                  <wp:effectExtent l="0" t="0" r="0" b="0"/>
                  <wp:docPr id="97" name="image71.png"/>
                  <wp:cNvGraphicFramePr>
                    <a:graphicFrameLocks noChangeAspect="1"/>
                  </wp:cNvGraphicFramePr>
                  <a:graphic>
                    <a:graphicData uri="http://schemas.openxmlformats.org/drawingml/2006/picture">
                      <pic:pic>
                        <pic:nvPicPr>
                          <pic:cNvPr id="98" name="image71.png"/>
                          <pic:cNvPicPr/>
                        </pic:nvPicPr>
                        <pic:blipFill>
                          <a:blip r:embed="rId93" cstate="print"/>
                          <a:stretch>
                            <a:fillRect/>
                          </a:stretch>
                        </pic:blipFill>
                        <pic:spPr>
                          <a:xfrm>
                            <a:off x="0" y="0"/>
                            <a:ext cx="132578" cy="85725"/>
                          </a:xfrm>
                          <a:prstGeom prst="rect">
                            <a:avLst/>
                          </a:prstGeom>
                        </pic:spPr>
                      </pic:pic>
                    </a:graphicData>
                  </a:graphic>
                </wp:inline>
              </w:drawing>
            </w:r>
            <w:r>
              <w:rPr>
                <w:rFonts w:ascii="Calibri"/>
                <w:position w:val="-2"/>
                <w:sz w:val="13"/>
              </w:rPr>
            </w:r>
          </w:p>
        </w:tc>
        <w:tc>
          <w:tcPr>
            <w:tcW w:w="823" w:type="dxa"/>
          </w:tcPr>
          <w:p>
            <w:pPr>
              <w:pStyle w:val="TableParagraph"/>
              <w:spacing w:line="280" w:lineRule="auto" w:before="36"/>
              <w:ind w:left="7"/>
              <w:rPr>
                <w:rFonts w:ascii="Calibri"/>
                <w:sz w:val="9"/>
              </w:rPr>
            </w:pPr>
            <w:r>
              <w:rPr>
                <w:rFonts w:ascii="Calibri"/>
                <w:w w:val="110"/>
                <w:sz w:val="9"/>
              </w:rPr>
              <w:t>P - Other General Allowances</w:t>
            </w:r>
          </w:p>
        </w:tc>
        <w:tc>
          <w:tcPr>
            <w:tcW w:w="89" w:type="dxa"/>
          </w:tcPr>
          <w:p>
            <w:pPr>
              <w:pStyle w:val="TableParagraph"/>
              <w:spacing w:before="0"/>
              <w:rPr>
                <w:rFonts w:ascii="Times New Roman"/>
                <w:sz w:val="16"/>
              </w:rPr>
            </w:pPr>
          </w:p>
        </w:tc>
        <w:tc>
          <w:tcPr>
            <w:tcW w:w="208" w:type="dxa"/>
          </w:tcPr>
          <w:p>
            <w:pPr>
              <w:pStyle w:val="TableParagraph"/>
              <w:spacing w:line="135" w:lineRule="exact" w:before="0"/>
              <w:ind w:left="2" w:right="-44"/>
              <w:rPr>
                <w:rFonts w:ascii="Calibri"/>
                <w:sz w:val="13"/>
              </w:rPr>
            </w:pPr>
            <w:r>
              <w:rPr>
                <w:rFonts w:ascii="Calibri"/>
                <w:position w:val="-2"/>
                <w:sz w:val="13"/>
              </w:rPr>
              <w:drawing>
                <wp:inline distT="0" distB="0" distL="0" distR="0">
                  <wp:extent cx="132582" cy="85725"/>
                  <wp:effectExtent l="0" t="0" r="0" b="0"/>
                  <wp:docPr id="99" name="image72.png"/>
                  <wp:cNvGraphicFramePr>
                    <a:graphicFrameLocks noChangeAspect="1"/>
                  </wp:cNvGraphicFramePr>
                  <a:graphic>
                    <a:graphicData uri="http://schemas.openxmlformats.org/drawingml/2006/picture">
                      <pic:pic>
                        <pic:nvPicPr>
                          <pic:cNvPr id="100" name="image72.png"/>
                          <pic:cNvPicPr/>
                        </pic:nvPicPr>
                        <pic:blipFill>
                          <a:blip r:embed="rId94" cstate="print"/>
                          <a:stretch>
                            <a:fillRect/>
                          </a:stretch>
                        </pic:blipFill>
                        <pic:spPr>
                          <a:xfrm>
                            <a:off x="0" y="0"/>
                            <a:ext cx="132582" cy="85725"/>
                          </a:xfrm>
                          <a:prstGeom prst="rect">
                            <a:avLst/>
                          </a:prstGeom>
                        </pic:spPr>
                      </pic:pic>
                    </a:graphicData>
                  </a:graphic>
                </wp:inline>
              </w:drawing>
            </w:r>
            <w:r>
              <w:rPr>
                <w:rFonts w:ascii="Calibri"/>
                <w:position w:val="-2"/>
                <w:sz w:val="13"/>
              </w:rPr>
            </w:r>
          </w:p>
        </w:tc>
        <w:tc>
          <w:tcPr>
            <w:tcW w:w="945" w:type="dxa"/>
          </w:tcPr>
          <w:p>
            <w:pPr>
              <w:pStyle w:val="TableParagraph"/>
              <w:spacing w:before="36"/>
              <w:ind w:left="16"/>
              <w:rPr>
                <w:rFonts w:ascii="Calibri"/>
                <w:sz w:val="9"/>
              </w:rPr>
            </w:pPr>
            <w:r>
              <w:rPr>
                <w:rFonts w:ascii="Calibri"/>
                <w:w w:val="110"/>
                <w:sz w:val="9"/>
              </w:rPr>
              <w:t>Q - All Other</w:t>
            </w:r>
          </w:p>
        </w:tc>
        <w:tc>
          <w:tcPr>
            <w:tcW w:w="58" w:type="dxa"/>
          </w:tcPr>
          <w:p>
            <w:pPr>
              <w:pStyle w:val="TableParagraph"/>
              <w:spacing w:before="0"/>
              <w:rPr>
                <w:rFonts w:ascii="Times New Roman"/>
                <w:sz w:val="16"/>
              </w:rPr>
            </w:pPr>
          </w:p>
        </w:tc>
        <w:tc>
          <w:tcPr>
            <w:tcW w:w="208" w:type="dxa"/>
          </w:tcPr>
          <w:p>
            <w:pPr>
              <w:pStyle w:val="TableParagraph"/>
              <w:spacing w:line="135" w:lineRule="exact" w:before="0"/>
              <w:ind w:left="4" w:right="-58"/>
              <w:rPr>
                <w:rFonts w:ascii="Calibri"/>
                <w:sz w:val="13"/>
              </w:rPr>
            </w:pPr>
            <w:r>
              <w:rPr>
                <w:rFonts w:ascii="Calibri"/>
                <w:position w:val="-2"/>
                <w:sz w:val="13"/>
              </w:rPr>
              <w:drawing>
                <wp:inline distT="0" distB="0" distL="0" distR="0">
                  <wp:extent cx="132582" cy="85725"/>
                  <wp:effectExtent l="0" t="0" r="0" b="0"/>
                  <wp:docPr id="101" name="image73.png"/>
                  <wp:cNvGraphicFramePr>
                    <a:graphicFrameLocks noChangeAspect="1"/>
                  </wp:cNvGraphicFramePr>
                  <a:graphic>
                    <a:graphicData uri="http://schemas.openxmlformats.org/drawingml/2006/picture">
                      <pic:pic>
                        <pic:nvPicPr>
                          <pic:cNvPr id="102" name="image73.png"/>
                          <pic:cNvPicPr/>
                        </pic:nvPicPr>
                        <pic:blipFill>
                          <a:blip r:embed="rId95" cstate="print"/>
                          <a:stretch>
                            <a:fillRect/>
                          </a:stretch>
                        </pic:blipFill>
                        <pic:spPr>
                          <a:xfrm>
                            <a:off x="0" y="0"/>
                            <a:ext cx="132582" cy="85725"/>
                          </a:xfrm>
                          <a:prstGeom prst="rect">
                            <a:avLst/>
                          </a:prstGeom>
                        </pic:spPr>
                      </pic:pic>
                    </a:graphicData>
                  </a:graphic>
                </wp:inline>
              </w:drawing>
            </w:r>
            <w:r>
              <w:rPr>
                <w:rFonts w:ascii="Calibri"/>
                <w:position w:val="-2"/>
                <w:sz w:val="13"/>
              </w:rPr>
            </w:r>
          </w:p>
        </w:tc>
        <w:tc>
          <w:tcPr>
            <w:tcW w:w="1183" w:type="dxa"/>
          </w:tcPr>
          <w:p>
            <w:pPr>
              <w:pStyle w:val="TableParagraph"/>
              <w:spacing w:before="36"/>
              <w:ind w:left="18"/>
              <w:rPr>
                <w:rFonts w:ascii="Calibri"/>
                <w:sz w:val="9"/>
              </w:rPr>
            </w:pPr>
            <w:r>
              <w:rPr>
                <w:rFonts w:ascii="Calibri"/>
                <w:w w:val="110"/>
                <w:sz w:val="9"/>
              </w:rPr>
              <w:t>R - Rent Assistance</w:t>
            </w:r>
          </w:p>
        </w:tc>
        <w:tc>
          <w:tcPr>
            <w:tcW w:w="56" w:type="dxa"/>
          </w:tcPr>
          <w:p>
            <w:pPr>
              <w:pStyle w:val="TableParagraph"/>
              <w:spacing w:before="0"/>
              <w:rPr>
                <w:rFonts w:ascii="Times New Roman"/>
                <w:sz w:val="16"/>
              </w:rPr>
            </w:pPr>
          </w:p>
        </w:tc>
        <w:tc>
          <w:tcPr>
            <w:tcW w:w="209" w:type="dxa"/>
          </w:tcPr>
          <w:p>
            <w:pPr>
              <w:pStyle w:val="TableParagraph"/>
              <w:spacing w:before="0"/>
              <w:rPr>
                <w:rFonts w:ascii="Times New Roman"/>
                <w:sz w:val="16"/>
              </w:rPr>
            </w:pPr>
          </w:p>
        </w:tc>
        <w:tc>
          <w:tcPr>
            <w:tcW w:w="706" w:type="dxa"/>
          </w:tcPr>
          <w:p>
            <w:pPr>
              <w:pStyle w:val="TableParagraph"/>
              <w:spacing w:before="0"/>
              <w:rPr>
                <w:rFonts w:ascii="Times New Roman"/>
                <w:sz w:val="16"/>
              </w:rPr>
            </w:pPr>
          </w:p>
        </w:tc>
        <w:tc>
          <w:tcPr>
            <w:tcW w:w="72" w:type="dxa"/>
          </w:tcPr>
          <w:p>
            <w:pPr>
              <w:pStyle w:val="TableParagraph"/>
              <w:spacing w:before="0"/>
              <w:rPr>
                <w:rFonts w:ascii="Times New Roman"/>
                <w:sz w:val="16"/>
              </w:rPr>
            </w:pPr>
          </w:p>
        </w:tc>
        <w:tc>
          <w:tcPr>
            <w:tcW w:w="210" w:type="dxa"/>
          </w:tcPr>
          <w:p>
            <w:pPr>
              <w:pStyle w:val="TableParagraph"/>
              <w:spacing w:before="0"/>
              <w:rPr>
                <w:rFonts w:ascii="Times New Roman"/>
                <w:sz w:val="16"/>
              </w:rPr>
            </w:pPr>
          </w:p>
        </w:tc>
        <w:tc>
          <w:tcPr>
            <w:tcW w:w="729" w:type="dxa"/>
          </w:tcPr>
          <w:p>
            <w:pPr>
              <w:pStyle w:val="TableParagraph"/>
              <w:spacing w:before="0"/>
              <w:rPr>
                <w:rFonts w:ascii="Times New Roman"/>
                <w:sz w:val="16"/>
              </w:rPr>
            </w:pPr>
          </w:p>
        </w:tc>
        <w:tc>
          <w:tcPr>
            <w:tcW w:w="837" w:type="dxa"/>
          </w:tcPr>
          <w:p>
            <w:pPr>
              <w:pStyle w:val="TableParagraph"/>
              <w:spacing w:before="0"/>
              <w:rPr>
                <w:rFonts w:ascii="Times New Roman"/>
                <w:sz w:val="16"/>
              </w:rPr>
            </w:pPr>
          </w:p>
        </w:tc>
      </w:tr>
    </w:tbl>
    <w:p>
      <w:pPr>
        <w:pStyle w:val="BodyText"/>
        <w:spacing w:before="8"/>
        <w:rPr>
          <w:rFonts w:ascii="Calibri"/>
          <w:b/>
          <w:sz w:val="16"/>
        </w:rPr>
      </w:pPr>
    </w:p>
    <w:p>
      <w:pPr>
        <w:pStyle w:val="BodyText"/>
        <w:ind w:left="899" w:right="1286"/>
        <w:jc w:val="both"/>
      </w:pPr>
      <w:r>
        <w:rPr>
          <w:color w:val="404040"/>
        </w:rPr>
        <w:t>During 2017/18, the average payment made was $11,500 with considerably higher average payments being made</w:t>
      </w:r>
      <w:r>
        <w:rPr>
          <w:color w:val="404040"/>
          <w:spacing w:val="-3"/>
        </w:rPr>
        <w:t> </w:t>
      </w:r>
      <w:r>
        <w:rPr>
          <w:color w:val="404040"/>
        </w:rPr>
        <w:t>to</w:t>
      </w:r>
      <w:r>
        <w:rPr>
          <w:color w:val="404040"/>
          <w:spacing w:val="-3"/>
        </w:rPr>
        <w:t> </w:t>
      </w:r>
      <w:r>
        <w:rPr>
          <w:color w:val="404040"/>
        </w:rPr>
        <w:t>women</w:t>
      </w:r>
      <w:r>
        <w:rPr>
          <w:color w:val="404040"/>
          <w:spacing w:val="-3"/>
        </w:rPr>
        <w:t> </w:t>
      </w:r>
      <w:r>
        <w:rPr>
          <w:color w:val="404040"/>
        </w:rPr>
        <w:t>($13,600)</w:t>
      </w:r>
      <w:r>
        <w:rPr>
          <w:color w:val="404040"/>
          <w:spacing w:val="-2"/>
        </w:rPr>
        <w:t> </w:t>
      </w:r>
      <w:r>
        <w:rPr>
          <w:color w:val="404040"/>
        </w:rPr>
        <w:t>than</w:t>
      </w:r>
      <w:r>
        <w:rPr>
          <w:color w:val="404040"/>
          <w:spacing w:val="-3"/>
        </w:rPr>
        <w:t> </w:t>
      </w:r>
      <w:r>
        <w:rPr>
          <w:color w:val="404040"/>
        </w:rPr>
        <w:t>men</w:t>
      </w:r>
      <w:r>
        <w:rPr>
          <w:color w:val="404040"/>
          <w:spacing w:val="-3"/>
        </w:rPr>
        <w:t> </w:t>
      </w:r>
      <w:r>
        <w:rPr>
          <w:color w:val="404040"/>
        </w:rPr>
        <w:t>($9,600).</w:t>
      </w:r>
      <w:r>
        <w:rPr>
          <w:color w:val="404040"/>
          <w:spacing w:val="-3"/>
        </w:rPr>
        <w:t> </w:t>
      </w:r>
      <w:r>
        <w:rPr>
          <w:color w:val="404040"/>
        </w:rPr>
        <w:t>This</w:t>
      </w:r>
      <w:r>
        <w:rPr>
          <w:color w:val="404040"/>
          <w:spacing w:val="-2"/>
        </w:rPr>
        <w:t> </w:t>
      </w:r>
      <w:r>
        <w:rPr>
          <w:color w:val="404040"/>
        </w:rPr>
        <w:t>is</w:t>
      </w:r>
      <w:r>
        <w:rPr>
          <w:color w:val="404040"/>
          <w:spacing w:val="-2"/>
        </w:rPr>
        <w:t> </w:t>
      </w:r>
      <w:r>
        <w:rPr>
          <w:color w:val="404040"/>
        </w:rPr>
        <w:t>because</w:t>
      </w:r>
      <w:r>
        <w:rPr>
          <w:color w:val="404040"/>
          <w:spacing w:val="-3"/>
        </w:rPr>
        <w:t> </w:t>
      </w:r>
      <w:r>
        <w:rPr>
          <w:color w:val="404040"/>
        </w:rPr>
        <w:t>of</w:t>
      </w:r>
      <w:r>
        <w:rPr>
          <w:color w:val="404040"/>
          <w:spacing w:val="-1"/>
        </w:rPr>
        <w:t> </w:t>
      </w:r>
      <w:r>
        <w:rPr>
          <w:color w:val="404040"/>
        </w:rPr>
        <w:t>their</w:t>
      </w:r>
      <w:r>
        <w:rPr>
          <w:color w:val="404040"/>
          <w:spacing w:val="-3"/>
        </w:rPr>
        <w:t> </w:t>
      </w:r>
      <w:r>
        <w:rPr>
          <w:color w:val="404040"/>
        </w:rPr>
        <w:t>greater</w:t>
      </w:r>
      <w:r>
        <w:rPr>
          <w:color w:val="404040"/>
          <w:spacing w:val="-2"/>
        </w:rPr>
        <w:t> </w:t>
      </w:r>
      <w:r>
        <w:rPr>
          <w:color w:val="404040"/>
        </w:rPr>
        <w:t>propensity</w:t>
      </w:r>
      <w:r>
        <w:rPr>
          <w:color w:val="404040"/>
          <w:spacing w:val="-5"/>
        </w:rPr>
        <w:t> </w:t>
      </w:r>
      <w:r>
        <w:rPr>
          <w:color w:val="404040"/>
        </w:rPr>
        <w:t>to</w:t>
      </w:r>
      <w:r>
        <w:rPr>
          <w:color w:val="404040"/>
          <w:spacing w:val="-3"/>
        </w:rPr>
        <w:t> </w:t>
      </w:r>
      <w:r>
        <w:rPr>
          <w:color w:val="404040"/>
        </w:rPr>
        <w:t>receive</w:t>
      </w:r>
      <w:r>
        <w:rPr>
          <w:color w:val="404040"/>
          <w:spacing w:val="-3"/>
        </w:rPr>
        <w:t> </w:t>
      </w:r>
      <w:r>
        <w:rPr>
          <w:color w:val="404040"/>
        </w:rPr>
        <w:t>FTB</w:t>
      </w:r>
      <w:r>
        <w:rPr>
          <w:color w:val="404040"/>
          <w:spacing w:val="-4"/>
        </w:rPr>
        <w:t> </w:t>
      </w:r>
      <w:r>
        <w:rPr>
          <w:color w:val="404040"/>
        </w:rPr>
        <w:t>and other family payments alongside the main Working Age</w:t>
      </w:r>
      <w:r>
        <w:rPr>
          <w:color w:val="404040"/>
          <w:spacing w:val="-11"/>
        </w:rPr>
        <w:t> </w:t>
      </w:r>
      <w:r>
        <w:rPr>
          <w:color w:val="404040"/>
        </w:rPr>
        <w:t>payment.</w:t>
      </w:r>
    </w:p>
    <w:p>
      <w:pPr>
        <w:pStyle w:val="BodyText"/>
        <w:spacing w:before="119"/>
        <w:ind w:left="899" w:right="1010"/>
      </w:pPr>
      <w:r>
        <w:rPr>
          <w:color w:val="404040"/>
        </w:rPr>
        <w:t>The Working Age class also contains a small group of dependents, being people receiving either Partner Allowance or Widow Allowance. The eligibility criteria for these payments are such that this group are all age 60 or above at the valuation date and almost all women. The contribution of the payments made to this group can be seen in the payment category G amounts in the chart above.</w:t>
      </w:r>
    </w:p>
    <w:p>
      <w:pPr>
        <w:pStyle w:val="BodyText"/>
        <w:spacing w:before="122"/>
        <w:ind w:left="899" w:right="1043"/>
      </w:pPr>
      <w:r>
        <w:rPr>
          <w:color w:val="404040"/>
        </w:rPr>
        <w:t>Overall there is a small increasing trend in average payments, after adjusting to remove the impact of inflation. This increase reflects a changing mix of people in the class, with an increasing proportion of people in the class who have a longer history of working age payments.</w:t>
      </w:r>
    </w:p>
    <w:p>
      <w:pPr>
        <w:pStyle w:val="BodyText"/>
        <w:spacing w:before="7"/>
      </w:pPr>
    </w:p>
    <w:p>
      <w:pPr>
        <w:pStyle w:val="Heading4"/>
      </w:pPr>
      <w:bookmarkStart w:name="What does the model show for the current" w:id="176"/>
      <w:bookmarkEnd w:id="176"/>
      <w:r>
        <w:rPr/>
      </w:r>
      <w:r>
        <w:rPr>
          <w:color w:val="DF2F28"/>
        </w:rPr>
        <w:t>What does the model show for the current Working Age group?</w:t>
      </w:r>
    </w:p>
    <w:p>
      <w:pPr>
        <w:pStyle w:val="BodyText"/>
        <w:spacing w:before="10"/>
      </w:pPr>
    </w:p>
    <w:p>
      <w:pPr>
        <w:pStyle w:val="Heading6"/>
        <w:rPr>
          <w:i/>
        </w:rPr>
      </w:pPr>
      <w:r>
        <w:rPr>
          <w:i/>
          <w:color w:val="DF2F1E"/>
        </w:rPr>
        <w:t>Lifetime costs</w:t>
      </w:r>
    </w:p>
    <w:p>
      <w:pPr>
        <w:pStyle w:val="BodyText"/>
        <w:spacing w:before="121"/>
        <w:ind w:left="899" w:right="1155"/>
      </w:pPr>
      <w:r>
        <w:rPr>
          <w:color w:val="404040"/>
        </w:rPr>
        <w:t>We estimated the lifetime cost for the people in this class to be </w:t>
      </w:r>
      <w:r>
        <w:rPr>
          <w:b/>
          <w:color w:val="404040"/>
        </w:rPr>
        <w:t>$471bn </w:t>
      </w:r>
      <w:r>
        <w:rPr>
          <w:color w:val="404040"/>
        </w:rPr>
        <w:t>(or </w:t>
      </w:r>
      <w:r>
        <w:rPr>
          <w:b/>
          <w:color w:val="404040"/>
        </w:rPr>
        <w:t>8.3% </w:t>
      </w:r>
      <w:r>
        <w:rPr>
          <w:color w:val="404040"/>
        </w:rPr>
        <w:t>of the total lifetime cost). The average lifetime cost for people in this class is </w:t>
      </w:r>
      <w:r>
        <w:rPr>
          <w:b/>
          <w:color w:val="404040"/>
        </w:rPr>
        <w:t>$380,000</w:t>
      </w:r>
      <w:r>
        <w:rPr>
          <w:color w:val="404040"/>
        </w:rPr>
        <w:t>. The variation in average lifetime cost by age and gender is illustrated in the figure below.</w:t>
      </w:r>
    </w:p>
    <w:p>
      <w:pPr>
        <w:pStyle w:val="Heading9"/>
        <w:spacing w:before="176"/>
        <w:ind w:left="899"/>
      </w:pPr>
      <w:r>
        <w:rPr>
          <w:color w:val="DF2F1E"/>
        </w:rPr>
        <w:t>Figure 52: Average lifetime cost by age and gender (class 2)</w:t>
      </w:r>
    </w:p>
    <w:p>
      <w:pPr>
        <w:pStyle w:val="BodyText"/>
        <w:rPr>
          <w:b/>
          <w:sz w:val="13"/>
        </w:rPr>
      </w:pPr>
    </w:p>
    <w:p>
      <w:pPr>
        <w:spacing w:after="0"/>
        <w:rPr>
          <w:sz w:val="13"/>
        </w:rPr>
        <w:sectPr>
          <w:pgSz w:w="11910" w:h="16850"/>
          <w:pgMar w:header="572" w:footer="581" w:top="780" w:bottom="780" w:left="120" w:right="0"/>
        </w:sectPr>
      </w:pPr>
    </w:p>
    <w:p>
      <w:pPr>
        <w:spacing w:before="71"/>
        <w:ind w:left="1558" w:right="0" w:firstLine="0"/>
        <w:jc w:val="left"/>
        <w:rPr>
          <w:rFonts w:ascii="Calibri"/>
          <w:sz w:val="14"/>
        </w:rPr>
      </w:pPr>
      <w:r>
        <w:rPr/>
        <w:pict>
          <v:group style="position:absolute;margin-left:95.47596pt;margin-top:7.284472pt;width:239.7pt;height:128.75pt;mso-position-horizontal-relative:page;mso-position-vertical-relative:paragraph;z-index:252247040" coordorigin="1910,146" coordsize="4794,2575">
            <v:shape style="position:absolute;left:1909;top:145;width:4794;height:2575" type="#_x0000_t75" stroked="false">
              <v:imagedata r:id="rId96" o:title=""/>
            </v:shape>
            <v:shape style="position:absolute;left:3076;top:238;width:1151;height:204" type="#_x0000_t202" filled="false" stroked="false">
              <v:textbox inset="0,0,0,0">
                <w:txbxContent>
                  <w:p>
                    <w:pPr>
                      <w:tabs>
                        <w:tab w:pos="937" w:val="left" w:leader="none"/>
                      </w:tabs>
                      <w:spacing w:line="204" w:lineRule="exact" w:before="0"/>
                      <w:ind w:left="0" w:right="0" w:firstLine="0"/>
                      <w:jc w:val="left"/>
                      <w:rPr>
                        <w:rFonts w:ascii="Calibri"/>
                        <w:sz w:val="20"/>
                      </w:rPr>
                    </w:pPr>
                    <w:r>
                      <w:rPr>
                        <w:rFonts w:ascii="Calibri"/>
                        <w:color w:val="BEBEBE"/>
                        <w:spacing w:val="-3"/>
                        <w:sz w:val="20"/>
                      </w:rPr>
                      <w:t>&lt;-</w:t>
                    </w:r>
                    <w:r>
                      <w:rPr>
                        <w:rFonts w:ascii="Calibri"/>
                        <w:color w:val="BEBEBE"/>
                        <w:spacing w:val="14"/>
                        <w:sz w:val="20"/>
                      </w:rPr>
                      <w:t> </w:t>
                    </w:r>
                    <w:r>
                      <w:rPr>
                        <w:rFonts w:ascii="Calibri"/>
                        <w:color w:val="BEBEBE"/>
                        <w:spacing w:val="-3"/>
                        <w:sz w:val="20"/>
                      </w:rPr>
                      <w:t>Male</w:t>
                      <w:tab/>
                    </w:r>
                    <w:r>
                      <w:rPr>
                        <w:rFonts w:ascii="Calibri"/>
                        <w:color w:val="BEBEBE"/>
                        <w:spacing w:val="-3"/>
                        <w:w w:val="101"/>
                        <w:sz w:val="20"/>
                        <w:u w:val="double" w:color="C0504D"/>
                      </w:rPr>
                      <w:t> </w:t>
                    </w:r>
                    <w:r>
                      <w:rPr>
                        <w:rFonts w:ascii="Calibri"/>
                        <w:color w:val="BEBEBE"/>
                        <w:spacing w:val="11"/>
                        <w:sz w:val="20"/>
                        <w:u w:val="double" w:color="C0504D"/>
                      </w:rPr>
                      <w:t> </w:t>
                    </w:r>
                  </w:p>
                </w:txbxContent>
              </v:textbox>
              <w10:wrap type="none"/>
            </v:shape>
            <v:shape style="position:absolute;left:4954;top:238;width:831;height:204" type="#_x0000_t202" filled="false" stroked="false">
              <v:textbox inset="0,0,0,0">
                <w:txbxContent>
                  <w:p>
                    <w:pPr>
                      <w:spacing w:line="204" w:lineRule="exact" w:before="0"/>
                      <w:ind w:left="0" w:right="0" w:firstLine="0"/>
                      <w:jc w:val="left"/>
                      <w:rPr>
                        <w:rFonts w:ascii="Calibri"/>
                        <w:sz w:val="20"/>
                      </w:rPr>
                    </w:pPr>
                    <w:r>
                      <w:rPr>
                        <w:rFonts w:ascii="Calibri"/>
                        <w:color w:val="BEBEBE"/>
                        <w:sz w:val="20"/>
                      </w:rPr>
                      <w:t>Female -&gt;</w:t>
                    </w:r>
                  </w:p>
                </w:txbxContent>
              </v:textbox>
              <w10:wrap type="none"/>
            </v:shape>
            <w10:wrap type="none"/>
          </v:group>
        </w:pict>
      </w:r>
      <w:r>
        <w:rPr>
          <w:rFonts w:ascii="Calibri"/>
          <w:sz w:val="14"/>
        </w:rPr>
        <w:t>90</w:t>
      </w:r>
    </w:p>
    <w:p>
      <w:pPr>
        <w:spacing w:before="107"/>
        <w:ind w:left="1558" w:right="0" w:firstLine="0"/>
        <w:jc w:val="left"/>
        <w:rPr>
          <w:rFonts w:ascii="Calibri"/>
          <w:sz w:val="14"/>
        </w:rPr>
      </w:pPr>
      <w:r>
        <w:rPr>
          <w:rFonts w:ascii="Calibri"/>
          <w:sz w:val="14"/>
        </w:rPr>
        <w:t>80</w:t>
      </w:r>
    </w:p>
    <w:p>
      <w:pPr>
        <w:spacing w:before="107"/>
        <w:ind w:left="1558" w:right="0" w:firstLine="0"/>
        <w:jc w:val="left"/>
        <w:rPr>
          <w:rFonts w:ascii="Calibri"/>
          <w:sz w:val="14"/>
        </w:rPr>
      </w:pPr>
      <w:r>
        <w:rPr/>
        <w:pict>
          <v:shape style="position:absolute;margin-left:73.764023pt;margin-top:11.540417pt;width:9pt;height:66.7pt;mso-position-horizontal-relative:page;mso-position-vertical-relative:paragraph;z-index:252249088" type="#_x0000_t202" filled="false" stroked="false">
            <v:textbox inset="0,0,0,0" style="layout-flow:vertical;mso-layout-flow-alt:bottom-to-top">
              <w:txbxContent>
                <w:p>
                  <w:pPr>
                    <w:spacing w:line="162" w:lineRule="exact" w:before="0"/>
                    <w:ind w:left="20" w:right="0" w:firstLine="0"/>
                    <w:jc w:val="left"/>
                    <w:rPr>
                      <w:rFonts w:ascii="Calibri"/>
                      <w:b/>
                      <w:sz w:val="14"/>
                    </w:rPr>
                  </w:pPr>
                  <w:r>
                    <w:rPr>
                      <w:rFonts w:ascii="Calibri"/>
                      <w:b/>
                      <w:sz w:val="14"/>
                    </w:rPr>
                    <w:t>Age at Valuation Date</w:t>
                  </w:r>
                </w:p>
              </w:txbxContent>
            </v:textbox>
            <w10:wrap type="none"/>
          </v:shape>
        </w:pict>
      </w:r>
      <w:r>
        <w:rPr>
          <w:rFonts w:ascii="Calibri"/>
          <w:sz w:val="14"/>
        </w:rPr>
        <w:t>70</w:t>
      </w:r>
    </w:p>
    <w:p>
      <w:pPr>
        <w:spacing w:before="107"/>
        <w:ind w:left="1558" w:right="0" w:firstLine="0"/>
        <w:jc w:val="left"/>
        <w:rPr>
          <w:rFonts w:ascii="Calibri"/>
          <w:sz w:val="14"/>
        </w:rPr>
      </w:pPr>
      <w:r>
        <w:rPr>
          <w:rFonts w:ascii="Calibri"/>
          <w:sz w:val="14"/>
        </w:rPr>
        <w:t>60</w:t>
      </w:r>
    </w:p>
    <w:p>
      <w:pPr>
        <w:spacing w:before="107"/>
        <w:ind w:left="1558" w:right="0" w:firstLine="0"/>
        <w:jc w:val="left"/>
        <w:rPr>
          <w:rFonts w:ascii="Calibri"/>
          <w:sz w:val="14"/>
        </w:rPr>
      </w:pPr>
      <w:r>
        <w:rPr>
          <w:rFonts w:ascii="Calibri"/>
          <w:sz w:val="14"/>
        </w:rPr>
        <w:t>50</w:t>
      </w:r>
    </w:p>
    <w:p>
      <w:pPr>
        <w:spacing w:before="107"/>
        <w:ind w:left="1558" w:right="0" w:firstLine="0"/>
        <w:jc w:val="left"/>
        <w:rPr>
          <w:rFonts w:ascii="Calibri"/>
          <w:sz w:val="14"/>
        </w:rPr>
      </w:pPr>
      <w:r>
        <w:rPr>
          <w:rFonts w:ascii="Calibri"/>
          <w:sz w:val="14"/>
        </w:rPr>
        <w:t>40</w:t>
      </w:r>
    </w:p>
    <w:p>
      <w:pPr>
        <w:spacing w:before="107"/>
        <w:ind w:left="1558" w:right="0" w:firstLine="0"/>
        <w:jc w:val="left"/>
        <w:rPr>
          <w:rFonts w:ascii="Calibri"/>
          <w:sz w:val="14"/>
        </w:rPr>
      </w:pPr>
      <w:r>
        <w:rPr>
          <w:rFonts w:ascii="Calibri"/>
          <w:sz w:val="14"/>
        </w:rPr>
        <w:t>30</w:t>
      </w:r>
    </w:p>
    <w:p>
      <w:pPr>
        <w:spacing w:before="107"/>
        <w:ind w:left="1558" w:right="0" w:firstLine="0"/>
        <w:jc w:val="left"/>
        <w:rPr>
          <w:rFonts w:ascii="Calibri"/>
          <w:sz w:val="14"/>
        </w:rPr>
      </w:pPr>
      <w:r>
        <w:rPr>
          <w:rFonts w:ascii="Calibri"/>
          <w:sz w:val="14"/>
        </w:rPr>
        <w:t>20</w:t>
      </w:r>
    </w:p>
    <w:p>
      <w:pPr>
        <w:spacing w:before="107"/>
        <w:ind w:left="1558" w:right="0" w:firstLine="0"/>
        <w:jc w:val="left"/>
        <w:rPr>
          <w:rFonts w:ascii="Calibri"/>
          <w:sz w:val="14"/>
        </w:rPr>
      </w:pPr>
      <w:r>
        <w:rPr>
          <w:rFonts w:ascii="Calibri"/>
          <w:sz w:val="14"/>
        </w:rPr>
        <w:t>10</w:t>
      </w:r>
    </w:p>
    <w:p>
      <w:pPr>
        <w:spacing w:before="107"/>
        <w:ind w:left="1630" w:right="0" w:firstLine="0"/>
        <w:jc w:val="left"/>
        <w:rPr>
          <w:rFonts w:ascii="Calibri"/>
          <w:sz w:val="14"/>
        </w:rPr>
      </w:pPr>
      <w:r>
        <w:rPr>
          <w:rFonts w:ascii="Calibri"/>
          <w:w w:val="99"/>
          <w:sz w:val="14"/>
        </w:rPr>
        <w:t>0</w:t>
      </w:r>
    </w:p>
    <w:p>
      <w:pPr>
        <w:spacing w:before="29"/>
        <w:ind w:left="1727" w:right="0" w:firstLine="0"/>
        <w:jc w:val="left"/>
        <w:rPr>
          <w:rFonts w:ascii="Calibri"/>
          <w:sz w:val="14"/>
        </w:rPr>
      </w:pPr>
      <w:r>
        <w:rPr>
          <w:rFonts w:ascii="Calibri"/>
          <w:sz w:val="14"/>
        </w:rPr>
        <w:t>600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1"/>
        <w:rPr>
          <w:rFonts w:ascii="Calibri"/>
          <w:sz w:val="17"/>
        </w:rPr>
      </w:pPr>
    </w:p>
    <w:p>
      <w:pPr>
        <w:spacing w:before="0"/>
        <w:ind w:left="134" w:right="0" w:firstLine="0"/>
        <w:jc w:val="left"/>
        <w:rPr>
          <w:rFonts w:ascii="Calibri"/>
          <w:sz w:val="14"/>
        </w:rPr>
      </w:pPr>
      <w:r>
        <w:rPr>
          <w:rFonts w:ascii="Calibri"/>
          <w:sz w:val="14"/>
        </w:rPr>
        <w:t>500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1"/>
        <w:rPr>
          <w:rFonts w:ascii="Calibri"/>
          <w:sz w:val="17"/>
        </w:rPr>
      </w:pPr>
    </w:p>
    <w:p>
      <w:pPr>
        <w:spacing w:before="0"/>
        <w:ind w:left="134" w:right="0" w:firstLine="0"/>
        <w:jc w:val="left"/>
        <w:rPr>
          <w:rFonts w:ascii="Calibri"/>
          <w:sz w:val="14"/>
        </w:rPr>
      </w:pPr>
      <w:r>
        <w:rPr>
          <w:rFonts w:ascii="Calibri"/>
          <w:sz w:val="14"/>
        </w:rPr>
        <w:t>400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1"/>
        <w:rPr>
          <w:rFonts w:ascii="Calibri"/>
          <w:sz w:val="17"/>
        </w:rPr>
      </w:pPr>
    </w:p>
    <w:p>
      <w:pPr>
        <w:spacing w:before="0"/>
        <w:ind w:left="134" w:right="0" w:firstLine="0"/>
        <w:jc w:val="left"/>
        <w:rPr>
          <w:rFonts w:ascii="Calibri"/>
          <w:sz w:val="14"/>
        </w:rPr>
      </w:pPr>
      <w:r>
        <w:rPr>
          <w:rFonts w:ascii="Calibri"/>
          <w:sz w:val="14"/>
        </w:rPr>
        <w:t>300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1"/>
        <w:rPr>
          <w:rFonts w:ascii="Calibri"/>
          <w:sz w:val="17"/>
        </w:rPr>
      </w:pPr>
    </w:p>
    <w:p>
      <w:pPr>
        <w:spacing w:before="0"/>
        <w:ind w:left="134" w:right="0" w:firstLine="0"/>
        <w:jc w:val="left"/>
        <w:rPr>
          <w:rFonts w:ascii="Calibri"/>
          <w:sz w:val="14"/>
        </w:rPr>
      </w:pPr>
      <w:r>
        <w:rPr>
          <w:rFonts w:ascii="Calibri"/>
          <w:sz w:val="14"/>
        </w:rPr>
        <w:t>200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1"/>
        <w:rPr>
          <w:rFonts w:ascii="Calibri"/>
          <w:sz w:val="17"/>
        </w:rPr>
      </w:pPr>
    </w:p>
    <w:p>
      <w:pPr>
        <w:tabs>
          <w:tab w:pos="601" w:val="left" w:leader="none"/>
        </w:tabs>
        <w:spacing w:before="0"/>
        <w:ind w:left="134" w:right="0" w:firstLine="0"/>
        <w:jc w:val="left"/>
        <w:rPr>
          <w:rFonts w:ascii="Calibri"/>
          <w:sz w:val="14"/>
        </w:rPr>
      </w:pPr>
      <w:r>
        <w:rPr>
          <w:rFonts w:ascii="Calibri"/>
          <w:spacing w:val="2"/>
          <w:sz w:val="14"/>
        </w:rPr>
        <w:t>100</w:t>
        <w:tab/>
      </w:r>
      <w:r>
        <w:rPr>
          <w:rFonts w:ascii="Calibri"/>
          <w:spacing w:val="-20"/>
          <w:sz w:val="14"/>
        </w:rPr>
        <w:t>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1"/>
        <w:rPr>
          <w:rFonts w:ascii="Calibri"/>
          <w:sz w:val="17"/>
        </w:rPr>
      </w:pPr>
    </w:p>
    <w:p>
      <w:pPr>
        <w:spacing w:before="0"/>
        <w:ind w:left="211" w:right="0" w:firstLine="0"/>
        <w:jc w:val="left"/>
        <w:rPr>
          <w:rFonts w:ascii="Calibri"/>
          <w:sz w:val="14"/>
        </w:rPr>
      </w:pPr>
      <w:r>
        <w:rPr>
          <w:rFonts w:ascii="Calibri"/>
          <w:sz w:val="14"/>
        </w:rPr>
        <w:t>100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1"/>
        <w:rPr>
          <w:rFonts w:ascii="Calibri"/>
          <w:sz w:val="17"/>
        </w:rPr>
      </w:pPr>
    </w:p>
    <w:p>
      <w:pPr>
        <w:spacing w:before="0"/>
        <w:ind w:left="134" w:right="0" w:firstLine="0"/>
        <w:jc w:val="left"/>
        <w:rPr>
          <w:rFonts w:ascii="Calibri"/>
          <w:sz w:val="14"/>
        </w:rPr>
      </w:pPr>
      <w:r>
        <w:rPr>
          <w:rFonts w:ascii="Calibri"/>
          <w:sz w:val="14"/>
        </w:rPr>
        <w:t>200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1"/>
        <w:rPr>
          <w:rFonts w:ascii="Calibri"/>
          <w:sz w:val="17"/>
        </w:rPr>
      </w:pPr>
    </w:p>
    <w:p>
      <w:pPr>
        <w:spacing w:before="0"/>
        <w:ind w:left="134" w:right="0" w:firstLine="0"/>
        <w:jc w:val="left"/>
        <w:rPr>
          <w:rFonts w:ascii="Calibri"/>
          <w:sz w:val="14"/>
        </w:rPr>
      </w:pPr>
      <w:r>
        <w:rPr>
          <w:rFonts w:ascii="Calibri"/>
          <w:sz w:val="14"/>
        </w:rPr>
        <w:t>300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1"/>
        <w:rPr>
          <w:rFonts w:ascii="Calibri"/>
          <w:sz w:val="17"/>
        </w:rPr>
      </w:pPr>
    </w:p>
    <w:p>
      <w:pPr>
        <w:spacing w:before="0"/>
        <w:ind w:left="134" w:right="0" w:firstLine="0"/>
        <w:jc w:val="left"/>
        <w:rPr>
          <w:rFonts w:ascii="Calibri"/>
          <w:sz w:val="14"/>
        </w:rPr>
      </w:pPr>
      <w:r>
        <w:rPr>
          <w:rFonts w:ascii="Calibri"/>
          <w:sz w:val="14"/>
        </w:rPr>
        <w:t>400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1"/>
        <w:rPr>
          <w:rFonts w:ascii="Calibri"/>
          <w:sz w:val="17"/>
        </w:rPr>
      </w:pPr>
    </w:p>
    <w:p>
      <w:pPr>
        <w:spacing w:before="0"/>
        <w:ind w:left="134" w:right="0" w:firstLine="0"/>
        <w:jc w:val="left"/>
        <w:rPr>
          <w:rFonts w:ascii="Calibri"/>
          <w:sz w:val="14"/>
        </w:rPr>
      </w:pPr>
      <w:r>
        <w:rPr>
          <w:rFonts w:ascii="Calibri"/>
          <w:sz w:val="14"/>
        </w:rPr>
        <w:t>500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1"/>
        <w:rPr>
          <w:rFonts w:ascii="Calibri"/>
          <w:sz w:val="17"/>
        </w:rPr>
      </w:pPr>
    </w:p>
    <w:p>
      <w:pPr>
        <w:spacing w:before="0"/>
        <w:ind w:left="134" w:right="0" w:firstLine="0"/>
        <w:jc w:val="left"/>
        <w:rPr>
          <w:rFonts w:ascii="Calibri"/>
          <w:sz w:val="14"/>
        </w:rPr>
      </w:pPr>
      <w:r>
        <w:rPr>
          <w:rFonts w:ascii="Calibri"/>
          <w:sz w:val="14"/>
        </w:rPr>
        <w:t>600</w:t>
      </w:r>
    </w:p>
    <w:p>
      <w:pPr>
        <w:pStyle w:val="BodyText"/>
        <w:rPr>
          <w:rFonts w:ascii="Calibri"/>
          <w:sz w:val="10"/>
        </w:rPr>
      </w:pPr>
      <w:r>
        <w:rPr/>
        <w:br w:type="column"/>
      </w:r>
      <w:r>
        <w:rPr>
          <w:rFonts w:ascii="Calibri"/>
          <w:sz w:val="10"/>
        </w:rPr>
      </w:r>
    </w:p>
    <w:p>
      <w:pPr>
        <w:spacing w:before="69"/>
        <w:ind w:left="951" w:right="0" w:firstLine="0"/>
        <w:jc w:val="left"/>
        <w:rPr>
          <w:rFonts w:ascii="Calibri"/>
          <w:b/>
          <w:sz w:val="10"/>
        </w:rPr>
      </w:pPr>
      <w:r>
        <w:rPr>
          <w:rFonts w:ascii="Calibri"/>
          <w:b/>
          <w:w w:val="105"/>
          <w:sz w:val="10"/>
        </w:rPr>
        <w:t>Payment Category Key:</w:t>
      </w:r>
    </w:p>
    <w:p>
      <w:pPr>
        <w:spacing w:before="31"/>
        <w:ind w:left="1166" w:right="0" w:firstLine="0"/>
        <w:jc w:val="left"/>
        <w:rPr>
          <w:rFonts w:ascii="Calibri"/>
          <w:sz w:val="10"/>
        </w:rPr>
      </w:pPr>
      <w:r>
        <w:rPr/>
        <w:drawing>
          <wp:anchor distT="0" distB="0" distL="0" distR="0" allowOverlap="1" layoutInCell="1" locked="0" behindDoc="0" simplePos="0" relativeHeight="252248064">
            <wp:simplePos x="0" y="0"/>
            <wp:positionH relativeFrom="page">
              <wp:posOffset>4945334</wp:posOffset>
            </wp:positionH>
            <wp:positionV relativeFrom="paragraph">
              <wp:posOffset>9314</wp:posOffset>
            </wp:positionV>
            <wp:extent cx="136424" cy="1509145"/>
            <wp:effectExtent l="0" t="0" r="0" b="0"/>
            <wp:wrapNone/>
            <wp:docPr id="103" name="image75.png"/>
            <wp:cNvGraphicFramePr>
              <a:graphicFrameLocks noChangeAspect="1"/>
            </wp:cNvGraphicFramePr>
            <a:graphic>
              <a:graphicData uri="http://schemas.openxmlformats.org/drawingml/2006/picture">
                <pic:pic>
                  <pic:nvPicPr>
                    <pic:cNvPr id="104" name="image75.png"/>
                    <pic:cNvPicPr/>
                  </pic:nvPicPr>
                  <pic:blipFill>
                    <a:blip r:embed="rId97" cstate="print"/>
                    <a:stretch>
                      <a:fillRect/>
                    </a:stretch>
                  </pic:blipFill>
                  <pic:spPr>
                    <a:xfrm>
                      <a:off x="0" y="0"/>
                      <a:ext cx="136424" cy="1509145"/>
                    </a:xfrm>
                    <a:prstGeom prst="rect">
                      <a:avLst/>
                    </a:prstGeom>
                  </pic:spPr>
                </pic:pic>
              </a:graphicData>
            </a:graphic>
          </wp:anchor>
        </w:drawing>
      </w:r>
      <w:r>
        <w:rPr>
          <w:rFonts w:ascii="Calibri"/>
          <w:w w:val="105"/>
          <w:sz w:val="10"/>
        </w:rPr>
        <w:t>A - IS Studying</w:t>
      </w:r>
    </w:p>
    <w:p>
      <w:pPr>
        <w:spacing w:line="273" w:lineRule="auto" w:before="17"/>
        <w:ind w:left="1166" w:right="3089" w:firstLine="0"/>
        <w:jc w:val="left"/>
        <w:rPr>
          <w:rFonts w:ascii="Calibri"/>
          <w:sz w:val="10"/>
        </w:rPr>
      </w:pPr>
      <w:r>
        <w:rPr>
          <w:rFonts w:ascii="Calibri"/>
          <w:w w:val="105"/>
          <w:sz w:val="10"/>
        </w:rPr>
        <w:t>B - IS Working Age C - IS Parents</w:t>
      </w:r>
    </w:p>
    <w:p>
      <w:pPr>
        <w:spacing w:before="1"/>
        <w:ind w:left="1166" w:right="0" w:firstLine="0"/>
        <w:jc w:val="left"/>
        <w:rPr>
          <w:rFonts w:ascii="Calibri"/>
          <w:sz w:val="10"/>
        </w:rPr>
      </w:pPr>
      <w:r>
        <w:rPr>
          <w:rFonts w:ascii="Calibri"/>
          <w:w w:val="105"/>
          <w:sz w:val="10"/>
        </w:rPr>
        <w:t>D - IS Carer</w:t>
      </w:r>
    </w:p>
    <w:p>
      <w:pPr>
        <w:spacing w:line="273" w:lineRule="auto" w:before="17"/>
        <w:ind w:left="1166" w:right="3253" w:firstLine="0"/>
        <w:jc w:val="left"/>
        <w:rPr>
          <w:rFonts w:ascii="Calibri"/>
          <w:sz w:val="10"/>
        </w:rPr>
      </w:pPr>
      <w:r>
        <w:rPr>
          <w:rFonts w:ascii="Calibri"/>
          <w:w w:val="105"/>
          <w:sz w:val="10"/>
        </w:rPr>
        <w:t>E - IS Disability F - IS Age</w:t>
      </w:r>
    </w:p>
    <w:p>
      <w:pPr>
        <w:spacing w:line="273" w:lineRule="auto" w:before="0"/>
        <w:ind w:left="1166" w:right="3153" w:firstLine="0"/>
        <w:jc w:val="left"/>
        <w:rPr>
          <w:rFonts w:ascii="Calibri"/>
          <w:sz w:val="10"/>
        </w:rPr>
      </w:pPr>
      <w:r>
        <w:rPr>
          <w:rFonts w:ascii="Calibri"/>
          <w:w w:val="105"/>
          <w:sz w:val="10"/>
        </w:rPr>
        <w:t>G - IS Dependant H - Other FTB</w:t>
      </w:r>
    </w:p>
    <w:p>
      <w:pPr>
        <w:spacing w:before="1"/>
        <w:ind w:left="1166" w:right="0" w:firstLine="0"/>
        <w:jc w:val="left"/>
        <w:rPr>
          <w:rFonts w:ascii="Calibri"/>
          <w:sz w:val="10"/>
        </w:rPr>
      </w:pPr>
      <w:r>
        <w:rPr>
          <w:rFonts w:ascii="Calibri"/>
          <w:w w:val="105"/>
          <w:sz w:val="10"/>
        </w:rPr>
        <w:t>I - Other Family</w:t>
      </w:r>
    </w:p>
    <w:p>
      <w:pPr>
        <w:spacing w:before="17"/>
        <w:ind w:left="1166" w:right="0" w:firstLine="0"/>
        <w:jc w:val="left"/>
        <w:rPr>
          <w:rFonts w:ascii="Calibri"/>
          <w:sz w:val="10"/>
        </w:rPr>
      </w:pPr>
      <w:r>
        <w:rPr>
          <w:rFonts w:ascii="Calibri"/>
          <w:w w:val="105"/>
          <w:sz w:val="10"/>
        </w:rPr>
        <w:t>J - Other New Parents</w:t>
      </w:r>
    </w:p>
    <w:p>
      <w:pPr>
        <w:spacing w:line="273" w:lineRule="auto" w:before="17"/>
        <w:ind w:left="1166" w:right="2685" w:firstLine="0"/>
        <w:jc w:val="left"/>
        <w:rPr>
          <w:rFonts w:ascii="Calibri"/>
          <w:sz w:val="10"/>
        </w:rPr>
      </w:pPr>
      <w:r>
        <w:rPr>
          <w:rFonts w:ascii="Calibri"/>
          <w:w w:val="105"/>
          <w:sz w:val="10"/>
        </w:rPr>
        <w:t>L - Other Health &amp; Disability M - Other Carer</w:t>
      </w:r>
    </w:p>
    <w:p>
      <w:pPr>
        <w:spacing w:before="1"/>
        <w:ind w:left="1166" w:right="0" w:firstLine="0"/>
        <w:jc w:val="left"/>
        <w:rPr>
          <w:rFonts w:ascii="Calibri"/>
          <w:sz w:val="10"/>
        </w:rPr>
      </w:pPr>
      <w:r>
        <w:rPr>
          <w:rFonts w:ascii="Calibri"/>
          <w:w w:val="105"/>
          <w:sz w:val="10"/>
        </w:rPr>
        <w:t>N - Other Study &amp; Skills</w:t>
      </w:r>
    </w:p>
    <w:p>
      <w:pPr>
        <w:spacing w:line="273" w:lineRule="auto" w:before="17"/>
        <w:ind w:left="1166" w:right="2634" w:firstLine="0"/>
        <w:jc w:val="both"/>
        <w:rPr>
          <w:rFonts w:ascii="Calibri"/>
          <w:sz w:val="10"/>
        </w:rPr>
      </w:pPr>
      <w:r>
        <w:rPr>
          <w:rFonts w:ascii="Calibri"/>
          <w:w w:val="105"/>
          <w:sz w:val="10"/>
        </w:rPr>
        <w:t>O - Other Remote &amp; Regional P - Other General Allowances Q - All Other</w:t>
      </w:r>
    </w:p>
    <w:p>
      <w:pPr>
        <w:spacing w:before="1"/>
        <w:ind w:left="1166" w:right="0" w:firstLine="0"/>
        <w:jc w:val="both"/>
        <w:rPr>
          <w:rFonts w:ascii="Calibri"/>
          <w:sz w:val="10"/>
        </w:rPr>
      </w:pPr>
      <w:r>
        <w:rPr>
          <w:rFonts w:ascii="Calibri"/>
          <w:w w:val="105"/>
          <w:sz w:val="10"/>
        </w:rPr>
        <w:t>R - Rent Assistance</w:t>
      </w:r>
    </w:p>
    <w:p>
      <w:pPr>
        <w:spacing w:after="0"/>
        <w:jc w:val="both"/>
        <w:rPr>
          <w:rFonts w:ascii="Calibri"/>
          <w:sz w:val="10"/>
        </w:rPr>
        <w:sectPr>
          <w:type w:val="continuous"/>
          <w:pgSz w:w="11910" w:h="16850"/>
          <w:pgMar w:top="1600" w:bottom="280" w:left="120" w:right="0"/>
          <w:cols w:num="13" w:equalWidth="0">
            <w:col w:w="1949" w:space="40"/>
            <w:col w:w="356" w:space="39"/>
            <w:col w:w="356" w:space="39"/>
            <w:col w:w="356" w:space="39"/>
            <w:col w:w="356" w:space="39"/>
            <w:col w:w="673" w:space="39"/>
            <w:col w:w="433" w:space="40"/>
            <w:col w:w="356" w:space="40"/>
            <w:col w:w="356" w:space="39"/>
            <w:col w:w="356" w:space="39"/>
            <w:col w:w="356" w:space="40"/>
            <w:col w:w="356" w:space="39"/>
            <w:col w:w="5059"/>
          </w:cols>
        </w:sectPr>
      </w:pPr>
    </w:p>
    <w:p>
      <w:pPr>
        <w:spacing w:before="46"/>
        <w:ind w:left="3318" w:right="0" w:firstLine="0"/>
        <w:jc w:val="left"/>
        <w:rPr>
          <w:rFonts w:ascii="Calibri"/>
          <w:b/>
          <w:sz w:val="14"/>
        </w:rPr>
      </w:pPr>
      <w:r>
        <w:rPr>
          <w:rFonts w:ascii="Calibri"/>
          <w:b/>
          <w:sz w:val="14"/>
        </w:rPr>
        <w:t>Average Lifetime Cost ($000s)</w:t>
      </w:r>
    </w:p>
    <w:p>
      <w:pPr>
        <w:pStyle w:val="BodyText"/>
        <w:rPr>
          <w:rFonts w:ascii="Calibri"/>
          <w:b/>
        </w:rPr>
      </w:pPr>
    </w:p>
    <w:p>
      <w:pPr>
        <w:pStyle w:val="BodyText"/>
        <w:spacing w:before="93"/>
        <w:ind w:left="900" w:right="1430"/>
      </w:pPr>
      <w:r>
        <w:rPr>
          <w:color w:val="404040"/>
        </w:rPr>
        <w:t>The vast majority of people in this class are in the age range 15 to 65. People outside of this age range are generally receiving some of the smaller payment types such as Special Benefit and Widow Allowance.</w:t>
      </w:r>
    </w:p>
    <w:p>
      <w:pPr>
        <w:spacing w:after="0"/>
        <w:sectPr>
          <w:type w:val="continuous"/>
          <w:pgSz w:w="11910" w:h="16850"/>
          <w:pgMar w:top="1600" w:bottom="280" w:left="120" w:right="0"/>
        </w:sectPr>
      </w:pPr>
    </w:p>
    <w:p>
      <w:pPr>
        <w:pStyle w:val="BodyText"/>
      </w:pPr>
    </w:p>
    <w:p>
      <w:pPr>
        <w:pStyle w:val="BodyText"/>
      </w:pPr>
    </w:p>
    <w:p>
      <w:pPr>
        <w:pStyle w:val="BodyText"/>
        <w:spacing w:before="7"/>
        <w:rPr>
          <w:sz w:val="21"/>
        </w:rPr>
      </w:pPr>
    </w:p>
    <w:p>
      <w:pPr>
        <w:pStyle w:val="BodyText"/>
        <w:spacing w:before="93"/>
        <w:ind w:left="900" w:right="1008" w:hanging="1"/>
      </w:pPr>
      <w:r>
        <w:rPr>
          <w:color w:val="404040"/>
        </w:rPr>
        <w:t>The largest part of the lifetime cost is from the Age Pension (note that we expect to see this across most of the classes). As a proportion of the total lifetime cost, the Age Pension component increases with age up to age 65, as most people under retirement age are expected to enter the Age Pension on retirement.</w:t>
      </w:r>
    </w:p>
    <w:p>
      <w:pPr>
        <w:pStyle w:val="BodyText"/>
        <w:spacing w:before="121"/>
        <w:ind w:left="900" w:right="1066" w:hanging="1"/>
      </w:pPr>
      <w:r>
        <w:rPr>
          <w:color w:val="404040"/>
        </w:rPr>
        <w:t>The other main components of the lifetime cost are for Working Age payments, Disability Support Pension, and Carer payments. Parenting, FTB and other family payments are also significant for women up to around age 50.</w:t>
      </w:r>
    </w:p>
    <w:p>
      <w:pPr>
        <w:pStyle w:val="BodyText"/>
        <w:spacing w:before="119"/>
        <w:ind w:left="900" w:right="1448"/>
      </w:pPr>
      <w:r>
        <w:rPr>
          <w:color w:val="404040"/>
        </w:rPr>
        <w:t>To further explore differences in the average lifetime costs for people within class 2, we have prepared the table below, which shows the average lifetime cost for 20 to 25 year olds currently receiving Working Age payments, split by key characteristics. We have selected a set age group to reduce the effect of age on the future lifetime cost. It is important to note that some characteristics serve as proxies for more fundamental socio-economic factors, and as such, they may not necessarily be the underlying cause of any differences observed in the average lifetime costs of individuals. Further, the variations and relativities to the average lifetime cost that have been shown may differ for other age bands.</w:t>
      </w:r>
    </w:p>
    <w:p>
      <w:pPr>
        <w:spacing w:after="0"/>
        <w:sectPr>
          <w:pgSz w:w="11910" w:h="16850"/>
          <w:pgMar w:header="572" w:footer="581" w:top="780" w:bottom="780" w:left="120" w:right="0"/>
        </w:sectPr>
      </w:pPr>
    </w:p>
    <w:p>
      <w:pPr>
        <w:pStyle w:val="BodyText"/>
      </w:pPr>
    </w:p>
    <w:p>
      <w:pPr>
        <w:pStyle w:val="BodyText"/>
      </w:pPr>
    </w:p>
    <w:p>
      <w:pPr>
        <w:pStyle w:val="BodyText"/>
        <w:spacing w:before="5"/>
        <w:rPr>
          <w:sz w:val="21"/>
        </w:rPr>
      </w:pPr>
    </w:p>
    <w:p>
      <w:pPr>
        <w:pStyle w:val="Heading9"/>
        <w:spacing w:after="44"/>
        <w:ind w:left="899" w:right="1679"/>
      </w:pPr>
      <w:r>
        <w:rPr>
          <w:color w:val="DF2F1E"/>
        </w:rPr>
        <w:t>Table 18: Average lifetime cost for 20 to 25 year old Working Age payment recipients split by key characteristics</w:t>
      </w:r>
    </w:p>
    <w:tbl>
      <w:tblPr>
        <w:tblW w:w="0" w:type="auto"/>
        <w:jc w:val="left"/>
        <w:tblInd w:w="1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05"/>
        <w:gridCol w:w="1037"/>
        <w:gridCol w:w="1658"/>
        <w:gridCol w:w="1574"/>
        <w:gridCol w:w="1608"/>
      </w:tblGrid>
      <w:tr>
        <w:trPr>
          <w:trHeight w:val="652" w:hRule="atLeast"/>
        </w:trPr>
        <w:tc>
          <w:tcPr>
            <w:tcW w:w="3905" w:type="dxa"/>
            <w:shd w:val="clear" w:color="auto" w:fill="DF2F1E"/>
          </w:tcPr>
          <w:p>
            <w:pPr>
              <w:pStyle w:val="TableParagraph"/>
              <w:spacing w:before="0"/>
              <w:rPr>
                <w:rFonts w:ascii="Times New Roman"/>
                <w:sz w:val="16"/>
              </w:rPr>
            </w:pPr>
          </w:p>
        </w:tc>
        <w:tc>
          <w:tcPr>
            <w:tcW w:w="1037" w:type="dxa"/>
            <w:shd w:val="clear" w:color="auto" w:fill="DF2F1E"/>
          </w:tcPr>
          <w:p>
            <w:pPr>
              <w:pStyle w:val="TableParagraph"/>
              <w:spacing w:before="44"/>
              <w:ind w:left="237" w:right="122" w:hanging="142"/>
              <w:rPr>
                <w:b/>
                <w:sz w:val="16"/>
              </w:rPr>
            </w:pPr>
            <w:r>
              <w:rPr>
                <w:b/>
                <w:color w:val="FFFFFF"/>
                <w:sz w:val="16"/>
              </w:rPr>
              <w:t>Number of people</w:t>
            </w:r>
          </w:p>
        </w:tc>
        <w:tc>
          <w:tcPr>
            <w:tcW w:w="1658" w:type="dxa"/>
            <w:shd w:val="clear" w:color="auto" w:fill="DF2F1E"/>
          </w:tcPr>
          <w:p>
            <w:pPr>
              <w:pStyle w:val="TableParagraph"/>
              <w:spacing w:before="44"/>
              <w:ind w:left="277" w:right="130" w:hanging="130"/>
              <w:rPr>
                <w:b/>
                <w:sz w:val="16"/>
              </w:rPr>
            </w:pPr>
            <w:r>
              <w:rPr>
                <w:b/>
                <w:color w:val="FFFFFF"/>
                <w:sz w:val="16"/>
              </w:rPr>
              <w:t>Number of people as % of cohort</w:t>
            </w:r>
          </w:p>
        </w:tc>
        <w:tc>
          <w:tcPr>
            <w:tcW w:w="1574" w:type="dxa"/>
            <w:shd w:val="clear" w:color="auto" w:fill="DF2F1E"/>
          </w:tcPr>
          <w:p>
            <w:pPr>
              <w:pStyle w:val="TableParagraph"/>
              <w:spacing w:before="44"/>
              <w:ind w:left="612" w:right="161" w:hanging="456"/>
              <w:rPr>
                <w:b/>
                <w:sz w:val="16"/>
              </w:rPr>
            </w:pPr>
            <w:r>
              <w:rPr>
                <w:b/>
                <w:color w:val="FFFFFF"/>
                <w:sz w:val="16"/>
              </w:rPr>
              <w:t>Average lifetime cost</w:t>
            </w:r>
          </w:p>
        </w:tc>
        <w:tc>
          <w:tcPr>
            <w:tcW w:w="1608" w:type="dxa"/>
            <w:shd w:val="clear" w:color="auto" w:fill="DF2F1E"/>
          </w:tcPr>
          <w:p>
            <w:pPr>
              <w:pStyle w:val="TableParagraph"/>
              <w:spacing w:before="44"/>
              <w:ind w:left="190" w:right="177"/>
              <w:jc w:val="center"/>
              <w:rPr>
                <w:b/>
                <w:sz w:val="16"/>
              </w:rPr>
            </w:pPr>
            <w:r>
              <w:rPr>
                <w:b/>
                <w:color w:val="FFFFFF"/>
                <w:sz w:val="16"/>
              </w:rPr>
              <w:t>Average lifetime cost relative to cohort</w:t>
            </w:r>
          </w:p>
        </w:tc>
      </w:tr>
      <w:tr>
        <w:trPr>
          <w:trHeight w:val="263" w:hRule="atLeast"/>
        </w:trPr>
        <w:tc>
          <w:tcPr>
            <w:tcW w:w="3905" w:type="dxa"/>
            <w:tcBorders>
              <w:left w:val="single" w:sz="4" w:space="0" w:color="DF2F1E"/>
              <w:bottom w:val="single" w:sz="4" w:space="0" w:color="DF2F1E"/>
            </w:tcBorders>
            <w:shd w:val="clear" w:color="auto" w:fill="F7DCE0"/>
          </w:tcPr>
          <w:p>
            <w:pPr>
              <w:pStyle w:val="TableParagraph"/>
              <w:spacing w:before="34"/>
              <w:ind w:left="107"/>
              <w:rPr>
                <w:b/>
                <w:sz w:val="16"/>
              </w:rPr>
            </w:pPr>
            <w:r>
              <w:rPr>
                <w:b/>
                <w:color w:val="404040"/>
                <w:sz w:val="16"/>
              </w:rPr>
              <w:t>Total</w:t>
            </w:r>
          </w:p>
        </w:tc>
        <w:tc>
          <w:tcPr>
            <w:tcW w:w="1037" w:type="dxa"/>
            <w:tcBorders>
              <w:bottom w:val="single" w:sz="4" w:space="0" w:color="DF2F1E"/>
            </w:tcBorders>
            <w:shd w:val="clear" w:color="auto" w:fill="F7DCE0"/>
          </w:tcPr>
          <w:p>
            <w:pPr>
              <w:pStyle w:val="TableParagraph"/>
              <w:spacing w:before="34"/>
              <w:ind w:right="250"/>
              <w:jc w:val="right"/>
              <w:rPr>
                <w:b/>
                <w:sz w:val="16"/>
              </w:rPr>
            </w:pPr>
            <w:r>
              <w:rPr>
                <w:b/>
                <w:color w:val="404040"/>
                <w:sz w:val="16"/>
              </w:rPr>
              <w:t>213,000</w:t>
            </w:r>
          </w:p>
        </w:tc>
        <w:tc>
          <w:tcPr>
            <w:tcW w:w="1658" w:type="dxa"/>
            <w:tcBorders>
              <w:bottom w:val="single" w:sz="4" w:space="0" w:color="DF2F1E"/>
            </w:tcBorders>
            <w:shd w:val="clear" w:color="auto" w:fill="F7DCE0"/>
          </w:tcPr>
          <w:p>
            <w:pPr>
              <w:pStyle w:val="TableParagraph"/>
              <w:spacing w:before="34"/>
              <w:ind w:left="623"/>
              <w:rPr>
                <w:b/>
                <w:sz w:val="16"/>
              </w:rPr>
            </w:pPr>
            <w:r>
              <w:rPr>
                <w:b/>
                <w:color w:val="404040"/>
                <w:sz w:val="16"/>
              </w:rPr>
              <w:t>100%</w:t>
            </w:r>
          </w:p>
        </w:tc>
        <w:tc>
          <w:tcPr>
            <w:tcW w:w="1574" w:type="dxa"/>
            <w:tcBorders>
              <w:bottom w:val="single" w:sz="4" w:space="0" w:color="DF2F1E"/>
            </w:tcBorders>
            <w:shd w:val="clear" w:color="auto" w:fill="F7DCE0"/>
          </w:tcPr>
          <w:p>
            <w:pPr>
              <w:pStyle w:val="TableParagraph"/>
              <w:spacing w:before="34"/>
              <w:ind w:left="468" w:right="487"/>
              <w:jc w:val="center"/>
              <w:rPr>
                <w:b/>
                <w:sz w:val="16"/>
              </w:rPr>
            </w:pPr>
            <w:r>
              <w:rPr>
                <w:b/>
                <w:color w:val="404040"/>
                <w:sz w:val="16"/>
              </w:rPr>
              <w:t>343,000</w:t>
            </w:r>
          </w:p>
        </w:tc>
        <w:tc>
          <w:tcPr>
            <w:tcW w:w="1608" w:type="dxa"/>
            <w:tcBorders>
              <w:bottom w:val="single" w:sz="4" w:space="0" w:color="DF2F1E"/>
              <w:right w:val="single" w:sz="4" w:space="0" w:color="DF2F1E"/>
            </w:tcBorders>
            <w:shd w:val="clear" w:color="auto" w:fill="F7DCE0"/>
          </w:tcPr>
          <w:p>
            <w:pPr>
              <w:pStyle w:val="TableParagraph"/>
              <w:spacing w:before="34"/>
              <w:ind w:left="581" w:right="570"/>
              <w:jc w:val="center"/>
              <w:rPr>
                <w:b/>
                <w:sz w:val="16"/>
              </w:rPr>
            </w:pPr>
            <w:r>
              <w:rPr>
                <w:b/>
                <w:color w:val="404040"/>
                <w:sz w:val="16"/>
              </w:rPr>
              <w:t>100%</w:t>
            </w:r>
          </w:p>
        </w:tc>
      </w:tr>
      <w:tr>
        <w:trPr>
          <w:trHeight w:val="262" w:hRule="atLeast"/>
        </w:trPr>
        <w:tc>
          <w:tcPr>
            <w:tcW w:w="3905" w:type="dxa"/>
            <w:tcBorders>
              <w:top w:val="single" w:sz="4" w:space="0" w:color="DF2F1E"/>
              <w:left w:val="single" w:sz="4" w:space="0" w:color="DF2F1E"/>
            </w:tcBorders>
          </w:tcPr>
          <w:p>
            <w:pPr>
              <w:pStyle w:val="TableParagraph"/>
              <w:spacing w:before="34"/>
              <w:ind w:left="107"/>
              <w:rPr>
                <w:b/>
                <w:sz w:val="16"/>
              </w:rPr>
            </w:pPr>
            <w:r>
              <w:rPr>
                <w:b/>
                <w:color w:val="404040"/>
                <w:sz w:val="16"/>
              </w:rPr>
              <w:t>Exemption at year end</w:t>
            </w:r>
          </w:p>
        </w:tc>
        <w:tc>
          <w:tcPr>
            <w:tcW w:w="1037" w:type="dxa"/>
            <w:tcBorders>
              <w:top w:val="single" w:sz="4" w:space="0" w:color="DF2F1E"/>
            </w:tcBorders>
          </w:tcPr>
          <w:p>
            <w:pPr>
              <w:pStyle w:val="TableParagraph"/>
              <w:spacing w:before="0"/>
              <w:rPr>
                <w:rFonts w:ascii="Times New Roman"/>
                <w:sz w:val="16"/>
              </w:rPr>
            </w:pPr>
          </w:p>
        </w:tc>
        <w:tc>
          <w:tcPr>
            <w:tcW w:w="1658" w:type="dxa"/>
            <w:tcBorders>
              <w:top w:val="single" w:sz="4" w:space="0" w:color="DF2F1E"/>
            </w:tcBorders>
          </w:tcPr>
          <w:p>
            <w:pPr>
              <w:pStyle w:val="TableParagraph"/>
              <w:spacing w:before="0"/>
              <w:rPr>
                <w:rFonts w:ascii="Times New Roman"/>
                <w:sz w:val="16"/>
              </w:rPr>
            </w:pPr>
          </w:p>
        </w:tc>
        <w:tc>
          <w:tcPr>
            <w:tcW w:w="1574" w:type="dxa"/>
            <w:tcBorders>
              <w:top w:val="single" w:sz="4" w:space="0" w:color="DF2F1E"/>
            </w:tcBorders>
          </w:tcPr>
          <w:p>
            <w:pPr>
              <w:pStyle w:val="TableParagraph"/>
              <w:spacing w:before="0"/>
              <w:rPr>
                <w:rFonts w:ascii="Times New Roman"/>
                <w:sz w:val="16"/>
              </w:rPr>
            </w:pPr>
          </w:p>
        </w:tc>
        <w:tc>
          <w:tcPr>
            <w:tcW w:w="1608" w:type="dxa"/>
            <w:tcBorders>
              <w:top w:val="single" w:sz="4" w:space="0" w:color="DF2F1E"/>
              <w:right w:val="single" w:sz="4" w:space="0" w:color="DF2F1E"/>
            </w:tcBorders>
          </w:tcPr>
          <w:p>
            <w:pPr>
              <w:pStyle w:val="TableParagraph"/>
              <w:spacing w:before="0"/>
              <w:rPr>
                <w:rFonts w:ascii="Times New Roman"/>
                <w:sz w:val="16"/>
              </w:rPr>
            </w:pPr>
          </w:p>
        </w:tc>
      </w:tr>
      <w:tr>
        <w:trPr>
          <w:trHeight w:val="265" w:hRule="atLeast"/>
        </w:trPr>
        <w:tc>
          <w:tcPr>
            <w:tcW w:w="3905" w:type="dxa"/>
            <w:tcBorders>
              <w:left w:val="single" w:sz="4" w:space="0" w:color="DF2F1E"/>
            </w:tcBorders>
          </w:tcPr>
          <w:p>
            <w:pPr>
              <w:pStyle w:val="TableParagraph"/>
              <w:spacing w:before="39"/>
              <w:ind w:left="287"/>
              <w:rPr>
                <w:b/>
                <w:i/>
                <w:sz w:val="16"/>
              </w:rPr>
            </w:pPr>
            <w:r>
              <w:rPr>
                <w:b/>
                <w:i/>
                <w:color w:val="404040"/>
                <w:sz w:val="16"/>
              </w:rPr>
              <w:t>- No exemption at year end</w:t>
            </w:r>
          </w:p>
        </w:tc>
        <w:tc>
          <w:tcPr>
            <w:tcW w:w="1037" w:type="dxa"/>
          </w:tcPr>
          <w:p>
            <w:pPr>
              <w:pStyle w:val="TableParagraph"/>
              <w:spacing w:before="39"/>
              <w:ind w:right="250"/>
              <w:jc w:val="right"/>
              <w:rPr>
                <w:sz w:val="16"/>
              </w:rPr>
            </w:pPr>
            <w:r>
              <w:rPr>
                <w:color w:val="404040"/>
                <w:sz w:val="16"/>
              </w:rPr>
              <w:t>201,000</w:t>
            </w:r>
          </w:p>
        </w:tc>
        <w:tc>
          <w:tcPr>
            <w:tcW w:w="1658" w:type="dxa"/>
          </w:tcPr>
          <w:p>
            <w:pPr>
              <w:pStyle w:val="TableParagraph"/>
              <w:spacing w:before="39"/>
              <w:ind w:left="669"/>
              <w:rPr>
                <w:sz w:val="16"/>
              </w:rPr>
            </w:pPr>
            <w:r>
              <w:rPr>
                <w:color w:val="404040"/>
                <w:sz w:val="16"/>
              </w:rPr>
              <w:t>94%</w:t>
            </w:r>
          </w:p>
        </w:tc>
        <w:tc>
          <w:tcPr>
            <w:tcW w:w="1574" w:type="dxa"/>
          </w:tcPr>
          <w:p>
            <w:pPr>
              <w:pStyle w:val="TableParagraph"/>
              <w:spacing w:before="39"/>
              <w:ind w:left="468" w:right="487"/>
              <w:jc w:val="center"/>
              <w:rPr>
                <w:sz w:val="16"/>
              </w:rPr>
            </w:pPr>
            <w:r>
              <w:rPr>
                <w:color w:val="404040"/>
                <w:sz w:val="16"/>
              </w:rPr>
              <w:t>338,000</w:t>
            </w:r>
          </w:p>
        </w:tc>
        <w:tc>
          <w:tcPr>
            <w:tcW w:w="1608" w:type="dxa"/>
            <w:tcBorders>
              <w:right w:val="single" w:sz="4" w:space="0" w:color="DF2F1E"/>
            </w:tcBorders>
          </w:tcPr>
          <w:p>
            <w:pPr>
              <w:pStyle w:val="TableParagraph"/>
              <w:spacing w:before="39"/>
              <w:ind w:left="581" w:right="568"/>
              <w:jc w:val="center"/>
              <w:rPr>
                <w:sz w:val="16"/>
              </w:rPr>
            </w:pPr>
            <w:r>
              <w:rPr>
                <w:color w:val="404040"/>
                <w:sz w:val="16"/>
              </w:rPr>
              <w:t>98%</w:t>
            </w:r>
          </w:p>
        </w:tc>
      </w:tr>
      <w:tr>
        <w:trPr>
          <w:trHeight w:val="264" w:hRule="atLeast"/>
        </w:trPr>
        <w:tc>
          <w:tcPr>
            <w:tcW w:w="3905" w:type="dxa"/>
            <w:tcBorders>
              <w:left w:val="single" w:sz="4" w:space="0" w:color="DF2F1E"/>
              <w:bottom w:val="single" w:sz="4" w:space="0" w:color="DF2F1E"/>
            </w:tcBorders>
          </w:tcPr>
          <w:p>
            <w:pPr>
              <w:pStyle w:val="TableParagraph"/>
              <w:ind w:left="287"/>
              <w:rPr>
                <w:b/>
                <w:i/>
                <w:sz w:val="16"/>
              </w:rPr>
            </w:pPr>
            <w:r>
              <w:rPr>
                <w:b/>
                <w:i/>
                <w:color w:val="404040"/>
                <w:sz w:val="16"/>
              </w:rPr>
              <w:t>- With exemption at year end</w:t>
            </w:r>
          </w:p>
        </w:tc>
        <w:tc>
          <w:tcPr>
            <w:tcW w:w="1037" w:type="dxa"/>
            <w:tcBorders>
              <w:bottom w:val="single" w:sz="4" w:space="0" w:color="DF2F1E"/>
            </w:tcBorders>
          </w:tcPr>
          <w:p>
            <w:pPr>
              <w:pStyle w:val="TableParagraph"/>
              <w:ind w:right="293"/>
              <w:jc w:val="right"/>
              <w:rPr>
                <w:sz w:val="16"/>
              </w:rPr>
            </w:pPr>
            <w:r>
              <w:rPr>
                <w:color w:val="404040"/>
                <w:sz w:val="16"/>
              </w:rPr>
              <w:t>12,000</w:t>
            </w:r>
          </w:p>
        </w:tc>
        <w:tc>
          <w:tcPr>
            <w:tcW w:w="1658" w:type="dxa"/>
            <w:tcBorders>
              <w:bottom w:val="single" w:sz="4" w:space="0" w:color="DF2F1E"/>
            </w:tcBorders>
          </w:tcPr>
          <w:p>
            <w:pPr>
              <w:pStyle w:val="TableParagraph"/>
              <w:ind w:left="712"/>
              <w:rPr>
                <w:sz w:val="16"/>
              </w:rPr>
            </w:pPr>
            <w:r>
              <w:rPr>
                <w:color w:val="404040"/>
                <w:sz w:val="16"/>
              </w:rPr>
              <w:t>6%</w:t>
            </w:r>
          </w:p>
        </w:tc>
        <w:tc>
          <w:tcPr>
            <w:tcW w:w="1574" w:type="dxa"/>
            <w:tcBorders>
              <w:bottom w:val="single" w:sz="4" w:space="0" w:color="DF2F1E"/>
            </w:tcBorders>
          </w:tcPr>
          <w:p>
            <w:pPr>
              <w:pStyle w:val="TableParagraph"/>
              <w:ind w:left="468" w:right="487"/>
              <w:jc w:val="center"/>
              <w:rPr>
                <w:sz w:val="16"/>
              </w:rPr>
            </w:pPr>
            <w:r>
              <w:rPr>
                <w:color w:val="404040"/>
                <w:sz w:val="16"/>
              </w:rPr>
              <w:t>430,000</w:t>
            </w:r>
          </w:p>
        </w:tc>
        <w:tc>
          <w:tcPr>
            <w:tcW w:w="1608" w:type="dxa"/>
            <w:tcBorders>
              <w:bottom w:val="single" w:sz="4" w:space="0" w:color="DF2F1E"/>
              <w:right w:val="single" w:sz="4" w:space="0" w:color="DF2F1E"/>
            </w:tcBorders>
          </w:tcPr>
          <w:p>
            <w:pPr>
              <w:pStyle w:val="TableParagraph"/>
              <w:ind w:left="581" w:right="570"/>
              <w:jc w:val="center"/>
              <w:rPr>
                <w:sz w:val="16"/>
              </w:rPr>
            </w:pPr>
            <w:r>
              <w:rPr>
                <w:color w:val="404040"/>
                <w:sz w:val="16"/>
              </w:rPr>
              <w:t>125%</w:t>
            </w:r>
          </w:p>
        </w:tc>
      </w:tr>
      <w:tr>
        <w:trPr>
          <w:trHeight w:val="262" w:hRule="atLeast"/>
        </w:trPr>
        <w:tc>
          <w:tcPr>
            <w:tcW w:w="3905" w:type="dxa"/>
            <w:tcBorders>
              <w:top w:val="single" w:sz="4" w:space="0" w:color="DF2F1E"/>
              <w:left w:val="single" w:sz="4" w:space="0" w:color="DF2F1E"/>
            </w:tcBorders>
          </w:tcPr>
          <w:p>
            <w:pPr>
              <w:pStyle w:val="TableParagraph"/>
              <w:spacing w:before="34"/>
              <w:ind w:left="107"/>
              <w:rPr>
                <w:b/>
                <w:sz w:val="16"/>
              </w:rPr>
            </w:pPr>
            <w:r>
              <w:rPr>
                <w:b/>
                <w:color w:val="404040"/>
                <w:sz w:val="16"/>
              </w:rPr>
              <w:t>Earnings</w:t>
            </w:r>
          </w:p>
        </w:tc>
        <w:tc>
          <w:tcPr>
            <w:tcW w:w="1037" w:type="dxa"/>
            <w:tcBorders>
              <w:top w:val="single" w:sz="4" w:space="0" w:color="DF2F1E"/>
            </w:tcBorders>
          </w:tcPr>
          <w:p>
            <w:pPr>
              <w:pStyle w:val="TableParagraph"/>
              <w:spacing w:before="0"/>
              <w:rPr>
                <w:rFonts w:ascii="Times New Roman"/>
                <w:sz w:val="16"/>
              </w:rPr>
            </w:pPr>
          </w:p>
        </w:tc>
        <w:tc>
          <w:tcPr>
            <w:tcW w:w="1658" w:type="dxa"/>
            <w:tcBorders>
              <w:top w:val="single" w:sz="4" w:space="0" w:color="DF2F1E"/>
            </w:tcBorders>
          </w:tcPr>
          <w:p>
            <w:pPr>
              <w:pStyle w:val="TableParagraph"/>
              <w:spacing w:before="0"/>
              <w:rPr>
                <w:rFonts w:ascii="Times New Roman"/>
                <w:sz w:val="16"/>
              </w:rPr>
            </w:pPr>
          </w:p>
        </w:tc>
        <w:tc>
          <w:tcPr>
            <w:tcW w:w="1574" w:type="dxa"/>
            <w:tcBorders>
              <w:top w:val="single" w:sz="4" w:space="0" w:color="DF2F1E"/>
            </w:tcBorders>
          </w:tcPr>
          <w:p>
            <w:pPr>
              <w:pStyle w:val="TableParagraph"/>
              <w:spacing w:before="0"/>
              <w:rPr>
                <w:rFonts w:ascii="Times New Roman"/>
                <w:sz w:val="16"/>
              </w:rPr>
            </w:pPr>
          </w:p>
        </w:tc>
        <w:tc>
          <w:tcPr>
            <w:tcW w:w="1608" w:type="dxa"/>
            <w:tcBorders>
              <w:top w:val="single" w:sz="4" w:space="0" w:color="DF2F1E"/>
              <w:right w:val="single" w:sz="4" w:space="0" w:color="DF2F1E"/>
            </w:tcBorders>
          </w:tcPr>
          <w:p>
            <w:pPr>
              <w:pStyle w:val="TableParagraph"/>
              <w:spacing w:before="0"/>
              <w:rPr>
                <w:rFonts w:ascii="Times New Roman"/>
                <w:sz w:val="16"/>
              </w:rPr>
            </w:pPr>
          </w:p>
        </w:tc>
      </w:tr>
      <w:tr>
        <w:trPr>
          <w:trHeight w:val="265" w:hRule="atLeast"/>
        </w:trPr>
        <w:tc>
          <w:tcPr>
            <w:tcW w:w="3905" w:type="dxa"/>
            <w:tcBorders>
              <w:left w:val="single" w:sz="4" w:space="0" w:color="DF2F1E"/>
            </w:tcBorders>
          </w:tcPr>
          <w:p>
            <w:pPr>
              <w:pStyle w:val="TableParagraph"/>
              <w:spacing w:before="39"/>
              <w:ind w:left="287"/>
              <w:rPr>
                <w:b/>
                <w:i/>
                <w:sz w:val="16"/>
              </w:rPr>
            </w:pPr>
            <w:r>
              <w:rPr>
                <w:b/>
                <w:i/>
                <w:color w:val="404040"/>
                <w:sz w:val="16"/>
              </w:rPr>
              <w:t>- No earnings</w:t>
            </w:r>
          </w:p>
        </w:tc>
        <w:tc>
          <w:tcPr>
            <w:tcW w:w="1037" w:type="dxa"/>
          </w:tcPr>
          <w:p>
            <w:pPr>
              <w:pStyle w:val="TableParagraph"/>
              <w:spacing w:before="39"/>
              <w:ind w:right="293"/>
              <w:jc w:val="right"/>
              <w:rPr>
                <w:sz w:val="16"/>
              </w:rPr>
            </w:pPr>
            <w:r>
              <w:rPr>
                <w:color w:val="404040"/>
                <w:sz w:val="16"/>
              </w:rPr>
              <w:t>99,000</w:t>
            </w:r>
          </w:p>
        </w:tc>
        <w:tc>
          <w:tcPr>
            <w:tcW w:w="1658" w:type="dxa"/>
          </w:tcPr>
          <w:p>
            <w:pPr>
              <w:pStyle w:val="TableParagraph"/>
              <w:spacing w:before="39"/>
              <w:ind w:left="669"/>
              <w:rPr>
                <w:sz w:val="16"/>
              </w:rPr>
            </w:pPr>
            <w:r>
              <w:rPr>
                <w:color w:val="404040"/>
                <w:sz w:val="16"/>
              </w:rPr>
              <w:t>46%</w:t>
            </w:r>
          </w:p>
        </w:tc>
        <w:tc>
          <w:tcPr>
            <w:tcW w:w="1574" w:type="dxa"/>
          </w:tcPr>
          <w:p>
            <w:pPr>
              <w:pStyle w:val="TableParagraph"/>
              <w:spacing w:before="39"/>
              <w:ind w:left="468" w:right="487"/>
              <w:jc w:val="center"/>
              <w:rPr>
                <w:sz w:val="16"/>
              </w:rPr>
            </w:pPr>
            <w:r>
              <w:rPr>
                <w:color w:val="404040"/>
                <w:sz w:val="16"/>
              </w:rPr>
              <w:t>373,000</w:t>
            </w:r>
          </w:p>
        </w:tc>
        <w:tc>
          <w:tcPr>
            <w:tcW w:w="1608" w:type="dxa"/>
            <w:tcBorders>
              <w:right w:val="single" w:sz="4" w:space="0" w:color="DF2F1E"/>
            </w:tcBorders>
          </w:tcPr>
          <w:p>
            <w:pPr>
              <w:pStyle w:val="TableParagraph"/>
              <w:spacing w:before="39"/>
              <w:ind w:left="581" w:right="570"/>
              <w:jc w:val="center"/>
              <w:rPr>
                <w:sz w:val="16"/>
              </w:rPr>
            </w:pPr>
            <w:r>
              <w:rPr>
                <w:color w:val="404040"/>
                <w:sz w:val="16"/>
              </w:rPr>
              <w:t>109%</w:t>
            </w:r>
          </w:p>
        </w:tc>
      </w:tr>
      <w:tr>
        <w:trPr>
          <w:trHeight w:val="264" w:hRule="atLeast"/>
        </w:trPr>
        <w:tc>
          <w:tcPr>
            <w:tcW w:w="3905" w:type="dxa"/>
            <w:tcBorders>
              <w:left w:val="single" w:sz="4" w:space="0" w:color="DF2F1E"/>
              <w:bottom w:val="single" w:sz="4" w:space="0" w:color="DF2F1E"/>
            </w:tcBorders>
          </w:tcPr>
          <w:p>
            <w:pPr>
              <w:pStyle w:val="TableParagraph"/>
              <w:ind w:left="287"/>
              <w:rPr>
                <w:b/>
                <w:i/>
                <w:sz w:val="16"/>
              </w:rPr>
            </w:pPr>
            <w:r>
              <w:rPr>
                <w:b/>
                <w:i/>
                <w:color w:val="404040"/>
                <w:sz w:val="16"/>
              </w:rPr>
              <w:t>- Has earnings</w:t>
            </w:r>
          </w:p>
        </w:tc>
        <w:tc>
          <w:tcPr>
            <w:tcW w:w="1037" w:type="dxa"/>
            <w:tcBorders>
              <w:bottom w:val="single" w:sz="4" w:space="0" w:color="DF2F1E"/>
            </w:tcBorders>
          </w:tcPr>
          <w:p>
            <w:pPr>
              <w:pStyle w:val="TableParagraph"/>
              <w:ind w:right="250"/>
              <w:jc w:val="right"/>
              <w:rPr>
                <w:sz w:val="16"/>
              </w:rPr>
            </w:pPr>
            <w:r>
              <w:rPr>
                <w:color w:val="404040"/>
                <w:sz w:val="16"/>
              </w:rPr>
              <w:t>114,000</w:t>
            </w:r>
          </w:p>
        </w:tc>
        <w:tc>
          <w:tcPr>
            <w:tcW w:w="1658" w:type="dxa"/>
            <w:tcBorders>
              <w:bottom w:val="single" w:sz="4" w:space="0" w:color="DF2F1E"/>
            </w:tcBorders>
          </w:tcPr>
          <w:p>
            <w:pPr>
              <w:pStyle w:val="TableParagraph"/>
              <w:ind w:left="669"/>
              <w:rPr>
                <w:sz w:val="16"/>
              </w:rPr>
            </w:pPr>
            <w:r>
              <w:rPr>
                <w:color w:val="404040"/>
                <w:sz w:val="16"/>
              </w:rPr>
              <w:t>54%</w:t>
            </w:r>
          </w:p>
        </w:tc>
        <w:tc>
          <w:tcPr>
            <w:tcW w:w="1574" w:type="dxa"/>
            <w:tcBorders>
              <w:bottom w:val="single" w:sz="4" w:space="0" w:color="DF2F1E"/>
            </w:tcBorders>
          </w:tcPr>
          <w:p>
            <w:pPr>
              <w:pStyle w:val="TableParagraph"/>
              <w:ind w:left="468" w:right="487"/>
              <w:jc w:val="center"/>
              <w:rPr>
                <w:sz w:val="16"/>
              </w:rPr>
            </w:pPr>
            <w:r>
              <w:rPr>
                <w:color w:val="404040"/>
                <w:sz w:val="16"/>
              </w:rPr>
              <w:t>318,000</w:t>
            </w:r>
          </w:p>
        </w:tc>
        <w:tc>
          <w:tcPr>
            <w:tcW w:w="1608" w:type="dxa"/>
            <w:tcBorders>
              <w:bottom w:val="single" w:sz="4" w:space="0" w:color="DF2F1E"/>
              <w:right w:val="single" w:sz="4" w:space="0" w:color="DF2F1E"/>
            </w:tcBorders>
          </w:tcPr>
          <w:p>
            <w:pPr>
              <w:pStyle w:val="TableParagraph"/>
              <w:ind w:left="581" w:right="568"/>
              <w:jc w:val="center"/>
              <w:rPr>
                <w:sz w:val="16"/>
              </w:rPr>
            </w:pPr>
            <w:r>
              <w:rPr>
                <w:color w:val="404040"/>
                <w:sz w:val="16"/>
              </w:rPr>
              <w:t>92%</w:t>
            </w:r>
          </w:p>
        </w:tc>
      </w:tr>
      <w:tr>
        <w:trPr>
          <w:trHeight w:val="262" w:hRule="atLeast"/>
        </w:trPr>
        <w:tc>
          <w:tcPr>
            <w:tcW w:w="3905" w:type="dxa"/>
            <w:tcBorders>
              <w:top w:val="single" w:sz="4" w:space="0" w:color="DF2F1E"/>
              <w:left w:val="single" w:sz="4" w:space="0" w:color="DF2F1E"/>
            </w:tcBorders>
          </w:tcPr>
          <w:p>
            <w:pPr>
              <w:pStyle w:val="TableParagraph"/>
              <w:spacing w:before="34"/>
              <w:ind w:left="107"/>
              <w:rPr>
                <w:b/>
                <w:sz w:val="16"/>
              </w:rPr>
            </w:pPr>
            <w:r>
              <w:rPr>
                <w:b/>
                <w:color w:val="404040"/>
                <w:sz w:val="16"/>
              </w:rPr>
              <w:t>Payment type</w:t>
            </w:r>
          </w:p>
        </w:tc>
        <w:tc>
          <w:tcPr>
            <w:tcW w:w="1037" w:type="dxa"/>
            <w:tcBorders>
              <w:top w:val="single" w:sz="4" w:space="0" w:color="DF2F1E"/>
            </w:tcBorders>
          </w:tcPr>
          <w:p>
            <w:pPr>
              <w:pStyle w:val="TableParagraph"/>
              <w:spacing w:before="0"/>
              <w:rPr>
                <w:rFonts w:ascii="Times New Roman"/>
                <w:sz w:val="16"/>
              </w:rPr>
            </w:pPr>
          </w:p>
        </w:tc>
        <w:tc>
          <w:tcPr>
            <w:tcW w:w="1658" w:type="dxa"/>
            <w:tcBorders>
              <w:top w:val="single" w:sz="4" w:space="0" w:color="DF2F1E"/>
            </w:tcBorders>
          </w:tcPr>
          <w:p>
            <w:pPr>
              <w:pStyle w:val="TableParagraph"/>
              <w:spacing w:before="0"/>
              <w:rPr>
                <w:rFonts w:ascii="Times New Roman"/>
                <w:sz w:val="16"/>
              </w:rPr>
            </w:pPr>
          </w:p>
        </w:tc>
        <w:tc>
          <w:tcPr>
            <w:tcW w:w="1574" w:type="dxa"/>
            <w:tcBorders>
              <w:top w:val="single" w:sz="4" w:space="0" w:color="DF2F1E"/>
            </w:tcBorders>
          </w:tcPr>
          <w:p>
            <w:pPr>
              <w:pStyle w:val="TableParagraph"/>
              <w:spacing w:before="0"/>
              <w:rPr>
                <w:rFonts w:ascii="Times New Roman"/>
                <w:sz w:val="16"/>
              </w:rPr>
            </w:pPr>
          </w:p>
        </w:tc>
        <w:tc>
          <w:tcPr>
            <w:tcW w:w="1608" w:type="dxa"/>
            <w:tcBorders>
              <w:top w:val="single" w:sz="4" w:space="0" w:color="DF2F1E"/>
              <w:right w:val="single" w:sz="4" w:space="0" w:color="DF2F1E"/>
            </w:tcBorders>
          </w:tcPr>
          <w:p>
            <w:pPr>
              <w:pStyle w:val="TableParagraph"/>
              <w:spacing w:before="0"/>
              <w:rPr>
                <w:rFonts w:ascii="Times New Roman"/>
                <w:sz w:val="16"/>
              </w:rPr>
            </w:pPr>
          </w:p>
        </w:tc>
      </w:tr>
      <w:tr>
        <w:trPr>
          <w:trHeight w:val="265" w:hRule="atLeast"/>
        </w:trPr>
        <w:tc>
          <w:tcPr>
            <w:tcW w:w="3905" w:type="dxa"/>
            <w:tcBorders>
              <w:left w:val="single" w:sz="4" w:space="0" w:color="DF2F1E"/>
            </w:tcBorders>
          </w:tcPr>
          <w:p>
            <w:pPr>
              <w:pStyle w:val="TableParagraph"/>
              <w:spacing w:before="39"/>
              <w:ind w:left="287"/>
              <w:rPr>
                <w:b/>
                <w:i/>
                <w:sz w:val="16"/>
              </w:rPr>
            </w:pPr>
            <w:r>
              <w:rPr>
                <w:b/>
                <w:i/>
                <w:color w:val="404040"/>
                <w:sz w:val="16"/>
              </w:rPr>
              <w:t>- Youth Allowance (Other)</w:t>
            </w:r>
          </w:p>
        </w:tc>
        <w:tc>
          <w:tcPr>
            <w:tcW w:w="1037" w:type="dxa"/>
          </w:tcPr>
          <w:p>
            <w:pPr>
              <w:pStyle w:val="TableParagraph"/>
              <w:spacing w:before="39"/>
              <w:ind w:right="293"/>
              <w:jc w:val="right"/>
              <w:rPr>
                <w:sz w:val="16"/>
              </w:rPr>
            </w:pPr>
            <w:r>
              <w:rPr>
                <w:color w:val="404040"/>
                <w:sz w:val="16"/>
              </w:rPr>
              <w:t>78,000</w:t>
            </w:r>
          </w:p>
        </w:tc>
        <w:tc>
          <w:tcPr>
            <w:tcW w:w="1658" w:type="dxa"/>
          </w:tcPr>
          <w:p>
            <w:pPr>
              <w:pStyle w:val="TableParagraph"/>
              <w:spacing w:before="39"/>
              <w:ind w:left="669"/>
              <w:rPr>
                <w:sz w:val="16"/>
              </w:rPr>
            </w:pPr>
            <w:r>
              <w:rPr>
                <w:color w:val="404040"/>
                <w:sz w:val="16"/>
              </w:rPr>
              <w:t>37%</w:t>
            </w:r>
          </w:p>
        </w:tc>
        <w:tc>
          <w:tcPr>
            <w:tcW w:w="1574" w:type="dxa"/>
          </w:tcPr>
          <w:p>
            <w:pPr>
              <w:pStyle w:val="TableParagraph"/>
              <w:spacing w:before="39"/>
              <w:ind w:left="468" w:right="487"/>
              <w:jc w:val="center"/>
              <w:rPr>
                <w:sz w:val="16"/>
              </w:rPr>
            </w:pPr>
            <w:r>
              <w:rPr>
                <w:color w:val="404040"/>
                <w:sz w:val="16"/>
              </w:rPr>
              <w:t>341,000</w:t>
            </w:r>
          </w:p>
        </w:tc>
        <w:tc>
          <w:tcPr>
            <w:tcW w:w="1608" w:type="dxa"/>
            <w:tcBorders>
              <w:right w:val="single" w:sz="4" w:space="0" w:color="DF2F1E"/>
            </w:tcBorders>
          </w:tcPr>
          <w:p>
            <w:pPr>
              <w:pStyle w:val="TableParagraph"/>
              <w:spacing w:before="39"/>
              <w:ind w:left="581" w:right="568"/>
              <w:jc w:val="center"/>
              <w:rPr>
                <w:sz w:val="16"/>
              </w:rPr>
            </w:pPr>
            <w:r>
              <w:rPr>
                <w:color w:val="404040"/>
                <w:sz w:val="16"/>
              </w:rPr>
              <w:t>99%</w:t>
            </w:r>
          </w:p>
        </w:tc>
      </w:tr>
      <w:tr>
        <w:trPr>
          <w:trHeight w:val="264" w:hRule="atLeast"/>
        </w:trPr>
        <w:tc>
          <w:tcPr>
            <w:tcW w:w="3905" w:type="dxa"/>
            <w:tcBorders>
              <w:left w:val="single" w:sz="4" w:space="0" w:color="DF2F1E"/>
            </w:tcBorders>
          </w:tcPr>
          <w:p>
            <w:pPr>
              <w:pStyle w:val="TableParagraph"/>
              <w:ind w:left="287"/>
              <w:rPr>
                <w:b/>
                <w:i/>
                <w:sz w:val="16"/>
              </w:rPr>
            </w:pPr>
            <w:r>
              <w:rPr>
                <w:b/>
                <w:i/>
                <w:color w:val="404040"/>
                <w:sz w:val="16"/>
              </w:rPr>
              <w:t>- Newstart Allowance</w:t>
            </w:r>
          </w:p>
        </w:tc>
        <w:tc>
          <w:tcPr>
            <w:tcW w:w="1037" w:type="dxa"/>
          </w:tcPr>
          <w:p>
            <w:pPr>
              <w:pStyle w:val="TableParagraph"/>
              <w:ind w:right="250"/>
              <w:jc w:val="right"/>
              <w:rPr>
                <w:sz w:val="16"/>
              </w:rPr>
            </w:pPr>
            <w:r>
              <w:rPr>
                <w:color w:val="404040"/>
                <w:sz w:val="16"/>
              </w:rPr>
              <w:t>132,000</w:t>
            </w:r>
          </w:p>
        </w:tc>
        <w:tc>
          <w:tcPr>
            <w:tcW w:w="1658" w:type="dxa"/>
          </w:tcPr>
          <w:p>
            <w:pPr>
              <w:pStyle w:val="TableParagraph"/>
              <w:ind w:left="669"/>
              <w:rPr>
                <w:sz w:val="16"/>
              </w:rPr>
            </w:pPr>
            <w:r>
              <w:rPr>
                <w:color w:val="404040"/>
                <w:sz w:val="16"/>
              </w:rPr>
              <w:t>62%</w:t>
            </w:r>
          </w:p>
        </w:tc>
        <w:tc>
          <w:tcPr>
            <w:tcW w:w="1574" w:type="dxa"/>
          </w:tcPr>
          <w:p>
            <w:pPr>
              <w:pStyle w:val="TableParagraph"/>
              <w:ind w:left="468" w:right="487"/>
              <w:jc w:val="center"/>
              <w:rPr>
                <w:sz w:val="16"/>
              </w:rPr>
            </w:pPr>
            <w:r>
              <w:rPr>
                <w:color w:val="404040"/>
                <w:sz w:val="16"/>
              </w:rPr>
              <w:t>345,000</w:t>
            </w:r>
          </w:p>
        </w:tc>
        <w:tc>
          <w:tcPr>
            <w:tcW w:w="1608" w:type="dxa"/>
            <w:tcBorders>
              <w:right w:val="single" w:sz="4" w:space="0" w:color="DF2F1E"/>
            </w:tcBorders>
          </w:tcPr>
          <w:p>
            <w:pPr>
              <w:pStyle w:val="TableParagraph"/>
              <w:ind w:left="581" w:right="571"/>
              <w:jc w:val="center"/>
              <w:rPr>
                <w:sz w:val="16"/>
              </w:rPr>
            </w:pPr>
            <w:r>
              <w:rPr>
                <w:color w:val="404040"/>
                <w:sz w:val="16"/>
              </w:rPr>
              <w:t>101%</w:t>
            </w:r>
          </w:p>
        </w:tc>
      </w:tr>
      <w:tr>
        <w:trPr>
          <w:trHeight w:val="264" w:hRule="atLeast"/>
        </w:trPr>
        <w:tc>
          <w:tcPr>
            <w:tcW w:w="3905" w:type="dxa"/>
            <w:tcBorders>
              <w:left w:val="single" w:sz="4" w:space="0" w:color="DF2F1E"/>
              <w:bottom w:val="single" w:sz="4" w:space="0" w:color="DF2F1E"/>
            </w:tcBorders>
          </w:tcPr>
          <w:p>
            <w:pPr>
              <w:pStyle w:val="TableParagraph"/>
              <w:ind w:left="287"/>
              <w:rPr>
                <w:b/>
                <w:i/>
                <w:sz w:val="16"/>
              </w:rPr>
            </w:pPr>
            <w:r>
              <w:rPr>
                <w:b/>
                <w:i/>
                <w:color w:val="404040"/>
                <w:sz w:val="16"/>
              </w:rPr>
              <w:t>- Sickness Allowance</w:t>
            </w:r>
          </w:p>
        </w:tc>
        <w:tc>
          <w:tcPr>
            <w:tcW w:w="1037" w:type="dxa"/>
            <w:tcBorders>
              <w:bottom w:val="single" w:sz="4" w:space="0" w:color="DF2F1E"/>
            </w:tcBorders>
          </w:tcPr>
          <w:p>
            <w:pPr>
              <w:pStyle w:val="TableParagraph"/>
              <w:ind w:right="339"/>
              <w:jc w:val="right"/>
              <w:rPr>
                <w:sz w:val="16"/>
              </w:rPr>
            </w:pPr>
            <w:r>
              <w:rPr>
                <w:color w:val="404040"/>
                <w:sz w:val="16"/>
              </w:rPr>
              <w:t>2,000</w:t>
            </w:r>
          </w:p>
        </w:tc>
        <w:tc>
          <w:tcPr>
            <w:tcW w:w="1658" w:type="dxa"/>
            <w:tcBorders>
              <w:bottom w:val="single" w:sz="4" w:space="0" w:color="DF2F1E"/>
            </w:tcBorders>
          </w:tcPr>
          <w:p>
            <w:pPr>
              <w:pStyle w:val="TableParagraph"/>
              <w:ind w:left="712"/>
              <w:rPr>
                <w:sz w:val="16"/>
              </w:rPr>
            </w:pPr>
            <w:r>
              <w:rPr>
                <w:color w:val="404040"/>
                <w:sz w:val="16"/>
              </w:rPr>
              <w:t>1%</w:t>
            </w:r>
          </w:p>
        </w:tc>
        <w:tc>
          <w:tcPr>
            <w:tcW w:w="1574" w:type="dxa"/>
            <w:tcBorders>
              <w:bottom w:val="single" w:sz="4" w:space="0" w:color="DF2F1E"/>
            </w:tcBorders>
          </w:tcPr>
          <w:p>
            <w:pPr>
              <w:pStyle w:val="TableParagraph"/>
              <w:ind w:left="468" w:right="487"/>
              <w:jc w:val="center"/>
              <w:rPr>
                <w:sz w:val="16"/>
              </w:rPr>
            </w:pPr>
            <w:r>
              <w:rPr>
                <w:color w:val="404040"/>
                <w:sz w:val="16"/>
              </w:rPr>
              <w:t>279,000</w:t>
            </w:r>
          </w:p>
        </w:tc>
        <w:tc>
          <w:tcPr>
            <w:tcW w:w="1608" w:type="dxa"/>
            <w:tcBorders>
              <w:bottom w:val="single" w:sz="4" w:space="0" w:color="DF2F1E"/>
              <w:right w:val="single" w:sz="4" w:space="0" w:color="DF2F1E"/>
            </w:tcBorders>
          </w:tcPr>
          <w:p>
            <w:pPr>
              <w:pStyle w:val="TableParagraph"/>
              <w:ind w:left="581" w:right="568"/>
              <w:jc w:val="center"/>
              <w:rPr>
                <w:sz w:val="16"/>
              </w:rPr>
            </w:pPr>
            <w:r>
              <w:rPr>
                <w:color w:val="404040"/>
                <w:sz w:val="16"/>
              </w:rPr>
              <w:t>81%</w:t>
            </w:r>
          </w:p>
        </w:tc>
      </w:tr>
      <w:tr>
        <w:trPr>
          <w:trHeight w:val="262" w:hRule="atLeast"/>
        </w:trPr>
        <w:tc>
          <w:tcPr>
            <w:tcW w:w="3905" w:type="dxa"/>
            <w:tcBorders>
              <w:top w:val="single" w:sz="4" w:space="0" w:color="DF2F1E"/>
              <w:left w:val="single" w:sz="4" w:space="0" w:color="DF2F1E"/>
            </w:tcBorders>
          </w:tcPr>
          <w:p>
            <w:pPr>
              <w:pStyle w:val="TableParagraph"/>
              <w:spacing w:before="34"/>
              <w:ind w:left="107"/>
              <w:rPr>
                <w:b/>
                <w:sz w:val="16"/>
              </w:rPr>
            </w:pPr>
            <w:r>
              <w:rPr>
                <w:b/>
                <w:color w:val="404040"/>
                <w:sz w:val="16"/>
              </w:rPr>
              <w:t>Highest educational attainment recorded</w:t>
            </w:r>
          </w:p>
        </w:tc>
        <w:tc>
          <w:tcPr>
            <w:tcW w:w="1037" w:type="dxa"/>
            <w:tcBorders>
              <w:top w:val="single" w:sz="4" w:space="0" w:color="DF2F1E"/>
            </w:tcBorders>
          </w:tcPr>
          <w:p>
            <w:pPr>
              <w:pStyle w:val="TableParagraph"/>
              <w:spacing w:before="0"/>
              <w:rPr>
                <w:rFonts w:ascii="Times New Roman"/>
                <w:sz w:val="16"/>
              </w:rPr>
            </w:pPr>
          </w:p>
        </w:tc>
        <w:tc>
          <w:tcPr>
            <w:tcW w:w="1658" w:type="dxa"/>
            <w:tcBorders>
              <w:top w:val="single" w:sz="4" w:space="0" w:color="DF2F1E"/>
            </w:tcBorders>
          </w:tcPr>
          <w:p>
            <w:pPr>
              <w:pStyle w:val="TableParagraph"/>
              <w:spacing w:before="0"/>
              <w:rPr>
                <w:rFonts w:ascii="Times New Roman"/>
                <w:sz w:val="16"/>
              </w:rPr>
            </w:pPr>
          </w:p>
        </w:tc>
        <w:tc>
          <w:tcPr>
            <w:tcW w:w="1574" w:type="dxa"/>
            <w:tcBorders>
              <w:top w:val="single" w:sz="4" w:space="0" w:color="DF2F1E"/>
            </w:tcBorders>
          </w:tcPr>
          <w:p>
            <w:pPr>
              <w:pStyle w:val="TableParagraph"/>
              <w:spacing w:before="0"/>
              <w:rPr>
                <w:rFonts w:ascii="Times New Roman"/>
                <w:sz w:val="16"/>
              </w:rPr>
            </w:pPr>
          </w:p>
        </w:tc>
        <w:tc>
          <w:tcPr>
            <w:tcW w:w="1608" w:type="dxa"/>
            <w:tcBorders>
              <w:top w:val="single" w:sz="4" w:space="0" w:color="DF2F1E"/>
              <w:right w:val="single" w:sz="4" w:space="0" w:color="DF2F1E"/>
            </w:tcBorders>
          </w:tcPr>
          <w:p>
            <w:pPr>
              <w:pStyle w:val="TableParagraph"/>
              <w:spacing w:before="0"/>
              <w:rPr>
                <w:rFonts w:ascii="Times New Roman"/>
                <w:sz w:val="16"/>
              </w:rPr>
            </w:pPr>
          </w:p>
        </w:tc>
      </w:tr>
      <w:tr>
        <w:trPr>
          <w:trHeight w:val="265" w:hRule="atLeast"/>
        </w:trPr>
        <w:tc>
          <w:tcPr>
            <w:tcW w:w="3905" w:type="dxa"/>
            <w:tcBorders>
              <w:left w:val="single" w:sz="4" w:space="0" w:color="DF2F1E"/>
            </w:tcBorders>
          </w:tcPr>
          <w:p>
            <w:pPr>
              <w:pStyle w:val="TableParagraph"/>
              <w:spacing w:before="39"/>
              <w:ind w:left="287"/>
              <w:rPr>
                <w:b/>
                <w:i/>
                <w:sz w:val="16"/>
              </w:rPr>
            </w:pPr>
            <w:r>
              <w:rPr>
                <w:b/>
                <w:i/>
                <w:color w:val="404040"/>
                <w:sz w:val="16"/>
              </w:rPr>
              <w:t>- Year 10 or less</w:t>
            </w:r>
          </w:p>
        </w:tc>
        <w:tc>
          <w:tcPr>
            <w:tcW w:w="1037" w:type="dxa"/>
          </w:tcPr>
          <w:p>
            <w:pPr>
              <w:pStyle w:val="TableParagraph"/>
              <w:spacing w:before="39"/>
              <w:ind w:right="293"/>
              <w:jc w:val="right"/>
              <w:rPr>
                <w:sz w:val="16"/>
              </w:rPr>
            </w:pPr>
            <w:r>
              <w:rPr>
                <w:color w:val="404040"/>
                <w:sz w:val="16"/>
              </w:rPr>
              <w:t>26,000</w:t>
            </w:r>
          </w:p>
        </w:tc>
        <w:tc>
          <w:tcPr>
            <w:tcW w:w="1658" w:type="dxa"/>
          </w:tcPr>
          <w:p>
            <w:pPr>
              <w:pStyle w:val="TableParagraph"/>
              <w:spacing w:before="39"/>
              <w:ind w:left="669"/>
              <w:rPr>
                <w:sz w:val="16"/>
              </w:rPr>
            </w:pPr>
            <w:r>
              <w:rPr>
                <w:color w:val="404040"/>
                <w:sz w:val="16"/>
              </w:rPr>
              <w:t>12%</w:t>
            </w:r>
          </w:p>
        </w:tc>
        <w:tc>
          <w:tcPr>
            <w:tcW w:w="1574" w:type="dxa"/>
          </w:tcPr>
          <w:p>
            <w:pPr>
              <w:pStyle w:val="TableParagraph"/>
              <w:spacing w:before="39"/>
              <w:ind w:left="468" w:right="487"/>
              <w:jc w:val="center"/>
              <w:rPr>
                <w:sz w:val="16"/>
              </w:rPr>
            </w:pPr>
            <w:r>
              <w:rPr>
                <w:color w:val="404040"/>
                <w:sz w:val="16"/>
              </w:rPr>
              <w:t>408,000</w:t>
            </w:r>
          </w:p>
        </w:tc>
        <w:tc>
          <w:tcPr>
            <w:tcW w:w="1608" w:type="dxa"/>
            <w:tcBorders>
              <w:right w:val="single" w:sz="4" w:space="0" w:color="DF2F1E"/>
            </w:tcBorders>
          </w:tcPr>
          <w:p>
            <w:pPr>
              <w:pStyle w:val="TableParagraph"/>
              <w:spacing w:before="39"/>
              <w:ind w:left="581" w:right="570"/>
              <w:jc w:val="center"/>
              <w:rPr>
                <w:sz w:val="16"/>
              </w:rPr>
            </w:pPr>
            <w:r>
              <w:rPr>
                <w:color w:val="404040"/>
                <w:sz w:val="16"/>
              </w:rPr>
              <w:t>119%</w:t>
            </w:r>
          </w:p>
        </w:tc>
      </w:tr>
      <w:tr>
        <w:trPr>
          <w:trHeight w:val="263" w:hRule="atLeast"/>
        </w:trPr>
        <w:tc>
          <w:tcPr>
            <w:tcW w:w="3905" w:type="dxa"/>
            <w:tcBorders>
              <w:left w:val="single" w:sz="4" w:space="0" w:color="DF2F1E"/>
            </w:tcBorders>
          </w:tcPr>
          <w:p>
            <w:pPr>
              <w:pStyle w:val="TableParagraph"/>
              <w:ind w:left="287"/>
              <w:rPr>
                <w:b/>
                <w:i/>
                <w:sz w:val="16"/>
              </w:rPr>
            </w:pPr>
            <w:r>
              <w:rPr>
                <w:b/>
                <w:i/>
                <w:color w:val="404040"/>
                <w:sz w:val="16"/>
              </w:rPr>
              <w:t>- Year 11</w:t>
            </w:r>
          </w:p>
        </w:tc>
        <w:tc>
          <w:tcPr>
            <w:tcW w:w="1037" w:type="dxa"/>
          </w:tcPr>
          <w:p>
            <w:pPr>
              <w:pStyle w:val="TableParagraph"/>
              <w:ind w:right="293"/>
              <w:jc w:val="right"/>
              <w:rPr>
                <w:sz w:val="16"/>
              </w:rPr>
            </w:pPr>
            <w:r>
              <w:rPr>
                <w:color w:val="404040"/>
                <w:sz w:val="16"/>
              </w:rPr>
              <w:t>17,000</w:t>
            </w:r>
          </w:p>
        </w:tc>
        <w:tc>
          <w:tcPr>
            <w:tcW w:w="1658" w:type="dxa"/>
          </w:tcPr>
          <w:p>
            <w:pPr>
              <w:pStyle w:val="TableParagraph"/>
              <w:ind w:left="712"/>
              <w:rPr>
                <w:sz w:val="16"/>
              </w:rPr>
            </w:pPr>
            <w:r>
              <w:rPr>
                <w:color w:val="404040"/>
                <w:sz w:val="16"/>
              </w:rPr>
              <w:t>8%</w:t>
            </w:r>
          </w:p>
        </w:tc>
        <w:tc>
          <w:tcPr>
            <w:tcW w:w="1574" w:type="dxa"/>
          </w:tcPr>
          <w:p>
            <w:pPr>
              <w:pStyle w:val="TableParagraph"/>
              <w:ind w:left="468" w:right="487"/>
              <w:jc w:val="center"/>
              <w:rPr>
                <w:sz w:val="16"/>
              </w:rPr>
            </w:pPr>
            <w:r>
              <w:rPr>
                <w:color w:val="404040"/>
                <w:sz w:val="16"/>
              </w:rPr>
              <w:t>388,000</w:t>
            </w:r>
          </w:p>
        </w:tc>
        <w:tc>
          <w:tcPr>
            <w:tcW w:w="1608" w:type="dxa"/>
            <w:tcBorders>
              <w:right w:val="single" w:sz="4" w:space="0" w:color="DF2F1E"/>
            </w:tcBorders>
          </w:tcPr>
          <w:p>
            <w:pPr>
              <w:pStyle w:val="TableParagraph"/>
              <w:ind w:left="581" w:right="570"/>
              <w:jc w:val="center"/>
              <w:rPr>
                <w:sz w:val="16"/>
              </w:rPr>
            </w:pPr>
            <w:r>
              <w:rPr>
                <w:color w:val="404040"/>
                <w:sz w:val="16"/>
              </w:rPr>
              <w:t>113%</w:t>
            </w:r>
          </w:p>
        </w:tc>
      </w:tr>
      <w:tr>
        <w:trPr>
          <w:trHeight w:val="263" w:hRule="atLeast"/>
        </w:trPr>
        <w:tc>
          <w:tcPr>
            <w:tcW w:w="3905" w:type="dxa"/>
            <w:tcBorders>
              <w:left w:val="single" w:sz="4" w:space="0" w:color="DF2F1E"/>
            </w:tcBorders>
          </w:tcPr>
          <w:p>
            <w:pPr>
              <w:pStyle w:val="TableParagraph"/>
              <w:ind w:left="287"/>
              <w:rPr>
                <w:b/>
                <w:i/>
                <w:sz w:val="16"/>
              </w:rPr>
            </w:pPr>
            <w:r>
              <w:rPr>
                <w:b/>
                <w:i/>
                <w:color w:val="404040"/>
                <w:sz w:val="16"/>
              </w:rPr>
              <w:t>- Year 12</w:t>
            </w:r>
          </w:p>
        </w:tc>
        <w:tc>
          <w:tcPr>
            <w:tcW w:w="1037" w:type="dxa"/>
          </w:tcPr>
          <w:p>
            <w:pPr>
              <w:pStyle w:val="TableParagraph"/>
              <w:ind w:right="293"/>
              <w:jc w:val="right"/>
              <w:rPr>
                <w:sz w:val="16"/>
              </w:rPr>
            </w:pPr>
            <w:r>
              <w:rPr>
                <w:color w:val="404040"/>
                <w:sz w:val="16"/>
              </w:rPr>
              <w:t>64,000</w:t>
            </w:r>
          </w:p>
        </w:tc>
        <w:tc>
          <w:tcPr>
            <w:tcW w:w="1658" w:type="dxa"/>
          </w:tcPr>
          <w:p>
            <w:pPr>
              <w:pStyle w:val="TableParagraph"/>
              <w:ind w:left="669"/>
              <w:rPr>
                <w:sz w:val="16"/>
              </w:rPr>
            </w:pPr>
            <w:r>
              <w:rPr>
                <w:color w:val="404040"/>
                <w:sz w:val="16"/>
              </w:rPr>
              <w:t>30%</w:t>
            </w:r>
          </w:p>
        </w:tc>
        <w:tc>
          <w:tcPr>
            <w:tcW w:w="1574" w:type="dxa"/>
          </w:tcPr>
          <w:p>
            <w:pPr>
              <w:pStyle w:val="TableParagraph"/>
              <w:ind w:left="468" w:right="487"/>
              <w:jc w:val="center"/>
              <w:rPr>
                <w:sz w:val="16"/>
              </w:rPr>
            </w:pPr>
            <w:r>
              <w:rPr>
                <w:color w:val="404040"/>
                <w:sz w:val="16"/>
              </w:rPr>
              <w:t>305,000</w:t>
            </w:r>
          </w:p>
        </w:tc>
        <w:tc>
          <w:tcPr>
            <w:tcW w:w="1608" w:type="dxa"/>
            <w:tcBorders>
              <w:right w:val="single" w:sz="4" w:space="0" w:color="DF2F1E"/>
            </w:tcBorders>
          </w:tcPr>
          <w:p>
            <w:pPr>
              <w:pStyle w:val="TableParagraph"/>
              <w:ind w:left="581" w:right="568"/>
              <w:jc w:val="center"/>
              <w:rPr>
                <w:sz w:val="16"/>
              </w:rPr>
            </w:pPr>
            <w:r>
              <w:rPr>
                <w:color w:val="404040"/>
                <w:sz w:val="16"/>
              </w:rPr>
              <w:t>89%</w:t>
            </w:r>
          </w:p>
        </w:tc>
      </w:tr>
      <w:tr>
        <w:trPr>
          <w:trHeight w:val="264" w:hRule="atLeast"/>
        </w:trPr>
        <w:tc>
          <w:tcPr>
            <w:tcW w:w="3905" w:type="dxa"/>
            <w:tcBorders>
              <w:left w:val="single" w:sz="4" w:space="0" w:color="DF2F1E"/>
            </w:tcBorders>
          </w:tcPr>
          <w:p>
            <w:pPr>
              <w:pStyle w:val="TableParagraph"/>
              <w:ind w:left="287"/>
              <w:rPr>
                <w:b/>
                <w:i/>
                <w:sz w:val="16"/>
              </w:rPr>
            </w:pPr>
            <w:r>
              <w:rPr>
                <w:b/>
                <w:i/>
                <w:color w:val="404040"/>
                <w:sz w:val="16"/>
              </w:rPr>
              <w:t>- Certificate</w:t>
            </w:r>
          </w:p>
        </w:tc>
        <w:tc>
          <w:tcPr>
            <w:tcW w:w="1037" w:type="dxa"/>
          </w:tcPr>
          <w:p>
            <w:pPr>
              <w:pStyle w:val="TableParagraph"/>
              <w:ind w:right="293"/>
              <w:jc w:val="right"/>
              <w:rPr>
                <w:sz w:val="16"/>
              </w:rPr>
            </w:pPr>
            <w:r>
              <w:rPr>
                <w:color w:val="404040"/>
                <w:sz w:val="16"/>
              </w:rPr>
              <w:t>75,000</w:t>
            </w:r>
          </w:p>
        </w:tc>
        <w:tc>
          <w:tcPr>
            <w:tcW w:w="1658" w:type="dxa"/>
          </w:tcPr>
          <w:p>
            <w:pPr>
              <w:pStyle w:val="TableParagraph"/>
              <w:ind w:left="669"/>
              <w:rPr>
                <w:sz w:val="16"/>
              </w:rPr>
            </w:pPr>
            <w:r>
              <w:rPr>
                <w:color w:val="404040"/>
                <w:sz w:val="16"/>
              </w:rPr>
              <w:t>35%</w:t>
            </w:r>
          </w:p>
        </w:tc>
        <w:tc>
          <w:tcPr>
            <w:tcW w:w="1574" w:type="dxa"/>
          </w:tcPr>
          <w:p>
            <w:pPr>
              <w:pStyle w:val="TableParagraph"/>
              <w:ind w:left="468" w:right="487"/>
              <w:jc w:val="center"/>
              <w:rPr>
                <w:sz w:val="16"/>
              </w:rPr>
            </w:pPr>
            <w:r>
              <w:rPr>
                <w:color w:val="404040"/>
                <w:sz w:val="16"/>
              </w:rPr>
              <w:t>374,000</w:t>
            </w:r>
          </w:p>
        </w:tc>
        <w:tc>
          <w:tcPr>
            <w:tcW w:w="1608" w:type="dxa"/>
            <w:tcBorders>
              <w:right w:val="single" w:sz="4" w:space="0" w:color="DF2F1E"/>
            </w:tcBorders>
          </w:tcPr>
          <w:p>
            <w:pPr>
              <w:pStyle w:val="TableParagraph"/>
              <w:ind w:left="581" w:right="570"/>
              <w:jc w:val="center"/>
              <w:rPr>
                <w:sz w:val="16"/>
              </w:rPr>
            </w:pPr>
            <w:r>
              <w:rPr>
                <w:color w:val="404040"/>
                <w:sz w:val="16"/>
              </w:rPr>
              <w:t>109%</w:t>
            </w:r>
          </w:p>
        </w:tc>
      </w:tr>
      <w:tr>
        <w:trPr>
          <w:trHeight w:val="264" w:hRule="atLeast"/>
        </w:trPr>
        <w:tc>
          <w:tcPr>
            <w:tcW w:w="3905" w:type="dxa"/>
            <w:tcBorders>
              <w:left w:val="single" w:sz="4" w:space="0" w:color="DF2F1E"/>
            </w:tcBorders>
          </w:tcPr>
          <w:p>
            <w:pPr>
              <w:pStyle w:val="TableParagraph"/>
              <w:ind w:left="287"/>
              <w:rPr>
                <w:b/>
                <w:i/>
                <w:sz w:val="16"/>
              </w:rPr>
            </w:pPr>
            <w:r>
              <w:rPr>
                <w:b/>
                <w:i/>
                <w:color w:val="404040"/>
                <w:sz w:val="16"/>
              </w:rPr>
              <w:t>- Diploma</w:t>
            </w:r>
          </w:p>
        </w:tc>
        <w:tc>
          <w:tcPr>
            <w:tcW w:w="1037" w:type="dxa"/>
          </w:tcPr>
          <w:p>
            <w:pPr>
              <w:pStyle w:val="TableParagraph"/>
              <w:ind w:right="293"/>
              <w:jc w:val="right"/>
              <w:rPr>
                <w:sz w:val="16"/>
              </w:rPr>
            </w:pPr>
            <w:r>
              <w:rPr>
                <w:color w:val="404040"/>
                <w:sz w:val="16"/>
              </w:rPr>
              <w:t>13,000</w:t>
            </w:r>
          </w:p>
        </w:tc>
        <w:tc>
          <w:tcPr>
            <w:tcW w:w="1658" w:type="dxa"/>
          </w:tcPr>
          <w:p>
            <w:pPr>
              <w:pStyle w:val="TableParagraph"/>
              <w:ind w:left="712"/>
              <w:rPr>
                <w:sz w:val="16"/>
              </w:rPr>
            </w:pPr>
            <w:r>
              <w:rPr>
                <w:color w:val="404040"/>
                <w:sz w:val="16"/>
              </w:rPr>
              <w:t>6%</w:t>
            </w:r>
          </w:p>
        </w:tc>
        <w:tc>
          <w:tcPr>
            <w:tcW w:w="1574" w:type="dxa"/>
          </w:tcPr>
          <w:p>
            <w:pPr>
              <w:pStyle w:val="TableParagraph"/>
              <w:ind w:left="468" w:right="487"/>
              <w:jc w:val="center"/>
              <w:rPr>
                <w:sz w:val="16"/>
              </w:rPr>
            </w:pPr>
            <w:r>
              <w:rPr>
                <w:color w:val="404040"/>
                <w:sz w:val="16"/>
              </w:rPr>
              <w:t>308,000</w:t>
            </w:r>
          </w:p>
        </w:tc>
        <w:tc>
          <w:tcPr>
            <w:tcW w:w="1608" w:type="dxa"/>
            <w:tcBorders>
              <w:right w:val="single" w:sz="4" w:space="0" w:color="DF2F1E"/>
            </w:tcBorders>
          </w:tcPr>
          <w:p>
            <w:pPr>
              <w:pStyle w:val="TableParagraph"/>
              <w:ind w:left="581" w:right="568"/>
              <w:jc w:val="center"/>
              <w:rPr>
                <w:sz w:val="16"/>
              </w:rPr>
            </w:pPr>
            <w:r>
              <w:rPr>
                <w:color w:val="404040"/>
                <w:sz w:val="16"/>
              </w:rPr>
              <w:t>90%</w:t>
            </w:r>
          </w:p>
        </w:tc>
      </w:tr>
      <w:tr>
        <w:trPr>
          <w:trHeight w:val="263" w:hRule="atLeast"/>
        </w:trPr>
        <w:tc>
          <w:tcPr>
            <w:tcW w:w="3905" w:type="dxa"/>
            <w:tcBorders>
              <w:left w:val="single" w:sz="4" w:space="0" w:color="DF2F1E"/>
            </w:tcBorders>
          </w:tcPr>
          <w:p>
            <w:pPr>
              <w:pStyle w:val="TableParagraph"/>
              <w:ind w:left="287"/>
              <w:rPr>
                <w:b/>
                <w:i/>
                <w:sz w:val="16"/>
              </w:rPr>
            </w:pPr>
            <w:r>
              <w:rPr>
                <w:b/>
                <w:i/>
                <w:color w:val="404040"/>
                <w:sz w:val="16"/>
              </w:rPr>
              <w:t>- Bachelors</w:t>
            </w:r>
          </w:p>
        </w:tc>
        <w:tc>
          <w:tcPr>
            <w:tcW w:w="1037" w:type="dxa"/>
          </w:tcPr>
          <w:p>
            <w:pPr>
              <w:pStyle w:val="TableParagraph"/>
              <w:ind w:right="293"/>
              <w:jc w:val="right"/>
              <w:rPr>
                <w:sz w:val="16"/>
              </w:rPr>
            </w:pPr>
            <w:r>
              <w:rPr>
                <w:color w:val="404040"/>
                <w:sz w:val="16"/>
              </w:rPr>
              <w:t>15,000</w:t>
            </w:r>
          </w:p>
        </w:tc>
        <w:tc>
          <w:tcPr>
            <w:tcW w:w="1658" w:type="dxa"/>
          </w:tcPr>
          <w:p>
            <w:pPr>
              <w:pStyle w:val="TableParagraph"/>
              <w:ind w:left="712"/>
              <w:rPr>
                <w:sz w:val="16"/>
              </w:rPr>
            </w:pPr>
            <w:r>
              <w:rPr>
                <w:color w:val="404040"/>
                <w:sz w:val="16"/>
              </w:rPr>
              <w:t>7%</w:t>
            </w:r>
          </w:p>
        </w:tc>
        <w:tc>
          <w:tcPr>
            <w:tcW w:w="1574" w:type="dxa"/>
          </w:tcPr>
          <w:p>
            <w:pPr>
              <w:pStyle w:val="TableParagraph"/>
              <w:ind w:left="468" w:right="487"/>
              <w:jc w:val="center"/>
              <w:rPr>
                <w:sz w:val="16"/>
              </w:rPr>
            </w:pPr>
            <w:r>
              <w:rPr>
                <w:color w:val="404040"/>
                <w:sz w:val="16"/>
              </w:rPr>
              <w:t>233,000</w:t>
            </w:r>
          </w:p>
        </w:tc>
        <w:tc>
          <w:tcPr>
            <w:tcW w:w="1608" w:type="dxa"/>
            <w:tcBorders>
              <w:right w:val="single" w:sz="4" w:space="0" w:color="DF2F1E"/>
            </w:tcBorders>
          </w:tcPr>
          <w:p>
            <w:pPr>
              <w:pStyle w:val="TableParagraph"/>
              <w:ind w:left="581" w:right="568"/>
              <w:jc w:val="center"/>
              <w:rPr>
                <w:sz w:val="16"/>
              </w:rPr>
            </w:pPr>
            <w:r>
              <w:rPr>
                <w:color w:val="404040"/>
                <w:sz w:val="16"/>
              </w:rPr>
              <w:t>68%</w:t>
            </w:r>
          </w:p>
        </w:tc>
      </w:tr>
      <w:tr>
        <w:trPr>
          <w:trHeight w:val="264" w:hRule="atLeast"/>
        </w:trPr>
        <w:tc>
          <w:tcPr>
            <w:tcW w:w="3905" w:type="dxa"/>
            <w:tcBorders>
              <w:left w:val="single" w:sz="4" w:space="0" w:color="DF2F1E"/>
              <w:bottom w:val="single" w:sz="4" w:space="0" w:color="DF2F1E"/>
            </w:tcBorders>
          </w:tcPr>
          <w:p>
            <w:pPr>
              <w:pStyle w:val="TableParagraph"/>
              <w:ind w:left="287"/>
              <w:rPr>
                <w:b/>
                <w:i/>
                <w:sz w:val="16"/>
              </w:rPr>
            </w:pPr>
            <w:r>
              <w:rPr>
                <w:b/>
                <w:i/>
                <w:color w:val="404040"/>
                <w:sz w:val="16"/>
              </w:rPr>
              <w:t>- Postgraduate</w:t>
            </w:r>
          </w:p>
        </w:tc>
        <w:tc>
          <w:tcPr>
            <w:tcW w:w="1037" w:type="dxa"/>
            <w:tcBorders>
              <w:bottom w:val="single" w:sz="4" w:space="0" w:color="DF2F1E"/>
            </w:tcBorders>
          </w:tcPr>
          <w:p>
            <w:pPr>
              <w:pStyle w:val="TableParagraph"/>
              <w:ind w:right="339"/>
              <w:jc w:val="right"/>
              <w:rPr>
                <w:sz w:val="16"/>
              </w:rPr>
            </w:pPr>
            <w:r>
              <w:rPr>
                <w:color w:val="404040"/>
                <w:sz w:val="16"/>
              </w:rPr>
              <w:t>1,000</w:t>
            </w:r>
          </w:p>
        </w:tc>
        <w:tc>
          <w:tcPr>
            <w:tcW w:w="1658" w:type="dxa"/>
            <w:tcBorders>
              <w:bottom w:val="single" w:sz="4" w:space="0" w:color="DF2F1E"/>
            </w:tcBorders>
          </w:tcPr>
          <w:p>
            <w:pPr>
              <w:pStyle w:val="TableParagraph"/>
              <w:ind w:left="712"/>
              <w:rPr>
                <w:sz w:val="16"/>
              </w:rPr>
            </w:pPr>
            <w:r>
              <w:rPr>
                <w:color w:val="404040"/>
                <w:sz w:val="16"/>
              </w:rPr>
              <w:t>1%</w:t>
            </w:r>
          </w:p>
        </w:tc>
        <w:tc>
          <w:tcPr>
            <w:tcW w:w="1574" w:type="dxa"/>
            <w:tcBorders>
              <w:bottom w:val="single" w:sz="4" w:space="0" w:color="DF2F1E"/>
            </w:tcBorders>
          </w:tcPr>
          <w:p>
            <w:pPr>
              <w:pStyle w:val="TableParagraph"/>
              <w:ind w:left="468" w:right="487"/>
              <w:jc w:val="center"/>
              <w:rPr>
                <w:sz w:val="16"/>
              </w:rPr>
            </w:pPr>
            <w:r>
              <w:rPr>
                <w:color w:val="404040"/>
                <w:sz w:val="16"/>
              </w:rPr>
              <w:t>228,000</w:t>
            </w:r>
          </w:p>
        </w:tc>
        <w:tc>
          <w:tcPr>
            <w:tcW w:w="1608" w:type="dxa"/>
            <w:tcBorders>
              <w:bottom w:val="single" w:sz="4" w:space="0" w:color="DF2F1E"/>
              <w:right w:val="single" w:sz="4" w:space="0" w:color="DF2F1E"/>
            </w:tcBorders>
          </w:tcPr>
          <w:p>
            <w:pPr>
              <w:pStyle w:val="TableParagraph"/>
              <w:ind w:left="581" w:right="568"/>
              <w:jc w:val="center"/>
              <w:rPr>
                <w:sz w:val="16"/>
              </w:rPr>
            </w:pPr>
            <w:r>
              <w:rPr>
                <w:color w:val="404040"/>
                <w:sz w:val="16"/>
              </w:rPr>
              <w:t>67%</w:t>
            </w:r>
          </w:p>
        </w:tc>
      </w:tr>
      <w:tr>
        <w:trPr>
          <w:trHeight w:val="262" w:hRule="atLeast"/>
        </w:trPr>
        <w:tc>
          <w:tcPr>
            <w:tcW w:w="3905" w:type="dxa"/>
            <w:tcBorders>
              <w:top w:val="single" w:sz="4" w:space="0" w:color="DF2F1E"/>
              <w:left w:val="single" w:sz="4" w:space="0" w:color="DF2F1E"/>
            </w:tcBorders>
          </w:tcPr>
          <w:p>
            <w:pPr>
              <w:pStyle w:val="TableParagraph"/>
              <w:spacing w:before="34"/>
              <w:ind w:left="107"/>
              <w:rPr>
                <w:b/>
                <w:sz w:val="16"/>
              </w:rPr>
            </w:pPr>
            <w:r>
              <w:rPr>
                <w:b/>
                <w:color w:val="404040"/>
                <w:sz w:val="16"/>
              </w:rPr>
              <w:t>Level of parental welfare dependence</w:t>
            </w:r>
          </w:p>
        </w:tc>
        <w:tc>
          <w:tcPr>
            <w:tcW w:w="1037" w:type="dxa"/>
            <w:tcBorders>
              <w:top w:val="single" w:sz="4" w:space="0" w:color="DF2F1E"/>
            </w:tcBorders>
          </w:tcPr>
          <w:p>
            <w:pPr>
              <w:pStyle w:val="TableParagraph"/>
              <w:spacing w:before="0"/>
              <w:rPr>
                <w:rFonts w:ascii="Times New Roman"/>
                <w:sz w:val="16"/>
              </w:rPr>
            </w:pPr>
          </w:p>
        </w:tc>
        <w:tc>
          <w:tcPr>
            <w:tcW w:w="1658" w:type="dxa"/>
            <w:tcBorders>
              <w:top w:val="single" w:sz="4" w:space="0" w:color="DF2F1E"/>
            </w:tcBorders>
          </w:tcPr>
          <w:p>
            <w:pPr>
              <w:pStyle w:val="TableParagraph"/>
              <w:spacing w:before="0"/>
              <w:rPr>
                <w:rFonts w:ascii="Times New Roman"/>
                <w:sz w:val="16"/>
              </w:rPr>
            </w:pPr>
          </w:p>
        </w:tc>
        <w:tc>
          <w:tcPr>
            <w:tcW w:w="1574" w:type="dxa"/>
            <w:tcBorders>
              <w:top w:val="single" w:sz="4" w:space="0" w:color="DF2F1E"/>
            </w:tcBorders>
          </w:tcPr>
          <w:p>
            <w:pPr>
              <w:pStyle w:val="TableParagraph"/>
              <w:spacing w:before="0"/>
              <w:rPr>
                <w:rFonts w:ascii="Times New Roman"/>
                <w:sz w:val="16"/>
              </w:rPr>
            </w:pPr>
          </w:p>
        </w:tc>
        <w:tc>
          <w:tcPr>
            <w:tcW w:w="1608" w:type="dxa"/>
            <w:tcBorders>
              <w:top w:val="single" w:sz="4" w:space="0" w:color="DF2F1E"/>
              <w:right w:val="single" w:sz="4" w:space="0" w:color="DF2F1E"/>
            </w:tcBorders>
          </w:tcPr>
          <w:p>
            <w:pPr>
              <w:pStyle w:val="TableParagraph"/>
              <w:spacing w:before="0"/>
              <w:rPr>
                <w:rFonts w:ascii="Times New Roman"/>
                <w:sz w:val="16"/>
              </w:rPr>
            </w:pPr>
          </w:p>
        </w:tc>
      </w:tr>
      <w:tr>
        <w:trPr>
          <w:trHeight w:val="265" w:hRule="atLeast"/>
        </w:trPr>
        <w:tc>
          <w:tcPr>
            <w:tcW w:w="3905" w:type="dxa"/>
            <w:tcBorders>
              <w:left w:val="single" w:sz="4" w:space="0" w:color="DF2F1E"/>
            </w:tcBorders>
          </w:tcPr>
          <w:p>
            <w:pPr>
              <w:pStyle w:val="TableParagraph"/>
              <w:spacing w:before="39"/>
              <w:ind w:left="287"/>
              <w:rPr>
                <w:b/>
                <w:i/>
                <w:sz w:val="16"/>
              </w:rPr>
            </w:pPr>
            <w:r>
              <w:rPr>
                <w:b/>
                <w:i/>
                <w:color w:val="404040"/>
                <w:sz w:val="16"/>
              </w:rPr>
              <w:t>- None (0%)</w:t>
            </w:r>
          </w:p>
        </w:tc>
        <w:tc>
          <w:tcPr>
            <w:tcW w:w="1037" w:type="dxa"/>
          </w:tcPr>
          <w:p>
            <w:pPr>
              <w:pStyle w:val="TableParagraph"/>
              <w:spacing w:before="39"/>
              <w:ind w:right="293"/>
              <w:jc w:val="right"/>
              <w:rPr>
                <w:sz w:val="16"/>
              </w:rPr>
            </w:pPr>
            <w:r>
              <w:rPr>
                <w:color w:val="404040"/>
                <w:sz w:val="16"/>
              </w:rPr>
              <w:t>55,000</w:t>
            </w:r>
          </w:p>
        </w:tc>
        <w:tc>
          <w:tcPr>
            <w:tcW w:w="1658" w:type="dxa"/>
          </w:tcPr>
          <w:p>
            <w:pPr>
              <w:pStyle w:val="TableParagraph"/>
              <w:spacing w:before="39"/>
              <w:ind w:left="669"/>
              <w:rPr>
                <w:sz w:val="16"/>
              </w:rPr>
            </w:pPr>
            <w:r>
              <w:rPr>
                <w:color w:val="404040"/>
                <w:sz w:val="16"/>
              </w:rPr>
              <w:t>26%</w:t>
            </w:r>
          </w:p>
        </w:tc>
        <w:tc>
          <w:tcPr>
            <w:tcW w:w="1574" w:type="dxa"/>
          </w:tcPr>
          <w:p>
            <w:pPr>
              <w:pStyle w:val="TableParagraph"/>
              <w:spacing w:before="39"/>
              <w:ind w:left="468" w:right="487"/>
              <w:jc w:val="center"/>
              <w:rPr>
                <w:sz w:val="16"/>
              </w:rPr>
            </w:pPr>
            <w:r>
              <w:rPr>
                <w:color w:val="404040"/>
                <w:sz w:val="16"/>
              </w:rPr>
              <w:t>294,000</w:t>
            </w:r>
          </w:p>
        </w:tc>
        <w:tc>
          <w:tcPr>
            <w:tcW w:w="1608" w:type="dxa"/>
            <w:tcBorders>
              <w:right w:val="single" w:sz="4" w:space="0" w:color="DF2F1E"/>
            </w:tcBorders>
          </w:tcPr>
          <w:p>
            <w:pPr>
              <w:pStyle w:val="TableParagraph"/>
              <w:spacing w:before="39"/>
              <w:ind w:left="581" w:right="568"/>
              <w:jc w:val="center"/>
              <w:rPr>
                <w:sz w:val="16"/>
              </w:rPr>
            </w:pPr>
            <w:r>
              <w:rPr>
                <w:color w:val="404040"/>
                <w:sz w:val="16"/>
              </w:rPr>
              <w:t>86%</w:t>
            </w:r>
          </w:p>
        </w:tc>
      </w:tr>
      <w:tr>
        <w:trPr>
          <w:trHeight w:val="263" w:hRule="atLeast"/>
        </w:trPr>
        <w:tc>
          <w:tcPr>
            <w:tcW w:w="3905" w:type="dxa"/>
            <w:tcBorders>
              <w:left w:val="single" w:sz="4" w:space="0" w:color="DF2F1E"/>
            </w:tcBorders>
          </w:tcPr>
          <w:p>
            <w:pPr>
              <w:pStyle w:val="TableParagraph"/>
              <w:ind w:left="287"/>
              <w:rPr>
                <w:b/>
                <w:i/>
                <w:sz w:val="16"/>
              </w:rPr>
            </w:pPr>
            <w:r>
              <w:rPr>
                <w:b/>
                <w:i/>
                <w:color w:val="404040"/>
                <w:sz w:val="16"/>
              </w:rPr>
              <w:t>- Some (1%-35%)</w:t>
            </w:r>
          </w:p>
        </w:tc>
        <w:tc>
          <w:tcPr>
            <w:tcW w:w="1037" w:type="dxa"/>
          </w:tcPr>
          <w:p>
            <w:pPr>
              <w:pStyle w:val="TableParagraph"/>
              <w:ind w:right="293"/>
              <w:jc w:val="right"/>
              <w:rPr>
                <w:sz w:val="16"/>
              </w:rPr>
            </w:pPr>
            <w:r>
              <w:rPr>
                <w:color w:val="404040"/>
                <w:sz w:val="16"/>
              </w:rPr>
              <w:t>48,000</w:t>
            </w:r>
          </w:p>
        </w:tc>
        <w:tc>
          <w:tcPr>
            <w:tcW w:w="1658" w:type="dxa"/>
          </w:tcPr>
          <w:p>
            <w:pPr>
              <w:pStyle w:val="TableParagraph"/>
              <w:ind w:left="669"/>
              <w:rPr>
                <w:sz w:val="16"/>
              </w:rPr>
            </w:pPr>
            <w:r>
              <w:rPr>
                <w:color w:val="404040"/>
                <w:sz w:val="16"/>
              </w:rPr>
              <w:t>22%</w:t>
            </w:r>
          </w:p>
        </w:tc>
        <w:tc>
          <w:tcPr>
            <w:tcW w:w="1574" w:type="dxa"/>
          </w:tcPr>
          <w:p>
            <w:pPr>
              <w:pStyle w:val="TableParagraph"/>
              <w:ind w:left="468" w:right="487"/>
              <w:jc w:val="center"/>
              <w:rPr>
                <w:sz w:val="16"/>
              </w:rPr>
            </w:pPr>
            <w:r>
              <w:rPr>
                <w:color w:val="404040"/>
                <w:sz w:val="16"/>
              </w:rPr>
              <w:t>326,000</w:t>
            </w:r>
          </w:p>
        </w:tc>
        <w:tc>
          <w:tcPr>
            <w:tcW w:w="1608" w:type="dxa"/>
            <w:tcBorders>
              <w:right w:val="single" w:sz="4" w:space="0" w:color="DF2F1E"/>
            </w:tcBorders>
          </w:tcPr>
          <w:p>
            <w:pPr>
              <w:pStyle w:val="TableParagraph"/>
              <w:ind w:left="581" w:right="568"/>
              <w:jc w:val="center"/>
              <w:rPr>
                <w:sz w:val="16"/>
              </w:rPr>
            </w:pPr>
            <w:r>
              <w:rPr>
                <w:color w:val="404040"/>
                <w:sz w:val="16"/>
              </w:rPr>
              <w:t>95%</w:t>
            </w:r>
          </w:p>
        </w:tc>
      </w:tr>
      <w:tr>
        <w:trPr>
          <w:trHeight w:val="263" w:hRule="atLeast"/>
        </w:trPr>
        <w:tc>
          <w:tcPr>
            <w:tcW w:w="3905" w:type="dxa"/>
            <w:tcBorders>
              <w:left w:val="single" w:sz="4" w:space="0" w:color="DF2F1E"/>
            </w:tcBorders>
          </w:tcPr>
          <w:p>
            <w:pPr>
              <w:pStyle w:val="TableParagraph"/>
              <w:ind w:left="287"/>
              <w:rPr>
                <w:b/>
                <w:i/>
                <w:sz w:val="16"/>
              </w:rPr>
            </w:pPr>
            <w:r>
              <w:rPr>
                <w:b/>
                <w:i/>
                <w:color w:val="404040"/>
                <w:sz w:val="16"/>
              </w:rPr>
              <w:t>- High (36%-80%)</w:t>
            </w:r>
          </w:p>
        </w:tc>
        <w:tc>
          <w:tcPr>
            <w:tcW w:w="1037" w:type="dxa"/>
          </w:tcPr>
          <w:p>
            <w:pPr>
              <w:pStyle w:val="TableParagraph"/>
              <w:ind w:right="293"/>
              <w:jc w:val="right"/>
              <w:rPr>
                <w:sz w:val="16"/>
              </w:rPr>
            </w:pPr>
            <w:r>
              <w:rPr>
                <w:color w:val="404040"/>
                <w:sz w:val="16"/>
              </w:rPr>
              <w:t>53,000</w:t>
            </w:r>
          </w:p>
        </w:tc>
        <w:tc>
          <w:tcPr>
            <w:tcW w:w="1658" w:type="dxa"/>
          </w:tcPr>
          <w:p>
            <w:pPr>
              <w:pStyle w:val="TableParagraph"/>
              <w:ind w:left="669"/>
              <w:rPr>
                <w:sz w:val="16"/>
              </w:rPr>
            </w:pPr>
            <w:r>
              <w:rPr>
                <w:color w:val="404040"/>
                <w:sz w:val="16"/>
              </w:rPr>
              <w:t>25%</w:t>
            </w:r>
          </w:p>
        </w:tc>
        <w:tc>
          <w:tcPr>
            <w:tcW w:w="1574" w:type="dxa"/>
          </w:tcPr>
          <w:p>
            <w:pPr>
              <w:pStyle w:val="TableParagraph"/>
              <w:ind w:left="468" w:right="487"/>
              <w:jc w:val="center"/>
              <w:rPr>
                <w:sz w:val="16"/>
              </w:rPr>
            </w:pPr>
            <w:r>
              <w:rPr>
                <w:color w:val="404040"/>
                <w:sz w:val="16"/>
              </w:rPr>
              <w:t>361,000</w:t>
            </w:r>
          </w:p>
        </w:tc>
        <w:tc>
          <w:tcPr>
            <w:tcW w:w="1608" w:type="dxa"/>
            <w:tcBorders>
              <w:right w:val="single" w:sz="4" w:space="0" w:color="DF2F1E"/>
            </w:tcBorders>
          </w:tcPr>
          <w:p>
            <w:pPr>
              <w:pStyle w:val="TableParagraph"/>
              <w:ind w:left="581" w:right="570"/>
              <w:jc w:val="center"/>
              <w:rPr>
                <w:sz w:val="16"/>
              </w:rPr>
            </w:pPr>
            <w:r>
              <w:rPr>
                <w:color w:val="404040"/>
                <w:sz w:val="16"/>
              </w:rPr>
              <w:t>105%</w:t>
            </w:r>
          </w:p>
        </w:tc>
      </w:tr>
      <w:tr>
        <w:trPr>
          <w:trHeight w:val="264" w:hRule="atLeast"/>
        </w:trPr>
        <w:tc>
          <w:tcPr>
            <w:tcW w:w="3905" w:type="dxa"/>
            <w:tcBorders>
              <w:left w:val="single" w:sz="4" w:space="0" w:color="DF2F1E"/>
              <w:bottom w:val="single" w:sz="4" w:space="0" w:color="DF2F1E"/>
            </w:tcBorders>
          </w:tcPr>
          <w:p>
            <w:pPr>
              <w:pStyle w:val="TableParagraph"/>
              <w:ind w:left="287"/>
              <w:rPr>
                <w:b/>
                <w:i/>
                <w:sz w:val="16"/>
              </w:rPr>
            </w:pPr>
            <w:r>
              <w:rPr>
                <w:b/>
                <w:i/>
                <w:color w:val="404040"/>
                <w:sz w:val="16"/>
              </w:rPr>
              <w:t>- Very high (81%+)</w:t>
            </w:r>
          </w:p>
        </w:tc>
        <w:tc>
          <w:tcPr>
            <w:tcW w:w="1037" w:type="dxa"/>
            <w:tcBorders>
              <w:bottom w:val="single" w:sz="4" w:space="0" w:color="DF2F1E"/>
            </w:tcBorders>
          </w:tcPr>
          <w:p>
            <w:pPr>
              <w:pStyle w:val="TableParagraph"/>
              <w:ind w:right="293"/>
              <w:jc w:val="right"/>
              <w:rPr>
                <w:sz w:val="16"/>
              </w:rPr>
            </w:pPr>
            <w:r>
              <w:rPr>
                <w:color w:val="404040"/>
                <w:sz w:val="16"/>
              </w:rPr>
              <w:t>57,000</w:t>
            </w:r>
          </w:p>
        </w:tc>
        <w:tc>
          <w:tcPr>
            <w:tcW w:w="1658" w:type="dxa"/>
            <w:tcBorders>
              <w:bottom w:val="single" w:sz="4" w:space="0" w:color="DF2F1E"/>
            </w:tcBorders>
          </w:tcPr>
          <w:p>
            <w:pPr>
              <w:pStyle w:val="TableParagraph"/>
              <w:ind w:left="669"/>
              <w:rPr>
                <w:sz w:val="16"/>
              </w:rPr>
            </w:pPr>
            <w:r>
              <w:rPr>
                <w:color w:val="404040"/>
                <w:sz w:val="16"/>
              </w:rPr>
              <w:t>27%</w:t>
            </w:r>
          </w:p>
        </w:tc>
        <w:tc>
          <w:tcPr>
            <w:tcW w:w="1574" w:type="dxa"/>
            <w:tcBorders>
              <w:bottom w:val="single" w:sz="4" w:space="0" w:color="DF2F1E"/>
            </w:tcBorders>
          </w:tcPr>
          <w:p>
            <w:pPr>
              <w:pStyle w:val="TableParagraph"/>
              <w:ind w:left="468" w:right="487"/>
              <w:jc w:val="center"/>
              <w:rPr>
                <w:sz w:val="16"/>
              </w:rPr>
            </w:pPr>
            <w:r>
              <w:rPr>
                <w:color w:val="404040"/>
                <w:sz w:val="16"/>
              </w:rPr>
              <w:t>389,000</w:t>
            </w:r>
          </w:p>
        </w:tc>
        <w:tc>
          <w:tcPr>
            <w:tcW w:w="1608" w:type="dxa"/>
            <w:tcBorders>
              <w:bottom w:val="single" w:sz="4" w:space="0" w:color="DF2F1E"/>
              <w:right w:val="single" w:sz="4" w:space="0" w:color="DF2F1E"/>
            </w:tcBorders>
          </w:tcPr>
          <w:p>
            <w:pPr>
              <w:pStyle w:val="TableParagraph"/>
              <w:ind w:left="581" w:right="570"/>
              <w:jc w:val="center"/>
              <w:rPr>
                <w:sz w:val="16"/>
              </w:rPr>
            </w:pPr>
            <w:r>
              <w:rPr>
                <w:color w:val="404040"/>
                <w:sz w:val="16"/>
              </w:rPr>
              <w:t>113%</w:t>
            </w:r>
          </w:p>
        </w:tc>
      </w:tr>
      <w:tr>
        <w:trPr>
          <w:trHeight w:val="262" w:hRule="atLeast"/>
        </w:trPr>
        <w:tc>
          <w:tcPr>
            <w:tcW w:w="3905" w:type="dxa"/>
            <w:tcBorders>
              <w:top w:val="single" w:sz="4" w:space="0" w:color="DF2F1E"/>
              <w:left w:val="single" w:sz="4" w:space="0" w:color="DF2F1E"/>
            </w:tcBorders>
          </w:tcPr>
          <w:p>
            <w:pPr>
              <w:pStyle w:val="TableParagraph"/>
              <w:spacing w:before="34"/>
              <w:ind w:left="107"/>
              <w:rPr>
                <w:b/>
                <w:sz w:val="16"/>
              </w:rPr>
            </w:pPr>
            <w:r>
              <w:rPr>
                <w:b/>
                <w:color w:val="404040"/>
                <w:sz w:val="16"/>
              </w:rPr>
              <w:t>Number of children</w:t>
            </w:r>
          </w:p>
        </w:tc>
        <w:tc>
          <w:tcPr>
            <w:tcW w:w="1037" w:type="dxa"/>
            <w:tcBorders>
              <w:top w:val="single" w:sz="4" w:space="0" w:color="DF2F1E"/>
            </w:tcBorders>
          </w:tcPr>
          <w:p>
            <w:pPr>
              <w:pStyle w:val="TableParagraph"/>
              <w:spacing w:before="0"/>
              <w:rPr>
                <w:rFonts w:ascii="Times New Roman"/>
                <w:sz w:val="16"/>
              </w:rPr>
            </w:pPr>
          </w:p>
        </w:tc>
        <w:tc>
          <w:tcPr>
            <w:tcW w:w="1658" w:type="dxa"/>
            <w:tcBorders>
              <w:top w:val="single" w:sz="4" w:space="0" w:color="DF2F1E"/>
            </w:tcBorders>
          </w:tcPr>
          <w:p>
            <w:pPr>
              <w:pStyle w:val="TableParagraph"/>
              <w:spacing w:before="0"/>
              <w:rPr>
                <w:rFonts w:ascii="Times New Roman"/>
                <w:sz w:val="16"/>
              </w:rPr>
            </w:pPr>
          </w:p>
        </w:tc>
        <w:tc>
          <w:tcPr>
            <w:tcW w:w="1574" w:type="dxa"/>
            <w:tcBorders>
              <w:top w:val="single" w:sz="4" w:space="0" w:color="DF2F1E"/>
            </w:tcBorders>
          </w:tcPr>
          <w:p>
            <w:pPr>
              <w:pStyle w:val="TableParagraph"/>
              <w:spacing w:before="0"/>
              <w:rPr>
                <w:rFonts w:ascii="Times New Roman"/>
                <w:sz w:val="16"/>
              </w:rPr>
            </w:pPr>
          </w:p>
        </w:tc>
        <w:tc>
          <w:tcPr>
            <w:tcW w:w="1608" w:type="dxa"/>
            <w:tcBorders>
              <w:top w:val="single" w:sz="4" w:space="0" w:color="DF2F1E"/>
              <w:right w:val="single" w:sz="4" w:space="0" w:color="DF2F1E"/>
            </w:tcBorders>
          </w:tcPr>
          <w:p>
            <w:pPr>
              <w:pStyle w:val="TableParagraph"/>
              <w:spacing w:before="0"/>
              <w:rPr>
                <w:rFonts w:ascii="Times New Roman"/>
                <w:sz w:val="16"/>
              </w:rPr>
            </w:pPr>
          </w:p>
        </w:tc>
      </w:tr>
      <w:tr>
        <w:trPr>
          <w:trHeight w:val="265" w:hRule="atLeast"/>
        </w:trPr>
        <w:tc>
          <w:tcPr>
            <w:tcW w:w="3905" w:type="dxa"/>
            <w:tcBorders>
              <w:left w:val="single" w:sz="4" w:space="0" w:color="DF2F1E"/>
            </w:tcBorders>
          </w:tcPr>
          <w:p>
            <w:pPr>
              <w:pStyle w:val="TableParagraph"/>
              <w:spacing w:before="39"/>
              <w:ind w:left="287"/>
              <w:rPr>
                <w:b/>
                <w:i/>
                <w:sz w:val="16"/>
              </w:rPr>
            </w:pPr>
            <w:r>
              <w:rPr>
                <w:b/>
                <w:i/>
                <w:color w:val="404040"/>
                <w:sz w:val="16"/>
              </w:rPr>
              <w:t>- No children</w:t>
            </w:r>
          </w:p>
        </w:tc>
        <w:tc>
          <w:tcPr>
            <w:tcW w:w="1037" w:type="dxa"/>
          </w:tcPr>
          <w:p>
            <w:pPr>
              <w:pStyle w:val="TableParagraph"/>
              <w:spacing w:before="39"/>
              <w:ind w:right="250"/>
              <w:jc w:val="right"/>
              <w:rPr>
                <w:sz w:val="16"/>
              </w:rPr>
            </w:pPr>
            <w:r>
              <w:rPr>
                <w:color w:val="404040"/>
                <w:sz w:val="16"/>
              </w:rPr>
              <w:t>198,000</w:t>
            </w:r>
          </w:p>
        </w:tc>
        <w:tc>
          <w:tcPr>
            <w:tcW w:w="1658" w:type="dxa"/>
          </w:tcPr>
          <w:p>
            <w:pPr>
              <w:pStyle w:val="TableParagraph"/>
              <w:spacing w:before="39"/>
              <w:ind w:left="669"/>
              <w:rPr>
                <w:sz w:val="16"/>
              </w:rPr>
            </w:pPr>
            <w:r>
              <w:rPr>
                <w:color w:val="404040"/>
                <w:sz w:val="16"/>
              </w:rPr>
              <w:t>93%</w:t>
            </w:r>
          </w:p>
        </w:tc>
        <w:tc>
          <w:tcPr>
            <w:tcW w:w="1574" w:type="dxa"/>
          </w:tcPr>
          <w:p>
            <w:pPr>
              <w:pStyle w:val="TableParagraph"/>
              <w:spacing w:before="39"/>
              <w:ind w:left="468" w:right="487"/>
              <w:jc w:val="center"/>
              <w:rPr>
                <w:sz w:val="16"/>
              </w:rPr>
            </w:pPr>
            <w:r>
              <w:rPr>
                <w:color w:val="404040"/>
                <w:sz w:val="16"/>
              </w:rPr>
              <w:t>333,000</w:t>
            </w:r>
          </w:p>
        </w:tc>
        <w:tc>
          <w:tcPr>
            <w:tcW w:w="1608" w:type="dxa"/>
            <w:tcBorders>
              <w:right w:val="single" w:sz="4" w:space="0" w:color="DF2F1E"/>
            </w:tcBorders>
          </w:tcPr>
          <w:p>
            <w:pPr>
              <w:pStyle w:val="TableParagraph"/>
              <w:spacing w:before="39"/>
              <w:ind w:left="581" w:right="568"/>
              <w:jc w:val="center"/>
              <w:rPr>
                <w:sz w:val="16"/>
              </w:rPr>
            </w:pPr>
            <w:r>
              <w:rPr>
                <w:color w:val="404040"/>
                <w:sz w:val="16"/>
              </w:rPr>
              <w:t>97%</w:t>
            </w:r>
          </w:p>
        </w:tc>
      </w:tr>
      <w:tr>
        <w:trPr>
          <w:trHeight w:val="263" w:hRule="atLeast"/>
        </w:trPr>
        <w:tc>
          <w:tcPr>
            <w:tcW w:w="3905" w:type="dxa"/>
            <w:tcBorders>
              <w:left w:val="single" w:sz="4" w:space="0" w:color="DF2F1E"/>
            </w:tcBorders>
          </w:tcPr>
          <w:p>
            <w:pPr>
              <w:pStyle w:val="TableParagraph"/>
              <w:ind w:left="287"/>
              <w:rPr>
                <w:b/>
                <w:i/>
                <w:sz w:val="16"/>
              </w:rPr>
            </w:pPr>
            <w:r>
              <w:rPr>
                <w:b/>
                <w:i/>
                <w:color w:val="404040"/>
                <w:sz w:val="16"/>
              </w:rPr>
              <w:t>- 1 child</w:t>
            </w:r>
          </w:p>
        </w:tc>
        <w:tc>
          <w:tcPr>
            <w:tcW w:w="1037" w:type="dxa"/>
          </w:tcPr>
          <w:p>
            <w:pPr>
              <w:pStyle w:val="TableParagraph"/>
              <w:ind w:right="339"/>
              <w:jc w:val="right"/>
              <w:rPr>
                <w:sz w:val="16"/>
              </w:rPr>
            </w:pPr>
            <w:r>
              <w:rPr>
                <w:color w:val="404040"/>
                <w:sz w:val="16"/>
              </w:rPr>
              <w:t>9,000</w:t>
            </w:r>
          </w:p>
        </w:tc>
        <w:tc>
          <w:tcPr>
            <w:tcW w:w="1658" w:type="dxa"/>
          </w:tcPr>
          <w:p>
            <w:pPr>
              <w:pStyle w:val="TableParagraph"/>
              <w:ind w:left="712"/>
              <w:rPr>
                <w:sz w:val="16"/>
              </w:rPr>
            </w:pPr>
            <w:r>
              <w:rPr>
                <w:color w:val="404040"/>
                <w:sz w:val="16"/>
              </w:rPr>
              <w:t>4%</w:t>
            </w:r>
          </w:p>
        </w:tc>
        <w:tc>
          <w:tcPr>
            <w:tcW w:w="1574" w:type="dxa"/>
          </w:tcPr>
          <w:p>
            <w:pPr>
              <w:pStyle w:val="TableParagraph"/>
              <w:ind w:left="468" w:right="487"/>
              <w:jc w:val="center"/>
              <w:rPr>
                <w:sz w:val="16"/>
              </w:rPr>
            </w:pPr>
            <w:r>
              <w:rPr>
                <w:color w:val="404040"/>
                <w:sz w:val="16"/>
              </w:rPr>
              <w:t>480,000</w:t>
            </w:r>
          </w:p>
        </w:tc>
        <w:tc>
          <w:tcPr>
            <w:tcW w:w="1608" w:type="dxa"/>
            <w:tcBorders>
              <w:right w:val="single" w:sz="4" w:space="0" w:color="DF2F1E"/>
            </w:tcBorders>
          </w:tcPr>
          <w:p>
            <w:pPr>
              <w:pStyle w:val="TableParagraph"/>
              <w:ind w:left="581" w:right="570"/>
              <w:jc w:val="center"/>
              <w:rPr>
                <w:sz w:val="16"/>
              </w:rPr>
            </w:pPr>
            <w:r>
              <w:rPr>
                <w:color w:val="404040"/>
                <w:sz w:val="16"/>
              </w:rPr>
              <w:t>140%</w:t>
            </w:r>
          </w:p>
        </w:tc>
      </w:tr>
      <w:tr>
        <w:trPr>
          <w:trHeight w:val="264" w:hRule="atLeast"/>
        </w:trPr>
        <w:tc>
          <w:tcPr>
            <w:tcW w:w="3905" w:type="dxa"/>
            <w:tcBorders>
              <w:left w:val="single" w:sz="4" w:space="0" w:color="DF2F1E"/>
            </w:tcBorders>
          </w:tcPr>
          <w:p>
            <w:pPr>
              <w:pStyle w:val="TableParagraph"/>
              <w:ind w:left="287"/>
              <w:rPr>
                <w:b/>
                <w:i/>
                <w:sz w:val="16"/>
              </w:rPr>
            </w:pPr>
            <w:r>
              <w:rPr>
                <w:b/>
                <w:i/>
                <w:color w:val="404040"/>
                <w:sz w:val="16"/>
              </w:rPr>
              <w:t>- 2 children</w:t>
            </w:r>
          </w:p>
        </w:tc>
        <w:tc>
          <w:tcPr>
            <w:tcW w:w="1037" w:type="dxa"/>
          </w:tcPr>
          <w:p>
            <w:pPr>
              <w:pStyle w:val="TableParagraph"/>
              <w:ind w:right="339"/>
              <w:jc w:val="right"/>
              <w:rPr>
                <w:sz w:val="16"/>
              </w:rPr>
            </w:pPr>
            <w:r>
              <w:rPr>
                <w:color w:val="404040"/>
                <w:sz w:val="16"/>
              </w:rPr>
              <w:t>3,000</w:t>
            </w:r>
          </w:p>
        </w:tc>
        <w:tc>
          <w:tcPr>
            <w:tcW w:w="1658" w:type="dxa"/>
          </w:tcPr>
          <w:p>
            <w:pPr>
              <w:pStyle w:val="TableParagraph"/>
              <w:ind w:left="712"/>
              <w:rPr>
                <w:sz w:val="16"/>
              </w:rPr>
            </w:pPr>
            <w:r>
              <w:rPr>
                <w:color w:val="404040"/>
                <w:sz w:val="16"/>
              </w:rPr>
              <w:t>2%</w:t>
            </w:r>
          </w:p>
        </w:tc>
        <w:tc>
          <w:tcPr>
            <w:tcW w:w="1574" w:type="dxa"/>
          </w:tcPr>
          <w:p>
            <w:pPr>
              <w:pStyle w:val="TableParagraph"/>
              <w:ind w:left="468" w:right="487"/>
              <w:jc w:val="center"/>
              <w:rPr>
                <w:sz w:val="16"/>
              </w:rPr>
            </w:pPr>
            <w:r>
              <w:rPr>
                <w:color w:val="404040"/>
                <w:sz w:val="16"/>
              </w:rPr>
              <w:t>472,000</w:t>
            </w:r>
          </w:p>
        </w:tc>
        <w:tc>
          <w:tcPr>
            <w:tcW w:w="1608" w:type="dxa"/>
            <w:tcBorders>
              <w:right w:val="single" w:sz="4" w:space="0" w:color="DF2F1E"/>
            </w:tcBorders>
          </w:tcPr>
          <w:p>
            <w:pPr>
              <w:pStyle w:val="TableParagraph"/>
              <w:ind w:left="581" w:right="570"/>
              <w:jc w:val="center"/>
              <w:rPr>
                <w:sz w:val="16"/>
              </w:rPr>
            </w:pPr>
            <w:r>
              <w:rPr>
                <w:color w:val="404040"/>
                <w:sz w:val="16"/>
              </w:rPr>
              <w:t>137%</w:t>
            </w:r>
          </w:p>
        </w:tc>
      </w:tr>
      <w:tr>
        <w:trPr>
          <w:trHeight w:val="264" w:hRule="atLeast"/>
        </w:trPr>
        <w:tc>
          <w:tcPr>
            <w:tcW w:w="3905" w:type="dxa"/>
            <w:tcBorders>
              <w:left w:val="single" w:sz="4" w:space="0" w:color="DF2F1E"/>
              <w:bottom w:val="single" w:sz="4" w:space="0" w:color="DF2F1E"/>
            </w:tcBorders>
          </w:tcPr>
          <w:p>
            <w:pPr>
              <w:pStyle w:val="TableParagraph"/>
              <w:ind w:left="287"/>
              <w:rPr>
                <w:b/>
                <w:i/>
                <w:sz w:val="16"/>
              </w:rPr>
            </w:pPr>
            <w:r>
              <w:rPr>
                <w:b/>
                <w:i/>
                <w:color w:val="404040"/>
                <w:sz w:val="16"/>
              </w:rPr>
              <w:t>- 3+ children</w:t>
            </w:r>
          </w:p>
        </w:tc>
        <w:tc>
          <w:tcPr>
            <w:tcW w:w="1037" w:type="dxa"/>
            <w:tcBorders>
              <w:bottom w:val="single" w:sz="4" w:space="0" w:color="DF2F1E"/>
            </w:tcBorders>
          </w:tcPr>
          <w:p>
            <w:pPr>
              <w:pStyle w:val="TableParagraph"/>
              <w:ind w:right="339"/>
              <w:jc w:val="right"/>
              <w:rPr>
                <w:sz w:val="16"/>
              </w:rPr>
            </w:pPr>
            <w:r>
              <w:rPr>
                <w:color w:val="404040"/>
                <w:sz w:val="16"/>
              </w:rPr>
              <w:t>2,000</w:t>
            </w:r>
          </w:p>
        </w:tc>
        <w:tc>
          <w:tcPr>
            <w:tcW w:w="1658" w:type="dxa"/>
            <w:tcBorders>
              <w:bottom w:val="single" w:sz="4" w:space="0" w:color="DF2F1E"/>
            </w:tcBorders>
          </w:tcPr>
          <w:p>
            <w:pPr>
              <w:pStyle w:val="TableParagraph"/>
              <w:ind w:left="712"/>
              <w:rPr>
                <w:sz w:val="16"/>
              </w:rPr>
            </w:pPr>
            <w:r>
              <w:rPr>
                <w:color w:val="404040"/>
                <w:sz w:val="16"/>
              </w:rPr>
              <w:t>1%</w:t>
            </w:r>
          </w:p>
        </w:tc>
        <w:tc>
          <w:tcPr>
            <w:tcW w:w="1574" w:type="dxa"/>
            <w:tcBorders>
              <w:bottom w:val="single" w:sz="4" w:space="0" w:color="DF2F1E"/>
            </w:tcBorders>
          </w:tcPr>
          <w:p>
            <w:pPr>
              <w:pStyle w:val="TableParagraph"/>
              <w:ind w:left="468" w:right="487"/>
              <w:jc w:val="center"/>
              <w:rPr>
                <w:sz w:val="16"/>
              </w:rPr>
            </w:pPr>
            <w:r>
              <w:rPr>
                <w:color w:val="404040"/>
                <w:sz w:val="16"/>
              </w:rPr>
              <w:t>524,000</w:t>
            </w:r>
          </w:p>
        </w:tc>
        <w:tc>
          <w:tcPr>
            <w:tcW w:w="1608" w:type="dxa"/>
            <w:tcBorders>
              <w:bottom w:val="single" w:sz="4" w:space="0" w:color="DF2F1E"/>
              <w:right w:val="single" w:sz="4" w:space="0" w:color="DF2F1E"/>
            </w:tcBorders>
          </w:tcPr>
          <w:p>
            <w:pPr>
              <w:pStyle w:val="TableParagraph"/>
              <w:ind w:left="581" w:right="570"/>
              <w:jc w:val="center"/>
              <w:rPr>
                <w:sz w:val="16"/>
              </w:rPr>
            </w:pPr>
            <w:r>
              <w:rPr>
                <w:color w:val="404040"/>
                <w:sz w:val="16"/>
              </w:rPr>
              <w:t>153%</w:t>
            </w:r>
          </w:p>
        </w:tc>
      </w:tr>
      <w:tr>
        <w:trPr>
          <w:trHeight w:val="264" w:hRule="atLeast"/>
        </w:trPr>
        <w:tc>
          <w:tcPr>
            <w:tcW w:w="3905" w:type="dxa"/>
            <w:tcBorders>
              <w:top w:val="single" w:sz="4" w:space="0" w:color="DF2F1E"/>
              <w:left w:val="single" w:sz="4" w:space="0" w:color="DF2F1E"/>
            </w:tcBorders>
          </w:tcPr>
          <w:p>
            <w:pPr>
              <w:pStyle w:val="TableParagraph"/>
              <w:ind w:left="107"/>
              <w:rPr>
                <w:b/>
                <w:sz w:val="16"/>
              </w:rPr>
            </w:pPr>
            <w:r>
              <w:rPr>
                <w:b/>
                <w:color w:val="404040"/>
                <w:sz w:val="16"/>
              </w:rPr>
              <w:t>Years in pay class</w:t>
            </w:r>
          </w:p>
        </w:tc>
        <w:tc>
          <w:tcPr>
            <w:tcW w:w="1037" w:type="dxa"/>
            <w:tcBorders>
              <w:top w:val="single" w:sz="4" w:space="0" w:color="DF2F1E"/>
            </w:tcBorders>
          </w:tcPr>
          <w:p>
            <w:pPr>
              <w:pStyle w:val="TableParagraph"/>
              <w:spacing w:before="0"/>
              <w:rPr>
                <w:rFonts w:ascii="Times New Roman"/>
                <w:sz w:val="16"/>
              </w:rPr>
            </w:pPr>
          </w:p>
        </w:tc>
        <w:tc>
          <w:tcPr>
            <w:tcW w:w="1658" w:type="dxa"/>
            <w:tcBorders>
              <w:top w:val="single" w:sz="4" w:space="0" w:color="DF2F1E"/>
            </w:tcBorders>
          </w:tcPr>
          <w:p>
            <w:pPr>
              <w:pStyle w:val="TableParagraph"/>
              <w:spacing w:before="0"/>
              <w:rPr>
                <w:rFonts w:ascii="Times New Roman"/>
                <w:sz w:val="16"/>
              </w:rPr>
            </w:pPr>
          </w:p>
        </w:tc>
        <w:tc>
          <w:tcPr>
            <w:tcW w:w="1574" w:type="dxa"/>
            <w:tcBorders>
              <w:top w:val="single" w:sz="4" w:space="0" w:color="DF2F1E"/>
            </w:tcBorders>
          </w:tcPr>
          <w:p>
            <w:pPr>
              <w:pStyle w:val="TableParagraph"/>
              <w:spacing w:before="0"/>
              <w:rPr>
                <w:rFonts w:ascii="Times New Roman"/>
                <w:sz w:val="16"/>
              </w:rPr>
            </w:pPr>
          </w:p>
        </w:tc>
        <w:tc>
          <w:tcPr>
            <w:tcW w:w="1608" w:type="dxa"/>
            <w:tcBorders>
              <w:top w:val="single" w:sz="4" w:space="0" w:color="DF2F1E"/>
              <w:right w:val="single" w:sz="4" w:space="0" w:color="DF2F1E"/>
            </w:tcBorders>
          </w:tcPr>
          <w:p>
            <w:pPr>
              <w:pStyle w:val="TableParagraph"/>
              <w:spacing w:before="0"/>
              <w:rPr>
                <w:rFonts w:ascii="Times New Roman"/>
                <w:sz w:val="16"/>
              </w:rPr>
            </w:pPr>
          </w:p>
        </w:tc>
      </w:tr>
      <w:tr>
        <w:trPr>
          <w:trHeight w:val="265" w:hRule="atLeast"/>
        </w:trPr>
        <w:tc>
          <w:tcPr>
            <w:tcW w:w="3905" w:type="dxa"/>
            <w:tcBorders>
              <w:left w:val="single" w:sz="4" w:space="0" w:color="DF2F1E"/>
            </w:tcBorders>
          </w:tcPr>
          <w:p>
            <w:pPr>
              <w:pStyle w:val="TableParagraph"/>
              <w:spacing w:before="39"/>
              <w:ind w:left="287"/>
              <w:rPr>
                <w:b/>
                <w:i/>
                <w:sz w:val="16"/>
              </w:rPr>
            </w:pPr>
            <w:r>
              <w:rPr>
                <w:b/>
                <w:i/>
                <w:color w:val="404040"/>
                <w:sz w:val="16"/>
              </w:rPr>
              <w:t>- 1 Year</w:t>
            </w:r>
          </w:p>
        </w:tc>
        <w:tc>
          <w:tcPr>
            <w:tcW w:w="1037" w:type="dxa"/>
          </w:tcPr>
          <w:p>
            <w:pPr>
              <w:pStyle w:val="TableParagraph"/>
              <w:spacing w:before="39"/>
              <w:ind w:right="293"/>
              <w:jc w:val="right"/>
              <w:rPr>
                <w:sz w:val="16"/>
              </w:rPr>
            </w:pPr>
            <w:r>
              <w:rPr>
                <w:color w:val="404040"/>
                <w:sz w:val="16"/>
              </w:rPr>
              <w:t>62,000</w:t>
            </w:r>
          </w:p>
        </w:tc>
        <w:tc>
          <w:tcPr>
            <w:tcW w:w="1658" w:type="dxa"/>
          </w:tcPr>
          <w:p>
            <w:pPr>
              <w:pStyle w:val="TableParagraph"/>
              <w:spacing w:before="39"/>
              <w:ind w:left="669"/>
              <w:rPr>
                <w:sz w:val="16"/>
              </w:rPr>
            </w:pPr>
            <w:r>
              <w:rPr>
                <w:color w:val="404040"/>
                <w:sz w:val="16"/>
              </w:rPr>
              <w:t>29%</w:t>
            </w:r>
          </w:p>
        </w:tc>
        <w:tc>
          <w:tcPr>
            <w:tcW w:w="1574" w:type="dxa"/>
          </w:tcPr>
          <w:p>
            <w:pPr>
              <w:pStyle w:val="TableParagraph"/>
              <w:spacing w:before="39"/>
              <w:ind w:left="468" w:right="487"/>
              <w:jc w:val="center"/>
              <w:rPr>
                <w:sz w:val="16"/>
              </w:rPr>
            </w:pPr>
            <w:r>
              <w:rPr>
                <w:color w:val="404040"/>
                <w:sz w:val="16"/>
              </w:rPr>
              <w:t>306,000</w:t>
            </w:r>
          </w:p>
        </w:tc>
        <w:tc>
          <w:tcPr>
            <w:tcW w:w="1608" w:type="dxa"/>
            <w:tcBorders>
              <w:right w:val="single" w:sz="4" w:space="0" w:color="DF2F1E"/>
            </w:tcBorders>
          </w:tcPr>
          <w:p>
            <w:pPr>
              <w:pStyle w:val="TableParagraph"/>
              <w:spacing w:before="39"/>
              <w:ind w:left="581" w:right="568"/>
              <w:jc w:val="center"/>
              <w:rPr>
                <w:sz w:val="16"/>
              </w:rPr>
            </w:pPr>
            <w:r>
              <w:rPr>
                <w:color w:val="404040"/>
                <w:sz w:val="16"/>
              </w:rPr>
              <w:t>89%</w:t>
            </w:r>
          </w:p>
        </w:tc>
      </w:tr>
      <w:tr>
        <w:trPr>
          <w:trHeight w:val="263" w:hRule="atLeast"/>
        </w:trPr>
        <w:tc>
          <w:tcPr>
            <w:tcW w:w="3905" w:type="dxa"/>
            <w:tcBorders>
              <w:left w:val="single" w:sz="4" w:space="0" w:color="DF2F1E"/>
            </w:tcBorders>
          </w:tcPr>
          <w:p>
            <w:pPr>
              <w:pStyle w:val="TableParagraph"/>
              <w:ind w:left="287"/>
              <w:rPr>
                <w:b/>
                <w:i/>
                <w:sz w:val="16"/>
              </w:rPr>
            </w:pPr>
            <w:r>
              <w:rPr>
                <w:b/>
                <w:i/>
                <w:color w:val="404040"/>
                <w:sz w:val="16"/>
              </w:rPr>
              <w:t>- 2-3 Years</w:t>
            </w:r>
          </w:p>
        </w:tc>
        <w:tc>
          <w:tcPr>
            <w:tcW w:w="1037" w:type="dxa"/>
          </w:tcPr>
          <w:p>
            <w:pPr>
              <w:pStyle w:val="TableParagraph"/>
              <w:ind w:right="293"/>
              <w:jc w:val="right"/>
              <w:rPr>
                <w:sz w:val="16"/>
              </w:rPr>
            </w:pPr>
            <w:r>
              <w:rPr>
                <w:color w:val="404040"/>
                <w:sz w:val="16"/>
              </w:rPr>
              <w:t>81,000</w:t>
            </w:r>
          </w:p>
        </w:tc>
        <w:tc>
          <w:tcPr>
            <w:tcW w:w="1658" w:type="dxa"/>
          </w:tcPr>
          <w:p>
            <w:pPr>
              <w:pStyle w:val="TableParagraph"/>
              <w:ind w:left="669"/>
              <w:rPr>
                <w:sz w:val="16"/>
              </w:rPr>
            </w:pPr>
            <w:r>
              <w:rPr>
                <w:color w:val="404040"/>
                <w:sz w:val="16"/>
              </w:rPr>
              <w:t>38%</w:t>
            </w:r>
          </w:p>
        </w:tc>
        <w:tc>
          <w:tcPr>
            <w:tcW w:w="1574" w:type="dxa"/>
          </w:tcPr>
          <w:p>
            <w:pPr>
              <w:pStyle w:val="TableParagraph"/>
              <w:ind w:left="468" w:right="487"/>
              <w:jc w:val="center"/>
              <w:rPr>
                <w:sz w:val="16"/>
              </w:rPr>
            </w:pPr>
            <w:r>
              <w:rPr>
                <w:color w:val="404040"/>
                <w:sz w:val="16"/>
              </w:rPr>
              <w:t>330,000</w:t>
            </w:r>
          </w:p>
        </w:tc>
        <w:tc>
          <w:tcPr>
            <w:tcW w:w="1608" w:type="dxa"/>
            <w:tcBorders>
              <w:right w:val="single" w:sz="4" w:space="0" w:color="DF2F1E"/>
            </w:tcBorders>
          </w:tcPr>
          <w:p>
            <w:pPr>
              <w:pStyle w:val="TableParagraph"/>
              <w:ind w:left="581" w:right="568"/>
              <w:jc w:val="center"/>
              <w:rPr>
                <w:sz w:val="16"/>
              </w:rPr>
            </w:pPr>
            <w:r>
              <w:rPr>
                <w:color w:val="404040"/>
                <w:sz w:val="16"/>
              </w:rPr>
              <w:t>96%</w:t>
            </w:r>
          </w:p>
        </w:tc>
      </w:tr>
      <w:tr>
        <w:trPr>
          <w:trHeight w:val="264" w:hRule="atLeast"/>
        </w:trPr>
        <w:tc>
          <w:tcPr>
            <w:tcW w:w="3905" w:type="dxa"/>
            <w:tcBorders>
              <w:left w:val="single" w:sz="4" w:space="0" w:color="DF2F1E"/>
            </w:tcBorders>
          </w:tcPr>
          <w:p>
            <w:pPr>
              <w:pStyle w:val="TableParagraph"/>
              <w:ind w:left="287"/>
              <w:rPr>
                <w:b/>
                <w:i/>
                <w:sz w:val="16"/>
              </w:rPr>
            </w:pPr>
            <w:r>
              <w:rPr>
                <w:b/>
                <w:i/>
                <w:color w:val="404040"/>
                <w:sz w:val="16"/>
              </w:rPr>
              <w:t>- 4-5 Years</w:t>
            </w:r>
          </w:p>
        </w:tc>
        <w:tc>
          <w:tcPr>
            <w:tcW w:w="1037" w:type="dxa"/>
          </w:tcPr>
          <w:p>
            <w:pPr>
              <w:pStyle w:val="TableParagraph"/>
              <w:ind w:right="293"/>
              <w:jc w:val="right"/>
              <w:rPr>
                <w:sz w:val="16"/>
              </w:rPr>
            </w:pPr>
            <w:r>
              <w:rPr>
                <w:color w:val="404040"/>
                <w:sz w:val="16"/>
              </w:rPr>
              <w:t>40,000</w:t>
            </w:r>
          </w:p>
        </w:tc>
        <w:tc>
          <w:tcPr>
            <w:tcW w:w="1658" w:type="dxa"/>
          </w:tcPr>
          <w:p>
            <w:pPr>
              <w:pStyle w:val="TableParagraph"/>
              <w:ind w:left="669"/>
              <w:rPr>
                <w:sz w:val="16"/>
              </w:rPr>
            </w:pPr>
            <w:r>
              <w:rPr>
                <w:color w:val="404040"/>
                <w:sz w:val="16"/>
              </w:rPr>
              <w:t>19%</w:t>
            </w:r>
          </w:p>
        </w:tc>
        <w:tc>
          <w:tcPr>
            <w:tcW w:w="1574" w:type="dxa"/>
          </w:tcPr>
          <w:p>
            <w:pPr>
              <w:pStyle w:val="TableParagraph"/>
              <w:ind w:left="468" w:right="487"/>
              <w:jc w:val="center"/>
              <w:rPr>
                <w:sz w:val="16"/>
              </w:rPr>
            </w:pPr>
            <w:r>
              <w:rPr>
                <w:color w:val="404040"/>
                <w:sz w:val="16"/>
              </w:rPr>
              <w:t>378,000</w:t>
            </w:r>
          </w:p>
        </w:tc>
        <w:tc>
          <w:tcPr>
            <w:tcW w:w="1608" w:type="dxa"/>
            <w:tcBorders>
              <w:right w:val="single" w:sz="4" w:space="0" w:color="DF2F1E"/>
            </w:tcBorders>
          </w:tcPr>
          <w:p>
            <w:pPr>
              <w:pStyle w:val="TableParagraph"/>
              <w:ind w:left="581" w:right="570"/>
              <w:jc w:val="center"/>
              <w:rPr>
                <w:sz w:val="16"/>
              </w:rPr>
            </w:pPr>
            <w:r>
              <w:rPr>
                <w:color w:val="404040"/>
                <w:sz w:val="16"/>
              </w:rPr>
              <w:t>110%</w:t>
            </w:r>
          </w:p>
        </w:tc>
      </w:tr>
      <w:tr>
        <w:trPr>
          <w:trHeight w:val="264" w:hRule="atLeast"/>
        </w:trPr>
        <w:tc>
          <w:tcPr>
            <w:tcW w:w="3905" w:type="dxa"/>
            <w:tcBorders>
              <w:left w:val="single" w:sz="4" w:space="0" w:color="DF2F1E"/>
              <w:bottom w:val="single" w:sz="4" w:space="0" w:color="DF2F1E"/>
            </w:tcBorders>
          </w:tcPr>
          <w:p>
            <w:pPr>
              <w:pStyle w:val="TableParagraph"/>
              <w:ind w:left="287"/>
              <w:rPr>
                <w:b/>
                <w:i/>
                <w:sz w:val="16"/>
              </w:rPr>
            </w:pPr>
            <w:r>
              <w:rPr>
                <w:b/>
                <w:i/>
                <w:color w:val="404040"/>
                <w:sz w:val="16"/>
              </w:rPr>
              <w:t>- 6+ Years</w:t>
            </w:r>
          </w:p>
        </w:tc>
        <w:tc>
          <w:tcPr>
            <w:tcW w:w="1037" w:type="dxa"/>
            <w:tcBorders>
              <w:bottom w:val="single" w:sz="4" w:space="0" w:color="DF2F1E"/>
            </w:tcBorders>
          </w:tcPr>
          <w:p>
            <w:pPr>
              <w:pStyle w:val="TableParagraph"/>
              <w:ind w:right="293"/>
              <w:jc w:val="right"/>
              <w:rPr>
                <w:sz w:val="16"/>
              </w:rPr>
            </w:pPr>
            <w:r>
              <w:rPr>
                <w:color w:val="404040"/>
                <w:sz w:val="16"/>
              </w:rPr>
              <w:t>31,000</w:t>
            </w:r>
          </w:p>
        </w:tc>
        <w:tc>
          <w:tcPr>
            <w:tcW w:w="1658" w:type="dxa"/>
            <w:tcBorders>
              <w:bottom w:val="single" w:sz="4" w:space="0" w:color="DF2F1E"/>
            </w:tcBorders>
          </w:tcPr>
          <w:p>
            <w:pPr>
              <w:pStyle w:val="TableParagraph"/>
              <w:ind w:left="669"/>
              <w:rPr>
                <w:sz w:val="16"/>
              </w:rPr>
            </w:pPr>
            <w:r>
              <w:rPr>
                <w:color w:val="404040"/>
                <w:sz w:val="16"/>
              </w:rPr>
              <w:t>14%</w:t>
            </w:r>
          </w:p>
        </w:tc>
        <w:tc>
          <w:tcPr>
            <w:tcW w:w="1574" w:type="dxa"/>
            <w:tcBorders>
              <w:bottom w:val="single" w:sz="4" w:space="0" w:color="DF2F1E"/>
            </w:tcBorders>
          </w:tcPr>
          <w:p>
            <w:pPr>
              <w:pStyle w:val="TableParagraph"/>
              <w:ind w:left="468" w:right="487"/>
              <w:jc w:val="center"/>
              <w:rPr>
                <w:sz w:val="16"/>
              </w:rPr>
            </w:pPr>
            <w:r>
              <w:rPr>
                <w:color w:val="404040"/>
                <w:sz w:val="16"/>
              </w:rPr>
              <w:t>411,000</w:t>
            </w:r>
          </w:p>
        </w:tc>
        <w:tc>
          <w:tcPr>
            <w:tcW w:w="1608" w:type="dxa"/>
            <w:tcBorders>
              <w:bottom w:val="single" w:sz="4" w:space="0" w:color="DF2F1E"/>
              <w:right w:val="single" w:sz="4" w:space="0" w:color="DF2F1E"/>
            </w:tcBorders>
          </w:tcPr>
          <w:p>
            <w:pPr>
              <w:pStyle w:val="TableParagraph"/>
              <w:ind w:left="581" w:right="570"/>
              <w:jc w:val="center"/>
              <w:rPr>
                <w:sz w:val="16"/>
              </w:rPr>
            </w:pPr>
            <w:r>
              <w:rPr>
                <w:color w:val="404040"/>
                <w:sz w:val="16"/>
              </w:rPr>
              <w:t>120%</w:t>
            </w:r>
          </w:p>
        </w:tc>
      </w:tr>
      <w:tr>
        <w:trPr>
          <w:trHeight w:val="262" w:hRule="atLeast"/>
        </w:trPr>
        <w:tc>
          <w:tcPr>
            <w:tcW w:w="3905" w:type="dxa"/>
            <w:tcBorders>
              <w:top w:val="single" w:sz="4" w:space="0" w:color="DF2F1E"/>
              <w:left w:val="single" w:sz="4" w:space="0" w:color="DF2F1E"/>
            </w:tcBorders>
          </w:tcPr>
          <w:p>
            <w:pPr>
              <w:pStyle w:val="TableParagraph"/>
              <w:spacing w:before="34"/>
              <w:ind w:left="107"/>
              <w:rPr>
                <w:b/>
                <w:sz w:val="16"/>
              </w:rPr>
            </w:pPr>
            <w:r>
              <w:rPr>
                <w:b/>
                <w:color w:val="404040"/>
                <w:sz w:val="16"/>
              </w:rPr>
              <w:t>Indigenous status</w:t>
            </w:r>
          </w:p>
        </w:tc>
        <w:tc>
          <w:tcPr>
            <w:tcW w:w="1037" w:type="dxa"/>
            <w:tcBorders>
              <w:top w:val="single" w:sz="4" w:space="0" w:color="DF2F1E"/>
            </w:tcBorders>
          </w:tcPr>
          <w:p>
            <w:pPr>
              <w:pStyle w:val="TableParagraph"/>
              <w:spacing w:before="0"/>
              <w:rPr>
                <w:rFonts w:ascii="Times New Roman"/>
                <w:sz w:val="16"/>
              </w:rPr>
            </w:pPr>
          </w:p>
        </w:tc>
        <w:tc>
          <w:tcPr>
            <w:tcW w:w="1658" w:type="dxa"/>
            <w:tcBorders>
              <w:top w:val="single" w:sz="4" w:space="0" w:color="DF2F1E"/>
            </w:tcBorders>
          </w:tcPr>
          <w:p>
            <w:pPr>
              <w:pStyle w:val="TableParagraph"/>
              <w:spacing w:before="0"/>
              <w:rPr>
                <w:rFonts w:ascii="Times New Roman"/>
                <w:sz w:val="16"/>
              </w:rPr>
            </w:pPr>
          </w:p>
        </w:tc>
        <w:tc>
          <w:tcPr>
            <w:tcW w:w="1574" w:type="dxa"/>
            <w:tcBorders>
              <w:top w:val="single" w:sz="4" w:space="0" w:color="DF2F1E"/>
            </w:tcBorders>
          </w:tcPr>
          <w:p>
            <w:pPr>
              <w:pStyle w:val="TableParagraph"/>
              <w:spacing w:before="0"/>
              <w:rPr>
                <w:rFonts w:ascii="Times New Roman"/>
                <w:sz w:val="16"/>
              </w:rPr>
            </w:pPr>
          </w:p>
        </w:tc>
        <w:tc>
          <w:tcPr>
            <w:tcW w:w="1608" w:type="dxa"/>
            <w:tcBorders>
              <w:top w:val="single" w:sz="4" w:space="0" w:color="DF2F1E"/>
              <w:right w:val="single" w:sz="4" w:space="0" w:color="DF2F1E"/>
            </w:tcBorders>
          </w:tcPr>
          <w:p>
            <w:pPr>
              <w:pStyle w:val="TableParagraph"/>
              <w:spacing w:before="0"/>
              <w:rPr>
                <w:rFonts w:ascii="Times New Roman"/>
                <w:sz w:val="16"/>
              </w:rPr>
            </w:pPr>
          </w:p>
        </w:tc>
      </w:tr>
      <w:tr>
        <w:trPr>
          <w:trHeight w:val="265" w:hRule="atLeast"/>
        </w:trPr>
        <w:tc>
          <w:tcPr>
            <w:tcW w:w="3905" w:type="dxa"/>
            <w:tcBorders>
              <w:left w:val="single" w:sz="4" w:space="0" w:color="DF2F1E"/>
            </w:tcBorders>
          </w:tcPr>
          <w:p>
            <w:pPr>
              <w:pStyle w:val="TableParagraph"/>
              <w:spacing w:before="39"/>
              <w:ind w:left="287"/>
              <w:rPr>
                <w:b/>
                <w:i/>
                <w:sz w:val="16"/>
              </w:rPr>
            </w:pPr>
            <w:r>
              <w:rPr>
                <w:b/>
                <w:i/>
                <w:color w:val="404040"/>
                <w:sz w:val="16"/>
              </w:rPr>
              <w:t>- Indigenous</w:t>
            </w:r>
          </w:p>
        </w:tc>
        <w:tc>
          <w:tcPr>
            <w:tcW w:w="1037" w:type="dxa"/>
          </w:tcPr>
          <w:p>
            <w:pPr>
              <w:pStyle w:val="TableParagraph"/>
              <w:spacing w:before="39"/>
              <w:ind w:right="293"/>
              <w:jc w:val="right"/>
              <w:rPr>
                <w:sz w:val="16"/>
              </w:rPr>
            </w:pPr>
            <w:r>
              <w:rPr>
                <w:color w:val="404040"/>
                <w:sz w:val="16"/>
              </w:rPr>
              <w:t>29,000</w:t>
            </w:r>
          </w:p>
        </w:tc>
        <w:tc>
          <w:tcPr>
            <w:tcW w:w="1658" w:type="dxa"/>
          </w:tcPr>
          <w:p>
            <w:pPr>
              <w:pStyle w:val="TableParagraph"/>
              <w:spacing w:before="39"/>
              <w:ind w:left="669"/>
              <w:rPr>
                <w:sz w:val="16"/>
              </w:rPr>
            </w:pPr>
            <w:r>
              <w:rPr>
                <w:color w:val="404040"/>
                <w:sz w:val="16"/>
              </w:rPr>
              <w:t>14%</w:t>
            </w:r>
          </w:p>
        </w:tc>
        <w:tc>
          <w:tcPr>
            <w:tcW w:w="1574" w:type="dxa"/>
          </w:tcPr>
          <w:p>
            <w:pPr>
              <w:pStyle w:val="TableParagraph"/>
              <w:spacing w:before="39"/>
              <w:ind w:left="468" w:right="487"/>
              <w:jc w:val="center"/>
              <w:rPr>
                <w:sz w:val="16"/>
              </w:rPr>
            </w:pPr>
            <w:r>
              <w:rPr>
                <w:color w:val="404040"/>
                <w:sz w:val="16"/>
              </w:rPr>
              <w:t>488,000</w:t>
            </w:r>
          </w:p>
        </w:tc>
        <w:tc>
          <w:tcPr>
            <w:tcW w:w="1608" w:type="dxa"/>
            <w:tcBorders>
              <w:right w:val="single" w:sz="4" w:space="0" w:color="DF2F1E"/>
            </w:tcBorders>
          </w:tcPr>
          <w:p>
            <w:pPr>
              <w:pStyle w:val="TableParagraph"/>
              <w:spacing w:before="39"/>
              <w:ind w:left="581" w:right="570"/>
              <w:jc w:val="center"/>
              <w:rPr>
                <w:sz w:val="16"/>
              </w:rPr>
            </w:pPr>
            <w:r>
              <w:rPr>
                <w:color w:val="404040"/>
                <w:sz w:val="16"/>
              </w:rPr>
              <w:t>142%</w:t>
            </w:r>
          </w:p>
        </w:tc>
      </w:tr>
      <w:tr>
        <w:trPr>
          <w:trHeight w:val="264" w:hRule="atLeast"/>
        </w:trPr>
        <w:tc>
          <w:tcPr>
            <w:tcW w:w="3905" w:type="dxa"/>
            <w:tcBorders>
              <w:left w:val="single" w:sz="4" w:space="0" w:color="DF2F1E"/>
              <w:bottom w:val="single" w:sz="4" w:space="0" w:color="DF2F1E"/>
            </w:tcBorders>
          </w:tcPr>
          <w:p>
            <w:pPr>
              <w:pStyle w:val="TableParagraph"/>
              <w:ind w:left="287"/>
              <w:rPr>
                <w:b/>
                <w:i/>
                <w:sz w:val="16"/>
              </w:rPr>
            </w:pPr>
            <w:r>
              <w:rPr>
                <w:b/>
                <w:i/>
                <w:color w:val="404040"/>
                <w:sz w:val="16"/>
              </w:rPr>
              <w:t>- Non-Indigenous</w:t>
            </w:r>
          </w:p>
        </w:tc>
        <w:tc>
          <w:tcPr>
            <w:tcW w:w="1037" w:type="dxa"/>
            <w:tcBorders>
              <w:bottom w:val="single" w:sz="4" w:space="0" w:color="DF2F1E"/>
            </w:tcBorders>
          </w:tcPr>
          <w:p>
            <w:pPr>
              <w:pStyle w:val="TableParagraph"/>
              <w:ind w:right="250"/>
              <w:jc w:val="right"/>
              <w:rPr>
                <w:sz w:val="16"/>
              </w:rPr>
            </w:pPr>
            <w:r>
              <w:rPr>
                <w:color w:val="404040"/>
                <w:sz w:val="16"/>
              </w:rPr>
              <w:t>184,000</w:t>
            </w:r>
          </w:p>
        </w:tc>
        <w:tc>
          <w:tcPr>
            <w:tcW w:w="1658" w:type="dxa"/>
            <w:tcBorders>
              <w:bottom w:val="single" w:sz="4" w:space="0" w:color="DF2F1E"/>
            </w:tcBorders>
          </w:tcPr>
          <w:p>
            <w:pPr>
              <w:pStyle w:val="TableParagraph"/>
              <w:ind w:left="669"/>
              <w:rPr>
                <w:sz w:val="16"/>
              </w:rPr>
            </w:pPr>
            <w:r>
              <w:rPr>
                <w:color w:val="404040"/>
                <w:sz w:val="16"/>
              </w:rPr>
              <w:t>86%</w:t>
            </w:r>
          </w:p>
        </w:tc>
        <w:tc>
          <w:tcPr>
            <w:tcW w:w="1574" w:type="dxa"/>
            <w:tcBorders>
              <w:bottom w:val="single" w:sz="4" w:space="0" w:color="DF2F1E"/>
            </w:tcBorders>
          </w:tcPr>
          <w:p>
            <w:pPr>
              <w:pStyle w:val="TableParagraph"/>
              <w:ind w:left="468" w:right="487"/>
              <w:jc w:val="center"/>
              <w:rPr>
                <w:sz w:val="16"/>
              </w:rPr>
            </w:pPr>
            <w:r>
              <w:rPr>
                <w:color w:val="404040"/>
                <w:sz w:val="16"/>
              </w:rPr>
              <w:t>321,000</w:t>
            </w:r>
          </w:p>
        </w:tc>
        <w:tc>
          <w:tcPr>
            <w:tcW w:w="1608" w:type="dxa"/>
            <w:tcBorders>
              <w:bottom w:val="single" w:sz="4" w:space="0" w:color="DF2F1E"/>
              <w:right w:val="single" w:sz="4" w:space="0" w:color="DF2F1E"/>
            </w:tcBorders>
          </w:tcPr>
          <w:p>
            <w:pPr>
              <w:pStyle w:val="TableParagraph"/>
              <w:ind w:left="581" w:right="568"/>
              <w:jc w:val="center"/>
              <w:rPr>
                <w:sz w:val="16"/>
              </w:rPr>
            </w:pPr>
            <w:r>
              <w:rPr>
                <w:color w:val="404040"/>
                <w:sz w:val="16"/>
              </w:rPr>
              <w:t>93%</w:t>
            </w:r>
          </w:p>
        </w:tc>
      </w:tr>
      <w:tr>
        <w:trPr>
          <w:trHeight w:val="262" w:hRule="atLeast"/>
        </w:trPr>
        <w:tc>
          <w:tcPr>
            <w:tcW w:w="3905" w:type="dxa"/>
            <w:tcBorders>
              <w:top w:val="single" w:sz="4" w:space="0" w:color="DF2F1E"/>
              <w:left w:val="single" w:sz="4" w:space="0" w:color="DF2F1E"/>
            </w:tcBorders>
          </w:tcPr>
          <w:p>
            <w:pPr>
              <w:pStyle w:val="TableParagraph"/>
              <w:spacing w:before="34"/>
              <w:ind w:left="107"/>
              <w:rPr>
                <w:b/>
                <w:sz w:val="16"/>
              </w:rPr>
            </w:pPr>
            <w:r>
              <w:rPr>
                <w:b/>
                <w:color w:val="404040"/>
                <w:sz w:val="16"/>
              </w:rPr>
              <w:t>Geography – socio-economic area grouping</w:t>
            </w:r>
          </w:p>
        </w:tc>
        <w:tc>
          <w:tcPr>
            <w:tcW w:w="1037" w:type="dxa"/>
            <w:tcBorders>
              <w:top w:val="single" w:sz="4" w:space="0" w:color="DF2F1E"/>
            </w:tcBorders>
          </w:tcPr>
          <w:p>
            <w:pPr>
              <w:pStyle w:val="TableParagraph"/>
              <w:spacing w:before="0"/>
              <w:rPr>
                <w:rFonts w:ascii="Times New Roman"/>
                <w:sz w:val="16"/>
              </w:rPr>
            </w:pPr>
          </w:p>
        </w:tc>
        <w:tc>
          <w:tcPr>
            <w:tcW w:w="1658" w:type="dxa"/>
            <w:tcBorders>
              <w:top w:val="single" w:sz="4" w:space="0" w:color="DF2F1E"/>
            </w:tcBorders>
          </w:tcPr>
          <w:p>
            <w:pPr>
              <w:pStyle w:val="TableParagraph"/>
              <w:spacing w:before="0"/>
              <w:rPr>
                <w:rFonts w:ascii="Times New Roman"/>
                <w:sz w:val="16"/>
              </w:rPr>
            </w:pPr>
          </w:p>
        </w:tc>
        <w:tc>
          <w:tcPr>
            <w:tcW w:w="1574" w:type="dxa"/>
            <w:tcBorders>
              <w:top w:val="single" w:sz="4" w:space="0" w:color="DF2F1E"/>
            </w:tcBorders>
          </w:tcPr>
          <w:p>
            <w:pPr>
              <w:pStyle w:val="TableParagraph"/>
              <w:spacing w:before="0"/>
              <w:rPr>
                <w:rFonts w:ascii="Times New Roman"/>
                <w:sz w:val="16"/>
              </w:rPr>
            </w:pPr>
          </w:p>
        </w:tc>
        <w:tc>
          <w:tcPr>
            <w:tcW w:w="1608" w:type="dxa"/>
            <w:tcBorders>
              <w:top w:val="single" w:sz="4" w:space="0" w:color="DF2F1E"/>
              <w:right w:val="single" w:sz="4" w:space="0" w:color="DF2F1E"/>
            </w:tcBorders>
          </w:tcPr>
          <w:p>
            <w:pPr>
              <w:pStyle w:val="TableParagraph"/>
              <w:spacing w:before="0"/>
              <w:rPr>
                <w:rFonts w:ascii="Times New Roman"/>
                <w:sz w:val="16"/>
              </w:rPr>
            </w:pPr>
          </w:p>
        </w:tc>
      </w:tr>
      <w:tr>
        <w:trPr>
          <w:trHeight w:val="265" w:hRule="atLeast"/>
        </w:trPr>
        <w:tc>
          <w:tcPr>
            <w:tcW w:w="3905" w:type="dxa"/>
            <w:tcBorders>
              <w:left w:val="single" w:sz="4" w:space="0" w:color="DF2F1E"/>
            </w:tcBorders>
          </w:tcPr>
          <w:p>
            <w:pPr>
              <w:pStyle w:val="TableParagraph"/>
              <w:spacing w:before="39"/>
              <w:ind w:left="287"/>
              <w:rPr>
                <w:b/>
                <w:i/>
                <w:sz w:val="16"/>
              </w:rPr>
            </w:pPr>
            <w:r>
              <w:rPr>
                <w:b/>
                <w:i/>
                <w:color w:val="404040"/>
                <w:sz w:val="16"/>
              </w:rPr>
              <w:t>- Lowest 20% (most disadvantaged)</w:t>
            </w:r>
          </w:p>
        </w:tc>
        <w:tc>
          <w:tcPr>
            <w:tcW w:w="1037" w:type="dxa"/>
          </w:tcPr>
          <w:p>
            <w:pPr>
              <w:pStyle w:val="TableParagraph"/>
              <w:spacing w:before="39"/>
              <w:ind w:right="293"/>
              <w:jc w:val="right"/>
              <w:rPr>
                <w:sz w:val="16"/>
              </w:rPr>
            </w:pPr>
            <w:r>
              <w:rPr>
                <w:color w:val="404040"/>
                <w:sz w:val="16"/>
              </w:rPr>
              <w:t>74,000</w:t>
            </w:r>
          </w:p>
        </w:tc>
        <w:tc>
          <w:tcPr>
            <w:tcW w:w="1658" w:type="dxa"/>
          </w:tcPr>
          <w:p>
            <w:pPr>
              <w:pStyle w:val="TableParagraph"/>
              <w:spacing w:before="39"/>
              <w:ind w:left="669"/>
              <w:rPr>
                <w:sz w:val="16"/>
              </w:rPr>
            </w:pPr>
            <w:r>
              <w:rPr>
                <w:color w:val="404040"/>
                <w:sz w:val="16"/>
              </w:rPr>
              <w:t>35%</w:t>
            </w:r>
          </w:p>
        </w:tc>
        <w:tc>
          <w:tcPr>
            <w:tcW w:w="1574" w:type="dxa"/>
          </w:tcPr>
          <w:p>
            <w:pPr>
              <w:pStyle w:val="TableParagraph"/>
              <w:spacing w:before="39"/>
              <w:ind w:left="468" w:right="487"/>
              <w:jc w:val="center"/>
              <w:rPr>
                <w:sz w:val="16"/>
              </w:rPr>
            </w:pPr>
            <w:r>
              <w:rPr>
                <w:color w:val="404040"/>
                <w:sz w:val="16"/>
              </w:rPr>
              <w:t>381,000</w:t>
            </w:r>
          </w:p>
        </w:tc>
        <w:tc>
          <w:tcPr>
            <w:tcW w:w="1608" w:type="dxa"/>
            <w:tcBorders>
              <w:right w:val="single" w:sz="4" w:space="0" w:color="DF2F1E"/>
            </w:tcBorders>
          </w:tcPr>
          <w:p>
            <w:pPr>
              <w:pStyle w:val="TableParagraph"/>
              <w:spacing w:before="39"/>
              <w:ind w:left="581" w:right="570"/>
              <w:jc w:val="center"/>
              <w:rPr>
                <w:sz w:val="16"/>
              </w:rPr>
            </w:pPr>
            <w:r>
              <w:rPr>
                <w:color w:val="404040"/>
                <w:sz w:val="16"/>
              </w:rPr>
              <w:t>111%</w:t>
            </w:r>
          </w:p>
        </w:tc>
      </w:tr>
      <w:tr>
        <w:trPr>
          <w:trHeight w:val="263" w:hRule="atLeast"/>
        </w:trPr>
        <w:tc>
          <w:tcPr>
            <w:tcW w:w="3905" w:type="dxa"/>
            <w:tcBorders>
              <w:left w:val="single" w:sz="4" w:space="0" w:color="DF2F1E"/>
            </w:tcBorders>
          </w:tcPr>
          <w:p>
            <w:pPr>
              <w:pStyle w:val="TableParagraph"/>
              <w:ind w:left="287"/>
              <w:rPr>
                <w:b/>
                <w:i/>
                <w:sz w:val="16"/>
              </w:rPr>
            </w:pPr>
            <w:r>
              <w:rPr>
                <w:b/>
                <w:i/>
                <w:color w:val="404040"/>
                <w:sz w:val="16"/>
              </w:rPr>
              <w:t>- 20% to 40%</w:t>
            </w:r>
          </w:p>
        </w:tc>
        <w:tc>
          <w:tcPr>
            <w:tcW w:w="1037" w:type="dxa"/>
          </w:tcPr>
          <w:p>
            <w:pPr>
              <w:pStyle w:val="TableParagraph"/>
              <w:ind w:right="293"/>
              <w:jc w:val="right"/>
              <w:rPr>
                <w:sz w:val="16"/>
              </w:rPr>
            </w:pPr>
            <w:r>
              <w:rPr>
                <w:color w:val="404040"/>
                <w:sz w:val="16"/>
              </w:rPr>
              <w:t>50,000</w:t>
            </w:r>
          </w:p>
        </w:tc>
        <w:tc>
          <w:tcPr>
            <w:tcW w:w="1658" w:type="dxa"/>
          </w:tcPr>
          <w:p>
            <w:pPr>
              <w:pStyle w:val="TableParagraph"/>
              <w:ind w:left="669"/>
              <w:rPr>
                <w:sz w:val="16"/>
              </w:rPr>
            </w:pPr>
            <w:r>
              <w:rPr>
                <w:color w:val="404040"/>
                <w:sz w:val="16"/>
              </w:rPr>
              <w:t>24%</w:t>
            </w:r>
          </w:p>
        </w:tc>
        <w:tc>
          <w:tcPr>
            <w:tcW w:w="1574" w:type="dxa"/>
          </w:tcPr>
          <w:p>
            <w:pPr>
              <w:pStyle w:val="TableParagraph"/>
              <w:ind w:left="468" w:right="487"/>
              <w:jc w:val="center"/>
              <w:rPr>
                <w:sz w:val="16"/>
              </w:rPr>
            </w:pPr>
            <w:r>
              <w:rPr>
                <w:color w:val="404040"/>
                <w:sz w:val="16"/>
              </w:rPr>
              <w:t>352,000</w:t>
            </w:r>
          </w:p>
        </w:tc>
        <w:tc>
          <w:tcPr>
            <w:tcW w:w="1608" w:type="dxa"/>
            <w:tcBorders>
              <w:right w:val="single" w:sz="4" w:space="0" w:color="DF2F1E"/>
            </w:tcBorders>
          </w:tcPr>
          <w:p>
            <w:pPr>
              <w:pStyle w:val="TableParagraph"/>
              <w:ind w:left="581" w:right="570"/>
              <w:jc w:val="center"/>
              <w:rPr>
                <w:sz w:val="16"/>
              </w:rPr>
            </w:pPr>
            <w:r>
              <w:rPr>
                <w:color w:val="404040"/>
                <w:sz w:val="16"/>
              </w:rPr>
              <w:t>103%</w:t>
            </w:r>
          </w:p>
        </w:tc>
      </w:tr>
      <w:tr>
        <w:trPr>
          <w:trHeight w:val="264" w:hRule="atLeast"/>
        </w:trPr>
        <w:tc>
          <w:tcPr>
            <w:tcW w:w="3905" w:type="dxa"/>
            <w:tcBorders>
              <w:left w:val="single" w:sz="4" w:space="0" w:color="DF2F1E"/>
            </w:tcBorders>
          </w:tcPr>
          <w:p>
            <w:pPr>
              <w:pStyle w:val="TableParagraph"/>
              <w:ind w:left="287"/>
              <w:rPr>
                <w:b/>
                <w:i/>
                <w:sz w:val="16"/>
              </w:rPr>
            </w:pPr>
            <w:r>
              <w:rPr>
                <w:b/>
                <w:i/>
                <w:color w:val="404040"/>
                <w:sz w:val="16"/>
              </w:rPr>
              <w:t>- 40% to 60%</w:t>
            </w:r>
          </w:p>
        </w:tc>
        <w:tc>
          <w:tcPr>
            <w:tcW w:w="1037" w:type="dxa"/>
          </w:tcPr>
          <w:p>
            <w:pPr>
              <w:pStyle w:val="TableParagraph"/>
              <w:ind w:right="293"/>
              <w:jc w:val="right"/>
              <w:rPr>
                <w:sz w:val="16"/>
              </w:rPr>
            </w:pPr>
            <w:r>
              <w:rPr>
                <w:color w:val="404040"/>
                <w:sz w:val="16"/>
              </w:rPr>
              <w:t>40,000</w:t>
            </w:r>
          </w:p>
        </w:tc>
        <w:tc>
          <w:tcPr>
            <w:tcW w:w="1658" w:type="dxa"/>
          </w:tcPr>
          <w:p>
            <w:pPr>
              <w:pStyle w:val="TableParagraph"/>
              <w:ind w:left="669"/>
              <w:rPr>
                <w:sz w:val="16"/>
              </w:rPr>
            </w:pPr>
            <w:r>
              <w:rPr>
                <w:color w:val="404040"/>
                <w:sz w:val="16"/>
              </w:rPr>
              <w:t>19%</w:t>
            </w:r>
          </w:p>
        </w:tc>
        <w:tc>
          <w:tcPr>
            <w:tcW w:w="1574" w:type="dxa"/>
          </w:tcPr>
          <w:p>
            <w:pPr>
              <w:pStyle w:val="TableParagraph"/>
              <w:ind w:left="468" w:right="487"/>
              <w:jc w:val="center"/>
              <w:rPr>
                <w:sz w:val="16"/>
              </w:rPr>
            </w:pPr>
            <w:r>
              <w:rPr>
                <w:color w:val="404040"/>
                <w:sz w:val="16"/>
              </w:rPr>
              <w:t>326,000</w:t>
            </w:r>
          </w:p>
        </w:tc>
        <w:tc>
          <w:tcPr>
            <w:tcW w:w="1608" w:type="dxa"/>
            <w:tcBorders>
              <w:right w:val="single" w:sz="4" w:space="0" w:color="DF2F1E"/>
            </w:tcBorders>
          </w:tcPr>
          <w:p>
            <w:pPr>
              <w:pStyle w:val="TableParagraph"/>
              <w:ind w:left="581" w:right="568"/>
              <w:jc w:val="center"/>
              <w:rPr>
                <w:sz w:val="16"/>
              </w:rPr>
            </w:pPr>
            <w:r>
              <w:rPr>
                <w:color w:val="404040"/>
                <w:sz w:val="16"/>
              </w:rPr>
              <w:t>95%</w:t>
            </w:r>
          </w:p>
        </w:tc>
      </w:tr>
      <w:tr>
        <w:trPr>
          <w:trHeight w:val="263" w:hRule="atLeast"/>
        </w:trPr>
        <w:tc>
          <w:tcPr>
            <w:tcW w:w="3905" w:type="dxa"/>
            <w:tcBorders>
              <w:left w:val="single" w:sz="4" w:space="0" w:color="DF2F1E"/>
            </w:tcBorders>
          </w:tcPr>
          <w:p>
            <w:pPr>
              <w:pStyle w:val="TableParagraph"/>
              <w:ind w:left="287"/>
              <w:rPr>
                <w:b/>
                <w:i/>
                <w:sz w:val="16"/>
              </w:rPr>
            </w:pPr>
            <w:r>
              <w:rPr>
                <w:b/>
                <w:i/>
                <w:color w:val="404040"/>
                <w:sz w:val="16"/>
              </w:rPr>
              <w:t>- 60% to 80%</w:t>
            </w:r>
          </w:p>
        </w:tc>
        <w:tc>
          <w:tcPr>
            <w:tcW w:w="1037" w:type="dxa"/>
          </w:tcPr>
          <w:p>
            <w:pPr>
              <w:pStyle w:val="TableParagraph"/>
              <w:ind w:right="293"/>
              <w:jc w:val="right"/>
              <w:rPr>
                <w:sz w:val="16"/>
              </w:rPr>
            </w:pPr>
            <w:r>
              <w:rPr>
                <w:color w:val="404040"/>
                <w:sz w:val="16"/>
              </w:rPr>
              <w:t>30,000</w:t>
            </w:r>
          </w:p>
        </w:tc>
        <w:tc>
          <w:tcPr>
            <w:tcW w:w="1658" w:type="dxa"/>
          </w:tcPr>
          <w:p>
            <w:pPr>
              <w:pStyle w:val="TableParagraph"/>
              <w:ind w:left="669"/>
              <w:rPr>
                <w:sz w:val="16"/>
              </w:rPr>
            </w:pPr>
            <w:r>
              <w:rPr>
                <w:color w:val="404040"/>
                <w:sz w:val="16"/>
              </w:rPr>
              <w:t>14%</w:t>
            </w:r>
          </w:p>
        </w:tc>
        <w:tc>
          <w:tcPr>
            <w:tcW w:w="1574" w:type="dxa"/>
          </w:tcPr>
          <w:p>
            <w:pPr>
              <w:pStyle w:val="TableParagraph"/>
              <w:ind w:left="468" w:right="487"/>
              <w:jc w:val="center"/>
              <w:rPr>
                <w:sz w:val="16"/>
              </w:rPr>
            </w:pPr>
            <w:r>
              <w:rPr>
                <w:color w:val="404040"/>
                <w:sz w:val="16"/>
              </w:rPr>
              <w:t>301,000</w:t>
            </w:r>
          </w:p>
        </w:tc>
        <w:tc>
          <w:tcPr>
            <w:tcW w:w="1608" w:type="dxa"/>
            <w:tcBorders>
              <w:right w:val="single" w:sz="4" w:space="0" w:color="DF2F1E"/>
            </w:tcBorders>
          </w:tcPr>
          <w:p>
            <w:pPr>
              <w:pStyle w:val="TableParagraph"/>
              <w:ind w:left="581" w:right="568"/>
              <w:jc w:val="center"/>
              <w:rPr>
                <w:sz w:val="16"/>
              </w:rPr>
            </w:pPr>
            <w:r>
              <w:rPr>
                <w:color w:val="404040"/>
                <w:sz w:val="16"/>
              </w:rPr>
              <w:t>88%</w:t>
            </w:r>
          </w:p>
        </w:tc>
      </w:tr>
      <w:tr>
        <w:trPr>
          <w:trHeight w:val="264" w:hRule="atLeast"/>
        </w:trPr>
        <w:tc>
          <w:tcPr>
            <w:tcW w:w="3905" w:type="dxa"/>
            <w:tcBorders>
              <w:left w:val="single" w:sz="4" w:space="0" w:color="DF2F1E"/>
              <w:bottom w:val="single" w:sz="4" w:space="0" w:color="DF2F1E"/>
            </w:tcBorders>
          </w:tcPr>
          <w:p>
            <w:pPr>
              <w:pStyle w:val="TableParagraph"/>
              <w:ind w:left="287"/>
              <w:rPr>
                <w:b/>
                <w:i/>
                <w:sz w:val="16"/>
              </w:rPr>
            </w:pPr>
            <w:r>
              <w:rPr>
                <w:b/>
                <w:i/>
                <w:color w:val="404040"/>
                <w:sz w:val="16"/>
              </w:rPr>
              <w:t>- Highest 20% (least disadvantaged)</w:t>
            </w:r>
          </w:p>
        </w:tc>
        <w:tc>
          <w:tcPr>
            <w:tcW w:w="1037" w:type="dxa"/>
            <w:tcBorders>
              <w:bottom w:val="single" w:sz="4" w:space="0" w:color="DF2F1E"/>
            </w:tcBorders>
          </w:tcPr>
          <w:p>
            <w:pPr>
              <w:pStyle w:val="TableParagraph"/>
              <w:ind w:right="293"/>
              <w:jc w:val="right"/>
              <w:rPr>
                <w:sz w:val="16"/>
              </w:rPr>
            </w:pPr>
            <w:r>
              <w:rPr>
                <w:color w:val="404040"/>
                <w:sz w:val="16"/>
              </w:rPr>
              <w:t>19,000</w:t>
            </w:r>
          </w:p>
        </w:tc>
        <w:tc>
          <w:tcPr>
            <w:tcW w:w="1658" w:type="dxa"/>
            <w:tcBorders>
              <w:bottom w:val="single" w:sz="4" w:space="0" w:color="DF2F1E"/>
            </w:tcBorders>
          </w:tcPr>
          <w:p>
            <w:pPr>
              <w:pStyle w:val="TableParagraph"/>
              <w:ind w:left="712"/>
              <w:rPr>
                <w:sz w:val="16"/>
              </w:rPr>
            </w:pPr>
            <w:r>
              <w:rPr>
                <w:color w:val="404040"/>
                <w:sz w:val="16"/>
              </w:rPr>
              <w:t>9%</w:t>
            </w:r>
          </w:p>
        </w:tc>
        <w:tc>
          <w:tcPr>
            <w:tcW w:w="1574" w:type="dxa"/>
            <w:tcBorders>
              <w:bottom w:val="single" w:sz="4" w:space="0" w:color="DF2F1E"/>
            </w:tcBorders>
          </w:tcPr>
          <w:p>
            <w:pPr>
              <w:pStyle w:val="TableParagraph"/>
              <w:ind w:left="468" w:right="487"/>
              <w:jc w:val="center"/>
              <w:rPr>
                <w:sz w:val="16"/>
              </w:rPr>
            </w:pPr>
            <w:r>
              <w:rPr>
                <w:color w:val="404040"/>
                <w:sz w:val="16"/>
              </w:rPr>
              <w:t>274,000</w:t>
            </w:r>
          </w:p>
        </w:tc>
        <w:tc>
          <w:tcPr>
            <w:tcW w:w="1608" w:type="dxa"/>
            <w:tcBorders>
              <w:bottom w:val="single" w:sz="4" w:space="0" w:color="DF2F1E"/>
              <w:right w:val="single" w:sz="4" w:space="0" w:color="DF2F1E"/>
            </w:tcBorders>
          </w:tcPr>
          <w:p>
            <w:pPr>
              <w:pStyle w:val="TableParagraph"/>
              <w:ind w:left="581" w:right="568"/>
              <w:jc w:val="center"/>
              <w:rPr>
                <w:sz w:val="16"/>
              </w:rPr>
            </w:pPr>
            <w:r>
              <w:rPr>
                <w:color w:val="404040"/>
                <w:sz w:val="16"/>
              </w:rPr>
              <w:t>80%</w:t>
            </w:r>
          </w:p>
        </w:tc>
      </w:tr>
      <w:tr>
        <w:trPr>
          <w:trHeight w:val="262" w:hRule="atLeast"/>
        </w:trPr>
        <w:tc>
          <w:tcPr>
            <w:tcW w:w="3905" w:type="dxa"/>
            <w:tcBorders>
              <w:top w:val="single" w:sz="4" w:space="0" w:color="DF2F1E"/>
              <w:left w:val="single" w:sz="4" w:space="0" w:color="DF2F1E"/>
            </w:tcBorders>
          </w:tcPr>
          <w:p>
            <w:pPr>
              <w:pStyle w:val="TableParagraph"/>
              <w:spacing w:before="34"/>
              <w:ind w:left="107"/>
              <w:rPr>
                <w:b/>
                <w:sz w:val="16"/>
              </w:rPr>
            </w:pPr>
            <w:r>
              <w:rPr>
                <w:b/>
                <w:color w:val="404040"/>
                <w:sz w:val="16"/>
              </w:rPr>
              <w:t>Payments at valuation date</w:t>
            </w:r>
          </w:p>
        </w:tc>
        <w:tc>
          <w:tcPr>
            <w:tcW w:w="1037" w:type="dxa"/>
            <w:tcBorders>
              <w:top w:val="single" w:sz="4" w:space="0" w:color="DF2F1E"/>
            </w:tcBorders>
          </w:tcPr>
          <w:p>
            <w:pPr>
              <w:pStyle w:val="TableParagraph"/>
              <w:spacing w:before="0"/>
              <w:rPr>
                <w:rFonts w:ascii="Times New Roman"/>
                <w:sz w:val="16"/>
              </w:rPr>
            </w:pPr>
          </w:p>
        </w:tc>
        <w:tc>
          <w:tcPr>
            <w:tcW w:w="1658" w:type="dxa"/>
            <w:tcBorders>
              <w:top w:val="single" w:sz="4" w:space="0" w:color="DF2F1E"/>
            </w:tcBorders>
          </w:tcPr>
          <w:p>
            <w:pPr>
              <w:pStyle w:val="TableParagraph"/>
              <w:spacing w:before="0"/>
              <w:rPr>
                <w:rFonts w:ascii="Times New Roman"/>
                <w:sz w:val="16"/>
              </w:rPr>
            </w:pPr>
          </w:p>
        </w:tc>
        <w:tc>
          <w:tcPr>
            <w:tcW w:w="1574" w:type="dxa"/>
            <w:tcBorders>
              <w:top w:val="single" w:sz="4" w:space="0" w:color="DF2F1E"/>
            </w:tcBorders>
          </w:tcPr>
          <w:p>
            <w:pPr>
              <w:pStyle w:val="TableParagraph"/>
              <w:spacing w:before="0"/>
              <w:rPr>
                <w:rFonts w:ascii="Times New Roman"/>
                <w:sz w:val="16"/>
              </w:rPr>
            </w:pPr>
          </w:p>
        </w:tc>
        <w:tc>
          <w:tcPr>
            <w:tcW w:w="1608" w:type="dxa"/>
            <w:tcBorders>
              <w:top w:val="single" w:sz="4" w:space="0" w:color="DF2F1E"/>
              <w:right w:val="single" w:sz="4" w:space="0" w:color="DF2F1E"/>
            </w:tcBorders>
          </w:tcPr>
          <w:p>
            <w:pPr>
              <w:pStyle w:val="TableParagraph"/>
              <w:spacing w:before="0"/>
              <w:rPr>
                <w:rFonts w:ascii="Times New Roman"/>
                <w:sz w:val="16"/>
              </w:rPr>
            </w:pPr>
          </w:p>
        </w:tc>
      </w:tr>
      <w:tr>
        <w:trPr>
          <w:trHeight w:val="265" w:hRule="atLeast"/>
        </w:trPr>
        <w:tc>
          <w:tcPr>
            <w:tcW w:w="3905" w:type="dxa"/>
            <w:tcBorders>
              <w:left w:val="single" w:sz="4" w:space="0" w:color="DF2F1E"/>
            </w:tcBorders>
          </w:tcPr>
          <w:p>
            <w:pPr>
              <w:pStyle w:val="TableParagraph"/>
              <w:spacing w:before="39"/>
              <w:ind w:left="287"/>
              <w:rPr>
                <w:b/>
                <w:i/>
                <w:sz w:val="16"/>
              </w:rPr>
            </w:pPr>
            <w:r>
              <w:rPr>
                <w:b/>
                <w:i/>
                <w:color w:val="404040"/>
                <w:sz w:val="16"/>
              </w:rPr>
              <w:t>- In receipt of payments at valuation date</w:t>
            </w:r>
          </w:p>
        </w:tc>
        <w:tc>
          <w:tcPr>
            <w:tcW w:w="1037" w:type="dxa"/>
          </w:tcPr>
          <w:p>
            <w:pPr>
              <w:pStyle w:val="TableParagraph"/>
              <w:spacing w:before="39"/>
              <w:ind w:right="250"/>
              <w:jc w:val="right"/>
              <w:rPr>
                <w:sz w:val="16"/>
              </w:rPr>
            </w:pPr>
            <w:r>
              <w:rPr>
                <w:color w:val="404040"/>
                <w:sz w:val="16"/>
              </w:rPr>
              <w:t>123,000</w:t>
            </w:r>
          </w:p>
        </w:tc>
        <w:tc>
          <w:tcPr>
            <w:tcW w:w="1658" w:type="dxa"/>
          </w:tcPr>
          <w:p>
            <w:pPr>
              <w:pStyle w:val="TableParagraph"/>
              <w:spacing w:before="39"/>
              <w:ind w:left="669"/>
              <w:rPr>
                <w:sz w:val="16"/>
              </w:rPr>
            </w:pPr>
            <w:r>
              <w:rPr>
                <w:color w:val="404040"/>
                <w:sz w:val="16"/>
              </w:rPr>
              <w:t>58%</w:t>
            </w:r>
          </w:p>
        </w:tc>
        <w:tc>
          <w:tcPr>
            <w:tcW w:w="1574" w:type="dxa"/>
          </w:tcPr>
          <w:p>
            <w:pPr>
              <w:pStyle w:val="TableParagraph"/>
              <w:spacing w:before="39"/>
              <w:ind w:left="468" w:right="487"/>
              <w:jc w:val="center"/>
              <w:rPr>
                <w:sz w:val="16"/>
              </w:rPr>
            </w:pPr>
            <w:r>
              <w:rPr>
                <w:color w:val="404040"/>
                <w:sz w:val="16"/>
              </w:rPr>
              <w:t>385,000</w:t>
            </w:r>
          </w:p>
        </w:tc>
        <w:tc>
          <w:tcPr>
            <w:tcW w:w="1608" w:type="dxa"/>
            <w:tcBorders>
              <w:right w:val="single" w:sz="4" w:space="0" w:color="DF2F1E"/>
            </w:tcBorders>
          </w:tcPr>
          <w:p>
            <w:pPr>
              <w:pStyle w:val="TableParagraph"/>
              <w:spacing w:before="39"/>
              <w:ind w:left="581" w:right="571"/>
              <w:jc w:val="center"/>
              <w:rPr>
                <w:sz w:val="16"/>
              </w:rPr>
            </w:pPr>
            <w:r>
              <w:rPr>
                <w:color w:val="404040"/>
                <w:sz w:val="16"/>
              </w:rPr>
              <w:t>112%</w:t>
            </w:r>
          </w:p>
        </w:tc>
      </w:tr>
      <w:tr>
        <w:trPr>
          <w:trHeight w:val="264" w:hRule="atLeast"/>
        </w:trPr>
        <w:tc>
          <w:tcPr>
            <w:tcW w:w="3905" w:type="dxa"/>
            <w:tcBorders>
              <w:left w:val="single" w:sz="4" w:space="0" w:color="DF2F1E"/>
              <w:bottom w:val="single" w:sz="4" w:space="0" w:color="DF2F1E"/>
            </w:tcBorders>
          </w:tcPr>
          <w:p>
            <w:pPr>
              <w:pStyle w:val="TableParagraph"/>
              <w:ind w:left="287"/>
              <w:rPr>
                <w:b/>
                <w:i/>
                <w:sz w:val="16"/>
              </w:rPr>
            </w:pPr>
            <w:r>
              <w:rPr>
                <w:b/>
                <w:i/>
                <w:color w:val="404040"/>
                <w:sz w:val="16"/>
              </w:rPr>
              <w:t>- Not in receipt of payments at valuation date</w:t>
            </w:r>
          </w:p>
        </w:tc>
        <w:tc>
          <w:tcPr>
            <w:tcW w:w="1037" w:type="dxa"/>
            <w:tcBorders>
              <w:bottom w:val="single" w:sz="4" w:space="0" w:color="DF2F1E"/>
            </w:tcBorders>
          </w:tcPr>
          <w:p>
            <w:pPr>
              <w:pStyle w:val="TableParagraph"/>
              <w:ind w:right="293"/>
              <w:jc w:val="right"/>
              <w:rPr>
                <w:sz w:val="16"/>
              </w:rPr>
            </w:pPr>
            <w:r>
              <w:rPr>
                <w:color w:val="404040"/>
                <w:sz w:val="16"/>
              </w:rPr>
              <w:t>90,000</w:t>
            </w:r>
          </w:p>
        </w:tc>
        <w:tc>
          <w:tcPr>
            <w:tcW w:w="1658" w:type="dxa"/>
            <w:tcBorders>
              <w:bottom w:val="single" w:sz="4" w:space="0" w:color="DF2F1E"/>
            </w:tcBorders>
          </w:tcPr>
          <w:p>
            <w:pPr>
              <w:pStyle w:val="TableParagraph"/>
              <w:ind w:left="669"/>
              <w:rPr>
                <w:sz w:val="16"/>
              </w:rPr>
            </w:pPr>
            <w:r>
              <w:rPr>
                <w:color w:val="404040"/>
                <w:sz w:val="16"/>
              </w:rPr>
              <w:t>42%</w:t>
            </w:r>
          </w:p>
        </w:tc>
        <w:tc>
          <w:tcPr>
            <w:tcW w:w="1574" w:type="dxa"/>
            <w:tcBorders>
              <w:bottom w:val="single" w:sz="4" w:space="0" w:color="DF2F1E"/>
            </w:tcBorders>
          </w:tcPr>
          <w:p>
            <w:pPr>
              <w:pStyle w:val="TableParagraph"/>
              <w:ind w:left="468" w:right="487"/>
              <w:jc w:val="center"/>
              <w:rPr>
                <w:sz w:val="16"/>
              </w:rPr>
            </w:pPr>
            <w:r>
              <w:rPr>
                <w:color w:val="404040"/>
                <w:sz w:val="16"/>
              </w:rPr>
              <w:t>287,000</w:t>
            </w:r>
          </w:p>
        </w:tc>
        <w:tc>
          <w:tcPr>
            <w:tcW w:w="1608" w:type="dxa"/>
            <w:tcBorders>
              <w:bottom w:val="single" w:sz="4" w:space="0" w:color="DF2F1E"/>
              <w:right w:val="single" w:sz="4" w:space="0" w:color="DF2F1E"/>
            </w:tcBorders>
          </w:tcPr>
          <w:p>
            <w:pPr>
              <w:pStyle w:val="TableParagraph"/>
              <w:ind w:left="581" w:right="568"/>
              <w:jc w:val="center"/>
              <w:rPr>
                <w:sz w:val="16"/>
              </w:rPr>
            </w:pPr>
            <w:r>
              <w:rPr>
                <w:color w:val="404040"/>
                <w:sz w:val="16"/>
              </w:rPr>
              <w:t>83%</w:t>
            </w:r>
          </w:p>
        </w:tc>
      </w:tr>
    </w:tbl>
    <w:p>
      <w:pPr>
        <w:pStyle w:val="BodyText"/>
        <w:spacing w:before="119"/>
        <w:ind w:left="900"/>
      </w:pPr>
      <w:r>
        <w:rPr>
          <w:color w:val="404040"/>
        </w:rPr>
        <w:t>From the table, we can see that for the current cohort of 20 to 25 year old Working Age payment recipients:</w:t>
      </w:r>
    </w:p>
    <w:p>
      <w:pPr>
        <w:spacing w:after="0"/>
        <w:sectPr>
          <w:pgSz w:w="11910" w:h="16850"/>
          <w:pgMar w:header="572" w:footer="581" w:top="780" w:bottom="780" w:left="120" w:right="0"/>
        </w:sectPr>
      </w:pPr>
    </w:p>
    <w:p>
      <w:pPr>
        <w:pStyle w:val="BodyText"/>
      </w:pPr>
    </w:p>
    <w:p>
      <w:pPr>
        <w:pStyle w:val="BodyText"/>
      </w:pPr>
    </w:p>
    <w:p>
      <w:pPr>
        <w:pStyle w:val="BodyText"/>
        <w:spacing w:before="2"/>
        <w:rPr>
          <w:sz w:val="21"/>
        </w:rPr>
      </w:pPr>
    </w:p>
    <w:p>
      <w:pPr>
        <w:pStyle w:val="ListParagraph"/>
        <w:numPr>
          <w:ilvl w:val="0"/>
          <w:numId w:val="42"/>
        </w:numPr>
        <w:tabs>
          <w:tab w:pos="1184" w:val="left" w:leader="none"/>
        </w:tabs>
        <w:spacing w:line="240" w:lineRule="auto" w:before="99" w:after="0"/>
        <w:ind w:left="1183" w:right="1142" w:hanging="284"/>
        <w:jc w:val="left"/>
        <w:rPr>
          <w:rFonts w:ascii="Symbol" w:hAnsi="Symbol"/>
          <w:sz w:val="20"/>
        </w:rPr>
      </w:pPr>
      <w:r>
        <w:rPr>
          <w:color w:val="404040"/>
          <w:sz w:val="20"/>
        </w:rPr>
        <w:t>As with the Studying class, we see that being in receipt of payments at the valuation is associated with higher lifetime costs. The impact of this is larger for the Working Age class compared to the Studying class. This is reflective of the greater persistency on payments for people in receipt of Working Age payments, which makes being in receipt of payments at the valuation date a more significant feature for the Working Age</w:t>
      </w:r>
      <w:r>
        <w:rPr>
          <w:color w:val="404040"/>
          <w:spacing w:val="-2"/>
          <w:sz w:val="20"/>
        </w:rPr>
        <w:t> </w:t>
      </w:r>
      <w:r>
        <w:rPr>
          <w:color w:val="404040"/>
          <w:sz w:val="20"/>
        </w:rPr>
        <w:t>class.</w:t>
      </w:r>
    </w:p>
    <w:p>
      <w:pPr>
        <w:pStyle w:val="ListParagraph"/>
        <w:numPr>
          <w:ilvl w:val="0"/>
          <w:numId w:val="42"/>
        </w:numPr>
        <w:tabs>
          <w:tab w:pos="1184" w:val="left" w:leader="none"/>
        </w:tabs>
        <w:spacing w:line="240" w:lineRule="auto" w:before="117" w:after="0"/>
        <w:ind w:left="1183" w:right="1109" w:hanging="284"/>
        <w:jc w:val="left"/>
        <w:rPr>
          <w:rFonts w:ascii="Symbol" w:hAnsi="Symbol"/>
          <w:sz w:val="20"/>
        </w:rPr>
      </w:pPr>
      <w:r>
        <w:rPr>
          <w:color w:val="404040"/>
          <w:sz w:val="20"/>
        </w:rPr>
        <w:t>Those with an active exemption from mutual obligations from undertaking job searching activities at the end of the year have significantly higher lifetime costs than those without such an</w:t>
      </w:r>
      <w:r>
        <w:rPr>
          <w:color w:val="404040"/>
          <w:spacing w:val="-11"/>
          <w:sz w:val="20"/>
        </w:rPr>
        <w:t> </w:t>
      </w:r>
      <w:r>
        <w:rPr>
          <w:color w:val="404040"/>
          <w:sz w:val="20"/>
        </w:rPr>
        <w:t>exemption.</w:t>
      </w:r>
    </w:p>
    <w:p>
      <w:pPr>
        <w:pStyle w:val="ListParagraph"/>
        <w:numPr>
          <w:ilvl w:val="0"/>
          <w:numId w:val="42"/>
        </w:numPr>
        <w:tabs>
          <w:tab w:pos="1184" w:val="left" w:leader="none"/>
        </w:tabs>
        <w:spacing w:line="240" w:lineRule="auto" w:before="120" w:after="0"/>
        <w:ind w:left="1183" w:right="1122" w:hanging="284"/>
        <w:jc w:val="left"/>
        <w:rPr>
          <w:rFonts w:ascii="Symbol" w:hAnsi="Symbol"/>
          <w:sz w:val="20"/>
        </w:rPr>
      </w:pPr>
      <w:r>
        <w:rPr>
          <w:color w:val="404040"/>
          <w:sz w:val="20"/>
        </w:rPr>
        <w:t>Those on Sickness Allowance have a significantly lower cost than the overall average in this class (which is predominantly people on Newstart), possibly reflecting the temporary nature of this payment type. Youth Allowance recipients are also seen to have a lower average cost compared to Newstart recipients. This could be partially related to the average age for Youth Allowance recipients being</w:t>
      </w:r>
      <w:r>
        <w:rPr>
          <w:color w:val="404040"/>
          <w:spacing w:val="-10"/>
          <w:sz w:val="20"/>
        </w:rPr>
        <w:t> </w:t>
      </w:r>
      <w:r>
        <w:rPr>
          <w:color w:val="404040"/>
          <w:sz w:val="20"/>
        </w:rPr>
        <w:t>lower.</w:t>
      </w:r>
    </w:p>
    <w:p>
      <w:pPr>
        <w:pStyle w:val="ListParagraph"/>
        <w:numPr>
          <w:ilvl w:val="0"/>
          <w:numId w:val="42"/>
        </w:numPr>
        <w:tabs>
          <w:tab w:pos="1184" w:val="left" w:leader="none"/>
        </w:tabs>
        <w:spacing w:line="240" w:lineRule="auto" w:before="119" w:after="0"/>
        <w:ind w:left="1183" w:right="1445" w:hanging="284"/>
        <w:jc w:val="left"/>
        <w:rPr>
          <w:rFonts w:ascii="Symbol" w:hAnsi="Symbol"/>
          <w:sz w:val="20"/>
        </w:rPr>
      </w:pPr>
      <w:r>
        <w:rPr>
          <w:color w:val="404040"/>
          <w:sz w:val="20"/>
        </w:rPr>
        <w:t>Those</w:t>
      </w:r>
      <w:r>
        <w:rPr>
          <w:color w:val="404040"/>
          <w:spacing w:val="-4"/>
          <w:sz w:val="20"/>
        </w:rPr>
        <w:t> </w:t>
      </w:r>
      <w:r>
        <w:rPr>
          <w:color w:val="404040"/>
          <w:sz w:val="20"/>
        </w:rPr>
        <w:t>with</w:t>
      </w:r>
      <w:r>
        <w:rPr>
          <w:color w:val="404040"/>
          <w:spacing w:val="-4"/>
          <w:sz w:val="20"/>
        </w:rPr>
        <w:t> </w:t>
      </w:r>
      <w:r>
        <w:rPr>
          <w:color w:val="404040"/>
          <w:sz w:val="20"/>
        </w:rPr>
        <w:t>more</w:t>
      </w:r>
      <w:r>
        <w:rPr>
          <w:color w:val="404040"/>
          <w:spacing w:val="-3"/>
          <w:sz w:val="20"/>
        </w:rPr>
        <w:t> </w:t>
      </w:r>
      <w:r>
        <w:rPr>
          <w:color w:val="404040"/>
          <w:sz w:val="20"/>
        </w:rPr>
        <w:t>children,</w:t>
      </w:r>
      <w:r>
        <w:rPr>
          <w:color w:val="404040"/>
          <w:spacing w:val="-2"/>
          <w:sz w:val="20"/>
        </w:rPr>
        <w:t> </w:t>
      </w:r>
      <w:r>
        <w:rPr>
          <w:color w:val="404040"/>
          <w:sz w:val="20"/>
        </w:rPr>
        <w:t>no</w:t>
      </w:r>
      <w:r>
        <w:rPr>
          <w:color w:val="404040"/>
          <w:spacing w:val="-3"/>
          <w:sz w:val="20"/>
        </w:rPr>
        <w:t> </w:t>
      </w:r>
      <w:r>
        <w:rPr>
          <w:color w:val="404040"/>
          <w:sz w:val="20"/>
        </w:rPr>
        <w:t>earnings</w:t>
      </w:r>
      <w:r>
        <w:rPr>
          <w:color w:val="404040"/>
          <w:spacing w:val="-3"/>
          <w:sz w:val="20"/>
        </w:rPr>
        <w:t> </w:t>
      </w:r>
      <w:r>
        <w:rPr>
          <w:color w:val="404040"/>
          <w:sz w:val="20"/>
        </w:rPr>
        <w:t>in</w:t>
      </w:r>
      <w:r>
        <w:rPr>
          <w:color w:val="404040"/>
          <w:spacing w:val="-4"/>
          <w:sz w:val="20"/>
        </w:rPr>
        <w:t> </w:t>
      </w:r>
      <w:r>
        <w:rPr>
          <w:color w:val="404040"/>
          <w:sz w:val="20"/>
        </w:rPr>
        <w:t>the</w:t>
      </w:r>
      <w:r>
        <w:rPr>
          <w:color w:val="404040"/>
          <w:spacing w:val="-1"/>
          <w:sz w:val="20"/>
        </w:rPr>
        <w:t> </w:t>
      </w:r>
      <w:r>
        <w:rPr>
          <w:color w:val="404040"/>
          <w:sz w:val="20"/>
        </w:rPr>
        <w:t>year</w:t>
      </w:r>
      <w:r>
        <w:rPr>
          <w:color w:val="404040"/>
          <w:spacing w:val="-3"/>
          <w:sz w:val="20"/>
        </w:rPr>
        <w:t> </w:t>
      </w:r>
      <w:r>
        <w:rPr>
          <w:color w:val="404040"/>
          <w:sz w:val="20"/>
        </w:rPr>
        <w:t>or</w:t>
      </w:r>
      <w:r>
        <w:rPr>
          <w:color w:val="404040"/>
          <w:spacing w:val="-1"/>
          <w:sz w:val="20"/>
        </w:rPr>
        <w:t> </w:t>
      </w:r>
      <w:r>
        <w:rPr>
          <w:color w:val="404040"/>
          <w:sz w:val="20"/>
        </w:rPr>
        <w:t>lower</w:t>
      </w:r>
      <w:r>
        <w:rPr>
          <w:color w:val="404040"/>
          <w:spacing w:val="-2"/>
          <w:sz w:val="20"/>
        </w:rPr>
        <w:t> </w:t>
      </w:r>
      <w:r>
        <w:rPr>
          <w:color w:val="404040"/>
          <w:sz w:val="20"/>
        </w:rPr>
        <w:t>levels</w:t>
      </w:r>
      <w:r>
        <w:rPr>
          <w:color w:val="404040"/>
          <w:spacing w:val="-3"/>
          <w:sz w:val="20"/>
        </w:rPr>
        <w:t> </w:t>
      </w:r>
      <w:r>
        <w:rPr>
          <w:color w:val="404040"/>
          <w:sz w:val="20"/>
        </w:rPr>
        <w:t>of</w:t>
      </w:r>
      <w:r>
        <w:rPr>
          <w:color w:val="404040"/>
          <w:spacing w:val="-2"/>
          <w:sz w:val="20"/>
        </w:rPr>
        <w:t> </w:t>
      </w:r>
      <w:r>
        <w:rPr>
          <w:color w:val="404040"/>
          <w:sz w:val="20"/>
        </w:rPr>
        <w:t>educational</w:t>
      </w:r>
      <w:r>
        <w:rPr>
          <w:color w:val="404040"/>
          <w:spacing w:val="-2"/>
          <w:sz w:val="20"/>
        </w:rPr>
        <w:t> </w:t>
      </w:r>
      <w:r>
        <w:rPr>
          <w:color w:val="404040"/>
          <w:sz w:val="20"/>
        </w:rPr>
        <w:t>attainment</w:t>
      </w:r>
      <w:r>
        <w:rPr>
          <w:color w:val="404040"/>
          <w:spacing w:val="-4"/>
          <w:sz w:val="20"/>
        </w:rPr>
        <w:t> </w:t>
      </w:r>
      <w:r>
        <w:rPr>
          <w:color w:val="404040"/>
          <w:sz w:val="20"/>
        </w:rPr>
        <w:t>tend</w:t>
      </w:r>
      <w:r>
        <w:rPr>
          <w:color w:val="404040"/>
          <w:spacing w:val="-3"/>
          <w:sz w:val="20"/>
        </w:rPr>
        <w:t> </w:t>
      </w:r>
      <w:r>
        <w:rPr>
          <w:color w:val="404040"/>
          <w:sz w:val="20"/>
        </w:rPr>
        <w:t>to</w:t>
      </w:r>
      <w:r>
        <w:rPr>
          <w:color w:val="404040"/>
          <w:spacing w:val="-2"/>
          <w:sz w:val="20"/>
        </w:rPr>
        <w:t> </w:t>
      </w:r>
      <w:r>
        <w:rPr>
          <w:color w:val="404040"/>
          <w:sz w:val="20"/>
        </w:rPr>
        <w:t>have higher average lifetime</w:t>
      </w:r>
      <w:r>
        <w:rPr>
          <w:color w:val="404040"/>
          <w:spacing w:val="-1"/>
          <w:sz w:val="20"/>
        </w:rPr>
        <w:t> </w:t>
      </w:r>
      <w:r>
        <w:rPr>
          <w:color w:val="404040"/>
          <w:sz w:val="20"/>
        </w:rPr>
        <w:t>costs.</w:t>
      </w:r>
    </w:p>
    <w:p>
      <w:pPr>
        <w:pStyle w:val="ListParagraph"/>
        <w:numPr>
          <w:ilvl w:val="0"/>
          <w:numId w:val="42"/>
        </w:numPr>
        <w:tabs>
          <w:tab w:pos="1184" w:val="left" w:leader="none"/>
        </w:tabs>
        <w:spacing w:line="240" w:lineRule="auto" w:before="118" w:after="0"/>
        <w:ind w:left="1183" w:right="1188" w:hanging="284"/>
        <w:jc w:val="left"/>
        <w:rPr>
          <w:rFonts w:ascii="Symbol" w:hAnsi="Symbol"/>
          <w:sz w:val="20"/>
        </w:rPr>
      </w:pPr>
      <w:r>
        <w:rPr>
          <w:color w:val="404040"/>
          <w:sz w:val="20"/>
        </w:rPr>
        <w:t>Those</w:t>
      </w:r>
      <w:r>
        <w:rPr>
          <w:color w:val="404040"/>
          <w:spacing w:val="-4"/>
          <w:sz w:val="20"/>
        </w:rPr>
        <w:t> </w:t>
      </w:r>
      <w:r>
        <w:rPr>
          <w:color w:val="404040"/>
          <w:sz w:val="20"/>
        </w:rPr>
        <w:t>with</w:t>
      </w:r>
      <w:r>
        <w:rPr>
          <w:color w:val="404040"/>
          <w:spacing w:val="-4"/>
          <w:sz w:val="20"/>
        </w:rPr>
        <w:t> </w:t>
      </w:r>
      <w:r>
        <w:rPr>
          <w:color w:val="404040"/>
          <w:sz w:val="20"/>
        </w:rPr>
        <w:t>higher</w:t>
      </w:r>
      <w:r>
        <w:rPr>
          <w:color w:val="404040"/>
          <w:spacing w:val="-3"/>
          <w:sz w:val="20"/>
        </w:rPr>
        <w:t> </w:t>
      </w:r>
      <w:r>
        <w:rPr>
          <w:color w:val="404040"/>
          <w:sz w:val="20"/>
        </w:rPr>
        <w:t>levels of</w:t>
      </w:r>
      <w:r>
        <w:rPr>
          <w:color w:val="404040"/>
          <w:spacing w:val="-2"/>
          <w:sz w:val="20"/>
        </w:rPr>
        <w:t> </w:t>
      </w:r>
      <w:r>
        <w:rPr>
          <w:color w:val="404040"/>
          <w:sz w:val="20"/>
        </w:rPr>
        <w:t>parental</w:t>
      </w:r>
      <w:r>
        <w:rPr>
          <w:color w:val="404040"/>
          <w:spacing w:val="-3"/>
          <w:sz w:val="20"/>
        </w:rPr>
        <w:t> </w:t>
      </w:r>
      <w:r>
        <w:rPr>
          <w:color w:val="404040"/>
          <w:sz w:val="20"/>
        </w:rPr>
        <w:t>welfare</w:t>
      </w:r>
      <w:r>
        <w:rPr>
          <w:color w:val="404040"/>
          <w:spacing w:val="-4"/>
          <w:sz w:val="20"/>
        </w:rPr>
        <w:t> </w:t>
      </w:r>
      <w:r>
        <w:rPr>
          <w:color w:val="404040"/>
          <w:sz w:val="20"/>
        </w:rPr>
        <w:t>dependence</w:t>
      </w:r>
      <w:r>
        <w:rPr>
          <w:color w:val="404040"/>
          <w:spacing w:val="-4"/>
          <w:sz w:val="20"/>
        </w:rPr>
        <w:t> </w:t>
      </w:r>
      <w:r>
        <w:rPr>
          <w:color w:val="404040"/>
          <w:sz w:val="20"/>
        </w:rPr>
        <w:t>tend</w:t>
      </w:r>
      <w:r>
        <w:rPr>
          <w:color w:val="404040"/>
          <w:spacing w:val="-2"/>
          <w:sz w:val="20"/>
        </w:rPr>
        <w:t> </w:t>
      </w:r>
      <w:r>
        <w:rPr>
          <w:color w:val="404040"/>
          <w:sz w:val="20"/>
        </w:rPr>
        <w:t>to</w:t>
      </w:r>
      <w:r>
        <w:rPr>
          <w:color w:val="404040"/>
          <w:spacing w:val="-2"/>
          <w:sz w:val="20"/>
        </w:rPr>
        <w:t> </w:t>
      </w:r>
      <w:r>
        <w:rPr>
          <w:color w:val="404040"/>
          <w:sz w:val="20"/>
        </w:rPr>
        <w:t>have</w:t>
      </w:r>
      <w:r>
        <w:rPr>
          <w:color w:val="404040"/>
          <w:spacing w:val="-4"/>
          <w:sz w:val="20"/>
        </w:rPr>
        <w:t> </w:t>
      </w:r>
      <w:r>
        <w:rPr>
          <w:color w:val="404040"/>
          <w:sz w:val="20"/>
        </w:rPr>
        <w:t>higher</w:t>
      </w:r>
      <w:r>
        <w:rPr>
          <w:color w:val="404040"/>
          <w:spacing w:val="-3"/>
          <w:sz w:val="20"/>
        </w:rPr>
        <w:t> </w:t>
      </w:r>
      <w:r>
        <w:rPr>
          <w:color w:val="404040"/>
          <w:sz w:val="20"/>
        </w:rPr>
        <w:t>levels</w:t>
      </w:r>
      <w:r>
        <w:rPr>
          <w:color w:val="404040"/>
          <w:spacing w:val="-3"/>
          <w:sz w:val="20"/>
        </w:rPr>
        <w:t> </w:t>
      </w:r>
      <w:r>
        <w:rPr>
          <w:color w:val="404040"/>
          <w:sz w:val="20"/>
        </w:rPr>
        <w:t>of</w:t>
      </w:r>
      <w:r>
        <w:rPr>
          <w:color w:val="404040"/>
          <w:spacing w:val="-1"/>
          <w:sz w:val="20"/>
        </w:rPr>
        <w:t> </w:t>
      </w:r>
      <w:r>
        <w:rPr>
          <w:color w:val="404040"/>
          <w:sz w:val="20"/>
        </w:rPr>
        <w:t>welfare</w:t>
      </w:r>
      <w:r>
        <w:rPr>
          <w:color w:val="404040"/>
          <w:spacing w:val="-4"/>
          <w:sz w:val="20"/>
        </w:rPr>
        <w:t> </w:t>
      </w:r>
      <w:r>
        <w:rPr>
          <w:color w:val="404040"/>
          <w:sz w:val="20"/>
        </w:rPr>
        <w:t>dependence in their own</w:t>
      </w:r>
      <w:r>
        <w:rPr>
          <w:color w:val="404040"/>
          <w:spacing w:val="-1"/>
          <w:sz w:val="20"/>
        </w:rPr>
        <w:t> </w:t>
      </w:r>
      <w:r>
        <w:rPr>
          <w:color w:val="404040"/>
          <w:sz w:val="20"/>
        </w:rPr>
        <w:t>right.</w:t>
      </w:r>
    </w:p>
    <w:p>
      <w:pPr>
        <w:pStyle w:val="BodyText"/>
        <w:spacing w:before="6"/>
      </w:pPr>
    </w:p>
    <w:p>
      <w:pPr>
        <w:pStyle w:val="Heading6"/>
        <w:spacing w:before="1"/>
        <w:jc w:val="both"/>
        <w:rPr>
          <w:i/>
        </w:rPr>
      </w:pPr>
      <w:r>
        <w:rPr>
          <w:i/>
          <w:color w:val="DF2F1E"/>
        </w:rPr>
        <w:t>Change in lifetime costs since the 2017 valuation</w:t>
      </w:r>
    </w:p>
    <w:p>
      <w:pPr>
        <w:pStyle w:val="BodyText"/>
        <w:spacing w:before="121"/>
        <w:ind w:left="899" w:right="1435"/>
        <w:jc w:val="both"/>
      </w:pPr>
      <w:r>
        <w:rPr>
          <w:color w:val="404040"/>
        </w:rPr>
        <w:t>The lifetime cost for the people in this class is $471bn, a decrease of $50bn compared to the rebased June 2017 valuation. This was driven by reductions in both the number of people in this class and in the average payment size:</w:t>
      </w:r>
    </w:p>
    <w:p>
      <w:pPr>
        <w:pStyle w:val="ListParagraph"/>
        <w:numPr>
          <w:ilvl w:val="0"/>
          <w:numId w:val="42"/>
        </w:numPr>
        <w:tabs>
          <w:tab w:pos="1184" w:val="left" w:leader="none"/>
        </w:tabs>
        <w:spacing w:line="240" w:lineRule="auto" w:before="119" w:after="0"/>
        <w:ind w:left="1183" w:right="1695" w:hanging="284"/>
        <w:jc w:val="left"/>
        <w:rPr>
          <w:rFonts w:ascii="Symbol" w:hAnsi="Symbol"/>
          <w:sz w:val="20"/>
        </w:rPr>
      </w:pPr>
      <w:r>
        <w:rPr>
          <w:color w:val="404040"/>
          <w:sz w:val="20"/>
        </w:rPr>
        <w:t>The average cost has decreased by $20,000 (4.7%) since the previous valuation. The following table provides a breakdown of the change in average lifetime cost by grouped payment</w:t>
      </w:r>
      <w:r>
        <w:rPr>
          <w:color w:val="404040"/>
          <w:spacing w:val="-19"/>
          <w:sz w:val="20"/>
        </w:rPr>
        <w:t> </w:t>
      </w:r>
      <w:r>
        <w:rPr>
          <w:color w:val="404040"/>
          <w:sz w:val="20"/>
        </w:rPr>
        <w:t>category.</w:t>
      </w:r>
    </w:p>
    <w:p>
      <w:pPr>
        <w:pStyle w:val="Heading9"/>
        <w:spacing w:before="175" w:after="56"/>
        <w:ind w:left="899"/>
        <w:jc w:val="both"/>
      </w:pPr>
      <w:r>
        <w:rPr>
          <w:color w:val="DF2F1E"/>
        </w:rPr>
        <w:t>Table 19: Breakdown of change in average lifetime cost for class 2 by payment category</w:t>
      </w:r>
    </w:p>
    <w:tbl>
      <w:tblPr>
        <w:tblW w:w="0" w:type="auto"/>
        <w:jc w:val="left"/>
        <w:tblInd w:w="1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20"/>
        <w:gridCol w:w="1270"/>
        <w:gridCol w:w="971"/>
        <w:gridCol w:w="1051"/>
        <w:gridCol w:w="958"/>
        <w:gridCol w:w="1206"/>
        <w:gridCol w:w="1203"/>
      </w:tblGrid>
      <w:tr>
        <w:trPr>
          <w:trHeight w:val="268" w:hRule="atLeast"/>
        </w:trPr>
        <w:tc>
          <w:tcPr>
            <w:tcW w:w="3120" w:type="dxa"/>
            <w:shd w:val="clear" w:color="auto" w:fill="DF2F1E"/>
          </w:tcPr>
          <w:p>
            <w:pPr>
              <w:pStyle w:val="TableParagraph"/>
              <w:spacing w:before="0"/>
              <w:rPr>
                <w:rFonts w:ascii="Times New Roman"/>
                <w:sz w:val="18"/>
              </w:rPr>
            </w:pPr>
          </w:p>
        </w:tc>
        <w:tc>
          <w:tcPr>
            <w:tcW w:w="1270" w:type="dxa"/>
            <w:shd w:val="clear" w:color="auto" w:fill="DF2F1E"/>
          </w:tcPr>
          <w:p>
            <w:pPr>
              <w:pStyle w:val="TableParagraph"/>
              <w:spacing w:before="0"/>
              <w:rPr>
                <w:rFonts w:ascii="Times New Roman"/>
                <w:sz w:val="18"/>
              </w:rPr>
            </w:pPr>
          </w:p>
        </w:tc>
        <w:tc>
          <w:tcPr>
            <w:tcW w:w="2980" w:type="dxa"/>
            <w:gridSpan w:val="3"/>
            <w:shd w:val="clear" w:color="auto" w:fill="DF2F1E"/>
          </w:tcPr>
          <w:p>
            <w:pPr>
              <w:pStyle w:val="TableParagraph"/>
              <w:spacing w:before="34"/>
              <w:ind w:left="1403" w:right="1384"/>
              <w:jc w:val="center"/>
              <w:rPr>
                <w:b/>
                <w:sz w:val="16"/>
              </w:rPr>
            </w:pPr>
            <w:r>
              <w:rPr>
                <w:b/>
                <w:color w:val="FFFFFF"/>
                <w:sz w:val="16"/>
              </w:rPr>
              <w:t>IS</w:t>
            </w:r>
          </w:p>
        </w:tc>
        <w:tc>
          <w:tcPr>
            <w:tcW w:w="1206" w:type="dxa"/>
            <w:shd w:val="clear" w:color="auto" w:fill="DF2F1E"/>
          </w:tcPr>
          <w:p>
            <w:pPr>
              <w:pStyle w:val="TableParagraph"/>
              <w:spacing w:before="34"/>
              <w:ind w:right="47"/>
              <w:jc w:val="right"/>
              <w:rPr>
                <w:b/>
                <w:sz w:val="16"/>
              </w:rPr>
            </w:pPr>
            <w:r>
              <w:rPr>
                <w:b/>
                <w:color w:val="FFFFFF"/>
                <w:sz w:val="16"/>
              </w:rPr>
              <w:t>Non</w:t>
            </w:r>
          </w:p>
        </w:tc>
        <w:tc>
          <w:tcPr>
            <w:tcW w:w="1203" w:type="dxa"/>
            <w:shd w:val="clear" w:color="auto" w:fill="DF2F1E"/>
          </w:tcPr>
          <w:p>
            <w:pPr>
              <w:pStyle w:val="TableParagraph"/>
              <w:spacing w:before="31"/>
              <w:ind w:left="63"/>
              <w:rPr>
                <w:b/>
                <w:sz w:val="10"/>
              </w:rPr>
            </w:pPr>
            <w:r>
              <w:rPr>
                <w:b/>
                <w:color w:val="FFFFFF"/>
                <w:sz w:val="16"/>
              </w:rPr>
              <w:t>IS</w:t>
            </w:r>
            <w:r>
              <w:rPr>
                <w:b/>
                <w:color w:val="FFFFFF"/>
                <w:position w:val="6"/>
                <w:sz w:val="10"/>
              </w:rPr>
              <w:t>1</w:t>
            </w:r>
          </w:p>
        </w:tc>
      </w:tr>
      <w:tr>
        <w:trPr>
          <w:trHeight w:val="642" w:hRule="atLeast"/>
        </w:trPr>
        <w:tc>
          <w:tcPr>
            <w:tcW w:w="3120" w:type="dxa"/>
            <w:shd w:val="clear" w:color="auto" w:fill="DF2F1E"/>
          </w:tcPr>
          <w:p>
            <w:pPr>
              <w:pStyle w:val="TableParagraph"/>
              <w:spacing w:before="0"/>
              <w:rPr>
                <w:rFonts w:ascii="Times New Roman"/>
                <w:sz w:val="18"/>
              </w:rPr>
            </w:pPr>
          </w:p>
        </w:tc>
        <w:tc>
          <w:tcPr>
            <w:tcW w:w="1270" w:type="dxa"/>
            <w:shd w:val="clear" w:color="auto" w:fill="DF2F1E"/>
          </w:tcPr>
          <w:p>
            <w:pPr>
              <w:pStyle w:val="TableParagraph"/>
              <w:spacing w:before="39"/>
              <w:ind w:left="430" w:right="417"/>
              <w:jc w:val="center"/>
              <w:rPr>
                <w:b/>
                <w:sz w:val="16"/>
              </w:rPr>
            </w:pPr>
            <w:r>
              <w:rPr>
                <w:b/>
                <w:color w:val="FFFFFF"/>
                <w:sz w:val="16"/>
              </w:rPr>
              <w:t>Total</w:t>
            </w:r>
          </w:p>
        </w:tc>
        <w:tc>
          <w:tcPr>
            <w:tcW w:w="971" w:type="dxa"/>
            <w:shd w:val="clear" w:color="auto" w:fill="DF2F1E"/>
          </w:tcPr>
          <w:p>
            <w:pPr>
              <w:pStyle w:val="TableParagraph"/>
              <w:spacing w:before="39"/>
              <w:ind w:left="357" w:right="125" w:hanging="171"/>
              <w:rPr>
                <w:b/>
                <w:sz w:val="16"/>
              </w:rPr>
            </w:pPr>
            <w:r>
              <w:rPr>
                <w:b/>
                <w:color w:val="FFFFFF"/>
                <w:sz w:val="16"/>
              </w:rPr>
              <w:t>Working Age</w:t>
            </w:r>
          </w:p>
        </w:tc>
        <w:tc>
          <w:tcPr>
            <w:tcW w:w="1051" w:type="dxa"/>
            <w:shd w:val="clear" w:color="auto" w:fill="DF2F1E"/>
          </w:tcPr>
          <w:p>
            <w:pPr>
              <w:pStyle w:val="TableParagraph"/>
              <w:spacing w:before="39"/>
              <w:ind w:left="151" w:right="143" w:hanging="1"/>
              <w:jc w:val="center"/>
              <w:rPr>
                <w:b/>
                <w:sz w:val="16"/>
              </w:rPr>
            </w:pPr>
            <w:r>
              <w:rPr>
                <w:b/>
                <w:color w:val="FFFFFF"/>
                <w:sz w:val="16"/>
              </w:rPr>
              <w:t>Other (excl. Age Pension)</w:t>
            </w:r>
          </w:p>
        </w:tc>
        <w:tc>
          <w:tcPr>
            <w:tcW w:w="958" w:type="dxa"/>
            <w:shd w:val="clear" w:color="auto" w:fill="DF2F1E"/>
          </w:tcPr>
          <w:p>
            <w:pPr>
              <w:pStyle w:val="TableParagraph"/>
              <w:spacing w:before="39"/>
              <w:ind w:left="156" w:right="159" w:firstLine="160"/>
              <w:rPr>
                <w:b/>
                <w:sz w:val="16"/>
              </w:rPr>
            </w:pPr>
            <w:r>
              <w:rPr>
                <w:b/>
                <w:color w:val="FFFFFF"/>
                <w:sz w:val="16"/>
              </w:rPr>
              <w:t>Age Pension</w:t>
            </w:r>
          </w:p>
        </w:tc>
        <w:tc>
          <w:tcPr>
            <w:tcW w:w="1206" w:type="dxa"/>
            <w:shd w:val="clear" w:color="auto" w:fill="DF2F1E"/>
          </w:tcPr>
          <w:p>
            <w:pPr>
              <w:pStyle w:val="TableParagraph"/>
              <w:spacing w:before="39"/>
              <w:ind w:left="108" w:right="73" w:firstLine="249"/>
              <w:rPr>
                <w:b/>
                <w:sz w:val="16"/>
              </w:rPr>
            </w:pPr>
            <w:r>
              <w:rPr>
                <w:b/>
                <w:color w:val="FFFFFF"/>
                <w:sz w:val="16"/>
              </w:rPr>
              <w:t>Family Supplements</w:t>
            </w:r>
          </w:p>
        </w:tc>
        <w:tc>
          <w:tcPr>
            <w:tcW w:w="1203" w:type="dxa"/>
            <w:shd w:val="clear" w:color="auto" w:fill="DF2F1E"/>
          </w:tcPr>
          <w:p>
            <w:pPr>
              <w:pStyle w:val="TableParagraph"/>
              <w:spacing w:before="39"/>
              <w:ind w:left="107" w:right="71" w:firstLine="288"/>
              <w:rPr>
                <w:b/>
                <w:sz w:val="16"/>
              </w:rPr>
            </w:pPr>
            <w:r>
              <w:rPr>
                <w:b/>
                <w:color w:val="FFFFFF"/>
                <w:sz w:val="16"/>
              </w:rPr>
              <w:t>Other Supplements</w:t>
            </w:r>
          </w:p>
        </w:tc>
      </w:tr>
      <w:tr>
        <w:trPr>
          <w:trHeight w:val="258" w:hRule="atLeast"/>
        </w:trPr>
        <w:tc>
          <w:tcPr>
            <w:tcW w:w="3120" w:type="dxa"/>
            <w:tcBorders>
              <w:top w:val="single" w:sz="4" w:space="0" w:color="DF2F1E"/>
              <w:left w:val="single" w:sz="4" w:space="0" w:color="DF2F1E"/>
              <w:bottom w:val="single" w:sz="4" w:space="0" w:color="DF2F1E"/>
              <w:right w:val="single" w:sz="4" w:space="0" w:color="DF2F1E"/>
            </w:tcBorders>
          </w:tcPr>
          <w:p>
            <w:pPr>
              <w:pStyle w:val="TableParagraph"/>
              <w:spacing w:before="29"/>
              <w:ind w:left="57"/>
              <w:rPr>
                <w:b/>
                <w:sz w:val="16"/>
              </w:rPr>
            </w:pPr>
            <w:r>
              <w:rPr>
                <w:b/>
                <w:color w:val="404040"/>
                <w:sz w:val="16"/>
              </w:rPr>
              <w:t>Jun-17 Total Lifetime Cost</w:t>
            </w:r>
          </w:p>
        </w:tc>
        <w:tc>
          <w:tcPr>
            <w:tcW w:w="1270" w:type="dxa"/>
            <w:tcBorders>
              <w:top w:val="single" w:sz="4" w:space="0" w:color="DF2F1E"/>
              <w:left w:val="single" w:sz="4" w:space="0" w:color="DF2F1E"/>
              <w:bottom w:val="single" w:sz="4" w:space="0" w:color="DF2F1E"/>
              <w:right w:val="single" w:sz="4" w:space="0" w:color="DF2F1E"/>
            </w:tcBorders>
          </w:tcPr>
          <w:p>
            <w:pPr>
              <w:pStyle w:val="TableParagraph"/>
              <w:spacing w:before="32"/>
              <w:ind w:left="371"/>
              <w:rPr>
                <w:sz w:val="16"/>
              </w:rPr>
            </w:pPr>
            <w:r>
              <w:rPr>
                <w:color w:val="404040"/>
                <w:sz w:val="16"/>
              </w:rPr>
              <w:t>$411bn</w:t>
            </w:r>
          </w:p>
        </w:tc>
        <w:tc>
          <w:tcPr>
            <w:tcW w:w="5389" w:type="dxa"/>
            <w:gridSpan w:val="5"/>
            <w:vMerge w:val="restart"/>
            <w:tcBorders>
              <w:top w:val="single" w:sz="4" w:space="0" w:color="DF2F1E"/>
              <w:left w:val="single" w:sz="4" w:space="0" w:color="DF2F1E"/>
              <w:bottom w:val="single" w:sz="4" w:space="0" w:color="DF2F1E"/>
              <w:right w:val="single" w:sz="4" w:space="0" w:color="DF2F1E"/>
            </w:tcBorders>
            <w:shd w:val="clear" w:color="auto" w:fill="D9D9D9"/>
          </w:tcPr>
          <w:p>
            <w:pPr>
              <w:pStyle w:val="TableParagraph"/>
              <w:spacing w:before="0"/>
              <w:rPr>
                <w:rFonts w:ascii="Times New Roman"/>
                <w:sz w:val="18"/>
              </w:rPr>
            </w:pPr>
          </w:p>
        </w:tc>
      </w:tr>
      <w:tr>
        <w:trPr>
          <w:trHeight w:val="257" w:hRule="atLeast"/>
        </w:trPr>
        <w:tc>
          <w:tcPr>
            <w:tcW w:w="3120" w:type="dxa"/>
            <w:tcBorders>
              <w:top w:val="single" w:sz="4" w:space="0" w:color="DF2F1E"/>
              <w:left w:val="single" w:sz="4" w:space="0" w:color="DF2F1E"/>
              <w:right w:val="single" w:sz="4" w:space="0" w:color="DF2F1E"/>
            </w:tcBorders>
          </w:tcPr>
          <w:p>
            <w:pPr>
              <w:pStyle w:val="TableParagraph"/>
              <w:spacing w:before="31"/>
              <w:ind w:left="57"/>
              <w:rPr>
                <w:b/>
                <w:sz w:val="10"/>
              </w:rPr>
            </w:pPr>
            <w:r>
              <w:rPr>
                <w:b/>
                <w:color w:val="404040"/>
                <w:sz w:val="16"/>
              </w:rPr>
              <w:t>Jun-17 Total Lifetime Cost – rebased</w:t>
            </w:r>
            <w:r>
              <w:rPr>
                <w:b/>
                <w:color w:val="404040"/>
                <w:position w:val="6"/>
                <w:sz w:val="10"/>
              </w:rPr>
              <w:t>2</w:t>
            </w:r>
          </w:p>
        </w:tc>
        <w:tc>
          <w:tcPr>
            <w:tcW w:w="1270" w:type="dxa"/>
            <w:tcBorders>
              <w:top w:val="single" w:sz="4" w:space="0" w:color="DF2F1E"/>
              <w:left w:val="single" w:sz="4" w:space="0" w:color="DF2F1E"/>
              <w:right w:val="single" w:sz="4" w:space="0" w:color="DF2F1E"/>
            </w:tcBorders>
          </w:tcPr>
          <w:p>
            <w:pPr>
              <w:pStyle w:val="TableParagraph"/>
              <w:ind w:left="371"/>
              <w:rPr>
                <w:sz w:val="16"/>
              </w:rPr>
            </w:pPr>
            <w:r>
              <w:rPr>
                <w:color w:val="404040"/>
                <w:sz w:val="16"/>
              </w:rPr>
              <w:t>$521bn</w:t>
            </w:r>
          </w:p>
        </w:tc>
        <w:tc>
          <w:tcPr>
            <w:tcW w:w="5389" w:type="dxa"/>
            <w:gridSpan w:val="5"/>
            <w:vMerge/>
            <w:tcBorders>
              <w:top w:val="nil"/>
              <w:left w:val="single" w:sz="4" w:space="0" w:color="DF2F1E"/>
              <w:bottom w:val="single" w:sz="4" w:space="0" w:color="DF2F1E"/>
              <w:right w:val="single" w:sz="4" w:space="0" w:color="DF2F1E"/>
            </w:tcBorders>
            <w:shd w:val="clear" w:color="auto" w:fill="D9D9D9"/>
          </w:tcPr>
          <w:p>
            <w:pPr>
              <w:rPr>
                <w:sz w:val="2"/>
                <w:szCs w:val="2"/>
              </w:rPr>
            </w:pPr>
          </w:p>
        </w:tc>
      </w:tr>
      <w:tr>
        <w:trPr>
          <w:trHeight w:val="260" w:hRule="atLeast"/>
        </w:trPr>
        <w:tc>
          <w:tcPr>
            <w:tcW w:w="3120" w:type="dxa"/>
            <w:tcBorders>
              <w:left w:val="single" w:sz="4" w:space="0" w:color="DF2F1E"/>
              <w:bottom w:val="single" w:sz="4" w:space="0" w:color="DF2F1E"/>
              <w:right w:val="single" w:sz="4" w:space="0" w:color="DF2F1E"/>
            </w:tcBorders>
          </w:tcPr>
          <w:p>
            <w:pPr>
              <w:pStyle w:val="TableParagraph"/>
              <w:spacing w:before="31"/>
              <w:ind w:left="57"/>
              <w:rPr>
                <w:b/>
                <w:sz w:val="16"/>
              </w:rPr>
            </w:pPr>
            <w:r>
              <w:rPr>
                <w:b/>
                <w:color w:val="404040"/>
                <w:sz w:val="16"/>
              </w:rPr>
              <w:t>Jun-18 Total Lifetime Cost</w:t>
            </w:r>
          </w:p>
        </w:tc>
        <w:tc>
          <w:tcPr>
            <w:tcW w:w="1270" w:type="dxa"/>
            <w:tcBorders>
              <w:left w:val="single" w:sz="4" w:space="0" w:color="DF2F1E"/>
              <w:bottom w:val="single" w:sz="4" w:space="0" w:color="DF2F1E"/>
              <w:right w:val="single" w:sz="4" w:space="0" w:color="DF2F1E"/>
            </w:tcBorders>
          </w:tcPr>
          <w:p>
            <w:pPr>
              <w:pStyle w:val="TableParagraph"/>
              <w:spacing w:before="34"/>
              <w:ind w:left="371"/>
              <w:rPr>
                <w:sz w:val="16"/>
              </w:rPr>
            </w:pPr>
            <w:r>
              <w:rPr>
                <w:color w:val="404040"/>
                <w:sz w:val="16"/>
              </w:rPr>
              <w:t>$471bn</w:t>
            </w:r>
          </w:p>
        </w:tc>
        <w:tc>
          <w:tcPr>
            <w:tcW w:w="5389" w:type="dxa"/>
            <w:gridSpan w:val="5"/>
            <w:vMerge/>
            <w:tcBorders>
              <w:top w:val="nil"/>
              <w:left w:val="single" w:sz="4" w:space="0" w:color="DF2F1E"/>
              <w:bottom w:val="single" w:sz="4" w:space="0" w:color="DF2F1E"/>
              <w:right w:val="single" w:sz="4" w:space="0" w:color="DF2F1E"/>
            </w:tcBorders>
            <w:shd w:val="clear" w:color="auto" w:fill="D9D9D9"/>
          </w:tcPr>
          <w:p>
            <w:pPr>
              <w:rPr>
                <w:sz w:val="2"/>
                <w:szCs w:val="2"/>
              </w:rPr>
            </w:pPr>
          </w:p>
        </w:tc>
      </w:tr>
      <w:tr>
        <w:trPr>
          <w:trHeight w:val="263" w:hRule="atLeast"/>
        </w:trPr>
        <w:tc>
          <w:tcPr>
            <w:tcW w:w="3120" w:type="dxa"/>
            <w:tcBorders>
              <w:top w:val="single" w:sz="4" w:space="0" w:color="DF2F1E"/>
              <w:left w:val="single" w:sz="4" w:space="0" w:color="DF2F1E"/>
              <w:bottom w:val="single" w:sz="4" w:space="0" w:color="DF2F1E"/>
              <w:right w:val="single" w:sz="4" w:space="0" w:color="DF2F1E"/>
            </w:tcBorders>
          </w:tcPr>
          <w:p>
            <w:pPr>
              <w:pStyle w:val="TableParagraph"/>
              <w:spacing w:before="31"/>
              <w:ind w:left="57"/>
              <w:rPr>
                <w:b/>
                <w:sz w:val="10"/>
              </w:rPr>
            </w:pPr>
            <w:r>
              <w:rPr>
                <w:b/>
                <w:color w:val="404040"/>
                <w:sz w:val="16"/>
              </w:rPr>
              <w:t>Change in Total Lifetime Cost</w:t>
            </w:r>
            <w:r>
              <w:rPr>
                <w:b/>
                <w:color w:val="404040"/>
                <w:position w:val="6"/>
                <w:sz w:val="10"/>
              </w:rPr>
              <w:t>2</w:t>
            </w:r>
          </w:p>
        </w:tc>
        <w:tc>
          <w:tcPr>
            <w:tcW w:w="1270" w:type="dxa"/>
            <w:tcBorders>
              <w:top w:val="single" w:sz="4" w:space="0" w:color="DF2F1E"/>
              <w:left w:val="single" w:sz="4" w:space="0" w:color="DF2F1E"/>
              <w:bottom w:val="single" w:sz="4" w:space="0" w:color="DF2F1E"/>
              <w:right w:val="single" w:sz="4" w:space="0" w:color="DF2F1E"/>
            </w:tcBorders>
          </w:tcPr>
          <w:p>
            <w:pPr>
              <w:pStyle w:val="TableParagraph"/>
              <w:ind w:right="86"/>
              <w:jc w:val="right"/>
              <w:rPr>
                <w:sz w:val="16"/>
              </w:rPr>
            </w:pPr>
            <w:r>
              <w:rPr>
                <w:color w:val="404040"/>
                <w:sz w:val="16"/>
              </w:rPr>
              <w:t>-$50bn (-9.6%)</w:t>
            </w:r>
          </w:p>
        </w:tc>
        <w:tc>
          <w:tcPr>
            <w:tcW w:w="5389" w:type="dxa"/>
            <w:gridSpan w:val="5"/>
            <w:vMerge/>
            <w:tcBorders>
              <w:top w:val="nil"/>
              <w:left w:val="single" w:sz="4" w:space="0" w:color="DF2F1E"/>
              <w:bottom w:val="single" w:sz="4" w:space="0" w:color="DF2F1E"/>
              <w:right w:val="single" w:sz="4" w:space="0" w:color="DF2F1E"/>
            </w:tcBorders>
            <w:shd w:val="clear" w:color="auto" w:fill="D9D9D9"/>
          </w:tcPr>
          <w:p>
            <w:pPr>
              <w:rPr>
                <w:sz w:val="2"/>
                <w:szCs w:val="2"/>
              </w:rPr>
            </w:pPr>
          </w:p>
        </w:tc>
      </w:tr>
      <w:tr>
        <w:trPr>
          <w:trHeight w:val="263" w:hRule="atLeast"/>
        </w:trPr>
        <w:tc>
          <w:tcPr>
            <w:tcW w:w="3120" w:type="dxa"/>
            <w:tcBorders>
              <w:top w:val="single" w:sz="4" w:space="0" w:color="DF2F1E"/>
              <w:left w:val="single" w:sz="4" w:space="0" w:color="DF2F1E"/>
              <w:bottom w:val="single" w:sz="4" w:space="0" w:color="DF2F1E"/>
              <w:right w:val="single" w:sz="4" w:space="0" w:color="DF2F1E"/>
            </w:tcBorders>
          </w:tcPr>
          <w:p>
            <w:pPr>
              <w:pStyle w:val="TableParagraph"/>
              <w:spacing w:before="34"/>
              <w:ind w:left="57"/>
              <w:rPr>
                <w:b/>
                <w:sz w:val="16"/>
              </w:rPr>
            </w:pPr>
            <w:r>
              <w:rPr>
                <w:b/>
                <w:color w:val="404040"/>
                <w:sz w:val="16"/>
              </w:rPr>
              <w:t>Change due to People in Class</w:t>
            </w:r>
          </w:p>
        </w:tc>
        <w:tc>
          <w:tcPr>
            <w:tcW w:w="1270" w:type="dxa"/>
            <w:tcBorders>
              <w:top w:val="single" w:sz="4" w:space="0" w:color="DF2F1E"/>
              <w:left w:val="single" w:sz="4" w:space="0" w:color="DF2F1E"/>
              <w:bottom w:val="single" w:sz="4" w:space="0" w:color="DF2F1E"/>
              <w:right w:val="single" w:sz="4" w:space="0" w:color="DF2F1E"/>
            </w:tcBorders>
          </w:tcPr>
          <w:p>
            <w:pPr>
              <w:pStyle w:val="TableParagraph"/>
              <w:ind w:left="429"/>
              <w:rPr>
                <w:sz w:val="16"/>
              </w:rPr>
            </w:pPr>
            <w:r>
              <w:rPr>
                <w:color w:val="404040"/>
                <w:sz w:val="16"/>
              </w:rPr>
              <w:t>-4.9%</w:t>
            </w:r>
          </w:p>
        </w:tc>
        <w:tc>
          <w:tcPr>
            <w:tcW w:w="5389" w:type="dxa"/>
            <w:gridSpan w:val="5"/>
            <w:vMerge/>
            <w:tcBorders>
              <w:top w:val="nil"/>
              <w:left w:val="single" w:sz="4" w:space="0" w:color="DF2F1E"/>
              <w:bottom w:val="single" w:sz="4" w:space="0" w:color="DF2F1E"/>
              <w:right w:val="single" w:sz="4" w:space="0" w:color="DF2F1E"/>
            </w:tcBorders>
            <w:shd w:val="clear" w:color="auto" w:fill="D9D9D9"/>
          </w:tcPr>
          <w:p>
            <w:pPr>
              <w:rPr>
                <w:sz w:val="2"/>
                <w:szCs w:val="2"/>
              </w:rPr>
            </w:pPr>
          </w:p>
        </w:tc>
      </w:tr>
      <w:tr>
        <w:trPr>
          <w:trHeight w:val="262" w:hRule="atLeast"/>
        </w:trPr>
        <w:tc>
          <w:tcPr>
            <w:tcW w:w="3120" w:type="dxa"/>
            <w:tcBorders>
              <w:top w:val="single" w:sz="4" w:space="0" w:color="DF2F1E"/>
              <w:left w:val="single" w:sz="4" w:space="0" w:color="DF2F1E"/>
              <w:right w:val="single" w:sz="4" w:space="0" w:color="DF2F1E"/>
            </w:tcBorders>
          </w:tcPr>
          <w:p>
            <w:pPr>
              <w:pStyle w:val="TableParagraph"/>
              <w:spacing w:before="31"/>
              <w:ind w:left="57"/>
              <w:rPr>
                <w:b/>
                <w:sz w:val="10"/>
              </w:rPr>
            </w:pPr>
            <w:r>
              <w:rPr>
                <w:b/>
                <w:color w:val="404040"/>
                <w:sz w:val="16"/>
              </w:rPr>
              <w:t>Change due to Average Lifetime Cost</w:t>
            </w:r>
            <w:r>
              <w:rPr>
                <w:b/>
                <w:color w:val="404040"/>
                <w:position w:val="6"/>
                <w:sz w:val="10"/>
              </w:rPr>
              <w:t>2</w:t>
            </w:r>
          </w:p>
        </w:tc>
        <w:tc>
          <w:tcPr>
            <w:tcW w:w="1270" w:type="dxa"/>
            <w:tcBorders>
              <w:top w:val="single" w:sz="4" w:space="0" w:color="DF2F1E"/>
              <w:left w:val="single" w:sz="4" w:space="0" w:color="DF2F1E"/>
              <w:right w:val="single" w:sz="4" w:space="0" w:color="DF2F1E"/>
            </w:tcBorders>
          </w:tcPr>
          <w:p>
            <w:pPr>
              <w:pStyle w:val="TableParagraph"/>
              <w:ind w:right="132"/>
              <w:jc w:val="right"/>
              <w:rPr>
                <w:sz w:val="16"/>
              </w:rPr>
            </w:pPr>
            <w:r>
              <w:rPr>
                <w:color w:val="404040"/>
                <w:sz w:val="16"/>
              </w:rPr>
              <w:t>-$20k (-4.7%)</w:t>
            </w:r>
          </w:p>
        </w:tc>
        <w:tc>
          <w:tcPr>
            <w:tcW w:w="971" w:type="dxa"/>
            <w:tcBorders>
              <w:top w:val="single" w:sz="4" w:space="0" w:color="DF2F1E"/>
              <w:left w:val="single" w:sz="4" w:space="0" w:color="DF2F1E"/>
            </w:tcBorders>
          </w:tcPr>
          <w:p>
            <w:pPr>
              <w:pStyle w:val="TableParagraph"/>
              <w:ind w:left="304" w:right="266"/>
              <w:jc w:val="center"/>
              <w:rPr>
                <w:sz w:val="16"/>
              </w:rPr>
            </w:pPr>
            <w:r>
              <w:rPr>
                <w:color w:val="404040"/>
                <w:sz w:val="16"/>
              </w:rPr>
              <w:t>-$4k</w:t>
            </w:r>
          </w:p>
        </w:tc>
        <w:tc>
          <w:tcPr>
            <w:tcW w:w="1051" w:type="dxa"/>
            <w:tcBorders>
              <w:top w:val="single" w:sz="4" w:space="0" w:color="DF2F1E"/>
            </w:tcBorders>
          </w:tcPr>
          <w:p>
            <w:pPr>
              <w:pStyle w:val="TableParagraph"/>
              <w:ind w:left="305" w:right="304"/>
              <w:jc w:val="center"/>
              <w:rPr>
                <w:sz w:val="16"/>
              </w:rPr>
            </w:pPr>
            <w:r>
              <w:rPr>
                <w:color w:val="404040"/>
                <w:sz w:val="16"/>
              </w:rPr>
              <w:t>-$12k</w:t>
            </w:r>
          </w:p>
        </w:tc>
        <w:tc>
          <w:tcPr>
            <w:tcW w:w="958" w:type="dxa"/>
            <w:tcBorders>
              <w:top w:val="single" w:sz="4" w:space="0" w:color="DF2F1E"/>
              <w:right w:val="dashSmallGap" w:sz="4" w:space="0" w:color="DF2F1E"/>
            </w:tcBorders>
          </w:tcPr>
          <w:p>
            <w:pPr>
              <w:pStyle w:val="TableParagraph"/>
              <w:ind w:left="247" w:right="264"/>
              <w:jc w:val="center"/>
              <w:rPr>
                <w:sz w:val="16"/>
              </w:rPr>
            </w:pPr>
            <w:r>
              <w:rPr>
                <w:color w:val="404040"/>
                <w:sz w:val="16"/>
              </w:rPr>
              <w:t>-$2k</w:t>
            </w:r>
          </w:p>
        </w:tc>
        <w:tc>
          <w:tcPr>
            <w:tcW w:w="1206" w:type="dxa"/>
            <w:tcBorders>
              <w:top w:val="single" w:sz="4" w:space="0" w:color="DF2F1E"/>
              <w:left w:val="dashSmallGap" w:sz="4" w:space="0" w:color="DF2F1E"/>
            </w:tcBorders>
          </w:tcPr>
          <w:p>
            <w:pPr>
              <w:pStyle w:val="TableParagraph"/>
              <w:ind w:left="429"/>
              <w:rPr>
                <w:sz w:val="16"/>
              </w:rPr>
            </w:pPr>
            <w:r>
              <w:rPr>
                <w:color w:val="A6A6A6"/>
                <w:sz w:val="16"/>
              </w:rPr>
              <w:t>&lt;$1k</w:t>
            </w:r>
          </w:p>
        </w:tc>
        <w:tc>
          <w:tcPr>
            <w:tcW w:w="1203" w:type="dxa"/>
            <w:tcBorders>
              <w:top w:val="single" w:sz="4" w:space="0" w:color="DF2F1E"/>
              <w:right w:val="single" w:sz="4" w:space="0" w:color="DF2F1E"/>
            </w:tcBorders>
          </w:tcPr>
          <w:p>
            <w:pPr>
              <w:pStyle w:val="TableParagraph"/>
              <w:ind w:right="413"/>
              <w:jc w:val="right"/>
              <w:rPr>
                <w:sz w:val="16"/>
              </w:rPr>
            </w:pPr>
            <w:r>
              <w:rPr>
                <w:color w:val="A6A6A6"/>
                <w:sz w:val="16"/>
              </w:rPr>
              <w:t>&lt;$1k</w:t>
            </w:r>
          </w:p>
        </w:tc>
      </w:tr>
      <w:tr>
        <w:trPr>
          <w:trHeight w:val="263" w:hRule="atLeast"/>
        </w:trPr>
        <w:tc>
          <w:tcPr>
            <w:tcW w:w="3120" w:type="dxa"/>
            <w:tcBorders>
              <w:left w:val="single" w:sz="4" w:space="0" w:color="DF2F1E"/>
              <w:right w:val="single" w:sz="4" w:space="0" w:color="DF2F1E"/>
            </w:tcBorders>
          </w:tcPr>
          <w:p>
            <w:pPr>
              <w:pStyle w:val="TableParagraph"/>
              <w:spacing w:before="36"/>
              <w:ind w:left="57"/>
              <w:rPr>
                <w:b/>
                <w:sz w:val="16"/>
              </w:rPr>
            </w:pPr>
            <w:r>
              <w:rPr>
                <w:b/>
                <w:color w:val="404040"/>
                <w:sz w:val="16"/>
              </w:rPr>
              <w:t>- Impact of change in inflation</w:t>
            </w:r>
          </w:p>
        </w:tc>
        <w:tc>
          <w:tcPr>
            <w:tcW w:w="1270" w:type="dxa"/>
            <w:tcBorders>
              <w:left w:val="single" w:sz="4" w:space="0" w:color="DF2F1E"/>
              <w:right w:val="single" w:sz="4" w:space="0" w:color="DF2F1E"/>
            </w:tcBorders>
          </w:tcPr>
          <w:p>
            <w:pPr>
              <w:pStyle w:val="TableParagraph"/>
              <w:spacing w:before="39"/>
              <w:ind w:left="88" w:right="72"/>
              <w:jc w:val="center"/>
              <w:rPr>
                <w:sz w:val="16"/>
              </w:rPr>
            </w:pPr>
            <w:r>
              <w:rPr>
                <w:color w:val="404040"/>
                <w:sz w:val="16"/>
              </w:rPr>
              <w:t>+$8k</w:t>
            </w:r>
          </w:p>
        </w:tc>
        <w:tc>
          <w:tcPr>
            <w:tcW w:w="971" w:type="dxa"/>
            <w:tcBorders>
              <w:left w:val="single" w:sz="4" w:space="0" w:color="DF2F1E"/>
            </w:tcBorders>
          </w:tcPr>
          <w:p>
            <w:pPr>
              <w:pStyle w:val="TableParagraph"/>
              <w:spacing w:before="39"/>
              <w:ind w:left="307" w:right="266"/>
              <w:jc w:val="center"/>
              <w:rPr>
                <w:sz w:val="16"/>
              </w:rPr>
            </w:pPr>
            <w:r>
              <w:rPr>
                <w:color w:val="404040"/>
                <w:sz w:val="16"/>
              </w:rPr>
              <w:t>+$1k</w:t>
            </w:r>
          </w:p>
        </w:tc>
        <w:tc>
          <w:tcPr>
            <w:tcW w:w="1051" w:type="dxa"/>
          </w:tcPr>
          <w:p>
            <w:pPr>
              <w:pStyle w:val="TableParagraph"/>
              <w:spacing w:before="39"/>
              <w:ind w:left="305" w:right="299"/>
              <w:jc w:val="center"/>
              <w:rPr>
                <w:sz w:val="16"/>
              </w:rPr>
            </w:pPr>
            <w:r>
              <w:rPr>
                <w:color w:val="404040"/>
                <w:sz w:val="16"/>
              </w:rPr>
              <w:t>+$2k</w:t>
            </w:r>
          </w:p>
        </w:tc>
        <w:tc>
          <w:tcPr>
            <w:tcW w:w="958" w:type="dxa"/>
            <w:tcBorders>
              <w:right w:val="dashSmallGap" w:sz="4" w:space="0" w:color="DF2F1E"/>
            </w:tcBorders>
          </w:tcPr>
          <w:p>
            <w:pPr>
              <w:pStyle w:val="TableParagraph"/>
              <w:spacing w:before="39"/>
              <w:ind w:left="247" w:right="259"/>
              <w:jc w:val="center"/>
              <w:rPr>
                <w:sz w:val="16"/>
              </w:rPr>
            </w:pPr>
            <w:r>
              <w:rPr>
                <w:color w:val="404040"/>
                <w:sz w:val="16"/>
              </w:rPr>
              <w:t>+$4k</w:t>
            </w:r>
          </w:p>
        </w:tc>
        <w:tc>
          <w:tcPr>
            <w:tcW w:w="1206" w:type="dxa"/>
            <w:tcBorders>
              <w:left w:val="dashSmallGap" w:sz="4" w:space="0" w:color="DF2F1E"/>
            </w:tcBorders>
          </w:tcPr>
          <w:p>
            <w:pPr>
              <w:pStyle w:val="TableParagraph"/>
              <w:spacing w:before="39"/>
              <w:ind w:left="429"/>
              <w:rPr>
                <w:sz w:val="16"/>
              </w:rPr>
            </w:pPr>
            <w:r>
              <w:rPr>
                <w:color w:val="A6A6A6"/>
                <w:sz w:val="16"/>
              </w:rPr>
              <w:t>&lt;$1k</w:t>
            </w:r>
          </w:p>
        </w:tc>
        <w:tc>
          <w:tcPr>
            <w:tcW w:w="1203" w:type="dxa"/>
            <w:tcBorders>
              <w:right w:val="single" w:sz="4" w:space="0" w:color="DF2F1E"/>
            </w:tcBorders>
          </w:tcPr>
          <w:p>
            <w:pPr>
              <w:pStyle w:val="TableParagraph"/>
              <w:spacing w:before="39"/>
              <w:ind w:right="411"/>
              <w:jc w:val="right"/>
              <w:rPr>
                <w:sz w:val="16"/>
              </w:rPr>
            </w:pPr>
            <w:r>
              <w:rPr>
                <w:color w:val="A6A6A6"/>
                <w:sz w:val="16"/>
              </w:rPr>
              <w:t>&lt;$1k</w:t>
            </w:r>
          </w:p>
        </w:tc>
      </w:tr>
      <w:tr>
        <w:trPr>
          <w:trHeight w:val="264" w:hRule="atLeast"/>
        </w:trPr>
        <w:tc>
          <w:tcPr>
            <w:tcW w:w="3120" w:type="dxa"/>
            <w:tcBorders>
              <w:left w:val="single" w:sz="4" w:space="0" w:color="DF2F1E"/>
              <w:right w:val="single" w:sz="4" w:space="0" w:color="DF2F1E"/>
            </w:tcBorders>
          </w:tcPr>
          <w:p>
            <w:pPr>
              <w:pStyle w:val="TableParagraph"/>
              <w:spacing w:before="36"/>
              <w:ind w:left="57"/>
              <w:rPr>
                <w:b/>
                <w:sz w:val="16"/>
              </w:rPr>
            </w:pPr>
            <w:r>
              <w:rPr>
                <w:b/>
                <w:color w:val="404040"/>
                <w:sz w:val="16"/>
              </w:rPr>
              <w:t>- Impact of Age Pension forecast</w:t>
            </w:r>
          </w:p>
        </w:tc>
        <w:tc>
          <w:tcPr>
            <w:tcW w:w="1270" w:type="dxa"/>
            <w:tcBorders>
              <w:left w:val="single" w:sz="4" w:space="0" w:color="DF2F1E"/>
              <w:right w:val="single" w:sz="4" w:space="0" w:color="DF2F1E"/>
            </w:tcBorders>
          </w:tcPr>
          <w:p>
            <w:pPr>
              <w:pStyle w:val="TableParagraph"/>
              <w:spacing w:before="39"/>
              <w:ind w:left="88" w:right="74"/>
              <w:jc w:val="center"/>
              <w:rPr>
                <w:sz w:val="16"/>
              </w:rPr>
            </w:pPr>
            <w:r>
              <w:rPr>
                <w:color w:val="404040"/>
                <w:sz w:val="16"/>
              </w:rPr>
              <w:t>-$5k</w:t>
            </w:r>
          </w:p>
        </w:tc>
        <w:tc>
          <w:tcPr>
            <w:tcW w:w="971" w:type="dxa"/>
            <w:tcBorders>
              <w:left w:val="single" w:sz="4" w:space="0" w:color="DF2F1E"/>
            </w:tcBorders>
          </w:tcPr>
          <w:p>
            <w:pPr>
              <w:pStyle w:val="TableParagraph"/>
              <w:spacing w:before="39"/>
              <w:ind w:left="307" w:right="266"/>
              <w:jc w:val="center"/>
              <w:rPr>
                <w:sz w:val="16"/>
              </w:rPr>
            </w:pPr>
            <w:r>
              <w:rPr>
                <w:color w:val="A6A6A6"/>
                <w:sz w:val="16"/>
              </w:rPr>
              <w:t>&lt;$1k</w:t>
            </w:r>
          </w:p>
        </w:tc>
        <w:tc>
          <w:tcPr>
            <w:tcW w:w="1051" w:type="dxa"/>
          </w:tcPr>
          <w:p>
            <w:pPr>
              <w:pStyle w:val="TableParagraph"/>
              <w:spacing w:before="39"/>
              <w:ind w:left="305" w:right="299"/>
              <w:jc w:val="center"/>
              <w:rPr>
                <w:sz w:val="16"/>
              </w:rPr>
            </w:pPr>
            <w:r>
              <w:rPr>
                <w:color w:val="A6A6A6"/>
                <w:sz w:val="16"/>
              </w:rPr>
              <w:t>&lt;$1k</w:t>
            </w:r>
          </w:p>
        </w:tc>
        <w:tc>
          <w:tcPr>
            <w:tcW w:w="958" w:type="dxa"/>
            <w:tcBorders>
              <w:right w:val="dashSmallGap" w:sz="4" w:space="0" w:color="DF2F1E"/>
            </w:tcBorders>
          </w:tcPr>
          <w:p>
            <w:pPr>
              <w:pStyle w:val="TableParagraph"/>
              <w:spacing w:before="39"/>
              <w:ind w:left="247" w:right="262"/>
              <w:jc w:val="center"/>
              <w:rPr>
                <w:sz w:val="16"/>
              </w:rPr>
            </w:pPr>
            <w:r>
              <w:rPr>
                <w:color w:val="404040"/>
                <w:sz w:val="16"/>
              </w:rPr>
              <w:t>-$5k</w:t>
            </w:r>
          </w:p>
        </w:tc>
        <w:tc>
          <w:tcPr>
            <w:tcW w:w="1206" w:type="dxa"/>
            <w:tcBorders>
              <w:left w:val="dashSmallGap" w:sz="4" w:space="0" w:color="DF2F1E"/>
            </w:tcBorders>
          </w:tcPr>
          <w:p>
            <w:pPr>
              <w:pStyle w:val="TableParagraph"/>
              <w:spacing w:before="39"/>
              <w:ind w:left="429"/>
              <w:rPr>
                <w:sz w:val="16"/>
              </w:rPr>
            </w:pPr>
            <w:r>
              <w:rPr>
                <w:color w:val="A6A6A6"/>
                <w:sz w:val="16"/>
              </w:rPr>
              <w:t>&lt;$1k</w:t>
            </w:r>
          </w:p>
        </w:tc>
        <w:tc>
          <w:tcPr>
            <w:tcW w:w="1203" w:type="dxa"/>
            <w:tcBorders>
              <w:right w:val="single" w:sz="4" w:space="0" w:color="DF2F1E"/>
            </w:tcBorders>
          </w:tcPr>
          <w:p>
            <w:pPr>
              <w:pStyle w:val="TableParagraph"/>
              <w:spacing w:before="39"/>
              <w:ind w:right="411"/>
              <w:jc w:val="right"/>
              <w:rPr>
                <w:sz w:val="16"/>
              </w:rPr>
            </w:pPr>
            <w:r>
              <w:rPr>
                <w:color w:val="A6A6A6"/>
                <w:sz w:val="16"/>
              </w:rPr>
              <w:t>&lt;$1k</w:t>
            </w:r>
          </w:p>
        </w:tc>
      </w:tr>
      <w:tr>
        <w:trPr>
          <w:trHeight w:val="265" w:hRule="atLeast"/>
        </w:trPr>
        <w:tc>
          <w:tcPr>
            <w:tcW w:w="3120" w:type="dxa"/>
            <w:tcBorders>
              <w:left w:val="single" w:sz="4" w:space="0" w:color="DF2F1E"/>
              <w:bottom w:val="single" w:sz="4" w:space="0" w:color="DF2F1E"/>
              <w:right w:val="single" w:sz="4" w:space="0" w:color="DF2F1E"/>
            </w:tcBorders>
          </w:tcPr>
          <w:p>
            <w:pPr>
              <w:pStyle w:val="TableParagraph"/>
              <w:spacing w:before="36"/>
              <w:ind w:left="57"/>
              <w:rPr>
                <w:b/>
                <w:sz w:val="16"/>
              </w:rPr>
            </w:pPr>
            <w:r>
              <w:rPr>
                <w:b/>
                <w:color w:val="404040"/>
                <w:sz w:val="16"/>
              </w:rPr>
              <w:t>- Impact of other changes</w:t>
            </w:r>
          </w:p>
        </w:tc>
        <w:tc>
          <w:tcPr>
            <w:tcW w:w="1270" w:type="dxa"/>
            <w:tcBorders>
              <w:left w:val="single" w:sz="4" w:space="0" w:color="DF2F1E"/>
              <w:bottom w:val="single" w:sz="4" w:space="0" w:color="DF2F1E"/>
              <w:right w:val="single" w:sz="4" w:space="0" w:color="DF2F1E"/>
            </w:tcBorders>
          </w:tcPr>
          <w:p>
            <w:pPr>
              <w:pStyle w:val="TableParagraph"/>
              <w:spacing w:before="39"/>
              <w:ind w:left="88" w:right="77"/>
              <w:jc w:val="center"/>
              <w:rPr>
                <w:sz w:val="16"/>
              </w:rPr>
            </w:pPr>
            <w:r>
              <w:rPr>
                <w:color w:val="404040"/>
                <w:sz w:val="16"/>
              </w:rPr>
              <w:t>-$23k</w:t>
            </w:r>
          </w:p>
        </w:tc>
        <w:tc>
          <w:tcPr>
            <w:tcW w:w="971" w:type="dxa"/>
            <w:tcBorders>
              <w:left w:val="single" w:sz="4" w:space="0" w:color="DF2F1E"/>
              <w:bottom w:val="single" w:sz="4" w:space="0" w:color="DF2F1E"/>
            </w:tcBorders>
          </w:tcPr>
          <w:p>
            <w:pPr>
              <w:pStyle w:val="TableParagraph"/>
              <w:spacing w:before="39"/>
              <w:ind w:left="304" w:right="266"/>
              <w:jc w:val="center"/>
              <w:rPr>
                <w:sz w:val="16"/>
              </w:rPr>
            </w:pPr>
            <w:r>
              <w:rPr>
                <w:color w:val="404040"/>
                <w:sz w:val="16"/>
              </w:rPr>
              <w:t>-$5k</w:t>
            </w:r>
          </w:p>
        </w:tc>
        <w:tc>
          <w:tcPr>
            <w:tcW w:w="1051" w:type="dxa"/>
            <w:tcBorders>
              <w:bottom w:val="single" w:sz="4" w:space="0" w:color="DF2F1E"/>
            </w:tcBorders>
          </w:tcPr>
          <w:p>
            <w:pPr>
              <w:pStyle w:val="TableParagraph"/>
              <w:spacing w:before="39"/>
              <w:ind w:left="305" w:right="304"/>
              <w:jc w:val="center"/>
              <w:rPr>
                <w:sz w:val="16"/>
              </w:rPr>
            </w:pPr>
            <w:r>
              <w:rPr>
                <w:color w:val="404040"/>
                <w:sz w:val="16"/>
              </w:rPr>
              <w:t>-$15k</w:t>
            </w:r>
          </w:p>
        </w:tc>
        <w:tc>
          <w:tcPr>
            <w:tcW w:w="958" w:type="dxa"/>
            <w:tcBorders>
              <w:bottom w:val="single" w:sz="4" w:space="0" w:color="DF2F1E"/>
              <w:right w:val="dashSmallGap" w:sz="4" w:space="0" w:color="DF2F1E"/>
            </w:tcBorders>
          </w:tcPr>
          <w:p>
            <w:pPr>
              <w:pStyle w:val="TableParagraph"/>
              <w:spacing w:before="39"/>
              <w:ind w:left="247" w:right="260"/>
              <w:jc w:val="center"/>
              <w:rPr>
                <w:sz w:val="16"/>
              </w:rPr>
            </w:pPr>
            <w:r>
              <w:rPr>
                <w:color w:val="A6A6A6"/>
                <w:sz w:val="16"/>
              </w:rPr>
              <w:t>&lt;$1k</w:t>
            </w:r>
          </w:p>
        </w:tc>
        <w:tc>
          <w:tcPr>
            <w:tcW w:w="1206" w:type="dxa"/>
            <w:tcBorders>
              <w:left w:val="dashSmallGap" w:sz="4" w:space="0" w:color="DF2F1E"/>
              <w:bottom w:val="single" w:sz="4" w:space="0" w:color="DF2F1E"/>
            </w:tcBorders>
          </w:tcPr>
          <w:p>
            <w:pPr>
              <w:pStyle w:val="TableParagraph"/>
              <w:spacing w:before="39"/>
              <w:ind w:left="448"/>
              <w:rPr>
                <w:sz w:val="16"/>
              </w:rPr>
            </w:pPr>
            <w:r>
              <w:rPr>
                <w:color w:val="404040"/>
                <w:sz w:val="16"/>
              </w:rPr>
              <w:t>-$1k</w:t>
            </w:r>
          </w:p>
        </w:tc>
        <w:tc>
          <w:tcPr>
            <w:tcW w:w="1203" w:type="dxa"/>
            <w:tcBorders>
              <w:bottom w:val="single" w:sz="4" w:space="0" w:color="DF2F1E"/>
              <w:right w:val="single" w:sz="4" w:space="0" w:color="DF2F1E"/>
            </w:tcBorders>
          </w:tcPr>
          <w:p>
            <w:pPr>
              <w:pStyle w:val="TableParagraph"/>
              <w:spacing w:before="39"/>
              <w:ind w:right="411"/>
              <w:jc w:val="right"/>
              <w:rPr>
                <w:sz w:val="16"/>
              </w:rPr>
            </w:pPr>
            <w:r>
              <w:rPr>
                <w:color w:val="A6A6A6"/>
                <w:sz w:val="16"/>
              </w:rPr>
              <w:t>&lt;$1k</w:t>
            </w:r>
          </w:p>
        </w:tc>
      </w:tr>
    </w:tbl>
    <w:p>
      <w:pPr>
        <w:spacing w:before="78"/>
        <w:ind w:left="900" w:right="0" w:firstLine="0"/>
        <w:jc w:val="left"/>
        <w:rPr>
          <w:sz w:val="16"/>
        </w:rPr>
      </w:pPr>
      <w:r>
        <w:rPr>
          <w:color w:val="DF2F1E"/>
          <w:sz w:val="16"/>
        </w:rPr>
        <w:t>Notes:</w:t>
      </w:r>
    </w:p>
    <w:p>
      <w:pPr>
        <w:pStyle w:val="ListParagraph"/>
        <w:numPr>
          <w:ilvl w:val="1"/>
          <w:numId w:val="41"/>
        </w:numPr>
        <w:tabs>
          <w:tab w:pos="1619" w:val="left" w:leader="none"/>
          <w:tab w:pos="1621" w:val="left" w:leader="none"/>
        </w:tabs>
        <w:spacing w:line="240" w:lineRule="auto" w:before="80" w:after="0"/>
        <w:ind w:left="1620" w:right="1555" w:hanging="361"/>
        <w:jc w:val="left"/>
        <w:rPr>
          <w:sz w:val="16"/>
        </w:rPr>
      </w:pPr>
      <w:r>
        <w:rPr>
          <w:color w:val="DF2F1E"/>
          <w:sz w:val="16"/>
        </w:rPr>
        <w:t>Note that payment categories H, I and J have been included in family supplements and the remaining non income support payment categories in other</w:t>
      </w:r>
      <w:r>
        <w:rPr>
          <w:color w:val="DF2F1E"/>
          <w:spacing w:val="-3"/>
          <w:sz w:val="16"/>
        </w:rPr>
        <w:t> </w:t>
      </w:r>
      <w:r>
        <w:rPr>
          <w:color w:val="DF2F1E"/>
          <w:sz w:val="16"/>
        </w:rPr>
        <w:t>supplements.</w:t>
      </w:r>
    </w:p>
    <w:p>
      <w:pPr>
        <w:pStyle w:val="ListParagraph"/>
        <w:numPr>
          <w:ilvl w:val="1"/>
          <w:numId w:val="41"/>
        </w:numPr>
        <w:tabs>
          <w:tab w:pos="1620" w:val="left" w:leader="none"/>
          <w:tab w:pos="1621" w:val="left" w:leader="none"/>
        </w:tabs>
        <w:spacing w:line="240" w:lineRule="auto" w:before="80" w:after="0"/>
        <w:ind w:left="1620" w:right="1484" w:hanging="361"/>
        <w:jc w:val="left"/>
        <w:rPr>
          <w:sz w:val="16"/>
        </w:rPr>
      </w:pPr>
      <w:r>
        <w:rPr>
          <w:color w:val="DF2F1E"/>
          <w:sz w:val="16"/>
        </w:rPr>
        <w:t>The June 2017 rebased Lifetime Cost represents a recalculation of the June 2017 lifetime cost, but using a discount rate of 5% p.a. for consistency with the June 2018 results. All changes are shown relative to this rebased lifetime</w:t>
      </w:r>
      <w:r>
        <w:rPr>
          <w:color w:val="DF2F1E"/>
          <w:spacing w:val="-33"/>
          <w:sz w:val="16"/>
        </w:rPr>
        <w:t> </w:t>
      </w:r>
      <w:r>
        <w:rPr>
          <w:color w:val="DF2F1E"/>
          <w:sz w:val="16"/>
        </w:rPr>
        <w:t>cost.</w:t>
      </w:r>
    </w:p>
    <w:p>
      <w:pPr>
        <w:pStyle w:val="BodyText"/>
        <w:spacing w:before="121"/>
        <w:ind w:left="900"/>
      </w:pPr>
      <w:r>
        <w:rPr>
          <w:color w:val="404040"/>
        </w:rPr>
        <w:t>The decrease in average cost has been primarily driven by:</w:t>
      </w:r>
    </w:p>
    <w:p>
      <w:pPr>
        <w:pStyle w:val="ListParagraph"/>
        <w:numPr>
          <w:ilvl w:val="0"/>
          <w:numId w:val="42"/>
        </w:numPr>
        <w:tabs>
          <w:tab w:pos="1184" w:val="left" w:leader="none"/>
        </w:tabs>
        <w:spacing w:line="240" w:lineRule="auto" w:before="118" w:after="0"/>
        <w:ind w:left="1183" w:right="0" w:hanging="284"/>
        <w:jc w:val="left"/>
        <w:rPr>
          <w:rFonts w:ascii="Symbol" w:hAnsi="Symbol"/>
          <w:sz w:val="20"/>
        </w:rPr>
      </w:pPr>
      <w:r>
        <w:rPr>
          <w:color w:val="404040"/>
          <w:sz w:val="20"/>
        </w:rPr>
        <w:t>a decrease in the assumption for future persistency of Working Age</w:t>
      </w:r>
      <w:r>
        <w:rPr>
          <w:color w:val="404040"/>
          <w:spacing w:val="-8"/>
          <w:sz w:val="20"/>
        </w:rPr>
        <w:t> </w:t>
      </w:r>
      <w:r>
        <w:rPr>
          <w:color w:val="404040"/>
          <w:sz w:val="20"/>
        </w:rPr>
        <w:t>recipients;</w:t>
      </w:r>
    </w:p>
    <w:p>
      <w:pPr>
        <w:pStyle w:val="ListParagraph"/>
        <w:numPr>
          <w:ilvl w:val="0"/>
          <w:numId w:val="42"/>
        </w:numPr>
        <w:tabs>
          <w:tab w:pos="1184" w:val="left" w:leader="none"/>
        </w:tabs>
        <w:spacing w:line="240" w:lineRule="auto" w:before="120" w:after="0"/>
        <w:ind w:left="1183" w:right="1333" w:hanging="284"/>
        <w:jc w:val="left"/>
        <w:rPr>
          <w:rFonts w:ascii="Symbol" w:hAnsi="Symbol"/>
          <w:sz w:val="20"/>
        </w:rPr>
      </w:pPr>
      <w:r>
        <w:rPr>
          <w:color w:val="404040"/>
          <w:sz w:val="20"/>
        </w:rPr>
        <w:t>a decrease in the assumption for the future use of Working Age payment as a result of the introduction of the targeted compliance</w:t>
      </w:r>
      <w:r>
        <w:rPr>
          <w:color w:val="404040"/>
          <w:spacing w:val="-4"/>
          <w:sz w:val="20"/>
        </w:rPr>
        <w:t> </w:t>
      </w:r>
      <w:r>
        <w:rPr>
          <w:color w:val="404040"/>
          <w:sz w:val="20"/>
        </w:rPr>
        <w:t>framework;</w:t>
      </w:r>
    </w:p>
    <w:p>
      <w:pPr>
        <w:pStyle w:val="ListParagraph"/>
        <w:numPr>
          <w:ilvl w:val="0"/>
          <w:numId w:val="42"/>
        </w:numPr>
        <w:tabs>
          <w:tab w:pos="1184" w:val="left" w:leader="none"/>
        </w:tabs>
        <w:spacing w:line="240" w:lineRule="auto" w:before="118" w:after="0"/>
        <w:ind w:left="1183" w:right="0" w:hanging="284"/>
        <w:jc w:val="left"/>
        <w:rPr>
          <w:rFonts w:ascii="Symbol" w:hAnsi="Symbol"/>
          <w:sz w:val="20"/>
        </w:rPr>
      </w:pPr>
      <w:r>
        <w:rPr>
          <w:color w:val="404040"/>
          <w:sz w:val="20"/>
        </w:rPr>
        <w:t>lower projected transitions into other pre-retirement income support classes, and particularly into DSP;</w:t>
      </w:r>
      <w:r>
        <w:rPr>
          <w:color w:val="404040"/>
          <w:spacing w:val="-23"/>
          <w:sz w:val="20"/>
        </w:rPr>
        <w:t> </w:t>
      </w:r>
      <w:r>
        <w:rPr>
          <w:color w:val="404040"/>
          <w:sz w:val="20"/>
        </w:rPr>
        <w:t>and</w:t>
      </w:r>
    </w:p>
    <w:p>
      <w:pPr>
        <w:pStyle w:val="ListParagraph"/>
        <w:numPr>
          <w:ilvl w:val="0"/>
          <w:numId w:val="42"/>
        </w:numPr>
        <w:tabs>
          <w:tab w:pos="1184" w:val="left" w:leader="none"/>
        </w:tabs>
        <w:spacing w:line="357" w:lineRule="auto" w:before="120" w:after="0"/>
        <w:ind w:left="900" w:right="1504" w:hanging="1"/>
        <w:jc w:val="left"/>
        <w:rPr>
          <w:rFonts w:ascii="Symbol" w:hAnsi="Symbol"/>
          <w:sz w:val="20"/>
        </w:rPr>
      </w:pPr>
      <w:r>
        <w:rPr>
          <w:color w:val="404040"/>
          <w:sz w:val="20"/>
        </w:rPr>
        <w:t>a further decrease in projected Age Pension use as a result of the change to the Age Pension forecast. These decreases have been partially offset</w:t>
      </w:r>
      <w:r>
        <w:rPr>
          <w:color w:val="404040"/>
          <w:spacing w:val="-7"/>
          <w:sz w:val="20"/>
        </w:rPr>
        <w:t> </w:t>
      </w:r>
      <w:r>
        <w:rPr>
          <w:color w:val="404040"/>
          <w:sz w:val="20"/>
        </w:rPr>
        <w:t>by:</w:t>
      </w:r>
    </w:p>
    <w:p>
      <w:pPr>
        <w:pStyle w:val="ListParagraph"/>
        <w:numPr>
          <w:ilvl w:val="0"/>
          <w:numId w:val="42"/>
        </w:numPr>
        <w:tabs>
          <w:tab w:pos="1185" w:val="left" w:leader="none"/>
        </w:tabs>
        <w:spacing w:line="240" w:lineRule="auto" w:before="5" w:after="0"/>
        <w:ind w:left="1184" w:right="0" w:hanging="285"/>
        <w:jc w:val="left"/>
        <w:rPr>
          <w:rFonts w:ascii="Symbol" w:hAnsi="Symbol"/>
          <w:sz w:val="20"/>
        </w:rPr>
      </w:pPr>
      <w:r>
        <w:rPr>
          <w:color w:val="404040"/>
          <w:sz w:val="20"/>
        </w:rPr>
        <w:t>an increase in the cost of future payments as a result of inflation;</w:t>
      </w:r>
      <w:r>
        <w:rPr>
          <w:color w:val="404040"/>
          <w:spacing w:val="-7"/>
          <w:sz w:val="20"/>
        </w:rPr>
        <w:t> </w:t>
      </w:r>
      <w:r>
        <w:rPr>
          <w:color w:val="404040"/>
          <w:sz w:val="20"/>
        </w:rPr>
        <w:t>and</w:t>
      </w:r>
    </w:p>
    <w:p>
      <w:pPr>
        <w:spacing w:after="0" w:line="240" w:lineRule="auto"/>
        <w:jc w:val="left"/>
        <w:rPr>
          <w:rFonts w:ascii="Symbol" w:hAnsi="Symbol"/>
          <w:sz w:val="20"/>
        </w:rPr>
        <w:sectPr>
          <w:pgSz w:w="11910" w:h="16850"/>
          <w:pgMar w:header="572" w:footer="581" w:top="780" w:bottom="780" w:left="120" w:right="0"/>
        </w:sectPr>
      </w:pPr>
    </w:p>
    <w:p>
      <w:pPr>
        <w:pStyle w:val="BodyText"/>
      </w:pPr>
    </w:p>
    <w:p>
      <w:pPr>
        <w:pStyle w:val="BodyText"/>
      </w:pPr>
    </w:p>
    <w:p>
      <w:pPr>
        <w:pStyle w:val="BodyText"/>
        <w:spacing w:before="2"/>
        <w:rPr>
          <w:sz w:val="21"/>
        </w:rPr>
      </w:pPr>
    </w:p>
    <w:p>
      <w:pPr>
        <w:pStyle w:val="ListParagraph"/>
        <w:numPr>
          <w:ilvl w:val="0"/>
          <w:numId w:val="42"/>
        </w:numPr>
        <w:tabs>
          <w:tab w:pos="1184" w:val="left" w:leader="none"/>
        </w:tabs>
        <w:spacing w:line="240" w:lineRule="auto" w:before="99" w:after="0"/>
        <w:ind w:left="1183" w:right="1143" w:hanging="284"/>
        <w:jc w:val="left"/>
        <w:rPr>
          <w:rFonts w:ascii="Symbol" w:hAnsi="Symbol"/>
          <w:sz w:val="20"/>
        </w:rPr>
      </w:pPr>
      <w:r>
        <w:rPr>
          <w:color w:val="404040"/>
          <w:sz w:val="20"/>
        </w:rPr>
        <w:t>changes in in the profile of current Working Age recipients (relative to the previous year’s recipients) resulting in increased likelihood of future use of income support payments. In particular, on average, the current Working Age recipients have been in the Working Age class for longer and are more likely to have barriers to work (such as an exemption from mutual obligation requirements), when compared to the previous year’s Working Age recipient population. This offset some of the decreases in income support use (including Age Pension) that we might expect to see given the reducing recent experience of Working Age payment</w:t>
      </w:r>
      <w:r>
        <w:rPr>
          <w:color w:val="404040"/>
          <w:spacing w:val="-2"/>
          <w:sz w:val="20"/>
        </w:rPr>
        <w:t> </w:t>
      </w:r>
      <w:r>
        <w:rPr>
          <w:color w:val="404040"/>
          <w:sz w:val="20"/>
        </w:rPr>
        <w:t>use.</w:t>
      </w:r>
    </w:p>
    <w:p>
      <w:pPr>
        <w:pStyle w:val="BodyText"/>
        <w:spacing w:before="7"/>
      </w:pPr>
    </w:p>
    <w:p>
      <w:pPr>
        <w:pStyle w:val="Heading6"/>
        <w:rPr>
          <w:i/>
        </w:rPr>
      </w:pPr>
      <w:r>
        <w:rPr>
          <w:i/>
          <w:color w:val="DF2F1E"/>
        </w:rPr>
        <w:t>Future outcomes</w:t>
      </w:r>
    </w:p>
    <w:p>
      <w:pPr>
        <w:pStyle w:val="BodyText"/>
        <w:spacing w:before="121"/>
        <w:ind w:left="900" w:right="1197"/>
      </w:pPr>
      <w:r>
        <w:rPr>
          <w:color w:val="404040"/>
        </w:rPr>
        <w:t>In developing the valuation results the projection model also produces information on the expected transitions for people out of each class, as shown below.</w:t>
      </w:r>
    </w:p>
    <w:p>
      <w:pPr>
        <w:pStyle w:val="Heading9"/>
        <w:spacing w:before="176"/>
      </w:pPr>
      <w:r>
        <w:rPr>
          <w:color w:val="DF2F1E"/>
        </w:rPr>
        <w:t>Figure 53: Expected future trajectory for people in class 2</w:t>
      </w:r>
    </w:p>
    <w:p>
      <w:pPr>
        <w:spacing w:after="0"/>
        <w:sectPr>
          <w:pgSz w:w="11910" w:h="16850"/>
          <w:pgMar w:header="572" w:footer="581" w:top="780" w:bottom="780" w:left="120" w:right="0"/>
        </w:sectPr>
      </w:pPr>
    </w:p>
    <w:p>
      <w:pPr>
        <w:pStyle w:val="BodyText"/>
        <w:spacing w:before="10"/>
        <w:rPr>
          <w:b/>
          <w:sz w:val="14"/>
        </w:rPr>
      </w:pPr>
    </w:p>
    <w:p>
      <w:pPr>
        <w:spacing w:before="0"/>
        <w:ind w:left="0" w:right="974" w:firstLine="0"/>
        <w:jc w:val="right"/>
        <w:rPr>
          <w:rFonts w:ascii="Calibri"/>
          <w:sz w:val="15"/>
        </w:rPr>
      </w:pPr>
      <w:r>
        <w:rPr/>
        <w:pict>
          <v:group style="position:absolute;margin-left:108.499664pt;margin-top:4.05828pt;width:244.25pt;height:118.45pt;mso-position-horizontal-relative:page;mso-position-vertical-relative:paragraph;z-index:252250112" coordorigin="2170,81" coordsize="4885,2369">
            <v:shape style="position:absolute;left:2211;top:93;width:4831;height:2315" type="#_x0000_t75" stroked="false">
              <v:imagedata r:id="rId98" o:title=""/>
            </v:shape>
            <v:line style="position:absolute" from="2212,99" to="7042,99" stroked="true" strokeweight=".596642pt" strokecolor="#000000">
              <v:stroke dashstyle="solid"/>
            </v:line>
            <v:line style="position:absolute" from="2218,2402" to="2218,99" stroked="true" strokeweight=".596331pt" strokecolor="#858585">
              <v:stroke dashstyle="solid"/>
            </v:line>
            <v:shape style="position:absolute;left:0;top:11980;width:13369;height:645027" coordorigin="0,11981" coordsize="13369,645027" path="m2170,2402l2218,2402m2170,2175l2218,2175m2170,1937l2218,1937m2170,1710l2218,1710m2170,1483l2218,1483m2170,1245l2218,1245m2170,1018l2218,1018m2170,791l2218,791m2170,553l2218,553m2170,326l2218,326m2170,99l2218,99e" filled="false" stroked="true" strokeweight=".59649pt" strokecolor="#858585">
              <v:path arrowok="t"/>
              <v:stroke dashstyle="solid"/>
            </v:shape>
            <v:shape style="position:absolute;left:0;top:5523;width:652221;height:6458" coordorigin="0,5523" coordsize="652221,6458" path="m2218,2402l7036,2402m2218,2402l2218,2450m2385,2402l2385,2450m2540,2402l2540,2450m2707,2402l2707,2450m2862,2402l2862,2450m3029,2402l3029,2450m3184,2402l3184,2450m3351,2402l3351,2450m3506,2402l3506,2450m3661,2402l3661,2450m3828,2402l3828,2450m3983,2402l3983,2450m4150,2402l4150,2450m4305,2402l4305,2450m4472,2402l4472,2450m4627,2402l4627,2450m4794,2402l4794,2450m4949,2402l4949,2450m5116,2402l5116,2450m5271,2402l5271,2450m5438,2402l5438,2450m5593,2402l5593,2450m5748,2402l5748,2450m5915,2402l5915,2450m6070,2402l6070,2450m6237,2402l6237,2450m6392,2402l6392,2450m6559,2402l6559,2450m6714,2402l6714,2450m6881,2402l6881,2450m7036,2402l7036,2450e" filled="false" stroked="true" strokeweight=".596489pt" strokecolor="#858585">
              <v:path arrowok="t"/>
              <v:stroke dashstyle="solid"/>
            </v:shape>
            <v:shape style="position:absolute;left:2223;top:93;width:4819;height:2136" coordorigin="2224,93" coordsize="4819,2136" path="m2224,93l2379,761,2546,1107,2701,1286,2868,1430,3023,1525,3190,1609,3345,1668,3512,1728,3667,1776,3822,1811,3989,1847,4144,1883,4311,1919,4466,1955,4633,1979,4788,2002,4955,2026,5110,2050,5277,2062,5432,2086,5599,2110,5754,2122,5909,2146,6076,2158,6231,2169,6398,2181,6553,2193,6720,2205,6875,2217,7042,2229e" filled="false" stroked="true" strokeweight="1.193193pt" strokecolor="#ffffff">
              <v:path arrowok="t"/>
              <v:stroke dashstyle="dot"/>
            </v:shape>
            <v:shape style="position:absolute;left:2223;top:93;width:4819;height:1134" coordorigin="2224,93" coordsize="4819,1134" path="m2224,93l2379,499,2546,690,2701,785,2868,845,3023,905,3190,940,3345,952,3512,976,3667,988,3822,1000,3989,1012,4144,1024,4311,1024,4466,1036,4633,1048,4788,1060,4955,1060,5110,1072,5277,1084,5432,1095,5599,1107,5754,1119,5909,1131,6076,1143,6231,1155,6398,1167,6553,1179,6720,1203,6875,1215,7042,1227e" filled="false" stroked="true" strokeweight="1.193253pt" strokecolor="#ffffff">
              <v:path arrowok="t"/>
              <v:stroke dashstyle="longdash"/>
            </v:shape>
            <w10:wrap type="none"/>
          </v:group>
        </w:pict>
      </w:r>
      <w:r>
        <w:rPr>
          <w:rFonts w:ascii="Calibri"/>
          <w:spacing w:val="-1"/>
          <w:sz w:val="15"/>
        </w:rPr>
        <w:t>100%</w:t>
      </w:r>
    </w:p>
    <w:p>
      <w:pPr>
        <w:spacing w:before="48"/>
        <w:ind w:left="0" w:right="965" w:firstLine="0"/>
        <w:jc w:val="right"/>
        <w:rPr>
          <w:rFonts w:ascii="Calibri"/>
          <w:sz w:val="15"/>
        </w:rPr>
      </w:pPr>
      <w:r>
        <w:rPr/>
        <w:pict>
          <v:shape style="position:absolute;margin-left:74.774200pt;margin-top:7.251937pt;width:9.8pt;height:91.65pt;mso-position-horizontal-relative:page;mso-position-vertical-relative:paragraph;z-index:252252160" type="#_x0000_t202" filled="false" stroked="false">
            <v:textbox inset="0,0,0,0" style="layout-flow:vertical;mso-layout-flow-alt:bottom-to-top">
              <w:txbxContent>
                <w:p>
                  <w:pPr>
                    <w:spacing w:line="177" w:lineRule="exact" w:before="0"/>
                    <w:ind w:left="20" w:right="0" w:firstLine="0"/>
                    <w:jc w:val="left"/>
                    <w:rPr>
                      <w:rFonts w:ascii="Calibri"/>
                      <w:b/>
                      <w:sz w:val="15"/>
                    </w:rPr>
                  </w:pPr>
                  <w:r>
                    <w:rPr>
                      <w:rFonts w:ascii="Calibri"/>
                      <w:b/>
                      <w:w w:val="105"/>
                      <w:sz w:val="15"/>
                    </w:rPr>
                    <w:t>Proportion In Welfare Class</w:t>
                  </w:r>
                </w:p>
              </w:txbxContent>
            </v:textbox>
            <w10:wrap type="none"/>
          </v:shape>
        </w:pict>
      </w:r>
      <w:r>
        <w:rPr>
          <w:rFonts w:ascii="Calibri"/>
          <w:spacing w:val="2"/>
          <w:sz w:val="15"/>
        </w:rPr>
        <w:t>90%</w:t>
      </w:r>
    </w:p>
    <w:p>
      <w:pPr>
        <w:spacing w:before="48"/>
        <w:ind w:left="0" w:right="965" w:firstLine="0"/>
        <w:jc w:val="right"/>
        <w:rPr>
          <w:rFonts w:ascii="Calibri"/>
          <w:sz w:val="15"/>
        </w:rPr>
      </w:pPr>
      <w:r>
        <w:rPr>
          <w:rFonts w:ascii="Calibri"/>
          <w:spacing w:val="2"/>
          <w:sz w:val="15"/>
        </w:rPr>
        <w:t>80%</w:t>
      </w:r>
    </w:p>
    <w:p>
      <w:pPr>
        <w:spacing w:before="48"/>
        <w:ind w:left="0" w:right="965" w:firstLine="0"/>
        <w:jc w:val="right"/>
        <w:rPr>
          <w:rFonts w:ascii="Calibri"/>
          <w:sz w:val="15"/>
        </w:rPr>
      </w:pPr>
      <w:r>
        <w:rPr>
          <w:rFonts w:ascii="Calibri"/>
          <w:spacing w:val="2"/>
          <w:sz w:val="15"/>
        </w:rPr>
        <w:t>70%</w:t>
      </w:r>
    </w:p>
    <w:p>
      <w:pPr>
        <w:spacing w:before="48"/>
        <w:ind w:left="0" w:right="965" w:firstLine="0"/>
        <w:jc w:val="right"/>
        <w:rPr>
          <w:rFonts w:ascii="Calibri"/>
          <w:sz w:val="15"/>
        </w:rPr>
      </w:pPr>
      <w:r>
        <w:rPr>
          <w:rFonts w:ascii="Calibri"/>
          <w:spacing w:val="2"/>
          <w:sz w:val="15"/>
        </w:rPr>
        <w:t>60%</w:t>
      </w:r>
    </w:p>
    <w:p>
      <w:pPr>
        <w:spacing w:before="48"/>
        <w:ind w:left="0" w:right="965" w:firstLine="0"/>
        <w:jc w:val="right"/>
        <w:rPr>
          <w:rFonts w:ascii="Calibri"/>
          <w:sz w:val="15"/>
        </w:rPr>
      </w:pPr>
      <w:r>
        <w:rPr>
          <w:rFonts w:ascii="Calibri"/>
          <w:spacing w:val="2"/>
          <w:sz w:val="15"/>
        </w:rPr>
        <w:t>50%</w:t>
      </w:r>
    </w:p>
    <w:p>
      <w:pPr>
        <w:spacing w:before="48"/>
        <w:ind w:left="0" w:right="965" w:firstLine="0"/>
        <w:jc w:val="right"/>
        <w:rPr>
          <w:rFonts w:ascii="Calibri"/>
          <w:sz w:val="15"/>
        </w:rPr>
      </w:pPr>
      <w:r>
        <w:rPr>
          <w:rFonts w:ascii="Calibri"/>
          <w:spacing w:val="2"/>
          <w:sz w:val="15"/>
        </w:rPr>
        <w:t>40%</w:t>
      </w:r>
    </w:p>
    <w:p>
      <w:pPr>
        <w:spacing w:before="48"/>
        <w:ind w:left="0" w:right="965" w:firstLine="0"/>
        <w:jc w:val="right"/>
        <w:rPr>
          <w:rFonts w:ascii="Calibri"/>
          <w:sz w:val="15"/>
        </w:rPr>
      </w:pPr>
      <w:r>
        <w:rPr>
          <w:rFonts w:ascii="Calibri"/>
          <w:spacing w:val="2"/>
          <w:sz w:val="15"/>
        </w:rPr>
        <w:t>30%</w:t>
      </w:r>
    </w:p>
    <w:p>
      <w:pPr>
        <w:spacing w:before="47"/>
        <w:ind w:left="0" w:right="965" w:firstLine="0"/>
        <w:jc w:val="right"/>
        <w:rPr>
          <w:rFonts w:ascii="Calibri"/>
          <w:sz w:val="15"/>
        </w:rPr>
      </w:pPr>
      <w:r>
        <w:rPr>
          <w:rFonts w:ascii="Calibri"/>
          <w:spacing w:val="2"/>
          <w:sz w:val="15"/>
        </w:rPr>
        <w:t>20%</w:t>
      </w:r>
    </w:p>
    <w:p>
      <w:pPr>
        <w:spacing w:before="48"/>
        <w:ind w:left="0" w:right="965" w:firstLine="0"/>
        <w:jc w:val="right"/>
        <w:rPr>
          <w:rFonts w:ascii="Calibri"/>
          <w:sz w:val="15"/>
        </w:rPr>
      </w:pPr>
      <w:r>
        <w:rPr>
          <w:rFonts w:ascii="Calibri"/>
          <w:spacing w:val="2"/>
          <w:sz w:val="15"/>
        </w:rPr>
        <w:t>10%</w:t>
      </w:r>
    </w:p>
    <w:p>
      <w:pPr>
        <w:spacing w:before="48"/>
        <w:ind w:left="0" w:right="967" w:firstLine="0"/>
        <w:jc w:val="right"/>
        <w:rPr>
          <w:rFonts w:ascii="Calibri"/>
          <w:sz w:val="15"/>
        </w:rPr>
      </w:pPr>
      <w:r>
        <w:rPr>
          <w:rFonts w:ascii="Calibri"/>
          <w:w w:val="105"/>
          <w:sz w:val="15"/>
        </w:rPr>
        <w:t>0%</w:t>
      </w:r>
    </w:p>
    <w:p>
      <w:pPr>
        <w:pStyle w:val="BodyText"/>
        <w:spacing w:before="10"/>
        <w:rPr>
          <w:rFonts w:ascii="Calibri"/>
          <w:sz w:val="5"/>
        </w:rPr>
      </w:pPr>
    </w:p>
    <w:p>
      <w:pPr>
        <w:pStyle w:val="BodyText"/>
        <w:tabs>
          <w:tab w:pos="2661" w:val="left" w:leader="none"/>
        </w:tabs>
        <w:ind w:left="1858" w:right="-44"/>
        <w:rPr>
          <w:rFonts w:ascii="Calibri"/>
        </w:rPr>
      </w:pPr>
      <w:r>
        <w:rPr>
          <w:rFonts w:ascii="Calibri"/>
        </w:rPr>
        <w:drawing>
          <wp:inline distT="0" distB="0" distL="0" distR="0">
            <wp:extent cx="169624" cy="172688"/>
            <wp:effectExtent l="0" t="0" r="0" b="0"/>
            <wp:docPr id="105" name="image77.png"/>
            <wp:cNvGraphicFramePr>
              <a:graphicFrameLocks noChangeAspect="1"/>
            </wp:cNvGraphicFramePr>
            <a:graphic>
              <a:graphicData uri="http://schemas.openxmlformats.org/drawingml/2006/picture">
                <pic:pic>
                  <pic:nvPicPr>
                    <pic:cNvPr id="106" name="image77.png"/>
                    <pic:cNvPicPr/>
                  </pic:nvPicPr>
                  <pic:blipFill>
                    <a:blip r:embed="rId99" cstate="print"/>
                    <a:stretch>
                      <a:fillRect/>
                    </a:stretch>
                  </pic:blipFill>
                  <pic:spPr>
                    <a:xfrm>
                      <a:off x="0" y="0"/>
                      <a:ext cx="169624" cy="172688"/>
                    </a:xfrm>
                    <a:prstGeom prst="rect">
                      <a:avLst/>
                    </a:prstGeom>
                  </pic:spPr>
                </pic:pic>
              </a:graphicData>
            </a:graphic>
          </wp:inline>
        </w:drawing>
      </w:r>
      <w:r>
        <w:rPr>
          <w:rFonts w:ascii="Calibri"/>
        </w:rPr>
      </w:r>
      <w:r>
        <w:rPr>
          <w:rFonts w:ascii="Calibri"/>
        </w:rPr>
        <w:tab/>
      </w:r>
      <w:r>
        <w:rPr>
          <w:rFonts w:ascii="Calibri"/>
        </w:rPr>
        <w:drawing>
          <wp:inline distT="0" distB="0" distL="0" distR="0">
            <wp:extent cx="168199" cy="171450"/>
            <wp:effectExtent l="0" t="0" r="0" b="0"/>
            <wp:docPr id="107" name="image78.png"/>
            <wp:cNvGraphicFramePr>
              <a:graphicFrameLocks noChangeAspect="1"/>
            </wp:cNvGraphicFramePr>
            <a:graphic>
              <a:graphicData uri="http://schemas.openxmlformats.org/drawingml/2006/picture">
                <pic:pic>
                  <pic:nvPicPr>
                    <pic:cNvPr id="108" name="image78.png"/>
                    <pic:cNvPicPr/>
                  </pic:nvPicPr>
                  <pic:blipFill>
                    <a:blip r:embed="rId100" cstate="print"/>
                    <a:stretch>
                      <a:fillRect/>
                    </a:stretch>
                  </pic:blipFill>
                  <pic:spPr>
                    <a:xfrm>
                      <a:off x="0" y="0"/>
                      <a:ext cx="168199" cy="171450"/>
                    </a:xfrm>
                    <a:prstGeom prst="rect">
                      <a:avLst/>
                    </a:prstGeom>
                  </pic:spPr>
                </pic:pic>
              </a:graphicData>
            </a:graphic>
          </wp:inline>
        </w:drawing>
      </w:r>
      <w:r>
        <w:rPr>
          <w:rFonts w:ascii="Calibri"/>
        </w:rPr>
      </w:r>
    </w:p>
    <w:p>
      <w:pPr>
        <w:pStyle w:val="BodyText"/>
        <w:rPr>
          <w:rFonts w:ascii="Calibri"/>
        </w:rPr>
      </w:pPr>
      <w:r>
        <w:rPr/>
        <w:br w:type="column"/>
      </w:r>
      <w:r>
        <w:rPr>
          <w:rFonts w:ascii="Calibri"/>
        </w:rPr>
      </w: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spacing w:before="1"/>
        <w:rPr>
          <w:rFonts w:ascii="Calibri"/>
          <w:sz w:val="24"/>
        </w:rPr>
      </w:pPr>
    </w:p>
    <w:p>
      <w:pPr>
        <w:pStyle w:val="BodyText"/>
        <w:tabs>
          <w:tab w:pos="1302" w:val="left" w:leader="none"/>
          <w:tab w:pos="2105" w:val="left" w:leader="none"/>
          <w:tab w:pos="2908" w:val="left" w:leader="none"/>
          <w:tab w:pos="3711" w:val="left" w:leader="none"/>
        </w:tabs>
        <w:ind w:left="500" w:right="-44"/>
        <w:rPr>
          <w:rFonts w:ascii="Calibri"/>
        </w:rPr>
      </w:pPr>
      <w:r>
        <w:rPr>
          <w:rFonts w:ascii="Calibri"/>
        </w:rPr>
        <w:drawing>
          <wp:inline distT="0" distB="0" distL="0" distR="0">
            <wp:extent cx="169624" cy="172688"/>
            <wp:effectExtent l="0" t="0" r="0" b="0"/>
            <wp:docPr id="109" name="image79.png"/>
            <wp:cNvGraphicFramePr>
              <a:graphicFrameLocks noChangeAspect="1"/>
            </wp:cNvGraphicFramePr>
            <a:graphic>
              <a:graphicData uri="http://schemas.openxmlformats.org/drawingml/2006/picture">
                <pic:pic>
                  <pic:nvPicPr>
                    <pic:cNvPr id="110" name="image79.png"/>
                    <pic:cNvPicPr/>
                  </pic:nvPicPr>
                  <pic:blipFill>
                    <a:blip r:embed="rId101" cstate="print"/>
                    <a:stretch>
                      <a:fillRect/>
                    </a:stretch>
                  </pic:blipFill>
                  <pic:spPr>
                    <a:xfrm>
                      <a:off x="0" y="0"/>
                      <a:ext cx="169624" cy="172688"/>
                    </a:xfrm>
                    <a:prstGeom prst="rect">
                      <a:avLst/>
                    </a:prstGeom>
                  </pic:spPr>
                </pic:pic>
              </a:graphicData>
            </a:graphic>
          </wp:inline>
        </w:drawing>
      </w:r>
      <w:r>
        <w:rPr>
          <w:rFonts w:ascii="Calibri"/>
        </w:rPr>
      </w:r>
      <w:r>
        <w:rPr>
          <w:rFonts w:ascii="Calibri"/>
        </w:rPr>
        <w:tab/>
      </w:r>
      <w:r>
        <w:rPr>
          <w:rFonts w:ascii="Calibri"/>
        </w:rPr>
        <w:drawing>
          <wp:inline distT="0" distB="0" distL="0" distR="0">
            <wp:extent cx="168199" cy="171450"/>
            <wp:effectExtent l="0" t="0" r="0" b="0"/>
            <wp:docPr id="111" name="image80.png"/>
            <wp:cNvGraphicFramePr>
              <a:graphicFrameLocks noChangeAspect="1"/>
            </wp:cNvGraphicFramePr>
            <a:graphic>
              <a:graphicData uri="http://schemas.openxmlformats.org/drawingml/2006/picture">
                <pic:pic>
                  <pic:nvPicPr>
                    <pic:cNvPr id="112" name="image80.png"/>
                    <pic:cNvPicPr/>
                  </pic:nvPicPr>
                  <pic:blipFill>
                    <a:blip r:embed="rId102" cstate="print"/>
                    <a:stretch>
                      <a:fillRect/>
                    </a:stretch>
                  </pic:blipFill>
                  <pic:spPr>
                    <a:xfrm>
                      <a:off x="0" y="0"/>
                      <a:ext cx="168199" cy="171450"/>
                    </a:xfrm>
                    <a:prstGeom prst="rect">
                      <a:avLst/>
                    </a:prstGeom>
                  </pic:spPr>
                </pic:pic>
              </a:graphicData>
            </a:graphic>
          </wp:inline>
        </w:drawing>
      </w:r>
      <w:r>
        <w:rPr>
          <w:rFonts w:ascii="Calibri"/>
        </w:rPr>
      </w:r>
      <w:r>
        <w:rPr>
          <w:rFonts w:ascii="Calibri"/>
        </w:rPr>
        <w:tab/>
      </w:r>
      <w:r>
        <w:rPr>
          <w:rFonts w:ascii="Calibri"/>
        </w:rPr>
        <w:drawing>
          <wp:inline distT="0" distB="0" distL="0" distR="0">
            <wp:extent cx="169624" cy="172688"/>
            <wp:effectExtent l="0" t="0" r="0" b="0"/>
            <wp:docPr id="113" name="image81.png"/>
            <wp:cNvGraphicFramePr>
              <a:graphicFrameLocks noChangeAspect="1"/>
            </wp:cNvGraphicFramePr>
            <a:graphic>
              <a:graphicData uri="http://schemas.openxmlformats.org/drawingml/2006/picture">
                <pic:pic>
                  <pic:nvPicPr>
                    <pic:cNvPr id="114" name="image81.png"/>
                    <pic:cNvPicPr/>
                  </pic:nvPicPr>
                  <pic:blipFill>
                    <a:blip r:embed="rId103" cstate="print"/>
                    <a:stretch>
                      <a:fillRect/>
                    </a:stretch>
                  </pic:blipFill>
                  <pic:spPr>
                    <a:xfrm>
                      <a:off x="0" y="0"/>
                      <a:ext cx="169624" cy="172688"/>
                    </a:xfrm>
                    <a:prstGeom prst="rect">
                      <a:avLst/>
                    </a:prstGeom>
                  </pic:spPr>
                </pic:pic>
              </a:graphicData>
            </a:graphic>
          </wp:inline>
        </w:drawing>
      </w:r>
      <w:r>
        <w:rPr>
          <w:rFonts w:ascii="Calibri"/>
        </w:rPr>
      </w:r>
      <w:r>
        <w:rPr>
          <w:rFonts w:ascii="Calibri"/>
        </w:rPr>
        <w:tab/>
      </w:r>
      <w:r>
        <w:rPr>
          <w:rFonts w:ascii="Calibri"/>
        </w:rPr>
        <w:drawing>
          <wp:inline distT="0" distB="0" distL="0" distR="0">
            <wp:extent cx="168199" cy="171450"/>
            <wp:effectExtent l="0" t="0" r="0" b="0"/>
            <wp:docPr id="115" name="image82.png"/>
            <wp:cNvGraphicFramePr>
              <a:graphicFrameLocks noChangeAspect="1"/>
            </wp:cNvGraphicFramePr>
            <a:graphic>
              <a:graphicData uri="http://schemas.openxmlformats.org/drawingml/2006/picture">
                <pic:pic>
                  <pic:nvPicPr>
                    <pic:cNvPr id="116" name="image82.png"/>
                    <pic:cNvPicPr/>
                  </pic:nvPicPr>
                  <pic:blipFill>
                    <a:blip r:embed="rId104" cstate="print"/>
                    <a:stretch>
                      <a:fillRect/>
                    </a:stretch>
                  </pic:blipFill>
                  <pic:spPr>
                    <a:xfrm>
                      <a:off x="0" y="0"/>
                      <a:ext cx="168199" cy="171450"/>
                    </a:xfrm>
                    <a:prstGeom prst="rect">
                      <a:avLst/>
                    </a:prstGeom>
                  </pic:spPr>
                </pic:pic>
              </a:graphicData>
            </a:graphic>
          </wp:inline>
        </w:drawing>
      </w:r>
      <w:r>
        <w:rPr>
          <w:rFonts w:ascii="Calibri"/>
        </w:rPr>
      </w:r>
      <w:r>
        <w:rPr>
          <w:rFonts w:ascii="Calibri"/>
        </w:rPr>
        <w:tab/>
      </w:r>
      <w:r>
        <w:rPr>
          <w:rFonts w:ascii="Calibri"/>
        </w:rPr>
        <w:drawing>
          <wp:inline distT="0" distB="0" distL="0" distR="0">
            <wp:extent cx="169624" cy="172688"/>
            <wp:effectExtent l="0" t="0" r="0" b="0"/>
            <wp:docPr id="117" name="image83.png"/>
            <wp:cNvGraphicFramePr>
              <a:graphicFrameLocks noChangeAspect="1"/>
            </wp:cNvGraphicFramePr>
            <a:graphic>
              <a:graphicData uri="http://schemas.openxmlformats.org/drawingml/2006/picture">
                <pic:pic>
                  <pic:nvPicPr>
                    <pic:cNvPr id="118" name="image83.png"/>
                    <pic:cNvPicPr/>
                  </pic:nvPicPr>
                  <pic:blipFill>
                    <a:blip r:embed="rId105" cstate="print"/>
                    <a:stretch>
                      <a:fillRect/>
                    </a:stretch>
                  </pic:blipFill>
                  <pic:spPr>
                    <a:xfrm>
                      <a:off x="0" y="0"/>
                      <a:ext cx="169624" cy="172688"/>
                    </a:xfrm>
                    <a:prstGeom prst="rect">
                      <a:avLst/>
                    </a:prstGeom>
                  </pic:spPr>
                </pic:pic>
              </a:graphicData>
            </a:graphic>
          </wp:inline>
        </w:drawing>
      </w:r>
      <w:r>
        <w:rPr>
          <w:rFonts w:ascii="Calibri"/>
        </w:rPr>
      </w:r>
    </w:p>
    <w:p>
      <w:pPr>
        <w:spacing w:before="92"/>
        <w:ind w:left="1375" w:right="2266" w:firstLine="0"/>
        <w:jc w:val="center"/>
        <w:rPr>
          <w:rFonts w:ascii="Calibri"/>
          <w:b/>
          <w:sz w:val="15"/>
        </w:rPr>
      </w:pPr>
      <w:r>
        <w:rPr>
          <w:rFonts w:ascii="Calibri"/>
          <w:b/>
          <w:w w:val="105"/>
          <w:sz w:val="15"/>
        </w:rPr>
        <w:t>Year</w:t>
      </w:r>
    </w:p>
    <w:p>
      <w:pPr>
        <w:pStyle w:val="BodyText"/>
        <w:rPr>
          <w:rFonts w:ascii="Calibri"/>
          <w:b/>
          <w:sz w:val="14"/>
        </w:rPr>
      </w:pPr>
      <w:r>
        <w:rPr/>
        <w:br w:type="column"/>
      </w:r>
      <w:r>
        <w:rPr>
          <w:rFonts w:ascii="Calibri"/>
          <w:b/>
          <w:sz w:val="14"/>
        </w:rPr>
      </w:r>
    </w:p>
    <w:p>
      <w:pPr>
        <w:pStyle w:val="BodyText"/>
        <w:spacing w:before="6"/>
        <w:rPr>
          <w:rFonts w:ascii="Calibri"/>
          <w:b/>
          <w:sz w:val="12"/>
        </w:rPr>
      </w:pPr>
    </w:p>
    <w:p>
      <w:pPr>
        <w:spacing w:before="0"/>
        <w:ind w:left="1152" w:right="0" w:firstLine="0"/>
        <w:jc w:val="left"/>
        <w:rPr>
          <w:rFonts w:ascii="Calibri"/>
          <w:sz w:val="14"/>
        </w:rPr>
      </w:pPr>
      <w:r>
        <w:rPr>
          <w:rFonts w:ascii="Calibri"/>
          <w:sz w:val="14"/>
        </w:rPr>
        <w:t>Class key:</w:t>
      </w:r>
    </w:p>
    <w:p>
      <w:pPr>
        <w:pStyle w:val="ListParagraph"/>
        <w:numPr>
          <w:ilvl w:val="2"/>
          <w:numId w:val="41"/>
        </w:numPr>
        <w:tabs>
          <w:tab w:pos="1609" w:val="left" w:leader="none"/>
        </w:tabs>
        <w:spacing w:line="240" w:lineRule="auto" w:before="15" w:after="0"/>
        <w:ind w:left="1608" w:right="0" w:hanging="104"/>
        <w:jc w:val="left"/>
        <w:rPr>
          <w:rFonts w:ascii="Calibri"/>
          <w:sz w:val="14"/>
        </w:rPr>
      </w:pPr>
      <w:r>
        <w:rPr/>
        <w:pict>
          <v:group style="position:absolute;margin-left:411.560547pt;margin-top:.043863pt;width:17.9pt;height:130.5pt;mso-position-horizontal-relative:page;mso-position-vertical-relative:paragraph;z-index:252251136" coordorigin="8231,1" coordsize="358,2610">
            <v:rect style="position:absolute;left:8234;top:0;width:354;height:186" filled="true" fillcolor="#1f487c" stroked="false">
              <v:fill type="solid"/>
            </v:rect>
            <v:rect style="position:absolute;left:8234;top:186;width:354;height:186" filled="true" fillcolor="#009544" stroked="false">
              <v:fill type="solid"/>
            </v:rect>
            <v:rect style="position:absolute;left:8234;top:372;width:354;height:186" filled="true" fillcolor="#e16b09" stroked="false">
              <v:fill type="solid"/>
            </v:rect>
            <v:rect style="position:absolute;left:8234;top:558;width:354;height:186" filled="true" fillcolor="#e08ad6" stroked="false">
              <v:fill type="solid"/>
            </v:rect>
            <v:rect style="position:absolute;left:8234;top:744;width:354;height:186" filled="true" fillcolor="#8063a1" stroked="false">
              <v:fill type="solid"/>
            </v:rect>
            <v:rect style="position:absolute;left:8234;top:930;width:354;height:186" filled="true" fillcolor="#c0504d" stroked="false">
              <v:fill type="solid"/>
            </v:rect>
            <v:rect style="position:absolute;left:8234;top:1116;width:354;height:186" filled="true" fillcolor="#f8a763" stroked="false">
              <v:fill type="solid"/>
            </v:rect>
            <v:rect style="position:absolute;left:8234;top:1302;width:354;height:186" filled="true" fillcolor="#ecb8e7" stroked="false">
              <v:fill type="solid"/>
            </v:rect>
            <v:rect style="position:absolute;left:8234;top:1488;width:354;height:186" filled="true" fillcolor="#938953" stroked="false">
              <v:fill type="solid"/>
            </v:rect>
            <v:rect style="position:absolute;left:8234;top:1674;width:354;height:186" filled="true" fillcolor="#ffd600" stroked="false">
              <v:fill type="solid"/>
            </v:rect>
            <v:rect style="position:absolute;left:8234;top:1859;width:354;height:186" filled="true" fillcolor="#000000" stroked="false">
              <v:fill type="solid"/>
            </v:rect>
            <v:rect style="position:absolute;left:8234;top:2045;width:354;height:186" filled="true" fillcolor="#ffeb8f" stroked="false">
              <v:fill type="solid"/>
            </v:rect>
            <v:rect style="position:absolute;left:8234;top:2231;width:354;height:379" filled="true" fillcolor="#a6a6a6" stroked="false">
              <v:fill type="solid"/>
            </v:rect>
            <v:line style="position:absolute" from="8581,7" to="8581,2610" stroked="true" strokeweight="0pt" strokecolor="#ffffff">
              <v:stroke dashstyle="solid"/>
            </v:line>
            <v:line style="position:absolute" from="8584,7" to="8584,2610" stroked="true" strokeweight=".321105pt" strokecolor="#ffffff">
              <v:stroke dashstyle="solid"/>
            </v:line>
            <v:line style="position:absolute" from="8234,4" to="8588,4" stroked="true" strokeweight=".320535pt" strokecolor="#ffffff">
              <v:stroke dashstyle="solid"/>
            </v:line>
            <v:line style="position:absolute" from="8234,187" to="8588,187" stroked="true" strokeweight="0pt" strokecolor="#ffffff">
              <v:stroke dashstyle="solid"/>
            </v:line>
            <v:line style="position:absolute" from="8234,190" to="8588,190" stroked="true" strokeweight=".320535pt" strokecolor="#ffffff">
              <v:stroke dashstyle="solid"/>
            </v:line>
            <v:line style="position:absolute" from="8234,373" to="8588,373" stroked="true" strokeweight="0pt" strokecolor="#ffffff">
              <v:stroke dashstyle="solid"/>
            </v:line>
            <v:line style="position:absolute" from="8234,376" to="8588,376" stroked="true" strokeweight=".320535pt" strokecolor="#ffffff">
              <v:stroke dashstyle="solid"/>
            </v:line>
            <v:line style="position:absolute" from="8234,559" to="8588,559" stroked="true" strokeweight="0pt" strokecolor="#ffffff">
              <v:stroke dashstyle="solid"/>
            </v:line>
            <v:line style="position:absolute" from="8234,562" to="8588,562" stroked="true" strokeweight=".320856pt" strokecolor="#ffffff">
              <v:stroke dashstyle="solid"/>
            </v:line>
            <v:line style="position:absolute" from="8234,745" to="8588,745" stroked="true" strokeweight="0pt" strokecolor="#ffffff">
              <v:stroke dashstyle="solid"/>
            </v:line>
            <v:line style="position:absolute" from="8234,748" to="8588,748" stroked="true" strokeweight=".320535pt" strokecolor="#ffffff">
              <v:stroke dashstyle="solid"/>
            </v:line>
            <v:line style="position:absolute" from="8234,930" to="8588,930" stroked="true" strokeweight="0pt" strokecolor="#ffffff">
              <v:stroke dashstyle="solid"/>
            </v:line>
            <v:line style="position:absolute" from="8234,934" to="8588,934" stroked="true" strokeweight=".320535pt" strokecolor="#ffffff">
              <v:stroke dashstyle="solid"/>
            </v:line>
            <v:line style="position:absolute" from="8234,1116" to="8588,1116" stroked="true" strokeweight="0pt" strokecolor="#ffffff">
              <v:stroke dashstyle="solid"/>
            </v:line>
            <v:line style="position:absolute" from="8234,1120" to="8588,1120" stroked="true" strokeweight=".320535pt" strokecolor="#ffffff">
              <v:stroke dashstyle="solid"/>
            </v:line>
            <v:line style="position:absolute" from="8234,1302" to="8588,1302" stroked="true" strokeweight="0pt" strokecolor="#ffffff">
              <v:stroke dashstyle="solid"/>
            </v:line>
            <v:line style="position:absolute" from="8234,1305" to="8588,1305" stroked="true" strokeweight=".320535pt" strokecolor="#ffffff">
              <v:stroke dashstyle="solid"/>
            </v:line>
            <v:line style="position:absolute" from="8234,1488" to="8588,1488" stroked="true" strokeweight="0pt" strokecolor="#ffffff">
              <v:stroke dashstyle="solid"/>
            </v:line>
            <v:line style="position:absolute" from="8234,1491" to="8588,1491" stroked="true" strokeweight=".320856pt" strokecolor="#ffffff">
              <v:stroke dashstyle="solid"/>
            </v:line>
            <v:line style="position:absolute" from="8234,1674" to="8588,1674" stroked="true" strokeweight="0pt" strokecolor="#ffffff">
              <v:stroke dashstyle="solid"/>
            </v:line>
            <v:line style="position:absolute" from="8234,1677" to="8588,1677" stroked="true" strokeweight=".320535pt" strokecolor="#ffffff">
              <v:stroke dashstyle="solid"/>
            </v:line>
            <v:line style="position:absolute" from="8234,1860" to="8588,1860" stroked="true" strokeweight="0pt" strokecolor="#ffffff">
              <v:stroke dashstyle="solid"/>
            </v:line>
            <v:line style="position:absolute" from="8234,1863" to="8588,1863" stroked="true" strokeweight=".320535pt" strokecolor="#ffffff">
              <v:stroke dashstyle="solid"/>
            </v:line>
            <v:line style="position:absolute" from="8234,2046" to="8588,2046" stroked="true" strokeweight="0pt" strokecolor="#ffffff">
              <v:stroke dashstyle="solid"/>
            </v:line>
            <v:line style="position:absolute" from="8234,2049" to="8588,2049" stroked="true" strokeweight=".320535pt" strokecolor="#ffffff">
              <v:stroke dashstyle="solid"/>
            </v:line>
            <v:line style="position:absolute" from="8234,2232" to="8588,2232" stroked="true" strokeweight="0pt" strokecolor="#ffffff">
              <v:stroke dashstyle="solid"/>
            </v:line>
            <v:line style="position:absolute" from="8234,2235" to="8588,2235" stroked="true" strokeweight=".320535pt" strokecolor="#ffffff">
              <v:stroke dashstyle="solid"/>
            </v:line>
            <v:line style="position:absolute" from="8234,2418" to="8588,2418" stroked="true" strokeweight="0pt" strokecolor="#ffffff">
              <v:stroke dashstyle="solid"/>
            </v:line>
            <v:line style="position:absolute" from="8234,2421" to="8588,2421" stroked="true" strokeweight=".320535pt" strokecolor="#ffffff">
              <v:stroke dashstyle="solid"/>
            </v:line>
            <v:line style="position:absolute" from="8234,2604" to="8588,2604" stroked="true" strokeweight="0pt" strokecolor="#ffffff">
              <v:stroke dashstyle="solid"/>
            </v:line>
            <v:line style="position:absolute" from="8234,2607" to="8588,2607" stroked="true" strokeweight=".320535pt" strokecolor="#ffffff">
              <v:stroke dashstyle="solid"/>
            </v:line>
            <v:line style="position:absolute" from="8231,2344" to="8589,2344" stroked="true" strokeweight=".961678pt" strokecolor="#ffffff">
              <v:stroke dashstyle="solid"/>
            </v:line>
            <v:line style="position:absolute" from="8231,2517" to="8589,2517" stroked="true" strokeweight=".961678pt" strokecolor="#ffffff">
              <v:stroke dashstyle="solid"/>
            </v:line>
            <w10:wrap type="none"/>
          </v:group>
        </w:pict>
      </w:r>
      <w:r>
        <w:rPr>
          <w:rFonts w:ascii="Calibri"/>
          <w:sz w:val="14"/>
        </w:rPr>
        <w:t>Studying</w:t>
      </w:r>
    </w:p>
    <w:p>
      <w:pPr>
        <w:pStyle w:val="ListParagraph"/>
        <w:numPr>
          <w:ilvl w:val="2"/>
          <w:numId w:val="41"/>
        </w:numPr>
        <w:tabs>
          <w:tab w:pos="1609" w:val="left" w:leader="none"/>
        </w:tabs>
        <w:spacing w:line="240" w:lineRule="auto" w:before="15" w:after="0"/>
        <w:ind w:left="1608" w:right="0" w:hanging="104"/>
        <w:jc w:val="left"/>
        <w:rPr>
          <w:rFonts w:ascii="Calibri"/>
          <w:sz w:val="14"/>
        </w:rPr>
      </w:pPr>
      <w:r>
        <w:rPr>
          <w:rFonts w:ascii="Calibri"/>
          <w:sz w:val="14"/>
        </w:rPr>
        <w:t>Working</w:t>
      </w:r>
      <w:r>
        <w:rPr>
          <w:rFonts w:ascii="Calibri"/>
          <w:spacing w:val="-2"/>
          <w:sz w:val="14"/>
        </w:rPr>
        <w:t> </w:t>
      </w:r>
      <w:r>
        <w:rPr>
          <w:rFonts w:ascii="Calibri"/>
          <w:sz w:val="14"/>
        </w:rPr>
        <w:t>Age</w:t>
      </w:r>
    </w:p>
    <w:p>
      <w:pPr>
        <w:pStyle w:val="ListParagraph"/>
        <w:numPr>
          <w:ilvl w:val="2"/>
          <w:numId w:val="41"/>
        </w:numPr>
        <w:tabs>
          <w:tab w:pos="1609" w:val="left" w:leader="none"/>
        </w:tabs>
        <w:spacing w:line="240" w:lineRule="auto" w:before="15" w:after="0"/>
        <w:ind w:left="1608" w:right="0" w:hanging="104"/>
        <w:jc w:val="left"/>
        <w:rPr>
          <w:rFonts w:ascii="Calibri"/>
          <w:sz w:val="14"/>
        </w:rPr>
      </w:pPr>
      <w:r>
        <w:rPr>
          <w:rFonts w:ascii="Calibri"/>
          <w:sz w:val="14"/>
        </w:rPr>
        <w:t>Parents</w:t>
      </w:r>
    </w:p>
    <w:p>
      <w:pPr>
        <w:pStyle w:val="ListParagraph"/>
        <w:numPr>
          <w:ilvl w:val="2"/>
          <w:numId w:val="41"/>
        </w:numPr>
        <w:tabs>
          <w:tab w:pos="1609" w:val="left" w:leader="none"/>
        </w:tabs>
        <w:spacing w:line="240" w:lineRule="auto" w:before="15" w:after="0"/>
        <w:ind w:left="1608" w:right="0" w:hanging="104"/>
        <w:jc w:val="left"/>
        <w:rPr>
          <w:rFonts w:ascii="Calibri"/>
          <w:sz w:val="14"/>
        </w:rPr>
      </w:pPr>
      <w:r>
        <w:rPr>
          <w:rFonts w:ascii="Calibri"/>
          <w:sz w:val="14"/>
        </w:rPr>
        <w:t>Carers</w:t>
      </w:r>
    </w:p>
    <w:p>
      <w:pPr>
        <w:pStyle w:val="ListParagraph"/>
        <w:numPr>
          <w:ilvl w:val="2"/>
          <w:numId w:val="41"/>
        </w:numPr>
        <w:tabs>
          <w:tab w:pos="1609" w:val="left" w:leader="none"/>
        </w:tabs>
        <w:spacing w:line="240" w:lineRule="auto" w:before="15" w:after="0"/>
        <w:ind w:left="1608" w:right="0" w:hanging="104"/>
        <w:jc w:val="left"/>
        <w:rPr>
          <w:rFonts w:ascii="Calibri"/>
          <w:sz w:val="14"/>
        </w:rPr>
      </w:pPr>
      <w:r>
        <w:rPr>
          <w:rFonts w:ascii="Calibri"/>
          <w:sz w:val="14"/>
        </w:rPr>
        <w:t>Disability Support</w:t>
      </w:r>
    </w:p>
    <w:p>
      <w:pPr>
        <w:pStyle w:val="ListParagraph"/>
        <w:numPr>
          <w:ilvl w:val="2"/>
          <w:numId w:val="41"/>
        </w:numPr>
        <w:tabs>
          <w:tab w:pos="1609" w:val="left" w:leader="none"/>
        </w:tabs>
        <w:spacing w:line="261" w:lineRule="auto" w:before="15" w:after="0"/>
        <w:ind w:left="1505" w:right="2405" w:firstLine="0"/>
        <w:jc w:val="left"/>
        <w:rPr>
          <w:rFonts w:ascii="Calibri"/>
          <w:sz w:val="14"/>
        </w:rPr>
      </w:pPr>
      <w:r>
        <w:rPr>
          <w:rFonts w:ascii="Calibri"/>
          <w:sz w:val="14"/>
        </w:rPr>
        <w:t>Pension Age 7 Non IS Family 8 Non IS Carer 9 Non IS</w:t>
      </w:r>
      <w:r>
        <w:rPr>
          <w:rFonts w:ascii="Calibri"/>
          <w:spacing w:val="7"/>
          <w:sz w:val="14"/>
        </w:rPr>
        <w:t> </w:t>
      </w:r>
      <w:r>
        <w:rPr>
          <w:rFonts w:ascii="Calibri"/>
          <w:sz w:val="14"/>
        </w:rPr>
        <w:t>Other</w:t>
      </w:r>
    </w:p>
    <w:p>
      <w:pPr>
        <w:spacing w:line="261" w:lineRule="auto" w:before="0"/>
        <w:ind w:left="1505" w:right="1469" w:firstLine="0"/>
        <w:jc w:val="left"/>
        <w:rPr>
          <w:rFonts w:ascii="Calibri"/>
          <w:sz w:val="14"/>
        </w:rPr>
      </w:pPr>
      <w:r>
        <w:rPr>
          <w:rFonts w:ascii="Calibri"/>
          <w:sz w:val="14"/>
        </w:rPr>
        <w:t>10 Previous Welfare Recipient 11 Dead</w:t>
      </w:r>
    </w:p>
    <w:p>
      <w:pPr>
        <w:spacing w:line="261" w:lineRule="auto" w:before="0"/>
        <w:ind w:left="1505" w:right="1592" w:firstLine="0"/>
        <w:jc w:val="left"/>
        <w:rPr>
          <w:rFonts w:ascii="Calibri"/>
          <w:sz w:val="14"/>
        </w:rPr>
      </w:pPr>
      <w:r>
        <w:rPr>
          <w:rFonts w:ascii="Calibri"/>
          <w:sz w:val="14"/>
        </w:rPr>
        <w:t>12 Rest of Aust. Population Prior valuation - all active Prior valuation - current class</w:t>
      </w:r>
    </w:p>
    <w:p>
      <w:pPr>
        <w:spacing w:after="0" w:line="261" w:lineRule="auto"/>
        <w:jc w:val="left"/>
        <w:rPr>
          <w:rFonts w:ascii="Calibri"/>
          <w:sz w:val="14"/>
        </w:rPr>
        <w:sectPr>
          <w:type w:val="continuous"/>
          <w:pgSz w:w="11910" w:h="16850"/>
          <w:pgMar w:top="1600" w:bottom="280" w:left="120" w:right="0"/>
          <w:cols w:num="3" w:equalWidth="0">
            <w:col w:w="2925" w:space="40"/>
            <w:col w:w="3977" w:space="39"/>
            <w:col w:w="4809"/>
          </w:cols>
        </w:sectPr>
      </w:pPr>
    </w:p>
    <w:p>
      <w:pPr>
        <w:pStyle w:val="BodyText"/>
        <w:rPr>
          <w:rFonts w:ascii="Calibri"/>
          <w:sz w:val="22"/>
        </w:rPr>
      </w:pPr>
    </w:p>
    <w:p>
      <w:pPr>
        <w:pStyle w:val="BodyText"/>
        <w:spacing w:before="93"/>
        <w:ind w:left="900"/>
      </w:pPr>
      <w:r>
        <w:rPr>
          <w:color w:val="404040"/>
        </w:rPr>
        <w:t>Some observations we can make based on our analysis are that:</w:t>
      </w:r>
    </w:p>
    <w:p>
      <w:pPr>
        <w:pStyle w:val="ListParagraph"/>
        <w:numPr>
          <w:ilvl w:val="0"/>
          <w:numId w:val="42"/>
        </w:numPr>
        <w:tabs>
          <w:tab w:pos="1184" w:val="left" w:leader="none"/>
        </w:tabs>
        <w:spacing w:line="240" w:lineRule="auto" w:before="119" w:after="0"/>
        <w:ind w:left="1183" w:right="1322" w:hanging="284"/>
        <w:jc w:val="left"/>
        <w:rPr>
          <w:rFonts w:ascii="Symbol" w:hAnsi="Symbol"/>
          <w:color w:val="404040"/>
          <w:sz w:val="20"/>
        </w:rPr>
      </w:pPr>
      <w:r>
        <w:rPr>
          <w:color w:val="404040"/>
          <w:sz w:val="20"/>
        </w:rPr>
        <w:t>About 40% of the people currently in the Working Age class are projected to stop receiving any income support over the next five years. Most of these people will stop receiving any payments; the rest will keep receiving one or more of the family payment</w:t>
      </w:r>
      <w:r>
        <w:rPr>
          <w:color w:val="404040"/>
          <w:spacing w:val="-8"/>
          <w:sz w:val="20"/>
        </w:rPr>
        <w:t> </w:t>
      </w:r>
      <w:r>
        <w:rPr>
          <w:color w:val="404040"/>
          <w:sz w:val="20"/>
        </w:rPr>
        <w:t>categories.</w:t>
      </w:r>
    </w:p>
    <w:p>
      <w:pPr>
        <w:pStyle w:val="ListParagraph"/>
        <w:numPr>
          <w:ilvl w:val="0"/>
          <w:numId w:val="42"/>
        </w:numPr>
        <w:tabs>
          <w:tab w:pos="1184" w:val="left" w:leader="none"/>
        </w:tabs>
        <w:spacing w:line="240" w:lineRule="auto" w:before="118" w:after="0"/>
        <w:ind w:left="1183" w:right="1435" w:hanging="284"/>
        <w:jc w:val="left"/>
        <w:rPr>
          <w:rFonts w:ascii="Symbol" w:hAnsi="Symbol"/>
          <w:color w:val="404040"/>
          <w:sz w:val="20"/>
        </w:rPr>
      </w:pPr>
      <w:r>
        <w:rPr>
          <w:color w:val="404040"/>
          <w:sz w:val="20"/>
        </w:rPr>
        <w:t>Over</w:t>
      </w:r>
      <w:r>
        <w:rPr>
          <w:color w:val="404040"/>
          <w:spacing w:val="-3"/>
          <w:sz w:val="20"/>
        </w:rPr>
        <w:t> </w:t>
      </w:r>
      <w:r>
        <w:rPr>
          <w:color w:val="404040"/>
          <w:sz w:val="20"/>
        </w:rPr>
        <w:t>the</w:t>
      </w:r>
      <w:r>
        <w:rPr>
          <w:color w:val="404040"/>
          <w:spacing w:val="-3"/>
          <w:sz w:val="20"/>
        </w:rPr>
        <w:t> </w:t>
      </w:r>
      <w:r>
        <w:rPr>
          <w:color w:val="404040"/>
          <w:sz w:val="20"/>
        </w:rPr>
        <w:t>same</w:t>
      </w:r>
      <w:r>
        <w:rPr>
          <w:color w:val="404040"/>
          <w:spacing w:val="-3"/>
          <w:sz w:val="20"/>
        </w:rPr>
        <w:t> </w:t>
      </w:r>
      <w:r>
        <w:rPr>
          <w:color w:val="404040"/>
          <w:sz w:val="20"/>
        </w:rPr>
        <w:t>timeframe,</w:t>
      </w:r>
      <w:r>
        <w:rPr>
          <w:color w:val="404040"/>
          <w:spacing w:val="-5"/>
          <w:sz w:val="20"/>
        </w:rPr>
        <w:t> </w:t>
      </w:r>
      <w:r>
        <w:rPr>
          <w:color w:val="404040"/>
          <w:sz w:val="20"/>
        </w:rPr>
        <w:t>of</w:t>
      </w:r>
      <w:r>
        <w:rPr>
          <w:color w:val="404040"/>
          <w:spacing w:val="-1"/>
          <w:sz w:val="20"/>
        </w:rPr>
        <w:t> </w:t>
      </w:r>
      <w:r>
        <w:rPr>
          <w:color w:val="404040"/>
          <w:sz w:val="20"/>
        </w:rPr>
        <w:t>the</w:t>
      </w:r>
      <w:r>
        <w:rPr>
          <w:color w:val="404040"/>
          <w:spacing w:val="-3"/>
          <w:sz w:val="20"/>
        </w:rPr>
        <w:t> </w:t>
      </w:r>
      <w:r>
        <w:rPr>
          <w:color w:val="404040"/>
          <w:sz w:val="20"/>
        </w:rPr>
        <w:t>people</w:t>
      </w:r>
      <w:r>
        <w:rPr>
          <w:color w:val="404040"/>
          <w:spacing w:val="-1"/>
          <w:sz w:val="20"/>
        </w:rPr>
        <w:t> </w:t>
      </w:r>
      <w:r>
        <w:rPr>
          <w:color w:val="404040"/>
          <w:sz w:val="20"/>
        </w:rPr>
        <w:t>who</w:t>
      </w:r>
      <w:r>
        <w:rPr>
          <w:color w:val="404040"/>
          <w:spacing w:val="-3"/>
          <w:sz w:val="20"/>
        </w:rPr>
        <w:t> </w:t>
      </w:r>
      <w:r>
        <w:rPr>
          <w:color w:val="404040"/>
          <w:sz w:val="20"/>
        </w:rPr>
        <w:t>are</w:t>
      </w:r>
      <w:r>
        <w:rPr>
          <w:color w:val="404040"/>
          <w:spacing w:val="-3"/>
          <w:sz w:val="20"/>
        </w:rPr>
        <w:t> </w:t>
      </w:r>
      <w:r>
        <w:rPr>
          <w:color w:val="404040"/>
          <w:sz w:val="20"/>
        </w:rPr>
        <w:t>projected</w:t>
      </w:r>
      <w:r>
        <w:rPr>
          <w:color w:val="404040"/>
          <w:spacing w:val="-3"/>
          <w:sz w:val="20"/>
        </w:rPr>
        <w:t> </w:t>
      </w:r>
      <w:r>
        <w:rPr>
          <w:color w:val="404040"/>
          <w:sz w:val="20"/>
        </w:rPr>
        <w:t>to</w:t>
      </w:r>
      <w:r>
        <w:rPr>
          <w:color w:val="404040"/>
          <w:spacing w:val="-3"/>
          <w:sz w:val="20"/>
        </w:rPr>
        <w:t> </w:t>
      </w:r>
      <w:r>
        <w:rPr>
          <w:color w:val="404040"/>
          <w:sz w:val="20"/>
        </w:rPr>
        <w:t>stay</w:t>
      </w:r>
      <w:r>
        <w:rPr>
          <w:color w:val="404040"/>
          <w:spacing w:val="-4"/>
          <w:sz w:val="20"/>
        </w:rPr>
        <w:t> </w:t>
      </w:r>
      <w:r>
        <w:rPr>
          <w:color w:val="404040"/>
          <w:sz w:val="20"/>
        </w:rPr>
        <w:t>on</w:t>
      </w:r>
      <w:r>
        <w:rPr>
          <w:color w:val="404040"/>
          <w:spacing w:val="-1"/>
          <w:sz w:val="20"/>
        </w:rPr>
        <w:t> </w:t>
      </w:r>
      <w:r>
        <w:rPr>
          <w:color w:val="404040"/>
          <w:sz w:val="20"/>
        </w:rPr>
        <w:t>income</w:t>
      </w:r>
      <w:r>
        <w:rPr>
          <w:color w:val="404040"/>
          <w:spacing w:val="-3"/>
          <w:sz w:val="20"/>
        </w:rPr>
        <w:t> </w:t>
      </w:r>
      <w:r>
        <w:rPr>
          <w:color w:val="404040"/>
          <w:sz w:val="20"/>
        </w:rPr>
        <w:t>support</w:t>
      </w:r>
      <w:r>
        <w:rPr>
          <w:color w:val="404040"/>
          <w:spacing w:val="-3"/>
          <w:sz w:val="20"/>
        </w:rPr>
        <w:t> </w:t>
      </w:r>
      <w:r>
        <w:rPr>
          <w:color w:val="404040"/>
          <w:sz w:val="20"/>
        </w:rPr>
        <w:t>payments,</w:t>
      </w:r>
      <w:r>
        <w:rPr>
          <w:color w:val="404040"/>
          <w:spacing w:val="-1"/>
          <w:sz w:val="20"/>
        </w:rPr>
        <w:t> </w:t>
      </w:r>
      <w:r>
        <w:rPr>
          <w:color w:val="404040"/>
          <w:sz w:val="20"/>
        </w:rPr>
        <w:t>around 65% remain on the Working Age class. The remainder either retire or move onto Parenting, Carer or Disability</w:t>
      </w:r>
      <w:r>
        <w:rPr>
          <w:color w:val="404040"/>
          <w:spacing w:val="-3"/>
          <w:sz w:val="20"/>
        </w:rPr>
        <w:t> </w:t>
      </w:r>
      <w:r>
        <w:rPr>
          <w:color w:val="404040"/>
          <w:sz w:val="20"/>
        </w:rPr>
        <w:t>payments.</w:t>
      </w:r>
    </w:p>
    <w:p>
      <w:pPr>
        <w:pStyle w:val="ListParagraph"/>
        <w:numPr>
          <w:ilvl w:val="0"/>
          <w:numId w:val="42"/>
        </w:numPr>
        <w:tabs>
          <w:tab w:pos="1184" w:val="left" w:leader="none"/>
        </w:tabs>
        <w:spacing w:line="240" w:lineRule="auto" w:before="119" w:after="0"/>
        <w:ind w:left="1183" w:right="1301" w:hanging="284"/>
        <w:jc w:val="left"/>
        <w:rPr>
          <w:rFonts w:ascii="Symbol" w:hAnsi="Symbol"/>
          <w:color w:val="404040"/>
          <w:sz w:val="20"/>
        </w:rPr>
      </w:pPr>
      <w:r>
        <w:rPr>
          <w:color w:val="404040"/>
          <w:sz w:val="20"/>
        </w:rPr>
        <w:t>38% of the people currently in this class are projected to be in this class in five years’ time (either by remaining</w:t>
      </w:r>
      <w:r>
        <w:rPr>
          <w:color w:val="404040"/>
          <w:spacing w:val="-2"/>
          <w:sz w:val="20"/>
        </w:rPr>
        <w:t> </w:t>
      </w:r>
      <w:r>
        <w:rPr>
          <w:color w:val="404040"/>
          <w:sz w:val="20"/>
        </w:rPr>
        <w:t>in</w:t>
      </w:r>
      <w:r>
        <w:rPr>
          <w:color w:val="404040"/>
          <w:spacing w:val="-3"/>
          <w:sz w:val="20"/>
        </w:rPr>
        <w:t> </w:t>
      </w:r>
      <w:r>
        <w:rPr>
          <w:color w:val="404040"/>
          <w:sz w:val="20"/>
        </w:rPr>
        <w:t>this</w:t>
      </w:r>
      <w:r>
        <w:rPr>
          <w:color w:val="404040"/>
          <w:spacing w:val="-2"/>
          <w:sz w:val="20"/>
        </w:rPr>
        <w:t> </w:t>
      </w:r>
      <w:r>
        <w:rPr>
          <w:color w:val="404040"/>
          <w:sz w:val="20"/>
        </w:rPr>
        <w:t>class</w:t>
      </w:r>
      <w:r>
        <w:rPr>
          <w:color w:val="404040"/>
          <w:spacing w:val="-2"/>
          <w:sz w:val="20"/>
        </w:rPr>
        <w:t> </w:t>
      </w:r>
      <w:r>
        <w:rPr>
          <w:color w:val="404040"/>
          <w:sz w:val="20"/>
        </w:rPr>
        <w:t>throughout</w:t>
      </w:r>
      <w:r>
        <w:rPr>
          <w:color w:val="404040"/>
          <w:spacing w:val="-4"/>
          <w:sz w:val="20"/>
        </w:rPr>
        <w:t> </w:t>
      </w:r>
      <w:r>
        <w:rPr>
          <w:color w:val="404040"/>
          <w:sz w:val="20"/>
        </w:rPr>
        <w:t>this</w:t>
      </w:r>
      <w:r>
        <w:rPr>
          <w:color w:val="404040"/>
          <w:spacing w:val="-2"/>
          <w:sz w:val="20"/>
        </w:rPr>
        <w:t> </w:t>
      </w:r>
      <w:r>
        <w:rPr>
          <w:color w:val="404040"/>
          <w:sz w:val="20"/>
        </w:rPr>
        <w:t>time,</w:t>
      </w:r>
      <w:r>
        <w:rPr>
          <w:color w:val="404040"/>
          <w:spacing w:val="-3"/>
          <w:sz w:val="20"/>
        </w:rPr>
        <w:t> </w:t>
      </w:r>
      <w:r>
        <w:rPr>
          <w:color w:val="404040"/>
          <w:sz w:val="20"/>
        </w:rPr>
        <w:t>or</w:t>
      </w:r>
      <w:r>
        <w:rPr>
          <w:color w:val="404040"/>
          <w:spacing w:val="-2"/>
          <w:sz w:val="20"/>
        </w:rPr>
        <w:t> </w:t>
      </w:r>
      <w:r>
        <w:rPr>
          <w:color w:val="404040"/>
          <w:sz w:val="20"/>
        </w:rPr>
        <w:t>by</w:t>
      </w:r>
      <w:r>
        <w:rPr>
          <w:color w:val="404040"/>
          <w:spacing w:val="-6"/>
          <w:sz w:val="20"/>
        </w:rPr>
        <w:t> </w:t>
      </w:r>
      <w:r>
        <w:rPr>
          <w:color w:val="404040"/>
          <w:sz w:val="20"/>
        </w:rPr>
        <w:t>exiting</w:t>
      </w:r>
      <w:r>
        <w:rPr>
          <w:color w:val="404040"/>
          <w:spacing w:val="-4"/>
          <w:sz w:val="20"/>
        </w:rPr>
        <w:t> </w:t>
      </w:r>
      <w:r>
        <w:rPr>
          <w:color w:val="404040"/>
          <w:sz w:val="20"/>
        </w:rPr>
        <w:t>and</w:t>
      </w:r>
      <w:r>
        <w:rPr>
          <w:color w:val="404040"/>
          <w:spacing w:val="-3"/>
          <w:sz w:val="20"/>
        </w:rPr>
        <w:t> </w:t>
      </w:r>
      <w:r>
        <w:rPr>
          <w:color w:val="404040"/>
          <w:sz w:val="20"/>
        </w:rPr>
        <w:t>returning).</w:t>
      </w:r>
      <w:r>
        <w:rPr>
          <w:color w:val="404040"/>
          <w:spacing w:val="-3"/>
          <w:sz w:val="20"/>
        </w:rPr>
        <w:t> </w:t>
      </w:r>
      <w:r>
        <w:rPr>
          <w:color w:val="404040"/>
          <w:sz w:val="20"/>
        </w:rPr>
        <w:t>This</w:t>
      </w:r>
      <w:r>
        <w:rPr>
          <w:color w:val="404040"/>
          <w:spacing w:val="-2"/>
          <w:sz w:val="20"/>
        </w:rPr>
        <w:t> </w:t>
      </w:r>
      <w:r>
        <w:rPr>
          <w:color w:val="404040"/>
          <w:sz w:val="20"/>
        </w:rPr>
        <w:t>figure</w:t>
      </w:r>
      <w:r>
        <w:rPr>
          <w:color w:val="404040"/>
          <w:spacing w:val="-4"/>
          <w:sz w:val="20"/>
        </w:rPr>
        <w:t> </w:t>
      </w:r>
      <w:r>
        <w:rPr>
          <w:color w:val="404040"/>
          <w:sz w:val="20"/>
        </w:rPr>
        <w:t>reduces</w:t>
      </w:r>
      <w:r>
        <w:rPr>
          <w:color w:val="404040"/>
          <w:spacing w:val="-2"/>
          <w:sz w:val="20"/>
        </w:rPr>
        <w:t> </w:t>
      </w:r>
      <w:r>
        <w:rPr>
          <w:color w:val="404040"/>
          <w:sz w:val="20"/>
        </w:rPr>
        <w:t>to</w:t>
      </w:r>
      <w:r>
        <w:rPr>
          <w:color w:val="404040"/>
          <w:spacing w:val="-1"/>
          <w:sz w:val="20"/>
        </w:rPr>
        <w:t> </w:t>
      </w:r>
      <w:r>
        <w:rPr>
          <w:color w:val="404040"/>
          <w:sz w:val="20"/>
        </w:rPr>
        <w:t>26% by</w:t>
      </w:r>
      <w:r>
        <w:rPr>
          <w:color w:val="404040"/>
          <w:spacing w:val="-7"/>
          <w:sz w:val="20"/>
        </w:rPr>
        <w:t> </w:t>
      </w:r>
      <w:r>
        <w:rPr>
          <w:color w:val="404040"/>
          <w:sz w:val="20"/>
        </w:rPr>
        <w:t>10 years’</w:t>
      </w:r>
      <w:r>
        <w:rPr>
          <w:color w:val="404040"/>
          <w:spacing w:val="-1"/>
          <w:sz w:val="20"/>
        </w:rPr>
        <w:t> </w:t>
      </w:r>
      <w:r>
        <w:rPr>
          <w:color w:val="404040"/>
          <w:sz w:val="20"/>
        </w:rPr>
        <w:t>time.</w:t>
      </w:r>
    </w:p>
    <w:p>
      <w:pPr>
        <w:pStyle w:val="ListParagraph"/>
        <w:numPr>
          <w:ilvl w:val="0"/>
          <w:numId w:val="42"/>
        </w:numPr>
        <w:tabs>
          <w:tab w:pos="1184" w:val="left" w:leader="none"/>
        </w:tabs>
        <w:spacing w:line="240" w:lineRule="auto" w:before="118" w:after="0"/>
        <w:ind w:left="1183" w:right="1363" w:hanging="284"/>
        <w:jc w:val="left"/>
        <w:rPr>
          <w:rFonts w:ascii="Symbol" w:hAnsi="Symbol"/>
          <w:color w:val="404040"/>
          <w:sz w:val="20"/>
        </w:rPr>
      </w:pPr>
      <w:r>
        <w:rPr>
          <w:color w:val="404040"/>
          <w:sz w:val="20"/>
        </w:rPr>
        <w:t>The projected proportion of this group who remain in the Working Age class in the future is similar to that projected from the June 2017 valuation (which is shown with the lower dashed</w:t>
      </w:r>
      <w:r>
        <w:rPr>
          <w:color w:val="404040"/>
          <w:spacing w:val="-6"/>
          <w:sz w:val="20"/>
        </w:rPr>
        <w:t> </w:t>
      </w:r>
      <w:r>
        <w:rPr>
          <w:color w:val="404040"/>
          <w:sz w:val="20"/>
        </w:rPr>
        <w:t>line).</w:t>
      </w:r>
    </w:p>
    <w:p>
      <w:pPr>
        <w:pStyle w:val="ListParagraph"/>
        <w:numPr>
          <w:ilvl w:val="0"/>
          <w:numId w:val="42"/>
        </w:numPr>
        <w:tabs>
          <w:tab w:pos="1184" w:val="left" w:leader="none"/>
        </w:tabs>
        <w:spacing w:line="240" w:lineRule="auto" w:before="120" w:after="0"/>
        <w:ind w:left="1183" w:right="1696" w:hanging="284"/>
        <w:jc w:val="left"/>
        <w:rPr>
          <w:rFonts w:ascii="Symbol" w:hAnsi="Symbol"/>
          <w:color w:val="404040"/>
          <w:sz w:val="20"/>
        </w:rPr>
      </w:pPr>
      <w:r>
        <w:rPr>
          <w:color w:val="404040"/>
          <w:sz w:val="20"/>
        </w:rPr>
        <w:t>After 30 years, around 45% of the original group are projected to be on some form of income support payment.</w:t>
      </w:r>
    </w:p>
    <w:p>
      <w:pPr>
        <w:pStyle w:val="BodyText"/>
        <w:spacing w:before="7"/>
      </w:pPr>
    </w:p>
    <w:p>
      <w:pPr>
        <w:pStyle w:val="Heading6"/>
        <w:rPr>
          <w:i/>
        </w:rPr>
      </w:pPr>
      <w:r>
        <w:rPr>
          <w:i/>
          <w:color w:val="DF2F1E"/>
        </w:rPr>
        <w:t>Duration</w:t>
      </w:r>
    </w:p>
    <w:p>
      <w:pPr>
        <w:pStyle w:val="BodyText"/>
        <w:spacing w:line="242" w:lineRule="auto" w:before="119"/>
        <w:ind w:left="900" w:right="1320"/>
      </w:pPr>
      <w:r>
        <w:rPr>
          <w:color w:val="404040"/>
        </w:rPr>
        <w:t>The average future life expectancy for the Working Age class is </w:t>
      </w:r>
      <w:r>
        <w:rPr>
          <w:b/>
          <w:color w:val="404040"/>
        </w:rPr>
        <w:t>49 </w:t>
      </w:r>
      <w:r>
        <w:rPr>
          <w:color w:val="404040"/>
        </w:rPr>
        <w:t>years. This reflects that the age profile of this class is well distributed across the working ages. The table below provides a summary of the expected welfare system use of people currently in this class over this time. This has been developed by considering which classes people move into as they move through the welfare system over their lives.</w:t>
      </w:r>
    </w:p>
    <w:p>
      <w:pPr>
        <w:spacing w:after="0" w:line="242" w:lineRule="auto"/>
        <w:sectPr>
          <w:type w:val="continuous"/>
          <w:pgSz w:w="11910" w:h="16850"/>
          <w:pgMar w:top="1600" w:bottom="280" w:left="120" w:right="0"/>
        </w:sectPr>
      </w:pPr>
    </w:p>
    <w:p>
      <w:pPr>
        <w:pStyle w:val="BodyText"/>
      </w:pPr>
    </w:p>
    <w:p>
      <w:pPr>
        <w:pStyle w:val="BodyText"/>
      </w:pPr>
    </w:p>
    <w:p>
      <w:pPr>
        <w:pStyle w:val="BodyText"/>
        <w:spacing w:before="5"/>
        <w:rPr>
          <w:sz w:val="21"/>
        </w:rPr>
      </w:pPr>
    </w:p>
    <w:p>
      <w:pPr>
        <w:pStyle w:val="Heading9"/>
        <w:spacing w:after="44"/>
      </w:pPr>
      <w:r>
        <w:rPr>
          <w:color w:val="DF2F1E"/>
        </w:rPr>
        <w:t>Table 20: Average expected durations in welfare system for people currently in class 2</w:t>
      </w:r>
    </w:p>
    <w:tbl>
      <w:tblPr>
        <w:tblW w:w="0" w:type="auto"/>
        <w:jc w:val="left"/>
        <w:tblInd w:w="1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30"/>
        <w:gridCol w:w="1765"/>
        <w:gridCol w:w="2773"/>
      </w:tblGrid>
      <w:tr>
        <w:trPr>
          <w:trHeight w:val="283" w:hRule="atLeast"/>
        </w:trPr>
        <w:tc>
          <w:tcPr>
            <w:tcW w:w="4330" w:type="dxa"/>
            <w:shd w:val="clear" w:color="auto" w:fill="DF2F1E"/>
          </w:tcPr>
          <w:p>
            <w:pPr>
              <w:pStyle w:val="TableParagraph"/>
              <w:spacing w:before="0"/>
              <w:rPr>
                <w:rFonts w:ascii="Times New Roman"/>
                <w:sz w:val="16"/>
              </w:rPr>
            </w:pPr>
          </w:p>
        </w:tc>
        <w:tc>
          <w:tcPr>
            <w:tcW w:w="1765" w:type="dxa"/>
            <w:shd w:val="clear" w:color="auto" w:fill="DF2F1E"/>
          </w:tcPr>
          <w:p>
            <w:pPr>
              <w:pStyle w:val="TableParagraph"/>
              <w:spacing w:before="44"/>
              <w:ind w:left="149" w:right="383"/>
              <w:jc w:val="center"/>
              <w:rPr>
                <w:b/>
                <w:sz w:val="16"/>
              </w:rPr>
            </w:pPr>
            <w:r>
              <w:rPr>
                <w:b/>
                <w:color w:val="FFFFFF"/>
                <w:sz w:val="16"/>
              </w:rPr>
              <w:t>Expected Years</w:t>
            </w:r>
          </w:p>
        </w:tc>
        <w:tc>
          <w:tcPr>
            <w:tcW w:w="2773" w:type="dxa"/>
            <w:shd w:val="clear" w:color="auto" w:fill="DF2F1E"/>
          </w:tcPr>
          <w:p>
            <w:pPr>
              <w:pStyle w:val="TableParagraph"/>
              <w:spacing w:before="44"/>
              <w:ind w:left="394" w:right="124"/>
              <w:jc w:val="center"/>
              <w:rPr>
                <w:b/>
                <w:sz w:val="16"/>
              </w:rPr>
            </w:pPr>
            <w:r>
              <w:rPr>
                <w:b/>
                <w:color w:val="FFFFFF"/>
                <w:sz w:val="16"/>
              </w:rPr>
              <w:t>Proportion of Future Lifetime</w:t>
            </w:r>
          </w:p>
        </w:tc>
      </w:tr>
      <w:tr>
        <w:trPr>
          <w:trHeight w:val="261" w:hRule="atLeast"/>
        </w:trPr>
        <w:tc>
          <w:tcPr>
            <w:tcW w:w="4330" w:type="dxa"/>
            <w:tcBorders>
              <w:left w:val="single" w:sz="4" w:space="0" w:color="DF2F1E"/>
            </w:tcBorders>
          </w:tcPr>
          <w:p>
            <w:pPr>
              <w:pStyle w:val="TableParagraph"/>
              <w:spacing w:before="34"/>
              <w:ind w:left="107"/>
              <w:rPr>
                <w:b/>
                <w:sz w:val="16"/>
              </w:rPr>
            </w:pPr>
            <w:r>
              <w:rPr>
                <w:b/>
                <w:color w:val="404040"/>
                <w:sz w:val="16"/>
              </w:rPr>
              <w:t>Years with some income support payments:</w:t>
            </w:r>
          </w:p>
        </w:tc>
        <w:tc>
          <w:tcPr>
            <w:tcW w:w="1765" w:type="dxa"/>
          </w:tcPr>
          <w:p>
            <w:pPr>
              <w:pStyle w:val="TableParagraph"/>
              <w:spacing w:before="0"/>
              <w:rPr>
                <w:rFonts w:ascii="Times New Roman"/>
                <w:sz w:val="16"/>
              </w:rPr>
            </w:pPr>
          </w:p>
        </w:tc>
        <w:tc>
          <w:tcPr>
            <w:tcW w:w="2773" w:type="dxa"/>
            <w:tcBorders>
              <w:right w:val="single" w:sz="4" w:space="0" w:color="DF2F1E"/>
            </w:tcBorders>
          </w:tcPr>
          <w:p>
            <w:pPr>
              <w:pStyle w:val="TableParagraph"/>
              <w:spacing w:before="0"/>
              <w:rPr>
                <w:rFonts w:ascii="Times New Roman"/>
                <w:sz w:val="16"/>
              </w:rPr>
            </w:pPr>
          </w:p>
        </w:tc>
      </w:tr>
      <w:tr>
        <w:trPr>
          <w:trHeight w:val="265" w:hRule="atLeast"/>
        </w:trPr>
        <w:tc>
          <w:tcPr>
            <w:tcW w:w="4330" w:type="dxa"/>
            <w:tcBorders>
              <w:left w:val="single" w:sz="4" w:space="0" w:color="DF2F1E"/>
            </w:tcBorders>
          </w:tcPr>
          <w:p>
            <w:pPr>
              <w:pStyle w:val="TableParagraph"/>
              <w:tabs>
                <w:tab w:pos="513" w:val="left" w:leader="none"/>
              </w:tabs>
              <w:ind w:left="153"/>
              <w:rPr>
                <w:b/>
                <w:sz w:val="16"/>
              </w:rPr>
            </w:pPr>
            <w:r>
              <w:rPr>
                <w:color w:val="404040"/>
                <w:sz w:val="16"/>
              </w:rPr>
              <w:t>-</w:t>
              <w:tab/>
            </w:r>
            <w:r>
              <w:rPr>
                <w:b/>
                <w:color w:val="404040"/>
                <w:sz w:val="16"/>
              </w:rPr>
              <w:t>Not </w:t>
            </w:r>
            <w:r>
              <w:rPr>
                <w:b/>
                <w:color w:val="404040"/>
                <w:spacing w:val="-3"/>
                <w:sz w:val="16"/>
              </w:rPr>
              <w:t>Age </w:t>
            </w:r>
            <w:r>
              <w:rPr>
                <w:b/>
                <w:color w:val="404040"/>
                <w:sz w:val="16"/>
              </w:rPr>
              <w:t>Pension (classes</w:t>
            </w:r>
            <w:r>
              <w:rPr>
                <w:b/>
                <w:color w:val="404040"/>
                <w:spacing w:val="5"/>
                <w:sz w:val="16"/>
              </w:rPr>
              <w:t> </w:t>
            </w:r>
            <w:r>
              <w:rPr>
                <w:b/>
                <w:color w:val="404040"/>
                <w:sz w:val="16"/>
              </w:rPr>
              <w:t>1-5)</w:t>
            </w:r>
          </w:p>
        </w:tc>
        <w:tc>
          <w:tcPr>
            <w:tcW w:w="1765" w:type="dxa"/>
          </w:tcPr>
          <w:p>
            <w:pPr>
              <w:pStyle w:val="TableParagraph"/>
              <w:spacing w:before="40"/>
              <w:ind w:left="149" w:right="381"/>
              <w:jc w:val="center"/>
              <w:rPr>
                <w:sz w:val="16"/>
              </w:rPr>
            </w:pPr>
            <w:r>
              <w:rPr>
                <w:color w:val="404040"/>
                <w:sz w:val="16"/>
              </w:rPr>
              <w:t>12</w:t>
            </w:r>
          </w:p>
        </w:tc>
        <w:tc>
          <w:tcPr>
            <w:tcW w:w="2773" w:type="dxa"/>
            <w:tcBorders>
              <w:right w:val="single" w:sz="4" w:space="0" w:color="DF2F1E"/>
            </w:tcBorders>
          </w:tcPr>
          <w:p>
            <w:pPr>
              <w:pStyle w:val="TableParagraph"/>
              <w:spacing w:before="40"/>
              <w:ind w:left="1293" w:right="1023"/>
              <w:jc w:val="center"/>
              <w:rPr>
                <w:sz w:val="16"/>
              </w:rPr>
            </w:pPr>
            <w:r>
              <w:rPr>
                <w:color w:val="404040"/>
                <w:sz w:val="16"/>
              </w:rPr>
              <w:t>25%</w:t>
            </w:r>
          </w:p>
        </w:tc>
      </w:tr>
      <w:tr>
        <w:trPr>
          <w:trHeight w:val="265" w:hRule="atLeast"/>
        </w:trPr>
        <w:tc>
          <w:tcPr>
            <w:tcW w:w="4330" w:type="dxa"/>
            <w:tcBorders>
              <w:left w:val="single" w:sz="4" w:space="0" w:color="DF2F1E"/>
              <w:bottom w:val="single" w:sz="4" w:space="0" w:color="DF2F1E"/>
            </w:tcBorders>
          </w:tcPr>
          <w:p>
            <w:pPr>
              <w:pStyle w:val="TableParagraph"/>
              <w:tabs>
                <w:tab w:pos="513" w:val="left" w:leader="none"/>
              </w:tabs>
              <w:spacing w:before="36"/>
              <w:ind w:left="153"/>
              <w:rPr>
                <w:b/>
                <w:sz w:val="16"/>
              </w:rPr>
            </w:pPr>
            <w:r>
              <w:rPr>
                <w:color w:val="404040"/>
                <w:sz w:val="16"/>
              </w:rPr>
              <w:t>-</w:t>
              <w:tab/>
            </w:r>
            <w:r>
              <w:rPr>
                <w:b/>
                <w:color w:val="404040"/>
                <w:sz w:val="16"/>
              </w:rPr>
              <w:t>Age Pension (class</w:t>
            </w:r>
            <w:r>
              <w:rPr>
                <w:b/>
                <w:color w:val="404040"/>
                <w:spacing w:val="-3"/>
                <w:sz w:val="16"/>
              </w:rPr>
              <w:t> </w:t>
            </w:r>
            <w:r>
              <w:rPr>
                <w:b/>
                <w:color w:val="404040"/>
                <w:sz w:val="16"/>
              </w:rPr>
              <w:t>6)</w:t>
            </w:r>
          </w:p>
        </w:tc>
        <w:tc>
          <w:tcPr>
            <w:tcW w:w="1765" w:type="dxa"/>
            <w:tcBorders>
              <w:bottom w:val="single" w:sz="4" w:space="0" w:color="DF2F1E"/>
            </w:tcBorders>
          </w:tcPr>
          <w:p>
            <w:pPr>
              <w:pStyle w:val="TableParagraph"/>
              <w:spacing w:before="39"/>
              <w:ind w:left="149" w:right="381"/>
              <w:jc w:val="center"/>
              <w:rPr>
                <w:sz w:val="16"/>
              </w:rPr>
            </w:pPr>
            <w:r>
              <w:rPr>
                <w:color w:val="404040"/>
                <w:sz w:val="16"/>
              </w:rPr>
              <w:t>17</w:t>
            </w:r>
          </w:p>
        </w:tc>
        <w:tc>
          <w:tcPr>
            <w:tcW w:w="2773" w:type="dxa"/>
            <w:tcBorders>
              <w:bottom w:val="single" w:sz="4" w:space="0" w:color="DF2F1E"/>
              <w:right w:val="single" w:sz="4" w:space="0" w:color="DF2F1E"/>
            </w:tcBorders>
          </w:tcPr>
          <w:p>
            <w:pPr>
              <w:pStyle w:val="TableParagraph"/>
              <w:spacing w:before="39"/>
              <w:ind w:left="1293" w:right="1023"/>
              <w:jc w:val="center"/>
              <w:rPr>
                <w:sz w:val="16"/>
              </w:rPr>
            </w:pPr>
            <w:r>
              <w:rPr>
                <w:color w:val="404040"/>
                <w:sz w:val="16"/>
              </w:rPr>
              <w:t>34%</w:t>
            </w:r>
          </w:p>
        </w:tc>
      </w:tr>
      <w:tr>
        <w:trPr>
          <w:trHeight w:val="266" w:hRule="atLeast"/>
        </w:trPr>
        <w:tc>
          <w:tcPr>
            <w:tcW w:w="4330" w:type="dxa"/>
            <w:tcBorders>
              <w:top w:val="single" w:sz="4" w:space="0" w:color="DF2F1E"/>
              <w:left w:val="single" w:sz="4" w:space="0" w:color="DF2F1E"/>
              <w:bottom w:val="single" w:sz="4" w:space="0" w:color="DF2F1E"/>
            </w:tcBorders>
          </w:tcPr>
          <w:p>
            <w:pPr>
              <w:pStyle w:val="TableParagraph"/>
              <w:ind w:left="107"/>
              <w:rPr>
                <w:b/>
                <w:sz w:val="16"/>
              </w:rPr>
            </w:pPr>
            <w:r>
              <w:rPr>
                <w:b/>
                <w:color w:val="404040"/>
                <w:sz w:val="16"/>
              </w:rPr>
              <w:t>Years with non income support payments only</w:t>
            </w:r>
          </w:p>
        </w:tc>
        <w:tc>
          <w:tcPr>
            <w:tcW w:w="1765" w:type="dxa"/>
            <w:tcBorders>
              <w:top w:val="single" w:sz="4" w:space="0" w:color="DF2F1E"/>
              <w:bottom w:val="single" w:sz="4" w:space="0" w:color="DF2F1E"/>
            </w:tcBorders>
          </w:tcPr>
          <w:p>
            <w:pPr>
              <w:pStyle w:val="TableParagraph"/>
              <w:spacing w:before="39"/>
              <w:ind w:right="234"/>
              <w:jc w:val="center"/>
              <w:rPr>
                <w:sz w:val="16"/>
              </w:rPr>
            </w:pPr>
            <w:r>
              <w:rPr>
                <w:color w:val="404040"/>
                <w:w w:val="100"/>
                <w:sz w:val="16"/>
              </w:rPr>
              <w:t>2</w:t>
            </w:r>
          </w:p>
        </w:tc>
        <w:tc>
          <w:tcPr>
            <w:tcW w:w="2773" w:type="dxa"/>
            <w:tcBorders>
              <w:top w:val="single" w:sz="4" w:space="0" w:color="DF2F1E"/>
              <w:bottom w:val="single" w:sz="4" w:space="0" w:color="DF2F1E"/>
              <w:right w:val="single" w:sz="4" w:space="0" w:color="DF2F1E"/>
            </w:tcBorders>
          </w:tcPr>
          <w:p>
            <w:pPr>
              <w:pStyle w:val="TableParagraph"/>
              <w:spacing w:before="39"/>
              <w:ind w:left="1293" w:right="1020"/>
              <w:jc w:val="center"/>
              <w:rPr>
                <w:sz w:val="16"/>
              </w:rPr>
            </w:pPr>
            <w:r>
              <w:rPr>
                <w:color w:val="404040"/>
                <w:sz w:val="16"/>
              </w:rPr>
              <w:t>4%</w:t>
            </w:r>
          </w:p>
        </w:tc>
      </w:tr>
      <w:tr>
        <w:trPr>
          <w:trHeight w:val="263" w:hRule="atLeast"/>
        </w:trPr>
        <w:tc>
          <w:tcPr>
            <w:tcW w:w="4330" w:type="dxa"/>
            <w:tcBorders>
              <w:top w:val="single" w:sz="4" w:space="0" w:color="DF2F1E"/>
              <w:left w:val="single" w:sz="4" w:space="0" w:color="DF2F1E"/>
              <w:bottom w:val="single" w:sz="4" w:space="0" w:color="DF2F1E"/>
            </w:tcBorders>
          </w:tcPr>
          <w:p>
            <w:pPr>
              <w:pStyle w:val="TableParagraph"/>
              <w:spacing w:before="34"/>
              <w:ind w:left="107"/>
              <w:rPr>
                <w:b/>
                <w:sz w:val="16"/>
              </w:rPr>
            </w:pPr>
            <w:r>
              <w:rPr>
                <w:b/>
                <w:color w:val="404040"/>
                <w:sz w:val="16"/>
              </w:rPr>
              <w:t>Years not receiving any welfare payments</w:t>
            </w:r>
          </w:p>
        </w:tc>
        <w:tc>
          <w:tcPr>
            <w:tcW w:w="1765" w:type="dxa"/>
            <w:tcBorders>
              <w:top w:val="single" w:sz="4" w:space="0" w:color="DF2F1E"/>
              <w:bottom w:val="single" w:sz="4" w:space="0" w:color="DF2F1E"/>
            </w:tcBorders>
          </w:tcPr>
          <w:p>
            <w:pPr>
              <w:pStyle w:val="TableParagraph"/>
              <w:ind w:left="149" w:right="381"/>
              <w:jc w:val="center"/>
              <w:rPr>
                <w:sz w:val="16"/>
              </w:rPr>
            </w:pPr>
            <w:r>
              <w:rPr>
                <w:color w:val="404040"/>
                <w:sz w:val="16"/>
              </w:rPr>
              <w:t>18</w:t>
            </w:r>
          </w:p>
        </w:tc>
        <w:tc>
          <w:tcPr>
            <w:tcW w:w="2773" w:type="dxa"/>
            <w:tcBorders>
              <w:top w:val="single" w:sz="4" w:space="0" w:color="DF2F1E"/>
              <w:bottom w:val="single" w:sz="4" w:space="0" w:color="DF2F1E"/>
              <w:right w:val="single" w:sz="4" w:space="0" w:color="DF2F1E"/>
            </w:tcBorders>
          </w:tcPr>
          <w:p>
            <w:pPr>
              <w:pStyle w:val="TableParagraph"/>
              <w:ind w:left="1293" w:right="1023"/>
              <w:jc w:val="center"/>
              <w:rPr>
                <w:sz w:val="16"/>
              </w:rPr>
            </w:pPr>
            <w:r>
              <w:rPr>
                <w:color w:val="404040"/>
                <w:sz w:val="16"/>
              </w:rPr>
              <w:t>37%</w:t>
            </w:r>
          </w:p>
        </w:tc>
      </w:tr>
      <w:tr>
        <w:trPr>
          <w:trHeight w:val="263" w:hRule="atLeast"/>
        </w:trPr>
        <w:tc>
          <w:tcPr>
            <w:tcW w:w="4330" w:type="dxa"/>
            <w:tcBorders>
              <w:top w:val="single" w:sz="4" w:space="0" w:color="DF2F1E"/>
              <w:left w:val="single" w:sz="4" w:space="0" w:color="DF2F1E"/>
              <w:bottom w:val="single" w:sz="4" w:space="0" w:color="DF2F1E"/>
            </w:tcBorders>
          </w:tcPr>
          <w:p>
            <w:pPr>
              <w:pStyle w:val="TableParagraph"/>
              <w:spacing w:before="34"/>
              <w:ind w:left="107"/>
              <w:rPr>
                <w:b/>
                <w:sz w:val="16"/>
              </w:rPr>
            </w:pPr>
            <w:r>
              <w:rPr>
                <w:b/>
                <w:color w:val="404040"/>
                <w:sz w:val="16"/>
              </w:rPr>
              <w:t>Total</w:t>
            </w:r>
          </w:p>
        </w:tc>
        <w:tc>
          <w:tcPr>
            <w:tcW w:w="1765" w:type="dxa"/>
            <w:tcBorders>
              <w:top w:val="single" w:sz="4" w:space="0" w:color="DF2F1E"/>
              <w:bottom w:val="single" w:sz="4" w:space="0" w:color="DF2F1E"/>
            </w:tcBorders>
          </w:tcPr>
          <w:p>
            <w:pPr>
              <w:pStyle w:val="TableParagraph"/>
              <w:ind w:left="149" w:right="381"/>
              <w:jc w:val="center"/>
              <w:rPr>
                <w:sz w:val="16"/>
              </w:rPr>
            </w:pPr>
            <w:r>
              <w:rPr>
                <w:color w:val="404040"/>
                <w:sz w:val="16"/>
              </w:rPr>
              <w:t>49</w:t>
            </w:r>
          </w:p>
        </w:tc>
        <w:tc>
          <w:tcPr>
            <w:tcW w:w="2773" w:type="dxa"/>
            <w:tcBorders>
              <w:top w:val="single" w:sz="4" w:space="0" w:color="DF2F1E"/>
              <w:bottom w:val="single" w:sz="4" w:space="0" w:color="DF2F1E"/>
              <w:right w:val="single" w:sz="4" w:space="0" w:color="DF2F1E"/>
            </w:tcBorders>
          </w:tcPr>
          <w:p>
            <w:pPr>
              <w:pStyle w:val="TableParagraph"/>
              <w:ind w:left="1293" w:right="1025"/>
              <w:jc w:val="center"/>
              <w:rPr>
                <w:sz w:val="16"/>
              </w:rPr>
            </w:pPr>
            <w:r>
              <w:rPr>
                <w:color w:val="404040"/>
                <w:sz w:val="16"/>
              </w:rPr>
              <w:t>100%</w:t>
            </w:r>
          </w:p>
        </w:tc>
      </w:tr>
    </w:tbl>
    <w:p>
      <w:pPr>
        <w:spacing w:after="0"/>
        <w:jc w:val="center"/>
        <w:rPr>
          <w:sz w:val="16"/>
        </w:rPr>
        <w:sectPr>
          <w:pgSz w:w="11910" w:h="16850"/>
          <w:pgMar w:header="572" w:footer="581" w:top="780" w:bottom="780" w:left="120" w:right="0"/>
        </w:sectPr>
      </w:pPr>
    </w:p>
    <w:p>
      <w:pPr>
        <w:pStyle w:val="BodyText"/>
        <w:rPr>
          <w:b/>
        </w:rPr>
      </w:pPr>
    </w:p>
    <w:p>
      <w:pPr>
        <w:pStyle w:val="BodyText"/>
        <w:rPr>
          <w:b/>
        </w:rPr>
      </w:pPr>
    </w:p>
    <w:p>
      <w:pPr>
        <w:pStyle w:val="BodyText"/>
        <w:spacing w:before="8"/>
        <w:rPr>
          <w:b/>
          <w:sz w:val="21"/>
        </w:rPr>
      </w:pPr>
    </w:p>
    <w:p>
      <w:pPr>
        <w:pStyle w:val="ListParagraph"/>
        <w:numPr>
          <w:ilvl w:val="1"/>
          <w:numId w:val="37"/>
        </w:numPr>
        <w:tabs>
          <w:tab w:pos="1752" w:val="left" w:leader="none"/>
          <w:tab w:pos="1753" w:val="left" w:leader="none"/>
        </w:tabs>
        <w:spacing w:line="240" w:lineRule="auto" w:before="91" w:after="0"/>
        <w:ind w:left="1752" w:right="0" w:hanging="853"/>
        <w:jc w:val="left"/>
        <w:rPr>
          <w:sz w:val="28"/>
        </w:rPr>
      </w:pPr>
      <w:r>
        <w:rPr/>
        <w:pict>
          <v:shape style="position:absolute;margin-left:51pt;margin-top:26.801851pt;width:470.2pt;height:169.2pt;mso-position-horizontal-relative:page;mso-position-vertical-relative:paragraph;z-index:-251063296;mso-wrap-distance-left:0;mso-wrap-distance-right:0" type="#_x0000_t202" filled="true" fillcolor="#f3aba3" stroked="false">
            <v:textbox inset="0,0,0,0">
              <w:txbxContent>
                <w:p>
                  <w:pPr>
                    <w:spacing w:before="117"/>
                    <w:ind w:left="107" w:right="0" w:firstLine="0"/>
                    <w:jc w:val="left"/>
                    <w:rPr>
                      <w:b/>
                      <w:sz w:val="20"/>
                    </w:rPr>
                  </w:pPr>
                  <w:r>
                    <w:rPr>
                      <w:b/>
                      <w:color w:val="404040"/>
                      <w:sz w:val="20"/>
                    </w:rPr>
                    <w:t>Key points</w:t>
                  </w:r>
                </w:p>
                <w:p>
                  <w:pPr>
                    <w:pStyle w:val="BodyText"/>
                    <w:spacing w:before="123"/>
                    <w:ind w:left="107"/>
                  </w:pPr>
                  <w:r>
                    <w:rPr>
                      <w:color w:val="404040"/>
                    </w:rPr>
                    <w:t>There were 381,000 people in the Parenting class in 2018, who were mostly female and aged 15 to 50.</w:t>
                  </w:r>
                </w:p>
                <w:p>
                  <w:pPr>
                    <w:pStyle w:val="BodyText"/>
                    <w:numPr>
                      <w:ilvl w:val="0"/>
                      <w:numId w:val="43"/>
                    </w:numPr>
                    <w:tabs>
                      <w:tab w:pos="392" w:val="left" w:leader="none"/>
                    </w:tabs>
                    <w:spacing w:line="240" w:lineRule="auto" w:before="116" w:after="0"/>
                    <w:ind w:left="391" w:right="844" w:hanging="284"/>
                    <w:jc w:val="left"/>
                  </w:pPr>
                  <w:r>
                    <w:rPr>
                      <w:color w:val="404040"/>
                    </w:rPr>
                    <w:t>Entries</w:t>
                  </w:r>
                  <w:r>
                    <w:rPr>
                      <w:color w:val="404040"/>
                      <w:spacing w:val="-3"/>
                    </w:rPr>
                    <w:t> </w:t>
                  </w:r>
                  <w:r>
                    <w:rPr>
                      <w:color w:val="404040"/>
                    </w:rPr>
                    <w:t>into</w:t>
                  </w:r>
                  <w:r>
                    <w:rPr>
                      <w:color w:val="404040"/>
                      <w:spacing w:val="-3"/>
                    </w:rPr>
                    <w:t> </w:t>
                  </w:r>
                  <w:r>
                    <w:rPr>
                      <w:color w:val="404040"/>
                    </w:rPr>
                    <w:t>the</w:t>
                  </w:r>
                  <w:r>
                    <w:rPr>
                      <w:color w:val="404040"/>
                      <w:spacing w:val="-2"/>
                    </w:rPr>
                    <w:t> </w:t>
                  </w:r>
                  <w:r>
                    <w:rPr>
                      <w:color w:val="404040"/>
                    </w:rPr>
                    <w:t>Parenting</w:t>
                  </w:r>
                  <w:r>
                    <w:rPr>
                      <w:color w:val="404040"/>
                      <w:spacing w:val="-4"/>
                    </w:rPr>
                    <w:t> </w:t>
                  </w:r>
                  <w:r>
                    <w:rPr>
                      <w:color w:val="404040"/>
                    </w:rPr>
                    <w:t>class</w:t>
                  </w:r>
                  <w:r>
                    <w:rPr>
                      <w:color w:val="404040"/>
                      <w:spacing w:val="-2"/>
                    </w:rPr>
                    <w:t> </w:t>
                  </w:r>
                  <w:r>
                    <w:rPr>
                      <w:color w:val="404040"/>
                    </w:rPr>
                    <w:t>have</w:t>
                  </w:r>
                  <w:r>
                    <w:rPr>
                      <w:color w:val="404040"/>
                      <w:spacing w:val="-4"/>
                    </w:rPr>
                    <w:t> </w:t>
                  </w:r>
                  <w:r>
                    <w:rPr>
                      <w:color w:val="404040"/>
                    </w:rPr>
                    <w:t>reduced</w:t>
                  </w:r>
                  <w:r>
                    <w:rPr>
                      <w:color w:val="404040"/>
                      <w:spacing w:val="-3"/>
                    </w:rPr>
                    <w:t> </w:t>
                  </w:r>
                  <w:r>
                    <w:rPr>
                      <w:color w:val="404040"/>
                    </w:rPr>
                    <w:t>over</w:t>
                  </w:r>
                  <w:r>
                    <w:rPr>
                      <w:color w:val="404040"/>
                      <w:spacing w:val="-3"/>
                    </w:rPr>
                    <w:t> </w:t>
                  </w:r>
                  <w:r>
                    <w:rPr>
                      <w:color w:val="404040"/>
                    </w:rPr>
                    <w:t>the</w:t>
                  </w:r>
                  <w:r>
                    <w:rPr>
                      <w:color w:val="404040"/>
                      <w:spacing w:val="-1"/>
                    </w:rPr>
                    <w:t> </w:t>
                  </w:r>
                  <w:r>
                    <w:rPr>
                      <w:color w:val="404040"/>
                    </w:rPr>
                    <w:t>last</w:t>
                  </w:r>
                  <w:r>
                    <w:rPr>
                      <w:color w:val="404040"/>
                      <w:spacing w:val="-4"/>
                    </w:rPr>
                    <w:t> </w:t>
                  </w:r>
                  <w:r>
                    <w:rPr>
                      <w:color w:val="404040"/>
                    </w:rPr>
                    <w:t>few</w:t>
                  </w:r>
                  <w:r>
                    <w:rPr>
                      <w:color w:val="404040"/>
                      <w:spacing w:val="-3"/>
                    </w:rPr>
                    <w:t> </w:t>
                  </w:r>
                  <w:r>
                    <w:rPr>
                      <w:color w:val="404040"/>
                    </w:rPr>
                    <w:t>years which</w:t>
                  </w:r>
                  <w:r>
                    <w:rPr>
                      <w:color w:val="404040"/>
                      <w:spacing w:val="-3"/>
                    </w:rPr>
                    <w:t> </w:t>
                  </w:r>
                  <w:r>
                    <w:rPr>
                      <w:color w:val="404040"/>
                    </w:rPr>
                    <w:t>has</w:t>
                  </w:r>
                  <w:r>
                    <w:rPr>
                      <w:color w:val="404040"/>
                      <w:spacing w:val="-3"/>
                    </w:rPr>
                    <w:t> </w:t>
                  </w:r>
                  <w:r>
                    <w:rPr>
                      <w:color w:val="404040"/>
                    </w:rPr>
                    <w:t>resulted</w:t>
                  </w:r>
                  <w:r>
                    <w:rPr>
                      <w:color w:val="404040"/>
                      <w:spacing w:val="-1"/>
                    </w:rPr>
                    <w:t> </w:t>
                  </w:r>
                  <w:r>
                    <w:rPr>
                      <w:color w:val="404040"/>
                    </w:rPr>
                    <w:t>in</w:t>
                  </w:r>
                  <w:r>
                    <w:rPr>
                      <w:color w:val="404040"/>
                      <w:spacing w:val="-2"/>
                    </w:rPr>
                    <w:t> </w:t>
                  </w:r>
                  <w:r>
                    <w:rPr>
                      <w:color w:val="404040"/>
                    </w:rPr>
                    <w:t>a decrease in the number of people in this</w:t>
                  </w:r>
                  <w:r>
                    <w:rPr>
                      <w:color w:val="404040"/>
                      <w:spacing w:val="-3"/>
                    </w:rPr>
                    <w:t> </w:t>
                  </w:r>
                  <w:r>
                    <w:rPr>
                      <w:color w:val="404040"/>
                    </w:rPr>
                    <w:t>class.</w:t>
                  </w:r>
                </w:p>
                <w:p>
                  <w:pPr>
                    <w:pStyle w:val="BodyText"/>
                    <w:numPr>
                      <w:ilvl w:val="0"/>
                      <w:numId w:val="43"/>
                    </w:numPr>
                    <w:tabs>
                      <w:tab w:pos="392" w:val="left" w:leader="none"/>
                    </w:tabs>
                    <w:spacing w:line="240" w:lineRule="auto" w:before="120" w:after="0"/>
                    <w:ind w:left="391" w:right="230" w:hanging="284"/>
                    <w:jc w:val="left"/>
                  </w:pPr>
                  <w:r>
                    <w:rPr>
                      <w:color w:val="404040"/>
                    </w:rPr>
                    <w:t>Women in this class have a much higher expected lifetime cost than men as they spend longer on the Parenting payment and are more likely to receive supplementary family payments such as</w:t>
                  </w:r>
                  <w:r>
                    <w:rPr>
                      <w:color w:val="404040"/>
                      <w:spacing w:val="-37"/>
                    </w:rPr>
                    <w:t> </w:t>
                  </w:r>
                  <w:r>
                    <w:rPr>
                      <w:color w:val="404040"/>
                    </w:rPr>
                    <w:t>FTB.</w:t>
                  </w:r>
                </w:p>
                <w:p>
                  <w:pPr>
                    <w:pStyle w:val="BodyText"/>
                    <w:numPr>
                      <w:ilvl w:val="0"/>
                      <w:numId w:val="43"/>
                    </w:numPr>
                    <w:tabs>
                      <w:tab w:pos="392" w:val="left" w:leader="none"/>
                    </w:tabs>
                    <w:spacing w:line="240" w:lineRule="auto" w:before="118" w:after="0"/>
                    <w:ind w:left="391" w:right="276" w:hanging="284"/>
                    <w:jc w:val="left"/>
                  </w:pPr>
                  <w:r>
                    <w:rPr>
                      <w:color w:val="404040"/>
                    </w:rPr>
                    <w:t>The</w:t>
                  </w:r>
                  <w:r>
                    <w:rPr>
                      <w:color w:val="404040"/>
                      <w:spacing w:val="-3"/>
                    </w:rPr>
                    <w:t> </w:t>
                  </w:r>
                  <w:r>
                    <w:rPr>
                      <w:color w:val="404040"/>
                    </w:rPr>
                    <w:t>length</w:t>
                  </w:r>
                  <w:r>
                    <w:rPr>
                      <w:color w:val="404040"/>
                      <w:spacing w:val="-3"/>
                    </w:rPr>
                    <w:t> </w:t>
                  </w:r>
                  <w:r>
                    <w:rPr>
                      <w:color w:val="404040"/>
                    </w:rPr>
                    <w:t>of</w:t>
                  </w:r>
                  <w:r>
                    <w:rPr>
                      <w:color w:val="404040"/>
                      <w:spacing w:val="-1"/>
                    </w:rPr>
                    <w:t> </w:t>
                  </w:r>
                  <w:r>
                    <w:rPr>
                      <w:color w:val="404040"/>
                    </w:rPr>
                    <w:t>time</w:t>
                  </w:r>
                  <w:r>
                    <w:rPr>
                      <w:color w:val="404040"/>
                      <w:spacing w:val="-3"/>
                    </w:rPr>
                    <w:t> </w:t>
                  </w:r>
                  <w:r>
                    <w:rPr>
                      <w:color w:val="404040"/>
                    </w:rPr>
                    <w:t>an</w:t>
                  </w:r>
                  <w:r>
                    <w:rPr>
                      <w:color w:val="404040"/>
                      <w:spacing w:val="-1"/>
                    </w:rPr>
                    <w:t> </w:t>
                  </w:r>
                  <w:r>
                    <w:rPr>
                      <w:color w:val="404040"/>
                    </w:rPr>
                    <w:t>individual</w:t>
                  </w:r>
                  <w:r>
                    <w:rPr>
                      <w:color w:val="404040"/>
                      <w:spacing w:val="-4"/>
                    </w:rPr>
                    <w:t> </w:t>
                  </w:r>
                  <w:r>
                    <w:rPr>
                      <w:color w:val="404040"/>
                    </w:rPr>
                    <w:t>remains</w:t>
                  </w:r>
                  <w:r>
                    <w:rPr>
                      <w:color w:val="404040"/>
                      <w:spacing w:val="-2"/>
                    </w:rPr>
                    <w:t> </w:t>
                  </w:r>
                  <w:r>
                    <w:rPr>
                      <w:color w:val="404040"/>
                    </w:rPr>
                    <w:t>in</w:t>
                  </w:r>
                  <w:r>
                    <w:rPr>
                      <w:color w:val="404040"/>
                      <w:spacing w:val="-3"/>
                    </w:rPr>
                    <w:t> </w:t>
                  </w:r>
                  <w:r>
                    <w:rPr>
                      <w:color w:val="404040"/>
                    </w:rPr>
                    <w:t>class</w:t>
                  </w:r>
                  <w:r>
                    <w:rPr>
                      <w:color w:val="404040"/>
                      <w:spacing w:val="-2"/>
                    </w:rPr>
                    <w:t> </w:t>
                  </w:r>
                  <w:r>
                    <w:rPr>
                      <w:color w:val="404040"/>
                    </w:rPr>
                    <w:t>is</w:t>
                  </w:r>
                  <w:r>
                    <w:rPr>
                      <w:color w:val="404040"/>
                      <w:spacing w:val="-2"/>
                    </w:rPr>
                    <w:t> </w:t>
                  </w:r>
                  <w:r>
                    <w:rPr>
                      <w:color w:val="404040"/>
                    </w:rPr>
                    <w:t>closely</w:t>
                  </w:r>
                  <w:r>
                    <w:rPr>
                      <w:color w:val="404040"/>
                      <w:spacing w:val="-6"/>
                    </w:rPr>
                    <w:t> </w:t>
                  </w:r>
                  <w:r>
                    <w:rPr>
                      <w:color w:val="404040"/>
                    </w:rPr>
                    <w:t>related</w:t>
                  </w:r>
                  <w:r>
                    <w:rPr>
                      <w:color w:val="404040"/>
                      <w:spacing w:val="-3"/>
                    </w:rPr>
                    <w:t> </w:t>
                  </w:r>
                  <w:r>
                    <w:rPr>
                      <w:color w:val="404040"/>
                    </w:rPr>
                    <w:t>to</w:t>
                  </w:r>
                  <w:r>
                    <w:rPr>
                      <w:color w:val="404040"/>
                      <w:spacing w:val="-3"/>
                    </w:rPr>
                    <w:t> </w:t>
                  </w:r>
                  <w:r>
                    <w:rPr>
                      <w:color w:val="404040"/>
                    </w:rPr>
                    <w:t>the</w:t>
                  </w:r>
                  <w:r>
                    <w:rPr>
                      <w:color w:val="404040"/>
                      <w:spacing w:val="-3"/>
                    </w:rPr>
                    <w:t> </w:t>
                  </w:r>
                  <w:r>
                    <w:rPr>
                      <w:color w:val="404040"/>
                    </w:rPr>
                    <w:t>age</w:t>
                  </w:r>
                  <w:r>
                    <w:rPr>
                      <w:color w:val="404040"/>
                      <w:spacing w:val="-1"/>
                    </w:rPr>
                    <w:t> </w:t>
                  </w:r>
                  <w:r>
                    <w:rPr>
                      <w:color w:val="404040"/>
                    </w:rPr>
                    <w:t>of</w:t>
                  </w:r>
                  <w:r>
                    <w:rPr>
                      <w:color w:val="404040"/>
                      <w:spacing w:val="-1"/>
                    </w:rPr>
                    <w:t> </w:t>
                  </w:r>
                  <w:r>
                    <w:rPr>
                      <w:color w:val="404040"/>
                    </w:rPr>
                    <w:t>their youngest</w:t>
                  </w:r>
                  <w:r>
                    <w:rPr>
                      <w:color w:val="404040"/>
                      <w:spacing w:val="-3"/>
                    </w:rPr>
                    <w:t> </w:t>
                  </w:r>
                  <w:r>
                    <w:rPr>
                      <w:color w:val="404040"/>
                    </w:rPr>
                    <w:t>child and partnering status. This is because these characteristics are considered in the eligibility criteria for receiving the Parenting</w:t>
                  </w:r>
                  <w:r>
                    <w:rPr>
                      <w:color w:val="404040"/>
                      <w:spacing w:val="1"/>
                    </w:rPr>
                    <w:t> </w:t>
                  </w:r>
                  <w:r>
                    <w:rPr>
                      <w:color w:val="404040"/>
                    </w:rPr>
                    <w:t>payment.</w:t>
                  </w:r>
                </w:p>
                <w:p>
                  <w:pPr>
                    <w:pStyle w:val="BodyText"/>
                    <w:numPr>
                      <w:ilvl w:val="0"/>
                      <w:numId w:val="43"/>
                    </w:numPr>
                    <w:tabs>
                      <w:tab w:pos="392" w:val="left" w:leader="none"/>
                    </w:tabs>
                    <w:spacing w:line="240" w:lineRule="auto" w:before="118" w:after="0"/>
                    <w:ind w:left="391" w:right="273" w:hanging="284"/>
                    <w:jc w:val="left"/>
                  </w:pPr>
                  <w:r>
                    <w:rPr>
                      <w:color w:val="404040"/>
                    </w:rPr>
                    <w:t>The lifetime cost for this class is $220bn, which is $39bn below the rebased 2017 lifetime cost. The reduction is mainly driven by a decrease in the number of people in the</w:t>
                  </w:r>
                  <w:r>
                    <w:rPr>
                      <w:color w:val="404040"/>
                      <w:spacing w:val="-9"/>
                    </w:rPr>
                    <w:t> </w:t>
                  </w:r>
                  <w:r>
                    <w:rPr>
                      <w:color w:val="404040"/>
                    </w:rPr>
                    <w:t>class.</w:t>
                  </w:r>
                </w:p>
              </w:txbxContent>
            </v:textbox>
            <v:fill type="solid"/>
            <w10:wrap type="topAndBottom"/>
          </v:shape>
        </w:pict>
      </w:r>
      <w:bookmarkStart w:name="6.3 Parenting Payment recipients" w:id="177"/>
      <w:bookmarkEnd w:id="177"/>
      <w:r>
        <w:rPr/>
      </w:r>
      <w:bookmarkStart w:name="_bookmark43" w:id="178"/>
      <w:bookmarkEnd w:id="178"/>
      <w:r>
        <w:rPr/>
      </w:r>
      <w:bookmarkStart w:name="_bookmark43" w:id="179"/>
      <w:bookmarkEnd w:id="179"/>
      <w:r>
        <w:rPr>
          <w:color w:val="DF2F28"/>
          <w:sz w:val="28"/>
        </w:rPr>
        <w:t>Pa</w:t>
      </w:r>
      <w:r>
        <w:rPr>
          <w:color w:val="DF2F28"/>
          <w:sz w:val="28"/>
        </w:rPr>
        <w:t>renting Payment recipients</w:t>
      </w:r>
    </w:p>
    <w:p>
      <w:pPr>
        <w:pStyle w:val="BodyText"/>
        <w:spacing w:before="4"/>
        <w:rPr>
          <w:sz w:val="11"/>
        </w:rPr>
      </w:pPr>
    </w:p>
    <w:p>
      <w:pPr>
        <w:pStyle w:val="Heading4"/>
        <w:spacing w:before="92"/>
      </w:pPr>
      <w:bookmarkStart w:name="Recent and projected trends for Parentin" w:id="180"/>
      <w:bookmarkEnd w:id="180"/>
      <w:r>
        <w:rPr/>
      </w:r>
      <w:r>
        <w:rPr>
          <w:color w:val="DF2F28"/>
        </w:rPr>
        <w:t>Recent and projected trends for Parenting Payment recipients</w:t>
      </w:r>
    </w:p>
    <w:p>
      <w:pPr>
        <w:pStyle w:val="BodyText"/>
        <w:spacing w:before="122"/>
        <w:ind w:left="900" w:right="1208"/>
      </w:pPr>
      <w:r>
        <w:rPr>
          <w:color w:val="404040"/>
        </w:rPr>
        <w:t>There were 381,000 people (4.8% of current welfare recipients) in the Parenting class in the 2018 model population. This represents 1.5% of the population of Australia which is a decrease from 1.8% at the previous valuation.</w:t>
      </w:r>
    </w:p>
    <w:p>
      <w:pPr>
        <w:pStyle w:val="BodyText"/>
        <w:spacing w:before="119"/>
        <w:ind w:left="900" w:right="1453"/>
      </w:pPr>
      <w:r>
        <w:rPr>
          <w:color w:val="404040"/>
        </w:rPr>
        <w:t>The following chart shows a breakdown of the number of people in the Parenting class by age, gender and payment type.</w:t>
      </w:r>
    </w:p>
    <w:p>
      <w:pPr>
        <w:pStyle w:val="Heading9"/>
        <w:spacing w:before="176"/>
      </w:pPr>
      <w:r>
        <w:rPr/>
        <w:pict>
          <v:rect style="position:absolute;margin-left:385.61795pt;margin-top:67.939842pt;width:4.258782pt;height:4.273551pt;mso-position-horizontal-relative:page;mso-position-vertical-relative:paragraph;z-index:252256256" filled="true" fillcolor="#fbd4b5" stroked="false">
            <v:fill type="solid"/>
            <w10:wrap type="none"/>
          </v:rect>
        </w:pict>
      </w:r>
      <w:r>
        <w:rPr/>
        <w:pict>
          <v:rect style="position:absolute;margin-left:385.61795pt;margin-top:82.185005pt;width:4.258782pt;height:4.368519pt;mso-position-horizontal-relative:page;mso-position-vertical-relative:paragraph;z-index:252257280" filled="true" fillcolor="#e36c09" stroked="false">
            <v:fill type="solid"/>
            <w10:wrap type="none"/>
          </v:rect>
        </w:pict>
      </w:r>
      <w:r>
        <w:rPr>
          <w:color w:val="DF2F1E"/>
        </w:rPr>
        <w:t>Figure 54: 2018 profile of people in class 3 – Parents (age / gender / payment type)</w:t>
      </w:r>
    </w:p>
    <w:p>
      <w:pPr>
        <w:spacing w:after="0"/>
        <w:sectPr>
          <w:pgSz w:w="11910" w:h="16850"/>
          <w:pgMar w:header="572" w:footer="581" w:top="780" w:bottom="780" w:left="120" w:right="0"/>
        </w:sectPr>
      </w:pPr>
    </w:p>
    <w:p>
      <w:pPr>
        <w:spacing w:before="136"/>
        <w:ind w:left="1497" w:right="0" w:firstLine="0"/>
        <w:jc w:val="left"/>
        <w:rPr>
          <w:rFonts w:ascii="Calibri"/>
          <w:sz w:val="16"/>
        </w:rPr>
      </w:pPr>
      <w:r>
        <w:rPr/>
        <w:pict>
          <v:group style="position:absolute;margin-left:93.439987pt;margin-top:12.135674pt;width:220.95pt;height:125.45pt;mso-position-horizontal-relative:page;mso-position-vertical-relative:paragraph;z-index:252255232" coordorigin="1869,243" coordsize="4419,2509">
            <v:shape style="position:absolute;left:-142185;top:-312526;width:142185;height:321642" coordorigin="-142185,-312526" coordsize="142185,321642" path="m6282,248l6282,2709m5192,248l5192,2709e" filled="false" stroked="true" strokeweight=".528626pt" strokecolor="#f1f1f1">
              <v:path arrowok="t"/>
              <v:stroke dashstyle="solid"/>
            </v:shape>
            <v:shape style="position:absolute;left:4101;top:248;width:2;height:2461" coordorigin="4102,248" coordsize="0,2461" path="m4102,248l4102,1817m4102,1901l4102,2709e" filled="false" stroked="true" strokeweight=".529143pt" strokecolor="#f1f1f1">
              <v:path arrowok="t"/>
              <v:stroke dashstyle="solid"/>
            </v:shape>
            <v:shape style="position:absolute;left:4091;top:2059;width:2;height:191" coordorigin="4091,2059" coordsize="0,191" path="m4091,2059l4091,2250,4091,2059xe" filled="true" fillcolor="#fbd4b5" stroked="false">
              <v:path arrowok="t"/>
              <v:fill type="solid"/>
            </v:shape>
            <v:shape style="position:absolute;left:4033;top:1436;width:64;height:625" coordorigin="4033,1436" coordsize="64,625" path="m4097,2038l4075,2038,4075,2060,4097,2060,4097,2038m4097,1869l4065,1869,4065,1901,4054,1901,4054,1922,4065,1922,4065,1985,4075,1985,4075,2038,4097,2038,4097,1985,4097,1922,4097,1901,4097,1869m4097,1817l4044,1817,4044,1849,4054,1849,4054,1869,4097,1869,4097,1849,4097,1817m4097,1785l4044,1785,4044,1816,4097,1816,4097,1785m4097,1711l4033,1711,4033,1764,4097,1764,4097,1711m4097,1521l4054,1521,4054,1627,4044,1627,4044,1711,4097,1711,4097,1627,4097,1521m4097,1436l4065,1436,4065,1521,4097,1521,4097,1436e" filled="true" fillcolor="#fbd4b5" stroked="false">
              <v:path arrowok="t"/>
              <v:fill type="solid"/>
            </v:shape>
            <v:shape style="position:absolute;left:4064;top:1383;width:2;height:402" coordorigin="4065,1383" coordsize="0,402" path="m4065,1383l4065,1785,4065,1383xe" filled="true" fillcolor="#fbd4b5" stroked="false">
              <v:path arrowok="t"/>
              <v:fill type="solid"/>
            </v:shape>
            <v:line style="position:absolute" from="4091,887" to="4091,1383" stroked="true" strokeweight=".529146pt" strokecolor="#fbd4b5">
              <v:stroke dashstyle="solid"/>
            </v:line>
            <v:shape style="position:absolute;left:3958;top:1215;width:138;height:1035" coordorigin="3959,1215" coordsize="138,1035" path="m4033,1711l3959,1711,3959,1764,4033,1764,4033,1711m4054,1849l4044,1849,4044,1817,4044,1785,4044,1785,4033,1785,4033,1765,3959,1765,3959,1785,3959,1817,3970,1817,3970,1849,3970,1869,4054,1869,4054,1849m4065,1869l3991,1869,3991,1900,3991,1901,3991,1922,3991,1954,4001,1954,4001,1985,4065,1985,4065,1954,4065,1954,4065,1922,4054,1922,4054,1901,4065,1901,4065,1869m4075,2007l4022,2007,4022,2038,4075,2038,4075,2007m4075,1986l4012,1986,4012,2006,4075,2006,4075,1986m4075,1405l4044,1405,4044,1437,4033,1437,4033,1489,4022,1489,4022,1521,4012,1521,4012,1541,4001,1541,4001,1573,3991,1573,3991,1626,3980,1626,3980,1679,3970,1679,3970,1711,4044,1711,4044,1679,4044,1679,4044,1627,4054,1627,4054,1573,4054,1542,4054,1541,4054,1521,4065,1521,4065,1489,4065,1437,4075,1437,4075,1405m4075,1383l4054,1383,4054,1405,4075,1405,4075,1383m4086,2060l4075,2060,4075,2059,4075,2038,4044,2038,4044,2060,4054,2060,4054,2090,4086,2090,4086,2060m4086,1215l4075,1215,4075,1319,4065,1319,4065,1383,4086,1383,4086,1319,4086,1215m4097,2122l4086,2122,4086,2091,4065,2091,4065,2123,4075,2123,4075,2144,4086,2144,4086,2176,4086,2176,4086,2250,4097,2250,4097,2176,4097,2176,4097,2144,4097,2122e" filled="true" fillcolor="#e36c09" stroked="false">
              <v:path arrowok="t"/>
              <v:fill type="solid"/>
            </v:shape>
            <v:line style="position:absolute" from="4091,855" to="4091,1214" stroked="true" strokeweight=".529146pt" strokecolor="#e36c09">
              <v:stroke dashstyle="solid"/>
            </v:line>
            <v:shape style="position:absolute;left:4096;top:2228;width:22;height:106" coordorigin="4096,2228" coordsize="22,106" path="m4118,2228l4096,2228,4096,2250,4096,2334,4107,2334,4107,2250,4118,2250,4118,2228e" filled="true" fillcolor="#fbd4b5" stroked="false">
              <v:path arrowok="t"/>
              <v:fill type="solid"/>
            </v:shape>
            <v:line style="position:absolute" from="4096,2133" to="4319,2133" stroked="true" strokeweight="1.098926pt" strokecolor="#fbd4b5">
              <v:stroke dashstyle="solid"/>
            </v:line>
            <v:line style="position:absolute" from="4096,2160" to="4245,2160" stroked="true" strokeweight="1.598437pt" strokecolor="#fbd4b5">
              <v:stroke dashstyle="solid"/>
            </v:line>
            <v:shape style="position:absolute;left:4096;top:2176;width:96;height:52" coordorigin="4096,2176" coordsize="96,52" path="m4192,2176l4096,2176,4096,2196,4096,2228,4149,2228,4149,2196,4192,2196,4192,2176e" filled="true" fillcolor="#fbd4b5" stroked="false">
              <v:path arrowok="t"/>
              <v:fill type="solid"/>
            </v:shape>
            <v:rect style="position:absolute;left:4096;top:1922;width:519;height:32" filled="true" fillcolor="#fbd4b5" stroked="false">
              <v:fill type="solid"/>
            </v:rect>
            <v:line style="position:absolute" from="4096,1970" to="4573,1970" stroked="true" strokeweight="1.598437pt" strokecolor="#fbd4b5">
              <v:stroke dashstyle="solid"/>
            </v:line>
            <v:line style="position:absolute" from="4096,1996" to="4541,1996" stroked="true" strokeweight=".999023pt" strokecolor="#fbd4b5">
              <v:stroke dashstyle="solid"/>
            </v:line>
            <v:line style="position:absolute" from="4096,2022" to="4520,2022" stroked="true" strokeweight="1.598437pt" strokecolor="#fbd4b5">
              <v:stroke dashstyle="solid"/>
            </v:line>
            <v:line style="position:absolute" from="4096,2049" to="4467,2049" stroked="true" strokeweight="1.098926pt" strokecolor="#fbd4b5">
              <v:stroke dashstyle="solid"/>
            </v:line>
            <v:line style="position:absolute" from="4096,2075" to="4435,2075" stroked="true" strokeweight="1.498535pt" strokecolor="#fbd4b5">
              <v:stroke dashstyle="solid"/>
            </v:line>
            <v:line style="position:absolute" from="4096,2106" to="4361,2106" stroked="true" strokeweight="1.598437pt" strokecolor="#fbd4b5">
              <v:stroke dashstyle="solid"/>
            </v:line>
            <v:line style="position:absolute" from="4096,1775" to="4636,1775" stroked="true" strokeweight=".999023pt" strokecolor="#fbd4b5">
              <v:stroke dashstyle="solid"/>
            </v:line>
            <v:line style="position:absolute" from="4096,1801" to="4657,1801" stroked="true" strokeweight="1.598437pt" strokecolor="#fbd4b5">
              <v:stroke dashstyle="solid"/>
            </v:line>
            <v:shape style="position:absolute;left:4096;top:1816;width:540;height:106" coordorigin="4096,1817" coordsize="540,106" path="m4636,1817l4096,1817,4096,1901,4096,1922,4626,1922,4626,1901,4636,1901,4636,1817e" filled="true" fillcolor="#fbd4b5" stroked="false">
              <v:path arrowok="t"/>
              <v:fill type="solid"/>
            </v:shape>
            <v:line style="position:absolute" from="4096,1637" to="4446,1637" stroked="true" strokeweight=".999023pt" strokecolor="#fbd4b5">
              <v:stroke dashstyle="solid"/>
            </v:line>
            <v:line style="position:absolute" from="4096,1663" to="4499,1663" stroked="true" strokeweight="1.598437pt" strokecolor="#fbd4b5">
              <v:stroke dashstyle="solid"/>
            </v:line>
            <v:line style="position:absolute" from="4096,1695" to="4530,1695" stroked="true" strokeweight="1.598437pt" strokecolor="#fbd4b5">
              <v:stroke dashstyle="solid"/>
            </v:line>
            <v:line style="position:absolute" from="4096,1722" to="4573,1722" stroked="true" strokeweight="1.098926pt" strokecolor="#fbd4b5">
              <v:stroke dashstyle="solid"/>
            </v:line>
            <v:line style="position:absolute" from="4096,1748" to="4615,1748" stroked="true" strokeweight="1.584321pt" strokecolor="#fbd4b5">
              <v:stroke dashstyle="solid"/>
            </v:line>
            <v:line style="position:absolute" from="4096,1531" to="4276,1531" stroked="true" strokeweight=".999023pt" strokecolor="#fbd4b5">
              <v:stroke dashstyle="solid"/>
            </v:line>
            <v:line style="position:absolute" from="4096,1557" to="4308,1557" stroked="true" strokeweight="1.598437pt" strokecolor="#fbd4b5">
              <v:stroke dashstyle="solid"/>
            </v:line>
            <v:line style="position:absolute" from="4096,1584" to="4350,1584" stroked="true" strokeweight="1.098926pt" strokecolor="#fbd4b5">
              <v:stroke dashstyle="solid"/>
            </v:line>
            <v:line style="position:absolute" from="4096,1611" to="4393,1611" stroked="true" strokeweight="1.598437pt" strokecolor="#fbd4b5">
              <v:stroke dashstyle="solid"/>
            </v:line>
            <v:shape style="position:absolute;left:4096;top:1319;width:127;height:202" coordorigin="4096,1319" coordsize="127,202" path="m4223,1489l4202,1489,4202,1457,4181,1457,4181,1437,4149,1437,4149,1405,4139,1405,4139,1383,4118,1383,4118,1319,4096,1319,4096,1383,4096,1405,4096,1437,4096,1457,4096,1489,4096,1521,4223,1521,4223,1489e" filled="true" fillcolor="#fbd4b5" stroked="false">
              <v:path arrowok="t"/>
              <v:fill type="solid"/>
            </v:shape>
            <v:line style="position:absolute" from="4102,803" to="4102,1320" stroked="true" strokeweight=".529143pt" strokecolor="#fbd4b5">
              <v:stroke dashstyle="solid"/>
            </v:line>
            <v:rect style="position:absolute;left:4096;top:749;width:11;height:32" filled="true" fillcolor="#fbd4b5" stroked="false">
              <v:fill type="solid"/>
            </v:rect>
            <v:line style="position:absolute" from="4245,2160" to="4689,2160" stroked="true" strokeweight="1.584326pt" strokecolor="#e36c09">
              <v:stroke dashstyle="solid"/>
            </v:line>
            <v:line style="position:absolute" from="4192,2186" to="4467,2186" stroked="true" strokeweight="1.056217pt" strokecolor="#e36c09">
              <v:stroke dashstyle="solid"/>
            </v:line>
            <v:line style="position:absolute" from="4149,2213" to="4287,2213" stroked="true" strokeweight="1.584326pt" strokecolor="#e36c09">
              <v:stroke dashstyle="solid"/>
            </v:line>
            <v:shape style="position:absolute;left:4096;top:2228;width:85;height:106" coordorigin="4096,2228" coordsize="85,106" path="m4107,2281l4096,2281,4096,2334,4107,2334,4107,2281m4181,2228l4118,2228,4118,2250,4107,2250,4107,2281,4128,2281,4128,2250,4181,2250,4181,2228e" filled="true" fillcolor="#e36c09" stroked="false">
              <v:path arrowok="t"/>
              <v:fill type="solid"/>
            </v:shape>
            <v:line style="position:absolute" from="4541,1996" to="5917,1996" stroked="true" strokeweight="1.056217pt" strokecolor="#e36c09">
              <v:stroke dashstyle="solid"/>
            </v:line>
            <v:line style="position:absolute" from="4520,2022" to="5811,2022" stroked="true" strokeweight="1.584326pt" strokecolor="#e36c09">
              <v:stroke dashstyle="solid"/>
            </v:line>
            <v:line style="position:absolute" from="4467,2049" to="5652,2049" stroked="true" strokeweight="1.056217pt" strokecolor="#e36c09">
              <v:stroke dashstyle="solid"/>
            </v:line>
            <v:shape style="position:absolute;left:4361;top:2075;width:1122;height:32" coordorigin="4361,2075" coordsize="1122,32" path="m4435,2075l5483,2075m4361,2107l5197,2107e" filled="false" stroked="true" strokeweight="1.584326pt" strokecolor="#e36c09">
              <v:path arrowok="t"/>
              <v:stroke dashstyle="solid"/>
            </v:shape>
            <v:line style="position:absolute" from="4319,2133" to="4943,2133" stroked="true" strokeweight="1.056217pt" strokecolor="#e36c09">
              <v:stroke dashstyle="solid"/>
            </v:line>
            <v:shape style="position:absolute;left:4636;top:1816;width:1376;height:52" coordorigin="4636,1817" coordsize="1376,52" path="m6012,1849l6001,1849,6001,1817,4636,1817,4636,1849,4636,1869,6012,1869,6012,1849e" filled="true" fillcolor="#e36c09" stroked="false">
              <v:path arrowok="t"/>
              <v:fill type="solid"/>
            </v:shape>
            <v:line style="position:absolute" from="4636,1885" to="6054,1885" stroked="true" strokeweight="1.598435pt" strokecolor="#e36c09">
              <v:stroke dashstyle="solid"/>
            </v:line>
            <v:line style="position:absolute" from="4626,1912" to="6012,1912" stroked="true" strokeweight="1.056217pt" strokecolor="#e36c09">
              <v:stroke dashstyle="solid"/>
            </v:line>
            <v:shape style="position:absolute;left:4572;top:1937;width:1482;height:32" coordorigin="4573,1938" coordsize="1482,32" path="m4615,1938l6054,1938m4573,1970l6023,1970e" filled="false" stroked="true" strokeweight="1.584326pt" strokecolor="#e36c09">
              <v:path arrowok="t"/>
              <v:stroke dashstyle="solid"/>
            </v:shape>
            <v:line style="position:absolute" from="4573,1721" to="5737,1721" stroked="true" strokeweight="1.056217pt" strokecolor="#e36c09">
              <v:stroke dashstyle="solid"/>
            </v:line>
            <v:line style="position:absolute" from="4615,1748" to="5853,1748" stroked="true" strokeweight="1.584326pt" strokecolor="#e36c09">
              <v:stroke dashstyle="solid"/>
            </v:line>
            <v:line style="position:absolute" from="4636,1774" to="5896,1774" stroked="true" strokeweight="1.056217pt" strokecolor="#e36c09">
              <v:stroke dashstyle="solid"/>
            </v:line>
            <v:line style="position:absolute" from="4657,1801" to="5970,1801" stroked="true" strokeweight="1.584326pt" strokecolor="#e36c09">
              <v:stroke dashstyle="solid"/>
            </v:line>
            <v:shape style="position:absolute;left:4223;top:1504;width:1387;height:191" coordorigin="4223,1505" coordsize="1387,191" path="m4499,1663l5472,1663m4530,1695l5610,1695m4223,1505l4710,1505e" filled="false" stroked="true" strokeweight="1.584326pt" strokecolor="#e36c09">
              <v:path arrowok="t"/>
              <v:stroke dashstyle="solid"/>
            </v:shape>
            <v:line style="position:absolute" from="4276,1531" to="4827,1531" stroked="true" strokeweight="1.056217pt" strokecolor="#e36c09">
              <v:stroke dashstyle="solid"/>
            </v:line>
            <v:line style="position:absolute" from="4308,1558" to="4933,1558" stroked="true" strokeweight="1.584326pt" strokecolor="#e36c09">
              <v:stroke dashstyle="solid"/>
            </v:line>
            <v:line style="position:absolute" from="4350,1584" to="5060,1584" stroked="true" strokeweight="1.056217pt" strokecolor="#e36c09">
              <v:stroke dashstyle="solid"/>
            </v:line>
            <v:line style="position:absolute" from="4393,1611" to="5187,1611" stroked="true" strokeweight="1.584326pt" strokecolor="#e36c09">
              <v:stroke dashstyle="solid"/>
            </v:line>
            <v:line style="position:absolute" from="4446,1637" to="5345,1637" stroked="true" strokeweight="1.056217pt" strokecolor="#e36c09">
              <v:stroke dashstyle="solid"/>
            </v:line>
            <v:line style="position:absolute" from="4181,1447" to="4499,1447" stroked="true" strokeweight="1.056217pt" strokecolor="#e36c09">
              <v:stroke dashstyle="solid"/>
            </v:line>
            <v:line style="position:absolute" from="4202,1473" to="4594,1473" stroked="true" strokeweight="1.584326pt" strokecolor="#e36c09">
              <v:stroke dashstyle="solid"/>
            </v:line>
            <v:shape style="position:absolute;left:4117;top:1319;width:117;height:64" coordorigin="4118,1319" coordsize="117,64" path="m4234,1351l4181,1351,4181,1319,4118,1319,4118,1351,4118,1383,4234,1383,4234,1351e" filled="true" fillcolor="#e36c09" stroked="false">
              <v:path arrowok="t"/>
              <v:fill type="solid"/>
            </v:shape>
            <v:line style="position:absolute" from="4139,1394" to="4287,1394" stroked="true" strokeweight="1.056217pt" strokecolor="#e36c09">
              <v:stroke dashstyle="solid"/>
            </v:line>
            <v:line style="position:absolute" from="4149,1420" to="4382,1420" stroked="true" strokeweight="1.584326pt" strokecolor="#e36c09">
              <v:stroke dashstyle="solid"/>
            </v:line>
            <v:shape style="position:absolute;left:4107;top:1129;width:53;height:190" coordorigin="4107,1129" coordsize="53,190" path="m4160,1299l4139,1299,4139,1245,4128,1245,4128,1129,4107,1129,4107,1245,4107,1299,4107,1319,4160,1319,4160,1299e" filled="true" fillcolor="#e36c09" stroked="false">
              <v:path arrowok="t"/>
              <v:fill type="solid"/>
            </v:shape>
            <v:line style="position:absolute" from="4112,940" to="4112,1130" stroked="true" strokeweight=".529143pt" strokecolor="#e36c09">
              <v:stroke dashstyle="solid"/>
            </v:line>
            <v:rect style="position:absolute;left:4096;top:855;width:11;height:85" filled="true" fillcolor="#e36c09" stroked="false">
              <v:fill type="solid"/>
            </v:rect>
            <v:line style="position:absolute" from="3012,248" to="3012,2709" stroked="true" strokeweight=".529143pt" strokecolor="#f1f1f1">
              <v:stroke dashstyle="solid"/>
            </v:line>
            <v:line style="position:absolute" from="6282,2709" to="1922,2709" stroked="true" strokeweight=".528106pt" strokecolor="#bebebe">
              <v:stroke dashstyle="solid"/>
            </v:line>
            <v:shape style="position:absolute;left:-654051;top:2765;width:654050;height:6350" coordorigin="-654050,2766" coordsize="654050,6350" path="m6282,2709l6282,2751m5192,2709l5192,2751m4102,2709l4102,2751m3012,2709l3012,2751m1922,2709l1922,2751e" filled="false" stroked="true" strokeweight=".528626pt" strokecolor="#bebebe">
              <v:path arrowok="t"/>
              <v:stroke dashstyle="solid"/>
            </v:shape>
            <v:line style="position:absolute" from="1922,2709" to="1922,248" stroked="true" strokeweight=".529144pt" strokecolor="#bebebe">
              <v:stroke dashstyle="solid"/>
            </v:line>
            <v:shape style="position:absolute;left:0;top:9115;width:14008;height:652743" coordorigin="0,9116" coordsize="14008,652743" path="m1869,2709l1922,2709m1869,2434l1922,2434m1869,2160l1922,2160m1869,1885l1922,1885m1869,1611l1922,1611m1869,1336l1922,1336m1869,1061l1922,1061m1869,787l1922,787m1869,512l1922,512m1869,248l1922,248e" filled="false" stroked="true" strokeweight=".528625pt" strokecolor="#bebebe">
              <v:path arrowok="t"/>
              <v:stroke dashstyle="solid"/>
            </v:shape>
            <v:shape style="position:absolute;left:3480;top:348;width:1443;height:213" type="#_x0000_t202" filled="false" stroked="false">
              <v:textbox inset="0,0,0,0">
                <w:txbxContent>
                  <w:p>
                    <w:pPr>
                      <w:spacing w:line="212" w:lineRule="exact" w:before="0"/>
                      <w:ind w:left="0" w:right="0" w:firstLine="0"/>
                      <w:jc w:val="left"/>
                      <w:rPr>
                        <w:rFonts w:ascii="Symbol" w:hAnsi="Symbol"/>
                        <w:sz w:val="17"/>
                      </w:rPr>
                    </w:pPr>
                    <w:r>
                      <w:rPr>
                        <w:rFonts w:ascii="Symbol" w:hAnsi="Symbol"/>
                        <w:color w:val="A6A6A6"/>
                        <w:sz w:val="17"/>
                      </w:rPr>
                      <w:t></w:t>
                    </w:r>
                    <w:r>
                      <w:rPr>
                        <w:rFonts w:ascii="Times New Roman" w:hAnsi="Times New Roman"/>
                        <w:color w:val="A6A6A6"/>
                        <w:sz w:val="17"/>
                      </w:rPr>
                      <w:t> </w:t>
                    </w:r>
                    <w:r>
                      <w:rPr>
                        <w:rFonts w:ascii="Calibri" w:hAnsi="Calibri"/>
                        <w:color w:val="A6A6A6"/>
                        <w:sz w:val="17"/>
                      </w:rPr>
                      <w:t>Male Female </w:t>
                    </w:r>
                    <w:r>
                      <w:rPr>
                        <w:rFonts w:ascii="Symbol" w:hAnsi="Symbol"/>
                        <w:color w:val="A6A6A6"/>
                        <w:sz w:val="17"/>
                      </w:rPr>
                      <w:t></w:t>
                    </w:r>
                  </w:p>
                </w:txbxContent>
              </v:textbox>
              <w10:wrap type="none"/>
            </v:shape>
            <w10:wrap type="none"/>
          </v:group>
        </w:pict>
      </w:r>
      <w:r>
        <w:rPr>
          <w:rFonts w:ascii="Calibri"/>
          <w:spacing w:val="-7"/>
          <w:sz w:val="16"/>
        </w:rPr>
        <w:t>90</w:t>
      </w:r>
    </w:p>
    <w:p>
      <w:pPr>
        <w:spacing w:before="78"/>
        <w:ind w:left="1497" w:right="0" w:firstLine="0"/>
        <w:jc w:val="left"/>
        <w:rPr>
          <w:rFonts w:ascii="Calibri"/>
          <w:sz w:val="16"/>
        </w:rPr>
      </w:pPr>
      <w:r>
        <w:rPr>
          <w:rFonts w:ascii="Calibri"/>
          <w:spacing w:val="-7"/>
          <w:sz w:val="16"/>
        </w:rPr>
        <w:t>80</w:t>
      </w:r>
    </w:p>
    <w:p>
      <w:pPr>
        <w:spacing w:before="79"/>
        <w:ind w:left="1497" w:right="0" w:firstLine="0"/>
        <w:jc w:val="left"/>
        <w:rPr>
          <w:rFonts w:ascii="Calibri"/>
          <w:sz w:val="16"/>
        </w:rPr>
      </w:pPr>
      <w:r>
        <w:rPr/>
        <w:pict>
          <v:shape style="position:absolute;margin-left:70.881325pt;margin-top:5.029335pt;width:8.9pt;height:77.3pt;mso-position-horizontal-relative:page;mso-position-vertical-relative:paragraph;z-index:252258304" type="#_x0000_t202" filled="false" stroked="false">
            <v:textbox inset="0,0,0,0" style="layout-flow:vertical;mso-layout-flow-alt:bottom-to-top">
              <w:txbxContent>
                <w:p>
                  <w:pPr>
                    <w:spacing w:line="158" w:lineRule="exact" w:before="0"/>
                    <w:ind w:left="20" w:right="0" w:firstLine="0"/>
                    <w:jc w:val="left"/>
                    <w:rPr>
                      <w:rFonts w:ascii="Calibri"/>
                      <w:b/>
                      <w:sz w:val="13"/>
                    </w:rPr>
                  </w:pPr>
                  <w:r>
                    <w:rPr>
                      <w:rFonts w:ascii="Calibri"/>
                      <w:b/>
                      <w:w w:val="105"/>
                      <w:sz w:val="13"/>
                    </w:rPr>
                    <w:t>Age at the Valuation Date</w:t>
                  </w:r>
                </w:p>
              </w:txbxContent>
            </v:textbox>
            <w10:wrap type="none"/>
          </v:shape>
        </w:pict>
      </w:r>
      <w:r>
        <w:rPr>
          <w:rFonts w:ascii="Calibri"/>
          <w:spacing w:val="-7"/>
          <w:sz w:val="16"/>
        </w:rPr>
        <w:t>70</w:t>
      </w:r>
    </w:p>
    <w:p>
      <w:pPr>
        <w:spacing w:before="78"/>
        <w:ind w:left="1497" w:right="0" w:firstLine="0"/>
        <w:jc w:val="left"/>
        <w:rPr>
          <w:rFonts w:ascii="Calibri"/>
          <w:sz w:val="16"/>
        </w:rPr>
      </w:pPr>
      <w:r>
        <w:rPr>
          <w:rFonts w:ascii="Calibri"/>
          <w:spacing w:val="-7"/>
          <w:sz w:val="16"/>
        </w:rPr>
        <w:t>60</w:t>
      </w:r>
    </w:p>
    <w:p>
      <w:pPr>
        <w:spacing w:before="78"/>
        <w:ind w:left="1497" w:right="0" w:firstLine="0"/>
        <w:jc w:val="left"/>
        <w:rPr>
          <w:rFonts w:ascii="Calibri"/>
          <w:sz w:val="16"/>
        </w:rPr>
      </w:pPr>
      <w:r>
        <w:rPr>
          <w:rFonts w:ascii="Calibri"/>
          <w:spacing w:val="-7"/>
          <w:sz w:val="16"/>
        </w:rPr>
        <w:t>50</w:t>
      </w:r>
    </w:p>
    <w:p>
      <w:pPr>
        <w:spacing w:before="79"/>
        <w:ind w:left="1497" w:right="0" w:firstLine="0"/>
        <w:jc w:val="left"/>
        <w:rPr>
          <w:rFonts w:ascii="Calibri"/>
          <w:sz w:val="16"/>
        </w:rPr>
      </w:pPr>
      <w:r>
        <w:rPr>
          <w:rFonts w:ascii="Calibri"/>
          <w:spacing w:val="-7"/>
          <w:sz w:val="16"/>
        </w:rPr>
        <w:t>40</w:t>
      </w:r>
    </w:p>
    <w:p>
      <w:pPr>
        <w:spacing w:before="78"/>
        <w:ind w:left="1497" w:right="0" w:firstLine="0"/>
        <w:jc w:val="left"/>
        <w:rPr>
          <w:rFonts w:ascii="Calibri"/>
          <w:sz w:val="16"/>
        </w:rPr>
      </w:pPr>
      <w:r>
        <w:rPr>
          <w:rFonts w:ascii="Calibri"/>
          <w:spacing w:val="-7"/>
          <w:sz w:val="16"/>
        </w:rPr>
        <w:t>30</w:t>
      </w:r>
    </w:p>
    <w:p>
      <w:pPr>
        <w:spacing w:before="78"/>
        <w:ind w:left="1497" w:right="0" w:firstLine="0"/>
        <w:jc w:val="left"/>
        <w:rPr>
          <w:rFonts w:ascii="Calibri"/>
          <w:sz w:val="16"/>
        </w:rPr>
      </w:pPr>
      <w:r>
        <w:rPr>
          <w:rFonts w:ascii="Calibri"/>
          <w:spacing w:val="-7"/>
          <w:sz w:val="16"/>
        </w:rPr>
        <w:t>20</w:t>
      </w:r>
    </w:p>
    <w:p>
      <w:pPr>
        <w:spacing w:before="78"/>
        <w:ind w:left="1497" w:right="0" w:firstLine="0"/>
        <w:jc w:val="left"/>
        <w:rPr>
          <w:rFonts w:ascii="Calibri"/>
          <w:sz w:val="16"/>
        </w:rPr>
      </w:pPr>
      <w:r>
        <w:rPr>
          <w:rFonts w:ascii="Calibri"/>
          <w:spacing w:val="-7"/>
          <w:sz w:val="16"/>
        </w:rPr>
        <w:t>10</w:t>
      </w:r>
    </w:p>
    <w:p>
      <w:pPr>
        <w:spacing w:before="79"/>
        <w:ind w:left="1576" w:right="0" w:firstLine="0"/>
        <w:jc w:val="left"/>
        <w:rPr>
          <w:rFonts w:ascii="Calibri"/>
          <w:sz w:val="16"/>
        </w:rPr>
      </w:pPr>
      <w:r>
        <w:rPr>
          <w:rFonts w:ascii="Calibri"/>
          <w:w w:val="99"/>
          <w:sz w:val="16"/>
        </w:rPr>
        <w:t>0</w:t>
      </w:r>
    </w:p>
    <w:p>
      <w:pPr>
        <w:spacing w:before="6"/>
        <w:ind w:left="1583" w:right="0" w:firstLine="0"/>
        <w:jc w:val="left"/>
        <w:rPr>
          <w:rFonts w:ascii="Calibri"/>
          <w:sz w:val="16"/>
        </w:rPr>
      </w:pPr>
      <w:r>
        <w:rPr>
          <w:rFonts w:ascii="Calibri"/>
          <w:spacing w:val="-4"/>
          <w:sz w:val="16"/>
        </w:rPr>
        <w:t>20,000</w:t>
      </w:r>
    </w:p>
    <w:p>
      <w:pPr>
        <w:pStyle w:val="BodyText"/>
        <w:rPr>
          <w:rFonts w:ascii="Calibri"/>
          <w:sz w:val="16"/>
        </w:rPr>
      </w:pPr>
      <w:r>
        <w:rPr/>
        <w:br w:type="column"/>
      </w:r>
      <w:r>
        <w:rPr>
          <w:rFonts w:ascii="Calibri"/>
          <w:sz w:val="16"/>
        </w:rPr>
      </w: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spacing w:before="4"/>
        <w:rPr>
          <w:rFonts w:ascii="Calibri"/>
          <w:sz w:val="21"/>
        </w:rPr>
      </w:pPr>
    </w:p>
    <w:p>
      <w:pPr>
        <w:spacing w:before="1"/>
        <w:ind w:left="626" w:right="0" w:firstLine="0"/>
        <w:jc w:val="left"/>
        <w:rPr>
          <w:rFonts w:ascii="Calibri"/>
          <w:sz w:val="16"/>
        </w:rPr>
      </w:pPr>
      <w:r>
        <w:rPr>
          <w:rFonts w:ascii="Calibri"/>
          <w:spacing w:val="-4"/>
          <w:sz w:val="16"/>
        </w:rPr>
        <w:t>10,000</w:t>
      </w:r>
    </w:p>
    <w:p>
      <w:pPr>
        <w:pStyle w:val="BodyText"/>
        <w:rPr>
          <w:rFonts w:ascii="Calibri"/>
          <w:sz w:val="16"/>
        </w:rPr>
      </w:pPr>
      <w:r>
        <w:rPr/>
        <w:br w:type="column"/>
      </w:r>
      <w:r>
        <w:rPr>
          <w:rFonts w:ascii="Calibri"/>
          <w:sz w:val="16"/>
        </w:rPr>
      </w: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spacing w:before="4"/>
        <w:rPr>
          <w:rFonts w:ascii="Calibri"/>
          <w:sz w:val="21"/>
        </w:rPr>
      </w:pPr>
    </w:p>
    <w:p>
      <w:pPr>
        <w:tabs>
          <w:tab w:pos="1716" w:val="left" w:leader="none"/>
        </w:tabs>
        <w:spacing w:before="1"/>
        <w:ind w:left="803" w:right="0" w:firstLine="0"/>
        <w:jc w:val="left"/>
        <w:rPr>
          <w:rFonts w:ascii="Calibri"/>
          <w:sz w:val="16"/>
        </w:rPr>
      </w:pPr>
      <w:r>
        <w:rPr>
          <w:rFonts w:ascii="Calibri"/>
          <w:sz w:val="16"/>
        </w:rPr>
        <w:t>0</w:t>
        <w:tab/>
      </w:r>
      <w:r>
        <w:rPr>
          <w:rFonts w:ascii="Calibri"/>
          <w:spacing w:val="-7"/>
          <w:sz w:val="16"/>
        </w:rPr>
        <w:t>10,000</w:t>
      </w:r>
    </w:p>
    <w:p>
      <w:pPr>
        <w:pStyle w:val="BodyText"/>
        <w:rPr>
          <w:rFonts w:ascii="Calibri"/>
          <w:sz w:val="16"/>
        </w:rPr>
      </w:pPr>
      <w:r>
        <w:rPr/>
        <w:br w:type="column"/>
      </w:r>
      <w:r>
        <w:rPr>
          <w:rFonts w:ascii="Calibri"/>
          <w:sz w:val="16"/>
        </w:rPr>
      </w: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spacing w:before="4"/>
        <w:rPr>
          <w:rFonts w:ascii="Calibri"/>
          <w:sz w:val="21"/>
        </w:rPr>
      </w:pPr>
    </w:p>
    <w:p>
      <w:pPr>
        <w:spacing w:before="1"/>
        <w:ind w:left="626" w:right="0" w:firstLine="0"/>
        <w:jc w:val="left"/>
        <w:rPr>
          <w:rFonts w:ascii="Calibri"/>
          <w:sz w:val="16"/>
        </w:rPr>
      </w:pPr>
      <w:r>
        <w:rPr>
          <w:rFonts w:ascii="Calibri"/>
          <w:spacing w:val="-4"/>
          <w:sz w:val="16"/>
        </w:rPr>
        <w:t>20,000</w:t>
      </w:r>
    </w:p>
    <w:p>
      <w:pPr>
        <w:pStyle w:val="BodyText"/>
        <w:rPr>
          <w:rFonts w:ascii="Calibri"/>
          <w:sz w:val="16"/>
        </w:rPr>
      </w:pPr>
      <w:r>
        <w:rPr/>
        <w:br w:type="column"/>
      </w:r>
      <w:r>
        <w:rPr>
          <w:rFonts w:ascii="Calibri"/>
          <w:sz w:val="16"/>
        </w:rPr>
      </w:r>
    </w:p>
    <w:p>
      <w:pPr>
        <w:pStyle w:val="BodyText"/>
        <w:rPr>
          <w:rFonts w:ascii="Calibri"/>
          <w:sz w:val="16"/>
        </w:rPr>
      </w:pPr>
    </w:p>
    <w:p>
      <w:pPr>
        <w:pStyle w:val="BodyText"/>
        <w:rPr>
          <w:rFonts w:ascii="Calibri"/>
          <w:sz w:val="16"/>
        </w:rPr>
      </w:pPr>
    </w:p>
    <w:p>
      <w:pPr>
        <w:pStyle w:val="BodyText"/>
        <w:rPr>
          <w:rFonts w:ascii="Calibri"/>
          <w:sz w:val="16"/>
        </w:rPr>
      </w:pPr>
    </w:p>
    <w:p>
      <w:pPr>
        <w:spacing w:line="374" w:lineRule="auto" w:before="116"/>
        <w:ind w:left="1306" w:right="1618" w:firstLine="0"/>
        <w:jc w:val="left"/>
        <w:rPr>
          <w:rFonts w:ascii="Calibri"/>
          <w:sz w:val="15"/>
        </w:rPr>
      </w:pPr>
      <w:r>
        <w:rPr>
          <w:rFonts w:ascii="Calibri"/>
          <w:sz w:val="15"/>
        </w:rPr>
        <w:t>Parenting Payment - Partnered Parenting Payment - Single</w:t>
      </w:r>
    </w:p>
    <w:p>
      <w:pPr>
        <w:spacing w:after="0" w:line="374" w:lineRule="auto"/>
        <w:jc w:val="left"/>
        <w:rPr>
          <w:rFonts w:ascii="Calibri"/>
          <w:sz w:val="15"/>
        </w:rPr>
        <w:sectPr>
          <w:type w:val="continuous"/>
          <w:pgSz w:w="11910" w:h="16850"/>
          <w:pgMar w:top="1600" w:bottom="280" w:left="120" w:right="0"/>
          <w:cols w:num="5" w:equalWidth="0">
            <w:col w:w="2007" w:space="40"/>
            <w:col w:w="1051" w:space="39"/>
            <w:col w:w="2141" w:space="39"/>
            <w:col w:w="1051" w:space="40"/>
            <w:col w:w="5382"/>
          </w:cols>
        </w:sectPr>
      </w:pPr>
    </w:p>
    <w:p>
      <w:pPr>
        <w:spacing w:before="37"/>
        <w:ind w:left="2553" w:right="0" w:firstLine="0"/>
        <w:jc w:val="left"/>
        <w:rPr>
          <w:rFonts w:ascii="Calibri"/>
          <w:b/>
          <w:sz w:val="17"/>
        </w:rPr>
      </w:pPr>
      <w:r>
        <w:rPr>
          <w:rFonts w:ascii="Calibri"/>
          <w:b/>
          <w:sz w:val="17"/>
        </w:rPr>
        <w:t>People in Class by Age at Valuation Date</w:t>
      </w:r>
    </w:p>
    <w:p>
      <w:pPr>
        <w:pStyle w:val="BodyText"/>
        <w:spacing w:before="7"/>
        <w:rPr>
          <w:rFonts w:ascii="Calibri"/>
          <w:b/>
          <w:sz w:val="25"/>
        </w:rPr>
      </w:pPr>
    </w:p>
    <w:p>
      <w:pPr>
        <w:pStyle w:val="BodyText"/>
        <w:spacing w:before="93"/>
        <w:ind w:left="900" w:right="1397"/>
      </w:pPr>
      <w:r>
        <w:rPr>
          <w:color w:val="404040"/>
        </w:rPr>
        <w:t>The people in this class are predominantly women and in the age range 15 to 50. The majority (73%) of the people in this class are single.</w:t>
      </w:r>
    </w:p>
    <w:p>
      <w:pPr>
        <w:pStyle w:val="BodyText"/>
        <w:spacing w:before="7"/>
      </w:pPr>
    </w:p>
    <w:p>
      <w:pPr>
        <w:pStyle w:val="Heading6"/>
        <w:rPr>
          <w:i/>
        </w:rPr>
      </w:pPr>
      <w:r>
        <w:rPr>
          <w:i/>
          <w:color w:val="DF2F1E"/>
        </w:rPr>
        <w:t>Movements into and out of this class</w:t>
      </w:r>
    </w:p>
    <w:p>
      <w:pPr>
        <w:pStyle w:val="BodyText"/>
        <w:spacing w:before="123"/>
        <w:ind w:left="899" w:right="1442"/>
      </w:pPr>
      <w:r>
        <w:rPr>
          <w:color w:val="404040"/>
        </w:rPr>
        <w:t>Over the last three years, an average of 69,000 people (around 17% of the people in this class) per annum enter this class from another welfare class or from outside the welfare system. Over this same period, an average of 79,800 people (around 20% of people in this class) per annum have transitioned out of the Parenting class.</w:t>
      </w:r>
    </w:p>
    <w:p>
      <w:pPr>
        <w:pStyle w:val="BodyText"/>
        <w:spacing w:before="120"/>
        <w:ind w:left="900" w:right="1687"/>
      </w:pPr>
      <w:r>
        <w:rPr>
          <w:color w:val="404040"/>
        </w:rPr>
        <w:t>The following chart shows the breakdown of these transitions by previous / destination class and year of transition. This is shown for both the last five years, and also the first five years of the projection.</w:t>
      </w:r>
    </w:p>
    <w:p>
      <w:pPr>
        <w:spacing w:after="0"/>
        <w:sectPr>
          <w:type w:val="continuous"/>
          <w:pgSz w:w="11910" w:h="16850"/>
          <w:pgMar w:top="1600" w:bottom="280" w:left="120" w:right="0"/>
        </w:sectPr>
      </w:pPr>
    </w:p>
    <w:p>
      <w:pPr>
        <w:pStyle w:val="BodyText"/>
      </w:pPr>
    </w:p>
    <w:p>
      <w:pPr>
        <w:pStyle w:val="BodyText"/>
      </w:pPr>
    </w:p>
    <w:p>
      <w:pPr>
        <w:pStyle w:val="BodyText"/>
        <w:spacing w:before="5"/>
        <w:rPr>
          <w:sz w:val="21"/>
        </w:rPr>
      </w:pPr>
    </w:p>
    <w:p>
      <w:pPr>
        <w:pStyle w:val="Heading9"/>
      </w:pPr>
      <w:r>
        <w:rPr>
          <w:color w:val="DF2F1E"/>
        </w:rPr>
        <w:t>Figure 55: Number of people entering class 3 – Parents (by class entered from)</w:t>
      </w:r>
    </w:p>
    <w:p>
      <w:pPr>
        <w:spacing w:before="62"/>
        <w:ind w:left="0" w:right="10083" w:firstLine="0"/>
        <w:jc w:val="right"/>
        <w:rPr>
          <w:rFonts w:ascii="Calibri"/>
          <w:sz w:val="16"/>
        </w:rPr>
      </w:pPr>
      <w:r>
        <w:rPr/>
        <w:pict>
          <v:group style="position:absolute;margin-left:98.294128pt;margin-top:8.110508pt;width:412.55pt;height:144.050pt;mso-position-horizontal-relative:page;mso-position-vertical-relative:paragraph;z-index:252270592" coordorigin="1966,162" coordsize="8251,2881">
            <v:shape style="position:absolute;left:1971;top:1958;width:8240;height:224" coordorigin="1972,1959" coordsize="8240,224" path="m9963,2183l10211,2183m9138,2183l9633,2183m8313,2183l8808,2183m7488,2183l7983,2183m6663,2183l7158,2183m5838,2183l6333,2183m5025,2183l5520,2183m4200,2183l4695,2183m3374,2183l3870,2183m2549,2183l3044,2183m1972,2183l2219,2183m2549,1959l3044,1959m1972,1959l2219,1959e" filled="false" stroked="true" strokeweight=".589101pt" strokecolor="#d9d9d9">
              <v:path arrowok="t"/>
              <v:stroke dashstyle="solid"/>
            </v:shape>
            <v:rect style="position:absolute;left:2219;top:2347;width:331;height:59" filled="true" fillcolor="#1f487c" stroked="false">
              <v:fill type="solid"/>
            </v:rect>
            <v:rect style="position:absolute;left:2219;top:1817;width:331;height:531" filled="true" fillcolor="#009544" stroked="false">
              <v:fill type="solid"/>
            </v:rect>
            <v:line style="position:absolute" from="3374,1959" to="3870,1959" stroked="true" strokeweight=".589101pt" strokecolor="#d9d9d9">
              <v:stroke dashstyle="solid"/>
            </v:line>
            <v:rect style="position:absolute;left:3044;top:2347;width:331;height:59" filled="true" fillcolor="#1f487c" stroked="false">
              <v:fill type="solid"/>
            </v:rect>
            <v:rect style="position:absolute;left:3044;top:1817;width:331;height:531" filled="true" fillcolor="#009544" stroked="false">
              <v:fill type="solid"/>
            </v:rect>
            <v:line style="position:absolute" from="4200,1959" to="4695,1959" stroked="true" strokeweight=".589101pt" strokecolor="#d9d9d9">
              <v:stroke dashstyle="solid"/>
            </v:line>
            <v:rect style="position:absolute;left:3869;top:2347;width:331;height:59" filled="true" fillcolor="#1f487c" stroked="false">
              <v:fill type="solid"/>
            </v:rect>
            <v:rect style="position:absolute;left:3869;top:1841;width:331;height:507" filled="true" fillcolor="#009544" stroked="false">
              <v:fill type="solid"/>
            </v:rect>
            <v:line style="position:absolute" from="5025,1959" to="5520,1959" stroked="true" strokeweight=".589101pt" strokecolor="#d9d9d9">
              <v:stroke dashstyle="solid"/>
            </v:line>
            <v:rect style="position:absolute;left:4694;top:2359;width:331;height:48" filled="true" fillcolor="#1f487c" stroked="false">
              <v:fill type="solid"/>
            </v:rect>
            <v:rect style="position:absolute;left:4694;top:1864;width:331;height:495" filled="true" fillcolor="#009544" stroked="false">
              <v:fill type="solid"/>
            </v:rect>
            <v:line style="position:absolute" from="5838,1959" to="6333,1959" stroked="true" strokeweight=".589101pt" strokecolor="#d9d9d9">
              <v:stroke dashstyle="solid"/>
            </v:line>
            <v:rect style="position:absolute;left:5519;top:2371;width:319;height:36" filled="true" fillcolor="#1f487c" stroked="false">
              <v:fill type="solid"/>
            </v:rect>
            <v:rect style="position:absolute;left:5519;top:1947;width:319;height:425" filled="true" fillcolor="#009544" stroked="false">
              <v:fill type="solid"/>
            </v:rect>
            <v:line style="position:absolute" from="6663,1959" to="7158,1959" stroked="true" strokeweight=".589101pt" strokecolor="#d9d9d9">
              <v:stroke dashstyle="solid"/>
            </v:line>
            <v:rect style="position:absolute;left:6333;top:2359;width:331;height:48" filled="true" fillcolor="#1f487c" stroked="false">
              <v:fill type="solid"/>
            </v:rect>
            <v:rect style="position:absolute;left:6333;top:1888;width:331;height:472" filled="true" fillcolor="#009544" stroked="false">
              <v:fill type="solid"/>
            </v:rect>
            <v:line style="position:absolute" from="7488,1959" to="7983,1959" stroked="true" strokeweight=".589101pt" strokecolor="#d9d9d9">
              <v:stroke dashstyle="solid"/>
            </v:line>
            <v:rect style="position:absolute;left:7158;top:2359;width:331;height:48" filled="true" fillcolor="#1f487c" stroked="false">
              <v:fill type="solid"/>
            </v:rect>
            <v:rect style="position:absolute;left:7158;top:1888;width:331;height:472" filled="true" fillcolor="#009544" stroked="false">
              <v:fill type="solid"/>
            </v:rect>
            <v:line style="position:absolute" from="8313,1959" to="8808,1959" stroked="true" strokeweight=".589101pt" strokecolor="#d9d9d9">
              <v:stroke dashstyle="solid"/>
            </v:line>
            <v:rect style="position:absolute;left:7983;top:2359;width:331;height:48" filled="true" fillcolor="#1f487c" stroked="false">
              <v:fill type="solid"/>
            </v:rect>
            <v:rect style="position:absolute;left:7983;top:1876;width:331;height:484" filled="true" fillcolor="#009544" stroked="false">
              <v:fill type="solid"/>
            </v:rect>
            <v:line style="position:absolute" from="9138,1959" to="9633,1959" stroked="true" strokeweight=".589101pt" strokecolor="#d9d9d9">
              <v:stroke dashstyle="solid"/>
            </v:line>
            <v:rect style="position:absolute;left:8808;top:2359;width:331;height:48" filled="true" fillcolor="#1f487c" stroked="false">
              <v:fill type="solid"/>
            </v:rect>
            <v:rect style="position:absolute;left:8808;top:1888;width:331;height:472" filled="true" fillcolor="#009544" stroked="false">
              <v:fill type="solid"/>
            </v:rect>
            <v:line style="position:absolute" from="9963,1959" to="10211,1959" stroked="true" strokeweight=".589101pt" strokecolor="#d9d9d9">
              <v:stroke dashstyle="solid"/>
            </v:line>
            <v:rect style="position:absolute;left:9633;top:2359;width:331;height:48" filled="true" fillcolor="#1f487c" stroked="false">
              <v:fill type="solid"/>
            </v:rect>
            <v:rect style="position:absolute;left:9633;top:1900;width:331;height:460" filled="true" fillcolor="#009544" stroked="false">
              <v:fill type="solid"/>
            </v:rect>
            <v:shape style="position:absolute;left:1971;top:1735;width:1073;height:2" coordorigin="1972,1735" coordsize="1073,0" path="m2549,1735l3044,1735m1972,1735l2219,1735e" filled="false" stroked="true" strokeweight=".589101pt" strokecolor="#d9d9d9">
              <v:path arrowok="t"/>
              <v:stroke dashstyle="solid"/>
            </v:shape>
            <v:rect style="position:absolute;left:2219;top:1782;width:331;height:36" filled="true" fillcolor="#e08ad6" stroked="false">
              <v:fill type="solid"/>
            </v:rect>
            <v:line style="position:absolute" from="3374,1735" to="3869,1735" stroked="true" strokeweight=".589101pt" strokecolor="#d9d9d9">
              <v:stroke dashstyle="solid"/>
            </v:line>
            <v:rect style="position:absolute;left:3044;top:1782;width:331;height:36" filled="true" fillcolor="#e08ad6" stroked="false">
              <v:fill type="solid"/>
            </v:rect>
            <v:line style="position:absolute" from="4200,1735" to="4695,1735" stroked="true" strokeweight=".589101pt" strokecolor="#d9d9d9">
              <v:stroke dashstyle="solid"/>
            </v:line>
            <v:shape style="position:absolute;left:3869;top:1794;width:6094;height:154" coordorigin="3869,1794" coordsize="6094,154" path="m4200,1794l3869,1794,3869,1841,4200,1841,4200,1794m5025,1829l4695,1829,4695,1865,5025,1865,5025,1829m5838,1912l5520,1912,5520,1947,5838,1947,5838,1912m6663,1853l6333,1853,6333,1888,6663,1888,6663,1853m7488,1841l7158,1841,7158,1888,7488,1888,7488,1841m8313,1841l7983,1841,7983,1877,8313,1877,8313,1841m9138,1841l8808,1841,8808,1888,9138,1888,9138,1841m9963,1853l9633,1853,9633,1900,9963,1900,9963,1853e" filled="true" fillcolor="#e08ad6" stroked="false">
              <v:path arrowok="t"/>
              <v:fill type="solid"/>
            </v:shape>
            <v:line style="position:absolute" from="3869,1788" to="4200,1788" stroked="true" strokeweight=".589101pt" strokecolor="#8063a1">
              <v:stroke dashstyle="solid"/>
            </v:line>
            <v:shape style="position:absolute;left:1971;top:1287;width:1073;height:224" coordorigin="1972,1287" coordsize="1073,224" path="m2549,1511l3044,1511m1972,1511l2219,1511m2549,1287l3044,1287m1972,1287l2219,1287e" filled="false" stroked="true" strokeweight=".589101pt" strokecolor="#d9d9d9">
              <v:path arrowok="t"/>
              <v:stroke dashstyle="solid"/>
            </v:shape>
            <v:rect style="position:absolute;left:2219;top:1204;width:331;height:578" filled="true" fillcolor="#f8a763" stroked="false">
              <v:fill type="solid"/>
            </v:rect>
            <v:shape style="position:absolute;left:3374;top:1287;width:496;height:224" coordorigin="3374,1287" coordsize="496,224" path="m3374,1511l3869,1511m3374,1287l3869,1287e" filled="false" stroked="true" strokeweight=".589101pt" strokecolor="#d9d9d9">
              <v:path arrowok="t"/>
              <v:stroke dashstyle="solid"/>
            </v:shape>
            <v:rect style="position:absolute;left:3044;top:1228;width:331;height:554" filled="true" fillcolor="#f8a763" stroked="false">
              <v:fill type="solid"/>
            </v:rect>
            <v:shape style="position:absolute;left:4199;top:1287;width:496;height:224" coordorigin="4200,1287" coordsize="496,224" path="m4200,1511l4695,1511m4200,1287l4695,1287e" filled="false" stroked="true" strokeweight=".589101pt" strokecolor="#d9d9d9">
              <v:path arrowok="t"/>
              <v:stroke dashstyle="solid"/>
            </v:shape>
            <v:rect style="position:absolute;left:3869;top:1252;width:331;height:531" filled="true" fillcolor="#f8a763" stroked="false">
              <v:fill type="solid"/>
            </v:rect>
            <v:shape style="position:absolute;left:5024;top:1511;width:1309;height:224" coordorigin="5025,1511" coordsize="1309,224" path="m5025,1735l5520,1735m5025,1511l6333,1511e" filled="false" stroked="true" strokeweight=".589101pt" strokecolor="#d9d9d9">
              <v:path arrowok="t"/>
              <v:stroke dashstyle="solid"/>
            </v:shape>
            <v:rect style="position:absolute;left:4694;top:1369;width:331;height:460" filled="true" fillcolor="#f8a763" stroked="false">
              <v:fill type="solid"/>
            </v:rect>
            <v:line style="position:absolute" from="5838,1735" to="6333,1735" stroked="true" strokeweight=".589101pt" strokecolor="#d9d9d9">
              <v:stroke dashstyle="solid"/>
            </v:line>
            <v:rect style="position:absolute;left:5519;top:1523;width:319;height:389" filled="true" fillcolor="#f8a763" stroked="false">
              <v:fill type="solid"/>
            </v:rect>
            <v:shape style="position:absolute;left:6663;top:1511;width:496;height:224" coordorigin="6663,1511" coordsize="496,224" path="m6663,1735l7158,1735m6663,1511l7158,1511e" filled="false" stroked="true" strokeweight=".589101pt" strokecolor="#d9d9d9">
              <v:path arrowok="t"/>
              <v:stroke dashstyle="solid"/>
            </v:shape>
            <v:rect style="position:absolute;left:6332;top:1428;width:331;height:425" filled="true" fillcolor="#f8a763" stroked="false">
              <v:fill type="solid"/>
            </v:rect>
            <v:shape style="position:absolute;left:7488;top:1511;width:496;height:224" coordorigin="7488,1511" coordsize="496,224" path="m7488,1735l7983,1735m7488,1511l7983,1511e" filled="false" stroked="true" strokeweight=".589101pt" strokecolor="#d9d9d9">
              <v:path arrowok="t"/>
              <v:stroke dashstyle="solid"/>
            </v:shape>
            <v:rect style="position:absolute;left:7158;top:1428;width:331;height:413" filled="true" fillcolor="#f8a763" stroked="false">
              <v:fill type="solid"/>
            </v:rect>
            <v:shape style="position:absolute;left:8313;top:1511;width:496;height:224" coordorigin="8313,1511" coordsize="496,224" path="m8313,1735l8808,1735m8313,1511l8808,1511e" filled="false" stroked="true" strokeweight=".589101pt" strokecolor="#d9d9d9">
              <v:path arrowok="t"/>
              <v:stroke dashstyle="solid"/>
            </v:shape>
            <v:rect style="position:absolute;left:7983;top:1428;width:331;height:413" filled="true" fillcolor="#f8a763" stroked="false">
              <v:fill type="solid"/>
            </v:rect>
            <v:shape style="position:absolute;left:9138;top:1511;width:496;height:224" coordorigin="9138,1511" coordsize="496,224" path="m9138,1735l9633,1735m9138,1511l9633,1511e" filled="false" stroked="true" strokeweight=".589101pt" strokecolor="#d9d9d9">
              <v:path arrowok="t"/>
              <v:stroke dashstyle="solid"/>
            </v:shape>
            <v:rect style="position:absolute;left:8808;top:1428;width:331;height:413" filled="true" fillcolor="#f8a763" stroked="false">
              <v:fill type="solid"/>
            </v:rect>
            <v:shape style="position:absolute;left:9963;top:1511;width:248;height:224" coordorigin="9963,1511" coordsize="248,224" path="m9963,1735l10211,1735m9963,1511l10211,1511e" filled="false" stroked="true" strokeweight=".589101pt" strokecolor="#d9d9d9">
              <v:path arrowok="t"/>
              <v:stroke dashstyle="solid"/>
            </v:shape>
            <v:rect style="position:absolute;left:9633;top:1440;width:331;height:413" filled="true" fillcolor="#f8a763" stroked="false">
              <v:fill type="solid"/>
            </v:rect>
            <v:shape style="position:absolute;left:2219;top:1169;width:1981;height:83" coordorigin="2219,1170" coordsize="1981,83" path="m2549,1170l2219,1170,2219,1205,2549,1205,2549,1170m3374,1193l3044,1193,3044,1229,3374,1229,3374,1193m4200,1217l3869,1217,3869,1252,4200,1252,4200,1217e" filled="true" fillcolor="#ecb8e7" stroked="false">
              <v:path arrowok="t"/>
              <v:fill type="solid"/>
            </v:shape>
            <v:line style="position:absolute" from="5025,1287" to="5520,1287" stroked="true" strokeweight=".589101pt" strokecolor="#d9d9d9">
              <v:stroke dashstyle="solid"/>
            </v:line>
            <v:shape style="position:absolute;left:4694;top:1334;width:5269;height:189" coordorigin="4695,1335" coordsize="5269,189" path="m5025,1335l4695,1335,4695,1370,5025,1370,5025,1335m5838,1499l5520,1499,5520,1523,5838,1523,5838,1499m6663,1405l6333,1405,6333,1429,6663,1429,6663,1405m7488,1393l7158,1393,7158,1429,7488,1429,7488,1393m8313,1405l7983,1405,7983,1429,8313,1429,8313,1405m9138,1405l8808,1405,8808,1429,9138,1429,9138,1405m9963,1417l9633,1417,9633,1441,9963,1441,9963,1417e" filled="true" fillcolor="#ecb8e7" stroked="false">
              <v:path arrowok="t"/>
              <v:fill type="solid"/>
            </v:shape>
            <v:shape style="position:absolute;left:1971;top:1063;width:1073;height:2" coordorigin="1972,1064" coordsize="1073,0" path="m2549,1064l3044,1064m1972,1064l2219,1064e" filled="false" stroked="true" strokeweight=".589101pt" strokecolor="#d9d9d9">
              <v:path arrowok="t"/>
              <v:stroke dashstyle="solid"/>
            </v:shape>
            <v:rect style="position:absolute;left:2219;top:1016;width:331;height:154" filled="true" fillcolor="#938953" stroked="false">
              <v:fill type="solid"/>
            </v:rect>
            <v:line style="position:absolute" from="3374,1064" to="4695,1064" stroked="true" strokeweight=".589101pt" strokecolor="#d9d9d9">
              <v:stroke dashstyle="solid"/>
            </v:line>
            <v:shape style="position:absolute;left:3044;top:1040;width:1156;height:177" coordorigin="3044,1040" coordsize="1156,177" path="m3374,1040l3044,1040,3044,1193,3374,1193,3374,1040m4200,1064l3869,1064,3869,1217,4200,1217,4200,1064e" filled="true" fillcolor="#938953" stroked="false">
              <v:path arrowok="t"/>
              <v:fill type="solid"/>
            </v:shape>
            <v:shape style="position:absolute;left:4694;top:1204;width:1144;height:295" coordorigin="4695,1205" coordsize="1144,295" path="m5025,1205l4695,1205,4695,1335,5025,1335,5025,1205m5838,1382l5520,1382,5520,1499,5838,1499,5838,1382e" filled="true" fillcolor="#938953" stroked="false">
              <v:path arrowok="t"/>
              <v:fill type="solid"/>
            </v:shape>
            <v:shape style="position:absolute;left:5837;top:1287;width:1321;height:2" coordorigin="5838,1287" coordsize="1321,0" path="m6663,1287l7158,1287m5838,1287l6333,1287e" filled="false" stroked="true" strokeweight=".589101pt" strokecolor="#d9d9d9">
              <v:path arrowok="t"/>
              <v:stroke dashstyle="solid"/>
            </v:shape>
            <v:rect style="position:absolute;left:6333;top:1263;width:331;height:142" filled="true" fillcolor="#938953" stroked="false">
              <v:fill type="solid"/>
            </v:rect>
            <v:line style="position:absolute" from="7488,1287" to="7983,1287" stroked="true" strokeweight=".589101pt" strokecolor="#d9d9d9">
              <v:stroke dashstyle="solid"/>
            </v:line>
            <v:rect style="position:absolute;left:7158;top:1310;width:331;height:83" filled="true" fillcolor="#938953" stroked="false">
              <v:fill type="solid"/>
            </v:rect>
            <v:line style="position:absolute" from="8313,1287" to="8808,1287" stroked="true" strokeweight=".589101pt" strokecolor="#d9d9d9">
              <v:stroke dashstyle="solid"/>
            </v:line>
            <v:rect style="position:absolute;left:7983;top:1310;width:331;height:95" filled="true" fillcolor="#938953" stroked="false">
              <v:fill type="solid"/>
            </v:rect>
            <v:line style="position:absolute" from="9138,1287" to="9633,1287" stroked="true" strokeweight=".589101pt" strokecolor="#d9d9d9">
              <v:stroke dashstyle="solid"/>
            </v:line>
            <v:rect style="position:absolute;left:8808;top:1310;width:331;height:95" filled="true" fillcolor="#938953" stroked="false">
              <v:fill type="solid"/>
            </v:rect>
            <v:line style="position:absolute" from="9963,1287" to="10211,1287" stroked="true" strokeweight=".589101pt" strokecolor="#d9d9d9">
              <v:stroke dashstyle="solid"/>
            </v:line>
            <v:rect style="position:absolute;left:9633;top:1322;width:331;height:95" filled="true" fillcolor="#938953" stroked="false">
              <v:fill type="solid"/>
            </v:rect>
            <v:shape style="position:absolute;left:1971;top:839;width:1898;height:2" coordorigin="1972,840" coordsize="1898,0" path="m2549,840l3869,840m1972,840l2219,840e" filled="false" stroked="true" strokeweight=".589101pt" strokecolor="#d9d9d9">
              <v:path arrowok="t"/>
              <v:stroke dashstyle="solid"/>
            </v:shape>
            <v:shape style="position:absolute;left:2219;top:827;width:1156;height:213" coordorigin="2219,828" coordsize="1156,213" path="m2549,828l2219,828,2219,1016,2549,1016,2549,828m3374,840l3044,840,3044,1040,3374,1040,3374,840e" filled="true" fillcolor="#ffd600" stroked="false">
              <v:path arrowok="t"/>
              <v:fill type="solid"/>
            </v:shape>
            <v:line style="position:absolute" from="4200,840" to="4695,840" stroked="true" strokeweight=".589101pt" strokecolor="#d9d9d9">
              <v:stroke dashstyle="solid"/>
            </v:line>
            <v:rect style="position:absolute;left:3869;top:875;width:331;height:189" filled="true" fillcolor="#ffd600" stroked="false">
              <v:fill type="solid"/>
            </v:rect>
            <v:line style="position:absolute" from="5025,1064" to="6333,1064" stroked="true" strokeweight=".589101pt" strokecolor="#d9d9d9">
              <v:stroke dashstyle="solid"/>
            </v:line>
            <v:rect style="position:absolute;left:4694;top:1039;width:331;height:165" filled="true" fillcolor="#ffd600" stroked="false">
              <v:fill type="solid"/>
            </v:rect>
            <v:rect style="position:absolute;left:5519;top:1252;width:319;height:130" filled="true" fillcolor="#ffd600" stroked="false">
              <v:fill type="solid"/>
            </v:rect>
            <v:line style="position:absolute" from="6663,1064" to="7158,1064" stroked="true" strokeweight=".589101pt" strokecolor="#d9d9d9">
              <v:stroke dashstyle="solid"/>
            </v:line>
            <v:rect style="position:absolute;left:6333;top:1087;width:331;height:177" filled="true" fillcolor="#ffd600" stroked="false">
              <v:fill type="solid"/>
            </v:rect>
            <v:line style="position:absolute" from="7488,1064" to="7983,1064" stroked="true" strokeweight=".589101pt" strokecolor="#d9d9d9">
              <v:stroke dashstyle="solid"/>
            </v:line>
            <v:rect style="position:absolute;left:7158;top:1122;width:331;height:189" filled="true" fillcolor="#ffd600" stroked="false">
              <v:fill type="solid"/>
            </v:rect>
            <v:line style="position:absolute" from="8313,1064" to="8808,1064" stroked="true" strokeweight=".589101pt" strokecolor="#d9d9d9">
              <v:stroke dashstyle="solid"/>
            </v:line>
            <v:rect style="position:absolute;left:7983;top:1122;width:331;height:189" filled="true" fillcolor="#ffd600" stroked="false">
              <v:fill type="solid"/>
            </v:rect>
            <v:line style="position:absolute" from="9138,1064" to="9633,1064" stroked="true" strokeweight=".589101pt" strokecolor="#d9d9d9">
              <v:stroke dashstyle="solid"/>
            </v:line>
            <v:rect style="position:absolute;left:8808;top:1122;width:331;height:189" filled="true" fillcolor="#ffd600" stroked="false">
              <v:fill type="solid"/>
            </v:rect>
            <v:line style="position:absolute" from="9963,1064" to="10211,1064" stroked="true" strokeweight=".589101pt" strokecolor="#d9d9d9">
              <v:stroke dashstyle="solid"/>
            </v:line>
            <v:rect style="position:absolute;left:9633;top:1122;width:331;height:201" filled="true" fillcolor="#ffd600" stroked="false">
              <v:fill type="solid"/>
            </v:rect>
            <v:shape style="position:absolute;left:1971;top:615;width:1073;height:2" coordorigin="1972,616" coordsize="1073,0" path="m2549,616l3044,616m1972,616l2219,616e" filled="false" stroked="true" strokeweight=".589101pt" strokecolor="#d9d9d9">
              <v:path arrowok="t"/>
              <v:stroke dashstyle="solid"/>
            </v:shape>
            <v:rect style="position:absolute;left:2219;top:556;width:331;height:271" filled="true" fillcolor="#ffeb8f" stroked="false">
              <v:fill type="solid"/>
            </v:rect>
            <v:line style="position:absolute" from="3374,616" to="10211,616" stroked="true" strokeweight=".589101pt" strokecolor="#d9d9d9">
              <v:stroke dashstyle="solid"/>
            </v:line>
            <v:shape style="position:absolute;left:3044;top:592;width:1156;height:283" coordorigin="3044,592" coordsize="1156,283" path="m3374,592l3044,592,3044,840,3374,840,3374,592m4200,639l3869,639,3869,875,4200,875,4200,639e" filled="true" fillcolor="#ffeb8f" stroked="false">
              <v:path arrowok="t"/>
              <v:fill type="solid"/>
            </v:shape>
            <v:line style="position:absolute" from="5025,840" to="10211,840" stroked="true" strokeweight=".589101pt" strokecolor="#d9d9d9">
              <v:stroke dashstyle="solid"/>
            </v:line>
            <v:rect style="position:absolute;left:4694;top:827;width:331;height:213" filled="true" fillcolor="#ffeb8f" stroked="false">
              <v:fill type="solid"/>
            </v:rect>
            <v:rect style="position:absolute;left:5519;top:1122;width:319;height:130" filled="true" fillcolor="#ffeb8f" stroked="false">
              <v:fill type="solid"/>
            </v:rect>
            <v:shape style="position:absolute;left:6332;top:898;width:3631;height:224" coordorigin="6333,899" coordsize="3631,224" path="m6663,899l6333,899,6333,1087,6663,1087,6663,899m7488,934l7158,934,7158,1122,7488,1122,7488,934m8313,934l7983,934,7983,1122,8313,1122,8313,934m9138,922l8808,922,8808,1122,9138,1122,9138,922m9963,934l9633,934,9633,1122,9963,1122,9963,934e" filled="true" fillcolor="#ffeb8f" stroked="false">
              <v:path arrowok="t"/>
              <v:fill type="solid"/>
            </v:shape>
            <v:shape style="position:absolute;left:0;top:-10187;width:652743;height:25214" coordorigin="0,-10186" coordsize="652743,25214" path="m1972,2407l10211,2407m1972,2407l1972,2466m1972,2407l1972,2725m2797,2407l2797,2466m2797,2407l2797,2725m3622,2407l3622,2466m3622,2407l3622,2725m4447,2407l4447,2466m4447,2407l4447,2725m5272,2407l5272,2466m5272,2407l5272,2725m6085,2407l6085,2466m6085,2407l6085,2725m6911,2407l6911,2466m6911,2407l6911,2725m7736,2407l7736,2466m7736,2407l7736,2725m8561,2407l8561,2466m8561,2407l8561,2725m9386,2407l9386,2466m9386,2407l9386,2725m10211,2407l10211,2466m10211,2407l10211,2725e" filled="false" stroked="true" strokeweight=".589229pt" strokecolor="#d9d9d9">
              <v:path arrowok="t"/>
              <v:stroke dashstyle="solid"/>
            </v:shape>
            <v:shape style="position:absolute;left:0;top:-10187;width:652743;height:25214" coordorigin="0,-10186" coordsize="652743,25214" path="m1972,2725l1972,3043m6085,2725l6085,3043m10211,2725l10211,3043e" filled="false" stroked="true" strokeweight=".589229pt" strokecolor="#d9d9d9">
              <v:path arrowok="t"/>
              <v:stroke dashstyle="solid"/>
            </v:shape>
            <v:shape style="position:absolute;left:0;top:152912;width:634093;height:17236" coordorigin="0,152913" coordsize="634093,17236" path="m1972,392l10211,392m1972,168l10211,168e" filled="false" stroked="true" strokeweight=".589226pt" strokecolor="#d9d9d9">
              <v:path arrowok="t"/>
              <v:stroke dashstyle="solid"/>
            </v:shape>
            <v:line style="position:absolute" from="6104,180" to="6097,2423" stroked="true" strokeweight=".589358pt" strokecolor="#a6a6a6">
              <v:stroke dashstyle="solid"/>
            </v:line>
            <v:shape style="position:absolute;left:2219;top:2546;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2014</w:t>
                    </w:r>
                  </w:p>
                </w:txbxContent>
              </v:textbox>
              <w10:wrap type="none"/>
            </v:shape>
            <v:shape style="position:absolute;left:3042;top:2546;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2015</w:t>
                    </w:r>
                  </w:p>
                </w:txbxContent>
              </v:textbox>
              <w10:wrap type="none"/>
            </v:shape>
            <v:shape style="position:absolute;left:3865;top:2546;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2016</w:t>
                    </w:r>
                  </w:p>
                </w:txbxContent>
              </v:textbox>
              <w10:wrap type="none"/>
            </v:shape>
            <v:shape style="position:absolute;left:4688;top:2546;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2017</w:t>
                    </w:r>
                  </w:p>
                </w:txbxContent>
              </v:textbox>
              <w10:wrap type="none"/>
            </v:shape>
            <v:shape style="position:absolute;left:5511;top:2546;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2018</w:t>
                    </w:r>
                  </w:p>
                </w:txbxContent>
              </v:textbox>
              <w10:wrap type="none"/>
            </v:shape>
            <v:shape style="position:absolute;left:6334;top:2546;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2019</w:t>
                    </w:r>
                  </w:p>
                </w:txbxContent>
              </v:textbox>
              <w10:wrap type="none"/>
            </v:shape>
            <v:shape style="position:absolute;left:7157;top:2546;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2020</w:t>
                    </w:r>
                  </w:p>
                </w:txbxContent>
              </v:textbox>
              <w10:wrap type="none"/>
            </v:shape>
            <v:shape style="position:absolute;left:7980;top:2546;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2021</w:t>
                    </w:r>
                  </w:p>
                </w:txbxContent>
              </v:textbox>
              <w10:wrap type="none"/>
            </v:shape>
            <v:shape style="position:absolute;left:8803;top:2546;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2022</w:t>
                    </w:r>
                  </w:p>
                </w:txbxContent>
              </v:textbox>
              <w10:wrap type="none"/>
            </v:shape>
            <v:shape style="position:absolute;left:9626;top:2546;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2023</w:t>
                    </w:r>
                  </w:p>
                </w:txbxContent>
              </v:textbox>
              <w10:wrap type="none"/>
            </v:shape>
            <v:shape style="position:absolute;left:3776;top:2863;width:4711;height:165" type="#_x0000_t202" filled="false" stroked="false">
              <v:textbox inset="0,0,0,0">
                <w:txbxContent>
                  <w:p>
                    <w:pPr>
                      <w:tabs>
                        <w:tab w:pos="4049" w:val="left" w:leader="none"/>
                      </w:tabs>
                      <w:spacing w:line="165" w:lineRule="exact" w:before="0"/>
                      <w:ind w:left="0" w:right="0" w:firstLine="0"/>
                      <w:jc w:val="left"/>
                      <w:rPr>
                        <w:rFonts w:ascii="Calibri"/>
                        <w:sz w:val="16"/>
                      </w:rPr>
                    </w:pPr>
                    <w:r>
                      <w:rPr>
                        <w:rFonts w:ascii="Calibri"/>
                        <w:color w:val="585858"/>
                        <w:w w:val="105"/>
                        <w:sz w:val="16"/>
                      </w:rPr>
                      <w:t>Historic</w:t>
                      <w:tab/>
                    </w:r>
                    <w:r>
                      <w:rPr>
                        <w:rFonts w:ascii="Calibri"/>
                        <w:color w:val="585858"/>
                        <w:sz w:val="16"/>
                      </w:rPr>
                      <w:t>Projected</w:t>
                    </w:r>
                  </w:p>
                </w:txbxContent>
              </v:textbox>
              <w10:wrap type="none"/>
            </v:shape>
            <w10:wrap type="none"/>
          </v:group>
        </w:pict>
      </w:r>
      <w:r>
        <w:rPr>
          <w:rFonts w:ascii="Calibri"/>
          <w:color w:val="585858"/>
          <w:spacing w:val="-2"/>
          <w:sz w:val="16"/>
        </w:rPr>
        <w:t>100,000</w:t>
      </w:r>
    </w:p>
    <w:p>
      <w:pPr>
        <w:spacing w:before="28"/>
        <w:ind w:left="0" w:right="10082" w:firstLine="0"/>
        <w:jc w:val="right"/>
        <w:rPr>
          <w:rFonts w:ascii="Calibri"/>
          <w:sz w:val="16"/>
        </w:rPr>
      </w:pPr>
      <w:r>
        <w:rPr>
          <w:rFonts w:ascii="Calibri"/>
          <w:color w:val="585858"/>
          <w:spacing w:val="-1"/>
          <w:sz w:val="16"/>
        </w:rPr>
        <w:t>90,000</w:t>
      </w:r>
    </w:p>
    <w:p>
      <w:pPr>
        <w:spacing w:before="29"/>
        <w:ind w:left="0" w:right="10082" w:firstLine="0"/>
        <w:jc w:val="right"/>
        <w:rPr>
          <w:rFonts w:ascii="Calibri"/>
          <w:sz w:val="16"/>
        </w:rPr>
      </w:pPr>
      <w:r>
        <w:rPr>
          <w:rFonts w:ascii="Calibri"/>
          <w:color w:val="585858"/>
          <w:spacing w:val="-1"/>
          <w:sz w:val="16"/>
        </w:rPr>
        <w:t>80,000</w:t>
      </w:r>
    </w:p>
    <w:p>
      <w:pPr>
        <w:spacing w:before="29"/>
        <w:ind w:left="0" w:right="10082" w:firstLine="0"/>
        <w:jc w:val="right"/>
        <w:rPr>
          <w:rFonts w:ascii="Calibri"/>
          <w:sz w:val="16"/>
        </w:rPr>
      </w:pPr>
      <w:r>
        <w:rPr>
          <w:rFonts w:ascii="Calibri"/>
          <w:color w:val="585858"/>
          <w:spacing w:val="-1"/>
          <w:sz w:val="16"/>
        </w:rPr>
        <w:t>70,000</w:t>
      </w:r>
    </w:p>
    <w:p>
      <w:pPr>
        <w:spacing w:before="29"/>
        <w:ind w:left="0" w:right="10082" w:firstLine="0"/>
        <w:jc w:val="right"/>
        <w:rPr>
          <w:rFonts w:ascii="Calibri"/>
          <w:sz w:val="16"/>
        </w:rPr>
      </w:pPr>
      <w:r>
        <w:rPr>
          <w:rFonts w:ascii="Calibri"/>
          <w:color w:val="585858"/>
          <w:spacing w:val="-1"/>
          <w:sz w:val="16"/>
        </w:rPr>
        <w:t>60,000</w:t>
      </w:r>
    </w:p>
    <w:p>
      <w:pPr>
        <w:spacing w:before="29"/>
        <w:ind w:left="0" w:right="10082" w:firstLine="0"/>
        <w:jc w:val="right"/>
        <w:rPr>
          <w:rFonts w:ascii="Calibri"/>
          <w:sz w:val="16"/>
        </w:rPr>
      </w:pPr>
      <w:r>
        <w:rPr>
          <w:rFonts w:ascii="Calibri"/>
          <w:color w:val="585858"/>
          <w:spacing w:val="-1"/>
          <w:sz w:val="16"/>
        </w:rPr>
        <w:t>50,000</w:t>
      </w:r>
    </w:p>
    <w:p>
      <w:pPr>
        <w:spacing w:before="28"/>
        <w:ind w:left="0" w:right="10082" w:firstLine="0"/>
        <w:jc w:val="right"/>
        <w:rPr>
          <w:rFonts w:ascii="Calibri"/>
          <w:sz w:val="16"/>
        </w:rPr>
      </w:pPr>
      <w:r>
        <w:rPr>
          <w:rFonts w:ascii="Calibri"/>
          <w:color w:val="585858"/>
          <w:spacing w:val="-1"/>
          <w:sz w:val="16"/>
        </w:rPr>
        <w:t>40,000</w:t>
      </w:r>
    </w:p>
    <w:p>
      <w:pPr>
        <w:spacing w:before="29"/>
        <w:ind w:left="0" w:right="10082" w:firstLine="0"/>
        <w:jc w:val="right"/>
        <w:rPr>
          <w:rFonts w:ascii="Calibri"/>
          <w:sz w:val="16"/>
        </w:rPr>
      </w:pPr>
      <w:r>
        <w:rPr>
          <w:rFonts w:ascii="Calibri"/>
          <w:color w:val="585858"/>
          <w:spacing w:val="-1"/>
          <w:sz w:val="16"/>
        </w:rPr>
        <w:t>30,000</w:t>
      </w:r>
    </w:p>
    <w:p>
      <w:pPr>
        <w:spacing w:before="29"/>
        <w:ind w:left="0" w:right="10082" w:firstLine="0"/>
        <w:jc w:val="right"/>
        <w:rPr>
          <w:rFonts w:ascii="Calibri"/>
          <w:sz w:val="16"/>
        </w:rPr>
      </w:pPr>
      <w:r>
        <w:rPr>
          <w:rFonts w:ascii="Calibri"/>
          <w:color w:val="585858"/>
          <w:spacing w:val="-1"/>
          <w:sz w:val="16"/>
        </w:rPr>
        <w:t>20,000</w:t>
      </w:r>
    </w:p>
    <w:p>
      <w:pPr>
        <w:spacing w:before="29"/>
        <w:ind w:left="0" w:right="10082" w:firstLine="0"/>
        <w:jc w:val="right"/>
        <w:rPr>
          <w:rFonts w:ascii="Calibri"/>
          <w:sz w:val="16"/>
        </w:rPr>
      </w:pPr>
      <w:r>
        <w:rPr>
          <w:rFonts w:ascii="Calibri"/>
          <w:color w:val="585858"/>
          <w:spacing w:val="-1"/>
          <w:sz w:val="16"/>
        </w:rPr>
        <w:t>10,000</w:t>
      </w:r>
    </w:p>
    <w:p>
      <w:pPr>
        <w:spacing w:before="28"/>
        <w:ind w:left="0" w:right="10082" w:firstLine="0"/>
        <w:jc w:val="right"/>
        <w:rPr>
          <w:rFonts w:ascii="Calibri"/>
          <w:sz w:val="16"/>
        </w:rPr>
      </w:pPr>
      <w:r>
        <w:rPr>
          <w:rFonts w:ascii="Calibri"/>
          <w:color w:val="585858"/>
          <w:w w:val="103"/>
          <w:sz w:val="16"/>
        </w:rPr>
        <w:t>0</w:t>
      </w:r>
    </w:p>
    <w:p>
      <w:pPr>
        <w:pStyle w:val="BodyText"/>
        <w:rPr>
          <w:rFonts w:ascii="Calibri"/>
        </w:rPr>
      </w:pPr>
    </w:p>
    <w:p>
      <w:pPr>
        <w:pStyle w:val="BodyText"/>
        <w:spacing w:before="5"/>
        <w:rPr>
          <w:rFonts w:ascii="Calibri"/>
          <w:sz w:val="26"/>
        </w:rPr>
      </w:pPr>
    </w:p>
    <w:p>
      <w:pPr>
        <w:spacing w:before="61"/>
        <w:ind w:left="1602" w:right="1423" w:firstLine="0"/>
        <w:jc w:val="center"/>
        <w:rPr>
          <w:rFonts w:ascii="Calibri"/>
          <w:b/>
          <w:sz w:val="19"/>
        </w:rPr>
      </w:pPr>
      <w:r>
        <w:rPr>
          <w:rFonts w:ascii="Calibri"/>
          <w:b/>
          <w:color w:val="585858"/>
          <w:sz w:val="19"/>
        </w:rPr>
        <w:t>Year Ending 30 June</w:t>
      </w:r>
    </w:p>
    <w:p>
      <w:pPr>
        <w:pStyle w:val="BodyText"/>
        <w:rPr>
          <w:rFonts w:ascii="Calibri"/>
          <w:b/>
        </w:rPr>
      </w:pPr>
    </w:p>
    <w:p>
      <w:pPr>
        <w:pStyle w:val="BodyText"/>
        <w:rPr>
          <w:rFonts w:ascii="Calibri"/>
          <w:b/>
        </w:rPr>
      </w:pPr>
    </w:p>
    <w:p>
      <w:pPr>
        <w:pStyle w:val="BodyText"/>
        <w:spacing w:before="1"/>
        <w:rPr>
          <w:rFonts w:ascii="Calibri"/>
          <w:b/>
          <w:sz w:val="18"/>
        </w:rPr>
      </w:pPr>
    </w:p>
    <w:p>
      <w:pPr>
        <w:pStyle w:val="Heading9"/>
      </w:pPr>
      <w:r>
        <w:rPr>
          <w:color w:val="DF2F1E"/>
        </w:rPr>
        <w:t>Figure 56: Number of people exiting class 3 – Parents (by class exited to)</w:t>
      </w:r>
    </w:p>
    <w:p>
      <w:pPr>
        <w:pStyle w:val="BodyText"/>
        <w:spacing w:before="3"/>
        <w:rPr>
          <w:b/>
          <w:sz w:val="9"/>
        </w:rPr>
      </w:pPr>
    </w:p>
    <w:p>
      <w:pPr>
        <w:spacing w:before="72"/>
        <w:ind w:left="0" w:right="10085" w:firstLine="0"/>
        <w:jc w:val="right"/>
        <w:rPr>
          <w:rFonts w:ascii="Calibri"/>
          <w:sz w:val="16"/>
        </w:rPr>
      </w:pPr>
      <w:r>
        <w:rPr/>
        <w:pict>
          <v:group style="position:absolute;margin-left:98.348862pt;margin-top:8.85572pt;width:412.5pt;height:144.3pt;mso-position-horizontal-relative:page;mso-position-vertical-relative:paragraph;z-index:252282880" coordorigin="1967,177" coordsize="8250,2886">
            <v:shape style="position:absolute;left:1972;top:1752;width:8239;height:449" coordorigin="1973,1752" coordsize="8239,449" path="m9963,2201l10211,2201m9149,2201l9633,2201m8323,2201l8818,2201m7496,2201l7992,2201m6670,2201l7166,2201m5844,2201l6340,2201m5018,2201l5514,2201m4204,2201l4687,2201m3377,2201l3873,2201m2551,2201l3047,2201m1973,2201l2221,2201m2551,1977l3047,1977m1973,1977l2221,1977m2551,1752l3047,1752m1973,1752l2221,1752e" filled="false" stroked="true" strokeweight=".589983pt" strokecolor="#d9d9d9">
              <v:path arrowok="t"/>
              <v:stroke dashstyle="solid"/>
            </v:shape>
            <v:rect style="position:absolute;left:2220;top:2389;width:331;height:36" filled="true" fillcolor="#1f487c" stroked="false">
              <v:fill type="solid"/>
            </v:rect>
            <v:rect style="position:absolute;left:2220;top:2389;width:331;height:36" filled="false" stroked="true" strokeweight=".589984pt" strokecolor="#1f487c">
              <v:stroke dashstyle="solid"/>
            </v:rect>
            <v:rect style="position:absolute;left:2220;top:1657;width:331;height:732" filled="true" fillcolor="#009544" stroked="false">
              <v:fill type="solid"/>
            </v:rect>
            <v:shape style="position:absolute;left:3377;top:1752;width:496;height:225" coordorigin="3377,1752" coordsize="496,225" path="m3377,1977l3873,1977m3377,1752l3873,1752e" filled="false" stroked="true" strokeweight=".589983pt" strokecolor="#d9d9d9">
              <v:path arrowok="t"/>
              <v:stroke dashstyle="solid"/>
            </v:shape>
            <v:rect style="position:absolute;left:3046;top:2389;width:331;height:36" filled="true" fillcolor="#1f487c" stroked="false">
              <v:fill type="solid"/>
            </v:rect>
            <v:rect style="position:absolute;left:3046;top:2389;width:331;height:36" filled="false" stroked="true" strokeweight=".589984pt" strokecolor="#1f487c">
              <v:stroke dashstyle="solid"/>
            </v:rect>
            <v:rect style="position:absolute;left:3046;top:1669;width:331;height:720" filled="true" fillcolor="#009544" stroked="false">
              <v:fill type="solid"/>
            </v:rect>
            <v:shape style="position:absolute;left:4203;top:1752;width:484;height:225" coordorigin="4204,1752" coordsize="484,225" path="m4204,1977l4687,1977m4204,1752l4687,1752e" filled="false" stroked="true" strokeweight=".589983pt" strokecolor="#d9d9d9">
              <v:path arrowok="t"/>
              <v:stroke dashstyle="solid"/>
            </v:shape>
            <v:rect style="position:absolute;left:3873;top:2389;width:331;height:36" filled="true" fillcolor="#1f487c" stroked="false">
              <v:fill type="solid"/>
            </v:rect>
            <v:rect style="position:absolute;left:3873;top:2389;width:331;height:36" filled="false" stroked="true" strokeweight=".589984pt" strokecolor="#1f487c">
              <v:stroke dashstyle="solid"/>
            </v:rect>
            <v:rect style="position:absolute;left:3873;top:1681;width:331;height:708" filled="true" fillcolor="#009544" stroked="false">
              <v:fill type="solid"/>
            </v:rect>
            <v:shape style="position:absolute;left:5017;top:1752;width:496;height:225" coordorigin="5018,1752" coordsize="496,225" path="m5018,1977l5514,1977m5018,1752l5514,1752e" filled="false" stroked="true" strokeweight=".589983pt" strokecolor="#d9d9d9">
              <v:path arrowok="t"/>
              <v:stroke dashstyle="solid"/>
            </v:shape>
            <v:rect style="position:absolute;left:4687;top:2389;width:331;height:36" filled="true" fillcolor="#1f487c" stroked="false">
              <v:fill type="solid"/>
            </v:rect>
            <v:rect style="position:absolute;left:4687;top:2389;width:331;height:36" filled="false" stroked="true" strokeweight=".589984pt" strokecolor="#1f487c">
              <v:stroke dashstyle="solid"/>
            </v:rect>
            <v:rect style="position:absolute;left:4687;top:1716;width:331;height:673" filled="true" fillcolor="#009544" stroked="false">
              <v:fill type="solid"/>
            </v:rect>
            <v:shape style="position:absolute;left:5844;top:1752;width:496;height:225" coordorigin="5844,1752" coordsize="496,225" path="m5844,1977l6340,1977m5844,1752l6340,1752e" filled="false" stroked="true" strokeweight=".589983pt" strokecolor="#d9d9d9">
              <v:path arrowok="t"/>
              <v:stroke dashstyle="solid"/>
            </v:shape>
            <v:rect style="position:absolute;left:5513;top:2389;width:331;height:36" filled="true" fillcolor="#1f487c" stroked="false">
              <v:fill type="solid"/>
            </v:rect>
            <v:rect style="position:absolute;left:5513;top:2389;width:331;height:36" filled="false" stroked="true" strokeweight=".589984pt" strokecolor="#1f487c">
              <v:stroke dashstyle="solid"/>
            </v:rect>
            <v:rect style="position:absolute;left:5513;top:1764;width:331;height:626" filled="true" fillcolor="#009544" stroked="false">
              <v:fill type="solid"/>
            </v:rect>
            <v:shape style="position:absolute;left:6670;top:1752;width:496;height:225" coordorigin="6670,1752" coordsize="496,225" path="m6670,1977l7166,1977m6670,1752l7166,1752e" filled="false" stroked="true" strokeweight=".589983pt" strokecolor="#d9d9d9">
              <v:path arrowok="t"/>
              <v:stroke dashstyle="solid"/>
            </v:shape>
            <v:rect style="position:absolute;left:6339;top:2389;width:331;height:36" filled="true" fillcolor="#1f487c" stroked="false">
              <v:fill type="solid"/>
            </v:rect>
            <v:rect style="position:absolute;left:6339;top:2389;width:331;height:36" filled="false" stroked="true" strokeweight=".589984pt" strokecolor="#1f487c">
              <v:stroke dashstyle="solid"/>
            </v:rect>
            <v:rect style="position:absolute;left:6339;top:1728;width:331;height:661" filled="true" fillcolor="#009544" stroked="false">
              <v:fill type="solid"/>
            </v:rect>
            <v:shape style="position:absolute;left:7496;top:1752;width:496;height:225" coordorigin="7496,1752" coordsize="496,225" path="m7496,1977l7992,1977m7496,1752l7992,1752e" filled="false" stroked="true" strokeweight=".589983pt" strokecolor="#d9d9d9">
              <v:path arrowok="t"/>
              <v:stroke dashstyle="solid"/>
            </v:shape>
            <v:rect style="position:absolute;left:7166;top:2389;width:331;height:36" filled="true" fillcolor="#1f487c" stroked="false">
              <v:fill type="solid"/>
            </v:rect>
            <v:rect style="position:absolute;left:7166;top:2389;width:331;height:36" filled="false" stroked="true" strokeweight=".589984pt" strokecolor="#1f487c">
              <v:stroke dashstyle="solid"/>
            </v:rect>
            <v:rect style="position:absolute;left:7166;top:1716;width:331;height:673" filled="true" fillcolor="#009544" stroked="false">
              <v:fill type="solid"/>
            </v:rect>
            <v:shape style="position:absolute;left:8322;top:1752;width:496;height:225" coordorigin="8323,1752" coordsize="496,225" path="m8323,1977l8818,1977m8323,1752l8818,1752e" filled="false" stroked="true" strokeweight=".589983pt" strokecolor="#d9d9d9">
              <v:path arrowok="t"/>
              <v:stroke dashstyle="solid"/>
            </v:shape>
            <v:rect style="position:absolute;left:7992;top:2389;width:331;height:36" filled="true" fillcolor="#1f487c" stroked="false">
              <v:fill type="solid"/>
            </v:rect>
            <v:rect style="position:absolute;left:7992;top:2389;width:331;height:36" filled="false" stroked="true" strokeweight=".589984pt" strokecolor="#1f487c">
              <v:stroke dashstyle="solid"/>
            </v:rect>
            <v:rect style="position:absolute;left:7992;top:1716;width:331;height:673" filled="true" fillcolor="#009544" stroked="false">
              <v:fill type="solid"/>
            </v:rect>
            <v:shape style="position:absolute;left:9148;top:1752;width:1063;height:225" coordorigin="9149,1752" coordsize="1063,225" path="m9149,1977l9633,1977m9149,1752l10211,1752e" filled="false" stroked="true" strokeweight=".589983pt" strokecolor="#d9d9d9">
              <v:path arrowok="t"/>
              <v:stroke dashstyle="solid"/>
            </v:shape>
            <v:rect style="position:absolute;left:8818;top:2389;width:331;height:36" filled="true" fillcolor="#1f487c" stroked="false">
              <v:fill type="solid"/>
            </v:rect>
            <v:rect style="position:absolute;left:8818;top:2389;width:331;height:36" filled="false" stroked="true" strokeweight=".589984pt" strokecolor="#1f487c">
              <v:stroke dashstyle="solid"/>
            </v:rect>
            <v:rect style="position:absolute;left:8818;top:1740;width:331;height:649" filled="true" fillcolor="#009544" stroked="false">
              <v:fill type="solid"/>
            </v:rect>
            <v:line style="position:absolute" from="9963,1977" to="10211,1977" stroked="true" strokeweight=".589983pt" strokecolor="#d9d9d9">
              <v:stroke dashstyle="solid"/>
            </v:line>
            <v:rect style="position:absolute;left:9632;top:2389;width:331;height:36" filled="true" fillcolor="#1f487c" stroked="false">
              <v:fill type="solid"/>
            </v:rect>
            <v:rect style="position:absolute;left:9632;top:2389;width:331;height:36" filled="false" stroked="true" strokeweight=".589984pt" strokecolor="#1f487c">
              <v:stroke dashstyle="solid"/>
            </v:rect>
            <v:rect style="position:absolute;left:9632;top:1752;width:331;height:638" filled="true" fillcolor="#009544" stroked="false">
              <v:fill type="solid"/>
            </v:rect>
            <v:shape style="position:absolute;left:19514;top:-163242;width:609601;height:57615" coordorigin="19515,-163241" coordsize="609601,57615" path="m2221,1658l2551,1658,2551,2390,2221,2390,2221,1658xm3047,1670l3377,1670,3377,2390,3047,2390,3047,1670xm3873,1682l4204,1682,4204,2390,3873,2390,3873,1682xm4687,1717l5018,1717,5018,2390,4687,2390,4687,1717xm5514,1764l5844,1764,5844,2390,5514,2390,5514,1764xm6340,1729l6670,1729,6670,2390,6340,2390,6340,1729xm7166,1717l7496,1717,7496,2390,7166,2390,7166,1717xm7992,1717l8323,1717,8323,2390,7992,2390,7992,1717xm8818,1741l9149,1741,9149,2390,8818,2390,8818,1741xm9633,1752l9963,1752,9963,2390,9633,2390,9633,1752xe" filled="false" stroked="true" strokeweight=".590052pt" strokecolor="#009544">
              <v:path arrowok="t"/>
              <v:stroke dashstyle="solid"/>
            </v:shape>
            <v:line style="position:absolute" from="1973,1528" to="3873,1528" stroked="true" strokeweight=".589983pt" strokecolor="#d9d9d9">
              <v:stroke dashstyle="solid"/>
            </v:line>
            <v:shape style="position:absolute;left:2220;top:1528;width:1157;height:142" coordorigin="2221,1528" coordsize="1157,142" path="m2551,1528l2221,1528,2221,1658,2551,1658,2551,1528m3377,1540l3047,1540,3047,1670,3377,1670,3377,1540e" filled="true" fillcolor="#e08ad6" stroked="false">
              <v:path arrowok="t"/>
              <v:fill type="solid"/>
            </v:shape>
            <v:line style="position:absolute" from="4204,1528" to="4687,1528" stroked="true" strokeweight=".589983pt" strokecolor="#d9d9d9">
              <v:stroke dashstyle="solid"/>
            </v:line>
            <v:rect style="position:absolute;left:3873;top:1551;width:331;height:130" filled="true" fillcolor="#e08ad6" stroked="false">
              <v:fill type="solid"/>
            </v:rect>
            <v:line style="position:absolute" from="5018,1528" to="5514,1528" stroked="true" strokeweight=".589983pt" strokecolor="#d9d9d9">
              <v:stroke dashstyle="solid"/>
            </v:line>
            <v:shape style="position:absolute;left:4687;top:1599;width:1983;height:166" coordorigin="4687,1599" coordsize="1983,166" path="m5018,1599l4687,1599,4687,1717,5018,1717,5018,1599m5844,1646l5514,1646,5514,1764,5844,1764,5844,1646m6670,1611l6340,1611,6340,1729,6670,1729,6670,1611e" filled="true" fillcolor="#e08ad6" stroked="false">
              <v:path arrowok="t"/>
              <v:fill type="solid"/>
            </v:shape>
            <v:shape style="position:absolute;left:6670;top:1528;width:1322;height:2" coordorigin="6670,1528" coordsize="1322,0" path="m7496,1528l7992,1528m6670,1528l7166,1528e" filled="false" stroked="true" strokeweight=".589983pt" strokecolor="#d9d9d9">
              <v:path arrowok="t"/>
              <v:stroke dashstyle="solid"/>
            </v:shape>
            <v:shape style="position:absolute;left:7165;top:1587;width:2798;height:166" coordorigin="7166,1587" coordsize="2798,166" path="m7496,1587l7166,1587,7166,1717,7496,1717,7496,1587m8323,1611l7992,1611,7992,1717,8323,1717,8323,1611m9149,1623l8818,1623,8818,1741,9149,1741,9149,1623m9963,1646l9633,1646,9633,1752,9963,1752,9963,1646e" filled="true" fillcolor="#e08ad6" stroked="false">
              <v:path arrowok="t"/>
              <v:fill type="solid"/>
            </v:shape>
            <v:shape style="position:absolute;left:19902;top:-116468;width:621732;height:18956" coordorigin="19903,-116468" coordsize="621732,18956" path="m2221,1528l2551,1528,2551,1658,2221,1658,2221,1528xm3047,1540l3377,1540,3377,1670,3047,1670,3047,1540xm3873,1552l4204,1552,4204,1682,3873,1682,3873,1552xm4687,1599l5018,1599,5018,1717,4687,1717,4687,1599xm5514,1646l5844,1646,5844,1764,5514,1764,5514,1646xm6340,1611l6670,1611,6670,1729,6340,1729,6340,1611xm7166,1587l7496,1587,7496,1717,7166,1717,7166,1587xm7992,1611l8323,1611,8323,1717,7992,1717,7992,1611xm8818,1623l9149,1623,9149,1741,8818,1741,8818,1623xm9633,1646l9963,1646,9963,1752,9633,1752,9633,1646xe" filled="false" stroked="true" strokeweight=".590054pt" strokecolor="#e08ad6">
              <v:path arrowok="t"/>
              <v:stroke dashstyle="solid"/>
            </v:shape>
            <v:shape style="position:absolute;left:2220;top:1492;width:1157;height:48" coordorigin="2221,1493" coordsize="1157,48" path="m2551,1493l2221,1493,2221,1528,2551,1528,2551,1493m3377,1516l3047,1516,3047,1540,3377,1540,3377,1516e" filled="true" fillcolor="#8063a1" stroked="false">
              <v:path arrowok="t"/>
              <v:fill type="solid"/>
            </v:shape>
            <v:line style="position:absolute" from="3873,1546" to="4204,1546" stroked="true" strokeweight=".589985pt" strokecolor="#8063a1">
              <v:stroke dashstyle="solid"/>
            </v:line>
            <v:rect style="position:absolute;left:4687;top:1575;width:331;height:24" filled="true" fillcolor="#8063a1" stroked="false">
              <v:fill type="solid"/>
            </v:rect>
            <v:line style="position:absolute" from="5514,1640" to="5844,1640" stroked="true" strokeweight=".589985pt" strokecolor="#8063a1">
              <v:stroke dashstyle="solid"/>
            </v:line>
            <v:line style="position:absolute" from="5844,1528" to="6340,1528" stroked="true" strokeweight=".589983pt" strokecolor="#d9d9d9">
              <v:stroke dashstyle="solid"/>
            </v:line>
            <v:shape style="position:absolute;left:6339;top:1581;width:1157;height:24" coordorigin="6340,1581" coordsize="1157,24" path="m6340,1605l6670,1605m7166,1581l7496,1581e" filled="false" stroked="true" strokeweight=".589985pt" strokecolor="#8063a1">
              <v:path arrowok="t"/>
              <v:stroke dashstyle="solid"/>
            </v:shape>
            <v:line style="position:absolute" from="8323,1528" to="8818,1528" stroked="true" strokeweight=".589983pt" strokecolor="#d9d9d9">
              <v:stroke dashstyle="solid"/>
            </v:line>
            <v:shape style="position:absolute;left:7992;top:1604;width:1972;height:36" coordorigin="7992,1605" coordsize="1972,36" path="m7992,1605l8323,1605m8818,1617l9149,1617m9633,1640l9963,1640e" filled="false" stroked="true" strokeweight=".589985pt" strokecolor="#8063a1">
              <v:path arrowok="t"/>
              <v:stroke dashstyle="solid"/>
            </v:shape>
            <v:rect style="position:absolute;left:2220;top:1492;width:331;height:36" filled="false" stroked="true" strokeweight=".589987pt" strokecolor="#8063a1">
              <v:stroke dashstyle="solid"/>
            </v:rect>
            <v:shape style="position:absolute;left:3041;top:1510;width:6929;height:142" coordorigin="3041,1510" coordsize="6929,142" path="m3383,1510l3041,1510,3041,1546,3383,1546,3383,1510m4209,1534l3867,1534,3867,1558,4209,1558,4209,1534m5024,1569l4682,1569,4682,1605,5024,1605,5024,1569m5850,1628l5508,1628,5508,1652,5850,1652,5850,1628m6676,1593l6334,1593,6334,1617,6676,1617,6676,1593m7502,1569l7160,1569,7160,1593,7502,1593,7502,1569m8329,1593l7986,1593,7986,1617,8329,1617,8329,1593m9155,1605l8812,1605,8812,1628,9155,1628,9155,1605m9969,1628l9627,1628,9627,1652,9969,1652,9969,1628e" filled="true" fillcolor="#8063a1" stroked="false">
              <v:path arrowok="t"/>
              <v:fill type="solid"/>
            </v:shape>
            <v:shape style="position:absolute;left:7992;top:1593;width:1972;height:36" coordorigin="7992,1593" coordsize="1972,36" path="m7992,1593l8323,1593m9633,1628l9963,1628e" filled="false" stroked="true" strokeweight=".589985pt" strokecolor="#c0504d">
              <v:path arrowok="t"/>
              <v:stroke dashstyle="solid"/>
            </v:shape>
            <v:shape style="position:absolute;left:2214;top:1475;width:6114;height:166" coordorigin="2215,1475" coordsize="6114,166" path="m2557,1475l2215,1475,2215,1499,2557,1499,2557,1475m3383,1499l3041,1499,3041,1522,3383,1522,3383,1499m4209,1522l3867,1522,3867,1546,4209,1546,4209,1522m5024,1558l4682,1558,4682,1581,5024,1581,5024,1558m5850,1617l5508,1617,5508,1640,5850,1640,5850,1617m6676,1581l6334,1581,6334,1605,6676,1605,6676,1581m7502,1558l7160,1558,7160,1581,7502,1581,7502,1558m8329,1581l7986,1581,7986,1605,8329,1605,8329,1581e" filled="true" fillcolor="#c0504d" stroked="false">
              <v:path arrowok="t"/>
              <v:fill type="solid"/>
            </v:shape>
            <v:line style="position:absolute" from="9149,1528" to="9633,1528" stroked="true" strokeweight=".589983pt" strokecolor="#d9d9d9">
              <v:stroke dashstyle="solid"/>
            </v:line>
            <v:shape style="position:absolute;left:8812;top:1593;width:1157;height:48" coordorigin="8812,1593" coordsize="1157,48" path="m9155,1593l8812,1593,8812,1617,9155,1617,9155,1593m9969,1617l9627,1617,9627,1640,9969,1640,9969,1617e" filled="true" fillcolor="#c0504d" stroked="false">
              <v:path arrowok="t"/>
              <v:fill type="solid"/>
            </v:shape>
            <v:shape style="position:absolute;left:1972;top:631;width:2715;height:673" coordorigin="1973,631" coordsize="2715,673" path="m2551,1304l3047,1304m1973,1304l2221,1304m2551,1080l3047,1080m1973,1080l2221,1080m2551,856l3047,856m1973,856l2221,856m2551,631l4687,631m1973,631l2221,631e" filled="false" stroked="true" strokeweight=".589983pt" strokecolor="#d9d9d9">
              <v:path arrowok="t"/>
              <v:stroke dashstyle="solid"/>
            </v:shape>
            <v:rect style="position:absolute;left:2220;top:584;width:331;height:909" filled="true" fillcolor="#f8a763" stroked="false">
              <v:fill type="solid"/>
            </v:rect>
            <v:shape style="position:absolute;left:3377;top:855;width:496;height:449" coordorigin="3377,856" coordsize="496,449" path="m3377,1304l3873,1304m3377,1080l3873,1080m3377,856l3873,856e" filled="false" stroked="true" strokeweight=".589983pt" strokecolor="#d9d9d9">
              <v:path arrowok="t"/>
              <v:stroke dashstyle="solid"/>
            </v:shape>
            <v:rect style="position:absolute;left:3046;top:796;width:331;height:720" filled="true" fillcolor="#f8a763" stroked="false">
              <v:fill type="solid"/>
            </v:rect>
            <v:shape style="position:absolute;left:4203;top:855;width:484;height:449" coordorigin="4204,856" coordsize="484,449" path="m4204,1304l4687,1304m4204,1080l4687,1080m4204,856l4687,856e" filled="false" stroked="true" strokeweight=".589983pt" strokecolor="#d9d9d9">
              <v:path arrowok="t"/>
              <v:stroke dashstyle="solid"/>
            </v:shape>
            <v:rect style="position:absolute;left:3873;top:796;width:331;height:744" filled="true" fillcolor="#f8a763" stroked="false">
              <v:fill type="solid"/>
            </v:rect>
            <v:shape style="position:absolute;left:5017;top:855;width:496;height:449" coordorigin="5018,856" coordsize="496,449" path="m5018,1304l5514,1304m5018,1080l5514,1080m5018,856l5514,856e" filled="false" stroked="true" strokeweight=".589983pt" strokecolor="#d9d9d9">
              <v:path arrowok="t"/>
              <v:stroke dashstyle="solid"/>
            </v:shape>
            <v:rect style="position:absolute;left:4687;top:773;width:331;height:803" filled="true" fillcolor="#f8a763" stroked="false">
              <v:fill type="solid"/>
            </v:rect>
            <v:shape style="position:absolute;left:5844;top:855;width:496;height:449" coordorigin="5844,856" coordsize="496,449" path="m5844,1304l6340,1304m5844,1080l6340,1080m5844,856l6340,856e" filled="false" stroked="true" strokeweight=".589983pt" strokecolor="#d9d9d9">
              <v:path arrowok="t"/>
              <v:stroke dashstyle="solid"/>
            </v:shape>
            <v:rect style="position:absolute;left:5513;top:808;width:331;height:826" filled="true" fillcolor="#f8a763" stroked="false">
              <v:fill type="solid"/>
            </v:rect>
            <v:shape style="position:absolute;left:6670;top:855;width:2149;height:449" coordorigin="6670,856" coordsize="2149,449" path="m6670,1304l7166,1304m6670,1080l7166,1080m6670,856l8818,856e" filled="false" stroked="true" strokeweight=".589983pt" strokecolor="#d9d9d9">
              <v:path arrowok="t"/>
              <v:stroke dashstyle="solid"/>
            </v:shape>
            <v:rect style="position:absolute;left:6339;top:843;width:331;height:756" filled="true" fillcolor="#f8a763" stroked="false">
              <v:fill type="solid"/>
            </v:rect>
            <v:shape style="position:absolute;left:7496;top:1079;width:496;height:225" coordorigin="7496,1080" coordsize="496,225" path="m7496,1304l7992,1304m7496,1080l7992,1080e" filled="false" stroked="true" strokeweight=".589983pt" strokecolor="#d9d9d9">
              <v:path arrowok="t"/>
              <v:stroke dashstyle="solid"/>
            </v:shape>
            <v:rect style="position:absolute;left:7165;top:855;width:331;height:720" filled="true" fillcolor="#f8a763" stroked="false">
              <v:fill type="solid"/>
            </v:rect>
            <v:shape style="position:absolute;left:8322;top:1079;width:496;height:225" coordorigin="8323,1080" coordsize="496,225" path="m8323,1304l8818,1304m8323,1080l8818,1080e" filled="false" stroked="true" strokeweight=".589983pt" strokecolor="#d9d9d9">
              <v:path arrowok="t"/>
              <v:stroke dashstyle="solid"/>
            </v:shape>
            <v:rect style="position:absolute;left:7992;top:902;width:331;height:685" filled="true" fillcolor="#f8a763" stroked="false">
              <v:fill type="solid"/>
            </v:rect>
            <v:shape style="position:absolute;left:9148;top:1079;width:484;height:225" coordorigin="9149,1080" coordsize="484,225" path="m9149,1304l9633,1304m9149,1080l9633,1080e" filled="false" stroked="true" strokeweight=".589983pt" strokecolor="#d9d9d9">
              <v:path arrowok="t"/>
              <v:stroke dashstyle="solid"/>
            </v:shape>
            <v:rect style="position:absolute;left:8818;top:938;width:331;height:673" filled="true" fillcolor="#f8a763" stroked="false">
              <v:fill type="solid"/>
            </v:rect>
            <v:shape style="position:absolute;left:9963;top:1079;width:248;height:449" coordorigin="9963,1080" coordsize="248,449" path="m9963,1528l10211,1528m9963,1304l10211,1304m9963,1080l10211,1080e" filled="false" stroked="true" strokeweight=".589983pt" strokecolor="#d9d9d9">
              <v:path arrowok="t"/>
              <v:stroke dashstyle="solid"/>
            </v:shape>
            <v:rect style="position:absolute;left:9632;top:973;width:331;height:649" filled="true" fillcolor="#f8a763" stroked="false">
              <v:fill type="solid"/>
            </v:rect>
            <v:shape style="position:absolute;left:19902;top:-106043;width:621732;height:84351" coordorigin="19903,-106043" coordsize="621732,84351" path="m2221,584l2551,584,2551,1493,2221,1493,2221,584xm3047,797l3377,797,3377,1516,3047,1516,3047,797xm3873,797l4204,797,4204,1540,3873,1540,3873,797xm4687,773l5018,773,5018,1575,4687,1575,4687,773xm5514,808l5844,808,5844,1634,5514,1634,5514,808xm6340,844l6670,844,6670,1599,6340,1599,6340,844xm7166,856l7496,856,7496,1575,7166,1575,7166,856xm7992,903l8323,903,8323,1587,7992,1587,7992,903xm8818,938l9149,938,9149,1611,8818,1611,8818,938xm9633,974l9963,974,9963,1623,9633,1623,9633,974xe" filled="false" stroked="true" strokeweight=".590054pt" strokecolor="#f8a763">
              <v:path arrowok="t"/>
              <v:stroke dashstyle="solid"/>
            </v:shape>
            <v:shape style="position:absolute;left:2220;top:537;width:6102;height:366" coordorigin="2221,537" coordsize="6102,366" path="m2551,537l2221,537,2221,584,2551,584,2551,537m3377,749l3047,749,3047,797,3377,797,3377,749m4204,749l3873,749,3873,797,4204,797,4204,749m5018,726l4687,726,4687,773,5018,773,5018,726m5844,761l5514,761,5514,808,5844,808,5844,761m6670,808l6340,808,6340,844,6670,844,6670,808m7496,820l7166,820,7166,856,7496,856,7496,820m8323,856l7992,856,7992,903,8323,903,8323,856e" filled="true" fillcolor="#ecb8e7" stroked="false">
              <v:path arrowok="t"/>
              <v:fill type="solid"/>
            </v:shape>
            <v:line style="position:absolute" from="9149,856" to="9633,856" stroked="true" strokeweight=".589983pt" strokecolor="#d9d9d9">
              <v:stroke dashstyle="solid"/>
            </v:line>
            <v:shape style="position:absolute;left:8818;top:902;width:1145;height:71" coordorigin="8818,903" coordsize="1145,71" path="m9149,903l8818,903,8818,938,9149,938,9149,903m9963,938l9633,938,9633,974,9963,974,9963,938e" filled="true" fillcolor="#ecb8e7" stroked="false">
              <v:path arrowok="t"/>
              <v:fill type="solid"/>
            </v:shape>
            <v:shape style="position:absolute;left:20204;top:-53931;width:631152;height:35599" coordorigin="20205,-53930" coordsize="631152,35599" path="m2221,537l2551,537,2551,584,2221,584,2221,537xm3047,749l3377,749,3377,797,3047,797,3047,749xm3873,749l4204,749,4204,797,3873,797,3873,749xm4687,726l5018,726,5018,773,4687,773,4687,726xm5514,761l5844,761,5844,808,5514,808,5514,761xm6340,808l6670,808,6670,844,6340,844,6340,808xm7166,820l7496,820,7496,856,7166,856,7166,820xm7992,856l8323,856,8323,903,7992,903,7992,856xm8818,903l9149,903,9149,938,8818,938,8818,903xm9633,938l9963,938,9963,974,9633,974,9633,938xe" filled="false" stroked="true" strokeweight=".590056pt" strokecolor="#ecb8e7">
              <v:path arrowok="t"/>
              <v:stroke dashstyle="solid"/>
            </v:shape>
            <v:line style="position:absolute" from="2221,531" to="2551,531" stroked="true" strokeweight=".589986pt" strokecolor="#938953">
              <v:stroke dashstyle="solid"/>
            </v:line>
            <v:shape style="position:absolute;left:3046;top:743;width:1157;height:2" coordorigin="3047,744" coordsize="1157,0" path="m3047,744l3377,744m3873,744l4204,744e" filled="false" stroked="true" strokeweight=".589986pt" strokecolor="#938953">
              <v:path arrowok="t"/>
              <v:stroke dashstyle="solid"/>
            </v:shape>
            <v:line style="position:absolute" from="4687,720" to="5018,720" stroked="true" strokeweight=".589986pt" strokecolor="#938953">
              <v:stroke dashstyle="solid"/>
            </v:line>
            <v:rect style="position:absolute;left:5513;top:737;width:331;height:24" filled="true" fillcolor="#938953" stroked="false">
              <v:fill type="solid"/>
            </v:rect>
            <v:line style="position:absolute" from="6340,803" to="6670,803" stroked="true" strokeweight=".589986pt" strokecolor="#938953">
              <v:stroke dashstyle="solid"/>
            </v:line>
            <v:shape style="position:absolute;left:7166;top:814;width:1983;height:83" coordorigin="7166,814" coordsize="1983,83" path="m7166,814l7496,814m7992,850l8323,850m8818,897l9149,897e" filled="false" stroked="true" strokeweight=".589986pt" strokecolor="#938953">
              <v:path arrowok="t"/>
              <v:stroke dashstyle="solid"/>
            </v:shape>
            <v:line style="position:absolute" from="9963,856" to="10211,856" stroked="true" strokeweight=".589983pt" strokecolor="#d9d9d9">
              <v:stroke dashstyle="solid"/>
            </v:line>
            <v:line style="position:absolute" from="9633,932" to="9963,932" stroked="true" strokeweight=".589986pt" strokecolor="#938953">
              <v:stroke dashstyle="solid"/>
            </v:line>
            <v:shape style="position:absolute;left:2214;top:519;width:7755;height:425" coordorigin="2215,519" coordsize="7755,425" path="m2557,519l2215,519,2215,543,2557,543,2557,519m3383,732l3041,732,3041,755,3383,755,3383,732m4209,732l3867,732,3867,755,4209,755,4209,732m5024,708l4682,708,4682,732,5024,732,5024,708m5850,732l5508,732,5508,767,5850,767,5850,732m6676,791l6334,791,6334,814,6676,814,6676,791m7502,803l7160,803,7160,826,7502,826,7502,803m8329,838l7986,838,7986,862,8329,862,8329,838m9155,885l8812,885,8812,909,9155,909,9155,885m9969,921l9627,921,9627,944,9969,944,9969,921e" filled="true" fillcolor="#938953" stroked="false">
              <v:path arrowok="t"/>
              <v:fill type="solid"/>
            </v:shape>
            <v:line style="position:absolute" from="1973,407" to="10211,407" stroked="true" strokeweight=".589983pt" strokecolor="#d9d9d9">
              <v:stroke dashstyle="solid"/>
            </v:line>
            <v:shape style="position:absolute;left:2220;top:430;width:1983;height:307" coordorigin="2221,431" coordsize="1983,307" path="m2551,431l2221,431,2221,525,2551,525,2551,431m3377,655l3047,655,3047,738,3377,738,3377,655m4204,655l3873,655,3873,738,4204,738,4204,655e" filled="true" fillcolor="#ffd600" stroked="false">
              <v:path arrowok="t"/>
              <v:fill type="solid"/>
            </v:shape>
            <v:line style="position:absolute" from="5018,631" to="10211,631" stroked="true" strokeweight=".589983pt" strokecolor="#d9d9d9">
              <v:stroke dashstyle="solid"/>
            </v:line>
            <v:shape style="position:absolute;left:4687;top:619;width:5276;height:307" coordorigin="4687,620" coordsize="5276,307" path="m5018,620l4687,620,4687,714,5018,714,5018,620m5844,643l5514,643,5514,738,5844,738,5844,643m6670,726l6340,726,6340,797,6670,797,6670,726m7496,726l7166,726,7166,808,7496,808,7496,726m8323,749l7992,749,7992,844,8323,844,8323,749m9149,808l8818,808,8818,891,9149,891,9149,808m9963,844l9633,844,9633,926,9963,926,9963,844e" filled="true" fillcolor="#ffd600" stroked="false">
              <v:path arrowok="t"/>
              <v:fill type="solid"/>
            </v:shape>
            <v:shape style="position:absolute;left:20204;top:-50082;width:631152;height:40410" coordorigin="20205,-50082" coordsize="631152,40410" path="m2221,431l2551,431,2551,525,2221,525,2221,431xm3047,655l3377,655,3377,738,3047,738,3047,655xm3873,655l4204,655,4204,738,3873,738,3873,655xm4687,620l5018,620,5018,714,4687,714,4687,620xm5514,643l5844,643,5844,738,5514,738,5514,643xm6340,726l6670,726,6670,797,6340,797,6340,726xm7166,726l7496,726,7496,808,7166,808,7166,726xm7992,749l8323,749,8323,844,7992,844,7992,749xm8818,808l9149,808,9149,891,8818,891,8818,808xm9633,844l9963,844,9963,926,9633,926,9633,844xe" filled="false" stroked="true" strokeweight=".590056pt" strokecolor="#ffd600">
              <v:path arrowok="t"/>
              <v:stroke dashstyle="solid"/>
            </v:shape>
            <v:line style="position:absolute" from="2221,425" to="2551,425" stroked="true" strokeweight=".589986pt" strokecolor="#000000">
              <v:stroke dashstyle="solid"/>
            </v:line>
            <v:shape style="position:absolute;left:3046;top:613;width:1972;height:36" coordorigin="3047,614" coordsize="1972,36" path="m3047,649l3377,649m3873,649l4204,649m4687,614l5018,614e" filled="false" stroked="true" strokeweight=".589986pt" strokecolor="#000000">
              <v:path arrowok="t"/>
              <v:stroke dashstyle="solid"/>
            </v:shape>
            <v:line style="position:absolute" from="5514,637" to="5844,637" stroked="true" strokeweight=".589986pt" strokecolor="#000000">
              <v:stroke dashstyle="solid"/>
            </v:line>
            <v:shape style="position:absolute;left:6339;top:719;width:1157;height:2" coordorigin="6340,720" coordsize="1157,0" path="m6340,720l6670,720m7166,720l7496,720e" filled="false" stroked="true" strokeweight=".589986pt" strokecolor="#000000">
              <v:path arrowok="t"/>
              <v:stroke dashstyle="solid"/>
            </v:shape>
            <v:shape style="position:absolute;left:7992;top:743;width:1157;height:59" coordorigin="7992,744" coordsize="1157,59" path="m7992,744l8323,744m8818,803l9149,803e" filled="false" stroked="true" strokeweight=".589986pt" strokecolor="#000000">
              <v:path arrowok="t"/>
              <v:stroke dashstyle="solid"/>
            </v:shape>
            <v:line style="position:absolute" from="9633,838" to="9963,838" stroked="true" strokeweight=".589986pt" strokecolor="#000000">
              <v:stroke dashstyle="solid"/>
            </v:line>
            <v:shape style="position:absolute;left:2214;top:424;width:7755;height:413" coordorigin="2215,425" coordsize="7755,413" path="m2215,425l2557,425m3041,649l3383,649m3867,649l4209,649m4682,614l5024,614m5508,637l5850,637m6334,720l6676,720m7160,720l7502,720m7986,744l8329,744m8812,803l9155,803m9627,838l9969,838e" filled="false" stroked="true" strokeweight="1.179973pt" strokecolor="#000000">
              <v:path arrowok="t"/>
              <v:stroke dashstyle="solid"/>
            </v:shape>
            <v:line style="position:absolute" from="1973,2425" to="10211,2425" stroked="true" strokeweight=".589985pt" strokecolor="#d9d9d9">
              <v:stroke dashstyle="solid"/>
            </v:line>
            <v:shape style="position:absolute;left:0;top:-14682;width:651809;height:25214" coordorigin="0,-14681" coordsize="651809,25214" path="m1973,2425l1973,2472m1973,2425l1973,2744m2799,2425l2799,2472m2799,2425l2799,2744m3625,2425l3625,2472m3625,2425l3625,2744m4440,2425l4440,2472m4440,2425l4440,2744m5266,2425l5266,2472m5266,2425l5266,2744m6092,2425l6092,2472m6092,2425l6092,2744m6918,2425l6918,2472m6918,2425l6918,2744m7744,2425l7744,2472m7744,2425l7744,2744m8570,2425l8570,2472m8570,2425l8570,2744m9385,2425l9385,2472m9385,2425l9385,2744m10211,2425l10211,2472m10211,2425l10211,2744e" filled="false" stroked="true" strokeweight=".590053pt" strokecolor="#d9d9d9">
              <v:path arrowok="t"/>
              <v:stroke dashstyle="solid"/>
            </v:shape>
            <v:shape style="position:absolute;left:0;top:-14682;width:651809;height:25214" coordorigin="0,-14681" coordsize="651809,25214" path="m1973,2744l1973,3062m6092,2744l6092,3062m10211,2744l10211,3062e" filled="false" stroked="true" strokeweight=".590053pt" strokecolor="#d9d9d9">
              <v:path arrowok="t"/>
              <v:stroke dashstyle="solid"/>
            </v:shape>
            <v:line style="position:absolute" from="1973,183" to="10211,183" stroked="true" strokeweight=".589983pt" strokecolor="#d9d9d9">
              <v:stroke dashstyle="solid"/>
            </v:line>
            <v:line style="position:absolute" from="6099,183" to="6092,2430" stroked="true" strokeweight=".590124pt" strokecolor="#a6a6a6">
              <v:stroke dashstyle="solid"/>
            </v:line>
            <v:shape style="position:absolute;left:2217;top:2559;width:351;height:166"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2014</w:t>
                    </w:r>
                  </w:p>
                </w:txbxContent>
              </v:textbox>
              <w10:wrap type="none"/>
            </v:shape>
            <v:shape style="position:absolute;left:3041;top:2559;width:351;height:166"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2015</w:t>
                    </w:r>
                  </w:p>
                </w:txbxContent>
              </v:textbox>
              <w10:wrap type="none"/>
            </v:shape>
            <v:shape style="position:absolute;left:3865;top:2559;width:351;height:166"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2016</w:t>
                    </w:r>
                  </w:p>
                </w:txbxContent>
              </v:textbox>
              <w10:wrap type="none"/>
            </v:shape>
            <v:shape style="position:absolute;left:4690;top:2559;width:351;height:166"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2017</w:t>
                    </w:r>
                  </w:p>
                </w:txbxContent>
              </v:textbox>
              <w10:wrap type="none"/>
            </v:shape>
            <v:shape style="position:absolute;left:5514;top:2559;width:351;height:166"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2018</w:t>
                    </w:r>
                  </w:p>
                </w:txbxContent>
              </v:textbox>
              <w10:wrap type="none"/>
            </v:shape>
            <v:shape style="position:absolute;left:6338;top:2559;width:351;height:166"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2019</w:t>
                    </w:r>
                  </w:p>
                </w:txbxContent>
              </v:textbox>
              <w10:wrap type="none"/>
            </v:shape>
            <v:shape style="position:absolute;left:7162;top:2559;width:351;height:166"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2020</w:t>
                    </w:r>
                  </w:p>
                </w:txbxContent>
              </v:textbox>
              <w10:wrap type="none"/>
            </v:shape>
            <v:shape style="position:absolute;left:7986;top:2559;width:351;height:166"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2021</w:t>
                    </w:r>
                  </w:p>
                </w:txbxContent>
              </v:textbox>
              <w10:wrap type="none"/>
            </v:shape>
            <v:shape style="position:absolute;left:8810;top:2559;width:351;height:166"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2022</w:t>
                    </w:r>
                  </w:p>
                </w:txbxContent>
              </v:textbox>
              <w10:wrap type="none"/>
            </v:shape>
            <v:shape style="position:absolute;left:9634;top:2559;width:351;height:166"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2023</w:t>
                    </w:r>
                  </w:p>
                </w:txbxContent>
              </v:textbox>
              <w10:wrap type="none"/>
            </v:shape>
            <v:shape style="position:absolute;left:3776;top:2877;width:4717;height:166" type="#_x0000_t202" filled="false" stroked="false">
              <v:textbox inset="0,0,0,0">
                <w:txbxContent>
                  <w:p>
                    <w:pPr>
                      <w:tabs>
                        <w:tab w:pos="4054" w:val="left" w:leader="none"/>
                      </w:tabs>
                      <w:spacing w:line="165" w:lineRule="exact" w:before="0"/>
                      <w:ind w:left="0" w:right="0" w:firstLine="0"/>
                      <w:jc w:val="left"/>
                      <w:rPr>
                        <w:rFonts w:ascii="Calibri"/>
                        <w:sz w:val="16"/>
                      </w:rPr>
                    </w:pPr>
                    <w:r>
                      <w:rPr>
                        <w:rFonts w:ascii="Calibri"/>
                        <w:color w:val="585858"/>
                        <w:w w:val="105"/>
                        <w:sz w:val="16"/>
                      </w:rPr>
                      <w:t>Historic</w:t>
                      <w:tab/>
                    </w:r>
                    <w:r>
                      <w:rPr>
                        <w:rFonts w:ascii="Calibri"/>
                        <w:color w:val="585858"/>
                        <w:sz w:val="16"/>
                      </w:rPr>
                      <w:t>Projected</w:t>
                    </w:r>
                  </w:p>
                </w:txbxContent>
              </v:textbox>
              <w10:wrap type="none"/>
            </v:shape>
            <w10:wrap type="none"/>
          </v:group>
        </w:pict>
      </w:r>
      <w:r>
        <w:rPr>
          <w:rFonts w:ascii="Calibri"/>
          <w:color w:val="585858"/>
          <w:spacing w:val="-2"/>
          <w:sz w:val="16"/>
        </w:rPr>
        <w:t>100,000</w:t>
      </w:r>
    </w:p>
    <w:p>
      <w:pPr>
        <w:spacing w:before="29"/>
        <w:ind w:left="0" w:right="10084" w:firstLine="0"/>
        <w:jc w:val="right"/>
        <w:rPr>
          <w:rFonts w:ascii="Calibri"/>
          <w:sz w:val="16"/>
        </w:rPr>
      </w:pPr>
      <w:r>
        <w:rPr>
          <w:rFonts w:ascii="Calibri"/>
          <w:color w:val="585858"/>
          <w:spacing w:val="-1"/>
          <w:sz w:val="16"/>
        </w:rPr>
        <w:t>90,000</w:t>
      </w:r>
    </w:p>
    <w:p>
      <w:pPr>
        <w:spacing w:before="29"/>
        <w:ind w:left="0" w:right="10084" w:firstLine="0"/>
        <w:jc w:val="right"/>
        <w:rPr>
          <w:rFonts w:ascii="Calibri"/>
          <w:sz w:val="16"/>
        </w:rPr>
      </w:pPr>
      <w:r>
        <w:rPr>
          <w:rFonts w:ascii="Calibri"/>
          <w:color w:val="585858"/>
          <w:spacing w:val="-1"/>
          <w:sz w:val="16"/>
        </w:rPr>
        <w:t>80,000</w:t>
      </w:r>
    </w:p>
    <w:p>
      <w:pPr>
        <w:spacing w:before="29"/>
        <w:ind w:left="0" w:right="10084" w:firstLine="0"/>
        <w:jc w:val="right"/>
        <w:rPr>
          <w:rFonts w:ascii="Calibri"/>
          <w:sz w:val="16"/>
        </w:rPr>
      </w:pPr>
      <w:r>
        <w:rPr>
          <w:rFonts w:ascii="Calibri"/>
          <w:color w:val="585858"/>
          <w:spacing w:val="-1"/>
          <w:sz w:val="16"/>
        </w:rPr>
        <w:t>70,000</w:t>
      </w:r>
    </w:p>
    <w:p>
      <w:pPr>
        <w:spacing w:before="29"/>
        <w:ind w:left="0" w:right="10084" w:firstLine="0"/>
        <w:jc w:val="right"/>
        <w:rPr>
          <w:rFonts w:ascii="Calibri"/>
          <w:sz w:val="16"/>
        </w:rPr>
      </w:pPr>
      <w:r>
        <w:rPr>
          <w:rFonts w:ascii="Calibri"/>
          <w:color w:val="585858"/>
          <w:spacing w:val="-1"/>
          <w:sz w:val="16"/>
        </w:rPr>
        <w:t>60,000</w:t>
      </w:r>
    </w:p>
    <w:p>
      <w:pPr>
        <w:spacing w:before="29"/>
        <w:ind w:left="0" w:right="10084" w:firstLine="0"/>
        <w:jc w:val="right"/>
        <w:rPr>
          <w:rFonts w:ascii="Calibri"/>
          <w:sz w:val="16"/>
        </w:rPr>
      </w:pPr>
      <w:r>
        <w:rPr>
          <w:rFonts w:ascii="Calibri"/>
          <w:color w:val="585858"/>
          <w:spacing w:val="-1"/>
          <w:sz w:val="16"/>
        </w:rPr>
        <w:t>50,000</w:t>
      </w:r>
    </w:p>
    <w:p>
      <w:pPr>
        <w:spacing w:before="29"/>
        <w:ind w:left="0" w:right="10084" w:firstLine="0"/>
        <w:jc w:val="right"/>
        <w:rPr>
          <w:rFonts w:ascii="Calibri"/>
          <w:sz w:val="16"/>
        </w:rPr>
      </w:pPr>
      <w:r>
        <w:rPr>
          <w:rFonts w:ascii="Calibri"/>
          <w:color w:val="585858"/>
          <w:spacing w:val="-1"/>
          <w:sz w:val="16"/>
        </w:rPr>
        <w:t>40,000</w:t>
      </w:r>
    </w:p>
    <w:p>
      <w:pPr>
        <w:spacing w:before="29"/>
        <w:ind w:left="0" w:right="10084" w:firstLine="0"/>
        <w:jc w:val="right"/>
        <w:rPr>
          <w:rFonts w:ascii="Calibri"/>
          <w:sz w:val="16"/>
        </w:rPr>
      </w:pPr>
      <w:r>
        <w:rPr>
          <w:rFonts w:ascii="Calibri"/>
          <w:color w:val="585858"/>
          <w:spacing w:val="-1"/>
          <w:sz w:val="16"/>
        </w:rPr>
        <w:t>30,000</w:t>
      </w:r>
    </w:p>
    <w:p>
      <w:pPr>
        <w:spacing w:before="29"/>
        <w:ind w:left="0" w:right="10084" w:firstLine="0"/>
        <w:jc w:val="right"/>
        <w:rPr>
          <w:rFonts w:ascii="Calibri"/>
          <w:sz w:val="16"/>
        </w:rPr>
      </w:pPr>
      <w:r>
        <w:rPr>
          <w:rFonts w:ascii="Calibri"/>
          <w:color w:val="585858"/>
          <w:spacing w:val="-1"/>
          <w:sz w:val="16"/>
        </w:rPr>
        <w:t>20,000</w:t>
      </w:r>
    </w:p>
    <w:p>
      <w:pPr>
        <w:spacing w:before="30"/>
        <w:ind w:left="0" w:right="10084" w:firstLine="0"/>
        <w:jc w:val="right"/>
        <w:rPr>
          <w:rFonts w:ascii="Calibri"/>
          <w:sz w:val="16"/>
        </w:rPr>
      </w:pPr>
      <w:r>
        <w:rPr>
          <w:rFonts w:ascii="Calibri"/>
          <w:color w:val="585858"/>
          <w:spacing w:val="-1"/>
          <w:sz w:val="16"/>
        </w:rPr>
        <w:t>10,000</w:t>
      </w:r>
    </w:p>
    <w:p>
      <w:pPr>
        <w:spacing w:before="29"/>
        <w:ind w:left="0" w:right="10084" w:firstLine="0"/>
        <w:jc w:val="right"/>
        <w:rPr>
          <w:rFonts w:ascii="Calibri"/>
          <w:sz w:val="16"/>
        </w:rPr>
      </w:pPr>
      <w:r>
        <w:rPr>
          <w:rFonts w:ascii="Calibri"/>
          <w:color w:val="585858"/>
          <w:w w:val="103"/>
          <w:sz w:val="16"/>
        </w:rPr>
        <w:t>0</w:t>
      </w:r>
    </w:p>
    <w:p>
      <w:pPr>
        <w:pStyle w:val="BodyText"/>
        <w:rPr>
          <w:rFonts w:ascii="Calibri"/>
        </w:rPr>
      </w:pPr>
    </w:p>
    <w:p>
      <w:pPr>
        <w:pStyle w:val="BodyText"/>
        <w:spacing w:before="5"/>
        <w:rPr>
          <w:rFonts w:ascii="Calibri"/>
          <w:sz w:val="26"/>
        </w:rPr>
      </w:pPr>
    </w:p>
    <w:p>
      <w:pPr>
        <w:spacing w:before="61"/>
        <w:ind w:left="1602" w:right="1416" w:firstLine="0"/>
        <w:jc w:val="center"/>
        <w:rPr>
          <w:rFonts w:ascii="Calibri"/>
          <w:b/>
          <w:sz w:val="19"/>
        </w:rPr>
      </w:pPr>
      <w:r>
        <w:rPr>
          <w:rFonts w:ascii="Calibri"/>
          <w:b/>
          <w:color w:val="585858"/>
          <w:sz w:val="19"/>
        </w:rPr>
        <w:t>Year Ending 30 June</w:t>
      </w:r>
    </w:p>
    <w:p>
      <w:pPr>
        <w:pStyle w:val="BodyText"/>
        <w:spacing w:before="8"/>
        <w:rPr>
          <w:rFonts w:ascii="Calibri"/>
          <w:b/>
          <w:sz w:val="8"/>
        </w:rPr>
      </w:pPr>
    </w:p>
    <w:p>
      <w:pPr>
        <w:spacing w:before="76"/>
        <w:ind w:left="1597" w:right="9672" w:firstLine="0"/>
        <w:jc w:val="center"/>
        <w:rPr>
          <w:rFonts w:ascii="Calibri"/>
          <w:sz w:val="12"/>
        </w:rPr>
      </w:pPr>
      <w:r>
        <w:rPr>
          <w:rFonts w:ascii="Calibri"/>
          <w:sz w:val="12"/>
        </w:rPr>
        <w:t>Class key:</w:t>
      </w:r>
    </w:p>
    <w:p>
      <w:pPr>
        <w:tabs>
          <w:tab w:pos="1445" w:val="left" w:leader="none"/>
          <w:tab w:pos="2891" w:val="left" w:leader="none"/>
          <w:tab w:pos="4337" w:val="left" w:leader="none"/>
          <w:tab w:pos="5782" w:val="left" w:leader="none"/>
          <w:tab w:pos="7228" w:val="left" w:leader="none"/>
        </w:tabs>
        <w:spacing w:before="46"/>
        <w:ind w:left="0" w:right="132" w:firstLine="0"/>
        <w:jc w:val="center"/>
        <w:rPr>
          <w:rFonts w:ascii="Calibri"/>
          <w:sz w:val="12"/>
        </w:rPr>
      </w:pPr>
      <w:r>
        <w:rPr/>
        <w:pict>
          <v:group style="position:absolute;margin-left:85.804085pt;margin-top:1.603268pt;width:10.95pt;height:18.850pt;mso-position-horizontal-relative:page;mso-position-vertical-relative:paragraph;z-index:252283904" coordorigin="1716,32" coordsize="219,377">
            <v:rect style="position:absolute;left:1716;top:32;width:219;height:169" filled="true" fillcolor="#1f487c" stroked="false">
              <v:fill type="solid"/>
            </v:rect>
            <v:rect style="position:absolute;left:1716;top:240;width:219;height:169" filled="true" fillcolor="#f8a763" stroked="false">
              <v:fill type="solid"/>
            </v:rect>
            <w10:wrap type="none"/>
          </v:group>
        </w:pict>
      </w:r>
      <w:r>
        <w:rPr/>
        <w:pict>
          <v:group style="position:absolute;margin-left:157.689728pt;margin-top:1.603268pt;width:11.35pt;height:18.850pt;mso-position-horizontal-relative:page;mso-position-vertical-relative:paragraph;z-index:-287618048" coordorigin="3154,32" coordsize="227,377">
            <v:rect style="position:absolute;left:3153;top:32;width:227;height:169" filled="true" fillcolor="#009544" stroked="false">
              <v:fill type="solid"/>
            </v:rect>
            <v:rect style="position:absolute;left:3153;top:240;width:227;height:169" filled="true" fillcolor="#ecb8e7" stroked="false">
              <v:fill type="solid"/>
            </v:rect>
            <w10:wrap type="none"/>
          </v:group>
        </w:pict>
      </w:r>
      <w:r>
        <w:rPr/>
        <w:pict>
          <v:group style="position:absolute;margin-left:229.97963pt;margin-top:1.603268pt;width:11.35pt;height:18.850pt;mso-position-horizontal-relative:page;mso-position-vertical-relative:paragraph;z-index:-287617024" coordorigin="4600,32" coordsize="227,377">
            <v:rect style="position:absolute;left:4599;top:32;width:227;height:169" filled="true" fillcolor="#e16b09" stroked="false">
              <v:fill type="solid"/>
            </v:rect>
            <v:rect style="position:absolute;left:4599;top:240;width:227;height:169" filled="true" fillcolor="#938953" stroked="false">
              <v:fill type="solid"/>
            </v:rect>
            <w10:wrap type="none"/>
          </v:group>
        </w:pict>
      </w:r>
      <w:r>
        <w:rPr/>
        <w:pict>
          <v:group style="position:absolute;margin-left:302.269928pt;margin-top:1.603268pt;width:11.35pt;height:18.850pt;mso-position-horizontal-relative:page;mso-position-vertical-relative:paragraph;z-index:-287616000" coordorigin="6045,32" coordsize="227,377">
            <v:rect style="position:absolute;left:6045;top:32;width:227;height:169" filled="true" fillcolor="#e08ad6" stroked="false">
              <v:fill type="solid"/>
            </v:rect>
            <v:rect style="position:absolute;left:6045;top:240;width:227;height:169" filled="true" fillcolor="#ffd600" stroked="false">
              <v:fill type="solid"/>
            </v:rect>
            <w10:wrap type="none"/>
          </v:group>
        </w:pict>
      </w:r>
      <w:r>
        <w:rPr/>
        <w:pict>
          <v:group style="position:absolute;margin-left:374.559845pt;margin-top:1.603268pt;width:11.35pt;height:18.850pt;mso-position-horizontal-relative:page;mso-position-vertical-relative:paragraph;z-index:-287614976" coordorigin="7491,32" coordsize="227,377">
            <v:rect style="position:absolute;left:7491;top:32;width:227;height:169" filled="true" fillcolor="#8063a1" stroked="false">
              <v:fill type="solid"/>
            </v:rect>
            <v:rect style="position:absolute;left:7491;top:240;width:227;height:169" filled="true" fillcolor="#000000" stroked="false">
              <v:fill type="solid"/>
            </v:rect>
            <w10:wrap type="none"/>
          </v:group>
        </w:pict>
      </w:r>
      <w:r>
        <w:rPr/>
        <w:pict>
          <v:group style="position:absolute;margin-left:446.849335pt;margin-top:1.603268pt;width:11.35pt;height:18.850pt;mso-position-horizontal-relative:page;mso-position-vertical-relative:paragraph;z-index:-287613952" coordorigin="8937,32" coordsize="227,377">
            <v:rect style="position:absolute;left:8936;top:32;width:227;height:169" filled="true" fillcolor="#c0504d" stroked="false">
              <v:fill type="solid"/>
            </v:rect>
            <v:rect style="position:absolute;left:8936;top:240;width:227;height:169" filled="true" fillcolor="#ffeb8f" stroked="false">
              <v:fill type="solid"/>
            </v:rect>
            <w10:wrap type="none"/>
          </v:group>
        </w:pict>
      </w:r>
      <w:r>
        <w:rPr>
          <w:rFonts w:ascii="Calibri"/>
          <w:sz w:val="12"/>
        </w:rPr>
        <w:t>1</w:t>
      </w:r>
      <w:r>
        <w:rPr>
          <w:rFonts w:ascii="Calibri"/>
          <w:spacing w:val="-7"/>
          <w:sz w:val="12"/>
        </w:rPr>
        <w:t> </w:t>
      </w:r>
      <w:r>
        <w:rPr>
          <w:rFonts w:ascii="Calibri"/>
          <w:sz w:val="12"/>
        </w:rPr>
        <w:t>-</w:t>
      </w:r>
      <w:r>
        <w:rPr>
          <w:rFonts w:ascii="Calibri"/>
          <w:spacing w:val="2"/>
          <w:sz w:val="12"/>
        </w:rPr>
        <w:t> </w:t>
      </w:r>
      <w:r>
        <w:rPr>
          <w:rFonts w:ascii="Calibri"/>
          <w:sz w:val="12"/>
        </w:rPr>
        <w:t>Studying</w:t>
        <w:tab/>
        <w:t>2 -</w:t>
      </w:r>
      <w:r>
        <w:rPr>
          <w:rFonts w:ascii="Calibri"/>
          <w:spacing w:val="-6"/>
          <w:sz w:val="12"/>
        </w:rPr>
        <w:t> </w:t>
      </w:r>
      <w:r>
        <w:rPr>
          <w:rFonts w:ascii="Calibri"/>
          <w:sz w:val="12"/>
        </w:rPr>
        <w:t>Working</w:t>
      </w:r>
      <w:r>
        <w:rPr>
          <w:rFonts w:ascii="Calibri"/>
          <w:spacing w:val="-3"/>
          <w:sz w:val="12"/>
        </w:rPr>
        <w:t> </w:t>
      </w:r>
      <w:r>
        <w:rPr>
          <w:rFonts w:ascii="Calibri"/>
          <w:sz w:val="12"/>
        </w:rPr>
        <w:t>Age</w:t>
        <w:tab/>
        <w:t>3</w:t>
      </w:r>
      <w:r>
        <w:rPr>
          <w:rFonts w:ascii="Calibri"/>
          <w:spacing w:val="-7"/>
          <w:sz w:val="12"/>
        </w:rPr>
        <w:t> </w:t>
      </w:r>
      <w:r>
        <w:rPr>
          <w:rFonts w:ascii="Calibri"/>
          <w:sz w:val="12"/>
        </w:rPr>
        <w:t>-</w:t>
      </w:r>
      <w:r>
        <w:rPr>
          <w:rFonts w:ascii="Calibri"/>
          <w:spacing w:val="1"/>
          <w:sz w:val="12"/>
        </w:rPr>
        <w:t> </w:t>
      </w:r>
      <w:r>
        <w:rPr>
          <w:rFonts w:ascii="Calibri"/>
          <w:sz w:val="12"/>
        </w:rPr>
        <w:t>Parents</w:t>
        <w:tab/>
        <w:t>4</w:t>
      </w:r>
      <w:r>
        <w:rPr>
          <w:rFonts w:ascii="Calibri"/>
          <w:spacing w:val="-8"/>
          <w:sz w:val="12"/>
        </w:rPr>
        <w:t> </w:t>
      </w:r>
      <w:r>
        <w:rPr>
          <w:rFonts w:ascii="Calibri"/>
          <w:sz w:val="12"/>
        </w:rPr>
        <w:t>- Carers</w:t>
        <w:tab/>
        <w:t>5 -</w:t>
      </w:r>
      <w:r>
        <w:rPr>
          <w:rFonts w:ascii="Calibri"/>
          <w:spacing w:val="-2"/>
          <w:sz w:val="12"/>
        </w:rPr>
        <w:t> </w:t>
      </w:r>
      <w:r>
        <w:rPr>
          <w:rFonts w:ascii="Calibri"/>
          <w:sz w:val="12"/>
        </w:rPr>
        <w:t>Disability</w:t>
      </w:r>
      <w:r>
        <w:rPr>
          <w:rFonts w:ascii="Calibri"/>
          <w:spacing w:val="1"/>
          <w:sz w:val="12"/>
        </w:rPr>
        <w:t> </w:t>
      </w:r>
      <w:r>
        <w:rPr>
          <w:rFonts w:ascii="Calibri"/>
          <w:sz w:val="12"/>
        </w:rPr>
        <w:t>Support</w:t>
        <w:tab/>
        <w:t>6 - Pension</w:t>
      </w:r>
      <w:r>
        <w:rPr>
          <w:rFonts w:ascii="Calibri"/>
          <w:spacing w:val="-10"/>
          <w:sz w:val="12"/>
        </w:rPr>
        <w:t> </w:t>
      </w:r>
      <w:r>
        <w:rPr>
          <w:rFonts w:ascii="Calibri"/>
          <w:sz w:val="12"/>
        </w:rPr>
        <w:t>Age</w:t>
      </w:r>
    </w:p>
    <w:p>
      <w:pPr>
        <w:spacing w:after="0"/>
        <w:jc w:val="center"/>
        <w:rPr>
          <w:rFonts w:ascii="Calibri"/>
          <w:sz w:val="12"/>
        </w:rPr>
        <w:sectPr>
          <w:pgSz w:w="11910" w:h="16850"/>
          <w:pgMar w:header="572" w:footer="581" w:top="780" w:bottom="780" w:left="120" w:right="0"/>
        </w:sectPr>
      </w:pPr>
    </w:p>
    <w:p>
      <w:pPr>
        <w:spacing w:before="62"/>
        <w:ind w:left="0" w:right="0" w:firstLine="0"/>
        <w:jc w:val="right"/>
        <w:rPr>
          <w:rFonts w:ascii="Calibri"/>
          <w:sz w:val="12"/>
        </w:rPr>
      </w:pPr>
      <w:r>
        <w:rPr>
          <w:rFonts w:ascii="Calibri"/>
          <w:sz w:val="12"/>
        </w:rPr>
        <w:t>7 - Non IS Family</w:t>
      </w:r>
    </w:p>
    <w:p>
      <w:pPr>
        <w:pStyle w:val="ListParagraph"/>
        <w:numPr>
          <w:ilvl w:val="0"/>
          <w:numId w:val="44"/>
        </w:numPr>
        <w:tabs>
          <w:tab w:pos="665" w:val="left" w:leader="none"/>
        </w:tabs>
        <w:spacing w:line="240" w:lineRule="auto" w:before="62" w:after="0"/>
        <w:ind w:left="664" w:right="0" w:hanging="82"/>
        <w:jc w:val="left"/>
        <w:rPr>
          <w:rFonts w:ascii="Calibri"/>
          <w:sz w:val="12"/>
        </w:rPr>
      </w:pPr>
      <w:r>
        <w:rPr>
          <w:rFonts w:ascii="Calibri"/>
          <w:w w:val="100"/>
          <w:sz w:val="12"/>
        </w:rPr>
        <w:br w:type="column"/>
      </w:r>
      <w:r>
        <w:rPr>
          <w:rFonts w:ascii="Calibri"/>
          <w:sz w:val="12"/>
        </w:rPr>
        <w:t>- Non IS</w:t>
      </w:r>
      <w:r>
        <w:rPr>
          <w:rFonts w:ascii="Calibri"/>
          <w:spacing w:val="2"/>
          <w:sz w:val="12"/>
        </w:rPr>
        <w:t> </w:t>
      </w:r>
      <w:r>
        <w:rPr>
          <w:rFonts w:ascii="Calibri"/>
          <w:spacing w:val="-3"/>
          <w:sz w:val="12"/>
        </w:rPr>
        <w:t>Carer</w:t>
      </w:r>
    </w:p>
    <w:p>
      <w:pPr>
        <w:pStyle w:val="ListParagraph"/>
        <w:numPr>
          <w:ilvl w:val="0"/>
          <w:numId w:val="44"/>
        </w:numPr>
        <w:tabs>
          <w:tab w:pos="726" w:val="left" w:leader="none"/>
        </w:tabs>
        <w:spacing w:line="240" w:lineRule="auto" w:before="62" w:after="0"/>
        <w:ind w:left="725" w:right="0" w:hanging="82"/>
        <w:jc w:val="left"/>
        <w:rPr>
          <w:rFonts w:ascii="Calibri"/>
          <w:sz w:val="12"/>
        </w:rPr>
      </w:pPr>
      <w:r>
        <w:rPr>
          <w:rFonts w:ascii="Calibri"/>
          <w:w w:val="100"/>
          <w:sz w:val="12"/>
        </w:rPr>
        <w:br w:type="column"/>
      </w:r>
      <w:r>
        <w:rPr>
          <w:rFonts w:ascii="Calibri"/>
          <w:sz w:val="12"/>
        </w:rPr>
        <w:t>- Non IS</w:t>
      </w:r>
      <w:r>
        <w:rPr>
          <w:rFonts w:ascii="Calibri"/>
          <w:spacing w:val="5"/>
          <w:sz w:val="12"/>
        </w:rPr>
        <w:t> </w:t>
      </w:r>
      <w:r>
        <w:rPr>
          <w:rFonts w:ascii="Calibri"/>
          <w:spacing w:val="-3"/>
          <w:sz w:val="12"/>
        </w:rPr>
        <w:t>Other</w:t>
      </w:r>
    </w:p>
    <w:p>
      <w:pPr>
        <w:pStyle w:val="ListParagraph"/>
        <w:numPr>
          <w:ilvl w:val="0"/>
          <w:numId w:val="44"/>
        </w:numPr>
        <w:tabs>
          <w:tab w:pos="759" w:val="left" w:leader="none"/>
        </w:tabs>
        <w:spacing w:line="261" w:lineRule="auto" w:before="62" w:after="0"/>
        <w:ind w:left="620" w:right="0" w:firstLine="0"/>
        <w:jc w:val="left"/>
        <w:rPr>
          <w:rFonts w:ascii="Calibri"/>
          <w:sz w:val="12"/>
        </w:rPr>
      </w:pPr>
      <w:r>
        <w:rPr>
          <w:rFonts w:ascii="Calibri"/>
          <w:w w:val="100"/>
          <w:sz w:val="12"/>
        </w:rPr>
        <w:br w:type="column"/>
      </w:r>
      <w:r>
        <w:rPr>
          <w:rFonts w:ascii="Calibri"/>
          <w:sz w:val="12"/>
        </w:rPr>
        <w:t>- Previous Welfare Recipient</w:t>
      </w:r>
    </w:p>
    <w:p>
      <w:pPr>
        <w:pStyle w:val="ListParagraph"/>
        <w:numPr>
          <w:ilvl w:val="0"/>
          <w:numId w:val="44"/>
        </w:numPr>
        <w:tabs>
          <w:tab w:pos="482" w:val="left" w:leader="none"/>
        </w:tabs>
        <w:spacing w:line="240" w:lineRule="auto" w:before="62" w:after="0"/>
        <w:ind w:left="481" w:right="0" w:hanging="139"/>
        <w:jc w:val="left"/>
        <w:rPr>
          <w:rFonts w:ascii="Calibri"/>
          <w:sz w:val="12"/>
        </w:rPr>
      </w:pPr>
      <w:r>
        <w:rPr>
          <w:rFonts w:ascii="Calibri"/>
          <w:w w:val="100"/>
          <w:sz w:val="12"/>
        </w:rPr>
        <w:br w:type="column"/>
      </w:r>
      <w:r>
        <w:rPr>
          <w:rFonts w:ascii="Calibri"/>
          <w:sz w:val="12"/>
        </w:rPr>
        <w:t>-</w:t>
      </w:r>
      <w:r>
        <w:rPr>
          <w:rFonts w:ascii="Calibri"/>
          <w:spacing w:val="3"/>
          <w:sz w:val="12"/>
        </w:rPr>
        <w:t> </w:t>
      </w:r>
      <w:r>
        <w:rPr>
          <w:rFonts w:ascii="Calibri"/>
          <w:spacing w:val="-5"/>
          <w:sz w:val="12"/>
        </w:rPr>
        <w:t>Dead</w:t>
      </w:r>
    </w:p>
    <w:p>
      <w:pPr>
        <w:pStyle w:val="ListParagraph"/>
        <w:numPr>
          <w:ilvl w:val="0"/>
          <w:numId w:val="44"/>
        </w:numPr>
        <w:tabs>
          <w:tab w:pos="1084" w:val="left" w:leader="none"/>
        </w:tabs>
        <w:spacing w:line="261" w:lineRule="auto" w:before="62" w:after="0"/>
        <w:ind w:left="946" w:right="1894" w:firstLine="0"/>
        <w:jc w:val="left"/>
        <w:rPr>
          <w:rFonts w:ascii="Calibri"/>
          <w:sz w:val="12"/>
        </w:rPr>
      </w:pPr>
      <w:r>
        <w:rPr>
          <w:rFonts w:ascii="Calibri"/>
          <w:w w:val="100"/>
          <w:sz w:val="12"/>
        </w:rPr>
        <w:br w:type="column"/>
      </w:r>
      <w:r>
        <w:rPr>
          <w:rFonts w:ascii="Calibri"/>
          <w:sz w:val="12"/>
        </w:rPr>
        <w:t>- Rest of Aust. Population</w:t>
      </w:r>
    </w:p>
    <w:p>
      <w:pPr>
        <w:spacing w:after="0" w:line="261" w:lineRule="auto"/>
        <w:jc w:val="left"/>
        <w:rPr>
          <w:rFonts w:ascii="Calibri"/>
          <w:sz w:val="12"/>
        </w:rPr>
        <w:sectPr>
          <w:type w:val="continuous"/>
          <w:pgSz w:w="11910" w:h="16850"/>
          <w:pgMar w:top="1600" w:bottom="280" w:left="120" w:right="0"/>
          <w:cols w:num="6" w:equalWidth="0">
            <w:col w:w="2653" w:space="40"/>
            <w:col w:w="1345" w:space="39"/>
            <w:col w:w="1430" w:space="40"/>
            <w:col w:w="1683" w:space="39"/>
            <w:col w:w="804" w:space="40"/>
            <w:col w:w="3677"/>
          </w:cols>
        </w:sectPr>
      </w:pPr>
    </w:p>
    <w:p>
      <w:pPr>
        <w:pStyle w:val="BodyText"/>
        <w:rPr>
          <w:rFonts w:ascii="Calibri"/>
        </w:rPr>
      </w:pPr>
    </w:p>
    <w:p>
      <w:pPr>
        <w:pStyle w:val="BodyText"/>
        <w:spacing w:before="8"/>
        <w:rPr>
          <w:rFonts w:ascii="Calibri"/>
          <w:sz w:val="19"/>
        </w:rPr>
      </w:pPr>
    </w:p>
    <w:p>
      <w:pPr>
        <w:pStyle w:val="BodyText"/>
        <w:ind w:left="899" w:right="1278"/>
      </w:pPr>
      <w:r>
        <w:rPr>
          <w:color w:val="404040"/>
        </w:rPr>
        <w:t>We can see that people in this class primarily came from the Working Age and Non IS Family classes. There are also material numbers coming directly from outside the welfare system.</w:t>
      </w:r>
    </w:p>
    <w:p>
      <w:pPr>
        <w:pStyle w:val="BodyText"/>
        <w:spacing w:before="121"/>
        <w:ind w:left="899" w:right="1110"/>
      </w:pPr>
      <w:r>
        <w:rPr>
          <w:color w:val="404040"/>
        </w:rPr>
        <w:t>The projected entries in 2019 are above the level seen in 2018. This is because, at this stage, we do not believe there is enough experience to assume that the entries will continue at the low level seen in 2018. Instead, a slightly higher level of entries is projected forward, which gives some credit to the higher levels seen in previous years.</w:t>
      </w:r>
    </w:p>
    <w:p>
      <w:pPr>
        <w:pStyle w:val="BodyText"/>
        <w:spacing w:before="119"/>
        <w:ind w:left="900" w:right="1020"/>
      </w:pPr>
      <w:r>
        <w:rPr>
          <w:color w:val="404040"/>
        </w:rPr>
        <w:t>People in this class show considerable mobility. However note that many people exit to other active classes upon ceasing to meet the eligibility criteria for Parenting payment, which is linked to the age of the person’s youngest qualifying child. A large number of exits can be seen into both income support and non income support payments. The most common income support destination is to Working Age and the most common non income support destination is to Non IS Family classes. Only a small proportion of people exit the system directly from this class as most of this group would continue to use other payments, including non income support payments such as FTB.</w:t>
      </w:r>
    </w:p>
    <w:p>
      <w:pPr>
        <w:pStyle w:val="BodyText"/>
        <w:spacing w:before="121"/>
        <w:ind w:left="899" w:right="1221"/>
      </w:pPr>
      <w:r>
        <w:rPr>
          <w:color w:val="404040"/>
        </w:rPr>
        <w:t>Transitions into the Parents class have been decreasing, especially over the last 2 years, whereas transitions out of the class have remained more stable and at a higher level. This has resulted in decreasing class numbers and these decreases are projected to continue for the next few years.</w:t>
      </w:r>
    </w:p>
    <w:p>
      <w:pPr>
        <w:spacing w:after="0"/>
        <w:sectPr>
          <w:type w:val="continuous"/>
          <w:pgSz w:w="11910" w:h="16850"/>
          <w:pgMar w:top="1600" w:bottom="280" w:left="120" w:right="0"/>
        </w:sectPr>
      </w:pPr>
    </w:p>
    <w:p>
      <w:pPr>
        <w:pStyle w:val="BodyText"/>
      </w:pPr>
    </w:p>
    <w:p>
      <w:pPr>
        <w:pStyle w:val="BodyText"/>
      </w:pPr>
    </w:p>
    <w:p>
      <w:pPr>
        <w:pStyle w:val="BodyText"/>
        <w:spacing w:before="7"/>
        <w:rPr>
          <w:sz w:val="21"/>
        </w:rPr>
      </w:pPr>
    </w:p>
    <w:p>
      <w:pPr>
        <w:pStyle w:val="Heading6"/>
        <w:spacing w:before="94"/>
        <w:rPr>
          <w:i/>
        </w:rPr>
      </w:pPr>
      <w:r>
        <w:rPr>
          <w:i/>
          <w:color w:val="DF2F1E"/>
        </w:rPr>
        <w:t>Payments received</w:t>
      </w:r>
    </w:p>
    <w:p>
      <w:pPr>
        <w:pStyle w:val="BodyText"/>
        <w:spacing w:before="121"/>
        <w:ind w:left="900" w:right="1164"/>
      </w:pPr>
      <w:r>
        <w:rPr>
          <w:color w:val="404040"/>
        </w:rPr>
        <w:t>During 2017/18, people in this class received a total of $12.6 billion. This is 10.9% of the total payments made in 2017/18. The chart below shows the average amount paid in a year to each person in this class, shown for both recent years and the first five years of the projection.</w:t>
      </w:r>
    </w:p>
    <w:p>
      <w:pPr>
        <w:pStyle w:val="Heading9"/>
        <w:spacing w:before="176"/>
      </w:pPr>
      <w:r>
        <w:rPr>
          <w:color w:val="DF2F1E"/>
        </w:rPr>
        <w:t>Figure 57: Average payments per person in class 3 – Parents (restated to 2017/18 $ values)</w:t>
      </w:r>
    </w:p>
    <w:p>
      <w:pPr>
        <w:pStyle w:val="BodyText"/>
        <w:spacing w:before="8"/>
        <w:rPr>
          <w:b/>
          <w:sz w:val="22"/>
        </w:rPr>
      </w:pPr>
    </w:p>
    <w:p>
      <w:pPr>
        <w:spacing w:before="71"/>
        <w:ind w:left="0" w:right="10231" w:firstLine="0"/>
        <w:jc w:val="right"/>
        <w:rPr>
          <w:rFonts w:ascii="Calibri"/>
          <w:sz w:val="15"/>
        </w:rPr>
      </w:pPr>
      <w:r>
        <w:rPr/>
        <w:pict>
          <v:shape style="position:absolute;margin-left:91.005836pt;margin-top:7.98781pt;width:417.9pt;height:141.450pt;mso-position-horizontal-relative:page;mso-position-vertical-relative:paragraph;z-index:252308480"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3"/>
                    <w:gridCol w:w="375"/>
                    <w:gridCol w:w="234"/>
                    <w:gridCol w:w="234"/>
                    <w:gridCol w:w="363"/>
                    <w:gridCol w:w="234"/>
                    <w:gridCol w:w="234"/>
                    <w:gridCol w:w="363"/>
                    <w:gridCol w:w="234"/>
                    <w:gridCol w:w="234"/>
                    <w:gridCol w:w="375"/>
                    <w:gridCol w:w="234"/>
                    <w:gridCol w:w="222"/>
                    <w:gridCol w:w="374"/>
                    <w:gridCol w:w="233"/>
                    <w:gridCol w:w="233"/>
                    <w:gridCol w:w="362"/>
                    <w:gridCol w:w="233"/>
                    <w:gridCol w:w="233"/>
                    <w:gridCol w:w="362"/>
                    <w:gridCol w:w="233"/>
                    <w:gridCol w:w="233"/>
                    <w:gridCol w:w="374"/>
                    <w:gridCol w:w="222"/>
                    <w:gridCol w:w="234"/>
                    <w:gridCol w:w="375"/>
                    <w:gridCol w:w="234"/>
                    <w:gridCol w:w="222"/>
                    <w:gridCol w:w="374"/>
                    <w:gridCol w:w="233"/>
                  </w:tblGrid>
                  <w:tr>
                    <w:trPr>
                      <w:trHeight w:val="265" w:hRule="atLeast"/>
                    </w:trPr>
                    <w:tc>
                      <w:tcPr>
                        <w:tcW w:w="4166" w:type="dxa"/>
                        <w:gridSpan w:val="15"/>
                        <w:tcBorders>
                          <w:top w:val="single" w:sz="6" w:space="0" w:color="F1F1F1"/>
                          <w:left w:val="single" w:sz="6" w:space="0" w:color="BEBEBE"/>
                          <w:bottom w:val="single" w:sz="6" w:space="0" w:color="F1F1F1"/>
                          <w:right w:val="dashed" w:sz="6" w:space="0" w:color="7E7E7E"/>
                        </w:tcBorders>
                      </w:tcPr>
                      <w:p>
                        <w:pPr>
                          <w:pStyle w:val="TableParagraph"/>
                          <w:spacing w:before="0"/>
                          <w:rPr>
                            <w:rFonts w:ascii="Times New Roman"/>
                            <w:sz w:val="16"/>
                          </w:rPr>
                        </w:pPr>
                      </w:p>
                    </w:tc>
                    <w:tc>
                      <w:tcPr>
                        <w:tcW w:w="4157" w:type="dxa"/>
                        <w:gridSpan w:val="15"/>
                        <w:tcBorders>
                          <w:top w:val="single" w:sz="6" w:space="0" w:color="F1F1F1"/>
                          <w:left w:val="dashed" w:sz="6" w:space="0" w:color="7E7E7E"/>
                          <w:bottom w:val="single" w:sz="6" w:space="0" w:color="F1F1F1"/>
                        </w:tcBorders>
                      </w:tcPr>
                      <w:p>
                        <w:pPr>
                          <w:pStyle w:val="TableParagraph"/>
                          <w:spacing w:before="0"/>
                          <w:rPr>
                            <w:rFonts w:ascii="Times New Roman"/>
                            <w:sz w:val="16"/>
                          </w:rPr>
                        </w:pPr>
                      </w:p>
                    </w:tc>
                  </w:tr>
                  <w:tr>
                    <w:trPr>
                      <w:trHeight w:val="218" w:hRule="atLeast"/>
                    </w:trPr>
                    <w:tc>
                      <w:tcPr>
                        <w:tcW w:w="4166" w:type="dxa"/>
                        <w:gridSpan w:val="15"/>
                        <w:tcBorders>
                          <w:top w:val="single" w:sz="6" w:space="0" w:color="F1F1F1"/>
                          <w:left w:val="single" w:sz="6" w:space="0" w:color="BEBEBE"/>
                          <w:bottom w:val="single" w:sz="34" w:space="0" w:color="FBDDC4"/>
                          <w:right w:val="dashed" w:sz="6" w:space="0" w:color="7E7E7E"/>
                        </w:tcBorders>
                      </w:tcPr>
                      <w:p>
                        <w:pPr>
                          <w:pStyle w:val="TableParagraph"/>
                          <w:spacing w:before="4"/>
                          <w:rPr>
                            <w:sz w:val="3"/>
                          </w:rPr>
                        </w:pPr>
                      </w:p>
                      <w:p>
                        <w:pPr>
                          <w:pStyle w:val="TableParagraph"/>
                          <w:tabs>
                            <w:tab w:pos="1064" w:val="left" w:leader="none"/>
                            <w:tab w:pos="1896" w:val="left" w:leader="none"/>
                            <w:tab w:pos="2727" w:val="left" w:leader="none"/>
                            <w:tab w:pos="3559" w:val="left" w:leader="none"/>
                          </w:tabs>
                          <w:spacing w:line="209" w:lineRule="exact" w:before="0"/>
                          <w:ind w:left="220"/>
                          <w:rPr>
                            <w:sz w:val="15"/>
                          </w:rPr>
                        </w:pPr>
                        <w:r>
                          <w:rPr>
                            <w:position w:val="0"/>
                            <w:sz w:val="17"/>
                          </w:rPr>
                          <w:drawing>
                            <wp:inline distT="0" distB="0" distL="0" distR="0">
                              <wp:extent cx="238901" cy="111728"/>
                              <wp:effectExtent l="0" t="0" r="0" b="0"/>
                              <wp:docPr id="119" name="image84.png"/>
                              <wp:cNvGraphicFramePr>
                                <a:graphicFrameLocks noChangeAspect="1"/>
                              </wp:cNvGraphicFramePr>
                              <a:graphic>
                                <a:graphicData uri="http://schemas.openxmlformats.org/drawingml/2006/picture">
                                  <pic:pic>
                                    <pic:nvPicPr>
                                      <pic:cNvPr id="120" name="image84.png"/>
                                      <pic:cNvPicPr/>
                                    </pic:nvPicPr>
                                    <pic:blipFill>
                                      <a:blip r:embed="rId106" cstate="print"/>
                                      <a:stretch>
                                        <a:fillRect/>
                                      </a:stretch>
                                    </pic:blipFill>
                                    <pic:spPr>
                                      <a:xfrm>
                                        <a:off x="0" y="0"/>
                                        <a:ext cx="238901" cy="111728"/>
                                      </a:xfrm>
                                      <a:prstGeom prst="rect">
                                        <a:avLst/>
                                      </a:prstGeom>
                                    </pic:spPr>
                                  </pic:pic>
                                </a:graphicData>
                              </a:graphic>
                            </wp:inline>
                          </w:drawing>
                        </w:r>
                        <w:r>
                          <w:rPr>
                            <w:position w:val="0"/>
                            <w:sz w:val="17"/>
                          </w:rPr>
                        </w:r>
                        <w:r>
                          <w:rPr>
                            <w:position w:val="0"/>
                            <w:sz w:val="17"/>
                          </w:rPr>
                          <w:tab/>
                        </w:r>
                        <w:r>
                          <w:rPr>
                            <w:position w:val="0"/>
                            <w:sz w:val="16"/>
                          </w:rPr>
                          <w:drawing>
                            <wp:inline distT="0" distB="0" distL="0" distR="0">
                              <wp:extent cx="232535" cy="104775"/>
                              <wp:effectExtent l="0" t="0" r="0" b="0"/>
                              <wp:docPr id="121" name="image85.png"/>
                              <wp:cNvGraphicFramePr>
                                <a:graphicFrameLocks noChangeAspect="1"/>
                              </wp:cNvGraphicFramePr>
                              <a:graphic>
                                <a:graphicData uri="http://schemas.openxmlformats.org/drawingml/2006/picture">
                                  <pic:pic>
                                    <pic:nvPicPr>
                                      <pic:cNvPr id="122" name="image85.png"/>
                                      <pic:cNvPicPr/>
                                    </pic:nvPicPr>
                                    <pic:blipFill>
                                      <a:blip r:embed="rId107" cstate="print"/>
                                      <a:stretch>
                                        <a:fillRect/>
                                      </a:stretch>
                                    </pic:blipFill>
                                    <pic:spPr>
                                      <a:xfrm>
                                        <a:off x="0" y="0"/>
                                        <a:ext cx="232535" cy="104775"/>
                                      </a:xfrm>
                                      <a:prstGeom prst="rect">
                                        <a:avLst/>
                                      </a:prstGeom>
                                    </pic:spPr>
                                  </pic:pic>
                                </a:graphicData>
                              </a:graphic>
                            </wp:inline>
                          </w:drawing>
                        </w:r>
                        <w:r>
                          <w:rPr>
                            <w:position w:val="0"/>
                            <w:sz w:val="16"/>
                          </w:rPr>
                        </w:r>
                        <w:r>
                          <w:rPr>
                            <w:position w:val="0"/>
                            <w:sz w:val="16"/>
                          </w:rPr>
                          <w:tab/>
                        </w:r>
                        <w:r>
                          <w:rPr>
                            <w:position w:val="0"/>
                            <w:sz w:val="16"/>
                          </w:rPr>
                          <w:drawing>
                            <wp:inline distT="0" distB="0" distL="0" distR="0">
                              <wp:extent cx="232535" cy="104775"/>
                              <wp:effectExtent l="0" t="0" r="0" b="0"/>
                              <wp:docPr id="123" name="image86.png"/>
                              <wp:cNvGraphicFramePr>
                                <a:graphicFrameLocks noChangeAspect="1"/>
                              </wp:cNvGraphicFramePr>
                              <a:graphic>
                                <a:graphicData uri="http://schemas.openxmlformats.org/drawingml/2006/picture">
                                  <pic:pic>
                                    <pic:nvPicPr>
                                      <pic:cNvPr id="124" name="image86.png"/>
                                      <pic:cNvPicPr/>
                                    </pic:nvPicPr>
                                    <pic:blipFill>
                                      <a:blip r:embed="rId108" cstate="print"/>
                                      <a:stretch>
                                        <a:fillRect/>
                                      </a:stretch>
                                    </pic:blipFill>
                                    <pic:spPr>
                                      <a:xfrm>
                                        <a:off x="0" y="0"/>
                                        <a:ext cx="232535" cy="104775"/>
                                      </a:xfrm>
                                      <a:prstGeom prst="rect">
                                        <a:avLst/>
                                      </a:prstGeom>
                                    </pic:spPr>
                                  </pic:pic>
                                </a:graphicData>
                              </a:graphic>
                            </wp:inline>
                          </w:drawing>
                        </w:r>
                        <w:r>
                          <w:rPr>
                            <w:position w:val="0"/>
                            <w:sz w:val="16"/>
                          </w:rPr>
                        </w:r>
                        <w:r>
                          <w:rPr>
                            <w:position w:val="0"/>
                            <w:sz w:val="16"/>
                          </w:rPr>
                          <w:tab/>
                        </w:r>
                        <w:r>
                          <w:rPr>
                            <w:position w:val="-1"/>
                            <w:sz w:val="15"/>
                          </w:rPr>
                          <w:drawing>
                            <wp:inline distT="0" distB="0" distL="0" distR="0">
                              <wp:extent cx="236880" cy="96011"/>
                              <wp:effectExtent l="0" t="0" r="0" b="0"/>
                              <wp:docPr id="125" name="image87.png"/>
                              <wp:cNvGraphicFramePr>
                                <a:graphicFrameLocks noChangeAspect="1"/>
                              </wp:cNvGraphicFramePr>
                              <a:graphic>
                                <a:graphicData uri="http://schemas.openxmlformats.org/drawingml/2006/picture">
                                  <pic:pic>
                                    <pic:nvPicPr>
                                      <pic:cNvPr id="126" name="image87.png"/>
                                      <pic:cNvPicPr/>
                                    </pic:nvPicPr>
                                    <pic:blipFill>
                                      <a:blip r:embed="rId109" cstate="print"/>
                                      <a:stretch>
                                        <a:fillRect/>
                                      </a:stretch>
                                    </pic:blipFill>
                                    <pic:spPr>
                                      <a:xfrm>
                                        <a:off x="0" y="0"/>
                                        <a:ext cx="236880" cy="96011"/>
                                      </a:xfrm>
                                      <a:prstGeom prst="rect">
                                        <a:avLst/>
                                      </a:prstGeom>
                                    </pic:spPr>
                                  </pic:pic>
                                </a:graphicData>
                              </a:graphic>
                            </wp:inline>
                          </w:drawing>
                        </w:r>
                        <w:r>
                          <w:rPr>
                            <w:position w:val="-1"/>
                            <w:sz w:val="15"/>
                          </w:rPr>
                        </w:r>
                        <w:r>
                          <w:rPr>
                            <w:position w:val="-1"/>
                            <w:sz w:val="15"/>
                          </w:rPr>
                          <w:tab/>
                        </w:r>
                        <w:r>
                          <w:rPr>
                            <w:position w:val="-3"/>
                            <w:sz w:val="15"/>
                          </w:rPr>
                          <w:drawing>
                            <wp:inline distT="0" distB="0" distL="0" distR="0">
                              <wp:extent cx="236880" cy="96011"/>
                              <wp:effectExtent l="0" t="0" r="0" b="0"/>
                              <wp:docPr id="127" name="image87.png"/>
                              <wp:cNvGraphicFramePr>
                                <a:graphicFrameLocks noChangeAspect="1"/>
                              </wp:cNvGraphicFramePr>
                              <a:graphic>
                                <a:graphicData uri="http://schemas.openxmlformats.org/drawingml/2006/picture">
                                  <pic:pic>
                                    <pic:nvPicPr>
                                      <pic:cNvPr id="128" name="image87.png"/>
                                      <pic:cNvPicPr/>
                                    </pic:nvPicPr>
                                    <pic:blipFill>
                                      <a:blip r:embed="rId109" cstate="print"/>
                                      <a:stretch>
                                        <a:fillRect/>
                                      </a:stretch>
                                    </pic:blipFill>
                                    <pic:spPr>
                                      <a:xfrm>
                                        <a:off x="0" y="0"/>
                                        <a:ext cx="236880" cy="96011"/>
                                      </a:xfrm>
                                      <a:prstGeom prst="rect">
                                        <a:avLst/>
                                      </a:prstGeom>
                                    </pic:spPr>
                                  </pic:pic>
                                </a:graphicData>
                              </a:graphic>
                            </wp:inline>
                          </w:drawing>
                        </w:r>
                        <w:r>
                          <w:rPr>
                            <w:position w:val="-3"/>
                            <w:sz w:val="15"/>
                          </w:rPr>
                        </w:r>
                      </w:p>
                    </w:tc>
                    <w:tc>
                      <w:tcPr>
                        <w:tcW w:w="4157" w:type="dxa"/>
                        <w:gridSpan w:val="15"/>
                        <w:tcBorders>
                          <w:top w:val="single" w:sz="6" w:space="0" w:color="F1F1F1"/>
                          <w:left w:val="dashed" w:sz="6" w:space="0" w:color="7E7E7E"/>
                          <w:bottom w:val="single" w:sz="34" w:space="0" w:color="FBDDC4"/>
                        </w:tcBorders>
                      </w:tcPr>
                      <w:p>
                        <w:pPr>
                          <w:pStyle w:val="TableParagraph"/>
                          <w:spacing w:before="5"/>
                          <w:rPr>
                            <w:sz w:val="5"/>
                          </w:rPr>
                        </w:pPr>
                      </w:p>
                      <w:p>
                        <w:pPr>
                          <w:pStyle w:val="TableParagraph"/>
                          <w:tabs>
                            <w:tab w:pos="1068" w:val="left" w:leader="none"/>
                            <w:tab w:pos="1900" w:val="left" w:leader="none"/>
                            <w:tab w:pos="2731" w:val="left" w:leader="none"/>
                            <w:tab w:pos="3563" w:val="left" w:leader="none"/>
                          </w:tabs>
                          <w:spacing w:line="163" w:lineRule="exact" w:before="0"/>
                          <w:ind w:left="236"/>
                          <w:rPr>
                            <w:sz w:val="13"/>
                          </w:rPr>
                        </w:pPr>
                        <w:r>
                          <w:rPr>
                            <w:position w:val="-1"/>
                            <w:sz w:val="15"/>
                          </w:rPr>
                          <w:drawing>
                            <wp:inline distT="0" distB="0" distL="0" distR="0">
                              <wp:extent cx="232210" cy="97154"/>
                              <wp:effectExtent l="0" t="0" r="0" b="0"/>
                              <wp:docPr id="129" name="image88.png"/>
                              <wp:cNvGraphicFramePr>
                                <a:graphicFrameLocks noChangeAspect="1"/>
                              </wp:cNvGraphicFramePr>
                              <a:graphic>
                                <a:graphicData uri="http://schemas.openxmlformats.org/drawingml/2006/picture">
                                  <pic:pic>
                                    <pic:nvPicPr>
                                      <pic:cNvPr id="130" name="image88.png"/>
                                      <pic:cNvPicPr/>
                                    </pic:nvPicPr>
                                    <pic:blipFill>
                                      <a:blip r:embed="rId110" cstate="print"/>
                                      <a:stretch>
                                        <a:fillRect/>
                                      </a:stretch>
                                    </pic:blipFill>
                                    <pic:spPr>
                                      <a:xfrm>
                                        <a:off x="0" y="0"/>
                                        <a:ext cx="232210" cy="97154"/>
                                      </a:xfrm>
                                      <a:prstGeom prst="rect">
                                        <a:avLst/>
                                      </a:prstGeom>
                                    </pic:spPr>
                                  </pic:pic>
                                </a:graphicData>
                              </a:graphic>
                            </wp:inline>
                          </w:drawing>
                        </w:r>
                        <w:r>
                          <w:rPr>
                            <w:position w:val="-1"/>
                            <w:sz w:val="15"/>
                          </w:rPr>
                        </w:r>
                        <w:r>
                          <w:rPr>
                            <w:position w:val="-1"/>
                            <w:sz w:val="15"/>
                          </w:rPr>
                          <w:tab/>
                        </w:r>
                        <w:r>
                          <w:rPr>
                            <w:position w:val="-2"/>
                            <w:sz w:val="15"/>
                          </w:rPr>
                          <w:drawing>
                            <wp:inline distT="0" distB="0" distL="0" distR="0">
                              <wp:extent cx="229478" cy="96011"/>
                              <wp:effectExtent l="0" t="0" r="0" b="0"/>
                              <wp:docPr id="131" name="image89.png"/>
                              <wp:cNvGraphicFramePr>
                                <a:graphicFrameLocks noChangeAspect="1"/>
                              </wp:cNvGraphicFramePr>
                              <a:graphic>
                                <a:graphicData uri="http://schemas.openxmlformats.org/drawingml/2006/picture">
                                  <pic:pic>
                                    <pic:nvPicPr>
                                      <pic:cNvPr id="132" name="image89.png"/>
                                      <pic:cNvPicPr/>
                                    </pic:nvPicPr>
                                    <pic:blipFill>
                                      <a:blip r:embed="rId111" cstate="print"/>
                                      <a:stretch>
                                        <a:fillRect/>
                                      </a:stretch>
                                    </pic:blipFill>
                                    <pic:spPr>
                                      <a:xfrm>
                                        <a:off x="0" y="0"/>
                                        <a:ext cx="229478" cy="96011"/>
                                      </a:xfrm>
                                      <a:prstGeom prst="rect">
                                        <a:avLst/>
                                      </a:prstGeom>
                                    </pic:spPr>
                                  </pic:pic>
                                </a:graphicData>
                              </a:graphic>
                            </wp:inline>
                          </w:drawing>
                        </w:r>
                        <w:r>
                          <w:rPr>
                            <w:position w:val="-2"/>
                            <w:sz w:val="15"/>
                          </w:rPr>
                        </w:r>
                        <w:r>
                          <w:rPr>
                            <w:position w:val="-2"/>
                            <w:sz w:val="15"/>
                          </w:rPr>
                          <w:tab/>
                        </w:r>
                        <w:r>
                          <w:rPr>
                            <w:position w:val="-2"/>
                            <w:sz w:val="15"/>
                          </w:rPr>
                          <w:drawing>
                            <wp:inline distT="0" distB="0" distL="0" distR="0">
                              <wp:extent cx="236880" cy="96011"/>
                              <wp:effectExtent l="0" t="0" r="0" b="0"/>
                              <wp:docPr id="133" name="image90.png"/>
                              <wp:cNvGraphicFramePr>
                                <a:graphicFrameLocks noChangeAspect="1"/>
                              </wp:cNvGraphicFramePr>
                              <a:graphic>
                                <a:graphicData uri="http://schemas.openxmlformats.org/drawingml/2006/picture">
                                  <pic:pic>
                                    <pic:nvPicPr>
                                      <pic:cNvPr id="134" name="image90.png"/>
                                      <pic:cNvPicPr/>
                                    </pic:nvPicPr>
                                    <pic:blipFill>
                                      <a:blip r:embed="rId112" cstate="print"/>
                                      <a:stretch>
                                        <a:fillRect/>
                                      </a:stretch>
                                    </pic:blipFill>
                                    <pic:spPr>
                                      <a:xfrm>
                                        <a:off x="0" y="0"/>
                                        <a:ext cx="236880" cy="96011"/>
                                      </a:xfrm>
                                      <a:prstGeom prst="rect">
                                        <a:avLst/>
                                      </a:prstGeom>
                                    </pic:spPr>
                                  </pic:pic>
                                </a:graphicData>
                              </a:graphic>
                            </wp:inline>
                          </w:drawing>
                        </w:r>
                        <w:r>
                          <w:rPr>
                            <w:position w:val="-2"/>
                            <w:sz w:val="15"/>
                          </w:rPr>
                        </w:r>
                        <w:r>
                          <w:rPr>
                            <w:position w:val="-2"/>
                            <w:sz w:val="15"/>
                          </w:rPr>
                          <w:tab/>
                        </w:r>
                        <w:r>
                          <w:rPr>
                            <w:position w:val="-2"/>
                            <w:sz w:val="15"/>
                          </w:rPr>
                          <w:drawing>
                            <wp:inline distT="0" distB="0" distL="0" distR="0">
                              <wp:extent cx="236880" cy="96011"/>
                              <wp:effectExtent l="0" t="0" r="0" b="0"/>
                              <wp:docPr id="135" name="image91.png"/>
                              <wp:cNvGraphicFramePr>
                                <a:graphicFrameLocks noChangeAspect="1"/>
                              </wp:cNvGraphicFramePr>
                              <a:graphic>
                                <a:graphicData uri="http://schemas.openxmlformats.org/drawingml/2006/picture">
                                  <pic:pic>
                                    <pic:nvPicPr>
                                      <pic:cNvPr id="136" name="image91.png"/>
                                      <pic:cNvPicPr/>
                                    </pic:nvPicPr>
                                    <pic:blipFill>
                                      <a:blip r:embed="rId113" cstate="print"/>
                                      <a:stretch>
                                        <a:fillRect/>
                                      </a:stretch>
                                    </pic:blipFill>
                                    <pic:spPr>
                                      <a:xfrm>
                                        <a:off x="0" y="0"/>
                                        <a:ext cx="236880" cy="96011"/>
                                      </a:xfrm>
                                      <a:prstGeom prst="rect">
                                        <a:avLst/>
                                      </a:prstGeom>
                                    </pic:spPr>
                                  </pic:pic>
                                </a:graphicData>
                              </a:graphic>
                            </wp:inline>
                          </w:drawing>
                        </w:r>
                        <w:r>
                          <w:rPr>
                            <w:position w:val="-2"/>
                            <w:sz w:val="15"/>
                          </w:rPr>
                        </w:r>
                        <w:r>
                          <w:rPr>
                            <w:position w:val="-2"/>
                            <w:sz w:val="15"/>
                          </w:rPr>
                          <w:tab/>
                        </w:r>
                        <w:r>
                          <w:rPr>
                            <w:position w:val="-2"/>
                            <w:sz w:val="13"/>
                          </w:rPr>
                          <w:drawing>
                            <wp:inline distT="0" distB="0" distL="0" distR="0">
                              <wp:extent cx="237017" cy="88677"/>
                              <wp:effectExtent l="0" t="0" r="0" b="0"/>
                              <wp:docPr id="137" name="image92.png"/>
                              <wp:cNvGraphicFramePr>
                                <a:graphicFrameLocks noChangeAspect="1"/>
                              </wp:cNvGraphicFramePr>
                              <a:graphic>
                                <a:graphicData uri="http://schemas.openxmlformats.org/drawingml/2006/picture">
                                  <pic:pic>
                                    <pic:nvPicPr>
                                      <pic:cNvPr id="138" name="image92.png"/>
                                      <pic:cNvPicPr/>
                                    </pic:nvPicPr>
                                    <pic:blipFill>
                                      <a:blip r:embed="rId114" cstate="print"/>
                                      <a:stretch>
                                        <a:fillRect/>
                                      </a:stretch>
                                    </pic:blipFill>
                                    <pic:spPr>
                                      <a:xfrm>
                                        <a:off x="0" y="0"/>
                                        <a:ext cx="237017" cy="88677"/>
                                      </a:xfrm>
                                      <a:prstGeom prst="rect">
                                        <a:avLst/>
                                      </a:prstGeom>
                                    </pic:spPr>
                                  </pic:pic>
                                </a:graphicData>
                              </a:graphic>
                            </wp:inline>
                          </w:drawing>
                        </w:r>
                        <w:r>
                          <w:rPr>
                            <w:position w:val="-2"/>
                            <w:sz w:val="13"/>
                          </w:rPr>
                        </w:r>
                      </w:p>
                    </w:tc>
                  </w:tr>
                  <w:tr>
                    <w:trPr>
                      <w:trHeight w:val="201" w:hRule="atLeast"/>
                    </w:trPr>
                    <w:tc>
                      <w:tcPr>
                        <w:tcW w:w="223" w:type="dxa"/>
                        <w:tcBorders>
                          <w:top w:val="single" w:sz="6" w:space="0" w:color="F1F1F1"/>
                          <w:left w:val="single" w:sz="6" w:space="0" w:color="BEBEBE"/>
                          <w:bottom w:val="single" w:sz="6" w:space="0" w:color="F1F1F1"/>
                        </w:tcBorders>
                      </w:tcPr>
                      <w:p>
                        <w:pPr>
                          <w:pStyle w:val="TableParagraph"/>
                          <w:spacing w:before="0"/>
                          <w:rPr>
                            <w:rFonts w:ascii="Times New Roman"/>
                            <w:sz w:val="14"/>
                          </w:rPr>
                        </w:pPr>
                      </w:p>
                    </w:tc>
                    <w:tc>
                      <w:tcPr>
                        <w:tcW w:w="375" w:type="dxa"/>
                        <w:tcBorders>
                          <w:top w:val="single" w:sz="24" w:space="0" w:color="FBDDC4"/>
                        </w:tcBorders>
                        <w:shd w:val="clear" w:color="auto" w:fill="F9C090"/>
                      </w:tcPr>
                      <w:p>
                        <w:pPr>
                          <w:pStyle w:val="TableParagraph"/>
                          <w:spacing w:before="0"/>
                          <w:rPr>
                            <w:rFonts w:ascii="Times New Roman"/>
                            <w:sz w:val="14"/>
                          </w:rPr>
                        </w:pPr>
                      </w:p>
                    </w:tc>
                    <w:tc>
                      <w:tcPr>
                        <w:tcW w:w="468" w:type="dxa"/>
                        <w:gridSpan w:val="2"/>
                        <w:tcBorders>
                          <w:top w:val="single" w:sz="6" w:space="0" w:color="F1F1F1"/>
                          <w:bottom w:val="single" w:sz="6" w:space="0" w:color="F1F1F1"/>
                        </w:tcBorders>
                      </w:tcPr>
                      <w:p>
                        <w:pPr>
                          <w:pStyle w:val="TableParagraph"/>
                          <w:spacing w:before="0"/>
                          <w:rPr>
                            <w:rFonts w:ascii="Times New Roman"/>
                            <w:sz w:val="14"/>
                          </w:rPr>
                        </w:pPr>
                      </w:p>
                    </w:tc>
                    <w:tc>
                      <w:tcPr>
                        <w:tcW w:w="363" w:type="dxa"/>
                        <w:tcBorders>
                          <w:top w:val="single" w:sz="24" w:space="0" w:color="FBDDC4"/>
                        </w:tcBorders>
                        <w:shd w:val="clear" w:color="auto" w:fill="F9C090"/>
                      </w:tcPr>
                      <w:p>
                        <w:pPr>
                          <w:pStyle w:val="TableParagraph"/>
                          <w:spacing w:before="0"/>
                          <w:rPr>
                            <w:rFonts w:ascii="Times New Roman"/>
                            <w:sz w:val="14"/>
                          </w:rPr>
                        </w:pPr>
                      </w:p>
                    </w:tc>
                    <w:tc>
                      <w:tcPr>
                        <w:tcW w:w="468" w:type="dxa"/>
                        <w:gridSpan w:val="2"/>
                        <w:tcBorders>
                          <w:top w:val="single" w:sz="6" w:space="0" w:color="F1F1F1"/>
                          <w:bottom w:val="single" w:sz="6" w:space="0" w:color="F1F1F1"/>
                        </w:tcBorders>
                      </w:tcPr>
                      <w:p>
                        <w:pPr>
                          <w:pStyle w:val="TableParagraph"/>
                          <w:spacing w:before="0"/>
                          <w:rPr>
                            <w:rFonts w:ascii="Times New Roman"/>
                            <w:sz w:val="14"/>
                          </w:rPr>
                        </w:pPr>
                      </w:p>
                    </w:tc>
                    <w:tc>
                      <w:tcPr>
                        <w:tcW w:w="363" w:type="dxa"/>
                        <w:tcBorders>
                          <w:top w:val="single" w:sz="24" w:space="0" w:color="FBDDC4"/>
                          <w:bottom w:val="single" w:sz="6" w:space="0" w:color="F1F1F1"/>
                        </w:tcBorders>
                        <w:shd w:val="clear" w:color="auto" w:fill="F9C090"/>
                      </w:tcPr>
                      <w:p>
                        <w:pPr>
                          <w:pStyle w:val="TableParagraph"/>
                          <w:spacing w:before="0"/>
                          <w:rPr>
                            <w:rFonts w:ascii="Times New Roman"/>
                            <w:sz w:val="14"/>
                          </w:rPr>
                        </w:pPr>
                      </w:p>
                    </w:tc>
                    <w:tc>
                      <w:tcPr>
                        <w:tcW w:w="468" w:type="dxa"/>
                        <w:gridSpan w:val="2"/>
                        <w:tcBorders>
                          <w:top w:val="single" w:sz="6" w:space="0" w:color="F1F1F1"/>
                          <w:bottom w:val="single" w:sz="6" w:space="0" w:color="F1F1F1"/>
                        </w:tcBorders>
                      </w:tcPr>
                      <w:p>
                        <w:pPr>
                          <w:pStyle w:val="TableParagraph"/>
                          <w:spacing w:before="0"/>
                          <w:rPr>
                            <w:rFonts w:ascii="Times New Roman"/>
                            <w:sz w:val="14"/>
                          </w:rPr>
                        </w:pPr>
                      </w:p>
                    </w:tc>
                    <w:tc>
                      <w:tcPr>
                        <w:tcW w:w="375" w:type="dxa"/>
                        <w:tcBorders>
                          <w:top w:val="single" w:sz="24" w:space="0" w:color="FBDDC4"/>
                        </w:tcBorders>
                        <w:shd w:val="clear" w:color="auto" w:fill="F9C090"/>
                      </w:tcPr>
                      <w:p>
                        <w:pPr>
                          <w:pStyle w:val="TableParagraph"/>
                          <w:spacing w:before="0"/>
                          <w:rPr>
                            <w:rFonts w:ascii="Times New Roman"/>
                            <w:sz w:val="14"/>
                          </w:rPr>
                        </w:pPr>
                      </w:p>
                    </w:tc>
                    <w:tc>
                      <w:tcPr>
                        <w:tcW w:w="456" w:type="dxa"/>
                        <w:gridSpan w:val="2"/>
                        <w:tcBorders>
                          <w:top w:val="single" w:sz="6" w:space="0" w:color="F1F1F1"/>
                          <w:bottom w:val="single" w:sz="6" w:space="0" w:color="F1F1F1"/>
                        </w:tcBorders>
                      </w:tcPr>
                      <w:p>
                        <w:pPr>
                          <w:pStyle w:val="TableParagraph"/>
                          <w:spacing w:before="0"/>
                          <w:rPr>
                            <w:rFonts w:ascii="Times New Roman"/>
                            <w:sz w:val="14"/>
                          </w:rPr>
                        </w:pPr>
                      </w:p>
                    </w:tc>
                    <w:tc>
                      <w:tcPr>
                        <w:tcW w:w="374" w:type="dxa"/>
                        <w:tcBorders>
                          <w:top w:val="single" w:sz="24" w:space="0" w:color="ECB8E7"/>
                        </w:tcBorders>
                        <w:shd w:val="clear" w:color="auto" w:fill="F9C090"/>
                      </w:tcPr>
                      <w:p>
                        <w:pPr>
                          <w:pStyle w:val="TableParagraph"/>
                          <w:spacing w:before="0"/>
                          <w:rPr>
                            <w:rFonts w:ascii="Times New Roman"/>
                            <w:sz w:val="14"/>
                          </w:rPr>
                        </w:pPr>
                      </w:p>
                    </w:tc>
                    <w:tc>
                      <w:tcPr>
                        <w:tcW w:w="233" w:type="dxa"/>
                        <w:tcBorders>
                          <w:top w:val="single" w:sz="6" w:space="0" w:color="F1F1F1"/>
                          <w:bottom w:val="single" w:sz="6" w:space="0" w:color="F1F1F1"/>
                          <w:right w:val="dashed" w:sz="6" w:space="0" w:color="7E7E7E"/>
                        </w:tcBorders>
                      </w:tcPr>
                      <w:p>
                        <w:pPr>
                          <w:pStyle w:val="TableParagraph"/>
                          <w:spacing w:before="0"/>
                          <w:rPr>
                            <w:rFonts w:ascii="Times New Roman"/>
                            <w:sz w:val="14"/>
                          </w:rPr>
                        </w:pPr>
                      </w:p>
                    </w:tc>
                    <w:tc>
                      <w:tcPr>
                        <w:tcW w:w="233" w:type="dxa"/>
                        <w:tcBorders>
                          <w:top w:val="single" w:sz="6" w:space="0" w:color="F1F1F1"/>
                          <w:left w:val="dashed" w:sz="6" w:space="0" w:color="7E7E7E"/>
                          <w:bottom w:val="single" w:sz="6" w:space="0" w:color="F1F1F1"/>
                        </w:tcBorders>
                      </w:tcPr>
                      <w:p>
                        <w:pPr>
                          <w:pStyle w:val="TableParagraph"/>
                          <w:spacing w:before="0"/>
                          <w:rPr>
                            <w:rFonts w:ascii="Times New Roman"/>
                            <w:sz w:val="14"/>
                          </w:rPr>
                        </w:pPr>
                      </w:p>
                    </w:tc>
                    <w:tc>
                      <w:tcPr>
                        <w:tcW w:w="362" w:type="dxa"/>
                        <w:tcBorders>
                          <w:top w:val="single" w:sz="24" w:space="0" w:color="FBDDC4"/>
                        </w:tcBorders>
                        <w:shd w:val="clear" w:color="auto" w:fill="F9C090"/>
                      </w:tcPr>
                      <w:p>
                        <w:pPr>
                          <w:pStyle w:val="TableParagraph"/>
                          <w:spacing w:before="0"/>
                          <w:rPr>
                            <w:rFonts w:ascii="Times New Roman"/>
                            <w:sz w:val="14"/>
                          </w:rPr>
                        </w:pPr>
                      </w:p>
                    </w:tc>
                    <w:tc>
                      <w:tcPr>
                        <w:tcW w:w="466" w:type="dxa"/>
                        <w:gridSpan w:val="2"/>
                        <w:tcBorders>
                          <w:top w:val="single" w:sz="6" w:space="0" w:color="F1F1F1"/>
                          <w:bottom w:val="single" w:sz="6" w:space="0" w:color="F1F1F1"/>
                        </w:tcBorders>
                      </w:tcPr>
                      <w:p>
                        <w:pPr>
                          <w:pStyle w:val="TableParagraph"/>
                          <w:spacing w:before="0"/>
                          <w:rPr>
                            <w:rFonts w:ascii="Times New Roman"/>
                            <w:sz w:val="14"/>
                          </w:rPr>
                        </w:pPr>
                      </w:p>
                    </w:tc>
                    <w:tc>
                      <w:tcPr>
                        <w:tcW w:w="362" w:type="dxa"/>
                        <w:tcBorders>
                          <w:top w:val="single" w:sz="24" w:space="0" w:color="FBDDC4"/>
                        </w:tcBorders>
                        <w:shd w:val="clear" w:color="auto" w:fill="F9C090"/>
                      </w:tcPr>
                      <w:p>
                        <w:pPr>
                          <w:pStyle w:val="TableParagraph"/>
                          <w:spacing w:before="0"/>
                          <w:rPr>
                            <w:rFonts w:ascii="Times New Roman"/>
                            <w:sz w:val="14"/>
                          </w:rPr>
                        </w:pPr>
                      </w:p>
                    </w:tc>
                    <w:tc>
                      <w:tcPr>
                        <w:tcW w:w="466" w:type="dxa"/>
                        <w:gridSpan w:val="2"/>
                        <w:tcBorders>
                          <w:top w:val="single" w:sz="6" w:space="0" w:color="F1F1F1"/>
                          <w:bottom w:val="single" w:sz="6" w:space="0" w:color="F1F1F1"/>
                        </w:tcBorders>
                      </w:tcPr>
                      <w:p>
                        <w:pPr>
                          <w:pStyle w:val="TableParagraph"/>
                          <w:spacing w:before="0"/>
                          <w:rPr>
                            <w:rFonts w:ascii="Times New Roman"/>
                            <w:sz w:val="14"/>
                          </w:rPr>
                        </w:pPr>
                      </w:p>
                    </w:tc>
                    <w:tc>
                      <w:tcPr>
                        <w:tcW w:w="374" w:type="dxa"/>
                        <w:tcBorders>
                          <w:top w:val="single" w:sz="24" w:space="0" w:color="ECB8E7"/>
                        </w:tcBorders>
                        <w:shd w:val="clear" w:color="auto" w:fill="F9C090"/>
                      </w:tcPr>
                      <w:p>
                        <w:pPr>
                          <w:pStyle w:val="TableParagraph"/>
                          <w:spacing w:before="0"/>
                          <w:rPr>
                            <w:rFonts w:ascii="Times New Roman"/>
                            <w:sz w:val="14"/>
                          </w:rPr>
                        </w:pPr>
                      </w:p>
                    </w:tc>
                    <w:tc>
                      <w:tcPr>
                        <w:tcW w:w="456" w:type="dxa"/>
                        <w:gridSpan w:val="2"/>
                        <w:tcBorders>
                          <w:top w:val="single" w:sz="6" w:space="0" w:color="F1F1F1"/>
                          <w:bottom w:val="single" w:sz="6" w:space="0" w:color="F1F1F1"/>
                        </w:tcBorders>
                      </w:tcPr>
                      <w:p>
                        <w:pPr>
                          <w:pStyle w:val="TableParagraph"/>
                          <w:spacing w:before="0"/>
                          <w:rPr>
                            <w:rFonts w:ascii="Times New Roman"/>
                            <w:sz w:val="14"/>
                          </w:rPr>
                        </w:pPr>
                      </w:p>
                    </w:tc>
                    <w:tc>
                      <w:tcPr>
                        <w:tcW w:w="375" w:type="dxa"/>
                        <w:tcBorders>
                          <w:top w:val="single" w:sz="24" w:space="0" w:color="FBDDC4"/>
                        </w:tcBorders>
                        <w:shd w:val="clear" w:color="auto" w:fill="F9C090"/>
                      </w:tcPr>
                      <w:p>
                        <w:pPr>
                          <w:pStyle w:val="TableParagraph"/>
                          <w:spacing w:before="0"/>
                          <w:rPr>
                            <w:rFonts w:ascii="Times New Roman"/>
                            <w:sz w:val="14"/>
                          </w:rPr>
                        </w:pPr>
                      </w:p>
                    </w:tc>
                    <w:tc>
                      <w:tcPr>
                        <w:tcW w:w="456" w:type="dxa"/>
                        <w:gridSpan w:val="2"/>
                        <w:tcBorders>
                          <w:top w:val="single" w:sz="6" w:space="0" w:color="F1F1F1"/>
                          <w:bottom w:val="single" w:sz="6" w:space="0" w:color="F1F1F1"/>
                        </w:tcBorders>
                      </w:tcPr>
                      <w:p>
                        <w:pPr>
                          <w:pStyle w:val="TableParagraph"/>
                          <w:spacing w:before="0"/>
                          <w:rPr>
                            <w:rFonts w:ascii="Times New Roman"/>
                            <w:sz w:val="14"/>
                          </w:rPr>
                        </w:pPr>
                      </w:p>
                    </w:tc>
                    <w:tc>
                      <w:tcPr>
                        <w:tcW w:w="374" w:type="dxa"/>
                        <w:tcBorders>
                          <w:top w:val="single" w:sz="24" w:space="0" w:color="FBDDC4"/>
                        </w:tcBorders>
                        <w:shd w:val="clear" w:color="auto" w:fill="F9C090"/>
                      </w:tcPr>
                      <w:p>
                        <w:pPr>
                          <w:pStyle w:val="TableParagraph"/>
                          <w:spacing w:before="0"/>
                          <w:rPr>
                            <w:rFonts w:ascii="Times New Roman"/>
                            <w:sz w:val="14"/>
                          </w:rPr>
                        </w:pPr>
                      </w:p>
                    </w:tc>
                    <w:tc>
                      <w:tcPr>
                        <w:tcW w:w="233" w:type="dxa"/>
                        <w:tcBorders>
                          <w:top w:val="single" w:sz="6" w:space="0" w:color="F1F1F1"/>
                          <w:bottom w:val="single" w:sz="6" w:space="0" w:color="F1F1F1"/>
                        </w:tcBorders>
                      </w:tcPr>
                      <w:p>
                        <w:pPr>
                          <w:pStyle w:val="TableParagraph"/>
                          <w:spacing w:before="0"/>
                          <w:rPr>
                            <w:rFonts w:ascii="Times New Roman"/>
                            <w:sz w:val="14"/>
                          </w:rPr>
                        </w:pPr>
                      </w:p>
                    </w:tc>
                  </w:tr>
                  <w:tr>
                    <w:trPr>
                      <w:trHeight w:val="265" w:hRule="atLeast"/>
                    </w:trPr>
                    <w:tc>
                      <w:tcPr>
                        <w:tcW w:w="223" w:type="dxa"/>
                        <w:tcBorders>
                          <w:top w:val="single" w:sz="6" w:space="0" w:color="F1F1F1"/>
                          <w:left w:val="single" w:sz="6" w:space="0" w:color="BEBEBE"/>
                          <w:bottom w:val="single" w:sz="6" w:space="0" w:color="F1F1F1"/>
                        </w:tcBorders>
                      </w:tcPr>
                      <w:p>
                        <w:pPr>
                          <w:pStyle w:val="TableParagraph"/>
                          <w:spacing w:before="0"/>
                          <w:rPr>
                            <w:rFonts w:ascii="Times New Roman"/>
                            <w:sz w:val="16"/>
                          </w:rPr>
                        </w:pPr>
                      </w:p>
                    </w:tc>
                    <w:tc>
                      <w:tcPr>
                        <w:tcW w:w="375" w:type="dxa"/>
                        <w:vMerge w:val="restart"/>
                        <w:shd w:val="clear" w:color="auto" w:fill="F8A763"/>
                      </w:tcPr>
                      <w:p>
                        <w:pPr>
                          <w:pStyle w:val="TableParagraph"/>
                          <w:spacing w:before="0"/>
                          <w:rPr>
                            <w:rFonts w:ascii="Times New Roman"/>
                            <w:sz w:val="16"/>
                          </w:rPr>
                        </w:pPr>
                      </w:p>
                    </w:tc>
                    <w:tc>
                      <w:tcPr>
                        <w:tcW w:w="468" w:type="dxa"/>
                        <w:gridSpan w:val="2"/>
                        <w:tcBorders>
                          <w:top w:val="single" w:sz="6" w:space="0" w:color="F1F1F1"/>
                          <w:bottom w:val="single" w:sz="6" w:space="0" w:color="F1F1F1"/>
                        </w:tcBorders>
                      </w:tcPr>
                      <w:p>
                        <w:pPr>
                          <w:pStyle w:val="TableParagraph"/>
                          <w:spacing w:before="0"/>
                          <w:rPr>
                            <w:rFonts w:ascii="Times New Roman"/>
                            <w:sz w:val="16"/>
                          </w:rPr>
                        </w:pPr>
                      </w:p>
                    </w:tc>
                    <w:tc>
                      <w:tcPr>
                        <w:tcW w:w="363" w:type="dxa"/>
                        <w:vMerge w:val="restart"/>
                        <w:shd w:val="clear" w:color="auto" w:fill="F8A763"/>
                      </w:tcPr>
                      <w:p>
                        <w:pPr>
                          <w:pStyle w:val="TableParagraph"/>
                          <w:spacing w:before="0"/>
                          <w:rPr>
                            <w:rFonts w:ascii="Times New Roman"/>
                            <w:sz w:val="16"/>
                          </w:rPr>
                        </w:pPr>
                      </w:p>
                    </w:tc>
                    <w:tc>
                      <w:tcPr>
                        <w:tcW w:w="468" w:type="dxa"/>
                        <w:gridSpan w:val="2"/>
                        <w:tcBorders>
                          <w:top w:val="single" w:sz="6" w:space="0" w:color="F1F1F1"/>
                          <w:bottom w:val="single" w:sz="6" w:space="0" w:color="F1F1F1"/>
                        </w:tcBorders>
                      </w:tcPr>
                      <w:p>
                        <w:pPr>
                          <w:pStyle w:val="TableParagraph"/>
                          <w:spacing w:before="0"/>
                          <w:rPr>
                            <w:rFonts w:ascii="Times New Roman"/>
                            <w:sz w:val="16"/>
                          </w:rPr>
                        </w:pPr>
                      </w:p>
                    </w:tc>
                    <w:tc>
                      <w:tcPr>
                        <w:tcW w:w="363" w:type="dxa"/>
                        <w:vMerge w:val="restart"/>
                        <w:tcBorders>
                          <w:top w:val="single" w:sz="6" w:space="0" w:color="F1F1F1"/>
                          <w:bottom w:val="single" w:sz="6" w:space="0" w:color="8063A1"/>
                        </w:tcBorders>
                        <w:shd w:val="clear" w:color="auto" w:fill="F8A763"/>
                      </w:tcPr>
                      <w:p>
                        <w:pPr>
                          <w:pStyle w:val="TableParagraph"/>
                          <w:spacing w:before="0"/>
                          <w:rPr>
                            <w:rFonts w:ascii="Times New Roman"/>
                            <w:sz w:val="16"/>
                          </w:rPr>
                        </w:pPr>
                      </w:p>
                    </w:tc>
                    <w:tc>
                      <w:tcPr>
                        <w:tcW w:w="468" w:type="dxa"/>
                        <w:gridSpan w:val="2"/>
                        <w:tcBorders>
                          <w:top w:val="single" w:sz="6" w:space="0" w:color="F1F1F1"/>
                          <w:bottom w:val="single" w:sz="6" w:space="0" w:color="F1F1F1"/>
                        </w:tcBorders>
                      </w:tcPr>
                      <w:p>
                        <w:pPr>
                          <w:pStyle w:val="TableParagraph"/>
                          <w:spacing w:before="0"/>
                          <w:rPr>
                            <w:rFonts w:ascii="Times New Roman"/>
                            <w:sz w:val="16"/>
                          </w:rPr>
                        </w:pPr>
                      </w:p>
                    </w:tc>
                    <w:tc>
                      <w:tcPr>
                        <w:tcW w:w="375" w:type="dxa"/>
                        <w:vMerge w:val="restart"/>
                        <w:shd w:val="clear" w:color="auto" w:fill="F8A763"/>
                      </w:tcPr>
                      <w:p>
                        <w:pPr>
                          <w:pStyle w:val="TableParagraph"/>
                          <w:spacing w:before="0"/>
                          <w:rPr>
                            <w:rFonts w:ascii="Times New Roman"/>
                            <w:sz w:val="16"/>
                          </w:rPr>
                        </w:pPr>
                      </w:p>
                    </w:tc>
                    <w:tc>
                      <w:tcPr>
                        <w:tcW w:w="456" w:type="dxa"/>
                        <w:gridSpan w:val="2"/>
                        <w:tcBorders>
                          <w:top w:val="single" w:sz="6" w:space="0" w:color="F1F1F1"/>
                          <w:bottom w:val="single" w:sz="6" w:space="0" w:color="F1F1F1"/>
                        </w:tcBorders>
                      </w:tcPr>
                      <w:p>
                        <w:pPr>
                          <w:pStyle w:val="TableParagraph"/>
                          <w:spacing w:before="0"/>
                          <w:rPr>
                            <w:rFonts w:ascii="Times New Roman"/>
                            <w:sz w:val="16"/>
                          </w:rPr>
                        </w:pPr>
                      </w:p>
                    </w:tc>
                    <w:tc>
                      <w:tcPr>
                        <w:tcW w:w="374" w:type="dxa"/>
                        <w:vMerge w:val="restart"/>
                        <w:shd w:val="clear" w:color="auto" w:fill="F8A763"/>
                      </w:tcPr>
                      <w:p>
                        <w:pPr>
                          <w:pStyle w:val="TableParagraph"/>
                          <w:spacing w:before="0"/>
                          <w:rPr>
                            <w:rFonts w:ascii="Times New Roman"/>
                            <w:sz w:val="16"/>
                          </w:rPr>
                        </w:pPr>
                      </w:p>
                    </w:tc>
                    <w:tc>
                      <w:tcPr>
                        <w:tcW w:w="233" w:type="dxa"/>
                        <w:tcBorders>
                          <w:top w:val="single" w:sz="6" w:space="0" w:color="F1F1F1"/>
                          <w:bottom w:val="single" w:sz="6" w:space="0" w:color="F1F1F1"/>
                          <w:right w:val="dashed" w:sz="6" w:space="0" w:color="7E7E7E"/>
                        </w:tcBorders>
                      </w:tcPr>
                      <w:p>
                        <w:pPr>
                          <w:pStyle w:val="TableParagraph"/>
                          <w:spacing w:before="0"/>
                          <w:rPr>
                            <w:rFonts w:ascii="Times New Roman"/>
                            <w:sz w:val="16"/>
                          </w:rPr>
                        </w:pPr>
                      </w:p>
                    </w:tc>
                    <w:tc>
                      <w:tcPr>
                        <w:tcW w:w="233" w:type="dxa"/>
                        <w:tcBorders>
                          <w:top w:val="single" w:sz="6" w:space="0" w:color="F1F1F1"/>
                          <w:left w:val="dashed" w:sz="6" w:space="0" w:color="7E7E7E"/>
                          <w:bottom w:val="single" w:sz="6" w:space="0" w:color="F1F1F1"/>
                        </w:tcBorders>
                      </w:tcPr>
                      <w:p>
                        <w:pPr>
                          <w:pStyle w:val="TableParagraph"/>
                          <w:spacing w:before="0"/>
                          <w:rPr>
                            <w:rFonts w:ascii="Times New Roman"/>
                            <w:sz w:val="16"/>
                          </w:rPr>
                        </w:pPr>
                      </w:p>
                    </w:tc>
                    <w:tc>
                      <w:tcPr>
                        <w:tcW w:w="362" w:type="dxa"/>
                        <w:vMerge w:val="restart"/>
                        <w:tcBorders>
                          <w:bottom w:val="single" w:sz="6" w:space="0" w:color="E08AD6"/>
                        </w:tcBorders>
                        <w:shd w:val="clear" w:color="auto" w:fill="F8A763"/>
                      </w:tcPr>
                      <w:p>
                        <w:pPr>
                          <w:pStyle w:val="TableParagraph"/>
                          <w:spacing w:before="0"/>
                          <w:rPr>
                            <w:rFonts w:ascii="Times New Roman"/>
                            <w:sz w:val="16"/>
                          </w:rPr>
                        </w:pPr>
                      </w:p>
                    </w:tc>
                    <w:tc>
                      <w:tcPr>
                        <w:tcW w:w="466" w:type="dxa"/>
                        <w:gridSpan w:val="2"/>
                        <w:tcBorders>
                          <w:top w:val="single" w:sz="6" w:space="0" w:color="F1F1F1"/>
                          <w:bottom w:val="single" w:sz="6" w:space="0" w:color="F1F1F1"/>
                        </w:tcBorders>
                      </w:tcPr>
                      <w:p>
                        <w:pPr>
                          <w:pStyle w:val="TableParagraph"/>
                          <w:spacing w:before="0"/>
                          <w:rPr>
                            <w:rFonts w:ascii="Times New Roman"/>
                            <w:sz w:val="16"/>
                          </w:rPr>
                        </w:pPr>
                      </w:p>
                    </w:tc>
                    <w:tc>
                      <w:tcPr>
                        <w:tcW w:w="362" w:type="dxa"/>
                        <w:vMerge w:val="restart"/>
                        <w:tcBorders>
                          <w:bottom w:val="single" w:sz="6" w:space="0" w:color="E08AD6"/>
                        </w:tcBorders>
                        <w:shd w:val="clear" w:color="auto" w:fill="F8A763"/>
                      </w:tcPr>
                      <w:p>
                        <w:pPr>
                          <w:pStyle w:val="TableParagraph"/>
                          <w:spacing w:before="0"/>
                          <w:rPr>
                            <w:rFonts w:ascii="Times New Roman"/>
                            <w:sz w:val="16"/>
                          </w:rPr>
                        </w:pPr>
                      </w:p>
                    </w:tc>
                    <w:tc>
                      <w:tcPr>
                        <w:tcW w:w="466" w:type="dxa"/>
                        <w:gridSpan w:val="2"/>
                        <w:tcBorders>
                          <w:top w:val="single" w:sz="6" w:space="0" w:color="F1F1F1"/>
                          <w:bottom w:val="single" w:sz="6" w:space="0" w:color="F1F1F1"/>
                        </w:tcBorders>
                      </w:tcPr>
                      <w:p>
                        <w:pPr>
                          <w:pStyle w:val="TableParagraph"/>
                          <w:spacing w:before="0"/>
                          <w:rPr>
                            <w:rFonts w:ascii="Times New Roman"/>
                            <w:sz w:val="16"/>
                          </w:rPr>
                        </w:pPr>
                      </w:p>
                    </w:tc>
                    <w:tc>
                      <w:tcPr>
                        <w:tcW w:w="374" w:type="dxa"/>
                        <w:vMerge w:val="restart"/>
                        <w:tcBorders>
                          <w:bottom w:val="single" w:sz="6" w:space="0" w:color="E08AD6"/>
                        </w:tcBorders>
                        <w:shd w:val="clear" w:color="auto" w:fill="F8A763"/>
                      </w:tcPr>
                      <w:p>
                        <w:pPr>
                          <w:pStyle w:val="TableParagraph"/>
                          <w:spacing w:before="0"/>
                          <w:rPr>
                            <w:rFonts w:ascii="Times New Roman"/>
                            <w:sz w:val="16"/>
                          </w:rPr>
                        </w:pPr>
                      </w:p>
                    </w:tc>
                    <w:tc>
                      <w:tcPr>
                        <w:tcW w:w="456" w:type="dxa"/>
                        <w:gridSpan w:val="2"/>
                        <w:tcBorders>
                          <w:top w:val="single" w:sz="6" w:space="0" w:color="F1F1F1"/>
                          <w:bottom w:val="single" w:sz="6" w:space="0" w:color="F1F1F1"/>
                        </w:tcBorders>
                      </w:tcPr>
                      <w:p>
                        <w:pPr>
                          <w:pStyle w:val="TableParagraph"/>
                          <w:spacing w:before="0"/>
                          <w:rPr>
                            <w:rFonts w:ascii="Times New Roman"/>
                            <w:sz w:val="16"/>
                          </w:rPr>
                        </w:pPr>
                      </w:p>
                    </w:tc>
                    <w:tc>
                      <w:tcPr>
                        <w:tcW w:w="375" w:type="dxa"/>
                        <w:vMerge w:val="restart"/>
                        <w:tcBorders>
                          <w:bottom w:val="single" w:sz="6" w:space="0" w:color="E08AD6"/>
                        </w:tcBorders>
                        <w:shd w:val="clear" w:color="auto" w:fill="F8A763"/>
                      </w:tcPr>
                      <w:p>
                        <w:pPr>
                          <w:pStyle w:val="TableParagraph"/>
                          <w:spacing w:before="0"/>
                          <w:rPr>
                            <w:rFonts w:ascii="Times New Roman"/>
                            <w:sz w:val="16"/>
                          </w:rPr>
                        </w:pPr>
                      </w:p>
                    </w:tc>
                    <w:tc>
                      <w:tcPr>
                        <w:tcW w:w="456" w:type="dxa"/>
                        <w:gridSpan w:val="2"/>
                        <w:tcBorders>
                          <w:top w:val="single" w:sz="6" w:space="0" w:color="F1F1F1"/>
                          <w:bottom w:val="single" w:sz="6" w:space="0" w:color="F1F1F1"/>
                        </w:tcBorders>
                      </w:tcPr>
                      <w:p>
                        <w:pPr>
                          <w:pStyle w:val="TableParagraph"/>
                          <w:spacing w:before="0"/>
                          <w:rPr>
                            <w:rFonts w:ascii="Times New Roman"/>
                            <w:sz w:val="16"/>
                          </w:rPr>
                        </w:pPr>
                      </w:p>
                    </w:tc>
                    <w:tc>
                      <w:tcPr>
                        <w:tcW w:w="374" w:type="dxa"/>
                        <w:vMerge w:val="restart"/>
                        <w:shd w:val="clear" w:color="auto" w:fill="F8A763"/>
                      </w:tcPr>
                      <w:p>
                        <w:pPr>
                          <w:pStyle w:val="TableParagraph"/>
                          <w:spacing w:before="0"/>
                          <w:rPr>
                            <w:rFonts w:ascii="Times New Roman"/>
                            <w:sz w:val="16"/>
                          </w:rPr>
                        </w:pPr>
                      </w:p>
                    </w:tc>
                    <w:tc>
                      <w:tcPr>
                        <w:tcW w:w="233" w:type="dxa"/>
                        <w:tcBorders>
                          <w:top w:val="single" w:sz="6" w:space="0" w:color="F1F1F1"/>
                          <w:bottom w:val="single" w:sz="6" w:space="0" w:color="F1F1F1"/>
                        </w:tcBorders>
                      </w:tcPr>
                      <w:p>
                        <w:pPr>
                          <w:pStyle w:val="TableParagraph"/>
                          <w:spacing w:before="0"/>
                          <w:rPr>
                            <w:rFonts w:ascii="Times New Roman"/>
                            <w:sz w:val="16"/>
                          </w:rPr>
                        </w:pPr>
                      </w:p>
                    </w:tc>
                  </w:tr>
                  <w:tr>
                    <w:trPr>
                      <w:trHeight w:val="253" w:hRule="atLeast"/>
                    </w:trPr>
                    <w:tc>
                      <w:tcPr>
                        <w:tcW w:w="223" w:type="dxa"/>
                        <w:tcBorders>
                          <w:top w:val="single" w:sz="6" w:space="0" w:color="F1F1F1"/>
                          <w:left w:val="single" w:sz="6" w:space="0" w:color="BEBEBE"/>
                          <w:bottom w:val="single" w:sz="6" w:space="0" w:color="F1F1F1"/>
                        </w:tcBorders>
                      </w:tcPr>
                      <w:p>
                        <w:pPr>
                          <w:pStyle w:val="TableParagraph"/>
                          <w:spacing w:before="0"/>
                          <w:rPr>
                            <w:rFonts w:ascii="Times New Roman"/>
                            <w:sz w:val="16"/>
                          </w:rPr>
                        </w:pPr>
                      </w:p>
                    </w:tc>
                    <w:tc>
                      <w:tcPr>
                        <w:tcW w:w="375" w:type="dxa"/>
                        <w:vMerge/>
                        <w:tcBorders>
                          <w:top w:val="nil"/>
                        </w:tcBorders>
                        <w:shd w:val="clear" w:color="auto" w:fill="F8A763"/>
                      </w:tcPr>
                      <w:p>
                        <w:pPr>
                          <w:rPr>
                            <w:sz w:val="2"/>
                            <w:szCs w:val="2"/>
                          </w:rPr>
                        </w:pPr>
                      </w:p>
                    </w:tc>
                    <w:tc>
                      <w:tcPr>
                        <w:tcW w:w="468" w:type="dxa"/>
                        <w:gridSpan w:val="2"/>
                        <w:tcBorders>
                          <w:top w:val="single" w:sz="6" w:space="0" w:color="F1F1F1"/>
                          <w:bottom w:val="single" w:sz="6" w:space="0" w:color="F1F1F1"/>
                        </w:tcBorders>
                      </w:tcPr>
                      <w:p>
                        <w:pPr>
                          <w:pStyle w:val="TableParagraph"/>
                          <w:spacing w:before="0"/>
                          <w:rPr>
                            <w:rFonts w:ascii="Times New Roman"/>
                            <w:sz w:val="16"/>
                          </w:rPr>
                        </w:pPr>
                      </w:p>
                    </w:tc>
                    <w:tc>
                      <w:tcPr>
                        <w:tcW w:w="363" w:type="dxa"/>
                        <w:vMerge/>
                        <w:tcBorders>
                          <w:top w:val="nil"/>
                        </w:tcBorders>
                        <w:shd w:val="clear" w:color="auto" w:fill="F8A763"/>
                      </w:tcPr>
                      <w:p>
                        <w:pPr>
                          <w:rPr>
                            <w:sz w:val="2"/>
                            <w:szCs w:val="2"/>
                          </w:rPr>
                        </w:pPr>
                      </w:p>
                    </w:tc>
                    <w:tc>
                      <w:tcPr>
                        <w:tcW w:w="468" w:type="dxa"/>
                        <w:gridSpan w:val="2"/>
                        <w:tcBorders>
                          <w:top w:val="single" w:sz="6" w:space="0" w:color="F1F1F1"/>
                          <w:bottom w:val="single" w:sz="6" w:space="0" w:color="F1F1F1"/>
                        </w:tcBorders>
                      </w:tcPr>
                      <w:p>
                        <w:pPr>
                          <w:pStyle w:val="TableParagraph"/>
                          <w:spacing w:before="0"/>
                          <w:rPr>
                            <w:rFonts w:ascii="Times New Roman"/>
                            <w:sz w:val="16"/>
                          </w:rPr>
                        </w:pPr>
                      </w:p>
                    </w:tc>
                    <w:tc>
                      <w:tcPr>
                        <w:tcW w:w="363" w:type="dxa"/>
                        <w:vMerge/>
                        <w:tcBorders>
                          <w:top w:val="nil"/>
                          <w:bottom w:val="single" w:sz="6" w:space="0" w:color="8063A1"/>
                        </w:tcBorders>
                        <w:shd w:val="clear" w:color="auto" w:fill="F8A763"/>
                      </w:tcPr>
                      <w:p>
                        <w:pPr>
                          <w:rPr>
                            <w:sz w:val="2"/>
                            <w:szCs w:val="2"/>
                          </w:rPr>
                        </w:pPr>
                      </w:p>
                    </w:tc>
                    <w:tc>
                      <w:tcPr>
                        <w:tcW w:w="468" w:type="dxa"/>
                        <w:gridSpan w:val="2"/>
                        <w:tcBorders>
                          <w:top w:val="single" w:sz="6" w:space="0" w:color="F1F1F1"/>
                          <w:bottom w:val="single" w:sz="6" w:space="0" w:color="F1F1F1"/>
                        </w:tcBorders>
                      </w:tcPr>
                      <w:p>
                        <w:pPr>
                          <w:pStyle w:val="TableParagraph"/>
                          <w:spacing w:before="0"/>
                          <w:rPr>
                            <w:rFonts w:ascii="Times New Roman"/>
                            <w:sz w:val="16"/>
                          </w:rPr>
                        </w:pPr>
                      </w:p>
                    </w:tc>
                    <w:tc>
                      <w:tcPr>
                        <w:tcW w:w="375" w:type="dxa"/>
                        <w:vMerge/>
                        <w:tcBorders>
                          <w:top w:val="nil"/>
                        </w:tcBorders>
                        <w:shd w:val="clear" w:color="auto" w:fill="F8A763"/>
                      </w:tcPr>
                      <w:p>
                        <w:pPr>
                          <w:rPr>
                            <w:sz w:val="2"/>
                            <w:szCs w:val="2"/>
                          </w:rPr>
                        </w:pPr>
                      </w:p>
                    </w:tc>
                    <w:tc>
                      <w:tcPr>
                        <w:tcW w:w="456" w:type="dxa"/>
                        <w:gridSpan w:val="2"/>
                        <w:tcBorders>
                          <w:top w:val="single" w:sz="6" w:space="0" w:color="F1F1F1"/>
                          <w:bottom w:val="single" w:sz="6" w:space="0" w:color="F1F1F1"/>
                        </w:tcBorders>
                      </w:tcPr>
                      <w:p>
                        <w:pPr>
                          <w:pStyle w:val="TableParagraph"/>
                          <w:spacing w:before="0"/>
                          <w:rPr>
                            <w:rFonts w:ascii="Times New Roman"/>
                            <w:sz w:val="16"/>
                          </w:rPr>
                        </w:pPr>
                      </w:p>
                    </w:tc>
                    <w:tc>
                      <w:tcPr>
                        <w:tcW w:w="374" w:type="dxa"/>
                        <w:vMerge/>
                        <w:tcBorders>
                          <w:top w:val="nil"/>
                        </w:tcBorders>
                        <w:shd w:val="clear" w:color="auto" w:fill="F8A763"/>
                      </w:tcPr>
                      <w:p>
                        <w:pPr>
                          <w:rPr>
                            <w:sz w:val="2"/>
                            <w:szCs w:val="2"/>
                          </w:rPr>
                        </w:pPr>
                      </w:p>
                    </w:tc>
                    <w:tc>
                      <w:tcPr>
                        <w:tcW w:w="233" w:type="dxa"/>
                        <w:tcBorders>
                          <w:top w:val="single" w:sz="6" w:space="0" w:color="F1F1F1"/>
                          <w:bottom w:val="single" w:sz="6" w:space="0" w:color="F1F1F1"/>
                          <w:right w:val="dashed" w:sz="6" w:space="0" w:color="7E7E7E"/>
                        </w:tcBorders>
                      </w:tcPr>
                      <w:p>
                        <w:pPr>
                          <w:pStyle w:val="TableParagraph"/>
                          <w:spacing w:before="0"/>
                          <w:rPr>
                            <w:rFonts w:ascii="Times New Roman"/>
                            <w:sz w:val="16"/>
                          </w:rPr>
                        </w:pPr>
                      </w:p>
                    </w:tc>
                    <w:tc>
                      <w:tcPr>
                        <w:tcW w:w="233" w:type="dxa"/>
                        <w:tcBorders>
                          <w:top w:val="single" w:sz="6" w:space="0" w:color="F1F1F1"/>
                          <w:left w:val="dashed" w:sz="6" w:space="0" w:color="7E7E7E"/>
                          <w:bottom w:val="single" w:sz="6" w:space="0" w:color="F1F1F1"/>
                        </w:tcBorders>
                      </w:tcPr>
                      <w:p>
                        <w:pPr>
                          <w:pStyle w:val="TableParagraph"/>
                          <w:spacing w:before="0"/>
                          <w:rPr>
                            <w:rFonts w:ascii="Times New Roman"/>
                            <w:sz w:val="16"/>
                          </w:rPr>
                        </w:pPr>
                      </w:p>
                    </w:tc>
                    <w:tc>
                      <w:tcPr>
                        <w:tcW w:w="362" w:type="dxa"/>
                        <w:vMerge/>
                        <w:tcBorders>
                          <w:top w:val="nil"/>
                          <w:bottom w:val="single" w:sz="6" w:space="0" w:color="E08AD6"/>
                        </w:tcBorders>
                        <w:shd w:val="clear" w:color="auto" w:fill="F8A763"/>
                      </w:tcPr>
                      <w:p>
                        <w:pPr>
                          <w:rPr>
                            <w:sz w:val="2"/>
                            <w:szCs w:val="2"/>
                          </w:rPr>
                        </w:pPr>
                      </w:p>
                    </w:tc>
                    <w:tc>
                      <w:tcPr>
                        <w:tcW w:w="466" w:type="dxa"/>
                        <w:gridSpan w:val="2"/>
                        <w:tcBorders>
                          <w:top w:val="single" w:sz="6" w:space="0" w:color="F1F1F1"/>
                          <w:bottom w:val="single" w:sz="6" w:space="0" w:color="F1F1F1"/>
                        </w:tcBorders>
                      </w:tcPr>
                      <w:p>
                        <w:pPr>
                          <w:pStyle w:val="TableParagraph"/>
                          <w:spacing w:before="0"/>
                          <w:rPr>
                            <w:rFonts w:ascii="Times New Roman"/>
                            <w:sz w:val="16"/>
                          </w:rPr>
                        </w:pPr>
                      </w:p>
                    </w:tc>
                    <w:tc>
                      <w:tcPr>
                        <w:tcW w:w="362" w:type="dxa"/>
                        <w:vMerge/>
                        <w:tcBorders>
                          <w:top w:val="nil"/>
                          <w:bottom w:val="single" w:sz="6" w:space="0" w:color="E08AD6"/>
                        </w:tcBorders>
                        <w:shd w:val="clear" w:color="auto" w:fill="F8A763"/>
                      </w:tcPr>
                      <w:p>
                        <w:pPr>
                          <w:rPr>
                            <w:sz w:val="2"/>
                            <w:szCs w:val="2"/>
                          </w:rPr>
                        </w:pPr>
                      </w:p>
                    </w:tc>
                    <w:tc>
                      <w:tcPr>
                        <w:tcW w:w="466" w:type="dxa"/>
                        <w:gridSpan w:val="2"/>
                        <w:tcBorders>
                          <w:top w:val="single" w:sz="6" w:space="0" w:color="F1F1F1"/>
                          <w:bottom w:val="single" w:sz="6" w:space="0" w:color="F1F1F1"/>
                        </w:tcBorders>
                      </w:tcPr>
                      <w:p>
                        <w:pPr>
                          <w:pStyle w:val="TableParagraph"/>
                          <w:spacing w:before="0"/>
                          <w:rPr>
                            <w:rFonts w:ascii="Times New Roman"/>
                            <w:sz w:val="16"/>
                          </w:rPr>
                        </w:pPr>
                      </w:p>
                    </w:tc>
                    <w:tc>
                      <w:tcPr>
                        <w:tcW w:w="374" w:type="dxa"/>
                        <w:vMerge/>
                        <w:tcBorders>
                          <w:top w:val="nil"/>
                          <w:bottom w:val="single" w:sz="6" w:space="0" w:color="E08AD6"/>
                        </w:tcBorders>
                        <w:shd w:val="clear" w:color="auto" w:fill="F8A763"/>
                      </w:tcPr>
                      <w:p>
                        <w:pPr>
                          <w:rPr>
                            <w:sz w:val="2"/>
                            <w:szCs w:val="2"/>
                          </w:rPr>
                        </w:pPr>
                      </w:p>
                    </w:tc>
                    <w:tc>
                      <w:tcPr>
                        <w:tcW w:w="456" w:type="dxa"/>
                        <w:gridSpan w:val="2"/>
                        <w:tcBorders>
                          <w:top w:val="single" w:sz="6" w:space="0" w:color="F1F1F1"/>
                          <w:bottom w:val="single" w:sz="6" w:space="0" w:color="F1F1F1"/>
                        </w:tcBorders>
                      </w:tcPr>
                      <w:p>
                        <w:pPr>
                          <w:pStyle w:val="TableParagraph"/>
                          <w:spacing w:before="0"/>
                          <w:rPr>
                            <w:rFonts w:ascii="Times New Roman"/>
                            <w:sz w:val="16"/>
                          </w:rPr>
                        </w:pPr>
                      </w:p>
                    </w:tc>
                    <w:tc>
                      <w:tcPr>
                        <w:tcW w:w="375" w:type="dxa"/>
                        <w:vMerge/>
                        <w:tcBorders>
                          <w:top w:val="nil"/>
                          <w:bottom w:val="single" w:sz="6" w:space="0" w:color="E08AD6"/>
                        </w:tcBorders>
                        <w:shd w:val="clear" w:color="auto" w:fill="F8A763"/>
                      </w:tcPr>
                      <w:p>
                        <w:pPr>
                          <w:rPr>
                            <w:sz w:val="2"/>
                            <w:szCs w:val="2"/>
                          </w:rPr>
                        </w:pPr>
                      </w:p>
                    </w:tc>
                    <w:tc>
                      <w:tcPr>
                        <w:tcW w:w="456" w:type="dxa"/>
                        <w:gridSpan w:val="2"/>
                        <w:tcBorders>
                          <w:top w:val="single" w:sz="6" w:space="0" w:color="F1F1F1"/>
                          <w:bottom w:val="single" w:sz="6" w:space="0" w:color="F1F1F1"/>
                        </w:tcBorders>
                      </w:tcPr>
                      <w:p>
                        <w:pPr>
                          <w:pStyle w:val="TableParagraph"/>
                          <w:spacing w:before="0"/>
                          <w:rPr>
                            <w:rFonts w:ascii="Times New Roman"/>
                            <w:sz w:val="16"/>
                          </w:rPr>
                        </w:pPr>
                      </w:p>
                    </w:tc>
                    <w:tc>
                      <w:tcPr>
                        <w:tcW w:w="374" w:type="dxa"/>
                        <w:vMerge/>
                        <w:tcBorders>
                          <w:top w:val="nil"/>
                        </w:tcBorders>
                        <w:shd w:val="clear" w:color="auto" w:fill="F8A763"/>
                      </w:tcPr>
                      <w:p>
                        <w:pPr>
                          <w:rPr>
                            <w:sz w:val="2"/>
                            <w:szCs w:val="2"/>
                          </w:rPr>
                        </w:pPr>
                      </w:p>
                    </w:tc>
                    <w:tc>
                      <w:tcPr>
                        <w:tcW w:w="233" w:type="dxa"/>
                        <w:tcBorders>
                          <w:top w:val="single" w:sz="6" w:space="0" w:color="F1F1F1"/>
                          <w:bottom w:val="single" w:sz="6" w:space="0" w:color="F1F1F1"/>
                        </w:tcBorders>
                      </w:tcPr>
                      <w:p>
                        <w:pPr>
                          <w:pStyle w:val="TableParagraph"/>
                          <w:spacing w:before="0"/>
                          <w:rPr>
                            <w:rFonts w:ascii="Times New Roman"/>
                            <w:sz w:val="16"/>
                          </w:rPr>
                        </w:pPr>
                      </w:p>
                    </w:tc>
                  </w:tr>
                  <w:tr>
                    <w:trPr>
                      <w:trHeight w:val="113" w:hRule="atLeast"/>
                    </w:trPr>
                    <w:tc>
                      <w:tcPr>
                        <w:tcW w:w="223" w:type="dxa"/>
                        <w:vMerge w:val="restart"/>
                        <w:tcBorders>
                          <w:top w:val="single" w:sz="6" w:space="0" w:color="F1F1F1"/>
                          <w:left w:val="single" w:sz="6" w:space="0" w:color="BEBEBE"/>
                          <w:bottom w:val="single" w:sz="6" w:space="0" w:color="F1F1F1"/>
                        </w:tcBorders>
                      </w:tcPr>
                      <w:p>
                        <w:pPr>
                          <w:pStyle w:val="TableParagraph"/>
                          <w:spacing w:before="0"/>
                          <w:rPr>
                            <w:rFonts w:ascii="Times New Roman"/>
                            <w:sz w:val="16"/>
                          </w:rPr>
                        </w:pPr>
                      </w:p>
                    </w:tc>
                    <w:tc>
                      <w:tcPr>
                        <w:tcW w:w="375" w:type="dxa"/>
                        <w:vMerge/>
                        <w:tcBorders>
                          <w:top w:val="nil"/>
                        </w:tcBorders>
                        <w:shd w:val="clear" w:color="auto" w:fill="F8A763"/>
                      </w:tcPr>
                      <w:p>
                        <w:pPr>
                          <w:rPr>
                            <w:sz w:val="2"/>
                            <w:szCs w:val="2"/>
                          </w:rPr>
                        </w:pPr>
                      </w:p>
                    </w:tc>
                    <w:tc>
                      <w:tcPr>
                        <w:tcW w:w="468" w:type="dxa"/>
                        <w:gridSpan w:val="2"/>
                        <w:vMerge w:val="restart"/>
                        <w:tcBorders>
                          <w:top w:val="single" w:sz="6" w:space="0" w:color="F1F1F1"/>
                          <w:bottom w:val="single" w:sz="6" w:space="0" w:color="F1F1F1"/>
                        </w:tcBorders>
                      </w:tcPr>
                      <w:p>
                        <w:pPr>
                          <w:pStyle w:val="TableParagraph"/>
                          <w:spacing w:before="0"/>
                          <w:rPr>
                            <w:rFonts w:ascii="Times New Roman"/>
                            <w:sz w:val="16"/>
                          </w:rPr>
                        </w:pPr>
                      </w:p>
                    </w:tc>
                    <w:tc>
                      <w:tcPr>
                        <w:tcW w:w="363" w:type="dxa"/>
                        <w:vMerge/>
                        <w:tcBorders>
                          <w:top w:val="nil"/>
                        </w:tcBorders>
                        <w:shd w:val="clear" w:color="auto" w:fill="F8A763"/>
                      </w:tcPr>
                      <w:p>
                        <w:pPr>
                          <w:rPr>
                            <w:sz w:val="2"/>
                            <w:szCs w:val="2"/>
                          </w:rPr>
                        </w:pPr>
                      </w:p>
                    </w:tc>
                    <w:tc>
                      <w:tcPr>
                        <w:tcW w:w="468" w:type="dxa"/>
                        <w:gridSpan w:val="2"/>
                        <w:vMerge w:val="restart"/>
                        <w:tcBorders>
                          <w:top w:val="single" w:sz="6" w:space="0" w:color="F1F1F1"/>
                          <w:bottom w:val="single" w:sz="6" w:space="0" w:color="F1F1F1"/>
                        </w:tcBorders>
                      </w:tcPr>
                      <w:p>
                        <w:pPr>
                          <w:pStyle w:val="TableParagraph"/>
                          <w:spacing w:before="0"/>
                          <w:rPr>
                            <w:rFonts w:ascii="Times New Roman"/>
                            <w:sz w:val="16"/>
                          </w:rPr>
                        </w:pPr>
                      </w:p>
                    </w:tc>
                    <w:tc>
                      <w:tcPr>
                        <w:tcW w:w="363" w:type="dxa"/>
                        <w:vMerge/>
                        <w:tcBorders>
                          <w:top w:val="nil"/>
                          <w:bottom w:val="single" w:sz="6" w:space="0" w:color="8063A1"/>
                        </w:tcBorders>
                        <w:shd w:val="clear" w:color="auto" w:fill="F8A763"/>
                      </w:tcPr>
                      <w:p>
                        <w:pPr>
                          <w:rPr>
                            <w:sz w:val="2"/>
                            <w:szCs w:val="2"/>
                          </w:rPr>
                        </w:pPr>
                      </w:p>
                    </w:tc>
                    <w:tc>
                      <w:tcPr>
                        <w:tcW w:w="468" w:type="dxa"/>
                        <w:gridSpan w:val="2"/>
                        <w:vMerge w:val="restart"/>
                        <w:tcBorders>
                          <w:top w:val="single" w:sz="6" w:space="0" w:color="F1F1F1"/>
                          <w:bottom w:val="single" w:sz="6" w:space="0" w:color="F1F1F1"/>
                        </w:tcBorders>
                      </w:tcPr>
                      <w:p>
                        <w:pPr>
                          <w:pStyle w:val="TableParagraph"/>
                          <w:spacing w:before="0"/>
                          <w:rPr>
                            <w:rFonts w:ascii="Times New Roman"/>
                            <w:sz w:val="16"/>
                          </w:rPr>
                        </w:pPr>
                      </w:p>
                    </w:tc>
                    <w:tc>
                      <w:tcPr>
                        <w:tcW w:w="375" w:type="dxa"/>
                        <w:vMerge/>
                        <w:tcBorders>
                          <w:top w:val="nil"/>
                        </w:tcBorders>
                        <w:shd w:val="clear" w:color="auto" w:fill="F8A763"/>
                      </w:tcPr>
                      <w:p>
                        <w:pPr>
                          <w:rPr>
                            <w:sz w:val="2"/>
                            <w:szCs w:val="2"/>
                          </w:rPr>
                        </w:pPr>
                      </w:p>
                    </w:tc>
                    <w:tc>
                      <w:tcPr>
                        <w:tcW w:w="456" w:type="dxa"/>
                        <w:gridSpan w:val="2"/>
                        <w:vMerge w:val="restart"/>
                        <w:tcBorders>
                          <w:top w:val="single" w:sz="6" w:space="0" w:color="F1F1F1"/>
                          <w:bottom w:val="single" w:sz="6" w:space="0" w:color="F1F1F1"/>
                        </w:tcBorders>
                      </w:tcPr>
                      <w:p>
                        <w:pPr>
                          <w:pStyle w:val="TableParagraph"/>
                          <w:spacing w:before="0"/>
                          <w:rPr>
                            <w:rFonts w:ascii="Times New Roman"/>
                            <w:sz w:val="16"/>
                          </w:rPr>
                        </w:pPr>
                      </w:p>
                    </w:tc>
                    <w:tc>
                      <w:tcPr>
                        <w:tcW w:w="374" w:type="dxa"/>
                        <w:vMerge/>
                        <w:tcBorders>
                          <w:top w:val="nil"/>
                        </w:tcBorders>
                        <w:shd w:val="clear" w:color="auto" w:fill="F8A763"/>
                      </w:tcPr>
                      <w:p>
                        <w:pPr>
                          <w:rPr>
                            <w:sz w:val="2"/>
                            <w:szCs w:val="2"/>
                          </w:rPr>
                        </w:pPr>
                      </w:p>
                    </w:tc>
                    <w:tc>
                      <w:tcPr>
                        <w:tcW w:w="233" w:type="dxa"/>
                        <w:vMerge w:val="restart"/>
                        <w:tcBorders>
                          <w:top w:val="single" w:sz="6" w:space="0" w:color="F1F1F1"/>
                          <w:bottom w:val="single" w:sz="6" w:space="0" w:color="F1F1F1"/>
                          <w:right w:val="dashed" w:sz="6" w:space="0" w:color="7E7E7E"/>
                        </w:tcBorders>
                      </w:tcPr>
                      <w:p>
                        <w:pPr>
                          <w:pStyle w:val="TableParagraph"/>
                          <w:spacing w:before="0"/>
                          <w:rPr>
                            <w:rFonts w:ascii="Times New Roman"/>
                            <w:sz w:val="16"/>
                          </w:rPr>
                        </w:pPr>
                      </w:p>
                    </w:tc>
                    <w:tc>
                      <w:tcPr>
                        <w:tcW w:w="233" w:type="dxa"/>
                        <w:vMerge w:val="restart"/>
                        <w:tcBorders>
                          <w:top w:val="single" w:sz="6" w:space="0" w:color="F1F1F1"/>
                          <w:left w:val="dashed" w:sz="6" w:space="0" w:color="7E7E7E"/>
                          <w:bottom w:val="single" w:sz="6" w:space="0" w:color="F1F1F1"/>
                        </w:tcBorders>
                      </w:tcPr>
                      <w:p>
                        <w:pPr>
                          <w:pStyle w:val="TableParagraph"/>
                          <w:spacing w:before="0"/>
                          <w:rPr>
                            <w:rFonts w:ascii="Times New Roman"/>
                            <w:sz w:val="16"/>
                          </w:rPr>
                        </w:pPr>
                      </w:p>
                    </w:tc>
                    <w:tc>
                      <w:tcPr>
                        <w:tcW w:w="362" w:type="dxa"/>
                        <w:vMerge/>
                        <w:tcBorders>
                          <w:top w:val="nil"/>
                          <w:bottom w:val="single" w:sz="6" w:space="0" w:color="E08AD6"/>
                        </w:tcBorders>
                        <w:shd w:val="clear" w:color="auto" w:fill="F8A763"/>
                      </w:tcPr>
                      <w:p>
                        <w:pPr>
                          <w:rPr>
                            <w:sz w:val="2"/>
                            <w:szCs w:val="2"/>
                          </w:rPr>
                        </w:pPr>
                      </w:p>
                    </w:tc>
                    <w:tc>
                      <w:tcPr>
                        <w:tcW w:w="466" w:type="dxa"/>
                        <w:gridSpan w:val="2"/>
                        <w:vMerge w:val="restart"/>
                        <w:tcBorders>
                          <w:top w:val="single" w:sz="6" w:space="0" w:color="F1F1F1"/>
                          <w:bottom w:val="single" w:sz="6" w:space="0" w:color="F1F1F1"/>
                        </w:tcBorders>
                      </w:tcPr>
                      <w:p>
                        <w:pPr>
                          <w:pStyle w:val="TableParagraph"/>
                          <w:spacing w:before="0"/>
                          <w:rPr>
                            <w:rFonts w:ascii="Times New Roman"/>
                            <w:sz w:val="16"/>
                          </w:rPr>
                        </w:pPr>
                      </w:p>
                    </w:tc>
                    <w:tc>
                      <w:tcPr>
                        <w:tcW w:w="362" w:type="dxa"/>
                        <w:vMerge/>
                        <w:tcBorders>
                          <w:top w:val="nil"/>
                          <w:bottom w:val="single" w:sz="6" w:space="0" w:color="E08AD6"/>
                        </w:tcBorders>
                        <w:shd w:val="clear" w:color="auto" w:fill="F8A763"/>
                      </w:tcPr>
                      <w:p>
                        <w:pPr>
                          <w:rPr>
                            <w:sz w:val="2"/>
                            <w:szCs w:val="2"/>
                          </w:rPr>
                        </w:pPr>
                      </w:p>
                    </w:tc>
                    <w:tc>
                      <w:tcPr>
                        <w:tcW w:w="466" w:type="dxa"/>
                        <w:gridSpan w:val="2"/>
                        <w:vMerge w:val="restart"/>
                        <w:tcBorders>
                          <w:top w:val="single" w:sz="6" w:space="0" w:color="F1F1F1"/>
                          <w:bottom w:val="single" w:sz="6" w:space="0" w:color="F1F1F1"/>
                        </w:tcBorders>
                      </w:tcPr>
                      <w:p>
                        <w:pPr>
                          <w:pStyle w:val="TableParagraph"/>
                          <w:spacing w:before="0"/>
                          <w:rPr>
                            <w:rFonts w:ascii="Times New Roman"/>
                            <w:sz w:val="16"/>
                          </w:rPr>
                        </w:pPr>
                      </w:p>
                    </w:tc>
                    <w:tc>
                      <w:tcPr>
                        <w:tcW w:w="374" w:type="dxa"/>
                        <w:vMerge/>
                        <w:tcBorders>
                          <w:top w:val="nil"/>
                          <w:bottom w:val="single" w:sz="6" w:space="0" w:color="E08AD6"/>
                        </w:tcBorders>
                        <w:shd w:val="clear" w:color="auto" w:fill="F8A763"/>
                      </w:tcPr>
                      <w:p>
                        <w:pPr>
                          <w:rPr>
                            <w:sz w:val="2"/>
                            <w:szCs w:val="2"/>
                          </w:rPr>
                        </w:pPr>
                      </w:p>
                    </w:tc>
                    <w:tc>
                      <w:tcPr>
                        <w:tcW w:w="456" w:type="dxa"/>
                        <w:gridSpan w:val="2"/>
                        <w:vMerge w:val="restart"/>
                        <w:tcBorders>
                          <w:top w:val="single" w:sz="6" w:space="0" w:color="F1F1F1"/>
                          <w:bottom w:val="single" w:sz="6" w:space="0" w:color="F1F1F1"/>
                        </w:tcBorders>
                      </w:tcPr>
                      <w:p>
                        <w:pPr>
                          <w:pStyle w:val="TableParagraph"/>
                          <w:spacing w:before="0"/>
                          <w:rPr>
                            <w:rFonts w:ascii="Times New Roman"/>
                            <w:sz w:val="16"/>
                          </w:rPr>
                        </w:pPr>
                      </w:p>
                    </w:tc>
                    <w:tc>
                      <w:tcPr>
                        <w:tcW w:w="375" w:type="dxa"/>
                        <w:vMerge/>
                        <w:tcBorders>
                          <w:top w:val="nil"/>
                          <w:bottom w:val="single" w:sz="6" w:space="0" w:color="E08AD6"/>
                        </w:tcBorders>
                        <w:shd w:val="clear" w:color="auto" w:fill="F8A763"/>
                      </w:tcPr>
                      <w:p>
                        <w:pPr>
                          <w:rPr>
                            <w:sz w:val="2"/>
                            <w:szCs w:val="2"/>
                          </w:rPr>
                        </w:pPr>
                      </w:p>
                    </w:tc>
                    <w:tc>
                      <w:tcPr>
                        <w:tcW w:w="456" w:type="dxa"/>
                        <w:gridSpan w:val="2"/>
                        <w:vMerge w:val="restart"/>
                        <w:tcBorders>
                          <w:top w:val="single" w:sz="6" w:space="0" w:color="F1F1F1"/>
                          <w:bottom w:val="single" w:sz="6" w:space="0" w:color="F1F1F1"/>
                        </w:tcBorders>
                      </w:tcPr>
                      <w:p>
                        <w:pPr>
                          <w:pStyle w:val="TableParagraph"/>
                          <w:spacing w:before="0"/>
                          <w:rPr>
                            <w:rFonts w:ascii="Times New Roman"/>
                            <w:sz w:val="16"/>
                          </w:rPr>
                        </w:pPr>
                      </w:p>
                    </w:tc>
                    <w:tc>
                      <w:tcPr>
                        <w:tcW w:w="374" w:type="dxa"/>
                        <w:vMerge/>
                        <w:tcBorders>
                          <w:top w:val="nil"/>
                        </w:tcBorders>
                        <w:shd w:val="clear" w:color="auto" w:fill="F8A763"/>
                      </w:tcPr>
                      <w:p>
                        <w:pPr>
                          <w:rPr>
                            <w:sz w:val="2"/>
                            <w:szCs w:val="2"/>
                          </w:rPr>
                        </w:pPr>
                      </w:p>
                    </w:tc>
                    <w:tc>
                      <w:tcPr>
                        <w:tcW w:w="233" w:type="dxa"/>
                        <w:vMerge w:val="restart"/>
                        <w:tcBorders>
                          <w:top w:val="single" w:sz="6" w:space="0" w:color="F1F1F1"/>
                          <w:bottom w:val="single" w:sz="6" w:space="0" w:color="F1F1F1"/>
                        </w:tcBorders>
                      </w:tcPr>
                      <w:p>
                        <w:pPr>
                          <w:pStyle w:val="TableParagraph"/>
                          <w:spacing w:before="0"/>
                          <w:rPr>
                            <w:rFonts w:ascii="Times New Roman"/>
                            <w:sz w:val="16"/>
                          </w:rPr>
                        </w:pPr>
                      </w:p>
                    </w:tc>
                  </w:tr>
                  <w:tr>
                    <w:trPr>
                      <w:trHeight w:val="148" w:hRule="atLeast"/>
                    </w:trPr>
                    <w:tc>
                      <w:tcPr>
                        <w:tcW w:w="223" w:type="dxa"/>
                        <w:vMerge/>
                        <w:tcBorders>
                          <w:top w:val="nil"/>
                          <w:left w:val="single" w:sz="6" w:space="0" w:color="BEBEBE"/>
                          <w:bottom w:val="single" w:sz="6" w:space="0" w:color="F1F1F1"/>
                        </w:tcBorders>
                      </w:tcPr>
                      <w:p>
                        <w:pPr>
                          <w:rPr>
                            <w:sz w:val="2"/>
                            <w:szCs w:val="2"/>
                          </w:rPr>
                        </w:pPr>
                      </w:p>
                    </w:tc>
                    <w:tc>
                      <w:tcPr>
                        <w:tcW w:w="375" w:type="dxa"/>
                        <w:vMerge w:val="restart"/>
                        <w:tcBorders>
                          <w:bottom w:val="single" w:sz="8" w:space="0" w:color="BEBEBE"/>
                        </w:tcBorders>
                        <w:shd w:val="clear" w:color="auto" w:fill="E16B09"/>
                      </w:tcPr>
                      <w:p>
                        <w:pPr>
                          <w:pStyle w:val="TableParagraph"/>
                          <w:spacing w:before="0"/>
                          <w:rPr>
                            <w:rFonts w:ascii="Times New Roman"/>
                            <w:sz w:val="16"/>
                          </w:rPr>
                        </w:pPr>
                      </w:p>
                    </w:tc>
                    <w:tc>
                      <w:tcPr>
                        <w:tcW w:w="468" w:type="dxa"/>
                        <w:gridSpan w:val="2"/>
                        <w:vMerge/>
                        <w:tcBorders>
                          <w:top w:val="nil"/>
                          <w:bottom w:val="single" w:sz="6" w:space="0" w:color="F1F1F1"/>
                        </w:tcBorders>
                      </w:tcPr>
                      <w:p>
                        <w:pPr>
                          <w:rPr>
                            <w:sz w:val="2"/>
                            <w:szCs w:val="2"/>
                          </w:rPr>
                        </w:pPr>
                      </w:p>
                    </w:tc>
                    <w:tc>
                      <w:tcPr>
                        <w:tcW w:w="363" w:type="dxa"/>
                        <w:vMerge w:val="restart"/>
                        <w:tcBorders>
                          <w:bottom w:val="single" w:sz="8" w:space="0" w:color="BEBEBE"/>
                        </w:tcBorders>
                        <w:shd w:val="clear" w:color="auto" w:fill="E16B09"/>
                      </w:tcPr>
                      <w:p>
                        <w:pPr>
                          <w:pStyle w:val="TableParagraph"/>
                          <w:spacing w:before="0"/>
                          <w:rPr>
                            <w:rFonts w:ascii="Times New Roman"/>
                            <w:sz w:val="16"/>
                          </w:rPr>
                        </w:pPr>
                      </w:p>
                    </w:tc>
                    <w:tc>
                      <w:tcPr>
                        <w:tcW w:w="468" w:type="dxa"/>
                        <w:gridSpan w:val="2"/>
                        <w:vMerge/>
                        <w:tcBorders>
                          <w:top w:val="nil"/>
                          <w:bottom w:val="single" w:sz="6" w:space="0" w:color="F1F1F1"/>
                        </w:tcBorders>
                      </w:tcPr>
                      <w:p>
                        <w:pPr>
                          <w:rPr>
                            <w:sz w:val="2"/>
                            <w:szCs w:val="2"/>
                          </w:rPr>
                        </w:pPr>
                      </w:p>
                    </w:tc>
                    <w:tc>
                      <w:tcPr>
                        <w:tcW w:w="363" w:type="dxa"/>
                        <w:vMerge w:val="restart"/>
                        <w:tcBorders>
                          <w:top w:val="single" w:sz="6" w:space="0" w:color="8063A1"/>
                          <w:bottom w:val="single" w:sz="8" w:space="0" w:color="BEBEBE"/>
                        </w:tcBorders>
                        <w:shd w:val="clear" w:color="auto" w:fill="E16B09"/>
                      </w:tcPr>
                      <w:p>
                        <w:pPr>
                          <w:pStyle w:val="TableParagraph"/>
                          <w:spacing w:before="0"/>
                          <w:rPr>
                            <w:rFonts w:ascii="Times New Roman"/>
                            <w:sz w:val="16"/>
                          </w:rPr>
                        </w:pPr>
                      </w:p>
                    </w:tc>
                    <w:tc>
                      <w:tcPr>
                        <w:tcW w:w="468" w:type="dxa"/>
                        <w:gridSpan w:val="2"/>
                        <w:vMerge/>
                        <w:tcBorders>
                          <w:top w:val="nil"/>
                          <w:bottom w:val="single" w:sz="6" w:space="0" w:color="F1F1F1"/>
                        </w:tcBorders>
                      </w:tcPr>
                      <w:p>
                        <w:pPr>
                          <w:rPr>
                            <w:sz w:val="2"/>
                            <w:szCs w:val="2"/>
                          </w:rPr>
                        </w:pPr>
                      </w:p>
                    </w:tc>
                    <w:tc>
                      <w:tcPr>
                        <w:tcW w:w="375" w:type="dxa"/>
                        <w:vMerge w:val="restart"/>
                        <w:tcBorders>
                          <w:bottom w:val="single" w:sz="8" w:space="0" w:color="BEBEBE"/>
                        </w:tcBorders>
                        <w:shd w:val="clear" w:color="auto" w:fill="E16B09"/>
                      </w:tcPr>
                      <w:p>
                        <w:pPr>
                          <w:pStyle w:val="TableParagraph"/>
                          <w:spacing w:before="0"/>
                          <w:rPr>
                            <w:rFonts w:ascii="Times New Roman"/>
                            <w:sz w:val="16"/>
                          </w:rPr>
                        </w:pPr>
                      </w:p>
                    </w:tc>
                    <w:tc>
                      <w:tcPr>
                        <w:tcW w:w="456" w:type="dxa"/>
                        <w:gridSpan w:val="2"/>
                        <w:vMerge/>
                        <w:tcBorders>
                          <w:top w:val="nil"/>
                          <w:bottom w:val="single" w:sz="6" w:space="0" w:color="F1F1F1"/>
                        </w:tcBorders>
                      </w:tcPr>
                      <w:p>
                        <w:pPr>
                          <w:rPr>
                            <w:sz w:val="2"/>
                            <w:szCs w:val="2"/>
                          </w:rPr>
                        </w:pPr>
                      </w:p>
                    </w:tc>
                    <w:tc>
                      <w:tcPr>
                        <w:tcW w:w="374" w:type="dxa"/>
                        <w:vMerge w:val="restart"/>
                        <w:tcBorders>
                          <w:bottom w:val="single" w:sz="8" w:space="0" w:color="BEBEBE"/>
                        </w:tcBorders>
                        <w:shd w:val="clear" w:color="auto" w:fill="E16B09"/>
                      </w:tcPr>
                      <w:p>
                        <w:pPr>
                          <w:pStyle w:val="TableParagraph"/>
                          <w:spacing w:before="0"/>
                          <w:rPr>
                            <w:rFonts w:ascii="Times New Roman"/>
                            <w:sz w:val="16"/>
                          </w:rPr>
                        </w:pPr>
                      </w:p>
                    </w:tc>
                    <w:tc>
                      <w:tcPr>
                        <w:tcW w:w="233" w:type="dxa"/>
                        <w:vMerge/>
                        <w:tcBorders>
                          <w:top w:val="nil"/>
                          <w:bottom w:val="single" w:sz="6" w:space="0" w:color="F1F1F1"/>
                          <w:right w:val="dashed" w:sz="6" w:space="0" w:color="7E7E7E"/>
                        </w:tcBorders>
                      </w:tcPr>
                      <w:p>
                        <w:pPr>
                          <w:rPr>
                            <w:sz w:val="2"/>
                            <w:szCs w:val="2"/>
                          </w:rPr>
                        </w:pPr>
                      </w:p>
                    </w:tc>
                    <w:tc>
                      <w:tcPr>
                        <w:tcW w:w="233" w:type="dxa"/>
                        <w:vMerge/>
                        <w:tcBorders>
                          <w:top w:val="nil"/>
                          <w:left w:val="dashed" w:sz="6" w:space="0" w:color="7E7E7E"/>
                          <w:bottom w:val="single" w:sz="6" w:space="0" w:color="F1F1F1"/>
                        </w:tcBorders>
                      </w:tcPr>
                      <w:p>
                        <w:pPr>
                          <w:rPr>
                            <w:sz w:val="2"/>
                            <w:szCs w:val="2"/>
                          </w:rPr>
                        </w:pPr>
                      </w:p>
                    </w:tc>
                    <w:tc>
                      <w:tcPr>
                        <w:tcW w:w="362" w:type="dxa"/>
                        <w:vMerge w:val="restart"/>
                        <w:tcBorders>
                          <w:top w:val="single" w:sz="6" w:space="0" w:color="E08AD6"/>
                          <w:bottom w:val="single" w:sz="8" w:space="0" w:color="BEBEBE"/>
                        </w:tcBorders>
                        <w:shd w:val="clear" w:color="auto" w:fill="E16B09"/>
                      </w:tcPr>
                      <w:p>
                        <w:pPr>
                          <w:pStyle w:val="TableParagraph"/>
                          <w:spacing w:before="0"/>
                          <w:rPr>
                            <w:rFonts w:ascii="Times New Roman"/>
                            <w:sz w:val="16"/>
                          </w:rPr>
                        </w:pPr>
                      </w:p>
                    </w:tc>
                    <w:tc>
                      <w:tcPr>
                        <w:tcW w:w="466" w:type="dxa"/>
                        <w:gridSpan w:val="2"/>
                        <w:vMerge/>
                        <w:tcBorders>
                          <w:top w:val="nil"/>
                          <w:bottom w:val="single" w:sz="6" w:space="0" w:color="F1F1F1"/>
                        </w:tcBorders>
                      </w:tcPr>
                      <w:p>
                        <w:pPr>
                          <w:rPr>
                            <w:sz w:val="2"/>
                            <w:szCs w:val="2"/>
                          </w:rPr>
                        </w:pPr>
                      </w:p>
                    </w:tc>
                    <w:tc>
                      <w:tcPr>
                        <w:tcW w:w="362" w:type="dxa"/>
                        <w:vMerge w:val="restart"/>
                        <w:tcBorders>
                          <w:top w:val="single" w:sz="6" w:space="0" w:color="E08AD6"/>
                          <w:bottom w:val="single" w:sz="8" w:space="0" w:color="BEBEBE"/>
                        </w:tcBorders>
                        <w:shd w:val="clear" w:color="auto" w:fill="E16B09"/>
                      </w:tcPr>
                      <w:p>
                        <w:pPr>
                          <w:pStyle w:val="TableParagraph"/>
                          <w:spacing w:before="0"/>
                          <w:rPr>
                            <w:rFonts w:ascii="Times New Roman"/>
                            <w:sz w:val="16"/>
                          </w:rPr>
                        </w:pPr>
                      </w:p>
                    </w:tc>
                    <w:tc>
                      <w:tcPr>
                        <w:tcW w:w="466" w:type="dxa"/>
                        <w:gridSpan w:val="2"/>
                        <w:vMerge/>
                        <w:tcBorders>
                          <w:top w:val="nil"/>
                          <w:bottom w:val="single" w:sz="6" w:space="0" w:color="F1F1F1"/>
                        </w:tcBorders>
                      </w:tcPr>
                      <w:p>
                        <w:pPr>
                          <w:rPr>
                            <w:sz w:val="2"/>
                            <w:szCs w:val="2"/>
                          </w:rPr>
                        </w:pPr>
                      </w:p>
                    </w:tc>
                    <w:tc>
                      <w:tcPr>
                        <w:tcW w:w="374" w:type="dxa"/>
                        <w:vMerge w:val="restart"/>
                        <w:tcBorders>
                          <w:top w:val="single" w:sz="6" w:space="0" w:color="E08AD6"/>
                          <w:bottom w:val="single" w:sz="8" w:space="0" w:color="BEBEBE"/>
                        </w:tcBorders>
                        <w:shd w:val="clear" w:color="auto" w:fill="E16B09"/>
                      </w:tcPr>
                      <w:p>
                        <w:pPr>
                          <w:pStyle w:val="TableParagraph"/>
                          <w:spacing w:before="0"/>
                          <w:rPr>
                            <w:rFonts w:ascii="Times New Roman"/>
                            <w:sz w:val="16"/>
                          </w:rPr>
                        </w:pPr>
                      </w:p>
                    </w:tc>
                    <w:tc>
                      <w:tcPr>
                        <w:tcW w:w="456" w:type="dxa"/>
                        <w:gridSpan w:val="2"/>
                        <w:vMerge/>
                        <w:tcBorders>
                          <w:top w:val="nil"/>
                          <w:bottom w:val="single" w:sz="6" w:space="0" w:color="F1F1F1"/>
                        </w:tcBorders>
                      </w:tcPr>
                      <w:p>
                        <w:pPr>
                          <w:rPr>
                            <w:sz w:val="2"/>
                            <w:szCs w:val="2"/>
                          </w:rPr>
                        </w:pPr>
                      </w:p>
                    </w:tc>
                    <w:tc>
                      <w:tcPr>
                        <w:tcW w:w="375" w:type="dxa"/>
                        <w:vMerge w:val="restart"/>
                        <w:tcBorders>
                          <w:top w:val="single" w:sz="6" w:space="0" w:color="E08AD6"/>
                          <w:bottom w:val="single" w:sz="8" w:space="0" w:color="BEBEBE"/>
                        </w:tcBorders>
                        <w:shd w:val="clear" w:color="auto" w:fill="E16B09"/>
                      </w:tcPr>
                      <w:p>
                        <w:pPr>
                          <w:pStyle w:val="TableParagraph"/>
                          <w:spacing w:before="0"/>
                          <w:rPr>
                            <w:rFonts w:ascii="Times New Roman"/>
                            <w:sz w:val="16"/>
                          </w:rPr>
                        </w:pPr>
                      </w:p>
                    </w:tc>
                    <w:tc>
                      <w:tcPr>
                        <w:tcW w:w="456" w:type="dxa"/>
                        <w:gridSpan w:val="2"/>
                        <w:vMerge/>
                        <w:tcBorders>
                          <w:top w:val="nil"/>
                          <w:bottom w:val="single" w:sz="6" w:space="0" w:color="F1F1F1"/>
                        </w:tcBorders>
                      </w:tcPr>
                      <w:p>
                        <w:pPr>
                          <w:rPr>
                            <w:sz w:val="2"/>
                            <w:szCs w:val="2"/>
                          </w:rPr>
                        </w:pPr>
                      </w:p>
                    </w:tc>
                    <w:tc>
                      <w:tcPr>
                        <w:tcW w:w="374" w:type="dxa"/>
                        <w:vMerge w:val="restart"/>
                        <w:tcBorders>
                          <w:bottom w:val="single" w:sz="8" w:space="0" w:color="BEBEBE"/>
                        </w:tcBorders>
                        <w:shd w:val="clear" w:color="auto" w:fill="E16B09"/>
                      </w:tcPr>
                      <w:p>
                        <w:pPr>
                          <w:pStyle w:val="TableParagraph"/>
                          <w:spacing w:before="0"/>
                          <w:rPr>
                            <w:rFonts w:ascii="Times New Roman"/>
                            <w:sz w:val="16"/>
                          </w:rPr>
                        </w:pPr>
                      </w:p>
                    </w:tc>
                    <w:tc>
                      <w:tcPr>
                        <w:tcW w:w="233" w:type="dxa"/>
                        <w:vMerge/>
                        <w:tcBorders>
                          <w:top w:val="nil"/>
                          <w:bottom w:val="single" w:sz="6" w:space="0" w:color="F1F1F1"/>
                        </w:tcBorders>
                      </w:tcPr>
                      <w:p>
                        <w:pPr>
                          <w:rPr>
                            <w:sz w:val="2"/>
                            <w:szCs w:val="2"/>
                          </w:rPr>
                        </w:pPr>
                      </w:p>
                    </w:tc>
                  </w:tr>
                  <w:tr>
                    <w:trPr>
                      <w:trHeight w:val="260" w:hRule="atLeast"/>
                    </w:trPr>
                    <w:tc>
                      <w:tcPr>
                        <w:tcW w:w="223" w:type="dxa"/>
                        <w:tcBorders>
                          <w:top w:val="single" w:sz="6" w:space="0" w:color="F1F1F1"/>
                          <w:left w:val="single" w:sz="6" w:space="0" w:color="BEBEBE"/>
                          <w:bottom w:val="single" w:sz="6" w:space="0" w:color="F1F1F1"/>
                        </w:tcBorders>
                      </w:tcPr>
                      <w:p>
                        <w:pPr>
                          <w:pStyle w:val="TableParagraph"/>
                          <w:spacing w:before="0"/>
                          <w:rPr>
                            <w:rFonts w:ascii="Times New Roman"/>
                            <w:sz w:val="16"/>
                          </w:rPr>
                        </w:pPr>
                      </w:p>
                    </w:tc>
                    <w:tc>
                      <w:tcPr>
                        <w:tcW w:w="375" w:type="dxa"/>
                        <w:vMerge/>
                        <w:tcBorders>
                          <w:top w:val="nil"/>
                          <w:bottom w:val="single" w:sz="8" w:space="0" w:color="BEBEBE"/>
                        </w:tcBorders>
                        <w:shd w:val="clear" w:color="auto" w:fill="E16B09"/>
                      </w:tcPr>
                      <w:p>
                        <w:pPr>
                          <w:rPr>
                            <w:sz w:val="2"/>
                            <w:szCs w:val="2"/>
                          </w:rPr>
                        </w:pPr>
                      </w:p>
                    </w:tc>
                    <w:tc>
                      <w:tcPr>
                        <w:tcW w:w="468" w:type="dxa"/>
                        <w:gridSpan w:val="2"/>
                        <w:tcBorders>
                          <w:top w:val="single" w:sz="6" w:space="0" w:color="F1F1F1"/>
                          <w:bottom w:val="single" w:sz="6" w:space="0" w:color="F1F1F1"/>
                        </w:tcBorders>
                      </w:tcPr>
                      <w:p>
                        <w:pPr>
                          <w:pStyle w:val="TableParagraph"/>
                          <w:spacing w:before="0"/>
                          <w:rPr>
                            <w:rFonts w:ascii="Times New Roman"/>
                            <w:sz w:val="16"/>
                          </w:rPr>
                        </w:pPr>
                      </w:p>
                    </w:tc>
                    <w:tc>
                      <w:tcPr>
                        <w:tcW w:w="363" w:type="dxa"/>
                        <w:vMerge/>
                        <w:tcBorders>
                          <w:top w:val="nil"/>
                          <w:bottom w:val="single" w:sz="8" w:space="0" w:color="BEBEBE"/>
                        </w:tcBorders>
                        <w:shd w:val="clear" w:color="auto" w:fill="E16B09"/>
                      </w:tcPr>
                      <w:p>
                        <w:pPr>
                          <w:rPr>
                            <w:sz w:val="2"/>
                            <w:szCs w:val="2"/>
                          </w:rPr>
                        </w:pPr>
                      </w:p>
                    </w:tc>
                    <w:tc>
                      <w:tcPr>
                        <w:tcW w:w="468" w:type="dxa"/>
                        <w:gridSpan w:val="2"/>
                        <w:tcBorders>
                          <w:top w:val="single" w:sz="6" w:space="0" w:color="F1F1F1"/>
                          <w:bottom w:val="single" w:sz="6" w:space="0" w:color="F1F1F1"/>
                        </w:tcBorders>
                      </w:tcPr>
                      <w:p>
                        <w:pPr>
                          <w:pStyle w:val="TableParagraph"/>
                          <w:spacing w:before="0"/>
                          <w:rPr>
                            <w:rFonts w:ascii="Times New Roman"/>
                            <w:sz w:val="16"/>
                          </w:rPr>
                        </w:pPr>
                      </w:p>
                    </w:tc>
                    <w:tc>
                      <w:tcPr>
                        <w:tcW w:w="363" w:type="dxa"/>
                        <w:vMerge/>
                        <w:tcBorders>
                          <w:top w:val="nil"/>
                          <w:bottom w:val="single" w:sz="8" w:space="0" w:color="BEBEBE"/>
                        </w:tcBorders>
                        <w:shd w:val="clear" w:color="auto" w:fill="E16B09"/>
                      </w:tcPr>
                      <w:p>
                        <w:pPr>
                          <w:rPr>
                            <w:sz w:val="2"/>
                            <w:szCs w:val="2"/>
                          </w:rPr>
                        </w:pPr>
                      </w:p>
                    </w:tc>
                    <w:tc>
                      <w:tcPr>
                        <w:tcW w:w="468" w:type="dxa"/>
                        <w:gridSpan w:val="2"/>
                        <w:tcBorders>
                          <w:top w:val="single" w:sz="6" w:space="0" w:color="F1F1F1"/>
                          <w:bottom w:val="single" w:sz="6" w:space="0" w:color="F1F1F1"/>
                        </w:tcBorders>
                      </w:tcPr>
                      <w:p>
                        <w:pPr>
                          <w:pStyle w:val="TableParagraph"/>
                          <w:spacing w:before="0"/>
                          <w:rPr>
                            <w:rFonts w:ascii="Times New Roman"/>
                            <w:sz w:val="16"/>
                          </w:rPr>
                        </w:pPr>
                      </w:p>
                    </w:tc>
                    <w:tc>
                      <w:tcPr>
                        <w:tcW w:w="375" w:type="dxa"/>
                        <w:vMerge/>
                        <w:tcBorders>
                          <w:top w:val="nil"/>
                          <w:bottom w:val="single" w:sz="8" w:space="0" w:color="BEBEBE"/>
                        </w:tcBorders>
                        <w:shd w:val="clear" w:color="auto" w:fill="E16B09"/>
                      </w:tcPr>
                      <w:p>
                        <w:pPr>
                          <w:rPr>
                            <w:sz w:val="2"/>
                            <w:szCs w:val="2"/>
                          </w:rPr>
                        </w:pPr>
                      </w:p>
                    </w:tc>
                    <w:tc>
                      <w:tcPr>
                        <w:tcW w:w="456" w:type="dxa"/>
                        <w:gridSpan w:val="2"/>
                        <w:tcBorders>
                          <w:top w:val="single" w:sz="6" w:space="0" w:color="F1F1F1"/>
                          <w:bottom w:val="single" w:sz="6" w:space="0" w:color="F1F1F1"/>
                        </w:tcBorders>
                      </w:tcPr>
                      <w:p>
                        <w:pPr>
                          <w:pStyle w:val="TableParagraph"/>
                          <w:spacing w:before="0"/>
                          <w:rPr>
                            <w:rFonts w:ascii="Times New Roman"/>
                            <w:sz w:val="16"/>
                          </w:rPr>
                        </w:pPr>
                      </w:p>
                    </w:tc>
                    <w:tc>
                      <w:tcPr>
                        <w:tcW w:w="374" w:type="dxa"/>
                        <w:vMerge/>
                        <w:tcBorders>
                          <w:top w:val="nil"/>
                          <w:bottom w:val="single" w:sz="8" w:space="0" w:color="BEBEBE"/>
                        </w:tcBorders>
                        <w:shd w:val="clear" w:color="auto" w:fill="E16B09"/>
                      </w:tcPr>
                      <w:p>
                        <w:pPr>
                          <w:rPr>
                            <w:sz w:val="2"/>
                            <w:szCs w:val="2"/>
                          </w:rPr>
                        </w:pPr>
                      </w:p>
                    </w:tc>
                    <w:tc>
                      <w:tcPr>
                        <w:tcW w:w="233" w:type="dxa"/>
                        <w:tcBorders>
                          <w:top w:val="single" w:sz="6" w:space="0" w:color="F1F1F1"/>
                          <w:bottom w:val="single" w:sz="6" w:space="0" w:color="F1F1F1"/>
                          <w:right w:val="dashed" w:sz="6" w:space="0" w:color="7E7E7E"/>
                        </w:tcBorders>
                      </w:tcPr>
                      <w:p>
                        <w:pPr>
                          <w:pStyle w:val="TableParagraph"/>
                          <w:spacing w:before="0"/>
                          <w:rPr>
                            <w:rFonts w:ascii="Times New Roman"/>
                            <w:sz w:val="16"/>
                          </w:rPr>
                        </w:pPr>
                      </w:p>
                    </w:tc>
                    <w:tc>
                      <w:tcPr>
                        <w:tcW w:w="233" w:type="dxa"/>
                        <w:tcBorders>
                          <w:top w:val="single" w:sz="6" w:space="0" w:color="F1F1F1"/>
                          <w:left w:val="dashed" w:sz="6" w:space="0" w:color="7E7E7E"/>
                          <w:bottom w:val="single" w:sz="6" w:space="0" w:color="F1F1F1"/>
                        </w:tcBorders>
                      </w:tcPr>
                      <w:p>
                        <w:pPr>
                          <w:pStyle w:val="TableParagraph"/>
                          <w:spacing w:before="0"/>
                          <w:rPr>
                            <w:rFonts w:ascii="Times New Roman"/>
                            <w:sz w:val="16"/>
                          </w:rPr>
                        </w:pPr>
                      </w:p>
                    </w:tc>
                    <w:tc>
                      <w:tcPr>
                        <w:tcW w:w="362" w:type="dxa"/>
                        <w:vMerge/>
                        <w:tcBorders>
                          <w:top w:val="nil"/>
                          <w:bottom w:val="single" w:sz="8" w:space="0" w:color="BEBEBE"/>
                        </w:tcBorders>
                        <w:shd w:val="clear" w:color="auto" w:fill="E16B09"/>
                      </w:tcPr>
                      <w:p>
                        <w:pPr>
                          <w:rPr>
                            <w:sz w:val="2"/>
                            <w:szCs w:val="2"/>
                          </w:rPr>
                        </w:pPr>
                      </w:p>
                    </w:tc>
                    <w:tc>
                      <w:tcPr>
                        <w:tcW w:w="466" w:type="dxa"/>
                        <w:gridSpan w:val="2"/>
                        <w:tcBorders>
                          <w:top w:val="single" w:sz="6" w:space="0" w:color="F1F1F1"/>
                          <w:bottom w:val="single" w:sz="6" w:space="0" w:color="F1F1F1"/>
                        </w:tcBorders>
                      </w:tcPr>
                      <w:p>
                        <w:pPr>
                          <w:pStyle w:val="TableParagraph"/>
                          <w:spacing w:before="0"/>
                          <w:rPr>
                            <w:rFonts w:ascii="Times New Roman"/>
                            <w:sz w:val="16"/>
                          </w:rPr>
                        </w:pPr>
                      </w:p>
                    </w:tc>
                    <w:tc>
                      <w:tcPr>
                        <w:tcW w:w="362" w:type="dxa"/>
                        <w:vMerge/>
                        <w:tcBorders>
                          <w:top w:val="nil"/>
                          <w:bottom w:val="single" w:sz="8" w:space="0" w:color="BEBEBE"/>
                        </w:tcBorders>
                        <w:shd w:val="clear" w:color="auto" w:fill="E16B09"/>
                      </w:tcPr>
                      <w:p>
                        <w:pPr>
                          <w:rPr>
                            <w:sz w:val="2"/>
                            <w:szCs w:val="2"/>
                          </w:rPr>
                        </w:pPr>
                      </w:p>
                    </w:tc>
                    <w:tc>
                      <w:tcPr>
                        <w:tcW w:w="466" w:type="dxa"/>
                        <w:gridSpan w:val="2"/>
                        <w:tcBorders>
                          <w:top w:val="single" w:sz="6" w:space="0" w:color="F1F1F1"/>
                          <w:bottom w:val="single" w:sz="6" w:space="0" w:color="F1F1F1"/>
                        </w:tcBorders>
                      </w:tcPr>
                      <w:p>
                        <w:pPr>
                          <w:pStyle w:val="TableParagraph"/>
                          <w:spacing w:before="0"/>
                          <w:rPr>
                            <w:rFonts w:ascii="Times New Roman"/>
                            <w:sz w:val="16"/>
                          </w:rPr>
                        </w:pPr>
                      </w:p>
                    </w:tc>
                    <w:tc>
                      <w:tcPr>
                        <w:tcW w:w="374" w:type="dxa"/>
                        <w:vMerge/>
                        <w:tcBorders>
                          <w:top w:val="nil"/>
                          <w:bottom w:val="single" w:sz="8" w:space="0" w:color="BEBEBE"/>
                        </w:tcBorders>
                        <w:shd w:val="clear" w:color="auto" w:fill="E16B09"/>
                      </w:tcPr>
                      <w:p>
                        <w:pPr>
                          <w:rPr>
                            <w:sz w:val="2"/>
                            <w:szCs w:val="2"/>
                          </w:rPr>
                        </w:pPr>
                      </w:p>
                    </w:tc>
                    <w:tc>
                      <w:tcPr>
                        <w:tcW w:w="456" w:type="dxa"/>
                        <w:gridSpan w:val="2"/>
                        <w:tcBorders>
                          <w:top w:val="single" w:sz="6" w:space="0" w:color="F1F1F1"/>
                          <w:bottom w:val="single" w:sz="6" w:space="0" w:color="F1F1F1"/>
                        </w:tcBorders>
                      </w:tcPr>
                      <w:p>
                        <w:pPr>
                          <w:pStyle w:val="TableParagraph"/>
                          <w:spacing w:before="0"/>
                          <w:rPr>
                            <w:rFonts w:ascii="Times New Roman"/>
                            <w:sz w:val="16"/>
                          </w:rPr>
                        </w:pPr>
                      </w:p>
                    </w:tc>
                    <w:tc>
                      <w:tcPr>
                        <w:tcW w:w="375" w:type="dxa"/>
                        <w:vMerge/>
                        <w:tcBorders>
                          <w:top w:val="nil"/>
                          <w:bottom w:val="single" w:sz="8" w:space="0" w:color="BEBEBE"/>
                        </w:tcBorders>
                        <w:shd w:val="clear" w:color="auto" w:fill="E16B09"/>
                      </w:tcPr>
                      <w:p>
                        <w:pPr>
                          <w:rPr>
                            <w:sz w:val="2"/>
                            <w:szCs w:val="2"/>
                          </w:rPr>
                        </w:pPr>
                      </w:p>
                    </w:tc>
                    <w:tc>
                      <w:tcPr>
                        <w:tcW w:w="456" w:type="dxa"/>
                        <w:gridSpan w:val="2"/>
                        <w:tcBorders>
                          <w:top w:val="single" w:sz="6" w:space="0" w:color="F1F1F1"/>
                          <w:bottom w:val="single" w:sz="6" w:space="0" w:color="F1F1F1"/>
                        </w:tcBorders>
                      </w:tcPr>
                      <w:p>
                        <w:pPr>
                          <w:pStyle w:val="TableParagraph"/>
                          <w:spacing w:before="0"/>
                          <w:rPr>
                            <w:rFonts w:ascii="Times New Roman"/>
                            <w:sz w:val="16"/>
                          </w:rPr>
                        </w:pPr>
                      </w:p>
                    </w:tc>
                    <w:tc>
                      <w:tcPr>
                        <w:tcW w:w="374" w:type="dxa"/>
                        <w:vMerge/>
                        <w:tcBorders>
                          <w:top w:val="nil"/>
                          <w:bottom w:val="single" w:sz="8" w:space="0" w:color="BEBEBE"/>
                        </w:tcBorders>
                        <w:shd w:val="clear" w:color="auto" w:fill="E16B09"/>
                      </w:tcPr>
                      <w:p>
                        <w:pPr>
                          <w:rPr>
                            <w:sz w:val="2"/>
                            <w:szCs w:val="2"/>
                          </w:rPr>
                        </w:pPr>
                      </w:p>
                    </w:tc>
                    <w:tc>
                      <w:tcPr>
                        <w:tcW w:w="233" w:type="dxa"/>
                        <w:tcBorders>
                          <w:top w:val="single" w:sz="6" w:space="0" w:color="F1F1F1"/>
                          <w:bottom w:val="single" w:sz="6" w:space="0" w:color="F1F1F1"/>
                        </w:tcBorders>
                      </w:tcPr>
                      <w:p>
                        <w:pPr>
                          <w:pStyle w:val="TableParagraph"/>
                          <w:spacing w:before="0"/>
                          <w:rPr>
                            <w:rFonts w:ascii="Times New Roman"/>
                            <w:sz w:val="16"/>
                          </w:rPr>
                        </w:pPr>
                      </w:p>
                    </w:tc>
                  </w:tr>
                  <w:tr>
                    <w:trPr>
                      <w:trHeight w:val="248" w:hRule="atLeast"/>
                    </w:trPr>
                    <w:tc>
                      <w:tcPr>
                        <w:tcW w:w="223" w:type="dxa"/>
                        <w:tcBorders>
                          <w:top w:val="single" w:sz="6" w:space="0" w:color="F1F1F1"/>
                          <w:left w:val="single" w:sz="6" w:space="0" w:color="BEBEBE"/>
                          <w:bottom w:val="single" w:sz="6" w:space="0" w:color="BEBEBE"/>
                        </w:tcBorders>
                      </w:tcPr>
                      <w:p>
                        <w:pPr>
                          <w:pStyle w:val="TableParagraph"/>
                          <w:spacing w:before="0"/>
                          <w:rPr>
                            <w:rFonts w:ascii="Times New Roman"/>
                            <w:sz w:val="16"/>
                          </w:rPr>
                        </w:pPr>
                      </w:p>
                    </w:tc>
                    <w:tc>
                      <w:tcPr>
                        <w:tcW w:w="375" w:type="dxa"/>
                        <w:vMerge/>
                        <w:tcBorders>
                          <w:top w:val="nil"/>
                          <w:bottom w:val="single" w:sz="8" w:space="0" w:color="BEBEBE"/>
                        </w:tcBorders>
                        <w:shd w:val="clear" w:color="auto" w:fill="E16B09"/>
                      </w:tcPr>
                      <w:p>
                        <w:pPr>
                          <w:rPr>
                            <w:sz w:val="2"/>
                            <w:szCs w:val="2"/>
                          </w:rPr>
                        </w:pPr>
                      </w:p>
                    </w:tc>
                    <w:tc>
                      <w:tcPr>
                        <w:tcW w:w="468" w:type="dxa"/>
                        <w:gridSpan w:val="2"/>
                        <w:tcBorders>
                          <w:top w:val="single" w:sz="6" w:space="0" w:color="F1F1F1"/>
                          <w:bottom w:val="single" w:sz="6" w:space="0" w:color="BEBEBE"/>
                        </w:tcBorders>
                      </w:tcPr>
                      <w:p>
                        <w:pPr>
                          <w:pStyle w:val="TableParagraph"/>
                          <w:spacing w:before="0"/>
                          <w:rPr>
                            <w:rFonts w:ascii="Times New Roman"/>
                            <w:sz w:val="16"/>
                          </w:rPr>
                        </w:pPr>
                      </w:p>
                    </w:tc>
                    <w:tc>
                      <w:tcPr>
                        <w:tcW w:w="363" w:type="dxa"/>
                        <w:vMerge/>
                        <w:tcBorders>
                          <w:top w:val="nil"/>
                          <w:bottom w:val="single" w:sz="8" w:space="0" w:color="BEBEBE"/>
                        </w:tcBorders>
                        <w:shd w:val="clear" w:color="auto" w:fill="E16B09"/>
                      </w:tcPr>
                      <w:p>
                        <w:pPr>
                          <w:rPr>
                            <w:sz w:val="2"/>
                            <w:szCs w:val="2"/>
                          </w:rPr>
                        </w:pPr>
                      </w:p>
                    </w:tc>
                    <w:tc>
                      <w:tcPr>
                        <w:tcW w:w="468" w:type="dxa"/>
                        <w:gridSpan w:val="2"/>
                        <w:tcBorders>
                          <w:top w:val="single" w:sz="6" w:space="0" w:color="F1F1F1"/>
                          <w:bottom w:val="single" w:sz="6" w:space="0" w:color="BEBEBE"/>
                        </w:tcBorders>
                      </w:tcPr>
                      <w:p>
                        <w:pPr>
                          <w:pStyle w:val="TableParagraph"/>
                          <w:spacing w:before="0"/>
                          <w:rPr>
                            <w:rFonts w:ascii="Times New Roman"/>
                            <w:sz w:val="16"/>
                          </w:rPr>
                        </w:pPr>
                      </w:p>
                    </w:tc>
                    <w:tc>
                      <w:tcPr>
                        <w:tcW w:w="363" w:type="dxa"/>
                        <w:vMerge/>
                        <w:tcBorders>
                          <w:top w:val="nil"/>
                          <w:bottom w:val="single" w:sz="8" w:space="0" w:color="BEBEBE"/>
                        </w:tcBorders>
                        <w:shd w:val="clear" w:color="auto" w:fill="E16B09"/>
                      </w:tcPr>
                      <w:p>
                        <w:pPr>
                          <w:rPr>
                            <w:sz w:val="2"/>
                            <w:szCs w:val="2"/>
                          </w:rPr>
                        </w:pPr>
                      </w:p>
                    </w:tc>
                    <w:tc>
                      <w:tcPr>
                        <w:tcW w:w="468" w:type="dxa"/>
                        <w:gridSpan w:val="2"/>
                        <w:tcBorders>
                          <w:top w:val="single" w:sz="6" w:space="0" w:color="F1F1F1"/>
                          <w:bottom w:val="single" w:sz="6" w:space="0" w:color="BEBEBE"/>
                        </w:tcBorders>
                      </w:tcPr>
                      <w:p>
                        <w:pPr>
                          <w:pStyle w:val="TableParagraph"/>
                          <w:spacing w:before="0"/>
                          <w:rPr>
                            <w:rFonts w:ascii="Times New Roman"/>
                            <w:sz w:val="16"/>
                          </w:rPr>
                        </w:pPr>
                      </w:p>
                    </w:tc>
                    <w:tc>
                      <w:tcPr>
                        <w:tcW w:w="375" w:type="dxa"/>
                        <w:vMerge/>
                        <w:tcBorders>
                          <w:top w:val="nil"/>
                          <w:bottom w:val="single" w:sz="8" w:space="0" w:color="BEBEBE"/>
                        </w:tcBorders>
                        <w:shd w:val="clear" w:color="auto" w:fill="E16B09"/>
                      </w:tcPr>
                      <w:p>
                        <w:pPr>
                          <w:rPr>
                            <w:sz w:val="2"/>
                            <w:szCs w:val="2"/>
                          </w:rPr>
                        </w:pPr>
                      </w:p>
                    </w:tc>
                    <w:tc>
                      <w:tcPr>
                        <w:tcW w:w="456" w:type="dxa"/>
                        <w:gridSpan w:val="2"/>
                        <w:tcBorders>
                          <w:top w:val="single" w:sz="6" w:space="0" w:color="F1F1F1"/>
                          <w:bottom w:val="single" w:sz="6" w:space="0" w:color="BEBEBE"/>
                        </w:tcBorders>
                      </w:tcPr>
                      <w:p>
                        <w:pPr>
                          <w:pStyle w:val="TableParagraph"/>
                          <w:spacing w:before="0"/>
                          <w:rPr>
                            <w:rFonts w:ascii="Times New Roman"/>
                            <w:sz w:val="16"/>
                          </w:rPr>
                        </w:pPr>
                      </w:p>
                    </w:tc>
                    <w:tc>
                      <w:tcPr>
                        <w:tcW w:w="374" w:type="dxa"/>
                        <w:vMerge/>
                        <w:tcBorders>
                          <w:top w:val="nil"/>
                          <w:bottom w:val="single" w:sz="8" w:space="0" w:color="BEBEBE"/>
                        </w:tcBorders>
                        <w:shd w:val="clear" w:color="auto" w:fill="E16B09"/>
                      </w:tcPr>
                      <w:p>
                        <w:pPr>
                          <w:rPr>
                            <w:sz w:val="2"/>
                            <w:szCs w:val="2"/>
                          </w:rPr>
                        </w:pPr>
                      </w:p>
                    </w:tc>
                    <w:tc>
                      <w:tcPr>
                        <w:tcW w:w="233" w:type="dxa"/>
                        <w:tcBorders>
                          <w:top w:val="single" w:sz="6" w:space="0" w:color="F1F1F1"/>
                          <w:bottom w:val="single" w:sz="6" w:space="0" w:color="BEBEBE"/>
                          <w:right w:val="dashed" w:sz="6" w:space="0" w:color="7E7E7E"/>
                        </w:tcBorders>
                      </w:tcPr>
                      <w:p>
                        <w:pPr>
                          <w:pStyle w:val="TableParagraph"/>
                          <w:spacing w:before="0"/>
                          <w:rPr>
                            <w:rFonts w:ascii="Times New Roman"/>
                            <w:sz w:val="16"/>
                          </w:rPr>
                        </w:pPr>
                      </w:p>
                    </w:tc>
                    <w:tc>
                      <w:tcPr>
                        <w:tcW w:w="233" w:type="dxa"/>
                        <w:tcBorders>
                          <w:top w:val="single" w:sz="6" w:space="0" w:color="F1F1F1"/>
                          <w:left w:val="dashed" w:sz="6" w:space="0" w:color="7E7E7E"/>
                          <w:bottom w:val="single" w:sz="6" w:space="0" w:color="BEBEBE"/>
                        </w:tcBorders>
                      </w:tcPr>
                      <w:p>
                        <w:pPr>
                          <w:pStyle w:val="TableParagraph"/>
                          <w:spacing w:before="0"/>
                          <w:rPr>
                            <w:rFonts w:ascii="Times New Roman"/>
                            <w:sz w:val="16"/>
                          </w:rPr>
                        </w:pPr>
                      </w:p>
                    </w:tc>
                    <w:tc>
                      <w:tcPr>
                        <w:tcW w:w="362" w:type="dxa"/>
                        <w:vMerge/>
                        <w:tcBorders>
                          <w:top w:val="nil"/>
                          <w:bottom w:val="single" w:sz="8" w:space="0" w:color="BEBEBE"/>
                        </w:tcBorders>
                        <w:shd w:val="clear" w:color="auto" w:fill="E16B09"/>
                      </w:tcPr>
                      <w:p>
                        <w:pPr>
                          <w:rPr>
                            <w:sz w:val="2"/>
                            <w:szCs w:val="2"/>
                          </w:rPr>
                        </w:pPr>
                      </w:p>
                    </w:tc>
                    <w:tc>
                      <w:tcPr>
                        <w:tcW w:w="466" w:type="dxa"/>
                        <w:gridSpan w:val="2"/>
                        <w:tcBorders>
                          <w:top w:val="single" w:sz="6" w:space="0" w:color="F1F1F1"/>
                          <w:bottom w:val="single" w:sz="6" w:space="0" w:color="BEBEBE"/>
                        </w:tcBorders>
                      </w:tcPr>
                      <w:p>
                        <w:pPr>
                          <w:pStyle w:val="TableParagraph"/>
                          <w:spacing w:before="0"/>
                          <w:rPr>
                            <w:rFonts w:ascii="Times New Roman"/>
                            <w:sz w:val="16"/>
                          </w:rPr>
                        </w:pPr>
                      </w:p>
                    </w:tc>
                    <w:tc>
                      <w:tcPr>
                        <w:tcW w:w="362" w:type="dxa"/>
                        <w:vMerge/>
                        <w:tcBorders>
                          <w:top w:val="nil"/>
                          <w:bottom w:val="single" w:sz="8" w:space="0" w:color="BEBEBE"/>
                        </w:tcBorders>
                        <w:shd w:val="clear" w:color="auto" w:fill="E16B09"/>
                      </w:tcPr>
                      <w:p>
                        <w:pPr>
                          <w:rPr>
                            <w:sz w:val="2"/>
                            <w:szCs w:val="2"/>
                          </w:rPr>
                        </w:pPr>
                      </w:p>
                    </w:tc>
                    <w:tc>
                      <w:tcPr>
                        <w:tcW w:w="466" w:type="dxa"/>
                        <w:gridSpan w:val="2"/>
                        <w:tcBorders>
                          <w:top w:val="single" w:sz="6" w:space="0" w:color="F1F1F1"/>
                          <w:bottom w:val="single" w:sz="6" w:space="0" w:color="BEBEBE"/>
                        </w:tcBorders>
                      </w:tcPr>
                      <w:p>
                        <w:pPr>
                          <w:pStyle w:val="TableParagraph"/>
                          <w:spacing w:before="0"/>
                          <w:rPr>
                            <w:rFonts w:ascii="Times New Roman"/>
                            <w:sz w:val="16"/>
                          </w:rPr>
                        </w:pPr>
                      </w:p>
                    </w:tc>
                    <w:tc>
                      <w:tcPr>
                        <w:tcW w:w="374" w:type="dxa"/>
                        <w:vMerge/>
                        <w:tcBorders>
                          <w:top w:val="nil"/>
                          <w:bottom w:val="single" w:sz="8" w:space="0" w:color="BEBEBE"/>
                        </w:tcBorders>
                        <w:shd w:val="clear" w:color="auto" w:fill="E16B09"/>
                      </w:tcPr>
                      <w:p>
                        <w:pPr>
                          <w:rPr>
                            <w:sz w:val="2"/>
                            <w:szCs w:val="2"/>
                          </w:rPr>
                        </w:pPr>
                      </w:p>
                    </w:tc>
                    <w:tc>
                      <w:tcPr>
                        <w:tcW w:w="456" w:type="dxa"/>
                        <w:gridSpan w:val="2"/>
                        <w:tcBorders>
                          <w:top w:val="single" w:sz="6" w:space="0" w:color="F1F1F1"/>
                          <w:bottom w:val="single" w:sz="6" w:space="0" w:color="BEBEBE"/>
                        </w:tcBorders>
                      </w:tcPr>
                      <w:p>
                        <w:pPr>
                          <w:pStyle w:val="TableParagraph"/>
                          <w:spacing w:before="0"/>
                          <w:rPr>
                            <w:rFonts w:ascii="Times New Roman"/>
                            <w:sz w:val="16"/>
                          </w:rPr>
                        </w:pPr>
                      </w:p>
                    </w:tc>
                    <w:tc>
                      <w:tcPr>
                        <w:tcW w:w="375" w:type="dxa"/>
                        <w:vMerge/>
                        <w:tcBorders>
                          <w:top w:val="nil"/>
                          <w:bottom w:val="single" w:sz="8" w:space="0" w:color="BEBEBE"/>
                        </w:tcBorders>
                        <w:shd w:val="clear" w:color="auto" w:fill="E16B09"/>
                      </w:tcPr>
                      <w:p>
                        <w:pPr>
                          <w:rPr>
                            <w:sz w:val="2"/>
                            <w:szCs w:val="2"/>
                          </w:rPr>
                        </w:pPr>
                      </w:p>
                    </w:tc>
                    <w:tc>
                      <w:tcPr>
                        <w:tcW w:w="456" w:type="dxa"/>
                        <w:gridSpan w:val="2"/>
                        <w:tcBorders>
                          <w:top w:val="single" w:sz="6" w:space="0" w:color="F1F1F1"/>
                          <w:bottom w:val="single" w:sz="6" w:space="0" w:color="BEBEBE"/>
                        </w:tcBorders>
                      </w:tcPr>
                      <w:p>
                        <w:pPr>
                          <w:pStyle w:val="TableParagraph"/>
                          <w:spacing w:before="0"/>
                          <w:rPr>
                            <w:rFonts w:ascii="Times New Roman"/>
                            <w:sz w:val="16"/>
                          </w:rPr>
                        </w:pPr>
                      </w:p>
                    </w:tc>
                    <w:tc>
                      <w:tcPr>
                        <w:tcW w:w="374" w:type="dxa"/>
                        <w:vMerge/>
                        <w:tcBorders>
                          <w:top w:val="nil"/>
                          <w:bottom w:val="single" w:sz="8" w:space="0" w:color="BEBEBE"/>
                        </w:tcBorders>
                        <w:shd w:val="clear" w:color="auto" w:fill="E16B09"/>
                      </w:tcPr>
                      <w:p>
                        <w:pPr>
                          <w:rPr>
                            <w:sz w:val="2"/>
                            <w:szCs w:val="2"/>
                          </w:rPr>
                        </w:pPr>
                      </w:p>
                    </w:tc>
                    <w:tc>
                      <w:tcPr>
                        <w:tcW w:w="233" w:type="dxa"/>
                        <w:tcBorders>
                          <w:top w:val="single" w:sz="6" w:space="0" w:color="F1F1F1"/>
                          <w:bottom w:val="single" w:sz="6" w:space="0" w:color="BEBEBE"/>
                        </w:tcBorders>
                      </w:tcPr>
                      <w:p>
                        <w:pPr>
                          <w:pStyle w:val="TableParagraph"/>
                          <w:spacing w:before="0"/>
                          <w:rPr>
                            <w:rFonts w:ascii="Times New Roman"/>
                            <w:sz w:val="16"/>
                          </w:rPr>
                        </w:pPr>
                      </w:p>
                    </w:tc>
                  </w:tr>
                  <w:tr>
                    <w:trPr>
                      <w:trHeight w:val="293" w:hRule="atLeast"/>
                    </w:trPr>
                    <w:tc>
                      <w:tcPr>
                        <w:tcW w:w="832" w:type="dxa"/>
                        <w:gridSpan w:val="3"/>
                        <w:tcBorders>
                          <w:top w:val="single" w:sz="8" w:space="0" w:color="BEBEBE"/>
                          <w:left w:val="single" w:sz="6" w:space="0" w:color="BEBEBE"/>
                          <w:right w:val="single" w:sz="6" w:space="0" w:color="BEBEBE"/>
                        </w:tcBorders>
                      </w:tcPr>
                      <w:p>
                        <w:pPr>
                          <w:pStyle w:val="TableParagraph"/>
                          <w:spacing w:line="173" w:lineRule="exact" w:before="100"/>
                          <w:ind w:left="252"/>
                          <w:rPr>
                            <w:rFonts w:ascii="Calibri"/>
                            <w:sz w:val="15"/>
                          </w:rPr>
                        </w:pPr>
                        <w:r>
                          <w:rPr>
                            <w:rFonts w:ascii="Calibri"/>
                            <w:color w:val="585858"/>
                            <w:sz w:val="15"/>
                          </w:rPr>
                          <w:t>2014</w:t>
                        </w:r>
                      </w:p>
                    </w:tc>
                    <w:tc>
                      <w:tcPr>
                        <w:tcW w:w="831" w:type="dxa"/>
                        <w:gridSpan w:val="3"/>
                        <w:tcBorders>
                          <w:top w:val="single" w:sz="8" w:space="0" w:color="BEBEBE"/>
                          <w:left w:val="single" w:sz="6" w:space="0" w:color="BEBEBE"/>
                          <w:right w:val="single" w:sz="6" w:space="0" w:color="BEBEBE"/>
                        </w:tcBorders>
                      </w:tcPr>
                      <w:p>
                        <w:pPr>
                          <w:pStyle w:val="TableParagraph"/>
                          <w:spacing w:line="173" w:lineRule="exact" w:before="100"/>
                          <w:ind w:left="254"/>
                          <w:rPr>
                            <w:rFonts w:ascii="Calibri"/>
                            <w:sz w:val="15"/>
                          </w:rPr>
                        </w:pPr>
                        <w:r>
                          <w:rPr>
                            <w:rFonts w:ascii="Calibri"/>
                            <w:color w:val="585858"/>
                            <w:sz w:val="15"/>
                          </w:rPr>
                          <w:t>2015</w:t>
                        </w:r>
                      </w:p>
                    </w:tc>
                    <w:tc>
                      <w:tcPr>
                        <w:tcW w:w="831" w:type="dxa"/>
                        <w:gridSpan w:val="3"/>
                        <w:tcBorders>
                          <w:top w:val="single" w:sz="8" w:space="0" w:color="BEBEBE"/>
                          <w:left w:val="single" w:sz="6" w:space="0" w:color="BEBEBE"/>
                          <w:right w:val="single" w:sz="6" w:space="0" w:color="BEBEBE"/>
                        </w:tcBorders>
                      </w:tcPr>
                      <w:p>
                        <w:pPr>
                          <w:pStyle w:val="TableParagraph"/>
                          <w:spacing w:line="173" w:lineRule="exact" w:before="100"/>
                          <w:ind w:left="258"/>
                          <w:rPr>
                            <w:rFonts w:ascii="Calibri"/>
                            <w:sz w:val="15"/>
                          </w:rPr>
                        </w:pPr>
                        <w:r>
                          <w:rPr>
                            <w:rFonts w:ascii="Calibri"/>
                            <w:color w:val="585858"/>
                            <w:sz w:val="15"/>
                          </w:rPr>
                          <w:t>2016</w:t>
                        </w:r>
                      </w:p>
                    </w:tc>
                    <w:tc>
                      <w:tcPr>
                        <w:tcW w:w="843" w:type="dxa"/>
                        <w:gridSpan w:val="3"/>
                        <w:tcBorders>
                          <w:top w:val="single" w:sz="8" w:space="0" w:color="BEBEBE"/>
                          <w:left w:val="single" w:sz="6" w:space="0" w:color="BEBEBE"/>
                          <w:right w:val="single" w:sz="6" w:space="0" w:color="BEBEBE"/>
                        </w:tcBorders>
                      </w:tcPr>
                      <w:p>
                        <w:pPr>
                          <w:pStyle w:val="TableParagraph"/>
                          <w:spacing w:line="173" w:lineRule="exact" w:before="100"/>
                          <w:ind w:left="261"/>
                          <w:rPr>
                            <w:rFonts w:ascii="Calibri"/>
                            <w:sz w:val="15"/>
                          </w:rPr>
                        </w:pPr>
                        <w:r>
                          <w:rPr>
                            <w:rFonts w:ascii="Calibri"/>
                            <w:color w:val="585858"/>
                            <w:sz w:val="15"/>
                          </w:rPr>
                          <w:t>2017</w:t>
                        </w:r>
                      </w:p>
                    </w:tc>
                    <w:tc>
                      <w:tcPr>
                        <w:tcW w:w="829" w:type="dxa"/>
                        <w:gridSpan w:val="3"/>
                        <w:tcBorders>
                          <w:top w:val="single" w:sz="8" w:space="0" w:color="BEBEBE"/>
                          <w:left w:val="single" w:sz="6" w:space="0" w:color="BEBEBE"/>
                          <w:right w:val="single" w:sz="6" w:space="0" w:color="BEBEBE"/>
                        </w:tcBorders>
                      </w:tcPr>
                      <w:p>
                        <w:pPr>
                          <w:pStyle w:val="TableParagraph"/>
                          <w:spacing w:line="173" w:lineRule="exact" w:before="100"/>
                          <w:ind w:left="252"/>
                          <w:rPr>
                            <w:rFonts w:ascii="Calibri"/>
                            <w:sz w:val="15"/>
                          </w:rPr>
                        </w:pPr>
                        <w:r>
                          <w:rPr>
                            <w:rFonts w:ascii="Calibri"/>
                            <w:color w:val="585858"/>
                            <w:sz w:val="15"/>
                          </w:rPr>
                          <w:t>2018</w:t>
                        </w:r>
                      </w:p>
                    </w:tc>
                    <w:tc>
                      <w:tcPr>
                        <w:tcW w:w="828" w:type="dxa"/>
                        <w:gridSpan w:val="3"/>
                        <w:tcBorders>
                          <w:top w:val="single" w:sz="8" w:space="0" w:color="BEBEBE"/>
                          <w:left w:val="single" w:sz="6" w:space="0" w:color="BEBEBE"/>
                          <w:right w:val="single" w:sz="6" w:space="0" w:color="BEBEBE"/>
                        </w:tcBorders>
                      </w:tcPr>
                      <w:p>
                        <w:pPr>
                          <w:pStyle w:val="TableParagraph"/>
                          <w:spacing w:line="173" w:lineRule="exact" w:before="100"/>
                          <w:ind w:left="258"/>
                          <w:rPr>
                            <w:rFonts w:ascii="Calibri"/>
                            <w:sz w:val="15"/>
                          </w:rPr>
                        </w:pPr>
                        <w:r>
                          <w:rPr>
                            <w:rFonts w:ascii="Calibri"/>
                            <w:color w:val="585858"/>
                            <w:sz w:val="15"/>
                          </w:rPr>
                          <w:t>2019</w:t>
                        </w:r>
                      </w:p>
                    </w:tc>
                    <w:tc>
                      <w:tcPr>
                        <w:tcW w:w="828" w:type="dxa"/>
                        <w:gridSpan w:val="3"/>
                        <w:tcBorders>
                          <w:top w:val="single" w:sz="8" w:space="0" w:color="BEBEBE"/>
                          <w:left w:val="single" w:sz="6" w:space="0" w:color="BEBEBE"/>
                          <w:right w:val="single" w:sz="6" w:space="0" w:color="BEBEBE"/>
                        </w:tcBorders>
                      </w:tcPr>
                      <w:p>
                        <w:pPr>
                          <w:pStyle w:val="TableParagraph"/>
                          <w:spacing w:line="173" w:lineRule="exact" w:before="100"/>
                          <w:ind w:left="264"/>
                          <w:rPr>
                            <w:rFonts w:ascii="Calibri"/>
                            <w:sz w:val="15"/>
                          </w:rPr>
                        </w:pPr>
                        <w:r>
                          <w:rPr>
                            <w:rFonts w:ascii="Calibri"/>
                            <w:color w:val="585858"/>
                            <w:sz w:val="15"/>
                          </w:rPr>
                          <w:t>2020</w:t>
                        </w:r>
                      </w:p>
                    </w:tc>
                    <w:tc>
                      <w:tcPr>
                        <w:tcW w:w="829" w:type="dxa"/>
                        <w:gridSpan w:val="3"/>
                        <w:tcBorders>
                          <w:top w:val="single" w:sz="8" w:space="0" w:color="BEBEBE"/>
                          <w:left w:val="single" w:sz="6" w:space="0" w:color="BEBEBE"/>
                          <w:right w:val="single" w:sz="6" w:space="0" w:color="BEBEBE"/>
                        </w:tcBorders>
                      </w:tcPr>
                      <w:p>
                        <w:pPr>
                          <w:pStyle w:val="TableParagraph"/>
                          <w:spacing w:line="173" w:lineRule="exact" w:before="100"/>
                          <w:ind w:left="270"/>
                          <w:rPr>
                            <w:rFonts w:ascii="Calibri"/>
                            <w:sz w:val="15"/>
                          </w:rPr>
                        </w:pPr>
                        <w:r>
                          <w:rPr>
                            <w:rFonts w:ascii="Calibri"/>
                            <w:color w:val="585858"/>
                            <w:sz w:val="15"/>
                          </w:rPr>
                          <w:t>2021</w:t>
                        </w:r>
                      </w:p>
                    </w:tc>
                    <w:tc>
                      <w:tcPr>
                        <w:tcW w:w="843" w:type="dxa"/>
                        <w:gridSpan w:val="3"/>
                        <w:tcBorders>
                          <w:top w:val="single" w:sz="8" w:space="0" w:color="BEBEBE"/>
                          <w:left w:val="single" w:sz="6" w:space="0" w:color="BEBEBE"/>
                          <w:right w:val="single" w:sz="6" w:space="0" w:color="BEBEBE"/>
                        </w:tcBorders>
                      </w:tcPr>
                      <w:p>
                        <w:pPr>
                          <w:pStyle w:val="TableParagraph"/>
                          <w:spacing w:line="173" w:lineRule="exact" w:before="100"/>
                          <w:ind w:left="275"/>
                          <w:rPr>
                            <w:rFonts w:ascii="Calibri"/>
                            <w:sz w:val="15"/>
                          </w:rPr>
                        </w:pPr>
                        <w:r>
                          <w:rPr>
                            <w:rFonts w:ascii="Calibri"/>
                            <w:color w:val="585858"/>
                            <w:sz w:val="15"/>
                          </w:rPr>
                          <w:t>2022</w:t>
                        </w:r>
                      </w:p>
                    </w:tc>
                    <w:tc>
                      <w:tcPr>
                        <w:tcW w:w="829" w:type="dxa"/>
                        <w:gridSpan w:val="3"/>
                        <w:tcBorders>
                          <w:top w:val="single" w:sz="8" w:space="0" w:color="BEBEBE"/>
                          <w:left w:val="single" w:sz="6" w:space="0" w:color="BEBEBE"/>
                          <w:right w:val="single" w:sz="6" w:space="0" w:color="BEBEBE"/>
                        </w:tcBorders>
                      </w:tcPr>
                      <w:p>
                        <w:pPr>
                          <w:pStyle w:val="TableParagraph"/>
                          <w:spacing w:line="173" w:lineRule="exact" w:before="100"/>
                          <w:ind w:left="267"/>
                          <w:rPr>
                            <w:rFonts w:ascii="Calibri"/>
                            <w:sz w:val="15"/>
                          </w:rPr>
                        </w:pPr>
                        <w:r>
                          <w:rPr>
                            <w:rFonts w:ascii="Calibri"/>
                            <w:color w:val="585858"/>
                            <w:sz w:val="15"/>
                          </w:rPr>
                          <w:t>2023</w:t>
                        </w:r>
                      </w:p>
                    </w:tc>
                  </w:tr>
                  <w:tr>
                    <w:trPr>
                      <w:trHeight w:val="303" w:hRule="atLeast"/>
                    </w:trPr>
                    <w:tc>
                      <w:tcPr>
                        <w:tcW w:w="4166" w:type="dxa"/>
                        <w:gridSpan w:val="15"/>
                        <w:tcBorders>
                          <w:left w:val="single" w:sz="6" w:space="0" w:color="BEBEBE"/>
                          <w:right w:val="single" w:sz="6" w:space="0" w:color="BEBEBE"/>
                        </w:tcBorders>
                      </w:tcPr>
                      <w:p>
                        <w:pPr>
                          <w:pStyle w:val="TableParagraph"/>
                          <w:spacing w:line="176" w:lineRule="exact" w:before="107"/>
                          <w:ind w:left="1826" w:right="1818"/>
                          <w:jc w:val="center"/>
                          <w:rPr>
                            <w:rFonts w:ascii="Calibri"/>
                            <w:sz w:val="15"/>
                          </w:rPr>
                        </w:pPr>
                        <w:r>
                          <w:rPr>
                            <w:rFonts w:ascii="Calibri"/>
                            <w:color w:val="585858"/>
                            <w:sz w:val="15"/>
                          </w:rPr>
                          <w:t>Historic</w:t>
                        </w:r>
                      </w:p>
                    </w:tc>
                    <w:tc>
                      <w:tcPr>
                        <w:tcW w:w="4157" w:type="dxa"/>
                        <w:gridSpan w:val="15"/>
                        <w:tcBorders>
                          <w:left w:val="single" w:sz="6" w:space="0" w:color="BEBEBE"/>
                          <w:right w:val="single" w:sz="6" w:space="0" w:color="BEBEBE"/>
                        </w:tcBorders>
                      </w:tcPr>
                      <w:p>
                        <w:pPr>
                          <w:pStyle w:val="TableParagraph"/>
                          <w:spacing w:line="176" w:lineRule="exact" w:before="107"/>
                          <w:ind w:left="1769" w:right="1745"/>
                          <w:jc w:val="center"/>
                          <w:rPr>
                            <w:rFonts w:ascii="Calibri"/>
                            <w:sz w:val="15"/>
                          </w:rPr>
                        </w:pPr>
                        <w:r>
                          <w:rPr>
                            <w:rFonts w:ascii="Calibri"/>
                            <w:color w:val="585858"/>
                            <w:sz w:val="15"/>
                          </w:rPr>
                          <w:t>Projected</w:t>
                        </w:r>
                      </w:p>
                    </w:tc>
                  </w:tr>
                </w:tbl>
                <w:p>
                  <w:pPr>
                    <w:pStyle w:val="BodyText"/>
                  </w:pPr>
                </w:p>
              </w:txbxContent>
            </v:textbox>
            <w10:wrap type="none"/>
          </v:shape>
        </w:pict>
      </w:r>
      <w:r>
        <w:rPr>
          <w:rFonts w:ascii="Calibri"/>
          <w:color w:val="585858"/>
          <w:sz w:val="15"/>
        </w:rPr>
        <w:t>$40,000</w:t>
      </w:r>
    </w:p>
    <w:p>
      <w:pPr>
        <w:spacing w:before="94"/>
        <w:ind w:left="0" w:right="10231" w:firstLine="0"/>
        <w:jc w:val="right"/>
        <w:rPr>
          <w:rFonts w:ascii="Calibri"/>
          <w:sz w:val="15"/>
        </w:rPr>
      </w:pPr>
      <w:r>
        <w:rPr/>
        <w:drawing>
          <wp:anchor distT="0" distB="0" distL="0" distR="0" allowOverlap="1" layoutInCell="1" locked="0" behindDoc="0" simplePos="0" relativeHeight="252290048">
            <wp:simplePos x="0" y="0"/>
            <wp:positionH relativeFrom="page">
              <wp:posOffset>3956295</wp:posOffset>
            </wp:positionH>
            <wp:positionV relativeFrom="paragraph">
              <wp:posOffset>166855</wp:posOffset>
            </wp:positionV>
            <wp:extent cx="230587" cy="96476"/>
            <wp:effectExtent l="0" t="0" r="0" b="0"/>
            <wp:wrapNone/>
            <wp:docPr id="139" name="image88.png"/>
            <wp:cNvGraphicFramePr>
              <a:graphicFrameLocks noChangeAspect="1"/>
            </wp:cNvGraphicFramePr>
            <a:graphic>
              <a:graphicData uri="http://schemas.openxmlformats.org/drawingml/2006/picture">
                <pic:pic>
                  <pic:nvPicPr>
                    <pic:cNvPr id="140" name="image88.png"/>
                    <pic:cNvPicPr/>
                  </pic:nvPicPr>
                  <pic:blipFill>
                    <a:blip r:embed="rId110" cstate="print"/>
                    <a:stretch>
                      <a:fillRect/>
                    </a:stretch>
                  </pic:blipFill>
                  <pic:spPr>
                    <a:xfrm>
                      <a:off x="0" y="0"/>
                      <a:ext cx="230587" cy="96476"/>
                    </a:xfrm>
                    <a:prstGeom prst="rect">
                      <a:avLst/>
                    </a:prstGeom>
                  </pic:spPr>
                </pic:pic>
              </a:graphicData>
            </a:graphic>
          </wp:anchor>
        </w:drawing>
      </w:r>
      <w:r>
        <w:rPr/>
        <w:drawing>
          <wp:anchor distT="0" distB="0" distL="0" distR="0" allowOverlap="1" layoutInCell="1" locked="0" behindDoc="0" simplePos="0" relativeHeight="252291072">
            <wp:simplePos x="0" y="0"/>
            <wp:positionH relativeFrom="page">
              <wp:posOffset>5540654</wp:posOffset>
            </wp:positionH>
            <wp:positionV relativeFrom="paragraph">
              <wp:posOffset>174277</wp:posOffset>
            </wp:positionV>
            <wp:extent cx="238025" cy="96476"/>
            <wp:effectExtent l="0" t="0" r="0" b="0"/>
            <wp:wrapNone/>
            <wp:docPr id="141" name="image91.png"/>
            <wp:cNvGraphicFramePr>
              <a:graphicFrameLocks noChangeAspect="1"/>
            </wp:cNvGraphicFramePr>
            <a:graphic>
              <a:graphicData uri="http://schemas.openxmlformats.org/drawingml/2006/picture">
                <pic:pic>
                  <pic:nvPicPr>
                    <pic:cNvPr id="142" name="image91.png"/>
                    <pic:cNvPicPr/>
                  </pic:nvPicPr>
                  <pic:blipFill>
                    <a:blip r:embed="rId113" cstate="print"/>
                    <a:stretch>
                      <a:fillRect/>
                    </a:stretch>
                  </pic:blipFill>
                  <pic:spPr>
                    <a:xfrm>
                      <a:off x="0" y="0"/>
                      <a:ext cx="238025" cy="96476"/>
                    </a:xfrm>
                    <a:prstGeom prst="rect">
                      <a:avLst/>
                    </a:prstGeom>
                  </pic:spPr>
                </pic:pic>
              </a:graphicData>
            </a:graphic>
          </wp:anchor>
        </w:drawing>
      </w:r>
      <w:r>
        <w:rPr/>
        <w:drawing>
          <wp:anchor distT="0" distB="0" distL="0" distR="0" allowOverlap="1" layoutInCell="1" locked="0" behindDoc="0" simplePos="0" relativeHeight="252292096">
            <wp:simplePos x="0" y="0"/>
            <wp:positionH relativeFrom="page">
              <wp:posOffset>1300821</wp:posOffset>
            </wp:positionH>
            <wp:positionV relativeFrom="paragraph">
              <wp:posOffset>152013</wp:posOffset>
            </wp:positionV>
            <wp:extent cx="238025" cy="111318"/>
            <wp:effectExtent l="0" t="0" r="0" b="0"/>
            <wp:wrapNone/>
            <wp:docPr id="143" name="image84.png"/>
            <wp:cNvGraphicFramePr>
              <a:graphicFrameLocks noChangeAspect="1"/>
            </wp:cNvGraphicFramePr>
            <a:graphic>
              <a:graphicData uri="http://schemas.openxmlformats.org/drawingml/2006/picture">
                <pic:pic>
                  <pic:nvPicPr>
                    <pic:cNvPr id="144" name="image84.png"/>
                    <pic:cNvPicPr/>
                  </pic:nvPicPr>
                  <pic:blipFill>
                    <a:blip r:embed="rId106" cstate="print"/>
                    <a:stretch>
                      <a:fillRect/>
                    </a:stretch>
                  </pic:blipFill>
                  <pic:spPr>
                    <a:xfrm>
                      <a:off x="0" y="0"/>
                      <a:ext cx="238025" cy="111318"/>
                    </a:xfrm>
                    <a:prstGeom prst="rect">
                      <a:avLst/>
                    </a:prstGeom>
                  </pic:spPr>
                </pic:pic>
              </a:graphicData>
            </a:graphic>
          </wp:anchor>
        </w:drawing>
      </w:r>
      <w:r>
        <w:rPr/>
        <w:drawing>
          <wp:anchor distT="0" distB="0" distL="0" distR="0" allowOverlap="1" layoutInCell="1" locked="0" behindDoc="0" simplePos="0" relativeHeight="252293120">
            <wp:simplePos x="0" y="0"/>
            <wp:positionH relativeFrom="page">
              <wp:posOffset>1836378</wp:posOffset>
            </wp:positionH>
            <wp:positionV relativeFrom="paragraph">
              <wp:posOffset>159434</wp:posOffset>
            </wp:positionV>
            <wp:extent cx="230587" cy="103897"/>
            <wp:effectExtent l="0" t="0" r="0" b="0"/>
            <wp:wrapNone/>
            <wp:docPr id="145" name="image85.png"/>
            <wp:cNvGraphicFramePr>
              <a:graphicFrameLocks noChangeAspect="1"/>
            </wp:cNvGraphicFramePr>
            <a:graphic>
              <a:graphicData uri="http://schemas.openxmlformats.org/drawingml/2006/picture">
                <pic:pic>
                  <pic:nvPicPr>
                    <pic:cNvPr id="146" name="image85.png"/>
                    <pic:cNvPicPr/>
                  </pic:nvPicPr>
                  <pic:blipFill>
                    <a:blip r:embed="rId107" cstate="print"/>
                    <a:stretch>
                      <a:fillRect/>
                    </a:stretch>
                  </pic:blipFill>
                  <pic:spPr>
                    <a:xfrm>
                      <a:off x="0" y="0"/>
                      <a:ext cx="230587" cy="103897"/>
                    </a:xfrm>
                    <a:prstGeom prst="rect">
                      <a:avLst/>
                    </a:prstGeom>
                  </pic:spPr>
                </pic:pic>
              </a:graphicData>
            </a:graphic>
          </wp:anchor>
        </w:drawing>
      </w:r>
      <w:r>
        <w:rPr/>
        <w:drawing>
          <wp:anchor distT="0" distB="0" distL="0" distR="0" allowOverlap="1" layoutInCell="1" locked="0" behindDoc="0" simplePos="0" relativeHeight="252294144">
            <wp:simplePos x="0" y="0"/>
            <wp:positionH relativeFrom="page">
              <wp:posOffset>2364498</wp:posOffset>
            </wp:positionH>
            <wp:positionV relativeFrom="paragraph">
              <wp:posOffset>159434</wp:posOffset>
            </wp:positionV>
            <wp:extent cx="230587" cy="103897"/>
            <wp:effectExtent l="0" t="0" r="0" b="0"/>
            <wp:wrapNone/>
            <wp:docPr id="147" name="image86.png"/>
            <wp:cNvGraphicFramePr>
              <a:graphicFrameLocks noChangeAspect="1"/>
            </wp:cNvGraphicFramePr>
            <a:graphic>
              <a:graphicData uri="http://schemas.openxmlformats.org/drawingml/2006/picture">
                <pic:pic>
                  <pic:nvPicPr>
                    <pic:cNvPr id="148" name="image86.png"/>
                    <pic:cNvPicPr/>
                  </pic:nvPicPr>
                  <pic:blipFill>
                    <a:blip r:embed="rId108" cstate="print"/>
                    <a:stretch>
                      <a:fillRect/>
                    </a:stretch>
                  </pic:blipFill>
                  <pic:spPr>
                    <a:xfrm>
                      <a:off x="0" y="0"/>
                      <a:ext cx="230587" cy="103897"/>
                    </a:xfrm>
                    <a:prstGeom prst="rect">
                      <a:avLst/>
                    </a:prstGeom>
                  </pic:spPr>
                </pic:pic>
              </a:graphicData>
            </a:graphic>
          </wp:anchor>
        </w:drawing>
      </w:r>
      <w:r>
        <w:rPr/>
        <w:drawing>
          <wp:anchor distT="0" distB="0" distL="0" distR="0" allowOverlap="1" layoutInCell="1" locked="0" behindDoc="0" simplePos="0" relativeHeight="252295168">
            <wp:simplePos x="0" y="0"/>
            <wp:positionH relativeFrom="page">
              <wp:posOffset>2892618</wp:posOffset>
            </wp:positionH>
            <wp:positionV relativeFrom="paragraph">
              <wp:posOffset>174277</wp:posOffset>
            </wp:positionV>
            <wp:extent cx="238025" cy="96476"/>
            <wp:effectExtent l="0" t="0" r="0" b="0"/>
            <wp:wrapNone/>
            <wp:docPr id="149" name="image87.png"/>
            <wp:cNvGraphicFramePr>
              <a:graphicFrameLocks noChangeAspect="1"/>
            </wp:cNvGraphicFramePr>
            <a:graphic>
              <a:graphicData uri="http://schemas.openxmlformats.org/drawingml/2006/picture">
                <pic:pic>
                  <pic:nvPicPr>
                    <pic:cNvPr id="150" name="image87.png"/>
                    <pic:cNvPicPr/>
                  </pic:nvPicPr>
                  <pic:blipFill>
                    <a:blip r:embed="rId109" cstate="print"/>
                    <a:stretch>
                      <a:fillRect/>
                    </a:stretch>
                  </pic:blipFill>
                  <pic:spPr>
                    <a:xfrm>
                      <a:off x="0" y="0"/>
                      <a:ext cx="238025" cy="96476"/>
                    </a:xfrm>
                    <a:prstGeom prst="rect">
                      <a:avLst/>
                    </a:prstGeom>
                  </pic:spPr>
                </pic:pic>
              </a:graphicData>
            </a:graphic>
          </wp:anchor>
        </w:drawing>
      </w:r>
      <w:r>
        <w:rPr/>
        <w:drawing>
          <wp:anchor distT="0" distB="0" distL="0" distR="0" allowOverlap="1" layoutInCell="1" locked="0" behindDoc="0" simplePos="0" relativeHeight="252296192">
            <wp:simplePos x="0" y="0"/>
            <wp:positionH relativeFrom="page">
              <wp:posOffset>3420737</wp:posOffset>
            </wp:positionH>
            <wp:positionV relativeFrom="paragraph">
              <wp:posOffset>189119</wp:posOffset>
            </wp:positionV>
            <wp:extent cx="238025" cy="96476"/>
            <wp:effectExtent l="0" t="0" r="0" b="0"/>
            <wp:wrapNone/>
            <wp:docPr id="151" name="image87.png"/>
            <wp:cNvGraphicFramePr>
              <a:graphicFrameLocks noChangeAspect="1"/>
            </wp:cNvGraphicFramePr>
            <a:graphic>
              <a:graphicData uri="http://schemas.openxmlformats.org/drawingml/2006/picture">
                <pic:pic>
                  <pic:nvPicPr>
                    <pic:cNvPr id="152" name="image87.png"/>
                    <pic:cNvPicPr/>
                  </pic:nvPicPr>
                  <pic:blipFill>
                    <a:blip r:embed="rId109" cstate="print"/>
                    <a:stretch>
                      <a:fillRect/>
                    </a:stretch>
                  </pic:blipFill>
                  <pic:spPr>
                    <a:xfrm>
                      <a:off x="0" y="0"/>
                      <a:ext cx="238025" cy="96476"/>
                    </a:xfrm>
                    <a:prstGeom prst="rect">
                      <a:avLst/>
                    </a:prstGeom>
                  </pic:spPr>
                </pic:pic>
              </a:graphicData>
            </a:graphic>
          </wp:anchor>
        </w:drawing>
      </w:r>
      <w:r>
        <w:rPr/>
        <w:drawing>
          <wp:anchor distT="0" distB="0" distL="0" distR="0" allowOverlap="1" layoutInCell="1" locked="0" behindDoc="0" simplePos="0" relativeHeight="252297216">
            <wp:simplePos x="0" y="0"/>
            <wp:positionH relativeFrom="page">
              <wp:posOffset>4484415</wp:posOffset>
            </wp:positionH>
            <wp:positionV relativeFrom="paragraph">
              <wp:posOffset>174277</wp:posOffset>
            </wp:positionV>
            <wp:extent cx="230587" cy="96476"/>
            <wp:effectExtent l="0" t="0" r="0" b="0"/>
            <wp:wrapNone/>
            <wp:docPr id="153" name="image89.png"/>
            <wp:cNvGraphicFramePr>
              <a:graphicFrameLocks noChangeAspect="1"/>
            </wp:cNvGraphicFramePr>
            <a:graphic>
              <a:graphicData uri="http://schemas.openxmlformats.org/drawingml/2006/picture">
                <pic:pic>
                  <pic:nvPicPr>
                    <pic:cNvPr id="154" name="image89.png"/>
                    <pic:cNvPicPr/>
                  </pic:nvPicPr>
                  <pic:blipFill>
                    <a:blip r:embed="rId111" cstate="print"/>
                    <a:stretch>
                      <a:fillRect/>
                    </a:stretch>
                  </pic:blipFill>
                  <pic:spPr>
                    <a:xfrm>
                      <a:off x="0" y="0"/>
                      <a:ext cx="230587" cy="96476"/>
                    </a:xfrm>
                    <a:prstGeom prst="rect">
                      <a:avLst/>
                    </a:prstGeom>
                  </pic:spPr>
                </pic:pic>
              </a:graphicData>
            </a:graphic>
          </wp:anchor>
        </w:drawing>
      </w:r>
      <w:r>
        <w:rPr/>
        <w:drawing>
          <wp:anchor distT="0" distB="0" distL="0" distR="0" allowOverlap="1" layoutInCell="1" locked="0" behindDoc="0" simplePos="0" relativeHeight="252298240">
            <wp:simplePos x="0" y="0"/>
            <wp:positionH relativeFrom="page">
              <wp:posOffset>5012534</wp:posOffset>
            </wp:positionH>
            <wp:positionV relativeFrom="paragraph">
              <wp:posOffset>174277</wp:posOffset>
            </wp:positionV>
            <wp:extent cx="238025" cy="96476"/>
            <wp:effectExtent l="0" t="0" r="0" b="0"/>
            <wp:wrapNone/>
            <wp:docPr id="155" name="image90.png"/>
            <wp:cNvGraphicFramePr>
              <a:graphicFrameLocks noChangeAspect="1"/>
            </wp:cNvGraphicFramePr>
            <a:graphic>
              <a:graphicData uri="http://schemas.openxmlformats.org/drawingml/2006/picture">
                <pic:pic>
                  <pic:nvPicPr>
                    <pic:cNvPr id="156" name="image90.png"/>
                    <pic:cNvPicPr/>
                  </pic:nvPicPr>
                  <pic:blipFill>
                    <a:blip r:embed="rId112" cstate="print"/>
                    <a:stretch>
                      <a:fillRect/>
                    </a:stretch>
                  </pic:blipFill>
                  <pic:spPr>
                    <a:xfrm>
                      <a:off x="0" y="0"/>
                      <a:ext cx="238025" cy="96476"/>
                    </a:xfrm>
                    <a:prstGeom prst="rect">
                      <a:avLst/>
                    </a:prstGeom>
                  </pic:spPr>
                </pic:pic>
              </a:graphicData>
            </a:graphic>
          </wp:anchor>
        </w:drawing>
      </w:r>
      <w:r>
        <w:rPr/>
        <w:drawing>
          <wp:anchor distT="0" distB="0" distL="0" distR="0" allowOverlap="1" layoutInCell="1" locked="0" behindDoc="0" simplePos="0" relativeHeight="252299264">
            <wp:simplePos x="0" y="0"/>
            <wp:positionH relativeFrom="page">
              <wp:posOffset>6068773</wp:posOffset>
            </wp:positionH>
            <wp:positionV relativeFrom="paragraph">
              <wp:posOffset>181698</wp:posOffset>
            </wp:positionV>
            <wp:extent cx="238025" cy="89054"/>
            <wp:effectExtent l="0" t="0" r="0" b="0"/>
            <wp:wrapNone/>
            <wp:docPr id="157" name="image92.png"/>
            <wp:cNvGraphicFramePr>
              <a:graphicFrameLocks noChangeAspect="1"/>
            </wp:cNvGraphicFramePr>
            <a:graphic>
              <a:graphicData uri="http://schemas.openxmlformats.org/drawingml/2006/picture">
                <pic:pic>
                  <pic:nvPicPr>
                    <pic:cNvPr id="158" name="image92.png"/>
                    <pic:cNvPicPr/>
                  </pic:nvPicPr>
                  <pic:blipFill>
                    <a:blip r:embed="rId114" cstate="print"/>
                    <a:stretch>
                      <a:fillRect/>
                    </a:stretch>
                  </pic:blipFill>
                  <pic:spPr>
                    <a:xfrm>
                      <a:off x="0" y="0"/>
                      <a:ext cx="238025" cy="89054"/>
                    </a:xfrm>
                    <a:prstGeom prst="rect">
                      <a:avLst/>
                    </a:prstGeom>
                  </pic:spPr>
                </pic:pic>
              </a:graphicData>
            </a:graphic>
          </wp:anchor>
        </w:drawing>
      </w:r>
      <w:r>
        <w:rPr>
          <w:rFonts w:ascii="Calibri"/>
          <w:color w:val="585858"/>
          <w:sz w:val="15"/>
        </w:rPr>
        <w:t>$35,000</w:t>
      </w:r>
    </w:p>
    <w:p>
      <w:pPr>
        <w:spacing w:before="93"/>
        <w:ind w:left="0" w:right="10231" w:firstLine="0"/>
        <w:jc w:val="right"/>
        <w:rPr>
          <w:rFonts w:ascii="Calibri"/>
          <w:sz w:val="15"/>
        </w:rPr>
      </w:pPr>
      <w:r>
        <w:rPr/>
        <w:drawing>
          <wp:anchor distT="0" distB="0" distL="0" distR="0" allowOverlap="1" layoutInCell="1" locked="0" behindDoc="0" simplePos="0" relativeHeight="252300288">
            <wp:simplePos x="0" y="0"/>
            <wp:positionH relativeFrom="page">
              <wp:posOffset>1122301</wp:posOffset>
            </wp:positionH>
            <wp:positionV relativeFrom="paragraph">
              <wp:posOffset>113131</wp:posOffset>
            </wp:positionV>
            <wp:extent cx="37192" cy="7421"/>
            <wp:effectExtent l="0" t="0" r="0" b="0"/>
            <wp:wrapNone/>
            <wp:docPr id="159" name="image93.png"/>
            <wp:cNvGraphicFramePr>
              <a:graphicFrameLocks noChangeAspect="1"/>
            </wp:cNvGraphicFramePr>
            <a:graphic>
              <a:graphicData uri="http://schemas.openxmlformats.org/drawingml/2006/picture">
                <pic:pic>
                  <pic:nvPicPr>
                    <pic:cNvPr id="160" name="image93.png"/>
                    <pic:cNvPicPr/>
                  </pic:nvPicPr>
                  <pic:blipFill>
                    <a:blip r:embed="rId115" cstate="print"/>
                    <a:stretch>
                      <a:fillRect/>
                    </a:stretch>
                  </pic:blipFill>
                  <pic:spPr>
                    <a:xfrm>
                      <a:off x="0" y="0"/>
                      <a:ext cx="37192" cy="7421"/>
                    </a:xfrm>
                    <a:prstGeom prst="rect">
                      <a:avLst/>
                    </a:prstGeom>
                  </pic:spPr>
                </pic:pic>
              </a:graphicData>
            </a:graphic>
          </wp:anchor>
        </w:drawing>
      </w:r>
      <w:r>
        <w:rPr>
          <w:rFonts w:ascii="Calibri"/>
          <w:color w:val="585858"/>
          <w:sz w:val="15"/>
        </w:rPr>
        <w:t>$30,000</w:t>
      </w:r>
    </w:p>
    <w:p>
      <w:pPr>
        <w:spacing w:before="93"/>
        <w:ind w:left="0" w:right="10231" w:firstLine="0"/>
        <w:jc w:val="right"/>
        <w:rPr>
          <w:rFonts w:ascii="Calibri"/>
          <w:sz w:val="15"/>
        </w:rPr>
      </w:pPr>
      <w:r>
        <w:rPr>
          <w:rFonts w:ascii="Calibri"/>
          <w:color w:val="585858"/>
          <w:sz w:val="15"/>
        </w:rPr>
        <w:t>$25,000</w:t>
      </w:r>
    </w:p>
    <w:p>
      <w:pPr>
        <w:spacing w:before="94"/>
        <w:ind w:left="0" w:right="10231" w:firstLine="0"/>
        <w:jc w:val="right"/>
        <w:rPr>
          <w:rFonts w:ascii="Calibri"/>
          <w:sz w:val="15"/>
        </w:rPr>
      </w:pPr>
      <w:r>
        <w:rPr>
          <w:rFonts w:ascii="Calibri"/>
          <w:color w:val="585858"/>
          <w:sz w:val="15"/>
        </w:rPr>
        <w:t>$20,000</w:t>
      </w:r>
    </w:p>
    <w:p>
      <w:pPr>
        <w:spacing w:before="93"/>
        <w:ind w:left="0" w:right="10231" w:firstLine="0"/>
        <w:jc w:val="right"/>
        <w:rPr>
          <w:rFonts w:ascii="Calibri"/>
          <w:sz w:val="15"/>
        </w:rPr>
      </w:pPr>
      <w:r>
        <w:rPr>
          <w:rFonts w:ascii="Calibri"/>
          <w:color w:val="585858"/>
          <w:sz w:val="15"/>
        </w:rPr>
        <w:t>$15,000</w:t>
      </w:r>
    </w:p>
    <w:p>
      <w:pPr>
        <w:spacing w:before="93"/>
        <w:ind w:left="0" w:right="10231" w:firstLine="0"/>
        <w:jc w:val="right"/>
        <w:rPr>
          <w:rFonts w:ascii="Calibri"/>
          <w:sz w:val="15"/>
        </w:rPr>
      </w:pPr>
      <w:r>
        <w:rPr>
          <w:rFonts w:ascii="Calibri"/>
          <w:color w:val="585858"/>
          <w:sz w:val="15"/>
        </w:rPr>
        <w:t>$10,000</w:t>
      </w:r>
    </w:p>
    <w:p>
      <w:pPr>
        <w:spacing w:before="94"/>
        <w:ind w:left="0" w:right="10234" w:firstLine="0"/>
        <w:jc w:val="right"/>
        <w:rPr>
          <w:rFonts w:ascii="Calibri"/>
          <w:sz w:val="15"/>
        </w:rPr>
      </w:pPr>
      <w:r>
        <w:rPr>
          <w:rFonts w:ascii="Calibri"/>
          <w:color w:val="585858"/>
          <w:sz w:val="15"/>
        </w:rPr>
        <w:t>$5,000</w:t>
      </w:r>
    </w:p>
    <w:p>
      <w:pPr>
        <w:spacing w:before="93"/>
        <w:ind w:left="0" w:right="10227" w:firstLine="0"/>
        <w:jc w:val="right"/>
        <w:rPr>
          <w:rFonts w:ascii="Calibri"/>
          <w:sz w:val="15"/>
        </w:rPr>
      </w:pPr>
      <w:r>
        <w:rPr>
          <w:rFonts w:ascii="Calibri"/>
          <w:color w:val="585858"/>
          <w:sz w:val="15"/>
        </w:rPr>
        <w:t>$0</w:t>
      </w:r>
    </w:p>
    <w:p>
      <w:pPr>
        <w:pStyle w:val="BodyText"/>
        <w:rPr>
          <w:rFonts w:ascii="Calibri"/>
        </w:rPr>
      </w:pPr>
    </w:p>
    <w:p>
      <w:pPr>
        <w:pStyle w:val="BodyText"/>
        <w:spacing w:before="10"/>
        <w:rPr>
          <w:rFonts w:ascii="Calibri"/>
          <w:sz w:val="18"/>
        </w:rPr>
      </w:pPr>
    </w:p>
    <w:p>
      <w:pPr>
        <w:spacing w:before="72"/>
        <w:ind w:left="1602" w:right="1653" w:firstLine="0"/>
        <w:jc w:val="center"/>
        <w:rPr>
          <w:rFonts w:ascii="Calibri"/>
          <w:b/>
          <w:sz w:val="15"/>
        </w:rPr>
      </w:pPr>
      <w:r>
        <w:rPr/>
        <w:drawing>
          <wp:anchor distT="0" distB="0" distL="0" distR="0" allowOverlap="1" layoutInCell="1" locked="0" behindDoc="1" simplePos="0" relativeHeight="215714816">
            <wp:simplePos x="0" y="0"/>
            <wp:positionH relativeFrom="page">
              <wp:posOffset>5387939</wp:posOffset>
            </wp:positionH>
            <wp:positionV relativeFrom="paragraph">
              <wp:posOffset>360542</wp:posOffset>
            </wp:positionV>
            <wp:extent cx="132571" cy="85725"/>
            <wp:effectExtent l="0" t="0" r="0" b="0"/>
            <wp:wrapNone/>
            <wp:docPr id="161" name="image64.png"/>
            <wp:cNvGraphicFramePr>
              <a:graphicFrameLocks noChangeAspect="1"/>
            </wp:cNvGraphicFramePr>
            <a:graphic>
              <a:graphicData uri="http://schemas.openxmlformats.org/drawingml/2006/picture">
                <pic:pic>
                  <pic:nvPicPr>
                    <pic:cNvPr id="162" name="image64.png"/>
                    <pic:cNvPicPr/>
                  </pic:nvPicPr>
                  <pic:blipFill>
                    <a:blip r:embed="rId86" cstate="print"/>
                    <a:stretch>
                      <a:fillRect/>
                    </a:stretch>
                  </pic:blipFill>
                  <pic:spPr>
                    <a:xfrm>
                      <a:off x="0" y="0"/>
                      <a:ext cx="132571" cy="85725"/>
                    </a:xfrm>
                    <a:prstGeom prst="rect">
                      <a:avLst/>
                    </a:prstGeom>
                  </pic:spPr>
                </pic:pic>
              </a:graphicData>
            </a:graphic>
          </wp:anchor>
        </w:drawing>
      </w:r>
      <w:r>
        <w:rPr/>
        <w:drawing>
          <wp:anchor distT="0" distB="0" distL="0" distR="0" allowOverlap="1" layoutInCell="1" locked="0" behindDoc="1" simplePos="0" relativeHeight="215715840">
            <wp:simplePos x="0" y="0"/>
            <wp:positionH relativeFrom="page">
              <wp:posOffset>1178259</wp:posOffset>
            </wp:positionH>
            <wp:positionV relativeFrom="paragraph">
              <wp:posOffset>360547</wp:posOffset>
            </wp:positionV>
            <wp:extent cx="128132" cy="280987"/>
            <wp:effectExtent l="0" t="0" r="0" b="0"/>
            <wp:wrapNone/>
            <wp:docPr id="163" name="image94.png"/>
            <wp:cNvGraphicFramePr>
              <a:graphicFrameLocks noChangeAspect="1"/>
            </wp:cNvGraphicFramePr>
            <a:graphic>
              <a:graphicData uri="http://schemas.openxmlformats.org/drawingml/2006/picture">
                <pic:pic>
                  <pic:nvPicPr>
                    <pic:cNvPr id="164" name="image94.png"/>
                    <pic:cNvPicPr/>
                  </pic:nvPicPr>
                  <pic:blipFill>
                    <a:blip r:embed="rId116" cstate="print"/>
                    <a:stretch>
                      <a:fillRect/>
                    </a:stretch>
                  </pic:blipFill>
                  <pic:spPr>
                    <a:xfrm>
                      <a:off x="0" y="0"/>
                      <a:ext cx="128132" cy="280987"/>
                    </a:xfrm>
                    <a:prstGeom prst="rect">
                      <a:avLst/>
                    </a:prstGeom>
                  </pic:spPr>
                </pic:pic>
              </a:graphicData>
            </a:graphic>
          </wp:anchor>
        </w:drawing>
      </w:r>
      <w:r>
        <w:rPr>
          <w:rFonts w:ascii="Calibri"/>
          <w:b/>
          <w:color w:val="585858"/>
          <w:sz w:val="15"/>
        </w:rPr>
        <w:t>Year Ending  30 June</w:t>
      </w:r>
    </w:p>
    <w:p>
      <w:pPr>
        <w:pStyle w:val="BodyText"/>
        <w:spacing w:before="4"/>
        <w:rPr>
          <w:rFonts w:ascii="Calibri"/>
          <w:b/>
          <w:sz w:val="11"/>
        </w:rPr>
      </w:pPr>
    </w:p>
    <w:tbl>
      <w:tblPr>
        <w:tblW w:w="0" w:type="auto"/>
        <w:jc w:val="left"/>
        <w:tblInd w:w="16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74"/>
        <w:gridCol w:w="215"/>
        <w:gridCol w:w="823"/>
        <w:gridCol w:w="89"/>
        <w:gridCol w:w="208"/>
        <w:gridCol w:w="945"/>
        <w:gridCol w:w="58"/>
        <w:gridCol w:w="208"/>
        <w:gridCol w:w="1183"/>
        <w:gridCol w:w="56"/>
        <w:gridCol w:w="209"/>
        <w:gridCol w:w="706"/>
        <w:gridCol w:w="72"/>
        <w:gridCol w:w="210"/>
        <w:gridCol w:w="729"/>
        <w:gridCol w:w="837"/>
      </w:tblGrid>
      <w:tr>
        <w:trPr>
          <w:trHeight w:val="160" w:hRule="atLeast"/>
        </w:trPr>
        <w:tc>
          <w:tcPr>
            <w:tcW w:w="1074" w:type="dxa"/>
          </w:tcPr>
          <w:p>
            <w:pPr>
              <w:pStyle w:val="TableParagraph"/>
              <w:spacing w:line="103" w:lineRule="exact" w:before="36"/>
              <w:ind w:left="33" w:right="44"/>
              <w:jc w:val="center"/>
              <w:rPr>
                <w:rFonts w:ascii="Calibri"/>
                <w:b/>
                <w:sz w:val="9"/>
              </w:rPr>
            </w:pPr>
            <w:r>
              <w:rPr>
                <w:rFonts w:ascii="Calibri"/>
                <w:b/>
                <w:w w:val="110"/>
                <w:sz w:val="9"/>
              </w:rPr>
              <w:t>Payment Category Key:</w:t>
            </w:r>
          </w:p>
        </w:tc>
        <w:tc>
          <w:tcPr>
            <w:tcW w:w="6548" w:type="dxa"/>
            <w:gridSpan w:val="15"/>
          </w:tcPr>
          <w:p>
            <w:pPr>
              <w:pStyle w:val="TableParagraph"/>
              <w:spacing w:before="0"/>
              <w:rPr>
                <w:rFonts w:ascii="Times New Roman"/>
                <w:sz w:val="10"/>
              </w:rPr>
            </w:pPr>
          </w:p>
        </w:tc>
      </w:tr>
      <w:tr>
        <w:trPr>
          <w:trHeight w:val="167" w:hRule="atLeast"/>
        </w:trPr>
        <w:tc>
          <w:tcPr>
            <w:tcW w:w="1074" w:type="dxa"/>
          </w:tcPr>
          <w:p>
            <w:pPr>
              <w:pStyle w:val="TableParagraph"/>
              <w:spacing w:before="31"/>
              <w:ind w:left="33" w:right="2"/>
              <w:jc w:val="center"/>
              <w:rPr>
                <w:rFonts w:ascii="Calibri"/>
                <w:sz w:val="9"/>
              </w:rPr>
            </w:pPr>
            <w:r>
              <w:rPr>
                <w:rFonts w:ascii="Calibri"/>
                <w:w w:val="110"/>
                <w:sz w:val="9"/>
              </w:rPr>
              <w:t>A - IS Studying</w:t>
            </w:r>
          </w:p>
        </w:tc>
        <w:tc>
          <w:tcPr>
            <w:tcW w:w="215" w:type="dxa"/>
            <w:shd w:val="clear" w:color="auto" w:fill="009544"/>
          </w:tcPr>
          <w:p>
            <w:pPr>
              <w:pStyle w:val="TableParagraph"/>
              <w:spacing w:line="135" w:lineRule="exact" w:before="0"/>
              <w:ind w:right="-44"/>
              <w:rPr>
                <w:rFonts w:ascii="Calibri"/>
                <w:sz w:val="13"/>
              </w:rPr>
            </w:pPr>
            <w:r>
              <w:rPr>
                <w:rFonts w:ascii="Calibri"/>
                <w:position w:val="-2"/>
                <w:sz w:val="13"/>
              </w:rPr>
              <w:drawing>
                <wp:inline distT="0" distB="0" distL="0" distR="0">
                  <wp:extent cx="132571" cy="85725"/>
                  <wp:effectExtent l="0" t="0" r="0" b="0"/>
                  <wp:docPr id="165" name="image66.png"/>
                  <wp:cNvGraphicFramePr>
                    <a:graphicFrameLocks noChangeAspect="1"/>
                  </wp:cNvGraphicFramePr>
                  <a:graphic>
                    <a:graphicData uri="http://schemas.openxmlformats.org/drawingml/2006/picture">
                      <pic:pic>
                        <pic:nvPicPr>
                          <pic:cNvPr id="166" name="image66.png"/>
                          <pic:cNvPicPr/>
                        </pic:nvPicPr>
                        <pic:blipFill>
                          <a:blip r:embed="rId88" cstate="print"/>
                          <a:stretch>
                            <a:fillRect/>
                          </a:stretch>
                        </pic:blipFill>
                        <pic:spPr>
                          <a:xfrm>
                            <a:off x="0" y="0"/>
                            <a:ext cx="132571" cy="85725"/>
                          </a:xfrm>
                          <a:prstGeom prst="rect">
                            <a:avLst/>
                          </a:prstGeom>
                        </pic:spPr>
                      </pic:pic>
                    </a:graphicData>
                  </a:graphic>
                </wp:inline>
              </w:drawing>
            </w:r>
            <w:r>
              <w:rPr>
                <w:rFonts w:ascii="Calibri"/>
                <w:position w:val="-2"/>
                <w:sz w:val="13"/>
              </w:rPr>
            </w:r>
          </w:p>
        </w:tc>
        <w:tc>
          <w:tcPr>
            <w:tcW w:w="823" w:type="dxa"/>
          </w:tcPr>
          <w:p>
            <w:pPr>
              <w:pStyle w:val="TableParagraph"/>
              <w:spacing w:before="31"/>
              <w:ind w:left="7"/>
              <w:rPr>
                <w:rFonts w:ascii="Calibri"/>
                <w:sz w:val="9"/>
              </w:rPr>
            </w:pPr>
            <w:r>
              <w:rPr>
                <w:rFonts w:ascii="Calibri"/>
                <w:w w:val="110"/>
                <w:sz w:val="9"/>
              </w:rPr>
              <w:t>B - IS Working Age</w:t>
            </w:r>
          </w:p>
        </w:tc>
        <w:tc>
          <w:tcPr>
            <w:tcW w:w="89" w:type="dxa"/>
          </w:tcPr>
          <w:p>
            <w:pPr>
              <w:pStyle w:val="TableParagraph"/>
              <w:spacing w:before="0"/>
              <w:rPr>
                <w:rFonts w:ascii="Times New Roman"/>
                <w:sz w:val="10"/>
              </w:rPr>
            </w:pPr>
          </w:p>
        </w:tc>
        <w:tc>
          <w:tcPr>
            <w:tcW w:w="208" w:type="dxa"/>
            <w:shd w:val="clear" w:color="auto" w:fill="E16B09"/>
          </w:tcPr>
          <w:p>
            <w:pPr>
              <w:pStyle w:val="TableParagraph"/>
              <w:spacing w:line="135" w:lineRule="exact" w:before="0"/>
              <w:ind w:left="2" w:right="-44"/>
              <w:rPr>
                <w:rFonts w:ascii="Calibri"/>
                <w:sz w:val="13"/>
              </w:rPr>
            </w:pPr>
            <w:r>
              <w:rPr>
                <w:rFonts w:ascii="Calibri"/>
                <w:position w:val="-2"/>
                <w:sz w:val="13"/>
              </w:rPr>
              <w:drawing>
                <wp:inline distT="0" distB="0" distL="0" distR="0">
                  <wp:extent cx="132575" cy="85725"/>
                  <wp:effectExtent l="0" t="0" r="0" b="0"/>
                  <wp:docPr id="167" name="image67.png"/>
                  <wp:cNvGraphicFramePr>
                    <a:graphicFrameLocks noChangeAspect="1"/>
                  </wp:cNvGraphicFramePr>
                  <a:graphic>
                    <a:graphicData uri="http://schemas.openxmlformats.org/drawingml/2006/picture">
                      <pic:pic>
                        <pic:nvPicPr>
                          <pic:cNvPr id="168" name="image67.png"/>
                          <pic:cNvPicPr/>
                        </pic:nvPicPr>
                        <pic:blipFill>
                          <a:blip r:embed="rId89" cstate="print"/>
                          <a:stretch>
                            <a:fillRect/>
                          </a:stretch>
                        </pic:blipFill>
                        <pic:spPr>
                          <a:xfrm>
                            <a:off x="0" y="0"/>
                            <a:ext cx="132575" cy="85725"/>
                          </a:xfrm>
                          <a:prstGeom prst="rect">
                            <a:avLst/>
                          </a:prstGeom>
                        </pic:spPr>
                      </pic:pic>
                    </a:graphicData>
                  </a:graphic>
                </wp:inline>
              </w:drawing>
            </w:r>
            <w:r>
              <w:rPr>
                <w:rFonts w:ascii="Calibri"/>
                <w:position w:val="-2"/>
                <w:sz w:val="13"/>
              </w:rPr>
            </w:r>
          </w:p>
        </w:tc>
        <w:tc>
          <w:tcPr>
            <w:tcW w:w="945" w:type="dxa"/>
          </w:tcPr>
          <w:p>
            <w:pPr>
              <w:pStyle w:val="TableParagraph"/>
              <w:spacing w:before="31"/>
              <w:ind w:left="16"/>
              <w:rPr>
                <w:rFonts w:ascii="Calibri"/>
                <w:sz w:val="9"/>
              </w:rPr>
            </w:pPr>
            <w:r>
              <w:rPr>
                <w:rFonts w:ascii="Calibri"/>
                <w:w w:val="110"/>
                <w:sz w:val="9"/>
              </w:rPr>
              <w:t>C - IS Parents</w:t>
            </w:r>
          </w:p>
        </w:tc>
        <w:tc>
          <w:tcPr>
            <w:tcW w:w="58" w:type="dxa"/>
          </w:tcPr>
          <w:p>
            <w:pPr>
              <w:pStyle w:val="TableParagraph"/>
              <w:spacing w:before="0"/>
              <w:rPr>
                <w:rFonts w:ascii="Times New Roman"/>
                <w:sz w:val="10"/>
              </w:rPr>
            </w:pPr>
          </w:p>
        </w:tc>
        <w:tc>
          <w:tcPr>
            <w:tcW w:w="208" w:type="dxa"/>
            <w:shd w:val="clear" w:color="auto" w:fill="E08AD6"/>
          </w:tcPr>
          <w:p>
            <w:pPr>
              <w:pStyle w:val="TableParagraph"/>
              <w:spacing w:line="135" w:lineRule="exact" w:before="0"/>
              <w:ind w:left="4" w:right="-58"/>
              <w:rPr>
                <w:rFonts w:ascii="Calibri"/>
                <w:sz w:val="13"/>
              </w:rPr>
            </w:pPr>
            <w:r>
              <w:rPr>
                <w:rFonts w:ascii="Calibri"/>
                <w:position w:val="-2"/>
                <w:sz w:val="13"/>
              </w:rPr>
              <w:drawing>
                <wp:inline distT="0" distB="0" distL="0" distR="0">
                  <wp:extent cx="132575" cy="85725"/>
                  <wp:effectExtent l="0" t="0" r="0" b="0"/>
                  <wp:docPr id="169" name="image68.png"/>
                  <wp:cNvGraphicFramePr>
                    <a:graphicFrameLocks noChangeAspect="1"/>
                  </wp:cNvGraphicFramePr>
                  <a:graphic>
                    <a:graphicData uri="http://schemas.openxmlformats.org/drawingml/2006/picture">
                      <pic:pic>
                        <pic:nvPicPr>
                          <pic:cNvPr id="170" name="image68.png"/>
                          <pic:cNvPicPr/>
                        </pic:nvPicPr>
                        <pic:blipFill>
                          <a:blip r:embed="rId90" cstate="print"/>
                          <a:stretch>
                            <a:fillRect/>
                          </a:stretch>
                        </pic:blipFill>
                        <pic:spPr>
                          <a:xfrm>
                            <a:off x="0" y="0"/>
                            <a:ext cx="132575" cy="85725"/>
                          </a:xfrm>
                          <a:prstGeom prst="rect">
                            <a:avLst/>
                          </a:prstGeom>
                        </pic:spPr>
                      </pic:pic>
                    </a:graphicData>
                  </a:graphic>
                </wp:inline>
              </w:drawing>
            </w:r>
            <w:r>
              <w:rPr>
                <w:rFonts w:ascii="Calibri"/>
                <w:position w:val="-2"/>
                <w:sz w:val="13"/>
              </w:rPr>
            </w:r>
          </w:p>
        </w:tc>
        <w:tc>
          <w:tcPr>
            <w:tcW w:w="1183" w:type="dxa"/>
          </w:tcPr>
          <w:p>
            <w:pPr>
              <w:pStyle w:val="TableParagraph"/>
              <w:spacing w:before="31"/>
              <w:ind w:left="18"/>
              <w:rPr>
                <w:rFonts w:ascii="Calibri"/>
                <w:sz w:val="9"/>
              </w:rPr>
            </w:pPr>
            <w:r>
              <w:rPr>
                <w:rFonts w:ascii="Calibri"/>
                <w:w w:val="110"/>
                <w:sz w:val="9"/>
              </w:rPr>
              <w:t>D - IS Carer</w:t>
            </w:r>
          </w:p>
        </w:tc>
        <w:tc>
          <w:tcPr>
            <w:tcW w:w="56" w:type="dxa"/>
          </w:tcPr>
          <w:p>
            <w:pPr>
              <w:pStyle w:val="TableParagraph"/>
              <w:spacing w:before="0"/>
              <w:rPr>
                <w:rFonts w:ascii="Times New Roman"/>
                <w:sz w:val="10"/>
              </w:rPr>
            </w:pPr>
          </w:p>
        </w:tc>
        <w:tc>
          <w:tcPr>
            <w:tcW w:w="209" w:type="dxa"/>
            <w:shd w:val="clear" w:color="auto" w:fill="8063A1"/>
          </w:tcPr>
          <w:p>
            <w:pPr>
              <w:pStyle w:val="TableParagraph"/>
              <w:spacing w:line="135" w:lineRule="exact" w:before="0"/>
              <w:ind w:left="6" w:right="-58"/>
              <w:rPr>
                <w:rFonts w:ascii="Calibri"/>
                <w:sz w:val="13"/>
              </w:rPr>
            </w:pPr>
            <w:r>
              <w:rPr>
                <w:rFonts w:ascii="Calibri"/>
                <w:position w:val="-2"/>
                <w:sz w:val="13"/>
              </w:rPr>
              <w:drawing>
                <wp:inline distT="0" distB="0" distL="0" distR="0">
                  <wp:extent cx="132575" cy="85725"/>
                  <wp:effectExtent l="0" t="0" r="0" b="0"/>
                  <wp:docPr id="171" name="image69.png"/>
                  <wp:cNvGraphicFramePr>
                    <a:graphicFrameLocks noChangeAspect="1"/>
                  </wp:cNvGraphicFramePr>
                  <a:graphic>
                    <a:graphicData uri="http://schemas.openxmlformats.org/drawingml/2006/picture">
                      <pic:pic>
                        <pic:nvPicPr>
                          <pic:cNvPr id="172" name="image69.png"/>
                          <pic:cNvPicPr/>
                        </pic:nvPicPr>
                        <pic:blipFill>
                          <a:blip r:embed="rId91" cstate="print"/>
                          <a:stretch>
                            <a:fillRect/>
                          </a:stretch>
                        </pic:blipFill>
                        <pic:spPr>
                          <a:xfrm>
                            <a:off x="0" y="0"/>
                            <a:ext cx="132575" cy="85725"/>
                          </a:xfrm>
                          <a:prstGeom prst="rect">
                            <a:avLst/>
                          </a:prstGeom>
                        </pic:spPr>
                      </pic:pic>
                    </a:graphicData>
                  </a:graphic>
                </wp:inline>
              </w:drawing>
            </w:r>
            <w:r>
              <w:rPr>
                <w:rFonts w:ascii="Calibri"/>
                <w:position w:val="-2"/>
                <w:sz w:val="13"/>
              </w:rPr>
            </w:r>
          </w:p>
        </w:tc>
        <w:tc>
          <w:tcPr>
            <w:tcW w:w="706" w:type="dxa"/>
          </w:tcPr>
          <w:p>
            <w:pPr>
              <w:pStyle w:val="TableParagraph"/>
              <w:spacing w:before="31"/>
              <w:ind w:left="19"/>
              <w:rPr>
                <w:rFonts w:ascii="Calibri"/>
                <w:sz w:val="9"/>
              </w:rPr>
            </w:pPr>
            <w:r>
              <w:rPr>
                <w:rFonts w:ascii="Calibri"/>
                <w:w w:val="110"/>
                <w:sz w:val="9"/>
              </w:rPr>
              <w:t>E - IS Disability</w:t>
            </w:r>
          </w:p>
        </w:tc>
        <w:tc>
          <w:tcPr>
            <w:tcW w:w="72" w:type="dxa"/>
          </w:tcPr>
          <w:p>
            <w:pPr>
              <w:pStyle w:val="TableParagraph"/>
              <w:spacing w:before="0"/>
              <w:rPr>
                <w:rFonts w:ascii="Times New Roman"/>
                <w:sz w:val="10"/>
              </w:rPr>
            </w:pPr>
          </w:p>
        </w:tc>
        <w:tc>
          <w:tcPr>
            <w:tcW w:w="210" w:type="dxa"/>
            <w:shd w:val="clear" w:color="auto" w:fill="C0504D"/>
          </w:tcPr>
          <w:p>
            <w:pPr>
              <w:pStyle w:val="TableParagraph"/>
              <w:spacing w:line="135" w:lineRule="exact" w:before="0"/>
              <w:ind w:left="4" w:right="-58"/>
              <w:rPr>
                <w:rFonts w:ascii="Calibri"/>
                <w:sz w:val="13"/>
              </w:rPr>
            </w:pPr>
            <w:r>
              <w:rPr>
                <w:rFonts w:ascii="Calibri"/>
                <w:position w:val="-2"/>
                <w:sz w:val="13"/>
              </w:rPr>
              <w:drawing>
                <wp:inline distT="0" distB="0" distL="0" distR="0">
                  <wp:extent cx="132575" cy="85725"/>
                  <wp:effectExtent l="0" t="0" r="0" b="0"/>
                  <wp:docPr id="173" name="image70.png"/>
                  <wp:cNvGraphicFramePr>
                    <a:graphicFrameLocks noChangeAspect="1"/>
                  </wp:cNvGraphicFramePr>
                  <a:graphic>
                    <a:graphicData uri="http://schemas.openxmlformats.org/drawingml/2006/picture">
                      <pic:pic>
                        <pic:nvPicPr>
                          <pic:cNvPr id="174" name="image70.png"/>
                          <pic:cNvPicPr/>
                        </pic:nvPicPr>
                        <pic:blipFill>
                          <a:blip r:embed="rId92" cstate="print"/>
                          <a:stretch>
                            <a:fillRect/>
                          </a:stretch>
                        </pic:blipFill>
                        <pic:spPr>
                          <a:xfrm>
                            <a:off x="0" y="0"/>
                            <a:ext cx="132575" cy="85725"/>
                          </a:xfrm>
                          <a:prstGeom prst="rect">
                            <a:avLst/>
                          </a:prstGeom>
                        </pic:spPr>
                      </pic:pic>
                    </a:graphicData>
                  </a:graphic>
                </wp:inline>
              </w:drawing>
            </w:r>
            <w:r>
              <w:rPr>
                <w:rFonts w:ascii="Calibri"/>
                <w:position w:val="-2"/>
                <w:sz w:val="13"/>
              </w:rPr>
            </w:r>
          </w:p>
        </w:tc>
        <w:tc>
          <w:tcPr>
            <w:tcW w:w="729" w:type="dxa"/>
          </w:tcPr>
          <w:p>
            <w:pPr>
              <w:pStyle w:val="TableParagraph"/>
              <w:spacing w:before="31"/>
              <w:ind w:left="16"/>
              <w:rPr>
                <w:rFonts w:ascii="Calibri"/>
                <w:sz w:val="9"/>
              </w:rPr>
            </w:pPr>
            <w:r>
              <w:rPr>
                <w:rFonts w:ascii="Calibri"/>
                <w:w w:val="110"/>
                <w:sz w:val="9"/>
              </w:rPr>
              <w:t>F - IS Age</w:t>
            </w:r>
          </w:p>
        </w:tc>
        <w:tc>
          <w:tcPr>
            <w:tcW w:w="837" w:type="dxa"/>
          </w:tcPr>
          <w:p>
            <w:pPr>
              <w:pStyle w:val="TableParagraph"/>
              <w:spacing w:before="31"/>
              <w:ind w:left="116"/>
              <w:rPr>
                <w:rFonts w:ascii="Calibri"/>
                <w:sz w:val="9"/>
              </w:rPr>
            </w:pPr>
            <w:r>
              <w:rPr>
                <w:rFonts w:ascii="Calibri"/>
                <w:w w:val="110"/>
                <w:sz w:val="9"/>
              </w:rPr>
              <w:t>G - IS Dependant</w:t>
            </w:r>
          </w:p>
        </w:tc>
      </w:tr>
      <w:tr>
        <w:trPr>
          <w:trHeight w:val="135" w:hRule="atLeast"/>
        </w:trPr>
        <w:tc>
          <w:tcPr>
            <w:tcW w:w="1074" w:type="dxa"/>
          </w:tcPr>
          <w:p>
            <w:pPr>
              <w:pStyle w:val="TableParagraph"/>
              <w:spacing w:line="98" w:lineRule="exact" w:before="17"/>
              <w:ind w:left="33" w:right="44"/>
              <w:jc w:val="center"/>
              <w:rPr>
                <w:rFonts w:ascii="Calibri"/>
                <w:sz w:val="9"/>
              </w:rPr>
            </w:pPr>
            <w:r>
              <w:rPr>
                <w:rFonts w:ascii="Calibri"/>
                <w:w w:val="110"/>
                <w:sz w:val="9"/>
              </w:rPr>
              <w:t>H - Other FTB</w:t>
            </w:r>
          </w:p>
        </w:tc>
        <w:tc>
          <w:tcPr>
            <w:tcW w:w="215" w:type="dxa"/>
            <w:shd w:val="clear" w:color="auto" w:fill="F9C090"/>
          </w:tcPr>
          <w:p>
            <w:pPr>
              <w:pStyle w:val="TableParagraph"/>
              <w:spacing w:before="0"/>
              <w:rPr>
                <w:rFonts w:ascii="Times New Roman"/>
                <w:sz w:val="8"/>
              </w:rPr>
            </w:pPr>
          </w:p>
        </w:tc>
        <w:tc>
          <w:tcPr>
            <w:tcW w:w="823" w:type="dxa"/>
          </w:tcPr>
          <w:p>
            <w:pPr>
              <w:pStyle w:val="TableParagraph"/>
              <w:spacing w:line="98" w:lineRule="exact" w:before="17"/>
              <w:ind w:left="7"/>
              <w:rPr>
                <w:rFonts w:ascii="Calibri"/>
                <w:sz w:val="9"/>
              </w:rPr>
            </w:pPr>
            <w:r>
              <w:rPr>
                <w:rFonts w:ascii="Calibri"/>
                <w:w w:val="110"/>
                <w:sz w:val="9"/>
              </w:rPr>
              <w:t>I - Other Family</w:t>
            </w:r>
          </w:p>
        </w:tc>
        <w:tc>
          <w:tcPr>
            <w:tcW w:w="89" w:type="dxa"/>
            <w:shd w:val="clear" w:color="auto" w:fill="FBDDC4"/>
          </w:tcPr>
          <w:p>
            <w:pPr>
              <w:pStyle w:val="TableParagraph"/>
              <w:spacing w:before="0"/>
              <w:rPr>
                <w:rFonts w:ascii="Times New Roman"/>
                <w:sz w:val="8"/>
              </w:rPr>
            </w:pPr>
          </w:p>
        </w:tc>
        <w:tc>
          <w:tcPr>
            <w:tcW w:w="208" w:type="dxa"/>
            <w:shd w:val="clear" w:color="auto" w:fill="FBDDC4"/>
          </w:tcPr>
          <w:p>
            <w:pPr>
              <w:pStyle w:val="TableParagraph"/>
              <w:spacing w:before="0"/>
              <w:rPr>
                <w:rFonts w:ascii="Times New Roman"/>
                <w:sz w:val="8"/>
              </w:rPr>
            </w:pPr>
          </w:p>
        </w:tc>
        <w:tc>
          <w:tcPr>
            <w:tcW w:w="945" w:type="dxa"/>
          </w:tcPr>
          <w:p>
            <w:pPr>
              <w:pStyle w:val="TableParagraph"/>
              <w:spacing w:line="98" w:lineRule="exact" w:before="17"/>
              <w:ind w:left="16"/>
              <w:rPr>
                <w:rFonts w:ascii="Calibri"/>
                <w:sz w:val="9"/>
              </w:rPr>
            </w:pPr>
            <w:r>
              <w:rPr>
                <w:rFonts w:ascii="Calibri"/>
                <w:w w:val="110"/>
                <w:sz w:val="9"/>
              </w:rPr>
              <w:t>J - Other New Parents</w:t>
            </w:r>
          </w:p>
        </w:tc>
        <w:tc>
          <w:tcPr>
            <w:tcW w:w="58" w:type="dxa"/>
            <w:shd w:val="clear" w:color="auto" w:fill="938953"/>
          </w:tcPr>
          <w:p>
            <w:pPr>
              <w:pStyle w:val="TableParagraph"/>
              <w:spacing w:before="0"/>
              <w:rPr>
                <w:rFonts w:ascii="Times New Roman"/>
                <w:sz w:val="8"/>
              </w:rPr>
            </w:pPr>
          </w:p>
        </w:tc>
        <w:tc>
          <w:tcPr>
            <w:tcW w:w="208" w:type="dxa"/>
            <w:shd w:val="clear" w:color="auto" w:fill="938953"/>
          </w:tcPr>
          <w:p>
            <w:pPr>
              <w:pStyle w:val="TableParagraph"/>
              <w:spacing w:before="0"/>
              <w:rPr>
                <w:rFonts w:ascii="Times New Roman"/>
                <w:sz w:val="8"/>
              </w:rPr>
            </w:pPr>
          </w:p>
        </w:tc>
        <w:tc>
          <w:tcPr>
            <w:tcW w:w="1183" w:type="dxa"/>
          </w:tcPr>
          <w:p>
            <w:pPr>
              <w:pStyle w:val="TableParagraph"/>
              <w:spacing w:line="98" w:lineRule="exact" w:before="17"/>
              <w:ind w:left="18"/>
              <w:rPr>
                <w:rFonts w:ascii="Calibri"/>
                <w:sz w:val="9"/>
              </w:rPr>
            </w:pPr>
            <w:r>
              <w:rPr>
                <w:rFonts w:ascii="Calibri"/>
                <w:w w:val="110"/>
                <w:sz w:val="9"/>
              </w:rPr>
              <w:t>L - Other Health &amp; Disability</w:t>
            </w:r>
          </w:p>
        </w:tc>
        <w:tc>
          <w:tcPr>
            <w:tcW w:w="56" w:type="dxa"/>
            <w:shd w:val="clear" w:color="auto" w:fill="ECB8E7"/>
          </w:tcPr>
          <w:p>
            <w:pPr>
              <w:pStyle w:val="TableParagraph"/>
              <w:spacing w:before="0"/>
              <w:rPr>
                <w:rFonts w:ascii="Times New Roman"/>
                <w:sz w:val="8"/>
              </w:rPr>
            </w:pPr>
          </w:p>
        </w:tc>
        <w:tc>
          <w:tcPr>
            <w:tcW w:w="209" w:type="dxa"/>
            <w:shd w:val="clear" w:color="auto" w:fill="ECB8E7"/>
          </w:tcPr>
          <w:p>
            <w:pPr>
              <w:pStyle w:val="TableParagraph"/>
              <w:spacing w:before="0"/>
              <w:rPr>
                <w:rFonts w:ascii="Times New Roman"/>
                <w:sz w:val="8"/>
              </w:rPr>
            </w:pPr>
          </w:p>
        </w:tc>
        <w:tc>
          <w:tcPr>
            <w:tcW w:w="706" w:type="dxa"/>
          </w:tcPr>
          <w:p>
            <w:pPr>
              <w:pStyle w:val="TableParagraph"/>
              <w:spacing w:line="98" w:lineRule="exact" w:before="17"/>
              <w:ind w:left="19"/>
              <w:rPr>
                <w:rFonts w:ascii="Calibri"/>
                <w:sz w:val="9"/>
              </w:rPr>
            </w:pPr>
            <w:r>
              <w:rPr>
                <w:rFonts w:ascii="Calibri"/>
                <w:w w:val="110"/>
                <w:sz w:val="9"/>
              </w:rPr>
              <w:t>M - Other Carer</w:t>
            </w:r>
          </w:p>
        </w:tc>
        <w:tc>
          <w:tcPr>
            <w:tcW w:w="72" w:type="dxa"/>
            <w:shd w:val="clear" w:color="auto" w:fill="C4BC96"/>
          </w:tcPr>
          <w:p>
            <w:pPr>
              <w:pStyle w:val="TableParagraph"/>
              <w:spacing w:before="0"/>
              <w:rPr>
                <w:rFonts w:ascii="Times New Roman"/>
                <w:sz w:val="8"/>
              </w:rPr>
            </w:pPr>
          </w:p>
        </w:tc>
        <w:tc>
          <w:tcPr>
            <w:tcW w:w="210" w:type="dxa"/>
            <w:shd w:val="clear" w:color="auto" w:fill="C4BC96"/>
          </w:tcPr>
          <w:p>
            <w:pPr>
              <w:pStyle w:val="TableParagraph"/>
              <w:spacing w:before="0"/>
              <w:rPr>
                <w:rFonts w:ascii="Times New Roman"/>
                <w:sz w:val="8"/>
              </w:rPr>
            </w:pPr>
          </w:p>
        </w:tc>
        <w:tc>
          <w:tcPr>
            <w:tcW w:w="729" w:type="dxa"/>
          </w:tcPr>
          <w:p>
            <w:pPr>
              <w:pStyle w:val="TableParagraph"/>
              <w:spacing w:line="98" w:lineRule="exact" w:before="17"/>
              <w:ind w:left="16"/>
              <w:rPr>
                <w:rFonts w:ascii="Calibri"/>
                <w:sz w:val="9"/>
              </w:rPr>
            </w:pPr>
            <w:r>
              <w:rPr>
                <w:rFonts w:ascii="Calibri"/>
                <w:w w:val="110"/>
                <w:sz w:val="9"/>
              </w:rPr>
              <w:t>N - Other Study</w:t>
            </w:r>
            <w:r>
              <w:rPr>
                <w:rFonts w:ascii="Calibri"/>
                <w:spacing w:val="-15"/>
                <w:w w:val="110"/>
                <w:sz w:val="9"/>
              </w:rPr>
              <w:t> </w:t>
            </w:r>
            <w:r>
              <w:rPr>
                <w:rFonts w:ascii="Calibri"/>
                <w:w w:val="110"/>
                <w:sz w:val="9"/>
              </w:rPr>
              <w:t>&amp;</w:t>
            </w:r>
          </w:p>
        </w:tc>
        <w:tc>
          <w:tcPr>
            <w:tcW w:w="837" w:type="dxa"/>
          </w:tcPr>
          <w:p>
            <w:pPr>
              <w:pStyle w:val="TableParagraph"/>
              <w:spacing w:line="98" w:lineRule="exact" w:before="17"/>
              <w:ind w:left="11"/>
              <w:rPr>
                <w:rFonts w:ascii="Calibri"/>
                <w:sz w:val="9"/>
              </w:rPr>
            </w:pPr>
            <w:r>
              <w:rPr>
                <w:rFonts w:ascii="Calibri"/>
                <w:w w:val="110"/>
                <w:sz w:val="9"/>
              </w:rPr>
              <w:t>Skills</w:t>
            </w:r>
          </w:p>
        </w:tc>
      </w:tr>
      <w:tr>
        <w:trPr>
          <w:trHeight w:val="324" w:hRule="atLeast"/>
        </w:trPr>
        <w:tc>
          <w:tcPr>
            <w:tcW w:w="1074" w:type="dxa"/>
          </w:tcPr>
          <w:p>
            <w:pPr>
              <w:pStyle w:val="TableParagraph"/>
              <w:spacing w:line="280" w:lineRule="auto" w:before="36"/>
              <w:ind w:left="265" w:right="-16"/>
              <w:rPr>
                <w:rFonts w:ascii="Calibri"/>
                <w:sz w:val="9"/>
              </w:rPr>
            </w:pPr>
            <w:r>
              <w:rPr>
                <w:rFonts w:ascii="Calibri"/>
                <w:w w:val="110"/>
                <w:sz w:val="9"/>
              </w:rPr>
              <w:t>O - Other Remote &amp; Regional</w:t>
            </w:r>
          </w:p>
        </w:tc>
        <w:tc>
          <w:tcPr>
            <w:tcW w:w="215" w:type="dxa"/>
          </w:tcPr>
          <w:p>
            <w:pPr>
              <w:pStyle w:val="TableParagraph"/>
              <w:spacing w:line="135" w:lineRule="exact" w:before="0"/>
              <w:ind w:right="-44"/>
              <w:rPr>
                <w:rFonts w:ascii="Calibri"/>
                <w:sz w:val="13"/>
              </w:rPr>
            </w:pPr>
            <w:r>
              <w:rPr>
                <w:rFonts w:ascii="Calibri"/>
                <w:position w:val="-2"/>
                <w:sz w:val="13"/>
              </w:rPr>
              <w:drawing>
                <wp:inline distT="0" distB="0" distL="0" distR="0">
                  <wp:extent cx="132578" cy="85725"/>
                  <wp:effectExtent l="0" t="0" r="0" b="0"/>
                  <wp:docPr id="175" name="image71.png"/>
                  <wp:cNvGraphicFramePr>
                    <a:graphicFrameLocks noChangeAspect="1"/>
                  </wp:cNvGraphicFramePr>
                  <a:graphic>
                    <a:graphicData uri="http://schemas.openxmlformats.org/drawingml/2006/picture">
                      <pic:pic>
                        <pic:nvPicPr>
                          <pic:cNvPr id="176" name="image71.png"/>
                          <pic:cNvPicPr/>
                        </pic:nvPicPr>
                        <pic:blipFill>
                          <a:blip r:embed="rId93" cstate="print"/>
                          <a:stretch>
                            <a:fillRect/>
                          </a:stretch>
                        </pic:blipFill>
                        <pic:spPr>
                          <a:xfrm>
                            <a:off x="0" y="0"/>
                            <a:ext cx="132578" cy="85725"/>
                          </a:xfrm>
                          <a:prstGeom prst="rect">
                            <a:avLst/>
                          </a:prstGeom>
                        </pic:spPr>
                      </pic:pic>
                    </a:graphicData>
                  </a:graphic>
                </wp:inline>
              </w:drawing>
            </w:r>
            <w:r>
              <w:rPr>
                <w:rFonts w:ascii="Calibri"/>
                <w:position w:val="-2"/>
                <w:sz w:val="13"/>
              </w:rPr>
            </w:r>
          </w:p>
        </w:tc>
        <w:tc>
          <w:tcPr>
            <w:tcW w:w="823" w:type="dxa"/>
          </w:tcPr>
          <w:p>
            <w:pPr>
              <w:pStyle w:val="TableParagraph"/>
              <w:spacing w:line="280" w:lineRule="auto" w:before="36"/>
              <w:ind w:left="7"/>
              <w:rPr>
                <w:rFonts w:ascii="Calibri"/>
                <w:sz w:val="9"/>
              </w:rPr>
            </w:pPr>
            <w:r>
              <w:rPr>
                <w:rFonts w:ascii="Calibri"/>
                <w:w w:val="110"/>
                <w:sz w:val="9"/>
              </w:rPr>
              <w:t>P - Other General Allowances</w:t>
            </w:r>
          </w:p>
        </w:tc>
        <w:tc>
          <w:tcPr>
            <w:tcW w:w="89" w:type="dxa"/>
          </w:tcPr>
          <w:p>
            <w:pPr>
              <w:pStyle w:val="TableParagraph"/>
              <w:spacing w:before="0"/>
              <w:rPr>
                <w:rFonts w:ascii="Times New Roman"/>
                <w:sz w:val="16"/>
              </w:rPr>
            </w:pPr>
          </w:p>
        </w:tc>
        <w:tc>
          <w:tcPr>
            <w:tcW w:w="208" w:type="dxa"/>
          </w:tcPr>
          <w:p>
            <w:pPr>
              <w:pStyle w:val="TableParagraph"/>
              <w:spacing w:line="135" w:lineRule="exact" w:before="0"/>
              <w:ind w:left="2" w:right="-44"/>
              <w:rPr>
                <w:rFonts w:ascii="Calibri"/>
                <w:sz w:val="13"/>
              </w:rPr>
            </w:pPr>
            <w:r>
              <w:rPr>
                <w:rFonts w:ascii="Calibri"/>
                <w:position w:val="-2"/>
                <w:sz w:val="13"/>
              </w:rPr>
              <w:drawing>
                <wp:inline distT="0" distB="0" distL="0" distR="0">
                  <wp:extent cx="132582" cy="85725"/>
                  <wp:effectExtent l="0" t="0" r="0" b="0"/>
                  <wp:docPr id="177" name="image72.png"/>
                  <wp:cNvGraphicFramePr>
                    <a:graphicFrameLocks noChangeAspect="1"/>
                  </wp:cNvGraphicFramePr>
                  <a:graphic>
                    <a:graphicData uri="http://schemas.openxmlformats.org/drawingml/2006/picture">
                      <pic:pic>
                        <pic:nvPicPr>
                          <pic:cNvPr id="178" name="image72.png"/>
                          <pic:cNvPicPr/>
                        </pic:nvPicPr>
                        <pic:blipFill>
                          <a:blip r:embed="rId94" cstate="print"/>
                          <a:stretch>
                            <a:fillRect/>
                          </a:stretch>
                        </pic:blipFill>
                        <pic:spPr>
                          <a:xfrm>
                            <a:off x="0" y="0"/>
                            <a:ext cx="132582" cy="85725"/>
                          </a:xfrm>
                          <a:prstGeom prst="rect">
                            <a:avLst/>
                          </a:prstGeom>
                        </pic:spPr>
                      </pic:pic>
                    </a:graphicData>
                  </a:graphic>
                </wp:inline>
              </w:drawing>
            </w:r>
            <w:r>
              <w:rPr>
                <w:rFonts w:ascii="Calibri"/>
                <w:position w:val="-2"/>
                <w:sz w:val="13"/>
              </w:rPr>
            </w:r>
          </w:p>
        </w:tc>
        <w:tc>
          <w:tcPr>
            <w:tcW w:w="945" w:type="dxa"/>
          </w:tcPr>
          <w:p>
            <w:pPr>
              <w:pStyle w:val="TableParagraph"/>
              <w:spacing w:before="36"/>
              <w:ind w:left="16"/>
              <w:rPr>
                <w:rFonts w:ascii="Calibri"/>
                <w:sz w:val="9"/>
              </w:rPr>
            </w:pPr>
            <w:r>
              <w:rPr>
                <w:rFonts w:ascii="Calibri"/>
                <w:w w:val="110"/>
                <w:sz w:val="9"/>
              </w:rPr>
              <w:t>Q - All Other</w:t>
            </w:r>
          </w:p>
        </w:tc>
        <w:tc>
          <w:tcPr>
            <w:tcW w:w="58" w:type="dxa"/>
          </w:tcPr>
          <w:p>
            <w:pPr>
              <w:pStyle w:val="TableParagraph"/>
              <w:spacing w:before="0"/>
              <w:rPr>
                <w:rFonts w:ascii="Times New Roman"/>
                <w:sz w:val="16"/>
              </w:rPr>
            </w:pPr>
          </w:p>
        </w:tc>
        <w:tc>
          <w:tcPr>
            <w:tcW w:w="208" w:type="dxa"/>
          </w:tcPr>
          <w:p>
            <w:pPr>
              <w:pStyle w:val="TableParagraph"/>
              <w:spacing w:line="135" w:lineRule="exact" w:before="0"/>
              <w:ind w:left="4" w:right="-58"/>
              <w:rPr>
                <w:rFonts w:ascii="Calibri"/>
                <w:sz w:val="13"/>
              </w:rPr>
            </w:pPr>
            <w:r>
              <w:rPr>
                <w:rFonts w:ascii="Calibri"/>
                <w:position w:val="-2"/>
                <w:sz w:val="13"/>
              </w:rPr>
              <w:drawing>
                <wp:inline distT="0" distB="0" distL="0" distR="0">
                  <wp:extent cx="132582" cy="85725"/>
                  <wp:effectExtent l="0" t="0" r="0" b="0"/>
                  <wp:docPr id="179" name="image73.png"/>
                  <wp:cNvGraphicFramePr>
                    <a:graphicFrameLocks noChangeAspect="1"/>
                  </wp:cNvGraphicFramePr>
                  <a:graphic>
                    <a:graphicData uri="http://schemas.openxmlformats.org/drawingml/2006/picture">
                      <pic:pic>
                        <pic:nvPicPr>
                          <pic:cNvPr id="180" name="image73.png"/>
                          <pic:cNvPicPr/>
                        </pic:nvPicPr>
                        <pic:blipFill>
                          <a:blip r:embed="rId95" cstate="print"/>
                          <a:stretch>
                            <a:fillRect/>
                          </a:stretch>
                        </pic:blipFill>
                        <pic:spPr>
                          <a:xfrm>
                            <a:off x="0" y="0"/>
                            <a:ext cx="132582" cy="85725"/>
                          </a:xfrm>
                          <a:prstGeom prst="rect">
                            <a:avLst/>
                          </a:prstGeom>
                        </pic:spPr>
                      </pic:pic>
                    </a:graphicData>
                  </a:graphic>
                </wp:inline>
              </w:drawing>
            </w:r>
            <w:r>
              <w:rPr>
                <w:rFonts w:ascii="Calibri"/>
                <w:position w:val="-2"/>
                <w:sz w:val="13"/>
              </w:rPr>
            </w:r>
          </w:p>
        </w:tc>
        <w:tc>
          <w:tcPr>
            <w:tcW w:w="1183" w:type="dxa"/>
          </w:tcPr>
          <w:p>
            <w:pPr>
              <w:pStyle w:val="TableParagraph"/>
              <w:spacing w:before="36"/>
              <w:ind w:left="18"/>
              <w:rPr>
                <w:rFonts w:ascii="Calibri"/>
                <w:sz w:val="9"/>
              </w:rPr>
            </w:pPr>
            <w:r>
              <w:rPr>
                <w:rFonts w:ascii="Calibri"/>
                <w:w w:val="110"/>
                <w:sz w:val="9"/>
              </w:rPr>
              <w:t>R - Rent Assistance</w:t>
            </w:r>
          </w:p>
        </w:tc>
        <w:tc>
          <w:tcPr>
            <w:tcW w:w="56" w:type="dxa"/>
          </w:tcPr>
          <w:p>
            <w:pPr>
              <w:pStyle w:val="TableParagraph"/>
              <w:spacing w:before="0"/>
              <w:rPr>
                <w:rFonts w:ascii="Times New Roman"/>
                <w:sz w:val="16"/>
              </w:rPr>
            </w:pPr>
          </w:p>
        </w:tc>
        <w:tc>
          <w:tcPr>
            <w:tcW w:w="209" w:type="dxa"/>
          </w:tcPr>
          <w:p>
            <w:pPr>
              <w:pStyle w:val="TableParagraph"/>
              <w:spacing w:before="0"/>
              <w:rPr>
                <w:rFonts w:ascii="Times New Roman"/>
                <w:sz w:val="16"/>
              </w:rPr>
            </w:pPr>
          </w:p>
        </w:tc>
        <w:tc>
          <w:tcPr>
            <w:tcW w:w="706" w:type="dxa"/>
          </w:tcPr>
          <w:p>
            <w:pPr>
              <w:pStyle w:val="TableParagraph"/>
              <w:spacing w:before="0"/>
              <w:rPr>
                <w:rFonts w:ascii="Times New Roman"/>
                <w:sz w:val="16"/>
              </w:rPr>
            </w:pPr>
          </w:p>
        </w:tc>
        <w:tc>
          <w:tcPr>
            <w:tcW w:w="72" w:type="dxa"/>
          </w:tcPr>
          <w:p>
            <w:pPr>
              <w:pStyle w:val="TableParagraph"/>
              <w:spacing w:before="0"/>
              <w:rPr>
                <w:rFonts w:ascii="Times New Roman"/>
                <w:sz w:val="16"/>
              </w:rPr>
            </w:pPr>
          </w:p>
        </w:tc>
        <w:tc>
          <w:tcPr>
            <w:tcW w:w="210" w:type="dxa"/>
          </w:tcPr>
          <w:p>
            <w:pPr>
              <w:pStyle w:val="TableParagraph"/>
              <w:spacing w:before="0"/>
              <w:rPr>
                <w:rFonts w:ascii="Times New Roman"/>
                <w:sz w:val="16"/>
              </w:rPr>
            </w:pPr>
          </w:p>
        </w:tc>
        <w:tc>
          <w:tcPr>
            <w:tcW w:w="729" w:type="dxa"/>
          </w:tcPr>
          <w:p>
            <w:pPr>
              <w:pStyle w:val="TableParagraph"/>
              <w:spacing w:before="0"/>
              <w:rPr>
                <w:rFonts w:ascii="Times New Roman"/>
                <w:sz w:val="16"/>
              </w:rPr>
            </w:pPr>
          </w:p>
        </w:tc>
        <w:tc>
          <w:tcPr>
            <w:tcW w:w="837" w:type="dxa"/>
          </w:tcPr>
          <w:p>
            <w:pPr>
              <w:pStyle w:val="TableParagraph"/>
              <w:spacing w:before="0"/>
              <w:rPr>
                <w:rFonts w:ascii="Times New Roman"/>
                <w:sz w:val="16"/>
              </w:rPr>
            </w:pPr>
          </w:p>
        </w:tc>
      </w:tr>
    </w:tbl>
    <w:p>
      <w:pPr>
        <w:pStyle w:val="BodyText"/>
        <w:spacing w:before="9"/>
        <w:rPr>
          <w:rFonts w:ascii="Calibri"/>
          <w:b/>
          <w:sz w:val="16"/>
        </w:rPr>
      </w:pPr>
    </w:p>
    <w:p>
      <w:pPr>
        <w:pStyle w:val="BodyText"/>
        <w:ind w:left="899" w:right="1231"/>
      </w:pPr>
      <w:r>
        <w:rPr>
          <w:color w:val="404040"/>
        </w:rPr>
        <w:t>People in this class receive some of the highest average annual payments. The average payment made in 2017/18 was $33,000 with considerably higher average payments being made to women ($33,700) than men ($23,900). The average payment is significantly higher for women than men as a result of them being more likely to receive FTB and family (child care) payments in addition to the main payment. The rate of the Parenting payment itself is also higher on average for women as a higher proportion of women are receiving the single rather than the partnered rate.</w:t>
      </w:r>
    </w:p>
    <w:p>
      <w:pPr>
        <w:pStyle w:val="BodyText"/>
        <w:spacing w:before="8"/>
      </w:pPr>
    </w:p>
    <w:p>
      <w:pPr>
        <w:pStyle w:val="Heading4"/>
        <w:jc w:val="both"/>
      </w:pPr>
      <w:bookmarkStart w:name="What does the model show for current Par" w:id="181"/>
      <w:bookmarkEnd w:id="181"/>
      <w:r>
        <w:rPr/>
      </w:r>
      <w:r>
        <w:rPr>
          <w:color w:val="DF2F28"/>
        </w:rPr>
        <w:t>What does the model show for current Parenting payment recipients?</w:t>
      </w:r>
    </w:p>
    <w:p>
      <w:pPr>
        <w:pStyle w:val="BodyText"/>
        <w:spacing w:before="10"/>
      </w:pPr>
    </w:p>
    <w:p>
      <w:pPr>
        <w:pStyle w:val="Heading6"/>
        <w:jc w:val="both"/>
        <w:rPr>
          <w:i/>
        </w:rPr>
      </w:pPr>
      <w:r>
        <w:rPr>
          <w:i/>
          <w:color w:val="DF2F1E"/>
        </w:rPr>
        <w:t>Lifetime costs</w:t>
      </w:r>
    </w:p>
    <w:p>
      <w:pPr>
        <w:pStyle w:val="BodyText"/>
        <w:spacing w:line="242" w:lineRule="auto" w:before="118"/>
        <w:ind w:left="900" w:right="1145" w:hanging="1"/>
        <w:jc w:val="both"/>
      </w:pPr>
      <w:r>
        <w:rPr>
          <w:color w:val="404040"/>
        </w:rPr>
        <w:t>We estimated the lifetime cost for the people in this class to be </w:t>
      </w:r>
      <w:r>
        <w:rPr>
          <w:b/>
          <w:color w:val="404040"/>
        </w:rPr>
        <w:t>$220bn </w:t>
      </w:r>
      <w:r>
        <w:rPr>
          <w:color w:val="404040"/>
        </w:rPr>
        <w:t>(or </w:t>
      </w:r>
      <w:r>
        <w:rPr>
          <w:b/>
          <w:color w:val="404040"/>
        </w:rPr>
        <w:t>3.9% </w:t>
      </w:r>
      <w:r>
        <w:rPr>
          <w:color w:val="404040"/>
        </w:rPr>
        <w:t>of the total lifetime cost). The average lifetime cost for people in this class is </w:t>
      </w:r>
      <w:r>
        <w:rPr>
          <w:b/>
          <w:color w:val="404040"/>
        </w:rPr>
        <w:t>$577,000</w:t>
      </w:r>
      <w:r>
        <w:rPr>
          <w:color w:val="404040"/>
        </w:rPr>
        <w:t>, a significantly higher amount than for the Studying or Working Age class. The variation by age and gender illustrated in the figure below.</w:t>
      </w:r>
    </w:p>
    <w:p>
      <w:pPr>
        <w:pStyle w:val="Heading9"/>
        <w:spacing w:before="173"/>
        <w:jc w:val="both"/>
      </w:pPr>
      <w:r>
        <w:rPr>
          <w:color w:val="DF2F1E"/>
        </w:rPr>
        <w:t>Figure 58: Average lifetime cost by age and gender (class 3)</w:t>
      </w:r>
    </w:p>
    <w:p>
      <w:pPr>
        <w:pStyle w:val="BodyText"/>
        <w:spacing w:before="9"/>
        <w:rPr>
          <w:b/>
          <w:sz w:val="12"/>
        </w:rPr>
      </w:pPr>
    </w:p>
    <w:p>
      <w:pPr>
        <w:spacing w:after="0"/>
        <w:rPr>
          <w:sz w:val="12"/>
        </w:rPr>
        <w:sectPr>
          <w:pgSz w:w="11910" w:h="16850"/>
          <w:pgMar w:header="572" w:footer="581" w:top="780" w:bottom="780" w:left="120" w:right="0"/>
        </w:sectPr>
      </w:pPr>
    </w:p>
    <w:p>
      <w:pPr>
        <w:spacing w:before="72"/>
        <w:ind w:left="1508" w:right="0" w:firstLine="0"/>
        <w:jc w:val="left"/>
        <w:rPr>
          <w:rFonts w:ascii="Calibri"/>
          <w:sz w:val="14"/>
        </w:rPr>
      </w:pPr>
      <w:r>
        <w:rPr/>
        <w:pict>
          <v:group style="position:absolute;margin-left:93.253288pt;margin-top:7.334502pt;width:237.05pt;height:128.75pt;mso-position-horizontal-relative:page;mso-position-vertical-relative:paragraph;z-index:252305408" coordorigin="1865,147" coordsize="4741,2575">
            <v:shape style="position:absolute;left:1865;top:146;width:4741;height:2575" type="#_x0000_t75" stroked="false">
              <v:imagedata r:id="rId117" o:title=""/>
            </v:shape>
            <v:shape style="position:absolute;left:3027;top:239;width:633;height:204" type="#_x0000_t202" filled="false" stroked="false">
              <v:textbox inset="0,0,0,0">
                <w:txbxContent>
                  <w:p>
                    <w:pPr>
                      <w:spacing w:line="204" w:lineRule="exact" w:before="0"/>
                      <w:ind w:left="0" w:right="0" w:firstLine="0"/>
                      <w:jc w:val="left"/>
                      <w:rPr>
                        <w:rFonts w:ascii="Calibri"/>
                        <w:sz w:val="20"/>
                      </w:rPr>
                    </w:pPr>
                    <w:r>
                      <w:rPr>
                        <w:rFonts w:ascii="Calibri"/>
                        <w:color w:val="BEBEBE"/>
                        <w:sz w:val="20"/>
                      </w:rPr>
                      <w:t>&lt;- Male</w:t>
                    </w:r>
                  </w:p>
                </w:txbxContent>
              </v:textbox>
              <w10:wrap type="none"/>
            </v:shape>
            <v:shape style="position:absolute;left:4905;top:239;width:831;height:204" type="#_x0000_t202" filled="false" stroked="false">
              <v:textbox inset="0,0,0,0">
                <w:txbxContent>
                  <w:p>
                    <w:pPr>
                      <w:spacing w:line="204" w:lineRule="exact" w:before="0"/>
                      <w:ind w:left="0" w:right="0" w:firstLine="0"/>
                      <w:jc w:val="left"/>
                      <w:rPr>
                        <w:rFonts w:ascii="Calibri"/>
                        <w:sz w:val="20"/>
                      </w:rPr>
                    </w:pPr>
                    <w:r>
                      <w:rPr>
                        <w:rFonts w:ascii="Calibri"/>
                        <w:color w:val="BEBEBE"/>
                        <w:sz w:val="20"/>
                      </w:rPr>
                      <w:t>Female -&gt;</w:t>
                    </w:r>
                  </w:p>
                </w:txbxContent>
              </v:textbox>
              <w10:wrap type="none"/>
            </v:shape>
            <w10:wrap type="none"/>
          </v:group>
        </w:pict>
      </w:r>
      <w:r>
        <w:rPr>
          <w:rFonts w:ascii="Calibri"/>
          <w:sz w:val="14"/>
        </w:rPr>
        <w:t>90</w:t>
      </w:r>
    </w:p>
    <w:p>
      <w:pPr>
        <w:spacing w:before="107"/>
        <w:ind w:left="1508" w:right="0" w:firstLine="0"/>
        <w:jc w:val="left"/>
        <w:rPr>
          <w:rFonts w:ascii="Calibri"/>
          <w:sz w:val="14"/>
        </w:rPr>
      </w:pPr>
      <w:r>
        <w:rPr>
          <w:rFonts w:ascii="Calibri"/>
          <w:sz w:val="14"/>
        </w:rPr>
        <w:t>80</w:t>
      </w:r>
    </w:p>
    <w:p>
      <w:pPr>
        <w:spacing w:before="107"/>
        <w:ind w:left="1508" w:right="0" w:firstLine="0"/>
        <w:jc w:val="left"/>
        <w:rPr>
          <w:rFonts w:ascii="Calibri"/>
          <w:sz w:val="14"/>
        </w:rPr>
      </w:pPr>
      <w:r>
        <w:rPr/>
        <w:pict>
          <v:shape style="position:absolute;margin-left:71.311325pt;margin-top:11.540414pt;width:9pt;height:66.7pt;mso-position-horizontal-relative:page;mso-position-vertical-relative:paragraph;z-index:252307456" type="#_x0000_t202" filled="false" stroked="false">
            <v:textbox inset="0,0,0,0" style="layout-flow:vertical;mso-layout-flow-alt:bottom-to-top">
              <w:txbxContent>
                <w:p>
                  <w:pPr>
                    <w:spacing w:line="162" w:lineRule="exact" w:before="0"/>
                    <w:ind w:left="20" w:right="0" w:firstLine="0"/>
                    <w:jc w:val="left"/>
                    <w:rPr>
                      <w:rFonts w:ascii="Calibri"/>
                      <w:b/>
                      <w:sz w:val="14"/>
                    </w:rPr>
                  </w:pPr>
                  <w:r>
                    <w:rPr>
                      <w:rFonts w:ascii="Calibri"/>
                      <w:b/>
                      <w:sz w:val="14"/>
                    </w:rPr>
                    <w:t>Age at Valuation Date</w:t>
                  </w:r>
                </w:p>
              </w:txbxContent>
            </v:textbox>
            <w10:wrap type="none"/>
          </v:shape>
        </w:pict>
      </w:r>
      <w:r>
        <w:rPr>
          <w:rFonts w:ascii="Calibri"/>
          <w:sz w:val="14"/>
        </w:rPr>
        <w:t>70</w:t>
      </w:r>
    </w:p>
    <w:p>
      <w:pPr>
        <w:spacing w:before="107"/>
        <w:ind w:left="1508" w:right="0" w:firstLine="0"/>
        <w:jc w:val="left"/>
        <w:rPr>
          <w:rFonts w:ascii="Calibri"/>
          <w:sz w:val="14"/>
        </w:rPr>
      </w:pPr>
      <w:r>
        <w:rPr>
          <w:rFonts w:ascii="Calibri"/>
          <w:sz w:val="14"/>
        </w:rPr>
        <w:t>60</w:t>
      </w:r>
    </w:p>
    <w:p>
      <w:pPr>
        <w:spacing w:before="107"/>
        <w:ind w:left="1508" w:right="0" w:firstLine="0"/>
        <w:jc w:val="left"/>
        <w:rPr>
          <w:rFonts w:ascii="Calibri"/>
          <w:sz w:val="14"/>
        </w:rPr>
      </w:pPr>
      <w:r>
        <w:rPr>
          <w:rFonts w:ascii="Calibri"/>
          <w:sz w:val="14"/>
        </w:rPr>
        <w:t>50</w:t>
      </w:r>
    </w:p>
    <w:p>
      <w:pPr>
        <w:spacing w:before="107"/>
        <w:ind w:left="1508" w:right="0" w:firstLine="0"/>
        <w:jc w:val="left"/>
        <w:rPr>
          <w:rFonts w:ascii="Calibri"/>
          <w:sz w:val="14"/>
        </w:rPr>
      </w:pPr>
      <w:r>
        <w:rPr>
          <w:rFonts w:ascii="Calibri"/>
          <w:sz w:val="14"/>
        </w:rPr>
        <w:t>40</w:t>
      </w:r>
    </w:p>
    <w:p>
      <w:pPr>
        <w:spacing w:before="107"/>
        <w:ind w:left="1508" w:right="0" w:firstLine="0"/>
        <w:jc w:val="left"/>
        <w:rPr>
          <w:rFonts w:ascii="Calibri"/>
          <w:sz w:val="14"/>
        </w:rPr>
      </w:pPr>
      <w:r>
        <w:rPr>
          <w:rFonts w:ascii="Calibri"/>
          <w:sz w:val="14"/>
        </w:rPr>
        <w:t>30</w:t>
      </w:r>
    </w:p>
    <w:p>
      <w:pPr>
        <w:spacing w:before="106"/>
        <w:ind w:left="1508" w:right="0" w:firstLine="0"/>
        <w:jc w:val="left"/>
        <w:rPr>
          <w:rFonts w:ascii="Calibri"/>
          <w:sz w:val="14"/>
        </w:rPr>
      </w:pPr>
      <w:r>
        <w:rPr>
          <w:rFonts w:ascii="Calibri"/>
          <w:sz w:val="14"/>
        </w:rPr>
        <w:t>20</w:t>
      </w:r>
    </w:p>
    <w:p>
      <w:pPr>
        <w:spacing w:before="107"/>
        <w:ind w:left="1508" w:right="0" w:firstLine="0"/>
        <w:jc w:val="left"/>
        <w:rPr>
          <w:rFonts w:ascii="Calibri"/>
          <w:sz w:val="14"/>
        </w:rPr>
      </w:pPr>
      <w:r>
        <w:rPr>
          <w:rFonts w:ascii="Calibri"/>
          <w:sz w:val="14"/>
        </w:rPr>
        <w:t>10</w:t>
      </w:r>
    </w:p>
    <w:p>
      <w:pPr>
        <w:spacing w:before="107"/>
        <w:ind w:left="1581" w:right="0" w:firstLine="0"/>
        <w:jc w:val="left"/>
        <w:rPr>
          <w:rFonts w:ascii="Calibri"/>
          <w:sz w:val="14"/>
        </w:rPr>
      </w:pPr>
      <w:r>
        <w:rPr>
          <w:rFonts w:ascii="Calibri"/>
          <w:w w:val="99"/>
          <w:sz w:val="14"/>
        </w:rPr>
        <w:t>0</w:t>
      </w:r>
    </w:p>
    <w:p>
      <w:pPr>
        <w:spacing w:before="29"/>
        <w:ind w:left="1623" w:right="0" w:firstLine="0"/>
        <w:jc w:val="left"/>
        <w:rPr>
          <w:rFonts w:ascii="Calibri"/>
          <w:sz w:val="14"/>
        </w:rPr>
      </w:pPr>
      <w:r>
        <w:rPr>
          <w:rFonts w:ascii="Calibri"/>
          <w:sz w:val="14"/>
        </w:rPr>
        <w:t>1,000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1"/>
        <w:rPr>
          <w:rFonts w:ascii="Calibri"/>
          <w:sz w:val="17"/>
        </w:rPr>
      </w:pPr>
    </w:p>
    <w:p>
      <w:pPr>
        <w:spacing w:before="0"/>
        <w:ind w:left="154" w:right="0" w:firstLine="0"/>
        <w:jc w:val="left"/>
        <w:rPr>
          <w:rFonts w:ascii="Calibri"/>
          <w:sz w:val="14"/>
        </w:rPr>
      </w:pPr>
      <w:r>
        <w:rPr>
          <w:rFonts w:ascii="Calibri"/>
          <w:sz w:val="14"/>
        </w:rPr>
        <w:t>800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1"/>
        <w:rPr>
          <w:rFonts w:ascii="Calibri"/>
          <w:sz w:val="17"/>
        </w:rPr>
      </w:pPr>
    </w:p>
    <w:p>
      <w:pPr>
        <w:spacing w:before="0"/>
        <w:ind w:left="207" w:right="0" w:firstLine="0"/>
        <w:jc w:val="left"/>
        <w:rPr>
          <w:rFonts w:ascii="Calibri"/>
          <w:sz w:val="14"/>
        </w:rPr>
      </w:pPr>
      <w:r>
        <w:rPr>
          <w:rFonts w:ascii="Calibri"/>
          <w:sz w:val="14"/>
        </w:rPr>
        <w:t>600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1"/>
        <w:rPr>
          <w:rFonts w:ascii="Calibri"/>
          <w:sz w:val="17"/>
        </w:rPr>
      </w:pPr>
    </w:p>
    <w:p>
      <w:pPr>
        <w:spacing w:before="0"/>
        <w:ind w:left="207" w:right="0" w:firstLine="0"/>
        <w:jc w:val="left"/>
        <w:rPr>
          <w:rFonts w:ascii="Calibri"/>
          <w:sz w:val="14"/>
        </w:rPr>
      </w:pPr>
      <w:r>
        <w:rPr>
          <w:rFonts w:ascii="Calibri"/>
          <w:sz w:val="14"/>
        </w:rPr>
        <w:t>400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1"/>
        <w:rPr>
          <w:rFonts w:ascii="Calibri"/>
          <w:sz w:val="17"/>
        </w:rPr>
      </w:pPr>
    </w:p>
    <w:p>
      <w:pPr>
        <w:tabs>
          <w:tab w:pos="749" w:val="left" w:leader="none"/>
        </w:tabs>
        <w:spacing w:before="0"/>
        <w:ind w:left="207" w:right="0" w:firstLine="0"/>
        <w:jc w:val="left"/>
        <w:rPr>
          <w:rFonts w:ascii="Calibri"/>
          <w:sz w:val="14"/>
        </w:rPr>
      </w:pPr>
      <w:r>
        <w:rPr>
          <w:rFonts w:ascii="Calibri"/>
          <w:spacing w:val="2"/>
          <w:sz w:val="14"/>
        </w:rPr>
        <w:t>200</w:t>
        <w:tab/>
      </w:r>
      <w:r>
        <w:rPr>
          <w:rFonts w:ascii="Calibri"/>
          <w:spacing w:val="-20"/>
          <w:sz w:val="14"/>
        </w:rPr>
        <w:t>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1"/>
        <w:rPr>
          <w:rFonts w:ascii="Calibri"/>
          <w:sz w:val="17"/>
        </w:rPr>
      </w:pPr>
    </w:p>
    <w:p>
      <w:pPr>
        <w:spacing w:before="0"/>
        <w:ind w:left="285" w:right="0" w:firstLine="0"/>
        <w:jc w:val="left"/>
        <w:rPr>
          <w:rFonts w:ascii="Calibri"/>
          <w:sz w:val="14"/>
        </w:rPr>
      </w:pPr>
      <w:r>
        <w:rPr>
          <w:rFonts w:ascii="Calibri"/>
          <w:sz w:val="14"/>
        </w:rPr>
        <w:t>200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1"/>
        <w:rPr>
          <w:rFonts w:ascii="Calibri"/>
          <w:sz w:val="17"/>
        </w:rPr>
      </w:pPr>
    </w:p>
    <w:p>
      <w:pPr>
        <w:spacing w:before="0"/>
        <w:ind w:left="207" w:right="0" w:firstLine="0"/>
        <w:jc w:val="left"/>
        <w:rPr>
          <w:rFonts w:ascii="Calibri"/>
          <w:sz w:val="14"/>
        </w:rPr>
      </w:pPr>
      <w:r>
        <w:rPr>
          <w:rFonts w:ascii="Calibri"/>
          <w:sz w:val="14"/>
        </w:rPr>
        <w:t>400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1"/>
        <w:rPr>
          <w:rFonts w:ascii="Calibri"/>
          <w:sz w:val="17"/>
        </w:rPr>
      </w:pPr>
    </w:p>
    <w:p>
      <w:pPr>
        <w:spacing w:before="0"/>
        <w:ind w:left="207" w:right="0" w:firstLine="0"/>
        <w:jc w:val="left"/>
        <w:rPr>
          <w:rFonts w:ascii="Calibri"/>
          <w:sz w:val="14"/>
        </w:rPr>
      </w:pPr>
      <w:r>
        <w:rPr>
          <w:rFonts w:ascii="Calibri"/>
          <w:sz w:val="14"/>
        </w:rPr>
        <w:t>600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1"/>
        <w:rPr>
          <w:rFonts w:ascii="Calibri"/>
          <w:sz w:val="17"/>
        </w:rPr>
      </w:pPr>
    </w:p>
    <w:p>
      <w:pPr>
        <w:spacing w:before="0"/>
        <w:ind w:left="207" w:right="0" w:firstLine="0"/>
        <w:jc w:val="left"/>
        <w:rPr>
          <w:rFonts w:ascii="Calibri"/>
          <w:sz w:val="14"/>
        </w:rPr>
      </w:pPr>
      <w:r>
        <w:rPr>
          <w:rFonts w:ascii="Calibri"/>
          <w:sz w:val="14"/>
        </w:rPr>
        <w:t>800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1"/>
        <w:rPr>
          <w:rFonts w:ascii="Calibri"/>
          <w:sz w:val="17"/>
        </w:rPr>
      </w:pPr>
    </w:p>
    <w:p>
      <w:pPr>
        <w:spacing w:before="0"/>
        <w:ind w:left="153" w:right="0" w:firstLine="0"/>
        <w:jc w:val="left"/>
        <w:rPr>
          <w:rFonts w:ascii="Calibri"/>
          <w:sz w:val="14"/>
        </w:rPr>
      </w:pPr>
      <w:r>
        <w:rPr>
          <w:rFonts w:ascii="Calibri"/>
          <w:sz w:val="14"/>
        </w:rPr>
        <w:t>1,000</w:t>
      </w:r>
    </w:p>
    <w:p>
      <w:pPr>
        <w:pStyle w:val="BodyText"/>
        <w:rPr>
          <w:rFonts w:ascii="Calibri"/>
          <w:sz w:val="10"/>
        </w:rPr>
      </w:pPr>
      <w:r>
        <w:rPr/>
        <w:br w:type="column"/>
      </w:r>
      <w:r>
        <w:rPr>
          <w:rFonts w:ascii="Calibri"/>
          <w:sz w:val="10"/>
        </w:rPr>
      </w:r>
    </w:p>
    <w:p>
      <w:pPr>
        <w:spacing w:before="69"/>
        <w:ind w:left="1001" w:right="0" w:firstLine="0"/>
        <w:jc w:val="left"/>
        <w:rPr>
          <w:rFonts w:ascii="Calibri"/>
          <w:b/>
          <w:sz w:val="10"/>
        </w:rPr>
      </w:pPr>
      <w:r>
        <w:rPr>
          <w:rFonts w:ascii="Calibri"/>
          <w:b/>
          <w:w w:val="105"/>
          <w:sz w:val="10"/>
        </w:rPr>
        <w:t>Payment Category Key:</w:t>
      </w:r>
    </w:p>
    <w:p>
      <w:pPr>
        <w:spacing w:before="32"/>
        <w:ind w:left="1216" w:right="0" w:firstLine="0"/>
        <w:jc w:val="left"/>
        <w:rPr>
          <w:rFonts w:ascii="Calibri"/>
          <w:sz w:val="10"/>
        </w:rPr>
      </w:pPr>
      <w:r>
        <w:rPr/>
        <w:drawing>
          <wp:anchor distT="0" distB="0" distL="0" distR="0" allowOverlap="1" layoutInCell="1" locked="0" behindDoc="0" simplePos="0" relativeHeight="252306432">
            <wp:simplePos x="0" y="0"/>
            <wp:positionH relativeFrom="page">
              <wp:posOffset>4945334</wp:posOffset>
            </wp:positionH>
            <wp:positionV relativeFrom="paragraph">
              <wp:posOffset>9951</wp:posOffset>
            </wp:positionV>
            <wp:extent cx="136424" cy="1509140"/>
            <wp:effectExtent l="0" t="0" r="0" b="0"/>
            <wp:wrapNone/>
            <wp:docPr id="181" name="image75.png"/>
            <wp:cNvGraphicFramePr>
              <a:graphicFrameLocks noChangeAspect="1"/>
            </wp:cNvGraphicFramePr>
            <a:graphic>
              <a:graphicData uri="http://schemas.openxmlformats.org/drawingml/2006/picture">
                <pic:pic>
                  <pic:nvPicPr>
                    <pic:cNvPr id="182" name="image75.png"/>
                    <pic:cNvPicPr/>
                  </pic:nvPicPr>
                  <pic:blipFill>
                    <a:blip r:embed="rId97" cstate="print"/>
                    <a:stretch>
                      <a:fillRect/>
                    </a:stretch>
                  </pic:blipFill>
                  <pic:spPr>
                    <a:xfrm>
                      <a:off x="0" y="0"/>
                      <a:ext cx="136424" cy="1509140"/>
                    </a:xfrm>
                    <a:prstGeom prst="rect">
                      <a:avLst/>
                    </a:prstGeom>
                  </pic:spPr>
                </pic:pic>
              </a:graphicData>
            </a:graphic>
          </wp:anchor>
        </w:drawing>
      </w:r>
      <w:r>
        <w:rPr>
          <w:rFonts w:ascii="Calibri"/>
          <w:w w:val="105"/>
          <w:sz w:val="10"/>
        </w:rPr>
        <w:t>A - IS Studying</w:t>
      </w:r>
    </w:p>
    <w:p>
      <w:pPr>
        <w:spacing w:line="273" w:lineRule="auto" w:before="17"/>
        <w:ind w:left="1216" w:right="3089" w:firstLine="0"/>
        <w:jc w:val="left"/>
        <w:rPr>
          <w:rFonts w:ascii="Calibri"/>
          <w:sz w:val="10"/>
        </w:rPr>
      </w:pPr>
      <w:r>
        <w:rPr>
          <w:rFonts w:ascii="Calibri"/>
          <w:w w:val="105"/>
          <w:sz w:val="10"/>
        </w:rPr>
        <w:t>B - IS Working Age C - IS Parents</w:t>
      </w:r>
    </w:p>
    <w:p>
      <w:pPr>
        <w:spacing w:before="0"/>
        <w:ind w:left="1216" w:right="0" w:firstLine="0"/>
        <w:jc w:val="left"/>
        <w:rPr>
          <w:rFonts w:ascii="Calibri"/>
          <w:sz w:val="10"/>
        </w:rPr>
      </w:pPr>
      <w:r>
        <w:rPr>
          <w:rFonts w:ascii="Calibri"/>
          <w:w w:val="105"/>
          <w:sz w:val="10"/>
        </w:rPr>
        <w:t>D - IS Carer</w:t>
      </w:r>
    </w:p>
    <w:p>
      <w:pPr>
        <w:spacing w:line="273" w:lineRule="auto" w:before="18"/>
        <w:ind w:left="1216" w:right="3253" w:firstLine="0"/>
        <w:jc w:val="left"/>
        <w:rPr>
          <w:rFonts w:ascii="Calibri"/>
          <w:sz w:val="10"/>
        </w:rPr>
      </w:pPr>
      <w:r>
        <w:rPr>
          <w:rFonts w:ascii="Calibri"/>
          <w:w w:val="105"/>
          <w:sz w:val="10"/>
        </w:rPr>
        <w:t>E - IS Disability F - IS Age</w:t>
      </w:r>
    </w:p>
    <w:p>
      <w:pPr>
        <w:spacing w:line="273" w:lineRule="auto" w:before="0"/>
        <w:ind w:left="1216" w:right="3153" w:firstLine="0"/>
        <w:jc w:val="left"/>
        <w:rPr>
          <w:rFonts w:ascii="Calibri"/>
          <w:sz w:val="10"/>
        </w:rPr>
      </w:pPr>
      <w:r>
        <w:rPr>
          <w:rFonts w:ascii="Calibri"/>
          <w:w w:val="105"/>
          <w:sz w:val="10"/>
        </w:rPr>
        <w:t>G - IS Dependant H - Other FTB</w:t>
      </w:r>
    </w:p>
    <w:p>
      <w:pPr>
        <w:spacing w:before="0"/>
        <w:ind w:left="1216" w:right="0" w:firstLine="0"/>
        <w:jc w:val="left"/>
        <w:rPr>
          <w:rFonts w:ascii="Calibri"/>
          <w:sz w:val="10"/>
        </w:rPr>
      </w:pPr>
      <w:r>
        <w:rPr>
          <w:rFonts w:ascii="Calibri"/>
          <w:w w:val="105"/>
          <w:sz w:val="10"/>
        </w:rPr>
        <w:t>I - Other Family</w:t>
      </w:r>
    </w:p>
    <w:p>
      <w:pPr>
        <w:spacing w:before="18"/>
        <w:ind w:left="1216" w:right="0" w:firstLine="0"/>
        <w:jc w:val="left"/>
        <w:rPr>
          <w:rFonts w:ascii="Calibri"/>
          <w:sz w:val="10"/>
        </w:rPr>
      </w:pPr>
      <w:r>
        <w:rPr>
          <w:rFonts w:ascii="Calibri"/>
          <w:w w:val="105"/>
          <w:sz w:val="10"/>
        </w:rPr>
        <w:t>J - Other New Parents</w:t>
      </w:r>
    </w:p>
    <w:p>
      <w:pPr>
        <w:spacing w:line="273" w:lineRule="auto" w:before="17"/>
        <w:ind w:left="1216" w:right="2685" w:firstLine="0"/>
        <w:jc w:val="left"/>
        <w:rPr>
          <w:rFonts w:ascii="Calibri"/>
          <w:sz w:val="10"/>
        </w:rPr>
      </w:pPr>
      <w:r>
        <w:rPr>
          <w:rFonts w:ascii="Calibri"/>
          <w:w w:val="105"/>
          <w:sz w:val="10"/>
        </w:rPr>
        <w:t>L - Other Health &amp; Disability M - Other Carer</w:t>
      </w:r>
    </w:p>
    <w:p>
      <w:pPr>
        <w:spacing w:before="0"/>
        <w:ind w:left="1216" w:right="0" w:firstLine="0"/>
        <w:jc w:val="left"/>
        <w:rPr>
          <w:rFonts w:ascii="Calibri"/>
          <w:sz w:val="10"/>
        </w:rPr>
      </w:pPr>
      <w:r>
        <w:rPr>
          <w:rFonts w:ascii="Calibri"/>
          <w:w w:val="105"/>
          <w:sz w:val="10"/>
        </w:rPr>
        <w:t>N - Other Study &amp; Skills</w:t>
      </w:r>
    </w:p>
    <w:p>
      <w:pPr>
        <w:spacing w:line="273" w:lineRule="auto" w:before="18"/>
        <w:ind w:left="1216" w:right="2634" w:firstLine="0"/>
        <w:jc w:val="both"/>
        <w:rPr>
          <w:rFonts w:ascii="Calibri"/>
          <w:sz w:val="10"/>
        </w:rPr>
      </w:pPr>
      <w:r>
        <w:rPr>
          <w:rFonts w:ascii="Calibri"/>
          <w:w w:val="105"/>
          <w:sz w:val="10"/>
        </w:rPr>
        <w:t>O - Other Remote &amp; Regional P - Other General Allowances Q - All Other</w:t>
      </w:r>
    </w:p>
    <w:p>
      <w:pPr>
        <w:spacing w:before="0"/>
        <w:ind w:left="1216" w:right="0" w:firstLine="0"/>
        <w:jc w:val="both"/>
        <w:rPr>
          <w:rFonts w:ascii="Calibri"/>
          <w:sz w:val="10"/>
        </w:rPr>
      </w:pPr>
      <w:r>
        <w:rPr>
          <w:rFonts w:ascii="Calibri"/>
          <w:w w:val="105"/>
          <w:sz w:val="10"/>
        </w:rPr>
        <w:t>R - Rent Assistance</w:t>
      </w:r>
    </w:p>
    <w:p>
      <w:pPr>
        <w:spacing w:after="0"/>
        <w:jc w:val="both"/>
        <w:rPr>
          <w:rFonts w:ascii="Calibri"/>
          <w:sz w:val="10"/>
        </w:rPr>
        <w:sectPr>
          <w:type w:val="continuous"/>
          <w:pgSz w:w="11910" w:h="16850"/>
          <w:pgMar w:top="1600" w:bottom="280" w:left="120" w:right="0"/>
          <w:cols w:num="11" w:equalWidth="0">
            <w:col w:w="1953" w:space="40"/>
            <w:col w:w="376" w:space="39"/>
            <w:col w:w="429" w:space="39"/>
            <w:col w:w="429" w:space="40"/>
            <w:col w:w="820" w:space="40"/>
            <w:col w:w="507" w:space="40"/>
            <w:col w:w="429" w:space="40"/>
            <w:col w:w="429" w:space="39"/>
            <w:col w:w="429" w:space="40"/>
            <w:col w:w="483" w:space="40"/>
            <w:col w:w="5109"/>
          </w:cols>
        </w:sectPr>
      </w:pPr>
    </w:p>
    <w:p>
      <w:pPr>
        <w:spacing w:before="47"/>
        <w:ind w:left="3242" w:right="0" w:firstLine="0"/>
        <w:jc w:val="left"/>
        <w:rPr>
          <w:rFonts w:ascii="Calibri"/>
          <w:b/>
          <w:sz w:val="14"/>
        </w:rPr>
      </w:pPr>
      <w:r>
        <w:rPr>
          <w:rFonts w:ascii="Calibri"/>
          <w:b/>
          <w:sz w:val="14"/>
        </w:rPr>
        <w:t>Average Lifetime Cost ($000s)</w:t>
      </w:r>
    </w:p>
    <w:p>
      <w:pPr>
        <w:pStyle w:val="BodyText"/>
        <w:spacing w:before="1"/>
        <w:rPr>
          <w:rFonts w:ascii="Calibri"/>
          <w:b/>
        </w:rPr>
      </w:pPr>
    </w:p>
    <w:p>
      <w:pPr>
        <w:pStyle w:val="BodyText"/>
        <w:spacing w:before="93"/>
        <w:ind w:left="900"/>
      </w:pPr>
      <w:r>
        <w:rPr>
          <w:color w:val="404040"/>
        </w:rPr>
        <w:t>There is significant variation by age and gender.</w:t>
      </w:r>
    </w:p>
    <w:p>
      <w:pPr>
        <w:spacing w:after="0"/>
        <w:sectPr>
          <w:type w:val="continuous"/>
          <w:pgSz w:w="11910" w:h="16850"/>
          <w:pgMar w:top="1600" w:bottom="280" w:left="120" w:right="0"/>
        </w:sectPr>
      </w:pPr>
    </w:p>
    <w:p>
      <w:pPr>
        <w:pStyle w:val="BodyText"/>
      </w:pPr>
    </w:p>
    <w:p>
      <w:pPr>
        <w:pStyle w:val="BodyText"/>
      </w:pPr>
    </w:p>
    <w:p>
      <w:pPr>
        <w:pStyle w:val="BodyText"/>
        <w:spacing w:before="7"/>
        <w:rPr>
          <w:sz w:val="21"/>
        </w:rPr>
      </w:pPr>
    </w:p>
    <w:p>
      <w:pPr>
        <w:pStyle w:val="BodyText"/>
        <w:spacing w:before="93"/>
        <w:ind w:left="900" w:right="1154" w:hanging="1"/>
      </w:pPr>
      <w:r>
        <w:rPr>
          <w:color w:val="404040"/>
        </w:rPr>
        <w:t>The average lifetime cost for men is much lower than for women ($399,000 for men compared to $591,000 for women). This reflects the previous observation, that women typically receive higher annual payments as a result of receiving more FTB and other family payments.</w:t>
      </w:r>
    </w:p>
    <w:p>
      <w:pPr>
        <w:pStyle w:val="BodyText"/>
        <w:spacing w:before="121"/>
        <w:ind w:left="900" w:right="1109"/>
      </w:pPr>
      <w:r>
        <w:rPr>
          <w:color w:val="404040"/>
        </w:rPr>
        <w:t>The average lifetime costs are higher for the younger people in the class, especially the younger women. This is because they are more likely to stay on Parenting and FTB payments for longer and also may be more likely to transition to other types of income support.</w:t>
      </w:r>
    </w:p>
    <w:p>
      <w:pPr>
        <w:pStyle w:val="BodyText"/>
        <w:spacing w:before="119"/>
        <w:ind w:left="900" w:right="1475" w:hanging="1"/>
      </w:pPr>
      <w:r>
        <w:rPr>
          <w:color w:val="404040"/>
        </w:rPr>
        <w:t>The average lifetime costs also have small but clear contributions from both Disability Support and Carer payments. These reflect the likelihood of people in the Parenting class to move into these classes in future years.</w:t>
      </w:r>
    </w:p>
    <w:p>
      <w:pPr>
        <w:pStyle w:val="BodyText"/>
        <w:spacing w:before="122"/>
        <w:ind w:left="899" w:right="1448"/>
      </w:pPr>
      <w:r>
        <w:rPr>
          <w:color w:val="404040"/>
        </w:rPr>
        <w:t>To further explore differences in the average lifetime costs for people within class 3, we have prepared the table below, which shows the average lifetime cost for 30 to 39 year olds currently receiving Parenting payments, split by key characteristics. We have selected a set age group to reduce the effect of age on the future lifetime cost. It is important to note that some characteristics serve as proxies for more fundamental socio-economic factors, and as such, they may not necessarily be the underlying cause of any differences observed in the average lifetime costs of individuals. Further, the variations and relativities to the average lifetime cost that have been shown may differ for other age bands.</w:t>
      </w:r>
    </w:p>
    <w:p>
      <w:pPr>
        <w:pStyle w:val="Heading9"/>
        <w:spacing w:before="178" w:after="47"/>
        <w:ind w:left="899" w:right="1990"/>
      </w:pPr>
      <w:r>
        <w:rPr>
          <w:color w:val="DF2F1E"/>
        </w:rPr>
        <w:t>Table 21: Average lifetime cost for 30 to 39 year old Parenting payment recipients split by key characteristics</w:t>
      </w:r>
    </w:p>
    <w:tbl>
      <w:tblPr>
        <w:tblW w:w="0" w:type="auto"/>
        <w:jc w:val="left"/>
        <w:tblInd w:w="1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05"/>
        <w:gridCol w:w="1037"/>
        <w:gridCol w:w="1658"/>
        <w:gridCol w:w="1574"/>
        <w:gridCol w:w="1608"/>
      </w:tblGrid>
      <w:tr>
        <w:trPr>
          <w:trHeight w:val="648" w:hRule="atLeast"/>
        </w:trPr>
        <w:tc>
          <w:tcPr>
            <w:tcW w:w="3905" w:type="dxa"/>
            <w:shd w:val="clear" w:color="auto" w:fill="DF2F1E"/>
          </w:tcPr>
          <w:p>
            <w:pPr>
              <w:pStyle w:val="TableParagraph"/>
              <w:spacing w:before="0"/>
              <w:rPr>
                <w:rFonts w:ascii="Times New Roman"/>
                <w:sz w:val="18"/>
              </w:rPr>
            </w:pPr>
          </w:p>
        </w:tc>
        <w:tc>
          <w:tcPr>
            <w:tcW w:w="1037" w:type="dxa"/>
            <w:shd w:val="clear" w:color="auto" w:fill="DF2F1E"/>
          </w:tcPr>
          <w:p>
            <w:pPr>
              <w:pStyle w:val="TableParagraph"/>
              <w:spacing w:before="39"/>
              <w:ind w:left="237" w:right="122" w:hanging="142"/>
              <w:rPr>
                <w:b/>
                <w:sz w:val="16"/>
              </w:rPr>
            </w:pPr>
            <w:r>
              <w:rPr>
                <w:b/>
                <w:color w:val="FFFFFF"/>
                <w:sz w:val="16"/>
              </w:rPr>
              <w:t>Number of people</w:t>
            </w:r>
          </w:p>
        </w:tc>
        <w:tc>
          <w:tcPr>
            <w:tcW w:w="1658" w:type="dxa"/>
            <w:shd w:val="clear" w:color="auto" w:fill="DF2F1E"/>
          </w:tcPr>
          <w:p>
            <w:pPr>
              <w:pStyle w:val="TableParagraph"/>
              <w:spacing w:before="39"/>
              <w:ind w:left="277" w:right="130" w:hanging="130"/>
              <w:rPr>
                <w:b/>
                <w:sz w:val="16"/>
              </w:rPr>
            </w:pPr>
            <w:r>
              <w:rPr>
                <w:b/>
                <w:color w:val="FFFFFF"/>
                <w:sz w:val="16"/>
              </w:rPr>
              <w:t>Number of people as % of cohort</w:t>
            </w:r>
          </w:p>
        </w:tc>
        <w:tc>
          <w:tcPr>
            <w:tcW w:w="1574" w:type="dxa"/>
            <w:shd w:val="clear" w:color="auto" w:fill="DF2F1E"/>
          </w:tcPr>
          <w:p>
            <w:pPr>
              <w:pStyle w:val="TableParagraph"/>
              <w:spacing w:before="39"/>
              <w:ind w:left="612" w:right="161" w:hanging="456"/>
              <w:rPr>
                <w:b/>
                <w:sz w:val="16"/>
              </w:rPr>
            </w:pPr>
            <w:r>
              <w:rPr>
                <w:b/>
                <w:color w:val="FFFFFF"/>
                <w:sz w:val="16"/>
              </w:rPr>
              <w:t>Average lifetime cost</w:t>
            </w:r>
          </w:p>
        </w:tc>
        <w:tc>
          <w:tcPr>
            <w:tcW w:w="1608" w:type="dxa"/>
            <w:shd w:val="clear" w:color="auto" w:fill="DF2F1E"/>
          </w:tcPr>
          <w:p>
            <w:pPr>
              <w:pStyle w:val="TableParagraph"/>
              <w:spacing w:before="39"/>
              <w:ind w:left="190" w:right="177"/>
              <w:jc w:val="center"/>
              <w:rPr>
                <w:b/>
                <w:sz w:val="16"/>
              </w:rPr>
            </w:pPr>
            <w:r>
              <w:rPr>
                <w:b/>
                <w:color w:val="FFFFFF"/>
                <w:sz w:val="16"/>
              </w:rPr>
              <w:t>Average lifetime cost relative to cohort</w:t>
            </w:r>
          </w:p>
        </w:tc>
      </w:tr>
      <w:tr>
        <w:trPr>
          <w:trHeight w:val="263" w:hRule="atLeast"/>
        </w:trPr>
        <w:tc>
          <w:tcPr>
            <w:tcW w:w="3905" w:type="dxa"/>
            <w:tcBorders>
              <w:left w:val="single" w:sz="4" w:space="0" w:color="DF2F1E"/>
              <w:bottom w:val="single" w:sz="4" w:space="0" w:color="DF2F1E"/>
            </w:tcBorders>
            <w:shd w:val="clear" w:color="auto" w:fill="F7DCE0"/>
          </w:tcPr>
          <w:p>
            <w:pPr>
              <w:pStyle w:val="TableParagraph"/>
              <w:spacing w:before="34"/>
              <w:ind w:left="107"/>
              <w:rPr>
                <w:b/>
                <w:sz w:val="16"/>
              </w:rPr>
            </w:pPr>
            <w:r>
              <w:rPr>
                <w:b/>
                <w:color w:val="404040"/>
                <w:sz w:val="16"/>
              </w:rPr>
              <w:t>Total</w:t>
            </w:r>
          </w:p>
        </w:tc>
        <w:tc>
          <w:tcPr>
            <w:tcW w:w="1037" w:type="dxa"/>
            <w:tcBorders>
              <w:bottom w:val="single" w:sz="4" w:space="0" w:color="DF2F1E"/>
            </w:tcBorders>
            <w:shd w:val="clear" w:color="auto" w:fill="F7DCE0"/>
          </w:tcPr>
          <w:p>
            <w:pPr>
              <w:pStyle w:val="TableParagraph"/>
              <w:spacing w:before="34"/>
              <w:ind w:right="250"/>
              <w:jc w:val="right"/>
              <w:rPr>
                <w:b/>
                <w:sz w:val="16"/>
              </w:rPr>
            </w:pPr>
            <w:r>
              <w:rPr>
                <w:b/>
                <w:color w:val="404040"/>
                <w:sz w:val="16"/>
              </w:rPr>
              <w:t>167,000</w:t>
            </w:r>
          </w:p>
        </w:tc>
        <w:tc>
          <w:tcPr>
            <w:tcW w:w="1658" w:type="dxa"/>
            <w:tcBorders>
              <w:bottom w:val="single" w:sz="4" w:space="0" w:color="DF2F1E"/>
            </w:tcBorders>
            <w:shd w:val="clear" w:color="auto" w:fill="F7DCE0"/>
          </w:tcPr>
          <w:p>
            <w:pPr>
              <w:pStyle w:val="TableParagraph"/>
              <w:spacing w:before="34"/>
              <w:ind w:left="623"/>
              <w:rPr>
                <w:b/>
                <w:sz w:val="16"/>
              </w:rPr>
            </w:pPr>
            <w:r>
              <w:rPr>
                <w:b/>
                <w:color w:val="404040"/>
                <w:sz w:val="16"/>
              </w:rPr>
              <w:t>100%</w:t>
            </w:r>
          </w:p>
        </w:tc>
        <w:tc>
          <w:tcPr>
            <w:tcW w:w="1574" w:type="dxa"/>
            <w:tcBorders>
              <w:bottom w:val="single" w:sz="4" w:space="0" w:color="DF2F1E"/>
            </w:tcBorders>
            <w:shd w:val="clear" w:color="auto" w:fill="F7DCE0"/>
          </w:tcPr>
          <w:p>
            <w:pPr>
              <w:pStyle w:val="TableParagraph"/>
              <w:spacing w:before="34"/>
              <w:ind w:left="468" w:right="487"/>
              <w:jc w:val="center"/>
              <w:rPr>
                <w:b/>
                <w:sz w:val="16"/>
              </w:rPr>
            </w:pPr>
            <w:r>
              <w:rPr>
                <w:b/>
                <w:color w:val="404040"/>
                <w:sz w:val="16"/>
              </w:rPr>
              <w:t>541,000</w:t>
            </w:r>
          </w:p>
        </w:tc>
        <w:tc>
          <w:tcPr>
            <w:tcW w:w="1608" w:type="dxa"/>
            <w:tcBorders>
              <w:bottom w:val="single" w:sz="4" w:space="0" w:color="DF2F1E"/>
              <w:right w:val="single" w:sz="4" w:space="0" w:color="DF2F1E"/>
            </w:tcBorders>
            <w:shd w:val="clear" w:color="auto" w:fill="F7DCE0"/>
          </w:tcPr>
          <w:p>
            <w:pPr>
              <w:pStyle w:val="TableParagraph"/>
              <w:spacing w:before="34"/>
              <w:ind w:left="581" w:right="570"/>
              <w:jc w:val="center"/>
              <w:rPr>
                <w:b/>
                <w:sz w:val="16"/>
              </w:rPr>
            </w:pPr>
            <w:r>
              <w:rPr>
                <w:b/>
                <w:color w:val="404040"/>
                <w:sz w:val="16"/>
              </w:rPr>
              <w:t>100%</w:t>
            </w:r>
          </w:p>
        </w:tc>
      </w:tr>
      <w:tr>
        <w:trPr>
          <w:trHeight w:val="262" w:hRule="atLeast"/>
        </w:trPr>
        <w:tc>
          <w:tcPr>
            <w:tcW w:w="3905" w:type="dxa"/>
            <w:tcBorders>
              <w:top w:val="single" w:sz="4" w:space="0" w:color="DF2F1E"/>
              <w:left w:val="single" w:sz="4" w:space="0" w:color="DF2F1E"/>
            </w:tcBorders>
          </w:tcPr>
          <w:p>
            <w:pPr>
              <w:pStyle w:val="TableParagraph"/>
              <w:spacing w:before="34"/>
              <w:ind w:left="107"/>
              <w:rPr>
                <w:b/>
                <w:sz w:val="16"/>
              </w:rPr>
            </w:pPr>
            <w:r>
              <w:rPr>
                <w:b/>
                <w:color w:val="404040"/>
                <w:sz w:val="16"/>
              </w:rPr>
              <w:t>Marital status</w:t>
            </w:r>
          </w:p>
        </w:tc>
        <w:tc>
          <w:tcPr>
            <w:tcW w:w="1037" w:type="dxa"/>
            <w:tcBorders>
              <w:top w:val="single" w:sz="4" w:space="0" w:color="DF2F1E"/>
            </w:tcBorders>
          </w:tcPr>
          <w:p>
            <w:pPr>
              <w:pStyle w:val="TableParagraph"/>
              <w:spacing w:before="0"/>
              <w:rPr>
                <w:rFonts w:ascii="Times New Roman"/>
                <w:sz w:val="18"/>
              </w:rPr>
            </w:pPr>
          </w:p>
        </w:tc>
        <w:tc>
          <w:tcPr>
            <w:tcW w:w="1658" w:type="dxa"/>
            <w:tcBorders>
              <w:top w:val="single" w:sz="4" w:space="0" w:color="DF2F1E"/>
            </w:tcBorders>
          </w:tcPr>
          <w:p>
            <w:pPr>
              <w:pStyle w:val="TableParagraph"/>
              <w:spacing w:before="0"/>
              <w:rPr>
                <w:rFonts w:ascii="Times New Roman"/>
                <w:sz w:val="18"/>
              </w:rPr>
            </w:pPr>
          </w:p>
        </w:tc>
        <w:tc>
          <w:tcPr>
            <w:tcW w:w="1574" w:type="dxa"/>
            <w:tcBorders>
              <w:top w:val="single" w:sz="4" w:space="0" w:color="DF2F1E"/>
            </w:tcBorders>
          </w:tcPr>
          <w:p>
            <w:pPr>
              <w:pStyle w:val="TableParagraph"/>
              <w:spacing w:before="0"/>
              <w:rPr>
                <w:rFonts w:ascii="Times New Roman"/>
                <w:sz w:val="18"/>
              </w:rPr>
            </w:pPr>
          </w:p>
        </w:tc>
        <w:tc>
          <w:tcPr>
            <w:tcW w:w="1608" w:type="dxa"/>
            <w:tcBorders>
              <w:top w:val="single" w:sz="4" w:space="0" w:color="DF2F1E"/>
              <w:right w:val="single" w:sz="4" w:space="0" w:color="DF2F1E"/>
            </w:tcBorders>
          </w:tcPr>
          <w:p>
            <w:pPr>
              <w:pStyle w:val="TableParagraph"/>
              <w:spacing w:before="0"/>
              <w:rPr>
                <w:rFonts w:ascii="Times New Roman"/>
                <w:sz w:val="18"/>
              </w:rPr>
            </w:pPr>
          </w:p>
        </w:tc>
      </w:tr>
      <w:tr>
        <w:trPr>
          <w:trHeight w:val="265" w:hRule="atLeast"/>
        </w:trPr>
        <w:tc>
          <w:tcPr>
            <w:tcW w:w="3905" w:type="dxa"/>
            <w:tcBorders>
              <w:left w:val="single" w:sz="4" w:space="0" w:color="DF2F1E"/>
            </w:tcBorders>
          </w:tcPr>
          <w:p>
            <w:pPr>
              <w:pStyle w:val="TableParagraph"/>
              <w:spacing w:before="39"/>
              <w:ind w:left="287"/>
              <w:rPr>
                <w:b/>
                <w:i/>
                <w:sz w:val="16"/>
              </w:rPr>
            </w:pPr>
            <w:r>
              <w:rPr>
                <w:b/>
                <w:i/>
                <w:color w:val="404040"/>
                <w:sz w:val="16"/>
              </w:rPr>
              <w:t>- Single</w:t>
            </w:r>
          </w:p>
        </w:tc>
        <w:tc>
          <w:tcPr>
            <w:tcW w:w="1037" w:type="dxa"/>
          </w:tcPr>
          <w:p>
            <w:pPr>
              <w:pStyle w:val="TableParagraph"/>
              <w:spacing w:before="39"/>
              <w:ind w:right="250"/>
              <w:jc w:val="right"/>
              <w:rPr>
                <w:sz w:val="16"/>
              </w:rPr>
            </w:pPr>
            <w:r>
              <w:rPr>
                <w:color w:val="404040"/>
                <w:sz w:val="16"/>
              </w:rPr>
              <w:t>113,000</w:t>
            </w:r>
          </w:p>
        </w:tc>
        <w:tc>
          <w:tcPr>
            <w:tcW w:w="1658" w:type="dxa"/>
          </w:tcPr>
          <w:p>
            <w:pPr>
              <w:pStyle w:val="TableParagraph"/>
              <w:spacing w:before="39"/>
              <w:ind w:left="669"/>
              <w:rPr>
                <w:sz w:val="16"/>
              </w:rPr>
            </w:pPr>
            <w:r>
              <w:rPr>
                <w:color w:val="404040"/>
                <w:sz w:val="16"/>
              </w:rPr>
              <w:t>68%</w:t>
            </w:r>
          </w:p>
        </w:tc>
        <w:tc>
          <w:tcPr>
            <w:tcW w:w="1574" w:type="dxa"/>
          </w:tcPr>
          <w:p>
            <w:pPr>
              <w:pStyle w:val="TableParagraph"/>
              <w:spacing w:before="39"/>
              <w:ind w:left="468" w:right="487"/>
              <w:jc w:val="center"/>
              <w:rPr>
                <w:sz w:val="16"/>
              </w:rPr>
            </w:pPr>
            <w:r>
              <w:rPr>
                <w:color w:val="404040"/>
                <w:sz w:val="16"/>
              </w:rPr>
              <w:t>593,000</w:t>
            </w:r>
          </w:p>
        </w:tc>
        <w:tc>
          <w:tcPr>
            <w:tcW w:w="1608" w:type="dxa"/>
            <w:tcBorders>
              <w:right w:val="single" w:sz="4" w:space="0" w:color="DF2F1E"/>
            </w:tcBorders>
          </w:tcPr>
          <w:p>
            <w:pPr>
              <w:pStyle w:val="TableParagraph"/>
              <w:spacing w:before="39"/>
              <w:ind w:left="581" w:right="571"/>
              <w:jc w:val="center"/>
              <w:rPr>
                <w:sz w:val="16"/>
              </w:rPr>
            </w:pPr>
            <w:r>
              <w:rPr>
                <w:color w:val="404040"/>
                <w:sz w:val="16"/>
              </w:rPr>
              <w:t>110%</w:t>
            </w:r>
          </w:p>
        </w:tc>
      </w:tr>
      <w:tr>
        <w:trPr>
          <w:trHeight w:val="264" w:hRule="atLeast"/>
        </w:trPr>
        <w:tc>
          <w:tcPr>
            <w:tcW w:w="3905" w:type="dxa"/>
            <w:tcBorders>
              <w:left w:val="single" w:sz="4" w:space="0" w:color="DF2F1E"/>
              <w:bottom w:val="single" w:sz="4" w:space="0" w:color="DF2F1E"/>
            </w:tcBorders>
          </w:tcPr>
          <w:p>
            <w:pPr>
              <w:pStyle w:val="TableParagraph"/>
              <w:ind w:left="287"/>
              <w:rPr>
                <w:b/>
                <w:i/>
                <w:sz w:val="16"/>
              </w:rPr>
            </w:pPr>
            <w:r>
              <w:rPr>
                <w:b/>
                <w:i/>
                <w:color w:val="404040"/>
                <w:sz w:val="16"/>
              </w:rPr>
              <w:t>- Partnered</w:t>
            </w:r>
          </w:p>
        </w:tc>
        <w:tc>
          <w:tcPr>
            <w:tcW w:w="1037" w:type="dxa"/>
            <w:tcBorders>
              <w:bottom w:val="single" w:sz="4" w:space="0" w:color="DF2F1E"/>
            </w:tcBorders>
          </w:tcPr>
          <w:p>
            <w:pPr>
              <w:pStyle w:val="TableParagraph"/>
              <w:ind w:right="293"/>
              <w:jc w:val="right"/>
              <w:rPr>
                <w:sz w:val="16"/>
              </w:rPr>
            </w:pPr>
            <w:r>
              <w:rPr>
                <w:color w:val="404040"/>
                <w:sz w:val="16"/>
              </w:rPr>
              <w:t>54,000</w:t>
            </w:r>
          </w:p>
        </w:tc>
        <w:tc>
          <w:tcPr>
            <w:tcW w:w="1658" w:type="dxa"/>
            <w:tcBorders>
              <w:bottom w:val="single" w:sz="4" w:space="0" w:color="DF2F1E"/>
            </w:tcBorders>
          </w:tcPr>
          <w:p>
            <w:pPr>
              <w:pStyle w:val="TableParagraph"/>
              <w:ind w:left="669"/>
              <w:rPr>
                <w:sz w:val="16"/>
              </w:rPr>
            </w:pPr>
            <w:r>
              <w:rPr>
                <w:color w:val="404040"/>
                <w:sz w:val="16"/>
              </w:rPr>
              <w:t>32%</w:t>
            </w:r>
          </w:p>
        </w:tc>
        <w:tc>
          <w:tcPr>
            <w:tcW w:w="1574" w:type="dxa"/>
            <w:tcBorders>
              <w:bottom w:val="single" w:sz="4" w:space="0" w:color="DF2F1E"/>
            </w:tcBorders>
          </w:tcPr>
          <w:p>
            <w:pPr>
              <w:pStyle w:val="TableParagraph"/>
              <w:ind w:left="468" w:right="487"/>
              <w:jc w:val="center"/>
              <w:rPr>
                <w:sz w:val="16"/>
              </w:rPr>
            </w:pPr>
            <w:r>
              <w:rPr>
                <w:color w:val="404040"/>
                <w:sz w:val="16"/>
              </w:rPr>
              <w:t>432,000</w:t>
            </w:r>
          </w:p>
        </w:tc>
        <w:tc>
          <w:tcPr>
            <w:tcW w:w="1608" w:type="dxa"/>
            <w:tcBorders>
              <w:bottom w:val="single" w:sz="4" w:space="0" w:color="DF2F1E"/>
              <w:right w:val="single" w:sz="4" w:space="0" w:color="DF2F1E"/>
            </w:tcBorders>
          </w:tcPr>
          <w:p>
            <w:pPr>
              <w:pStyle w:val="TableParagraph"/>
              <w:ind w:left="581" w:right="568"/>
              <w:jc w:val="center"/>
              <w:rPr>
                <w:sz w:val="16"/>
              </w:rPr>
            </w:pPr>
            <w:r>
              <w:rPr>
                <w:color w:val="404040"/>
                <w:sz w:val="16"/>
              </w:rPr>
              <w:t>80%</w:t>
            </w:r>
          </w:p>
        </w:tc>
      </w:tr>
      <w:tr>
        <w:trPr>
          <w:trHeight w:val="262" w:hRule="atLeast"/>
        </w:trPr>
        <w:tc>
          <w:tcPr>
            <w:tcW w:w="3905" w:type="dxa"/>
            <w:tcBorders>
              <w:top w:val="single" w:sz="4" w:space="0" w:color="DF2F1E"/>
              <w:left w:val="single" w:sz="4" w:space="0" w:color="DF2F1E"/>
            </w:tcBorders>
          </w:tcPr>
          <w:p>
            <w:pPr>
              <w:pStyle w:val="TableParagraph"/>
              <w:spacing w:before="34"/>
              <w:ind w:left="107"/>
              <w:rPr>
                <w:b/>
                <w:sz w:val="16"/>
              </w:rPr>
            </w:pPr>
            <w:r>
              <w:rPr>
                <w:b/>
                <w:color w:val="404040"/>
                <w:sz w:val="16"/>
              </w:rPr>
              <w:t>Number of children</w:t>
            </w:r>
          </w:p>
        </w:tc>
        <w:tc>
          <w:tcPr>
            <w:tcW w:w="1037" w:type="dxa"/>
            <w:tcBorders>
              <w:top w:val="single" w:sz="4" w:space="0" w:color="DF2F1E"/>
            </w:tcBorders>
          </w:tcPr>
          <w:p>
            <w:pPr>
              <w:pStyle w:val="TableParagraph"/>
              <w:spacing w:before="0"/>
              <w:rPr>
                <w:rFonts w:ascii="Times New Roman"/>
                <w:sz w:val="18"/>
              </w:rPr>
            </w:pPr>
          </w:p>
        </w:tc>
        <w:tc>
          <w:tcPr>
            <w:tcW w:w="1658" w:type="dxa"/>
            <w:tcBorders>
              <w:top w:val="single" w:sz="4" w:space="0" w:color="DF2F1E"/>
            </w:tcBorders>
          </w:tcPr>
          <w:p>
            <w:pPr>
              <w:pStyle w:val="TableParagraph"/>
              <w:spacing w:before="0"/>
              <w:rPr>
                <w:rFonts w:ascii="Times New Roman"/>
                <w:sz w:val="18"/>
              </w:rPr>
            </w:pPr>
          </w:p>
        </w:tc>
        <w:tc>
          <w:tcPr>
            <w:tcW w:w="1574" w:type="dxa"/>
            <w:tcBorders>
              <w:top w:val="single" w:sz="4" w:space="0" w:color="DF2F1E"/>
            </w:tcBorders>
          </w:tcPr>
          <w:p>
            <w:pPr>
              <w:pStyle w:val="TableParagraph"/>
              <w:spacing w:before="0"/>
              <w:rPr>
                <w:rFonts w:ascii="Times New Roman"/>
                <w:sz w:val="18"/>
              </w:rPr>
            </w:pPr>
          </w:p>
        </w:tc>
        <w:tc>
          <w:tcPr>
            <w:tcW w:w="1608" w:type="dxa"/>
            <w:tcBorders>
              <w:top w:val="single" w:sz="4" w:space="0" w:color="DF2F1E"/>
              <w:right w:val="single" w:sz="4" w:space="0" w:color="DF2F1E"/>
            </w:tcBorders>
          </w:tcPr>
          <w:p>
            <w:pPr>
              <w:pStyle w:val="TableParagraph"/>
              <w:spacing w:before="0"/>
              <w:rPr>
                <w:rFonts w:ascii="Times New Roman"/>
                <w:sz w:val="18"/>
              </w:rPr>
            </w:pPr>
          </w:p>
        </w:tc>
      </w:tr>
      <w:tr>
        <w:trPr>
          <w:trHeight w:val="265" w:hRule="atLeast"/>
        </w:trPr>
        <w:tc>
          <w:tcPr>
            <w:tcW w:w="3905" w:type="dxa"/>
            <w:tcBorders>
              <w:left w:val="single" w:sz="4" w:space="0" w:color="DF2F1E"/>
            </w:tcBorders>
          </w:tcPr>
          <w:p>
            <w:pPr>
              <w:pStyle w:val="TableParagraph"/>
              <w:spacing w:before="39"/>
              <w:ind w:left="287"/>
              <w:rPr>
                <w:b/>
                <w:i/>
                <w:sz w:val="16"/>
              </w:rPr>
            </w:pPr>
            <w:r>
              <w:rPr>
                <w:b/>
                <w:i/>
                <w:color w:val="404040"/>
                <w:sz w:val="16"/>
              </w:rPr>
              <w:t>- 1 child</w:t>
            </w:r>
          </w:p>
        </w:tc>
        <w:tc>
          <w:tcPr>
            <w:tcW w:w="1037" w:type="dxa"/>
          </w:tcPr>
          <w:p>
            <w:pPr>
              <w:pStyle w:val="TableParagraph"/>
              <w:spacing w:before="39"/>
              <w:ind w:right="293"/>
              <w:jc w:val="right"/>
              <w:rPr>
                <w:sz w:val="16"/>
              </w:rPr>
            </w:pPr>
            <w:r>
              <w:rPr>
                <w:color w:val="404040"/>
                <w:sz w:val="16"/>
              </w:rPr>
              <w:t>36,000</w:t>
            </w:r>
          </w:p>
        </w:tc>
        <w:tc>
          <w:tcPr>
            <w:tcW w:w="1658" w:type="dxa"/>
          </w:tcPr>
          <w:p>
            <w:pPr>
              <w:pStyle w:val="TableParagraph"/>
              <w:spacing w:before="39"/>
              <w:ind w:left="669"/>
              <w:rPr>
                <w:sz w:val="16"/>
              </w:rPr>
            </w:pPr>
            <w:r>
              <w:rPr>
                <w:color w:val="404040"/>
                <w:sz w:val="16"/>
              </w:rPr>
              <w:t>22%</w:t>
            </w:r>
          </w:p>
        </w:tc>
        <w:tc>
          <w:tcPr>
            <w:tcW w:w="1574" w:type="dxa"/>
          </w:tcPr>
          <w:p>
            <w:pPr>
              <w:pStyle w:val="TableParagraph"/>
              <w:spacing w:before="39"/>
              <w:ind w:left="468" w:right="487"/>
              <w:jc w:val="center"/>
              <w:rPr>
                <w:sz w:val="16"/>
              </w:rPr>
            </w:pPr>
            <w:r>
              <w:rPr>
                <w:color w:val="404040"/>
                <w:sz w:val="16"/>
              </w:rPr>
              <w:t>481,000</w:t>
            </w:r>
          </w:p>
        </w:tc>
        <w:tc>
          <w:tcPr>
            <w:tcW w:w="1608" w:type="dxa"/>
            <w:tcBorders>
              <w:right w:val="single" w:sz="4" w:space="0" w:color="DF2F1E"/>
            </w:tcBorders>
          </w:tcPr>
          <w:p>
            <w:pPr>
              <w:pStyle w:val="TableParagraph"/>
              <w:spacing w:before="39"/>
              <w:ind w:left="581" w:right="568"/>
              <w:jc w:val="center"/>
              <w:rPr>
                <w:sz w:val="16"/>
              </w:rPr>
            </w:pPr>
            <w:r>
              <w:rPr>
                <w:color w:val="404040"/>
                <w:sz w:val="16"/>
              </w:rPr>
              <w:t>89%</w:t>
            </w:r>
          </w:p>
        </w:tc>
      </w:tr>
      <w:tr>
        <w:trPr>
          <w:trHeight w:val="264" w:hRule="atLeast"/>
        </w:trPr>
        <w:tc>
          <w:tcPr>
            <w:tcW w:w="3905" w:type="dxa"/>
            <w:tcBorders>
              <w:left w:val="single" w:sz="4" w:space="0" w:color="DF2F1E"/>
            </w:tcBorders>
          </w:tcPr>
          <w:p>
            <w:pPr>
              <w:pStyle w:val="TableParagraph"/>
              <w:ind w:left="287"/>
              <w:rPr>
                <w:b/>
                <w:i/>
                <w:sz w:val="16"/>
              </w:rPr>
            </w:pPr>
            <w:r>
              <w:rPr>
                <w:b/>
                <w:i/>
                <w:color w:val="404040"/>
                <w:sz w:val="16"/>
              </w:rPr>
              <w:t>- 2 children</w:t>
            </w:r>
          </w:p>
        </w:tc>
        <w:tc>
          <w:tcPr>
            <w:tcW w:w="1037" w:type="dxa"/>
          </w:tcPr>
          <w:p>
            <w:pPr>
              <w:pStyle w:val="TableParagraph"/>
              <w:ind w:right="293"/>
              <w:jc w:val="right"/>
              <w:rPr>
                <w:sz w:val="16"/>
              </w:rPr>
            </w:pPr>
            <w:r>
              <w:rPr>
                <w:color w:val="404040"/>
                <w:sz w:val="16"/>
              </w:rPr>
              <w:t>54,000</w:t>
            </w:r>
          </w:p>
        </w:tc>
        <w:tc>
          <w:tcPr>
            <w:tcW w:w="1658" w:type="dxa"/>
          </w:tcPr>
          <w:p>
            <w:pPr>
              <w:pStyle w:val="TableParagraph"/>
              <w:ind w:left="669"/>
              <w:rPr>
                <w:sz w:val="16"/>
              </w:rPr>
            </w:pPr>
            <w:r>
              <w:rPr>
                <w:color w:val="404040"/>
                <w:sz w:val="16"/>
              </w:rPr>
              <w:t>32%</w:t>
            </w:r>
          </w:p>
        </w:tc>
        <w:tc>
          <w:tcPr>
            <w:tcW w:w="1574" w:type="dxa"/>
          </w:tcPr>
          <w:p>
            <w:pPr>
              <w:pStyle w:val="TableParagraph"/>
              <w:ind w:left="468" w:right="487"/>
              <w:jc w:val="center"/>
              <w:rPr>
                <w:sz w:val="16"/>
              </w:rPr>
            </w:pPr>
            <w:r>
              <w:rPr>
                <w:color w:val="404040"/>
                <w:sz w:val="16"/>
              </w:rPr>
              <w:t>491,000</w:t>
            </w:r>
          </w:p>
        </w:tc>
        <w:tc>
          <w:tcPr>
            <w:tcW w:w="1608" w:type="dxa"/>
            <w:tcBorders>
              <w:right w:val="single" w:sz="4" w:space="0" w:color="DF2F1E"/>
            </w:tcBorders>
          </w:tcPr>
          <w:p>
            <w:pPr>
              <w:pStyle w:val="TableParagraph"/>
              <w:ind w:left="581" w:right="568"/>
              <w:jc w:val="center"/>
              <w:rPr>
                <w:sz w:val="16"/>
              </w:rPr>
            </w:pPr>
            <w:r>
              <w:rPr>
                <w:color w:val="404040"/>
                <w:sz w:val="16"/>
              </w:rPr>
              <w:t>91%</w:t>
            </w:r>
          </w:p>
        </w:tc>
      </w:tr>
      <w:tr>
        <w:trPr>
          <w:trHeight w:val="264" w:hRule="atLeast"/>
        </w:trPr>
        <w:tc>
          <w:tcPr>
            <w:tcW w:w="3905" w:type="dxa"/>
            <w:tcBorders>
              <w:left w:val="single" w:sz="4" w:space="0" w:color="DF2F1E"/>
              <w:bottom w:val="single" w:sz="4" w:space="0" w:color="DF2F1E"/>
            </w:tcBorders>
          </w:tcPr>
          <w:p>
            <w:pPr>
              <w:pStyle w:val="TableParagraph"/>
              <w:ind w:left="287"/>
              <w:rPr>
                <w:b/>
                <w:i/>
                <w:sz w:val="16"/>
              </w:rPr>
            </w:pPr>
            <w:r>
              <w:rPr>
                <w:b/>
                <w:i/>
                <w:color w:val="404040"/>
                <w:sz w:val="16"/>
              </w:rPr>
              <w:t>- 3+ children</w:t>
            </w:r>
          </w:p>
        </w:tc>
        <w:tc>
          <w:tcPr>
            <w:tcW w:w="1037" w:type="dxa"/>
            <w:tcBorders>
              <w:bottom w:val="single" w:sz="4" w:space="0" w:color="DF2F1E"/>
            </w:tcBorders>
          </w:tcPr>
          <w:p>
            <w:pPr>
              <w:pStyle w:val="TableParagraph"/>
              <w:ind w:right="293"/>
              <w:jc w:val="right"/>
              <w:rPr>
                <w:sz w:val="16"/>
              </w:rPr>
            </w:pPr>
            <w:r>
              <w:rPr>
                <w:color w:val="404040"/>
                <w:sz w:val="16"/>
              </w:rPr>
              <w:t>77,000</w:t>
            </w:r>
          </w:p>
        </w:tc>
        <w:tc>
          <w:tcPr>
            <w:tcW w:w="1658" w:type="dxa"/>
            <w:tcBorders>
              <w:bottom w:val="single" w:sz="4" w:space="0" w:color="DF2F1E"/>
            </w:tcBorders>
          </w:tcPr>
          <w:p>
            <w:pPr>
              <w:pStyle w:val="TableParagraph"/>
              <w:ind w:left="669"/>
              <w:rPr>
                <w:sz w:val="16"/>
              </w:rPr>
            </w:pPr>
            <w:r>
              <w:rPr>
                <w:color w:val="404040"/>
                <w:sz w:val="16"/>
              </w:rPr>
              <w:t>46%</w:t>
            </w:r>
          </w:p>
        </w:tc>
        <w:tc>
          <w:tcPr>
            <w:tcW w:w="1574" w:type="dxa"/>
            <w:tcBorders>
              <w:bottom w:val="single" w:sz="4" w:space="0" w:color="DF2F1E"/>
            </w:tcBorders>
          </w:tcPr>
          <w:p>
            <w:pPr>
              <w:pStyle w:val="TableParagraph"/>
              <w:ind w:left="468" w:right="487"/>
              <w:jc w:val="center"/>
              <w:rPr>
                <w:sz w:val="16"/>
              </w:rPr>
            </w:pPr>
            <w:r>
              <w:rPr>
                <w:color w:val="404040"/>
                <w:sz w:val="16"/>
              </w:rPr>
              <w:t>604,000</w:t>
            </w:r>
          </w:p>
        </w:tc>
        <w:tc>
          <w:tcPr>
            <w:tcW w:w="1608" w:type="dxa"/>
            <w:tcBorders>
              <w:bottom w:val="single" w:sz="4" w:space="0" w:color="DF2F1E"/>
              <w:right w:val="single" w:sz="4" w:space="0" w:color="DF2F1E"/>
            </w:tcBorders>
          </w:tcPr>
          <w:p>
            <w:pPr>
              <w:pStyle w:val="TableParagraph"/>
              <w:ind w:left="581" w:right="570"/>
              <w:jc w:val="center"/>
              <w:rPr>
                <w:sz w:val="16"/>
              </w:rPr>
            </w:pPr>
            <w:r>
              <w:rPr>
                <w:color w:val="404040"/>
                <w:sz w:val="16"/>
              </w:rPr>
              <w:t>112%</w:t>
            </w:r>
          </w:p>
        </w:tc>
      </w:tr>
      <w:tr>
        <w:trPr>
          <w:trHeight w:val="262" w:hRule="atLeast"/>
        </w:trPr>
        <w:tc>
          <w:tcPr>
            <w:tcW w:w="3905" w:type="dxa"/>
            <w:tcBorders>
              <w:top w:val="single" w:sz="4" w:space="0" w:color="DF2F1E"/>
              <w:left w:val="single" w:sz="4" w:space="0" w:color="DF2F1E"/>
            </w:tcBorders>
          </w:tcPr>
          <w:p>
            <w:pPr>
              <w:pStyle w:val="TableParagraph"/>
              <w:spacing w:before="34"/>
              <w:ind w:left="107"/>
              <w:rPr>
                <w:b/>
                <w:sz w:val="16"/>
              </w:rPr>
            </w:pPr>
            <w:r>
              <w:rPr>
                <w:b/>
                <w:color w:val="404040"/>
                <w:sz w:val="16"/>
              </w:rPr>
              <w:t>Age of youngest child</w:t>
            </w:r>
          </w:p>
        </w:tc>
        <w:tc>
          <w:tcPr>
            <w:tcW w:w="1037" w:type="dxa"/>
            <w:tcBorders>
              <w:top w:val="single" w:sz="4" w:space="0" w:color="DF2F1E"/>
            </w:tcBorders>
          </w:tcPr>
          <w:p>
            <w:pPr>
              <w:pStyle w:val="TableParagraph"/>
              <w:spacing w:before="0"/>
              <w:rPr>
                <w:rFonts w:ascii="Times New Roman"/>
                <w:sz w:val="18"/>
              </w:rPr>
            </w:pPr>
          </w:p>
        </w:tc>
        <w:tc>
          <w:tcPr>
            <w:tcW w:w="1658" w:type="dxa"/>
            <w:tcBorders>
              <w:top w:val="single" w:sz="4" w:space="0" w:color="DF2F1E"/>
            </w:tcBorders>
          </w:tcPr>
          <w:p>
            <w:pPr>
              <w:pStyle w:val="TableParagraph"/>
              <w:spacing w:before="0"/>
              <w:rPr>
                <w:rFonts w:ascii="Times New Roman"/>
                <w:sz w:val="18"/>
              </w:rPr>
            </w:pPr>
          </w:p>
        </w:tc>
        <w:tc>
          <w:tcPr>
            <w:tcW w:w="1574" w:type="dxa"/>
            <w:tcBorders>
              <w:top w:val="single" w:sz="4" w:space="0" w:color="DF2F1E"/>
            </w:tcBorders>
          </w:tcPr>
          <w:p>
            <w:pPr>
              <w:pStyle w:val="TableParagraph"/>
              <w:spacing w:before="0"/>
              <w:rPr>
                <w:rFonts w:ascii="Times New Roman"/>
                <w:sz w:val="18"/>
              </w:rPr>
            </w:pPr>
          </w:p>
        </w:tc>
        <w:tc>
          <w:tcPr>
            <w:tcW w:w="1608" w:type="dxa"/>
            <w:tcBorders>
              <w:top w:val="single" w:sz="4" w:space="0" w:color="DF2F1E"/>
              <w:right w:val="single" w:sz="4" w:space="0" w:color="DF2F1E"/>
            </w:tcBorders>
          </w:tcPr>
          <w:p>
            <w:pPr>
              <w:pStyle w:val="TableParagraph"/>
              <w:spacing w:before="0"/>
              <w:rPr>
                <w:rFonts w:ascii="Times New Roman"/>
                <w:sz w:val="18"/>
              </w:rPr>
            </w:pPr>
          </w:p>
        </w:tc>
      </w:tr>
      <w:tr>
        <w:trPr>
          <w:trHeight w:val="265" w:hRule="atLeast"/>
        </w:trPr>
        <w:tc>
          <w:tcPr>
            <w:tcW w:w="3905" w:type="dxa"/>
            <w:tcBorders>
              <w:left w:val="single" w:sz="4" w:space="0" w:color="DF2F1E"/>
            </w:tcBorders>
          </w:tcPr>
          <w:p>
            <w:pPr>
              <w:pStyle w:val="TableParagraph"/>
              <w:spacing w:before="39"/>
              <w:ind w:left="287"/>
              <w:rPr>
                <w:b/>
                <w:i/>
                <w:sz w:val="16"/>
              </w:rPr>
            </w:pPr>
            <w:r>
              <w:rPr>
                <w:b/>
                <w:i/>
                <w:color w:val="404040"/>
                <w:sz w:val="16"/>
              </w:rPr>
              <w:t>- New born</w:t>
            </w:r>
          </w:p>
        </w:tc>
        <w:tc>
          <w:tcPr>
            <w:tcW w:w="1037" w:type="dxa"/>
          </w:tcPr>
          <w:p>
            <w:pPr>
              <w:pStyle w:val="TableParagraph"/>
              <w:spacing w:before="39"/>
              <w:ind w:right="293"/>
              <w:jc w:val="right"/>
              <w:rPr>
                <w:sz w:val="16"/>
              </w:rPr>
            </w:pPr>
            <w:r>
              <w:rPr>
                <w:color w:val="404040"/>
                <w:sz w:val="16"/>
              </w:rPr>
              <w:t>19,000</w:t>
            </w:r>
          </w:p>
        </w:tc>
        <w:tc>
          <w:tcPr>
            <w:tcW w:w="1658" w:type="dxa"/>
          </w:tcPr>
          <w:p>
            <w:pPr>
              <w:pStyle w:val="TableParagraph"/>
              <w:spacing w:before="39"/>
              <w:ind w:left="669"/>
              <w:rPr>
                <w:sz w:val="16"/>
              </w:rPr>
            </w:pPr>
            <w:r>
              <w:rPr>
                <w:color w:val="404040"/>
                <w:sz w:val="16"/>
              </w:rPr>
              <w:t>12%</w:t>
            </w:r>
          </w:p>
        </w:tc>
        <w:tc>
          <w:tcPr>
            <w:tcW w:w="1574" w:type="dxa"/>
          </w:tcPr>
          <w:p>
            <w:pPr>
              <w:pStyle w:val="TableParagraph"/>
              <w:spacing w:before="39"/>
              <w:ind w:left="468" w:right="487"/>
              <w:jc w:val="center"/>
              <w:rPr>
                <w:sz w:val="16"/>
              </w:rPr>
            </w:pPr>
            <w:r>
              <w:rPr>
                <w:color w:val="404040"/>
                <w:sz w:val="16"/>
              </w:rPr>
              <w:t>619,000</w:t>
            </w:r>
          </w:p>
        </w:tc>
        <w:tc>
          <w:tcPr>
            <w:tcW w:w="1608" w:type="dxa"/>
            <w:tcBorders>
              <w:right w:val="single" w:sz="4" w:space="0" w:color="DF2F1E"/>
            </w:tcBorders>
          </w:tcPr>
          <w:p>
            <w:pPr>
              <w:pStyle w:val="TableParagraph"/>
              <w:spacing w:before="39"/>
              <w:ind w:left="581" w:right="570"/>
              <w:jc w:val="center"/>
              <w:rPr>
                <w:sz w:val="16"/>
              </w:rPr>
            </w:pPr>
            <w:r>
              <w:rPr>
                <w:color w:val="404040"/>
                <w:sz w:val="16"/>
              </w:rPr>
              <w:t>114%</w:t>
            </w:r>
          </w:p>
        </w:tc>
      </w:tr>
      <w:tr>
        <w:trPr>
          <w:trHeight w:val="264" w:hRule="atLeast"/>
        </w:trPr>
        <w:tc>
          <w:tcPr>
            <w:tcW w:w="3905" w:type="dxa"/>
            <w:tcBorders>
              <w:left w:val="single" w:sz="4" w:space="0" w:color="DF2F1E"/>
            </w:tcBorders>
          </w:tcPr>
          <w:p>
            <w:pPr>
              <w:pStyle w:val="TableParagraph"/>
              <w:ind w:left="287"/>
              <w:rPr>
                <w:b/>
                <w:i/>
                <w:sz w:val="16"/>
              </w:rPr>
            </w:pPr>
            <w:r>
              <w:rPr>
                <w:b/>
                <w:i/>
                <w:color w:val="404040"/>
                <w:sz w:val="16"/>
              </w:rPr>
              <w:t>- 1-6 Years old</w:t>
            </w:r>
          </w:p>
        </w:tc>
        <w:tc>
          <w:tcPr>
            <w:tcW w:w="1037" w:type="dxa"/>
          </w:tcPr>
          <w:p>
            <w:pPr>
              <w:pStyle w:val="TableParagraph"/>
              <w:ind w:right="250"/>
              <w:jc w:val="right"/>
              <w:rPr>
                <w:sz w:val="16"/>
              </w:rPr>
            </w:pPr>
            <w:r>
              <w:rPr>
                <w:color w:val="404040"/>
                <w:sz w:val="16"/>
              </w:rPr>
              <w:t>132,000</w:t>
            </w:r>
          </w:p>
        </w:tc>
        <w:tc>
          <w:tcPr>
            <w:tcW w:w="1658" w:type="dxa"/>
          </w:tcPr>
          <w:p>
            <w:pPr>
              <w:pStyle w:val="TableParagraph"/>
              <w:ind w:left="669"/>
              <w:rPr>
                <w:sz w:val="16"/>
              </w:rPr>
            </w:pPr>
            <w:r>
              <w:rPr>
                <w:color w:val="404040"/>
                <w:sz w:val="16"/>
              </w:rPr>
              <w:t>79%</w:t>
            </w:r>
          </w:p>
        </w:tc>
        <w:tc>
          <w:tcPr>
            <w:tcW w:w="1574" w:type="dxa"/>
          </w:tcPr>
          <w:p>
            <w:pPr>
              <w:pStyle w:val="TableParagraph"/>
              <w:ind w:left="468" w:right="487"/>
              <w:jc w:val="center"/>
              <w:rPr>
                <w:sz w:val="16"/>
              </w:rPr>
            </w:pPr>
            <w:r>
              <w:rPr>
                <w:color w:val="404040"/>
                <w:sz w:val="16"/>
              </w:rPr>
              <w:t>540,000</w:t>
            </w:r>
          </w:p>
        </w:tc>
        <w:tc>
          <w:tcPr>
            <w:tcW w:w="1608" w:type="dxa"/>
            <w:tcBorders>
              <w:right w:val="single" w:sz="4" w:space="0" w:color="DF2F1E"/>
            </w:tcBorders>
          </w:tcPr>
          <w:p>
            <w:pPr>
              <w:pStyle w:val="TableParagraph"/>
              <w:ind w:left="581" w:right="571"/>
              <w:jc w:val="center"/>
              <w:rPr>
                <w:sz w:val="16"/>
              </w:rPr>
            </w:pPr>
            <w:r>
              <w:rPr>
                <w:color w:val="404040"/>
                <w:sz w:val="16"/>
              </w:rPr>
              <w:t>100%</w:t>
            </w:r>
          </w:p>
        </w:tc>
      </w:tr>
      <w:tr>
        <w:trPr>
          <w:trHeight w:val="264" w:hRule="atLeast"/>
        </w:trPr>
        <w:tc>
          <w:tcPr>
            <w:tcW w:w="3905" w:type="dxa"/>
            <w:tcBorders>
              <w:left w:val="single" w:sz="4" w:space="0" w:color="DF2F1E"/>
              <w:bottom w:val="single" w:sz="4" w:space="0" w:color="DF2F1E"/>
            </w:tcBorders>
          </w:tcPr>
          <w:p>
            <w:pPr>
              <w:pStyle w:val="TableParagraph"/>
              <w:ind w:left="287"/>
              <w:rPr>
                <w:b/>
                <w:i/>
                <w:sz w:val="16"/>
              </w:rPr>
            </w:pPr>
            <w:r>
              <w:rPr>
                <w:b/>
                <w:i/>
                <w:color w:val="404040"/>
                <w:sz w:val="16"/>
              </w:rPr>
              <w:t>- 7-8 Years old</w:t>
            </w:r>
          </w:p>
        </w:tc>
        <w:tc>
          <w:tcPr>
            <w:tcW w:w="1037" w:type="dxa"/>
            <w:tcBorders>
              <w:bottom w:val="single" w:sz="4" w:space="0" w:color="DF2F1E"/>
            </w:tcBorders>
          </w:tcPr>
          <w:p>
            <w:pPr>
              <w:pStyle w:val="TableParagraph"/>
              <w:ind w:right="293"/>
              <w:jc w:val="right"/>
              <w:rPr>
                <w:sz w:val="16"/>
              </w:rPr>
            </w:pPr>
            <w:r>
              <w:rPr>
                <w:color w:val="404040"/>
                <w:sz w:val="16"/>
              </w:rPr>
              <w:t>15,000</w:t>
            </w:r>
          </w:p>
        </w:tc>
        <w:tc>
          <w:tcPr>
            <w:tcW w:w="1658" w:type="dxa"/>
            <w:tcBorders>
              <w:bottom w:val="single" w:sz="4" w:space="0" w:color="DF2F1E"/>
            </w:tcBorders>
          </w:tcPr>
          <w:p>
            <w:pPr>
              <w:pStyle w:val="TableParagraph"/>
              <w:ind w:left="712"/>
              <w:rPr>
                <w:sz w:val="16"/>
              </w:rPr>
            </w:pPr>
            <w:r>
              <w:rPr>
                <w:color w:val="404040"/>
                <w:sz w:val="16"/>
              </w:rPr>
              <w:t>9%</w:t>
            </w:r>
          </w:p>
        </w:tc>
        <w:tc>
          <w:tcPr>
            <w:tcW w:w="1574" w:type="dxa"/>
            <w:tcBorders>
              <w:bottom w:val="single" w:sz="4" w:space="0" w:color="DF2F1E"/>
            </w:tcBorders>
          </w:tcPr>
          <w:p>
            <w:pPr>
              <w:pStyle w:val="TableParagraph"/>
              <w:ind w:left="468" w:right="487"/>
              <w:jc w:val="center"/>
              <w:rPr>
                <w:sz w:val="16"/>
              </w:rPr>
            </w:pPr>
            <w:r>
              <w:rPr>
                <w:color w:val="404040"/>
                <w:sz w:val="16"/>
              </w:rPr>
              <w:t>459,000</w:t>
            </w:r>
          </w:p>
        </w:tc>
        <w:tc>
          <w:tcPr>
            <w:tcW w:w="1608" w:type="dxa"/>
            <w:tcBorders>
              <w:bottom w:val="single" w:sz="4" w:space="0" w:color="DF2F1E"/>
              <w:right w:val="single" w:sz="4" w:space="0" w:color="DF2F1E"/>
            </w:tcBorders>
          </w:tcPr>
          <w:p>
            <w:pPr>
              <w:pStyle w:val="TableParagraph"/>
              <w:ind w:left="581" w:right="568"/>
              <w:jc w:val="center"/>
              <w:rPr>
                <w:sz w:val="16"/>
              </w:rPr>
            </w:pPr>
            <w:r>
              <w:rPr>
                <w:color w:val="404040"/>
                <w:sz w:val="16"/>
              </w:rPr>
              <w:t>85%</w:t>
            </w:r>
          </w:p>
        </w:tc>
      </w:tr>
      <w:tr>
        <w:trPr>
          <w:trHeight w:val="262" w:hRule="atLeast"/>
        </w:trPr>
        <w:tc>
          <w:tcPr>
            <w:tcW w:w="3905" w:type="dxa"/>
            <w:tcBorders>
              <w:top w:val="single" w:sz="4" w:space="0" w:color="DF2F1E"/>
              <w:left w:val="single" w:sz="4" w:space="0" w:color="DF2F1E"/>
            </w:tcBorders>
          </w:tcPr>
          <w:p>
            <w:pPr>
              <w:pStyle w:val="TableParagraph"/>
              <w:spacing w:before="34"/>
              <w:ind w:left="107"/>
              <w:rPr>
                <w:b/>
                <w:sz w:val="16"/>
              </w:rPr>
            </w:pPr>
            <w:r>
              <w:rPr>
                <w:b/>
                <w:color w:val="404040"/>
                <w:sz w:val="16"/>
              </w:rPr>
              <w:t>Earnings</w:t>
            </w:r>
          </w:p>
        </w:tc>
        <w:tc>
          <w:tcPr>
            <w:tcW w:w="1037" w:type="dxa"/>
            <w:tcBorders>
              <w:top w:val="single" w:sz="4" w:space="0" w:color="DF2F1E"/>
            </w:tcBorders>
          </w:tcPr>
          <w:p>
            <w:pPr>
              <w:pStyle w:val="TableParagraph"/>
              <w:spacing w:before="0"/>
              <w:rPr>
                <w:rFonts w:ascii="Times New Roman"/>
                <w:sz w:val="18"/>
              </w:rPr>
            </w:pPr>
          </w:p>
        </w:tc>
        <w:tc>
          <w:tcPr>
            <w:tcW w:w="1658" w:type="dxa"/>
            <w:tcBorders>
              <w:top w:val="single" w:sz="4" w:space="0" w:color="DF2F1E"/>
            </w:tcBorders>
          </w:tcPr>
          <w:p>
            <w:pPr>
              <w:pStyle w:val="TableParagraph"/>
              <w:spacing w:before="0"/>
              <w:rPr>
                <w:rFonts w:ascii="Times New Roman"/>
                <w:sz w:val="18"/>
              </w:rPr>
            </w:pPr>
          </w:p>
        </w:tc>
        <w:tc>
          <w:tcPr>
            <w:tcW w:w="1574" w:type="dxa"/>
            <w:tcBorders>
              <w:top w:val="single" w:sz="4" w:space="0" w:color="DF2F1E"/>
            </w:tcBorders>
          </w:tcPr>
          <w:p>
            <w:pPr>
              <w:pStyle w:val="TableParagraph"/>
              <w:spacing w:before="0"/>
              <w:rPr>
                <w:rFonts w:ascii="Times New Roman"/>
                <w:sz w:val="18"/>
              </w:rPr>
            </w:pPr>
          </w:p>
        </w:tc>
        <w:tc>
          <w:tcPr>
            <w:tcW w:w="1608" w:type="dxa"/>
            <w:tcBorders>
              <w:top w:val="single" w:sz="4" w:space="0" w:color="DF2F1E"/>
              <w:right w:val="single" w:sz="4" w:space="0" w:color="DF2F1E"/>
            </w:tcBorders>
          </w:tcPr>
          <w:p>
            <w:pPr>
              <w:pStyle w:val="TableParagraph"/>
              <w:spacing w:before="0"/>
              <w:rPr>
                <w:rFonts w:ascii="Times New Roman"/>
                <w:sz w:val="18"/>
              </w:rPr>
            </w:pPr>
          </w:p>
        </w:tc>
      </w:tr>
      <w:tr>
        <w:trPr>
          <w:trHeight w:val="265" w:hRule="atLeast"/>
        </w:trPr>
        <w:tc>
          <w:tcPr>
            <w:tcW w:w="3905" w:type="dxa"/>
            <w:tcBorders>
              <w:left w:val="single" w:sz="4" w:space="0" w:color="DF2F1E"/>
            </w:tcBorders>
          </w:tcPr>
          <w:p>
            <w:pPr>
              <w:pStyle w:val="TableParagraph"/>
              <w:spacing w:before="39"/>
              <w:ind w:left="287"/>
              <w:rPr>
                <w:b/>
                <w:i/>
                <w:sz w:val="16"/>
              </w:rPr>
            </w:pPr>
            <w:r>
              <w:rPr>
                <w:b/>
                <w:i/>
                <w:color w:val="404040"/>
                <w:sz w:val="16"/>
              </w:rPr>
              <w:t>- No earnings</w:t>
            </w:r>
          </w:p>
        </w:tc>
        <w:tc>
          <w:tcPr>
            <w:tcW w:w="1037" w:type="dxa"/>
          </w:tcPr>
          <w:p>
            <w:pPr>
              <w:pStyle w:val="TableParagraph"/>
              <w:spacing w:before="39"/>
              <w:ind w:right="250"/>
              <w:jc w:val="right"/>
              <w:rPr>
                <w:sz w:val="16"/>
              </w:rPr>
            </w:pPr>
            <w:r>
              <w:rPr>
                <w:color w:val="404040"/>
                <w:sz w:val="16"/>
              </w:rPr>
              <w:t>103,000</w:t>
            </w:r>
          </w:p>
        </w:tc>
        <w:tc>
          <w:tcPr>
            <w:tcW w:w="1658" w:type="dxa"/>
          </w:tcPr>
          <w:p>
            <w:pPr>
              <w:pStyle w:val="TableParagraph"/>
              <w:spacing w:before="39"/>
              <w:ind w:left="669"/>
              <w:rPr>
                <w:sz w:val="16"/>
              </w:rPr>
            </w:pPr>
            <w:r>
              <w:rPr>
                <w:color w:val="404040"/>
                <w:sz w:val="16"/>
              </w:rPr>
              <w:t>61%</w:t>
            </w:r>
          </w:p>
        </w:tc>
        <w:tc>
          <w:tcPr>
            <w:tcW w:w="1574" w:type="dxa"/>
          </w:tcPr>
          <w:p>
            <w:pPr>
              <w:pStyle w:val="TableParagraph"/>
              <w:spacing w:before="39"/>
              <w:ind w:left="468" w:right="487"/>
              <w:jc w:val="center"/>
              <w:rPr>
                <w:sz w:val="16"/>
              </w:rPr>
            </w:pPr>
            <w:r>
              <w:rPr>
                <w:color w:val="404040"/>
                <w:sz w:val="16"/>
              </w:rPr>
              <w:t>576,000</w:t>
            </w:r>
          </w:p>
        </w:tc>
        <w:tc>
          <w:tcPr>
            <w:tcW w:w="1608" w:type="dxa"/>
            <w:tcBorders>
              <w:right w:val="single" w:sz="4" w:space="0" w:color="DF2F1E"/>
            </w:tcBorders>
          </w:tcPr>
          <w:p>
            <w:pPr>
              <w:pStyle w:val="TableParagraph"/>
              <w:spacing w:before="39"/>
              <w:ind w:left="581" w:right="571"/>
              <w:jc w:val="center"/>
              <w:rPr>
                <w:sz w:val="16"/>
              </w:rPr>
            </w:pPr>
            <w:r>
              <w:rPr>
                <w:color w:val="404040"/>
                <w:sz w:val="16"/>
              </w:rPr>
              <w:t>106%</w:t>
            </w:r>
          </w:p>
        </w:tc>
      </w:tr>
      <w:tr>
        <w:trPr>
          <w:trHeight w:val="264" w:hRule="atLeast"/>
        </w:trPr>
        <w:tc>
          <w:tcPr>
            <w:tcW w:w="3905" w:type="dxa"/>
            <w:tcBorders>
              <w:left w:val="single" w:sz="4" w:space="0" w:color="DF2F1E"/>
              <w:bottom w:val="single" w:sz="4" w:space="0" w:color="DF2F1E"/>
            </w:tcBorders>
          </w:tcPr>
          <w:p>
            <w:pPr>
              <w:pStyle w:val="TableParagraph"/>
              <w:ind w:left="287"/>
              <w:rPr>
                <w:b/>
                <w:i/>
                <w:sz w:val="16"/>
              </w:rPr>
            </w:pPr>
            <w:r>
              <w:rPr>
                <w:b/>
                <w:i/>
                <w:color w:val="404040"/>
                <w:sz w:val="16"/>
              </w:rPr>
              <w:t>- Has earnings</w:t>
            </w:r>
          </w:p>
        </w:tc>
        <w:tc>
          <w:tcPr>
            <w:tcW w:w="1037" w:type="dxa"/>
            <w:tcBorders>
              <w:bottom w:val="single" w:sz="4" w:space="0" w:color="DF2F1E"/>
            </w:tcBorders>
          </w:tcPr>
          <w:p>
            <w:pPr>
              <w:pStyle w:val="TableParagraph"/>
              <w:ind w:right="293"/>
              <w:jc w:val="right"/>
              <w:rPr>
                <w:sz w:val="16"/>
              </w:rPr>
            </w:pPr>
            <w:r>
              <w:rPr>
                <w:color w:val="404040"/>
                <w:sz w:val="16"/>
              </w:rPr>
              <w:t>65,000</w:t>
            </w:r>
          </w:p>
        </w:tc>
        <w:tc>
          <w:tcPr>
            <w:tcW w:w="1658" w:type="dxa"/>
            <w:tcBorders>
              <w:bottom w:val="single" w:sz="4" w:space="0" w:color="DF2F1E"/>
            </w:tcBorders>
          </w:tcPr>
          <w:p>
            <w:pPr>
              <w:pStyle w:val="TableParagraph"/>
              <w:ind w:left="669"/>
              <w:rPr>
                <w:sz w:val="16"/>
              </w:rPr>
            </w:pPr>
            <w:r>
              <w:rPr>
                <w:color w:val="404040"/>
                <w:sz w:val="16"/>
              </w:rPr>
              <w:t>39%</w:t>
            </w:r>
          </w:p>
        </w:tc>
        <w:tc>
          <w:tcPr>
            <w:tcW w:w="1574" w:type="dxa"/>
            <w:tcBorders>
              <w:bottom w:val="single" w:sz="4" w:space="0" w:color="DF2F1E"/>
            </w:tcBorders>
          </w:tcPr>
          <w:p>
            <w:pPr>
              <w:pStyle w:val="TableParagraph"/>
              <w:ind w:left="468" w:right="487"/>
              <w:jc w:val="center"/>
              <w:rPr>
                <w:sz w:val="16"/>
              </w:rPr>
            </w:pPr>
            <w:r>
              <w:rPr>
                <w:color w:val="404040"/>
                <w:sz w:val="16"/>
              </w:rPr>
              <w:t>486,000</w:t>
            </w:r>
          </w:p>
        </w:tc>
        <w:tc>
          <w:tcPr>
            <w:tcW w:w="1608" w:type="dxa"/>
            <w:tcBorders>
              <w:bottom w:val="single" w:sz="4" w:space="0" w:color="DF2F1E"/>
              <w:right w:val="single" w:sz="4" w:space="0" w:color="DF2F1E"/>
            </w:tcBorders>
          </w:tcPr>
          <w:p>
            <w:pPr>
              <w:pStyle w:val="TableParagraph"/>
              <w:ind w:left="581" w:right="568"/>
              <w:jc w:val="center"/>
              <w:rPr>
                <w:sz w:val="16"/>
              </w:rPr>
            </w:pPr>
            <w:r>
              <w:rPr>
                <w:color w:val="404040"/>
                <w:sz w:val="16"/>
              </w:rPr>
              <w:t>90%</w:t>
            </w:r>
          </w:p>
        </w:tc>
      </w:tr>
      <w:tr>
        <w:trPr>
          <w:trHeight w:val="264" w:hRule="atLeast"/>
        </w:trPr>
        <w:tc>
          <w:tcPr>
            <w:tcW w:w="3905" w:type="dxa"/>
            <w:tcBorders>
              <w:top w:val="single" w:sz="4" w:space="0" w:color="DF2F1E"/>
              <w:left w:val="single" w:sz="4" w:space="0" w:color="DF2F1E"/>
            </w:tcBorders>
          </w:tcPr>
          <w:p>
            <w:pPr>
              <w:pStyle w:val="TableParagraph"/>
              <w:ind w:left="107"/>
              <w:rPr>
                <w:b/>
                <w:sz w:val="16"/>
              </w:rPr>
            </w:pPr>
            <w:r>
              <w:rPr>
                <w:b/>
                <w:color w:val="404040"/>
                <w:sz w:val="16"/>
              </w:rPr>
              <w:t>Received 'Other Carer' payment</w:t>
            </w:r>
          </w:p>
        </w:tc>
        <w:tc>
          <w:tcPr>
            <w:tcW w:w="1037" w:type="dxa"/>
            <w:tcBorders>
              <w:top w:val="single" w:sz="4" w:space="0" w:color="DF2F1E"/>
            </w:tcBorders>
          </w:tcPr>
          <w:p>
            <w:pPr>
              <w:pStyle w:val="TableParagraph"/>
              <w:spacing w:before="0"/>
              <w:rPr>
                <w:rFonts w:ascii="Times New Roman"/>
                <w:sz w:val="18"/>
              </w:rPr>
            </w:pPr>
          </w:p>
        </w:tc>
        <w:tc>
          <w:tcPr>
            <w:tcW w:w="1658" w:type="dxa"/>
            <w:tcBorders>
              <w:top w:val="single" w:sz="4" w:space="0" w:color="DF2F1E"/>
            </w:tcBorders>
          </w:tcPr>
          <w:p>
            <w:pPr>
              <w:pStyle w:val="TableParagraph"/>
              <w:spacing w:before="0"/>
              <w:rPr>
                <w:rFonts w:ascii="Times New Roman"/>
                <w:sz w:val="18"/>
              </w:rPr>
            </w:pPr>
          </w:p>
        </w:tc>
        <w:tc>
          <w:tcPr>
            <w:tcW w:w="1574" w:type="dxa"/>
            <w:tcBorders>
              <w:top w:val="single" w:sz="4" w:space="0" w:color="DF2F1E"/>
            </w:tcBorders>
          </w:tcPr>
          <w:p>
            <w:pPr>
              <w:pStyle w:val="TableParagraph"/>
              <w:spacing w:before="0"/>
              <w:rPr>
                <w:rFonts w:ascii="Times New Roman"/>
                <w:sz w:val="18"/>
              </w:rPr>
            </w:pPr>
          </w:p>
        </w:tc>
        <w:tc>
          <w:tcPr>
            <w:tcW w:w="1608" w:type="dxa"/>
            <w:tcBorders>
              <w:top w:val="single" w:sz="4" w:space="0" w:color="DF2F1E"/>
              <w:right w:val="single" w:sz="4" w:space="0" w:color="DF2F1E"/>
            </w:tcBorders>
          </w:tcPr>
          <w:p>
            <w:pPr>
              <w:pStyle w:val="TableParagraph"/>
              <w:spacing w:before="0"/>
              <w:rPr>
                <w:rFonts w:ascii="Times New Roman"/>
                <w:sz w:val="18"/>
              </w:rPr>
            </w:pPr>
          </w:p>
        </w:tc>
      </w:tr>
      <w:tr>
        <w:trPr>
          <w:trHeight w:val="265" w:hRule="atLeast"/>
        </w:trPr>
        <w:tc>
          <w:tcPr>
            <w:tcW w:w="3905" w:type="dxa"/>
            <w:tcBorders>
              <w:left w:val="single" w:sz="4" w:space="0" w:color="DF2F1E"/>
            </w:tcBorders>
          </w:tcPr>
          <w:p>
            <w:pPr>
              <w:pStyle w:val="TableParagraph"/>
              <w:spacing w:before="39"/>
              <w:ind w:left="287"/>
              <w:rPr>
                <w:b/>
                <w:i/>
                <w:sz w:val="16"/>
              </w:rPr>
            </w:pPr>
            <w:r>
              <w:rPr>
                <w:b/>
                <w:i/>
                <w:color w:val="404040"/>
                <w:sz w:val="16"/>
              </w:rPr>
              <w:t>- No</w:t>
            </w:r>
          </w:p>
        </w:tc>
        <w:tc>
          <w:tcPr>
            <w:tcW w:w="1037" w:type="dxa"/>
          </w:tcPr>
          <w:p>
            <w:pPr>
              <w:pStyle w:val="TableParagraph"/>
              <w:spacing w:before="39"/>
              <w:ind w:right="250"/>
              <w:jc w:val="right"/>
              <w:rPr>
                <w:sz w:val="16"/>
              </w:rPr>
            </w:pPr>
            <w:r>
              <w:rPr>
                <w:color w:val="404040"/>
                <w:sz w:val="16"/>
              </w:rPr>
              <w:t>156,000</w:t>
            </w:r>
          </w:p>
        </w:tc>
        <w:tc>
          <w:tcPr>
            <w:tcW w:w="1658" w:type="dxa"/>
          </w:tcPr>
          <w:p>
            <w:pPr>
              <w:pStyle w:val="TableParagraph"/>
              <w:spacing w:before="39"/>
              <w:ind w:left="669"/>
              <w:rPr>
                <w:sz w:val="16"/>
              </w:rPr>
            </w:pPr>
            <w:r>
              <w:rPr>
                <w:color w:val="404040"/>
                <w:sz w:val="16"/>
              </w:rPr>
              <w:t>93%</w:t>
            </w:r>
          </w:p>
        </w:tc>
        <w:tc>
          <w:tcPr>
            <w:tcW w:w="1574" w:type="dxa"/>
          </w:tcPr>
          <w:p>
            <w:pPr>
              <w:pStyle w:val="TableParagraph"/>
              <w:spacing w:before="39"/>
              <w:ind w:left="468" w:right="487"/>
              <w:jc w:val="center"/>
              <w:rPr>
                <w:sz w:val="16"/>
              </w:rPr>
            </w:pPr>
            <w:r>
              <w:rPr>
                <w:color w:val="404040"/>
                <w:sz w:val="16"/>
              </w:rPr>
              <w:t>538,000</w:t>
            </w:r>
          </w:p>
        </w:tc>
        <w:tc>
          <w:tcPr>
            <w:tcW w:w="1608" w:type="dxa"/>
            <w:tcBorders>
              <w:right w:val="single" w:sz="4" w:space="0" w:color="DF2F1E"/>
            </w:tcBorders>
          </w:tcPr>
          <w:p>
            <w:pPr>
              <w:pStyle w:val="TableParagraph"/>
              <w:spacing w:before="39"/>
              <w:ind w:left="581" w:right="568"/>
              <w:jc w:val="center"/>
              <w:rPr>
                <w:sz w:val="16"/>
              </w:rPr>
            </w:pPr>
            <w:r>
              <w:rPr>
                <w:color w:val="404040"/>
                <w:sz w:val="16"/>
              </w:rPr>
              <w:t>99%</w:t>
            </w:r>
          </w:p>
        </w:tc>
      </w:tr>
      <w:tr>
        <w:trPr>
          <w:trHeight w:val="264" w:hRule="atLeast"/>
        </w:trPr>
        <w:tc>
          <w:tcPr>
            <w:tcW w:w="3905" w:type="dxa"/>
            <w:tcBorders>
              <w:left w:val="single" w:sz="4" w:space="0" w:color="DF2F1E"/>
              <w:bottom w:val="single" w:sz="4" w:space="0" w:color="DF2F1E"/>
            </w:tcBorders>
          </w:tcPr>
          <w:p>
            <w:pPr>
              <w:pStyle w:val="TableParagraph"/>
              <w:ind w:left="287"/>
              <w:rPr>
                <w:b/>
                <w:i/>
                <w:sz w:val="16"/>
              </w:rPr>
            </w:pPr>
            <w:r>
              <w:rPr>
                <w:b/>
                <w:i/>
                <w:color w:val="404040"/>
                <w:sz w:val="16"/>
              </w:rPr>
              <w:t>- Yes</w:t>
            </w:r>
          </w:p>
        </w:tc>
        <w:tc>
          <w:tcPr>
            <w:tcW w:w="1037" w:type="dxa"/>
            <w:tcBorders>
              <w:bottom w:val="single" w:sz="4" w:space="0" w:color="DF2F1E"/>
            </w:tcBorders>
          </w:tcPr>
          <w:p>
            <w:pPr>
              <w:pStyle w:val="TableParagraph"/>
              <w:ind w:right="293"/>
              <w:jc w:val="right"/>
              <w:rPr>
                <w:sz w:val="16"/>
              </w:rPr>
            </w:pPr>
            <w:r>
              <w:rPr>
                <w:color w:val="404040"/>
                <w:sz w:val="16"/>
              </w:rPr>
              <w:t>11,000</w:t>
            </w:r>
          </w:p>
        </w:tc>
        <w:tc>
          <w:tcPr>
            <w:tcW w:w="1658" w:type="dxa"/>
            <w:tcBorders>
              <w:bottom w:val="single" w:sz="4" w:space="0" w:color="DF2F1E"/>
            </w:tcBorders>
          </w:tcPr>
          <w:p>
            <w:pPr>
              <w:pStyle w:val="TableParagraph"/>
              <w:ind w:left="712"/>
              <w:rPr>
                <w:sz w:val="16"/>
              </w:rPr>
            </w:pPr>
            <w:r>
              <w:rPr>
                <w:color w:val="404040"/>
                <w:sz w:val="16"/>
              </w:rPr>
              <w:t>7%</w:t>
            </w:r>
          </w:p>
        </w:tc>
        <w:tc>
          <w:tcPr>
            <w:tcW w:w="1574" w:type="dxa"/>
            <w:tcBorders>
              <w:bottom w:val="single" w:sz="4" w:space="0" w:color="DF2F1E"/>
            </w:tcBorders>
          </w:tcPr>
          <w:p>
            <w:pPr>
              <w:pStyle w:val="TableParagraph"/>
              <w:ind w:left="468" w:right="487"/>
              <w:jc w:val="center"/>
              <w:rPr>
                <w:sz w:val="16"/>
              </w:rPr>
            </w:pPr>
            <w:r>
              <w:rPr>
                <w:color w:val="404040"/>
                <w:sz w:val="16"/>
              </w:rPr>
              <w:t>588,000</w:t>
            </w:r>
          </w:p>
        </w:tc>
        <w:tc>
          <w:tcPr>
            <w:tcW w:w="1608" w:type="dxa"/>
            <w:tcBorders>
              <w:bottom w:val="single" w:sz="4" w:space="0" w:color="DF2F1E"/>
              <w:right w:val="single" w:sz="4" w:space="0" w:color="DF2F1E"/>
            </w:tcBorders>
          </w:tcPr>
          <w:p>
            <w:pPr>
              <w:pStyle w:val="TableParagraph"/>
              <w:ind w:left="581" w:right="570"/>
              <w:jc w:val="center"/>
              <w:rPr>
                <w:sz w:val="16"/>
              </w:rPr>
            </w:pPr>
            <w:r>
              <w:rPr>
                <w:color w:val="404040"/>
                <w:sz w:val="16"/>
              </w:rPr>
              <w:t>109%</w:t>
            </w:r>
          </w:p>
        </w:tc>
      </w:tr>
      <w:tr>
        <w:trPr>
          <w:trHeight w:val="262" w:hRule="atLeast"/>
        </w:trPr>
        <w:tc>
          <w:tcPr>
            <w:tcW w:w="3905" w:type="dxa"/>
            <w:tcBorders>
              <w:top w:val="single" w:sz="4" w:space="0" w:color="DF2F1E"/>
              <w:left w:val="single" w:sz="4" w:space="0" w:color="DF2F1E"/>
            </w:tcBorders>
          </w:tcPr>
          <w:p>
            <w:pPr>
              <w:pStyle w:val="TableParagraph"/>
              <w:spacing w:before="34"/>
              <w:ind w:left="107"/>
              <w:rPr>
                <w:b/>
                <w:sz w:val="16"/>
              </w:rPr>
            </w:pPr>
            <w:r>
              <w:rPr>
                <w:b/>
                <w:color w:val="404040"/>
                <w:sz w:val="16"/>
              </w:rPr>
              <w:t>Geography – socio-economic area grouping</w:t>
            </w:r>
          </w:p>
        </w:tc>
        <w:tc>
          <w:tcPr>
            <w:tcW w:w="1037" w:type="dxa"/>
            <w:tcBorders>
              <w:top w:val="single" w:sz="4" w:space="0" w:color="DF2F1E"/>
            </w:tcBorders>
          </w:tcPr>
          <w:p>
            <w:pPr>
              <w:pStyle w:val="TableParagraph"/>
              <w:spacing w:before="0"/>
              <w:rPr>
                <w:rFonts w:ascii="Times New Roman"/>
                <w:sz w:val="18"/>
              </w:rPr>
            </w:pPr>
          </w:p>
        </w:tc>
        <w:tc>
          <w:tcPr>
            <w:tcW w:w="1658" w:type="dxa"/>
            <w:tcBorders>
              <w:top w:val="single" w:sz="4" w:space="0" w:color="DF2F1E"/>
            </w:tcBorders>
          </w:tcPr>
          <w:p>
            <w:pPr>
              <w:pStyle w:val="TableParagraph"/>
              <w:spacing w:before="0"/>
              <w:rPr>
                <w:rFonts w:ascii="Times New Roman"/>
                <w:sz w:val="18"/>
              </w:rPr>
            </w:pPr>
          </w:p>
        </w:tc>
        <w:tc>
          <w:tcPr>
            <w:tcW w:w="1574" w:type="dxa"/>
            <w:tcBorders>
              <w:top w:val="single" w:sz="4" w:space="0" w:color="DF2F1E"/>
            </w:tcBorders>
          </w:tcPr>
          <w:p>
            <w:pPr>
              <w:pStyle w:val="TableParagraph"/>
              <w:spacing w:before="0"/>
              <w:rPr>
                <w:rFonts w:ascii="Times New Roman"/>
                <w:sz w:val="18"/>
              </w:rPr>
            </w:pPr>
          </w:p>
        </w:tc>
        <w:tc>
          <w:tcPr>
            <w:tcW w:w="1608" w:type="dxa"/>
            <w:tcBorders>
              <w:top w:val="single" w:sz="4" w:space="0" w:color="DF2F1E"/>
              <w:right w:val="single" w:sz="4" w:space="0" w:color="DF2F1E"/>
            </w:tcBorders>
          </w:tcPr>
          <w:p>
            <w:pPr>
              <w:pStyle w:val="TableParagraph"/>
              <w:spacing w:before="0"/>
              <w:rPr>
                <w:rFonts w:ascii="Times New Roman"/>
                <w:sz w:val="18"/>
              </w:rPr>
            </w:pPr>
          </w:p>
        </w:tc>
      </w:tr>
      <w:tr>
        <w:trPr>
          <w:trHeight w:val="265" w:hRule="atLeast"/>
        </w:trPr>
        <w:tc>
          <w:tcPr>
            <w:tcW w:w="3905" w:type="dxa"/>
            <w:tcBorders>
              <w:left w:val="single" w:sz="4" w:space="0" w:color="DF2F1E"/>
            </w:tcBorders>
          </w:tcPr>
          <w:p>
            <w:pPr>
              <w:pStyle w:val="TableParagraph"/>
              <w:spacing w:before="39"/>
              <w:ind w:left="287"/>
              <w:rPr>
                <w:b/>
                <w:i/>
                <w:sz w:val="16"/>
              </w:rPr>
            </w:pPr>
            <w:r>
              <w:rPr>
                <w:b/>
                <w:i/>
                <w:color w:val="404040"/>
                <w:sz w:val="16"/>
              </w:rPr>
              <w:t>- Lowest 20% (most disadvantaged)</w:t>
            </w:r>
          </w:p>
        </w:tc>
        <w:tc>
          <w:tcPr>
            <w:tcW w:w="1037" w:type="dxa"/>
          </w:tcPr>
          <w:p>
            <w:pPr>
              <w:pStyle w:val="TableParagraph"/>
              <w:spacing w:before="39"/>
              <w:ind w:right="293"/>
              <w:jc w:val="right"/>
              <w:rPr>
                <w:sz w:val="16"/>
              </w:rPr>
            </w:pPr>
            <w:r>
              <w:rPr>
                <w:color w:val="404040"/>
                <w:sz w:val="16"/>
              </w:rPr>
              <w:t>58,000</w:t>
            </w:r>
          </w:p>
        </w:tc>
        <w:tc>
          <w:tcPr>
            <w:tcW w:w="1658" w:type="dxa"/>
          </w:tcPr>
          <w:p>
            <w:pPr>
              <w:pStyle w:val="TableParagraph"/>
              <w:spacing w:before="39"/>
              <w:ind w:left="669"/>
              <w:rPr>
                <w:sz w:val="16"/>
              </w:rPr>
            </w:pPr>
            <w:r>
              <w:rPr>
                <w:color w:val="404040"/>
                <w:sz w:val="16"/>
              </w:rPr>
              <w:t>34%</w:t>
            </w:r>
          </w:p>
        </w:tc>
        <w:tc>
          <w:tcPr>
            <w:tcW w:w="1574" w:type="dxa"/>
          </w:tcPr>
          <w:p>
            <w:pPr>
              <w:pStyle w:val="TableParagraph"/>
              <w:spacing w:before="39"/>
              <w:ind w:left="468" w:right="487"/>
              <w:jc w:val="center"/>
              <w:rPr>
                <w:sz w:val="16"/>
              </w:rPr>
            </w:pPr>
            <w:r>
              <w:rPr>
                <w:color w:val="404040"/>
                <w:sz w:val="16"/>
              </w:rPr>
              <w:t>591,000</w:t>
            </w:r>
          </w:p>
        </w:tc>
        <w:tc>
          <w:tcPr>
            <w:tcW w:w="1608" w:type="dxa"/>
            <w:tcBorders>
              <w:right w:val="single" w:sz="4" w:space="0" w:color="DF2F1E"/>
            </w:tcBorders>
          </w:tcPr>
          <w:p>
            <w:pPr>
              <w:pStyle w:val="TableParagraph"/>
              <w:spacing w:before="39"/>
              <w:ind w:left="581" w:right="570"/>
              <w:jc w:val="center"/>
              <w:rPr>
                <w:sz w:val="16"/>
              </w:rPr>
            </w:pPr>
            <w:r>
              <w:rPr>
                <w:color w:val="404040"/>
                <w:sz w:val="16"/>
              </w:rPr>
              <w:t>109%</w:t>
            </w:r>
          </w:p>
        </w:tc>
      </w:tr>
      <w:tr>
        <w:trPr>
          <w:trHeight w:val="264" w:hRule="atLeast"/>
        </w:trPr>
        <w:tc>
          <w:tcPr>
            <w:tcW w:w="3905" w:type="dxa"/>
            <w:tcBorders>
              <w:left w:val="single" w:sz="4" w:space="0" w:color="DF2F1E"/>
            </w:tcBorders>
          </w:tcPr>
          <w:p>
            <w:pPr>
              <w:pStyle w:val="TableParagraph"/>
              <w:ind w:left="287"/>
              <w:rPr>
                <w:b/>
                <w:i/>
                <w:sz w:val="16"/>
              </w:rPr>
            </w:pPr>
            <w:r>
              <w:rPr>
                <w:b/>
                <w:i/>
                <w:color w:val="404040"/>
                <w:sz w:val="16"/>
              </w:rPr>
              <w:t>- 20% to 40%</w:t>
            </w:r>
          </w:p>
        </w:tc>
        <w:tc>
          <w:tcPr>
            <w:tcW w:w="1037" w:type="dxa"/>
          </w:tcPr>
          <w:p>
            <w:pPr>
              <w:pStyle w:val="TableParagraph"/>
              <w:ind w:right="293"/>
              <w:jc w:val="right"/>
              <w:rPr>
                <w:sz w:val="16"/>
              </w:rPr>
            </w:pPr>
            <w:r>
              <w:rPr>
                <w:color w:val="404040"/>
                <w:sz w:val="16"/>
              </w:rPr>
              <w:t>42,000</w:t>
            </w:r>
          </w:p>
        </w:tc>
        <w:tc>
          <w:tcPr>
            <w:tcW w:w="1658" w:type="dxa"/>
          </w:tcPr>
          <w:p>
            <w:pPr>
              <w:pStyle w:val="TableParagraph"/>
              <w:ind w:left="669"/>
              <w:rPr>
                <w:sz w:val="16"/>
              </w:rPr>
            </w:pPr>
            <w:r>
              <w:rPr>
                <w:color w:val="404040"/>
                <w:sz w:val="16"/>
              </w:rPr>
              <w:t>25%</w:t>
            </w:r>
          </w:p>
        </w:tc>
        <w:tc>
          <w:tcPr>
            <w:tcW w:w="1574" w:type="dxa"/>
          </w:tcPr>
          <w:p>
            <w:pPr>
              <w:pStyle w:val="TableParagraph"/>
              <w:ind w:left="468" w:right="487"/>
              <w:jc w:val="center"/>
              <w:rPr>
                <w:sz w:val="16"/>
              </w:rPr>
            </w:pPr>
            <w:r>
              <w:rPr>
                <w:color w:val="404040"/>
                <w:sz w:val="16"/>
              </w:rPr>
              <w:t>550,000</w:t>
            </w:r>
          </w:p>
        </w:tc>
        <w:tc>
          <w:tcPr>
            <w:tcW w:w="1608" w:type="dxa"/>
            <w:tcBorders>
              <w:right w:val="single" w:sz="4" w:space="0" w:color="DF2F1E"/>
            </w:tcBorders>
          </w:tcPr>
          <w:p>
            <w:pPr>
              <w:pStyle w:val="TableParagraph"/>
              <w:ind w:left="581" w:right="570"/>
              <w:jc w:val="center"/>
              <w:rPr>
                <w:sz w:val="16"/>
              </w:rPr>
            </w:pPr>
            <w:r>
              <w:rPr>
                <w:color w:val="404040"/>
                <w:sz w:val="16"/>
              </w:rPr>
              <w:t>102%</w:t>
            </w:r>
          </w:p>
        </w:tc>
      </w:tr>
      <w:tr>
        <w:trPr>
          <w:trHeight w:val="263" w:hRule="atLeast"/>
        </w:trPr>
        <w:tc>
          <w:tcPr>
            <w:tcW w:w="3905" w:type="dxa"/>
            <w:tcBorders>
              <w:left w:val="single" w:sz="4" w:space="0" w:color="DF2F1E"/>
            </w:tcBorders>
          </w:tcPr>
          <w:p>
            <w:pPr>
              <w:pStyle w:val="TableParagraph"/>
              <w:ind w:left="287"/>
              <w:rPr>
                <w:b/>
                <w:i/>
                <w:sz w:val="16"/>
              </w:rPr>
            </w:pPr>
            <w:r>
              <w:rPr>
                <w:b/>
                <w:i/>
                <w:color w:val="404040"/>
                <w:sz w:val="16"/>
              </w:rPr>
              <w:t>- 40% to 60%</w:t>
            </w:r>
          </w:p>
        </w:tc>
        <w:tc>
          <w:tcPr>
            <w:tcW w:w="1037" w:type="dxa"/>
          </w:tcPr>
          <w:p>
            <w:pPr>
              <w:pStyle w:val="TableParagraph"/>
              <w:ind w:right="293"/>
              <w:jc w:val="right"/>
              <w:rPr>
                <w:sz w:val="16"/>
              </w:rPr>
            </w:pPr>
            <w:r>
              <w:rPr>
                <w:color w:val="404040"/>
                <w:sz w:val="16"/>
              </w:rPr>
              <w:t>34,000</w:t>
            </w:r>
          </w:p>
        </w:tc>
        <w:tc>
          <w:tcPr>
            <w:tcW w:w="1658" w:type="dxa"/>
          </w:tcPr>
          <w:p>
            <w:pPr>
              <w:pStyle w:val="TableParagraph"/>
              <w:ind w:left="669"/>
              <w:rPr>
                <w:sz w:val="16"/>
              </w:rPr>
            </w:pPr>
            <w:r>
              <w:rPr>
                <w:color w:val="404040"/>
                <w:sz w:val="16"/>
              </w:rPr>
              <w:t>20%</w:t>
            </w:r>
          </w:p>
        </w:tc>
        <w:tc>
          <w:tcPr>
            <w:tcW w:w="1574" w:type="dxa"/>
          </w:tcPr>
          <w:p>
            <w:pPr>
              <w:pStyle w:val="TableParagraph"/>
              <w:ind w:left="468" w:right="487"/>
              <w:jc w:val="center"/>
              <w:rPr>
                <w:sz w:val="16"/>
              </w:rPr>
            </w:pPr>
            <w:r>
              <w:rPr>
                <w:color w:val="404040"/>
                <w:sz w:val="16"/>
              </w:rPr>
              <w:t>517,000</w:t>
            </w:r>
          </w:p>
        </w:tc>
        <w:tc>
          <w:tcPr>
            <w:tcW w:w="1608" w:type="dxa"/>
            <w:tcBorders>
              <w:right w:val="single" w:sz="4" w:space="0" w:color="DF2F1E"/>
            </w:tcBorders>
          </w:tcPr>
          <w:p>
            <w:pPr>
              <w:pStyle w:val="TableParagraph"/>
              <w:ind w:left="581" w:right="568"/>
              <w:jc w:val="center"/>
              <w:rPr>
                <w:sz w:val="16"/>
              </w:rPr>
            </w:pPr>
            <w:r>
              <w:rPr>
                <w:color w:val="404040"/>
                <w:sz w:val="16"/>
              </w:rPr>
              <w:t>96%</w:t>
            </w:r>
          </w:p>
        </w:tc>
      </w:tr>
      <w:tr>
        <w:trPr>
          <w:trHeight w:val="263" w:hRule="atLeast"/>
        </w:trPr>
        <w:tc>
          <w:tcPr>
            <w:tcW w:w="3905" w:type="dxa"/>
            <w:tcBorders>
              <w:left w:val="single" w:sz="4" w:space="0" w:color="DF2F1E"/>
            </w:tcBorders>
          </w:tcPr>
          <w:p>
            <w:pPr>
              <w:pStyle w:val="TableParagraph"/>
              <w:ind w:left="287"/>
              <w:rPr>
                <w:b/>
                <w:i/>
                <w:sz w:val="16"/>
              </w:rPr>
            </w:pPr>
            <w:r>
              <w:rPr>
                <w:b/>
                <w:i/>
                <w:color w:val="404040"/>
                <w:sz w:val="16"/>
              </w:rPr>
              <w:t>- 60% to 80%</w:t>
            </w:r>
          </w:p>
        </w:tc>
        <w:tc>
          <w:tcPr>
            <w:tcW w:w="1037" w:type="dxa"/>
          </w:tcPr>
          <w:p>
            <w:pPr>
              <w:pStyle w:val="TableParagraph"/>
              <w:ind w:right="293"/>
              <w:jc w:val="right"/>
              <w:rPr>
                <w:sz w:val="16"/>
              </w:rPr>
            </w:pPr>
            <w:r>
              <w:rPr>
                <w:color w:val="404040"/>
                <w:sz w:val="16"/>
              </w:rPr>
              <w:t>23,000</w:t>
            </w:r>
          </w:p>
        </w:tc>
        <w:tc>
          <w:tcPr>
            <w:tcW w:w="1658" w:type="dxa"/>
          </w:tcPr>
          <w:p>
            <w:pPr>
              <w:pStyle w:val="TableParagraph"/>
              <w:ind w:left="669"/>
              <w:rPr>
                <w:sz w:val="16"/>
              </w:rPr>
            </w:pPr>
            <w:r>
              <w:rPr>
                <w:color w:val="404040"/>
                <w:sz w:val="16"/>
              </w:rPr>
              <w:t>14%</w:t>
            </w:r>
          </w:p>
        </w:tc>
        <w:tc>
          <w:tcPr>
            <w:tcW w:w="1574" w:type="dxa"/>
          </w:tcPr>
          <w:p>
            <w:pPr>
              <w:pStyle w:val="TableParagraph"/>
              <w:ind w:left="468" w:right="487"/>
              <w:jc w:val="center"/>
              <w:rPr>
                <w:sz w:val="16"/>
              </w:rPr>
            </w:pPr>
            <w:r>
              <w:rPr>
                <w:color w:val="404040"/>
                <w:sz w:val="16"/>
              </w:rPr>
              <w:t>482,000</w:t>
            </w:r>
          </w:p>
        </w:tc>
        <w:tc>
          <w:tcPr>
            <w:tcW w:w="1608" w:type="dxa"/>
            <w:tcBorders>
              <w:right w:val="single" w:sz="4" w:space="0" w:color="DF2F1E"/>
            </w:tcBorders>
          </w:tcPr>
          <w:p>
            <w:pPr>
              <w:pStyle w:val="TableParagraph"/>
              <w:ind w:left="581" w:right="568"/>
              <w:jc w:val="center"/>
              <w:rPr>
                <w:sz w:val="16"/>
              </w:rPr>
            </w:pPr>
            <w:r>
              <w:rPr>
                <w:color w:val="404040"/>
                <w:sz w:val="16"/>
              </w:rPr>
              <w:t>89%</w:t>
            </w:r>
          </w:p>
        </w:tc>
      </w:tr>
      <w:tr>
        <w:trPr>
          <w:trHeight w:val="264" w:hRule="atLeast"/>
        </w:trPr>
        <w:tc>
          <w:tcPr>
            <w:tcW w:w="3905" w:type="dxa"/>
            <w:tcBorders>
              <w:left w:val="single" w:sz="4" w:space="0" w:color="DF2F1E"/>
              <w:bottom w:val="single" w:sz="4" w:space="0" w:color="DF2F1E"/>
            </w:tcBorders>
          </w:tcPr>
          <w:p>
            <w:pPr>
              <w:pStyle w:val="TableParagraph"/>
              <w:ind w:left="287"/>
              <w:rPr>
                <w:b/>
                <w:i/>
                <w:sz w:val="16"/>
              </w:rPr>
            </w:pPr>
            <w:r>
              <w:rPr>
                <w:b/>
                <w:i/>
                <w:color w:val="404040"/>
                <w:sz w:val="16"/>
              </w:rPr>
              <w:t>- Highest 20% (least disadvantaged)</w:t>
            </w:r>
          </w:p>
        </w:tc>
        <w:tc>
          <w:tcPr>
            <w:tcW w:w="1037" w:type="dxa"/>
            <w:tcBorders>
              <w:bottom w:val="single" w:sz="4" w:space="0" w:color="DF2F1E"/>
            </w:tcBorders>
          </w:tcPr>
          <w:p>
            <w:pPr>
              <w:pStyle w:val="TableParagraph"/>
              <w:ind w:right="293"/>
              <w:jc w:val="right"/>
              <w:rPr>
                <w:sz w:val="16"/>
              </w:rPr>
            </w:pPr>
            <w:r>
              <w:rPr>
                <w:color w:val="404040"/>
                <w:sz w:val="16"/>
              </w:rPr>
              <w:t>11,000</w:t>
            </w:r>
          </w:p>
        </w:tc>
        <w:tc>
          <w:tcPr>
            <w:tcW w:w="1658" w:type="dxa"/>
            <w:tcBorders>
              <w:bottom w:val="single" w:sz="4" w:space="0" w:color="DF2F1E"/>
            </w:tcBorders>
          </w:tcPr>
          <w:p>
            <w:pPr>
              <w:pStyle w:val="TableParagraph"/>
              <w:ind w:left="712"/>
              <w:rPr>
                <w:sz w:val="16"/>
              </w:rPr>
            </w:pPr>
            <w:r>
              <w:rPr>
                <w:color w:val="404040"/>
                <w:sz w:val="16"/>
              </w:rPr>
              <w:t>6%</w:t>
            </w:r>
          </w:p>
        </w:tc>
        <w:tc>
          <w:tcPr>
            <w:tcW w:w="1574" w:type="dxa"/>
            <w:tcBorders>
              <w:bottom w:val="single" w:sz="4" w:space="0" w:color="DF2F1E"/>
            </w:tcBorders>
          </w:tcPr>
          <w:p>
            <w:pPr>
              <w:pStyle w:val="TableParagraph"/>
              <w:ind w:left="468" w:right="487"/>
              <w:jc w:val="center"/>
              <w:rPr>
                <w:sz w:val="16"/>
              </w:rPr>
            </w:pPr>
            <w:r>
              <w:rPr>
                <w:color w:val="404040"/>
                <w:sz w:val="16"/>
              </w:rPr>
              <w:t>439,000</w:t>
            </w:r>
          </w:p>
        </w:tc>
        <w:tc>
          <w:tcPr>
            <w:tcW w:w="1608" w:type="dxa"/>
            <w:tcBorders>
              <w:bottom w:val="single" w:sz="4" w:space="0" w:color="DF2F1E"/>
              <w:right w:val="single" w:sz="4" w:space="0" w:color="DF2F1E"/>
            </w:tcBorders>
          </w:tcPr>
          <w:p>
            <w:pPr>
              <w:pStyle w:val="TableParagraph"/>
              <w:ind w:left="581" w:right="568"/>
              <w:jc w:val="center"/>
              <w:rPr>
                <w:sz w:val="16"/>
              </w:rPr>
            </w:pPr>
            <w:r>
              <w:rPr>
                <w:color w:val="404040"/>
                <w:sz w:val="16"/>
              </w:rPr>
              <w:t>81%</w:t>
            </w:r>
          </w:p>
        </w:tc>
      </w:tr>
      <w:tr>
        <w:trPr>
          <w:trHeight w:val="262" w:hRule="atLeast"/>
        </w:trPr>
        <w:tc>
          <w:tcPr>
            <w:tcW w:w="3905" w:type="dxa"/>
            <w:tcBorders>
              <w:top w:val="single" w:sz="4" w:space="0" w:color="DF2F1E"/>
              <w:left w:val="single" w:sz="4" w:space="0" w:color="DF2F1E"/>
            </w:tcBorders>
          </w:tcPr>
          <w:p>
            <w:pPr>
              <w:pStyle w:val="TableParagraph"/>
              <w:spacing w:before="34"/>
              <w:ind w:left="107"/>
              <w:rPr>
                <w:b/>
                <w:sz w:val="16"/>
              </w:rPr>
            </w:pPr>
            <w:r>
              <w:rPr>
                <w:b/>
                <w:color w:val="404040"/>
                <w:sz w:val="16"/>
              </w:rPr>
              <w:t>Payments at valuation date</w:t>
            </w:r>
          </w:p>
        </w:tc>
        <w:tc>
          <w:tcPr>
            <w:tcW w:w="1037" w:type="dxa"/>
            <w:tcBorders>
              <w:top w:val="single" w:sz="4" w:space="0" w:color="DF2F1E"/>
            </w:tcBorders>
          </w:tcPr>
          <w:p>
            <w:pPr>
              <w:pStyle w:val="TableParagraph"/>
              <w:spacing w:before="0"/>
              <w:rPr>
                <w:rFonts w:ascii="Times New Roman"/>
                <w:sz w:val="18"/>
              </w:rPr>
            </w:pPr>
          </w:p>
        </w:tc>
        <w:tc>
          <w:tcPr>
            <w:tcW w:w="1658" w:type="dxa"/>
            <w:tcBorders>
              <w:top w:val="single" w:sz="4" w:space="0" w:color="DF2F1E"/>
            </w:tcBorders>
          </w:tcPr>
          <w:p>
            <w:pPr>
              <w:pStyle w:val="TableParagraph"/>
              <w:spacing w:before="0"/>
              <w:rPr>
                <w:rFonts w:ascii="Times New Roman"/>
                <w:sz w:val="18"/>
              </w:rPr>
            </w:pPr>
          </w:p>
        </w:tc>
        <w:tc>
          <w:tcPr>
            <w:tcW w:w="1574" w:type="dxa"/>
            <w:tcBorders>
              <w:top w:val="single" w:sz="4" w:space="0" w:color="DF2F1E"/>
            </w:tcBorders>
          </w:tcPr>
          <w:p>
            <w:pPr>
              <w:pStyle w:val="TableParagraph"/>
              <w:spacing w:before="0"/>
              <w:rPr>
                <w:rFonts w:ascii="Times New Roman"/>
                <w:sz w:val="18"/>
              </w:rPr>
            </w:pPr>
          </w:p>
        </w:tc>
        <w:tc>
          <w:tcPr>
            <w:tcW w:w="1608" w:type="dxa"/>
            <w:tcBorders>
              <w:top w:val="single" w:sz="4" w:space="0" w:color="DF2F1E"/>
              <w:right w:val="single" w:sz="4" w:space="0" w:color="DF2F1E"/>
            </w:tcBorders>
          </w:tcPr>
          <w:p>
            <w:pPr>
              <w:pStyle w:val="TableParagraph"/>
              <w:spacing w:before="0"/>
              <w:rPr>
                <w:rFonts w:ascii="Times New Roman"/>
                <w:sz w:val="18"/>
              </w:rPr>
            </w:pPr>
          </w:p>
        </w:tc>
      </w:tr>
      <w:tr>
        <w:trPr>
          <w:trHeight w:val="265" w:hRule="atLeast"/>
        </w:trPr>
        <w:tc>
          <w:tcPr>
            <w:tcW w:w="3905" w:type="dxa"/>
            <w:tcBorders>
              <w:left w:val="single" w:sz="4" w:space="0" w:color="DF2F1E"/>
            </w:tcBorders>
          </w:tcPr>
          <w:p>
            <w:pPr>
              <w:pStyle w:val="TableParagraph"/>
              <w:spacing w:before="39"/>
              <w:ind w:left="287"/>
              <w:rPr>
                <w:b/>
                <w:i/>
                <w:sz w:val="16"/>
              </w:rPr>
            </w:pPr>
            <w:r>
              <w:rPr>
                <w:b/>
                <w:i/>
                <w:color w:val="404040"/>
                <w:sz w:val="16"/>
              </w:rPr>
              <w:t>- In receipt of payments at valuation date</w:t>
            </w:r>
          </w:p>
        </w:tc>
        <w:tc>
          <w:tcPr>
            <w:tcW w:w="1037" w:type="dxa"/>
          </w:tcPr>
          <w:p>
            <w:pPr>
              <w:pStyle w:val="TableParagraph"/>
              <w:spacing w:before="39"/>
              <w:ind w:right="250"/>
              <w:jc w:val="right"/>
              <w:rPr>
                <w:sz w:val="16"/>
              </w:rPr>
            </w:pPr>
            <w:r>
              <w:rPr>
                <w:color w:val="404040"/>
                <w:sz w:val="16"/>
              </w:rPr>
              <w:t>142,000</w:t>
            </w:r>
          </w:p>
        </w:tc>
        <w:tc>
          <w:tcPr>
            <w:tcW w:w="1658" w:type="dxa"/>
          </w:tcPr>
          <w:p>
            <w:pPr>
              <w:pStyle w:val="TableParagraph"/>
              <w:spacing w:before="39"/>
              <w:ind w:left="669"/>
              <w:rPr>
                <w:sz w:val="16"/>
              </w:rPr>
            </w:pPr>
            <w:r>
              <w:rPr>
                <w:color w:val="404040"/>
                <w:sz w:val="16"/>
              </w:rPr>
              <w:t>85%</w:t>
            </w:r>
          </w:p>
        </w:tc>
        <w:tc>
          <w:tcPr>
            <w:tcW w:w="1574" w:type="dxa"/>
          </w:tcPr>
          <w:p>
            <w:pPr>
              <w:pStyle w:val="TableParagraph"/>
              <w:spacing w:before="39"/>
              <w:ind w:left="468" w:right="487"/>
              <w:jc w:val="center"/>
              <w:rPr>
                <w:sz w:val="16"/>
              </w:rPr>
            </w:pPr>
            <w:r>
              <w:rPr>
                <w:color w:val="404040"/>
                <w:sz w:val="16"/>
              </w:rPr>
              <w:t>569,000</w:t>
            </w:r>
          </w:p>
        </w:tc>
        <w:tc>
          <w:tcPr>
            <w:tcW w:w="1608" w:type="dxa"/>
            <w:tcBorders>
              <w:right w:val="single" w:sz="4" w:space="0" w:color="DF2F1E"/>
            </w:tcBorders>
          </w:tcPr>
          <w:p>
            <w:pPr>
              <w:pStyle w:val="TableParagraph"/>
              <w:spacing w:before="39"/>
              <w:ind w:left="581" w:right="571"/>
              <w:jc w:val="center"/>
              <w:rPr>
                <w:sz w:val="16"/>
              </w:rPr>
            </w:pPr>
            <w:r>
              <w:rPr>
                <w:color w:val="404040"/>
                <w:sz w:val="16"/>
              </w:rPr>
              <w:t>105%</w:t>
            </w:r>
          </w:p>
        </w:tc>
      </w:tr>
      <w:tr>
        <w:trPr>
          <w:trHeight w:val="264" w:hRule="atLeast"/>
        </w:trPr>
        <w:tc>
          <w:tcPr>
            <w:tcW w:w="3905" w:type="dxa"/>
            <w:tcBorders>
              <w:left w:val="single" w:sz="4" w:space="0" w:color="DF2F1E"/>
              <w:bottom w:val="single" w:sz="4" w:space="0" w:color="DF2F1E"/>
            </w:tcBorders>
          </w:tcPr>
          <w:p>
            <w:pPr>
              <w:pStyle w:val="TableParagraph"/>
              <w:ind w:left="287"/>
              <w:rPr>
                <w:b/>
                <w:i/>
                <w:sz w:val="16"/>
              </w:rPr>
            </w:pPr>
            <w:r>
              <w:rPr>
                <w:b/>
                <w:i/>
                <w:color w:val="404040"/>
                <w:sz w:val="16"/>
              </w:rPr>
              <w:t>- Not in receipt of payments at valuation date</w:t>
            </w:r>
          </w:p>
        </w:tc>
        <w:tc>
          <w:tcPr>
            <w:tcW w:w="1037" w:type="dxa"/>
            <w:tcBorders>
              <w:bottom w:val="single" w:sz="4" w:space="0" w:color="DF2F1E"/>
            </w:tcBorders>
          </w:tcPr>
          <w:p>
            <w:pPr>
              <w:pStyle w:val="TableParagraph"/>
              <w:ind w:right="293"/>
              <w:jc w:val="right"/>
              <w:rPr>
                <w:sz w:val="16"/>
              </w:rPr>
            </w:pPr>
            <w:r>
              <w:rPr>
                <w:color w:val="404040"/>
                <w:sz w:val="16"/>
              </w:rPr>
              <w:t>25,000</w:t>
            </w:r>
          </w:p>
        </w:tc>
        <w:tc>
          <w:tcPr>
            <w:tcW w:w="1658" w:type="dxa"/>
            <w:tcBorders>
              <w:bottom w:val="single" w:sz="4" w:space="0" w:color="DF2F1E"/>
            </w:tcBorders>
          </w:tcPr>
          <w:p>
            <w:pPr>
              <w:pStyle w:val="TableParagraph"/>
              <w:ind w:left="669"/>
              <w:rPr>
                <w:sz w:val="16"/>
              </w:rPr>
            </w:pPr>
            <w:r>
              <w:rPr>
                <w:color w:val="404040"/>
                <w:sz w:val="16"/>
              </w:rPr>
              <w:t>15%</w:t>
            </w:r>
          </w:p>
        </w:tc>
        <w:tc>
          <w:tcPr>
            <w:tcW w:w="1574" w:type="dxa"/>
            <w:tcBorders>
              <w:bottom w:val="single" w:sz="4" w:space="0" w:color="DF2F1E"/>
            </w:tcBorders>
          </w:tcPr>
          <w:p>
            <w:pPr>
              <w:pStyle w:val="TableParagraph"/>
              <w:ind w:left="468" w:right="487"/>
              <w:jc w:val="center"/>
              <w:rPr>
                <w:sz w:val="16"/>
              </w:rPr>
            </w:pPr>
            <w:r>
              <w:rPr>
                <w:color w:val="404040"/>
                <w:sz w:val="16"/>
              </w:rPr>
              <w:t>383,000</w:t>
            </w:r>
          </w:p>
        </w:tc>
        <w:tc>
          <w:tcPr>
            <w:tcW w:w="1608" w:type="dxa"/>
            <w:tcBorders>
              <w:bottom w:val="single" w:sz="4" w:space="0" w:color="DF2F1E"/>
              <w:right w:val="single" w:sz="4" w:space="0" w:color="DF2F1E"/>
            </w:tcBorders>
          </w:tcPr>
          <w:p>
            <w:pPr>
              <w:pStyle w:val="TableParagraph"/>
              <w:ind w:left="581" w:right="568"/>
              <w:jc w:val="center"/>
              <w:rPr>
                <w:sz w:val="16"/>
              </w:rPr>
            </w:pPr>
            <w:r>
              <w:rPr>
                <w:color w:val="404040"/>
                <w:sz w:val="16"/>
              </w:rPr>
              <w:t>71%</w:t>
            </w:r>
          </w:p>
        </w:tc>
      </w:tr>
    </w:tbl>
    <w:p>
      <w:pPr>
        <w:pStyle w:val="BodyText"/>
        <w:spacing w:before="119"/>
        <w:ind w:left="900"/>
      </w:pPr>
      <w:r>
        <w:rPr>
          <w:color w:val="404040"/>
        </w:rPr>
        <w:t>From the table, we can see that for the current cohort of 30 to 39 year old Parenting payment recipients:</w:t>
      </w:r>
    </w:p>
    <w:p>
      <w:pPr>
        <w:pStyle w:val="ListParagraph"/>
        <w:numPr>
          <w:ilvl w:val="0"/>
          <w:numId w:val="45"/>
        </w:numPr>
        <w:tabs>
          <w:tab w:pos="1184" w:val="left" w:leader="none"/>
        </w:tabs>
        <w:spacing w:line="240" w:lineRule="auto" w:before="119" w:after="0"/>
        <w:ind w:left="1183" w:right="0" w:hanging="284"/>
        <w:jc w:val="left"/>
        <w:rPr>
          <w:sz w:val="20"/>
        </w:rPr>
      </w:pPr>
      <w:r>
        <w:rPr>
          <w:color w:val="404040"/>
          <w:sz w:val="20"/>
        </w:rPr>
        <w:t>Single parents have a higher average lifetime cost than partnered</w:t>
      </w:r>
      <w:r>
        <w:rPr>
          <w:color w:val="404040"/>
          <w:spacing w:val="-4"/>
          <w:sz w:val="20"/>
        </w:rPr>
        <w:t> </w:t>
      </w:r>
      <w:r>
        <w:rPr>
          <w:color w:val="404040"/>
          <w:sz w:val="20"/>
        </w:rPr>
        <w:t>parents.</w:t>
      </w:r>
    </w:p>
    <w:p>
      <w:pPr>
        <w:pStyle w:val="ListParagraph"/>
        <w:numPr>
          <w:ilvl w:val="0"/>
          <w:numId w:val="45"/>
        </w:numPr>
        <w:tabs>
          <w:tab w:pos="1184" w:val="left" w:leader="none"/>
        </w:tabs>
        <w:spacing w:line="240" w:lineRule="auto" w:before="118" w:after="0"/>
        <w:ind w:left="1183" w:right="0" w:hanging="284"/>
        <w:jc w:val="left"/>
        <w:rPr>
          <w:sz w:val="20"/>
        </w:rPr>
      </w:pPr>
      <w:r>
        <w:rPr>
          <w:color w:val="404040"/>
          <w:sz w:val="20"/>
        </w:rPr>
        <w:t>Those with more children, or younger children tend to have higher average lifetime</w:t>
      </w:r>
      <w:r>
        <w:rPr>
          <w:color w:val="404040"/>
          <w:spacing w:val="-6"/>
          <w:sz w:val="20"/>
        </w:rPr>
        <w:t> </w:t>
      </w:r>
      <w:r>
        <w:rPr>
          <w:color w:val="404040"/>
          <w:sz w:val="20"/>
        </w:rPr>
        <w:t>costs.</w:t>
      </w:r>
    </w:p>
    <w:p>
      <w:pPr>
        <w:spacing w:after="0" w:line="240" w:lineRule="auto"/>
        <w:jc w:val="left"/>
        <w:rPr>
          <w:sz w:val="20"/>
        </w:rPr>
        <w:sectPr>
          <w:pgSz w:w="11910" w:h="16850"/>
          <w:pgMar w:header="572" w:footer="581" w:top="780" w:bottom="780" w:left="120" w:right="0"/>
        </w:sectPr>
      </w:pPr>
    </w:p>
    <w:p>
      <w:pPr>
        <w:pStyle w:val="BodyText"/>
      </w:pPr>
    </w:p>
    <w:p>
      <w:pPr>
        <w:pStyle w:val="BodyText"/>
      </w:pPr>
    </w:p>
    <w:p>
      <w:pPr>
        <w:pStyle w:val="BodyText"/>
        <w:spacing w:before="2"/>
        <w:rPr>
          <w:sz w:val="21"/>
        </w:rPr>
      </w:pPr>
    </w:p>
    <w:p>
      <w:pPr>
        <w:pStyle w:val="ListParagraph"/>
        <w:numPr>
          <w:ilvl w:val="0"/>
          <w:numId w:val="45"/>
        </w:numPr>
        <w:tabs>
          <w:tab w:pos="1184" w:val="left" w:leader="none"/>
        </w:tabs>
        <w:spacing w:line="240" w:lineRule="auto" w:before="99" w:after="0"/>
        <w:ind w:left="1183" w:right="0" w:hanging="284"/>
        <w:jc w:val="left"/>
        <w:rPr>
          <w:sz w:val="20"/>
        </w:rPr>
      </w:pPr>
      <w:r>
        <w:rPr>
          <w:color w:val="404040"/>
          <w:sz w:val="20"/>
        </w:rPr>
        <w:t>Those without earnings in the year have higher average lifetime</w:t>
      </w:r>
      <w:r>
        <w:rPr>
          <w:color w:val="404040"/>
          <w:spacing w:val="-6"/>
          <w:sz w:val="20"/>
        </w:rPr>
        <w:t> </w:t>
      </w:r>
      <w:r>
        <w:rPr>
          <w:color w:val="404040"/>
          <w:sz w:val="20"/>
        </w:rPr>
        <w:t>costs.</w:t>
      </w:r>
    </w:p>
    <w:p>
      <w:pPr>
        <w:pStyle w:val="BodyText"/>
        <w:spacing w:before="7"/>
      </w:pPr>
    </w:p>
    <w:p>
      <w:pPr>
        <w:pStyle w:val="Heading6"/>
        <w:rPr>
          <w:i/>
        </w:rPr>
      </w:pPr>
      <w:r>
        <w:rPr>
          <w:i/>
          <w:color w:val="DF2F1E"/>
        </w:rPr>
        <w:t>Change in lifetime costs since the 2017 valuation</w:t>
      </w:r>
    </w:p>
    <w:p>
      <w:pPr>
        <w:pStyle w:val="BodyText"/>
        <w:spacing w:before="121"/>
        <w:ind w:left="900" w:right="1154" w:hanging="1"/>
      </w:pPr>
      <w:r>
        <w:rPr>
          <w:color w:val="404040"/>
        </w:rPr>
        <w:t>The lifetime cost for the people in this class is $220bn, a decrease of $39bn (15.1%) compared to the rebased June 2017 valuation. This was driven by reductions in both the number of people in this class and in the average payment size:</w:t>
      </w:r>
    </w:p>
    <w:p>
      <w:pPr>
        <w:pStyle w:val="ListParagraph"/>
        <w:numPr>
          <w:ilvl w:val="0"/>
          <w:numId w:val="45"/>
        </w:numPr>
        <w:tabs>
          <w:tab w:pos="1184" w:val="left" w:leader="none"/>
        </w:tabs>
        <w:spacing w:line="240" w:lineRule="auto" w:before="120" w:after="0"/>
        <w:ind w:left="1183" w:right="1053" w:hanging="284"/>
        <w:jc w:val="left"/>
        <w:rPr>
          <w:sz w:val="20"/>
        </w:rPr>
      </w:pPr>
      <w:r>
        <w:rPr>
          <w:color w:val="404040"/>
          <w:sz w:val="20"/>
        </w:rPr>
        <w:t>The number of people in this class has reduced significantly since the previous valuation as a result of lower entries into the class over the year; as well as a technical data change whereby a group of people with a Parenting payment recorded in the data but who subsequently had zero payment entitlements, were removed from the class for the June 2018 valuation (see also section</w:t>
      </w:r>
      <w:r>
        <w:rPr>
          <w:color w:val="404040"/>
          <w:spacing w:val="-8"/>
          <w:sz w:val="20"/>
        </w:rPr>
        <w:t> </w:t>
      </w:r>
      <w:hyperlink w:history="true" w:anchor="_bookmark23">
        <w:r>
          <w:rPr>
            <w:color w:val="404040"/>
            <w:sz w:val="20"/>
          </w:rPr>
          <w:t>3.3</w:t>
        </w:r>
      </w:hyperlink>
      <w:r>
        <w:rPr>
          <w:color w:val="404040"/>
          <w:sz w:val="20"/>
        </w:rPr>
        <w:t>).</w:t>
      </w:r>
    </w:p>
    <w:p>
      <w:pPr>
        <w:pStyle w:val="ListParagraph"/>
        <w:numPr>
          <w:ilvl w:val="0"/>
          <w:numId w:val="45"/>
        </w:numPr>
        <w:tabs>
          <w:tab w:pos="1184" w:val="left" w:leader="none"/>
        </w:tabs>
        <w:spacing w:line="240" w:lineRule="auto" w:before="119" w:after="0"/>
        <w:ind w:left="1183" w:right="1694" w:hanging="284"/>
        <w:jc w:val="left"/>
        <w:rPr>
          <w:sz w:val="20"/>
        </w:rPr>
      </w:pPr>
      <w:r>
        <w:rPr>
          <w:color w:val="404040"/>
          <w:sz w:val="20"/>
        </w:rPr>
        <w:t>The average cost has decreased by $22,000 (3.2%) since the previous valuation. The following table provides a breakdown of the change in average lifetime cost by payment</w:t>
      </w:r>
      <w:r>
        <w:rPr>
          <w:color w:val="404040"/>
          <w:spacing w:val="-12"/>
          <w:sz w:val="20"/>
        </w:rPr>
        <w:t> </w:t>
      </w:r>
      <w:r>
        <w:rPr>
          <w:color w:val="404040"/>
          <w:sz w:val="20"/>
        </w:rPr>
        <w:t>category.</w:t>
      </w:r>
    </w:p>
    <w:p>
      <w:pPr>
        <w:pStyle w:val="Heading9"/>
        <w:spacing w:before="174" w:after="56"/>
      </w:pPr>
      <w:r>
        <w:rPr>
          <w:color w:val="DF2F1E"/>
        </w:rPr>
        <w:t>Table 22: Breakdown of change in average lifetime cost for class 3 by payment category</w:t>
      </w:r>
    </w:p>
    <w:tbl>
      <w:tblPr>
        <w:tblW w:w="0" w:type="auto"/>
        <w:jc w:val="left"/>
        <w:tblInd w:w="1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20"/>
        <w:gridCol w:w="1270"/>
        <w:gridCol w:w="995"/>
        <w:gridCol w:w="1027"/>
        <w:gridCol w:w="958"/>
        <w:gridCol w:w="1206"/>
        <w:gridCol w:w="1203"/>
      </w:tblGrid>
      <w:tr>
        <w:trPr>
          <w:trHeight w:val="268" w:hRule="atLeast"/>
        </w:trPr>
        <w:tc>
          <w:tcPr>
            <w:tcW w:w="3120" w:type="dxa"/>
            <w:shd w:val="clear" w:color="auto" w:fill="DF2F1E"/>
          </w:tcPr>
          <w:p>
            <w:pPr>
              <w:pStyle w:val="TableParagraph"/>
              <w:spacing w:before="0"/>
              <w:rPr>
                <w:rFonts w:ascii="Times New Roman"/>
                <w:sz w:val="18"/>
              </w:rPr>
            </w:pPr>
          </w:p>
        </w:tc>
        <w:tc>
          <w:tcPr>
            <w:tcW w:w="1270" w:type="dxa"/>
            <w:shd w:val="clear" w:color="auto" w:fill="DF2F1E"/>
          </w:tcPr>
          <w:p>
            <w:pPr>
              <w:pStyle w:val="TableParagraph"/>
              <w:spacing w:before="0"/>
              <w:rPr>
                <w:rFonts w:ascii="Times New Roman"/>
                <w:sz w:val="18"/>
              </w:rPr>
            </w:pPr>
          </w:p>
        </w:tc>
        <w:tc>
          <w:tcPr>
            <w:tcW w:w="2980" w:type="dxa"/>
            <w:gridSpan w:val="3"/>
            <w:shd w:val="clear" w:color="auto" w:fill="DF2F1E"/>
          </w:tcPr>
          <w:p>
            <w:pPr>
              <w:pStyle w:val="TableParagraph"/>
              <w:spacing w:before="34"/>
              <w:ind w:left="1403" w:right="1384"/>
              <w:jc w:val="center"/>
              <w:rPr>
                <w:b/>
                <w:sz w:val="16"/>
              </w:rPr>
            </w:pPr>
            <w:r>
              <w:rPr>
                <w:b/>
                <w:color w:val="FFFFFF"/>
                <w:sz w:val="16"/>
              </w:rPr>
              <w:t>IS</w:t>
            </w:r>
          </w:p>
        </w:tc>
        <w:tc>
          <w:tcPr>
            <w:tcW w:w="1206" w:type="dxa"/>
            <w:shd w:val="clear" w:color="auto" w:fill="DF2F1E"/>
          </w:tcPr>
          <w:p>
            <w:pPr>
              <w:pStyle w:val="TableParagraph"/>
              <w:spacing w:before="34"/>
              <w:ind w:right="47"/>
              <w:jc w:val="right"/>
              <w:rPr>
                <w:b/>
                <w:sz w:val="16"/>
              </w:rPr>
            </w:pPr>
            <w:r>
              <w:rPr>
                <w:b/>
                <w:color w:val="FFFFFF"/>
                <w:sz w:val="16"/>
              </w:rPr>
              <w:t>Non</w:t>
            </w:r>
          </w:p>
        </w:tc>
        <w:tc>
          <w:tcPr>
            <w:tcW w:w="1203" w:type="dxa"/>
            <w:shd w:val="clear" w:color="auto" w:fill="DF2F1E"/>
          </w:tcPr>
          <w:p>
            <w:pPr>
              <w:pStyle w:val="TableParagraph"/>
              <w:spacing w:before="31"/>
              <w:ind w:left="63"/>
              <w:rPr>
                <w:b/>
                <w:sz w:val="10"/>
              </w:rPr>
            </w:pPr>
            <w:r>
              <w:rPr>
                <w:b/>
                <w:color w:val="FFFFFF"/>
                <w:sz w:val="16"/>
              </w:rPr>
              <w:t>IS</w:t>
            </w:r>
            <w:r>
              <w:rPr>
                <w:b/>
                <w:color w:val="FFFFFF"/>
                <w:position w:val="6"/>
                <w:sz w:val="10"/>
              </w:rPr>
              <w:t>1</w:t>
            </w:r>
          </w:p>
        </w:tc>
      </w:tr>
      <w:tr>
        <w:trPr>
          <w:trHeight w:val="640" w:hRule="atLeast"/>
        </w:trPr>
        <w:tc>
          <w:tcPr>
            <w:tcW w:w="3120" w:type="dxa"/>
            <w:shd w:val="clear" w:color="auto" w:fill="DF2F1E"/>
          </w:tcPr>
          <w:p>
            <w:pPr>
              <w:pStyle w:val="TableParagraph"/>
              <w:spacing w:before="0"/>
              <w:rPr>
                <w:rFonts w:ascii="Times New Roman"/>
                <w:sz w:val="18"/>
              </w:rPr>
            </w:pPr>
          </w:p>
        </w:tc>
        <w:tc>
          <w:tcPr>
            <w:tcW w:w="1270" w:type="dxa"/>
            <w:shd w:val="clear" w:color="auto" w:fill="DF2F1E"/>
          </w:tcPr>
          <w:p>
            <w:pPr>
              <w:pStyle w:val="TableParagraph"/>
              <w:spacing w:before="39"/>
              <w:ind w:left="430" w:right="417"/>
              <w:jc w:val="center"/>
              <w:rPr>
                <w:b/>
                <w:sz w:val="16"/>
              </w:rPr>
            </w:pPr>
            <w:r>
              <w:rPr>
                <w:b/>
                <w:color w:val="FFFFFF"/>
                <w:sz w:val="16"/>
              </w:rPr>
              <w:t>Total</w:t>
            </w:r>
          </w:p>
        </w:tc>
        <w:tc>
          <w:tcPr>
            <w:tcW w:w="995" w:type="dxa"/>
            <w:shd w:val="clear" w:color="auto" w:fill="DF2F1E"/>
          </w:tcPr>
          <w:p>
            <w:pPr>
              <w:pStyle w:val="TableParagraph"/>
              <w:spacing w:before="39"/>
              <w:ind w:left="119" w:right="98"/>
              <w:jc w:val="center"/>
              <w:rPr>
                <w:b/>
                <w:sz w:val="16"/>
              </w:rPr>
            </w:pPr>
            <w:r>
              <w:rPr>
                <w:b/>
                <w:color w:val="FFFFFF"/>
                <w:sz w:val="16"/>
              </w:rPr>
              <w:t>Parenting</w:t>
            </w:r>
          </w:p>
        </w:tc>
        <w:tc>
          <w:tcPr>
            <w:tcW w:w="1027" w:type="dxa"/>
            <w:shd w:val="clear" w:color="auto" w:fill="DF2F1E"/>
          </w:tcPr>
          <w:p>
            <w:pPr>
              <w:pStyle w:val="TableParagraph"/>
              <w:spacing w:before="39"/>
              <w:ind w:left="127" w:right="143" w:hanging="1"/>
              <w:jc w:val="center"/>
              <w:rPr>
                <w:b/>
                <w:sz w:val="16"/>
              </w:rPr>
            </w:pPr>
            <w:r>
              <w:rPr>
                <w:b/>
                <w:color w:val="FFFFFF"/>
                <w:sz w:val="16"/>
              </w:rPr>
              <w:t>Other (excl. Age Pension)</w:t>
            </w:r>
          </w:p>
        </w:tc>
        <w:tc>
          <w:tcPr>
            <w:tcW w:w="958" w:type="dxa"/>
            <w:shd w:val="clear" w:color="auto" w:fill="DF2F1E"/>
          </w:tcPr>
          <w:p>
            <w:pPr>
              <w:pStyle w:val="TableParagraph"/>
              <w:spacing w:before="39"/>
              <w:ind w:left="156" w:right="159" w:firstLine="160"/>
              <w:rPr>
                <w:b/>
                <w:sz w:val="16"/>
              </w:rPr>
            </w:pPr>
            <w:r>
              <w:rPr>
                <w:b/>
                <w:color w:val="FFFFFF"/>
                <w:sz w:val="16"/>
              </w:rPr>
              <w:t>Age Pension</w:t>
            </w:r>
          </w:p>
        </w:tc>
        <w:tc>
          <w:tcPr>
            <w:tcW w:w="1206" w:type="dxa"/>
            <w:shd w:val="clear" w:color="auto" w:fill="DF2F1E"/>
          </w:tcPr>
          <w:p>
            <w:pPr>
              <w:pStyle w:val="TableParagraph"/>
              <w:spacing w:before="39"/>
              <w:ind w:left="108" w:right="73" w:firstLine="249"/>
              <w:rPr>
                <w:b/>
                <w:sz w:val="16"/>
              </w:rPr>
            </w:pPr>
            <w:r>
              <w:rPr>
                <w:b/>
                <w:color w:val="FFFFFF"/>
                <w:sz w:val="16"/>
              </w:rPr>
              <w:t>Family Supplements</w:t>
            </w:r>
          </w:p>
        </w:tc>
        <w:tc>
          <w:tcPr>
            <w:tcW w:w="1203" w:type="dxa"/>
            <w:shd w:val="clear" w:color="auto" w:fill="DF2F1E"/>
          </w:tcPr>
          <w:p>
            <w:pPr>
              <w:pStyle w:val="TableParagraph"/>
              <w:spacing w:before="39"/>
              <w:ind w:left="107" w:right="71" w:firstLine="288"/>
              <w:rPr>
                <w:b/>
                <w:sz w:val="16"/>
              </w:rPr>
            </w:pPr>
            <w:r>
              <w:rPr>
                <w:b/>
                <w:color w:val="FFFFFF"/>
                <w:sz w:val="16"/>
              </w:rPr>
              <w:t>Other Supplements</w:t>
            </w:r>
          </w:p>
        </w:tc>
      </w:tr>
      <w:tr>
        <w:trPr>
          <w:trHeight w:val="258" w:hRule="atLeast"/>
        </w:trPr>
        <w:tc>
          <w:tcPr>
            <w:tcW w:w="3120" w:type="dxa"/>
            <w:tcBorders>
              <w:top w:val="single" w:sz="4" w:space="0" w:color="DF2F1E"/>
              <w:left w:val="single" w:sz="4" w:space="0" w:color="DF2F1E"/>
              <w:bottom w:val="single" w:sz="4" w:space="0" w:color="DF2F1E"/>
              <w:right w:val="single" w:sz="4" w:space="0" w:color="DF2F1E"/>
            </w:tcBorders>
          </w:tcPr>
          <w:p>
            <w:pPr>
              <w:pStyle w:val="TableParagraph"/>
              <w:spacing w:before="29"/>
              <w:ind w:left="57"/>
              <w:rPr>
                <w:b/>
                <w:sz w:val="16"/>
              </w:rPr>
            </w:pPr>
            <w:r>
              <w:rPr>
                <w:b/>
                <w:color w:val="404040"/>
                <w:sz w:val="16"/>
              </w:rPr>
              <w:t>Jun-17 Total Lifetime Cost</w:t>
            </w:r>
          </w:p>
        </w:tc>
        <w:tc>
          <w:tcPr>
            <w:tcW w:w="1270" w:type="dxa"/>
            <w:tcBorders>
              <w:top w:val="single" w:sz="4" w:space="0" w:color="DF2F1E"/>
              <w:left w:val="single" w:sz="4" w:space="0" w:color="DF2F1E"/>
              <w:bottom w:val="single" w:sz="4" w:space="0" w:color="DF2F1E"/>
              <w:right w:val="single" w:sz="4" w:space="0" w:color="DF2F1E"/>
            </w:tcBorders>
          </w:tcPr>
          <w:p>
            <w:pPr>
              <w:pStyle w:val="TableParagraph"/>
              <w:spacing w:before="32"/>
              <w:ind w:left="88" w:right="72"/>
              <w:jc w:val="center"/>
              <w:rPr>
                <w:sz w:val="16"/>
              </w:rPr>
            </w:pPr>
            <w:r>
              <w:rPr>
                <w:color w:val="404040"/>
                <w:sz w:val="16"/>
              </w:rPr>
              <w:t>$210bn</w:t>
            </w:r>
          </w:p>
        </w:tc>
        <w:tc>
          <w:tcPr>
            <w:tcW w:w="5389" w:type="dxa"/>
            <w:gridSpan w:val="5"/>
            <w:vMerge w:val="restart"/>
            <w:tcBorders>
              <w:top w:val="single" w:sz="4" w:space="0" w:color="DF2F1E"/>
              <w:left w:val="single" w:sz="4" w:space="0" w:color="DF2F1E"/>
              <w:bottom w:val="single" w:sz="4" w:space="0" w:color="DF2F1E"/>
              <w:right w:val="single" w:sz="4" w:space="0" w:color="DF2F1E"/>
            </w:tcBorders>
            <w:shd w:val="clear" w:color="auto" w:fill="D9D9D9"/>
          </w:tcPr>
          <w:p>
            <w:pPr>
              <w:pStyle w:val="TableParagraph"/>
              <w:spacing w:before="0"/>
              <w:rPr>
                <w:rFonts w:ascii="Times New Roman"/>
                <w:sz w:val="18"/>
              </w:rPr>
            </w:pPr>
          </w:p>
        </w:tc>
      </w:tr>
      <w:tr>
        <w:trPr>
          <w:trHeight w:val="259" w:hRule="atLeast"/>
        </w:trPr>
        <w:tc>
          <w:tcPr>
            <w:tcW w:w="3120" w:type="dxa"/>
            <w:tcBorders>
              <w:top w:val="single" w:sz="4" w:space="0" w:color="DF2F1E"/>
              <w:left w:val="single" w:sz="4" w:space="0" w:color="DF2F1E"/>
              <w:right w:val="single" w:sz="4" w:space="0" w:color="DF2F1E"/>
            </w:tcBorders>
          </w:tcPr>
          <w:p>
            <w:pPr>
              <w:pStyle w:val="TableParagraph"/>
              <w:spacing w:before="33"/>
              <w:ind w:left="57"/>
              <w:rPr>
                <w:b/>
                <w:sz w:val="10"/>
              </w:rPr>
            </w:pPr>
            <w:r>
              <w:rPr>
                <w:b/>
                <w:color w:val="404040"/>
                <w:sz w:val="16"/>
              </w:rPr>
              <w:t>Jun-17 Total Lifetime Cost – rebased</w:t>
            </w:r>
            <w:r>
              <w:rPr>
                <w:b/>
                <w:color w:val="404040"/>
                <w:position w:val="6"/>
                <w:sz w:val="10"/>
              </w:rPr>
              <w:t>2</w:t>
            </w:r>
          </w:p>
        </w:tc>
        <w:tc>
          <w:tcPr>
            <w:tcW w:w="1270" w:type="dxa"/>
            <w:tcBorders>
              <w:top w:val="single" w:sz="4" w:space="0" w:color="DF2F1E"/>
              <w:left w:val="single" w:sz="4" w:space="0" w:color="DF2F1E"/>
              <w:right w:val="single" w:sz="4" w:space="0" w:color="DF2F1E"/>
            </w:tcBorders>
          </w:tcPr>
          <w:p>
            <w:pPr>
              <w:pStyle w:val="TableParagraph"/>
              <w:spacing w:before="39"/>
              <w:ind w:left="88" w:right="72"/>
              <w:jc w:val="center"/>
              <w:rPr>
                <w:sz w:val="16"/>
              </w:rPr>
            </w:pPr>
            <w:r>
              <w:rPr>
                <w:color w:val="404040"/>
                <w:sz w:val="16"/>
              </w:rPr>
              <w:t>$259bn</w:t>
            </w:r>
          </w:p>
        </w:tc>
        <w:tc>
          <w:tcPr>
            <w:tcW w:w="5389" w:type="dxa"/>
            <w:gridSpan w:val="5"/>
            <w:vMerge/>
            <w:tcBorders>
              <w:top w:val="nil"/>
              <w:left w:val="single" w:sz="4" w:space="0" w:color="DF2F1E"/>
              <w:bottom w:val="single" w:sz="4" w:space="0" w:color="DF2F1E"/>
              <w:right w:val="single" w:sz="4" w:space="0" w:color="DF2F1E"/>
            </w:tcBorders>
            <w:shd w:val="clear" w:color="auto" w:fill="D9D9D9"/>
          </w:tcPr>
          <w:p>
            <w:pPr>
              <w:rPr>
                <w:sz w:val="2"/>
                <w:szCs w:val="2"/>
              </w:rPr>
            </w:pPr>
          </w:p>
        </w:tc>
      </w:tr>
      <w:tr>
        <w:trPr>
          <w:trHeight w:val="260" w:hRule="atLeast"/>
        </w:trPr>
        <w:tc>
          <w:tcPr>
            <w:tcW w:w="3120" w:type="dxa"/>
            <w:tcBorders>
              <w:left w:val="single" w:sz="4" w:space="0" w:color="DF2F1E"/>
              <w:bottom w:val="single" w:sz="4" w:space="0" w:color="DF2F1E"/>
              <w:right w:val="single" w:sz="4" w:space="0" w:color="DF2F1E"/>
            </w:tcBorders>
          </w:tcPr>
          <w:p>
            <w:pPr>
              <w:pStyle w:val="TableParagraph"/>
              <w:spacing w:before="31"/>
              <w:ind w:left="57"/>
              <w:rPr>
                <w:b/>
                <w:sz w:val="16"/>
              </w:rPr>
            </w:pPr>
            <w:r>
              <w:rPr>
                <w:b/>
                <w:color w:val="404040"/>
                <w:sz w:val="16"/>
              </w:rPr>
              <w:t>Jun-18 Total Lifetime Cost</w:t>
            </w:r>
          </w:p>
        </w:tc>
        <w:tc>
          <w:tcPr>
            <w:tcW w:w="1270" w:type="dxa"/>
            <w:tcBorders>
              <w:left w:val="single" w:sz="4" w:space="0" w:color="DF2F1E"/>
              <w:bottom w:val="single" w:sz="4" w:space="0" w:color="DF2F1E"/>
              <w:right w:val="single" w:sz="4" w:space="0" w:color="DF2F1E"/>
            </w:tcBorders>
          </w:tcPr>
          <w:p>
            <w:pPr>
              <w:pStyle w:val="TableParagraph"/>
              <w:spacing w:before="34"/>
              <w:ind w:left="88" w:right="72"/>
              <w:jc w:val="center"/>
              <w:rPr>
                <w:sz w:val="16"/>
              </w:rPr>
            </w:pPr>
            <w:r>
              <w:rPr>
                <w:color w:val="404040"/>
                <w:sz w:val="16"/>
              </w:rPr>
              <w:t>$220bn</w:t>
            </w:r>
          </w:p>
        </w:tc>
        <w:tc>
          <w:tcPr>
            <w:tcW w:w="5389" w:type="dxa"/>
            <w:gridSpan w:val="5"/>
            <w:vMerge/>
            <w:tcBorders>
              <w:top w:val="nil"/>
              <w:left w:val="single" w:sz="4" w:space="0" w:color="DF2F1E"/>
              <w:bottom w:val="single" w:sz="4" w:space="0" w:color="DF2F1E"/>
              <w:right w:val="single" w:sz="4" w:space="0" w:color="DF2F1E"/>
            </w:tcBorders>
            <w:shd w:val="clear" w:color="auto" w:fill="D9D9D9"/>
          </w:tcPr>
          <w:p>
            <w:pPr>
              <w:rPr>
                <w:sz w:val="2"/>
                <w:szCs w:val="2"/>
              </w:rPr>
            </w:pPr>
          </w:p>
        </w:tc>
      </w:tr>
      <w:tr>
        <w:trPr>
          <w:trHeight w:val="263" w:hRule="atLeast"/>
        </w:trPr>
        <w:tc>
          <w:tcPr>
            <w:tcW w:w="3120" w:type="dxa"/>
            <w:tcBorders>
              <w:top w:val="single" w:sz="4" w:space="0" w:color="DF2F1E"/>
              <w:left w:val="single" w:sz="4" w:space="0" w:color="DF2F1E"/>
              <w:bottom w:val="single" w:sz="4" w:space="0" w:color="DF2F1E"/>
              <w:right w:val="single" w:sz="4" w:space="0" w:color="DF2F1E"/>
            </w:tcBorders>
          </w:tcPr>
          <w:p>
            <w:pPr>
              <w:pStyle w:val="TableParagraph"/>
              <w:spacing w:before="31"/>
              <w:ind w:left="57"/>
              <w:rPr>
                <w:b/>
                <w:sz w:val="10"/>
              </w:rPr>
            </w:pPr>
            <w:r>
              <w:rPr>
                <w:b/>
                <w:color w:val="404040"/>
                <w:sz w:val="16"/>
              </w:rPr>
              <w:t>Change in Total Lifetime Cost</w:t>
            </w:r>
            <w:r>
              <w:rPr>
                <w:b/>
                <w:color w:val="404040"/>
                <w:position w:val="6"/>
                <w:sz w:val="10"/>
              </w:rPr>
              <w:t>2</w:t>
            </w:r>
          </w:p>
        </w:tc>
        <w:tc>
          <w:tcPr>
            <w:tcW w:w="1270" w:type="dxa"/>
            <w:tcBorders>
              <w:top w:val="single" w:sz="4" w:space="0" w:color="DF2F1E"/>
              <w:left w:val="single" w:sz="4" w:space="0" w:color="DF2F1E"/>
              <w:bottom w:val="single" w:sz="4" w:space="0" w:color="DF2F1E"/>
              <w:right w:val="single" w:sz="4" w:space="0" w:color="DF2F1E"/>
            </w:tcBorders>
          </w:tcPr>
          <w:p>
            <w:pPr>
              <w:pStyle w:val="TableParagraph"/>
              <w:ind w:left="39" w:right="23"/>
              <w:jc w:val="center"/>
              <w:rPr>
                <w:sz w:val="16"/>
              </w:rPr>
            </w:pPr>
            <w:r>
              <w:rPr>
                <w:color w:val="404040"/>
                <w:sz w:val="16"/>
              </w:rPr>
              <w:t>-$39bn (-15.1%)</w:t>
            </w:r>
          </w:p>
        </w:tc>
        <w:tc>
          <w:tcPr>
            <w:tcW w:w="5389" w:type="dxa"/>
            <w:gridSpan w:val="5"/>
            <w:vMerge/>
            <w:tcBorders>
              <w:top w:val="nil"/>
              <w:left w:val="single" w:sz="4" w:space="0" w:color="DF2F1E"/>
              <w:bottom w:val="single" w:sz="4" w:space="0" w:color="DF2F1E"/>
              <w:right w:val="single" w:sz="4" w:space="0" w:color="DF2F1E"/>
            </w:tcBorders>
            <w:shd w:val="clear" w:color="auto" w:fill="D9D9D9"/>
          </w:tcPr>
          <w:p>
            <w:pPr>
              <w:rPr>
                <w:sz w:val="2"/>
                <w:szCs w:val="2"/>
              </w:rPr>
            </w:pPr>
          </w:p>
        </w:tc>
      </w:tr>
      <w:tr>
        <w:trPr>
          <w:trHeight w:val="263" w:hRule="atLeast"/>
        </w:trPr>
        <w:tc>
          <w:tcPr>
            <w:tcW w:w="3120" w:type="dxa"/>
            <w:tcBorders>
              <w:top w:val="single" w:sz="4" w:space="0" w:color="DF2F1E"/>
              <w:left w:val="single" w:sz="4" w:space="0" w:color="DF2F1E"/>
              <w:bottom w:val="single" w:sz="4" w:space="0" w:color="DF2F1E"/>
              <w:right w:val="single" w:sz="4" w:space="0" w:color="DF2F1E"/>
            </w:tcBorders>
          </w:tcPr>
          <w:p>
            <w:pPr>
              <w:pStyle w:val="TableParagraph"/>
              <w:spacing w:before="34"/>
              <w:ind w:left="57"/>
              <w:rPr>
                <w:b/>
                <w:sz w:val="16"/>
              </w:rPr>
            </w:pPr>
            <w:r>
              <w:rPr>
                <w:b/>
                <w:color w:val="404040"/>
                <w:sz w:val="16"/>
              </w:rPr>
              <w:t>Change due to People in Class</w:t>
            </w:r>
          </w:p>
        </w:tc>
        <w:tc>
          <w:tcPr>
            <w:tcW w:w="1270" w:type="dxa"/>
            <w:tcBorders>
              <w:top w:val="single" w:sz="4" w:space="0" w:color="DF2F1E"/>
              <w:left w:val="single" w:sz="4" w:space="0" w:color="DF2F1E"/>
              <w:bottom w:val="single" w:sz="4" w:space="0" w:color="DF2F1E"/>
              <w:right w:val="single" w:sz="4" w:space="0" w:color="DF2F1E"/>
            </w:tcBorders>
          </w:tcPr>
          <w:p>
            <w:pPr>
              <w:pStyle w:val="TableParagraph"/>
              <w:ind w:left="88" w:right="74"/>
              <w:jc w:val="center"/>
              <w:rPr>
                <w:sz w:val="16"/>
              </w:rPr>
            </w:pPr>
            <w:r>
              <w:rPr>
                <w:color w:val="404040"/>
                <w:sz w:val="16"/>
              </w:rPr>
              <w:t>-12.0%</w:t>
            </w:r>
          </w:p>
        </w:tc>
        <w:tc>
          <w:tcPr>
            <w:tcW w:w="5389" w:type="dxa"/>
            <w:gridSpan w:val="5"/>
            <w:vMerge/>
            <w:tcBorders>
              <w:top w:val="nil"/>
              <w:left w:val="single" w:sz="4" w:space="0" w:color="DF2F1E"/>
              <w:bottom w:val="single" w:sz="4" w:space="0" w:color="DF2F1E"/>
              <w:right w:val="single" w:sz="4" w:space="0" w:color="DF2F1E"/>
            </w:tcBorders>
            <w:shd w:val="clear" w:color="auto" w:fill="D9D9D9"/>
          </w:tcPr>
          <w:p>
            <w:pPr>
              <w:rPr>
                <w:sz w:val="2"/>
                <w:szCs w:val="2"/>
              </w:rPr>
            </w:pPr>
          </w:p>
        </w:tc>
      </w:tr>
      <w:tr>
        <w:trPr>
          <w:trHeight w:val="262" w:hRule="atLeast"/>
        </w:trPr>
        <w:tc>
          <w:tcPr>
            <w:tcW w:w="3120" w:type="dxa"/>
            <w:tcBorders>
              <w:top w:val="single" w:sz="4" w:space="0" w:color="DF2F1E"/>
              <w:left w:val="single" w:sz="4" w:space="0" w:color="DF2F1E"/>
              <w:right w:val="single" w:sz="4" w:space="0" w:color="DF2F1E"/>
            </w:tcBorders>
          </w:tcPr>
          <w:p>
            <w:pPr>
              <w:pStyle w:val="TableParagraph"/>
              <w:spacing w:before="31"/>
              <w:ind w:left="57"/>
              <w:rPr>
                <w:b/>
                <w:sz w:val="10"/>
              </w:rPr>
            </w:pPr>
            <w:r>
              <w:rPr>
                <w:b/>
                <w:color w:val="404040"/>
                <w:sz w:val="16"/>
              </w:rPr>
              <w:t>Change due to Average Lifetime Cost</w:t>
            </w:r>
            <w:r>
              <w:rPr>
                <w:b/>
                <w:color w:val="404040"/>
                <w:position w:val="6"/>
                <w:sz w:val="10"/>
              </w:rPr>
              <w:t>2</w:t>
            </w:r>
          </w:p>
        </w:tc>
        <w:tc>
          <w:tcPr>
            <w:tcW w:w="1270" w:type="dxa"/>
            <w:tcBorders>
              <w:top w:val="single" w:sz="4" w:space="0" w:color="DF2F1E"/>
              <w:left w:val="single" w:sz="4" w:space="0" w:color="DF2F1E"/>
              <w:right w:val="single" w:sz="4" w:space="0" w:color="DF2F1E"/>
            </w:tcBorders>
          </w:tcPr>
          <w:p>
            <w:pPr>
              <w:pStyle w:val="TableParagraph"/>
              <w:ind w:left="88" w:right="69"/>
              <w:jc w:val="center"/>
              <w:rPr>
                <w:sz w:val="16"/>
              </w:rPr>
            </w:pPr>
            <w:r>
              <w:rPr>
                <w:color w:val="404040"/>
                <w:sz w:val="16"/>
              </w:rPr>
              <w:t>-$22k (-3.2%)</w:t>
            </w:r>
          </w:p>
        </w:tc>
        <w:tc>
          <w:tcPr>
            <w:tcW w:w="995" w:type="dxa"/>
            <w:tcBorders>
              <w:top w:val="single" w:sz="4" w:space="0" w:color="DF2F1E"/>
              <w:left w:val="single" w:sz="4" w:space="0" w:color="DF2F1E"/>
            </w:tcBorders>
          </w:tcPr>
          <w:p>
            <w:pPr>
              <w:pStyle w:val="TableParagraph"/>
              <w:ind w:left="306" w:right="290"/>
              <w:jc w:val="center"/>
              <w:rPr>
                <w:sz w:val="16"/>
              </w:rPr>
            </w:pPr>
            <w:r>
              <w:rPr>
                <w:color w:val="A6A6A6"/>
                <w:sz w:val="16"/>
              </w:rPr>
              <w:t>&lt;$1k</w:t>
            </w:r>
          </w:p>
        </w:tc>
        <w:tc>
          <w:tcPr>
            <w:tcW w:w="1027" w:type="dxa"/>
            <w:tcBorders>
              <w:top w:val="single" w:sz="4" w:space="0" w:color="DF2F1E"/>
            </w:tcBorders>
          </w:tcPr>
          <w:p>
            <w:pPr>
              <w:pStyle w:val="TableParagraph"/>
              <w:ind w:left="283" w:right="303"/>
              <w:jc w:val="center"/>
              <w:rPr>
                <w:sz w:val="16"/>
              </w:rPr>
            </w:pPr>
            <w:r>
              <w:rPr>
                <w:color w:val="404040"/>
                <w:sz w:val="16"/>
              </w:rPr>
              <w:t>-$15k</w:t>
            </w:r>
          </w:p>
        </w:tc>
        <w:tc>
          <w:tcPr>
            <w:tcW w:w="958" w:type="dxa"/>
            <w:tcBorders>
              <w:top w:val="single" w:sz="4" w:space="0" w:color="DF2F1E"/>
              <w:right w:val="dashSmallGap" w:sz="4" w:space="0" w:color="DF2F1E"/>
            </w:tcBorders>
          </w:tcPr>
          <w:p>
            <w:pPr>
              <w:pStyle w:val="TableParagraph"/>
              <w:ind w:left="247" w:right="265"/>
              <w:jc w:val="center"/>
              <w:rPr>
                <w:sz w:val="16"/>
              </w:rPr>
            </w:pPr>
            <w:r>
              <w:rPr>
                <w:color w:val="404040"/>
                <w:sz w:val="16"/>
              </w:rPr>
              <w:t>-$10k</w:t>
            </w:r>
          </w:p>
        </w:tc>
        <w:tc>
          <w:tcPr>
            <w:tcW w:w="1206" w:type="dxa"/>
            <w:tcBorders>
              <w:top w:val="single" w:sz="4" w:space="0" w:color="DF2F1E"/>
              <w:left w:val="dashSmallGap" w:sz="4" w:space="0" w:color="DF2F1E"/>
            </w:tcBorders>
          </w:tcPr>
          <w:p>
            <w:pPr>
              <w:pStyle w:val="TableParagraph"/>
              <w:ind w:left="429"/>
              <w:rPr>
                <w:sz w:val="16"/>
              </w:rPr>
            </w:pPr>
            <w:r>
              <w:rPr>
                <w:color w:val="404040"/>
                <w:sz w:val="16"/>
              </w:rPr>
              <w:t>+$5k</w:t>
            </w:r>
          </w:p>
        </w:tc>
        <w:tc>
          <w:tcPr>
            <w:tcW w:w="1203" w:type="dxa"/>
            <w:tcBorders>
              <w:top w:val="single" w:sz="4" w:space="0" w:color="DF2F1E"/>
              <w:right w:val="single" w:sz="4" w:space="0" w:color="DF2F1E"/>
            </w:tcBorders>
          </w:tcPr>
          <w:p>
            <w:pPr>
              <w:pStyle w:val="TableParagraph"/>
              <w:ind w:right="433"/>
              <w:jc w:val="right"/>
              <w:rPr>
                <w:sz w:val="16"/>
              </w:rPr>
            </w:pPr>
            <w:r>
              <w:rPr>
                <w:color w:val="404040"/>
                <w:sz w:val="16"/>
              </w:rPr>
              <w:t>-$1k</w:t>
            </w:r>
          </w:p>
        </w:tc>
      </w:tr>
      <w:tr>
        <w:trPr>
          <w:trHeight w:val="263" w:hRule="atLeast"/>
        </w:trPr>
        <w:tc>
          <w:tcPr>
            <w:tcW w:w="3120" w:type="dxa"/>
            <w:tcBorders>
              <w:left w:val="single" w:sz="4" w:space="0" w:color="DF2F1E"/>
              <w:right w:val="single" w:sz="4" w:space="0" w:color="DF2F1E"/>
            </w:tcBorders>
          </w:tcPr>
          <w:p>
            <w:pPr>
              <w:pStyle w:val="TableParagraph"/>
              <w:spacing w:before="36"/>
              <w:ind w:left="57"/>
              <w:rPr>
                <w:b/>
                <w:sz w:val="16"/>
              </w:rPr>
            </w:pPr>
            <w:r>
              <w:rPr>
                <w:b/>
                <w:color w:val="404040"/>
                <w:sz w:val="16"/>
              </w:rPr>
              <w:t>- Impact of change in inflation</w:t>
            </w:r>
          </w:p>
        </w:tc>
        <w:tc>
          <w:tcPr>
            <w:tcW w:w="1270" w:type="dxa"/>
            <w:tcBorders>
              <w:left w:val="single" w:sz="4" w:space="0" w:color="DF2F1E"/>
              <w:right w:val="single" w:sz="4" w:space="0" w:color="DF2F1E"/>
            </w:tcBorders>
          </w:tcPr>
          <w:p>
            <w:pPr>
              <w:pStyle w:val="TableParagraph"/>
              <w:spacing w:before="39"/>
              <w:ind w:left="88" w:right="74"/>
              <w:jc w:val="center"/>
              <w:rPr>
                <w:sz w:val="16"/>
              </w:rPr>
            </w:pPr>
            <w:r>
              <w:rPr>
                <w:color w:val="404040"/>
                <w:sz w:val="16"/>
              </w:rPr>
              <w:t>+$14k</w:t>
            </w:r>
          </w:p>
        </w:tc>
        <w:tc>
          <w:tcPr>
            <w:tcW w:w="995" w:type="dxa"/>
            <w:tcBorders>
              <w:left w:val="single" w:sz="4" w:space="0" w:color="DF2F1E"/>
            </w:tcBorders>
          </w:tcPr>
          <w:p>
            <w:pPr>
              <w:pStyle w:val="TableParagraph"/>
              <w:spacing w:before="39"/>
              <w:ind w:left="307" w:right="290"/>
              <w:jc w:val="center"/>
              <w:rPr>
                <w:sz w:val="16"/>
              </w:rPr>
            </w:pPr>
            <w:r>
              <w:rPr>
                <w:color w:val="404040"/>
                <w:sz w:val="16"/>
              </w:rPr>
              <w:t>+$1k</w:t>
            </w:r>
          </w:p>
        </w:tc>
        <w:tc>
          <w:tcPr>
            <w:tcW w:w="1027" w:type="dxa"/>
          </w:tcPr>
          <w:p>
            <w:pPr>
              <w:pStyle w:val="TableParagraph"/>
              <w:spacing w:before="39"/>
              <w:ind w:left="283" w:right="298"/>
              <w:jc w:val="center"/>
              <w:rPr>
                <w:sz w:val="16"/>
              </w:rPr>
            </w:pPr>
            <w:r>
              <w:rPr>
                <w:color w:val="404040"/>
                <w:sz w:val="16"/>
              </w:rPr>
              <w:t>+$3k</w:t>
            </w:r>
          </w:p>
        </w:tc>
        <w:tc>
          <w:tcPr>
            <w:tcW w:w="958" w:type="dxa"/>
            <w:tcBorders>
              <w:right w:val="dashSmallGap" w:sz="4" w:space="0" w:color="DF2F1E"/>
            </w:tcBorders>
          </w:tcPr>
          <w:p>
            <w:pPr>
              <w:pStyle w:val="TableParagraph"/>
              <w:spacing w:before="39"/>
              <w:ind w:left="247" w:right="259"/>
              <w:jc w:val="center"/>
              <w:rPr>
                <w:sz w:val="16"/>
              </w:rPr>
            </w:pPr>
            <w:r>
              <w:rPr>
                <w:color w:val="404040"/>
                <w:sz w:val="16"/>
              </w:rPr>
              <w:t>+$4k</w:t>
            </w:r>
          </w:p>
        </w:tc>
        <w:tc>
          <w:tcPr>
            <w:tcW w:w="1206" w:type="dxa"/>
            <w:tcBorders>
              <w:left w:val="dashSmallGap" w:sz="4" w:space="0" w:color="DF2F1E"/>
            </w:tcBorders>
          </w:tcPr>
          <w:p>
            <w:pPr>
              <w:pStyle w:val="TableParagraph"/>
              <w:spacing w:before="39"/>
              <w:ind w:left="429"/>
              <w:rPr>
                <w:sz w:val="16"/>
              </w:rPr>
            </w:pPr>
            <w:r>
              <w:rPr>
                <w:color w:val="404040"/>
                <w:sz w:val="16"/>
              </w:rPr>
              <w:t>+$5k</w:t>
            </w:r>
          </w:p>
        </w:tc>
        <w:tc>
          <w:tcPr>
            <w:tcW w:w="1203" w:type="dxa"/>
            <w:tcBorders>
              <w:right w:val="single" w:sz="4" w:space="0" w:color="DF2F1E"/>
            </w:tcBorders>
          </w:tcPr>
          <w:p>
            <w:pPr>
              <w:pStyle w:val="TableParagraph"/>
              <w:spacing w:before="39"/>
              <w:ind w:right="411"/>
              <w:jc w:val="right"/>
              <w:rPr>
                <w:sz w:val="16"/>
              </w:rPr>
            </w:pPr>
            <w:r>
              <w:rPr>
                <w:color w:val="404040"/>
                <w:sz w:val="16"/>
              </w:rPr>
              <w:t>+$1k</w:t>
            </w:r>
          </w:p>
        </w:tc>
      </w:tr>
      <w:tr>
        <w:trPr>
          <w:trHeight w:val="264" w:hRule="atLeast"/>
        </w:trPr>
        <w:tc>
          <w:tcPr>
            <w:tcW w:w="3120" w:type="dxa"/>
            <w:tcBorders>
              <w:left w:val="single" w:sz="4" w:space="0" w:color="DF2F1E"/>
              <w:right w:val="single" w:sz="4" w:space="0" w:color="DF2F1E"/>
            </w:tcBorders>
          </w:tcPr>
          <w:p>
            <w:pPr>
              <w:pStyle w:val="TableParagraph"/>
              <w:spacing w:before="36"/>
              <w:ind w:left="57"/>
              <w:rPr>
                <w:b/>
                <w:sz w:val="16"/>
              </w:rPr>
            </w:pPr>
            <w:r>
              <w:rPr>
                <w:b/>
                <w:color w:val="404040"/>
                <w:sz w:val="16"/>
              </w:rPr>
              <w:t>- Impact of Age Pension forecast</w:t>
            </w:r>
          </w:p>
        </w:tc>
        <w:tc>
          <w:tcPr>
            <w:tcW w:w="1270" w:type="dxa"/>
            <w:tcBorders>
              <w:left w:val="single" w:sz="4" w:space="0" w:color="DF2F1E"/>
              <w:right w:val="single" w:sz="4" w:space="0" w:color="DF2F1E"/>
            </w:tcBorders>
          </w:tcPr>
          <w:p>
            <w:pPr>
              <w:pStyle w:val="TableParagraph"/>
              <w:spacing w:before="39"/>
              <w:ind w:left="88" w:right="74"/>
              <w:jc w:val="center"/>
              <w:rPr>
                <w:sz w:val="16"/>
              </w:rPr>
            </w:pPr>
            <w:r>
              <w:rPr>
                <w:color w:val="404040"/>
                <w:sz w:val="16"/>
              </w:rPr>
              <w:t>-$5k</w:t>
            </w:r>
          </w:p>
        </w:tc>
        <w:tc>
          <w:tcPr>
            <w:tcW w:w="995" w:type="dxa"/>
            <w:tcBorders>
              <w:left w:val="single" w:sz="4" w:space="0" w:color="DF2F1E"/>
            </w:tcBorders>
          </w:tcPr>
          <w:p>
            <w:pPr>
              <w:pStyle w:val="TableParagraph"/>
              <w:spacing w:before="39"/>
              <w:ind w:left="307" w:right="290"/>
              <w:jc w:val="center"/>
              <w:rPr>
                <w:sz w:val="16"/>
              </w:rPr>
            </w:pPr>
            <w:r>
              <w:rPr>
                <w:color w:val="A6A6A6"/>
                <w:sz w:val="16"/>
              </w:rPr>
              <w:t>&lt;$1k</w:t>
            </w:r>
          </w:p>
        </w:tc>
        <w:tc>
          <w:tcPr>
            <w:tcW w:w="1027" w:type="dxa"/>
          </w:tcPr>
          <w:p>
            <w:pPr>
              <w:pStyle w:val="TableParagraph"/>
              <w:spacing w:before="39"/>
              <w:ind w:left="283" w:right="298"/>
              <w:jc w:val="center"/>
              <w:rPr>
                <w:sz w:val="16"/>
              </w:rPr>
            </w:pPr>
            <w:r>
              <w:rPr>
                <w:color w:val="A6A6A6"/>
                <w:sz w:val="16"/>
              </w:rPr>
              <w:t>&lt;$1k</w:t>
            </w:r>
          </w:p>
        </w:tc>
        <w:tc>
          <w:tcPr>
            <w:tcW w:w="958" w:type="dxa"/>
            <w:tcBorders>
              <w:right w:val="dashSmallGap" w:sz="4" w:space="0" w:color="DF2F1E"/>
            </w:tcBorders>
          </w:tcPr>
          <w:p>
            <w:pPr>
              <w:pStyle w:val="TableParagraph"/>
              <w:spacing w:before="39"/>
              <w:ind w:left="247" w:right="262"/>
              <w:jc w:val="center"/>
              <w:rPr>
                <w:sz w:val="16"/>
              </w:rPr>
            </w:pPr>
            <w:r>
              <w:rPr>
                <w:color w:val="404040"/>
                <w:sz w:val="16"/>
              </w:rPr>
              <w:t>-$6k</w:t>
            </w:r>
          </w:p>
        </w:tc>
        <w:tc>
          <w:tcPr>
            <w:tcW w:w="1206" w:type="dxa"/>
            <w:tcBorders>
              <w:left w:val="dashSmallGap" w:sz="4" w:space="0" w:color="DF2F1E"/>
            </w:tcBorders>
          </w:tcPr>
          <w:p>
            <w:pPr>
              <w:pStyle w:val="TableParagraph"/>
              <w:spacing w:before="39"/>
              <w:ind w:left="429"/>
              <w:rPr>
                <w:sz w:val="16"/>
              </w:rPr>
            </w:pPr>
            <w:r>
              <w:rPr>
                <w:color w:val="A6A6A6"/>
                <w:sz w:val="16"/>
              </w:rPr>
              <w:t>&lt;$1k</w:t>
            </w:r>
          </w:p>
        </w:tc>
        <w:tc>
          <w:tcPr>
            <w:tcW w:w="1203" w:type="dxa"/>
            <w:tcBorders>
              <w:right w:val="single" w:sz="4" w:space="0" w:color="DF2F1E"/>
            </w:tcBorders>
          </w:tcPr>
          <w:p>
            <w:pPr>
              <w:pStyle w:val="TableParagraph"/>
              <w:spacing w:before="39"/>
              <w:ind w:right="411"/>
              <w:jc w:val="right"/>
              <w:rPr>
                <w:sz w:val="16"/>
              </w:rPr>
            </w:pPr>
            <w:r>
              <w:rPr>
                <w:color w:val="A6A6A6"/>
                <w:sz w:val="16"/>
              </w:rPr>
              <w:t>&lt;$1k</w:t>
            </w:r>
          </w:p>
        </w:tc>
      </w:tr>
      <w:tr>
        <w:trPr>
          <w:trHeight w:val="265" w:hRule="atLeast"/>
        </w:trPr>
        <w:tc>
          <w:tcPr>
            <w:tcW w:w="3120" w:type="dxa"/>
            <w:tcBorders>
              <w:left w:val="single" w:sz="4" w:space="0" w:color="DF2F1E"/>
              <w:bottom w:val="single" w:sz="4" w:space="0" w:color="DF2F1E"/>
              <w:right w:val="single" w:sz="4" w:space="0" w:color="DF2F1E"/>
            </w:tcBorders>
          </w:tcPr>
          <w:p>
            <w:pPr>
              <w:pStyle w:val="TableParagraph"/>
              <w:spacing w:before="36"/>
              <w:ind w:left="57"/>
              <w:rPr>
                <w:b/>
                <w:sz w:val="16"/>
              </w:rPr>
            </w:pPr>
            <w:r>
              <w:rPr>
                <w:b/>
                <w:color w:val="404040"/>
                <w:sz w:val="16"/>
              </w:rPr>
              <w:t>- Impact of other changes</w:t>
            </w:r>
          </w:p>
        </w:tc>
        <w:tc>
          <w:tcPr>
            <w:tcW w:w="1270" w:type="dxa"/>
            <w:tcBorders>
              <w:left w:val="single" w:sz="4" w:space="0" w:color="DF2F1E"/>
              <w:bottom w:val="single" w:sz="4" w:space="0" w:color="DF2F1E"/>
              <w:right w:val="single" w:sz="4" w:space="0" w:color="DF2F1E"/>
            </w:tcBorders>
          </w:tcPr>
          <w:p>
            <w:pPr>
              <w:pStyle w:val="TableParagraph"/>
              <w:spacing w:before="39"/>
              <w:ind w:left="88" w:right="77"/>
              <w:jc w:val="center"/>
              <w:rPr>
                <w:sz w:val="16"/>
              </w:rPr>
            </w:pPr>
            <w:r>
              <w:rPr>
                <w:color w:val="404040"/>
                <w:sz w:val="16"/>
              </w:rPr>
              <w:t>-$31k</w:t>
            </w:r>
          </w:p>
        </w:tc>
        <w:tc>
          <w:tcPr>
            <w:tcW w:w="995" w:type="dxa"/>
            <w:tcBorders>
              <w:left w:val="single" w:sz="4" w:space="0" w:color="DF2F1E"/>
              <w:bottom w:val="single" w:sz="4" w:space="0" w:color="DF2F1E"/>
            </w:tcBorders>
          </w:tcPr>
          <w:p>
            <w:pPr>
              <w:pStyle w:val="TableParagraph"/>
              <w:spacing w:before="39"/>
              <w:ind w:left="304" w:right="290"/>
              <w:jc w:val="center"/>
              <w:rPr>
                <w:sz w:val="16"/>
              </w:rPr>
            </w:pPr>
            <w:r>
              <w:rPr>
                <w:color w:val="404040"/>
                <w:sz w:val="16"/>
              </w:rPr>
              <w:t>-$2k</w:t>
            </w:r>
          </w:p>
        </w:tc>
        <w:tc>
          <w:tcPr>
            <w:tcW w:w="1027" w:type="dxa"/>
            <w:tcBorders>
              <w:bottom w:val="single" w:sz="4" w:space="0" w:color="DF2F1E"/>
            </w:tcBorders>
          </w:tcPr>
          <w:p>
            <w:pPr>
              <w:pStyle w:val="TableParagraph"/>
              <w:spacing w:before="39"/>
              <w:ind w:left="283" w:right="303"/>
              <w:jc w:val="center"/>
              <w:rPr>
                <w:sz w:val="16"/>
              </w:rPr>
            </w:pPr>
            <w:r>
              <w:rPr>
                <w:color w:val="404040"/>
                <w:sz w:val="16"/>
              </w:rPr>
              <w:t>-$19k</w:t>
            </w:r>
          </w:p>
        </w:tc>
        <w:tc>
          <w:tcPr>
            <w:tcW w:w="958" w:type="dxa"/>
            <w:tcBorders>
              <w:bottom w:val="single" w:sz="4" w:space="0" w:color="DF2F1E"/>
              <w:right w:val="dashSmallGap" w:sz="4" w:space="0" w:color="DF2F1E"/>
            </w:tcBorders>
          </w:tcPr>
          <w:p>
            <w:pPr>
              <w:pStyle w:val="TableParagraph"/>
              <w:spacing w:before="39"/>
              <w:ind w:left="247" w:right="262"/>
              <w:jc w:val="center"/>
              <w:rPr>
                <w:sz w:val="16"/>
              </w:rPr>
            </w:pPr>
            <w:r>
              <w:rPr>
                <w:color w:val="404040"/>
                <w:sz w:val="16"/>
              </w:rPr>
              <w:t>-$8k</w:t>
            </w:r>
          </w:p>
        </w:tc>
        <w:tc>
          <w:tcPr>
            <w:tcW w:w="1206" w:type="dxa"/>
            <w:tcBorders>
              <w:left w:val="dashSmallGap" w:sz="4" w:space="0" w:color="DF2F1E"/>
              <w:bottom w:val="single" w:sz="4" w:space="0" w:color="DF2F1E"/>
            </w:tcBorders>
          </w:tcPr>
          <w:p>
            <w:pPr>
              <w:pStyle w:val="TableParagraph"/>
              <w:spacing w:before="39"/>
              <w:ind w:left="429"/>
              <w:rPr>
                <w:sz w:val="16"/>
              </w:rPr>
            </w:pPr>
            <w:r>
              <w:rPr>
                <w:color w:val="A6A6A6"/>
                <w:sz w:val="16"/>
              </w:rPr>
              <w:t>&lt;$1k</w:t>
            </w:r>
          </w:p>
        </w:tc>
        <w:tc>
          <w:tcPr>
            <w:tcW w:w="1203" w:type="dxa"/>
            <w:tcBorders>
              <w:bottom w:val="single" w:sz="4" w:space="0" w:color="DF2F1E"/>
              <w:right w:val="single" w:sz="4" w:space="0" w:color="DF2F1E"/>
            </w:tcBorders>
          </w:tcPr>
          <w:p>
            <w:pPr>
              <w:pStyle w:val="TableParagraph"/>
              <w:spacing w:before="39"/>
              <w:ind w:right="433"/>
              <w:jc w:val="right"/>
              <w:rPr>
                <w:sz w:val="16"/>
              </w:rPr>
            </w:pPr>
            <w:r>
              <w:rPr>
                <w:color w:val="404040"/>
                <w:sz w:val="16"/>
              </w:rPr>
              <w:t>-$2k</w:t>
            </w:r>
          </w:p>
        </w:tc>
      </w:tr>
    </w:tbl>
    <w:p>
      <w:pPr>
        <w:spacing w:before="78"/>
        <w:ind w:left="900" w:right="0" w:firstLine="0"/>
        <w:jc w:val="left"/>
        <w:rPr>
          <w:sz w:val="16"/>
        </w:rPr>
      </w:pPr>
      <w:r>
        <w:rPr>
          <w:color w:val="DF2F1E"/>
          <w:sz w:val="16"/>
        </w:rPr>
        <w:t>Notes:</w:t>
      </w:r>
    </w:p>
    <w:p>
      <w:pPr>
        <w:pStyle w:val="ListParagraph"/>
        <w:numPr>
          <w:ilvl w:val="0"/>
          <w:numId w:val="46"/>
        </w:numPr>
        <w:tabs>
          <w:tab w:pos="1619" w:val="left" w:leader="none"/>
          <w:tab w:pos="1621" w:val="left" w:leader="none"/>
        </w:tabs>
        <w:spacing w:line="240" w:lineRule="auto" w:before="80" w:after="0"/>
        <w:ind w:left="1620" w:right="1555" w:hanging="361"/>
        <w:jc w:val="left"/>
        <w:rPr>
          <w:sz w:val="16"/>
        </w:rPr>
      </w:pPr>
      <w:r>
        <w:rPr>
          <w:color w:val="DF2F1E"/>
          <w:sz w:val="16"/>
        </w:rPr>
        <w:t>Note that payment categories H, I and J have been included in family supplements and the remaining non income support payment categories in other</w:t>
      </w:r>
      <w:r>
        <w:rPr>
          <w:color w:val="DF2F1E"/>
          <w:spacing w:val="-3"/>
          <w:sz w:val="16"/>
        </w:rPr>
        <w:t> </w:t>
      </w:r>
      <w:r>
        <w:rPr>
          <w:color w:val="DF2F1E"/>
          <w:sz w:val="16"/>
        </w:rPr>
        <w:t>supplements.</w:t>
      </w:r>
    </w:p>
    <w:p>
      <w:pPr>
        <w:pStyle w:val="ListParagraph"/>
        <w:numPr>
          <w:ilvl w:val="0"/>
          <w:numId w:val="46"/>
        </w:numPr>
        <w:tabs>
          <w:tab w:pos="1620" w:val="left" w:leader="none"/>
          <w:tab w:pos="1621" w:val="left" w:leader="none"/>
        </w:tabs>
        <w:spacing w:line="240" w:lineRule="auto" w:before="80" w:after="0"/>
        <w:ind w:left="1620" w:right="1484" w:hanging="361"/>
        <w:jc w:val="left"/>
        <w:rPr>
          <w:sz w:val="16"/>
        </w:rPr>
      </w:pPr>
      <w:r>
        <w:rPr>
          <w:color w:val="DF2F1E"/>
          <w:sz w:val="16"/>
        </w:rPr>
        <w:t>The June 2017 rebased Lifetime Cost represents a recalculation of the June 2017 lifetime cost, but using a discount rate of 5% p.a. for consistency with the June 2018 results. All changes are shown relative to this rebased lifetime</w:t>
      </w:r>
      <w:r>
        <w:rPr>
          <w:color w:val="DF2F1E"/>
          <w:spacing w:val="-32"/>
          <w:sz w:val="16"/>
        </w:rPr>
        <w:t> </w:t>
      </w:r>
      <w:r>
        <w:rPr>
          <w:color w:val="DF2F1E"/>
          <w:sz w:val="16"/>
        </w:rPr>
        <w:t>cost.</w:t>
      </w:r>
    </w:p>
    <w:p>
      <w:pPr>
        <w:pStyle w:val="BodyText"/>
        <w:spacing w:before="121"/>
        <w:ind w:left="900"/>
      </w:pPr>
      <w:r>
        <w:rPr>
          <w:color w:val="404040"/>
        </w:rPr>
        <w:t>The decrease in average cost has been primarily driven by:</w:t>
      </w:r>
    </w:p>
    <w:p>
      <w:pPr>
        <w:pStyle w:val="ListParagraph"/>
        <w:numPr>
          <w:ilvl w:val="0"/>
          <w:numId w:val="45"/>
        </w:numPr>
        <w:tabs>
          <w:tab w:pos="1184" w:val="left" w:leader="none"/>
        </w:tabs>
        <w:spacing w:line="240" w:lineRule="auto" w:before="118" w:after="0"/>
        <w:ind w:left="1183" w:right="0" w:hanging="284"/>
        <w:jc w:val="left"/>
        <w:rPr>
          <w:sz w:val="20"/>
        </w:rPr>
      </w:pPr>
      <w:r>
        <w:rPr>
          <w:color w:val="404040"/>
          <w:sz w:val="20"/>
        </w:rPr>
        <w:t>a decrease in the assumption for future persistency of Parenting</w:t>
      </w:r>
      <w:r>
        <w:rPr>
          <w:color w:val="404040"/>
          <w:spacing w:val="-5"/>
          <w:sz w:val="20"/>
        </w:rPr>
        <w:t> </w:t>
      </w:r>
      <w:r>
        <w:rPr>
          <w:color w:val="404040"/>
          <w:sz w:val="20"/>
        </w:rPr>
        <w:t>recipients;</w:t>
      </w:r>
    </w:p>
    <w:p>
      <w:pPr>
        <w:pStyle w:val="ListParagraph"/>
        <w:numPr>
          <w:ilvl w:val="0"/>
          <w:numId w:val="45"/>
        </w:numPr>
        <w:tabs>
          <w:tab w:pos="1184" w:val="left" w:leader="none"/>
        </w:tabs>
        <w:spacing w:line="240" w:lineRule="auto" w:before="120" w:after="0"/>
        <w:ind w:left="1183" w:right="1064" w:hanging="284"/>
        <w:jc w:val="left"/>
        <w:rPr>
          <w:sz w:val="20"/>
        </w:rPr>
      </w:pPr>
      <w:r>
        <w:rPr>
          <w:color w:val="404040"/>
          <w:sz w:val="20"/>
        </w:rPr>
        <w:t>a decrease in projected use of other pre-retirement income support, which reflects lower general experience of transitioning into other income support</w:t>
      </w:r>
      <w:r>
        <w:rPr>
          <w:color w:val="404040"/>
          <w:spacing w:val="-3"/>
          <w:sz w:val="20"/>
        </w:rPr>
        <w:t> </w:t>
      </w:r>
      <w:r>
        <w:rPr>
          <w:color w:val="404040"/>
          <w:sz w:val="20"/>
        </w:rPr>
        <w:t>classes;</w:t>
      </w:r>
    </w:p>
    <w:p>
      <w:pPr>
        <w:pStyle w:val="ListParagraph"/>
        <w:numPr>
          <w:ilvl w:val="0"/>
          <w:numId w:val="45"/>
        </w:numPr>
        <w:tabs>
          <w:tab w:pos="1184" w:val="left" w:leader="none"/>
        </w:tabs>
        <w:spacing w:line="240" w:lineRule="auto" w:before="118" w:after="0"/>
        <w:ind w:left="1183" w:right="0" w:hanging="284"/>
        <w:jc w:val="left"/>
        <w:rPr>
          <w:sz w:val="20"/>
        </w:rPr>
      </w:pPr>
      <w:r>
        <w:rPr>
          <w:color w:val="404040"/>
          <w:sz w:val="20"/>
        </w:rPr>
        <w:t>a flow on decrease to the likelihood of subsequently transitioning to Age Pension;</w:t>
      </w:r>
      <w:r>
        <w:rPr>
          <w:color w:val="404040"/>
          <w:spacing w:val="-8"/>
          <w:sz w:val="20"/>
        </w:rPr>
        <w:t> </w:t>
      </w:r>
      <w:r>
        <w:rPr>
          <w:color w:val="404040"/>
          <w:sz w:val="20"/>
        </w:rPr>
        <w:t>and</w:t>
      </w:r>
    </w:p>
    <w:p>
      <w:pPr>
        <w:pStyle w:val="ListParagraph"/>
        <w:numPr>
          <w:ilvl w:val="0"/>
          <w:numId w:val="45"/>
        </w:numPr>
        <w:tabs>
          <w:tab w:pos="1184" w:val="left" w:leader="none"/>
        </w:tabs>
        <w:spacing w:line="357" w:lineRule="auto" w:before="120" w:after="0"/>
        <w:ind w:left="900" w:right="1038" w:hanging="1"/>
        <w:jc w:val="left"/>
        <w:rPr>
          <w:sz w:val="20"/>
        </w:rPr>
      </w:pPr>
      <w:r>
        <w:rPr>
          <w:color w:val="404040"/>
          <w:sz w:val="20"/>
        </w:rPr>
        <w:t>a further decrease in projected Age Pension use as a result of the change to the Age Pension forecast. These</w:t>
      </w:r>
      <w:r>
        <w:rPr>
          <w:color w:val="404040"/>
          <w:spacing w:val="-4"/>
          <w:sz w:val="20"/>
        </w:rPr>
        <w:t> </w:t>
      </w:r>
      <w:r>
        <w:rPr>
          <w:color w:val="404040"/>
          <w:sz w:val="20"/>
        </w:rPr>
        <w:t>decreases</w:t>
      </w:r>
      <w:r>
        <w:rPr>
          <w:color w:val="404040"/>
          <w:spacing w:val="-2"/>
          <w:sz w:val="20"/>
        </w:rPr>
        <w:t> </w:t>
      </w:r>
      <w:r>
        <w:rPr>
          <w:color w:val="404040"/>
          <w:sz w:val="20"/>
        </w:rPr>
        <w:t>have</w:t>
      </w:r>
      <w:r>
        <w:rPr>
          <w:color w:val="404040"/>
          <w:spacing w:val="-1"/>
          <w:sz w:val="20"/>
        </w:rPr>
        <w:t> </w:t>
      </w:r>
      <w:r>
        <w:rPr>
          <w:color w:val="404040"/>
          <w:sz w:val="20"/>
        </w:rPr>
        <w:t>been</w:t>
      </w:r>
      <w:r>
        <w:rPr>
          <w:color w:val="404040"/>
          <w:spacing w:val="-3"/>
          <w:sz w:val="20"/>
        </w:rPr>
        <w:t> </w:t>
      </w:r>
      <w:r>
        <w:rPr>
          <w:color w:val="404040"/>
          <w:sz w:val="20"/>
        </w:rPr>
        <w:t>partially</w:t>
      </w:r>
      <w:r>
        <w:rPr>
          <w:color w:val="404040"/>
          <w:spacing w:val="-6"/>
          <w:sz w:val="20"/>
        </w:rPr>
        <w:t> </w:t>
      </w:r>
      <w:r>
        <w:rPr>
          <w:color w:val="404040"/>
          <w:sz w:val="20"/>
        </w:rPr>
        <w:t>offset</w:t>
      </w:r>
      <w:r>
        <w:rPr>
          <w:color w:val="404040"/>
          <w:spacing w:val="-3"/>
          <w:sz w:val="20"/>
        </w:rPr>
        <w:t> </w:t>
      </w:r>
      <w:r>
        <w:rPr>
          <w:color w:val="404040"/>
          <w:sz w:val="20"/>
        </w:rPr>
        <w:t>by</w:t>
      </w:r>
      <w:r>
        <w:rPr>
          <w:color w:val="404040"/>
          <w:spacing w:val="-5"/>
          <w:sz w:val="20"/>
        </w:rPr>
        <w:t> </w:t>
      </w:r>
      <w:r>
        <w:rPr>
          <w:color w:val="404040"/>
          <w:sz w:val="20"/>
        </w:rPr>
        <w:t>an</w:t>
      </w:r>
      <w:r>
        <w:rPr>
          <w:color w:val="404040"/>
          <w:spacing w:val="-3"/>
          <w:sz w:val="20"/>
        </w:rPr>
        <w:t> </w:t>
      </w:r>
      <w:r>
        <w:rPr>
          <w:color w:val="404040"/>
          <w:sz w:val="20"/>
        </w:rPr>
        <w:t>increase</w:t>
      </w:r>
      <w:r>
        <w:rPr>
          <w:color w:val="404040"/>
          <w:spacing w:val="-3"/>
          <w:sz w:val="20"/>
        </w:rPr>
        <w:t> </w:t>
      </w:r>
      <w:r>
        <w:rPr>
          <w:color w:val="404040"/>
          <w:sz w:val="20"/>
        </w:rPr>
        <w:t>in</w:t>
      </w:r>
      <w:r>
        <w:rPr>
          <w:color w:val="404040"/>
          <w:spacing w:val="-1"/>
          <w:sz w:val="20"/>
        </w:rPr>
        <w:t> </w:t>
      </w:r>
      <w:r>
        <w:rPr>
          <w:color w:val="404040"/>
          <w:sz w:val="20"/>
        </w:rPr>
        <w:t>the</w:t>
      </w:r>
      <w:r>
        <w:rPr>
          <w:color w:val="404040"/>
          <w:spacing w:val="-1"/>
          <w:sz w:val="20"/>
        </w:rPr>
        <w:t> </w:t>
      </w:r>
      <w:r>
        <w:rPr>
          <w:color w:val="404040"/>
          <w:sz w:val="20"/>
        </w:rPr>
        <w:t>cost</w:t>
      </w:r>
      <w:r>
        <w:rPr>
          <w:color w:val="404040"/>
          <w:spacing w:val="-3"/>
          <w:sz w:val="20"/>
        </w:rPr>
        <w:t> </w:t>
      </w:r>
      <w:r>
        <w:rPr>
          <w:color w:val="404040"/>
          <w:sz w:val="20"/>
        </w:rPr>
        <w:t>of</w:t>
      </w:r>
      <w:r>
        <w:rPr>
          <w:color w:val="404040"/>
          <w:spacing w:val="-1"/>
          <w:sz w:val="20"/>
        </w:rPr>
        <w:t> </w:t>
      </w:r>
      <w:r>
        <w:rPr>
          <w:color w:val="404040"/>
          <w:sz w:val="20"/>
        </w:rPr>
        <w:t>future</w:t>
      </w:r>
      <w:r>
        <w:rPr>
          <w:color w:val="404040"/>
          <w:spacing w:val="-3"/>
          <w:sz w:val="20"/>
        </w:rPr>
        <w:t> </w:t>
      </w:r>
      <w:r>
        <w:rPr>
          <w:color w:val="404040"/>
          <w:sz w:val="20"/>
        </w:rPr>
        <w:t>payments</w:t>
      </w:r>
      <w:r>
        <w:rPr>
          <w:color w:val="404040"/>
          <w:spacing w:val="-2"/>
          <w:sz w:val="20"/>
        </w:rPr>
        <w:t> </w:t>
      </w:r>
      <w:r>
        <w:rPr>
          <w:color w:val="404040"/>
          <w:sz w:val="20"/>
        </w:rPr>
        <w:t>as</w:t>
      </w:r>
      <w:r>
        <w:rPr>
          <w:color w:val="404040"/>
          <w:spacing w:val="-2"/>
          <w:sz w:val="20"/>
        </w:rPr>
        <w:t> </w:t>
      </w:r>
      <w:r>
        <w:rPr>
          <w:color w:val="404040"/>
          <w:sz w:val="20"/>
        </w:rPr>
        <w:t>a</w:t>
      </w:r>
      <w:r>
        <w:rPr>
          <w:color w:val="404040"/>
          <w:spacing w:val="-3"/>
          <w:sz w:val="20"/>
        </w:rPr>
        <w:t> </w:t>
      </w:r>
      <w:r>
        <w:rPr>
          <w:color w:val="404040"/>
          <w:sz w:val="20"/>
        </w:rPr>
        <w:t>result</w:t>
      </w:r>
      <w:r>
        <w:rPr>
          <w:color w:val="404040"/>
          <w:spacing w:val="-2"/>
          <w:sz w:val="20"/>
        </w:rPr>
        <w:t> </w:t>
      </w:r>
      <w:r>
        <w:rPr>
          <w:color w:val="404040"/>
          <w:sz w:val="20"/>
        </w:rPr>
        <w:t>of</w:t>
      </w:r>
      <w:r>
        <w:rPr>
          <w:color w:val="404040"/>
          <w:spacing w:val="-1"/>
          <w:sz w:val="20"/>
        </w:rPr>
        <w:t> </w:t>
      </w:r>
      <w:r>
        <w:rPr>
          <w:color w:val="404040"/>
          <w:sz w:val="20"/>
        </w:rPr>
        <w:t>inflation.</w:t>
      </w:r>
    </w:p>
    <w:p>
      <w:pPr>
        <w:pStyle w:val="BodyText"/>
        <w:spacing w:before="6"/>
        <w:ind w:left="900" w:right="1309"/>
      </w:pPr>
      <w:r>
        <w:rPr>
          <w:color w:val="404040"/>
        </w:rPr>
        <w:t>Additionally there was a small increasing impact on the average payment size for Parenting payments which came through as a result of the technical data change whereby a group of people with a Parenting payment recorded in the data but who subsequently had zero payment entitlements, were removed from the data.</w:t>
      </w:r>
    </w:p>
    <w:p>
      <w:pPr>
        <w:pStyle w:val="BodyText"/>
        <w:ind w:left="900" w:right="1142"/>
      </w:pPr>
      <w:r>
        <w:rPr>
          <w:color w:val="404040"/>
        </w:rPr>
        <w:t>Although this had a small increasing impact, the overall impact of the other changes for Parenting payments is still negative due to the significant decreases in future persistency of Parenting recipients.</w:t>
      </w:r>
    </w:p>
    <w:p>
      <w:pPr>
        <w:spacing w:after="0"/>
        <w:sectPr>
          <w:pgSz w:w="11910" w:h="16850"/>
          <w:pgMar w:header="572" w:footer="581" w:top="780" w:bottom="780" w:left="120" w:right="0"/>
        </w:sectPr>
      </w:pPr>
    </w:p>
    <w:p>
      <w:pPr>
        <w:pStyle w:val="BodyText"/>
      </w:pPr>
    </w:p>
    <w:p>
      <w:pPr>
        <w:pStyle w:val="BodyText"/>
      </w:pPr>
    </w:p>
    <w:p>
      <w:pPr>
        <w:pStyle w:val="BodyText"/>
        <w:spacing w:before="7"/>
        <w:rPr>
          <w:sz w:val="21"/>
        </w:rPr>
      </w:pPr>
    </w:p>
    <w:p>
      <w:pPr>
        <w:pStyle w:val="Heading6"/>
        <w:spacing w:before="94"/>
        <w:rPr>
          <w:i/>
        </w:rPr>
      </w:pPr>
      <w:r>
        <w:rPr>
          <w:i/>
          <w:color w:val="DF2F1E"/>
        </w:rPr>
        <w:t>Future outcomes</w:t>
      </w:r>
    </w:p>
    <w:p>
      <w:pPr>
        <w:pStyle w:val="BodyText"/>
        <w:spacing w:before="121"/>
        <w:ind w:left="900" w:right="1197"/>
      </w:pPr>
      <w:r>
        <w:rPr>
          <w:color w:val="404040"/>
        </w:rPr>
        <w:t>In developing the valuation results the projection model also produces information on the expected transitions for people out of each class, as shown below.</w:t>
      </w:r>
    </w:p>
    <w:p>
      <w:pPr>
        <w:pStyle w:val="Heading9"/>
        <w:spacing w:before="176"/>
      </w:pPr>
      <w:r>
        <w:rPr>
          <w:color w:val="DF2F1E"/>
        </w:rPr>
        <w:t>Figure 59: Expected future trajectory for people in class 3</w:t>
      </w:r>
    </w:p>
    <w:p>
      <w:pPr>
        <w:spacing w:after="0"/>
        <w:sectPr>
          <w:pgSz w:w="11910" w:h="16850"/>
          <w:pgMar w:header="572" w:footer="581" w:top="780" w:bottom="780" w:left="120" w:right="0"/>
        </w:sectPr>
      </w:pPr>
    </w:p>
    <w:p>
      <w:pPr>
        <w:pStyle w:val="BodyText"/>
        <w:spacing w:before="10"/>
        <w:rPr>
          <w:b/>
          <w:sz w:val="14"/>
        </w:rPr>
      </w:pPr>
    </w:p>
    <w:p>
      <w:pPr>
        <w:spacing w:before="0"/>
        <w:ind w:left="0" w:right="988" w:firstLine="0"/>
        <w:jc w:val="right"/>
        <w:rPr>
          <w:rFonts w:ascii="Calibri"/>
          <w:sz w:val="15"/>
        </w:rPr>
      </w:pPr>
      <w:r>
        <w:rPr/>
        <w:pict>
          <v:group style="position:absolute;margin-left:108.707794pt;margin-top:4.047206pt;width:248.35pt;height:118.9pt;mso-position-horizontal-relative:page;mso-position-vertical-relative:paragraph;z-index:252314624" coordorigin="2174,81" coordsize="4967,2378">
            <v:shape style="position:absolute;left:2216;top:92;width:4913;height:2324" type="#_x0000_t75" stroked="false">
              <v:imagedata r:id="rId118" o:title=""/>
            </v:shape>
            <v:shape style="position:absolute;left:3372;top:98;width:3751;height:108" coordorigin="3372,99" coordsize="3751,108" path="m7123,207l6955,195,6799,195,6632,183,6476,183,6308,171,6140,171,5985,159,5817,159,5649,147,5326,147,5170,135,4834,135,4679,123,4343,123,4187,111,3528,111,3372,99,7123,99,7123,207xe" filled="true" fillcolor="#000000" stroked="false">
              <v:path arrowok="t"/>
              <v:fill type="solid"/>
            </v:shape>
            <v:shape style="position:absolute;left:2222;top:98;width:4901;height:108" coordorigin="2222,99" coordsize="4901,108" path="m2222,99l2222,99,7123,99,7123,207,6955,195,6799,195,6632,183,6476,183,6308,171,6140,171,5985,159,5817,159,5649,147,5493,147,5326,147,5170,135,5002,135,4834,135,4679,123,4511,123,4343,123,4187,111,4019,111,3852,111,3696,111,3528,111,3372,99,2390,99,2222,99xe" filled="false" stroked="true" strokeweight=".598786pt" strokecolor="#000000">
              <v:path arrowok="t"/>
              <v:stroke dashstyle="solid"/>
            </v:shape>
            <v:line style="position:absolute" from="2216,99" to="7129,99" stroked="true" strokeweight=".598786pt" strokecolor="#000000">
              <v:stroke dashstyle="solid"/>
            </v:line>
            <v:line style="position:absolute" from="2222,2410" to="2222,99" stroked="true" strokeweight=".599138pt" strokecolor="#858585">
              <v:stroke dashstyle="solid"/>
            </v:line>
            <v:shape style="position:absolute;left:0;top:13843;width:13369;height:645027" coordorigin="0,13843" coordsize="13369,645027" path="m2174,2410l2222,2410m2174,2183l2222,2183m2174,1943l2222,1943m2174,1716l2222,1716m2174,1488l2222,1488m2174,1249l2222,1249m2174,1021l2222,1021m2174,794l2222,794m2174,554l2222,554m2174,326l2222,326m2174,99l2222,99e" filled="false" stroked="true" strokeweight=".598963pt" strokecolor="#858585">
              <v:path arrowok="t"/>
              <v:stroke dashstyle="solid"/>
            </v:shape>
            <v:shape style="position:absolute;left:0;top:7439;width:654744;height:6404" coordorigin="0,7440" coordsize="654744,6404" path="m2222,2410l7123,2410m2222,2410l2222,2458m2390,2410l2390,2458m2546,2410l2546,2458m2713,2410l2713,2458m2881,2410l2881,2458m3037,2410l3037,2458m3205,2410l3205,2458m3372,2410l3372,2458m3528,2410l3528,2458m3696,2410l3696,2458m3852,2410l3852,2458m4019,2410l4019,2458m4187,2410l4187,2458m4343,2410l4343,2458m4511,2410l4511,2458m4679,2410l4679,2458m4834,2410l4834,2458m5002,2410l5002,2458m5170,2410l5170,2458m5326,2410l5326,2458m5493,2410l5493,2458m5649,2410l5649,2458m5817,2410l5817,2458m5985,2410l5985,2458m6140,2410l6140,2458m6308,2410l6308,2458m6476,2410l6476,2458m6632,2410l6632,2458m6799,2410l6799,2458m6955,2410l6955,2458m7123,2410l7123,2458e" filled="false" stroked="true" strokeweight=".598958pt" strokecolor="#858585">
              <v:path arrowok="t"/>
              <v:stroke dashstyle="solid"/>
            </v:shape>
            <v:shape style="position:absolute;left:2228;top:92;width:4901;height:2300" coordorigin="2228,93" coordsize="4901,2300" path="m2228,93l2384,512,2552,823,2719,1075,2875,1291,3043,1458,3199,1614,3366,1746,3534,1853,3690,1925,3858,1985,4025,2045,4181,2093,4349,2141,4505,2177,4673,2201,4840,2237,4996,2261,5164,2284,5332,2296,5487,2320,5655,2332,5823,2344,5979,2356,6146,2356,6302,2368,6470,2368,6638,2380,6793,2380,6961,2392,7129,2392e" filled="false" stroked="true" strokeweight="1.197702pt" strokecolor="#ffffff">
              <v:path arrowok="t"/>
              <v:stroke dashstyle="dot"/>
            </v:shape>
            <v:shape style="position:absolute;left:2228;top:92;width:4901;height:1126" coordorigin="2228,93" coordsize="4901,1126" path="m2228,93l2384,117,2552,141,2719,177,2875,225,3043,273,3199,320,3366,368,3534,416,3690,476,3858,536,4025,596,4181,656,4349,728,4505,799,4673,871,4840,931,4996,991,5164,1039,5332,1087,5487,1135,5655,1159,5823,1183,5979,1195,6146,1207,6302,1219,6470,1219,6638,1207,6793,1207,6961,1195,7129,1171e" filled="false" stroked="true" strokeweight="1.197612pt" strokecolor="#ffffff">
              <v:path arrowok="t"/>
              <v:stroke dashstyle="longdash"/>
            </v:shape>
            <w10:wrap type="none"/>
          </v:group>
        </w:pict>
      </w:r>
      <w:r>
        <w:rPr>
          <w:rFonts w:ascii="Calibri"/>
          <w:spacing w:val="-1"/>
          <w:w w:val="105"/>
          <w:sz w:val="15"/>
        </w:rPr>
        <w:t>100%</w:t>
      </w:r>
    </w:p>
    <w:p>
      <w:pPr>
        <w:spacing w:before="48"/>
        <w:ind w:left="0" w:right="979" w:firstLine="0"/>
        <w:jc w:val="right"/>
        <w:rPr>
          <w:rFonts w:ascii="Calibri"/>
          <w:sz w:val="15"/>
        </w:rPr>
      </w:pPr>
      <w:r>
        <w:rPr/>
        <w:pict>
          <v:shape style="position:absolute;margin-left:74.758476pt;margin-top:7.734942pt;width:9.8pt;height:91.95pt;mso-position-horizontal-relative:page;mso-position-vertical-relative:paragraph;z-index:252316672" type="#_x0000_t202" filled="false" stroked="false">
            <v:textbox inset="0,0,0,0" style="layout-flow:vertical;mso-layout-flow-alt:bottom-to-top">
              <w:txbxContent>
                <w:p>
                  <w:pPr>
                    <w:spacing w:line="177" w:lineRule="exact" w:before="0"/>
                    <w:ind w:left="20" w:right="0" w:firstLine="0"/>
                    <w:jc w:val="left"/>
                    <w:rPr>
                      <w:rFonts w:ascii="Calibri"/>
                      <w:b/>
                      <w:sz w:val="15"/>
                    </w:rPr>
                  </w:pPr>
                  <w:r>
                    <w:rPr>
                      <w:rFonts w:ascii="Calibri"/>
                      <w:b/>
                      <w:w w:val="105"/>
                      <w:sz w:val="15"/>
                    </w:rPr>
                    <w:t>Proportion In Welfare Class</w:t>
                  </w:r>
                </w:p>
              </w:txbxContent>
            </v:textbox>
            <w10:wrap type="none"/>
          </v:shape>
        </w:pict>
      </w:r>
      <w:r>
        <w:rPr>
          <w:rFonts w:ascii="Calibri"/>
          <w:spacing w:val="2"/>
          <w:sz w:val="15"/>
        </w:rPr>
        <w:t>90%</w:t>
      </w:r>
    </w:p>
    <w:p>
      <w:pPr>
        <w:spacing w:before="49"/>
        <w:ind w:left="0" w:right="979" w:firstLine="0"/>
        <w:jc w:val="right"/>
        <w:rPr>
          <w:rFonts w:ascii="Calibri"/>
          <w:sz w:val="15"/>
        </w:rPr>
      </w:pPr>
      <w:r>
        <w:rPr>
          <w:rFonts w:ascii="Calibri"/>
          <w:spacing w:val="2"/>
          <w:sz w:val="15"/>
        </w:rPr>
        <w:t>80%</w:t>
      </w:r>
    </w:p>
    <w:p>
      <w:pPr>
        <w:spacing w:before="48"/>
        <w:ind w:left="0" w:right="979" w:firstLine="0"/>
        <w:jc w:val="right"/>
        <w:rPr>
          <w:rFonts w:ascii="Calibri"/>
          <w:sz w:val="15"/>
        </w:rPr>
      </w:pPr>
      <w:r>
        <w:rPr>
          <w:rFonts w:ascii="Calibri"/>
          <w:spacing w:val="2"/>
          <w:sz w:val="15"/>
        </w:rPr>
        <w:t>70%</w:t>
      </w:r>
    </w:p>
    <w:p>
      <w:pPr>
        <w:spacing w:before="48"/>
        <w:ind w:left="0" w:right="979" w:firstLine="0"/>
        <w:jc w:val="right"/>
        <w:rPr>
          <w:rFonts w:ascii="Calibri"/>
          <w:sz w:val="15"/>
        </w:rPr>
      </w:pPr>
      <w:r>
        <w:rPr>
          <w:rFonts w:ascii="Calibri"/>
          <w:spacing w:val="2"/>
          <w:sz w:val="15"/>
        </w:rPr>
        <w:t>60%</w:t>
      </w:r>
    </w:p>
    <w:p>
      <w:pPr>
        <w:spacing w:before="49"/>
        <w:ind w:left="0" w:right="979" w:firstLine="0"/>
        <w:jc w:val="right"/>
        <w:rPr>
          <w:rFonts w:ascii="Calibri"/>
          <w:sz w:val="15"/>
        </w:rPr>
      </w:pPr>
      <w:r>
        <w:rPr>
          <w:rFonts w:ascii="Calibri"/>
          <w:spacing w:val="2"/>
          <w:sz w:val="15"/>
        </w:rPr>
        <w:t>50%</w:t>
      </w:r>
    </w:p>
    <w:p>
      <w:pPr>
        <w:spacing w:before="48"/>
        <w:ind w:left="0" w:right="979" w:firstLine="0"/>
        <w:jc w:val="right"/>
        <w:rPr>
          <w:rFonts w:ascii="Calibri"/>
          <w:sz w:val="15"/>
        </w:rPr>
      </w:pPr>
      <w:r>
        <w:rPr>
          <w:rFonts w:ascii="Calibri"/>
          <w:spacing w:val="2"/>
          <w:sz w:val="15"/>
        </w:rPr>
        <w:t>40%</w:t>
      </w:r>
    </w:p>
    <w:p>
      <w:pPr>
        <w:spacing w:before="49"/>
        <w:ind w:left="0" w:right="979" w:firstLine="0"/>
        <w:jc w:val="right"/>
        <w:rPr>
          <w:rFonts w:ascii="Calibri"/>
          <w:sz w:val="15"/>
        </w:rPr>
      </w:pPr>
      <w:r>
        <w:rPr>
          <w:rFonts w:ascii="Calibri"/>
          <w:spacing w:val="2"/>
          <w:sz w:val="15"/>
        </w:rPr>
        <w:t>30%</w:t>
      </w:r>
    </w:p>
    <w:p>
      <w:pPr>
        <w:spacing w:before="48"/>
        <w:ind w:left="0" w:right="979" w:firstLine="0"/>
        <w:jc w:val="right"/>
        <w:rPr>
          <w:rFonts w:ascii="Calibri"/>
          <w:sz w:val="15"/>
        </w:rPr>
      </w:pPr>
      <w:r>
        <w:rPr>
          <w:rFonts w:ascii="Calibri"/>
          <w:spacing w:val="2"/>
          <w:sz w:val="15"/>
        </w:rPr>
        <w:t>20%</w:t>
      </w:r>
    </w:p>
    <w:p>
      <w:pPr>
        <w:spacing w:before="49"/>
        <w:ind w:left="0" w:right="979" w:firstLine="0"/>
        <w:jc w:val="right"/>
        <w:rPr>
          <w:rFonts w:ascii="Calibri"/>
          <w:sz w:val="15"/>
        </w:rPr>
      </w:pPr>
      <w:r>
        <w:rPr>
          <w:rFonts w:ascii="Calibri"/>
          <w:spacing w:val="2"/>
          <w:sz w:val="15"/>
        </w:rPr>
        <w:t>10%</w:t>
      </w:r>
    </w:p>
    <w:p>
      <w:pPr>
        <w:spacing w:before="48"/>
        <w:ind w:left="0" w:right="982" w:firstLine="0"/>
        <w:jc w:val="right"/>
        <w:rPr>
          <w:rFonts w:ascii="Calibri"/>
          <w:sz w:val="15"/>
        </w:rPr>
      </w:pPr>
      <w:r>
        <w:rPr>
          <w:rFonts w:ascii="Calibri"/>
          <w:w w:val="105"/>
          <w:sz w:val="15"/>
        </w:rPr>
        <w:t>0%</w:t>
      </w:r>
    </w:p>
    <w:p>
      <w:pPr>
        <w:pStyle w:val="BodyText"/>
        <w:spacing w:before="10"/>
        <w:rPr>
          <w:rFonts w:ascii="Calibri"/>
          <w:sz w:val="5"/>
        </w:rPr>
      </w:pPr>
    </w:p>
    <w:p>
      <w:pPr>
        <w:pStyle w:val="BodyText"/>
        <w:tabs>
          <w:tab w:pos="2677" w:val="left" w:leader="none"/>
        </w:tabs>
        <w:ind w:left="1860" w:right="-44"/>
        <w:rPr>
          <w:rFonts w:ascii="Calibri"/>
        </w:rPr>
      </w:pPr>
      <w:r>
        <w:rPr>
          <w:rFonts w:ascii="Calibri"/>
        </w:rPr>
        <w:drawing>
          <wp:inline distT="0" distB="0" distL="0" distR="0">
            <wp:extent cx="168591" cy="171450"/>
            <wp:effectExtent l="0" t="0" r="0" b="0"/>
            <wp:docPr id="183" name="image97.png"/>
            <wp:cNvGraphicFramePr>
              <a:graphicFrameLocks noChangeAspect="1"/>
            </wp:cNvGraphicFramePr>
            <a:graphic>
              <a:graphicData uri="http://schemas.openxmlformats.org/drawingml/2006/picture">
                <pic:pic>
                  <pic:nvPicPr>
                    <pic:cNvPr id="184" name="image97.png"/>
                    <pic:cNvPicPr/>
                  </pic:nvPicPr>
                  <pic:blipFill>
                    <a:blip r:embed="rId119" cstate="print"/>
                    <a:stretch>
                      <a:fillRect/>
                    </a:stretch>
                  </pic:blipFill>
                  <pic:spPr>
                    <a:xfrm>
                      <a:off x="0" y="0"/>
                      <a:ext cx="168591" cy="171450"/>
                    </a:xfrm>
                    <a:prstGeom prst="rect">
                      <a:avLst/>
                    </a:prstGeom>
                  </pic:spPr>
                </pic:pic>
              </a:graphicData>
            </a:graphic>
          </wp:inline>
        </w:drawing>
      </w:r>
      <w:r>
        <w:rPr>
          <w:rFonts w:ascii="Calibri"/>
        </w:rPr>
      </w:r>
      <w:r>
        <w:rPr>
          <w:rFonts w:ascii="Calibri"/>
        </w:rPr>
        <w:tab/>
      </w:r>
      <w:r>
        <w:rPr>
          <w:rFonts w:ascii="Calibri"/>
        </w:rPr>
        <w:drawing>
          <wp:inline distT="0" distB="0" distL="0" distR="0">
            <wp:extent cx="168382" cy="171450"/>
            <wp:effectExtent l="0" t="0" r="0" b="0"/>
            <wp:docPr id="185" name="image98.png"/>
            <wp:cNvGraphicFramePr>
              <a:graphicFrameLocks noChangeAspect="1"/>
            </wp:cNvGraphicFramePr>
            <a:graphic>
              <a:graphicData uri="http://schemas.openxmlformats.org/drawingml/2006/picture">
                <pic:pic>
                  <pic:nvPicPr>
                    <pic:cNvPr id="186" name="image98.png"/>
                    <pic:cNvPicPr/>
                  </pic:nvPicPr>
                  <pic:blipFill>
                    <a:blip r:embed="rId120" cstate="print"/>
                    <a:stretch>
                      <a:fillRect/>
                    </a:stretch>
                  </pic:blipFill>
                  <pic:spPr>
                    <a:xfrm>
                      <a:off x="0" y="0"/>
                      <a:ext cx="168382" cy="171450"/>
                    </a:xfrm>
                    <a:prstGeom prst="rect">
                      <a:avLst/>
                    </a:prstGeom>
                  </pic:spPr>
                </pic:pic>
              </a:graphicData>
            </a:graphic>
          </wp:inline>
        </w:drawing>
      </w:r>
      <w:r>
        <w:rPr>
          <w:rFonts w:ascii="Calibri"/>
        </w:rPr>
      </w:r>
    </w:p>
    <w:p>
      <w:pPr>
        <w:pStyle w:val="BodyText"/>
        <w:rPr>
          <w:rFonts w:ascii="Calibri"/>
        </w:rPr>
      </w:pPr>
      <w:r>
        <w:rPr/>
        <w:br w:type="column"/>
      </w:r>
      <w:r>
        <w:rPr>
          <w:rFonts w:ascii="Calibri"/>
        </w:rPr>
      </w: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spacing w:before="4"/>
        <w:rPr>
          <w:rFonts w:ascii="Calibri"/>
          <w:sz w:val="21"/>
        </w:rPr>
      </w:pPr>
      <w:r>
        <w:rPr/>
        <w:drawing>
          <wp:anchor distT="0" distB="0" distL="0" distR="0" allowOverlap="1" layoutInCell="1" locked="0" behindDoc="0" simplePos="0" relativeHeight="636">
            <wp:simplePos x="0" y="0"/>
            <wp:positionH relativeFrom="page">
              <wp:posOffset>2294598</wp:posOffset>
            </wp:positionH>
            <wp:positionV relativeFrom="paragraph">
              <wp:posOffset>190082</wp:posOffset>
            </wp:positionV>
            <wp:extent cx="168591" cy="171450"/>
            <wp:effectExtent l="0" t="0" r="0" b="0"/>
            <wp:wrapTopAndBottom/>
            <wp:docPr id="187" name="image99.png"/>
            <wp:cNvGraphicFramePr>
              <a:graphicFrameLocks noChangeAspect="1"/>
            </wp:cNvGraphicFramePr>
            <a:graphic>
              <a:graphicData uri="http://schemas.openxmlformats.org/drawingml/2006/picture">
                <pic:pic>
                  <pic:nvPicPr>
                    <pic:cNvPr id="188" name="image99.png"/>
                    <pic:cNvPicPr/>
                  </pic:nvPicPr>
                  <pic:blipFill>
                    <a:blip r:embed="rId121" cstate="print"/>
                    <a:stretch>
                      <a:fillRect/>
                    </a:stretch>
                  </pic:blipFill>
                  <pic:spPr>
                    <a:xfrm>
                      <a:off x="0" y="0"/>
                      <a:ext cx="168591" cy="171450"/>
                    </a:xfrm>
                    <a:prstGeom prst="rect">
                      <a:avLst/>
                    </a:prstGeom>
                  </pic:spPr>
                </pic:pic>
              </a:graphicData>
            </a:graphic>
          </wp:anchor>
        </w:drawing>
      </w:r>
      <w:r>
        <w:rPr/>
        <w:drawing>
          <wp:anchor distT="0" distB="0" distL="0" distR="0" allowOverlap="1" layoutInCell="1" locked="0" behindDoc="0" simplePos="0" relativeHeight="637">
            <wp:simplePos x="0" y="0"/>
            <wp:positionH relativeFrom="page">
              <wp:posOffset>2813068</wp:posOffset>
            </wp:positionH>
            <wp:positionV relativeFrom="paragraph">
              <wp:posOffset>192005</wp:posOffset>
            </wp:positionV>
            <wp:extent cx="168382" cy="171450"/>
            <wp:effectExtent l="0" t="0" r="0" b="0"/>
            <wp:wrapTopAndBottom/>
            <wp:docPr id="189" name="image100.png"/>
            <wp:cNvGraphicFramePr>
              <a:graphicFrameLocks noChangeAspect="1"/>
            </wp:cNvGraphicFramePr>
            <a:graphic>
              <a:graphicData uri="http://schemas.openxmlformats.org/drawingml/2006/picture">
                <pic:pic>
                  <pic:nvPicPr>
                    <pic:cNvPr id="190" name="image100.png"/>
                    <pic:cNvPicPr/>
                  </pic:nvPicPr>
                  <pic:blipFill>
                    <a:blip r:embed="rId122" cstate="print"/>
                    <a:stretch>
                      <a:fillRect/>
                    </a:stretch>
                  </pic:blipFill>
                  <pic:spPr>
                    <a:xfrm>
                      <a:off x="0" y="0"/>
                      <a:ext cx="168382" cy="171450"/>
                    </a:xfrm>
                    <a:prstGeom prst="rect">
                      <a:avLst/>
                    </a:prstGeom>
                  </pic:spPr>
                </pic:pic>
              </a:graphicData>
            </a:graphic>
          </wp:anchor>
        </w:drawing>
      </w:r>
      <w:r>
        <w:rPr/>
        <w:drawing>
          <wp:anchor distT="0" distB="0" distL="0" distR="0" allowOverlap="1" layoutInCell="1" locked="0" behindDoc="0" simplePos="0" relativeHeight="638">
            <wp:simplePos x="0" y="0"/>
            <wp:positionH relativeFrom="page">
              <wp:posOffset>3331538</wp:posOffset>
            </wp:positionH>
            <wp:positionV relativeFrom="paragraph">
              <wp:posOffset>190082</wp:posOffset>
            </wp:positionV>
            <wp:extent cx="168591" cy="171450"/>
            <wp:effectExtent l="0" t="0" r="0" b="0"/>
            <wp:wrapTopAndBottom/>
            <wp:docPr id="191" name="image101.png"/>
            <wp:cNvGraphicFramePr>
              <a:graphicFrameLocks noChangeAspect="1"/>
            </wp:cNvGraphicFramePr>
            <a:graphic>
              <a:graphicData uri="http://schemas.openxmlformats.org/drawingml/2006/picture">
                <pic:pic>
                  <pic:nvPicPr>
                    <pic:cNvPr id="192" name="image101.png"/>
                    <pic:cNvPicPr/>
                  </pic:nvPicPr>
                  <pic:blipFill>
                    <a:blip r:embed="rId123" cstate="print"/>
                    <a:stretch>
                      <a:fillRect/>
                    </a:stretch>
                  </pic:blipFill>
                  <pic:spPr>
                    <a:xfrm>
                      <a:off x="0" y="0"/>
                      <a:ext cx="168591" cy="171450"/>
                    </a:xfrm>
                    <a:prstGeom prst="rect">
                      <a:avLst/>
                    </a:prstGeom>
                  </pic:spPr>
                </pic:pic>
              </a:graphicData>
            </a:graphic>
          </wp:anchor>
        </w:drawing>
      </w:r>
      <w:r>
        <w:rPr/>
        <w:drawing>
          <wp:anchor distT="0" distB="0" distL="0" distR="0" allowOverlap="1" layoutInCell="1" locked="0" behindDoc="0" simplePos="0" relativeHeight="639">
            <wp:simplePos x="0" y="0"/>
            <wp:positionH relativeFrom="page">
              <wp:posOffset>3850009</wp:posOffset>
            </wp:positionH>
            <wp:positionV relativeFrom="paragraph">
              <wp:posOffset>192005</wp:posOffset>
            </wp:positionV>
            <wp:extent cx="168382" cy="171450"/>
            <wp:effectExtent l="0" t="0" r="0" b="0"/>
            <wp:wrapTopAndBottom/>
            <wp:docPr id="193" name="image102.png"/>
            <wp:cNvGraphicFramePr>
              <a:graphicFrameLocks noChangeAspect="1"/>
            </wp:cNvGraphicFramePr>
            <a:graphic>
              <a:graphicData uri="http://schemas.openxmlformats.org/drawingml/2006/picture">
                <pic:pic>
                  <pic:nvPicPr>
                    <pic:cNvPr id="194" name="image102.png"/>
                    <pic:cNvPicPr/>
                  </pic:nvPicPr>
                  <pic:blipFill>
                    <a:blip r:embed="rId124" cstate="print"/>
                    <a:stretch>
                      <a:fillRect/>
                    </a:stretch>
                  </pic:blipFill>
                  <pic:spPr>
                    <a:xfrm>
                      <a:off x="0" y="0"/>
                      <a:ext cx="168382" cy="171450"/>
                    </a:xfrm>
                    <a:prstGeom prst="rect">
                      <a:avLst/>
                    </a:prstGeom>
                  </pic:spPr>
                </pic:pic>
              </a:graphicData>
            </a:graphic>
          </wp:anchor>
        </w:drawing>
      </w:r>
      <w:r>
        <w:rPr/>
        <w:drawing>
          <wp:anchor distT="0" distB="0" distL="0" distR="0" allowOverlap="1" layoutInCell="1" locked="0" behindDoc="0" simplePos="0" relativeHeight="640">
            <wp:simplePos x="0" y="0"/>
            <wp:positionH relativeFrom="page">
              <wp:posOffset>4368478</wp:posOffset>
            </wp:positionH>
            <wp:positionV relativeFrom="paragraph">
              <wp:posOffset>190082</wp:posOffset>
            </wp:positionV>
            <wp:extent cx="168591" cy="171450"/>
            <wp:effectExtent l="0" t="0" r="0" b="0"/>
            <wp:wrapTopAndBottom/>
            <wp:docPr id="195" name="image103.png"/>
            <wp:cNvGraphicFramePr>
              <a:graphicFrameLocks noChangeAspect="1"/>
            </wp:cNvGraphicFramePr>
            <a:graphic>
              <a:graphicData uri="http://schemas.openxmlformats.org/drawingml/2006/picture">
                <pic:pic>
                  <pic:nvPicPr>
                    <pic:cNvPr id="196" name="image103.png"/>
                    <pic:cNvPicPr/>
                  </pic:nvPicPr>
                  <pic:blipFill>
                    <a:blip r:embed="rId125" cstate="print"/>
                    <a:stretch>
                      <a:fillRect/>
                    </a:stretch>
                  </pic:blipFill>
                  <pic:spPr>
                    <a:xfrm>
                      <a:off x="0" y="0"/>
                      <a:ext cx="168591" cy="171450"/>
                    </a:xfrm>
                    <a:prstGeom prst="rect">
                      <a:avLst/>
                    </a:prstGeom>
                  </pic:spPr>
                </pic:pic>
              </a:graphicData>
            </a:graphic>
          </wp:anchor>
        </w:drawing>
      </w:r>
    </w:p>
    <w:p>
      <w:pPr>
        <w:spacing w:before="66"/>
        <w:ind w:left="1403" w:right="2308" w:firstLine="0"/>
        <w:jc w:val="center"/>
        <w:rPr>
          <w:rFonts w:ascii="Calibri"/>
          <w:b/>
          <w:sz w:val="15"/>
        </w:rPr>
      </w:pPr>
      <w:r>
        <w:rPr>
          <w:rFonts w:ascii="Calibri"/>
          <w:b/>
          <w:w w:val="105"/>
          <w:sz w:val="15"/>
        </w:rPr>
        <w:t>Year</w:t>
      </w:r>
    </w:p>
    <w:p>
      <w:pPr>
        <w:pStyle w:val="BodyText"/>
        <w:rPr>
          <w:rFonts w:ascii="Calibri"/>
          <w:b/>
          <w:sz w:val="14"/>
        </w:rPr>
      </w:pPr>
      <w:r>
        <w:rPr/>
        <w:br w:type="column"/>
      </w:r>
      <w:r>
        <w:rPr>
          <w:rFonts w:ascii="Calibri"/>
          <w:b/>
          <w:sz w:val="14"/>
        </w:rPr>
      </w:r>
    </w:p>
    <w:p>
      <w:pPr>
        <w:pStyle w:val="BodyText"/>
        <w:spacing w:before="5"/>
        <w:rPr>
          <w:rFonts w:ascii="Calibri"/>
          <w:b/>
          <w:sz w:val="12"/>
        </w:rPr>
      </w:pPr>
    </w:p>
    <w:p>
      <w:pPr>
        <w:spacing w:before="0"/>
        <w:ind w:left="874" w:right="0" w:firstLine="0"/>
        <w:jc w:val="left"/>
        <w:rPr>
          <w:rFonts w:ascii="Calibri"/>
          <w:sz w:val="14"/>
        </w:rPr>
      </w:pPr>
      <w:r>
        <w:rPr>
          <w:rFonts w:ascii="Calibri"/>
          <w:sz w:val="14"/>
        </w:rPr>
        <w:t>Class key:</w:t>
      </w:r>
    </w:p>
    <w:p>
      <w:pPr>
        <w:pStyle w:val="ListParagraph"/>
        <w:numPr>
          <w:ilvl w:val="0"/>
          <w:numId w:val="47"/>
        </w:numPr>
        <w:tabs>
          <w:tab w:pos="1330" w:val="left" w:leader="none"/>
        </w:tabs>
        <w:spacing w:line="240" w:lineRule="auto" w:before="15" w:after="0"/>
        <w:ind w:left="1329" w:right="0" w:hanging="103"/>
        <w:jc w:val="left"/>
        <w:rPr>
          <w:rFonts w:ascii="Calibri"/>
          <w:sz w:val="14"/>
        </w:rPr>
      </w:pPr>
      <w:r>
        <w:rPr/>
        <w:pict>
          <v:group style="position:absolute;margin-left:401.910553pt;margin-top:.043867pt;width:17.9pt;height:130.5pt;mso-position-horizontal-relative:page;mso-position-vertical-relative:paragraph;z-index:252315648" coordorigin="8038,1" coordsize="358,2610">
            <v:rect style="position:absolute;left:8041;top:0;width:354;height:186" filled="true" fillcolor="#1f487c" stroked="false">
              <v:fill type="solid"/>
            </v:rect>
            <v:rect style="position:absolute;left:8041;top:186;width:354;height:186" filled="true" fillcolor="#009544" stroked="false">
              <v:fill type="solid"/>
            </v:rect>
            <v:rect style="position:absolute;left:8041;top:372;width:354;height:186" filled="true" fillcolor="#e16b09" stroked="false">
              <v:fill type="solid"/>
            </v:rect>
            <v:rect style="position:absolute;left:8041;top:558;width:354;height:186" filled="true" fillcolor="#e08ad6" stroked="false">
              <v:fill type="solid"/>
            </v:rect>
            <v:rect style="position:absolute;left:8041;top:744;width:354;height:186" filled="true" fillcolor="#8063a1" stroked="false">
              <v:fill type="solid"/>
            </v:rect>
            <v:rect style="position:absolute;left:8041;top:930;width:354;height:186" filled="true" fillcolor="#c0504d" stroked="false">
              <v:fill type="solid"/>
            </v:rect>
            <v:rect style="position:absolute;left:8041;top:1116;width:354;height:186" filled="true" fillcolor="#f8a763" stroked="false">
              <v:fill type="solid"/>
            </v:rect>
            <v:rect style="position:absolute;left:8041;top:1302;width:354;height:186" filled="true" fillcolor="#ecb8e7" stroked="false">
              <v:fill type="solid"/>
            </v:rect>
            <v:rect style="position:absolute;left:8041;top:1488;width:354;height:186" filled="true" fillcolor="#938953" stroked="false">
              <v:fill type="solid"/>
            </v:rect>
            <v:rect style="position:absolute;left:8041;top:1674;width:354;height:186" filled="true" fillcolor="#ffd600" stroked="false">
              <v:fill type="solid"/>
            </v:rect>
            <v:rect style="position:absolute;left:8041;top:1859;width:354;height:186" filled="true" fillcolor="#000000" stroked="false">
              <v:fill type="solid"/>
            </v:rect>
            <v:rect style="position:absolute;left:8041;top:2045;width:354;height:186" filled="true" fillcolor="#ffeb8f" stroked="false">
              <v:fill type="solid"/>
            </v:rect>
            <v:rect style="position:absolute;left:8041;top:2231;width:354;height:379" filled="true" fillcolor="#a6a6a6" stroked="false">
              <v:fill type="solid"/>
            </v:rect>
            <v:line style="position:absolute" from="8388,7" to="8388,2610" stroked="true" strokeweight="0pt" strokecolor="#ffffff">
              <v:stroke dashstyle="solid"/>
            </v:line>
            <v:line style="position:absolute" from="8391,7" to="8391,2610" stroked="true" strokeweight=".321426pt" strokecolor="#ffffff">
              <v:stroke dashstyle="solid"/>
            </v:line>
            <v:line style="position:absolute" from="8041,4" to="8395,4" stroked="true" strokeweight=".320535pt" strokecolor="#ffffff">
              <v:stroke dashstyle="solid"/>
            </v:line>
            <v:line style="position:absolute" from="8041,187" to="8395,187" stroked="true" strokeweight="0pt" strokecolor="#ffffff">
              <v:stroke dashstyle="solid"/>
            </v:line>
            <v:line style="position:absolute" from="8041,190" to="8395,190" stroked="true" strokeweight=".320856pt" strokecolor="#ffffff">
              <v:stroke dashstyle="solid"/>
            </v:line>
            <v:line style="position:absolute" from="8041,373" to="8395,373" stroked="true" strokeweight="0pt" strokecolor="#ffffff">
              <v:stroke dashstyle="solid"/>
            </v:line>
            <v:line style="position:absolute" from="8041,376" to="8395,376" stroked="true" strokeweight=".320535pt" strokecolor="#ffffff">
              <v:stroke dashstyle="solid"/>
            </v:line>
            <v:line style="position:absolute" from="8041,559" to="8395,559" stroked="true" strokeweight="0pt" strokecolor="#ffffff">
              <v:stroke dashstyle="solid"/>
            </v:line>
            <v:line style="position:absolute" from="8041,562" to="8395,562" stroked="true" strokeweight=".320535pt" strokecolor="#ffffff">
              <v:stroke dashstyle="solid"/>
            </v:line>
            <v:line style="position:absolute" from="8041,745" to="8395,745" stroked="true" strokeweight="0pt" strokecolor="#ffffff">
              <v:stroke dashstyle="solid"/>
            </v:line>
            <v:line style="position:absolute" from="8041,748" to="8395,748" stroked="true" strokeweight=".320535pt" strokecolor="#ffffff">
              <v:stroke dashstyle="solid"/>
            </v:line>
            <v:line style="position:absolute" from="8041,930" to="8395,930" stroked="true" strokeweight="0pt" strokecolor="#ffffff">
              <v:stroke dashstyle="solid"/>
            </v:line>
            <v:line style="position:absolute" from="8041,934" to="8395,934" stroked="true" strokeweight=".320535pt" strokecolor="#ffffff">
              <v:stroke dashstyle="solid"/>
            </v:line>
            <v:line style="position:absolute" from="8041,1116" to="8395,1116" stroked="true" strokeweight="0pt" strokecolor="#ffffff">
              <v:stroke dashstyle="solid"/>
            </v:line>
            <v:line style="position:absolute" from="8041,1120" to="8395,1120" stroked="true" strokeweight=".320535pt" strokecolor="#ffffff">
              <v:stroke dashstyle="solid"/>
            </v:line>
            <v:line style="position:absolute" from="8041,1302" to="8395,1302" stroked="true" strokeweight="0pt" strokecolor="#ffffff">
              <v:stroke dashstyle="solid"/>
            </v:line>
            <v:line style="position:absolute" from="8041,1305" to="8395,1305" stroked="true" strokeweight=".320535pt" strokecolor="#ffffff">
              <v:stroke dashstyle="solid"/>
            </v:line>
            <v:line style="position:absolute" from="8041,1488" to="8395,1488" stroked="true" strokeweight="0pt" strokecolor="#ffffff">
              <v:stroke dashstyle="solid"/>
            </v:line>
            <v:line style="position:absolute" from="8041,1491" to="8395,1491" stroked="true" strokeweight=".320535pt" strokecolor="#ffffff">
              <v:stroke dashstyle="solid"/>
            </v:line>
            <v:line style="position:absolute" from="8041,1674" to="8395,1674" stroked="true" strokeweight="0pt" strokecolor="#ffffff">
              <v:stroke dashstyle="solid"/>
            </v:line>
            <v:line style="position:absolute" from="8041,1677" to="8395,1677" stroked="true" strokeweight=".320535pt" strokecolor="#ffffff">
              <v:stroke dashstyle="solid"/>
            </v:line>
            <v:line style="position:absolute" from="8041,1860" to="8395,1860" stroked="true" strokeweight="0pt" strokecolor="#ffffff">
              <v:stroke dashstyle="solid"/>
            </v:line>
            <v:line style="position:absolute" from="8041,1863" to="8395,1863" stroked="true" strokeweight=".320856pt" strokecolor="#ffffff">
              <v:stroke dashstyle="solid"/>
            </v:line>
            <v:line style="position:absolute" from="8041,2046" to="8395,2046" stroked="true" strokeweight="0pt" strokecolor="#ffffff">
              <v:stroke dashstyle="solid"/>
            </v:line>
            <v:line style="position:absolute" from="8041,2049" to="8395,2049" stroked="true" strokeweight=".320535pt" strokecolor="#ffffff">
              <v:stroke dashstyle="solid"/>
            </v:line>
            <v:line style="position:absolute" from="8041,2232" to="8395,2232" stroked="true" strokeweight="0pt" strokecolor="#ffffff">
              <v:stroke dashstyle="solid"/>
            </v:line>
            <v:line style="position:absolute" from="8041,2235" to="8395,2235" stroked="true" strokeweight=".320535pt" strokecolor="#ffffff">
              <v:stroke dashstyle="solid"/>
            </v:line>
            <v:line style="position:absolute" from="8041,2418" to="8395,2418" stroked="true" strokeweight="0pt" strokecolor="#ffffff">
              <v:stroke dashstyle="solid"/>
            </v:line>
            <v:line style="position:absolute" from="8041,2421" to="8395,2421" stroked="true" strokeweight=".320535pt" strokecolor="#ffffff">
              <v:stroke dashstyle="solid"/>
            </v:line>
            <v:line style="position:absolute" from="8041,2604" to="8395,2604" stroked="true" strokeweight="0pt" strokecolor="#ffffff">
              <v:stroke dashstyle="solid"/>
            </v:line>
            <v:line style="position:absolute" from="8041,2607" to="8395,2607" stroked="true" strokeweight=".320535pt" strokecolor="#ffffff">
              <v:stroke dashstyle="solid"/>
            </v:line>
            <v:line style="position:absolute" from="8038,2344" to="8396,2344" stroked="true" strokeweight=".961678pt" strokecolor="#ffffff">
              <v:stroke dashstyle="solid"/>
            </v:line>
            <v:line style="position:absolute" from="8038,2517" to="8396,2517" stroked="true" strokeweight=".961678pt" strokecolor="#ffffff">
              <v:stroke dashstyle="solid"/>
            </v:line>
            <w10:wrap type="none"/>
          </v:group>
        </w:pict>
      </w:r>
      <w:r>
        <w:rPr>
          <w:rFonts w:ascii="Calibri"/>
          <w:sz w:val="14"/>
        </w:rPr>
        <w:t>Studying</w:t>
      </w:r>
    </w:p>
    <w:p>
      <w:pPr>
        <w:pStyle w:val="ListParagraph"/>
        <w:numPr>
          <w:ilvl w:val="0"/>
          <w:numId w:val="47"/>
        </w:numPr>
        <w:tabs>
          <w:tab w:pos="1330" w:val="left" w:leader="none"/>
        </w:tabs>
        <w:spacing w:line="240" w:lineRule="auto" w:before="15" w:after="0"/>
        <w:ind w:left="1329" w:right="0" w:hanging="103"/>
        <w:jc w:val="left"/>
        <w:rPr>
          <w:rFonts w:ascii="Calibri"/>
          <w:sz w:val="14"/>
        </w:rPr>
      </w:pPr>
      <w:r>
        <w:rPr>
          <w:rFonts w:ascii="Calibri"/>
          <w:sz w:val="14"/>
        </w:rPr>
        <w:t>Working</w:t>
      </w:r>
      <w:r>
        <w:rPr>
          <w:rFonts w:ascii="Calibri"/>
          <w:spacing w:val="-2"/>
          <w:sz w:val="14"/>
        </w:rPr>
        <w:t> </w:t>
      </w:r>
      <w:r>
        <w:rPr>
          <w:rFonts w:ascii="Calibri"/>
          <w:sz w:val="14"/>
        </w:rPr>
        <w:t>Age</w:t>
      </w:r>
    </w:p>
    <w:p>
      <w:pPr>
        <w:pStyle w:val="ListParagraph"/>
        <w:numPr>
          <w:ilvl w:val="0"/>
          <w:numId w:val="47"/>
        </w:numPr>
        <w:tabs>
          <w:tab w:pos="1330" w:val="left" w:leader="none"/>
        </w:tabs>
        <w:spacing w:line="240" w:lineRule="auto" w:before="15" w:after="0"/>
        <w:ind w:left="1329" w:right="0" w:hanging="103"/>
        <w:jc w:val="left"/>
        <w:rPr>
          <w:rFonts w:ascii="Calibri"/>
          <w:sz w:val="14"/>
        </w:rPr>
      </w:pPr>
      <w:r>
        <w:rPr>
          <w:rFonts w:ascii="Calibri"/>
          <w:sz w:val="14"/>
        </w:rPr>
        <w:t>Parents</w:t>
      </w:r>
    </w:p>
    <w:p>
      <w:pPr>
        <w:pStyle w:val="ListParagraph"/>
        <w:numPr>
          <w:ilvl w:val="0"/>
          <w:numId w:val="47"/>
        </w:numPr>
        <w:tabs>
          <w:tab w:pos="1330" w:val="left" w:leader="none"/>
        </w:tabs>
        <w:spacing w:line="240" w:lineRule="auto" w:before="15" w:after="0"/>
        <w:ind w:left="1329" w:right="0" w:hanging="103"/>
        <w:jc w:val="left"/>
        <w:rPr>
          <w:rFonts w:ascii="Calibri"/>
          <w:sz w:val="14"/>
        </w:rPr>
      </w:pPr>
      <w:r>
        <w:rPr>
          <w:rFonts w:ascii="Calibri"/>
          <w:sz w:val="14"/>
        </w:rPr>
        <w:t>Carers</w:t>
      </w:r>
    </w:p>
    <w:p>
      <w:pPr>
        <w:pStyle w:val="ListParagraph"/>
        <w:numPr>
          <w:ilvl w:val="0"/>
          <w:numId w:val="47"/>
        </w:numPr>
        <w:tabs>
          <w:tab w:pos="1330" w:val="left" w:leader="none"/>
        </w:tabs>
        <w:spacing w:line="240" w:lineRule="auto" w:before="15" w:after="0"/>
        <w:ind w:left="1329" w:right="0" w:hanging="103"/>
        <w:jc w:val="left"/>
        <w:rPr>
          <w:rFonts w:ascii="Calibri"/>
          <w:sz w:val="14"/>
        </w:rPr>
      </w:pPr>
      <w:r>
        <w:rPr>
          <w:rFonts w:ascii="Calibri"/>
          <w:sz w:val="14"/>
        </w:rPr>
        <w:t>Disability Support</w:t>
      </w:r>
    </w:p>
    <w:p>
      <w:pPr>
        <w:pStyle w:val="ListParagraph"/>
        <w:numPr>
          <w:ilvl w:val="0"/>
          <w:numId w:val="47"/>
        </w:numPr>
        <w:tabs>
          <w:tab w:pos="1330" w:val="left" w:leader="none"/>
        </w:tabs>
        <w:spacing w:line="261" w:lineRule="auto" w:before="15" w:after="0"/>
        <w:ind w:left="1227" w:right="2598" w:firstLine="0"/>
        <w:jc w:val="left"/>
        <w:rPr>
          <w:rFonts w:ascii="Calibri"/>
          <w:sz w:val="14"/>
        </w:rPr>
      </w:pPr>
      <w:r>
        <w:rPr>
          <w:rFonts w:ascii="Calibri"/>
          <w:sz w:val="14"/>
        </w:rPr>
        <w:t>Pension Age 7 Non IS Family 8 Non IS Carer 9 Non IS</w:t>
      </w:r>
      <w:r>
        <w:rPr>
          <w:rFonts w:ascii="Calibri"/>
          <w:spacing w:val="7"/>
          <w:sz w:val="14"/>
        </w:rPr>
        <w:t> </w:t>
      </w:r>
      <w:r>
        <w:rPr>
          <w:rFonts w:ascii="Calibri"/>
          <w:sz w:val="14"/>
        </w:rPr>
        <w:t>Other</w:t>
      </w:r>
    </w:p>
    <w:p>
      <w:pPr>
        <w:spacing w:line="261" w:lineRule="auto" w:before="0"/>
        <w:ind w:left="1227" w:right="1662" w:firstLine="0"/>
        <w:jc w:val="left"/>
        <w:rPr>
          <w:rFonts w:ascii="Calibri"/>
          <w:sz w:val="14"/>
        </w:rPr>
      </w:pPr>
      <w:r>
        <w:rPr>
          <w:rFonts w:ascii="Calibri"/>
          <w:sz w:val="14"/>
        </w:rPr>
        <w:t>10 Previous Welfare Recipient 11 Dead</w:t>
      </w:r>
    </w:p>
    <w:p>
      <w:pPr>
        <w:spacing w:line="261" w:lineRule="auto" w:before="0"/>
        <w:ind w:left="1227" w:right="1785" w:firstLine="0"/>
        <w:jc w:val="left"/>
        <w:rPr>
          <w:rFonts w:ascii="Calibri"/>
          <w:sz w:val="14"/>
        </w:rPr>
      </w:pPr>
      <w:r>
        <w:rPr>
          <w:rFonts w:ascii="Calibri"/>
          <w:sz w:val="14"/>
        </w:rPr>
        <w:t>12 Rest of Aust. Population Prior valuation - all active Prior valuation - current class</w:t>
      </w:r>
    </w:p>
    <w:p>
      <w:pPr>
        <w:spacing w:after="0" w:line="261" w:lineRule="auto"/>
        <w:jc w:val="left"/>
        <w:rPr>
          <w:rFonts w:ascii="Calibri"/>
          <w:sz w:val="14"/>
        </w:rPr>
        <w:sectPr>
          <w:type w:val="continuous"/>
          <w:pgSz w:w="11910" w:h="16850"/>
          <w:pgMar w:top="1600" w:bottom="280" w:left="120" w:right="0"/>
          <w:cols w:num="3" w:equalWidth="0">
            <w:col w:w="2941" w:space="40"/>
            <w:col w:w="4046" w:space="39"/>
            <w:col w:w="4724"/>
          </w:cols>
        </w:sectPr>
      </w:pPr>
    </w:p>
    <w:p>
      <w:pPr>
        <w:pStyle w:val="BodyText"/>
        <w:spacing w:before="4"/>
        <w:rPr>
          <w:rFonts w:ascii="Calibri"/>
          <w:sz w:val="21"/>
        </w:rPr>
      </w:pPr>
    </w:p>
    <w:p>
      <w:pPr>
        <w:pStyle w:val="BodyText"/>
        <w:spacing w:before="93"/>
        <w:ind w:left="900"/>
      </w:pPr>
      <w:r>
        <w:rPr>
          <w:color w:val="404040"/>
        </w:rPr>
        <w:t>We can see the expectations are that:</w:t>
      </w:r>
    </w:p>
    <w:p>
      <w:pPr>
        <w:pStyle w:val="ListParagraph"/>
        <w:numPr>
          <w:ilvl w:val="0"/>
          <w:numId w:val="45"/>
        </w:numPr>
        <w:tabs>
          <w:tab w:pos="1184" w:val="left" w:leader="none"/>
        </w:tabs>
        <w:spacing w:line="240" w:lineRule="auto" w:before="117" w:after="0"/>
        <w:ind w:left="1183" w:right="1397" w:hanging="284"/>
        <w:jc w:val="left"/>
        <w:rPr>
          <w:sz w:val="20"/>
        </w:rPr>
      </w:pPr>
      <w:r>
        <w:rPr>
          <w:color w:val="404040"/>
          <w:sz w:val="20"/>
        </w:rPr>
        <w:t>There is a steady reduction in the numbers of current Parenting payment recipients who are projected to remain on Parenting payments. Most of the reduction takes place over the next 10 years as people’s children age and they are no longer eligible for the Parenting</w:t>
      </w:r>
      <w:r>
        <w:rPr>
          <w:color w:val="404040"/>
          <w:spacing w:val="-6"/>
          <w:sz w:val="20"/>
        </w:rPr>
        <w:t> </w:t>
      </w:r>
      <w:r>
        <w:rPr>
          <w:color w:val="404040"/>
          <w:sz w:val="20"/>
        </w:rPr>
        <w:t>payment.</w:t>
      </w:r>
    </w:p>
    <w:p>
      <w:pPr>
        <w:pStyle w:val="ListParagraph"/>
        <w:numPr>
          <w:ilvl w:val="0"/>
          <w:numId w:val="45"/>
        </w:numPr>
        <w:tabs>
          <w:tab w:pos="1184" w:val="left" w:leader="none"/>
        </w:tabs>
        <w:spacing w:line="240" w:lineRule="auto" w:before="121" w:after="0"/>
        <w:ind w:left="1183" w:right="1097" w:hanging="284"/>
        <w:jc w:val="left"/>
        <w:rPr>
          <w:sz w:val="20"/>
        </w:rPr>
      </w:pPr>
      <w:r>
        <w:rPr>
          <w:color w:val="404040"/>
          <w:sz w:val="20"/>
        </w:rPr>
        <w:t>As people exit this class, a significant proportion move first to the Non IS Family class (i.e. they receive only FTB or child care payments). The most common income support destination is Working Age, followed by Carer or</w:t>
      </w:r>
      <w:r>
        <w:rPr>
          <w:color w:val="404040"/>
          <w:spacing w:val="-1"/>
          <w:sz w:val="20"/>
        </w:rPr>
        <w:t> </w:t>
      </w:r>
      <w:r>
        <w:rPr>
          <w:color w:val="404040"/>
          <w:sz w:val="20"/>
        </w:rPr>
        <w:t>DSP.</w:t>
      </w:r>
    </w:p>
    <w:p>
      <w:pPr>
        <w:pStyle w:val="ListParagraph"/>
        <w:numPr>
          <w:ilvl w:val="0"/>
          <w:numId w:val="45"/>
        </w:numPr>
        <w:tabs>
          <w:tab w:pos="1184" w:val="left" w:leader="none"/>
        </w:tabs>
        <w:spacing w:line="240" w:lineRule="auto" w:before="118" w:after="0"/>
        <w:ind w:left="1183" w:right="1265" w:hanging="284"/>
        <w:jc w:val="left"/>
        <w:rPr>
          <w:sz w:val="20"/>
        </w:rPr>
      </w:pPr>
      <w:r>
        <w:rPr>
          <w:color w:val="404040"/>
          <w:sz w:val="20"/>
        </w:rPr>
        <w:t>For each future year at least 40% of this group receive income support. After 30 years, around 45% of the original group are projected to be on some form of income support</w:t>
      </w:r>
      <w:r>
        <w:rPr>
          <w:color w:val="404040"/>
          <w:spacing w:val="-9"/>
          <w:sz w:val="20"/>
        </w:rPr>
        <w:t> </w:t>
      </w:r>
      <w:r>
        <w:rPr>
          <w:color w:val="404040"/>
          <w:sz w:val="20"/>
        </w:rPr>
        <w:t>payment.</w:t>
      </w:r>
    </w:p>
    <w:p>
      <w:pPr>
        <w:pStyle w:val="BodyText"/>
        <w:spacing w:before="7"/>
      </w:pPr>
    </w:p>
    <w:p>
      <w:pPr>
        <w:pStyle w:val="Heading6"/>
        <w:rPr>
          <w:i/>
        </w:rPr>
      </w:pPr>
      <w:r>
        <w:rPr>
          <w:i/>
          <w:color w:val="DF2F1E"/>
        </w:rPr>
        <w:t>Duration</w:t>
      </w:r>
    </w:p>
    <w:p>
      <w:pPr>
        <w:pStyle w:val="BodyText"/>
        <w:spacing w:line="242" w:lineRule="auto" w:before="119"/>
        <w:ind w:left="900" w:right="1409"/>
      </w:pPr>
      <w:r>
        <w:rPr>
          <w:color w:val="404040"/>
        </w:rPr>
        <w:t>The average future life expectancy for the Parents class is </w:t>
      </w:r>
      <w:r>
        <w:rPr>
          <w:b/>
          <w:color w:val="404040"/>
        </w:rPr>
        <w:t>57 </w:t>
      </w:r>
      <w:r>
        <w:rPr>
          <w:color w:val="404040"/>
        </w:rPr>
        <w:t>years. This reflects that the age profile of this class is well distributed across the ages 20 to 50.</w:t>
      </w:r>
    </w:p>
    <w:p>
      <w:pPr>
        <w:pStyle w:val="BodyText"/>
        <w:spacing w:before="118"/>
        <w:ind w:left="899" w:right="1177"/>
      </w:pPr>
      <w:r>
        <w:rPr>
          <w:color w:val="404040"/>
        </w:rPr>
        <w:t>The table below provides a summary of the expected welfare system use of people currently in this class over this time. This has been developed by considering which classes people move into as they move through the welfare system over their lives.</w:t>
      </w:r>
    </w:p>
    <w:p>
      <w:pPr>
        <w:pStyle w:val="Heading9"/>
        <w:spacing w:before="175" w:after="56"/>
        <w:ind w:left="899"/>
      </w:pPr>
      <w:r>
        <w:rPr>
          <w:color w:val="DF2F1E"/>
        </w:rPr>
        <w:t>Table 23: Average expected durations in welfare system for people currently in class 3</w:t>
      </w:r>
    </w:p>
    <w:tbl>
      <w:tblPr>
        <w:tblW w:w="0" w:type="auto"/>
        <w:jc w:val="left"/>
        <w:tblInd w:w="1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30"/>
        <w:gridCol w:w="1765"/>
        <w:gridCol w:w="2773"/>
      </w:tblGrid>
      <w:tr>
        <w:trPr>
          <w:trHeight w:val="273" w:hRule="atLeast"/>
        </w:trPr>
        <w:tc>
          <w:tcPr>
            <w:tcW w:w="4330" w:type="dxa"/>
            <w:shd w:val="clear" w:color="auto" w:fill="DF2F1E"/>
          </w:tcPr>
          <w:p>
            <w:pPr>
              <w:pStyle w:val="TableParagraph"/>
              <w:spacing w:before="0"/>
              <w:rPr>
                <w:rFonts w:ascii="Times New Roman"/>
                <w:sz w:val="18"/>
              </w:rPr>
            </w:pPr>
          </w:p>
        </w:tc>
        <w:tc>
          <w:tcPr>
            <w:tcW w:w="1765" w:type="dxa"/>
            <w:shd w:val="clear" w:color="auto" w:fill="DF2F1E"/>
          </w:tcPr>
          <w:p>
            <w:pPr>
              <w:pStyle w:val="TableParagraph"/>
              <w:spacing w:before="34"/>
              <w:ind w:left="149" w:right="383"/>
              <w:jc w:val="center"/>
              <w:rPr>
                <w:b/>
                <w:sz w:val="16"/>
              </w:rPr>
            </w:pPr>
            <w:r>
              <w:rPr>
                <w:b/>
                <w:color w:val="FFFFFF"/>
                <w:sz w:val="16"/>
              </w:rPr>
              <w:t>Expected Years</w:t>
            </w:r>
          </w:p>
        </w:tc>
        <w:tc>
          <w:tcPr>
            <w:tcW w:w="2773" w:type="dxa"/>
            <w:shd w:val="clear" w:color="auto" w:fill="DF2F1E"/>
          </w:tcPr>
          <w:p>
            <w:pPr>
              <w:pStyle w:val="TableParagraph"/>
              <w:spacing w:before="34"/>
              <w:ind w:left="394" w:right="124"/>
              <w:jc w:val="center"/>
              <w:rPr>
                <w:b/>
                <w:sz w:val="16"/>
              </w:rPr>
            </w:pPr>
            <w:r>
              <w:rPr>
                <w:b/>
                <w:color w:val="FFFFFF"/>
                <w:sz w:val="16"/>
              </w:rPr>
              <w:t>Proportion of Future Lifetime</w:t>
            </w:r>
          </w:p>
        </w:tc>
      </w:tr>
      <w:tr>
        <w:trPr>
          <w:trHeight w:val="261" w:hRule="atLeast"/>
        </w:trPr>
        <w:tc>
          <w:tcPr>
            <w:tcW w:w="4330" w:type="dxa"/>
            <w:tcBorders>
              <w:left w:val="single" w:sz="4" w:space="0" w:color="DF2F1E"/>
            </w:tcBorders>
          </w:tcPr>
          <w:p>
            <w:pPr>
              <w:pStyle w:val="TableParagraph"/>
              <w:spacing w:before="34"/>
              <w:ind w:left="107"/>
              <w:rPr>
                <w:b/>
                <w:sz w:val="16"/>
              </w:rPr>
            </w:pPr>
            <w:r>
              <w:rPr>
                <w:b/>
                <w:color w:val="404040"/>
                <w:sz w:val="16"/>
              </w:rPr>
              <w:t>Years with some income support payments:</w:t>
            </w:r>
          </w:p>
        </w:tc>
        <w:tc>
          <w:tcPr>
            <w:tcW w:w="1765" w:type="dxa"/>
          </w:tcPr>
          <w:p>
            <w:pPr>
              <w:pStyle w:val="TableParagraph"/>
              <w:spacing w:before="0"/>
              <w:rPr>
                <w:rFonts w:ascii="Times New Roman"/>
                <w:sz w:val="18"/>
              </w:rPr>
            </w:pPr>
          </w:p>
        </w:tc>
        <w:tc>
          <w:tcPr>
            <w:tcW w:w="2773" w:type="dxa"/>
            <w:tcBorders>
              <w:right w:val="single" w:sz="4" w:space="0" w:color="DF2F1E"/>
            </w:tcBorders>
          </w:tcPr>
          <w:p>
            <w:pPr>
              <w:pStyle w:val="TableParagraph"/>
              <w:spacing w:before="0"/>
              <w:rPr>
                <w:rFonts w:ascii="Times New Roman"/>
                <w:sz w:val="18"/>
              </w:rPr>
            </w:pPr>
          </w:p>
        </w:tc>
      </w:tr>
      <w:tr>
        <w:trPr>
          <w:trHeight w:val="265" w:hRule="atLeast"/>
        </w:trPr>
        <w:tc>
          <w:tcPr>
            <w:tcW w:w="4330" w:type="dxa"/>
            <w:tcBorders>
              <w:left w:val="single" w:sz="4" w:space="0" w:color="DF2F1E"/>
            </w:tcBorders>
          </w:tcPr>
          <w:p>
            <w:pPr>
              <w:pStyle w:val="TableParagraph"/>
              <w:tabs>
                <w:tab w:pos="513" w:val="left" w:leader="none"/>
              </w:tabs>
              <w:ind w:left="153"/>
              <w:rPr>
                <w:b/>
                <w:sz w:val="16"/>
              </w:rPr>
            </w:pPr>
            <w:r>
              <w:rPr>
                <w:color w:val="404040"/>
                <w:sz w:val="16"/>
              </w:rPr>
              <w:t>-</w:t>
              <w:tab/>
            </w:r>
            <w:r>
              <w:rPr>
                <w:b/>
                <w:color w:val="404040"/>
                <w:sz w:val="16"/>
              </w:rPr>
              <w:t>Not </w:t>
            </w:r>
            <w:r>
              <w:rPr>
                <w:b/>
                <w:color w:val="404040"/>
                <w:spacing w:val="-3"/>
                <w:sz w:val="16"/>
              </w:rPr>
              <w:t>Age </w:t>
            </w:r>
            <w:r>
              <w:rPr>
                <w:b/>
                <w:color w:val="404040"/>
                <w:sz w:val="16"/>
              </w:rPr>
              <w:t>Pension (classes</w:t>
            </w:r>
            <w:r>
              <w:rPr>
                <w:b/>
                <w:color w:val="404040"/>
                <w:spacing w:val="5"/>
                <w:sz w:val="16"/>
              </w:rPr>
              <w:t> </w:t>
            </w:r>
            <w:r>
              <w:rPr>
                <w:b/>
                <w:color w:val="404040"/>
                <w:sz w:val="16"/>
              </w:rPr>
              <w:t>1-5)</w:t>
            </w:r>
          </w:p>
        </w:tc>
        <w:tc>
          <w:tcPr>
            <w:tcW w:w="1765" w:type="dxa"/>
          </w:tcPr>
          <w:p>
            <w:pPr>
              <w:pStyle w:val="TableParagraph"/>
              <w:spacing w:before="40"/>
              <w:ind w:left="149" w:right="381"/>
              <w:jc w:val="center"/>
              <w:rPr>
                <w:sz w:val="16"/>
              </w:rPr>
            </w:pPr>
            <w:r>
              <w:rPr>
                <w:color w:val="404040"/>
                <w:sz w:val="16"/>
              </w:rPr>
              <w:t>17</w:t>
            </w:r>
          </w:p>
        </w:tc>
        <w:tc>
          <w:tcPr>
            <w:tcW w:w="2773" w:type="dxa"/>
            <w:tcBorders>
              <w:right w:val="single" w:sz="4" w:space="0" w:color="DF2F1E"/>
            </w:tcBorders>
          </w:tcPr>
          <w:p>
            <w:pPr>
              <w:pStyle w:val="TableParagraph"/>
              <w:spacing w:before="40"/>
              <w:ind w:left="1293" w:right="1023"/>
              <w:jc w:val="center"/>
              <w:rPr>
                <w:sz w:val="16"/>
              </w:rPr>
            </w:pPr>
            <w:r>
              <w:rPr>
                <w:color w:val="404040"/>
                <w:sz w:val="16"/>
              </w:rPr>
              <w:t>30%</w:t>
            </w:r>
          </w:p>
        </w:tc>
      </w:tr>
      <w:tr>
        <w:trPr>
          <w:trHeight w:val="265" w:hRule="atLeast"/>
        </w:trPr>
        <w:tc>
          <w:tcPr>
            <w:tcW w:w="4330" w:type="dxa"/>
            <w:tcBorders>
              <w:left w:val="single" w:sz="4" w:space="0" w:color="DF2F1E"/>
              <w:bottom w:val="single" w:sz="4" w:space="0" w:color="DF2F1E"/>
            </w:tcBorders>
          </w:tcPr>
          <w:p>
            <w:pPr>
              <w:pStyle w:val="TableParagraph"/>
              <w:tabs>
                <w:tab w:pos="513" w:val="left" w:leader="none"/>
              </w:tabs>
              <w:spacing w:before="36"/>
              <w:ind w:left="153"/>
              <w:rPr>
                <w:b/>
                <w:sz w:val="16"/>
              </w:rPr>
            </w:pPr>
            <w:r>
              <w:rPr>
                <w:color w:val="404040"/>
                <w:sz w:val="16"/>
              </w:rPr>
              <w:t>-</w:t>
              <w:tab/>
            </w:r>
            <w:r>
              <w:rPr>
                <w:b/>
                <w:color w:val="404040"/>
                <w:sz w:val="16"/>
              </w:rPr>
              <w:t>Age Pension (class</w:t>
            </w:r>
            <w:r>
              <w:rPr>
                <w:b/>
                <w:color w:val="404040"/>
                <w:spacing w:val="-3"/>
                <w:sz w:val="16"/>
              </w:rPr>
              <w:t> </w:t>
            </w:r>
            <w:r>
              <w:rPr>
                <w:b/>
                <w:color w:val="404040"/>
                <w:sz w:val="16"/>
              </w:rPr>
              <w:t>6)</w:t>
            </w:r>
          </w:p>
        </w:tc>
        <w:tc>
          <w:tcPr>
            <w:tcW w:w="1765" w:type="dxa"/>
            <w:tcBorders>
              <w:bottom w:val="single" w:sz="4" w:space="0" w:color="DF2F1E"/>
            </w:tcBorders>
          </w:tcPr>
          <w:p>
            <w:pPr>
              <w:pStyle w:val="TableParagraph"/>
              <w:spacing w:before="39"/>
              <w:ind w:left="149" w:right="381"/>
              <w:jc w:val="center"/>
              <w:rPr>
                <w:sz w:val="16"/>
              </w:rPr>
            </w:pPr>
            <w:r>
              <w:rPr>
                <w:color w:val="404040"/>
                <w:sz w:val="16"/>
              </w:rPr>
              <w:t>17</w:t>
            </w:r>
          </w:p>
        </w:tc>
        <w:tc>
          <w:tcPr>
            <w:tcW w:w="2773" w:type="dxa"/>
            <w:tcBorders>
              <w:bottom w:val="single" w:sz="4" w:space="0" w:color="DF2F1E"/>
              <w:right w:val="single" w:sz="4" w:space="0" w:color="DF2F1E"/>
            </w:tcBorders>
          </w:tcPr>
          <w:p>
            <w:pPr>
              <w:pStyle w:val="TableParagraph"/>
              <w:spacing w:before="39"/>
              <w:ind w:left="1293" w:right="1023"/>
              <w:jc w:val="center"/>
              <w:rPr>
                <w:sz w:val="16"/>
              </w:rPr>
            </w:pPr>
            <w:r>
              <w:rPr>
                <w:color w:val="404040"/>
                <w:sz w:val="16"/>
              </w:rPr>
              <w:t>29%</w:t>
            </w:r>
          </w:p>
        </w:tc>
      </w:tr>
      <w:tr>
        <w:trPr>
          <w:trHeight w:val="263" w:hRule="atLeast"/>
        </w:trPr>
        <w:tc>
          <w:tcPr>
            <w:tcW w:w="4330" w:type="dxa"/>
            <w:tcBorders>
              <w:top w:val="single" w:sz="4" w:space="0" w:color="DF2F1E"/>
              <w:left w:val="single" w:sz="4" w:space="0" w:color="DF2F1E"/>
              <w:bottom w:val="single" w:sz="4" w:space="0" w:color="DF2F1E"/>
            </w:tcBorders>
          </w:tcPr>
          <w:p>
            <w:pPr>
              <w:pStyle w:val="TableParagraph"/>
              <w:spacing w:before="34"/>
              <w:ind w:left="107"/>
              <w:rPr>
                <w:b/>
                <w:sz w:val="16"/>
              </w:rPr>
            </w:pPr>
            <w:r>
              <w:rPr>
                <w:b/>
                <w:color w:val="404040"/>
                <w:sz w:val="16"/>
              </w:rPr>
              <w:t>Years with non income support payments only</w:t>
            </w:r>
          </w:p>
        </w:tc>
        <w:tc>
          <w:tcPr>
            <w:tcW w:w="1765" w:type="dxa"/>
            <w:tcBorders>
              <w:top w:val="single" w:sz="4" w:space="0" w:color="DF2F1E"/>
              <w:bottom w:val="single" w:sz="4" w:space="0" w:color="DF2F1E"/>
            </w:tcBorders>
          </w:tcPr>
          <w:p>
            <w:pPr>
              <w:pStyle w:val="TableParagraph"/>
              <w:ind w:right="234"/>
              <w:jc w:val="center"/>
              <w:rPr>
                <w:sz w:val="16"/>
              </w:rPr>
            </w:pPr>
            <w:r>
              <w:rPr>
                <w:color w:val="404040"/>
                <w:w w:val="100"/>
                <w:sz w:val="16"/>
              </w:rPr>
              <w:t>5</w:t>
            </w:r>
          </w:p>
        </w:tc>
        <w:tc>
          <w:tcPr>
            <w:tcW w:w="2773" w:type="dxa"/>
            <w:tcBorders>
              <w:top w:val="single" w:sz="4" w:space="0" w:color="DF2F1E"/>
              <w:bottom w:val="single" w:sz="4" w:space="0" w:color="DF2F1E"/>
              <w:right w:val="single" w:sz="4" w:space="0" w:color="DF2F1E"/>
            </w:tcBorders>
          </w:tcPr>
          <w:p>
            <w:pPr>
              <w:pStyle w:val="TableParagraph"/>
              <w:ind w:left="1293" w:right="1020"/>
              <w:jc w:val="center"/>
              <w:rPr>
                <w:sz w:val="16"/>
              </w:rPr>
            </w:pPr>
            <w:r>
              <w:rPr>
                <w:color w:val="404040"/>
                <w:sz w:val="16"/>
              </w:rPr>
              <w:t>9%</w:t>
            </w:r>
          </w:p>
        </w:tc>
      </w:tr>
      <w:tr>
        <w:trPr>
          <w:trHeight w:val="266" w:hRule="atLeast"/>
        </w:trPr>
        <w:tc>
          <w:tcPr>
            <w:tcW w:w="4330" w:type="dxa"/>
            <w:tcBorders>
              <w:top w:val="single" w:sz="4" w:space="0" w:color="DF2F1E"/>
              <w:left w:val="single" w:sz="4" w:space="0" w:color="DF2F1E"/>
              <w:bottom w:val="single" w:sz="4" w:space="0" w:color="DF2F1E"/>
            </w:tcBorders>
          </w:tcPr>
          <w:p>
            <w:pPr>
              <w:pStyle w:val="TableParagraph"/>
              <w:ind w:left="107"/>
              <w:rPr>
                <w:b/>
                <w:sz w:val="16"/>
              </w:rPr>
            </w:pPr>
            <w:r>
              <w:rPr>
                <w:b/>
                <w:color w:val="404040"/>
                <w:sz w:val="16"/>
              </w:rPr>
              <w:t>Years not receiving any welfare payments</w:t>
            </w:r>
          </w:p>
        </w:tc>
        <w:tc>
          <w:tcPr>
            <w:tcW w:w="1765" w:type="dxa"/>
            <w:tcBorders>
              <w:top w:val="single" w:sz="4" w:space="0" w:color="DF2F1E"/>
              <w:bottom w:val="single" w:sz="4" w:space="0" w:color="DF2F1E"/>
            </w:tcBorders>
          </w:tcPr>
          <w:p>
            <w:pPr>
              <w:pStyle w:val="TableParagraph"/>
              <w:spacing w:before="39"/>
              <w:ind w:left="149" w:right="381"/>
              <w:jc w:val="center"/>
              <w:rPr>
                <w:sz w:val="16"/>
              </w:rPr>
            </w:pPr>
            <w:r>
              <w:rPr>
                <w:color w:val="404040"/>
                <w:sz w:val="16"/>
              </w:rPr>
              <w:t>18</w:t>
            </w:r>
          </w:p>
        </w:tc>
        <w:tc>
          <w:tcPr>
            <w:tcW w:w="2773" w:type="dxa"/>
            <w:tcBorders>
              <w:top w:val="single" w:sz="4" w:space="0" w:color="DF2F1E"/>
              <w:bottom w:val="single" w:sz="4" w:space="0" w:color="DF2F1E"/>
              <w:right w:val="single" w:sz="4" w:space="0" w:color="DF2F1E"/>
            </w:tcBorders>
          </w:tcPr>
          <w:p>
            <w:pPr>
              <w:pStyle w:val="TableParagraph"/>
              <w:spacing w:before="39"/>
              <w:ind w:left="1293" w:right="1023"/>
              <w:jc w:val="center"/>
              <w:rPr>
                <w:sz w:val="16"/>
              </w:rPr>
            </w:pPr>
            <w:r>
              <w:rPr>
                <w:color w:val="404040"/>
                <w:sz w:val="16"/>
              </w:rPr>
              <w:t>31%</w:t>
            </w:r>
          </w:p>
        </w:tc>
      </w:tr>
      <w:tr>
        <w:trPr>
          <w:trHeight w:val="263" w:hRule="atLeast"/>
        </w:trPr>
        <w:tc>
          <w:tcPr>
            <w:tcW w:w="4330" w:type="dxa"/>
            <w:tcBorders>
              <w:top w:val="single" w:sz="4" w:space="0" w:color="DF2F1E"/>
              <w:left w:val="single" w:sz="4" w:space="0" w:color="DF2F1E"/>
              <w:bottom w:val="single" w:sz="4" w:space="0" w:color="DF2F1E"/>
            </w:tcBorders>
          </w:tcPr>
          <w:p>
            <w:pPr>
              <w:pStyle w:val="TableParagraph"/>
              <w:spacing w:before="34"/>
              <w:ind w:left="107"/>
              <w:rPr>
                <w:b/>
                <w:sz w:val="16"/>
              </w:rPr>
            </w:pPr>
            <w:r>
              <w:rPr>
                <w:b/>
                <w:color w:val="404040"/>
                <w:sz w:val="16"/>
              </w:rPr>
              <w:t>Total</w:t>
            </w:r>
          </w:p>
        </w:tc>
        <w:tc>
          <w:tcPr>
            <w:tcW w:w="1765" w:type="dxa"/>
            <w:tcBorders>
              <w:top w:val="single" w:sz="4" w:space="0" w:color="DF2F1E"/>
              <w:bottom w:val="single" w:sz="4" w:space="0" w:color="DF2F1E"/>
            </w:tcBorders>
          </w:tcPr>
          <w:p>
            <w:pPr>
              <w:pStyle w:val="TableParagraph"/>
              <w:ind w:left="149" w:right="381"/>
              <w:jc w:val="center"/>
              <w:rPr>
                <w:sz w:val="16"/>
              </w:rPr>
            </w:pPr>
            <w:r>
              <w:rPr>
                <w:color w:val="404040"/>
                <w:sz w:val="16"/>
              </w:rPr>
              <w:t>57</w:t>
            </w:r>
          </w:p>
        </w:tc>
        <w:tc>
          <w:tcPr>
            <w:tcW w:w="2773" w:type="dxa"/>
            <w:tcBorders>
              <w:top w:val="single" w:sz="4" w:space="0" w:color="DF2F1E"/>
              <w:bottom w:val="single" w:sz="4" w:space="0" w:color="DF2F1E"/>
              <w:right w:val="single" w:sz="4" w:space="0" w:color="DF2F1E"/>
            </w:tcBorders>
          </w:tcPr>
          <w:p>
            <w:pPr>
              <w:pStyle w:val="TableParagraph"/>
              <w:ind w:left="1293" w:right="1025"/>
              <w:jc w:val="center"/>
              <w:rPr>
                <w:sz w:val="16"/>
              </w:rPr>
            </w:pPr>
            <w:r>
              <w:rPr>
                <w:color w:val="404040"/>
                <w:sz w:val="16"/>
              </w:rPr>
              <w:t>100%</w:t>
            </w:r>
          </w:p>
        </w:tc>
      </w:tr>
    </w:tbl>
    <w:p>
      <w:pPr>
        <w:spacing w:after="0"/>
        <w:jc w:val="center"/>
        <w:rPr>
          <w:sz w:val="16"/>
        </w:rPr>
        <w:sectPr>
          <w:type w:val="continuous"/>
          <w:pgSz w:w="11910" w:h="16850"/>
          <w:pgMar w:top="1600" w:bottom="280" w:left="120" w:right="0"/>
        </w:sectPr>
      </w:pPr>
    </w:p>
    <w:p>
      <w:pPr>
        <w:pStyle w:val="BodyText"/>
        <w:rPr>
          <w:b/>
        </w:rPr>
      </w:pPr>
    </w:p>
    <w:p>
      <w:pPr>
        <w:pStyle w:val="BodyText"/>
        <w:rPr>
          <w:b/>
        </w:rPr>
      </w:pPr>
    </w:p>
    <w:p>
      <w:pPr>
        <w:pStyle w:val="BodyText"/>
        <w:spacing w:before="8"/>
        <w:rPr>
          <w:b/>
          <w:sz w:val="21"/>
        </w:rPr>
      </w:pPr>
    </w:p>
    <w:p>
      <w:pPr>
        <w:pStyle w:val="ListParagraph"/>
        <w:numPr>
          <w:ilvl w:val="1"/>
          <w:numId w:val="37"/>
        </w:numPr>
        <w:tabs>
          <w:tab w:pos="1752" w:val="left" w:leader="none"/>
          <w:tab w:pos="1753" w:val="left" w:leader="none"/>
        </w:tabs>
        <w:spacing w:line="240" w:lineRule="auto" w:before="91" w:after="0"/>
        <w:ind w:left="1752" w:right="0" w:hanging="853"/>
        <w:jc w:val="left"/>
        <w:rPr>
          <w:sz w:val="28"/>
        </w:rPr>
      </w:pPr>
      <w:bookmarkStart w:name="6.4 Carers (Income Support)" w:id="182"/>
      <w:bookmarkEnd w:id="182"/>
      <w:r>
        <w:rPr/>
      </w:r>
      <w:bookmarkStart w:name="_bookmark44" w:id="183"/>
      <w:bookmarkEnd w:id="183"/>
      <w:r>
        <w:rPr/>
      </w:r>
      <w:bookmarkStart w:name="_bookmark44" w:id="184"/>
      <w:bookmarkEnd w:id="184"/>
      <w:r>
        <w:rPr>
          <w:color w:val="DF2F28"/>
          <w:sz w:val="28"/>
        </w:rPr>
        <w:t>C</w:t>
      </w:r>
      <w:r>
        <w:rPr>
          <w:color w:val="DF2F28"/>
          <w:sz w:val="28"/>
        </w:rPr>
        <w:t>arers (Income</w:t>
      </w:r>
      <w:r>
        <w:rPr>
          <w:color w:val="DF2F28"/>
          <w:spacing w:val="-3"/>
          <w:sz w:val="28"/>
        </w:rPr>
        <w:t> </w:t>
      </w:r>
      <w:r>
        <w:rPr>
          <w:color w:val="DF2F28"/>
          <w:sz w:val="28"/>
        </w:rPr>
        <w:t>Support)</w:t>
      </w:r>
    </w:p>
    <w:p>
      <w:pPr>
        <w:pStyle w:val="BodyText"/>
        <w:spacing w:before="123"/>
        <w:ind w:left="899" w:right="1343"/>
      </w:pPr>
      <w:r>
        <w:rPr/>
        <w:pict>
          <v:shape style="position:absolute;margin-left:51pt;margin-top:46.608856pt;width:493.35pt;height:164.55pt;mso-position-horizontal-relative:page;mso-position-vertical-relative:paragraph;z-index:-250998784;mso-wrap-distance-left:0;mso-wrap-distance-right:0" type="#_x0000_t202" filled="true" fillcolor="#f3aba3" stroked="false">
            <v:textbox inset="0,0,0,0">
              <w:txbxContent>
                <w:p>
                  <w:pPr>
                    <w:spacing w:before="117"/>
                    <w:ind w:left="107" w:right="0" w:firstLine="0"/>
                    <w:jc w:val="left"/>
                    <w:rPr>
                      <w:b/>
                      <w:sz w:val="20"/>
                    </w:rPr>
                  </w:pPr>
                  <w:r>
                    <w:rPr>
                      <w:b/>
                      <w:color w:val="404040"/>
                      <w:sz w:val="20"/>
                    </w:rPr>
                    <w:t>Key points</w:t>
                  </w:r>
                </w:p>
                <w:p>
                  <w:pPr>
                    <w:pStyle w:val="BodyText"/>
                    <w:spacing w:before="123"/>
                    <w:ind w:left="107"/>
                  </w:pPr>
                  <w:r>
                    <w:rPr>
                      <w:color w:val="404040"/>
                    </w:rPr>
                    <w:t>There were 294,000 people in the Carer class in 2018 with significantly more women than men.</w:t>
                  </w:r>
                </w:p>
                <w:p>
                  <w:pPr>
                    <w:pStyle w:val="BodyText"/>
                    <w:numPr>
                      <w:ilvl w:val="0"/>
                      <w:numId w:val="48"/>
                    </w:numPr>
                    <w:tabs>
                      <w:tab w:pos="392" w:val="left" w:leader="none"/>
                    </w:tabs>
                    <w:spacing w:line="240" w:lineRule="auto" w:before="119" w:after="0"/>
                    <w:ind w:left="391" w:right="161" w:hanging="284"/>
                    <w:jc w:val="left"/>
                  </w:pPr>
                  <w:r>
                    <w:rPr>
                      <w:color w:val="404040"/>
                    </w:rPr>
                    <w:t>Over</w:t>
                  </w:r>
                  <w:r>
                    <w:rPr>
                      <w:color w:val="404040"/>
                      <w:spacing w:val="-4"/>
                    </w:rPr>
                    <w:t> </w:t>
                  </w:r>
                  <w:r>
                    <w:rPr>
                      <w:color w:val="404040"/>
                    </w:rPr>
                    <w:t>the</w:t>
                  </w:r>
                  <w:r>
                    <w:rPr>
                      <w:color w:val="404040"/>
                      <w:spacing w:val="-4"/>
                    </w:rPr>
                    <w:t> </w:t>
                  </w:r>
                  <w:r>
                    <w:rPr>
                      <w:color w:val="404040"/>
                    </w:rPr>
                    <w:t>last</w:t>
                  </w:r>
                  <w:r>
                    <w:rPr>
                      <w:color w:val="404040"/>
                      <w:spacing w:val="-4"/>
                    </w:rPr>
                    <w:t> </w:t>
                  </w:r>
                  <w:r>
                    <w:rPr>
                      <w:color w:val="404040"/>
                    </w:rPr>
                    <w:t>five</w:t>
                  </w:r>
                  <w:r>
                    <w:rPr>
                      <w:color w:val="404040"/>
                      <w:spacing w:val="1"/>
                    </w:rPr>
                    <w:t> </w:t>
                  </w:r>
                  <w:r>
                    <w:rPr>
                      <w:color w:val="404040"/>
                    </w:rPr>
                    <w:t>years</w:t>
                  </w:r>
                  <w:r>
                    <w:rPr>
                      <w:color w:val="404040"/>
                      <w:spacing w:val="-3"/>
                    </w:rPr>
                    <w:t> </w:t>
                  </w:r>
                  <w:r>
                    <w:rPr>
                      <w:color w:val="404040"/>
                    </w:rPr>
                    <w:t>the</w:t>
                  </w:r>
                  <w:r>
                    <w:rPr>
                      <w:color w:val="404040"/>
                      <w:spacing w:val="-3"/>
                    </w:rPr>
                    <w:t> </w:t>
                  </w:r>
                  <w:r>
                    <w:rPr>
                      <w:color w:val="404040"/>
                    </w:rPr>
                    <w:t>number</w:t>
                  </w:r>
                  <w:r>
                    <w:rPr>
                      <w:color w:val="404040"/>
                      <w:spacing w:val="-3"/>
                    </w:rPr>
                    <w:t> </w:t>
                  </w:r>
                  <w:r>
                    <w:rPr>
                      <w:color w:val="404040"/>
                    </w:rPr>
                    <w:t>of</w:t>
                  </w:r>
                  <w:r>
                    <w:rPr>
                      <w:color w:val="404040"/>
                      <w:spacing w:val="-2"/>
                    </w:rPr>
                    <w:t> </w:t>
                  </w:r>
                  <w:r>
                    <w:rPr>
                      <w:color w:val="404040"/>
                    </w:rPr>
                    <w:t>entrants</w:t>
                  </w:r>
                  <w:r>
                    <w:rPr>
                      <w:color w:val="404040"/>
                      <w:spacing w:val="-3"/>
                    </w:rPr>
                    <w:t> </w:t>
                  </w:r>
                  <w:r>
                    <w:rPr>
                      <w:color w:val="404040"/>
                    </w:rPr>
                    <w:t>has been</w:t>
                  </w:r>
                  <w:r>
                    <w:rPr>
                      <w:color w:val="404040"/>
                      <w:spacing w:val="-4"/>
                    </w:rPr>
                    <w:t> </w:t>
                  </w:r>
                  <w:r>
                    <w:rPr>
                      <w:color w:val="404040"/>
                    </w:rPr>
                    <w:t>marginally</w:t>
                  </w:r>
                  <w:r>
                    <w:rPr>
                      <w:color w:val="404040"/>
                      <w:spacing w:val="-5"/>
                    </w:rPr>
                    <w:t> </w:t>
                  </w:r>
                  <w:r>
                    <w:rPr>
                      <w:color w:val="404040"/>
                    </w:rPr>
                    <w:t>decreasing,</w:t>
                  </w:r>
                  <w:r>
                    <w:rPr>
                      <w:color w:val="404040"/>
                      <w:spacing w:val="-1"/>
                    </w:rPr>
                    <w:t> </w:t>
                  </w:r>
                  <w:r>
                    <w:rPr>
                      <w:color w:val="404040"/>
                    </w:rPr>
                    <w:t>but</w:t>
                  </w:r>
                  <w:r>
                    <w:rPr>
                      <w:color w:val="404040"/>
                      <w:spacing w:val="-4"/>
                    </w:rPr>
                    <w:t> </w:t>
                  </w:r>
                  <w:r>
                    <w:rPr>
                      <w:color w:val="404040"/>
                    </w:rPr>
                    <w:t>is</w:t>
                  </w:r>
                  <w:r>
                    <w:rPr>
                      <w:color w:val="404040"/>
                      <w:spacing w:val="-3"/>
                    </w:rPr>
                    <w:t> </w:t>
                  </w:r>
                  <w:r>
                    <w:rPr>
                      <w:color w:val="404040"/>
                    </w:rPr>
                    <w:t>still</w:t>
                  </w:r>
                  <w:r>
                    <w:rPr>
                      <w:color w:val="404040"/>
                      <w:spacing w:val="-3"/>
                    </w:rPr>
                    <w:t> </w:t>
                  </w:r>
                  <w:r>
                    <w:rPr>
                      <w:color w:val="404040"/>
                    </w:rPr>
                    <w:t>higher</w:t>
                  </w:r>
                  <w:r>
                    <w:rPr>
                      <w:color w:val="404040"/>
                      <w:spacing w:val="-4"/>
                    </w:rPr>
                    <w:t> </w:t>
                  </w:r>
                  <w:r>
                    <w:rPr>
                      <w:color w:val="404040"/>
                    </w:rPr>
                    <w:t>than</w:t>
                  </w:r>
                  <w:r>
                    <w:rPr>
                      <w:color w:val="404040"/>
                      <w:spacing w:val="-2"/>
                    </w:rPr>
                    <w:t> </w:t>
                  </w:r>
                  <w:r>
                    <w:rPr>
                      <w:color w:val="404040"/>
                    </w:rPr>
                    <w:t>the number of exits, leading to a growing number of individuals in the class, and an increasing number of exits each</w:t>
                  </w:r>
                  <w:r>
                    <w:rPr>
                      <w:color w:val="404040"/>
                      <w:spacing w:val="2"/>
                    </w:rPr>
                    <w:t> </w:t>
                  </w:r>
                  <w:r>
                    <w:rPr>
                      <w:color w:val="404040"/>
                    </w:rPr>
                    <w:t>year.</w:t>
                  </w:r>
                </w:p>
                <w:p>
                  <w:pPr>
                    <w:pStyle w:val="BodyText"/>
                    <w:numPr>
                      <w:ilvl w:val="0"/>
                      <w:numId w:val="48"/>
                    </w:numPr>
                    <w:tabs>
                      <w:tab w:pos="392" w:val="left" w:leader="none"/>
                    </w:tabs>
                    <w:spacing w:line="240" w:lineRule="auto" w:before="118" w:after="0"/>
                    <w:ind w:left="391" w:right="181" w:hanging="284"/>
                    <w:jc w:val="left"/>
                  </w:pPr>
                  <w:r>
                    <w:rPr>
                      <w:color w:val="404040"/>
                    </w:rPr>
                    <w:t>The</w:t>
                  </w:r>
                  <w:r>
                    <w:rPr>
                      <w:color w:val="404040"/>
                      <w:spacing w:val="-4"/>
                    </w:rPr>
                    <w:t> </w:t>
                  </w:r>
                  <w:r>
                    <w:rPr>
                      <w:color w:val="404040"/>
                    </w:rPr>
                    <w:t>length</w:t>
                  </w:r>
                  <w:r>
                    <w:rPr>
                      <w:color w:val="404040"/>
                      <w:spacing w:val="-3"/>
                    </w:rPr>
                    <w:t> </w:t>
                  </w:r>
                  <w:r>
                    <w:rPr>
                      <w:color w:val="404040"/>
                    </w:rPr>
                    <w:t>of</w:t>
                  </w:r>
                  <w:r>
                    <w:rPr>
                      <w:color w:val="404040"/>
                      <w:spacing w:val="-2"/>
                    </w:rPr>
                    <w:t> </w:t>
                  </w:r>
                  <w:r>
                    <w:rPr>
                      <w:color w:val="404040"/>
                    </w:rPr>
                    <w:t>time</w:t>
                  </w:r>
                  <w:r>
                    <w:rPr>
                      <w:color w:val="404040"/>
                      <w:spacing w:val="-3"/>
                    </w:rPr>
                    <w:t> </w:t>
                  </w:r>
                  <w:r>
                    <w:rPr>
                      <w:color w:val="404040"/>
                    </w:rPr>
                    <w:t>a</w:t>
                  </w:r>
                  <w:r>
                    <w:rPr>
                      <w:color w:val="404040"/>
                      <w:spacing w:val="-3"/>
                    </w:rPr>
                    <w:t> </w:t>
                  </w:r>
                  <w:r>
                    <w:rPr>
                      <w:color w:val="404040"/>
                    </w:rPr>
                    <w:t>person</w:t>
                  </w:r>
                  <w:r>
                    <w:rPr>
                      <w:color w:val="404040"/>
                      <w:spacing w:val="-2"/>
                    </w:rPr>
                    <w:t> </w:t>
                  </w:r>
                  <w:r>
                    <w:rPr>
                      <w:color w:val="404040"/>
                    </w:rPr>
                    <w:t>receives</w:t>
                  </w:r>
                  <w:r>
                    <w:rPr>
                      <w:color w:val="404040"/>
                      <w:spacing w:val="-2"/>
                    </w:rPr>
                    <w:t> </w:t>
                  </w:r>
                  <w:r>
                    <w:rPr>
                      <w:color w:val="404040"/>
                    </w:rPr>
                    <w:t>Carer</w:t>
                  </w:r>
                  <w:r>
                    <w:rPr>
                      <w:color w:val="404040"/>
                      <w:spacing w:val="-1"/>
                    </w:rPr>
                    <w:t> </w:t>
                  </w:r>
                  <w:r>
                    <w:rPr>
                      <w:color w:val="404040"/>
                    </w:rPr>
                    <w:t>payment</w:t>
                  </w:r>
                  <w:r>
                    <w:rPr>
                      <w:color w:val="404040"/>
                      <w:spacing w:val="-3"/>
                    </w:rPr>
                    <w:t> </w:t>
                  </w:r>
                  <w:r>
                    <w:rPr>
                      <w:color w:val="404040"/>
                    </w:rPr>
                    <w:t>is strongly</w:t>
                  </w:r>
                  <w:r>
                    <w:rPr>
                      <w:color w:val="404040"/>
                      <w:spacing w:val="-6"/>
                    </w:rPr>
                    <w:t> </w:t>
                  </w:r>
                  <w:r>
                    <w:rPr>
                      <w:color w:val="404040"/>
                    </w:rPr>
                    <w:t>linked</w:t>
                  </w:r>
                  <w:r>
                    <w:rPr>
                      <w:color w:val="404040"/>
                      <w:spacing w:val="-3"/>
                    </w:rPr>
                    <w:t> </w:t>
                  </w:r>
                  <w:r>
                    <w:rPr>
                      <w:color w:val="404040"/>
                    </w:rPr>
                    <w:t>to</w:t>
                  </w:r>
                  <w:r>
                    <w:rPr>
                      <w:color w:val="404040"/>
                      <w:spacing w:val="-2"/>
                    </w:rPr>
                    <w:t> </w:t>
                  </w:r>
                  <w:r>
                    <w:rPr>
                      <w:color w:val="404040"/>
                    </w:rPr>
                    <w:t>the</w:t>
                  </w:r>
                  <w:r>
                    <w:rPr>
                      <w:color w:val="404040"/>
                      <w:spacing w:val="-1"/>
                    </w:rPr>
                    <w:t> </w:t>
                  </w:r>
                  <w:r>
                    <w:rPr>
                      <w:color w:val="404040"/>
                    </w:rPr>
                    <w:t>mortality</w:t>
                  </w:r>
                  <w:r>
                    <w:rPr>
                      <w:color w:val="404040"/>
                      <w:spacing w:val="-4"/>
                    </w:rPr>
                    <w:t> </w:t>
                  </w:r>
                  <w:r>
                    <w:rPr>
                      <w:color w:val="404040"/>
                    </w:rPr>
                    <w:t>of</w:t>
                  </w:r>
                  <w:r>
                    <w:rPr>
                      <w:color w:val="404040"/>
                      <w:spacing w:val="-2"/>
                    </w:rPr>
                    <w:t> </w:t>
                  </w:r>
                  <w:r>
                    <w:rPr>
                      <w:color w:val="404040"/>
                    </w:rPr>
                    <w:t>the</w:t>
                  </w:r>
                  <w:r>
                    <w:rPr>
                      <w:color w:val="404040"/>
                      <w:spacing w:val="-3"/>
                    </w:rPr>
                    <w:t> </w:t>
                  </w:r>
                  <w:r>
                    <w:rPr>
                      <w:color w:val="404040"/>
                    </w:rPr>
                    <w:t>caree.</w:t>
                  </w:r>
                  <w:r>
                    <w:rPr>
                      <w:color w:val="404040"/>
                      <w:spacing w:val="-3"/>
                    </w:rPr>
                    <w:t> </w:t>
                  </w:r>
                  <w:r>
                    <w:rPr>
                      <w:color w:val="404040"/>
                    </w:rPr>
                    <w:t>Those receiving a bereavement payment or those caring for older people or people with cancer are much more likely to leave the Carer class.</w:t>
                  </w:r>
                </w:p>
                <w:p>
                  <w:pPr>
                    <w:pStyle w:val="BodyText"/>
                    <w:numPr>
                      <w:ilvl w:val="0"/>
                      <w:numId w:val="48"/>
                    </w:numPr>
                    <w:tabs>
                      <w:tab w:pos="392" w:val="left" w:leader="none"/>
                    </w:tabs>
                    <w:spacing w:line="240" w:lineRule="auto" w:before="118" w:after="0"/>
                    <w:ind w:left="391" w:right="456" w:hanging="284"/>
                    <w:jc w:val="left"/>
                  </w:pPr>
                  <w:r>
                    <w:rPr>
                      <w:color w:val="404040"/>
                    </w:rPr>
                    <w:t>The lifetime cost for this class is $155bn, which is $8bn above the rebased 2017 lifetime cost. The increase is driven by a continued increase in the number of people in the class as entrants continue to outnumber</w:t>
                  </w:r>
                  <w:r>
                    <w:rPr>
                      <w:color w:val="404040"/>
                      <w:spacing w:val="-1"/>
                    </w:rPr>
                    <w:t> </w:t>
                  </w:r>
                  <w:r>
                    <w:rPr>
                      <w:color w:val="404040"/>
                    </w:rPr>
                    <w:t>exits.</w:t>
                  </w:r>
                </w:p>
              </w:txbxContent>
            </v:textbox>
            <v:fill type="solid"/>
            <w10:wrap type="topAndBottom"/>
          </v:shape>
        </w:pict>
      </w:r>
      <w:r>
        <w:rPr>
          <w:color w:val="404040"/>
        </w:rPr>
        <w:t>This class includes people receiving the Carer Payment in 2017/18 as their last income support payment. People receiving Carer Allowance only, an income supplement, are in the non income support Carers class, class 8.</w:t>
      </w:r>
    </w:p>
    <w:p>
      <w:pPr>
        <w:pStyle w:val="BodyText"/>
        <w:spacing w:before="4"/>
        <w:rPr>
          <w:sz w:val="11"/>
        </w:rPr>
      </w:pPr>
    </w:p>
    <w:p>
      <w:pPr>
        <w:pStyle w:val="Heading4"/>
        <w:spacing w:before="92"/>
      </w:pPr>
      <w:bookmarkStart w:name="Recent and projected trends for Carers" w:id="185"/>
      <w:bookmarkEnd w:id="185"/>
      <w:r>
        <w:rPr/>
      </w:r>
      <w:r>
        <w:rPr>
          <w:color w:val="DF2F28"/>
        </w:rPr>
        <w:t>Recent and projected trends for Carers</w:t>
      </w:r>
    </w:p>
    <w:p>
      <w:pPr>
        <w:pStyle w:val="BodyText"/>
        <w:spacing w:before="122"/>
        <w:ind w:left="900" w:right="1155"/>
      </w:pPr>
      <w:r>
        <w:rPr>
          <w:color w:val="404040"/>
        </w:rPr>
        <w:t>There were 294,000 people (3.7% of current welfare recipients) in the Carers class in the 2018 model population.</w:t>
      </w:r>
      <w:r>
        <w:rPr>
          <w:color w:val="404040"/>
          <w:spacing w:val="-6"/>
        </w:rPr>
        <w:t> </w:t>
      </w:r>
      <w:r>
        <w:rPr>
          <w:color w:val="404040"/>
        </w:rPr>
        <w:t>This</w:t>
      </w:r>
      <w:r>
        <w:rPr>
          <w:color w:val="404040"/>
          <w:spacing w:val="-4"/>
        </w:rPr>
        <w:t> </w:t>
      </w:r>
      <w:r>
        <w:rPr>
          <w:color w:val="404040"/>
        </w:rPr>
        <w:t>represents</w:t>
      </w:r>
      <w:r>
        <w:rPr>
          <w:color w:val="404040"/>
          <w:spacing w:val="-5"/>
        </w:rPr>
        <w:t> </w:t>
      </w:r>
      <w:r>
        <w:rPr>
          <w:color w:val="404040"/>
        </w:rPr>
        <w:t>1.2%</w:t>
      </w:r>
      <w:r>
        <w:rPr>
          <w:color w:val="404040"/>
          <w:spacing w:val="-2"/>
        </w:rPr>
        <w:t> </w:t>
      </w:r>
      <w:r>
        <w:rPr>
          <w:color w:val="404040"/>
        </w:rPr>
        <w:t>of</w:t>
      </w:r>
      <w:r>
        <w:rPr>
          <w:color w:val="404040"/>
          <w:spacing w:val="-4"/>
        </w:rPr>
        <w:t> </w:t>
      </w:r>
      <w:r>
        <w:rPr>
          <w:color w:val="404040"/>
        </w:rPr>
        <w:t>the</w:t>
      </w:r>
      <w:r>
        <w:rPr>
          <w:color w:val="404040"/>
          <w:spacing w:val="-5"/>
        </w:rPr>
        <w:t> </w:t>
      </w:r>
      <w:r>
        <w:rPr>
          <w:color w:val="404040"/>
        </w:rPr>
        <w:t>population</w:t>
      </w:r>
      <w:r>
        <w:rPr>
          <w:color w:val="404040"/>
          <w:spacing w:val="-5"/>
        </w:rPr>
        <w:t> </w:t>
      </w:r>
      <w:r>
        <w:rPr>
          <w:color w:val="404040"/>
        </w:rPr>
        <w:t>of</w:t>
      </w:r>
      <w:r>
        <w:rPr>
          <w:color w:val="404040"/>
          <w:spacing w:val="-4"/>
        </w:rPr>
        <w:t> </w:t>
      </w:r>
      <w:r>
        <w:rPr>
          <w:color w:val="404040"/>
        </w:rPr>
        <w:t>Australia</w:t>
      </w:r>
      <w:r>
        <w:rPr>
          <w:color w:val="404040"/>
          <w:spacing w:val="-3"/>
        </w:rPr>
        <w:t> </w:t>
      </w:r>
      <w:r>
        <w:rPr>
          <w:color w:val="404040"/>
        </w:rPr>
        <w:t>which</w:t>
      </w:r>
      <w:r>
        <w:rPr>
          <w:color w:val="404040"/>
          <w:spacing w:val="-4"/>
        </w:rPr>
        <w:t> </w:t>
      </w:r>
      <w:r>
        <w:rPr>
          <w:color w:val="404040"/>
        </w:rPr>
        <w:t>is</w:t>
      </w:r>
      <w:r>
        <w:rPr>
          <w:color w:val="404040"/>
          <w:spacing w:val="-4"/>
        </w:rPr>
        <w:t> </w:t>
      </w:r>
      <w:r>
        <w:rPr>
          <w:color w:val="404040"/>
        </w:rPr>
        <w:t>similar</w:t>
      </w:r>
      <w:r>
        <w:rPr>
          <w:color w:val="404040"/>
          <w:spacing w:val="-4"/>
        </w:rPr>
        <w:t> </w:t>
      </w:r>
      <w:r>
        <w:rPr>
          <w:color w:val="404040"/>
        </w:rPr>
        <w:t>to</w:t>
      </w:r>
      <w:r>
        <w:rPr>
          <w:color w:val="404040"/>
          <w:spacing w:val="-4"/>
        </w:rPr>
        <w:t> </w:t>
      </w:r>
      <w:r>
        <w:rPr>
          <w:color w:val="404040"/>
        </w:rPr>
        <w:t>the</w:t>
      </w:r>
      <w:r>
        <w:rPr>
          <w:color w:val="404040"/>
          <w:spacing w:val="-3"/>
        </w:rPr>
        <w:t> </w:t>
      </w:r>
      <w:r>
        <w:rPr>
          <w:color w:val="404040"/>
        </w:rPr>
        <w:t>previous</w:t>
      </w:r>
      <w:r>
        <w:rPr>
          <w:color w:val="404040"/>
          <w:spacing w:val="-2"/>
        </w:rPr>
        <w:t> </w:t>
      </w:r>
      <w:r>
        <w:rPr>
          <w:color w:val="404040"/>
        </w:rPr>
        <w:t>valuation.</w:t>
      </w:r>
    </w:p>
    <w:p>
      <w:pPr>
        <w:pStyle w:val="BodyText"/>
        <w:spacing w:before="121"/>
        <w:ind w:left="900"/>
      </w:pPr>
      <w:r>
        <w:rPr>
          <w:color w:val="404040"/>
        </w:rPr>
        <w:t>The following chart shows a breakdown of the number of people in the Carers class by age and</w:t>
      </w:r>
      <w:r>
        <w:rPr>
          <w:color w:val="404040"/>
          <w:spacing w:val="-40"/>
        </w:rPr>
        <w:t> </w:t>
      </w:r>
      <w:r>
        <w:rPr>
          <w:color w:val="404040"/>
        </w:rPr>
        <w:t>gender.</w:t>
      </w:r>
    </w:p>
    <w:p>
      <w:pPr>
        <w:pStyle w:val="Heading9"/>
        <w:spacing w:before="175"/>
      </w:pPr>
      <w:r>
        <w:rPr>
          <w:color w:val="DF2F1E"/>
        </w:rPr>
        <w:t>Figure 60: 2018 profile of people in class 4 – Carers (age / gender)</w:t>
      </w:r>
    </w:p>
    <w:p>
      <w:pPr>
        <w:pStyle w:val="BodyText"/>
        <w:rPr>
          <w:b/>
          <w:sz w:val="12"/>
        </w:rPr>
      </w:pPr>
    </w:p>
    <w:p>
      <w:pPr>
        <w:tabs>
          <w:tab w:pos="4001" w:val="left" w:leader="none"/>
        </w:tabs>
        <w:spacing w:before="72"/>
        <w:ind w:left="3480" w:right="0" w:firstLine="0"/>
        <w:jc w:val="left"/>
        <w:rPr>
          <w:rFonts w:ascii="Calibri"/>
          <w:sz w:val="14"/>
        </w:rPr>
      </w:pPr>
      <w:r>
        <w:rPr/>
        <w:pict>
          <v:group style="position:absolute;margin-left:174.266342pt;margin-top:5.959221pt;width:4.350pt;height:4.350pt;mso-position-horizontal-relative:page;mso-position-vertical-relative:paragraph;z-index:252319744" coordorigin="3485,119" coordsize="87,87">
            <v:rect style="position:absolute;left:3490;top:124;width:76;height:76" filled="true" fillcolor="#94b3d6" stroked="false">
              <v:fill type="solid"/>
            </v:rect>
            <v:rect style="position:absolute;left:3490;top:124;width:76;height:76" filled="false" stroked="true" strokeweight=".537845pt" strokecolor="#94b3d6">
              <v:stroke dashstyle="solid"/>
            </v:rect>
            <w10:wrap type="none"/>
          </v:group>
        </w:pict>
      </w:r>
      <w:r>
        <w:rPr/>
        <w:pict>
          <v:group style="position:absolute;margin-left:200.067856pt;margin-top:5.959217pt;width:4.850pt;height:4.350pt;mso-position-horizontal-relative:page;mso-position-vertical-relative:paragraph;z-index:-287582208" coordorigin="4001,119" coordsize="97,87">
            <v:rect style="position:absolute;left:4006;top:124;width:86;height:76" filled="true" fillcolor="#ffa7e1" stroked="false">
              <v:fill type="solid"/>
            </v:rect>
            <v:rect style="position:absolute;left:4006;top:124;width:86;height:76" filled="false" stroked="true" strokeweight=".537852pt" strokecolor="#ffa7e1">
              <v:stroke dashstyle="solid"/>
            </v:rect>
            <w10:wrap type="none"/>
          </v:group>
        </w:pict>
      </w:r>
      <w:r>
        <w:rPr>
          <w:rFonts w:ascii="Calibri"/>
          <w:sz w:val="14"/>
        </w:rPr>
        <w:t>Male</w:t>
        <w:tab/>
        <w:t>Female</w:t>
      </w:r>
    </w:p>
    <w:p>
      <w:pPr>
        <w:spacing w:after="0"/>
        <w:jc w:val="left"/>
        <w:rPr>
          <w:rFonts w:ascii="Calibri"/>
          <w:sz w:val="14"/>
        </w:rPr>
        <w:sectPr>
          <w:pgSz w:w="11910" w:h="16850"/>
          <w:pgMar w:header="572" w:footer="581" w:top="780" w:bottom="780" w:left="120" w:right="0"/>
        </w:sectPr>
      </w:pPr>
    </w:p>
    <w:p>
      <w:pPr>
        <w:spacing w:before="128"/>
        <w:ind w:left="0" w:right="328" w:firstLine="0"/>
        <w:jc w:val="right"/>
        <w:rPr>
          <w:rFonts w:ascii="Calibri"/>
          <w:sz w:val="16"/>
        </w:rPr>
      </w:pPr>
      <w:r>
        <w:rPr/>
        <w:pict>
          <v:group style="position:absolute;margin-left:96.055672pt;margin-top:11.276127pt;width:222.3pt;height:108.2pt;mso-position-horizontal-relative:page;mso-position-vertical-relative:paragraph;z-index:252318720" coordorigin="1921,226" coordsize="4446,2164">
            <v:shape style="position:absolute;left:-294410;top:-272943;width:294410;height:281421" coordorigin="-294409,-272942" coordsize="294410,281421" path="m6361,236l6361,2335m5813,236l5813,2335m5265,236l5265,2335m4716,236l4716,2335m4168,236l4168,2335e" filled="false" stroked="true" strokeweight=".537833pt" strokecolor="#f1f1f1">
              <v:path arrowok="t"/>
              <v:stroke dashstyle="solid"/>
            </v:shape>
            <v:shape style="position:absolute;left:4162;top:1958;width:2;height:87" coordorigin="4163,1958" coordsize="0,87" path="m4163,1958l4163,2044,4163,1958xe" filled="true" fillcolor="#94b3d6" stroked="false">
              <v:path arrowok="t"/>
              <v:fill type="solid"/>
            </v:shape>
            <v:line style="position:absolute" from="4028,1872" to="4168,1872" stroked="true" strokeweight="1.000568pt" strokecolor="#94b3d6">
              <v:stroke dashstyle="solid"/>
            </v:line>
            <v:shape style="position:absolute;left:4060;top:1882;width:108;height:77" coordorigin="4060,1882" coordsize="108,77" path="m4168,1882l4060,1882,4060,1904,4103,1904,4103,1926,4157,1926,4157,1958,4168,1958,4168,1926,4168,1904,4168,1882e" filled="true" fillcolor="#94b3d6" stroked="false">
              <v:path arrowok="t"/>
              <v:fill type="solid"/>
            </v:shape>
            <v:line style="position:absolute" from="3953,1829" to="4168,1829" stroked="true" strokeweight="1.076282pt" strokecolor="#94b3d6">
              <v:stroke dashstyle="solid"/>
            </v:line>
            <v:line style="position:absolute" from="3974,1851" to="4168,1851" stroked="true" strokeweight="1.076273pt" strokecolor="#94b3d6">
              <v:stroke dashstyle="solid"/>
            </v:line>
            <v:line style="position:absolute" from="3931,1732" to="4168,1732" stroked="true" strokeweight="1.076273pt" strokecolor="#94b3d6">
              <v:stroke dashstyle="solid"/>
            </v:line>
            <v:shape style="position:absolute;left:3899;top:1668;width:269;height:151" coordorigin="3899,1668" coordsize="269,151" path="m4168,1743l3910,1743,3910,1765,3921,1765,3921,1786,3931,1786,3931,1818,4168,1818,4168,1786,4168,1765,4168,1764,4168,1743m4168,1668l3910,1668,3910,1700,3899,1700,3899,1722,4168,1722,4168,1700,4168,1668e" filled="true" fillcolor="#94b3d6" stroked="false">
              <v:path arrowok="t"/>
              <v:fill type="solid"/>
            </v:shape>
            <v:line style="position:absolute" from="3888,1657" to="4168,1657" stroked="true" strokeweight="1.076277pt" strokecolor="#94b3d6">
              <v:stroke dashstyle="solid"/>
            </v:line>
            <v:shape style="position:absolute;left:3705;top:1302;width:463;height:345" coordorigin="3706,1302" coordsize="463,345" path="m4168,1528l3845,1528,3845,1560,3867,1560,3867,1582,3888,1582,3888,1603,3899,1603,3899,1624,3910,1624,3910,1646,4168,1646,4168,1624,4168,1603,4168,1602,4168,1582,4168,1582,4168,1560,4168,1528m4168,1388l3792,1388,3792,1420,3802,1420,3802,1442,3802,1442,3802,1463,3813,1463,3813,1485,3835,1485,3835,1506,3845,1506,3845,1528,4168,1528,4168,1506,4168,1485,4168,1463,4168,1442,4168,1442,4168,1420,4168,1388m4168,1366l3781,1366,3781,1388,4168,1388,4168,1366m4168,1302l3706,1302,3706,1324,3738,1324,3738,1344,3749,1344,3749,1366,4168,1366,4168,1344,4168,1324,4168,1302e" filled="true" fillcolor="#94b3d6" stroked="false">
              <v:path arrowok="t"/>
              <v:fill type="solid"/>
            </v:shape>
            <v:line style="position:absolute" from="3620,236" to="3620,2335" stroked="true" strokeweight=".537534pt" strokecolor="#f1f1f1">
              <v:stroke dashstyle="solid"/>
            </v:line>
            <v:shape style="position:absolute;left:3598;top:1108;width:570;height:194" coordorigin="3598,1108" coordsize="570,194" path="m4168,1226l3630,1226,3630,1248,3630,1280,3695,1280,3695,1302,4168,1302,4168,1280,4168,1248,4168,1226m4168,1184l3620,1184,3620,1204,3630,1204,3630,1226,4168,1226,4168,1204,4168,1184m4168,1108l3609,1108,3609,1162,3598,1162,3598,1183,4168,1183,4168,1162,4168,1108e" filled="true" fillcolor="#94b3d6" stroked="false">
              <v:path arrowok="t"/>
              <v:fill type="solid"/>
            </v:shape>
            <v:line style="position:absolute" from="3577,1097" to="4168,1097" stroked="true" strokeweight="1.076277pt" strokecolor="#94b3d6">
              <v:stroke dashstyle="solid"/>
            </v:line>
            <v:shape style="position:absolute;left:3469;top:849;width:699;height:237" coordorigin="3469,850" coordsize="699,237" path="m4168,990l3512,990,3512,1022,3523,1022,3523,1065,3534,1065,3534,1087,4168,1087,4168,1065,4168,1022,4168,990m4168,850l3469,850,3469,926,4168,926,4168,850e" filled="true" fillcolor="#94b3d6" stroked="false">
              <v:path arrowok="t"/>
              <v:fill type="solid"/>
            </v:shape>
            <v:line style="position:absolute" from="3501,947" to="4168,947" stroked="true" strokeweight="2.101192pt" strokecolor="#94b3d6">
              <v:stroke dashstyle="solid"/>
            </v:line>
            <v:rect style="position:absolute;left:3522;top:967;width:646;height:23" filled="true" fillcolor="#94b3d6" stroked="false">
              <v:fill type="solid"/>
            </v:rect>
            <v:line style="position:absolute" from="3501,817" to="4168,817" stroked="true" strokeweight="1.100624pt" strokecolor="#94b3d6">
              <v:stroke dashstyle="solid"/>
            </v:line>
            <v:shape style="position:absolute;left:3458;top:741;width:710;height:109" coordorigin="3458,742" coordsize="710,109" path="m4168,828l3458,828,3458,850,4168,850,4168,828m4168,742l3759,742,3759,764,3770,764,3770,786,4168,786,4168,764,4168,742e" filled="true" fillcolor="#94b3d6" stroked="false">
              <v:path arrowok="t"/>
              <v:fill type="solid"/>
            </v:shape>
            <v:line style="position:absolute" from="3749,796" to="4168,796" stroked="true" strokeweight="1.076277pt" strokecolor="#94b3d6">
              <v:stroke dashstyle="solid"/>
            </v:line>
            <v:line style="position:absolute" from="3792,726" to="4168,726" stroked="true" strokeweight="1.614414pt" strokecolor="#94b3d6">
              <v:stroke dashstyle="solid"/>
            </v:line>
            <v:line style="position:absolute" from="3781,678" to="4168,678" stroked="true" strokeweight="1.076273pt" strokecolor="#94b3d6">
              <v:stroke dashstyle="solid"/>
            </v:line>
            <v:line style="position:absolute" from="3813,699" to="4168,699" stroked="true" strokeweight="1.076277pt" strokecolor="#94b3d6">
              <v:stroke dashstyle="solid"/>
            </v:line>
            <v:line style="position:absolute" from="3985,613" to="4168,613" stroked="true" strokeweight="1.100624pt" strokecolor="#94b3d6">
              <v:stroke dashstyle="solid"/>
            </v:line>
            <v:line style="position:absolute" from="3931,635" to="4168,635" stroked="true" strokeweight="1.100624pt" strokecolor="#94b3d6">
              <v:stroke dashstyle="solid"/>
            </v:line>
            <v:line style="position:absolute" from="3899,656" to="4168,656" stroked="true" strokeweight="1.076277pt" strokecolor="#94b3d6">
              <v:stroke dashstyle="solid"/>
            </v:line>
            <v:rect style="position:absolute;left:4006;top:569;width:162;height:33" filled="true" fillcolor="#94b3d6" stroked="false">
              <v:fill type="solid"/>
            </v:rect>
            <v:shape style="position:absolute;left:4060;top:483;width:108;height:45" coordorigin="4060,484" coordsize="108,45" path="m4168,484l4082,484,4082,506,4060,506,4060,528,4168,528,4168,506,4168,484e" filled="true" fillcolor="#94b3d6" stroked="false">
              <v:path arrowok="t"/>
              <v:fill type="solid"/>
            </v:shape>
            <v:shape style="position:absolute;left:4006;top:527;width:162;height:43" coordorigin="4007,528" coordsize="162,43" path="m4168,528l4017,528,4017,548,4007,548,4007,570,4168,570,4168,548,4168,528e" filled="true" fillcolor="#94b3d6" stroked="false">
              <v:path arrowok="t"/>
              <v:fill type="solid"/>
            </v:shape>
            <v:shape style="position:absolute;left:4081;top:231;width:86;height:253" coordorigin="4082,232" coordsize="86,253" path="m4168,408l4103,408,4103,430,4093,430,4093,452,4082,452,4082,484,4168,484,4168,452,4168,430,4168,408m4168,388l4114,388,4114,408,4168,408,4168,388m4168,312l4136,312,4136,365,4125,365,4125,387,4168,387,4168,365,4168,312m4168,232l4157,232,4157,248,4146,248,4146,312,4168,312,4168,248,4168,232e" filled="true" fillcolor="#94b3d6" stroked="false">
              <v:path arrowok="t"/>
              <v:fill type="solid"/>
            </v:shape>
            <v:shape style="position:absolute;left:476249;top:-404272;width:24424;height:36635" coordorigin="476250,-404272" coordsize="24424,36635" path="m4157,2044l4168,2044,4168,2023,4157,2023,4157,2044m4157,2023l4168,2023,4168,2001,4157,2001,4157,2023m4157,2001l4168,2001,4168,1980,4157,1980,4157,2001m4157,1980l4168,1980,4168,1958,4157,1958,4157,1980m4157,1958l4168,1958,4168,1926,4157,1926,4157,1958m4103,1926l4168,1926,4168,1905,4103,1905,4103,1926m4060,1905l4168,1905,4168,1883,4060,1883,4060,1905e" filled="false" stroked="true" strokeweight=".537831pt" strokecolor="#94b3d6">
              <v:path arrowok="t"/>
              <v:stroke dashstyle="solid"/>
            </v:shape>
            <v:shape style="position:absolute;left:3969;top:1850;width:205;height:22" coordorigin="3969,1851" coordsize="205,22" path="m4023,1872l4173,1872m3969,1851l4173,1851e" filled="false" stroked="true" strokeweight="1.614409pt" strokecolor="#94b3d6">
              <v:path arrowok="t"/>
              <v:stroke dashstyle="solid"/>
            </v:shape>
            <v:rect style="position:absolute;left:3947;top:1813;width:226;height:33" filled="true" fillcolor="#94b3d6" stroked="false">
              <v:fill type="solid"/>
            </v:rect>
            <v:rect style="position:absolute;left:3931;top:1786;width:237;height:33" filled="false" stroked="true" strokeweight=".538125pt" strokecolor="#94b3d6">
              <v:stroke dashstyle="solid"/>
            </v:rect>
            <v:shape style="position:absolute;left:3904;top:1737;width:269;height:54" coordorigin="3905,1738" coordsize="269,54" path="m4173,1738l3905,1738,3905,1770,3915,1770,3915,1791,4173,1791,4173,1770,4173,1759,4173,1738e" filled="true" fillcolor="#94b3d6" stroked="false">
              <v:path arrowok="t"/>
              <v:fill type="solid"/>
            </v:shape>
            <v:shape style="position:absolute;left:3893;top:1710;width:280;height:22" coordorigin="3894,1711" coordsize="280,22" path="m3926,1732l4173,1732m3894,1711l4173,1711e" filled="false" stroked="true" strokeweight="1.614409pt" strokecolor="#94b3d6">
              <v:path arrowok="t"/>
              <v:stroke dashstyle="solid"/>
            </v:shape>
            <v:rect style="position:absolute;left:3909;top:1667;width:259;height:33" filled="false" stroked="true" strokeweight=".538127pt" strokecolor="#94b3d6">
              <v:stroke dashstyle="solid"/>
            </v:rect>
            <v:line style="position:absolute" from="3883,1657" to="4173,1657" stroked="true" strokeweight="1.614414pt" strokecolor="#94b3d6">
              <v:stroke dashstyle="solid"/>
            </v:line>
            <v:shape style="position:absolute;left:3883;top:1576;width:291;height:76" coordorigin="3883,1576" coordsize="291,76" path="m4173,1576l3883,1576,3883,1609,3894,1609,3894,1630,3905,1630,3905,1652,4173,1652,4173,1630,4173,1619,4173,1609,4173,1598,4173,1576e" filled="true" fillcolor="#94b3d6" stroked="false">
              <v:path arrowok="t"/>
              <v:fill type="solid"/>
            </v:shape>
            <v:line style="position:absolute" from="3862,1571" to="4173,1571" stroked="true" strokeweight="1.614409pt" strokecolor="#94b3d6">
              <v:stroke dashstyle="solid"/>
            </v:line>
            <v:rect style="position:absolute;left:3845;top:1527;width:323;height:33" filled="false" stroked="true" strokeweight=".53813pt" strokecolor="#94b3d6">
              <v:stroke dashstyle="solid"/>
            </v:rect>
            <v:shape style="position:absolute;left:3797;top:1414;width:377;height:119" coordorigin="3797,1415" coordsize="377,119" path="m4173,1415l3797,1415,3797,1436,3797,1447,3797,1469,3808,1469,3808,1490,3829,1490,3829,1512,3840,1512,3840,1533,4173,1533,4173,1512,4173,1501,4173,1436,4173,1415e" filled="true" fillcolor="#94b3d6" stroked="false">
              <v:path arrowok="t"/>
              <v:fill type="solid"/>
            </v:shape>
            <v:rect style="position:absolute;left:3791;top:1387;width:377;height:33" filled="false" stroked="true" strokeweight=".538132pt" strokecolor="#94b3d6">
              <v:stroke dashstyle="solid"/>
            </v:rect>
            <v:line style="position:absolute" from="3776,1377" to="4173,1377" stroked="true" strokeweight="1.614414pt" strokecolor="#94b3d6">
              <v:stroke dashstyle="solid"/>
            </v:line>
            <v:shape style="position:absolute;left:3689;top:1274;width:484;height:97" coordorigin="3690,1275" coordsize="484,97" path="m4173,1275l3690,1275,3690,1307,3700,1307,3700,1329,3733,1329,3733,1350,3743,1350,3743,1372,4173,1372,4173,1350,4173,1339,4173,1329,4173,1318,4173,1307,4173,1296,4173,1275e" filled="true" fillcolor="#94b3d6" stroked="false">
              <v:path arrowok="t"/>
              <v:fill type="solid"/>
            </v:shape>
            <v:rect style="position:absolute;left:3630;top:1247;width:538;height:33" filled="false" stroked="true" strokeweight=".538134pt" strokecolor="#94b3d6">
              <v:stroke dashstyle="solid"/>
            </v:rect>
            <v:shape style="position:absolute;left:3592;top:1134;width:581;height:119" coordorigin="3593,1135" coordsize="581,119" path="m4173,1135l3604,1135,3604,1156,3593,1156,3593,1189,3614,1189,3614,1210,3625,1210,3625,1221,3625,1232,3625,1253,4173,1253,4173,1232,4173,1221,4173,1156,4173,1135e" filled="true" fillcolor="#94b3d6" stroked="false">
              <v:path arrowok="t"/>
              <v:fill type="solid"/>
            </v:shape>
            <v:rect style="position:absolute;left:3608;top:1108;width:560;height:33" filled="false" stroked="true" strokeweight=".538134pt" strokecolor="#94b3d6">
              <v:stroke dashstyle="solid"/>
            </v:rect>
            <v:line style="position:absolute" from="3571,1097" to="4173,1097" stroked="true" strokeweight="1.614414pt" strokecolor="#94b3d6">
              <v:stroke dashstyle="solid"/>
            </v:line>
            <v:shape style="position:absolute;left:3517;top:1016;width:656;height:76" coordorigin="3518,1017" coordsize="656,76" path="m4173,1017l3518,1017,3518,1038,3518,1049,3518,1070,3528,1070,3528,1092,4173,1092,4173,1070,4173,1060,4173,1049,4173,1038,4173,1017e" filled="true" fillcolor="#94b3d6" stroked="false">
              <v:path arrowok="t"/>
              <v:fill type="solid"/>
            </v:shape>
            <v:rect style="position:absolute;left:3512;top:989;width:656;height:33" filled="false" stroked="true" strokeweight=".538135pt" strokecolor="#94b3d6">
              <v:stroke dashstyle="solid"/>
            </v:rect>
            <v:line style="position:absolute" from="3518,979" to="4173,979" stroked="true" strokeweight="1.614409pt" strokecolor="#94b3d6">
              <v:stroke dashstyle="solid"/>
            </v:line>
            <v:shape style="position:absolute;left:3463;top:876;width:710;height:97" coordorigin="3464,877" coordsize="710,97" path="m4173,877l3464,877,3464,898,3464,909,3464,930,3496,930,3496,941,3496,952,3496,974,4173,974,4173,898,4173,877e" filled="true" fillcolor="#94b3d6" stroked="false">
              <v:path arrowok="t"/>
              <v:fill type="solid"/>
            </v:shape>
            <v:rect style="position:absolute;left:3469;top:849;width:699;height:33" filled="false" stroked="true" strokeweight=".538135pt" strokecolor="#94b3d6">
              <v:stroke dashstyle="solid"/>
            </v:rect>
            <v:line style="position:absolute" from="3453,839" to="4173,839" stroked="true" strokeweight="1.614414pt" strokecolor="#94b3d6">
              <v:stroke dashstyle="solid"/>
            </v:line>
            <v:line style="position:absolute" from="3496,817" to="4173,817" stroked="true" strokeweight="1.614409pt" strokecolor="#94b3d6">
              <v:stroke dashstyle="solid"/>
            </v:line>
            <v:line style="position:absolute" from="3743,796" to="4173,796" stroked="true" strokeweight="1.614414pt" strokecolor="#94b3d6">
              <v:stroke dashstyle="solid"/>
            </v:line>
            <v:shape style="position:absolute;left:3754;top:736;width:420;height:54" coordorigin="3754,737" coordsize="420,54" path="m4173,737l3754,737,3754,769,3765,769,3765,791,4173,791,4173,769,4173,758,4173,737e" filled="true" fillcolor="#94b3d6" stroked="false">
              <v:path arrowok="t"/>
              <v:fill type="solid"/>
            </v:shape>
            <v:rect style="position:absolute;left:3791;top:709;width:377;height:33" filled="false" stroked="true" strokeweight=".538132pt" strokecolor="#94b3d6">
              <v:stroke dashstyle="solid"/>
            </v:rect>
            <v:line style="position:absolute" from="3808,699" to="4173,699" stroked="true" strokeweight="1.614414pt" strokecolor="#94b3d6">
              <v:stroke dashstyle="solid"/>
            </v:line>
            <v:line style="position:absolute" from="3776,678" to="4173,678" stroked="true" strokeweight="1.614409pt" strokecolor="#94b3d6">
              <v:stroke dashstyle="solid"/>
            </v:line>
            <v:shape style="position:absolute;left:3893;top:634;width:280;height:22" coordorigin="3894,635" coordsize="280,22" path="m3894,656l4173,656m3926,635l4173,635e" filled="false" stroked="true" strokeweight="1.614414pt" strokecolor="#94b3d6">
              <v:path arrowok="t"/>
              <v:stroke dashstyle="solid"/>
            </v:shape>
            <v:line style="position:absolute" from="3980,613" to="4173,613" stroked="true" strokeweight="1.614409pt" strokecolor="#94b3d6">
              <v:stroke dashstyle="solid"/>
            </v:line>
            <v:rect style="position:absolute;left:4006;top:569;width:162;height:33" filled="false" stroked="true" strokeweight=".538113pt" strokecolor="#94b3d6">
              <v:stroke dashstyle="solid"/>
            </v:rect>
            <v:shape style="position:absolute;left:4001;top:521;width:172;height:54" coordorigin="4001,521" coordsize="172,54" path="m4173,521l4012,521,4012,543,4001,543,4001,575,4173,575,4173,554,4173,543,4173,521e" filled="true" fillcolor="#94b3d6" stroked="false">
              <v:path arrowok="t"/>
              <v:fill type="solid"/>
            </v:shape>
            <v:shape style="position:absolute;left:476249;top:-59907;width:24424;height:67163" coordorigin="476250,-59906" coordsize="24424,67163" path="m4060,527l4168,527,4168,505,4060,505,4060,527m4082,505l4168,505,4168,484,4082,484,4082,505m4082,484l4168,484,4168,452,4082,452,4082,484m4093,452l4168,452,4168,430,4093,430,4093,452m4103,430l4168,430,4168,408,4103,408,4103,430m4114,408l4168,408,4168,387,4114,387,4114,408m4125,387l4168,387,4168,365,4125,365,4125,387m4136,365l4168,365,4168,344,4136,344,4136,365m4136,344l4168,344,4168,312,4136,312,4136,344m4146,312l4168,312,4168,290,4146,290,4146,312m4146,290l4168,290,4168,269,4146,269,4146,290m4146,269l4168,269,4168,247,4146,247,4146,269m4157,247l4168,247,4168,231e" filled="false" stroked="true" strokeweight=".537831pt" strokecolor="#94b3d6">
              <v:path arrowok="t"/>
              <v:stroke dashstyle="solid"/>
            </v:shape>
            <v:line style="position:absolute" from="4152,239" to="4163,239" stroked="true" strokeweight=".807057pt" strokecolor="#94b3d6">
              <v:stroke dashstyle="solid"/>
            </v:line>
            <v:shape style="position:absolute;left:4167;top:1926;width:22;height:97" coordorigin="4168,1926" coordsize="22,97" path="m4179,2001l4168,2001,4168,2023,4179,2023,4179,2001m4189,1926l4168,1926,4168,1958,4168,2001,4179,2001,4179,1958,4189,1958,4189,1926e" filled="true" fillcolor="#ffa7e1" stroked="false">
              <v:path arrowok="t"/>
              <v:fill type="solid"/>
            </v:shape>
            <v:line style="position:absolute" from="4168,1872" to="4372,1872" stroked="true" strokeweight="1.076257pt" strokecolor="#ffa7e1">
              <v:stroke dashstyle="solid"/>
            </v:line>
            <v:rect style="position:absolute;left:4167;top:1882;width:151;height:23" filled="true" fillcolor="#ffa7e1" stroked="false">
              <v:fill type="solid"/>
            </v:rect>
            <v:rect style="position:absolute;left:4167;top:1904;width:86;height:23" filled="true" fillcolor="#ffa7e1" stroked="false">
              <v:fill type="solid"/>
            </v:rect>
            <v:line style="position:absolute" from="4168,1802" to="4480,1802" stroked="true" strokeweight="1.614385pt" strokecolor="#ffa7e1">
              <v:stroke dashstyle="solid"/>
            </v:line>
            <v:line style="position:absolute" from="4168,1840" to="4426,1840" stroked="true" strokeweight="2.15252pt" strokecolor="#ffa7e1">
              <v:stroke dashstyle="solid"/>
            </v:line>
            <v:line style="position:absolute" from="4168,1732" to="4555,1732" stroked="true" strokeweight="1.076257pt" strokecolor="#ffa7e1">
              <v:stroke dashstyle="solid"/>
            </v:line>
            <v:line style="position:absolute" from="4168,1754" to="4533,1754" stroked="true" strokeweight="1.076263pt" strokecolor="#ffa7e1">
              <v:stroke dashstyle="solid"/>
            </v:line>
            <v:shape style="position:absolute;left:4167;top:1656;width:527;height:119" coordorigin="4168,1657" coordsize="527,119" path="m4168,1775l4501,1775m4168,1657l4695,1657e" filled="false" stroked="true" strokeweight="1.076257pt" strokecolor="#ffa7e1">
              <v:path arrowok="t"/>
              <v:stroke dashstyle="solid"/>
            </v:shape>
            <v:line style="position:absolute" from="4168,1684" to="4663,1684" stroked="true" strokeweight="1.600896pt" strokecolor="#ffa7e1">
              <v:stroke dashstyle="solid"/>
            </v:line>
            <v:line style="position:absolute" from="4168,1711" to="4609,1711" stroked="true" strokeweight="1.100616pt" strokecolor="#ffa7e1">
              <v:stroke dashstyle="solid"/>
            </v:line>
            <v:line style="position:absolute" from="4168,1592" to="4899,1592" stroked="true" strokeweight="1.000560pt" strokecolor="#ffa7e1">
              <v:stroke dashstyle="solid"/>
            </v:line>
            <v:line style="position:absolute" from="4168,1613" to="4824,1613" stroked="true" strokeweight="1.100616pt" strokecolor="#ffa7e1">
              <v:stroke dashstyle="solid"/>
            </v:line>
            <v:line style="position:absolute" from="4168,1635" to="4759,1635" stroked="true" strokeweight="1.076263pt" strokecolor="#ffa7e1">
              <v:stroke dashstyle="solid"/>
            </v:line>
            <v:line style="position:absolute" from="4168,1517" to="5050,1517" stroked="true" strokeweight="1.100616pt" strokecolor="#ffa7e1">
              <v:stroke dashstyle="solid"/>
            </v:line>
            <v:line style="position:absolute" from="4168,1544" to="4974,1544" stroked="true" strokeweight="1.600896pt" strokecolor="#ffa7e1">
              <v:stroke dashstyle="solid"/>
            </v:line>
            <v:rect style="position:absolute;left:4167;top:1560;width:753;height:23" filled="true" fillcolor="#ffa7e1" stroked="false">
              <v:fill type="solid"/>
            </v:rect>
            <v:shape style="position:absolute;left:4167;top:1452;width:957;height:22" coordorigin="4168,1452" coordsize="957,22" path="m4168,1452l5125,1452m4168,1474l5093,1474e" filled="false" stroked="true" strokeweight="1.076257pt" strokecolor="#ffa7e1">
              <v:path arrowok="t"/>
              <v:stroke dashstyle="solid"/>
            </v:shape>
            <v:rect style="position:absolute;left:4167;top:1484;width:904;height:22" filled="true" fillcolor="#ffa7e1" stroked="false">
              <v:fill type="solid"/>
            </v:rect>
            <v:line style="position:absolute" from="4168,1377" to="5254,1377" stroked="true" strokeweight="1.100616pt" strokecolor="#ffa7e1">
              <v:stroke dashstyle="solid"/>
            </v:line>
            <v:shape style="position:absolute;left:4167;top:1388;width:1033;height:55" coordorigin="4168,1388" coordsize="1033,55" path="m5200,1388l4168,1388,4168,1420,4168,1442,5189,1442,5189,1420,5200,1420,5200,1388e" filled="true" fillcolor="#ffa7e1" stroked="false">
              <v:path arrowok="t"/>
              <v:fill type="solid"/>
            </v:shape>
            <v:line style="position:absolute" from="4168,1215" to="5533,1215" stroked="true" strokeweight="1.100616pt" strokecolor="#ffa7e1">
              <v:stroke dashstyle="solid"/>
            </v:line>
            <v:line style="position:absolute" from="4168,1237" to="5598,1237" stroked="true" strokeweight="1.100616pt" strokecolor="#ffa7e1">
              <v:stroke dashstyle="solid"/>
            </v:line>
            <v:line style="position:absolute" from="4168,1264" to="5555,1264" stroked="true" strokeweight="1.600896pt" strokecolor="#ffa7e1">
              <v:stroke dashstyle="solid"/>
            </v:line>
            <v:line style="position:absolute" from="4168,1291" to="5512,1291" stroked="true" strokeweight="1.100616pt" strokecolor="#ffa7e1">
              <v:stroke dashstyle="solid"/>
            </v:line>
            <v:line style="position:absolute" from="4168,1313" to="5437,1313" stroked="true" strokeweight="1.100616pt" strokecolor="#ffa7e1">
              <v:stroke dashstyle="solid"/>
            </v:line>
            <v:line style="position:absolute" from="4168,1334" to="5340,1334" stroked="true" strokeweight="1.076263pt" strokecolor="#ffa7e1">
              <v:stroke dashstyle="solid"/>
            </v:line>
            <v:line style="position:absolute" from="4168,1356" to="5308,1356" stroked="true" strokeweight="1.076257pt" strokecolor="#ffa7e1">
              <v:stroke dashstyle="solid"/>
            </v:line>
            <v:line style="position:absolute" from="4168,1173" to="5566,1173" stroked="true" strokeweight="1.100616pt" strokecolor="#ffa7e1">
              <v:stroke dashstyle="solid"/>
            </v:line>
            <v:line style="position:absolute" from="4168,1194" to="5587,1194" stroked="true" strokeweight="1.000560pt" strokecolor="#ffa7e1">
              <v:stroke dashstyle="solid"/>
            </v:line>
            <v:shape style="position:absolute;left:5565;top:1183;width:22;height:2" coordorigin="5566,1183" coordsize="22,0" path="m5587,1183l5566,1183,5587,1183xe" filled="true" fillcolor="#ffa7e1" stroked="false">
              <v:path arrowok="t"/>
              <v:fill type="solid"/>
            </v:shape>
            <v:line style="position:absolute" from="4168,1124" to="5512,1124" stroked="true" strokeweight="1.614385pt" strokecolor="#ffa7e1">
              <v:stroke dashstyle="solid"/>
            </v:line>
            <v:line style="position:absolute" from="4168,1151" to="5533,1151" stroked="true" strokeweight="1.076263pt" strokecolor="#ffa7e1">
              <v:stroke dashstyle="solid"/>
            </v:line>
            <v:shape style="position:absolute;left:5511;top:1140;width:22;height:2" coordorigin="5512,1140" coordsize="22,0" path="m5533,1140l5512,1140,5533,1140xe" filled="true" fillcolor="#ffa7e1" stroked="false">
              <v:path arrowok="t"/>
              <v:fill type="solid"/>
            </v:shape>
            <v:shape style="position:absolute;left:4167;top:989;width:1559;height:97" coordorigin="4168,990" coordsize="1559,97" path="m5662,1066l4168,1066,4168,1086,5662,1086,5662,1066m5727,990l4168,990,4168,1043,4168,1065,5673,1065,5673,1043,5727,1043,5727,990e" filled="true" fillcolor="#ffa7e1" stroked="false">
              <v:path arrowok="t"/>
              <v:fill type="solid"/>
            </v:shape>
            <v:shape style="position:absolute;left:4167;top:956;width:1602;height:141" coordorigin="4168,957" coordsize="1602,141" path="m4168,1097l5587,1097m4168,957l5770,957e" filled="false" stroked="true" strokeweight="1.100616pt" strokecolor="#ffa7e1">
              <v:path arrowok="t"/>
              <v:stroke dashstyle="solid"/>
            </v:shape>
            <v:shape style="position:absolute;left:4167;top:968;width:2;height:2" coordorigin="4168,968" coordsize="0,0" path="m4168,968xe" filled="true" fillcolor="#ffa7e1" stroked="false">
              <v:path arrowok="t"/>
              <v:fill type="solid"/>
            </v:shape>
            <v:shape style="position:absolute;left:4167;top:903;width:1645;height:86" coordorigin="4168,904" coordsize="1645,86" path="m5716,968l4168,968,4168,990,5716,990,5716,968m5813,904l4168,904,4168,926,5813,926,5813,904e" filled="true" fillcolor="#ffa7e1" stroked="false">
              <v:path arrowok="t"/>
              <v:fill type="solid"/>
            </v:shape>
            <v:shape style="position:absolute;left:4167;top:925;width:2;height:2" coordorigin="4168,925" coordsize="0,0" path="m4168,925xe" filled="true" fillcolor="#ffa7e1" stroked="false">
              <v:path arrowok="t"/>
              <v:fill type="solid"/>
            </v:shape>
            <v:rect style="position:absolute;left:4167;top:925;width:1635;height:22" filled="true" fillcolor="#ffa7e1" stroked="false">
              <v:fill type="solid"/>
            </v:rect>
            <v:shape style="position:absolute;left:4167;top:795;width:1473;height:22" coordorigin="4168,796" coordsize="1473,22" path="m4168,796l5071,796m4168,817l5641,817e" filled="false" stroked="true" strokeweight="1.076257pt" strokecolor="#ffa7e1">
              <v:path arrowok="t"/>
              <v:stroke dashstyle="solid"/>
            </v:shape>
            <v:line style="position:absolute" from="4168,839" to="5824,839" stroked="true" strokeweight="1.076263pt" strokecolor="#ffa7e1">
              <v:stroke dashstyle="solid"/>
            </v:line>
            <v:line style="position:absolute" from="4168,866" to="5877,866" stroked="true" strokeweight="1.600896pt" strokecolor="#ffa7e1">
              <v:stroke dashstyle="solid"/>
            </v:line>
            <v:rect style="position:absolute;left:4167;top:881;width:1635;height:23" filled="true" fillcolor="#ffa7e1" stroked="false">
              <v:fill type="solid"/>
            </v:rect>
            <v:line style="position:absolute" from="4168,726" to="4931,726" stroked="true" strokeweight="1.614391pt" strokecolor="#ffa7e1">
              <v:stroke dashstyle="solid"/>
            </v:line>
            <v:line style="position:absolute" from="4168,764" to="5007,764" stroked="true" strokeweight="2.15252pt" strokecolor="#ffa7e1">
              <v:stroke dashstyle="solid"/>
            </v:line>
            <v:shape style="position:absolute;left:4167;top:407;width:108;height:141" coordorigin="4168,408" coordsize="108,141" path="m4275,506l4265,506,4265,484,4243,484,4243,452,4232,452,4232,430,4222,430,4222,408,4168,408,4168,548,4275,548,4275,506e" filled="true" fillcolor="#ffa7e1" stroked="false">
              <v:path arrowok="t"/>
              <v:fill type="solid"/>
            </v:shape>
            <v:line style="position:absolute" from="4168,559" to="4318,559" stroked="true" strokeweight="1.100616pt" strokecolor="#ffa7e1">
              <v:stroke dashstyle="solid"/>
            </v:line>
            <v:line style="position:absolute" from="4168,586" to="4361,586" stroked="true" strokeweight="1.600896pt" strokecolor="#ffa7e1">
              <v:stroke dashstyle="solid"/>
            </v:line>
            <v:line style="position:absolute" from="4168,613" to="4437,613" stroked="true" strokeweight="1.100616pt" strokecolor="#ffa7e1">
              <v:stroke dashstyle="solid"/>
            </v:line>
            <v:line style="position:absolute" from="4168,635" to="4490,635" stroked="true" strokeweight="1.100616pt" strokecolor="#ffa7e1">
              <v:stroke dashstyle="solid"/>
            </v:line>
            <v:line style="position:absolute" from="4168,657" to="4576,657" stroked="true" strokeweight="1.100616pt" strokecolor="#ffa7e1">
              <v:stroke dashstyle="solid"/>
            </v:line>
            <v:line style="position:absolute" from="4168,678" to="4781,678" stroked="true" strokeweight="1.000560pt" strokecolor="#ffa7e1">
              <v:stroke dashstyle="solid"/>
            </v:line>
            <v:shape style="position:absolute;left:4361;top:602;width:76;height:2" coordorigin="4361,602" coordsize="76,0" path="m4437,602l4361,602,4437,602xe" filled="true" fillcolor="#ffa7e1" stroked="false">
              <v:path arrowok="t"/>
              <v:fill type="solid"/>
            </v:shape>
            <v:line style="position:absolute" from="4576,667" to="4781,667" stroked="true" strokeweight=".000007pt" strokecolor="#ffa7e1">
              <v:stroke dashstyle="solid"/>
            </v:line>
            <v:line style="position:absolute" from="4168,699" to="4888,699" stroked="true" strokeweight="1.076257pt" strokecolor="#ffa7e1">
              <v:stroke dashstyle="solid"/>
            </v:line>
            <v:shape style="position:absolute;left:4167;top:311;width:33;height:97" coordorigin="4168,312" coordsize="33,97" path="m4200,365l4189,365,4189,312,4168,312,4168,365,4168,408,4200,408,4200,365e" filled="true" fillcolor="#ffa7e1" stroked="false">
              <v:path arrowok="t"/>
              <v:fill type="solid"/>
            </v:shape>
            <v:shape style="position:absolute;left:4173;top:230;width:2;height:81" coordorigin="4173,231" coordsize="0,81" path="m4173,231l4173,312,4173,231xe" filled="true" fillcolor="#ffa7e1" stroked="false">
              <v:path arrowok="t"/>
              <v:fill type="solid"/>
            </v:shape>
            <v:shape style="position:absolute;left:333782;top:-263432;width:13026;height:17911" coordorigin="333782,-263432" coordsize="13026,17911" path="m4168,2023l4179,2023,4179,2001,4168,2001,4168,2023m4168,2001l4179,2001,4179,1980,4168,1980,4168,2001m4168,1980l4179,1980,4179,1958,4168,1958,4168,1980m4189,1958l4168,1958,4168,1926,4189,1926,4189,1958m4254,1926l4168,1926,4168,1904,4254,1904,4254,1926e" filled="false" stroked="true" strokeweight=".537827pt" strokecolor="#ffa7e1">
              <v:path arrowok="t"/>
              <v:stroke dashstyle="solid"/>
            </v:shape>
            <v:rect style="position:absolute;left:4162;top:1877;width:162;height:33" filled="true" fillcolor="#ffa7e1" stroked="false">
              <v:fill type="solid"/>
            </v:rect>
            <v:line style="position:absolute" from="4163,1872" to="4378,1872" stroked="true" strokeweight="1.614385pt" strokecolor="#ffa7e1">
              <v:stroke dashstyle="solid"/>
            </v:line>
            <v:shape style="position:absolute;left:4162;top:1813;width:269;height:54" coordorigin="4163,1813" coordsize="269,54" path="m4431,1813l4163,1813,4163,1835,4163,1845,4163,1867,4431,1867,4431,1845,4431,1835,4431,1813e" filled="true" fillcolor="#ffa7e1" stroked="false">
              <v:path arrowok="t"/>
              <v:fill type="solid"/>
            </v:shape>
            <v:rect style="position:absolute;left:4167;top:1786;width:312;height:33" filled="false" stroked="true" strokeweight=".538122pt" strokecolor="#ffa7e1">
              <v:stroke dashstyle="solid"/>
            </v:rect>
            <v:line style="position:absolute" from="4163,1775" to="4507,1775" stroked="true" strokeweight="1.614385pt" strokecolor="#ffa7e1">
              <v:stroke dashstyle="solid"/>
            </v:line>
            <v:line style="position:absolute" from="4163,1754" to="4539,1754" stroked="true" strokeweight="1.614391pt" strokecolor="#ffa7e1">
              <v:stroke dashstyle="solid"/>
            </v:line>
            <v:shape style="position:absolute;left:4162;top:1710;width:452;height:22" coordorigin="4163,1711" coordsize="452,22" path="m4163,1732l4560,1732m4163,1711l4614,1711e" filled="false" stroked="true" strokeweight="1.614385pt" strokecolor="#ffa7e1">
              <v:path arrowok="t"/>
              <v:stroke dashstyle="solid"/>
            </v:shape>
            <v:rect style="position:absolute;left:4167;top:1667;width:495;height:33" filled="false" stroked="true" strokeweight=".538126pt" strokecolor="#ffa7e1">
              <v:stroke dashstyle="solid"/>
            </v:rect>
            <v:line style="position:absolute" from="4163,1657" to="4700,1657" stroked="true" strokeweight="1.614385pt" strokecolor="#ffa7e1">
              <v:stroke dashstyle="solid"/>
            </v:line>
            <v:line style="position:absolute" from="4163,1635" to="4765,1635" stroked="true" strokeweight="1.614391pt" strokecolor="#ffa7e1">
              <v:stroke dashstyle="solid"/>
            </v:line>
            <v:line style="position:absolute" from="4163,1614" to="4829,1614" stroked="true" strokeweight="1.614385pt" strokecolor="#ffa7e1">
              <v:stroke dashstyle="solid"/>
            </v:line>
            <v:rect style="position:absolute;left:4162;top:1576;width:742;height:33" filled="true" fillcolor="#ffa7e1" stroked="false">
              <v:fill type="solid"/>
            </v:rect>
            <v:line style="position:absolute" from="4163,1571" to="4926,1571" stroked="true" strokeweight="1.614385pt" strokecolor="#ffa7e1">
              <v:stroke dashstyle="solid"/>
            </v:line>
            <v:rect style="position:absolute;left:4167;top:1527;width:807;height:33" filled="false" stroked="true" strokeweight=".538127pt" strokecolor="#ffa7e1">
              <v:stroke dashstyle="solid"/>
            </v:rect>
            <v:rect style="position:absolute;left:4162;top:1500;width:893;height:33" filled="true" fillcolor="#ffa7e1" stroked="false">
              <v:fill type="solid"/>
            </v:rect>
            <v:shape style="position:absolute;left:4162;top:1452;width:968;height:44" coordorigin="4163,1452" coordsize="968,44" path="m4163,1496l5076,1496m4163,1474l5098,1474m4163,1452l5130,1452e" filled="false" stroked="true" strokeweight="1.614385pt" strokecolor="#ffa7e1">
              <v:path arrowok="t"/>
              <v:stroke dashstyle="solid"/>
            </v:shape>
            <v:line style="position:absolute" from="4163,1431" to="5195,1431" stroked="true" strokeweight="1.614391pt" strokecolor="#ffa7e1">
              <v:stroke dashstyle="solid"/>
            </v:line>
            <v:rect style="position:absolute;left:4167;top:1387;width:1033;height:33" filled="false" stroked="true" strokeweight=".538128pt" strokecolor="#ffa7e1">
              <v:stroke dashstyle="solid"/>
            </v:rect>
            <v:shape style="position:absolute;left:4162;top:1355;width:1151;height:22" coordorigin="4163,1356" coordsize="1151,22" path="m4163,1377l5259,1377m4163,1356l5313,1356e" filled="false" stroked="true" strokeweight="1.614385pt" strokecolor="#ffa7e1">
              <v:path arrowok="t"/>
              <v:stroke dashstyle="solid"/>
            </v:shape>
            <v:line style="position:absolute" from="4163,1334" to="5345,1334" stroked="true" strokeweight="1.614391pt" strokecolor="#ffa7e1">
              <v:stroke dashstyle="solid"/>
            </v:line>
            <v:line style="position:absolute" from="4163,1313" to="5442,1313" stroked="true" strokeweight="1.614385pt" strokecolor="#ffa7e1">
              <v:stroke dashstyle="solid"/>
            </v:line>
            <v:line style="position:absolute" from="4163,1291" to="5517,1291" stroked="true" strokeweight="1.614391pt" strokecolor="#ffa7e1">
              <v:stroke dashstyle="solid"/>
            </v:line>
            <v:rect style="position:absolute;left:4167;top:1247;width:1387;height:33" filled="false" stroked="true" strokeweight=".538128pt" strokecolor="#ffa7e1">
              <v:stroke dashstyle="solid"/>
            </v:rect>
            <v:shape style="position:absolute;left:4162;top:1215;width:1441;height:22" coordorigin="4163,1216" coordsize="1441,22" path="m4163,1237l5603,1237m4163,1216l5539,1216e" filled="false" stroked="true" strokeweight="1.614385pt" strokecolor="#ffa7e1">
              <v:path arrowok="t"/>
              <v:stroke dashstyle="solid"/>
            </v:shape>
            <v:line style="position:absolute" from="4163,1194" to="5592,1194" stroked="true" strokeweight="1.614391pt" strokecolor="#ffa7e1">
              <v:stroke dashstyle="solid"/>
            </v:line>
            <v:line style="position:absolute" from="4163,1173" to="5571,1173" stroked="true" strokeweight="1.614385pt" strokecolor="#ffa7e1">
              <v:stroke dashstyle="solid"/>
            </v:line>
            <v:line style="position:absolute" from="4163,1151" to="5539,1151" stroked="true" strokeweight="1.614391pt" strokecolor="#ffa7e1">
              <v:stroke dashstyle="solid"/>
            </v:line>
            <v:rect style="position:absolute;left:4167;top:1108;width:1344;height:33" filled="false" stroked="true" strokeweight=".538128pt" strokecolor="#ffa7e1">
              <v:stroke dashstyle="solid"/>
            </v:rect>
            <v:line style="position:absolute" from="4163,1097" to="5592,1097" stroked="true" strokeweight="1.614391pt" strokecolor="#ffa7e1">
              <v:stroke dashstyle="solid"/>
            </v:line>
            <v:shape style="position:absolute;left:4162;top:1038;width:1516;height:54" coordorigin="4163,1038" coordsize="1516,54" path="m5678,1038l4163,1038,4163,1060,4163,1070,4163,1092,5668,1092,5668,1070,5678,1070,5678,1038e" filled="true" fillcolor="#ffa7e1" stroked="false">
              <v:path arrowok="t"/>
              <v:fill type="solid"/>
            </v:shape>
            <v:line style="position:absolute" from="4163,1033" to="5732,1033" stroked="true" strokeweight="1.614391pt" strokecolor="#ffa7e1">
              <v:stroke dashstyle="solid"/>
            </v:line>
            <v:rect style="position:absolute;left:4167;top:989;width:1559;height:33" filled="false" stroked="true" strokeweight=".538128pt" strokecolor="#ffa7e1">
              <v:stroke dashstyle="solid"/>
            </v:rect>
            <v:line style="position:absolute" from="4163,979" to="5721,979" stroked="true" strokeweight="1.614391pt" strokecolor="#ffa7e1">
              <v:stroke dashstyle="solid"/>
            </v:line>
            <v:line style="position:absolute" from="4163,957" to="5775,957" stroked="true" strokeweight="1.614385pt" strokecolor="#ffa7e1">
              <v:stroke dashstyle="solid"/>
            </v:line>
            <v:shape style="position:absolute;left:4162;top:876;width:1656;height:76" coordorigin="4163,877" coordsize="1656,76" path="m5818,898l5807,898,5807,877,4163,877,4163,952,5807,952,5807,930,5818,930,5818,898e" filled="true" fillcolor="#ffa7e1" stroked="false">
              <v:path arrowok="t"/>
              <v:fill type="solid"/>
            </v:shape>
            <v:rect style="position:absolute;left:4167;top:849;width:1710;height:33" filled="false" stroked="true" strokeweight=".538128pt" strokecolor="#ffa7e1">
              <v:stroke dashstyle="solid"/>
            </v:rect>
            <v:line style="position:absolute" from="4163,839" to="5829,839" stroked="true" strokeweight="1.614391pt" strokecolor="#ffa7e1">
              <v:stroke dashstyle="solid"/>
            </v:line>
            <v:shape style="position:absolute;left:4162;top:795;width:1484;height:22" coordorigin="4163,796" coordsize="1484,22" path="m4163,817l5646,817m4163,796l5076,796e" filled="false" stroked="true" strokeweight="1.614385pt" strokecolor="#ffa7e1">
              <v:path arrowok="t"/>
              <v:stroke dashstyle="solid"/>
            </v:shape>
            <v:shape style="position:absolute;left:4162;top:736;width:850;height:54" coordorigin="4163,737" coordsize="850,54" path="m5012,737l4163,737,4163,758,4163,769,4163,791,5012,791,5012,769,5012,758,5012,737e" filled="true" fillcolor="#ffa7e1" stroked="false">
              <v:path arrowok="t"/>
              <v:fill type="solid"/>
            </v:shape>
            <v:rect style="position:absolute;left:4167;top:709;width:764;height:33" filled="false" stroked="true" strokeweight=".538127pt" strokecolor="#ffa7e1">
              <v:stroke dashstyle="solid"/>
            </v:rect>
            <v:line style="position:absolute" from="4163,699" to="4894,699" stroked="true" strokeweight="1.614385pt" strokecolor="#ffa7e1">
              <v:stroke dashstyle="solid"/>
            </v:line>
            <v:shape style="position:absolute;left:4162;top:612;width:624;height:65" coordorigin="4163,613" coordsize="624,65" path="m4163,678l4786,678m4163,656l4582,656m4163,634l4496,634m4163,613l4442,613e" filled="false" stroked="true" strokeweight="1.614391pt" strokecolor="#ffa7e1">
              <v:path arrowok="t"/>
              <v:stroke dashstyle="solid"/>
            </v:shape>
            <v:rect style="position:absolute;left:4167;top:569;width:194;height:33" filled="false" stroked="true" strokeweight=".538112pt" strokecolor="#ffa7e1">
              <v:stroke dashstyle="solid"/>
            </v:rect>
            <v:line style="position:absolute" from="4163,559" to="4324,559" stroked="true" strokeweight="1.614391pt" strokecolor="#ffa7e1">
              <v:stroke dashstyle="solid"/>
            </v:line>
            <v:shape style="position:absolute;left:333782;top:-40368;width:16283;height:48032" coordorigin="333782,-40368" coordsize="16283,48032" path="m4275,548l4168,548,4168,527,4275,527,4275,548m4275,527l4168,527,4168,505,4275,505,4275,527m4265,505l4168,505,4168,484,4265,484,4265,505m4243,484l4168,484,4168,452,4243,452,4243,484m4232,452l4168,452,4168,430,4232,430,4232,452m4222,430l4168,430,4168,408,4222,408,4222,430m4200,408l4168,408,4168,387,4200,387,4200,408m4200,387l4168,387,4168,365,4200,365,4200,387m4189,365l4168,365,4168,344,4189,344,4189,365m4189,344l4168,344,4168,312,4189,312,4189,344m4179,312l4168,312,4168,290,4179,290,4179,312m4179,290l4168,290,4168,269,4179,269,4179,290m4168,269l4179,269,4179,247,4168,247,4168,269m4168,247l4179,247,4179,231e" filled="false" stroked="true" strokeweight=".537827pt" strokecolor="#ffa7e1">
              <v:path arrowok="t"/>
              <v:stroke dashstyle="solid"/>
            </v:shape>
            <v:line style="position:absolute" from="4163,239" to="4173,239" stroked="true" strokeweight=".807039pt" strokecolor="#ffa7e1">
              <v:stroke dashstyle="solid"/>
            </v:line>
            <v:shape style="position:absolute;left:-515216;top:-272943;width:73603;height:281421" coordorigin="-515216,-272942" coordsize="73603,281421" path="m3071,236l3071,2335m2523,236l2523,2335e" filled="false" stroked="true" strokeweight=".537833pt" strokecolor="#f1f1f1">
              <v:path arrowok="t"/>
              <v:stroke dashstyle="solid"/>
            </v:shape>
            <v:line style="position:absolute" from="6361,2335" to="1964,2335" stroked="true" strokeweight=".53813pt" strokecolor="#bebebe">
              <v:stroke dashstyle="solid"/>
            </v:line>
            <v:shape style="position:absolute;left:-654744;top:474;width:654744;height:8005" coordorigin="-654744,474" coordsize="654744,8005" path="m6361,2335l6361,2389m5813,2335l5813,2389m5265,2335l5265,2389m4716,2335l4716,2389m4168,2335l4168,2389m3620,2335l3620,2389m3071,2335l3071,2389m2523,2335l2523,2389m1964,2335l1964,2389e" filled="false" stroked="true" strokeweight=".53783pt" strokecolor="#bebebe">
              <v:path arrowok="t"/>
              <v:stroke dashstyle="solid"/>
            </v:shape>
            <v:line style="position:absolute" from="1964,2335" to="1964,236" stroked="true" strokeweight=".537527pt" strokecolor="#bebebe">
              <v:stroke dashstyle="solid"/>
            </v:line>
            <v:shape style="position:absolute;left:0;top:8478;width:13369;height:651711" coordorigin="0,8478" coordsize="13369,651711" path="m1921,2335l1964,2335m1921,2109l1964,2109m1921,1872l1964,1872m1921,1635l1964,1635m1921,1399l1964,1399m1921,1173l1964,1173m1921,936l1964,936m1921,699l1964,699m1921,473l1964,473m1921,236l1964,236e" filled="false" stroked="true" strokeweight=".537827pt" strokecolor="#bebebe">
              <v:path arrowok="t"/>
              <v:stroke dashstyle="solid"/>
            </v:shape>
            <w10:wrap type="none"/>
          </v:group>
        </w:pict>
      </w:r>
      <w:r>
        <w:rPr>
          <w:rFonts w:ascii="Calibri"/>
          <w:spacing w:val="-7"/>
          <w:sz w:val="16"/>
        </w:rPr>
        <w:t>90</w:t>
      </w:r>
    </w:p>
    <w:p>
      <w:pPr>
        <w:spacing w:before="39"/>
        <w:ind w:left="0" w:right="328" w:firstLine="0"/>
        <w:jc w:val="right"/>
        <w:rPr>
          <w:rFonts w:ascii="Calibri"/>
          <w:sz w:val="16"/>
        </w:rPr>
      </w:pPr>
      <w:r>
        <w:rPr>
          <w:rFonts w:ascii="Calibri"/>
          <w:spacing w:val="-7"/>
          <w:sz w:val="16"/>
        </w:rPr>
        <w:t>80</w:t>
      </w:r>
    </w:p>
    <w:p>
      <w:pPr>
        <w:spacing w:before="38"/>
        <w:ind w:left="0" w:right="328" w:firstLine="0"/>
        <w:jc w:val="right"/>
        <w:rPr>
          <w:rFonts w:ascii="Calibri"/>
          <w:sz w:val="16"/>
        </w:rPr>
      </w:pPr>
      <w:r>
        <w:rPr>
          <w:rFonts w:ascii="Calibri"/>
          <w:spacing w:val="-7"/>
          <w:sz w:val="16"/>
        </w:rPr>
        <w:t>70</w:t>
      </w:r>
    </w:p>
    <w:p>
      <w:pPr>
        <w:spacing w:before="39"/>
        <w:ind w:left="0" w:right="328" w:firstLine="0"/>
        <w:jc w:val="right"/>
        <w:rPr>
          <w:rFonts w:ascii="Calibri"/>
          <w:sz w:val="16"/>
        </w:rPr>
      </w:pPr>
      <w:r>
        <w:rPr>
          <w:rFonts w:ascii="Calibri"/>
          <w:spacing w:val="-7"/>
          <w:sz w:val="16"/>
        </w:rPr>
        <w:t>60</w:t>
      </w:r>
    </w:p>
    <w:p>
      <w:pPr>
        <w:spacing w:before="38"/>
        <w:ind w:left="0" w:right="328" w:firstLine="0"/>
        <w:jc w:val="right"/>
        <w:rPr>
          <w:rFonts w:ascii="Calibri"/>
          <w:sz w:val="16"/>
        </w:rPr>
      </w:pPr>
      <w:r>
        <w:rPr/>
        <w:pict>
          <v:shape style="position:absolute;margin-left:73.005875pt;margin-top:6.763601pt;width:9pt;height:12.5pt;mso-position-horizontal-relative:page;mso-position-vertical-relative:paragraph;z-index:252321792" type="#_x0000_t202" filled="false" stroked="false">
            <v:textbox inset="0,0,0,0" style="layout-flow:vertical;mso-layout-flow-alt:bottom-to-top">
              <w:txbxContent>
                <w:p>
                  <w:pPr>
                    <w:spacing w:line="162" w:lineRule="exact" w:before="0"/>
                    <w:ind w:left="20" w:right="0" w:firstLine="0"/>
                    <w:jc w:val="left"/>
                    <w:rPr>
                      <w:rFonts w:ascii="Calibri"/>
                      <w:sz w:val="14"/>
                    </w:rPr>
                  </w:pPr>
                  <w:r>
                    <w:rPr>
                      <w:rFonts w:ascii="Calibri"/>
                      <w:color w:val="A6A6A6"/>
                      <w:sz w:val="14"/>
                    </w:rPr>
                    <w:t>Age</w:t>
                  </w:r>
                </w:p>
              </w:txbxContent>
            </v:textbox>
            <w10:wrap type="none"/>
          </v:shape>
        </w:pict>
      </w:r>
      <w:r>
        <w:rPr>
          <w:rFonts w:ascii="Calibri"/>
          <w:spacing w:val="-7"/>
          <w:sz w:val="16"/>
        </w:rPr>
        <w:t>50</w:t>
      </w:r>
    </w:p>
    <w:p>
      <w:pPr>
        <w:spacing w:before="39"/>
        <w:ind w:left="0" w:right="328" w:firstLine="0"/>
        <w:jc w:val="right"/>
        <w:rPr>
          <w:rFonts w:ascii="Calibri"/>
          <w:sz w:val="16"/>
        </w:rPr>
      </w:pPr>
      <w:r>
        <w:rPr>
          <w:rFonts w:ascii="Calibri"/>
          <w:spacing w:val="-7"/>
          <w:sz w:val="16"/>
        </w:rPr>
        <w:t>40</w:t>
      </w:r>
    </w:p>
    <w:p>
      <w:pPr>
        <w:spacing w:before="38"/>
        <w:ind w:left="0" w:right="328" w:firstLine="0"/>
        <w:jc w:val="right"/>
        <w:rPr>
          <w:rFonts w:ascii="Calibri"/>
          <w:sz w:val="16"/>
        </w:rPr>
      </w:pPr>
      <w:r>
        <w:rPr>
          <w:rFonts w:ascii="Calibri"/>
          <w:spacing w:val="-7"/>
          <w:sz w:val="16"/>
        </w:rPr>
        <w:t>30</w:t>
      </w:r>
    </w:p>
    <w:p>
      <w:pPr>
        <w:spacing w:before="39"/>
        <w:ind w:left="0" w:right="328" w:firstLine="0"/>
        <w:jc w:val="right"/>
        <w:rPr>
          <w:rFonts w:ascii="Calibri"/>
          <w:sz w:val="16"/>
        </w:rPr>
      </w:pPr>
      <w:r>
        <w:rPr>
          <w:rFonts w:ascii="Calibri"/>
          <w:spacing w:val="-7"/>
          <w:sz w:val="16"/>
        </w:rPr>
        <w:t>20</w:t>
      </w:r>
    </w:p>
    <w:p>
      <w:pPr>
        <w:spacing w:before="38"/>
        <w:ind w:left="0" w:right="328" w:firstLine="0"/>
        <w:jc w:val="right"/>
        <w:rPr>
          <w:rFonts w:ascii="Calibri"/>
          <w:sz w:val="16"/>
        </w:rPr>
      </w:pPr>
      <w:r>
        <w:rPr>
          <w:rFonts w:ascii="Calibri"/>
          <w:spacing w:val="-7"/>
          <w:sz w:val="16"/>
        </w:rPr>
        <w:t>10</w:t>
      </w:r>
    </w:p>
    <w:p>
      <w:pPr>
        <w:spacing w:before="39"/>
        <w:ind w:left="0" w:right="317" w:firstLine="0"/>
        <w:jc w:val="right"/>
        <w:rPr>
          <w:rFonts w:ascii="Calibri"/>
          <w:sz w:val="16"/>
        </w:rPr>
      </w:pPr>
      <w:r>
        <w:rPr>
          <w:rFonts w:ascii="Calibri"/>
          <w:w w:val="100"/>
          <w:sz w:val="16"/>
        </w:rPr>
        <w:t>0</w:t>
      </w:r>
    </w:p>
    <w:p>
      <w:pPr>
        <w:spacing w:before="10"/>
        <w:ind w:left="0" w:right="0" w:firstLine="0"/>
        <w:jc w:val="right"/>
        <w:rPr>
          <w:rFonts w:ascii="Calibri"/>
          <w:sz w:val="16"/>
        </w:rPr>
      </w:pPr>
      <w:r>
        <w:rPr>
          <w:rFonts w:ascii="Calibri"/>
          <w:sz w:val="16"/>
        </w:rPr>
        <w:t>8,000</w:t>
      </w:r>
    </w:p>
    <w:p>
      <w:pPr>
        <w:pStyle w:val="BodyText"/>
        <w:rPr>
          <w:rFonts w:ascii="Calibri"/>
          <w:sz w:val="16"/>
        </w:rPr>
      </w:pPr>
      <w:r>
        <w:rPr/>
        <w:br w:type="column"/>
      </w:r>
      <w:r>
        <w:rPr>
          <w:rFonts w:ascii="Calibri"/>
          <w:sz w:val="16"/>
        </w:rPr>
      </w: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spacing w:before="9"/>
        <w:rPr>
          <w:rFonts w:ascii="Calibri"/>
          <w:sz w:val="23"/>
        </w:rPr>
      </w:pPr>
    </w:p>
    <w:p>
      <w:pPr>
        <w:spacing w:before="0"/>
        <w:ind w:left="154" w:right="0" w:firstLine="0"/>
        <w:jc w:val="left"/>
        <w:rPr>
          <w:rFonts w:ascii="Calibri"/>
          <w:sz w:val="16"/>
        </w:rPr>
      </w:pPr>
      <w:r>
        <w:rPr>
          <w:rFonts w:ascii="Calibri"/>
          <w:spacing w:val="-3"/>
          <w:sz w:val="16"/>
        </w:rPr>
        <w:t>6,000</w:t>
      </w:r>
    </w:p>
    <w:p>
      <w:pPr>
        <w:pStyle w:val="BodyText"/>
        <w:rPr>
          <w:rFonts w:ascii="Calibri"/>
          <w:sz w:val="16"/>
        </w:rPr>
      </w:pPr>
      <w:r>
        <w:rPr/>
        <w:br w:type="column"/>
      </w:r>
      <w:r>
        <w:rPr>
          <w:rFonts w:ascii="Calibri"/>
          <w:sz w:val="16"/>
        </w:rPr>
      </w: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spacing w:before="9"/>
        <w:rPr>
          <w:rFonts w:ascii="Calibri"/>
          <w:sz w:val="23"/>
        </w:rPr>
      </w:pPr>
    </w:p>
    <w:p>
      <w:pPr>
        <w:spacing w:before="0"/>
        <w:ind w:left="154" w:right="0" w:firstLine="0"/>
        <w:jc w:val="left"/>
        <w:rPr>
          <w:rFonts w:ascii="Calibri"/>
          <w:sz w:val="16"/>
        </w:rPr>
      </w:pPr>
      <w:r>
        <w:rPr>
          <w:rFonts w:ascii="Calibri"/>
          <w:spacing w:val="-3"/>
          <w:sz w:val="16"/>
        </w:rPr>
        <w:t>4,000</w:t>
      </w:r>
    </w:p>
    <w:p>
      <w:pPr>
        <w:pStyle w:val="BodyText"/>
        <w:rPr>
          <w:rFonts w:ascii="Calibri"/>
          <w:sz w:val="16"/>
        </w:rPr>
      </w:pPr>
      <w:r>
        <w:rPr/>
        <w:br w:type="column"/>
      </w:r>
      <w:r>
        <w:rPr>
          <w:rFonts w:ascii="Calibri"/>
          <w:sz w:val="16"/>
        </w:rPr>
      </w: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spacing w:before="9"/>
        <w:rPr>
          <w:rFonts w:ascii="Calibri"/>
          <w:sz w:val="23"/>
        </w:rPr>
      </w:pPr>
    </w:p>
    <w:p>
      <w:pPr>
        <w:spacing w:before="0"/>
        <w:ind w:left="154" w:right="0" w:firstLine="0"/>
        <w:jc w:val="left"/>
        <w:rPr>
          <w:rFonts w:ascii="Calibri"/>
          <w:sz w:val="16"/>
        </w:rPr>
      </w:pPr>
      <w:r>
        <w:rPr>
          <w:rFonts w:ascii="Calibri"/>
          <w:spacing w:val="-3"/>
          <w:sz w:val="16"/>
        </w:rPr>
        <w:t>2,000</w:t>
      </w:r>
    </w:p>
    <w:p>
      <w:pPr>
        <w:pStyle w:val="BodyText"/>
        <w:rPr>
          <w:rFonts w:ascii="Calibri"/>
          <w:sz w:val="16"/>
        </w:rPr>
      </w:pPr>
      <w:r>
        <w:rPr/>
        <w:br w:type="column"/>
      </w:r>
      <w:r>
        <w:rPr>
          <w:rFonts w:ascii="Calibri"/>
          <w:sz w:val="16"/>
        </w:rPr>
      </w: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spacing w:before="9"/>
        <w:rPr>
          <w:rFonts w:ascii="Calibri"/>
          <w:sz w:val="23"/>
        </w:rPr>
      </w:pPr>
    </w:p>
    <w:p>
      <w:pPr>
        <w:tabs>
          <w:tab w:pos="703" w:val="left" w:leader="none"/>
        </w:tabs>
        <w:spacing w:before="0"/>
        <w:ind w:left="294" w:right="0" w:firstLine="0"/>
        <w:jc w:val="left"/>
        <w:rPr>
          <w:rFonts w:ascii="Calibri"/>
          <w:sz w:val="16"/>
        </w:rPr>
      </w:pPr>
      <w:r>
        <w:rPr>
          <w:rFonts w:ascii="Calibri"/>
          <w:sz w:val="16"/>
        </w:rPr>
        <w:t>0</w:t>
        <w:tab/>
      </w:r>
      <w:r>
        <w:rPr>
          <w:rFonts w:ascii="Calibri"/>
          <w:spacing w:val="-7"/>
          <w:sz w:val="16"/>
        </w:rPr>
        <w:t>2,000</w:t>
      </w:r>
    </w:p>
    <w:p>
      <w:pPr>
        <w:pStyle w:val="BodyText"/>
        <w:rPr>
          <w:rFonts w:ascii="Calibri"/>
          <w:sz w:val="16"/>
        </w:rPr>
      </w:pPr>
      <w:r>
        <w:rPr/>
        <w:br w:type="column"/>
      </w:r>
      <w:r>
        <w:rPr>
          <w:rFonts w:ascii="Calibri"/>
          <w:sz w:val="16"/>
        </w:rPr>
      </w: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spacing w:before="9"/>
        <w:rPr>
          <w:rFonts w:ascii="Calibri"/>
          <w:sz w:val="23"/>
        </w:rPr>
      </w:pPr>
    </w:p>
    <w:p>
      <w:pPr>
        <w:spacing w:before="0"/>
        <w:ind w:left="154" w:right="0" w:firstLine="0"/>
        <w:jc w:val="left"/>
        <w:rPr>
          <w:rFonts w:ascii="Calibri"/>
          <w:sz w:val="16"/>
        </w:rPr>
      </w:pPr>
      <w:r>
        <w:rPr>
          <w:rFonts w:ascii="Calibri"/>
          <w:spacing w:val="-3"/>
          <w:sz w:val="16"/>
        </w:rPr>
        <w:t>4,000</w:t>
      </w:r>
    </w:p>
    <w:p>
      <w:pPr>
        <w:pStyle w:val="BodyText"/>
        <w:rPr>
          <w:rFonts w:ascii="Calibri"/>
          <w:sz w:val="16"/>
        </w:rPr>
      </w:pPr>
      <w:r>
        <w:rPr/>
        <w:br w:type="column"/>
      </w:r>
      <w:r>
        <w:rPr>
          <w:rFonts w:ascii="Calibri"/>
          <w:sz w:val="16"/>
        </w:rPr>
      </w: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spacing w:before="9"/>
        <w:rPr>
          <w:rFonts w:ascii="Calibri"/>
          <w:sz w:val="23"/>
        </w:rPr>
      </w:pPr>
    </w:p>
    <w:p>
      <w:pPr>
        <w:spacing w:before="0"/>
        <w:ind w:left="154" w:right="0" w:firstLine="0"/>
        <w:jc w:val="left"/>
        <w:rPr>
          <w:rFonts w:ascii="Calibri"/>
          <w:sz w:val="16"/>
        </w:rPr>
      </w:pPr>
      <w:r>
        <w:rPr>
          <w:rFonts w:ascii="Calibri"/>
          <w:spacing w:val="-3"/>
          <w:sz w:val="16"/>
        </w:rPr>
        <w:t>6,000</w:t>
      </w:r>
    </w:p>
    <w:p>
      <w:pPr>
        <w:pStyle w:val="BodyText"/>
        <w:rPr>
          <w:rFonts w:ascii="Calibri"/>
          <w:sz w:val="16"/>
        </w:rPr>
      </w:pPr>
      <w:r>
        <w:rPr/>
        <w:br w:type="column"/>
      </w:r>
      <w:r>
        <w:rPr>
          <w:rFonts w:ascii="Calibri"/>
          <w:sz w:val="16"/>
        </w:rPr>
      </w: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spacing w:before="9"/>
        <w:rPr>
          <w:rFonts w:ascii="Calibri"/>
          <w:sz w:val="23"/>
        </w:rPr>
      </w:pPr>
    </w:p>
    <w:p>
      <w:pPr>
        <w:spacing w:before="0"/>
        <w:ind w:left="154" w:right="0" w:firstLine="0"/>
        <w:jc w:val="left"/>
        <w:rPr>
          <w:rFonts w:ascii="Calibri"/>
          <w:sz w:val="16"/>
        </w:rPr>
      </w:pPr>
      <w:r>
        <w:rPr>
          <w:rFonts w:ascii="Calibri"/>
          <w:sz w:val="16"/>
        </w:rPr>
        <w:t>8,000</w:t>
      </w:r>
    </w:p>
    <w:p>
      <w:pPr>
        <w:spacing w:after="0"/>
        <w:jc w:val="left"/>
        <w:rPr>
          <w:rFonts w:ascii="Calibri"/>
          <w:sz w:val="16"/>
        </w:rPr>
        <w:sectPr>
          <w:type w:val="continuous"/>
          <w:pgSz w:w="11910" w:h="16850"/>
          <w:pgMar w:top="1600" w:bottom="280" w:left="120" w:right="0"/>
          <w:cols w:num="8" w:equalWidth="0">
            <w:col w:w="2025" w:space="40"/>
            <w:col w:w="510" w:space="39"/>
            <w:col w:w="510" w:space="40"/>
            <w:col w:w="510" w:space="39"/>
            <w:col w:w="1059" w:space="39"/>
            <w:col w:w="510" w:space="40"/>
            <w:col w:w="510" w:space="39"/>
            <w:col w:w="5880"/>
          </w:cols>
        </w:sectPr>
      </w:pPr>
    </w:p>
    <w:p>
      <w:pPr>
        <w:spacing w:before="89"/>
        <w:ind w:left="3422" w:right="0" w:firstLine="0"/>
        <w:jc w:val="left"/>
        <w:rPr>
          <w:rFonts w:ascii="Calibri"/>
          <w:sz w:val="16"/>
        </w:rPr>
      </w:pPr>
      <w:r>
        <w:rPr>
          <w:rFonts w:ascii="Calibri"/>
          <w:color w:val="A6A6A6"/>
          <w:sz w:val="16"/>
        </w:rPr>
        <w:t>Number of People</w:t>
      </w:r>
    </w:p>
    <w:p>
      <w:pPr>
        <w:pStyle w:val="BodyText"/>
        <w:spacing w:before="8"/>
        <w:rPr>
          <w:rFonts w:ascii="Calibri"/>
        </w:rPr>
      </w:pPr>
    </w:p>
    <w:p>
      <w:pPr>
        <w:pStyle w:val="BodyText"/>
        <w:spacing w:before="93"/>
        <w:ind w:left="900" w:right="1098"/>
      </w:pPr>
      <w:r>
        <w:rPr>
          <w:color w:val="404040"/>
        </w:rPr>
        <w:t>This class included significantly more women than men. The numbers in the class increase by age up to pension age and then reduce as most retire; however there are material numbers of people in the Carers class who are above retirement age.</w:t>
      </w:r>
    </w:p>
    <w:p>
      <w:pPr>
        <w:pStyle w:val="BodyText"/>
        <w:spacing w:before="9"/>
      </w:pPr>
    </w:p>
    <w:p>
      <w:pPr>
        <w:pStyle w:val="Heading6"/>
        <w:rPr>
          <w:i/>
        </w:rPr>
      </w:pPr>
      <w:r>
        <w:rPr>
          <w:i/>
          <w:color w:val="DF2F1E"/>
        </w:rPr>
        <w:t>Movements into and out of this class</w:t>
      </w:r>
    </w:p>
    <w:p>
      <w:pPr>
        <w:pStyle w:val="BodyText"/>
        <w:spacing w:before="121"/>
        <w:ind w:left="899" w:right="1231"/>
      </w:pPr>
      <w:r>
        <w:rPr>
          <w:color w:val="404040"/>
        </w:rPr>
        <w:t>Over the last three years, an average of 41,000 people (around 14% of the people in this class) per annum enter this class from another welfare class or from outside the welfare system. Over this same period, an average of 32,900 people (around 11% of people in this class) per annum have transitioned out of the Carers class.</w:t>
      </w:r>
    </w:p>
    <w:p>
      <w:pPr>
        <w:pStyle w:val="BodyText"/>
        <w:spacing w:before="122"/>
        <w:ind w:left="899" w:right="1688"/>
      </w:pPr>
      <w:r>
        <w:rPr>
          <w:color w:val="404040"/>
        </w:rPr>
        <w:t>The following chart shows the breakdown of these transitions by previous / destination class and year of transition.</w:t>
      </w:r>
    </w:p>
    <w:p>
      <w:pPr>
        <w:spacing w:after="0"/>
        <w:sectPr>
          <w:type w:val="continuous"/>
          <w:pgSz w:w="11910" w:h="16850"/>
          <w:pgMar w:top="1600" w:bottom="280" w:left="120" w:right="0"/>
        </w:sectPr>
      </w:pPr>
    </w:p>
    <w:p>
      <w:pPr>
        <w:pStyle w:val="BodyText"/>
      </w:pPr>
    </w:p>
    <w:p>
      <w:pPr>
        <w:pStyle w:val="BodyText"/>
      </w:pPr>
    </w:p>
    <w:p>
      <w:pPr>
        <w:pStyle w:val="BodyText"/>
        <w:spacing w:before="5"/>
        <w:rPr>
          <w:sz w:val="21"/>
        </w:rPr>
      </w:pPr>
    </w:p>
    <w:p>
      <w:pPr>
        <w:pStyle w:val="Heading9"/>
      </w:pPr>
      <w:r>
        <w:rPr>
          <w:color w:val="DF2F1E"/>
        </w:rPr>
        <w:t>Figure 61: Number of people entering class 4 – Carers (by class entered from)</w:t>
      </w:r>
    </w:p>
    <w:p>
      <w:pPr>
        <w:spacing w:before="62"/>
        <w:ind w:left="0" w:right="10082" w:firstLine="0"/>
        <w:jc w:val="right"/>
        <w:rPr>
          <w:rFonts w:ascii="Calibri"/>
          <w:sz w:val="16"/>
        </w:rPr>
      </w:pPr>
      <w:r>
        <w:rPr/>
        <w:pict>
          <v:group style="position:absolute;margin-left:98.294128pt;margin-top:8.110508pt;width:412.55pt;height:144.050pt;mso-position-horizontal-relative:page;mso-position-vertical-relative:paragraph;z-index:252334080" coordorigin="1966,162" coordsize="8251,2881">
            <v:shape style="position:absolute;left:1971;top:1735;width:8240;height:448" coordorigin="1972,1735" coordsize="8240,448" path="m9963,2183l10211,2183m9138,2183l9633,2183m8313,2183l8808,2183m7488,2183l7983,2183m6663,2183l7158,2183m5838,2183l6333,2183m5025,2183l5520,2183m4200,2183l4695,2183m3374,2183l3870,2183m2549,2183l3044,2183m1972,2183l2219,2183m2549,1959l3044,1959m1972,1959l2219,1959m2549,1735l3044,1735m1972,1735l2219,1735e" filled="false" stroked="true" strokeweight=".589101pt" strokecolor="#d9d9d9">
              <v:path arrowok="t"/>
              <v:stroke dashstyle="solid"/>
            </v:shape>
            <v:rect style="position:absolute;left:2219;top:2359;width:331;height:48" filled="true" fillcolor="#1f487c" stroked="false">
              <v:fill type="solid"/>
            </v:rect>
            <v:rect style="position:absolute;left:2219;top:1664;width:331;height:696" filled="true" fillcolor="#009544" stroked="false">
              <v:fill type="solid"/>
            </v:rect>
            <v:shape style="position:absolute;left:3374;top:1735;width:496;height:224" coordorigin="3374,1735" coordsize="496,224" path="m3374,1959l3870,1959m3374,1735l3870,1735e" filled="false" stroked="true" strokeweight=".589101pt" strokecolor="#d9d9d9">
              <v:path arrowok="t"/>
              <v:stroke dashstyle="solid"/>
            </v:shape>
            <v:rect style="position:absolute;left:3044;top:2359;width:331;height:48" filled="true" fillcolor="#1f487c" stroked="false">
              <v:fill type="solid"/>
            </v:rect>
            <v:rect style="position:absolute;left:3044;top:1664;width:331;height:696" filled="true" fillcolor="#009544" stroked="false">
              <v:fill type="solid"/>
            </v:rect>
            <v:shape style="position:absolute;left:4199;top:1735;width:496;height:224" coordorigin="4200,1735" coordsize="496,224" path="m4200,1959l4695,1959m4200,1735l4695,1735e" filled="false" stroked="true" strokeweight=".589101pt" strokecolor="#d9d9d9">
              <v:path arrowok="t"/>
              <v:stroke dashstyle="solid"/>
            </v:shape>
            <v:rect style="position:absolute;left:3869;top:2371;width:331;height:36" filled="true" fillcolor="#1f487c" stroked="false">
              <v:fill type="solid"/>
            </v:rect>
            <v:rect style="position:absolute;left:3869;top:1652;width:331;height:719" filled="true" fillcolor="#009544" stroked="false">
              <v:fill type="solid"/>
            </v:rect>
            <v:shape style="position:absolute;left:5024;top:1735;width:496;height:224" coordorigin="5025,1735" coordsize="496,224" path="m5025,1959l5520,1959m5025,1735l5520,1735e" filled="false" stroked="true" strokeweight=".589101pt" strokecolor="#d9d9d9">
              <v:path arrowok="t"/>
              <v:stroke dashstyle="solid"/>
            </v:shape>
            <v:rect style="position:absolute;left:4694;top:2371;width:331;height:36" filled="true" fillcolor="#1f487c" stroked="false">
              <v:fill type="solid"/>
            </v:rect>
            <v:rect style="position:absolute;left:4694;top:1688;width:331;height:684" filled="true" fillcolor="#009544" stroked="false">
              <v:fill type="solid"/>
            </v:rect>
            <v:shape style="position:absolute;left:5837;top:1735;width:496;height:224" coordorigin="5838,1735" coordsize="496,224" path="m5838,1959l6333,1959m5838,1735l6333,1735e" filled="false" stroked="true" strokeweight=".589101pt" strokecolor="#d9d9d9">
              <v:path arrowok="t"/>
              <v:stroke dashstyle="solid"/>
            </v:shape>
            <v:rect style="position:absolute;left:5519;top:2371;width:319;height:36" filled="true" fillcolor="#1f487c" stroked="false">
              <v:fill type="solid"/>
            </v:rect>
            <v:rect style="position:absolute;left:5519;top:1711;width:319;height:660" filled="true" fillcolor="#009544" stroked="false">
              <v:fill type="solid"/>
            </v:rect>
            <v:shape style="position:absolute;left:6663;top:1735;width:496;height:224" coordorigin="6663,1735" coordsize="496,224" path="m6663,1959l7158,1959m6663,1735l7158,1735e" filled="false" stroked="true" strokeweight=".589101pt" strokecolor="#d9d9d9">
              <v:path arrowok="t"/>
              <v:stroke dashstyle="solid"/>
            </v:shape>
            <v:rect style="position:absolute;left:6333;top:2371;width:331;height:36" filled="true" fillcolor="#1f487c" stroked="false">
              <v:fill type="solid"/>
            </v:rect>
            <v:rect style="position:absolute;left:6333;top:1593;width:331;height:778" filled="true" fillcolor="#009544" stroked="false">
              <v:fill type="solid"/>
            </v:rect>
            <v:shape style="position:absolute;left:7488;top:1735;width:496;height:224" coordorigin="7488,1735" coordsize="496,224" path="m7488,1959l7983,1959m7488,1735l7983,1735e" filled="false" stroked="true" strokeweight=".589101pt" strokecolor="#d9d9d9">
              <v:path arrowok="t"/>
              <v:stroke dashstyle="solid"/>
            </v:shape>
            <v:rect style="position:absolute;left:7158;top:2371;width:331;height:36" filled="true" fillcolor="#1f487c" stroked="false">
              <v:fill type="solid"/>
            </v:rect>
            <v:rect style="position:absolute;left:7158;top:1688;width:331;height:684" filled="true" fillcolor="#009544" stroked="false">
              <v:fill type="solid"/>
            </v:rect>
            <v:shape style="position:absolute;left:8313;top:1735;width:496;height:224" coordorigin="8313,1735" coordsize="496,224" path="m8313,1959l8808,1959m8313,1735l8808,1735e" filled="false" stroked="true" strokeweight=".589101pt" strokecolor="#d9d9d9">
              <v:path arrowok="t"/>
              <v:stroke dashstyle="solid"/>
            </v:shape>
            <v:rect style="position:absolute;left:7983;top:2371;width:331;height:36" filled="true" fillcolor="#1f487c" stroked="false">
              <v:fill type="solid"/>
            </v:rect>
            <v:rect style="position:absolute;left:7983;top:1664;width:331;height:707" filled="true" fillcolor="#009544" stroked="false">
              <v:fill type="solid"/>
            </v:rect>
            <v:shape style="position:absolute;left:9138;top:1735;width:496;height:224" coordorigin="9138,1735" coordsize="496,224" path="m9138,1959l9633,1959m9138,1735l9633,1735e" filled="false" stroked="true" strokeweight=".589101pt" strokecolor="#d9d9d9">
              <v:path arrowok="t"/>
              <v:stroke dashstyle="solid"/>
            </v:shape>
            <v:rect style="position:absolute;left:8808;top:2371;width:331;height:36" filled="true" fillcolor="#1f487c" stroked="false">
              <v:fill type="solid"/>
            </v:rect>
            <v:rect style="position:absolute;left:8808;top:1640;width:331;height:731" filled="true" fillcolor="#009544" stroked="false">
              <v:fill type="solid"/>
            </v:rect>
            <v:shape style="position:absolute;left:9963;top:1735;width:248;height:224" coordorigin="9963,1735" coordsize="248,224" path="m9963,1959l10211,1959m9963,1735l10211,1735e" filled="false" stroked="true" strokeweight=".589101pt" strokecolor="#d9d9d9">
              <v:path arrowok="t"/>
              <v:stroke dashstyle="solid"/>
            </v:shape>
            <v:rect style="position:absolute;left:9633;top:2383;width:331;height:24" filled="true" fillcolor="#1f487c" stroked="false">
              <v:fill type="solid"/>
            </v:rect>
            <v:rect style="position:absolute;left:9633;top:1640;width:331;height:743" filled="true" fillcolor="#009544" stroked="false">
              <v:fill type="solid"/>
            </v:rect>
            <v:shape style="position:absolute;left:1971;top:1511;width:1073;height:2" coordorigin="1972,1511" coordsize="1073,0" path="m2549,1511l3044,1511m1972,1511l2219,1511e" filled="false" stroked="true" strokeweight=".589101pt" strokecolor="#d9d9d9">
              <v:path arrowok="t"/>
              <v:stroke dashstyle="solid"/>
            </v:shape>
            <v:rect style="position:absolute;left:2219;top:1393;width:331;height:271" filled="true" fillcolor="#e16b09" stroked="false">
              <v:fill type="solid"/>
            </v:rect>
            <v:line style="position:absolute" from="3374,1511" to="3870,1511" stroked="true" strokeweight=".589101pt" strokecolor="#d9d9d9">
              <v:stroke dashstyle="solid"/>
            </v:line>
            <v:rect style="position:absolute;left:3044;top:1417;width:331;height:248" filled="true" fillcolor="#e16b09" stroked="false">
              <v:fill type="solid"/>
            </v:rect>
            <v:line style="position:absolute" from="4200,1511" to="4695,1511" stroked="true" strokeweight=".589101pt" strokecolor="#d9d9d9">
              <v:stroke dashstyle="solid"/>
            </v:line>
            <v:rect style="position:absolute;left:3869;top:1393;width:331;height:260" filled="true" fillcolor="#e16b09" stroked="false">
              <v:fill type="solid"/>
            </v:rect>
            <v:line style="position:absolute" from="5025,1511" to="5520,1511" stroked="true" strokeweight=".589101pt" strokecolor="#d9d9d9">
              <v:stroke dashstyle="solid"/>
            </v:line>
            <v:rect style="position:absolute;left:4694;top:1428;width:331;height:260" filled="true" fillcolor="#e16b09" stroked="false">
              <v:fill type="solid"/>
            </v:rect>
            <v:line style="position:absolute" from="5838,1511" to="6333,1511" stroked="true" strokeweight=".589101pt" strokecolor="#d9d9d9">
              <v:stroke dashstyle="solid"/>
            </v:line>
            <v:rect style="position:absolute;left:5519;top:1464;width:319;height:248" filled="true" fillcolor="#e16b09" stroked="false">
              <v:fill type="solid"/>
            </v:rect>
            <v:shape style="position:absolute;left:5837;top:1287;width:1321;height:224" coordorigin="5838,1287" coordsize="1321,224" path="m6663,1511l7158,1511m5838,1287l7158,1287e" filled="false" stroked="true" strokeweight=".589101pt" strokecolor="#d9d9d9">
              <v:path arrowok="t"/>
              <v:stroke dashstyle="solid"/>
            </v:shape>
            <v:rect style="position:absolute;left:6333;top:1346;width:331;height:248" filled="true" fillcolor="#e16b09" stroked="false">
              <v:fill type="solid"/>
            </v:rect>
            <v:line style="position:absolute" from="7488,1511" to="7983,1511" stroked="true" strokeweight=".589101pt" strokecolor="#d9d9d9">
              <v:stroke dashstyle="solid"/>
            </v:line>
            <v:rect style="position:absolute;left:7158;top:1440;width:331;height:248" filled="true" fillcolor="#e16b09" stroked="false">
              <v:fill type="solid"/>
            </v:rect>
            <v:line style="position:absolute" from="8313,1511" to="8808,1511" stroked="true" strokeweight=".589101pt" strokecolor="#d9d9d9">
              <v:stroke dashstyle="solid"/>
            </v:line>
            <v:rect style="position:absolute;left:7983;top:1440;width:331;height:224" filled="true" fillcolor="#e16b09" stroked="false">
              <v:fill type="solid"/>
            </v:rect>
            <v:line style="position:absolute" from="9138,1511" to="9633,1511" stroked="true" strokeweight=".589101pt" strokecolor="#d9d9d9">
              <v:stroke dashstyle="solid"/>
            </v:line>
            <v:rect style="position:absolute;left:8808;top:1417;width:331;height:224" filled="true" fillcolor="#e16b09" stroked="false">
              <v:fill type="solid"/>
            </v:rect>
            <v:line style="position:absolute" from="9963,1511" to="10211,1511" stroked="true" strokeweight=".589101pt" strokecolor="#d9d9d9">
              <v:stroke dashstyle="solid"/>
            </v:line>
            <v:rect style="position:absolute;left:9633;top:1417;width:331;height:224" filled="true" fillcolor="#e16b09" stroked="false">
              <v:fill type="solid"/>
            </v:rect>
            <v:line style="position:absolute" from="2219,1388" to="2549,1388" stroked="true" strokeweight=".589107pt" strokecolor="#8063a1">
              <v:stroke dashstyle="solid"/>
            </v:line>
            <v:line style="position:absolute" from="3044,1411" to="3374,1411" stroked="true" strokeweight=".589107pt" strokecolor="#8063a1">
              <v:stroke dashstyle="solid"/>
            </v:line>
            <v:shape style="position:absolute;left:3869;top:1387;width:1156;height:36" coordorigin="3869,1388" coordsize="1156,36" path="m3869,1388l4200,1388m4695,1423l5025,1423e" filled="false" stroked="true" strokeweight=".589107pt" strokecolor="#8063a1">
              <v:path arrowok="t"/>
              <v:stroke dashstyle="solid"/>
            </v:shape>
            <v:shape style="position:absolute;left:5519;top:1340;width:4444;height:118" coordorigin="5520,1340" coordsize="4444,118" path="m5520,1458l5838,1458m6333,1340l6663,1340m7158,1435l7488,1435m7983,1435l8313,1435m8808,1411l9138,1411m9633,1411l9963,1411e" filled="false" stroked="true" strokeweight=".589107pt" strokecolor="#8063a1">
              <v:path arrowok="t"/>
              <v:stroke dashstyle="solid"/>
            </v:shape>
            <v:shape style="position:absolute;left:1971;top:1287;width:1073;height:2" coordorigin="1972,1287" coordsize="1073,0" path="m2549,1287l3044,1287m1972,1287l2219,1287e" filled="false" stroked="true" strokeweight=".589101pt" strokecolor="#d9d9d9">
              <v:path arrowok="t"/>
              <v:stroke dashstyle="solid"/>
            </v:shape>
            <v:rect style="position:absolute;left:2219;top:1299;width:331;height:83" filled="true" fillcolor="#c0504d" stroked="false">
              <v:fill type="solid"/>
            </v:rect>
            <v:line style="position:absolute" from="3374,1287" to="5520,1287" stroked="true" strokeweight=".589101pt" strokecolor="#d9d9d9">
              <v:stroke dashstyle="solid"/>
            </v:line>
            <v:shape style="position:absolute;left:3044;top:1275;width:5269;height:177" coordorigin="3044,1276" coordsize="5269,177" path="m3374,1335l3044,1335,3044,1405,3374,1405,3374,1335m4200,1299l3869,1299,3869,1382,4200,1382,4200,1299m5025,1346l4695,1346,4695,1417,5025,1417,5025,1346m5838,1393l5520,1393,5520,1452,5838,1452,5838,1393m6663,1276l6333,1276,6333,1335,6663,1335,6663,1276m7488,1370l7158,1370,7158,1429,7488,1429,7488,1370m8313,1370l7983,1370,7983,1429,8313,1429,8313,1370e" filled="true" fillcolor="#c0504d" stroked="false">
              <v:path arrowok="t"/>
              <v:fill type="solid"/>
            </v:shape>
            <v:line style="position:absolute" from="8313,1287" to="10211,1287" stroked="true" strokeweight=".589101pt" strokecolor="#d9d9d9">
              <v:stroke dashstyle="solid"/>
            </v:line>
            <v:shape style="position:absolute;left:8808;top:1346;width:1156;height:71" coordorigin="8808,1346" coordsize="1156,71" path="m9138,1358l8808,1358,8808,1417,9138,1417,9138,1358m9963,1346l9633,1346,9633,1405,9963,1405,9963,1346e" filled="true" fillcolor="#c0504d" stroked="false">
              <v:path arrowok="t"/>
              <v:fill type="solid"/>
            </v:shape>
            <v:shape style="position:absolute;left:2219;top:1204;width:4444;height:189" coordorigin="2219,1205" coordsize="4444,189" path="m2549,1217l2219,1217,2219,1299,2549,1299,2549,1217m3374,1240l3044,1240,3044,1335,3374,1335,3374,1240m4200,1229l3869,1229,3869,1299,4200,1299,4200,1229m5025,1276l4695,1276,4695,1346,5025,1346,5025,1276m5838,1323l5520,1323,5520,1393,5838,1393,5838,1323m6663,1205l6333,1205,6333,1276,6663,1276,6663,1205e" filled="true" fillcolor="#f8a763" stroked="false">
              <v:path arrowok="t"/>
              <v:fill type="solid"/>
            </v:shape>
            <v:line style="position:absolute" from="7488,1287" to="7983,1287" stroked="true" strokeweight=".589101pt" strokecolor="#d9d9d9">
              <v:stroke dashstyle="solid"/>
            </v:line>
            <v:shape style="position:absolute;left:7158;top:1275;width:2806;height:95" coordorigin="7158,1276" coordsize="2806,95" path="m7488,1299l7158,1299,7158,1370,7488,1370,7488,1299m8313,1299l7983,1299,7983,1370,8313,1370,8313,1299m9138,1287l8808,1287,8808,1358,9138,1358,9138,1287m9963,1276l9633,1276,9633,1346,9963,1346,9963,1276e" filled="true" fillcolor="#f8a763" stroked="false">
              <v:path arrowok="t"/>
              <v:fill type="solid"/>
            </v:shape>
            <v:shape style="position:absolute;left:1971;top:1063;width:1073;height:2" coordorigin="1972,1064" coordsize="1073,0" path="m2549,1064l3044,1064m1972,1064l2219,1064e" filled="false" stroked="true" strokeweight=".589101pt" strokecolor="#d9d9d9">
              <v:path arrowok="t"/>
              <v:stroke dashstyle="solid"/>
            </v:shape>
            <v:rect style="position:absolute;left:2219;top:969;width:331;height:248" filled="true" fillcolor="#ecb8e7" stroked="false">
              <v:fill type="solid"/>
            </v:rect>
            <v:line style="position:absolute" from="3374,1064" to="3869,1064" stroked="true" strokeweight=".589101pt" strokecolor="#d9d9d9">
              <v:stroke dashstyle="solid"/>
            </v:line>
            <v:rect style="position:absolute;left:3044;top:1016;width:331;height:224" filled="true" fillcolor="#ecb8e7" stroked="false">
              <v:fill type="solid"/>
            </v:rect>
            <v:line style="position:absolute" from="4200,1064" to="5520,1064" stroked="true" strokeweight=".589101pt" strokecolor="#d9d9d9">
              <v:stroke dashstyle="solid"/>
            </v:line>
            <v:shape style="position:absolute;left:3869;top:1004;width:1969;height:319" coordorigin="3869,1005" coordsize="1969,319" path="m4200,1005l3869,1005,3869,1229,4200,1229,4200,1005m5025,1075l4695,1075,4695,1276,5025,1276,5025,1075m5838,1146l5520,1146,5520,1323,5838,1323,5838,1146e" filled="true" fillcolor="#ecb8e7" stroked="false">
              <v:path arrowok="t"/>
              <v:fill type="solid"/>
            </v:shape>
            <v:shape style="position:absolute;left:5837;top:1063;width:1321;height:2" coordorigin="5838,1064" coordsize="1321,0" path="m6663,1064l7158,1064m5838,1064l6333,1064e" filled="false" stroked="true" strokeweight=".589101pt" strokecolor="#d9d9d9">
              <v:path arrowok="t"/>
              <v:stroke dashstyle="solid"/>
            </v:shape>
            <v:rect style="position:absolute;left:6333;top:992;width:331;height:213" filled="true" fillcolor="#ecb8e7" stroked="false">
              <v:fill type="solid"/>
            </v:rect>
            <v:line style="position:absolute" from="7488,1064" to="10211,1064" stroked="true" strokeweight=".589101pt" strokecolor="#d9d9d9">
              <v:stroke dashstyle="solid"/>
            </v:line>
            <v:shape style="position:absolute;left:7158;top:1063;width:2806;height:236" coordorigin="7158,1064" coordsize="2806,236" path="m7488,1087l7158,1087,7158,1299,7488,1299,7488,1087m8313,1087l7983,1087,7983,1299,8313,1299,8313,1087m9138,1075l8808,1075,8808,1287,9138,1287,9138,1075m9963,1064l9633,1064,9633,1276,9963,1276,9963,1064e" filled="true" fillcolor="#ecb8e7" stroked="false">
              <v:path arrowok="t"/>
              <v:fill type="solid"/>
            </v:shape>
            <v:line style="position:absolute" from="2219,963" to="2549,963" stroked="true" strokeweight=".589101pt" strokecolor="#938953">
              <v:stroke dashstyle="solid"/>
            </v:line>
            <v:rect style="position:absolute;left:3044;top:992;width:331;height:24" filled="true" fillcolor="#938953" stroked="false">
              <v:fill type="solid"/>
            </v:rect>
            <v:line style="position:absolute" from="3869,999" to="4200,999" stroked="true" strokeweight=".589113pt" strokecolor="#938953">
              <v:stroke dashstyle="solid"/>
            </v:line>
            <v:line style="position:absolute" from="4695,1069" to="5025,1069" stroked="true" strokeweight=".589101pt" strokecolor="#938953">
              <v:stroke dashstyle="solid"/>
            </v:line>
            <v:line style="position:absolute" from="5520,1140" to="5838,1140" stroked="true" strokeweight=".589113pt" strokecolor="#938953">
              <v:stroke dashstyle="solid"/>
            </v:line>
            <v:line style="position:absolute" from="6333,987" to="6663,987" stroked="true" strokeweight=".589101pt" strokecolor="#938953">
              <v:stroke dashstyle="solid"/>
            </v:line>
            <v:line style="position:absolute" from="7158,1081" to="7488,1081" stroked="true" strokeweight=".589101pt" strokecolor="#938953">
              <v:stroke dashstyle="solid"/>
            </v:line>
            <v:shape style="position:absolute;left:7983;top:1051;width:1156;height:36" coordorigin="7983,1052" coordsize="1156,36" path="m8313,1064l7983,1064,7983,1087,8313,1087,8313,1064m9138,1052l8808,1052,8808,1075,9138,1075,9138,1052e" filled="true" fillcolor="#938953" stroked="false">
              <v:path arrowok="t"/>
              <v:fill type="solid"/>
            </v:shape>
            <v:line style="position:absolute" from="9633,1058" to="9963,1058" stroked="true" strokeweight=".589101pt" strokecolor="#938953">
              <v:stroke dashstyle="solid"/>
            </v:line>
            <v:shape style="position:absolute;left:1971;top:839;width:1073;height:2" coordorigin="1972,840" coordsize="1073,0" path="m2549,840l3044,840m1972,840l2219,840e" filled="false" stroked="true" strokeweight=".589101pt" strokecolor="#d9d9d9">
              <v:path arrowok="t"/>
              <v:stroke dashstyle="solid"/>
            </v:shape>
            <v:rect style="position:absolute;left:2219;top:698;width:331;height:260" filled="true" fillcolor="#ffd600" stroked="false">
              <v:fill type="solid"/>
            </v:rect>
            <v:line style="position:absolute" from="3374,840" to="3869,840" stroked="true" strokeweight=".589101pt" strokecolor="#d9d9d9">
              <v:stroke dashstyle="solid"/>
            </v:line>
            <v:rect style="position:absolute;left:3044;top:733;width:331;height:260" filled="true" fillcolor="#ffd600" stroked="false">
              <v:fill type="solid"/>
            </v:rect>
            <v:line style="position:absolute" from="4200,840" to="4695,840" stroked="true" strokeweight=".589101pt" strokecolor="#d9d9d9">
              <v:stroke dashstyle="solid"/>
            </v:line>
            <v:rect style="position:absolute;left:3869;top:721;width:331;height:271" filled="true" fillcolor="#ffd600" stroked="false">
              <v:fill type="solid"/>
            </v:rect>
            <v:line style="position:absolute" from="5025,840" to="5520,840" stroked="true" strokeweight=".589101pt" strokecolor="#d9d9d9">
              <v:stroke dashstyle="solid"/>
            </v:line>
            <v:rect style="position:absolute;left:4694;top:816;width:331;height:248" filled="true" fillcolor="#ffd600" stroked="false">
              <v:fill type="solid"/>
            </v:rect>
            <v:line style="position:absolute" from="5838,840" to="6333,840" stroked="true" strokeweight=".589101pt" strokecolor="#d9d9d9">
              <v:stroke dashstyle="solid"/>
            </v:line>
            <v:rect style="position:absolute;left:5519;top:875;width:319;height:260" filled="true" fillcolor="#ffd600" stroked="false">
              <v:fill type="solid"/>
            </v:rect>
            <v:shape style="position:absolute;left:5024;top:615;width:2134;height:224" coordorigin="5025,616" coordsize="2134,224" path="m6663,840l7158,840m6663,616l7158,616m5025,616l6333,616e" filled="false" stroked="true" strokeweight=".589101pt" strokecolor="#d9d9d9">
              <v:path arrowok="t"/>
              <v:stroke dashstyle="solid"/>
            </v:shape>
            <v:rect style="position:absolute;left:6333;top:686;width:331;height:295" filled="true" fillcolor="#ffd600" stroked="false">
              <v:fill type="solid"/>
            </v:rect>
            <v:line style="position:absolute" from="7488,840" to="7983,840" stroked="true" strokeweight=".589101pt" strokecolor="#d9d9d9">
              <v:stroke dashstyle="solid"/>
            </v:line>
            <v:rect style="position:absolute;left:7158;top:757;width:331;height:319" filled="true" fillcolor="#ffd600" stroked="false">
              <v:fill type="solid"/>
            </v:rect>
            <v:line style="position:absolute" from="8313,840" to="8808,840" stroked="true" strokeweight=".589101pt" strokecolor="#d9d9d9">
              <v:stroke dashstyle="solid"/>
            </v:line>
            <v:rect style="position:absolute;left:7983;top:733;width:331;height:330" filled="true" fillcolor="#ffd600" stroked="false">
              <v:fill type="solid"/>
            </v:rect>
            <v:line style="position:absolute" from="9138,840" to="9633,840" stroked="true" strokeweight=".589101pt" strokecolor="#d9d9d9">
              <v:stroke dashstyle="solid"/>
            </v:line>
            <v:rect style="position:absolute;left:8808;top:710;width:331;height:342" filled="true" fillcolor="#ffd600" stroked="false">
              <v:fill type="solid"/>
            </v:rect>
            <v:shape style="position:absolute;left:9138;top:615;width:1073;height:224" coordorigin="9138,616" coordsize="1073,224" path="m9963,840l10211,840m9963,616l10211,616m9138,616l9633,616e" filled="false" stroked="true" strokeweight=".589101pt" strokecolor="#d9d9d9">
              <v:path arrowok="t"/>
              <v:stroke dashstyle="solid"/>
            </v:shape>
            <v:rect style="position:absolute;left:9633;top:686;width:331;height:366" filled="true" fillcolor="#ffd600" stroked="false">
              <v:fill type="solid"/>
            </v:rect>
            <v:shape style="position:absolute;left:1971;top:615;width:1073;height:2" coordorigin="1972,616" coordsize="1073,0" path="m2549,616l3044,616m1972,616l2219,616e" filled="false" stroked="true" strokeweight=".589101pt" strokecolor="#d9d9d9">
              <v:path arrowok="t"/>
              <v:stroke dashstyle="solid"/>
            </v:shape>
            <v:line style="position:absolute" from="1972,392" to="10211,392" stroked="true" strokeweight=".589101pt" strokecolor="#d9d9d9">
              <v:stroke dashstyle="solid"/>
            </v:line>
            <v:rect style="position:absolute;left:2219;top:391;width:331;height:307" filled="true" fillcolor="#ffeb8f" stroked="false">
              <v:fill type="solid"/>
            </v:rect>
            <v:line style="position:absolute" from="3374,616" to="3870,616" stroked="true" strokeweight=".589101pt" strokecolor="#d9d9d9">
              <v:stroke dashstyle="solid"/>
            </v:line>
            <v:rect style="position:absolute;left:3044;top:462;width:331;height:271" filled="true" fillcolor="#ffeb8f" stroked="false">
              <v:fill type="solid"/>
            </v:rect>
            <v:line style="position:absolute" from="4200,616" to="4695,616" stroked="true" strokeweight=".589101pt" strokecolor="#d9d9d9">
              <v:stroke dashstyle="solid"/>
            </v:line>
            <v:shape style="position:absolute;left:3869;top:427;width:2794;height:448" coordorigin="3870,427" coordsize="2794,448" path="m4200,474l3870,474,3870,722,4200,722,4200,474m5025,569l4695,569,4695,816,5025,816,5025,569m5838,675l5520,675,5520,875,5838,875,5838,675m6663,427l6333,427,6333,687,6663,687,6663,427e" filled="true" fillcolor="#ffeb8f" stroked="false">
              <v:path arrowok="t"/>
              <v:fill type="solid"/>
            </v:shape>
            <v:line style="position:absolute" from="7488,616" to="7983,616" stroked="true" strokeweight=".589101pt" strokecolor="#d9d9d9">
              <v:stroke dashstyle="solid"/>
            </v:line>
            <v:rect style="position:absolute;left:7158;top:498;width:331;height:260" filled="true" fillcolor="#ffeb8f" stroked="false">
              <v:fill type="solid"/>
            </v:rect>
            <v:line style="position:absolute" from="8313,616" to="8808,616" stroked="true" strokeweight=".589101pt" strokecolor="#d9d9d9">
              <v:stroke dashstyle="solid"/>
            </v:line>
            <v:shape style="position:absolute;left:7983;top:439;width:1981;height:295" coordorigin="7983,439" coordsize="1981,295" path="m8313,474l7983,474,7983,734,8313,734,8313,474m9138,451l8808,451,8808,710,9138,710,9138,451m9963,439l9633,439,9633,687,9963,687,9963,439e" filled="true" fillcolor="#ffeb8f" stroked="false">
              <v:path arrowok="t"/>
              <v:fill type="solid"/>
            </v:shape>
            <v:shape style="position:absolute;left:0;top:-10187;width:652743;height:25214" coordorigin="0,-10186" coordsize="652743,25214" path="m1972,2407l10211,2407m1972,2407l1972,2466m1972,2407l1972,2725m2797,2407l2797,2466m2797,2407l2797,2725m3622,2407l3622,2466m3622,2407l3622,2725m4447,2407l4447,2466m4447,2407l4447,2725m5272,2407l5272,2466m5272,2407l5272,2725m6085,2407l6085,2466m6085,2407l6085,2725m6911,2407l6911,2466m6911,2407l6911,2725m7736,2407l7736,2466m7736,2407l7736,2725m8561,2407l8561,2466m8561,2407l8561,2725m9386,2407l9386,2466m9386,2407l9386,2725m10211,2407l10211,2466m10211,2407l10211,2725e" filled="false" stroked="true" strokeweight=".589229pt" strokecolor="#d9d9d9">
              <v:path arrowok="t"/>
              <v:stroke dashstyle="solid"/>
            </v:shape>
            <v:shape style="position:absolute;left:0;top:-10187;width:652743;height:25214" coordorigin="0,-10186" coordsize="652743,25214" path="m1972,2725l1972,3043m6085,2725l6085,3043m10211,2725l10211,3043e" filled="false" stroked="true" strokeweight=".589229pt" strokecolor="#d9d9d9">
              <v:path arrowok="t"/>
              <v:stroke dashstyle="solid"/>
            </v:shape>
            <v:line style="position:absolute" from="1972,168" to="10211,168" stroked="true" strokeweight=".589101pt" strokecolor="#d9d9d9">
              <v:stroke dashstyle="solid"/>
            </v:line>
            <v:line style="position:absolute" from="6104,180" to="6097,2423" stroked="true" strokeweight=".589358pt" strokecolor="#a6a6a6">
              <v:stroke dashstyle="solid"/>
            </v:line>
            <v:shape style="position:absolute;left:2219;top:2546;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2014</w:t>
                    </w:r>
                  </w:p>
                </w:txbxContent>
              </v:textbox>
              <w10:wrap type="none"/>
            </v:shape>
            <v:shape style="position:absolute;left:3042;top:2546;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2015</w:t>
                    </w:r>
                  </w:p>
                </w:txbxContent>
              </v:textbox>
              <w10:wrap type="none"/>
            </v:shape>
            <v:shape style="position:absolute;left:3865;top:2546;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2016</w:t>
                    </w:r>
                  </w:p>
                </w:txbxContent>
              </v:textbox>
              <w10:wrap type="none"/>
            </v:shape>
            <v:shape style="position:absolute;left:4688;top:2546;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2017</w:t>
                    </w:r>
                  </w:p>
                </w:txbxContent>
              </v:textbox>
              <w10:wrap type="none"/>
            </v:shape>
            <v:shape style="position:absolute;left:5511;top:2546;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2018</w:t>
                    </w:r>
                  </w:p>
                </w:txbxContent>
              </v:textbox>
              <w10:wrap type="none"/>
            </v:shape>
            <v:shape style="position:absolute;left:6334;top:2546;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2019</w:t>
                    </w:r>
                  </w:p>
                </w:txbxContent>
              </v:textbox>
              <w10:wrap type="none"/>
            </v:shape>
            <v:shape style="position:absolute;left:7157;top:2546;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2020</w:t>
                    </w:r>
                  </w:p>
                </w:txbxContent>
              </v:textbox>
              <w10:wrap type="none"/>
            </v:shape>
            <v:shape style="position:absolute;left:7980;top:2546;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2021</w:t>
                    </w:r>
                  </w:p>
                </w:txbxContent>
              </v:textbox>
              <w10:wrap type="none"/>
            </v:shape>
            <v:shape style="position:absolute;left:8803;top:2546;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2022</w:t>
                    </w:r>
                  </w:p>
                </w:txbxContent>
              </v:textbox>
              <w10:wrap type="none"/>
            </v:shape>
            <v:shape style="position:absolute;left:9626;top:2546;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2023</w:t>
                    </w:r>
                  </w:p>
                </w:txbxContent>
              </v:textbox>
              <w10:wrap type="none"/>
            </v:shape>
            <v:shape style="position:absolute;left:3776;top:2863;width:4711;height:165" type="#_x0000_t202" filled="false" stroked="false">
              <v:textbox inset="0,0,0,0">
                <w:txbxContent>
                  <w:p>
                    <w:pPr>
                      <w:tabs>
                        <w:tab w:pos="4049" w:val="left" w:leader="none"/>
                      </w:tabs>
                      <w:spacing w:line="165" w:lineRule="exact" w:before="0"/>
                      <w:ind w:left="0" w:right="0" w:firstLine="0"/>
                      <w:jc w:val="left"/>
                      <w:rPr>
                        <w:rFonts w:ascii="Calibri"/>
                        <w:sz w:val="16"/>
                      </w:rPr>
                    </w:pPr>
                    <w:r>
                      <w:rPr>
                        <w:rFonts w:ascii="Calibri"/>
                        <w:color w:val="585858"/>
                        <w:w w:val="105"/>
                        <w:sz w:val="16"/>
                      </w:rPr>
                      <w:t>Historic</w:t>
                      <w:tab/>
                    </w:r>
                    <w:r>
                      <w:rPr>
                        <w:rFonts w:ascii="Calibri"/>
                        <w:color w:val="585858"/>
                        <w:sz w:val="16"/>
                      </w:rPr>
                      <w:t>Projected</w:t>
                    </w:r>
                  </w:p>
                </w:txbxContent>
              </v:textbox>
              <w10:wrap type="none"/>
            </v:shape>
            <w10:wrap type="none"/>
          </v:group>
        </w:pict>
      </w:r>
      <w:r>
        <w:rPr>
          <w:rFonts w:ascii="Calibri"/>
          <w:color w:val="585858"/>
          <w:spacing w:val="-1"/>
          <w:sz w:val="16"/>
        </w:rPr>
        <w:t>50,000</w:t>
      </w:r>
    </w:p>
    <w:p>
      <w:pPr>
        <w:spacing w:before="28"/>
        <w:ind w:left="0" w:right="10082" w:firstLine="0"/>
        <w:jc w:val="right"/>
        <w:rPr>
          <w:rFonts w:ascii="Calibri"/>
          <w:sz w:val="16"/>
        </w:rPr>
      </w:pPr>
      <w:r>
        <w:rPr>
          <w:rFonts w:ascii="Calibri"/>
          <w:color w:val="585858"/>
          <w:spacing w:val="-1"/>
          <w:sz w:val="16"/>
        </w:rPr>
        <w:t>45,000</w:t>
      </w:r>
    </w:p>
    <w:p>
      <w:pPr>
        <w:spacing w:before="29"/>
        <w:ind w:left="0" w:right="10082" w:firstLine="0"/>
        <w:jc w:val="right"/>
        <w:rPr>
          <w:rFonts w:ascii="Calibri"/>
          <w:sz w:val="16"/>
        </w:rPr>
      </w:pPr>
      <w:r>
        <w:rPr>
          <w:rFonts w:ascii="Calibri"/>
          <w:color w:val="585858"/>
          <w:spacing w:val="-1"/>
          <w:sz w:val="16"/>
        </w:rPr>
        <w:t>40,000</w:t>
      </w:r>
    </w:p>
    <w:p>
      <w:pPr>
        <w:spacing w:before="29"/>
        <w:ind w:left="0" w:right="10082" w:firstLine="0"/>
        <w:jc w:val="right"/>
        <w:rPr>
          <w:rFonts w:ascii="Calibri"/>
          <w:sz w:val="16"/>
        </w:rPr>
      </w:pPr>
      <w:r>
        <w:rPr>
          <w:rFonts w:ascii="Calibri"/>
          <w:color w:val="585858"/>
          <w:spacing w:val="-1"/>
          <w:sz w:val="16"/>
        </w:rPr>
        <w:t>35,000</w:t>
      </w:r>
    </w:p>
    <w:p>
      <w:pPr>
        <w:spacing w:before="29"/>
        <w:ind w:left="0" w:right="10082" w:firstLine="0"/>
        <w:jc w:val="right"/>
        <w:rPr>
          <w:rFonts w:ascii="Calibri"/>
          <w:sz w:val="16"/>
        </w:rPr>
      </w:pPr>
      <w:r>
        <w:rPr>
          <w:rFonts w:ascii="Calibri"/>
          <w:color w:val="585858"/>
          <w:spacing w:val="-1"/>
          <w:sz w:val="16"/>
        </w:rPr>
        <w:t>30,000</w:t>
      </w:r>
    </w:p>
    <w:p>
      <w:pPr>
        <w:spacing w:before="29"/>
        <w:ind w:left="0" w:right="10082" w:firstLine="0"/>
        <w:jc w:val="right"/>
        <w:rPr>
          <w:rFonts w:ascii="Calibri"/>
          <w:sz w:val="16"/>
        </w:rPr>
      </w:pPr>
      <w:r>
        <w:rPr>
          <w:rFonts w:ascii="Calibri"/>
          <w:color w:val="585858"/>
          <w:spacing w:val="-1"/>
          <w:sz w:val="16"/>
        </w:rPr>
        <w:t>25,000</w:t>
      </w:r>
    </w:p>
    <w:p>
      <w:pPr>
        <w:spacing w:before="28"/>
        <w:ind w:left="0" w:right="10082" w:firstLine="0"/>
        <w:jc w:val="right"/>
        <w:rPr>
          <w:rFonts w:ascii="Calibri"/>
          <w:sz w:val="16"/>
        </w:rPr>
      </w:pPr>
      <w:r>
        <w:rPr>
          <w:rFonts w:ascii="Calibri"/>
          <w:color w:val="585858"/>
          <w:spacing w:val="-1"/>
          <w:sz w:val="16"/>
        </w:rPr>
        <w:t>20,000</w:t>
      </w:r>
    </w:p>
    <w:p>
      <w:pPr>
        <w:spacing w:before="29"/>
        <w:ind w:left="0" w:right="10082" w:firstLine="0"/>
        <w:jc w:val="right"/>
        <w:rPr>
          <w:rFonts w:ascii="Calibri"/>
          <w:sz w:val="16"/>
        </w:rPr>
      </w:pPr>
      <w:r>
        <w:rPr>
          <w:rFonts w:ascii="Calibri"/>
          <w:color w:val="585858"/>
          <w:spacing w:val="-1"/>
          <w:sz w:val="16"/>
        </w:rPr>
        <w:t>15,000</w:t>
      </w:r>
    </w:p>
    <w:p>
      <w:pPr>
        <w:spacing w:before="29"/>
        <w:ind w:left="0" w:right="10082" w:firstLine="0"/>
        <w:jc w:val="right"/>
        <w:rPr>
          <w:rFonts w:ascii="Calibri"/>
          <w:sz w:val="16"/>
        </w:rPr>
      </w:pPr>
      <w:r>
        <w:rPr>
          <w:rFonts w:ascii="Calibri"/>
          <w:color w:val="585858"/>
          <w:spacing w:val="-1"/>
          <w:sz w:val="16"/>
        </w:rPr>
        <w:t>10,000</w:t>
      </w:r>
    </w:p>
    <w:p>
      <w:pPr>
        <w:spacing w:before="29"/>
        <w:ind w:left="0" w:right="10081" w:firstLine="0"/>
        <w:jc w:val="right"/>
        <w:rPr>
          <w:rFonts w:ascii="Calibri"/>
          <w:sz w:val="16"/>
        </w:rPr>
      </w:pPr>
      <w:r>
        <w:rPr>
          <w:rFonts w:ascii="Calibri"/>
          <w:color w:val="585858"/>
          <w:spacing w:val="-1"/>
          <w:sz w:val="16"/>
        </w:rPr>
        <w:t>5,000</w:t>
      </w:r>
    </w:p>
    <w:p>
      <w:pPr>
        <w:spacing w:before="28"/>
        <w:ind w:left="0" w:right="10082" w:firstLine="0"/>
        <w:jc w:val="right"/>
        <w:rPr>
          <w:rFonts w:ascii="Calibri"/>
          <w:sz w:val="16"/>
        </w:rPr>
      </w:pPr>
      <w:r>
        <w:rPr>
          <w:rFonts w:ascii="Calibri"/>
          <w:color w:val="585858"/>
          <w:w w:val="103"/>
          <w:sz w:val="16"/>
        </w:rPr>
        <w:t>0</w:t>
      </w:r>
    </w:p>
    <w:p>
      <w:pPr>
        <w:pStyle w:val="BodyText"/>
        <w:rPr>
          <w:rFonts w:ascii="Calibri"/>
        </w:rPr>
      </w:pPr>
    </w:p>
    <w:p>
      <w:pPr>
        <w:pStyle w:val="BodyText"/>
        <w:spacing w:before="5"/>
        <w:rPr>
          <w:rFonts w:ascii="Calibri"/>
          <w:sz w:val="26"/>
        </w:rPr>
      </w:pPr>
    </w:p>
    <w:p>
      <w:pPr>
        <w:spacing w:before="61"/>
        <w:ind w:left="1602" w:right="1423" w:firstLine="0"/>
        <w:jc w:val="center"/>
        <w:rPr>
          <w:rFonts w:ascii="Calibri"/>
          <w:b/>
          <w:sz w:val="19"/>
        </w:rPr>
      </w:pPr>
      <w:r>
        <w:rPr>
          <w:rFonts w:ascii="Calibri"/>
          <w:b/>
          <w:color w:val="585858"/>
          <w:sz w:val="19"/>
        </w:rPr>
        <w:t>Year Ending 30 June</w:t>
      </w:r>
    </w:p>
    <w:p>
      <w:pPr>
        <w:pStyle w:val="BodyText"/>
        <w:rPr>
          <w:rFonts w:ascii="Calibri"/>
          <w:b/>
        </w:rPr>
      </w:pPr>
    </w:p>
    <w:p>
      <w:pPr>
        <w:pStyle w:val="BodyText"/>
        <w:spacing w:before="2"/>
        <w:rPr>
          <w:rFonts w:ascii="Calibri"/>
          <w:b/>
        </w:rPr>
      </w:pPr>
    </w:p>
    <w:p>
      <w:pPr>
        <w:spacing w:before="95"/>
        <w:ind w:left="900" w:right="1211" w:firstLine="0"/>
        <w:jc w:val="left"/>
        <w:rPr>
          <w:sz w:val="16"/>
        </w:rPr>
      </w:pPr>
      <w:r>
        <w:rPr>
          <w:color w:val="DF2F1E"/>
          <w:sz w:val="16"/>
        </w:rPr>
        <w:t>Notes the entries into class 4 in 2017/18 are impacted by data maturity and are likely understated. An adjustment has been carried out in order to increase the entries in the 2018/19 year of the projection, in order to make an allowance for this.</w:t>
      </w:r>
    </w:p>
    <w:p>
      <w:pPr>
        <w:pStyle w:val="BodyText"/>
        <w:spacing w:before="5"/>
        <w:rPr>
          <w:sz w:val="15"/>
        </w:rPr>
      </w:pPr>
    </w:p>
    <w:p>
      <w:pPr>
        <w:pStyle w:val="Heading9"/>
        <w:spacing w:before="0"/>
      </w:pPr>
      <w:r>
        <w:rPr>
          <w:color w:val="DF2F1E"/>
        </w:rPr>
        <w:t>Figure 62: Number of people exiting class 4 – Carers (by class exited to)</w:t>
      </w:r>
    </w:p>
    <w:p>
      <w:pPr>
        <w:pStyle w:val="BodyText"/>
        <w:spacing w:before="2"/>
        <w:rPr>
          <w:b/>
          <w:sz w:val="9"/>
        </w:rPr>
      </w:pPr>
    </w:p>
    <w:p>
      <w:pPr>
        <w:spacing w:before="72"/>
        <w:ind w:left="0" w:right="10084" w:firstLine="0"/>
        <w:jc w:val="right"/>
        <w:rPr>
          <w:rFonts w:ascii="Calibri"/>
          <w:sz w:val="16"/>
        </w:rPr>
      </w:pPr>
      <w:r>
        <w:rPr/>
        <w:pict>
          <v:group style="position:absolute;margin-left:98.348862pt;margin-top:8.85575pt;width:412.5pt;height:144.3pt;mso-position-horizontal-relative:page;mso-position-vertical-relative:paragraph;z-index:252346368" coordorigin="1967,177" coordsize="8250,2886">
            <v:shape style="position:absolute;left:1972;top:1976;width:8239;height:225" coordorigin="1973,1977" coordsize="8239,225" path="m9963,2201l10211,2201m9149,2201l9633,2201m8323,2201l8818,2201m7496,2201l7992,2201m6670,2201l7166,2201m5844,2201l6340,2201m5018,2201l5514,2201m4204,2201l4687,2201m3377,2201l3873,2201m2551,2201l3047,2201m1973,2201l2221,2201m2551,1977l3047,1977m1973,1977l2221,1977e" filled="false" stroked="true" strokeweight=".589983pt" strokecolor="#d9d9d9">
              <v:path arrowok="t"/>
              <v:stroke dashstyle="solid"/>
            </v:shape>
            <v:rect style="position:absolute;left:2220;top:2401;width:331;height:24" filled="true" fillcolor="#1f487c" stroked="false">
              <v:fill type="solid"/>
            </v:rect>
            <v:rect style="position:absolute;left:2214;top:2395;width:343;height:36" filled="true" fillcolor="#1f487c" stroked="false">
              <v:fill type="solid"/>
            </v:rect>
            <v:rect style="position:absolute;left:2220;top:1905;width:331;height:496" filled="true" fillcolor="#009544" stroked="false">
              <v:fill type="solid"/>
            </v:rect>
            <v:line style="position:absolute" from="3377,1977" to="3873,1977" stroked="true" strokeweight=".589983pt" strokecolor="#d9d9d9">
              <v:stroke dashstyle="solid"/>
            </v:line>
            <v:rect style="position:absolute;left:3046;top:2401;width:331;height:24" filled="true" fillcolor="#1f487c" stroked="false">
              <v:fill type="solid"/>
            </v:rect>
            <v:rect style="position:absolute;left:3041;top:2395;width:343;height:36" filled="true" fillcolor="#1f487c" stroked="false">
              <v:fill type="solid"/>
            </v:rect>
            <v:rect style="position:absolute;left:3046;top:1882;width:331;height:520" filled="true" fillcolor="#009544" stroked="false">
              <v:fill type="solid"/>
            </v:rect>
            <v:line style="position:absolute" from="4204,1977" to="4687,1977" stroked="true" strokeweight=".589983pt" strokecolor="#d9d9d9">
              <v:stroke dashstyle="solid"/>
            </v:line>
            <v:rect style="position:absolute;left:3873;top:2401;width:331;height:24" filled="true" fillcolor="#1f487c" stroked="false">
              <v:fill type="solid"/>
            </v:rect>
            <v:rect style="position:absolute;left:3867;top:2395;width:343;height:36" filled="true" fillcolor="#1f487c" stroked="false">
              <v:fill type="solid"/>
            </v:rect>
            <v:rect style="position:absolute;left:3873;top:1834;width:331;height:567" filled="true" fillcolor="#009544" stroked="false">
              <v:fill type="solid"/>
            </v:rect>
            <v:line style="position:absolute" from="5018,1977" to="5514,1977" stroked="true" strokeweight=".589983pt" strokecolor="#d9d9d9">
              <v:stroke dashstyle="solid"/>
            </v:line>
            <v:rect style="position:absolute;left:4687;top:2401;width:331;height:24" filled="true" fillcolor="#1f487c" stroked="false">
              <v:fill type="solid"/>
            </v:rect>
            <v:rect style="position:absolute;left:4681;top:2395;width:343;height:36" filled="true" fillcolor="#1f487c" stroked="false">
              <v:fill type="solid"/>
            </v:rect>
            <v:rect style="position:absolute;left:4687;top:1846;width:331;height:555" filled="true" fillcolor="#009544" stroked="false">
              <v:fill type="solid"/>
            </v:rect>
            <v:line style="position:absolute" from="5844,1977" to="6340,1977" stroked="true" strokeweight=".589983pt" strokecolor="#d9d9d9">
              <v:stroke dashstyle="solid"/>
            </v:line>
            <v:line style="position:absolute" from="5514,2419" to="5844,2419" stroked="true" strokeweight=".589995pt" strokecolor="#1f487c">
              <v:stroke dashstyle="solid"/>
            </v:line>
            <v:rect style="position:absolute;left:5507;top:2407;width:343;height:24" filled="true" fillcolor="#1f487c" stroked="false">
              <v:fill type="solid"/>
            </v:rect>
            <v:rect style="position:absolute;left:5513;top:1858;width:331;height:555" filled="true" fillcolor="#009544" stroked="false">
              <v:fill type="solid"/>
            </v:rect>
            <v:line style="position:absolute" from="6670,1977" to="7166,1977" stroked="true" strokeweight=".589983pt" strokecolor="#d9d9d9">
              <v:stroke dashstyle="solid"/>
            </v:line>
            <v:rect style="position:absolute;left:6339;top:2401;width:331;height:24" filled="true" fillcolor="#1f487c" stroked="false">
              <v:fill type="solid"/>
            </v:rect>
            <v:rect style="position:absolute;left:6333;top:2395;width:343;height:36" filled="true" fillcolor="#1f487c" stroked="false">
              <v:fill type="solid"/>
            </v:rect>
            <v:rect style="position:absolute;left:6339;top:1834;width:331;height:567" filled="true" fillcolor="#009544" stroked="false">
              <v:fill type="solid"/>
            </v:rect>
            <v:shape style="position:absolute;left:5844;top:1752;width:3789;height:225" coordorigin="5844,1752" coordsize="3789,225" path="m7496,1977l7992,1977m5844,1752l9633,1752e" filled="false" stroked="true" strokeweight=".589983pt" strokecolor="#d9d9d9">
              <v:path arrowok="t"/>
              <v:stroke dashstyle="solid"/>
            </v:shape>
            <v:rect style="position:absolute;left:7166;top:2401;width:331;height:24" filled="true" fillcolor="#1f487c" stroked="false">
              <v:fill type="solid"/>
            </v:rect>
            <v:rect style="position:absolute;left:7160;top:2395;width:343;height:36" filled="true" fillcolor="#1f487c" stroked="false">
              <v:fill type="solid"/>
            </v:rect>
            <v:rect style="position:absolute;left:7166;top:1752;width:331;height:649" filled="true" fillcolor="#009544" stroked="false">
              <v:fill type="solid"/>
            </v:rect>
            <v:line style="position:absolute" from="8323,1977" to="8818,1977" stroked="true" strokeweight=".589983pt" strokecolor="#d9d9d9">
              <v:stroke dashstyle="solid"/>
            </v:line>
            <v:rect style="position:absolute;left:7992;top:2401;width:331;height:24" filled="true" fillcolor="#1f487c" stroked="false">
              <v:fill type="solid"/>
            </v:rect>
            <v:rect style="position:absolute;left:7986;top:2395;width:343;height:36" filled="true" fillcolor="#1f487c" stroked="false">
              <v:fill type="solid"/>
            </v:rect>
            <v:rect style="position:absolute;left:7992;top:1752;width:331;height:649" filled="true" fillcolor="#009544" stroked="false">
              <v:fill type="solid"/>
            </v:rect>
            <v:line style="position:absolute" from="9149,1977" to="9633,1977" stroked="true" strokeweight=".589983pt" strokecolor="#d9d9d9">
              <v:stroke dashstyle="solid"/>
            </v:line>
            <v:rect style="position:absolute;left:8818;top:2401;width:331;height:24" filled="true" fillcolor="#1f487c" stroked="false">
              <v:fill type="solid"/>
            </v:rect>
            <v:rect style="position:absolute;left:8812;top:2395;width:343;height:36" filled="true" fillcolor="#1f487c" stroked="false">
              <v:fill type="solid"/>
            </v:rect>
            <v:rect style="position:absolute;left:8818;top:1752;width:331;height:649" filled="true" fillcolor="#009544" stroked="false">
              <v:fill type="solid"/>
            </v:rect>
            <v:shape style="position:absolute;left:9963;top:1752;width:248;height:225" coordorigin="9963,1752" coordsize="248,225" path="m9963,1977l10211,1977m9963,1752l10211,1752e" filled="false" stroked="true" strokeweight=".589983pt" strokecolor="#d9d9d9">
              <v:path arrowok="t"/>
              <v:stroke dashstyle="solid"/>
            </v:shape>
            <v:rect style="position:absolute;left:9632;top:2401;width:331;height:24" filled="true" fillcolor="#1f487c" stroked="false">
              <v:fill type="solid"/>
            </v:rect>
            <v:rect style="position:absolute;left:9626;top:2395;width:343;height:36" filled="true" fillcolor="#1f487c" stroked="false">
              <v:fill type="solid"/>
            </v:rect>
            <v:rect style="position:absolute;left:9632;top:1728;width:331;height:673" filled="true" fillcolor="#009544" stroked="false">
              <v:fill type="solid"/>
            </v:rect>
            <v:shape style="position:absolute;left:19514;top:-165428;width:609601;height:53898" coordorigin="19515,-165428" coordsize="609601,53898" path="m2221,1906l2551,1906,2551,2401,2221,2401,2221,1906xm3047,1882l3377,1882,3377,2401,3047,2401,3047,1882xm3873,1835l4204,1835,4204,2401,3873,2401,3873,1835xm4687,1847l5018,1847,5018,2401,4687,2401,4687,1847xm5514,1859l5844,1859,5844,2413,5514,2413,5514,1859xm6340,1835l6670,1835,6670,2401,6340,2401,6340,1835xm7166,1752l7496,1752,7496,2401,7166,2401,7166,1752xm7992,1752l8323,1752,8323,2401,7992,2401,7992,1752xm8818,1752l9149,1752,9149,2401,8818,2401,8818,1752xm9633,1729l9963,1729,9963,2401,9633,2401,9633,1729xe" filled="false" stroked="true" strokeweight=".590052pt" strokecolor="#009544">
              <v:path arrowok="t"/>
              <v:stroke dashstyle="solid"/>
            </v:shape>
            <v:rect style="position:absolute;left:2220;top:1834;width:331;height:71" filled="true" fillcolor="#e16b09" stroked="false">
              <v:fill type="solid"/>
            </v:rect>
            <v:line style="position:absolute" from="2551,1752" to="5514,1752" stroked="true" strokeweight=".589983pt" strokecolor="#d9d9d9">
              <v:stroke dashstyle="solid"/>
            </v:line>
            <v:shape style="position:absolute;left:3046;top:1646;width:6917;height:236" coordorigin="3047,1646" coordsize="6917,236" path="m3377,1800l3047,1800,3047,1882,3377,1882,3377,1800m4204,1752l3873,1752,3873,1835,4204,1835,4204,1752m5018,1764l4687,1764,4687,1847,5018,1847,5018,1764m5844,1788l5514,1788,5514,1859,5844,1859,5844,1788m6670,1752l6340,1752,6340,1835,6670,1835,6670,1752m7496,1670l7166,1670,7166,1752,7496,1752,7496,1670m8323,1670l7992,1670,7992,1752,8323,1752,8323,1670m9149,1658l8818,1658,8818,1752,9149,1752,9149,1658m9963,1646l9633,1646,9633,1729,9963,1729,9963,1646e" filled="true" fillcolor="#e16b09" stroked="false">
              <v:path arrowok="t"/>
              <v:fill type="solid"/>
            </v:shape>
            <v:shape style="position:absolute;left:19804;top:-127485;width:618654;height:20748" coordorigin="19804,-127484" coordsize="618654,20748" path="m2221,1835l2551,1835,2551,1906,2221,1906,2221,1835xm3047,1800l3377,1800,3377,1882,3047,1882,3047,1800xm3873,1752l4204,1752,4204,1835,3873,1835,3873,1752xm4687,1764l5018,1764,5018,1847,4687,1847,4687,1764xm5514,1788l5844,1788,5844,1859,5514,1859,5514,1788xm6340,1752l6670,1752,6670,1835,6340,1835,6340,1752xm7166,1670l7496,1670,7496,1752,7166,1752,7166,1670xm7992,1670l8323,1670,8323,1752,7992,1752,7992,1670xm8818,1658l9149,1658,9149,1752,8818,1752,8818,1658xm9633,1646l9963,1646,9963,1729,9633,1729,9633,1646xe" filled="false" stroked="true" strokeweight=".590049pt" strokecolor="#e16b09">
              <v:path arrowok="t"/>
              <v:stroke dashstyle="solid"/>
            </v:shape>
            <v:line style="position:absolute" from="1973,1752" to="2221,1752" stroked="true" strokeweight=".589983pt" strokecolor="#d9d9d9">
              <v:stroke dashstyle="solid"/>
            </v:line>
            <v:shape style="position:absolute;left:2220;top:1622;width:6929;height:213" coordorigin="2221,1623" coordsize="6929,213" path="m2551,1764l2221,1764,2221,1835,2551,1835,2551,1764m3377,1741l3047,1741,3047,1800,3377,1800,3377,1741m4204,1717l3873,1717,3873,1752,4204,1752,4204,1717m5018,1729l4687,1729,4687,1764,5018,1764,5018,1729m5844,1764l5514,1764,5514,1788,5844,1788,5844,1764m6670,1729l6340,1729,6340,1752,6670,1752,6670,1729m7496,1634l7166,1634,7166,1670,7496,1670,7496,1634m8323,1634l7992,1634,7992,1670,8323,1670,8323,1634m9149,1623l8818,1623,8818,1658,9149,1658,9149,1623e" filled="true" fillcolor="#8063a1" stroked="false">
              <v:path arrowok="t"/>
              <v:fill type="solid"/>
            </v:shape>
            <v:shape style="position:absolute;left:9148;top:1528;width:1063;height:2" coordorigin="9149,1528" coordsize="1063,0" path="m9963,1528l10211,1528m9149,1528l9633,1528e" filled="false" stroked="true" strokeweight=".589983pt" strokecolor="#d9d9d9">
              <v:path arrowok="t"/>
              <v:stroke dashstyle="solid"/>
            </v:shape>
            <v:rect style="position:absolute;left:9632;top:1598;width:331;height:48" filled="true" fillcolor="#8063a1" stroked="false">
              <v:fill type="solid"/>
            </v:rect>
            <v:shape style="position:absolute;left:19902;top:-122483;width:224620;height:9478" coordorigin="19903,-122483" coordsize="224620,9478" path="m2221,1764l2551,1764,2551,1835,2221,1835,2221,1764xm3047,1741l3377,1741,3377,1800,3047,1800,3047,1741xm3873,1717l4204,1717,4204,1752,3873,1752,3873,1717xm4687,1729l5018,1729,5018,1764,4687,1764,4687,1729xe" filled="false" stroked="true" strokeweight=".590054pt" strokecolor="#8063a1">
              <v:path arrowok="t"/>
              <v:stroke dashstyle="solid"/>
            </v:shape>
            <v:shape style="position:absolute;left:5507;top:1722;width:1169;height:71" coordorigin="5508,1723" coordsize="1169,71" path="m5850,1758l5508,1758,5508,1794,5850,1794,5850,1758m6676,1723l6334,1723,6334,1758,6676,1758,6676,1723e" filled="true" fillcolor="#8063a1" stroked="false">
              <v:path arrowok="t"/>
              <v:fill type="solid"/>
            </v:shape>
            <v:shape style="position:absolute;left:417014;top:-109214;width:224620;height:5687" coordorigin="417015,-109214" coordsize="224620,5687" path="m7166,1634l7496,1634,7496,1670,7166,1670,7166,1634xm7992,1634l8323,1634,8323,1670,7992,1670,7992,1634xm8818,1623l9149,1623,9149,1658,8818,1658,8818,1623xm9633,1599l9963,1599,9963,1646,9633,1646,9633,1599xe" filled="false" stroked="true" strokeweight=".590054pt" strokecolor="#8063a1">
              <v:path arrowok="t"/>
              <v:stroke dashstyle="solid"/>
            </v:shape>
            <v:line style="position:absolute" from="1973,1528" to="3047,1528" stroked="true" strokeweight=".589983pt" strokecolor="#d9d9d9">
              <v:stroke dashstyle="solid"/>
            </v:line>
            <v:rect style="position:absolute;left:2220;top:1539;width:331;height:225" filled="true" fillcolor="#c0504d" stroked="false">
              <v:fill type="solid"/>
            </v:rect>
            <v:line style="position:absolute" from="3377,1528" to="3873,1528" stroked="true" strokeweight=".589983pt" strokecolor="#d9d9d9">
              <v:stroke dashstyle="solid"/>
            </v:line>
            <v:rect style="position:absolute;left:3046;top:1457;width:331;height:284" filled="true" fillcolor="#c0504d" stroked="false">
              <v:fill type="solid"/>
            </v:rect>
            <v:line style="position:absolute" from="4204,1528" to="4687,1528" stroked="true" strokeweight=".589983pt" strokecolor="#d9d9d9">
              <v:stroke dashstyle="solid"/>
            </v:line>
            <v:rect style="position:absolute;left:3873;top:1398;width:331;height:319" filled="true" fillcolor="#c0504d" stroked="false">
              <v:fill type="solid"/>
            </v:rect>
            <v:line style="position:absolute" from="5018,1528" to="6340,1528" stroked="true" strokeweight=".589983pt" strokecolor="#d9d9d9">
              <v:stroke dashstyle="solid"/>
            </v:line>
            <v:shape style="position:absolute;left:4687;top:1398;width:1157;height:366" coordorigin="4687,1398" coordsize="1157,366" path="m5018,1398l4687,1398,4687,1729,5018,1729,5018,1398m5844,1528l5514,1528,5514,1764,5844,1764,5844,1528e" filled="true" fillcolor="#c0504d" stroked="false">
              <v:path arrowok="t"/>
              <v:fill type="solid"/>
            </v:shape>
            <v:line style="position:absolute" from="6670,1528" to="7166,1528" stroked="true" strokeweight=".589983pt" strokecolor="#d9d9d9">
              <v:stroke dashstyle="solid"/>
            </v:line>
            <v:rect style="position:absolute;left:6339;top:1386;width:331;height:343" filled="true" fillcolor="#c0504d" stroked="false">
              <v:fill type="solid"/>
            </v:rect>
            <v:shape style="position:absolute;left:6670;top:1303;width:1322;height:225" coordorigin="6670,1304" coordsize="1322,225" path="m7496,1528l7992,1528m6670,1304l7992,1304e" filled="false" stroked="true" strokeweight=".589983pt" strokecolor="#d9d9d9">
              <v:path arrowok="t"/>
              <v:stroke dashstyle="solid"/>
            </v:shape>
            <v:rect style="position:absolute;left:7165;top:1351;width:331;height:284" filled="true" fillcolor="#c0504d" stroked="false">
              <v:fill type="solid"/>
            </v:rect>
            <v:shape style="position:absolute;left:8322;top:1303;width:1311;height:225" coordorigin="8323,1304" coordsize="1311,225" path="m8323,1528l8818,1528m8323,1304l9633,1304e" filled="false" stroked="true" strokeweight=".589983pt" strokecolor="#d9d9d9">
              <v:path arrowok="t"/>
              <v:stroke dashstyle="solid"/>
            </v:shape>
            <v:shape style="position:absolute;left:7992;top:1268;width:1157;height:366" coordorigin="7992,1269" coordsize="1157,366" path="m8323,1269l7992,1269,7992,1634,8323,1634,8323,1269m9149,1328l8818,1328,8818,1623,9149,1623,9149,1328e" filled="true" fillcolor="#c0504d" stroked="false">
              <v:path arrowok="t"/>
              <v:fill type="solid"/>
            </v:shape>
            <v:line style="position:absolute" from="9963,1304" to="10211,1304" stroked="true" strokeweight=".589983pt" strokecolor="#d9d9d9">
              <v:stroke dashstyle="solid"/>
            </v:line>
            <v:rect style="position:absolute;left:9632;top:1221;width:331;height:378" filled="true" fillcolor="#c0504d" stroked="false">
              <v:fill type="solid"/>
            </v:rect>
            <v:shape style="position:absolute;left:19902;top:-116796;width:621732;height:43598" coordorigin="19903,-116796" coordsize="621732,43598" path="m2221,1540l2551,1540,2551,1764,2221,1764,2221,1540xm3047,1457l3377,1457,3377,1741,3047,1741,3047,1457xm3873,1398l4204,1398,4204,1717,3873,1717,3873,1398xm4687,1398l5018,1398,5018,1729,4687,1729,4687,1398xm5514,1528l5844,1528,5844,1764,5514,1764,5514,1528xm6340,1387l6670,1387,6670,1729,6340,1729,6340,1387xm7166,1351l7496,1351,7496,1634,7166,1634,7166,1351xm7992,1269l8323,1269,8323,1634,7992,1634,7992,1269xm8818,1328l9149,1328,9149,1623,8818,1623,8818,1328xm9633,1221l9963,1221,9963,1599,9633,1599,9633,1221xe" filled="false" stroked="true" strokeweight=".590054pt" strokecolor="#c0504d">
              <v:path arrowok="t"/>
              <v:stroke dashstyle="solid"/>
            </v:shape>
            <v:shape style="position:absolute;left:2220;top:1421;width:1157;height:118" coordorigin="2221,1422" coordsize="1157,118" path="m2551,1493l2221,1493,2221,1540,2551,1540,2551,1493m3377,1422l3047,1422,3047,1457,3377,1457,3377,1422e" filled="true" fillcolor="#f8a763" stroked="false">
              <v:path arrowok="t"/>
              <v:fill type="solid"/>
            </v:shape>
            <v:shape style="position:absolute;left:3377;top:1303;width:1311;height:2" coordorigin="3377,1304" coordsize="1311,0" path="m4204,1304l4687,1304m3377,1304l3873,1304e" filled="false" stroked="true" strokeweight=".589983pt" strokecolor="#d9d9d9">
              <v:path arrowok="t"/>
              <v:stroke dashstyle="solid"/>
            </v:shape>
            <v:rect style="position:absolute;left:3873;top:1351;width:331;height:48" filled="true" fillcolor="#f8a763" stroked="false">
              <v:fill type="solid"/>
            </v:rect>
            <v:line style="position:absolute" from="5018,1304" to="5514,1304" stroked="true" strokeweight=".589983pt" strokecolor="#d9d9d9">
              <v:stroke dashstyle="solid"/>
            </v:line>
            <v:shape style="position:absolute;left:4687;top:1351;width:1157;height:177" coordorigin="4687,1351" coordsize="1157,177" path="m5018,1351l4687,1351,4687,1398,5018,1398,5018,1351m5844,1469l5514,1469,5514,1528,5844,1528,5844,1469e" filled="true" fillcolor="#f8a763" stroked="false">
              <v:path arrowok="t"/>
              <v:fill type="solid"/>
            </v:shape>
            <v:line style="position:absolute" from="5844,1304" to="6340,1304" stroked="true" strokeweight=".589983pt" strokecolor="#d9d9d9">
              <v:stroke dashstyle="solid"/>
            </v:line>
            <v:shape style="position:absolute;left:6339;top:1162;width:3624;height:225" coordorigin="6340,1162" coordsize="3624,225" path="m6670,1328l6340,1328,6340,1387,6670,1387,6670,1328m7496,1304l7166,1304,7166,1351,7496,1351,7496,1304m8323,1221l7992,1221,7992,1269,8323,1269,8323,1221m9149,1280l8818,1280,8818,1328,9149,1328,9149,1280m9963,1162l9633,1162,9633,1221,9963,1221,9963,1162e" filled="true" fillcolor="#f8a763" stroked="false">
              <v:path arrowok="t"/>
              <v:fill type="solid"/>
            </v:shape>
            <v:shape style="position:absolute;left:20002;top:-99334;width:624840;height:30480" coordorigin="20002,-99333" coordsize="624840,30480" path="m2221,1493l2551,1493,2551,1540,2221,1540,2221,1493xm3047,1422l3377,1422,3377,1457,3047,1457,3047,1422xm3873,1351l4204,1351,4204,1398,3873,1398,3873,1351xm4687,1351l5018,1351,5018,1398,4687,1398,4687,1351xm5514,1469l5844,1469,5844,1528,5514,1528,5514,1469xm6340,1328l6670,1328,6670,1387,6340,1387,6340,1328xm7166,1304l7496,1304,7496,1351,7166,1351,7166,1304xm7992,1221l8323,1221,8323,1269,7992,1269,7992,1221xm8818,1280l9149,1280,9149,1328,8818,1328,8818,1280xm9633,1162l9963,1162,9963,1221,9633,1221,9633,1162xe" filled="false" stroked="true" strokeweight=".590055pt" strokecolor="#f8a763">
              <v:path arrowok="t"/>
              <v:stroke dashstyle="solid"/>
            </v:shape>
            <v:shape style="position:absolute;left:1972;top:1303;width:1075;height:2" coordorigin="1973,1304" coordsize="1075,0" path="m2551,1304l3047,1304m1973,1304l2221,1304e" filled="false" stroked="true" strokeweight=".589983pt" strokecolor="#d9d9d9">
              <v:path arrowok="t"/>
              <v:stroke dashstyle="solid"/>
            </v:shape>
            <v:shape style="position:absolute;left:2220;top:1221;width:1983;height:272" coordorigin="2221,1221" coordsize="1983,272" path="m2551,1375l2221,1375,2221,1493,2551,1493,2551,1375m3377,1292l3047,1292,3047,1422,3377,1422,3377,1292m4204,1221l3873,1221,3873,1351,4204,1351,4204,1221e" filled="true" fillcolor="#ecb8e7" stroked="false">
              <v:path arrowok="t"/>
              <v:fill type="solid"/>
            </v:shape>
            <v:shape style="position:absolute;left:4687;top:1197;width:1157;height:272" coordorigin="4687,1198" coordsize="1157,272" path="m5018,1198l4687,1198,4687,1351,5018,1351,5018,1198m5844,1245l5514,1245,5514,1469,5844,1469,5844,1245e" filled="true" fillcolor="#ecb8e7" stroked="false">
              <v:path arrowok="t"/>
              <v:fill type="solid"/>
            </v:shape>
            <v:shape style="position:absolute;left:5844;top:1079;width:1322;height:2" coordorigin="5844,1080" coordsize="1322,0" path="m6670,1080l7166,1080m5844,1080l6340,1080e" filled="false" stroked="true" strokeweight=".589983pt" strokecolor="#d9d9d9">
              <v:path arrowok="t"/>
              <v:stroke dashstyle="solid"/>
            </v:shape>
            <v:rect style="position:absolute;left:6339;top:1150;width:331;height:177" filled="true" fillcolor="#ecb8e7" stroked="false">
              <v:fill type="solid"/>
            </v:rect>
            <v:line style="position:absolute" from="7496,1080" to="7992,1080" stroked="true" strokeweight=".589983pt" strokecolor="#d9d9d9">
              <v:stroke dashstyle="solid"/>
            </v:line>
            <v:rect style="position:absolute;left:7165;top:1138;width:331;height:166" filled="true" fillcolor="#ecb8e7" stroked="false">
              <v:fill type="solid"/>
            </v:rect>
            <v:line style="position:absolute" from="8323,1080" to="8818,1080" stroked="true" strokeweight=".589983pt" strokecolor="#d9d9d9">
              <v:stroke dashstyle="solid"/>
            </v:line>
            <v:rect style="position:absolute;left:7992;top:1044;width:331;height:177" filled="true" fillcolor="#ecb8e7" stroked="false">
              <v:fill type="solid"/>
            </v:rect>
            <v:line style="position:absolute" from="9149,1080" to="9633,1080" stroked="true" strokeweight=".589983pt" strokecolor="#d9d9d9">
              <v:stroke dashstyle="solid"/>
            </v:line>
            <v:rect style="position:absolute;left:8818;top:1091;width:331;height:189" filled="true" fillcolor="#ecb8e7" stroked="false">
              <v:fill type="solid"/>
            </v:rect>
            <v:line style="position:absolute" from="9963,1080" to="10211,1080" stroked="true" strokeweight=".589983pt" strokecolor="#d9d9d9">
              <v:stroke dashstyle="solid"/>
            </v:line>
            <v:rect style="position:absolute;left:9632;top:973;width:331;height:189" filled="true" fillcolor="#ecb8e7" stroked="false">
              <v:fill type="solid"/>
            </v:rect>
            <v:shape style="position:absolute;left:20002;top:-95524;width:624840;height:41910" coordorigin="20002,-95523" coordsize="624840,41910" path="m2221,1375l2551,1375,2551,1493,2221,1493,2221,1375xm3047,1292l3377,1292,3377,1422,3047,1422,3047,1292xm3873,1221l4204,1221,4204,1351,3873,1351,3873,1221xm4687,1198l5018,1198,5018,1351,4687,1351,4687,1198xm5514,1245l5844,1245,5844,1469,5514,1469,5514,1245xm6340,1151l6670,1151,6670,1328,6340,1328,6340,1151xm7166,1139l7496,1139,7496,1304,7166,1304,7166,1139xm7992,1044l8323,1044,8323,1221,7992,1221,7992,1044xm8818,1092l9149,1092,9149,1280,8818,1280,8818,1092xm9633,974l9963,974,9963,1162,9633,1162,9633,974xe" filled="false" stroked="true" strokeweight=".590055pt" strokecolor="#ecb8e7">
              <v:path arrowok="t"/>
              <v:stroke dashstyle="solid"/>
            </v:shape>
            <v:line style="position:absolute" from="2221,1369" to="2551,1369" stroked="true" strokeweight=".589981pt" strokecolor="#938953">
              <v:stroke dashstyle="solid"/>
            </v:line>
            <v:line style="position:absolute" from="3047,1286" to="3377,1286" stroked="true" strokeweight=".589981pt" strokecolor="#938953">
              <v:stroke dashstyle="solid"/>
            </v:line>
            <v:shape style="position:absolute;left:3873;top:1132;width:3624;height:83" coordorigin="3873,1133" coordsize="3624,83" path="m3873,1215l4204,1215m4687,1192l5018,1192m7166,1133l7496,1133e" filled="false" stroked="true" strokeweight=".589981pt" strokecolor="#938953">
              <v:path arrowok="t"/>
              <v:stroke dashstyle="solid"/>
            </v:shape>
            <v:line style="position:absolute" from="9633,968" to="9963,968" stroked="true" strokeweight=".589994pt" strokecolor="#938953">
              <v:stroke dashstyle="solid"/>
            </v:line>
            <v:shape style="position:absolute;left:2214;top:955;width:7755;height:425" coordorigin="2215,956" coordsize="7755,425" path="m2557,1357l2215,1357,2215,1381,2557,1381,2557,1357m3383,1274l3041,1274,3041,1298,3383,1298,3383,1274m4209,1204l3867,1204,3867,1227,4209,1227,4209,1204m5024,1180l4682,1180,4682,1204,5024,1204,5024,1180m5850,1227l5508,1227,5508,1251,5850,1251,5850,1227m6676,1133l6334,1133,6334,1157,6676,1157,6676,1133m7502,1121l7160,1121,7160,1145,7502,1145,7502,1121m8329,1027l7986,1027,7986,1050,8329,1050,8329,1027m9155,1074l8812,1074,8812,1098,9155,1098,9155,1074m9969,956l9627,956,9627,980,9969,980,9969,956e" filled="true" fillcolor="#938953" stroked="false">
              <v:path arrowok="t"/>
              <v:fill type="solid"/>
            </v:shape>
            <v:rect style="position:absolute;left:2220;top:1186;width:331;height:177" filled="true" fillcolor="#ffd600" stroked="false">
              <v:fill type="solid"/>
            </v:rect>
            <v:line style="position:absolute" from="1973,1080" to="3873,1080" stroked="true" strokeweight=".589983pt" strokecolor="#d9d9d9">
              <v:stroke dashstyle="solid"/>
            </v:line>
            <v:rect style="position:absolute;left:3046;top:1091;width:331;height:189" filled="true" fillcolor="#ffd600" stroked="false">
              <v:fill type="solid"/>
            </v:rect>
            <v:line style="position:absolute" from="4204,1080" to="4687,1080" stroked="true" strokeweight=".589983pt" strokecolor="#d9d9d9">
              <v:stroke dashstyle="solid"/>
            </v:line>
            <v:rect style="position:absolute;left:3873;top:1009;width:331;height:201" filled="true" fillcolor="#ffd600" stroked="false">
              <v:fill type="solid"/>
            </v:rect>
            <v:line style="position:absolute" from="5018,1080" to="5514,1080" stroked="true" strokeweight=".589983pt" strokecolor="#d9d9d9">
              <v:stroke dashstyle="solid"/>
            </v:line>
            <v:shape style="position:absolute;left:4687;top:961;width:1157;height:284" coordorigin="4687,962" coordsize="1157,284" path="m5018,962l4687,962,4687,1186,5018,1186,5018,962m5844,985l5514,985,5514,1245,5844,1245,5844,985e" filled="true" fillcolor="#ffd600" stroked="false">
              <v:path arrowok="t"/>
              <v:fill type="solid"/>
            </v:shape>
            <v:line style="position:absolute" from="1973,856" to="7992,856" stroked="true" strokeweight=".589983pt" strokecolor="#d9d9d9">
              <v:stroke dashstyle="solid"/>
            </v:line>
            <v:shape style="position:absolute;left:6339;top:891;width:1157;height:260" coordorigin="6340,891" coordsize="1157,260" path="m6670,903l6340,903,6340,1151,6670,1151,6670,903m7496,891l7166,891,7166,1127,7496,1127,7496,891e" filled="true" fillcolor="#ffd600" stroked="false">
              <v:path arrowok="t"/>
              <v:fill type="solid"/>
            </v:shape>
            <v:line style="position:absolute" from="8323,856" to="8818,856" stroked="true" strokeweight=".589983pt" strokecolor="#d9d9d9">
              <v:stroke dashstyle="solid"/>
            </v:line>
            <v:rect style="position:absolute;left:7992;top:808;width:331;height:236" filled="true" fillcolor="#ffd600" stroked="false">
              <v:fill type="solid"/>
            </v:rect>
            <v:line style="position:absolute" from="9149,856" to="9633,856" stroked="true" strokeweight=".589983pt" strokecolor="#d9d9d9">
              <v:stroke dashstyle="solid"/>
            </v:line>
            <v:rect style="position:absolute;left:8818;top:843;width:331;height:248" filled="true" fillcolor="#ffd600" stroked="false">
              <v:fill type="solid"/>
            </v:rect>
            <v:line style="position:absolute" from="9963,856" to="10211,856" stroked="true" strokeweight=".589983pt" strokecolor="#d9d9d9">
              <v:stroke dashstyle="solid"/>
            </v:line>
            <v:rect style="position:absolute;left:9632;top:725;width:331;height:236" filled="true" fillcolor="#ffd600" stroked="false">
              <v:fill type="solid"/>
            </v:rect>
            <v:shape style="position:absolute;left:20103;top:-85525;width:627980;height:51694" coordorigin="20103,-85525" coordsize="627980,51694" path="m2221,1186l2551,1186,2551,1363,2221,1363,2221,1186xm3047,1092l3377,1092,3377,1280,3047,1280,3047,1092xm3873,1009l4204,1009,4204,1210,3873,1210,3873,1009xm4687,962l5018,962,5018,1186,4687,1186,4687,962xm5514,985l5844,985,5844,1245,5514,1245,5514,985xm6340,903l6670,903,6670,1151,6340,1151,6340,903xm7166,891l7496,891,7496,1127,7166,1127,7166,891xm7992,808l8323,808,8323,1044,7992,1044,7992,808xm8818,844l9149,844,9149,1092,8818,1092,8818,844xm9633,726l9963,726,9963,962,9633,962,9633,726xe" filled="false" stroked="true" strokeweight=".590051pt" strokecolor="#ffd600">
              <v:path arrowok="t"/>
              <v:stroke dashstyle="solid"/>
            </v:shape>
            <v:shape style="position:absolute;left:2220;top:749;width:6929;height:437" coordorigin="2221,749" coordsize="6929,437" path="m2551,1162l2221,1162,2221,1186,2551,1186,2551,1162m3377,1068l3047,1068,3047,1092,3377,1092,3377,1068m4204,974l3873,974,3873,1009,4204,1009,4204,974m5018,915l4687,915,4687,962,5018,962,5018,915m5844,950l5514,950,5514,985,5844,985,5844,950m6670,867l6340,867,6340,903,6670,903,6670,867m7496,844l7166,844,7166,891,7496,891,7496,844m8323,749l7992,749,7992,808,8323,808,8323,749m9149,785l8818,785,8818,844,9149,844,9149,785e" filled="true" fillcolor="#000000" stroked="false">
              <v:path arrowok="t"/>
              <v:fill type="solid"/>
            </v:shape>
            <v:line style="position:absolute" from="1973,631" to="10211,631" stroked="true" strokeweight=".589983pt" strokecolor="#d9d9d9">
              <v:stroke dashstyle="solid"/>
            </v:line>
            <v:rect style="position:absolute;left:9632;top:666;width:331;height:59" filled="true" fillcolor="#000000" stroked="false">
              <v:fill type="solid"/>
            </v:rect>
            <v:shape style="position:absolute;left:2214;top:1062;width:1169;height:130" coordorigin="2215,1062" coordsize="1169,130" path="m2557,1157l2215,1157,2215,1192,2557,1192,2557,1157m3383,1062l3041,1062,3041,1098,3383,1098,3383,1062e" filled="true" fillcolor="#000000" stroked="false">
              <v:path arrowok="t"/>
              <v:fill type="solid"/>
            </v:shape>
            <v:shape style="position:absolute;left:154123;top:-56807;width:493960;height:27762" coordorigin="154123,-56806" coordsize="493960,27762" path="m3873,974l4204,974,4204,1009,3873,1009,3873,974xm4687,915l5018,915,5018,962,4687,962,4687,915xm5514,950l5844,950,5844,985,5514,985,5514,950xm6340,867l6670,867,6670,903,6340,903,6340,867xm7166,844l7496,844,7496,891,7166,891,7166,844xm7992,749l8323,749,8323,808,7992,808,7992,749xm8818,785l9149,785,9149,844,8818,844,8818,785xm9633,667l9963,667,9963,726,9633,726,9633,667xe" filled="false" stroked="true" strokeweight=".590051pt" strokecolor="#000000">
              <v:path arrowok="t"/>
              <v:stroke dashstyle="solid"/>
            </v:shape>
            <v:line style="position:absolute" from="1973,2425" to="10211,2425" stroked="true" strokeweight=".589985pt" strokecolor="#d9d9d9">
              <v:stroke dashstyle="solid"/>
            </v:line>
            <v:shape style="position:absolute;left:0;top:-15010;width:651809;height:25214" coordorigin="0,-15009" coordsize="651809,25214" path="m1973,2425l1973,2472m1973,2425l1973,2744m2799,2425l2799,2472m2799,2425l2799,2744m3625,2425l3625,2472m3625,2425l3625,2744m4440,2425l4440,2472m4440,2425l4440,2744m5266,2425l5266,2472m5266,2425l5266,2744m6092,2425l6092,2472m6092,2425l6092,2744m6918,2425l6918,2472m6918,2425l6918,2744m7744,2425l7744,2472m7744,2425l7744,2744m8570,2425l8570,2472m8570,2425l8570,2744m9385,2425l9385,2472m9385,2425l9385,2744m10211,2425l10211,2472m10211,2425l10211,2744e" filled="false" stroked="true" strokeweight=".590053pt" strokecolor="#d9d9d9">
              <v:path arrowok="t"/>
              <v:stroke dashstyle="solid"/>
            </v:shape>
            <v:shape style="position:absolute;left:0;top:-15010;width:651809;height:25214" coordorigin="0,-15009" coordsize="651809,25214" path="m1973,2744l1973,3062m6092,2744l6092,3062m10211,2744l10211,3062e" filled="false" stroked="true" strokeweight=".590053pt" strokecolor="#d9d9d9">
              <v:path arrowok="t"/>
              <v:stroke dashstyle="solid"/>
            </v:shape>
            <v:shape style="position:absolute;left:0;top:148749;width:636216;height:17319" coordorigin="0,148749" coordsize="636216,17319" path="m1973,407l10211,407m1973,183l10211,183e" filled="false" stroked="true" strokeweight=".590053pt" strokecolor="#d9d9d9">
              <v:path arrowok="t"/>
              <v:stroke dashstyle="solid"/>
            </v:shape>
            <v:line style="position:absolute" from="6099,183" to="6092,2430" stroked="true" strokeweight=".590124pt" strokecolor="#a6a6a6">
              <v:stroke dashstyle="solid"/>
            </v:line>
            <v:shape style="position:absolute;left:2217;top:2559;width:351;height:166"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2014</w:t>
                    </w:r>
                  </w:p>
                </w:txbxContent>
              </v:textbox>
              <w10:wrap type="none"/>
            </v:shape>
            <v:shape style="position:absolute;left:3041;top:2559;width:351;height:166"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2015</w:t>
                    </w:r>
                  </w:p>
                </w:txbxContent>
              </v:textbox>
              <w10:wrap type="none"/>
            </v:shape>
            <v:shape style="position:absolute;left:3865;top:2559;width:351;height:166"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2016</w:t>
                    </w:r>
                  </w:p>
                </w:txbxContent>
              </v:textbox>
              <w10:wrap type="none"/>
            </v:shape>
            <v:shape style="position:absolute;left:4690;top:2559;width:351;height:166"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2017</w:t>
                    </w:r>
                  </w:p>
                </w:txbxContent>
              </v:textbox>
              <w10:wrap type="none"/>
            </v:shape>
            <v:shape style="position:absolute;left:5514;top:2559;width:351;height:166"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2018</w:t>
                    </w:r>
                  </w:p>
                </w:txbxContent>
              </v:textbox>
              <w10:wrap type="none"/>
            </v:shape>
            <v:shape style="position:absolute;left:6338;top:2559;width:351;height:166"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2019</w:t>
                    </w:r>
                  </w:p>
                </w:txbxContent>
              </v:textbox>
              <w10:wrap type="none"/>
            </v:shape>
            <v:shape style="position:absolute;left:7162;top:2559;width:351;height:166"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2020</w:t>
                    </w:r>
                  </w:p>
                </w:txbxContent>
              </v:textbox>
              <w10:wrap type="none"/>
            </v:shape>
            <v:shape style="position:absolute;left:7986;top:2559;width:351;height:166"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2021</w:t>
                    </w:r>
                  </w:p>
                </w:txbxContent>
              </v:textbox>
              <w10:wrap type="none"/>
            </v:shape>
            <v:shape style="position:absolute;left:8810;top:2559;width:351;height:166"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2022</w:t>
                    </w:r>
                  </w:p>
                </w:txbxContent>
              </v:textbox>
              <w10:wrap type="none"/>
            </v:shape>
            <v:shape style="position:absolute;left:9634;top:2559;width:351;height:166"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2023</w:t>
                    </w:r>
                  </w:p>
                </w:txbxContent>
              </v:textbox>
              <w10:wrap type="none"/>
            </v:shape>
            <v:shape style="position:absolute;left:3776;top:2877;width:4717;height:166" type="#_x0000_t202" filled="false" stroked="false">
              <v:textbox inset="0,0,0,0">
                <w:txbxContent>
                  <w:p>
                    <w:pPr>
                      <w:tabs>
                        <w:tab w:pos="4054" w:val="left" w:leader="none"/>
                      </w:tabs>
                      <w:spacing w:line="165" w:lineRule="exact" w:before="0"/>
                      <w:ind w:left="0" w:right="0" w:firstLine="0"/>
                      <w:jc w:val="left"/>
                      <w:rPr>
                        <w:rFonts w:ascii="Calibri"/>
                        <w:sz w:val="16"/>
                      </w:rPr>
                    </w:pPr>
                    <w:r>
                      <w:rPr>
                        <w:rFonts w:ascii="Calibri"/>
                        <w:color w:val="585858"/>
                        <w:w w:val="105"/>
                        <w:sz w:val="16"/>
                      </w:rPr>
                      <w:t>Historic</w:t>
                      <w:tab/>
                    </w:r>
                    <w:r>
                      <w:rPr>
                        <w:rFonts w:ascii="Calibri"/>
                        <w:color w:val="585858"/>
                        <w:sz w:val="16"/>
                      </w:rPr>
                      <w:t>Projected</w:t>
                    </w:r>
                  </w:p>
                </w:txbxContent>
              </v:textbox>
              <w10:wrap type="none"/>
            </v:shape>
            <w10:wrap type="none"/>
          </v:group>
        </w:pict>
      </w:r>
      <w:r>
        <w:rPr>
          <w:rFonts w:ascii="Calibri"/>
          <w:color w:val="585858"/>
          <w:spacing w:val="-1"/>
          <w:sz w:val="16"/>
        </w:rPr>
        <w:t>50,000</w:t>
      </w:r>
    </w:p>
    <w:p>
      <w:pPr>
        <w:spacing w:before="29"/>
        <w:ind w:left="0" w:right="10084" w:firstLine="0"/>
        <w:jc w:val="right"/>
        <w:rPr>
          <w:rFonts w:ascii="Calibri"/>
          <w:sz w:val="16"/>
        </w:rPr>
      </w:pPr>
      <w:r>
        <w:rPr>
          <w:rFonts w:ascii="Calibri"/>
          <w:color w:val="585858"/>
          <w:spacing w:val="-1"/>
          <w:sz w:val="16"/>
        </w:rPr>
        <w:t>45,000</w:t>
      </w:r>
    </w:p>
    <w:p>
      <w:pPr>
        <w:spacing w:before="29"/>
        <w:ind w:left="0" w:right="10084" w:firstLine="0"/>
        <w:jc w:val="right"/>
        <w:rPr>
          <w:rFonts w:ascii="Calibri"/>
          <w:sz w:val="16"/>
        </w:rPr>
      </w:pPr>
      <w:r>
        <w:rPr>
          <w:rFonts w:ascii="Calibri"/>
          <w:color w:val="585858"/>
          <w:spacing w:val="-1"/>
          <w:sz w:val="16"/>
        </w:rPr>
        <w:t>40,000</w:t>
      </w:r>
    </w:p>
    <w:p>
      <w:pPr>
        <w:spacing w:before="29"/>
        <w:ind w:left="0" w:right="10084" w:firstLine="0"/>
        <w:jc w:val="right"/>
        <w:rPr>
          <w:rFonts w:ascii="Calibri"/>
          <w:sz w:val="16"/>
        </w:rPr>
      </w:pPr>
      <w:r>
        <w:rPr>
          <w:rFonts w:ascii="Calibri"/>
          <w:color w:val="585858"/>
          <w:spacing w:val="-1"/>
          <w:sz w:val="16"/>
        </w:rPr>
        <w:t>35,000</w:t>
      </w:r>
    </w:p>
    <w:p>
      <w:pPr>
        <w:spacing w:before="29"/>
        <w:ind w:left="0" w:right="10084" w:firstLine="0"/>
        <w:jc w:val="right"/>
        <w:rPr>
          <w:rFonts w:ascii="Calibri"/>
          <w:sz w:val="16"/>
        </w:rPr>
      </w:pPr>
      <w:r>
        <w:rPr>
          <w:rFonts w:ascii="Calibri"/>
          <w:color w:val="585858"/>
          <w:spacing w:val="-1"/>
          <w:sz w:val="16"/>
        </w:rPr>
        <w:t>30,000</w:t>
      </w:r>
    </w:p>
    <w:p>
      <w:pPr>
        <w:spacing w:before="29"/>
        <w:ind w:left="0" w:right="10084" w:firstLine="0"/>
        <w:jc w:val="right"/>
        <w:rPr>
          <w:rFonts w:ascii="Calibri"/>
          <w:sz w:val="16"/>
        </w:rPr>
      </w:pPr>
      <w:r>
        <w:rPr>
          <w:rFonts w:ascii="Calibri"/>
          <w:color w:val="585858"/>
          <w:spacing w:val="-1"/>
          <w:sz w:val="16"/>
        </w:rPr>
        <w:t>25,000</w:t>
      </w:r>
    </w:p>
    <w:p>
      <w:pPr>
        <w:spacing w:before="29"/>
        <w:ind w:left="0" w:right="10084" w:firstLine="0"/>
        <w:jc w:val="right"/>
        <w:rPr>
          <w:rFonts w:ascii="Calibri"/>
          <w:sz w:val="16"/>
        </w:rPr>
      </w:pPr>
      <w:r>
        <w:rPr>
          <w:rFonts w:ascii="Calibri"/>
          <w:color w:val="585858"/>
          <w:spacing w:val="-1"/>
          <w:sz w:val="16"/>
        </w:rPr>
        <w:t>20,000</w:t>
      </w:r>
    </w:p>
    <w:p>
      <w:pPr>
        <w:spacing w:before="30"/>
        <w:ind w:left="0" w:right="10084" w:firstLine="0"/>
        <w:jc w:val="right"/>
        <w:rPr>
          <w:rFonts w:ascii="Calibri"/>
          <w:sz w:val="16"/>
        </w:rPr>
      </w:pPr>
      <w:r>
        <w:rPr>
          <w:rFonts w:ascii="Calibri"/>
          <w:color w:val="585858"/>
          <w:spacing w:val="-1"/>
          <w:sz w:val="16"/>
        </w:rPr>
        <w:t>15,000</w:t>
      </w:r>
    </w:p>
    <w:p>
      <w:pPr>
        <w:spacing w:before="29"/>
        <w:ind w:left="0" w:right="10084" w:firstLine="0"/>
        <w:jc w:val="right"/>
        <w:rPr>
          <w:rFonts w:ascii="Calibri"/>
          <w:sz w:val="16"/>
        </w:rPr>
      </w:pPr>
      <w:r>
        <w:rPr>
          <w:rFonts w:ascii="Calibri"/>
          <w:color w:val="585858"/>
          <w:spacing w:val="-1"/>
          <w:sz w:val="16"/>
        </w:rPr>
        <w:t>10,000</w:t>
      </w:r>
    </w:p>
    <w:p>
      <w:pPr>
        <w:spacing w:before="29"/>
        <w:ind w:left="0" w:right="10083" w:firstLine="0"/>
        <w:jc w:val="right"/>
        <w:rPr>
          <w:rFonts w:ascii="Calibri"/>
          <w:sz w:val="16"/>
        </w:rPr>
      </w:pPr>
      <w:r>
        <w:rPr>
          <w:rFonts w:ascii="Calibri"/>
          <w:color w:val="585858"/>
          <w:spacing w:val="-1"/>
          <w:sz w:val="16"/>
        </w:rPr>
        <w:t>5,000</w:t>
      </w:r>
    </w:p>
    <w:p>
      <w:pPr>
        <w:spacing w:before="29"/>
        <w:ind w:left="0" w:right="10084" w:firstLine="0"/>
        <w:jc w:val="right"/>
        <w:rPr>
          <w:rFonts w:ascii="Calibri"/>
          <w:sz w:val="16"/>
        </w:rPr>
      </w:pPr>
      <w:r>
        <w:rPr>
          <w:rFonts w:ascii="Calibri"/>
          <w:color w:val="585858"/>
          <w:w w:val="103"/>
          <w:sz w:val="16"/>
        </w:rPr>
        <w:t>0</w:t>
      </w:r>
    </w:p>
    <w:p>
      <w:pPr>
        <w:pStyle w:val="BodyText"/>
        <w:rPr>
          <w:rFonts w:ascii="Calibri"/>
        </w:rPr>
      </w:pPr>
    </w:p>
    <w:p>
      <w:pPr>
        <w:pStyle w:val="BodyText"/>
        <w:spacing w:before="5"/>
        <w:rPr>
          <w:rFonts w:ascii="Calibri"/>
          <w:sz w:val="26"/>
        </w:rPr>
      </w:pPr>
    </w:p>
    <w:p>
      <w:pPr>
        <w:spacing w:before="61"/>
        <w:ind w:left="1602" w:right="1416" w:firstLine="0"/>
        <w:jc w:val="center"/>
        <w:rPr>
          <w:rFonts w:ascii="Calibri"/>
          <w:b/>
          <w:sz w:val="19"/>
        </w:rPr>
      </w:pPr>
      <w:r>
        <w:rPr>
          <w:rFonts w:ascii="Calibri"/>
          <w:b/>
          <w:color w:val="585858"/>
          <w:sz w:val="19"/>
        </w:rPr>
        <w:t>Year Ending 30 June</w:t>
      </w:r>
    </w:p>
    <w:p>
      <w:pPr>
        <w:pStyle w:val="BodyText"/>
        <w:spacing w:before="8"/>
        <w:rPr>
          <w:rFonts w:ascii="Calibri"/>
          <w:b/>
          <w:sz w:val="8"/>
        </w:rPr>
      </w:pPr>
    </w:p>
    <w:p>
      <w:pPr>
        <w:spacing w:before="76"/>
        <w:ind w:left="1033" w:right="0" w:firstLine="0"/>
        <w:jc w:val="left"/>
        <w:rPr>
          <w:rFonts w:ascii="Calibri"/>
          <w:sz w:val="12"/>
        </w:rPr>
      </w:pPr>
      <w:r>
        <w:rPr>
          <w:rFonts w:ascii="Calibri"/>
          <w:sz w:val="12"/>
        </w:rPr>
        <w:t>Class key:</w:t>
      </w:r>
    </w:p>
    <w:p>
      <w:pPr>
        <w:tabs>
          <w:tab w:pos="2696" w:val="left" w:leader="none"/>
          <w:tab w:pos="4142" w:val="left" w:leader="none"/>
          <w:tab w:pos="5588" w:val="left" w:leader="none"/>
          <w:tab w:pos="7034" w:val="left" w:leader="none"/>
          <w:tab w:pos="8480" w:val="left" w:leader="none"/>
        </w:tabs>
        <w:spacing w:before="46"/>
        <w:ind w:left="1251" w:right="0" w:firstLine="0"/>
        <w:jc w:val="left"/>
        <w:rPr>
          <w:rFonts w:ascii="Calibri"/>
          <w:sz w:val="12"/>
        </w:rPr>
      </w:pPr>
      <w:r>
        <w:rPr/>
        <w:pict>
          <v:group style="position:absolute;margin-left:56.853794pt;margin-top:1.603611pt;width:10.95pt;height:18.850pt;mso-position-horizontal-relative:page;mso-position-vertical-relative:paragraph;z-index:252347392" coordorigin="1137,32" coordsize="219,377">
            <v:rect style="position:absolute;left:1137;top:32;width:219;height:169" filled="true" fillcolor="#1f487c" stroked="false">
              <v:fill type="solid"/>
            </v:rect>
            <v:rect style="position:absolute;left:1137;top:240;width:219;height:169" filled="true" fillcolor="#f8a763" stroked="false">
              <v:fill type="solid"/>
            </v:rect>
            <w10:wrap type="none"/>
          </v:group>
        </w:pict>
      </w:r>
      <w:r>
        <w:rPr/>
        <w:pict>
          <v:group style="position:absolute;margin-left:128.739838pt;margin-top:1.603611pt;width:11.35pt;height:18.850pt;mso-position-horizontal-relative:page;mso-position-vertical-relative:paragraph;z-index:-287554560" coordorigin="2575,32" coordsize="227,377">
            <v:rect style="position:absolute;left:2574;top:32;width:227;height:169" filled="true" fillcolor="#009544" stroked="false">
              <v:fill type="solid"/>
            </v:rect>
            <v:rect style="position:absolute;left:2574;top:240;width:227;height:169" filled="true" fillcolor="#ecb8e7" stroked="false">
              <v:fill type="solid"/>
            </v:rect>
            <w10:wrap type="none"/>
          </v:group>
        </w:pict>
      </w:r>
      <w:r>
        <w:rPr/>
        <w:pict>
          <v:group style="position:absolute;margin-left:201.029755pt;margin-top:1.603611pt;width:11.35pt;height:18.850pt;mso-position-horizontal-relative:page;mso-position-vertical-relative:paragraph;z-index:-287553536" coordorigin="4021,32" coordsize="227,377">
            <v:rect style="position:absolute;left:4020;top:32;width:227;height:169" filled="true" fillcolor="#e16b09" stroked="false">
              <v:fill type="solid"/>
            </v:rect>
            <v:rect style="position:absolute;left:4020;top:240;width:227;height:169" filled="true" fillcolor="#938953" stroked="false">
              <v:fill type="solid"/>
            </v:rect>
            <w10:wrap type="none"/>
          </v:group>
        </w:pict>
      </w:r>
      <w:r>
        <w:rPr/>
        <w:pict>
          <v:group style="position:absolute;margin-left:273.319641pt;margin-top:1.603611pt;width:11.35pt;height:18.850pt;mso-position-horizontal-relative:page;mso-position-vertical-relative:paragraph;z-index:-287552512" coordorigin="5466,32" coordsize="227,377">
            <v:rect style="position:absolute;left:5466;top:32;width:227;height:169" filled="true" fillcolor="#e08ad6" stroked="false">
              <v:fill type="solid"/>
            </v:rect>
            <v:rect style="position:absolute;left:5466;top:240;width:227;height:169" filled="true" fillcolor="#ffd600" stroked="false">
              <v:fill type="solid"/>
            </v:rect>
            <w10:wrap type="none"/>
          </v:group>
        </w:pict>
      </w:r>
      <w:r>
        <w:rPr/>
        <w:pict>
          <v:group style="position:absolute;margin-left:345.609558pt;margin-top:1.603611pt;width:11.35pt;height:18.850pt;mso-position-horizontal-relative:page;mso-position-vertical-relative:paragraph;z-index:-287551488" coordorigin="6912,32" coordsize="227,377">
            <v:rect style="position:absolute;left:6912;top:32;width:227;height:169" filled="true" fillcolor="#8063a1" stroked="false">
              <v:fill type="solid"/>
            </v:rect>
            <v:rect style="position:absolute;left:6912;top:240;width:227;height:169" filled="true" fillcolor="#000000" stroked="false">
              <v:fill type="solid"/>
            </v:rect>
            <w10:wrap type="none"/>
          </v:group>
        </w:pict>
      </w:r>
      <w:r>
        <w:rPr/>
        <w:pict>
          <v:group style="position:absolute;margin-left:417.899475pt;margin-top:1.603611pt;width:11.35pt;height:18.850pt;mso-position-horizontal-relative:page;mso-position-vertical-relative:paragraph;z-index:-287550464" coordorigin="8358,32" coordsize="227,377">
            <v:rect style="position:absolute;left:8357;top:32;width:227;height:169" filled="true" fillcolor="#c0504d" stroked="false">
              <v:fill type="solid"/>
            </v:rect>
            <v:rect style="position:absolute;left:8357;top:240;width:227;height:169" filled="true" fillcolor="#ffeb8f" stroked="false">
              <v:fill type="solid"/>
            </v:rect>
            <w10:wrap type="none"/>
          </v:group>
        </w:pict>
      </w:r>
      <w:r>
        <w:rPr>
          <w:rFonts w:ascii="Calibri"/>
          <w:sz w:val="12"/>
        </w:rPr>
        <w:t>1</w:t>
      </w:r>
      <w:r>
        <w:rPr>
          <w:rFonts w:ascii="Calibri"/>
          <w:spacing w:val="-7"/>
          <w:sz w:val="12"/>
        </w:rPr>
        <w:t> </w:t>
      </w:r>
      <w:r>
        <w:rPr>
          <w:rFonts w:ascii="Calibri"/>
          <w:sz w:val="12"/>
        </w:rPr>
        <w:t>-</w:t>
      </w:r>
      <w:r>
        <w:rPr>
          <w:rFonts w:ascii="Calibri"/>
          <w:spacing w:val="2"/>
          <w:sz w:val="12"/>
        </w:rPr>
        <w:t> </w:t>
      </w:r>
      <w:r>
        <w:rPr>
          <w:rFonts w:ascii="Calibri"/>
          <w:sz w:val="12"/>
        </w:rPr>
        <w:t>Studying</w:t>
        <w:tab/>
        <w:t>2 -</w:t>
      </w:r>
      <w:r>
        <w:rPr>
          <w:rFonts w:ascii="Calibri"/>
          <w:spacing w:val="-6"/>
          <w:sz w:val="12"/>
        </w:rPr>
        <w:t> </w:t>
      </w:r>
      <w:r>
        <w:rPr>
          <w:rFonts w:ascii="Calibri"/>
          <w:sz w:val="12"/>
        </w:rPr>
        <w:t>Working</w:t>
      </w:r>
      <w:r>
        <w:rPr>
          <w:rFonts w:ascii="Calibri"/>
          <w:spacing w:val="-3"/>
          <w:sz w:val="12"/>
        </w:rPr>
        <w:t> </w:t>
      </w:r>
      <w:r>
        <w:rPr>
          <w:rFonts w:ascii="Calibri"/>
          <w:sz w:val="12"/>
        </w:rPr>
        <w:t>Age</w:t>
        <w:tab/>
        <w:t>3</w:t>
      </w:r>
      <w:r>
        <w:rPr>
          <w:rFonts w:ascii="Calibri"/>
          <w:spacing w:val="-7"/>
          <w:sz w:val="12"/>
        </w:rPr>
        <w:t> </w:t>
      </w:r>
      <w:r>
        <w:rPr>
          <w:rFonts w:ascii="Calibri"/>
          <w:sz w:val="12"/>
        </w:rPr>
        <w:t>-</w:t>
      </w:r>
      <w:r>
        <w:rPr>
          <w:rFonts w:ascii="Calibri"/>
          <w:spacing w:val="1"/>
          <w:sz w:val="12"/>
        </w:rPr>
        <w:t> </w:t>
      </w:r>
      <w:r>
        <w:rPr>
          <w:rFonts w:ascii="Calibri"/>
          <w:sz w:val="12"/>
        </w:rPr>
        <w:t>Parents</w:t>
        <w:tab/>
        <w:t>4</w:t>
      </w:r>
      <w:r>
        <w:rPr>
          <w:rFonts w:ascii="Calibri"/>
          <w:spacing w:val="-8"/>
          <w:sz w:val="12"/>
        </w:rPr>
        <w:t> </w:t>
      </w:r>
      <w:r>
        <w:rPr>
          <w:rFonts w:ascii="Calibri"/>
          <w:sz w:val="12"/>
        </w:rPr>
        <w:t>- Carers</w:t>
        <w:tab/>
        <w:t>5 -</w:t>
      </w:r>
      <w:r>
        <w:rPr>
          <w:rFonts w:ascii="Calibri"/>
          <w:spacing w:val="-2"/>
          <w:sz w:val="12"/>
        </w:rPr>
        <w:t> </w:t>
      </w:r>
      <w:r>
        <w:rPr>
          <w:rFonts w:ascii="Calibri"/>
          <w:sz w:val="12"/>
        </w:rPr>
        <w:t>Disability</w:t>
      </w:r>
      <w:r>
        <w:rPr>
          <w:rFonts w:ascii="Calibri"/>
          <w:spacing w:val="1"/>
          <w:sz w:val="12"/>
        </w:rPr>
        <w:t> </w:t>
      </w:r>
      <w:r>
        <w:rPr>
          <w:rFonts w:ascii="Calibri"/>
          <w:sz w:val="12"/>
        </w:rPr>
        <w:t>Support</w:t>
        <w:tab/>
        <w:t>6 - Pension</w:t>
      </w:r>
      <w:r>
        <w:rPr>
          <w:rFonts w:ascii="Calibri"/>
          <w:spacing w:val="-11"/>
          <w:sz w:val="12"/>
        </w:rPr>
        <w:t> </w:t>
      </w:r>
      <w:r>
        <w:rPr>
          <w:rFonts w:ascii="Calibri"/>
          <w:sz w:val="12"/>
        </w:rPr>
        <w:t>Age</w:t>
      </w:r>
    </w:p>
    <w:p>
      <w:pPr>
        <w:spacing w:after="0"/>
        <w:jc w:val="left"/>
        <w:rPr>
          <w:rFonts w:ascii="Calibri"/>
          <w:sz w:val="12"/>
        </w:rPr>
        <w:sectPr>
          <w:pgSz w:w="11910" w:h="16850"/>
          <w:pgMar w:header="572" w:footer="581" w:top="780" w:bottom="780" w:left="120" w:right="0"/>
        </w:sectPr>
      </w:pPr>
    </w:p>
    <w:p>
      <w:pPr>
        <w:spacing w:before="62"/>
        <w:ind w:left="1251" w:right="0" w:firstLine="0"/>
        <w:jc w:val="left"/>
        <w:rPr>
          <w:rFonts w:ascii="Calibri"/>
          <w:sz w:val="12"/>
        </w:rPr>
      </w:pPr>
      <w:r>
        <w:rPr>
          <w:rFonts w:ascii="Calibri"/>
          <w:sz w:val="12"/>
        </w:rPr>
        <w:t>7 - Non IS Family</w:t>
      </w:r>
    </w:p>
    <w:p>
      <w:pPr>
        <w:pStyle w:val="ListParagraph"/>
        <w:numPr>
          <w:ilvl w:val="0"/>
          <w:numId w:val="49"/>
        </w:numPr>
        <w:tabs>
          <w:tab w:pos="665" w:val="left" w:leader="none"/>
        </w:tabs>
        <w:spacing w:line="240" w:lineRule="auto" w:before="62" w:after="0"/>
        <w:ind w:left="664" w:right="0" w:hanging="82"/>
        <w:jc w:val="left"/>
        <w:rPr>
          <w:rFonts w:ascii="Calibri"/>
          <w:sz w:val="12"/>
        </w:rPr>
      </w:pPr>
      <w:r>
        <w:rPr>
          <w:rFonts w:ascii="Calibri"/>
          <w:w w:val="100"/>
          <w:sz w:val="12"/>
        </w:rPr>
        <w:br w:type="column"/>
      </w:r>
      <w:r>
        <w:rPr>
          <w:rFonts w:ascii="Calibri"/>
          <w:sz w:val="12"/>
        </w:rPr>
        <w:t>- Non IS</w:t>
      </w:r>
      <w:r>
        <w:rPr>
          <w:rFonts w:ascii="Calibri"/>
          <w:spacing w:val="2"/>
          <w:sz w:val="12"/>
        </w:rPr>
        <w:t> </w:t>
      </w:r>
      <w:r>
        <w:rPr>
          <w:rFonts w:ascii="Calibri"/>
          <w:spacing w:val="-3"/>
          <w:sz w:val="12"/>
        </w:rPr>
        <w:t>Carer</w:t>
      </w:r>
    </w:p>
    <w:p>
      <w:pPr>
        <w:pStyle w:val="ListParagraph"/>
        <w:numPr>
          <w:ilvl w:val="0"/>
          <w:numId w:val="49"/>
        </w:numPr>
        <w:tabs>
          <w:tab w:pos="726" w:val="left" w:leader="none"/>
        </w:tabs>
        <w:spacing w:line="240" w:lineRule="auto" w:before="62" w:after="0"/>
        <w:ind w:left="725" w:right="0" w:hanging="82"/>
        <w:jc w:val="left"/>
        <w:rPr>
          <w:rFonts w:ascii="Calibri"/>
          <w:sz w:val="12"/>
        </w:rPr>
      </w:pPr>
      <w:r>
        <w:rPr>
          <w:rFonts w:ascii="Calibri"/>
          <w:w w:val="100"/>
          <w:sz w:val="12"/>
        </w:rPr>
        <w:br w:type="column"/>
      </w:r>
      <w:r>
        <w:rPr>
          <w:rFonts w:ascii="Calibri"/>
          <w:sz w:val="12"/>
        </w:rPr>
        <w:t>- Non IS</w:t>
      </w:r>
      <w:r>
        <w:rPr>
          <w:rFonts w:ascii="Calibri"/>
          <w:spacing w:val="5"/>
          <w:sz w:val="12"/>
        </w:rPr>
        <w:t> </w:t>
      </w:r>
      <w:r>
        <w:rPr>
          <w:rFonts w:ascii="Calibri"/>
          <w:spacing w:val="-3"/>
          <w:sz w:val="12"/>
        </w:rPr>
        <w:t>Other</w:t>
      </w:r>
    </w:p>
    <w:p>
      <w:pPr>
        <w:pStyle w:val="ListParagraph"/>
        <w:numPr>
          <w:ilvl w:val="0"/>
          <w:numId w:val="49"/>
        </w:numPr>
        <w:tabs>
          <w:tab w:pos="759" w:val="left" w:leader="none"/>
        </w:tabs>
        <w:spacing w:line="261" w:lineRule="auto" w:before="62" w:after="0"/>
        <w:ind w:left="620" w:right="0" w:firstLine="0"/>
        <w:jc w:val="left"/>
        <w:rPr>
          <w:rFonts w:ascii="Calibri"/>
          <w:sz w:val="12"/>
        </w:rPr>
      </w:pPr>
      <w:r>
        <w:rPr>
          <w:rFonts w:ascii="Calibri"/>
          <w:w w:val="100"/>
          <w:sz w:val="12"/>
        </w:rPr>
        <w:br w:type="column"/>
      </w:r>
      <w:r>
        <w:rPr>
          <w:rFonts w:ascii="Calibri"/>
          <w:sz w:val="12"/>
        </w:rPr>
        <w:t>- Previous Welfare Recipient</w:t>
      </w:r>
    </w:p>
    <w:p>
      <w:pPr>
        <w:pStyle w:val="ListParagraph"/>
        <w:numPr>
          <w:ilvl w:val="0"/>
          <w:numId w:val="49"/>
        </w:numPr>
        <w:tabs>
          <w:tab w:pos="482" w:val="left" w:leader="none"/>
        </w:tabs>
        <w:spacing w:line="240" w:lineRule="auto" w:before="62" w:after="0"/>
        <w:ind w:left="481" w:right="0" w:hanging="139"/>
        <w:jc w:val="left"/>
        <w:rPr>
          <w:rFonts w:ascii="Calibri"/>
          <w:sz w:val="12"/>
        </w:rPr>
      </w:pPr>
      <w:r>
        <w:rPr>
          <w:rFonts w:ascii="Calibri"/>
          <w:w w:val="100"/>
          <w:sz w:val="12"/>
        </w:rPr>
        <w:br w:type="column"/>
      </w:r>
      <w:r>
        <w:rPr>
          <w:rFonts w:ascii="Calibri"/>
          <w:sz w:val="12"/>
        </w:rPr>
        <w:t>-</w:t>
      </w:r>
      <w:r>
        <w:rPr>
          <w:rFonts w:ascii="Calibri"/>
          <w:spacing w:val="3"/>
          <w:sz w:val="12"/>
        </w:rPr>
        <w:t> </w:t>
      </w:r>
      <w:r>
        <w:rPr>
          <w:rFonts w:ascii="Calibri"/>
          <w:spacing w:val="-5"/>
          <w:sz w:val="12"/>
        </w:rPr>
        <w:t>Dead</w:t>
      </w:r>
    </w:p>
    <w:p>
      <w:pPr>
        <w:pStyle w:val="ListParagraph"/>
        <w:numPr>
          <w:ilvl w:val="0"/>
          <w:numId w:val="49"/>
        </w:numPr>
        <w:tabs>
          <w:tab w:pos="1084" w:val="left" w:leader="none"/>
        </w:tabs>
        <w:spacing w:line="261" w:lineRule="auto" w:before="62" w:after="0"/>
        <w:ind w:left="946" w:right="2473" w:firstLine="0"/>
        <w:jc w:val="left"/>
        <w:rPr>
          <w:rFonts w:ascii="Calibri"/>
          <w:sz w:val="12"/>
        </w:rPr>
      </w:pPr>
      <w:r>
        <w:rPr>
          <w:rFonts w:ascii="Calibri"/>
          <w:w w:val="100"/>
          <w:sz w:val="12"/>
        </w:rPr>
        <w:br w:type="column"/>
      </w:r>
      <w:r>
        <w:rPr>
          <w:rFonts w:ascii="Calibri"/>
          <w:sz w:val="12"/>
        </w:rPr>
        <w:t>- Rest of Aust. Population</w:t>
      </w:r>
    </w:p>
    <w:p>
      <w:pPr>
        <w:spacing w:after="0" w:line="261" w:lineRule="auto"/>
        <w:jc w:val="left"/>
        <w:rPr>
          <w:rFonts w:ascii="Calibri"/>
          <w:sz w:val="12"/>
        </w:rPr>
        <w:sectPr>
          <w:type w:val="continuous"/>
          <w:pgSz w:w="11910" w:h="16850"/>
          <w:pgMar w:top="1600" w:bottom="280" w:left="120" w:right="0"/>
          <w:cols w:num="6" w:equalWidth="0">
            <w:col w:w="2074" w:space="40"/>
            <w:col w:w="1345" w:space="39"/>
            <w:col w:w="1430" w:space="40"/>
            <w:col w:w="1683" w:space="39"/>
            <w:col w:w="804" w:space="40"/>
            <w:col w:w="4256"/>
          </w:cols>
        </w:sectPr>
      </w:pPr>
    </w:p>
    <w:p>
      <w:pPr>
        <w:pStyle w:val="BodyText"/>
        <w:rPr>
          <w:rFonts w:ascii="Calibri"/>
        </w:rPr>
      </w:pPr>
    </w:p>
    <w:p>
      <w:pPr>
        <w:pStyle w:val="BodyText"/>
        <w:spacing w:before="9"/>
        <w:rPr>
          <w:rFonts w:ascii="Calibri"/>
          <w:sz w:val="19"/>
        </w:rPr>
      </w:pPr>
    </w:p>
    <w:p>
      <w:pPr>
        <w:pStyle w:val="BodyText"/>
        <w:ind w:left="900" w:right="1532"/>
      </w:pPr>
      <w:r>
        <w:rPr>
          <w:color w:val="404040"/>
        </w:rPr>
        <w:t>We can see that people in this class primarily came from another income support class, in particular from Working Age or Parents. A significant proportion also enter this class from the non income support Carers class.</w:t>
      </w:r>
    </w:p>
    <w:p>
      <w:pPr>
        <w:pStyle w:val="BodyText"/>
        <w:spacing w:before="121"/>
        <w:ind w:left="900" w:right="1131"/>
      </w:pPr>
      <w:r>
        <w:rPr>
          <w:color w:val="404040"/>
        </w:rPr>
        <w:t>The number of exits in recent years has been consistently less than the number of entrants, which has caused year on year growth in the class. This is projected to continue, although not as rapidly as in the past since entrant numbers are trending down.</w:t>
      </w:r>
    </w:p>
    <w:p>
      <w:pPr>
        <w:pStyle w:val="BodyText"/>
        <w:spacing w:before="119"/>
        <w:ind w:left="899" w:right="1110"/>
      </w:pPr>
      <w:r>
        <w:rPr>
          <w:color w:val="404040"/>
        </w:rPr>
        <w:t>The projected entries in 2019 are above the level seen in 2018. This is because, at this stage, we do not believe there is enough experience to assume that the entries will continue at the low level seen in 2018. Instead, a slightly higher level of entries is projected forward, which gives some credit to the higher levels seen in previous years. Additionally the 2018 year is impacted by data maturity and likely understated, and an adjustment has been carried out in to increase entries in the 2019 projection in order to compensate; these factors act to increase the difference seen between the 2018 historic level and the 2019 projected level.</w:t>
      </w:r>
    </w:p>
    <w:p>
      <w:pPr>
        <w:pStyle w:val="BodyText"/>
        <w:spacing w:before="121"/>
        <w:ind w:left="899" w:right="1073"/>
      </w:pPr>
      <w:r>
        <w:rPr>
          <w:color w:val="404040"/>
        </w:rPr>
        <w:t>People in this class show more limited mobility compared to some of the other classes. The main exits from the class are through retirement or movement to the Working Age class; a lower proportion of people from the class directly exit the welfare system. Some also exit to the Parenting or non income support Carers</w:t>
      </w:r>
      <w:r>
        <w:rPr>
          <w:color w:val="404040"/>
          <w:spacing w:val="-40"/>
        </w:rPr>
        <w:t> </w:t>
      </w:r>
      <w:r>
        <w:rPr>
          <w:color w:val="404040"/>
        </w:rPr>
        <w:t>classes.</w:t>
      </w:r>
    </w:p>
    <w:p>
      <w:pPr>
        <w:spacing w:after="0"/>
        <w:sectPr>
          <w:type w:val="continuous"/>
          <w:pgSz w:w="11910" w:h="16850"/>
          <w:pgMar w:top="1600" w:bottom="280" w:left="120" w:right="0"/>
        </w:sectPr>
      </w:pPr>
    </w:p>
    <w:p>
      <w:pPr>
        <w:pStyle w:val="BodyText"/>
      </w:pPr>
    </w:p>
    <w:p>
      <w:pPr>
        <w:pStyle w:val="BodyText"/>
      </w:pPr>
    </w:p>
    <w:p>
      <w:pPr>
        <w:pStyle w:val="BodyText"/>
        <w:spacing w:before="7"/>
        <w:rPr>
          <w:sz w:val="21"/>
        </w:rPr>
      </w:pPr>
    </w:p>
    <w:p>
      <w:pPr>
        <w:pStyle w:val="Heading6"/>
        <w:spacing w:before="94"/>
        <w:rPr>
          <w:i/>
        </w:rPr>
      </w:pPr>
      <w:r>
        <w:rPr>
          <w:i/>
          <w:color w:val="DF2F1E"/>
        </w:rPr>
        <w:t>Payments received</w:t>
      </w:r>
    </w:p>
    <w:p>
      <w:pPr>
        <w:pStyle w:val="BodyText"/>
        <w:spacing w:before="121"/>
        <w:ind w:left="900" w:right="1175"/>
      </w:pPr>
      <w:r>
        <w:rPr>
          <w:color w:val="404040"/>
        </w:rPr>
        <w:t>During 2017/18, people in this class received a total of $8.1 billion. This is 7.0% of the total payments made in 2017/18. The charts below show the average amount paid in a year to each person in this</w:t>
      </w:r>
      <w:r>
        <w:rPr>
          <w:color w:val="404040"/>
          <w:spacing w:val="-21"/>
        </w:rPr>
        <w:t> </w:t>
      </w:r>
      <w:r>
        <w:rPr>
          <w:color w:val="404040"/>
        </w:rPr>
        <w:t>class.</w:t>
      </w:r>
    </w:p>
    <w:p>
      <w:pPr>
        <w:pStyle w:val="Heading9"/>
        <w:spacing w:before="176"/>
      </w:pPr>
      <w:r>
        <w:rPr>
          <w:color w:val="DF2F1E"/>
        </w:rPr>
        <w:t>Figure 63: Average payments per person in class 4 – Carers (restated to 2017/18 $</w:t>
      </w:r>
      <w:r>
        <w:rPr>
          <w:color w:val="DF2F1E"/>
          <w:spacing w:val="-40"/>
        </w:rPr>
        <w:t> </w:t>
      </w:r>
      <w:r>
        <w:rPr>
          <w:color w:val="DF2F1E"/>
        </w:rPr>
        <w:t>values)</w:t>
      </w:r>
    </w:p>
    <w:p>
      <w:pPr>
        <w:pStyle w:val="BodyText"/>
        <w:spacing w:before="8"/>
        <w:rPr>
          <w:b/>
          <w:sz w:val="22"/>
        </w:rPr>
      </w:pPr>
    </w:p>
    <w:p>
      <w:pPr>
        <w:spacing w:before="71"/>
        <w:ind w:left="1042" w:right="0" w:firstLine="0"/>
        <w:jc w:val="left"/>
        <w:rPr>
          <w:rFonts w:ascii="Calibri"/>
          <w:sz w:val="15"/>
        </w:rPr>
      </w:pPr>
      <w:r>
        <w:rPr/>
        <w:pict>
          <v:group style="position:absolute;margin-left:88.370232pt;margin-top:7.987803pt;width:420.25pt;height:141.15pt;mso-position-horizontal-relative:page;mso-position-vertical-relative:paragraph;z-index:252364800" coordorigin="1767,160" coordsize="8405,2823">
            <v:shape style="position:absolute;left:1767;top:159;width:8405;height:2823" type="#_x0000_t75" stroked="false">
              <v:imagedata r:id="rId126" o:title=""/>
            </v:shape>
            <v:shape style="position:absolute;left:2080;top:2513;width:332;height:152" type="#_x0000_t202" filled="false" stroked="false">
              <v:textbox inset="0,0,0,0">
                <w:txbxContent>
                  <w:p>
                    <w:pPr>
                      <w:spacing w:line="152" w:lineRule="exact" w:before="0"/>
                      <w:ind w:left="0" w:right="0" w:firstLine="0"/>
                      <w:jc w:val="left"/>
                      <w:rPr>
                        <w:rFonts w:ascii="Calibri"/>
                        <w:sz w:val="15"/>
                      </w:rPr>
                    </w:pPr>
                    <w:r>
                      <w:rPr>
                        <w:rFonts w:ascii="Calibri"/>
                        <w:color w:val="585858"/>
                        <w:sz w:val="15"/>
                      </w:rPr>
                      <w:t>2014</w:t>
                    </w:r>
                  </w:p>
                </w:txbxContent>
              </v:textbox>
              <w10:wrap type="none"/>
            </v:shape>
            <v:shape style="position:absolute;left:2914;top:2513;width:332;height:152" type="#_x0000_t202" filled="false" stroked="false">
              <v:textbox inset="0,0,0,0">
                <w:txbxContent>
                  <w:p>
                    <w:pPr>
                      <w:spacing w:line="152" w:lineRule="exact" w:before="0"/>
                      <w:ind w:left="0" w:right="0" w:firstLine="0"/>
                      <w:jc w:val="left"/>
                      <w:rPr>
                        <w:rFonts w:ascii="Calibri"/>
                        <w:sz w:val="15"/>
                      </w:rPr>
                    </w:pPr>
                    <w:r>
                      <w:rPr>
                        <w:rFonts w:ascii="Calibri"/>
                        <w:color w:val="585858"/>
                        <w:sz w:val="15"/>
                      </w:rPr>
                      <w:t>2015</w:t>
                    </w:r>
                  </w:p>
                </w:txbxContent>
              </v:textbox>
              <w10:wrap type="none"/>
            </v:shape>
            <v:shape style="position:absolute;left:3748;top:2514;width:332;height:152" type="#_x0000_t202" filled="false" stroked="false">
              <v:textbox inset="0,0,0,0">
                <w:txbxContent>
                  <w:p>
                    <w:pPr>
                      <w:spacing w:line="152" w:lineRule="exact" w:before="0"/>
                      <w:ind w:left="0" w:right="0" w:firstLine="0"/>
                      <w:jc w:val="left"/>
                      <w:rPr>
                        <w:rFonts w:ascii="Calibri"/>
                        <w:sz w:val="15"/>
                      </w:rPr>
                    </w:pPr>
                    <w:r>
                      <w:rPr>
                        <w:rFonts w:ascii="Calibri"/>
                        <w:color w:val="585858"/>
                        <w:sz w:val="15"/>
                      </w:rPr>
                      <w:t>2016</w:t>
                    </w:r>
                  </w:p>
                </w:txbxContent>
              </v:textbox>
              <w10:wrap type="none"/>
            </v:shape>
            <v:shape style="position:absolute;left:4583;top:2514;width:332;height:152" type="#_x0000_t202" filled="false" stroked="false">
              <v:textbox inset="0,0,0,0">
                <w:txbxContent>
                  <w:p>
                    <w:pPr>
                      <w:spacing w:line="152" w:lineRule="exact" w:before="0"/>
                      <w:ind w:left="0" w:right="0" w:firstLine="0"/>
                      <w:jc w:val="left"/>
                      <w:rPr>
                        <w:rFonts w:ascii="Calibri"/>
                        <w:sz w:val="15"/>
                      </w:rPr>
                    </w:pPr>
                    <w:r>
                      <w:rPr>
                        <w:rFonts w:ascii="Calibri"/>
                        <w:color w:val="585858"/>
                        <w:sz w:val="15"/>
                      </w:rPr>
                      <w:t>2017</w:t>
                    </w:r>
                  </w:p>
                </w:txbxContent>
              </v:textbox>
              <w10:wrap type="none"/>
            </v:shape>
            <v:shape style="position:absolute;left:5417;top:2514;width:332;height:152" type="#_x0000_t202" filled="false" stroked="false">
              <v:textbox inset="0,0,0,0">
                <w:txbxContent>
                  <w:p>
                    <w:pPr>
                      <w:spacing w:line="152" w:lineRule="exact" w:before="0"/>
                      <w:ind w:left="0" w:right="0" w:firstLine="0"/>
                      <w:jc w:val="left"/>
                      <w:rPr>
                        <w:rFonts w:ascii="Calibri"/>
                        <w:sz w:val="15"/>
                      </w:rPr>
                    </w:pPr>
                    <w:r>
                      <w:rPr>
                        <w:rFonts w:ascii="Calibri"/>
                        <w:color w:val="585858"/>
                        <w:sz w:val="15"/>
                      </w:rPr>
                      <w:t>2018</w:t>
                    </w:r>
                  </w:p>
                </w:txbxContent>
              </v:textbox>
              <w10:wrap type="none"/>
            </v:shape>
            <v:shape style="position:absolute;left:6251;top:2513;width:332;height:152" type="#_x0000_t202" filled="false" stroked="false">
              <v:textbox inset="0,0,0,0">
                <w:txbxContent>
                  <w:p>
                    <w:pPr>
                      <w:spacing w:line="152" w:lineRule="exact" w:before="0"/>
                      <w:ind w:left="0" w:right="0" w:firstLine="0"/>
                      <w:jc w:val="left"/>
                      <w:rPr>
                        <w:rFonts w:ascii="Calibri"/>
                        <w:sz w:val="15"/>
                      </w:rPr>
                    </w:pPr>
                    <w:r>
                      <w:rPr>
                        <w:rFonts w:ascii="Calibri"/>
                        <w:color w:val="585858"/>
                        <w:sz w:val="15"/>
                      </w:rPr>
                      <w:t>2019</w:t>
                    </w:r>
                  </w:p>
                </w:txbxContent>
              </v:textbox>
              <w10:wrap type="none"/>
            </v:shape>
            <v:shape style="position:absolute;left:7085;top:2513;width:332;height:152" type="#_x0000_t202" filled="false" stroked="false">
              <v:textbox inset="0,0,0,0">
                <w:txbxContent>
                  <w:p>
                    <w:pPr>
                      <w:spacing w:line="152" w:lineRule="exact" w:before="0"/>
                      <w:ind w:left="0" w:right="0" w:firstLine="0"/>
                      <w:jc w:val="left"/>
                      <w:rPr>
                        <w:rFonts w:ascii="Calibri"/>
                        <w:sz w:val="15"/>
                      </w:rPr>
                    </w:pPr>
                    <w:r>
                      <w:rPr>
                        <w:rFonts w:ascii="Calibri"/>
                        <w:color w:val="585858"/>
                        <w:sz w:val="15"/>
                      </w:rPr>
                      <w:t>2020</w:t>
                    </w:r>
                  </w:p>
                </w:txbxContent>
              </v:textbox>
              <w10:wrap type="none"/>
            </v:shape>
            <v:shape style="position:absolute;left:7920;top:2513;width:332;height:152" type="#_x0000_t202" filled="false" stroked="false">
              <v:textbox inset="0,0,0,0">
                <w:txbxContent>
                  <w:p>
                    <w:pPr>
                      <w:spacing w:line="152" w:lineRule="exact" w:before="0"/>
                      <w:ind w:left="0" w:right="0" w:firstLine="0"/>
                      <w:jc w:val="left"/>
                      <w:rPr>
                        <w:rFonts w:ascii="Calibri"/>
                        <w:sz w:val="15"/>
                      </w:rPr>
                    </w:pPr>
                    <w:r>
                      <w:rPr>
                        <w:rFonts w:ascii="Calibri"/>
                        <w:color w:val="585858"/>
                        <w:sz w:val="15"/>
                      </w:rPr>
                      <w:t>2021</w:t>
                    </w:r>
                  </w:p>
                </w:txbxContent>
              </v:textbox>
              <w10:wrap type="none"/>
            </v:shape>
            <v:shape style="position:absolute;left:8754;top:2513;width:332;height:152" type="#_x0000_t202" filled="false" stroked="false">
              <v:textbox inset="0,0,0,0">
                <w:txbxContent>
                  <w:p>
                    <w:pPr>
                      <w:spacing w:line="152" w:lineRule="exact" w:before="0"/>
                      <w:ind w:left="0" w:right="0" w:firstLine="0"/>
                      <w:jc w:val="left"/>
                      <w:rPr>
                        <w:rFonts w:ascii="Calibri"/>
                        <w:sz w:val="15"/>
                      </w:rPr>
                    </w:pPr>
                    <w:r>
                      <w:rPr>
                        <w:rFonts w:ascii="Calibri"/>
                        <w:color w:val="585858"/>
                        <w:sz w:val="15"/>
                      </w:rPr>
                      <w:t>2022</w:t>
                    </w:r>
                  </w:p>
                </w:txbxContent>
              </v:textbox>
              <w10:wrap type="none"/>
            </v:shape>
            <v:shape style="position:absolute;left:9588;top:2513;width:332;height:152" type="#_x0000_t202" filled="false" stroked="false">
              <v:textbox inset="0,0,0,0">
                <w:txbxContent>
                  <w:p>
                    <w:pPr>
                      <w:spacing w:line="152" w:lineRule="exact" w:before="0"/>
                      <w:ind w:left="0" w:right="0" w:firstLine="0"/>
                      <w:jc w:val="left"/>
                      <w:rPr>
                        <w:rFonts w:ascii="Calibri"/>
                        <w:sz w:val="15"/>
                      </w:rPr>
                    </w:pPr>
                    <w:r>
                      <w:rPr>
                        <w:rFonts w:ascii="Calibri"/>
                        <w:color w:val="585858"/>
                        <w:sz w:val="15"/>
                      </w:rPr>
                      <w:t>2023</w:t>
                    </w:r>
                  </w:p>
                </w:txbxContent>
              </v:textbox>
              <w10:wrap type="none"/>
            </v:shape>
            <v:shape style="position:absolute;left:3664;top:2814;width:4736;height:152" type="#_x0000_t202" filled="false" stroked="false">
              <v:textbox inset="0,0,0,0">
                <w:txbxContent>
                  <w:p>
                    <w:pPr>
                      <w:tabs>
                        <w:tab w:pos="4108" w:val="left" w:leader="none"/>
                      </w:tabs>
                      <w:spacing w:line="152" w:lineRule="exact" w:before="0"/>
                      <w:ind w:left="0" w:right="0" w:firstLine="0"/>
                      <w:jc w:val="left"/>
                      <w:rPr>
                        <w:rFonts w:ascii="Calibri"/>
                        <w:sz w:val="15"/>
                      </w:rPr>
                    </w:pPr>
                    <w:r>
                      <w:rPr>
                        <w:rFonts w:ascii="Calibri"/>
                        <w:color w:val="585858"/>
                        <w:sz w:val="15"/>
                      </w:rPr>
                      <w:t>Historic</w:t>
                      <w:tab/>
                      <w:t>Projected</w:t>
                    </w:r>
                  </w:p>
                </w:txbxContent>
              </v:textbox>
              <w10:wrap type="none"/>
            </v:shape>
            <w10:wrap type="none"/>
          </v:group>
        </w:pict>
      </w:r>
      <w:r>
        <w:rPr>
          <w:rFonts w:ascii="Calibri"/>
          <w:color w:val="585858"/>
          <w:sz w:val="15"/>
        </w:rPr>
        <w:t>$30,000</w:t>
      </w:r>
    </w:p>
    <w:p>
      <w:pPr>
        <w:pStyle w:val="BodyText"/>
        <w:spacing w:before="5"/>
        <w:rPr>
          <w:rFonts w:ascii="Calibri"/>
          <w:sz w:val="9"/>
        </w:rPr>
      </w:pPr>
    </w:p>
    <w:p>
      <w:pPr>
        <w:spacing w:before="71"/>
        <w:ind w:left="1042" w:right="0" w:firstLine="0"/>
        <w:jc w:val="left"/>
        <w:rPr>
          <w:rFonts w:ascii="Calibri"/>
          <w:sz w:val="15"/>
        </w:rPr>
      </w:pPr>
      <w:r>
        <w:rPr>
          <w:rFonts w:ascii="Calibri"/>
          <w:color w:val="585858"/>
          <w:sz w:val="15"/>
        </w:rPr>
        <w:t>$25,000</w:t>
      </w:r>
    </w:p>
    <w:p>
      <w:pPr>
        <w:pStyle w:val="BodyText"/>
        <w:spacing w:before="4"/>
        <w:rPr>
          <w:rFonts w:ascii="Calibri"/>
          <w:sz w:val="9"/>
        </w:rPr>
      </w:pPr>
    </w:p>
    <w:p>
      <w:pPr>
        <w:spacing w:before="72"/>
        <w:ind w:left="1042" w:right="0" w:firstLine="0"/>
        <w:jc w:val="left"/>
        <w:rPr>
          <w:rFonts w:ascii="Calibri"/>
          <w:sz w:val="15"/>
        </w:rPr>
      </w:pPr>
      <w:r>
        <w:rPr>
          <w:rFonts w:ascii="Calibri"/>
          <w:color w:val="585858"/>
          <w:sz w:val="15"/>
        </w:rPr>
        <w:t>$20,000</w:t>
      </w:r>
    </w:p>
    <w:p>
      <w:pPr>
        <w:pStyle w:val="BodyText"/>
        <w:spacing w:before="4"/>
        <w:rPr>
          <w:rFonts w:ascii="Calibri"/>
          <w:sz w:val="9"/>
        </w:rPr>
      </w:pPr>
    </w:p>
    <w:p>
      <w:pPr>
        <w:spacing w:before="71"/>
        <w:ind w:left="1042" w:right="0" w:firstLine="0"/>
        <w:jc w:val="left"/>
        <w:rPr>
          <w:rFonts w:ascii="Calibri"/>
          <w:sz w:val="15"/>
        </w:rPr>
      </w:pPr>
      <w:r>
        <w:rPr>
          <w:rFonts w:ascii="Calibri"/>
          <w:color w:val="585858"/>
          <w:sz w:val="15"/>
        </w:rPr>
        <w:t>$15,000</w:t>
      </w:r>
    </w:p>
    <w:p>
      <w:pPr>
        <w:pStyle w:val="BodyText"/>
        <w:spacing w:before="5"/>
        <w:rPr>
          <w:rFonts w:ascii="Calibri"/>
          <w:sz w:val="9"/>
        </w:rPr>
      </w:pPr>
    </w:p>
    <w:p>
      <w:pPr>
        <w:spacing w:before="71"/>
        <w:ind w:left="1042" w:right="0" w:firstLine="0"/>
        <w:jc w:val="left"/>
        <w:rPr>
          <w:rFonts w:ascii="Calibri"/>
          <w:sz w:val="15"/>
        </w:rPr>
      </w:pPr>
      <w:r>
        <w:rPr>
          <w:rFonts w:ascii="Calibri"/>
          <w:color w:val="585858"/>
          <w:sz w:val="15"/>
        </w:rPr>
        <w:t>$10,000</w:t>
      </w:r>
    </w:p>
    <w:p>
      <w:pPr>
        <w:pStyle w:val="BodyText"/>
        <w:spacing w:before="4"/>
        <w:rPr>
          <w:rFonts w:ascii="Calibri"/>
          <w:sz w:val="9"/>
        </w:rPr>
      </w:pPr>
    </w:p>
    <w:p>
      <w:pPr>
        <w:spacing w:before="72"/>
        <w:ind w:left="1121" w:right="0" w:firstLine="0"/>
        <w:jc w:val="left"/>
        <w:rPr>
          <w:rFonts w:ascii="Calibri"/>
          <w:sz w:val="15"/>
        </w:rPr>
      </w:pPr>
      <w:r>
        <w:rPr>
          <w:rFonts w:ascii="Calibri"/>
          <w:color w:val="585858"/>
          <w:sz w:val="15"/>
        </w:rPr>
        <w:t>$5,000</w:t>
      </w:r>
    </w:p>
    <w:p>
      <w:pPr>
        <w:pStyle w:val="BodyText"/>
        <w:spacing w:before="4"/>
        <w:rPr>
          <w:rFonts w:ascii="Calibri"/>
          <w:sz w:val="9"/>
        </w:rPr>
      </w:pPr>
    </w:p>
    <w:p>
      <w:pPr>
        <w:spacing w:before="71"/>
        <w:ind w:left="1398" w:right="0" w:firstLine="0"/>
        <w:jc w:val="left"/>
        <w:rPr>
          <w:rFonts w:ascii="Calibri"/>
          <w:sz w:val="15"/>
        </w:rPr>
      </w:pPr>
      <w:r>
        <w:rPr>
          <w:rFonts w:ascii="Calibri"/>
          <w:color w:val="585858"/>
          <w:sz w:val="15"/>
        </w:rPr>
        <w:t>$0</w:t>
      </w:r>
    </w:p>
    <w:p>
      <w:pPr>
        <w:pStyle w:val="BodyText"/>
        <w:rPr>
          <w:rFonts w:ascii="Calibri"/>
        </w:rPr>
      </w:pPr>
    </w:p>
    <w:p>
      <w:pPr>
        <w:pStyle w:val="BodyText"/>
        <w:spacing w:before="10"/>
        <w:rPr>
          <w:rFonts w:ascii="Calibri"/>
          <w:sz w:val="18"/>
        </w:rPr>
      </w:pPr>
    </w:p>
    <w:p>
      <w:pPr>
        <w:spacing w:before="72"/>
        <w:ind w:left="1602" w:right="1653" w:firstLine="0"/>
        <w:jc w:val="center"/>
        <w:rPr>
          <w:rFonts w:ascii="Calibri"/>
          <w:b/>
          <w:sz w:val="15"/>
        </w:rPr>
      </w:pPr>
      <w:r>
        <w:rPr/>
        <w:drawing>
          <wp:anchor distT="0" distB="0" distL="0" distR="0" allowOverlap="1" layoutInCell="1" locked="0" behindDoc="1" simplePos="0" relativeHeight="215779328">
            <wp:simplePos x="0" y="0"/>
            <wp:positionH relativeFrom="page">
              <wp:posOffset>5376721</wp:posOffset>
            </wp:positionH>
            <wp:positionV relativeFrom="paragraph">
              <wp:posOffset>360950</wp:posOffset>
            </wp:positionV>
            <wp:extent cx="131690" cy="85725"/>
            <wp:effectExtent l="0" t="0" r="0" b="0"/>
            <wp:wrapNone/>
            <wp:docPr id="197" name="image64.png"/>
            <wp:cNvGraphicFramePr>
              <a:graphicFrameLocks noChangeAspect="1"/>
            </wp:cNvGraphicFramePr>
            <a:graphic>
              <a:graphicData uri="http://schemas.openxmlformats.org/drawingml/2006/picture">
                <pic:pic>
                  <pic:nvPicPr>
                    <pic:cNvPr id="198" name="image64.png"/>
                    <pic:cNvPicPr/>
                  </pic:nvPicPr>
                  <pic:blipFill>
                    <a:blip r:embed="rId86" cstate="print"/>
                    <a:stretch>
                      <a:fillRect/>
                    </a:stretch>
                  </pic:blipFill>
                  <pic:spPr>
                    <a:xfrm>
                      <a:off x="0" y="0"/>
                      <a:ext cx="131690" cy="85725"/>
                    </a:xfrm>
                    <a:prstGeom prst="rect">
                      <a:avLst/>
                    </a:prstGeom>
                  </pic:spPr>
                </pic:pic>
              </a:graphicData>
            </a:graphic>
          </wp:anchor>
        </w:drawing>
      </w:r>
      <w:r>
        <w:rPr/>
        <w:drawing>
          <wp:anchor distT="0" distB="0" distL="0" distR="0" allowOverlap="1" layoutInCell="1" locked="0" behindDoc="1" simplePos="0" relativeHeight="215780352">
            <wp:simplePos x="0" y="0"/>
            <wp:positionH relativeFrom="page">
              <wp:posOffset>1178251</wp:posOffset>
            </wp:positionH>
            <wp:positionV relativeFrom="paragraph">
              <wp:posOffset>360950</wp:posOffset>
            </wp:positionV>
            <wp:extent cx="127260" cy="280987"/>
            <wp:effectExtent l="0" t="0" r="0" b="0"/>
            <wp:wrapNone/>
            <wp:docPr id="199" name="image105.png"/>
            <wp:cNvGraphicFramePr>
              <a:graphicFrameLocks noChangeAspect="1"/>
            </wp:cNvGraphicFramePr>
            <a:graphic>
              <a:graphicData uri="http://schemas.openxmlformats.org/drawingml/2006/picture">
                <pic:pic>
                  <pic:nvPicPr>
                    <pic:cNvPr id="200" name="image105.png"/>
                    <pic:cNvPicPr/>
                  </pic:nvPicPr>
                  <pic:blipFill>
                    <a:blip r:embed="rId127" cstate="print"/>
                    <a:stretch>
                      <a:fillRect/>
                    </a:stretch>
                  </pic:blipFill>
                  <pic:spPr>
                    <a:xfrm>
                      <a:off x="0" y="0"/>
                      <a:ext cx="127260" cy="280987"/>
                    </a:xfrm>
                    <a:prstGeom prst="rect">
                      <a:avLst/>
                    </a:prstGeom>
                  </pic:spPr>
                </pic:pic>
              </a:graphicData>
            </a:graphic>
          </wp:anchor>
        </w:drawing>
      </w:r>
      <w:r>
        <w:rPr>
          <w:rFonts w:ascii="Calibri"/>
          <w:b/>
          <w:color w:val="585858"/>
          <w:sz w:val="15"/>
        </w:rPr>
        <w:t>Year Ending  30 June</w:t>
      </w:r>
    </w:p>
    <w:p>
      <w:pPr>
        <w:pStyle w:val="BodyText"/>
        <w:spacing w:before="4" w:after="1"/>
        <w:rPr>
          <w:rFonts w:ascii="Calibri"/>
          <w:b/>
          <w:sz w:val="11"/>
        </w:rPr>
      </w:pPr>
    </w:p>
    <w:tbl>
      <w:tblPr>
        <w:tblW w:w="0" w:type="auto"/>
        <w:jc w:val="left"/>
        <w:tblInd w:w="16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72"/>
        <w:gridCol w:w="215"/>
        <w:gridCol w:w="822"/>
        <w:gridCol w:w="90"/>
        <w:gridCol w:w="209"/>
        <w:gridCol w:w="944"/>
        <w:gridCol w:w="60"/>
        <w:gridCol w:w="209"/>
        <w:gridCol w:w="1181"/>
        <w:gridCol w:w="57"/>
        <w:gridCol w:w="209"/>
        <w:gridCol w:w="704"/>
        <w:gridCol w:w="71"/>
        <w:gridCol w:w="208"/>
        <w:gridCol w:w="726"/>
        <w:gridCol w:w="835"/>
      </w:tblGrid>
      <w:tr>
        <w:trPr>
          <w:trHeight w:val="160" w:hRule="atLeast"/>
        </w:trPr>
        <w:tc>
          <w:tcPr>
            <w:tcW w:w="1072" w:type="dxa"/>
          </w:tcPr>
          <w:p>
            <w:pPr>
              <w:pStyle w:val="TableParagraph"/>
              <w:spacing w:line="104" w:lineRule="exact"/>
              <w:ind w:left="31" w:right="43"/>
              <w:jc w:val="center"/>
              <w:rPr>
                <w:rFonts w:ascii="Calibri"/>
                <w:b/>
                <w:sz w:val="9"/>
              </w:rPr>
            </w:pPr>
            <w:r>
              <w:rPr>
                <w:rFonts w:ascii="Calibri"/>
                <w:b/>
                <w:w w:val="110"/>
                <w:sz w:val="9"/>
              </w:rPr>
              <w:t>Payment Category Key:</w:t>
            </w:r>
          </w:p>
        </w:tc>
        <w:tc>
          <w:tcPr>
            <w:tcW w:w="6540" w:type="dxa"/>
            <w:gridSpan w:val="15"/>
          </w:tcPr>
          <w:p>
            <w:pPr>
              <w:pStyle w:val="TableParagraph"/>
              <w:spacing w:before="0"/>
              <w:rPr>
                <w:rFonts w:ascii="Times New Roman"/>
                <w:sz w:val="10"/>
              </w:rPr>
            </w:pPr>
          </w:p>
        </w:tc>
      </w:tr>
      <w:tr>
        <w:trPr>
          <w:trHeight w:val="168" w:hRule="atLeast"/>
        </w:trPr>
        <w:tc>
          <w:tcPr>
            <w:tcW w:w="1072" w:type="dxa"/>
          </w:tcPr>
          <w:p>
            <w:pPr>
              <w:pStyle w:val="TableParagraph"/>
              <w:spacing w:before="31"/>
              <w:ind w:left="31"/>
              <w:jc w:val="center"/>
              <w:rPr>
                <w:rFonts w:ascii="Calibri"/>
                <w:sz w:val="9"/>
              </w:rPr>
            </w:pPr>
            <w:r>
              <w:rPr>
                <w:rFonts w:ascii="Calibri"/>
                <w:w w:val="110"/>
                <w:sz w:val="9"/>
              </w:rPr>
              <w:t>A - IS Studying</w:t>
            </w:r>
          </w:p>
        </w:tc>
        <w:tc>
          <w:tcPr>
            <w:tcW w:w="215" w:type="dxa"/>
            <w:shd w:val="clear" w:color="auto" w:fill="009544"/>
          </w:tcPr>
          <w:p>
            <w:pPr>
              <w:pStyle w:val="TableParagraph"/>
              <w:spacing w:line="135" w:lineRule="exact" w:before="0"/>
              <w:ind w:left="-1" w:right="-44"/>
              <w:rPr>
                <w:rFonts w:ascii="Calibri"/>
                <w:sz w:val="13"/>
              </w:rPr>
            </w:pPr>
            <w:r>
              <w:rPr>
                <w:rFonts w:ascii="Calibri"/>
                <w:position w:val="-2"/>
                <w:sz w:val="13"/>
              </w:rPr>
              <w:drawing>
                <wp:inline distT="0" distB="0" distL="0" distR="0">
                  <wp:extent cx="131690" cy="85725"/>
                  <wp:effectExtent l="0" t="0" r="0" b="0"/>
                  <wp:docPr id="201" name="image106.png"/>
                  <wp:cNvGraphicFramePr>
                    <a:graphicFrameLocks noChangeAspect="1"/>
                  </wp:cNvGraphicFramePr>
                  <a:graphic>
                    <a:graphicData uri="http://schemas.openxmlformats.org/drawingml/2006/picture">
                      <pic:pic>
                        <pic:nvPicPr>
                          <pic:cNvPr id="202" name="image106.png"/>
                          <pic:cNvPicPr/>
                        </pic:nvPicPr>
                        <pic:blipFill>
                          <a:blip r:embed="rId128" cstate="print"/>
                          <a:stretch>
                            <a:fillRect/>
                          </a:stretch>
                        </pic:blipFill>
                        <pic:spPr>
                          <a:xfrm>
                            <a:off x="0" y="0"/>
                            <a:ext cx="131690" cy="85725"/>
                          </a:xfrm>
                          <a:prstGeom prst="rect">
                            <a:avLst/>
                          </a:prstGeom>
                        </pic:spPr>
                      </pic:pic>
                    </a:graphicData>
                  </a:graphic>
                </wp:inline>
              </w:drawing>
            </w:r>
            <w:r>
              <w:rPr>
                <w:rFonts w:ascii="Calibri"/>
                <w:position w:val="-2"/>
                <w:sz w:val="13"/>
              </w:rPr>
            </w:r>
          </w:p>
        </w:tc>
        <w:tc>
          <w:tcPr>
            <w:tcW w:w="822" w:type="dxa"/>
          </w:tcPr>
          <w:p>
            <w:pPr>
              <w:pStyle w:val="TableParagraph"/>
              <w:spacing w:before="31"/>
              <w:ind w:left="5"/>
              <w:rPr>
                <w:rFonts w:ascii="Calibri"/>
                <w:sz w:val="9"/>
              </w:rPr>
            </w:pPr>
            <w:r>
              <w:rPr>
                <w:rFonts w:ascii="Calibri"/>
                <w:w w:val="110"/>
                <w:sz w:val="9"/>
              </w:rPr>
              <w:t>B - IS Working Age</w:t>
            </w:r>
          </w:p>
        </w:tc>
        <w:tc>
          <w:tcPr>
            <w:tcW w:w="90" w:type="dxa"/>
          </w:tcPr>
          <w:p>
            <w:pPr>
              <w:pStyle w:val="TableParagraph"/>
              <w:spacing w:before="0"/>
              <w:rPr>
                <w:rFonts w:ascii="Times New Roman"/>
                <w:sz w:val="10"/>
              </w:rPr>
            </w:pPr>
          </w:p>
        </w:tc>
        <w:tc>
          <w:tcPr>
            <w:tcW w:w="209" w:type="dxa"/>
            <w:shd w:val="clear" w:color="auto" w:fill="E16B09"/>
          </w:tcPr>
          <w:p>
            <w:pPr>
              <w:pStyle w:val="TableParagraph"/>
              <w:spacing w:line="135" w:lineRule="exact" w:before="0"/>
              <w:ind w:left="-2" w:right="-44"/>
              <w:rPr>
                <w:rFonts w:ascii="Calibri"/>
                <w:sz w:val="13"/>
              </w:rPr>
            </w:pPr>
            <w:r>
              <w:rPr>
                <w:rFonts w:ascii="Calibri"/>
                <w:position w:val="-2"/>
                <w:sz w:val="13"/>
              </w:rPr>
              <w:drawing>
                <wp:inline distT="0" distB="0" distL="0" distR="0">
                  <wp:extent cx="131690" cy="85725"/>
                  <wp:effectExtent l="0" t="0" r="0" b="0"/>
                  <wp:docPr id="203" name="image107.png"/>
                  <wp:cNvGraphicFramePr>
                    <a:graphicFrameLocks noChangeAspect="1"/>
                  </wp:cNvGraphicFramePr>
                  <a:graphic>
                    <a:graphicData uri="http://schemas.openxmlformats.org/drawingml/2006/picture">
                      <pic:pic>
                        <pic:nvPicPr>
                          <pic:cNvPr id="204" name="image107.png"/>
                          <pic:cNvPicPr/>
                        </pic:nvPicPr>
                        <pic:blipFill>
                          <a:blip r:embed="rId129" cstate="print"/>
                          <a:stretch>
                            <a:fillRect/>
                          </a:stretch>
                        </pic:blipFill>
                        <pic:spPr>
                          <a:xfrm>
                            <a:off x="0" y="0"/>
                            <a:ext cx="131690" cy="85725"/>
                          </a:xfrm>
                          <a:prstGeom prst="rect">
                            <a:avLst/>
                          </a:prstGeom>
                        </pic:spPr>
                      </pic:pic>
                    </a:graphicData>
                  </a:graphic>
                </wp:inline>
              </w:drawing>
            </w:r>
            <w:r>
              <w:rPr>
                <w:rFonts w:ascii="Calibri"/>
                <w:position w:val="-2"/>
                <w:sz w:val="13"/>
              </w:rPr>
            </w:r>
          </w:p>
        </w:tc>
        <w:tc>
          <w:tcPr>
            <w:tcW w:w="944" w:type="dxa"/>
          </w:tcPr>
          <w:p>
            <w:pPr>
              <w:pStyle w:val="TableParagraph"/>
              <w:spacing w:before="31"/>
              <w:ind w:left="10"/>
              <w:rPr>
                <w:rFonts w:ascii="Calibri"/>
                <w:sz w:val="9"/>
              </w:rPr>
            </w:pPr>
            <w:r>
              <w:rPr>
                <w:rFonts w:ascii="Calibri"/>
                <w:w w:val="110"/>
                <w:sz w:val="9"/>
              </w:rPr>
              <w:t>C - IS Parents</w:t>
            </w:r>
          </w:p>
        </w:tc>
        <w:tc>
          <w:tcPr>
            <w:tcW w:w="60" w:type="dxa"/>
          </w:tcPr>
          <w:p>
            <w:pPr>
              <w:pStyle w:val="TableParagraph"/>
              <w:spacing w:before="0"/>
              <w:rPr>
                <w:rFonts w:ascii="Times New Roman"/>
                <w:sz w:val="10"/>
              </w:rPr>
            </w:pPr>
          </w:p>
        </w:tc>
        <w:tc>
          <w:tcPr>
            <w:tcW w:w="209" w:type="dxa"/>
            <w:shd w:val="clear" w:color="auto" w:fill="E08AD6"/>
          </w:tcPr>
          <w:p>
            <w:pPr>
              <w:pStyle w:val="TableParagraph"/>
              <w:spacing w:line="135" w:lineRule="exact" w:before="0"/>
              <w:ind w:left="-5" w:right="-44"/>
              <w:rPr>
                <w:rFonts w:ascii="Calibri"/>
                <w:sz w:val="13"/>
              </w:rPr>
            </w:pPr>
            <w:r>
              <w:rPr>
                <w:rFonts w:ascii="Calibri"/>
                <w:position w:val="-2"/>
                <w:sz w:val="13"/>
              </w:rPr>
              <w:drawing>
                <wp:inline distT="0" distB="0" distL="0" distR="0">
                  <wp:extent cx="131690" cy="85725"/>
                  <wp:effectExtent l="0" t="0" r="0" b="0"/>
                  <wp:docPr id="205" name="image68.png"/>
                  <wp:cNvGraphicFramePr>
                    <a:graphicFrameLocks noChangeAspect="1"/>
                  </wp:cNvGraphicFramePr>
                  <a:graphic>
                    <a:graphicData uri="http://schemas.openxmlformats.org/drawingml/2006/picture">
                      <pic:pic>
                        <pic:nvPicPr>
                          <pic:cNvPr id="206" name="image68.png"/>
                          <pic:cNvPicPr/>
                        </pic:nvPicPr>
                        <pic:blipFill>
                          <a:blip r:embed="rId90" cstate="print"/>
                          <a:stretch>
                            <a:fillRect/>
                          </a:stretch>
                        </pic:blipFill>
                        <pic:spPr>
                          <a:xfrm>
                            <a:off x="0" y="0"/>
                            <a:ext cx="131690" cy="85725"/>
                          </a:xfrm>
                          <a:prstGeom prst="rect">
                            <a:avLst/>
                          </a:prstGeom>
                        </pic:spPr>
                      </pic:pic>
                    </a:graphicData>
                  </a:graphic>
                </wp:inline>
              </w:drawing>
            </w:r>
            <w:r>
              <w:rPr>
                <w:rFonts w:ascii="Calibri"/>
                <w:position w:val="-2"/>
                <w:sz w:val="13"/>
              </w:rPr>
            </w:r>
          </w:p>
        </w:tc>
        <w:tc>
          <w:tcPr>
            <w:tcW w:w="1181" w:type="dxa"/>
          </w:tcPr>
          <w:p>
            <w:pPr>
              <w:pStyle w:val="TableParagraph"/>
              <w:spacing w:before="31"/>
              <w:ind w:left="8"/>
              <w:rPr>
                <w:rFonts w:ascii="Calibri"/>
                <w:sz w:val="9"/>
              </w:rPr>
            </w:pPr>
            <w:r>
              <w:rPr>
                <w:rFonts w:ascii="Calibri"/>
                <w:w w:val="110"/>
                <w:sz w:val="9"/>
              </w:rPr>
              <w:t>D - IS Carer</w:t>
            </w:r>
          </w:p>
        </w:tc>
        <w:tc>
          <w:tcPr>
            <w:tcW w:w="57" w:type="dxa"/>
          </w:tcPr>
          <w:p>
            <w:pPr>
              <w:pStyle w:val="TableParagraph"/>
              <w:spacing w:before="0"/>
              <w:rPr>
                <w:rFonts w:ascii="Times New Roman"/>
                <w:sz w:val="10"/>
              </w:rPr>
            </w:pPr>
          </w:p>
        </w:tc>
        <w:tc>
          <w:tcPr>
            <w:tcW w:w="209" w:type="dxa"/>
            <w:shd w:val="clear" w:color="auto" w:fill="8063A1"/>
          </w:tcPr>
          <w:p>
            <w:pPr>
              <w:pStyle w:val="TableParagraph"/>
              <w:spacing w:line="135" w:lineRule="exact" w:before="0"/>
              <w:ind w:left="-7" w:right="-44"/>
              <w:rPr>
                <w:rFonts w:ascii="Calibri"/>
                <w:sz w:val="13"/>
              </w:rPr>
            </w:pPr>
            <w:r>
              <w:rPr>
                <w:rFonts w:ascii="Calibri"/>
                <w:position w:val="-2"/>
                <w:sz w:val="13"/>
              </w:rPr>
              <w:drawing>
                <wp:inline distT="0" distB="0" distL="0" distR="0">
                  <wp:extent cx="131690" cy="85725"/>
                  <wp:effectExtent l="0" t="0" r="0" b="0"/>
                  <wp:docPr id="207" name="image69.png"/>
                  <wp:cNvGraphicFramePr>
                    <a:graphicFrameLocks noChangeAspect="1"/>
                  </wp:cNvGraphicFramePr>
                  <a:graphic>
                    <a:graphicData uri="http://schemas.openxmlformats.org/drawingml/2006/picture">
                      <pic:pic>
                        <pic:nvPicPr>
                          <pic:cNvPr id="208" name="image69.png"/>
                          <pic:cNvPicPr/>
                        </pic:nvPicPr>
                        <pic:blipFill>
                          <a:blip r:embed="rId91" cstate="print"/>
                          <a:stretch>
                            <a:fillRect/>
                          </a:stretch>
                        </pic:blipFill>
                        <pic:spPr>
                          <a:xfrm>
                            <a:off x="0" y="0"/>
                            <a:ext cx="131690" cy="85725"/>
                          </a:xfrm>
                          <a:prstGeom prst="rect">
                            <a:avLst/>
                          </a:prstGeom>
                        </pic:spPr>
                      </pic:pic>
                    </a:graphicData>
                  </a:graphic>
                </wp:inline>
              </w:drawing>
            </w:r>
            <w:r>
              <w:rPr>
                <w:rFonts w:ascii="Calibri"/>
                <w:position w:val="-2"/>
                <w:sz w:val="13"/>
              </w:rPr>
            </w:r>
          </w:p>
        </w:tc>
        <w:tc>
          <w:tcPr>
            <w:tcW w:w="704" w:type="dxa"/>
          </w:tcPr>
          <w:p>
            <w:pPr>
              <w:pStyle w:val="TableParagraph"/>
              <w:spacing w:before="31"/>
              <w:ind w:left="5"/>
              <w:rPr>
                <w:rFonts w:ascii="Calibri"/>
                <w:sz w:val="9"/>
              </w:rPr>
            </w:pPr>
            <w:r>
              <w:rPr>
                <w:rFonts w:ascii="Calibri"/>
                <w:w w:val="110"/>
                <w:sz w:val="9"/>
              </w:rPr>
              <w:t>E - IS Disability</w:t>
            </w:r>
          </w:p>
        </w:tc>
        <w:tc>
          <w:tcPr>
            <w:tcW w:w="71" w:type="dxa"/>
          </w:tcPr>
          <w:p>
            <w:pPr>
              <w:pStyle w:val="TableParagraph"/>
              <w:spacing w:before="0"/>
              <w:rPr>
                <w:rFonts w:ascii="Times New Roman"/>
                <w:sz w:val="10"/>
              </w:rPr>
            </w:pPr>
          </w:p>
        </w:tc>
        <w:tc>
          <w:tcPr>
            <w:tcW w:w="208" w:type="dxa"/>
            <w:shd w:val="clear" w:color="auto" w:fill="C0504D"/>
          </w:tcPr>
          <w:p>
            <w:pPr>
              <w:pStyle w:val="TableParagraph"/>
              <w:spacing w:line="135" w:lineRule="exact" w:before="0"/>
              <w:ind w:left="-8" w:right="-44"/>
              <w:rPr>
                <w:rFonts w:ascii="Calibri"/>
                <w:sz w:val="13"/>
              </w:rPr>
            </w:pPr>
            <w:r>
              <w:rPr>
                <w:rFonts w:ascii="Calibri"/>
                <w:position w:val="-2"/>
                <w:sz w:val="13"/>
              </w:rPr>
              <w:drawing>
                <wp:inline distT="0" distB="0" distL="0" distR="0">
                  <wp:extent cx="131690" cy="85725"/>
                  <wp:effectExtent l="0" t="0" r="0" b="0"/>
                  <wp:docPr id="209" name="image70.png"/>
                  <wp:cNvGraphicFramePr>
                    <a:graphicFrameLocks noChangeAspect="1"/>
                  </wp:cNvGraphicFramePr>
                  <a:graphic>
                    <a:graphicData uri="http://schemas.openxmlformats.org/drawingml/2006/picture">
                      <pic:pic>
                        <pic:nvPicPr>
                          <pic:cNvPr id="210" name="image70.png"/>
                          <pic:cNvPicPr/>
                        </pic:nvPicPr>
                        <pic:blipFill>
                          <a:blip r:embed="rId92" cstate="print"/>
                          <a:stretch>
                            <a:fillRect/>
                          </a:stretch>
                        </pic:blipFill>
                        <pic:spPr>
                          <a:xfrm>
                            <a:off x="0" y="0"/>
                            <a:ext cx="131690" cy="85725"/>
                          </a:xfrm>
                          <a:prstGeom prst="rect">
                            <a:avLst/>
                          </a:prstGeom>
                        </pic:spPr>
                      </pic:pic>
                    </a:graphicData>
                  </a:graphic>
                </wp:inline>
              </w:drawing>
            </w:r>
            <w:r>
              <w:rPr>
                <w:rFonts w:ascii="Calibri"/>
                <w:position w:val="-2"/>
                <w:sz w:val="13"/>
              </w:rPr>
            </w:r>
          </w:p>
        </w:tc>
        <w:tc>
          <w:tcPr>
            <w:tcW w:w="726" w:type="dxa"/>
          </w:tcPr>
          <w:p>
            <w:pPr>
              <w:pStyle w:val="TableParagraph"/>
              <w:spacing w:before="31"/>
              <w:ind w:left="5"/>
              <w:rPr>
                <w:rFonts w:ascii="Calibri"/>
                <w:sz w:val="9"/>
              </w:rPr>
            </w:pPr>
            <w:r>
              <w:rPr>
                <w:rFonts w:ascii="Calibri"/>
                <w:w w:val="110"/>
                <w:sz w:val="9"/>
              </w:rPr>
              <w:t>F - IS Age</w:t>
            </w:r>
          </w:p>
        </w:tc>
        <w:tc>
          <w:tcPr>
            <w:tcW w:w="835" w:type="dxa"/>
          </w:tcPr>
          <w:p>
            <w:pPr>
              <w:pStyle w:val="TableParagraph"/>
              <w:spacing w:before="31"/>
              <w:ind w:left="106"/>
              <w:rPr>
                <w:rFonts w:ascii="Calibri"/>
                <w:sz w:val="9"/>
              </w:rPr>
            </w:pPr>
            <w:r>
              <w:rPr>
                <w:rFonts w:ascii="Calibri"/>
                <w:w w:val="110"/>
                <w:sz w:val="9"/>
              </w:rPr>
              <w:t>G - IS Dependant</w:t>
            </w:r>
          </w:p>
        </w:tc>
      </w:tr>
      <w:tr>
        <w:trPr>
          <w:trHeight w:val="135" w:hRule="atLeast"/>
        </w:trPr>
        <w:tc>
          <w:tcPr>
            <w:tcW w:w="1072" w:type="dxa"/>
          </w:tcPr>
          <w:p>
            <w:pPr>
              <w:pStyle w:val="TableParagraph"/>
              <w:spacing w:line="98" w:lineRule="exact" w:before="17"/>
              <w:ind w:left="31" w:right="43"/>
              <w:jc w:val="center"/>
              <w:rPr>
                <w:rFonts w:ascii="Calibri"/>
                <w:sz w:val="9"/>
              </w:rPr>
            </w:pPr>
            <w:r>
              <w:rPr>
                <w:rFonts w:ascii="Calibri"/>
                <w:w w:val="110"/>
                <w:sz w:val="9"/>
              </w:rPr>
              <w:t>H - Other FTB</w:t>
            </w:r>
          </w:p>
        </w:tc>
        <w:tc>
          <w:tcPr>
            <w:tcW w:w="215" w:type="dxa"/>
            <w:shd w:val="clear" w:color="auto" w:fill="F9C090"/>
          </w:tcPr>
          <w:p>
            <w:pPr>
              <w:pStyle w:val="TableParagraph"/>
              <w:spacing w:before="0"/>
              <w:rPr>
                <w:rFonts w:ascii="Times New Roman"/>
                <w:sz w:val="8"/>
              </w:rPr>
            </w:pPr>
          </w:p>
        </w:tc>
        <w:tc>
          <w:tcPr>
            <w:tcW w:w="822" w:type="dxa"/>
          </w:tcPr>
          <w:p>
            <w:pPr>
              <w:pStyle w:val="TableParagraph"/>
              <w:spacing w:line="98" w:lineRule="exact" w:before="17"/>
              <w:ind w:left="5"/>
              <w:rPr>
                <w:rFonts w:ascii="Calibri"/>
                <w:sz w:val="9"/>
              </w:rPr>
            </w:pPr>
            <w:r>
              <w:rPr>
                <w:rFonts w:ascii="Calibri"/>
                <w:w w:val="110"/>
                <w:sz w:val="9"/>
              </w:rPr>
              <w:t>I - Other Family</w:t>
            </w:r>
          </w:p>
        </w:tc>
        <w:tc>
          <w:tcPr>
            <w:tcW w:w="90" w:type="dxa"/>
            <w:shd w:val="clear" w:color="auto" w:fill="FBDDC4"/>
          </w:tcPr>
          <w:p>
            <w:pPr>
              <w:pStyle w:val="TableParagraph"/>
              <w:spacing w:before="0"/>
              <w:rPr>
                <w:rFonts w:ascii="Times New Roman"/>
                <w:sz w:val="8"/>
              </w:rPr>
            </w:pPr>
          </w:p>
        </w:tc>
        <w:tc>
          <w:tcPr>
            <w:tcW w:w="209" w:type="dxa"/>
            <w:shd w:val="clear" w:color="auto" w:fill="FBDDC4"/>
          </w:tcPr>
          <w:p>
            <w:pPr>
              <w:pStyle w:val="TableParagraph"/>
              <w:spacing w:before="0"/>
              <w:rPr>
                <w:rFonts w:ascii="Times New Roman"/>
                <w:sz w:val="8"/>
              </w:rPr>
            </w:pPr>
          </w:p>
        </w:tc>
        <w:tc>
          <w:tcPr>
            <w:tcW w:w="944" w:type="dxa"/>
          </w:tcPr>
          <w:p>
            <w:pPr>
              <w:pStyle w:val="TableParagraph"/>
              <w:spacing w:line="98" w:lineRule="exact" w:before="17"/>
              <w:ind w:left="10"/>
              <w:rPr>
                <w:rFonts w:ascii="Calibri"/>
                <w:sz w:val="9"/>
              </w:rPr>
            </w:pPr>
            <w:r>
              <w:rPr>
                <w:rFonts w:ascii="Calibri"/>
                <w:w w:val="110"/>
                <w:sz w:val="9"/>
              </w:rPr>
              <w:t>J - Other New Parents</w:t>
            </w:r>
          </w:p>
        </w:tc>
        <w:tc>
          <w:tcPr>
            <w:tcW w:w="60" w:type="dxa"/>
            <w:shd w:val="clear" w:color="auto" w:fill="938953"/>
          </w:tcPr>
          <w:p>
            <w:pPr>
              <w:pStyle w:val="TableParagraph"/>
              <w:spacing w:before="0"/>
              <w:rPr>
                <w:rFonts w:ascii="Times New Roman"/>
                <w:sz w:val="8"/>
              </w:rPr>
            </w:pPr>
          </w:p>
        </w:tc>
        <w:tc>
          <w:tcPr>
            <w:tcW w:w="209" w:type="dxa"/>
            <w:shd w:val="clear" w:color="auto" w:fill="938953"/>
          </w:tcPr>
          <w:p>
            <w:pPr>
              <w:pStyle w:val="TableParagraph"/>
              <w:spacing w:before="0"/>
              <w:rPr>
                <w:rFonts w:ascii="Times New Roman"/>
                <w:sz w:val="8"/>
              </w:rPr>
            </w:pPr>
          </w:p>
        </w:tc>
        <w:tc>
          <w:tcPr>
            <w:tcW w:w="1181" w:type="dxa"/>
          </w:tcPr>
          <w:p>
            <w:pPr>
              <w:pStyle w:val="TableParagraph"/>
              <w:spacing w:line="98" w:lineRule="exact" w:before="17"/>
              <w:ind w:left="8"/>
              <w:rPr>
                <w:rFonts w:ascii="Calibri"/>
                <w:sz w:val="9"/>
              </w:rPr>
            </w:pPr>
            <w:r>
              <w:rPr>
                <w:rFonts w:ascii="Calibri"/>
                <w:w w:val="110"/>
                <w:sz w:val="9"/>
              </w:rPr>
              <w:t>L - Other Health &amp; Disability</w:t>
            </w:r>
          </w:p>
        </w:tc>
        <w:tc>
          <w:tcPr>
            <w:tcW w:w="57" w:type="dxa"/>
            <w:shd w:val="clear" w:color="auto" w:fill="ECB8E7"/>
          </w:tcPr>
          <w:p>
            <w:pPr>
              <w:pStyle w:val="TableParagraph"/>
              <w:spacing w:before="0"/>
              <w:rPr>
                <w:rFonts w:ascii="Times New Roman"/>
                <w:sz w:val="8"/>
              </w:rPr>
            </w:pPr>
          </w:p>
        </w:tc>
        <w:tc>
          <w:tcPr>
            <w:tcW w:w="209" w:type="dxa"/>
            <w:shd w:val="clear" w:color="auto" w:fill="ECB8E7"/>
          </w:tcPr>
          <w:p>
            <w:pPr>
              <w:pStyle w:val="TableParagraph"/>
              <w:spacing w:before="0"/>
              <w:rPr>
                <w:rFonts w:ascii="Times New Roman"/>
                <w:sz w:val="8"/>
              </w:rPr>
            </w:pPr>
          </w:p>
        </w:tc>
        <w:tc>
          <w:tcPr>
            <w:tcW w:w="704" w:type="dxa"/>
          </w:tcPr>
          <w:p>
            <w:pPr>
              <w:pStyle w:val="TableParagraph"/>
              <w:spacing w:line="98" w:lineRule="exact" w:before="17"/>
              <w:ind w:left="5"/>
              <w:rPr>
                <w:rFonts w:ascii="Calibri"/>
                <w:sz w:val="9"/>
              </w:rPr>
            </w:pPr>
            <w:r>
              <w:rPr>
                <w:rFonts w:ascii="Calibri"/>
                <w:w w:val="110"/>
                <w:sz w:val="9"/>
              </w:rPr>
              <w:t>M - Other Carer</w:t>
            </w:r>
          </w:p>
        </w:tc>
        <w:tc>
          <w:tcPr>
            <w:tcW w:w="71" w:type="dxa"/>
            <w:shd w:val="clear" w:color="auto" w:fill="C4BC96"/>
          </w:tcPr>
          <w:p>
            <w:pPr>
              <w:pStyle w:val="TableParagraph"/>
              <w:spacing w:before="0"/>
              <w:rPr>
                <w:rFonts w:ascii="Times New Roman"/>
                <w:sz w:val="8"/>
              </w:rPr>
            </w:pPr>
          </w:p>
        </w:tc>
        <w:tc>
          <w:tcPr>
            <w:tcW w:w="208" w:type="dxa"/>
            <w:shd w:val="clear" w:color="auto" w:fill="C4BC96"/>
          </w:tcPr>
          <w:p>
            <w:pPr>
              <w:pStyle w:val="TableParagraph"/>
              <w:spacing w:before="0"/>
              <w:rPr>
                <w:rFonts w:ascii="Times New Roman"/>
                <w:sz w:val="8"/>
              </w:rPr>
            </w:pPr>
          </w:p>
        </w:tc>
        <w:tc>
          <w:tcPr>
            <w:tcW w:w="726" w:type="dxa"/>
          </w:tcPr>
          <w:p>
            <w:pPr>
              <w:pStyle w:val="TableParagraph"/>
              <w:spacing w:line="98" w:lineRule="exact" w:before="17"/>
              <w:ind w:left="5"/>
              <w:rPr>
                <w:rFonts w:ascii="Calibri"/>
                <w:sz w:val="9"/>
              </w:rPr>
            </w:pPr>
            <w:r>
              <w:rPr>
                <w:rFonts w:ascii="Calibri"/>
                <w:w w:val="110"/>
                <w:sz w:val="9"/>
              </w:rPr>
              <w:t>N - Other Study &amp;</w:t>
            </w:r>
          </w:p>
        </w:tc>
        <w:tc>
          <w:tcPr>
            <w:tcW w:w="835" w:type="dxa"/>
          </w:tcPr>
          <w:p>
            <w:pPr>
              <w:pStyle w:val="TableParagraph"/>
              <w:spacing w:line="98" w:lineRule="exact" w:before="17"/>
              <w:ind w:left="1"/>
              <w:rPr>
                <w:rFonts w:ascii="Calibri"/>
                <w:sz w:val="9"/>
              </w:rPr>
            </w:pPr>
            <w:r>
              <w:rPr>
                <w:rFonts w:ascii="Calibri"/>
                <w:w w:val="110"/>
                <w:sz w:val="9"/>
              </w:rPr>
              <w:t>Skills</w:t>
            </w:r>
          </w:p>
        </w:tc>
      </w:tr>
      <w:tr>
        <w:trPr>
          <w:trHeight w:val="325" w:hRule="atLeast"/>
        </w:trPr>
        <w:tc>
          <w:tcPr>
            <w:tcW w:w="1072" w:type="dxa"/>
          </w:tcPr>
          <w:p>
            <w:pPr>
              <w:pStyle w:val="TableParagraph"/>
              <w:spacing w:line="280" w:lineRule="auto"/>
              <w:ind w:left="264" w:right="-17"/>
              <w:rPr>
                <w:rFonts w:ascii="Calibri"/>
                <w:sz w:val="9"/>
              </w:rPr>
            </w:pPr>
            <w:r>
              <w:rPr>
                <w:rFonts w:ascii="Calibri"/>
                <w:w w:val="110"/>
                <w:sz w:val="9"/>
              </w:rPr>
              <w:t>O - Other Remote &amp; Regional</w:t>
            </w:r>
          </w:p>
        </w:tc>
        <w:tc>
          <w:tcPr>
            <w:tcW w:w="215" w:type="dxa"/>
          </w:tcPr>
          <w:p>
            <w:pPr>
              <w:pStyle w:val="TableParagraph"/>
              <w:spacing w:line="135" w:lineRule="exact" w:before="0"/>
              <w:ind w:left="-1" w:right="-44"/>
              <w:rPr>
                <w:rFonts w:ascii="Calibri"/>
                <w:sz w:val="13"/>
              </w:rPr>
            </w:pPr>
            <w:r>
              <w:rPr>
                <w:rFonts w:ascii="Calibri"/>
                <w:position w:val="-2"/>
                <w:sz w:val="13"/>
              </w:rPr>
              <w:drawing>
                <wp:inline distT="0" distB="0" distL="0" distR="0">
                  <wp:extent cx="131684" cy="85725"/>
                  <wp:effectExtent l="0" t="0" r="0" b="0"/>
                  <wp:docPr id="211" name="image108.png"/>
                  <wp:cNvGraphicFramePr>
                    <a:graphicFrameLocks noChangeAspect="1"/>
                  </wp:cNvGraphicFramePr>
                  <a:graphic>
                    <a:graphicData uri="http://schemas.openxmlformats.org/drawingml/2006/picture">
                      <pic:pic>
                        <pic:nvPicPr>
                          <pic:cNvPr id="212" name="image108.png"/>
                          <pic:cNvPicPr/>
                        </pic:nvPicPr>
                        <pic:blipFill>
                          <a:blip r:embed="rId130" cstate="print"/>
                          <a:stretch>
                            <a:fillRect/>
                          </a:stretch>
                        </pic:blipFill>
                        <pic:spPr>
                          <a:xfrm>
                            <a:off x="0" y="0"/>
                            <a:ext cx="131684" cy="85725"/>
                          </a:xfrm>
                          <a:prstGeom prst="rect">
                            <a:avLst/>
                          </a:prstGeom>
                        </pic:spPr>
                      </pic:pic>
                    </a:graphicData>
                  </a:graphic>
                </wp:inline>
              </w:drawing>
            </w:r>
            <w:r>
              <w:rPr>
                <w:rFonts w:ascii="Calibri"/>
                <w:position w:val="-2"/>
                <w:sz w:val="13"/>
              </w:rPr>
            </w:r>
          </w:p>
        </w:tc>
        <w:tc>
          <w:tcPr>
            <w:tcW w:w="822" w:type="dxa"/>
          </w:tcPr>
          <w:p>
            <w:pPr>
              <w:pStyle w:val="TableParagraph"/>
              <w:spacing w:line="280" w:lineRule="auto"/>
              <w:ind w:left="5"/>
              <w:rPr>
                <w:rFonts w:ascii="Calibri"/>
                <w:sz w:val="9"/>
              </w:rPr>
            </w:pPr>
            <w:r>
              <w:rPr>
                <w:rFonts w:ascii="Calibri"/>
                <w:w w:val="110"/>
                <w:sz w:val="9"/>
              </w:rPr>
              <w:t>P - Other General Allowances</w:t>
            </w:r>
          </w:p>
        </w:tc>
        <w:tc>
          <w:tcPr>
            <w:tcW w:w="90" w:type="dxa"/>
          </w:tcPr>
          <w:p>
            <w:pPr>
              <w:pStyle w:val="TableParagraph"/>
              <w:spacing w:before="0"/>
              <w:rPr>
                <w:rFonts w:ascii="Times New Roman"/>
                <w:sz w:val="16"/>
              </w:rPr>
            </w:pPr>
          </w:p>
        </w:tc>
        <w:tc>
          <w:tcPr>
            <w:tcW w:w="209" w:type="dxa"/>
          </w:tcPr>
          <w:p>
            <w:pPr>
              <w:pStyle w:val="TableParagraph"/>
              <w:spacing w:line="135" w:lineRule="exact" w:before="0"/>
              <w:ind w:left="-2" w:right="-44"/>
              <w:rPr>
                <w:rFonts w:ascii="Calibri"/>
                <w:sz w:val="13"/>
              </w:rPr>
            </w:pPr>
            <w:r>
              <w:rPr>
                <w:rFonts w:ascii="Calibri"/>
                <w:position w:val="-2"/>
                <w:sz w:val="13"/>
              </w:rPr>
              <w:drawing>
                <wp:inline distT="0" distB="0" distL="0" distR="0">
                  <wp:extent cx="131684" cy="85725"/>
                  <wp:effectExtent l="0" t="0" r="0" b="0"/>
                  <wp:docPr id="213" name="image109.png"/>
                  <wp:cNvGraphicFramePr>
                    <a:graphicFrameLocks noChangeAspect="1"/>
                  </wp:cNvGraphicFramePr>
                  <a:graphic>
                    <a:graphicData uri="http://schemas.openxmlformats.org/drawingml/2006/picture">
                      <pic:pic>
                        <pic:nvPicPr>
                          <pic:cNvPr id="214" name="image109.png"/>
                          <pic:cNvPicPr/>
                        </pic:nvPicPr>
                        <pic:blipFill>
                          <a:blip r:embed="rId131" cstate="print"/>
                          <a:stretch>
                            <a:fillRect/>
                          </a:stretch>
                        </pic:blipFill>
                        <pic:spPr>
                          <a:xfrm>
                            <a:off x="0" y="0"/>
                            <a:ext cx="131684" cy="85725"/>
                          </a:xfrm>
                          <a:prstGeom prst="rect">
                            <a:avLst/>
                          </a:prstGeom>
                        </pic:spPr>
                      </pic:pic>
                    </a:graphicData>
                  </a:graphic>
                </wp:inline>
              </w:drawing>
            </w:r>
            <w:r>
              <w:rPr>
                <w:rFonts w:ascii="Calibri"/>
                <w:position w:val="-2"/>
                <w:sz w:val="13"/>
              </w:rPr>
            </w:r>
          </w:p>
        </w:tc>
        <w:tc>
          <w:tcPr>
            <w:tcW w:w="944" w:type="dxa"/>
          </w:tcPr>
          <w:p>
            <w:pPr>
              <w:pStyle w:val="TableParagraph"/>
              <w:ind w:left="10"/>
              <w:rPr>
                <w:rFonts w:ascii="Calibri"/>
                <w:sz w:val="9"/>
              </w:rPr>
            </w:pPr>
            <w:r>
              <w:rPr>
                <w:rFonts w:ascii="Calibri"/>
                <w:w w:val="110"/>
                <w:sz w:val="9"/>
              </w:rPr>
              <w:t>Q - All Other</w:t>
            </w:r>
          </w:p>
        </w:tc>
        <w:tc>
          <w:tcPr>
            <w:tcW w:w="60" w:type="dxa"/>
          </w:tcPr>
          <w:p>
            <w:pPr>
              <w:pStyle w:val="TableParagraph"/>
              <w:spacing w:before="0"/>
              <w:rPr>
                <w:rFonts w:ascii="Times New Roman"/>
                <w:sz w:val="16"/>
              </w:rPr>
            </w:pPr>
          </w:p>
        </w:tc>
        <w:tc>
          <w:tcPr>
            <w:tcW w:w="209" w:type="dxa"/>
          </w:tcPr>
          <w:p>
            <w:pPr>
              <w:pStyle w:val="TableParagraph"/>
              <w:spacing w:line="135" w:lineRule="exact" w:before="0"/>
              <w:ind w:left="-5" w:right="-44"/>
              <w:rPr>
                <w:rFonts w:ascii="Calibri"/>
                <w:sz w:val="13"/>
              </w:rPr>
            </w:pPr>
            <w:r>
              <w:rPr>
                <w:rFonts w:ascii="Calibri"/>
                <w:position w:val="-2"/>
                <w:sz w:val="13"/>
              </w:rPr>
              <w:drawing>
                <wp:inline distT="0" distB="0" distL="0" distR="0">
                  <wp:extent cx="131684" cy="85725"/>
                  <wp:effectExtent l="0" t="0" r="0" b="0"/>
                  <wp:docPr id="215" name="image73.png"/>
                  <wp:cNvGraphicFramePr>
                    <a:graphicFrameLocks noChangeAspect="1"/>
                  </wp:cNvGraphicFramePr>
                  <a:graphic>
                    <a:graphicData uri="http://schemas.openxmlformats.org/drawingml/2006/picture">
                      <pic:pic>
                        <pic:nvPicPr>
                          <pic:cNvPr id="216" name="image73.png"/>
                          <pic:cNvPicPr/>
                        </pic:nvPicPr>
                        <pic:blipFill>
                          <a:blip r:embed="rId95" cstate="print"/>
                          <a:stretch>
                            <a:fillRect/>
                          </a:stretch>
                        </pic:blipFill>
                        <pic:spPr>
                          <a:xfrm>
                            <a:off x="0" y="0"/>
                            <a:ext cx="131684" cy="85725"/>
                          </a:xfrm>
                          <a:prstGeom prst="rect">
                            <a:avLst/>
                          </a:prstGeom>
                        </pic:spPr>
                      </pic:pic>
                    </a:graphicData>
                  </a:graphic>
                </wp:inline>
              </w:drawing>
            </w:r>
            <w:r>
              <w:rPr>
                <w:rFonts w:ascii="Calibri"/>
                <w:position w:val="-2"/>
                <w:sz w:val="13"/>
              </w:rPr>
            </w:r>
          </w:p>
        </w:tc>
        <w:tc>
          <w:tcPr>
            <w:tcW w:w="1181" w:type="dxa"/>
          </w:tcPr>
          <w:p>
            <w:pPr>
              <w:pStyle w:val="TableParagraph"/>
              <w:ind w:left="8"/>
              <w:rPr>
                <w:rFonts w:ascii="Calibri"/>
                <w:sz w:val="9"/>
              </w:rPr>
            </w:pPr>
            <w:r>
              <w:rPr>
                <w:rFonts w:ascii="Calibri"/>
                <w:w w:val="110"/>
                <w:sz w:val="9"/>
              </w:rPr>
              <w:t>R - Rent Assistance</w:t>
            </w:r>
          </w:p>
        </w:tc>
        <w:tc>
          <w:tcPr>
            <w:tcW w:w="57" w:type="dxa"/>
          </w:tcPr>
          <w:p>
            <w:pPr>
              <w:pStyle w:val="TableParagraph"/>
              <w:spacing w:before="0"/>
              <w:rPr>
                <w:rFonts w:ascii="Times New Roman"/>
                <w:sz w:val="16"/>
              </w:rPr>
            </w:pPr>
          </w:p>
        </w:tc>
        <w:tc>
          <w:tcPr>
            <w:tcW w:w="209" w:type="dxa"/>
          </w:tcPr>
          <w:p>
            <w:pPr>
              <w:pStyle w:val="TableParagraph"/>
              <w:spacing w:before="0"/>
              <w:rPr>
                <w:rFonts w:ascii="Times New Roman"/>
                <w:sz w:val="16"/>
              </w:rPr>
            </w:pPr>
          </w:p>
        </w:tc>
        <w:tc>
          <w:tcPr>
            <w:tcW w:w="704" w:type="dxa"/>
          </w:tcPr>
          <w:p>
            <w:pPr>
              <w:pStyle w:val="TableParagraph"/>
              <w:spacing w:before="0"/>
              <w:rPr>
                <w:rFonts w:ascii="Times New Roman"/>
                <w:sz w:val="16"/>
              </w:rPr>
            </w:pPr>
          </w:p>
        </w:tc>
        <w:tc>
          <w:tcPr>
            <w:tcW w:w="71" w:type="dxa"/>
          </w:tcPr>
          <w:p>
            <w:pPr>
              <w:pStyle w:val="TableParagraph"/>
              <w:spacing w:before="0"/>
              <w:rPr>
                <w:rFonts w:ascii="Times New Roman"/>
                <w:sz w:val="16"/>
              </w:rPr>
            </w:pPr>
          </w:p>
        </w:tc>
        <w:tc>
          <w:tcPr>
            <w:tcW w:w="208" w:type="dxa"/>
          </w:tcPr>
          <w:p>
            <w:pPr>
              <w:pStyle w:val="TableParagraph"/>
              <w:spacing w:before="0"/>
              <w:rPr>
                <w:rFonts w:ascii="Times New Roman"/>
                <w:sz w:val="16"/>
              </w:rPr>
            </w:pPr>
          </w:p>
        </w:tc>
        <w:tc>
          <w:tcPr>
            <w:tcW w:w="726" w:type="dxa"/>
          </w:tcPr>
          <w:p>
            <w:pPr>
              <w:pStyle w:val="TableParagraph"/>
              <w:spacing w:before="0"/>
              <w:rPr>
                <w:rFonts w:ascii="Times New Roman"/>
                <w:sz w:val="16"/>
              </w:rPr>
            </w:pPr>
          </w:p>
        </w:tc>
        <w:tc>
          <w:tcPr>
            <w:tcW w:w="835" w:type="dxa"/>
          </w:tcPr>
          <w:p>
            <w:pPr>
              <w:pStyle w:val="TableParagraph"/>
              <w:spacing w:before="0"/>
              <w:rPr>
                <w:rFonts w:ascii="Times New Roman"/>
                <w:sz w:val="16"/>
              </w:rPr>
            </w:pPr>
          </w:p>
        </w:tc>
      </w:tr>
    </w:tbl>
    <w:p>
      <w:pPr>
        <w:pStyle w:val="BodyText"/>
        <w:rPr>
          <w:rFonts w:ascii="Calibri"/>
          <w:b/>
          <w:sz w:val="14"/>
        </w:rPr>
      </w:pPr>
    </w:p>
    <w:p>
      <w:pPr>
        <w:pStyle w:val="BodyText"/>
        <w:rPr>
          <w:rFonts w:ascii="Calibri"/>
          <w:b/>
          <w:sz w:val="14"/>
        </w:rPr>
      </w:pPr>
    </w:p>
    <w:p>
      <w:pPr>
        <w:pStyle w:val="BodyText"/>
        <w:spacing w:before="106"/>
        <w:ind w:left="899" w:right="1231"/>
      </w:pPr>
      <w:r>
        <w:rPr>
          <w:color w:val="404040"/>
        </w:rPr>
        <w:t>People in this class receive some of the highest average annual payments. The average payment made in 2017/18 was $27,400 with considerably higher average payments being made to women ($29,100) than men ($23,400), as a result of women being more likely to also be claiming FTB and other family payments.</w:t>
      </w:r>
    </w:p>
    <w:p>
      <w:pPr>
        <w:pStyle w:val="BodyText"/>
        <w:spacing w:before="10"/>
      </w:pPr>
    </w:p>
    <w:p>
      <w:pPr>
        <w:pStyle w:val="Heading4"/>
      </w:pPr>
      <w:bookmarkStart w:name="What does the model show for Carers?" w:id="186"/>
      <w:bookmarkEnd w:id="186"/>
      <w:r>
        <w:rPr/>
      </w:r>
      <w:r>
        <w:rPr>
          <w:color w:val="DF2F28"/>
        </w:rPr>
        <w:t>What does the model show for Carers?</w:t>
      </w:r>
    </w:p>
    <w:p>
      <w:pPr>
        <w:pStyle w:val="BodyText"/>
        <w:spacing w:before="9"/>
      </w:pPr>
    </w:p>
    <w:p>
      <w:pPr>
        <w:pStyle w:val="Heading6"/>
        <w:rPr>
          <w:i/>
        </w:rPr>
      </w:pPr>
      <w:r>
        <w:rPr>
          <w:i/>
          <w:color w:val="DF2F1E"/>
        </w:rPr>
        <w:t>Lifetime costs</w:t>
      </w:r>
    </w:p>
    <w:p>
      <w:pPr>
        <w:pStyle w:val="BodyText"/>
        <w:spacing w:line="242" w:lineRule="auto" w:before="119"/>
        <w:ind w:left="899" w:right="1155"/>
      </w:pPr>
      <w:r>
        <w:rPr>
          <w:color w:val="404040"/>
        </w:rPr>
        <w:t>We estimated the lifetime cost for the people in this class to be </w:t>
      </w:r>
      <w:r>
        <w:rPr>
          <w:b/>
          <w:color w:val="404040"/>
        </w:rPr>
        <w:t>$155bn </w:t>
      </w:r>
      <w:r>
        <w:rPr>
          <w:color w:val="404040"/>
        </w:rPr>
        <w:t>(or </w:t>
      </w:r>
      <w:r>
        <w:rPr>
          <w:b/>
          <w:color w:val="404040"/>
        </w:rPr>
        <w:t>2.7% </w:t>
      </w:r>
      <w:r>
        <w:rPr>
          <w:color w:val="404040"/>
        </w:rPr>
        <w:t>of the total lifetime cost). The average lifetime cost for people in this class is </w:t>
      </w:r>
      <w:r>
        <w:rPr>
          <w:b/>
          <w:color w:val="404040"/>
        </w:rPr>
        <w:t>$529,000</w:t>
      </w:r>
      <w:r>
        <w:rPr>
          <w:color w:val="404040"/>
        </w:rPr>
        <w:t>. The variation in average lifetime cost by age and gender is illustrated in the figure below.</w:t>
      </w:r>
    </w:p>
    <w:p>
      <w:pPr>
        <w:pStyle w:val="Heading9"/>
        <w:spacing w:before="170"/>
        <w:ind w:left="899"/>
      </w:pPr>
      <w:r>
        <w:rPr>
          <w:color w:val="DF2F1E"/>
        </w:rPr>
        <w:t>Figure 64: Average lifetime cost by age and gender (class 4)</w:t>
      </w:r>
    </w:p>
    <w:p>
      <w:pPr>
        <w:pStyle w:val="BodyText"/>
        <w:spacing w:before="5"/>
        <w:rPr>
          <w:b/>
          <w:sz w:val="13"/>
        </w:rPr>
      </w:pPr>
    </w:p>
    <w:p>
      <w:pPr>
        <w:spacing w:after="0"/>
        <w:rPr>
          <w:sz w:val="13"/>
        </w:rPr>
        <w:sectPr>
          <w:pgSz w:w="11910" w:h="16850"/>
          <w:pgMar w:header="572" w:footer="581" w:top="780" w:bottom="780" w:left="120" w:right="0"/>
        </w:sectPr>
      </w:pPr>
    </w:p>
    <w:p>
      <w:pPr>
        <w:spacing w:before="72"/>
        <w:ind w:left="1510" w:right="0" w:firstLine="0"/>
        <w:jc w:val="left"/>
        <w:rPr>
          <w:rFonts w:ascii="Calibri"/>
          <w:sz w:val="14"/>
        </w:rPr>
      </w:pPr>
      <w:r>
        <w:rPr/>
        <w:pict>
          <v:group style="position:absolute;margin-left:93.253258pt;margin-top:7.563624pt;width:236.5pt;height:128.25pt;mso-position-horizontal-relative:page;mso-position-vertical-relative:paragraph;z-index:252369920" coordorigin="1865,151" coordsize="4730,2565">
            <v:shape style="position:absolute;left:1865;top:151;width:4730;height:2565" type="#_x0000_t75" stroked="false">
              <v:imagedata r:id="rId132" o:title=""/>
            </v:shape>
            <v:shape style="position:absolute;left:3025;top:239;width:633;height:204" type="#_x0000_t202" filled="false" stroked="false">
              <v:textbox inset="0,0,0,0">
                <w:txbxContent>
                  <w:p>
                    <w:pPr>
                      <w:spacing w:line="204" w:lineRule="exact" w:before="0"/>
                      <w:ind w:left="0" w:right="0" w:firstLine="0"/>
                      <w:jc w:val="left"/>
                      <w:rPr>
                        <w:rFonts w:ascii="Calibri"/>
                        <w:sz w:val="20"/>
                      </w:rPr>
                    </w:pPr>
                    <w:r>
                      <w:rPr>
                        <w:rFonts w:ascii="Calibri"/>
                        <w:color w:val="BEBEBE"/>
                        <w:sz w:val="20"/>
                      </w:rPr>
                      <w:t>&lt;- Male</w:t>
                    </w:r>
                  </w:p>
                </w:txbxContent>
              </v:textbox>
              <w10:wrap type="none"/>
            </v:shape>
            <v:shape style="position:absolute;left:4899;top:239;width:831;height:204" type="#_x0000_t202" filled="false" stroked="false">
              <v:textbox inset="0,0,0,0">
                <w:txbxContent>
                  <w:p>
                    <w:pPr>
                      <w:spacing w:line="204" w:lineRule="exact" w:before="0"/>
                      <w:ind w:left="0" w:right="0" w:firstLine="0"/>
                      <w:jc w:val="left"/>
                      <w:rPr>
                        <w:rFonts w:ascii="Calibri"/>
                        <w:sz w:val="20"/>
                      </w:rPr>
                    </w:pPr>
                    <w:r>
                      <w:rPr>
                        <w:rFonts w:ascii="Calibri"/>
                        <w:color w:val="BEBEBE"/>
                        <w:sz w:val="20"/>
                      </w:rPr>
                      <w:t>Female -&gt;</w:t>
                    </w:r>
                  </w:p>
                </w:txbxContent>
              </v:textbox>
              <w10:wrap type="none"/>
            </v:shape>
            <w10:wrap type="none"/>
          </v:group>
        </w:pict>
      </w:r>
      <w:r>
        <w:rPr>
          <w:rFonts w:ascii="Calibri"/>
          <w:sz w:val="14"/>
        </w:rPr>
        <w:t>90</w:t>
      </w:r>
    </w:p>
    <w:p>
      <w:pPr>
        <w:spacing w:before="107"/>
        <w:ind w:left="1510" w:right="0" w:firstLine="0"/>
        <w:jc w:val="left"/>
        <w:rPr>
          <w:rFonts w:ascii="Calibri"/>
          <w:sz w:val="14"/>
        </w:rPr>
      </w:pPr>
      <w:r>
        <w:rPr>
          <w:rFonts w:ascii="Calibri"/>
          <w:sz w:val="14"/>
        </w:rPr>
        <w:t>80</w:t>
      </w:r>
    </w:p>
    <w:p>
      <w:pPr>
        <w:spacing w:before="107"/>
        <w:ind w:left="1510" w:right="0" w:firstLine="0"/>
        <w:jc w:val="left"/>
        <w:rPr>
          <w:rFonts w:ascii="Calibri"/>
          <w:sz w:val="14"/>
        </w:rPr>
      </w:pPr>
      <w:r>
        <w:rPr/>
        <w:pict>
          <v:shape style="position:absolute;margin-left:71.394928pt;margin-top:11.527405pt;width:9pt;height:66.7pt;mso-position-horizontal-relative:page;mso-position-vertical-relative:paragraph;z-index:252371968" type="#_x0000_t202" filled="false" stroked="false">
            <v:textbox inset="0,0,0,0" style="layout-flow:vertical;mso-layout-flow-alt:bottom-to-top">
              <w:txbxContent>
                <w:p>
                  <w:pPr>
                    <w:spacing w:line="162" w:lineRule="exact" w:before="0"/>
                    <w:ind w:left="20" w:right="0" w:firstLine="0"/>
                    <w:jc w:val="left"/>
                    <w:rPr>
                      <w:rFonts w:ascii="Calibri"/>
                      <w:b/>
                      <w:sz w:val="14"/>
                    </w:rPr>
                  </w:pPr>
                  <w:r>
                    <w:rPr>
                      <w:rFonts w:ascii="Calibri"/>
                      <w:b/>
                      <w:sz w:val="14"/>
                    </w:rPr>
                    <w:t>Age at Valuation Date</w:t>
                  </w:r>
                </w:p>
              </w:txbxContent>
            </v:textbox>
            <w10:wrap type="none"/>
          </v:shape>
        </w:pict>
      </w:r>
      <w:r>
        <w:rPr>
          <w:rFonts w:ascii="Calibri"/>
          <w:sz w:val="14"/>
        </w:rPr>
        <w:t>70</w:t>
      </w:r>
    </w:p>
    <w:p>
      <w:pPr>
        <w:spacing w:before="107"/>
        <w:ind w:left="1510" w:right="0" w:firstLine="0"/>
        <w:jc w:val="left"/>
        <w:rPr>
          <w:rFonts w:ascii="Calibri"/>
          <w:sz w:val="14"/>
        </w:rPr>
      </w:pPr>
      <w:r>
        <w:rPr>
          <w:rFonts w:ascii="Calibri"/>
          <w:sz w:val="14"/>
        </w:rPr>
        <w:t>60</w:t>
      </w:r>
    </w:p>
    <w:p>
      <w:pPr>
        <w:spacing w:before="107"/>
        <w:ind w:left="1510" w:right="0" w:firstLine="0"/>
        <w:jc w:val="left"/>
        <w:rPr>
          <w:rFonts w:ascii="Calibri"/>
          <w:sz w:val="14"/>
        </w:rPr>
      </w:pPr>
      <w:r>
        <w:rPr>
          <w:rFonts w:ascii="Calibri"/>
          <w:sz w:val="14"/>
        </w:rPr>
        <w:t>50</w:t>
      </w:r>
    </w:p>
    <w:p>
      <w:pPr>
        <w:spacing w:before="107"/>
        <w:ind w:left="1510" w:right="0" w:firstLine="0"/>
        <w:jc w:val="left"/>
        <w:rPr>
          <w:rFonts w:ascii="Calibri"/>
          <w:sz w:val="14"/>
        </w:rPr>
      </w:pPr>
      <w:r>
        <w:rPr>
          <w:rFonts w:ascii="Calibri"/>
          <w:sz w:val="14"/>
        </w:rPr>
        <w:t>40</w:t>
      </w:r>
    </w:p>
    <w:p>
      <w:pPr>
        <w:spacing w:before="106"/>
        <w:ind w:left="1510" w:right="0" w:firstLine="0"/>
        <w:jc w:val="left"/>
        <w:rPr>
          <w:rFonts w:ascii="Calibri"/>
          <w:sz w:val="14"/>
        </w:rPr>
      </w:pPr>
      <w:r>
        <w:rPr>
          <w:rFonts w:ascii="Calibri"/>
          <w:sz w:val="14"/>
        </w:rPr>
        <w:t>30</w:t>
      </w:r>
    </w:p>
    <w:p>
      <w:pPr>
        <w:spacing w:before="107"/>
        <w:ind w:left="1510" w:right="0" w:firstLine="0"/>
        <w:jc w:val="left"/>
        <w:rPr>
          <w:rFonts w:ascii="Calibri"/>
          <w:sz w:val="14"/>
        </w:rPr>
      </w:pPr>
      <w:r>
        <w:rPr>
          <w:rFonts w:ascii="Calibri"/>
          <w:sz w:val="14"/>
        </w:rPr>
        <w:t>20</w:t>
      </w:r>
    </w:p>
    <w:p>
      <w:pPr>
        <w:spacing w:before="107"/>
        <w:ind w:left="1510" w:right="0" w:firstLine="0"/>
        <w:jc w:val="left"/>
        <w:rPr>
          <w:rFonts w:ascii="Calibri"/>
          <w:sz w:val="14"/>
        </w:rPr>
      </w:pPr>
      <w:r>
        <w:rPr>
          <w:rFonts w:ascii="Calibri"/>
          <w:sz w:val="14"/>
        </w:rPr>
        <w:t>10</w:t>
      </w:r>
    </w:p>
    <w:p>
      <w:pPr>
        <w:spacing w:before="107"/>
        <w:ind w:left="1583" w:right="0" w:firstLine="0"/>
        <w:jc w:val="left"/>
        <w:rPr>
          <w:rFonts w:ascii="Calibri"/>
          <w:sz w:val="14"/>
        </w:rPr>
      </w:pPr>
      <w:r>
        <w:rPr>
          <w:rFonts w:ascii="Calibri"/>
          <w:w w:val="99"/>
          <w:sz w:val="14"/>
        </w:rPr>
        <w:t>0</w:t>
      </w:r>
    </w:p>
    <w:p>
      <w:pPr>
        <w:spacing w:before="29"/>
        <w:ind w:left="1625" w:right="0" w:firstLine="0"/>
        <w:jc w:val="left"/>
        <w:rPr>
          <w:rFonts w:ascii="Calibri"/>
          <w:sz w:val="14"/>
        </w:rPr>
      </w:pPr>
      <w:r>
        <w:rPr>
          <w:rFonts w:ascii="Calibri"/>
          <w:sz w:val="14"/>
        </w:rPr>
        <w:t>1,000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1"/>
        <w:rPr>
          <w:rFonts w:ascii="Calibri"/>
          <w:sz w:val="17"/>
        </w:rPr>
      </w:pPr>
    </w:p>
    <w:p>
      <w:pPr>
        <w:spacing w:before="0"/>
        <w:ind w:left="154" w:right="0" w:firstLine="0"/>
        <w:jc w:val="left"/>
        <w:rPr>
          <w:rFonts w:ascii="Calibri"/>
          <w:sz w:val="14"/>
        </w:rPr>
      </w:pPr>
      <w:r>
        <w:rPr>
          <w:rFonts w:ascii="Calibri"/>
          <w:sz w:val="14"/>
        </w:rPr>
        <w:t>800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1"/>
        <w:rPr>
          <w:rFonts w:ascii="Calibri"/>
          <w:sz w:val="17"/>
        </w:rPr>
      </w:pPr>
    </w:p>
    <w:p>
      <w:pPr>
        <w:spacing w:before="0"/>
        <w:ind w:left="207" w:right="0" w:firstLine="0"/>
        <w:jc w:val="left"/>
        <w:rPr>
          <w:rFonts w:ascii="Calibri"/>
          <w:sz w:val="14"/>
        </w:rPr>
      </w:pPr>
      <w:r>
        <w:rPr>
          <w:rFonts w:ascii="Calibri"/>
          <w:sz w:val="14"/>
        </w:rPr>
        <w:t>600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1"/>
        <w:rPr>
          <w:rFonts w:ascii="Calibri"/>
          <w:sz w:val="17"/>
        </w:rPr>
      </w:pPr>
    </w:p>
    <w:p>
      <w:pPr>
        <w:spacing w:before="0"/>
        <w:ind w:left="207" w:right="0" w:firstLine="0"/>
        <w:jc w:val="left"/>
        <w:rPr>
          <w:rFonts w:ascii="Calibri"/>
          <w:sz w:val="14"/>
        </w:rPr>
      </w:pPr>
      <w:r>
        <w:rPr>
          <w:rFonts w:ascii="Calibri"/>
          <w:sz w:val="14"/>
        </w:rPr>
        <w:t>400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1"/>
        <w:rPr>
          <w:rFonts w:ascii="Calibri"/>
          <w:sz w:val="17"/>
        </w:rPr>
      </w:pPr>
    </w:p>
    <w:p>
      <w:pPr>
        <w:tabs>
          <w:tab w:pos="748" w:val="left" w:leader="none"/>
        </w:tabs>
        <w:spacing w:before="0"/>
        <w:ind w:left="207" w:right="0" w:firstLine="0"/>
        <w:jc w:val="left"/>
        <w:rPr>
          <w:rFonts w:ascii="Calibri"/>
          <w:sz w:val="14"/>
        </w:rPr>
      </w:pPr>
      <w:r>
        <w:rPr>
          <w:rFonts w:ascii="Calibri"/>
          <w:spacing w:val="2"/>
          <w:sz w:val="14"/>
        </w:rPr>
        <w:t>200</w:t>
        <w:tab/>
      </w:r>
      <w:r>
        <w:rPr>
          <w:rFonts w:ascii="Calibri"/>
          <w:spacing w:val="-20"/>
          <w:sz w:val="14"/>
        </w:rPr>
        <w:t>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1"/>
        <w:rPr>
          <w:rFonts w:ascii="Calibri"/>
          <w:sz w:val="17"/>
        </w:rPr>
      </w:pPr>
    </w:p>
    <w:p>
      <w:pPr>
        <w:spacing w:before="0"/>
        <w:ind w:left="285" w:right="0" w:firstLine="0"/>
        <w:jc w:val="left"/>
        <w:rPr>
          <w:rFonts w:ascii="Calibri"/>
          <w:sz w:val="14"/>
        </w:rPr>
      </w:pPr>
      <w:r>
        <w:rPr>
          <w:rFonts w:ascii="Calibri"/>
          <w:sz w:val="14"/>
        </w:rPr>
        <w:t>200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1"/>
        <w:rPr>
          <w:rFonts w:ascii="Calibri"/>
          <w:sz w:val="17"/>
        </w:rPr>
      </w:pPr>
    </w:p>
    <w:p>
      <w:pPr>
        <w:spacing w:before="0"/>
        <w:ind w:left="207" w:right="0" w:firstLine="0"/>
        <w:jc w:val="left"/>
        <w:rPr>
          <w:rFonts w:ascii="Calibri"/>
          <w:sz w:val="14"/>
        </w:rPr>
      </w:pPr>
      <w:r>
        <w:rPr>
          <w:rFonts w:ascii="Calibri"/>
          <w:sz w:val="14"/>
        </w:rPr>
        <w:t>400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1"/>
        <w:rPr>
          <w:rFonts w:ascii="Calibri"/>
          <w:sz w:val="17"/>
        </w:rPr>
      </w:pPr>
    </w:p>
    <w:p>
      <w:pPr>
        <w:spacing w:before="0"/>
        <w:ind w:left="207" w:right="0" w:firstLine="0"/>
        <w:jc w:val="left"/>
        <w:rPr>
          <w:rFonts w:ascii="Calibri"/>
          <w:sz w:val="14"/>
        </w:rPr>
      </w:pPr>
      <w:r>
        <w:rPr>
          <w:rFonts w:ascii="Calibri"/>
          <w:sz w:val="14"/>
        </w:rPr>
        <w:t>600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1"/>
        <w:rPr>
          <w:rFonts w:ascii="Calibri"/>
          <w:sz w:val="17"/>
        </w:rPr>
      </w:pPr>
    </w:p>
    <w:p>
      <w:pPr>
        <w:spacing w:before="0"/>
        <w:ind w:left="207" w:right="0" w:firstLine="0"/>
        <w:jc w:val="left"/>
        <w:rPr>
          <w:rFonts w:ascii="Calibri"/>
          <w:sz w:val="14"/>
        </w:rPr>
      </w:pPr>
      <w:r>
        <w:rPr>
          <w:rFonts w:ascii="Calibri"/>
          <w:sz w:val="14"/>
        </w:rPr>
        <w:t>800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1"/>
        <w:rPr>
          <w:rFonts w:ascii="Calibri"/>
          <w:sz w:val="17"/>
        </w:rPr>
      </w:pPr>
    </w:p>
    <w:p>
      <w:pPr>
        <w:spacing w:before="0"/>
        <w:ind w:left="153" w:right="0" w:firstLine="0"/>
        <w:jc w:val="left"/>
        <w:rPr>
          <w:rFonts w:ascii="Calibri"/>
          <w:sz w:val="14"/>
        </w:rPr>
      </w:pPr>
      <w:r>
        <w:rPr>
          <w:rFonts w:ascii="Calibri"/>
          <w:sz w:val="14"/>
        </w:rPr>
        <w:t>1,000</w:t>
      </w:r>
    </w:p>
    <w:p>
      <w:pPr>
        <w:pStyle w:val="BodyText"/>
        <w:rPr>
          <w:rFonts w:ascii="Calibri"/>
          <w:sz w:val="10"/>
        </w:rPr>
      </w:pPr>
      <w:r>
        <w:rPr/>
        <w:br w:type="column"/>
      </w:r>
      <w:r>
        <w:rPr>
          <w:rFonts w:ascii="Calibri"/>
          <w:sz w:val="10"/>
        </w:rPr>
      </w:r>
    </w:p>
    <w:p>
      <w:pPr>
        <w:spacing w:before="63"/>
        <w:ind w:left="1001" w:right="0" w:firstLine="0"/>
        <w:jc w:val="left"/>
        <w:rPr>
          <w:rFonts w:ascii="Calibri"/>
          <w:b/>
          <w:sz w:val="10"/>
        </w:rPr>
      </w:pPr>
      <w:r>
        <w:rPr>
          <w:rFonts w:ascii="Calibri"/>
          <w:b/>
          <w:w w:val="105"/>
          <w:sz w:val="10"/>
        </w:rPr>
        <w:t>Payment Category Key:</w:t>
      </w:r>
    </w:p>
    <w:p>
      <w:pPr>
        <w:spacing w:before="32"/>
        <w:ind w:left="1217" w:right="0" w:firstLine="0"/>
        <w:jc w:val="left"/>
        <w:rPr>
          <w:rFonts w:ascii="Calibri"/>
          <w:sz w:val="10"/>
        </w:rPr>
      </w:pPr>
      <w:r>
        <w:rPr/>
        <w:drawing>
          <wp:anchor distT="0" distB="0" distL="0" distR="0" allowOverlap="1" layoutInCell="1" locked="0" behindDoc="0" simplePos="0" relativeHeight="252370944">
            <wp:simplePos x="0" y="0"/>
            <wp:positionH relativeFrom="page">
              <wp:posOffset>4944719</wp:posOffset>
            </wp:positionH>
            <wp:positionV relativeFrom="paragraph">
              <wp:posOffset>9954</wp:posOffset>
            </wp:positionV>
            <wp:extent cx="136997" cy="1508891"/>
            <wp:effectExtent l="0" t="0" r="0" b="0"/>
            <wp:wrapNone/>
            <wp:docPr id="217" name="image111.png"/>
            <wp:cNvGraphicFramePr>
              <a:graphicFrameLocks noChangeAspect="1"/>
            </wp:cNvGraphicFramePr>
            <a:graphic>
              <a:graphicData uri="http://schemas.openxmlformats.org/drawingml/2006/picture">
                <pic:pic>
                  <pic:nvPicPr>
                    <pic:cNvPr id="218" name="image111.png"/>
                    <pic:cNvPicPr/>
                  </pic:nvPicPr>
                  <pic:blipFill>
                    <a:blip r:embed="rId133" cstate="print"/>
                    <a:stretch>
                      <a:fillRect/>
                    </a:stretch>
                  </pic:blipFill>
                  <pic:spPr>
                    <a:xfrm>
                      <a:off x="0" y="0"/>
                      <a:ext cx="136997" cy="1508891"/>
                    </a:xfrm>
                    <a:prstGeom prst="rect">
                      <a:avLst/>
                    </a:prstGeom>
                  </pic:spPr>
                </pic:pic>
              </a:graphicData>
            </a:graphic>
          </wp:anchor>
        </w:drawing>
      </w:r>
      <w:r>
        <w:rPr>
          <w:rFonts w:ascii="Calibri"/>
          <w:w w:val="105"/>
          <w:sz w:val="10"/>
        </w:rPr>
        <w:t>A - IS Studying</w:t>
      </w:r>
    </w:p>
    <w:p>
      <w:pPr>
        <w:spacing w:line="273" w:lineRule="auto" w:before="17"/>
        <w:ind w:left="1217" w:right="3074" w:firstLine="0"/>
        <w:jc w:val="left"/>
        <w:rPr>
          <w:rFonts w:ascii="Calibri"/>
          <w:sz w:val="10"/>
        </w:rPr>
      </w:pPr>
      <w:r>
        <w:rPr>
          <w:rFonts w:ascii="Calibri"/>
          <w:w w:val="105"/>
          <w:sz w:val="10"/>
        </w:rPr>
        <w:t>B - IS Working Age C - IS Parents</w:t>
      </w:r>
    </w:p>
    <w:p>
      <w:pPr>
        <w:spacing w:before="0"/>
        <w:ind w:left="1217" w:right="0" w:firstLine="0"/>
        <w:jc w:val="left"/>
        <w:rPr>
          <w:rFonts w:ascii="Calibri"/>
          <w:sz w:val="10"/>
        </w:rPr>
      </w:pPr>
      <w:r>
        <w:rPr>
          <w:rFonts w:ascii="Calibri"/>
          <w:w w:val="105"/>
          <w:sz w:val="10"/>
        </w:rPr>
        <w:t>D - IS Carer</w:t>
      </w:r>
    </w:p>
    <w:p>
      <w:pPr>
        <w:spacing w:line="273" w:lineRule="auto" w:before="17"/>
        <w:ind w:left="1217" w:right="3254" w:firstLine="0"/>
        <w:jc w:val="left"/>
        <w:rPr>
          <w:rFonts w:ascii="Calibri"/>
          <w:sz w:val="10"/>
        </w:rPr>
      </w:pPr>
      <w:r>
        <w:rPr>
          <w:rFonts w:ascii="Calibri"/>
          <w:w w:val="105"/>
          <w:sz w:val="10"/>
        </w:rPr>
        <w:t>E - IS Disability F - IS Age</w:t>
      </w:r>
    </w:p>
    <w:p>
      <w:pPr>
        <w:spacing w:line="273" w:lineRule="auto" w:before="1"/>
        <w:ind w:left="1217" w:right="3154" w:firstLine="0"/>
        <w:jc w:val="left"/>
        <w:rPr>
          <w:rFonts w:ascii="Calibri"/>
          <w:sz w:val="10"/>
        </w:rPr>
      </w:pPr>
      <w:r>
        <w:rPr>
          <w:rFonts w:ascii="Calibri"/>
          <w:w w:val="105"/>
          <w:sz w:val="10"/>
        </w:rPr>
        <w:t>G - IS Dependant H - Other FTB</w:t>
      </w:r>
    </w:p>
    <w:p>
      <w:pPr>
        <w:spacing w:before="0"/>
        <w:ind w:left="1217" w:right="0" w:firstLine="0"/>
        <w:jc w:val="left"/>
        <w:rPr>
          <w:rFonts w:ascii="Calibri"/>
          <w:sz w:val="10"/>
        </w:rPr>
      </w:pPr>
      <w:r>
        <w:rPr>
          <w:rFonts w:ascii="Calibri"/>
          <w:w w:val="105"/>
          <w:sz w:val="10"/>
        </w:rPr>
        <w:t>I - Other Family</w:t>
      </w:r>
    </w:p>
    <w:p>
      <w:pPr>
        <w:spacing w:before="17"/>
        <w:ind w:left="1217" w:right="0" w:firstLine="0"/>
        <w:jc w:val="left"/>
        <w:rPr>
          <w:rFonts w:ascii="Calibri"/>
          <w:sz w:val="10"/>
        </w:rPr>
      </w:pPr>
      <w:r>
        <w:rPr>
          <w:rFonts w:ascii="Calibri"/>
          <w:w w:val="105"/>
          <w:sz w:val="10"/>
        </w:rPr>
        <w:t>J - Other New Parents</w:t>
      </w:r>
    </w:p>
    <w:p>
      <w:pPr>
        <w:spacing w:line="273" w:lineRule="auto" w:before="18"/>
        <w:ind w:left="1217" w:right="2686" w:firstLine="0"/>
        <w:jc w:val="left"/>
        <w:rPr>
          <w:rFonts w:ascii="Calibri"/>
          <w:sz w:val="10"/>
        </w:rPr>
      </w:pPr>
      <w:r>
        <w:rPr>
          <w:rFonts w:ascii="Calibri"/>
          <w:w w:val="105"/>
          <w:sz w:val="10"/>
        </w:rPr>
        <w:t>L - Other Health &amp; Disability M - Other Carer</w:t>
      </w:r>
    </w:p>
    <w:p>
      <w:pPr>
        <w:spacing w:before="0"/>
        <w:ind w:left="1217" w:right="0" w:firstLine="0"/>
        <w:jc w:val="left"/>
        <w:rPr>
          <w:rFonts w:ascii="Calibri"/>
          <w:sz w:val="10"/>
        </w:rPr>
      </w:pPr>
      <w:r>
        <w:rPr>
          <w:rFonts w:ascii="Calibri"/>
          <w:w w:val="105"/>
          <w:sz w:val="10"/>
        </w:rPr>
        <w:t>N - Other Study &amp; Skills</w:t>
      </w:r>
    </w:p>
    <w:p>
      <w:pPr>
        <w:spacing w:line="273" w:lineRule="auto" w:before="17"/>
        <w:ind w:left="1217" w:right="2629" w:firstLine="0"/>
        <w:jc w:val="both"/>
        <w:rPr>
          <w:rFonts w:ascii="Calibri"/>
          <w:sz w:val="10"/>
        </w:rPr>
      </w:pPr>
      <w:r>
        <w:rPr>
          <w:rFonts w:ascii="Calibri"/>
          <w:w w:val="105"/>
          <w:sz w:val="10"/>
        </w:rPr>
        <w:t>O - Other Remote &amp; Regional P - Other General Allowances Q - All Other</w:t>
      </w:r>
    </w:p>
    <w:p>
      <w:pPr>
        <w:spacing w:before="1"/>
        <w:ind w:left="1217" w:right="0" w:firstLine="0"/>
        <w:jc w:val="both"/>
        <w:rPr>
          <w:rFonts w:ascii="Calibri"/>
          <w:sz w:val="10"/>
        </w:rPr>
      </w:pPr>
      <w:r>
        <w:rPr>
          <w:rFonts w:ascii="Calibri"/>
          <w:w w:val="105"/>
          <w:sz w:val="10"/>
        </w:rPr>
        <w:t>R - Rent Assistance</w:t>
      </w:r>
    </w:p>
    <w:p>
      <w:pPr>
        <w:spacing w:after="0"/>
        <w:jc w:val="both"/>
        <w:rPr>
          <w:rFonts w:ascii="Calibri"/>
          <w:sz w:val="10"/>
        </w:rPr>
        <w:sectPr>
          <w:type w:val="continuous"/>
          <w:pgSz w:w="11910" w:h="16850"/>
          <w:pgMar w:top="1600" w:bottom="280" w:left="120" w:right="0"/>
          <w:cols w:num="11" w:equalWidth="0">
            <w:col w:w="1955" w:space="40"/>
            <w:col w:w="376" w:space="39"/>
            <w:col w:w="429" w:space="39"/>
            <w:col w:w="429" w:space="39"/>
            <w:col w:w="820" w:space="40"/>
            <w:col w:w="507" w:space="39"/>
            <w:col w:w="429" w:space="39"/>
            <w:col w:w="429" w:space="40"/>
            <w:col w:w="429" w:space="39"/>
            <w:col w:w="482" w:space="40"/>
            <w:col w:w="5111"/>
          </w:cols>
        </w:sectPr>
      </w:pPr>
    </w:p>
    <w:p>
      <w:pPr>
        <w:spacing w:before="47"/>
        <w:ind w:left="3244" w:right="0" w:firstLine="0"/>
        <w:jc w:val="left"/>
        <w:rPr>
          <w:rFonts w:ascii="Calibri"/>
          <w:b/>
          <w:sz w:val="14"/>
        </w:rPr>
      </w:pPr>
      <w:r>
        <w:rPr>
          <w:rFonts w:ascii="Calibri"/>
          <w:b/>
          <w:sz w:val="14"/>
        </w:rPr>
        <w:t>Average Lifetime Cost ($000s)</w:t>
      </w:r>
    </w:p>
    <w:p>
      <w:pPr>
        <w:pStyle w:val="BodyText"/>
        <w:spacing w:before="5"/>
        <w:rPr>
          <w:rFonts w:ascii="Calibri"/>
          <w:b/>
          <w:sz w:val="19"/>
        </w:rPr>
      </w:pPr>
    </w:p>
    <w:p>
      <w:pPr>
        <w:pStyle w:val="BodyText"/>
        <w:spacing w:before="93"/>
        <w:ind w:left="900" w:right="1309" w:hanging="1"/>
      </w:pPr>
      <w:r>
        <w:rPr>
          <w:color w:val="404040"/>
        </w:rPr>
        <w:t>The average lifetime costs include significant amounts of the Carer payment and Age Pension and contributions from a range of supplementary payment categories, for both males and females. The costs are noticeably higher for women than men and especially so for those at young to mid ages. This arises from higher additional costs of FTB and other family payments and from more women transitioning to Parenting payments.</w:t>
      </w:r>
    </w:p>
    <w:p>
      <w:pPr>
        <w:spacing w:after="0"/>
        <w:sectPr>
          <w:type w:val="continuous"/>
          <w:pgSz w:w="11910" w:h="16850"/>
          <w:pgMar w:top="1600" w:bottom="280" w:left="120" w:right="0"/>
        </w:sectPr>
      </w:pPr>
    </w:p>
    <w:p>
      <w:pPr>
        <w:pStyle w:val="BodyText"/>
      </w:pPr>
    </w:p>
    <w:p>
      <w:pPr>
        <w:pStyle w:val="BodyText"/>
      </w:pPr>
    </w:p>
    <w:p>
      <w:pPr>
        <w:pStyle w:val="BodyText"/>
        <w:spacing w:before="7"/>
        <w:rPr>
          <w:sz w:val="21"/>
        </w:rPr>
      </w:pPr>
    </w:p>
    <w:p>
      <w:pPr>
        <w:pStyle w:val="BodyText"/>
        <w:spacing w:before="93"/>
        <w:ind w:left="900" w:right="1153"/>
      </w:pPr>
      <w:r>
        <w:rPr>
          <w:color w:val="404040"/>
        </w:rPr>
        <w:t>The average lifetime cost pyramid shows a small discontinuity at around age 65 for the IS Carer payments but then continues through the full age range reflecting the composition of people in the class. The discontinuity arises as many people move to the Age Pension class once they are over this age. For the small proportion of people who continue in this class once they are above their pension age, the average lifetime cost is mainly comprised of a mix of Carer payments and the Age Pension.</w:t>
      </w:r>
    </w:p>
    <w:p>
      <w:pPr>
        <w:pStyle w:val="BodyText"/>
        <w:spacing w:before="122"/>
        <w:ind w:left="899" w:right="1027"/>
      </w:pPr>
      <w:r>
        <w:rPr>
          <w:color w:val="404040"/>
        </w:rPr>
        <w:t>To further explore differences in the average lifetime costs for people within class 4, we have prepared the table below, which shows the average lifetime cost for 45 to 54 year olds currently receiving Carer payments, split by key characteristics. </w:t>
      </w:r>
      <w:r>
        <w:rPr>
          <w:color w:val="404040"/>
          <w:spacing w:val="3"/>
        </w:rPr>
        <w:t>We </w:t>
      </w:r>
      <w:r>
        <w:rPr>
          <w:color w:val="404040"/>
        </w:rPr>
        <w:t>have selected a set age group to reduce the effect of age on the future lifetime cost. It is important to note that some characteristics serve as proxies for more fundamental socio-economic factors, and as such, they may not necessarily be the underlying cause of any differences observed in the average lifetime costs of individuals. Further, the variations and relativities to the average lifetime cost that have been shown </w:t>
      </w:r>
      <w:r>
        <w:rPr>
          <w:color w:val="404040"/>
          <w:spacing w:val="2"/>
        </w:rPr>
        <w:t>may </w:t>
      </w:r>
      <w:r>
        <w:rPr>
          <w:color w:val="404040"/>
        </w:rPr>
        <w:t>differ for other age</w:t>
      </w:r>
      <w:r>
        <w:rPr>
          <w:color w:val="404040"/>
          <w:spacing w:val="-7"/>
        </w:rPr>
        <w:t> </w:t>
      </w:r>
      <w:r>
        <w:rPr>
          <w:color w:val="404040"/>
        </w:rPr>
        <w:t>bands.</w:t>
      </w:r>
    </w:p>
    <w:p>
      <w:pPr>
        <w:pStyle w:val="Heading9"/>
        <w:spacing w:before="177" w:after="44"/>
        <w:ind w:left="899" w:right="2379" w:hanging="1"/>
      </w:pPr>
      <w:r>
        <w:rPr>
          <w:color w:val="DF2F1E"/>
        </w:rPr>
        <w:t>Table 24: Average lifetime cost for 45 to 54 year old Carer Payment recipients split by key characteristics</w:t>
      </w:r>
    </w:p>
    <w:tbl>
      <w:tblPr>
        <w:tblW w:w="0" w:type="auto"/>
        <w:jc w:val="left"/>
        <w:tblInd w:w="1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28"/>
        <w:gridCol w:w="1015"/>
        <w:gridCol w:w="1659"/>
        <w:gridCol w:w="1575"/>
        <w:gridCol w:w="1609"/>
      </w:tblGrid>
      <w:tr>
        <w:trPr>
          <w:trHeight w:val="652" w:hRule="atLeast"/>
        </w:trPr>
        <w:tc>
          <w:tcPr>
            <w:tcW w:w="3928" w:type="dxa"/>
            <w:shd w:val="clear" w:color="auto" w:fill="DF2F1E"/>
          </w:tcPr>
          <w:p>
            <w:pPr>
              <w:pStyle w:val="TableParagraph"/>
              <w:spacing w:before="0"/>
              <w:rPr>
                <w:rFonts w:ascii="Times New Roman"/>
                <w:sz w:val="18"/>
              </w:rPr>
            </w:pPr>
          </w:p>
        </w:tc>
        <w:tc>
          <w:tcPr>
            <w:tcW w:w="1015" w:type="dxa"/>
            <w:shd w:val="clear" w:color="auto" w:fill="DF2F1E"/>
          </w:tcPr>
          <w:p>
            <w:pPr>
              <w:pStyle w:val="TableParagraph"/>
              <w:spacing w:before="44"/>
              <w:ind w:left="214" w:right="123" w:hanging="142"/>
              <w:rPr>
                <w:b/>
                <w:sz w:val="16"/>
              </w:rPr>
            </w:pPr>
            <w:r>
              <w:rPr>
                <w:b/>
                <w:color w:val="FFFFFF"/>
                <w:sz w:val="16"/>
              </w:rPr>
              <w:t>Number of people</w:t>
            </w:r>
          </w:p>
        </w:tc>
        <w:tc>
          <w:tcPr>
            <w:tcW w:w="1659" w:type="dxa"/>
            <w:shd w:val="clear" w:color="auto" w:fill="DF2F1E"/>
          </w:tcPr>
          <w:p>
            <w:pPr>
              <w:pStyle w:val="TableParagraph"/>
              <w:spacing w:before="44"/>
              <w:ind w:left="276" w:right="132" w:hanging="130"/>
              <w:rPr>
                <w:b/>
                <w:sz w:val="16"/>
              </w:rPr>
            </w:pPr>
            <w:r>
              <w:rPr>
                <w:b/>
                <w:color w:val="FFFFFF"/>
                <w:sz w:val="16"/>
              </w:rPr>
              <w:t>Number of people as % of cohort</w:t>
            </w:r>
          </w:p>
        </w:tc>
        <w:tc>
          <w:tcPr>
            <w:tcW w:w="1575" w:type="dxa"/>
            <w:shd w:val="clear" w:color="auto" w:fill="DF2F1E"/>
          </w:tcPr>
          <w:p>
            <w:pPr>
              <w:pStyle w:val="TableParagraph"/>
              <w:spacing w:before="44"/>
              <w:ind w:left="490" w:right="164" w:hanging="336"/>
              <w:rPr>
                <w:b/>
                <w:sz w:val="16"/>
              </w:rPr>
            </w:pPr>
            <w:r>
              <w:rPr>
                <w:b/>
                <w:color w:val="FFFFFF"/>
                <w:sz w:val="16"/>
              </w:rPr>
              <w:t>Average lifetime cost ($)</w:t>
            </w:r>
          </w:p>
        </w:tc>
        <w:tc>
          <w:tcPr>
            <w:tcW w:w="1609" w:type="dxa"/>
            <w:shd w:val="clear" w:color="auto" w:fill="DF2F1E"/>
          </w:tcPr>
          <w:p>
            <w:pPr>
              <w:pStyle w:val="TableParagraph"/>
              <w:spacing w:before="44"/>
              <w:ind w:left="187" w:right="181"/>
              <w:jc w:val="center"/>
              <w:rPr>
                <w:b/>
                <w:sz w:val="16"/>
              </w:rPr>
            </w:pPr>
            <w:r>
              <w:rPr>
                <w:b/>
                <w:color w:val="FFFFFF"/>
                <w:sz w:val="16"/>
              </w:rPr>
              <w:t>Average lifetime cost relative to cohort</w:t>
            </w:r>
          </w:p>
        </w:tc>
      </w:tr>
      <w:tr>
        <w:trPr>
          <w:trHeight w:val="263" w:hRule="atLeast"/>
        </w:trPr>
        <w:tc>
          <w:tcPr>
            <w:tcW w:w="3928" w:type="dxa"/>
            <w:tcBorders>
              <w:left w:val="single" w:sz="4" w:space="0" w:color="DF2F1E"/>
              <w:bottom w:val="single" w:sz="4" w:space="0" w:color="DF2F1E"/>
            </w:tcBorders>
            <w:shd w:val="clear" w:color="auto" w:fill="F7DCE0"/>
          </w:tcPr>
          <w:p>
            <w:pPr>
              <w:pStyle w:val="TableParagraph"/>
              <w:spacing w:before="34"/>
              <w:ind w:left="107"/>
              <w:rPr>
                <w:b/>
                <w:sz w:val="16"/>
              </w:rPr>
            </w:pPr>
            <w:r>
              <w:rPr>
                <w:b/>
                <w:color w:val="404040"/>
                <w:sz w:val="16"/>
              </w:rPr>
              <w:t>Total</w:t>
            </w:r>
          </w:p>
        </w:tc>
        <w:tc>
          <w:tcPr>
            <w:tcW w:w="1015" w:type="dxa"/>
            <w:tcBorders>
              <w:bottom w:val="single" w:sz="4" w:space="0" w:color="DF2F1E"/>
            </w:tcBorders>
            <w:shd w:val="clear" w:color="auto" w:fill="F7DCE0"/>
          </w:tcPr>
          <w:p>
            <w:pPr>
              <w:pStyle w:val="TableParagraph"/>
              <w:spacing w:before="34"/>
              <w:ind w:left="228"/>
              <w:rPr>
                <w:b/>
                <w:sz w:val="16"/>
              </w:rPr>
            </w:pPr>
            <w:r>
              <w:rPr>
                <w:b/>
                <w:color w:val="404040"/>
                <w:sz w:val="16"/>
              </w:rPr>
              <w:t>71,000</w:t>
            </w:r>
          </w:p>
        </w:tc>
        <w:tc>
          <w:tcPr>
            <w:tcW w:w="1659" w:type="dxa"/>
            <w:tcBorders>
              <w:bottom w:val="single" w:sz="4" w:space="0" w:color="DF2F1E"/>
            </w:tcBorders>
            <w:shd w:val="clear" w:color="auto" w:fill="F7DCE0"/>
          </w:tcPr>
          <w:p>
            <w:pPr>
              <w:pStyle w:val="TableParagraph"/>
              <w:spacing w:before="34"/>
              <w:ind w:left="622"/>
              <w:rPr>
                <w:b/>
                <w:sz w:val="16"/>
              </w:rPr>
            </w:pPr>
            <w:r>
              <w:rPr>
                <w:b/>
                <w:color w:val="404040"/>
                <w:sz w:val="16"/>
              </w:rPr>
              <w:t>100%</w:t>
            </w:r>
          </w:p>
        </w:tc>
        <w:tc>
          <w:tcPr>
            <w:tcW w:w="1575" w:type="dxa"/>
            <w:tcBorders>
              <w:bottom w:val="single" w:sz="4" w:space="0" w:color="DF2F1E"/>
            </w:tcBorders>
            <w:shd w:val="clear" w:color="auto" w:fill="F7DCE0"/>
          </w:tcPr>
          <w:p>
            <w:pPr>
              <w:pStyle w:val="TableParagraph"/>
              <w:spacing w:before="34"/>
              <w:ind w:left="464" w:right="488"/>
              <w:jc w:val="center"/>
              <w:rPr>
                <w:b/>
                <w:sz w:val="16"/>
              </w:rPr>
            </w:pPr>
            <w:r>
              <w:rPr>
                <w:b/>
                <w:color w:val="404040"/>
                <w:sz w:val="16"/>
              </w:rPr>
              <w:t>560,000</w:t>
            </w:r>
          </w:p>
        </w:tc>
        <w:tc>
          <w:tcPr>
            <w:tcW w:w="1609" w:type="dxa"/>
            <w:tcBorders>
              <w:bottom w:val="single" w:sz="4" w:space="0" w:color="DF2F1E"/>
              <w:right w:val="single" w:sz="4" w:space="0" w:color="DF2F1E"/>
            </w:tcBorders>
            <w:shd w:val="clear" w:color="auto" w:fill="F7DCE0"/>
          </w:tcPr>
          <w:p>
            <w:pPr>
              <w:pStyle w:val="TableParagraph"/>
              <w:spacing w:before="34"/>
              <w:ind w:left="578" w:right="574"/>
              <w:jc w:val="center"/>
              <w:rPr>
                <w:b/>
                <w:sz w:val="16"/>
              </w:rPr>
            </w:pPr>
            <w:r>
              <w:rPr>
                <w:b/>
                <w:color w:val="404040"/>
                <w:sz w:val="16"/>
              </w:rPr>
              <w:t>100%</w:t>
            </w:r>
          </w:p>
        </w:tc>
      </w:tr>
      <w:tr>
        <w:trPr>
          <w:trHeight w:val="262" w:hRule="atLeast"/>
        </w:trPr>
        <w:tc>
          <w:tcPr>
            <w:tcW w:w="3928" w:type="dxa"/>
            <w:tcBorders>
              <w:top w:val="single" w:sz="4" w:space="0" w:color="DF2F1E"/>
              <w:left w:val="single" w:sz="4" w:space="0" w:color="DF2F1E"/>
            </w:tcBorders>
          </w:tcPr>
          <w:p>
            <w:pPr>
              <w:pStyle w:val="TableParagraph"/>
              <w:spacing w:before="34"/>
              <w:ind w:left="107"/>
              <w:rPr>
                <w:b/>
                <w:sz w:val="16"/>
              </w:rPr>
            </w:pPr>
            <w:r>
              <w:rPr>
                <w:b/>
                <w:color w:val="404040"/>
                <w:sz w:val="16"/>
              </w:rPr>
              <w:t>Carer caree relationship</w:t>
            </w:r>
          </w:p>
        </w:tc>
        <w:tc>
          <w:tcPr>
            <w:tcW w:w="1015" w:type="dxa"/>
            <w:tcBorders>
              <w:top w:val="single" w:sz="4" w:space="0" w:color="DF2F1E"/>
            </w:tcBorders>
          </w:tcPr>
          <w:p>
            <w:pPr>
              <w:pStyle w:val="TableParagraph"/>
              <w:spacing w:before="0"/>
              <w:rPr>
                <w:rFonts w:ascii="Times New Roman"/>
                <w:sz w:val="18"/>
              </w:rPr>
            </w:pPr>
          </w:p>
        </w:tc>
        <w:tc>
          <w:tcPr>
            <w:tcW w:w="1659" w:type="dxa"/>
            <w:tcBorders>
              <w:top w:val="single" w:sz="4" w:space="0" w:color="DF2F1E"/>
            </w:tcBorders>
          </w:tcPr>
          <w:p>
            <w:pPr>
              <w:pStyle w:val="TableParagraph"/>
              <w:spacing w:before="0"/>
              <w:rPr>
                <w:rFonts w:ascii="Times New Roman"/>
                <w:sz w:val="18"/>
              </w:rPr>
            </w:pPr>
          </w:p>
        </w:tc>
        <w:tc>
          <w:tcPr>
            <w:tcW w:w="1575" w:type="dxa"/>
            <w:tcBorders>
              <w:top w:val="single" w:sz="4" w:space="0" w:color="DF2F1E"/>
            </w:tcBorders>
          </w:tcPr>
          <w:p>
            <w:pPr>
              <w:pStyle w:val="TableParagraph"/>
              <w:spacing w:before="0"/>
              <w:rPr>
                <w:rFonts w:ascii="Times New Roman"/>
                <w:sz w:val="18"/>
              </w:rPr>
            </w:pPr>
          </w:p>
        </w:tc>
        <w:tc>
          <w:tcPr>
            <w:tcW w:w="1609" w:type="dxa"/>
            <w:tcBorders>
              <w:top w:val="single" w:sz="4" w:space="0" w:color="DF2F1E"/>
              <w:right w:val="single" w:sz="4" w:space="0" w:color="DF2F1E"/>
            </w:tcBorders>
          </w:tcPr>
          <w:p>
            <w:pPr>
              <w:pStyle w:val="TableParagraph"/>
              <w:spacing w:before="0"/>
              <w:rPr>
                <w:rFonts w:ascii="Times New Roman"/>
                <w:sz w:val="18"/>
              </w:rPr>
            </w:pPr>
          </w:p>
        </w:tc>
      </w:tr>
      <w:tr>
        <w:trPr>
          <w:trHeight w:val="265" w:hRule="atLeast"/>
        </w:trPr>
        <w:tc>
          <w:tcPr>
            <w:tcW w:w="3928" w:type="dxa"/>
            <w:tcBorders>
              <w:left w:val="single" w:sz="4" w:space="0" w:color="DF2F1E"/>
            </w:tcBorders>
          </w:tcPr>
          <w:p>
            <w:pPr>
              <w:pStyle w:val="TableParagraph"/>
              <w:spacing w:before="39"/>
              <w:ind w:left="287"/>
              <w:rPr>
                <w:b/>
                <w:i/>
                <w:sz w:val="16"/>
              </w:rPr>
            </w:pPr>
            <w:r>
              <w:rPr>
                <w:b/>
                <w:i/>
                <w:color w:val="404040"/>
                <w:sz w:val="16"/>
              </w:rPr>
              <w:t>- Child</w:t>
            </w:r>
          </w:p>
        </w:tc>
        <w:tc>
          <w:tcPr>
            <w:tcW w:w="1015" w:type="dxa"/>
          </w:tcPr>
          <w:p>
            <w:pPr>
              <w:pStyle w:val="TableParagraph"/>
              <w:spacing w:before="39"/>
              <w:ind w:left="228"/>
              <w:rPr>
                <w:sz w:val="16"/>
              </w:rPr>
            </w:pPr>
            <w:r>
              <w:rPr>
                <w:color w:val="404040"/>
                <w:sz w:val="16"/>
              </w:rPr>
              <w:t>18,000</w:t>
            </w:r>
          </w:p>
        </w:tc>
        <w:tc>
          <w:tcPr>
            <w:tcW w:w="1659" w:type="dxa"/>
          </w:tcPr>
          <w:p>
            <w:pPr>
              <w:pStyle w:val="TableParagraph"/>
              <w:spacing w:before="39"/>
              <w:ind w:left="668"/>
              <w:rPr>
                <w:sz w:val="16"/>
              </w:rPr>
            </w:pPr>
            <w:r>
              <w:rPr>
                <w:color w:val="404040"/>
                <w:sz w:val="16"/>
              </w:rPr>
              <w:t>25%</w:t>
            </w:r>
          </w:p>
        </w:tc>
        <w:tc>
          <w:tcPr>
            <w:tcW w:w="1575" w:type="dxa"/>
          </w:tcPr>
          <w:p>
            <w:pPr>
              <w:pStyle w:val="TableParagraph"/>
              <w:spacing w:before="39"/>
              <w:ind w:left="464" w:right="488"/>
              <w:jc w:val="center"/>
              <w:rPr>
                <w:sz w:val="16"/>
              </w:rPr>
            </w:pPr>
            <w:r>
              <w:rPr>
                <w:color w:val="404040"/>
                <w:sz w:val="16"/>
              </w:rPr>
              <w:t>523,000</w:t>
            </w:r>
          </w:p>
        </w:tc>
        <w:tc>
          <w:tcPr>
            <w:tcW w:w="1609" w:type="dxa"/>
            <w:tcBorders>
              <w:right w:val="single" w:sz="4" w:space="0" w:color="DF2F1E"/>
            </w:tcBorders>
          </w:tcPr>
          <w:p>
            <w:pPr>
              <w:pStyle w:val="TableParagraph"/>
              <w:spacing w:before="39"/>
              <w:ind w:left="578" w:right="572"/>
              <w:jc w:val="center"/>
              <w:rPr>
                <w:sz w:val="16"/>
              </w:rPr>
            </w:pPr>
            <w:r>
              <w:rPr>
                <w:color w:val="404040"/>
                <w:sz w:val="16"/>
              </w:rPr>
              <w:t>93%</w:t>
            </w:r>
          </w:p>
        </w:tc>
      </w:tr>
      <w:tr>
        <w:trPr>
          <w:trHeight w:val="263" w:hRule="atLeast"/>
        </w:trPr>
        <w:tc>
          <w:tcPr>
            <w:tcW w:w="3928" w:type="dxa"/>
            <w:tcBorders>
              <w:left w:val="single" w:sz="4" w:space="0" w:color="DF2F1E"/>
            </w:tcBorders>
          </w:tcPr>
          <w:p>
            <w:pPr>
              <w:pStyle w:val="TableParagraph"/>
              <w:ind w:left="287"/>
              <w:rPr>
                <w:b/>
                <w:i/>
                <w:sz w:val="16"/>
              </w:rPr>
            </w:pPr>
            <w:r>
              <w:rPr>
                <w:b/>
                <w:i/>
                <w:color w:val="404040"/>
                <w:sz w:val="16"/>
              </w:rPr>
              <w:t>- Other relation</w:t>
            </w:r>
          </w:p>
        </w:tc>
        <w:tc>
          <w:tcPr>
            <w:tcW w:w="1015" w:type="dxa"/>
          </w:tcPr>
          <w:p>
            <w:pPr>
              <w:pStyle w:val="TableParagraph"/>
              <w:ind w:left="271"/>
              <w:rPr>
                <w:sz w:val="16"/>
              </w:rPr>
            </w:pPr>
            <w:r>
              <w:rPr>
                <w:color w:val="404040"/>
                <w:sz w:val="16"/>
              </w:rPr>
              <w:t>7,000</w:t>
            </w:r>
          </w:p>
        </w:tc>
        <w:tc>
          <w:tcPr>
            <w:tcW w:w="1659" w:type="dxa"/>
          </w:tcPr>
          <w:p>
            <w:pPr>
              <w:pStyle w:val="TableParagraph"/>
              <w:ind w:left="668"/>
              <w:rPr>
                <w:sz w:val="16"/>
              </w:rPr>
            </w:pPr>
            <w:r>
              <w:rPr>
                <w:color w:val="404040"/>
                <w:sz w:val="16"/>
              </w:rPr>
              <w:t>10%</w:t>
            </w:r>
          </w:p>
        </w:tc>
        <w:tc>
          <w:tcPr>
            <w:tcW w:w="1575" w:type="dxa"/>
          </w:tcPr>
          <w:p>
            <w:pPr>
              <w:pStyle w:val="TableParagraph"/>
              <w:ind w:left="464" w:right="488"/>
              <w:jc w:val="center"/>
              <w:rPr>
                <w:sz w:val="16"/>
              </w:rPr>
            </w:pPr>
            <w:r>
              <w:rPr>
                <w:color w:val="404040"/>
                <w:sz w:val="16"/>
              </w:rPr>
              <w:t>537,000</w:t>
            </w:r>
          </w:p>
        </w:tc>
        <w:tc>
          <w:tcPr>
            <w:tcW w:w="1609" w:type="dxa"/>
            <w:tcBorders>
              <w:right w:val="single" w:sz="4" w:space="0" w:color="DF2F1E"/>
            </w:tcBorders>
          </w:tcPr>
          <w:p>
            <w:pPr>
              <w:pStyle w:val="TableParagraph"/>
              <w:ind w:left="578" w:right="572"/>
              <w:jc w:val="center"/>
              <w:rPr>
                <w:sz w:val="16"/>
              </w:rPr>
            </w:pPr>
            <w:r>
              <w:rPr>
                <w:color w:val="404040"/>
                <w:sz w:val="16"/>
              </w:rPr>
              <w:t>96%</w:t>
            </w:r>
          </w:p>
        </w:tc>
      </w:tr>
      <w:tr>
        <w:trPr>
          <w:trHeight w:val="264" w:hRule="atLeast"/>
        </w:trPr>
        <w:tc>
          <w:tcPr>
            <w:tcW w:w="3928" w:type="dxa"/>
            <w:tcBorders>
              <w:left w:val="single" w:sz="4" w:space="0" w:color="DF2F1E"/>
            </w:tcBorders>
          </w:tcPr>
          <w:p>
            <w:pPr>
              <w:pStyle w:val="TableParagraph"/>
              <w:ind w:left="287"/>
              <w:rPr>
                <w:b/>
                <w:i/>
                <w:sz w:val="16"/>
              </w:rPr>
            </w:pPr>
            <w:r>
              <w:rPr>
                <w:b/>
                <w:i/>
                <w:color w:val="404040"/>
                <w:sz w:val="16"/>
              </w:rPr>
              <w:t>- Parent</w:t>
            </w:r>
          </w:p>
        </w:tc>
        <w:tc>
          <w:tcPr>
            <w:tcW w:w="1015" w:type="dxa"/>
          </w:tcPr>
          <w:p>
            <w:pPr>
              <w:pStyle w:val="TableParagraph"/>
              <w:ind w:left="228"/>
              <w:rPr>
                <w:sz w:val="16"/>
              </w:rPr>
            </w:pPr>
            <w:r>
              <w:rPr>
                <w:color w:val="404040"/>
                <w:sz w:val="16"/>
              </w:rPr>
              <w:t>21,000</w:t>
            </w:r>
          </w:p>
        </w:tc>
        <w:tc>
          <w:tcPr>
            <w:tcW w:w="1659" w:type="dxa"/>
          </w:tcPr>
          <w:p>
            <w:pPr>
              <w:pStyle w:val="TableParagraph"/>
              <w:ind w:left="668"/>
              <w:rPr>
                <w:sz w:val="16"/>
              </w:rPr>
            </w:pPr>
            <w:r>
              <w:rPr>
                <w:color w:val="404040"/>
                <w:sz w:val="16"/>
              </w:rPr>
              <w:t>29%</w:t>
            </w:r>
          </w:p>
        </w:tc>
        <w:tc>
          <w:tcPr>
            <w:tcW w:w="1575" w:type="dxa"/>
          </w:tcPr>
          <w:p>
            <w:pPr>
              <w:pStyle w:val="TableParagraph"/>
              <w:ind w:left="464" w:right="488"/>
              <w:jc w:val="center"/>
              <w:rPr>
                <w:sz w:val="16"/>
              </w:rPr>
            </w:pPr>
            <w:r>
              <w:rPr>
                <w:color w:val="404040"/>
                <w:sz w:val="16"/>
              </w:rPr>
              <w:t>621,000</w:t>
            </w:r>
          </w:p>
        </w:tc>
        <w:tc>
          <w:tcPr>
            <w:tcW w:w="1609" w:type="dxa"/>
            <w:tcBorders>
              <w:right w:val="single" w:sz="4" w:space="0" w:color="DF2F1E"/>
            </w:tcBorders>
          </w:tcPr>
          <w:p>
            <w:pPr>
              <w:pStyle w:val="TableParagraph"/>
              <w:ind w:left="578" w:right="574"/>
              <w:jc w:val="center"/>
              <w:rPr>
                <w:sz w:val="16"/>
              </w:rPr>
            </w:pPr>
            <w:r>
              <w:rPr>
                <w:color w:val="404040"/>
                <w:sz w:val="16"/>
              </w:rPr>
              <w:t>111%</w:t>
            </w:r>
          </w:p>
        </w:tc>
      </w:tr>
      <w:tr>
        <w:trPr>
          <w:trHeight w:val="263" w:hRule="atLeast"/>
        </w:trPr>
        <w:tc>
          <w:tcPr>
            <w:tcW w:w="3928" w:type="dxa"/>
            <w:tcBorders>
              <w:left w:val="single" w:sz="4" w:space="0" w:color="DF2F1E"/>
            </w:tcBorders>
          </w:tcPr>
          <w:p>
            <w:pPr>
              <w:pStyle w:val="TableParagraph"/>
              <w:ind w:left="287"/>
              <w:rPr>
                <w:b/>
                <w:i/>
                <w:sz w:val="16"/>
              </w:rPr>
            </w:pPr>
            <w:r>
              <w:rPr>
                <w:b/>
                <w:i/>
                <w:color w:val="404040"/>
                <w:sz w:val="16"/>
              </w:rPr>
              <w:t>- Unrelated</w:t>
            </w:r>
          </w:p>
        </w:tc>
        <w:tc>
          <w:tcPr>
            <w:tcW w:w="1015" w:type="dxa"/>
          </w:tcPr>
          <w:p>
            <w:pPr>
              <w:pStyle w:val="TableParagraph"/>
              <w:ind w:left="271"/>
              <w:rPr>
                <w:sz w:val="16"/>
              </w:rPr>
            </w:pPr>
            <w:r>
              <w:rPr>
                <w:color w:val="404040"/>
                <w:sz w:val="16"/>
              </w:rPr>
              <w:t>5,000</w:t>
            </w:r>
          </w:p>
        </w:tc>
        <w:tc>
          <w:tcPr>
            <w:tcW w:w="1659" w:type="dxa"/>
          </w:tcPr>
          <w:p>
            <w:pPr>
              <w:pStyle w:val="TableParagraph"/>
              <w:ind w:left="711"/>
              <w:rPr>
                <w:sz w:val="16"/>
              </w:rPr>
            </w:pPr>
            <w:r>
              <w:rPr>
                <w:color w:val="404040"/>
                <w:sz w:val="16"/>
              </w:rPr>
              <w:t>6%</w:t>
            </w:r>
          </w:p>
        </w:tc>
        <w:tc>
          <w:tcPr>
            <w:tcW w:w="1575" w:type="dxa"/>
          </w:tcPr>
          <w:p>
            <w:pPr>
              <w:pStyle w:val="TableParagraph"/>
              <w:ind w:left="464" w:right="488"/>
              <w:jc w:val="center"/>
              <w:rPr>
                <w:sz w:val="16"/>
              </w:rPr>
            </w:pPr>
            <w:r>
              <w:rPr>
                <w:color w:val="404040"/>
                <w:sz w:val="16"/>
              </w:rPr>
              <w:t>552,000</w:t>
            </w:r>
          </w:p>
        </w:tc>
        <w:tc>
          <w:tcPr>
            <w:tcW w:w="1609" w:type="dxa"/>
            <w:tcBorders>
              <w:right w:val="single" w:sz="4" w:space="0" w:color="DF2F1E"/>
            </w:tcBorders>
          </w:tcPr>
          <w:p>
            <w:pPr>
              <w:pStyle w:val="TableParagraph"/>
              <w:ind w:left="578" w:right="572"/>
              <w:jc w:val="center"/>
              <w:rPr>
                <w:sz w:val="16"/>
              </w:rPr>
            </w:pPr>
            <w:r>
              <w:rPr>
                <w:color w:val="404040"/>
                <w:sz w:val="16"/>
              </w:rPr>
              <w:t>98%</w:t>
            </w:r>
          </w:p>
        </w:tc>
      </w:tr>
      <w:tr>
        <w:trPr>
          <w:trHeight w:val="264" w:hRule="atLeast"/>
        </w:trPr>
        <w:tc>
          <w:tcPr>
            <w:tcW w:w="3928" w:type="dxa"/>
            <w:tcBorders>
              <w:left w:val="single" w:sz="4" w:space="0" w:color="DF2F1E"/>
              <w:bottom w:val="single" w:sz="4" w:space="0" w:color="DF2F1E"/>
            </w:tcBorders>
          </w:tcPr>
          <w:p>
            <w:pPr>
              <w:pStyle w:val="TableParagraph"/>
              <w:ind w:left="287"/>
              <w:rPr>
                <w:b/>
                <w:i/>
                <w:sz w:val="16"/>
              </w:rPr>
            </w:pPr>
            <w:r>
              <w:rPr>
                <w:b/>
                <w:i/>
                <w:color w:val="404040"/>
                <w:sz w:val="16"/>
              </w:rPr>
              <w:t>- Partner / spouse</w:t>
            </w:r>
          </w:p>
        </w:tc>
        <w:tc>
          <w:tcPr>
            <w:tcW w:w="1015" w:type="dxa"/>
            <w:tcBorders>
              <w:bottom w:val="single" w:sz="4" w:space="0" w:color="DF2F1E"/>
            </w:tcBorders>
          </w:tcPr>
          <w:p>
            <w:pPr>
              <w:pStyle w:val="TableParagraph"/>
              <w:ind w:left="228"/>
              <w:rPr>
                <w:sz w:val="16"/>
              </w:rPr>
            </w:pPr>
            <w:r>
              <w:rPr>
                <w:color w:val="404040"/>
                <w:sz w:val="16"/>
              </w:rPr>
              <w:t>21,000</w:t>
            </w:r>
          </w:p>
        </w:tc>
        <w:tc>
          <w:tcPr>
            <w:tcW w:w="1659" w:type="dxa"/>
            <w:tcBorders>
              <w:bottom w:val="single" w:sz="4" w:space="0" w:color="DF2F1E"/>
            </w:tcBorders>
          </w:tcPr>
          <w:p>
            <w:pPr>
              <w:pStyle w:val="TableParagraph"/>
              <w:ind w:left="668"/>
              <w:rPr>
                <w:sz w:val="16"/>
              </w:rPr>
            </w:pPr>
            <w:r>
              <w:rPr>
                <w:color w:val="404040"/>
                <w:sz w:val="16"/>
              </w:rPr>
              <w:t>30%</w:t>
            </w:r>
          </w:p>
        </w:tc>
        <w:tc>
          <w:tcPr>
            <w:tcW w:w="1575" w:type="dxa"/>
            <w:tcBorders>
              <w:bottom w:val="single" w:sz="4" w:space="0" w:color="DF2F1E"/>
            </w:tcBorders>
          </w:tcPr>
          <w:p>
            <w:pPr>
              <w:pStyle w:val="TableParagraph"/>
              <w:ind w:left="464" w:right="488"/>
              <w:jc w:val="center"/>
              <w:rPr>
                <w:sz w:val="16"/>
              </w:rPr>
            </w:pPr>
            <w:r>
              <w:rPr>
                <w:color w:val="404040"/>
                <w:sz w:val="16"/>
              </w:rPr>
              <w:t>542,000</w:t>
            </w:r>
          </w:p>
        </w:tc>
        <w:tc>
          <w:tcPr>
            <w:tcW w:w="1609" w:type="dxa"/>
            <w:tcBorders>
              <w:bottom w:val="single" w:sz="4" w:space="0" w:color="DF2F1E"/>
              <w:right w:val="single" w:sz="4" w:space="0" w:color="DF2F1E"/>
            </w:tcBorders>
          </w:tcPr>
          <w:p>
            <w:pPr>
              <w:pStyle w:val="TableParagraph"/>
              <w:ind w:left="578" w:right="572"/>
              <w:jc w:val="center"/>
              <w:rPr>
                <w:sz w:val="16"/>
              </w:rPr>
            </w:pPr>
            <w:r>
              <w:rPr>
                <w:color w:val="404040"/>
                <w:sz w:val="16"/>
              </w:rPr>
              <w:t>97%</w:t>
            </w:r>
          </w:p>
        </w:tc>
      </w:tr>
      <w:tr>
        <w:trPr>
          <w:trHeight w:val="262" w:hRule="atLeast"/>
        </w:trPr>
        <w:tc>
          <w:tcPr>
            <w:tcW w:w="3928" w:type="dxa"/>
            <w:tcBorders>
              <w:top w:val="single" w:sz="4" w:space="0" w:color="DF2F1E"/>
              <w:left w:val="single" w:sz="4" w:space="0" w:color="DF2F1E"/>
            </w:tcBorders>
          </w:tcPr>
          <w:p>
            <w:pPr>
              <w:pStyle w:val="TableParagraph"/>
              <w:spacing w:before="34"/>
              <w:ind w:left="107"/>
              <w:rPr>
                <w:b/>
                <w:sz w:val="16"/>
              </w:rPr>
            </w:pPr>
            <w:r>
              <w:rPr>
                <w:b/>
                <w:color w:val="404040"/>
                <w:sz w:val="16"/>
              </w:rPr>
              <w:t>Caree medical condition</w:t>
            </w:r>
          </w:p>
        </w:tc>
        <w:tc>
          <w:tcPr>
            <w:tcW w:w="1015" w:type="dxa"/>
            <w:tcBorders>
              <w:top w:val="single" w:sz="4" w:space="0" w:color="DF2F1E"/>
            </w:tcBorders>
          </w:tcPr>
          <w:p>
            <w:pPr>
              <w:pStyle w:val="TableParagraph"/>
              <w:spacing w:before="0"/>
              <w:rPr>
                <w:rFonts w:ascii="Times New Roman"/>
                <w:sz w:val="18"/>
              </w:rPr>
            </w:pPr>
          </w:p>
        </w:tc>
        <w:tc>
          <w:tcPr>
            <w:tcW w:w="1659" w:type="dxa"/>
            <w:tcBorders>
              <w:top w:val="single" w:sz="4" w:space="0" w:color="DF2F1E"/>
            </w:tcBorders>
          </w:tcPr>
          <w:p>
            <w:pPr>
              <w:pStyle w:val="TableParagraph"/>
              <w:spacing w:before="0"/>
              <w:rPr>
                <w:rFonts w:ascii="Times New Roman"/>
                <w:sz w:val="18"/>
              </w:rPr>
            </w:pPr>
          </w:p>
        </w:tc>
        <w:tc>
          <w:tcPr>
            <w:tcW w:w="1575" w:type="dxa"/>
            <w:tcBorders>
              <w:top w:val="single" w:sz="4" w:space="0" w:color="DF2F1E"/>
            </w:tcBorders>
          </w:tcPr>
          <w:p>
            <w:pPr>
              <w:pStyle w:val="TableParagraph"/>
              <w:spacing w:before="0"/>
              <w:rPr>
                <w:rFonts w:ascii="Times New Roman"/>
                <w:sz w:val="18"/>
              </w:rPr>
            </w:pPr>
          </w:p>
        </w:tc>
        <w:tc>
          <w:tcPr>
            <w:tcW w:w="1609" w:type="dxa"/>
            <w:tcBorders>
              <w:top w:val="single" w:sz="4" w:space="0" w:color="DF2F1E"/>
              <w:right w:val="single" w:sz="4" w:space="0" w:color="000000"/>
            </w:tcBorders>
          </w:tcPr>
          <w:p>
            <w:pPr>
              <w:pStyle w:val="TableParagraph"/>
              <w:spacing w:before="0"/>
              <w:rPr>
                <w:rFonts w:ascii="Times New Roman"/>
                <w:sz w:val="18"/>
              </w:rPr>
            </w:pPr>
          </w:p>
        </w:tc>
      </w:tr>
      <w:tr>
        <w:trPr>
          <w:trHeight w:val="265" w:hRule="atLeast"/>
        </w:trPr>
        <w:tc>
          <w:tcPr>
            <w:tcW w:w="3928" w:type="dxa"/>
            <w:tcBorders>
              <w:left w:val="single" w:sz="4" w:space="0" w:color="DF2F1E"/>
            </w:tcBorders>
          </w:tcPr>
          <w:p>
            <w:pPr>
              <w:pStyle w:val="TableParagraph"/>
              <w:spacing w:before="39"/>
              <w:ind w:left="287"/>
              <w:rPr>
                <w:b/>
                <w:i/>
                <w:sz w:val="16"/>
              </w:rPr>
            </w:pPr>
            <w:r>
              <w:rPr>
                <w:b/>
                <w:i/>
                <w:color w:val="404040"/>
                <w:sz w:val="16"/>
              </w:rPr>
              <w:t>- Cancer / tumour</w:t>
            </w:r>
          </w:p>
        </w:tc>
        <w:tc>
          <w:tcPr>
            <w:tcW w:w="1015" w:type="dxa"/>
          </w:tcPr>
          <w:p>
            <w:pPr>
              <w:pStyle w:val="TableParagraph"/>
              <w:spacing w:before="39"/>
              <w:ind w:left="271"/>
              <w:rPr>
                <w:sz w:val="16"/>
              </w:rPr>
            </w:pPr>
            <w:r>
              <w:rPr>
                <w:color w:val="404040"/>
                <w:sz w:val="16"/>
              </w:rPr>
              <w:t>3,000</w:t>
            </w:r>
          </w:p>
        </w:tc>
        <w:tc>
          <w:tcPr>
            <w:tcW w:w="1659" w:type="dxa"/>
          </w:tcPr>
          <w:p>
            <w:pPr>
              <w:pStyle w:val="TableParagraph"/>
              <w:spacing w:before="39"/>
              <w:ind w:left="711"/>
              <w:rPr>
                <w:sz w:val="16"/>
              </w:rPr>
            </w:pPr>
            <w:r>
              <w:rPr>
                <w:color w:val="404040"/>
                <w:sz w:val="16"/>
              </w:rPr>
              <w:t>4%</w:t>
            </w:r>
          </w:p>
        </w:tc>
        <w:tc>
          <w:tcPr>
            <w:tcW w:w="1575" w:type="dxa"/>
          </w:tcPr>
          <w:p>
            <w:pPr>
              <w:pStyle w:val="TableParagraph"/>
              <w:spacing w:before="39"/>
              <w:ind w:left="464" w:right="488"/>
              <w:jc w:val="center"/>
              <w:rPr>
                <w:sz w:val="16"/>
              </w:rPr>
            </w:pPr>
            <w:r>
              <w:rPr>
                <w:color w:val="404040"/>
                <w:sz w:val="16"/>
              </w:rPr>
              <w:t>442,000</w:t>
            </w:r>
          </w:p>
        </w:tc>
        <w:tc>
          <w:tcPr>
            <w:tcW w:w="1609" w:type="dxa"/>
            <w:tcBorders>
              <w:right w:val="single" w:sz="4" w:space="0" w:color="000000"/>
            </w:tcBorders>
          </w:tcPr>
          <w:p>
            <w:pPr>
              <w:pStyle w:val="TableParagraph"/>
              <w:spacing w:before="39"/>
              <w:ind w:left="578" w:right="572"/>
              <w:jc w:val="center"/>
              <w:rPr>
                <w:sz w:val="16"/>
              </w:rPr>
            </w:pPr>
            <w:r>
              <w:rPr>
                <w:color w:val="404040"/>
                <w:sz w:val="16"/>
              </w:rPr>
              <w:t>79%</w:t>
            </w:r>
          </w:p>
        </w:tc>
      </w:tr>
      <w:tr>
        <w:trPr>
          <w:trHeight w:val="264" w:hRule="atLeast"/>
        </w:trPr>
        <w:tc>
          <w:tcPr>
            <w:tcW w:w="3928" w:type="dxa"/>
            <w:tcBorders>
              <w:left w:val="single" w:sz="4" w:space="0" w:color="DF2F1E"/>
            </w:tcBorders>
          </w:tcPr>
          <w:p>
            <w:pPr>
              <w:pStyle w:val="TableParagraph"/>
              <w:ind w:left="287"/>
              <w:rPr>
                <w:b/>
                <w:i/>
                <w:sz w:val="16"/>
              </w:rPr>
            </w:pPr>
            <w:r>
              <w:rPr>
                <w:b/>
                <w:i/>
                <w:color w:val="404040"/>
                <w:sz w:val="16"/>
              </w:rPr>
              <w:t>- Circulatory &amp; respiratory system</w:t>
            </w:r>
          </w:p>
        </w:tc>
        <w:tc>
          <w:tcPr>
            <w:tcW w:w="1015" w:type="dxa"/>
          </w:tcPr>
          <w:p>
            <w:pPr>
              <w:pStyle w:val="TableParagraph"/>
              <w:ind w:left="228"/>
              <w:rPr>
                <w:sz w:val="16"/>
              </w:rPr>
            </w:pPr>
            <w:r>
              <w:rPr>
                <w:color w:val="404040"/>
                <w:sz w:val="16"/>
              </w:rPr>
              <w:t>10,000</w:t>
            </w:r>
          </w:p>
        </w:tc>
        <w:tc>
          <w:tcPr>
            <w:tcW w:w="1659" w:type="dxa"/>
          </w:tcPr>
          <w:p>
            <w:pPr>
              <w:pStyle w:val="TableParagraph"/>
              <w:ind w:left="668"/>
              <w:rPr>
                <w:sz w:val="16"/>
              </w:rPr>
            </w:pPr>
            <w:r>
              <w:rPr>
                <w:color w:val="404040"/>
                <w:sz w:val="16"/>
              </w:rPr>
              <w:t>14%</w:t>
            </w:r>
          </w:p>
        </w:tc>
        <w:tc>
          <w:tcPr>
            <w:tcW w:w="1575" w:type="dxa"/>
          </w:tcPr>
          <w:p>
            <w:pPr>
              <w:pStyle w:val="TableParagraph"/>
              <w:ind w:left="464" w:right="488"/>
              <w:jc w:val="center"/>
              <w:rPr>
                <w:sz w:val="16"/>
              </w:rPr>
            </w:pPr>
            <w:r>
              <w:rPr>
                <w:color w:val="404040"/>
                <w:sz w:val="16"/>
              </w:rPr>
              <w:t>533,000</w:t>
            </w:r>
          </w:p>
        </w:tc>
        <w:tc>
          <w:tcPr>
            <w:tcW w:w="1609" w:type="dxa"/>
            <w:tcBorders>
              <w:right w:val="single" w:sz="4" w:space="0" w:color="000000"/>
            </w:tcBorders>
          </w:tcPr>
          <w:p>
            <w:pPr>
              <w:pStyle w:val="TableParagraph"/>
              <w:ind w:left="578" w:right="572"/>
              <w:jc w:val="center"/>
              <w:rPr>
                <w:sz w:val="16"/>
              </w:rPr>
            </w:pPr>
            <w:r>
              <w:rPr>
                <w:color w:val="404040"/>
                <w:sz w:val="16"/>
              </w:rPr>
              <w:t>95%</w:t>
            </w:r>
          </w:p>
        </w:tc>
      </w:tr>
      <w:tr>
        <w:trPr>
          <w:trHeight w:val="263" w:hRule="atLeast"/>
        </w:trPr>
        <w:tc>
          <w:tcPr>
            <w:tcW w:w="3928" w:type="dxa"/>
            <w:tcBorders>
              <w:left w:val="single" w:sz="4" w:space="0" w:color="DF2F1E"/>
            </w:tcBorders>
          </w:tcPr>
          <w:p>
            <w:pPr>
              <w:pStyle w:val="TableParagraph"/>
              <w:ind w:right="227"/>
              <w:jc w:val="right"/>
              <w:rPr>
                <w:b/>
                <w:i/>
                <w:sz w:val="16"/>
              </w:rPr>
            </w:pPr>
            <w:r>
              <w:rPr>
                <w:b/>
                <w:i/>
                <w:color w:val="404040"/>
                <w:sz w:val="16"/>
              </w:rPr>
              <w:t>- Congenital anomalies &amp; inherited disorders</w:t>
            </w:r>
          </w:p>
        </w:tc>
        <w:tc>
          <w:tcPr>
            <w:tcW w:w="1015" w:type="dxa"/>
          </w:tcPr>
          <w:p>
            <w:pPr>
              <w:pStyle w:val="TableParagraph"/>
              <w:ind w:left="271"/>
              <w:rPr>
                <w:sz w:val="16"/>
              </w:rPr>
            </w:pPr>
            <w:r>
              <w:rPr>
                <w:color w:val="404040"/>
                <w:sz w:val="16"/>
              </w:rPr>
              <w:t>1,000</w:t>
            </w:r>
          </w:p>
        </w:tc>
        <w:tc>
          <w:tcPr>
            <w:tcW w:w="1659" w:type="dxa"/>
          </w:tcPr>
          <w:p>
            <w:pPr>
              <w:pStyle w:val="TableParagraph"/>
              <w:ind w:left="711"/>
              <w:rPr>
                <w:sz w:val="16"/>
              </w:rPr>
            </w:pPr>
            <w:r>
              <w:rPr>
                <w:color w:val="404040"/>
                <w:sz w:val="16"/>
              </w:rPr>
              <w:t>2%</w:t>
            </w:r>
          </w:p>
        </w:tc>
        <w:tc>
          <w:tcPr>
            <w:tcW w:w="1575" w:type="dxa"/>
          </w:tcPr>
          <w:p>
            <w:pPr>
              <w:pStyle w:val="TableParagraph"/>
              <w:ind w:left="464" w:right="488"/>
              <w:jc w:val="center"/>
              <w:rPr>
                <w:sz w:val="16"/>
              </w:rPr>
            </w:pPr>
            <w:r>
              <w:rPr>
                <w:color w:val="404040"/>
                <w:sz w:val="16"/>
              </w:rPr>
              <w:t>601,000</w:t>
            </w:r>
          </w:p>
        </w:tc>
        <w:tc>
          <w:tcPr>
            <w:tcW w:w="1609" w:type="dxa"/>
            <w:tcBorders>
              <w:right w:val="single" w:sz="4" w:space="0" w:color="000000"/>
            </w:tcBorders>
          </w:tcPr>
          <w:p>
            <w:pPr>
              <w:pStyle w:val="TableParagraph"/>
              <w:ind w:left="578" w:right="574"/>
              <w:jc w:val="center"/>
              <w:rPr>
                <w:sz w:val="16"/>
              </w:rPr>
            </w:pPr>
            <w:r>
              <w:rPr>
                <w:color w:val="404040"/>
                <w:sz w:val="16"/>
              </w:rPr>
              <w:t>107%</w:t>
            </w:r>
          </w:p>
        </w:tc>
      </w:tr>
      <w:tr>
        <w:trPr>
          <w:trHeight w:val="264" w:hRule="atLeast"/>
        </w:trPr>
        <w:tc>
          <w:tcPr>
            <w:tcW w:w="3928" w:type="dxa"/>
            <w:tcBorders>
              <w:left w:val="single" w:sz="4" w:space="0" w:color="DF2F1E"/>
            </w:tcBorders>
          </w:tcPr>
          <w:p>
            <w:pPr>
              <w:pStyle w:val="TableParagraph"/>
              <w:ind w:left="287"/>
              <w:rPr>
                <w:b/>
                <w:i/>
                <w:sz w:val="16"/>
              </w:rPr>
            </w:pPr>
            <w:r>
              <w:rPr>
                <w:b/>
                <w:i/>
                <w:color w:val="404040"/>
                <w:sz w:val="16"/>
              </w:rPr>
              <w:t>- Intellectual/learning</w:t>
            </w:r>
          </w:p>
        </w:tc>
        <w:tc>
          <w:tcPr>
            <w:tcW w:w="1015" w:type="dxa"/>
          </w:tcPr>
          <w:p>
            <w:pPr>
              <w:pStyle w:val="TableParagraph"/>
              <w:ind w:left="271"/>
              <w:rPr>
                <w:sz w:val="16"/>
              </w:rPr>
            </w:pPr>
            <w:r>
              <w:rPr>
                <w:color w:val="404040"/>
                <w:sz w:val="16"/>
              </w:rPr>
              <w:t>7,000</w:t>
            </w:r>
          </w:p>
        </w:tc>
        <w:tc>
          <w:tcPr>
            <w:tcW w:w="1659" w:type="dxa"/>
          </w:tcPr>
          <w:p>
            <w:pPr>
              <w:pStyle w:val="TableParagraph"/>
              <w:ind w:left="711"/>
              <w:rPr>
                <w:sz w:val="16"/>
              </w:rPr>
            </w:pPr>
            <w:r>
              <w:rPr>
                <w:color w:val="404040"/>
                <w:sz w:val="16"/>
              </w:rPr>
              <w:t>9%</w:t>
            </w:r>
          </w:p>
        </w:tc>
        <w:tc>
          <w:tcPr>
            <w:tcW w:w="1575" w:type="dxa"/>
          </w:tcPr>
          <w:p>
            <w:pPr>
              <w:pStyle w:val="TableParagraph"/>
              <w:ind w:left="464" w:right="488"/>
              <w:jc w:val="center"/>
              <w:rPr>
                <w:sz w:val="16"/>
              </w:rPr>
            </w:pPr>
            <w:r>
              <w:rPr>
                <w:color w:val="404040"/>
                <w:sz w:val="16"/>
              </w:rPr>
              <w:t>622,000</w:t>
            </w:r>
          </w:p>
        </w:tc>
        <w:tc>
          <w:tcPr>
            <w:tcW w:w="1609" w:type="dxa"/>
            <w:tcBorders>
              <w:right w:val="single" w:sz="4" w:space="0" w:color="000000"/>
            </w:tcBorders>
          </w:tcPr>
          <w:p>
            <w:pPr>
              <w:pStyle w:val="TableParagraph"/>
              <w:ind w:left="578" w:right="574"/>
              <w:jc w:val="center"/>
              <w:rPr>
                <w:sz w:val="16"/>
              </w:rPr>
            </w:pPr>
            <w:r>
              <w:rPr>
                <w:color w:val="404040"/>
                <w:sz w:val="16"/>
              </w:rPr>
              <w:t>111%</w:t>
            </w:r>
          </w:p>
        </w:tc>
      </w:tr>
      <w:tr>
        <w:trPr>
          <w:trHeight w:val="264" w:hRule="atLeast"/>
        </w:trPr>
        <w:tc>
          <w:tcPr>
            <w:tcW w:w="3928" w:type="dxa"/>
            <w:tcBorders>
              <w:left w:val="single" w:sz="4" w:space="0" w:color="DF2F1E"/>
            </w:tcBorders>
          </w:tcPr>
          <w:p>
            <w:pPr>
              <w:pStyle w:val="TableParagraph"/>
              <w:ind w:left="287"/>
              <w:rPr>
                <w:b/>
                <w:i/>
                <w:sz w:val="16"/>
              </w:rPr>
            </w:pPr>
            <w:r>
              <w:rPr>
                <w:b/>
                <w:i/>
                <w:color w:val="404040"/>
                <w:sz w:val="16"/>
              </w:rPr>
              <w:t>- Musculo-skeletal &amp; connective tissue</w:t>
            </w:r>
          </w:p>
        </w:tc>
        <w:tc>
          <w:tcPr>
            <w:tcW w:w="1015" w:type="dxa"/>
          </w:tcPr>
          <w:p>
            <w:pPr>
              <w:pStyle w:val="TableParagraph"/>
              <w:ind w:left="228"/>
              <w:rPr>
                <w:sz w:val="16"/>
              </w:rPr>
            </w:pPr>
            <w:r>
              <w:rPr>
                <w:color w:val="404040"/>
                <w:sz w:val="16"/>
              </w:rPr>
              <w:t>15,000</w:t>
            </w:r>
          </w:p>
        </w:tc>
        <w:tc>
          <w:tcPr>
            <w:tcW w:w="1659" w:type="dxa"/>
          </w:tcPr>
          <w:p>
            <w:pPr>
              <w:pStyle w:val="TableParagraph"/>
              <w:ind w:left="668"/>
              <w:rPr>
                <w:sz w:val="16"/>
              </w:rPr>
            </w:pPr>
            <w:r>
              <w:rPr>
                <w:color w:val="404040"/>
                <w:sz w:val="16"/>
              </w:rPr>
              <w:t>21%</w:t>
            </w:r>
          </w:p>
        </w:tc>
        <w:tc>
          <w:tcPr>
            <w:tcW w:w="1575" w:type="dxa"/>
          </w:tcPr>
          <w:p>
            <w:pPr>
              <w:pStyle w:val="TableParagraph"/>
              <w:ind w:left="464" w:right="488"/>
              <w:jc w:val="center"/>
              <w:rPr>
                <w:sz w:val="16"/>
              </w:rPr>
            </w:pPr>
            <w:r>
              <w:rPr>
                <w:color w:val="404040"/>
                <w:sz w:val="16"/>
              </w:rPr>
              <w:t>554,000</w:t>
            </w:r>
          </w:p>
        </w:tc>
        <w:tc>
          <w:tcPr>
            <w:tcW w:w="1609" w:type="dxa"/>
            <w:tcBorders>
              <w:right w:val="single" w:sz="4" w:space="0" w:color="000000"/>
            </w:tcBorders>
          </w:tcPr>
          <w:p>
            <w:pPr>
              <w:pStyle w:val="TableParagraph"/>
              <w:ind w:left="578" w:right="572"/>
              <w:jc w:val="center"/>
              <w:rPr>
                <w:sz w:val="16"/>
              </w:rPr>
            </w:pPr>
            <w:r>
              <w:rPr>
                <w:color w:val="404040"/>
                <w:sz w:val="16"/>
              </w:rPr>
              <w:t>99%</w:t>
            </w:r>
          </w:p>
        </w:tc>
      </w:tr>
      <w:tr>
        <w:trPr>
          <w:trHeight w:val="263" w:hRule="atLeast"/>
        </w:trPr>
        <w:tc>
          <w:tcPr>
            <w:tcW w:w="3928" w:type="dxa"/>
            <w:tcBorders>
              <w:left w:val="single" w:sz="4" w:space="0" w:color="DF2F1E"/>
            </w:tcBorders>
          </w:tcPr>
          <w:p>
            <w:pPr>
              <w:pStyle w:val="TableParagraph"/>
              <w:ind w:left="287"/>
              <w:rPr>
                <w:b/>
                <w:i/>
                <w:sz w:val="16"/>
              </w:rPr>
            </w:pPr>
            <w:r>
              <w:rPr>
                <w:b/>
                <w:i/>
                <w:color w:val="404040"/>
                <w:sz w:val="16"/>
              </w:rPr>
              <w:t>- Nervous system</w:t>
            </w:r>
          </w:p>
        </w:tc>
        <w:tc>
          <w:tcPr>
            <w:tcW w:w="1015" w:type="dxa"/>
          </w:tcPr>
          <w:p>
            <w:pPr>
              <w:pStyle w:val="TableParagraph"/>
              <w:ind w:left="271"/>
              <w:rPr>
                <w:sz w:val="16"/>
              </w:rPr>
            </w:pPr>
            <w:r>
              <w:rPr>
                <w:color w:val="404040"/>
                <w:sz w:val="16"/>
              </w:rPr>
              <w:t>7,000</w:t>
            </w:r>
          </w:p>
        </w:tc>
        <w:tc>
          <w:tcPr>
            <w:tcW w:w="1659" w:type="dxa"/>
          </w:tcPr>
          <w:p>
            <w:pPr>
              <w:pStyle w:val="TableParagraph"/>
              <w:ind w:left="711"/>
              <w:rPr>
                <w:sz w:val="16"/>
              </w:rPr>
            </w:pPr>
            <w:r>
              <w:rPr>
                <w:color w:val="404040"/>
                <w:sz w:val="16"/>
              </w:rPr>
              <w:t>9%</w:t>
            </w:r>
          </w:p>
        </w:tc>
        <w:tc>
          <w:tcPr>
            <w:tcW w:w="1575" w:type="dxa"/>
          </w:tcPr>
          <w:p>
            <w:pPr>
              <w:pStyle w:val="TableParagraph"/>
              <w:ind w:left="464" w:right="488"/>
              <w:jc w:val="center"/>
              <w:rPr>
                <w:sz w:val="16"/>
              </w:rPr>
            </w:pPr>
            <w:r>
              <w:rPr>
                <w:color w:val="404040"/>
                <w:sz w:val="16"/>
              </w:rPr>
              <w:t>531,000</w:t>
            </w:r>
          </w:p>
        </w:tc>
        <w:tc>
          <w:tcPr>
            <w:tcW w:w="1609" w:type="dxa"/>
            <w:tcBorders>
              <w:right w:val="single" w:sz="4" w:space="0" w:color="000000"/>
            </w:tcBorders>
          </w:tcPr>
          <w:p>
            <w:pPr>
              <w:pStyle w:val="TableParagraph"/>
              <w:ind w:left="578" w:right="572"/>
              <w:jc w:val="center"/>
              <w:rPr>
                <w:sz w:val="16"/>
              </w:rPr>
            </w:pPr>
            <w:r>
              <w:rPr>
                <w:color w:val="404040"/>
                <w:sz w:val="16"/>
              </w:rPr>
              <w:t>95%</w:t>
            </w:r>
          </w:p>
        </w:tc>
      </w:tr>
      <w:tr>
        <w:trPr>
          <w:trHeight w:val="264" w:hRule="atLeast"/>
        </w:trPr>
        <w:tc>
          <w:tcPr>
            <w:tcW w:w="3928" w:type="dxa"/>
            <w:tcBorders>
              <w:left w:val="single" w:sz="4" w:space="0" w:color="DF2F1E"/>
            </w:tcBorders>
          </w:tcPr>
          <w:p>
            <w:pPr>
              <w:pStyle w:val="TableParagraph"/>
              <w:ind w:left="287"/>
              <w:rPr>
                <w:b/>
                <w:i/>
                <w:sz w:val="16"/>
              </w:rPr>
            </w:pPr>
            <w:r>
              <w:rPr>
                <w:b/>
                <w:i/>
                <w:color w:val="404040"/>
                <w:sz w:val="16"/>
              </w:rPr>
              <w:t>- Psychological / psychiatric</w:t>
            </w:r>
          </w:p>
        </w:tc>
        <w:tc>
          <w:tcPr>
            <w:tcW w:w="1015" w:type="dxa"/>
          </w:tcPr>
          <w:p>
            <w:pPr>
              <w:pStyle w:val="TableParagraph"/>
              <w:ind w:left="228"/>
              <w:rPr>
                <w:sz w:val="16"/>
              </w:rPr>
            </w:pPr>
            <w:r>
              <w:rPr>
                <w:color w:val="404040"/>
                <w:sz w:val="16"/>
              </w:rPr>
              <w:t>20,000</w:t>
            </w:r>
          </w:p>
        </w:tc>
        <w:tc>
          <w:tcPr>
            <w:tcW w:w="1659" w:type="dxa"/>
          </w:tcPr>
          <w:p>
            <w:pPr>
              <w:pStyle w:val="TableParagraph"/>
              <w:ind w:left="668"/>
              <w:rPr>
                <w:sz w:val="16"/>
              </w:rPr>
            </w:pPr>
            <w:r>
              <w:rPr>
                <w:color w:val="404040"/>
                <w:sz w:val="16"/>
              </w:rPr>
              <w:t>29%</w:t>
            </w:r>
          </w:p>
        </w:tc>
        <w:tc>
          <w:tcPr>
            <w:tcW w:w="1575" w:type="dxa"/>
          </w:tcPr>
          <w:p>
            <w:pPr>
              <w:pStyle w:val="TableParagraph"/>
              <w:ind w:left="464" w:right="488"/>
              <w:jc w:val="center"/>
              <w:rPr>
                <w:sz w:val="16"/>
              </w:rPr>
            </w:pPr>
            <w:r>
              <w:rPr>
                <w:color w:val="404040"/>
                <w:sz w:val="16"/>
              </w:rPr>
              <w:t>590,000</w:t>
            </w:r>
          </w:p>
        </w:tc>
        <w:tc>
          <w:tcPr>
            <w:tcW w:w="1609" w:type="dxa"/>
            <w:tcBorders>
              <w:right w:val="single" w:sz="4" w:space="0" w:color="000000"/>
            </w:tcBorders>
          </w:tcPr>
          <w:p>
            <w:pPr>
              <w:pStyle w:val="TableParagraph"/>
              <w:ind w:left="578" w:right="574"/>
              <w:jc w:val="center"/>
              <w:rPr>
                <w:sz w:val="16"/>
              </w:rPr>
            </w:pPr>
            <w:r>
              <w:rPr>
                <w:color w:val="404040"/>
                <w:sz w:val="16"/>
              </w:rPr>
              <w:t>105%</w:t>
            </w:r>
          </w:p>
        </w:tc>
      </w:tr>
      <w:tr>
        <w:trPr>
          <w:trHeight w:val="264" w:hRule="atLeast"/>
        </w:trPr>
        <w:tc>
          <w:tcPr>
            <w:tcW w:w="3928" w:type="dxa"/>
            <w:tcBorders>
              <w:left w:val="single" w:sz="4" w:space="0" w:color="DF2F1E"/>
              <w:bottom w:val="single" w:sz="4" w:space="0" w:color="DF2F1E"/>
            </w:tcBorders>
          </w:tcPr>
          <w:p>
            <w:pPr>
              <w:pStyle w:val="TableParagraph"/>
              <w:ind w:left="287"/>
              <w:rPr>
                <w:b/>
                <w:i/>
                <w:sz w:val="16"/>
              </w:rPr>
            </w:pPr>
            <w:r>
              <w:rPr>
                <w:b/>
                <w:i/>
                <w:color w:val="404040"/>
                <w:sz w:val="16"/>
              </w:rPr>
              <w:t>- Other</w:t>
            </w:r>
          </w:p>
        </w:tc>
        <w:tc>
          <w:tcPr>
            <w:tcW w:w="1015" w:type="dxa"/>
            <w:tcBorders>
              <w:bottom w:val="single" w:sz="4" w:space="0" w:color="DF2F1E"/>
            </w:tcBorders>
          </w:tcPr>
          <w:p>
            <w:pPr>
              <w:pStyle w:val="TableParagraph"/>
              <w:ind w:left="271"/>
              <w:rPr>
                <w:sz w:val="16"/>
              </w:rPr>
            </w:pPr>
            <w:r>
              <w:rPr>
                <w:color w:val="404040"/>
                <w:sz w:val="16"/>
              </w:rPr>
              <w:t>8,000</w:t>
            </w:r>
          </w:p>
        </w:tc>
        <w:tc>
          <w:tcPr>
            <w:tcW w:w="1659" w:type="dxa"/>
            <w:tcBorders>
              <w:bottom w:val="single" w:sz="4" w:space="0" w:color="DF2F1E"/>
            </w:tcBorders>
          </w:tcPr>
          <w:p>
            <w:pPr>
              <w:pStyle w:val="TableParagraph"/>
              <w:ind w:left="668"/>
              <w:rPr>
                <w:sz w:val="16"/>
              </w:rPr>
            </w:pPr>
            <w:r>
              <w:rPr>
                <w:color w:val="404040"/>
                <w:sz w:val="16"/>
              </w:rPr>
              <w:t>12%</w:t>
            </w:r>
          </w:p>
        </w:tc>
        <w:tc>
          <w:tcPr>
            <w:tcW w:w="1575" w:type="dxa"/>
            <w:tcBorders>
              <w:bottom w:val="single" w:sz="4" w:space="0" w:color="DF2F1E"/>
            </w:tcBorders>
          </w:tcPr>
          <w:p>
            <w:pPr>
              <w:pStyle w:val="TableParagraph"/>
              <w:ind w:left="464" w:right="488"/>
              <w:jc w:val="center"/>
              <w:rPr>
                <w:sz w:val="16"/>
              </w:rPr>
            </w:pPr>
            <w:r>
              <w:rPr>
                <w:color w:val="404040"/>
                <w:sz w:val="16"/>
              </w:rPr>
              <w:t>578,000</w:t>
            </w:r>
          </w:p>
        </w:tc>
        <w:tc>
          <w:tcPr>
            <w:tcW w:w="1609" w:type="dxa"/>
            <w:tcBorders>
              <w:bottom w:val="single" w:sz="4" w:space="0" w:color="DF2F1E"/>
              <w:right w:val="single" w:sz="4" w:space="0" w:color="000000"/>
            </w:tcBorders>
          </w:tcPr>
          <w:p>
            <w:pPr>
              <w:pStyle w:val="TableParagraph"/>
              <w:ind w:left="578" w:right="572"/>
              <w:jc w:val="center"/>
              <w:rPr>
                <w:sz w:val="16"/>
              </w:rPr>
            </w:pPr>
            <w:r>
              <w:rPr>
                <w:color w:val="404040"/>
                <w:sz w:val="16"/>
              </w:rPr>
              <w:t>97%</w:t>
            </w:r>
          </w:p>
        </w:tc>
      </w:tr>
      <w:tr>
        <w:trPr>
          <w:trHeight w:val="262" w:hRule="atLeast"/>
        </w:trPr>
        <w:tc>
          <w:tcPr>
            <w:tcW w:w="3928" w:type="dxa"/>
            <w:tcBorders>
              <w:top w:val="single" w:sz="4" w:space="0" w:color="DF2F1E"/>
              <w:left w:val="single" w:sz="4" w:space="0" w:color="DF2F1E"/>
            </w:tcBorders>
          </w:tcPr>
          <w:p>
            <w:pPr>
              <w:pStyle w:val="TableParagraph"/>
              <w:spacing w:before="34"/>
              <w:ind w:left="107"/>
              <w:rPr>
                <w:b/>
                <w:sz w:val="16"/>
              </w:rPr>
            </w:pPr>
            <w:r>
              <w:rPr>
                <w:b/>
                <w:color w:val="404040"/>
                <w:sz w:val="16"/>
              </w:rPr>
              <w:t>Number of children</w:t>
            </w:r>
          </w:p>
        </w:tc>
        <w:tc>
          <w:tcPr>
            <w:tcW w:w="1015" w:type="dxa"/>
            <w:tcBorders>
              <w:top w:val="single" w:sz="4" w:space="0" w:color="DF2F1E"/>
            </w:tcBorders>
          </w:tcPr>
          <w:p>
            <w:pPr>
              <w:pStyle w:val="TableParagraph"/>
              <w:spacing w:before="0"/>
              <w:rPr>
                <w:rFonts w:ascii="Times New Roman"/>
                <w:sz w:val="18"/>
              </w:rPr>
            </w:pPr>
          </w:p>
        </w:tc>
        <w:tc>
          <w:tcPr>
            <w:tcW w:w="1659" w:type="dxa"/>
            <w:tcBorders>
              <w:top w:val="single" w:sz="4" w:space="0" w:color="DF2F1E"/>
            </w:tcBorders>
          </w:tcPr>
          <w:p>
            <w:pPr>
              <w:pStyle w:val="TableParagraph"/>
              <w:spacing w:before="0"/>
              <w:rPr>
                <w:rFonts w:ascii="Times New Roman"/>
                <w:sz w:val="18"/>
              </w:rPr>
            </w:pPr>
          </w:p>
        </w:tc>
        <w:tc>
          <w:tcPr>
            <w:tcW w:w="1575" w:type="dxa"/>
            <w:tcBorders>
              <w:top w:val="single" w:sz="4" w:space="0" w:color="DF2F1E"/>
            </w:tcBorders>
          </w:tcPr>
          <w:p>
            <w:pPr>
              <w:pStyle w:val="TableParagraph"/>
              <w:spacing w:before="0"/>
              <w:rPr>
                <w:rFonts w:ascii="Times New Roman"/>
                <w:sz w:val="18"/>
              </w:rPr>
            </w:pPr>
          </w:p>
        </w:tc>
        <w:tc>
          <w:tcPr>
            <w:tcW w:w="1609" w:type="dxa"/>
            <w:tcBorders>
              <w:top w:val="single" w:sz="4" w:space="0" w:color="DF2F1E"/>
              <w:right w:val="single" w:sz="4" w:space="0" w:color="DF2F1E"/>
            </w:tcBorders>
          </w:tcPr>
          <w:p>
            <w:pPr>
              <w:pStyle w:val="TableParagraph"/>
              <w:spacing w:before="0"/>
              <w:rPr>
                <w:rFonts w:ascii="Times New Roman"/>
                <w:sz w:val="18"/>
              </w:rPr>
            </w:pPr>
          </w:p>
        </w:tc>
      </w:tr>
      <w:tr>
        <w:trPr>
          <w:trHeight w:val="265" w:hRule="atLeast"/>
        </w:trPr>
        <w:tc>
          <w:tcPr>
            <w:tcW w:w="3928" w:type="dxa"/>
            <w:tcBorders>
              <w:left w:val="single" w:sz="4" w:space="0" w:color="DF2F1E"/>
            </w:tcBorders>
          </w:tcPr>
          <w:p>
            <w:pPr>
              <w:pStyle w:val="TableParagraph"/>
              <w:spacing w:before="39"/>
              <w:ind w:left="287"/>
              <w:rPr>
                <w:b/>
                <w:i/>
                <w:sz w:val="16"/>
              </w:rPr>
            </w:pPr>
            <w:r>
              <w:rPr>
                <w:b/>
                <w:i/>
                <w:color w:val="404040"/>
                <w:sz w:val="16"/>
              </w:rPr>
              <w:t>- No children</w:t>
            </w:r>
          </w:p>
        </w:tc>
        <w:tc>
          <w:tcPr>
            <w:tcW w:w="1015" w:type="dxa"/>
          </w:tcPr>
          <w:p>
            <w:pPr>
              <w:pStyle w:val="TableParagraph"/>
              <w:spacing w:before="39"/>
              <w:ind w:left="228"/>
              <w:rPr>
                <w:sz w:val="16"/>
              </w:rPr>
            </w:pPr>
            <w:r>
              <w:rPr>
                <w:color w:val="404040"/>
                <w:sz w:val="16"/>
              </w:rPr>
              <w:t>34,000</w:t>
            </w:r>
          </w:p>
        </w:tc>
        <w:tc>
          <w:tcPr>
            <w:tcW w:w="1659" w:type="dxa"/>
          </w:tcPr>
          <w:p>
            <w:pPr>
              <w:pStyle w:val="TableParagraph"/>
              <w:spacing w:before="39"/>
              <w:ind w:left="668"/>
              <w:rPr>
                <w:sz w:val="16"/>
              </w:rPr>
            </w:pPr>
            <w:r>
              <w:rPr>
                <w:color w:val="404040"/>
                <w:sz w:val="16"/>
              </w:rPr>
              <w:t>48%</w:t>
            </w:r>
          </w:p>
        </w:tc>
        <w:tc>
          <w:tcPr>
            <w:tcW w:w="1575" w:type="dxa"/>
          </w:tcPr>
          <w:p>
            <w:pPr>
              <w:pStyle w:val="TableParagraph"/>
              <w:spacing w:before="39"/>
              <w:ind w:left="464" w:right="488"/>
              <w:jc w:val="center"/>
              <w:rPr>
                <w:sz w:val="16"/>
              </w:rPr>
            </w:pPr>
            <w:r>
              <w:rPr>
                <w:color w:val="404040"/>
                <w:sz w:val="16"/>
              </w:rPr>
              <w:t>545,000</w:t>
            </w:r>
          </w:p>
        </w:tc>
        <w:tc>
          <w:tcPr>
            <w:tcW w:w="1609" w:type="dxa"/>
            <w:tcBorders>
              <w:right w:val="single" w:sz="4" w:space="0" w:color="DF2F1E"/>
            </w:tcBorders>
          </w:tcPr>
          <w:p>
            <w:pPr>
              <w:pStyle w:val="TableParagraph"/>
              <w:spacing w:before="39"/>
              <w:ind w:left="578" w:right="572"/>
              <w:jc w:val="center"/>
              <w:rPr>
                <w:sz w:val="16"/>
              </w:rPr>
            </w:pPr>
            <w:r>
              <w:rPr>
                <w:color w:val="404040"/>
                <w:sz w:val="16"/>
              </w:rPr>
              <w:t>97%</w:t>
            </w:r>
          </w:p>
        </w:tc>
      </w:tr>
      <w:tr>
        <w:trPr>
          <w:trHeight w:val="264" w:hRule="atLeast"/>
        </w:trPr>
        <w:tc>
          <w:tcPr>
            <w:tcW w:w="3928" w:type="dxa"/>
            <w:tcBorders>
              <w:left w:val="single" w:sz="4" w:space="0" w:color="DF2F1E"/>
            </w:tcBorders>
          </w:tcPr>
          <w:p>
            <w:pPr>
              <w:pStyle w:val="TableParagraph"/>
              <w:ind w:left="287"/>
              <w:rPr>
                <w:b/>
                <w:i/>
                <w:sz w:val="16"/>
              </w:rPr>
            </w:pPr>
            <w:r>
              <w:rPr>
                <w:b/>
                <w:i/>
                <w:color w:val="404040"/>
                <w:sz w:val="16"/>
              </w:rPr>
              <w:t>- 1 child</w:t>
            </w:r>
          </w:p>
        </w:tc>
        <w:tc>
          <w:tcPr>
            <w:tcW w:w="1015" w:type="dxa"/>
          </w:tcPr>
          <w:p>
            <w:pPr>
              <w:pStyle w:val="TableParagraph"/>
              <w:ind w:left="228"/>
              <w:rPr>
                <w:sz w:val="16"/>
              </w:rPr>
            </w:pPr>
            <w:r>
              <w:rPr>
                <w:color w:val="404040"/>
                <w:sz w:val="16"/>
              </w:rPr>
              <w:t>16,000</w:t>
            </w:r>
          </w:p>
        </w:tc>
        <w:tc>
          <w:tcPr>
            <w:tcW w:w="1659" w:type="dxa"/>
          </w:tcPr>
          <w:p>
            <w:pPr>
              <w:pStyle w:val="TableParagraph"/>
              <w:ind w:left="668"/>
              <w:rPr>
                <w:sz w:val="16"/>
              </w:rPr>
            </w:pPr>
            <w:r>
              <w:rPr>
                <w:color w:val="404040"/>
                <w:sz w:val="16"/>
              </w:rPr>
              <w:t>23%</w:t>
            </w:r>
          </w:p>
        </w:tc>
        <w:tc>
          <w:tcPr>
            <w:tcW w:w="1575" w:type="dxa"/>
          </w:tcPr>
          <w:p>
            <w:pPr>
              <w:pStyle w:val="TableParagraph"/>
              <w:ind w:left="464" w:right="488"/>
              <w:jc w:val="center"/>
              <w:rPr>
                <w:sz w:val="16"/>
              </w:rPr>
            </w:pPr>
            <w:r>
              <w:rPr>
                <w:color w:val="404040"/>
                <w:sz w:val="16"/>
              </w:rPr>
              <w:t>573,000</w:t>
            </w:r>
          </w:p>
        </w:tc>
        <w:tc>
          <w:tcPr>
            <w:tcW w:w="1609" w:type="dxa"/>
            <w:tcBorders>
              <w:right w:val="single" w:sz="4" w:space="0" w:color="DF2F1E"/>
            </w:tcBorders>
          </w:tcPr>
          <w:p>
            <w:pPr>
              <w:pStyle w:val="TableParagraph"/>
              <w:ind w:left="578" w:right="574"/>
              <w:jc w:val="center"/>
              <w:rPr>
                <w:sz w:val="16"/>
              </w:rPr>
            </w:pPr>
            <w:r>
              <w:rPr>
                <w:color w:val="404040"/>
                <w:sz w:val="16"/>
              </w:rPr>
              <w:t>102%</w:t>
            </w:r>
          </w:p>
        </w:tc>
      </w:tr>
      <w:tr>
        <w:trPr>
          <w:trHeight w:val="264" w:hRule="atLeast"/>
        </w:trPr>
        <w:tc>
          <w:tcPr>
            <w:tcW w:w="3928" w:type="dxa"/>
            <w:tcBorders>
              <w:left w:val="single" w:sz="4" w:space="0" w:color="DF2F1E"/>
            </w:tcBorders>
          </w:tcPr>
          <w:p>
            <w:pPr>
              <w:pStyle w:val="TableParagraph"/>
              <w:ind w:left="287"/>
              <w:rPr>
                <w:b/>
                <w:i/>
                <w:sz w:val="16"/>
              </w:rPr>
            </w:pPr>
            <w:r>
              <w:rPr>
                <w:b/>
                <w:i/>
                <w:color w:val="404040"/>
                <w:sz w:val="16"/>
              </w:rPr>
              <w:t>- 2 children</w:t>
            </w:r>
          </w:p>
        </w:tc>
        <w:tc>
          <w:tcPr>
            <w:tcW w:w="1015" w:type="dxa"/>
          </w:tcPr>
          <w:p>
            <w:pPr>
              <w:pStyle w:val="TableParagraph"/>
              <w:ind w:left="228"/>
              <w:rPr>
                <w:sz w:val="16"/>
              </w:rPr>
            </w:pPr>
            <w:r>
              <w:rPr>
                <w:color w:val="404040"/>
                <w:sz w:val="16"/>
              </w:rPr>
              <w:t>12,000</w:t>
            </w:r>
          </w:p>
        </w:tc>
        <w:tc>
          <w:tcPr>
            <w:tcW w:w="1659" w:type="dxa"/>
          </w:tcPr>
          <w:p>
            <w:pPr>
              <w:pStyle w:val="TableParagraph"/>
              <w:ind w:left="668"/>
              <w:rPr>
                <w:sz w:val="16"/>
              </w:rPr>
            </w:pPr>
            <w:r>
              <w:rPr>
                <w:color w:val="404040"/>
                <w:sz w:val="16"/>
              </w:rPr>
              <w:t>16%</w:t>
            </w:r>
          </w:p>
        </w:tc>
        <w:tc>
          <w:tcPr>
            <w:tcW w:w="1575" w:type="dxa"/>
          </w:tcPr>
          <w:p>
            <w:pPr>
              <w:pStyle w:val="TableParagraph"/>
              <w:ind w:left="464" w:right="488"/>
              <w:jc w:val="center"/>
              <w:rPr>
                <w:sz w:val="16"/>
              </w:rPr>
            </w:pPr>
            <w:r>
              <w:rPr>
                <w:color w:val="404040"/>
                <w:sz w:val="16"/>
              </w:rPr>
              <w:t>574,000</w:t>
            </w:r>
          </w:p>
        </w:tc>
        <w:tc>
          <w:tcPr>
            <w:tcW w:w="1609" w:type="dxa"/>
            <w:tcBorders>
              <w:right w:val="single" w:sz="4" w:space="0" w:color="DF2F1E"/>
            </w:tcBorders>
          </w:tcPr>
          <w:p>
            <w:pPr>
              <w:pStyle w:val="TableParagraph"/>
              <w:ind w:left="578" w:right="574"/>
              <w:jc w:val="center"/>
              <w:rPr>
                <w:sz w:val="16"/>
              </w:rPr>
            </w:pPr>
            <w:r>
              <w:rPr>
                <w:color w:val="404040"/>
                <w:sz w:val="16"/>
              </w:rPr>
              <w:t>102%</w:t>
            </w:r>
          </w:p>
        </w:tc>
      </w:tr>
      <w:tr>
        <w:trPr>
          <w:trHeight w:val="264" w:hRule="atLeast"/>
        </w:trPr>
        <w:tc>
          <w:tcPr>
            <w:tcW w:w="3928" w:type="dxa"/>
            <w:tcBorders>
              <w:left w:val="single" w:sz="4" w:space="0" w:color="DF2F1E"/>
              <w:bottom w:val="single" w:sz="4" w:space="0" w:color="DF2F1E"/>
            </w:tcBorders>
          </w:tcPr>
          <w:p>
            <w:pPr>
              <w:pStyle w:val="TableParagraph"/>
              <w:ind w:left="287"/>
              <w:rPr>
                <w:b/>
                <w:i/>
                <w:sz w:val="16"/>
              </w:rPr>
            </w:pPr>
            <w:r>
              <w:rPr>
                <w:b/>
                <w:i/>
                <w:color w:val="404040"/>
                <w:sz w:val="16"/>
              </w:rPr>
              <w:t>- 3+ children</w:t>
            </w:r>
          </w:p>
        </w:tc>
        <w:tc>
          <w:tcPr>
            <w:tcW w:w="1015" w:type="dxa"/>
            <w:tcBorders>
              <w:bottom w:val="single" w:sz="4" w:space="0" w:color="DF2F1E"/>
            </w:tcBorders>
          </w:tcPr>
          <w:p>
            <w:pPr>
              <w:pStyle w:val="TableParagraph"/>
              <w:ind w:left="271"/>
              <w:rPr>
                <w:sz w:val="16"/>
              </w:rPr>
            </w:pPr>
            <w:r>
              <w:rPr>
                <w:color w:val="404040"/>
                <w:sz w:val="16"/>
              </w:rPr>
              <w:t>9,000</w:t>
            </w:r>
          </w:p>
        </w:tc>
        <w:tc>
          <w:tcPr>
            <w:tcW w:w="1659" w:type="dxa"/>
            <w:tcBorders>
              <w:bottom w:val="single" w:sz="4" w:space="0" w:color="DF2F1E"/>
            </w:tcBorders>
          </w:tcPr>
          <w:p>
            <w:pPr>
              <w:pStyle w:val="TableParagraph"/>
              <w:ind w:left="668"/>
              <w:rPr>
                <w:sz w:val="16"/>
              </w:rPr>
            </w:pPr>
            <w:r>
              <w:rPr>
                <w:color w:val="404040"/>
                <w:sz w:val="16"/>
              </w:rPr>
              <w:t>13%</w:t>
            </w:r>
          </w:p>
        </w:tc>
        <w:tc>
          <w:tcPr>
            <w:tcW w:w="1575" w:type="dxa"/>
            <w:tcBorders>
              <w:bottom w:val="single" w:sz="4" w:space="0" w:color="DF2F1E"/>
            </w:tcBorders>
          </w:tcPr>
          <w:p>
            <w:pPr>
              <w:pStyle w:val="TableParagraph"/>
              <w:ind w:left="464" w:right="488"/>
              <w:jc w:val="center"/>
              <w:rPr>
                <w:sz w:val="16"/>
              </w:rPr>
            </w:pPr>
            <w:r>
              <w:rPr>
                <w:color w:val="404040"/>
                <w:sz w:val="16"/>
              </w:rPr>
              <w:t>579,000</w:t>
            </w:r>
          </w:p>
        </w:tc>
        <w:tc>
          <w:tcPr>
            <w:tcW w:w="1609" w:type="dxa"/>
            <w:tcBorders>
              <w:bottom w:val="single" w:sz="4" w:space="0" w:color="DF2F1E"/>
              <w:right w:val="single" w:sz="4" w:space="0" w:color="DF2F1E"/>
            </w:tcBorders>
          </w:tcPr>
          <w:p>
            <w:pPr>
              <w:pStyle w:val="TableParagraph"/>
              <w:ind w:left="578" w:right="575"/>
              <w:jc w:val="center"/>
              <w:rPr>
                <w:sz w:val="16"/>
              </w:rPr>
            </w:pPr>
            <w:r>
              <w:rPr>
                <w:color w:val="404040"/>
                <w:sz w:val="16"/>
              </w:rPr>
              <w:t>103%</w:t>
            </w:r>
          </w:p>
        </w:tc>
      </w:tr>
      <w:tr>
        <w:trPr>
          <w:trHeight w:val="262" w:hRule="atLeast"/>
        </w:trPr>
        <w:tc>
          <w:tcPr>
            <w:tcW w:w="3928" w:type="dxa"/>
            <w:tcBorders>
              <w:top w:val="single" w:sz="4" w:space="0" w:color="DF2F1E"/>
              <w:left w:val="single" w:sz="4" w:space="0" w:color="DF2F1E"/>
            </w:tcBorders>
          </w:tcPr>
          <w:p>
            <w:pPr>
              <w:pStyle w:val="TableParagraph"/>
              <w:spacing w:before="34"/>
              <w:ind w:left="107"/>
              <w:rPr>
                <w:b/>
                <w:sz w:val="16"/>
              </w:rPr>
            </w:pPr>
            <w:r>
              <w:rPr>
                <w:b/>
                <w:color w:val="404040"/>
                <w:sz w:val="16"/>
              </w:rPr>
              <w:t>Marital status</w:t>
            </w:r>
          </w:p>
        </w:tc>
        <w:tc>
          <w:tcPr>
            <w:tcW w:w="1015" w:type="dxa"/>
            <w:tcBorders>
              <w:top w:val="single" w:sz="4" w:space="0" w:color="DF2F1E"/>
            </w:tcBorders>
          </w:tcPr>
          <w:p>
            <w:pPr>
              <w:pStyle w:val="TableParagraph"/>
              <w:spacing w:before="0"/>
              <w:rPr>
                <w:rFonts w:ascii="Times New Roman"/>
                <w:sz w:val="18"/>
              </w:rPr>
            </w:pPr>
          </w:p>
        </w:tc>
        <w:tc>
          <w:tcPr>
            <w:tcW w:w="1659" w:type="dxa"/>
            <w:tcBorders>
              <w:top w:val="single" w:sz="4" w:space="0" w:color="DF2F1E"/>
            </w:tcBorders>
          </w:tcPr>
          <w:p>
            <w:pPr>
              <w:pStyle w:val="TableParagraph"/>
              <w:spacing w:before="0"/>
              <w:rPr>
                <w:rFonts w:ascii="Times New Roman"/>
                <w:sz w:val="18"/>
              </w:rPr>
            </w:pPr>
          </w:p>
        </w:tc>
        <w:tc>
          <w:tcPr>
            <w:tcW w:w="1575" w:type="dxa"/>
            <w:tcBorders>
              <w:top w:val="single" w:sz="4" w:space="0" w:color="DF2F1E"/>
            </w:tcBorders>
          </w:tcPr>
          <w:p>
            <w:pPr>
              <w:pStyle w:val="TableParagraph"/>
              <w:spacing w:before="0"/>
              <w:rPr>
                <w:rFonts w:ascii="Times New Roman"/>
                <w:sz w:val="18"/>
              </w:rPr>
            </w:pPr>
          </w:p>
        </w:tc>
        <w:tc>
          <w:tcPr>
            <w:tcW w:w="1609" w:type="dxa"/>
            <w:tcBorders>
              <w:top w:val="single" w:sz="4" w:space="0" w:color="DF2F1E"/>
              <w:right w:val="single" w:sz="4" w:space="0" w:color="DF2F1E"/>
            </w:tcBorders>
          </w:tcPr>
          <w:p>
            <w:pPr>
              <w:pStyle w:val="TableParagraph"/>
              <w:spacing w:before="0"/>
              <w:rPr>
                <w:rFonts w:ascii="Times New Roman"/>
                <w:sz w:val="18"/>
              </w:rPr>
            </w:pPr>
          </w:p>
        </w:tc>
      </w:tr>
      <w:tr>
        <w:trPr>
          <w:trHeight w:val="265" w:hRule="atLeast"/>
        </w:trPr>
        <w:tc>
          <w:tcPr>
            <w:tcW w:w="3928" w:type="dxa"/>
            <w:tcBorders>
              <w:left w:val="single" w:sz="4" w:space="0" w:color="DF2F1E"/>
            </w:tcBorders>
          </w:tcPr>
          <w:p>
            <w:pPr>
              <w:pStyle w:val="TableParagraph"/>
              <w:spacing w:before="39"/>
              <w:ind w:left="287"/>
              <w:rPr>
                <w:b/>
                <w:i/>
                <w:sz w:val="16"/>
              </w:rPr>
            </w:pPr>
            <w:r>
              <w:rPr>
                <w:b/>
                <w:i/>
                <w:color w:val="404040"/>
                <w:sz w:val="16"/>
              </w:rPr>
              <w:t>- Single</w:t>
            </w:r>
          </w:p>
        </w:tc>
        <w:tc>
          <w:tcPr>
            <w:tcW w:w="1015" w:type="dxa"/>
          </w:tcPr>
          <w:p>
            <w:pPr>
              <w:pStyle w:val="TableParagraph"/>
              <w:spacing w:before="39"/>
              <w:ind w:left="228"/>
              <w:rPr>
                <w:sz w:val="16"/>
              </w:rPr>
            </w:pPr>
            <w:r>
              <w:rPr>
                <w:color w:val="404040"/>
                <w:sz w:val="16"/>
              </w:rPr>
              <w:t>37,000</w:t>
            </w:r>
          </w:p>
        </w:tc>
        <w:tc>
          <w:tcPr>
            <w:tcW w:w="1659" w:type="dxa"/>
          </w:tcPr>
          <w:p>
            <w:pPr>
              <w:pStyle w:val="TableParagraph"/>
              <w:spacing w:before="39"/>
              <w:ind w:left="668"/>
              <w:rPr>
                <w:sz w:val="16"/>
              </w:rPr>
            </w:pPr>
            <w:r>
              <w:rPr>
                <w:color w:val="404040"/>
                <w:sz w:val="16"/>
              </w:rPr>
              <w:t>52%</w:t>
            </w:r>
          </w:p>
        </w:tc>
        <w:tc>
          <w:tcPr>
            <w:tcW w:w="1575" w:type="dxa"/>
          </w:tcPr>
          <w:p>
            <w:pPr>
              <w:pStyle w:val="TableParagraph"/>
              <w:spacing w:before="39"/>
              <w:ind w:left="464" w:right="488"/>
              <w:jc w:val="center"/>
              <w:rPr>
                <w:sz w:val="16"/>
              </w:rPr>
            </w:pPr>
            <w:r>
              <w:rPr>
                <w:color w:val="404040"/>
                <w:sz w:val="16"/>
              </w:rPr>
              <w:t>589,000</w:t>
            </w:r>
          </w:p>
        </w:tc>
        <w:tc>
          <w:tcPr>
            <w:tcW w:w="1609" w:type="dxa"/>
            <w:tcBorders>
              <w:right w:val="single" w:sz="4" w:space="0" w:color="DF2F1E"/>
            </w:tcBorders>
          </w:tcPr>
          <w:p>
            <w:pPr>
              <w:pStyle w:val="TableParagraph"/>
              <w:spacing w:before="39"/>
              <w:ind w:left="578" w:right="574"/>
              <w:jc w:val="center"/>
              <w:rPr>
                <w:sz w:val="16"/>
              </w:rPr>
            </w:pPr>
            <w:r>
              <w:rPr>
                <w:color w:val="404040"/>
                <w:sz w:val="16"/>
              </w:rPr>
              <w:t>105%</w:t>
            </w:r>
          </w:p>
        </w:tc>
      </w:tr>
      <w:tr>
        <w:trPr>
          <w:trHeight w:val="264" w:hRule="atLeast"/>
        </w:trPr>
        <w:tc>
          <w:tcPr>
            <w:tcW w:w="3928" w:type="dxa"/>
            <w:tcBorders>
              <w:left w:val="single" w:sz="4" w:space="0" w:color="DF2F1E"/>
              <w:bottom w:val="single" w:sz="4" w:space="0" w:color="DF2F1E"/>
            </w:tcBorders>
          </w:tcPr>
          <w:p>
            <w:pPr>
              <w:pStyle w:val="TableParagraph"/>
              <w:ind w:left="287"/>
              <w:rPr>
                <w:b/>
                <w:i/>
                <w:sz w:val="16"/>
              </w:rPr>
            </w:pPr>
            <w:r>
              <w:rPr>
                <w:b/>
                <w:i/>
                <w:color w:val="404040"/>
                <w:sz w:val="16"/>
              </w:rPr>
              <w:t>- Partnered</w:t>
            </w:r>
          </w:p>
        </w:tc>
        <w:tc>
          <w:tcPr>
            <w:tcW w:w="1015" w:type="dxa"/>
            <w:tcBorders>
              <w:bottom w:val="single" w:sz="4" w:space="0" w:color="DF2F1E"/>
            </w:tcBorders>
          </w:tcPr>
          <w:p>
            <w:pPr>
              <w:pStyle w:val="TableParagraph"/>
              <w:ind w:left="228"/>
              <w:rPr>
                <w:sz w:val="16"/>
              </w:rPr>
            </w:pPr>
            <w:r>
              <w:rPr>
                <w:color w:val="404040"/>
                <w:sz w:val="16"/>
              </w:rPr>
              <w:t>34,000</w:t>
            </w:r>
          </w:p>
        </w:tc>
        <w:tc>
          <w:tcPr>
            <w:tcW w:w="1659" w:type="dxa"/>
            <w:tcBorders>
              <w:bottom w:val="single" w:sz="4" w:space="0" w:color="DF2F1E"/>
            </w:tcBorders>
          </w:tcPr>
          <w:p>
            <w:pPr>
              <w:pStyle w:val="TableParagraph"/>
              <w:ind w:left="668"/>
              <w:rPr>
                <w:sz w:val="16"/>
              </w:rPr>
            </w:pPr>
            <w:r>
              <w:rPr>
                <w:color w:val="404040"/>
                <w:sz w:val="16"/>
              </w:rPr>
              <w:t>48%</w:t>
            </w:r>
          </w:p>
        </w:tc>
        <w:tc>
          <w:tcPr>
            <w:tcW w:w="1575" w:type="dxa"/>
            <w:tcBorders>
              <w:bottom w:val="single" w:sz="4" w:space="0" w:color="DF2F1E"/>
            </w:tcBorders>
          </w:tcPr>
          <w:p>
            <w:pPr>
              <w:pStyle w:val="TableParagraph"/>
              <w:ind w:left="464" w:right="488"/>
              <w:jc w:val="center"/>
              <w:rPr>
                <w:sz w:val="16"/>
              </w:rPr>
            </w:pPr>
            <w:r>
              <w:rPr>
                <w:color w:val="404040"/>
                <w:sz w:val="16"/>
              </w:rPr>
              <w:t>529,000</w:t>
            </w:r>
          </w:p>
        </w:tc>
        <w:tc>
          <w:tcPr>
            <w:tcW w:w="1609" w:type="dxa"/>
            <w:tcBorders>
              <w:bottom w:val="single" w:sz="4" w:space="0" w:color="DF2F1E"/>
              <w:right w:val="single" w:sz="4" w:space="0" w:color="DF2F1E"/>
            </w:tcBorders>
          </w:tcPr>
          <w:p>
            <w:pPr>
              <w:pStyle w:val="TableParagraph"/>
              <w:ind w:left="578" w:right="572"/>
              <w:jc w:val="center"/>
              <w:rPr>
                <w:sz w:val="16"/>
              </w:rPr>
            </w:pPr>
            <w:r>
              <w:rPr>
                <w:color w:val="404040"/>
                <w:sz w:val="16"/>
              </w:rPr>
              <w:t>94%</w:t>
            </w:r>
          </w:p>
        </w:tc>
      </w:tr>
      <w:tr>
        <w:trPr>
          <w:trHeight w:val="262" w:hRule="atLeast"/>
        </w:trPr>
        <w:tc>
          <w:tcPr>
            <w:tcW w:w="3928" w:type="dxa"/>
            <w:tcBorders>
              <w:top w:val="single" w:sz="4" w:space="0" w:color="DF2F1E"/>
              <w:left w:val="single" w:sz="4" w:space="0" w:color="DF2F1E"/>
            </w:tcBorders>
          </w:tcPr>
          <w:p>
            <w:pPr>
              <w:pStyle w:val="TableParagraph"/>
              <w:spacing w:before="34"/>
              <w:ind w:left="107"/>
              <w:rPr>
                <w:b/>
                <w:sz w:val="16"/>
              </w:rPr>
            </w:pPr>
            <w:r>
              <w:rPr>
                <w:b/>
                <w:color w:val="404040"/>
                <w:sz w:val="16"/>
              </w:rPr>
              <w:t>Geography – socio-economic area grouping</w:t>
            </w:r>
          </w:p>
        </w:tc>
        <w:tc>
          <w:tcPr>
            <w:tcW w:w="1015" w:type="dxa"/>
            <w:tcBorders>
              <w:top w:val="single" w:sz="4" w:space="0" w:color="DF2F1E"/>
            </w:tcBorders>
          </w:tcPr>
          <w:p>
            <w:pPr>
              <w:pStyle w:val="TableParagraph"/>
              <w:spacing w:before="0"/>
              <w:rPr>
                <w:rFonts w:ascii="Times New Roman"/>
                <w:sz w:val="18"/>
              </w:rPr>
            </w:pPr>
          </w:p>
        </w:tc>
        <w:tc>
          <w:tcPr>
            <w:tcW w:w="1659" w:type="dxa"/>
            <w:tcBorders>
              <w:top w:val="single" w:sz="4" w:space="0" w:color="DF2F1E"/>
            </w:tcBorders>
          </w:tcPr>
          <w:p>
            <w:pPr>
              <w:pStyle w:val="TableParagraph"/>
              <w:spacing w:before="0"/>
              <w:rPr>
                <w:rFonts w:ascii="Times New Roman"/>
                <w:sz w:val="18"/>
              </w:rPr>
            </w:pPr>
          </w:p>
        </w:tc>
        <w:tc>
          <w:tcPr>
            <w:tcW w:w="1575" w:type="dxa"/>
            <w:tcBorders>
              <w:top w:val="single" w:sz="4" w:space="0" w:color="DF2F1E"/>
            </w:tcBorders>
          </w:tcPr>
          <w:p>
            <w:pPr>
              <w:pStyle w:val="TableParagraph"/>
              <w:spacing w:before="0"/>
              <w:rPr>
                <w:rFonts w:ascii="Times New Roman"/>
                <w:sz w:val="18"/>
              </w:rPr>
            </w:pPr>
          </w:p>
        </w:tc>
        <w:tc>
          <w:tcPr>
            <w:tcW w:w="1609" w:type="dxa"/>
            <w:tcBorders>
              <w:top w:val="single" w:sz="4" w:space="0" w:color="DF2F1E"/>
              <w:right w:val="single" w:sz="4" w:space="0" w:color="DF2F1E"/>
            </w:tcBorders>
          </w:tcPr>
          <w:p>
            <w:pPr>
              <w:pStyle w:val="TableParagraph"/>
              <w:spacing w:before="0"/>
              <w:rPr>
                <w:rFonts w:ascii="Times New Roman"/>
                <w:sz w:val="18"/>
              </w:rPr>
            </w:pPr>
          </w:p>
        </w:tc>
      </w:tr>
      <w:tr>
        <w:trPr>
          <w:trHeight w:val="265" w:hRule="atLeast"/>
        </w:trPr>
        <w:tc>
          <w:tcPr>
            <w:tcW w:w="3928" w:type="dxa"/>
            <w:tcBorders>
              <w:left w:val="single" w:sz="4" w:space="0" w:color="DF2F1E"/>
            </w:tcBorders>
          </w:tcPr>
          <w:p>
            <w:pPr>
              <w:pStyle w:val="TableParagraph"/>
              <w:spacing w:before="39"/>
              <w:ind w:left="287"/>
              <w:rPr>
                <w:b/>
                <w:i/>
                <w:sz w:val="16"/>
              </w:rPr>
            </w:pPr>
            <w:r>
              <w:rPr>
                <w:b/>
                <w:i/>
                <w:color w:val="404040"/>
                <w:sz w:val="16"/>
              </w:rPr>
              <w:t>- Lowest 20% (most disadvantaged)</w:t>
            </w:r>
          </w:p>
        </w:tc>
        <w:tc>
          <w:tcPr>
            <w:tcW w:w="1015" w:type="dxa"/>
          </w:tcPr>
          <w:p>
            <w:pPr>
              <w:pStyle w:val="TableParagraph"/>
              <w:spacing w:before="39"/>
              <w:ind w:left="228"/>
              <w:rPr>
                <w:sz w:val="16"/>
              </w:rPr>
            </w:pPr>
            <w:r>
              <w:rPr>
                <w:color w:val="404040"/>
                <w:sz w:val="16"/>
              </w:rPr>
              <w:t>28,000</w:t>
            </w:r>
          </w:p>
        </w:tc>
        <w:tc>
          <w:tcPr>
            <w:tcW w:w="1659" w:type="dxa"/>
          </w:tcPr>
          <w:p>
            <w:pPr>
              <w:pStyle w:val="TableParagraph"/>
              <w:spacing w:before="39"/>
              <w:ind w:left="668"/>
              <w:rPr>
                <w:sz w:val="16"/>
              </w:rPr>
            </w:pPr>
            <w:r>
              <w:rPr>
                <w:color w:val="404040"/>
                <w:sz w:val="16"/>
              </w:rPr>
              <w:t>40%</w:t>
            </w:r>
          </w:p>
        </w:tc>
        <w:tc>
          <w:tcPr>
            <w:tcW w:w="1575" w:type="dxa"/>
          </w:tcPr>
          <w:p>
            <w:pPr>
              <w:pStyle w:val="TableParagraph"/>
              <w:spacing w:before="39"/>
              <w:ind w:left="464" w:right="488"/>
              <w:jc w:val="center"/>
              <w:rPr>
                <w:sz w:val="16"/>
              </w:rPr>
            </w:pPr>
            <w:r>
              <w:rPr>
                <w:color w:val="404040"/>
                <w:sz w:val="16"/>
              </w:rPr>
              <w:t>577,000</w:t>
            </w:r>
          </w:p>
        </w:tc>
        <w:tc>
          <w:tcPr>
            <w:tcW w:w="1609" w:type="dxa"/>
            <w:tcBorders>
              <w:right w:val="single" w:sz="4" w:space="0" w:color="DF2F1E"/>
            </w:tcBorders>
          </w:tcPr>
          <w:p>
            <w:pPr>
              <w:pStyle w:val="TableParagraph"/>
              <w:spacing w:before="39"/>
              <w:ind w:left="578" w:right="574"/>
              <w:jc w:val="center"/>
              <w:rPr>
                <w:sz w:val="16"/>
              </w:rPr>
            </w:pPr>
            <w:r>
              <w:rPr>
                <w:color w:val="404040"/>
                <w:sz w:val="16"/>
              </w:rPr>
              <w:t>103%</w:t>
            </w:r>
          </w:p>
        </w:tc>
      </w:tr>
      <w:tr>
        <w:trPr>
          <w:trHeight w:val="263" w:hRule="atLeast"/>
        </w:trPr>
        <w:tc>
          <w:tcPr>
            <w:tcW w:w="3928" w:type="dxa"/>
            <w:tcBorders>
              <w:left w:val="single" w:sz="4" w:space="0" w:color="DF2F1E"/>
            </w:tcBorders>
          </w:tcPr>
          <w:p>
            <w:pPr>
              <w:pStyle w:val="TableParagraph"/>
              <w:ind w:left="287"/>
              <w:rPr>
                <w:b/>
                <w:i/>
                <w:sz w:val="16"/>
              </w:rPr>
            </w:pPr>
            <w:r>
              <w:rPr>
                <w:b/>
                <w:i/>
                <w:color w:val="404040"/>
                <w:sz w:val="16"/>
              </w:rPr>
              <w:t>- 20% to 40%</w:t>
            </w:r>
          </w:p>
        </w:tc>
        <w:tc>
          <w:tcPr>
            <w:tcW w:w="1015" w:type="dxa"/>
          </w:tcPr>
          <w:p>
            <w:pPr>
              <w:pStyle w:val="TableParagraph"/>
              <w:ind w:left="228"/>
              <w:rPr>
                <w:sz w:val="16"/>
              </w:rPr>
            </w:pPr>
            <w:r>
              <w:rPr>
                <w:color w:val="404040"/>
                <w:sz w:val="16"/>
              </w:rPr>
              <w:t>17,000</w:t>
            </w:r>
          </w:p>
        </w:tc>
        <w:tc>
          <w:tcPr>
            <w:tcW w:w="1659" w:type="dxa"/>
          </w:tcPr>
          <w:p>
            <w:pPr>
              <w:pStyle w:val="TableParagraph"/>
              <w:ind w:left="668"/>
              <w:rPr>
                <w:sz w:val="16"/>
              </w:rPr>
            </w:pPr>
            <w:r>
              <w:rPr>
                <w:color w:val="404040"/>
                <w:sz w:val="16"/>
              </w:rPr>
              <w:t>24%</w:t>
            </w:r>
          </w:p>
        </w:tc>
        <w:tc>
          <w:tcPr>
            <w:tcW w:w="1575" w:type="dxa"/>
          </w:tcPr>
          <w:p>
            <w:pPr>
              <w:pStyle w:val="TableParagraph"/>
              <w:ind w:left="464" w:right="488"/>
              <w:jc w:val="center"/>
              <w:rPr>
                <w:sz w:val="16"/>
              </w:rPr>
            </w:pPr>
            <w:r>
              <w:rPr>
                <w:color w:val="404040"/>
                <w:sz w:val="16"/>
              </w:rPr>
              <w:t>566,000</w:t>
            </w:r>
          </w:p>
        </w:tc>
        <w:tc>
          <w:tcPr>
            <w:tcW w:w="1609" w:type="dxa"/>
            <w:tcBorders>
              <w:right w:val="single" w:sz="4" w:space="0" w:color="DF2F1E"/>
            </w:tcBorders>
          </w:tcPr>
          <w:p>
            <w:pPr>
              <w:pStyle w:val="TableParagraph"/>
              <w:ind w:left="578" w:right="574"/>
              <w:jc w:val="center"/>
              <w:rPr>
                <w:sz w:val="16"/>
              </w:rPr>
            </w:pPr>
            <w:r>
              <w:rPr>
                <w:color w:val="404040"/>
                <w:sz w:val="16"/>
              </w:rPr>
              <w:t>101%</w:t>
            </w:r>
          </w:p>
        </w:tc>
      </w:tr>
      <w:tr>
        <w:trPr>
          <w:trHeight w:val="263" w:hRule="atLeast"/>
        </w:trPr>
        <w:tc>
          <w:tcPr>
            <w:tcW w:w="3928" w:type="dxa"/>
            <w:tcBorders>
              <w:left w:val="single" w:sz="4" w:space="0" w:color="DF2F1E"/>
            </w:tcBorders>
          </w:tcPr>
          <w:p>
            <w:pPr>
              <w:pStyle w:val="TableParagraph"/>
              <w:ind w:left="287"/>
              <w:rPr>
                <w:b/>
                <w:i/>
                <w:sz w:val="16"/>
              </w:rPr>
            </w:pPr>
            <w:r>
              <w:rPr>
                <w:b/>
                <w:i/>
                <w:color w:val="404040"/>
                <w:sz w:val="16"/>
              </w:rPr>
              <w:t>- 40% to 60%</w:t>
            </w:r>
          </w:p>
        </w:tc>
        <w:tc>
          <w:tcPr>
            <w:tcW w:w="1015" w:type="dxa"/>
          </w:tcPr>
          <w:p>
            <w:pPr>
              <w:pStyle w:val="TableParagraph"/>
              <w:ind w:left="228"/>
              <w:rPr>
                <w:sz w:val="16"/>
              </w:rPr>
            </w:pPr>
            <w:r>
              <w:rPr>
                <w:color w:val="404040"/>
                <w:sz w:val="16"/>
              </w:rPr>
              <w:t>13,000</w:t>
            </w:r>
          </w:p>
        </w:tc>
        <w:tc>
          <w:tcPr>
            <w:tcW w:w="1659" w:type="dxa"/>
          </w:tcPr>
          <w:p>
            <w:pPr>
              <w:pStyle w:val="TableParagraph"/>
              <w:ind w:left="668"/>
              <w:rPr>
                <w:sz w:val="16"/>
              </w:rPr>
            </w:pPr>
            <w:r>
              <w:rPr>
                <w:color w:val="404040"/>
                <w:sz w:val="16"/>
              </w:rPr>
              <w:t>18%</w:t>
            </w:r>
          </w:p>
        </w:tc>
        <w:tc>
          <w:tcPr>
            <w:tcW w:w="1575" w:type="dxa"/>
          </w:tcPr>
          <w:p>
            <w:pPr>
              <w:pStyle w:val="TableParagraph"/>
              <w:ind w:left="464" w:right="488"/>
              <w:jc w:val="center"/>
              <w:rPr>
                <w:sz w:val="16"/>
              </w:rPr>
            </w:pPr>
            <w:r>
              <w:rPr>
                <w:color w:val="404040"/>
                <w:sz w:val="16"/>
              </w:rPr>
              <w:t>551,000</w:t>
            </w:r>
          </w:p>
        </w:tc>
        <w:tc>
          <w:tcPr>
            <w:tcW w:w="1609" w:type="dxa"/>
            <w:tcBorders>
              <w:right w:val="single" w:sz="4" w:space="0" w:color="DF2F1E"/>
            </w:tcBorders>
          </w:tcPr>
          <w:p>
            <w:pPr>
              <w:pStyle w:val="TableParagraph"/>
              <w:ind w:left="578" w:right="572"/>
              <w:jc w:val="center"/>
              <w:rPr>
                <w:sz w:val="16"/>
              </w:rPr>
            </w:pPr>
            <w:r>
              <w:rPr>
                <w:color w:val="404040"/>
                <w:sz w:val="16"/>
              </w:rPr>
              <w:t>98%</w:t>
            </w:r>
          </w:p>
        </w:tc>
      </w:tr>
      <w:tr>
        <w:trPr>
          <w:trHeight w:val="264" w:hRule="atLeast"/>
        </w:trPr>
        <w:tc>
          <w:tcPr>
            <w:tcW w:w="3928" w:type="dxa"/>
            <w:tcBorders>
              <w:left w:val="single" w:sz="4" w:space="0" w:color="DF2F1E"/>
            </w:tcBorders>
          </w:tcPr>
          <w:p>
            <w:pPr>
              <w:pStyle w:val="TableParagraph"/>
              <w:ind w:left="287"/>
              <w:rPr>
                <w:b/>
                <w:i/>
                <w:sz w:val="16"/>
              </w:rPr>
            </w:pPr>
            <w:r>
              <w:rPr>
                <w:b/>
                <w:i/>
                <w:color w:val="404040"/>
                <w:sz w:val="16"/>
              </w:rPr>
              <w:t>- 60% to 80%</w:t>
            </w:r>
          </w:p>
        </w:tc>
        <w:tc>
          <w:tcPr>
            <w:tcW w:w="1015" w:type="dxa"/>
          </w:tcPr>
          <w:p>
            <w:pPr>
              <w:pStyle w:val="TableParagraph"/>
              <w:ind w:left="271"/>
              <w:rPr>
                <w:sz w:val="16"/>
              </w:rPr>
            </w:pPr>
            <w:r>
              <w:rPr>
                <w:color w:val="404040"/>
                <w:sz w:val="16"/>
              </w:rPr>
              <w:t>8,000</w:t>
            </w:r>
          </w:p>
        </w:tc>
        <w:tc>
          <w:tcPr>
            <w:tcW w:w="1659" w:type="dxa"/>
          </w:tcPr>
          <w:p>
            <w:pPr>
              <w:pStyle w:val="TableParagraph"/>
              <w:ind w:left="668"/>
              <w:rPr>
                <w:sz w:val="16"/>
              </w:rPr>
            </w:pPr>
            <w:r>
              <w:rPr>
                <w:color w:val="404040"/>
                <w:sz w:val="16"/>
              </w:rPr>
              <w:t>12%</w:t>
            </w:r>
          </w:p>
        </w:tc>
        <w:tc>
          <w:tcPr>
            <w:tcW w:w="1575" w:type="dxa"/>
          </w:tcPr>
          <w:p>
            <w:pPr>
              <w:pStyle w:val="TableParagraph"/>
              <w:ind w:left="464" w:right="488"/>
              <w:jc w:val="center"/>
              <w:rPr>
                <w:sz w:val="16"/>
              </w:rPr>
            </w:pPr>
            <w:r>
              <w:rPr>
                <w:color w:val="404040"/>
                <w:sz w:val="16"/>
              </w:rPr>
              <w:t>533,000</w:t>
            </w:r>
          </w:p>
        </w:tc>
        <w:tc>
          <w:tcPr>
            <w:tcW w:w="1609" w:type="dxa"/>
            <w:tcBorders>
              <w:right w:val="single" w:sz="4" w:space="0" w:color="DF2F1E"/>
            </w:tcBorders>
          </w:tcPr>
          <w:p>
            <w:pPr>
              <w:pStyle w:val="TableParagraph"/>
              <w:ind w:left="578" w:right="572"/>
              <w:jc w:val="center"/>
              <w:rPr>
                <w:sz w:val="16"/>
              </w:rPr>
            </w:pPr>
            <w:r>
              <w:rPr>
                <w:color w:val="404040"/>
                <w:sz w:val="16"/>
              </w:rPr>
              <w:t>95%</w:t>
            </w:r>
          </w:p>
        </w:tc>
      </w:tr>
      <w:tr>
        <w:trPr>
          <w:trHeight w:val="264" w:hRule="atLeast"/>
        </w:trPr>
        <w:tc>
          <w:tcPr>
            <w:tcW w:w="3928" w:type="dxa"/>
            <w:tcBorders>
              <w:left w:val="single" w:sz="4" w:space="0" w:color="DF2F1E"/>
              <w:bottom w:val="single" w:sz="4" w:space="0" w:color="DF2F1E"/>
            </w:tcBorders>
          </w:tcPr>
          <w:p>
            <w:pPr>
              <w:pStyle w:val="TableParagraph"/>
              <w:ind w:left="287"/>
              <w:rPr>
                <w:b/>
                <w:i/>
                <w:sz w:val="16"/>
              </w:rPr>
            </w:pPr>
            <w:r>
              <w:rPr>
                <w:b/>
                <w:i/>
                <w:color w:val="404040"/>
                <w:sz w:val="16"/>
              </w:rPr>
              <w:t>- Highest 20% (least disadvantaged)</w:t>
            </w:r>
          </w:p>
        </w:tc>
        <w:tc>
          <w:tcPr>
            <w:tcW w:w="1015" w:type="dxa"/>
            <w:tcBorders>
              <w:bottom w:val="single" w:sz="4" w:space="0" w:color="DF2F1E"/>
            </w:tcBorders>
          </w:tcPr>
          <w:p>
            <w:pPr>
              <w:pStyle w:val="TableParagraph"/>
              <w:ind w:left="271"/>
              <w:rPr>
                <w:sz w:val="16"/>
              </w:rPr>
            </w:pPr>
            <w:r>
              <w:rPr>
                <w:color w:val="404040"/>
                <w:sz w:val="16"/>
              </w:rPr>
              <w:t>4,000</w:t>
            </w:r>
          </w:p>
        </w:tc>
        <w:tc>
          <w:tcPr>
            <w:tcW w:w="1659" w:type="dxa"/>
            <w:tcBorders>
              <w:bottom w:val="single" w:sz="4" w:space="0" w:color="DF2F1E"/>
            </w:tcBorders>
          </w:tcPr>
          <w:p>
            <w:pPr>
              <w:pStyle w:val="TableParagraph"/>
              <w:ind w:left="711"/>
              <w:rPr>
                <w:sz w:val="16"/>
              </w:rPr>
            </w:pPr>
            <w:r>
              <w:rPr>
                <w:color w:val="404040"/>
                <w:sz w:val="16"/>
              </w:rPr>
              <w:t>6%</w:t>
            </w:r>
          </w:p>
        </w:tc>
        <w:tc>
          <w:tcPr>
            <w:tcW w:w="1575" w:type="dxa"/>
            <w:tcBorders>
              <w:bottom w:val="single" w:sz="4" w:space="0" w:color="DF2F1E"/>
            </w:tcBorders>
          </w:tcPr>
          <w:p>
            <w:pPr>
              <w:pStyle w:val="TableParagraph"/>
              <w:ind w:left="464" w:right="488"/>
              <w:jc w:val="center"/>
              <w:rPr>
                <w:sz w:val="16"/>
              </w:rPr>
            </w:pPr>
            <w:r>
              <w:rPr>
                <w:color w:val="404040"/>
                <w:sz w:val="16"/>
              </w:rPr>
              <w:t>510,000</w:t>
            </w:r>
          </w:p>
        </w:tc>
        <w:tc>
          <w:tcPr>
            <w:tcW w:w="1609" w:type="dxa"/>
            <w:tcBorders>
              <w:bottom w:val="single" w:sz="4" w:space="0" w:color="DF2F1E"/>
              <w:right w:val="single" w:sz="4" w:space="0" w:color="DF2F1E"/>
            </w:tcBorders>
          </w:tcPr>
          <w:p>
            <w:pPr>
              <w:pStyle w:val="TableParagraph"/>
              <w:ind w:left="578" w:right="572"/>
              <w:jc w:val="center"/>
              <w:rPr>
                <w:sz w:val="16"/>
              </w:rPr>
            </w:pPr>
            <w:r>
              <w:rPr>
                <w:color w:val="404040"/>
                <w:sz w:val="16"/>
              </w:rPr>
              <w:t>91%</w:t>
            </w:r>
          </w:p>
        </w:tc>
      </w:tr>
      <w:tr>
        <w:trPr>
          <w:trHeight w:val="262" w:hRule="atLeast"/>
        </w:trPr>
        <w:tc>
          <w:tcPr>
            <w:tcW w:w="3928" w:type="dxa"/>
            <w:tcBorders>
              <w:top w:val="single" w:sz="4" w:space="0" w:color="DF2F1E"/>
              <w:left w:val="single" w:sz="4" w:space="0" w:color="DF2F1E"/>
            </w:tcBorders>
          </w:tcPr>
          <w:p>
            <w:pPr>
              <w:pStyle w:val="TableParagraph"/>
              <w:spacing w:before="34"/>
              <w:ind w:left="107"/>
              <w:rPr>
                <w:b/>
                <w:sz w:val="16"/>
              </w:rPr>
            </w:pPr>
            <w:r>
              <w:rPr>
                <w:b/>
                <w:color w:val="404040"/>
                <w:sz w:val="16"/>
              </w:rPr>
              <w:t>Payments at valuation date</w:t>
            </w:r>
          </w:p>
        </w:tc>
        <w:tc>
          <w:tcPr>
            <w:tcW w:w="1015" w:type="dxa"/>
            <w:tcBorders>
              <w:top w:val="single" w:sz="4" w:space="0" w:color="DF2F1E"/>
            </w:tcBorders>
          </w:tcPr>
          <w:p>
            <w:pPr>
              <w:pStyle w:val="TableParagraph"/>
              <w:spacing w:before="0"/>
              <w:rPr>
                <w:rFonts w:ascii="Times New Roman"/>
                <w:sz w:val="18"/>
              </w:rPr>
            </w:pPr>
          </w:p>
        </w:tc>
        <w:tc>
          <w:tcPr>
            <w:tcW w:w="1659" w:type="dxa"/>
            <w:tcBorders>
              <w:top w:val="single" w:sz="4" w:space="0" w:color="DF2F1E"/>
            </w:tcBorders>
          </w:tcPr>
          <w:p>
            <w:pPr>
              <w:pStyle w:val="TableParagraph"/>
              <w:spacing w:before="0"/>
              <w:rPr>
                <w:rFonts w:ascii="Times New Roman"/>
                <w:sz w:val="18"/>
              </w:rPr>
            </w:pPr>
          </w:p>
        </w:tc>
        <w:tc>
          <w:tcPr>
            <w:tcW w:w="1575" w:type="dxa"/>
            <w:tcBorders>
              <w:top w:val="single" w:sz="4" w:space="0" w:color="DF2F1E"/>
            </w:tcBorders>
          </w:tcPr>
          <w:p>
            <w:pPr>
              <w:pStyle w:val="TableParagraph"/>
              <w:spacing w:before="0"/>
              <w:rPr>
                <w:rFonts w:ascii="Times New Roman"/>
                <w:sz w:val="18"/>
              </w:rPr>
            </w:pPr>
          </w:p>
        </w:tc>
        <w:tc>
          <w:tcPr>
            <w:tcW w:w="1609" w:type="dxa"/>
            <w:tcBorders>
              <w:top w:val="single" w:sz="4" w:space="0" w:color="DF2F1E"/>
              <w:right w:val="single" w:sz="4" w:space="0" w:color="DF2F1E"/>
            </w:tcBorders>
          </w:tcPr>
          <w:p>
            <w:pPr>
              <w:pStyle w:val="TableParagraph"/>
              <w:spacing w:before="0"/>
              <w:rPr>
                <w:rFonts w:ascii="Times New Roman"/>
                <w:sz w:val="18"/>
              </w:rPr>
            </w:pPr>
          </w:p>
        </w:tc>
      </w:tr>
      <w:tr>
        <w:trPr>
          <w:trHeight w:val="265" w:hRule="atLeast"/>
        </w:trPr>
        <w:tc>
          <w:tcPr>
            <w:tcW w:w="3928" w:type="dxa"/>
            <w:tcBorders>
              <w:left w:val="single" w:sz="4" w:space="0" w:color="DF2F1E"/>
            </w:tcBorders>
          </w:tcPr>
          <w:p>
            <w:pPr>
              <w:pStyle w:val="TableParagraph"/>
              <w:spacing w:before="39"/>
              <w:ind w:left="287"/>
              <w:rPr>
                <w:b/>
                <w:i/>
                <w:sz w:val="16"/>
              </w:rPr>
            </w:pPr>
            <w:r>
              <w:rPr>
                <w:b/>
                <w:i/>
                <w:color w:val="404040"/>
                <w:sz w:val="16"/>
              </w:rPr>
              <w:t>- In receipt of payments at valuation date</w:t>
            </w:r>
          </w:p>
        </w:tc>
        <w:tc>
          <w:tcPr>
            <w:tcW w:w="1015" w:type="dxa"/>
          </w:tcPr>
          <w:p>
            <w:pPr>
              <w:pStyle w:val="TableParagraph"/>
              <w:spacing w:before="39"/>
              <w:ind w:left="228"/>
              <w:rPr>
                <w:sz w:val="16"/>
              </w:rPr>
            </w:pPr>
            <w:r>
              <w:rPr>
                <w:color w:val="404040"/>
                <w:sz w:val="16"/>
              </w:rPr>
              <w:t>67,000</w:t>
            </w:r>
          </w:p>
        </w:tc>
        <w:tc>
          <w:tcPr>
            <w:tcW w:w="1659" w:type="dxa"/>
          </w:tcPr>
          <w:p>
            <w:pPr>
              <w:pStyle w:val="TableParagraph"/>
              <w:spacing w:before="39"/>
              <w:ind w:left="668"/>
              <w:rPr>
                <w:sz w:val="16"/>
              </w:rPr>
            </w:pPr>
            <w:r>
              <w:rPr>
                <w:color w:val="404040"/>
                <w:sz w:val="16"/>
              </w:rPr>
              <w:t>94%</w:t>
            </w:r>
          </w:p>
        </w:tc>
        <w:tc>
          <w:tcPr>
            <w:tcW w:w="1575" w:type="dxa"/>
          </w:tcPr>
          <w:p>
            <w:pPr>
              <w:pStyle w:val="TableParagraph"/>
              <w:spacing w:before="39"/>
              <w:ind w:left="464" w:right="488"/>
              <w:jc w:val="center"/>
              <w:rPr>
                <w:sz w:val="16"/>
              </w:rPr>
            </w:pPr>
            <w:r>
              <w:rPr>
                <w:color w:val="404040"/>
                <w:sz w:val="16"/>
              </w:rPr>
              <w:t>573,000</w:t>
            </w:r>
          </w:p>
        </w:tc>
        <w:tc>
          <w:tcPr>
            <w:tcW w:w="1609" w:type="dxa"/>
            <w:tcBorders>
              <w:right w:val="single" w:sz="4" w:space="0" w:color="DF2F1E"/>
            </w:tcBorders>
          </w:tcPr>
          <w:p>
            <w:pPr>
              <w:pStyle w:val="TableParagraph"/>
              <w:spacing w:before="39"/>
              <w:ind w:left="578" w:right="574"/>
              <w:jc w:val="center"/>
              <w:rPr>
                <w:sz w:val="16"/>
              </w:rPr>
            </w:pPr>
            <w:r>
              <w:rPr>
                <w:color w:val="404040"/>
                <w:sz w:val="16"/>
              </w:rPr>
              <w:t>102%</w:t>
            </w:r>
          </w:p>
        </w:tc>
      </w:tr>
      <w:tr>
        <w:trPr>
          <w:trHeight w:val="264" w:hRule="atLeast"/>
        </w:trPr>
        <w:tc>
          <w:tcPr>
            <w:tcW w:w="3928" w:type="dxa"/>
            <w:tcBorders>
              <w:left w:val="single" w:sz="4" w:space="0" w:color="DF2F1E"/>
              <w:bottom w:val="single" w:sz="4" w:space="0" w:color="DF2F1E"/>
            </w:tcBorders>
          </w:tcPr>
          <w:p>
            <w:pPr>
              <w:pStyle w:val="TableParagraph"/>
              <w:ind w:right="217"/>
              <w:jc w:val="right"/>
              <w:rPr>
                <w:b/>
                <w:i/>
                <w:sz w:val="16"/>
              </w:rPr>
            </w:pPr>
            <w:r>
              <w:rPr>
                <w:b/>
                <w:i/>
                <w:color w:val="404040"/>
                <w:sz w:val="16"/>
              </w:rPr>
              <w:t>- Not in receipt of payments at valuation date</w:t>
            </w:r>
          </w:p>
        </w:tc>
        <w:tc>
          <w:tcPr>
            <w:tcW w:w="1015" w:type="dxa"/>
            <w:tcBorders>
              <w:bottom w:val="single" w:sz="4" w:space="0" w:color="DF2F1E"/>
            </w:tcBorders>
          </w:tcPr>
          <w:p>
            <w:pPr>
              <w:pStyle w:val="TableParagraph"/>
              <w:ind w:left="271"/>
              <w:rPr>
                <w:sz w:val="16"/>
              </w:rPr>
            </w:pPr>
            <w:r>
              <w:rPr>
                <w:color w:val="404040"/>
                <w:sz w:val="16"/>
              </w:rPr>
              <w:t>4,000</w:t>
            </w:r>
          </w:p>
        </w:tc>
        <w:tc>
          <w:tcPr>
            <w:tcW w:w="1659" w:type="dxa"/>
            <w:tcBorders>
              <w:bottom w:val="single" w:sz="4" w:space="0" w:color="DF2F1E"/>
            </w:tcBorders>
          </w:tcPr>
          <w:p>
            <w:pPr>
              <w:pStyle w:val="TableParagraph"/>
              <w:ind w:left="711"/>
              <w:rPr>
                <w:sz w:val="16"/>
              </w:rPr>
            </w:pPr>
            <w:r>
              <w:rPr>
                <w:color w:val="404040"/>
                <w:sz w:val="16"/>
              </w:rPr>
              <w:t>6%</w:t>
            </w:r>
          </w:p>
        </w:tc>
        <w:tc>
          <w:tcPr>
            <w:tcW w:w="1575" w:type="dxa"/>
            <w:tcBorders>
              <w:bottom w:val="single" w:sz="4" w:space="0" w:color="DF2F1E"/>
            </w:tcBorders>
          </w:tcPr>
          <w:p>
            <w:pPr>
              <w:pStyle w:val="TableParagraph"/>
              <w:ind w:left="464" w:right="488"/>
              <w:jc w:val="center"/>
              <w:rPr>
                <w:sz w:val="16"/>
              </w:rPr>
            </w:pPr>
            <w:r>
              <w:rPr>
                <w:color w:val="404040"/>
                <w:sz w:val="16"/>
              </w:rPr>
              <w:t>359,000</w:t>
            </w:r>
          </w:p>
        </w:tc>
        <w:tc>
          <w:tcPr>
            <w:tcW w:w="1609" w:type="dxa"/>
            <w:tcBorders>
              <w:bottom w:val="single" w:sz="4" w:space="0" w:color="DF2F1E"/>
              <w:right w:val="single" w:sz="4" w:space="0" w:color="DF2F1E"/>
            </w:tcBorders>
          </w:tcPr>
          <w:p>
            <w:pPr>
              <w:pStyle w:val="TableParagraph"/>
              <w:ind w:left="578" w:right="572"/>
              <w:jc w:val="center"/>
              <w:rPr>
                <w:sz w:val="16"/>
              </w:rPr>
            </w:pPr>
            <w:r>
              <w:rPr>
                <w:color w:val="404040"/>
                <w:sz w:val="16"/>
              </w:rPr>
              <w:t>64%</w:t>
            </w:r>
          </w:p>
        </w:tc>
      </w:tr>
    </w:tbl>
    <w:p>
      <w:pPr>
        <w:pStyle w:val="BodyText"/>
        <w:spacing w:before="119"/>
        <w:ind w:left="900"/>
      </w:pPr>
      <w:r>
        <w:rPr>
          <w:color w:val="404040"/>
        </w:rPr>
        <w:t>From the table, we can see that for the current cohort of 45 to 54 year old Carer Payment recipients:</w:t>
      </w:r>
    </w:p>
    <w:p>
      <w:pPr>
        <w:pStyle w:val="ListParagraph"/>
        <w:numPr>
          <w:ilvl w:val="0"/>
          <w:numId w:val="50"/>
        </w:numPr>
        <w:tabs>
          <w:tab w:pos="1184" w:val="left" w:leader="none"/>
        </w:tabs>
        <w:spacing w:line="240" w:lineRule="auto" w:before="119" w:after="0"/>
        <w:ind w:left="1183" w:right="0" w:hanging="284"/>
        <w:jc w:val="left"/>
        <w:rPr>
          <w:sz w:val="20"/>
        </w:rPr>
      </w:pPr>
      <w:r>
        <w:rPr>
          <w:color w:val="404040"/>
          <w:sz w:val="20"/>
        </w:rPr>
        <w:t>Those carers who are the parent of their caree tend to have higher average lifetime</w:t>
      </w:r>
      <w:r>
        <w:rPr>
          <w:color w:val="404040"/>
          <w:spacing w:val="-12"/>
          <w:sz w:val="20"/>
        </w:rPr>
        <w:t> </w:t>
      </w:r>
      <w:r>
        <w:rPr>
          <w:color w:val="404040"/>
          <w:sz w:val="20"/>
        </w:rPr>
        <w:t>costs.</w:t>
      </w:r>
    </w:p>
    <w:p>
      <w:pPr>
        <w:spacing w:after="0" w:line="240" w:lineRule="auto"/>
        <w:jc w:val="left"/>
        <w:rPr>
          <w:sz w:val="20"/>
        </w:rPr>
        <w:sectPr>
          <w:pgSz w:w="11910" w:h="16850"/>
          <w:pgMar w:header="572" w:footer="581" w:top="780" w:bottom="780" w:left="120" w:right="0"/>
        </w:sectPr>
      </w:pPr>
    </w:p>
    <w:p>
      <w:pPr>
        <w:pStyle w:val="BodyText"/>
      </w:pPr>
    </w:p>
    <w:p>
      <w:pPr>
        <w:pStyle w:val="BodyText"/>
      </w:pPr>
    </w:p>
    <w:p>
      <w:pPr>
        <w:pStyle w:val="BodyText"/>
        <w:spacing w:before="2"/>
        <w:rPr>
          <w:sz w:val="21"/>
        </w:rPr>
      </w:pPr>
    </w:p>
    <w:p>
      <w:pPr>
        <w:pStyle w:val="ListParagraph"/>
        <w:numPr>
          <w:ilvl w:val="0"/>
          <w:numId w:val="50"/>
        </w:numPr>
        <w:tabs>
          <w:tab w:pos="1184" w:val="left" w:leader="none"/>
        </w:tabs>
        <w:spacing w:line="240" w:lineRule="auto" w:before="99" w:after="0"/>
        <w:ind w:left="1183" w:right="1555" w:hanging="284"/>
        <w:jc w:val="left"/>
        <w:rPr>
          <w:sz w:val="20"/>
        </w:rPr>
      </w:pPr>
      <w:r>
        <w:rPr>
          <w:color w:val="404040"/>
          <w:sz w:val="20"/>
        </w:rPr>
        <w:t>Those caring for someone with a congenital anomaly or learning disability tend to have higher average lifetime</w:t>
      </w:r>
      <w:r>
        <w:rPr>
          <w:color w:val="404040"/>
          <w:spacing w:val="-2"/>
          <w:sz w:val="20"/>
        </w:rPr>
        <w:t> </w:t>
      </w:r>
      <w:r>
        <w:rPr>
          <w:color w:val="404040"/>
          <w:sz w:val="20"/>
        </w:rPr>
        <w:t>costs.</w:t>
      </w:r>
    </w:p>
    <w:p>
      <w:pPr>
        <w:pStyle w:val="ListParagraph"/>
        <w:numPr>
          <w:ilvl w:val="0"/>
          <w:numId w:val="50"/>
        </w:numPr>
        <w:tabs>
          <w:tab w:pos="1184" w:val="left" w:leader="none"/>
        </w:tabs>
        <w:spacing w:line="240" w:lineRule="auto" w:before="118" w:after="0"/>
        <w:ind w:left="1183" w:right="0" w:hanging="285"/>
        <w:jc w:val="left"/>
        <w:rPr>
          <w:sz w:val="20"/>
        </w:rPr>
      </w:pPr>
      <w:r>
        <w:rPr>
          <w:color w:val="404040"/>
          <w:sz w:val="20"/>
        </w:rPr>
        <w:t>Single carers, or those with more children tend to have higher average lifetime</w:t>
      </w:r>
      <w:r>
        <w:rPr>
          <w:color w:val="404040"/>
          <w:spacing w:val="-7"/>
          <w:sz w:val="20"/>
        </w:rPr>
        <w:t> </w:t>
      </w:r>
      <w:r>
        <w:rPr>
          <w:color w:val="404040"/>
          <w:sz w:val="20"/>
        </w:rPr>
        <w:t>costs.</w:t>
      </w:r>
    </w:p>
    <w:p>
      <w:pPr>
        <w:pStyle w:val="BodyText"/>
        <w:spacing w:before="7"/>
      </w:pPr>
    </w:p>
    <w:p>
      <w:pPr>
        <w:pStyle w:val="Heading6"/>
        <w:rPr>
          <w:i/>
        </w:rPr>
      </w:pPr>
      <w:r>
        <w:rPr>
          <w:i/>
          <w:color w:val="DF2F1E"/>
        </w:rPr>
        <w:t>Change in lifetime costs since the 2017 valuation</w:t>
      </w:r>
    </w:p>
    <w:p>
      <w:pPr>
        <w:pStyle w:val="BodyText"/>
        <w:spacing w:before="123"/>
        <w:ind w:left="900" w:right="1526" w:hanging="1"/>
      </w:pPr>
      <w:r>
        <w:rPr>
          <w:color w:val="404040"/>
        </w:rPr>
        <w:t>The lifetime cost for the people in this class is $155bn, an increase of $8bn compared to the rebased June 2017 valuation. This was due to an increase in the number of people in this class partially offset by a small decrease in the average</w:t>
      </w:r>
      <w:r>
        <w:rPr>
          <w:color w:val="404040"/>
          <w:spacing w:val="-1"/>
        </w:rPr>
        <w:t> </w:t>
      </w:r>
      <w:r>
        <w:rPr>
          <w:color w:val="404040"/>
        </w:rPr>
        <w:t>cost</w:t>
      </w:r>
    </w:p>
    <w:p>
      <w:pPr>
        <w:pStyle w:val="ListParagraph"/>
        <w:numPr>
          <w:ilvl w:val="0"/>
          <w:numId w:val="50"/>
        </w:numPr>
        <w:tabs>
          <w:tab w:pos="1184" w:val="left" w:leader="none"/>
        </w:tabs>
        <w:spacing w:line="240" w:lineRule="auto" w:before="118" w:after="0"/>
        <w:ind w:left="1183" w:right="1264" w:hanging="284"/>
        <w:jc w:val="left"/>
        <w:rPr>
          <w:sz w:val="20"/>
        </w:rPr>
      </w:pPr>
      <w:r>
        <w:rPr>
          <w:color w:val="404040"/>
          <w:sz w:val="20"/>
        </w:rPr>
        <w:t>The number of people in this class has increased in line with our previous expectation for this class where numbers were expected to grow if the recent class entry experience</w:t>
      </w:r>
      <w:r>
        <w:rPr>
          <w:color w:val="404040"/>
          <w:spacing w:val="-10"/>
          <w:sz w:val="20"/>
        </w:rPr>
        <w:t> </w:t>
      </w:r>
      <w:r>
        <w:rPr>
          <w:color w:val="404040"/>
          <w:sz w:val="20"/>
        </w:rPr>
        <w:t>continued.</w:t>
      </w:r>
    </w:p>
    <w:p>
      <w:pPr>
        <w:pStyle w:val="ListParagraph"/>
        <w:numPr>
          <w:ilvl w:val="0"/>
          <w:numId w:val="50"/>
        </w:numPr>
        <w:tabs>
          <w:tab w:pos="1184" w:val="left" w:leader="none"/>
        </w:tabs>
        <w:spacing w:line="240" w:lineRule="auto" w:before="120" w:after="0"/>
        <w:ind w:left="1183" w:right="1808" w:hanging="284"/>
        <w:jc w:val="left"/>
        <w:rPr>
          <w:sz w:val="20"/>
        </w:rPr>
      </w:pPr>
      <w:r>
        <w:rPr>
          <w:color w:val="404040"/>
          <w:sz w:val="20"/>
        </w:rPr>
        <w:t>The average cost has decreased by $3,000 (0.7%) since the previous valuation. The following table provides a breakdown of the change in average lifetime cost by payment</w:t>
      </w:r>
      <w:r>
        <w:rPr>
          <w:color w:val="404040"/>
          <w:spacing w:val="-11"/>
          <w:sz w:val="20"/>
        </w:rPr>
        <w:t> </w:t>
      </w:r>
      <w:r>
        <w:rPr>
          <w:color w:val="404040"/>
          <w:sz w:val="20"/>
        </w:rPr>
        <w:t>category.</w:t>
      </w:r>
    </w:p>
    <w:p>
      <w:pPr>
        <w:pStyle w:val="Heading9"/>
        <w:spacing w:before="174" w:after="54"/>
      </w:pPr>
      <w:r>
        <w:rPr>
          <w:color w:val="DF2F1E"/>
        </w:rPr>
        <w:t>Table 25: Breakdown of change in average lifetime cost for class 4 by payment category</w:t>
      </w:r>
    </w:p>
    <w:tbl>
      <w:tblPr>
        <w:tblW w:w="0" w:type="auto"/>
        <w:jc w:val="left"/>
        <w:tblInd w:w="1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20"/>
        <w:gridCol w:w="1270"/>
        <w:gridCol w:w="912"/>
        <w:gridCol w:w="1109"/>
        <w:gridCol w:w="959"/>
        <w:gridCol w:w="1205"/>
        <w:gridCol w:w="1204"/>
      </w:tblGrid>
      <w:tr>
        <w:trPr>
          <w:trHeight w:val="270" w:hRule="atLeast"/>
        </w:trPr>
        <w:tc>
          <w:tcPr>
            <w:tcW w:w="3120" w:type="dxa"/>
            <w:shd w:val="clear" w:color="auto" w:fill="DF2F1E"/>
          </w:tcPr>
          <w:p>
            <w:pPr>
              <w:pStyle w:val="TableParagraph"/>
              <w:spacing w:before="0"/>
              <w:rPr>
                <w:rFonts w:ascii="Times New Roman"/>
                <w:sz w:val="18"/>
              </w:rPr>
            </w:pPr>
          </w:p>
        </w:tc>
        <w:tc>
          <w:tcPr>
            <w:tcW w:w="1270" w:type="dxa"/>
            <w:shd w:val="clear" w:color="auto" w:fill="DF2F1E"/>
          </w:tcPr>
          <w:p>
            <w:pPr>
              <w:pStyle w:val="TableParagraph"/>
              <w:spacing w:before="0"/>
              <w:rPr>
                <w:rFonts w:ascii="Times New Roman"/>
                <w:sz w:val="18"/>
              </w:rPr>
            </w:pPr>
          </w:p>
        </w:tc>
        <w:tc>
          <w:tcPr>
            <w:tcW w:w="2980" w:type="dxa"/>
            <w:gridSpan w:val="3"/>
            <w:shd w:val="clear" w:color="auto" w:fill="DF2F1E"/>
          </w:tcPr>
          <w:p>
            <w:pPr>
              <w:pStyle w:val="TableParagraph"/>
              <w:spacing w:before="34"/>
              <w:ind w:left="1403" w:right="1384"/>
              <w:jc w:val="center"/>
              <w:rPr>
                <w:b/>
                <w:sz w:val="16"/>
              </w:rPr>
            </w:pPr>
            <w:r>
              <w:rPr>
                <w:b/>
                <w:color w:val="FFFFFF"/>
                <w:sz w:val="16"/>
              </w:rPr>
              <w:t>IS</w:t>
            </w:r>
          </w:p>
        </w:tc>
        <w:tc>
          <w:tcPr>
            <w:tcW w:w="1205" w:type="dxa"/>
            <w:shd w:val="clear" w:color="auto" w:fill="DF2F1E"/>
          </w:tcPr>
          <w:p>
            <w:pPr>
              <w:pStyle w:val="TableParagraph"/>
              <w:spacing w:before="34"/>
              <w:ind w:left="792"/>
              <w:rPr>
                <w:b/>
                <w:sz w:val="16"/>
              </w:rPr>
            </w:pPr>
            <w:r>
              <w:rPr>
                <w:b/>
                <w:color w:val="FFFFFF"/>
                <w:sz w:val="16"/>
              </w:rPr>
              <w:t>Non</w:t>
            </w:r>
          </w:p>
        </w:tc>
        <w:tc>
          <w:tcPr>
            <w:tcW w:w="1204" w:type="dxa"/>
            <w:shd w:val="clear" w:color="auto" w:fill="DF2F1E"/>
          </w:tcPr>
          <w:p>
            <w:pPr>
              <w:pStyle w:val="TableParagraph"/>
              <w:spacing w:before="31"/>
              <w:ind w:left="115"/>
              <w:rPr>
                <w:b/>
                <w:sz w:val="10"/>
              </w:rPr>
            </w:pPr>
            <w:r>
              <w:rPr>
                <w:b/>
                <w:color w:val="FFFFFF"/>
                <w:sz w:val="16"/>
              </w:rPr>
              <w:t>IS</w:t>
            </w:r>
            <w:r>
              <w:rPr>
                <w:b/>
                <w:color w:val="FFFFFF"/>
                <w:position w:val="6"/>
                <w:sz w:val="10"/>
              </w:rPr>
              <w:t>1</w:t>
            </w:r>
          </w:p>
        </w:tc>
      </w:tr>
      <w:tr>
        <w:trPr>
          <w:trHeight w:val="641" w:hRule="atLeast"/>
        </w:trPr>
        <w:tc>
          <w:tcPr>
            <w:tcW w:w="3120" w:type="dxa"/>
            <w:shd w:val="clear" w:color="auto" w:fill="DF2F1E"/>
          </w:tcPr>
          <w:p>
            <w:pPr>
              <w:pStyle w:val="TableParagraph"/>
              <w:spacing w:before="0"/>
              <w:rPr>
                <w:rFonts w:ascii="Times New Roman"/>
                <w:sz w:val="18"/>
              </w:rPr>
            </w:pPr>
          </w:p>
        </w:tc>
        <w:tc>
          <w:tcPr>
            <w:tcW w:w="1270" w:type="dxa"/>
            <w:shd w:val="clear" w:color="auto" w:fill="DF2F1E"/>
          </w:tcPr>
          <w:p>
            <w:pPr>
              <w:pStyle w:val="TableParagraph"/>
              <w:spacing w:before="40"/>
              <w:ind w:left="430" w:right="417"/>
              <w:jc w:val="center"/>
              <w:rPr>
                <w:b/>
                <w:sz w:val="16"/>
              </w:rPr>
            </w:pPr>
            <w:r>
              <w:rPr>
                <w:b/>
                <w:color w:val="FFFFFF"/>
                <w:sz w:val="16"/>
              </w:rPr>
              <w:t>Total</w:t>
            </w:r>
          </w:p>
        </w:tc>
        <w:tc>
          <w:tcPr>
            <w:tcW w:w="912" w:type="dxa"/>
            <w:shd w:val="clear" w:color="auto" w:fill="DF2F1E"/>
          </w:tcPr>
          <w:p>
            <w:pPr>
              <w:pStyle w:val="TableParagraph"/>
              <w:spacing w:before="40"/>
              <w:ind w:right="195"/>
              <w:jc w:val="right"/>
              <w:rPr>
                <w:b/>
                <w:sz w:val="16"/>
              </w:rPr>
            </w:pPr>
            <w:r>
              <w:rPr>
                <w:b/>
                <w:color w:val="FFFFFF"/>
                <w:sz w:val="16"/>
              </w:rPr>
              <w:t>Carer</w:t>
            </w:r>
          </w:p>
        </w:tc>
        <w:tc>
          <w:tcPr>
            <w:tcW w:w="1109" w:type="dxa"/>
            <w:shd w:val="clear" w:color="auto" w:fill="DF2F1E"/>
          </w:tcPr>
          <w:p>
            <w:pPr>
              <w:pStyle w:val="TableParagraph"/>
              <w:spacing w:before="40"/>
              <w:ind w:left="208" w:right="144" w:hanging="1"/>
              <w:jc w:val="center"/>
              <w:rPr>
                <w:b/>
                <w:sz w:val="16"/>
              </w:rPr>
            </w:pPr>
            <w:r>
              <w:rPr>
                <w:b/>
                <w:color w:val="FFFFFF"/>
                <w:sz w:val="16"/>
              </w:rPr>
              <w:t>Other (excl. Age Pension)</w:t>
            </w:r>
          </w:p>
        </w:tc>
        <w:tc>
          <w:tcPr>
            <w:tcW w:w="959" w:type="dxa"/>
            <w:shd w:val="clear" w:color="auto" w:fill="DF2F1E"/>
          </w:tcPr>
          <w:p>
            <w:pPr>
              <w:pStyle w:val="TableParagraph"/>
              <w:spacing w:before="40"/>
              <w:ind w:left="157" w:right="159" w:firstLine="160"/>
              <w:rPr>
                <w:b/>
                <w:sz w:val="16"/>
              </w:rPr>
            </w:pPr>
            <w:r>
              <w:rPr>
                <w:b/>
                <w:color w:val="FFFFFF"/>
                <w:sz w:val="16"/>
              </w:rPr>
              <w:t>Age Pension</w:t>
            </w:r>
          </w:p>
        </w:tc>
        <w:tc>
          <w:tcPr>
            <w:tcW w:w="1205" w:type="dxa"/>
            <w:shd w:val="clear" w:color="auto" w:fill="DF2F1E"/>
          </w:tcPr>
          <w:p>
            <w:pPr>
              <w:pStyle w:val="TableParagraph"/>
              <w:spacing w:before="40"/>
              <w:ind w:left="151" w:right="133" w:firstLine="6"/>
              <w:jc w:val="center"/>
              <w:rPr>
                <w:b/>
                <w:sz w:val="16"/>
              </w:rPr>
            </w:pPr>
            <w:r>
              <w:rPr>
                <w:b/>
                <w:color w:val="FFFFFF"/>
                <w:sz w:val="16"/>
              </w:rPr>
              <w:t>Family Supplement s</w:t>
            </w:r>
          </w:p>
        </w:tc>
        <w:tc>
          <w:tcPr>
            <w:tcW w:w="1204" w:type="dxa"/>
            <w:shd w:val="clear" w:color="auto" w:fill="DF2F1E"/>
          </w:tcPr>
          <w:p>
            <w:pPr>
              <w:pStyle w:val="TableParagraph"/>
              <w:spacing w:before="40"/>
              <w:ind w:left="151" w:right="132" w:hanging="1"/>
              <w:jc w:val="center"/>
              <w:rPr>
                <w:b/>
                <w:sz w:val="16"/>
              </w:rPr>
            </w:pPr>
            <w:r>
              <w:rPr>
                <w:b/>
                <w:color w:val="FFFFFF"/>
                <w:sz w:val="16"/>
              </w:rPr>
              <w:t>Other Supplement s</w:t>
            </w:r>
          </w:p>
        </w:tc>
      </w:tr>
      <w:tr>
        <w:trPr>
          <w:trHeight w:val="249" w:hRule="atLeast"/>
        </w:trPr>
        <w:tc>
          <w:tcPr>
            <w:tcW w:w="3120" w:type="dxa"/>
            <w:tcBorders>
              <w:top w:val="single" w:sz="4" w:space="0" w:color="DF2F1E"/>
              <w:left w:val="single" w:sz="4" w:space="0" w:color="DF2F1E"/>
              <w:right w:val="single" w:sz="4" w:space="0" w:color="DF2F1E"/>
            </w:tcBorders>
          </w:tcPr>
          <w:p>
            <w:pPr>
              <w:pStyle w:val="TableParagraph"/>
              <w:spacing w:before="29"/>
              <w:ind w:left="107"/>
              <w:rPr>
                <w:b/>
                <w:sz w:val="16"/>
              </w:rPr>
            </w:pPr>
            <w:r>
              <w:rPr>
                <w:b/>
                <w:color w:val="404040"/>
                <w:sz w:val="16"/>
              </w:rPr>
              <w:t>Jun-17 Total Lifetime Cost</w:t>
            </w:r>
          </w:p>
        </w:tc>
        <w:tc>
          <w:tcPr>
            <w:tcW w:w="1270" w:type="dxa"/>
            <w:tcBorders>
              <w:top w:val="single" w:sz="4" w:space="0" w:color="DF2F1E"/>
              <w:left w:val="single" w:sz="4" w:space="0" w:color="DF2F1E"/>
              <w:right w:val="single" w:sz="4" w:space="0" w:color="DF2F1E"/>
            </w:tcBorders>
          </w:tcPr>
          <w:p>
            <w:pPr>
              <w:pStyle w:val="TableParagraph"/>
              <w:spacing w:before="32"/>
              <w:ind w:left="88" w:right="72"/>
              <w:jc w:val="center"/>
              <w:rPr>
                <w:sz w:val="16"/>
              </w:rPr>
            </w:pPr>
            <w:r>
              <w:rPr>
                <w:color w:val="404040"/>
                <w:sz w:val="16"/>
              </w:rPr>
              <w:t>$125bn</w:t>
            </w:r>
          </w:p>
        </w:tc>
        <w:tc>
          <w:tcPr>
            <w:tcW w:w="5389" w:type="dxa"/>
            <w:gridSpan w:val="5"/>
            <w:vMerge w:val="restart"/>
            <w:tcBorders>
              <w:top w:val="single" w:sz="4" w:space="0" w:color="DF2F1E"/>
              <w:left w:val="single" w:sz="4" w:space="0" w:color="DF2F1E"/>
              <w:bottom w:val="single" w:sz="4" w:space="0" w:color="DF2F1E"/>
              <w:right w:val="single" w:sz="4" w:space="0" w:color="DF2F1E"/>
            </w:tcBorders>
            <w:shd w:val="clear" w:color="auto" w:fill="D9D9D9"/>
          </w:tcPr>
          <w:p>
            <w:pPr>
              <w:pStyle w:val="TableParagraph"/>
              <w:spacing w:before="0"/>
              <w:rPr>
                <w:rFonts w:ascii="Times New Roman"/>
                <w:sz w:val="18"/>
              </w:rPr>
            </w:pPr>
          </w:p>
        </w:tc>
      </w:tr>
      <w:tr>
        <w:trPr>
          <w:trHeight w:val="263" w:hRule="atLeast"/>
        </w:trPr>
        <w:tc>
          <w:tcPr>
            <w:tcW w:w="3120" w:type="dxa"/>
            <w:tcBorders>
              <w:left w:val="single" w:sz="4" w:space="0" w:color="DF2F1E"/>
              <w:bottom w:val="single" w:sz="4" w:space="0" w:color="DF2F1E"/>
              <w:right w:val="single" w:sz="4" w:space="0" w:color="DF2F1E"/>
            </w:tcBorders>
          </w:tcPr>
          <w:p>
            <w:pPr>
              <w:pStyle w:val="TableParagraph"/>
              <w:spacing w:before="30"/>
              <w:ind w:left="107"/>
              <w:rPr>
                <w:b/>
                <w:sz w:val="10"/>
              </w:rPr>
            </w:pPr>
            <w:r>
              <w:rPr>
                <w:b/>
                <w:color w:val="404040"/>
                <w:sz w:val="16"/>
              </w:rPr>
              <w:t>Jun-17 Total Lifetime Cost – rebased</w:t>
            </w:r>
            <w:r>
              <w:rPr>
                <w:b/>
                <w:color w:val="404040"/>
                <w:position w:val="6"/>
                <w:sz w:val="10"/>
              </w:rPr>
              <w:t>2</w:t>
            </w:r>
          </w:p>
        </w:tc>
        <w:tc>
          <w:tcPr>
            <w:tcW w:w="1270" w:type="dxa"/>
            <w:tcBorders>
              <w:left w:val="single" w:sz="4" w:space="0" w:color="DF2F1E"/>
              <w:bottom w:val="single" w:sz="4" w:space="0" w:color="DF2F1E"/>
              <w:right w:val="single" w:sz="4" w:space="0" w:color="DF2F1E"/>
            </w:tcBorders>
          </w:tcPr>
          <w:p>
            <w:pPr>
              <w:pStyle w:val="TableParagraph"/>
              <w:spacing w:before="36"/>
              <w:ind w:left="88" w:right="72"/>
              <w:jc w:val="center"/>
              <w:rPr>
                <w:sz w:val="16"/>
              </w:rPr>
            </w:pPr>
            <w:r>
              <w:rPr>
                <w:color w:val="404040"/>
                <w:sz w:val="16"/>
              </w:rPr>
              <w:t>$148bn</w:t>
            </w:r>
          </w:p>
        </w:tc>
        <w:tc>
          <w:tcPr>
            <w:tcW w:w="5389" w:type="dxa"/>
            <w:gridSpan w:val="5"/>
            <w:vMerge/>
            <w:tcBorders>
              <w:top w:val="nil"/>
              <w:left w:val="single" w:sz="4" w:space="0" w:color="DF2F1E"/>
              <w:bottom w:val="single" w:sz="4" w:space="0" w:color="DF2F1E"/>
              <w:right w:val="single" w:sz="4" w:space="0" w:color="DF2F1E"/>
            </w:tcBorders>
            <w:shd w:val="clear" w:color="auto" w:fill="D9D9D9"/>
          </w:tcPr>
          <w:p>
            <w:pPr>
              <w:rPr>
                <w:sz w:val="2"/>
                <w:szCs w:val="2"/>
              </w:rPr>
            </w:pPr>
          </w:p>
        </w:tc>
      </w:tr>
      <w:tr>
        <w:trPr>
          <w:trHeight w:val="263" w:hRule="atLeast"/>
        </w:trPr>
        <w:tc>
          <w:tcPr>
            <w:tcW w:w="3120" w:type="dxa"/>
            <w:tcBorders>
              <w:top w:val="single" w:sz="4" w:space="0" w:color="DF2F1E"/>
              <w:left w:val="single" w:sz="4" w:space="0" w:color="DF2F1E"/>
              <w:bottom w:val="single" w:sz="4" w:space="0" w:color="DF2F1E"/>
              <w:right w:val="single" w:sz="4" w:space="0" w:color="DF2F1E"/>
            </w:tcBorders>
          </w:tcPr>
          <w:p>
            <w:pPr>
              <w:pStyle w:val="TableParagraph"/>
              <w:spacing w:before="34"/>
              <w:ind w:left="107"/>
              <w:rPr>
                <w:b/>
                <w:sz w:val="16"/>
              </w:rPr>
            </w:pPr>
            <w:r>
              <w:rPr>
                <w:b/>
                <w:color w:val="404040"/>
                <w:sz w:val="16"/>
              </w:rPr>
              <w:t>Jun-18 Total Lifetime Cost</w:t>
            </w:r>
          </w:p>
        </w:tc>
        <w:tc>
          <w:tcPr>
            <w:tcW w:w="1270" w:type="dxa"/>
            <w:tcBorders>
              <w:top w:val="single" w:sz="4" w:space="0" w:color="DF2F1E"/>
              <w:left w:val="single" w:sz="4" w:space="0" w:color="DF2F1E"/>
              <w:bottom w:val="single" w:sz="4" w:space="0" w:color="DF2F1E"/>
              <w:right w:val="single" w:sz="4" w:space="0" w:color="DF2F1E"/>
            </w:tcBorders>
          </w:tcPr>
          <w:p>
            <w:pPr>
              <w:pStyle w:val="TableParagraph"/>
              <w:ind w:left="88" w:right="72"/>
              <w:jc w:val="center"/>
              <w:rPr>
                <w:sz w:val="16"/>
              </w:rPr>
            </w:pPr>
            <w:r>
              <w:rPr>
                <w:color w:val="404040"/>
                <w:sz w:val="16"/>
              </w:rPr>
              <w:t>$155bn</w:t>
            </w:r>
          </w:p>
        </w:tc>
        <w:tc>
          <w:tcPr>
            <w:tcW w:w="5389" w:type="dxa"/>
            <w:gridSpan w:val="5"/>
            <w:vMerge/>
            <w:tcBorders>
              <w:top w:val="nil"/>
              <w:left w:val="single" w:sz="4" w:space="0" w:color="DF2F1E"/>
              <w:bottom w:val="single" w:sz="4" w:space="0" w:color="DF2F1E"/>
              <w:right w:val="single" w:sz="4" w:space="0" w:color="DF2F1E"/>
            </w:tcBorders>
            <w:shd w:val="clear" w:color="auto" w:fill="D9D9D9"/>
          </w:tcPr>
          <w:p>
            <w:pPr>
              <w:rPr>
                <w:sz w:val="2"/>
                <w:szCs w:val="2"/>
              </w:rPr>
            </w:pPr>
          </w:p>
        </w:tc>
      </w:tr>
      <w:tr>
        <w:trPr>
          <w:trHeight w:val="263" w:hRule="atLeast"/>
        </w:trPr>
        <w:tc>
          <w:tcPr>
            <w:tcW w:w="3120" w:type="dxa"/>
            <w:tcBorders>
              <w:top w:val="single" w:sz="4" w:space="0" w:color="DF2F1E"/>
              <w:left w:val="single" w:sz="4" w:space="0" w:color="DF2F1E"/>
              <w:bottom w:val="single" w:sz="4" w:space="0" w:color="DF2F1E"/>
              <w:right w:val="single" w:sz="4" w:space="0" w:color="DF2F1E"/>
            </w:tcBorders>
          </w:tcPr>
          <w:p>
            <w:pPr>
              <w:pStyle w:val="TableParagraph"/>
              <w:spacing w:before="31"/>
              <w:ind w:left="107"/>
              <w:rPr>
                <w:b/>
                <w:sz w:val="10"/>
              </w:rPr>
            </w:pPr>
            <w:r>
              <w:rPr>
                <w:b/>
                <w:color w:val="404040"/>
                <w:sz w:val="16"/>
              </w:rPr>
              <w:t>Change in Total Lifetime Cost</w:t>
            </w:r>
            <w:r>
              <w:rPr>
                <w:b/>
                <w:color w:val="404040"/>
                <w:position w:val="6"/>
                <w:sz w:val="10"/>
              </w:rPr>
              <w:t>2</w:t>
            </w:r>
          </w:p>
        </w:tc>
        <w:tc>
          <w:tcPr>
            <w:tcW w:w="1270" w:type="dxa"/>
            <w:tcBorders>
              <w:top w:val="single" w:sz="4" w:space="0" w:color="DF2F1E"/>
              <w:left w:val="single" w:sz="4" w:space="0" w:color="DF2F1E"/>
              <w:bottom w:val="single" w:sz="4" w:space="0" w:color="DF2F1E"/>
              <w:right w:val="single" w:sz="4" w:space="0" w:color="DF2F1E"/>
            </w:tcBorders>
          </w:tcPr>
          <w:p>
            <w:pPr>
              <w:pStyle w:val="TableParagraph"/>
              <w:ind w:left="39" w:right="23"/>
              <w:jc w:val="center"/>
              <w:rPr>
                <w:sz w:val="16"/>
              </w:rPr>
            </w:pPr>
            <w:r>
              <w:rPr>
                <w:color w:val="404040"/>
                <w:sz w:val="16"/>
              </w:rPr>
              <w:t>+$8bn (+5.4%)</w:t>
            </w:r>
          </w:p>
        </w:tc>
        <w:tc>
          <w:tcPr>
            <w:tcW w:w="5389" w:type="dxa"/>
            <w:gridSpan w:val="5"/>
            <w:vMerge/>
            <w:tcBorders>
              <w:top w:val="nil"/>
              <w:left w:val="single" w:sz="4" w:space="0" w:color="DF2F1E"/>
              <w:bottom w:val="single" w:sz="4" w:space="0" w:color="DF2F1E"/>
              <w:right w:val="single" w:sz="4" w:space="0" w:color="DF2F1E"/>
            </w:tcBorders>
            <w:shd w:val="clear" w:color="auto" w:fill="D9D9D9"/>
          </w:tcPr>
          <w:p>
            <w:pPr>
              <w:rPr>
                <w:sz w:val="2"/>
                <w:szCs w:val="2"/>
              </w:rPr>
            </w:pPr>
          </w:p>
        </w:tc>
      </w:tr>
      <w:tr>
        <w:trPr>
          <w:trHeight w:val="265" w:hRule="atLeast"/>
        </w:trPr>
        <w:tc>
          <w:tcPr>
            <w:tcW w:w="3120" w:type="dxa"/>
            <w:tcBorders>
              <w:top w:val="single" w:sz="4" w:space="0" w:color="DF2F1E"/>
              <w:left w:val="single" w:sz="4" w:space="0" w:color="DF2F1E"/>
              <w:bottom w:val="single" w:sz="4" w:space="0" w:color="DF2F1E"/>
              <w:right w:val="single" w:sz="4" w:space="0" w:color="DF2F1E"/>
            </w:tcBorders>
          </w:tcPr>
          <w:p>
            <w:pPr>
              <w:pStyle w:val="TableParagraph"/>
              <w:ind w:left="107"/>
              <w:rPr>
                <w:b/>
                <w:sz w:val="16"/>
              </w:rPr>
            </w:pPr>
            <w:r>
              <w:rPr>
                <w:b/>
                <w:color w:val="404040"/>
                <w:sz w:val="16"/>
              </w:rPr>
              <w:t>Change due to People in Class</w:t>
            </w:r>
          </w:p>
        </w:tc>
        <w:tc>
          <w:tcPr>
            <w:tcW w:w="1270" w:type="dxa"/>
            <w:tcBorders>
              <w:top w:val="single" w:sz="4" w:space="0" w:color="DF2F1E"/>
              <w:left w:val="single" w:sz="4" w:space="0" w:color="DF2F1E"/>
              <w:bottom w:val="single" w:sz="4" w:space="0" w:color="DF2F1E"/>
              <w:right w:val="single" w:sz="4" w:space="0" w:color="DF2F1E"/>
            </w:tcBorders>
          </w:tcPr>
          <w:p>
            <w:pPr>
              <w:pStyle w:val="TableParagraph"/>
              <w:spacing w:before="39"/>
              <w:ind w:left="88" w:right="74"/>
              <w:jc w:val="center"/>
              <w:rPr>
                <w:sz w:val="16"/>
              </w:rPr>
            </w:pPr>
            <w:r>
              <w:rPr>
                <w:color w:val="404040"/>
                <w:sz w:val="16"/>
              </w:rPr>
              <w:t>+6.0%</w:t>
            </w:r>
          </w:p>
        </w:tc>
        <w:tc>
          <w:tcPr>
            <w:tcW w:w="5389" w:type="dxa"/>
            <w:gridSpan w:val="5"/>
            <w:vMerge/>
            <w:tcBorders>
              <w:top w:val="nil"/>
              <w:left w:val="single" w:sz="4" w:space="0" w:color="DF2F1E"/>
              <w:bottom w:val="single" w:sz="4" w:space="0" w:color="DF2F1E"/>
              <w:right w:val="single" w:sz="4" w:space="0" w:color="DF2F1E"/>
            </w:tcBorders>
            <w:shd w:val="clear" w:color="auto" w:fill="D9D9D9"/>
          </w:tcPr>
          <w:p>
            <w:pPr>
              <w:rPr>
                <w:sz w:val="2"/>
                <w:szCs w:val="2"/>
              </w:rPr>
            </w:pPr>
          </w:p>
        </w:tc>
      </w:tr>
      <w:tr>
        <w:trPr>
          <w:trHeight w:val="262" w:hRule="atLeast"/>
        </w:trPr>
        <w:tc>
          <w:tcPr>
            <w:tcW w:w="3120" w:type="dxa"/>
            <w:tcBorders>
              <w:top w:val="single" w:sz="4" w:space="0" w:color="DF2F1E"/>
              <w:left w:val="single" w:sz="4" w:space="0" w:color="DF2F1E"/>
              <w:right w:val="single" w:sz="4" w:space="0" w:color="DF2F1E"/>
            </w:tcBorders>
          </w:tcPr>
          <w:p>
            <w:pPr>
              <w:pStyle w:val="TableParagraph"/>
              <w:spacing w:before="31"/>
              <w:ind w:left="107"/>
              <w:rPr>
                <w:b/>
                <w:sz w:val="10"/>
              </w:rPr>
            </w:pPr>
            <w:r>
              <w:rPr>
                <w:b/>
                <w:color w:val="404040"/>
                <w:sz w:val="16"/>
              </w:rPr>
              <w:t>Change due to Average Lifetime Cost</w:t>
            </w:r>
            <w:r>
              <w:rPr>
                <w:b/>
                <w:color w:val="404040"/>
                <w:position w:val="6"/>
                <w:sz w:val="10"/>
              </w:rPr>
              <w:t>2</w:t>
            </w:r>
          </w:p>
        </w:tc>
        <w:tc>
          <w:tcPr>
            <w:tcW w:w="1270" w:type="dxa"/>
            <w:tcBorders>
              <w:top w:val="single" w:sz="4" w:space="0" w:color="DF2F1E"/>
              <w:left w:val="single" w:sz="4" w:space="0" w:color="DF2F1E"/>
              <w:right w:val="single" w:sz="4" w:space="0" w:color="DF2F1E"/>
            </w:tcBorders>
          </w:tcPr>
          <w:p>
            <w:pPr>
              <w:pStyle w:val="TableParagraph"/>
              <w:ind w:left="88" w:right="72"/>
              <w:jc w:val="center"/>
              <w:rPr>
                <w:sz w:val="16"/>
              </w:rPr>
            </w:pPr>
            <w:r>
              <w:rPr>
                <w:color w:val="404040"/>
                <w:sz w:val="16"/>
              </w:rPr>
              <w:t>-$3k (-0.7%)</w:t>
            </w:r>
          </w:p>
        </w:tc>
        <w:tc>
          <w:tcPr>
            <w:tcW w:w="912" w:type="dxa"/>
            <w:tcBorders>
              <w:top w:val="single" w:sz="4" w:space="0" w:color="DF2F1E"/>
              <w:left w:val="single" w:sz="4" w:space="0" w:color="DF2F1E"/>
            </w:tcBorders>
          </w:tcPr>
          <w:p>
            <w:pPr>
              <w:pStyle w:val="TableParagraph"/>
              <w:ind w:right="228"/>
              <w:jc w:val="right"/>
              <w:rPr>
                <w:sz w:val="16"/>
              </w:rPr>
            </w:pPr>
            <w:r>
              <w:rPr>
                <w:color w:val="404040"/>
                <w:sz w:val="16"/>
              </w:rPr>
              <w:t>+$2k</w:t>
            </w:r>
          </w:p>
        </w:tc>
        <w:tc>
          <w:tcPr>
            <w:tcW w:w="1109" w:type="dxa"/>
            <w:tcBorders>
              <w:top w:val="single" w:sz="4" w:space="0" w:color="DF2F1E"/>
            </w:tcBorders>
          </w:tcPr>
          <w:p>
            <w:pPr>
              <w:pStyle w:val="TableParagraph"/>
              <w:ind w:right="367"/>
              <w:jc w:val="right"/>
              <w:rPr>
                <w:sz w:val="16"/>
              </w:rPr>
            </w:pPr>
            <w:r>
              <w:rPr>
                <w:color w:val="404040"/>
                <w:sz w:val="16"/>
              </w:rPr>
              <w:t>-$9k</w:t>
            </w:r>
          </w:p>
        </w:tc>
        <w:tc>
          <w:tcPr>
            <w:tcW w:w="959" w:type="dxa"/>
            <w:tcBorders>
              <w:top w:val="single" w:sz="4" w:space="0" w:color="DF2F1E"/>
              <w:right w:val="dashSmallGap" w:sz="4" w:space="0" w:color="DF2F1E"/>
            </w:tcBorders>
          </w:tcPr>
          <w:p>
            <w:pPr>
              <w:pStyle w:val="TableParagraph"/>
              <w:ind w:left="245" w:right="264"/>
              <w:jc w:val="center"/>
              <w:rPr>
                <w:sz w:val="16"/>
              </w:rPr>
            </w:pPr>
            <w:r>
              <w:rPr>
                <w:color w:val="404040"/>
                <w:sz w:val="16"/>
              </w:rPr>
              <w:t>-$1k</w:t>
            </w:r>
          </w:p>
        </w:tc>
        <w:tc>
          <w:tcPr>
            <w:tcW w:w="1205" w:type="dxa"/>
            <w:tcBorders>
              <w:top w:val="single" w:sz="4" w:space="0" w:color="DF2F1E"/>
              <w:left w:val="dashSmallGap" w:sz="4" w:space="0" w:color="DF2F1E"/>
            </w:tcBorders>
          </w:tcPr>
          <w:p>
            <w:pPr>
              <w:pStyle w:val="TableParagraph"/>
              <w:ind w:left="429"/>
              <w:rPr>
                <w:sz w:val="16"/>
              </w:rPr>
            </w:pPr>
            <w:r>
              <w:rPr>
                <w:color w:val="404040"/>
                <w:sz w:val="16"/>
              </w:rPr>
              <w:t>+$3k</w:t>
            </w:r>
          </w:p>
        </w:tc>
        <w:tc>
          <w:tcPr>
            <w:tcW w:w="1204" w:type="dxa"/>
            <w:tcBorders>
              <w:top w:val="single" w:sz="4" w:space="0" w:color="DF2F1E"/>
              <w:right w:val="single" w:sz="4" w:space="0" w:color="DF2F1E"/>
            </w:tcBorders>
          </w:tcPr>
          <w:p>
            <w:pPr>
              <w:pStyle w:val="TableParagraph"/>
              <w:ind w:right="411"/>
              <w:jc w:val="right"/>
              <w:rPr>
                <w:sz w:val="16"/>
              </w:rPr>
            </w:pPr>
            <w:r>
              <w:rPr>
                <w:color w:val="404040"/>
                <w:sz w:val="16"/>
              </w:rPr>
              <w:t>+$1k</w:t>
            </w:r>
          </w:p>
        </w:tc>
      </w:tr>
      <w:tr>
        <w:trPr>
          <w:trHeight w:val="264" w:hRule="atLeast"/>
        </w:trPr>
        <w:tc>
          <w:tcPr>
            <w:tcW w:w="3120" w:type="dxa"/>
            <w:tcBorders>
              <w:left w:val="single" w:sz="4" w:space="0" w:color="DF2F1E"/>
              <w:right w:val="single" w:sz="4" w:space="0" w:color="DF2F1E"/>
            </w:tcBorders>
          </w:tcPr>
          <w:p>
            <w:pPr>
              <w:pStyle w:val="TableParagraph"/>
              <w:spacing w:before="36"/>
              <w:ind w:left="107"/>
              <w:rPr>
                <w:b/>
                <w:sz w:val="16"/>
              </w:rPr>
            </w:pPr>
            <w:r>
              <w:rPr>
                <w:b/>
                <w:color w:val="404040"/>
                <w:sz w:val="16"/>
              </w:rPr>
              <w:t>- Impact of change in inflation</w:t>
            </w:r>
          </w:p>
        </w:tc>
        <w:tc>
          <w:tcPr>
            <w:tcW w:w="1270" w:type="dxa"/>
            <w:tcBorders>
              <w:left w:val="single" w:sz="4" w:space="0" w:color="DF2F1E"/>
              <w:right w:val="single" w:sz="4" w:space="0" w:color="DF2F1E"/>
            </w:tcBorders>
          </w:tcPr>
          <w:p>
            <w:pPr>
              <w:pStyle w:val="TableParagraph"/>
              <w:spacing w:before="39"/>
              <w:ind w:left="88" w:right="74"/>
              <w:jc w:val="center"/>
              <w:rPr>
                <w:sz w:val="16"/>
              </w:rPr>
            </w:pPr>
            <w:r>
              <w:rPr>
                <w:color w:val="404040"/>
                <w:sz w:val="16"/>
              </w:rPr>
              <w:t>+$11k</w:t>
            </w:r>
          </w:p>
        </w:tc>
        <w:tc>
          <w:tcPr>
            <w:tcW w:w="912" w:type="dxa"/>
            <w:tcBorders>
              <w:left w:val="single" w:sz="4" w:space="0" w:color="DF2F1E"/>
            </w:tcBorders>
          </w:tcPr>
          <w:p>
            <w:pPr>
              <w:pStyle w:val="TableParagraph"/>
              <w:spacing w:before="39"/>
              <w:ind w:right="228"/>
              <w:jc w:val="right"/>
              <w:rPr>
                <w:sz w:val="16"/>
              </w:rPr>
            </w:pPr>
            <w:r>
              <w:rPr>
                <w:color w:val="404040"/>
                <w:sz w:val="16"/>
              </w:rPr>
              <w:t>+$3k</w:t>
            </w:r>
          </w:p>
        </w:tc>
        <w:tc>
          <w:tcPr>
            <w:tcW w:w="1109" w:type="dxa"/>
          </w:tcPr>
          <w:p>
            <w:pPr>
              <w:pStyle w:val="TableParagraph"/>
              <w:spacing w:before="39"/>
              <w:ind w:right="346"/>
              <w:jc w:val="right"/>
              <w:rPr>
                <w:sz w:val="16"/>
              </w:rPr>
            </w:pPr>
            <w:r>
              <w:rPr>
                <w:color w:val="404040"/>
                <w:sz w:val="16"/>
              </w:rPr>
              <w:t>+$1k</w:t>
            </w:r>
          </w:p>
        </w:tc>
        <w:tc>
          <w:tcPr>
            <w:tcW w:w="959" w:type="dxa"/>
            <w:tcBorders>
              <w:right w:val="dashSmallGap" w:sz="4" w:space="0" w:color="DF2F1E"/>
            </w:tcBorders>
          </w:tcPr>
          <w:p>
            <w:pPr>
              <w:pStyle w:val="TableParagraph"/>
              <w:spacing w:before="39"/>
              <w:ind w:left="245" w:right="261"/>
              <w:jc w:val="center"/>
              <w:rPr>
                <w:sz w:val="16"/>
              </w:rPr>
            </w:pPr>
            <w:r>
              <w:rPr>
                <w:color w:val="404040"/>
                <w:sz w:val="16"/>
              </w:rPr>
              <w:t>+$4k</w:t>
            </w:r>
          </w:p>
        </w:tc>
        <w:tc>
          <w:tcPr>
            <w:tcW w:w="1205" w:type="dxa"/>
            <w:tcBorders>
              <w:left w:val="dashSmallGap" w:sz="4" w:space="0" w:color="DF2F1E"/>
            </w:tcBorders>
          </w:tcPr>
          <w:p>
            <w:pPr>
              <w:pStyle w:val="TableParagraph"/>
              <w:spacing w:before="39"/>
              <w:ind w:left="429"/>
              <w:rPr>
                <w:sz w:val="16"/>
              </w:rPr>
            </w:pPr>
            <w:r>
              <w:rPr>
                <w:color w:val="A6A6A6"/>
                <w:sz w:val="16"/>
              </w:rPr>
              <w:t>&lt;$1k</w:t>
            </w:r>
          </w:p>
        </w:tc>
        <w:tc>
          <w:tcPr>
            <w:tcW w:w="1204" w:type="dxa"/>
            <w:tcBorders>
              <w:right w:val="single" w:sz="4" w:space="0" w:color="DF2F1E"/>
            </w:tcBorders>
          </w:tcPr>
          <w:p>
            <w:pPr>
              <w:pStyle w:val="TableParagraph"/>
              <w:spacing w:before="39"/>
              <w:ind w:right="411"/>
              <w:jc w:val="right"/>
              <w:rPr>
                <w:sz w:val="16"/>
              </w:rPr>
            </w:pPr>
            <w:r>
              <w:rPr>
                <w:color w:val="404040"/>
                <w:sz w:val="16"/>
              </w:rPr>
              <w:t>+$2k</w:t>
            </w:r>
          </w:p>
        </w:tc>
      </w:tr>
      <w:tr>
        <w:trPr>
          <w:trHeight w:val="263" w:hRule="atLeast"/>
        </w:trPr>
        <w:tc>
          <w:tcPr>
            <w:tcW w:w="3120" w:type="dxa"/>
            <w:tcBorders>
              <w:left w:val="single" w:sz="4" w:space="0" w:color="DF2F1E"/>
              <w:right w:val="single" w:sz="4" w:space="0" w:color="DF2F1E"/>
            </w:tcBorders>
          </w:tcPr>
          <w:p>
            <w:pPr>
              <w:pStyle w:val="TableParagraph"/>
              <w:spacing w:before="36"/>
              <w:ind w:left="107"/>
              <w:rPr>
                <w:b/>
                <w:sz w:val="16"/>
              </w:rPr>
            </w:pPr>
            <w:r>
              <w:rPr>
                <w:b/>
                <w:color w:val="404040"/>
                <w:sz w:val="16"/>
              </w:rPr>
              <w:t>- Impact of Age Pension forecast</w:t>
            </w:r>
          </w:p>
        </w:tc>
        <w:tc>
          <w:tcPr>
            <w:tcW w:w="1270" w:type="dxa"/>
            <w:tcBorders>
              <w:left w:val="single" w:sz="4" w:space="0" w:color="DF2F1E"/>
              <w:right w:val="single" w:sz="4" w:space="0" w:color="DF2F1E"/>
            </w:tcBorders>
          </w:tcPr>
          <w:p>
            <w:pPr>
              <w:pStyle w:val="TableParagraph"/>
              <w:spacing w:before="39"/>
              <w:ind w:left="88" w:right="74"/>
              <w:jc w:val="center"/>
              <w:rPr>
                <w:sz w:val="16"/>
              </w:rPr>
            </w:pPr>
            <w:r>
              <w:rPr>
                <w:color w:val="404040"/>
                <w:sz w:val="16"/>
              </w:rPr>
              <w:t>-$3k</w:t>
            </w:r>
          </w:p>
        </w:tc>
        <w:tc>
          <w:tcPr>
            <w:tcW w:w="912" w:type="dxa"/>
            <w:tcBorders>
              <w:left w:val="single" w:sz="4" w:space="0" w:color="DF2F1E"/>
            </w:tcBorders>
          </w:tcPr>
          <w:p>
            <w:pPr>
              <w:pStyle w:val="TableParagraph"/>
              <w:spacing w:before="39"/>
              <w:ind w:right="228"/>
              <w:jc w:val="right"/>
              <w:rPr>
                <w:sz w:val="16"/>
              </w:rPr>
            </w:pPr>
            <w:r>
              <w:rPr>
                <w:color w:val="A6A6A6"/>
                <w:sz w:val="16"/>
              </w:rPr>
              <w:t>&lt;$1k</w:t>
            </w:r>
          </w:p>
        </w:tc>
        <w:tc>
          <w:tcPr>
            <w:tcW w:w="1109" w:type="dxa"/>
          </w:tcPr>
          <w:p>
            <w:pPr>
              <w:pStyle w:val="TableParagraph"/>
              <w:spacing w:before="39"/>
              <w:ind w:right="346"/>
              <w:jc w:val="right"/>
              <w:rPr>
                <w:sz w:val="16"/>
              </w:rPr>
            </w:pPr>
            <w:r>
              <w:rPr>
                <w:color w:val="A6A6A6"/>
                <w:sz w:val="16"/>
              </w:rPr>
              <w:t>&lt;$1k</w:t>
            </w:r>
          </w:p>
        </w:tc>
        <w:tc>
          <w:tcPr>
            <w:tcW w:w="959" w:type="dxa"/>
            <w:tcBorders>
              <w:right w:val="dashSmallGap" w:sz="4" w:space="0" w:color="DF2F1E"/>
            </w:tcBorders>
          </w:tcPr>
          <w:p>
            <w:pPr>
              <w:pStyle w:val="TableParagraph"/>
              <w:spacing w:before="39"/>
              <w:ind w:left="245" w:right="264"/>
              <w:jc w:val="center"/>
              <w:rPr>
                <w:sz w:val="16"/>
              </w:rPr>
            </w:pPr>
            <w:r>
              <w:rPr>
                <w:color w:val="404040"/>
                <w:sz w:val="16"/>
              </w:rPr>
              <w:t>-$3k</w:t>
            </w:r>
          </w:p>
        </w:tc>
        <w:tc>
          <w:tcPr>
            <w:tcW w:w="1205" w:type="dxa"/>
            <w:tcBorders>
              <w:left w:val="dashSmallGap" w:sz="4" w:space="0" w:color="DF2F1E"/>
            </w:tcBorders>
          </w:tcPr>
          <w:p>
            <w:pPr>
              <w:pStyle w:val="TableParagraph"/>
              <w:spacing w:before="39"/>
              <w:ind w:left="429"/>
              <w:rPr>
                <w:sz w:val="16"/>
              </w:rPr>
            </w:pPr>
            <w:r>
              <w:rPr>
                <w:color w:val="A6A6A6"/>
                <w:sz w:val="16"/>
              </w:rPr>
              <w:t>&lt;$1k</w:t>
            </w:r>
          </w:p>
        </w:tc>
        <w:tc>
          <w:tcPr>
            <w:tcW w:w="1204" w:type="dxa"/>
            <w:tcBorders>
              <w:right w:val="single" w:sz="4" w:space="0" w:color="DF2F1E"/>
            </w:tcBorders>
          </w:tcPr>
          <w:p>
            <w:pPr>
              <w:pStyle w:val="TableParagraph"/>
              <w:spacing w:before="39"/>
              <w:ind w:right="411"/>
              <w:jc w:val="right"/>
              <w:rPr>
                <w:sz w:val="16"/>
              </w:rPr>
            </w:pPr>
            <w:r>
              <w:rPr>
                <w:color w:val="A6A6A6"/>
                <w:sz w:val="16"/>
              </w:rPr>
              <w:t>&lt;$1k</w:t>
            </w:r>
          </w:p>
        </w:tc>
      </w:tr>
      <w:tr>
        <w:trPr>
          <w:trHeight w:val="265" w:hRule="atLeast"/>
        </w:trPr>
        <w:tc>
          <w:tcPr>
            <w:tcW w:w="3120" w:type="dxa"/>
            <w:tcBorders>
              <w:left w:val="single" w:sz="4" w:space="0" w:color="DF2F1E"/>
              <w:bottom w:val="single" w:sz="4" w:space="0" w:color="DF2F1E"/>
              <w:right w:val="single" w:sz="4" w:space="0" w:color="DF2F1E"/>
            </w:tcBorders>
          </w:tcPr>
          <w:p>
            <w:pPr>
              <w:pStyle w:val="TableParagraph"/>
              <w:spacing w:before="36"/>
              <w:ind w:left="107"/>
              <w:rPr>
                <w:b/>
                <w:sz w:val="16"/>
              </w:rPr>
            </w:pPr>
            <w:r>
              <w:rPr>
                <w:b/>
                <w:color w:val="404040"/>
                <w:sz w:val="16"/>
              </w:rPr>
              <w:t>- Impact of other changes</w:t>
            </w:r>
          </w:p>
        </w:tc>
        <w:tc>
          <w:tcPr>
            <w:tcW w:w="1270" w:type="dxa"/>
            <w:tcBorders>
              <w:left w:val="single" w:sz="4" w:space="0" w:color="DF2F1E"/>
              <w:bottom w:val="single" w:sz="4" w:space="0" w:color="DF2F1E"/>
              <w:right w:val="single" w:sz="4" w:space="0" w:color="DF2F1E"/>
            </w:tcBorders>
          </w:tcPr>
          <w:p>
            <w:pPr>
              <w:pStyle w:val="TableParagraph"/>
              <w:spacing w:before="39"/>
              <w:ind w:left="88" w:right="77"/>
              <w:jc w:val="center"/>
              <w:rPr>
                <w:sz w:val="16"/>
              </w:rPr>
            </w:pPr>
            <w:r>
              <w:rPr>
                <w:color w:val="404040"/>
                <w:sz w:val="16"/>
              </w:rPr>
              <w:t>-$12k</w:t>
            </w:r>
          </w:p>
        </w:tc>
        <w:tc>
          <w:tcPr>
            <w:tcW w:w="912" w:type="dxa"/>
            <w:tcBorders>
              <w:left w:val="single" w:sz="4" w:space="0" w:color="DF2F1E"/>
              <w:bottom w:val="single" w:sz="4" w:space="0" w:color="DF2F1E"/>
            </w:tcBorders>
          </w:tcPr>
          <w:p>
            <w:pPr>
              <w:pStyle w:val="TableParagraph"/>
              <w:spacing w:before="39"/>
              <w:ind w:right="228"/>
              <w:jc w:val="right"/>
              <w:rPr>
                <w:sz w:val="16"/>
              </w:rPr>
            </w:pPr>
            <w:r>
              <w:rPr>
                <w:color w:val="A6A6A6"/>
                <w:sz w:val="16"/>
              </w:rPr>
              <w:t>&lt;$1k</w:t>
            </w:r>
          </w:p>
        </w:tc>
        <w:tc>
          <w:tcPr>
            <w:tcW w:w="1109" w:type="dxa"/>
            <w:tcBorders>
              <w:bottom w:val="single" w:sz="4" w:space="0" w:color="DF2F1E"/>
            </w:tcBorders>
          </w:tcPr>
          <w:p>
            <w:pPr>
              <w:pStyle w:val="TableParagraph"/>
              <w:spacing w:before="39"/>
              <w:ind w:right="322"/>
              <w:jc w:val="right"/>
              <w:rPr>
                <w:sz w:val="16"/>
              </w:rPr>
            </w:pPr>
            <w:r>
              <w:rPr>
                <w:color w:val="404040"/>
                <w:sz w:val="16"/>
              </w:rPr>
              <w:t>-$10k</w:t>
            </w:r>
          </w:p>
        </w:tc>
        <w:tc>
          <w:tcPr>
            <w:tcW w:w="959" w:type="dxa"/>
            <w:tcBorders>
              <w:bottom w:val="single" w:sz="4" w:space="0" w:color="DF2F1E"/>
              <w:right w:val="dashSmallGap" w:sz="4" w:space="0" w:color="DF2F1E"/>
            </w:tcBorders>
          </w:tcPr>
          <w:p>
            <w:pPr>
              <w:pStyle w:val="TableParagraph"/>
              <w:spacing w:before="39"/>
              <w:ind w:left="245" w:right="264"/>
              <w:jc w:val="center"/>
              <w:rPr>
                <w:sz w:val="16"/>
              </w:rPr>
            </w:pPr>
            <w:r>
              <w:rPr>
                <w:color w:val="404040"/>
                <w:sz w:val="16"/>
              </w:rPr>
              <w:t>-$2k</w:t>
            </w:r>
          </w:p>
        </w:tc>
        <w:tc>
          <w:tcPr>
            <w:tcW w:w="1205" w:type="dxa"/>
            <w:tcBorders>
              <w:left w:val="dashSmallGap" w:sz="4" w:space="0" w:color="DF2F1E"/>
              <w:bottom w:val="single" w:sz="4" w:space="0" w:color="DF2F1E"/>
            </w:tcBorders>
          </w:tcPr>
          <w:p>
            <w:pPr>
              <w:pStyle w:val="TableParagraph"/>
              <w:spacing w:before="39"/>
              <w:ind w:left="429"/>
              <w:rPr>
                <w:sz w:val="16"/>
              </w:rPr>
            </w:pPr>
            <w:r>
              <w:rPr>
                <w:color w:val="404040"/>
                <w:sz w:val="16"/>
              </w:rPr>
              <w:t>+$2k</w:t>
            </w:r>
          </w:p>
        </w:tc>
        <w:tc>
          <w:tcPr>
            <w:tcW w:w="1204" w:type="dxa"/>
            <w:tcBorders>
              <w:bottom w:val="single" w:sz="4" w:space="0" w:color="DF2F1E"/>
              <w:right w:val="single" w:sz="4" w:space="0" w:color="DF2F1E"/>
            </w:tcBorders>
          </w:tcPr>
          <w:p>
            <w:pPr>
              <w:pStyle w:val="TableParagraph"/>
              <w:spacing w:before="39"/>
              <w:ind w:right="411"/>
              <w:jc w:val="right"/>
              <w:rPr>
                <w:sz w:val="16"/>
              </w:rPr>
            </w:pPr>
            <w:r>
              <w:rPr>
                <w:color w:val="A6A6A6"/>
                <w:sz w:val="16"/>
              </w:rPr>
              <w:t>&lt;$1k</w:t>
            </w:r>
          </w:p>
        </w:tc>
      </w:tr>
    </w:tbl>
    <w:p>
      <w:pPr>
        <w:spacing w:before="78"/>
        <w:ind w:left="900" w:right="0" w:firstLine="0"/>
        <w:jc w:val="left"/>
        <w:rPr>
          <w:sz w:val="16"/>
        </w:rPr>
      </w:pPr>
      <w:r>
        <w:rPr>
          <w:color w:val="DF2F1E"/>
          <w:sz w:val="16"/>
        </w:rPr>
        <w:t>Notes:</w:t>
      </w:r>
    </w:p>
    <w:p>
      <w:pPr>
        <w:pStyle w:val="ListParagraph"/>
        <w:numPr>
          <w:ilvl w:val="0"/>
          <w:numId w:val="51"/>
        </w:numPr>
        <w:tabs>
          <w:tab w:pos="1619" w:val="left" w:leader="none"/>
          <w:tab w:pos="1621" w:val="left" w:leader="none"/>
        </w:tabs>
        <w:spacing w:line="240" w:lineRule="auto" w:before="80" w:after="0"/>
        <w:ind w:left="1620" w:right="1555" w:hanging="361"/>
        <w:jc w:val="left"/>
        <w:rPr>
          <w:sz w:val="16"/>
        </w:rPr>
      </w:pPr>
      <w:r>
        <w:rPr>
          <w:color w:val="DF2F1E"/>
          <w:sz w:val="16"/>
        </w:rPr>
        <w:t>Note that payment categories H, I and J have been included in family supplements and the remaining non income support payment categories in other</w:t>
      </w:r>
      <w:r>
        <w:rPr>
          <w:color w:val="DF2F1E"/>
          <w:spacing w:val="-3"/>
          <w:sz w:val="16"/>
        </w:rPr>
        <w:t> </w:t>
      </w:r>
      <w:r>
        <w:rPr>
          <w:color w:val="DF2F1E"/>
          <w:sz w:val="16"/>
        </w:rPr>
        <w:t>supplements.</w:t>
      </w:r>
    </w:p>
    <w:p>
      <w:pPr>
        <w:pStyle w:val="ListParagraph"/>
        <w:numPr>
          <w:ilvl w:val="0"/>
          <w:numId w:val="51"/>
        </w:numPr>
        <w:tabs>
          <w:tab w:pos="1620" w:val="left" w:leader="none"/>
          <w:tab w:pos="1621" w:val="left" w:leader="none"/>
        </w:tabs>
        <w:spacing w:line="240" w:lineRule="auto" w:before="80" w:after="0"/>
        <w:ind w:left="1620" w:right="1484" w:hanging="361"/>
        <w:jc w:val="left"/>
        <w:rPr>
          <w:sz w:val="16"/>
        </w:rPr>
      </w:pPr>
      <w:r>
        <w:rPr>
          <w:color w:val="DF2F1E"/>
          <w:sz w:val="16"/>
        </w:rPr>
        <w:t>The June 2017 rebased Lifetime Cost represents a recalculation of the June 2017 lifetime cost, but using a discount rate of 5% p.a. for consistency with the June 2018 results. All changes are shown relative to this rebased lifetime</w:t>
      </w:r>
      <w:r>
        <w:rPr>
          <w:color w:val="DF2F1E"/>
          <w:spacing w:val="-33"/>
          <w:sz w:val="16"/>
        </w:rPr>
        <w:t> </w:t>
      </w:r>
      <w:r>
        <w:rPr>
          <w:color w:val="DF2F1E"/>
          <w:sz w:val="16"/>
        </w:rPr>
        <w:t>cost.</w:t>
      </w:r>
    </w:p>
    <w:p>
      <w:pPr>
        <w:pStyle w:val="BodyText"/>
        <w:spacing w:before="118"/>
        <w:ind w:left="900"/>
      </w:pPr>
      <w:r>
        <w:rPr>
          <w:color w:val="404040"/>
        </w:rPr>
        <w:t>The decrease in average cost has been primarily driven by:</w:t>
      </w:r>
    </w:p>
    <w:p>
      <w:pPr>
        <w:pStyle w:val="ListParagraph"/>
        <w:numPr>
          <w:ilvl w:val="0"/>
          <w:numId w:val="50"/>
        </w:numPr>
        <w:tabs>
          <w:tab w:pos="1184" w:val="left" w:leader="none"/>
        </w:tabs>
        <w:spacing w:line="240" w:lineRule="auto" w:before="121" w:after="0"/>
        <w:ind w:left="1183" w:right="0" w:hanging="284"/>
        <w:jc w:val="left"/>
        <w:rPr>
          <w:sz w:val="20"/>
        </w:rPr>
      </w:pPr>
      <w:r>
        <w:rPr>
          <w:color w:val="404040"/>
          <w:sz w:val="20"/>
        </w:rPr>
        <w:t>A small decrease in the likelihood of transitioning to the Working Age or DSP classes;</w:t>
      </w:r>
      <w:r>
        <w:rPr>
          <w:color w:val="404040"/>
          <w:spacing w:val="-15"/>
          <w:sz w:val="20"/>
        </w:rPr>
        <w:t> </w:t>
      </w:r>
      <w:r>
        <w:rPr>
          <w:color w:val="404040"/>
          <w:sz w:val="20"/>
        </w:rPr>
        <w:t>and</w:t>
      </w:r>
    </w:p>
    <w:p>
      <w:pPr>
        <w:pStyle w:val="ListParagraph"/>
        <w:numPr>
          <w:ilvl w:val="0"/>
          <w:numId w:val="50"/>
        </w:numPr>
        <w:tabs>
          <w:tab w:pos="1184" w:val="left" w:leader="none"/>
        </w:tabs>
        <w:spacing w:line="240" w:lineRule="auto" w:before="118" w:after="0"/>
        <w:ind w:left="1183" w:right="1363" w:hanging="284"/>
        <w:jc w:val="left"/>
        <w:rPr>
          <w:sz w:val="20"/>
        </w:rPr>
      </w:pPr>
      <w:r>
        <w:rPr>
          <w:color w:val="404040"/>
          <w:sz w:val="20"/>
        </w:rPr>
        <w:t>a flow on decrease to the likelihood of subsequently transitioning to both the other pre-retirement income support classes and to Age</w:t>
      </w:r>
      <w:r>
        <w:rPr>
          <w:color w:val="404040"/>
          <w:spacing w:val="2"/>
          <w:sz w:val="20"/>
        </w:rPr>
        <w:t> </w:t>
      </w:r>
      <w:r>
        <w:rPr>
          <w:color w:val="404040"/>
          <w:sz w:val="20"/>
        </w:rPr>
        <w:t>Pension.</w:t>
      </w:r>
    </w:p>
    <w:p>
      <w:pPr>
        <w:pStyle w:val="BodyText"/>
        <w:spacing w:before="122"/>
        <w:ind w:left="900"/>
      </w:pPr>
      <w:r>
        <w:rPr>
          <w:color w:val="404040"/>
        </w:rPr>
        <w:t>These decreases have been partially offset by an increase in the cost of future payments as a result of inflation.</w:t>
      </w:r>
    </w:p>
    <w:p>
      <w:pPr>
        <w:spacing w:after="0"/>
        <w:sectPr>
          <w:pgSz w:w="11910" w:h="16850"/>
          <w:pgMar w:header="572" w:footer="581" w:top="780" w:bottom="780" w:left="120" w:right="0"/>
        </w:sectPr>
      </w:pPr>
    </w:p>
    <w:p>
      <w:pPr>
        <w:pStyle w:val="BodyText"/>
      </w:pPr>
    </w:p>
    <w:p>
      <w:pPr>
        <w:pStyle w:val="BodyText"/>
      </w:pPr>
    </w:p>
    <w:p>
      <w:pPr>
        <w:pStyle w:val="BodyText"/>
        <w:spacing w:before="7"/>
        <w:rPr>
          <w:sz w:val="21"/>
        </w:rPr>
      </w:pPr>
    </w:p>
    <w:p>
      <w:pPr>
        <w:pStyle w:val="Heading6"/>
        <w:spacing w:before="94"/>
        <w:rPr>
          <w:i/>
        </w:rPr>
      </w:pPr>
      <w:r>
        <w:rPr>
          <w:i/>
          <w:color w:val="DF2F1E"/>
        </w:rPr>
        <w:t>Future outcomes</w:t>
      </w:r>
    </w:p>
    <w:p>
      <w:pPr>
        <w:pStyle w:val="BodyText"/>
        <w:spacing w:before="121"/>
        <w:ind w:left="900" w:right="1197"/>
      </w:pPr>
      <w:r>
        <w:rPr>
          <w:color w:val="404040"/>
        </w:rPr>
        <w:t>In developing the valuation results the projection model also produces information on the expected transitions for people out of each class, as shown below.</w:t>
      </w:r>
    </w:p>
    <w:p>
      <w:pPr>
        <w:pStyle w:val="Heading9"/>
        <w:spacing w:before="176"/>
      </w:pPr>
      <w:r>
        <w:rPr>
          <w:color w:val="DF2F1E"/>
        </w:rPr>
        <w:t>Figure 65: Expected future trajectory for people in class 4</w:t>
      </w:r>
    </w:p>
    <w:p>
      <w:pPr>
        <w:spacing w:after="0"/>
        <w:sectPr>
          <w:pgSz w:w="11910" w:h="16850"/>
          <w:pgMar w:header="572" w:footer="581" w:top="780" w:bottom="780" w:left="120" w:right="0"/>
        </w:sectPr>
      </w:pPr>
    </w:p>
    <w:p>
      <w:pPr>
        <w:pStyle w:val="BodyText"/>
        <w:spacing w:before="1"/>
        <w:rPr>
          <w:b/>
          <w:sz w:val="14"/>
        </w:rPr>
      </w:pPr>
    </w:p>
    <w:p>
      <w:pPr>
        <w:spacing w:before="0"/>
        <w:ind w:left="0" w:right="980" w:firstLine="0"/>
        <w:jc w:val="right"/>
        <w:rPr>
          <w:rFonts w:ascii="Calibri"/>
          <w:sz w:val="15"/>
        </w:rPr>
      </w:pPr>
      <w:r>
        <w:rPr/>
        <w:pict>
          <v:group style="position:absolute;margin-left:108.353798pt;margin-top:4.392829pt;width:246.4pt;height:119.4pt;mso-position-horizontal-relative:page;mso-position-vertical-relative:paragraph;z-index:252372992" coordorigin="2167,88" coordsize="4928,2388">
            <v:shape style="position:absolute;left:2214;top:93;width:4863;height:2323" coordorigin="2215,94" coordsize="4863,2323" path="m7077,2416l2215,2416,2215,94,2381,366,2547,568,2702,746,3035,1006,3189,1101,3356,1208,3510,1291,3843,1457,3998,1528,4331,1646,4485,1705,4652,1765,4806,1812,4973,1848,5139,1895,5294,1942,5626,2014,5781,2037,5947,2073,6114,2097,6268,2132,6435,2156,6589,2168,6922,2215,7077,2227,7077,2416xe" filled="true" fillcolor="#e08ad6" stroked="false">
              <v:path arrowok="t"/>
              <v:fill type="solid"/>
            </v:shape>
            <v:shape style="position:absolute;left:2214;top:93;width:4863;height:2323" coordorigin="2215,94" coordsize="4863,2323" path="m2215,94l2381,366,2547,568,2702,746,2868,876,3035,1006,3189,1101,3356,1208,3510,1291,3677,1374,3843,1457,3998,1528,4164,1587,4331,1646,4485,1705,4652,1765,4806,1812,4973,1848,5139,1895,5294,1942,5460,1978,5626,2014,5781,2037,5947,2073,6114,2097,6268,2132,6435,2156,6589,2168,6756,2191,6922,2215,7077,2227,7077,2416,6922,2416,6756,2416,2215,2416,2215,94xe" filled="false" stroked="true" strokeweight=".592871pt" strokecolor="#e08ad6">
              <v:path arrowok="t"/>
              <v:stroke dashstyle="solid"/>
            </v:shape>
            <v:shape style="position:absolute;left:2214;top:93;width:3246;height:1885" coordorigin="2215,94" coordsize="3246,1885" path="m2547,568l2381,366,2215,94,2381,355,2547,568xm3189,1101l3035,1006,2702,746,2547,568,2702,734,3035,994,3189,1101xm3510,1291l3356,1208,3189,1101,3356,1196,3510,1291xm4331,1646l3998,1528,3843,1457,3677,1374,3843,1445,3998,1516,4164,1587,4331,1646xm4973,1848l4806,1812,4652,1765,4485,1705,4652,1753,4806,1800,4973,1848xm5460,1978l5294,1942,5139,1895,5294,1931,5460,1978xe" filled="true" fillcolor="#1f487c" stroked="false">
              <v:path arrowok="t"/>
              <v:fill type="solid"/>
            </v:shape>
            <v:shape style="position:absolute;left:2208;top:87;width:4874;height:2145" type="#_x0000_t75" stroked="false">
              <v:imagedata r:id="rId134" o:title=""/>
            </v:shape>
            <v:shape style="position:absolute;left:2702;top:236;width:4221;height:889" coordorigin="2702,236" coordsize="4221,889" path="m3677,449l3510,426,3356,390,3189,355,3035,319,2868,272,2702,236,3035,307,3189,343,3356,378,3510,414,3677,449xm4485,603l4331,580,4164,544,3998,520,3843,485,3677,449,3843,473,3998,509,4164,532,4331,568,4485,603xm4806,663l4652,639,4485,603,4652,627,4806,663xm5293,757l5139,734,4806,663,4973,686,5139,722,5293,757xm6435,1006l6268,971,6114,935,5781,864,5626,829,5460,793,5626,817,5781,852,6114,923,6268,959,6435,1006xm6922,1125l6756,1089,6589,1042,6756,1077,6922,1125xe" filled="true" fillcolor="#938953" stroked="false">
              <v:path arrowok="t"/>
              <v:fill type="solid"/>
            </v:shape>
            <v:shape style="position:absolute;left:2214;top:93;width:4862;height:1067" coordorigin="2215,94" coordsize="4862,1067" path="m2215,94l2381,141,2547,189,2702,236,2868,272,3035,307,3189,343,3356,378,3510,414,3677,449,3843,473,3998,509,4164,532,4331,568,4485,603,4652,627,4806,663,4973,686,5139,722,5293,757,5460,793,5626,817,5781,852,5947,888,6114,923,6268,959,6435,1006,6589,1042,6756,1077,6922,1125,7077,1160,6922,1125,6756,1089,6589,1042,6435,1006,6268,971,6114,935,5947,900,5781,864,5626,829,5460,793,5293,757,5139,734,4973,698,4806,663,4652,639,4485,603,4331,580,4164,544,3998,520,3843,485,3677,449,3510,426,3356,390,3189,355,3035,319,2868,272,2702,236,2547,189,2381,141,2215,94xe" filled="false" stroked="true" strokeweight=".592619pt" strokecolor="#938953">
              <v:path arrowok="t"/>
              <v:stroke dashstyle="solid"/>
            </v:shape>
            <v:shape style="position:absolute;left:2214;top:93;width:4862;height:1067" coordorigin="2215,94" coordsize="4862,1067" path="m7077,1160l6922,1125,6756,1077,6589,1042,6435,1006,6268,959,6114,923,5781,852,5626,817,5460,793,5293,757,5139,722,4973,686,4806,663,4652,627,4485,603,4331,568,4164,532,3998,509,3843,473,3677,449,3510,414,3356,378,3189,343,3035,307,2702,236,2547,189,2215,94,2381,94,3510,177,3677,200,3843,212,3998,236,4164,248,4331,272,4485,295,4652,307,4806,343,5139,390,5293,414,5626,485,5781,520,6114,592,6268,639,6435,674,6589,722,6922,817,7077,864,7077,1160xe" filled="true" fillcolor="#ffd600" stroked="false">
              <v:path arrowok="t"/>
              <v:fill type="solid"/>
            </v:shape>
            <v:shape style="position:absolute;left:2214;top:93;width:4862;height:1067" coordorigin="2215,94" coordsize="4862,1067" path="m2215,94l2381,94,2547,106,2702,117,2868,129,3035,141,3189,153,3356,165,3510,177,3677,200,3843,212,3998,236,4164,248,4331,272,4485,295,4652,307,4806,343,4973,366,5139,390,5293,414,5460,449,5626,485,5781,520,5947,556,6114,592,6268,639,6435,674,6589,722,6756,769,6922,817,7077,864,7077,1160,6922,1125,6756,1077,6589,1042,6435,1006,6268,959,6114,923,5947,888,5781,852,5626,817,5460,793,5293,757,5139,722,4973,686,4806,663,4652,627,4485,603,4331,568,4164,532,3998,509,3843,473,3677,449,3510,414,3356,378,3189,343,3035,307,2868,272,2702,236,2547,189,2381,141,2215,94xe" filled="false" stroked="true" strokeweight=".592619pt" strokecolor="#ffd600">
              <v:path arrowok="t"/>
              <v:stroke dashstyle="solid"/>
            </v:shape>
            <v:shape style="position:absolute;left:2214;top:93;width:4862;height:771" coordorigin="2215,94" coordsize="4862,771" path="m2215,94l2381,94,2547,106,2702,117,2868,129,3035,141,3189,153,3356,165,3510,177,3677,200,3843,212,3998,236,4164,248,4331,272,4485,295,4652,307,4806,343,4973,366,5139,390,5293,414,5460,449,5626,485,5781,520,5947,556,6114,592,6268,639,6435,674,6589,722,6756,769,6922,817,7077,864,6922,817,6756,769,6589,722,6435,674,6268,639,6114,592,5947,556,5781,520,5626,485,5460,449,5293,414,5139,390,4973,366,4806,343,4652,307,4485,295,4331,272,4164,248,3998,236,3843,212,3677,200,3510,177,3356,165,3189,153,3035,141,2868,129,2702,117,2547,106,2381,94,2215,94xe" filled="false" stroked="true" strokeweight=".592571pt" strokecolor="#ffeb8f">
              <v:path arrowok="t"/>
              <v:stroke dashstyle="solid"/>
            </v:shape>
            <v:shape style="position:absolute;left:2381;top:93;width:4696;height:771" coordorigin="2381,94" coordsize="4696,771" path="m7077,864l6922,817,6589,722,6435,674,6268,639,6114,592,5781,520,5626,485,5293,414,5139,390,4806,343,4652,307,4485,295,4331,272,4164,248,3998,236,3843,212,3677,200,3510,177,2381,94,7077,94,7077,864xe" filled="true" fillcolor="#000000" stroked="false">
              <v:path arrowok="t"/>
              <v:fill type="solid"/>
            </v:shape>
            <v:shape style="position:absolute;left:2214;top:93;width:4862;height:771" coordorigin="2215,94" coordsize="4862,771" path="m2215,94l2215,94,7077,94,7077,864,6922,817,6756,769,6589,722,6435,674,6268,639,6114,592,5947,556,5781,520,5626,485,5460,449,5293,414,5139,390,4973,366,4806,343,4652,307,4485,295,4331,272,4164,248,3998,236,3843,212,3677,200,3510,177,3356,165,3189,153,3035,141,2868,129,2702,117,2547,106,2381,94,2215,94xe" filled="false" stroked="true" strokeweight=".592571pt" strokecolor="#000000">
              <v:path arrowok="t"/>
              <v:stroke dashstyle="solid"/>
            </v:shape>
            <v:line style="position:absolute" from="2209,94" to="7083,94" stroked="true" strokeweight=".592527pt" strokecolor="#000000">
              <v:stroke dashstyle="solid"/>
            </v:line>
            <v:line style="position:absolute" from="2215,2417" to="2215,94" stroked="true" strokeweight=".594376pt" strokecolor="#858585">
              <v:stroke dashstyle="solid"/>
            </v:line>
            <v:shape style="position:absolute;left:0;top:13851;width:13369;height:655053" coordorigin="0,13852" coordsize="13369,655053" path="m2167,2416l2215,2416m2167,2191l2215,2191m2167,1954l2215,1954m2167,1729l2215,1729m2167,1492l2215,1492m2167,1255l2215,1255m2167,1030l2215,1030m2167,793l2215,793m2167,556l2215,556m2167,331l2215,331m2167,94l2215,94e" filled="false" stroked="true" strokeweight=".593448pt" strokecolor="#858585">
              <v:path arrowok="t"/>
              <v:stroke dashstyle="solid"/>
            </v:shape>
            <v:shape style="position:absolute;left:0;top:5847;width:654744;height:8005" coordorigin="0,5848" coordsize="654744,8005" path="m2215,2417l7077,2417m2215,2417l2215,2476m2381,2417l2381,2476m2547,2417l2547,2476m2702,2417l2702,2476m2868,2417l2868,2476m3035,2417l3035,2476m3189,2417l3189,2476m3356,2417l3356,2476m3510,2417l3510,2476m3677,2417l3677,2476m3843,2417l3843,2476m3998,2417l3998,2476m4164,2417l4164,2476m4331,2417l4331,2476m4485,2417l4485,2476m4652,2417l4652,2476m4806,2417l4806,2476m4973,2417l4973,2476m5139,2417l5139,2476m5293,2417l5293,2476m5460,2417l5460,2476m5626,2417l5626,2476m5781,2417l5781,2476m5947,2417l5947,2476m6114,2417l6114,2476m6268,2417l6268,2476m6435,2417l6435,2476m6589,2417l6589,2476m6756,2417l6756,2476m6922,2417l6922,2476m7077,2417l7077,2476e" filled="false" stroked="true" strokeweight=".593451pt" strokecolor="#858585">
              <v:path arrowok="t"/>
              <v:stroke dashstyle="solid"/>
            </v:shape>
            <v:shape style="position:absolute;left:2220;top:99;width:4863;height:2134" coordorigin="2221,100" coordsize="4863,2134" path="m2221,100l2387,349,2542,562,2708,728,2863,870,3029,989,3195,1107,3350,1202,3516,1285,3683,1368,3837,1451,4004,1522,4158,1581,4325,1640,4491,1700,4646,1759,4812,1806,4979,1854,5133,1901,5299,1937,5454,1972,5620,2008,5787,2043,5941,2079,6108,2102,6274,2138,6429,2162,6595,2174,6762,2197,6916,2221,7083,2233e" filled="false" stroked="true" strokeweight="1.185651pt" strokecolor="#ffffff">
              <v:path arrowok="t"/>
              <v:stroke dashstyle="dot"/>
            </v:shape>
            <v:shape style="position:absolute;left:2220;top:99;width:4862;height:1020" coordorigin="2221,100" coordsize="4862,1020" path="m2221,100l2387,135,2542,171,2708,218,2862,254,3029,289,3195,325,3350,360,3516,396,3683,420,3837,455,4004,479,4158,514,4325,538,4491,562,4646,597,4812,621,4978,657,5133,680,5299,716,5454,740,5620,775,5787,811,5941,846,6108,882,6274,917,6429,953,6595,1000,6762,1036,6916,1071,7083,1119e" filled="false" stroked="true" strokeweight="1.185225pt" strokecolor="#ffffff">
              <v:path arrowok="t"/>
              <v:stroke dashstyle="longdash"/>
            </v:shape>
            <w10:wrap type="none"/>
          </v:group>
        </w:pict>
      </w:r>
      <w:r>
        <w:rPr>
          <w:rFonts w:ascii="Calibri"/>
          <w:sz w:val="15"/>
        </w:rPr>
        <w:t>100%</w:t>
      </w:r>
    </w:p>
    <w:p>
      <w:pPr>
        <w:spacing w:before="50"/>
        <w:ind w:left="0" w:right="971" w:firstLine="0"/>
        <w:jc w:val="right"/>
        <w:rPr>
          <w:rFonts w:ascii="Calibri"/>
          <w:sz w:val="15"/>
        </w:rPr>
      </w:pPr>
      <w:r>
        <w:rPr/>
        <w:pict>
          <v:shape style="position:absolute;margin-left:74.805725pt;margin-top:8.152520pt;width:9.75pt;height:91.05pt;mso-position-horizontal-relative:page;mso-position-vertical-relative:paragraph;z-index:252375040" type="#_x0000_t202" filled="false" stroked="false">
            <v:textbox inset="0,0,0,0" style="layout-flow:vertical;mso-layout-flow-alt:bottom-to-top">
              <w:txbxContent>
                <w:p>
                  <w:pPr>
                    <w:spacing w:line="176" w:lineRule="exact" w:before="0"/>
                    <w:ind w:left="20" w:right="0" w:firstLine="0"/>
                    <w:jc w:val="left"/>
                    <w:rPr>
                      <w:rFonts w:ascii="Calibri"/>
                      <w:b/>
                      <w:sz w:val="15"/>
                    </w:rPr>
                  </w:pPr>
                  <w:r>
                    <w:rPr>
                      <w:rFonts w:ascii="Calibri"/>
                      <w:b/>
                      <w:w w:val="105"/>
                      <w:sz w:val="15"/>
                    </w:rPr>
                    <w:t>Proportion In Welfare Class</w:t>
                  </w:r>
                </w:p>
              </w:txbxContent>
            </v:textbox>
            <w10:wrap type="none"/>
          </v:shape>
        </w:pict>
      </w:r>
      <w:r>
        <w:rPr>
          <w:rFonts w:ascii="Calibri"/>
          <w:spacing w:val="2"/>
          <w:sz w:val="15"/>
        </w:rPr>
        <w:t>90%</w:t>
      </w:r>
    </w:p>
    <w:p>
      <w:pPr>
        <w:spacing w:before="50"/>
        <w:ind w:left="0" w:right="971" w:firstLine="0"/>
        <w:jc w:val="right"/>
        <w:rPr>
          <w:rFonts w:ascii="Calibri"/>
          <w:sz w:val="15"/>
        </w:rPr>
      </w:pPr>
      <w:r>
        <w:rPr>
          <w:rFonts w:ascii="Calibri"/>
          <w:spacing w:val="2"/>
          <w:sz w:val="15"/>
        </w:rPr>
        <w:t>80%</w:t>
      </w:r>
    </w:p>
    <w:p>
      <w:pPr>
        <w:spacing w:before="49"/>
        <w:ind w:left="0" w:right="971" w:firstLine="0"/>
        <w:jc w:val="right"/>
        <w:rPr>
          <w:rFonts w:ascii="Calibri"/>
          <w:sz w:val="15"/>
        </w:rPr>
      </w:pPr>
      <w:r>
        <w:rPr>
          <w:rFonts w:ascii="Calibri"/>
          <w:spacing w:val="2"/>
          <w:sz w:val="15"/>
        </w:rPr>
        <w:t>70%</w:t>
      </w:r>
    </w:p>
    <w:p>
      <w:pPr>
        <w:spacing w:before="50"/>
        <w:ind w:left="0" w:right="971" w:firstLine="0"/>
        <w:jc w:val="right"/>
        <w:rPr>
          <w:rFonts w:ascii="Calibri"/>
          <w:sz w:val="15"/>
        </w:rPr>
      </w:pPr>
      <w:r>
        <w:rPr>
          <w:rFonts w:ascii="Calibri"/>
          <w:spacing w:val="2"/>
          <w:sz w:val="15"/>
        </w:rPr>
        <w:t>60%</w:t>
      </w:r>
    </w:p>
    <w:p>
      <w:pPr>
        <w:spacing w:before="50"/>
        <w:ind w:left="0" w:right="971" w:firstLine="0"/>
        <w:jc w:val="right"/>
        <w:rPr>
          <w:rFonts w:ascii="Calibri"/>
          <w:sz w:val="15"/>
        </w:rPr>
      </w:pPr>
      <w:r>
        <w:rPr>
          <w:rFonts w:ascii="Calibri"/>
          <w:spacing w:val="2"/>
          <w:sz w:val="15"/>
        </w:rPr>
        <w:t>50%</w:t>
      </w:r>
    </w:p>
    <w:p>
      <w:pPr>
        <w:spacing w:before="50"/>
        <w:ind w:left="0" w:right="971" w:firstLine="0"/>
        <w:jc w:val="right"/>
        <w:rPr>
          <w:rFonts w:ascii="Calibri"/>
          <w:sz w:val="15"/>
        </w:rPr>
      </w:pPr>
      <w:r>
        <w:rPr>
          <w:rFonts w:ascii="Calibri"/>
          <w:spacing w:val="2"/>
          <w:sz w:val="15"/>
        </w:rPr>
        <w:t>40%</w:t>
      </w:r>
    </w:p>
    <w:p>
      <w:pPr>
        <w:spacing w:before="49"/>
        <w:ind w:left="0" w:right="971" w:firstLine="0"/>
        <w:jc w:val="right"/>
        <w:rPr>
          <w:rFonts w:ascii="Calibri"/>
          <w:sz w:val="15"/>
        </w:rPr>
      </w:pPr>
      <w:r>
        <w:rPr>
          <w:rFonts w:ascii="Calibri"/>
          <w:spacing w:val="2"/>
          <w:sz w:val="15"/>
        </w:rPr>
        <w:t>30%</w:t>
      </w:r>
    </w:p>
    <w:p>
      <w:pPr>
        <w:spacing w:before="50"/>
        <w:ind w:left="0" w:right="971" w:firstLine="0"/>
        <w:jc w:val="right"/>
        <w:rPr>
          <w:rFonts w:ascii="Calibri"/>
          <w:sz w:val="15"/>
        </w:rPr>
      </w:pPr>
      <w:r>
        <w:rPr>
          <w:rFonts w:ascii="Calibri"/>
          <w:spacing w:val="2"/>
          <w:sz w:val="15"/>
        </w:rPr>
        <w:t>20%</w:t>
      </w:r>
    </w:p>
    <w:p>
      <w:pPr>
        <w:spacing w:before="50"/>
        <w:ind w:left="0" w:right="971" w:firstLine="0"/>
        <w:jc w:val="right"/>
        <w:rPr>
          <w:rFonts w:ascii="Calibri"/>
          <w:sz w:val="15"/>
        </w:rPr>
      </w:pPr>
      <w:r>
        <w:rPr>
          <w:rFonts w:ascii="Calibri"/>
          <w:spacing w:val="2"/>
          <w:sz w:val="15"/>
        </w:rPr>
        <w:t>10%</w:t>
      </w:r>
    </w:p>
    <w:p>
      <w:pPr>
        <w:spacing w:before="50"/>
        <w:ind w:left="0" w:right="974" w:firstLine="0"/>
        <w:jc w:val="right"/>
        <w:rPr>
          <w:rFonts w:ascii="Calibri"/>
          <w:sz w:val="15"/>
        </w:rPr>
      </w:pPr>
      <w:r>
        <w:rPr>
          <w:rFonts w:ascii="Calibri"/>
          <w:w w:val="105"/>
          <w:sz w:val="15"/>
        </w:rPr>
        <w:t>0%</w:t>
      </w:r>
    </w:p>
    <w:p>
      <w:pPr>
        <w:pStyle w:val="BodyText"/>
        <w:spacing w:before="8"/>
        <w:rPr>
          <w:rFonts w:ascii="Calibri"/>
          <w:sz w:val="5"/>
        </w:rPr>
      </w:pPr>
    </w:p>
    <w:p>
      <w:pPr>
        <w:pStyle w:val="BodyText"/>
        <w:tabs>
          <w:tab w:pos="2667" w:val="left" w:leader="none"/>
        </w:tabs>
        <w:ind w:left="1857" w:right="-44"/>
        <w:rPr>
          <w:rFonts w:ascii="Calibri"/>
        </w:rPr>
      </w:pPr>
      <w:r>
        <w:rPr>
          <w:rFonts w:ascii="Calibri"/>
        </w:rPr>
        <w:drawing>
          <wp:inline distT="0" distB="0" distL="0" distR="0">
            <wp:extent cx="169020" cy="171450"/>
            <wp:effectExtent l="0" t="0" r="0" b="0"/>
            <wp:docPr id="219" name="image113.png"/>
            <wp:cNvGraphicFramePr>
              <a:graphicFrameLocks noChangeAspect="1"/>
            </wp:cNvGraphicFramePr>
            <a:graphic>
              <a:graphicData uri="http://schemas.openxmlformats.org/drawingml/2006/picture">
                <pic:pic>
                  <pic:nvPicPr>
                    <pic:cNvPr id="220" name="image113.png"/>
                    <pic:cNvPicPr/>
                  </pic:nvPicPr>
                  <pic:blipFill>
                    <a:blip r:embed="rId135" cstate="print"/>
                    <a:stretch>
                      <a:fillRect/>
                    </a:stretch>
                  </pic:blipFill>
                  <pic:spPr>
                    <a:xfrm>
                      <a:off x="0" y="0"/>
                      <a:ext cx="169020" cy="171450"/>
                    </a:xfrm>
                    <a:prstGeom prst="rect">
                      <a:avLst/>
                    </a:prstGeom>
                  </pic:spPr>
                </pic:pic>
              </a:graphicData>
            </a:graphic>
          </wp:inline>
        </w:drawing>
      </w:r>
      <w:r>
        <w:rPr>
          <w:rFonts w:ascii="Calibri"/>
        </w:rPr>
      </w:r>
      <w:r>
        <w:rPr>
          <w:rFonts w:ascii="Calibri"/>
        </w:rPr>
        <w:tab/>
      </w:r>
      <w:r>
        <w:rPr>
          <w:rFonts w:ascii="Calibri"/>
        </w:rPr>
        <w:drawing>
          <wp:inline distT="0" distB="0" distL="0" distR="0">
            <wp:extent cx="167405" cy="170021"/>
            <wp:effectExtent l="0" t="0" r="0" b="0"/>
            <wp:docPr id="221" name="image114.png"/>
            <wp:cNvGraphicFramePr>
              <a:graphicFrameLocks noChangeAspect="1"/>
            </wp:cNvGraphicFramePr>
            <a:graphic>
              <a:graphicData uri="http://schemas.openxmlformats.org/drawingml/2006/picture">
                <pic:pic>
                  <pic:nvPicPr>
                    <pic:cNvPr id="222" name="image114.png"/>
                    <pic:cNvPicPr/>
                  </pic:nvPicPr>
                  <pic:blipFill>
                    <a:blip r:embed="rId136" cstate="print"/>
                    <a:stretch>
                      <a:fillRect/>
                    </a:stretch>
                  </pic:blipFill>
                  <pic:spPr>
                    <a:xfrm>
                      <a:off x="0" y="0"/>
                      <a:ext cx="167405" cy="170021"/>
                    </a:xfrm>
                    <a:prstGeom prst="rect">
                      <a:avLst/>
                    </a:prstGeom>
                  </pic:spPr>
                </pic:pic>
              </a:graphicData>
            </a:graphic>
          </wp:inline>
        </w:drawing>
      </w:r>
      <w:r>
        <w:rPr>
          <w:rFonts w:ascii="Calibri"/>
        </w:rPr>
      </w:r>
    </w:p>
    <w:p>
      <w:pPr>
        <w:pStyle w:val="BodyText"/>
        <w:rPr>
          <w:rFonts w:ascii="Calibri"/>
        </w:rPr>
      </w:pPr>
      <w:r>
        <w:rPr/>
        <w:br w:type="column"/>
      </w:r>
      <w:r>
        <w:rPr>
          <w:rFonts w:ascii="Calibri"/>
        </w:rPr>
      </w: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spacing w:before="9"/>
        <w:rPr>
          <w:rFonts w:ascii="Calibri"/>
          <w:sz w:val="24"/>
        </w:rPr>
      </w:pPr>
    </w:p>
    <w:p>
      <w:pPr>
        <w:pStyle w:val="BodyText"/>
        <w:tabs>
          <w:tab w:pos="1318" w:val="left" w:leader="none"/>
          <w:tab w:pos="2128" w:val="left" w:leader="none"/>
          <w:tab w:pos="2938" w:val="left" w:leader="none"/>
          <w:tab w:pos="3748" w:val="left" w:leader="none"/>
        </w:tabs>
        <w:ind w:left="508" w:right="-44"/>
        <w:rPr>
          <w:rFonts w:ascii="Calibri"/>
        </w:rPr>
      </w:pPr>
      <w:r>
        <w:rPr>
          <w:rFonts w:ascii="Calibri"/>
        </w:rPr>
        <w:drawing>
          <wp:inline distT="0" distB="0" distL="0" distR="0">
            <wp:extent cx="169020" cy="171450"/>
            <wp:effectExtent l="0" t="0" r="0" b="0"/>
            <wp:docPr id="223" name="image115.png"/>
            <wp:cNvGraphicFramePr>
              <a:graphicFrameLocks noChangeAspect="1"/>
            </wp:cNvGraphicFramePr>
            <a:graphic>
              <a:graphicData uri="http://schemas.openxmlformats.org/drawingml/2006/picture">
                <pic:pic>
                  <pic:nvPicPr>
                    <pic:cNvPr id="224" name="image115.png"/>
                    <pic:cNvPicPr/>
                  </pic:nvPicPr>
                  <pic:blipFill>
                    <a:blip r:embed="rId137" cstate="print"/>
                    <a:stretch>
                      <a:fillRect/>
                    </a:stretch>
                  </pic:blipFill>
                  <pic:spPr>
                    <a:xfrm>
                      <a:off x="0" y="0"/>
                      <a:ext cx="169020" cy="171450"/>
                    </a:xfrm>
                    <a:prstGeom prst="rect">
                      <a:avLst/>
                    </a:prstGeom>
                  </pic:spPr>
                </pic:pic>
              </a:graphicData>
            </a:graphic>
          </wp:inline>
        </w:drawing>
      </w:r>
      <w:r>
        <w:rPr>
          <w:rFonts w:ascii="Calibri"/>
        </w:rPr>
      </w:r>
      <w:r>
        <w:rPr>
          <w:rFonts w:ascii="Calibri"/>
        </w:rPr>
        <w:tab/>
      </w:r>
      <w:r>
        <w:rPr>
          <w:rFonts w:ascii="Calibri"/>
        </w:rPr>
        <w:drawing>
          <wp:inline distT="0" distB="0" distL="0" distR="0">
            <wp:extent cx="167405" cy="170021"/>
            <wp:effectExtent l="0" t="0" r="0" b="0"/>
            <wp:docPr id="225" name="image116.png"/>
            <wp:cNvGraphicFramePr>
              <a:graphicFrameLocks noChangeAspect="1"/>
            </wp:cNvGraphicFramePr>
            <a:graphic>
              <a:graphicData uri="http://schemas.openxmlformats.org/drawingml/2006/picture">
                <pic:pic>
                  <pic:nvPicPr>
                    <pic:cNvPr id="226" name="image116.png"/>
                    <pic:cNvPicPr/>
                  </pic:nvPicPr>
                  <pic:blipFill>
                    <a:blip r:embed="rId138" cstate="print"/>
                    <a:stretch>
                      <a:fillRect/>
                    </a:stretch>
                  </pic:blipFill>
                  <pic:spPr>
                    <a:xfrm>
                      <a:off x="0" y="0"/>
                      <a:ext cx="167405" cy="170021"/>
                    </a:xfrm>
                    <a:prstGeom prst="rect">
                      <a:avLst/>
                    </a:prstGeom>
                  </pic:spPr>
                </pic:pic>
              </a:graphicData>
            </a:graphic>
          </wp:inline>
        </w:drawing>
      </w:r>
      <w:r>
        <w:rPr>
          <w:rFonts w:ascii="Calibri"/>
        </w:rPr>
      </w:r>
      <w:r>
        <w:rPr>
          <w:rFonts w:ascii="Calibri"/>
        </w:rPr>
        <w:tab/>
      </w:r>
      <w:r>
        <w:rPr>
          <w:rFonts w:ascii="Calibri"/>
        </w:rPr>
        <w:drawing>
          <wp:inline distT="0" distB="0" distL="0" distR="0">
            <wp:extent cx="169020" cy="171450"/>
            <wp:effectExtent l="0" t="0" r="0" b="0"/>
            <wp:docPr id="227" name="image117.png"/>
            <wp:cNvGraphicFramePr>
              <a:graphicFrameLocks noChangeAspect="1"/>
            </wp:cNvGraphicFramePr>
            <a:graphic>
              <a:graphicData uri="http://schemas.openxmlformats.org/drawingml/2006/picture">
                <pic:pic>
                  <pic:nvPicPr>
                    <pic:cNvPr id="228" name="image117.png"/>
                    <pic:cNvPicPr/>
                  </pic:nvPicPr>
                  <pic:blipFill>
                    <a:blip r:embed="rId139" cstate="print"/>
                    <a:stretch>
                      <a:fillRect/>
                    </a:stretch>
                  </pic:blipFill>
                  <pic:spPr>
                    <a:xfrm>
                      <a:off x="0" y="0"/>
                      <a:ext cx="169020" cy="171450"/>
                    </a:xfrm>
                    <a:prstGeom prst="rect">
                      <a:avLst/>
                    </a:prstGeom>
                  </pic:spPr>
                </pic:pic>
              </a:graphicData>
            </a:graphic>
          </wp:inline>
        </w:drawing>
      </w:r>
      <w:r>
        <w:rPr>
          <w:rFonts w:ascii="Calibri"/>
        </w:rPr>
      </w:r>
      <w:r>
        <w:rPr>
          <w:rFonts w:ascii="Calibri"/>
        </w:rPr>
        <w:tab/>
      </w:r>
      <w:r>
        <w:rPr>
          <w:rFonts w:ascii="Calibri"/>
        </w:rPr>
        <w:drawing>
          <wp:inline distT="0" distB="0" distL="0" distR="0">
            <wp:extent cx="167405" cy="170021"/>
            <wp:effectExtent l="0" t="0" r="0" b="0"/>
            <wp:docPr id="229" name="image118.png"/>
            <wp:cNvGraphicFramePr>
              <a:graphicFrameLocks noChangeAspect="1"/>
            </wp:cNvGraphicFramePr>
            <a:graphic>
              <a:graphicData uri="http://schemas.openxmlformats.org/drawingml/2006/picture">
                <pic:pic>
                  <pic:nvPicPr>
                    <pic:cNvPr id="230" name="image118.png"/>
                    <pic:cNvPicPr/>
                  </pic:nvPicPr>
                  <pic:blipFill>
                    <a:blip r:embed="rId140" cstate="print"/>
                    <a:stretch>
                      <a:fillRect/>
                    </a:stretch>
                  </pic:blipFill>
                  <pic:spPr>
                    <a:xfrm>
                      <a:off x="0" y="0"/>
                      <a:ext cx="167405" cy="170021"/>
                    </a:xfrm>
                    <a:prstGeom prst="rect">
                      <a:avLst/>
                    </a:prstGeom>
                  </pic:spPr>
                </pic:pic>
              </a:graphicData>
            </a:graphic>
          </wp:inline>
        </w:drawing>
      </w:r>
      <w:r>
        <w:rPr>
          <w:rFonts w:ascii="Calibri"/>
        </w:rPr>
      </w:r>
      <w:r>
        <w:rPr>
          <w:rFonts w:ascii="Calibri"/>
        </w:rPr>
        <w:tab/>
      </w:r>
      <w:r>
        <w:rPr>
          <w:rFonts w:ascii="Calibri"/>
        </w:rPr>
        <w:drawing>
          <wp:inline distT="0" distB="0" distL="0" distR="0">
            <wp:extent cx="169020" cy="171450"/>
            <wp:effectExtent l="0" t="0" r="0" b="0"/>
            <wp:docPr id="231" name="image119.png"/>
            <wp:cNvGraphicFramePr>
              <a:graphicFrameLocks noChangeAspect="1"/>
            </wp:cNvGraphicFramePr>
            <a:graphic>
              <a:graphicData uri="http://schemas.openxmlformats.org/drawingml/2006/picture">
                <pic:pic>
                  <pic:nvPicPr>
                    <pic:cNvPr id="232" name="image119.png"/>
                    <pic:cNvPicPr/>
                  </pic:nvPicPr>
                  <pic:blipFill>
                    <a:blip r:embed="rId141" cstate="print"/>
                    <a:stretch>
                      <a:fillRect/>
                    </a:stretch>
                  </pic:blipFill>
                  <pic:spPr>
                    <a:xfrm>
                      <a:off x="0" y="0"/>
                      <a:ext cx="169020" cy="171450"/>
                    </a:xfrm>
                    <a:prstGeom prst="rect">
                      <a:avLst/>
                    </a:prstGeom>
                  </pic:spPr>
                </pic:pic>
              </a:graphicData>
            </a:graphic>
          </wp:inline>
        </w:drawing>
      </w:r>
      <w:r>
        <w:rPr>
          <w:rFonts w:ascii="Calibri"/>
        </w:rPr>
      </w:r>
    </w:p>
    <w:p>
      <w:pPr>
        <w:spacing w:before="91"/>
        <w:ind w:left="1390" w:right="2288" w:firstLine="0"/>
        <w:jc w:val="center"/>
        <w:rPr>
          <w:rFonts w:ascii="Calibri"/>
          <w:b/>
          <w:sz w:val="15"/>
        </w:rPr>
      </w:pPr>
      <w:r>
        <w:rPr>
          <w:rFonts w:ascii="Calibri"/>
          <w:b/>
          <w:w w:val="105"/>
          <w:sz w:val="15"/>
        </w:rPr>
        <w:t>Year</w:t>
      </w:r>
    </w:p>
    <w:p>
      <w:pPr>
        <w:pStyle w:val="BodyText"/>
        <w:rPr>
          <w:rFonts w:ascii="Calibri"/>
          <w:b/>
          <w:sz w:val="14"/>
        </w:rPr>
      </w:pPr>
      <w:r>
        <w:rPr/>
        <w:br w:type="column"/>
      </w:r>
      <w:r>
        <w:rPr>
          <w:rFonts w:ascii="Calibri"/>
          <w:b/>
          <w:sz w:val="14"/>
        </w:rPr>
      </w:r>
    </w:p>
    <w:p>
      <w:pPr>
        <w:pStyle w:val="BodyText"/>
        <w:spacing w:before="5"/>
        <w:rPr>
          <w:rFonts w:ascii="Calibri"/>
          <w:b/>
          <w:sz w:val="12"/>
        </w:rPr>
      </w:pPr>
    </w:p>
    <w:p>
      <w:pPr>
        <w:spacing w:before="0"/>
        <w:ind w:left="978" w:right="0" w:firstLine="0"/>
        <w:jc w:val="left"/>
        <w:rPr>
          <w:rFonts w:ascii="Calibri"/>
          <w:sz w:val="14"/>
        </w:rPr>
      </w:pPr>
      <w:r>
        <w:rPr>
          <w:rFonts w:ascii="Calibri"/>
          <w:sz w:val="14"/>
        </w:rPr>
        <w:t>Class key:</w:t>
      </w:r>
    </w:p>
    <w:p>
      <w:pPr>
        <w:pStyle w:val="ListParagraph"/>
        <w:numPr>
          <w:ilvl w:val="0"/>
          <w:numId w:val="52"/>
        </w:numPr>
        <w:tabs>
          <w:tab w:pos="1435" w:val="left" w:leader="none"/>
        </w:tabs>
        <w:spacing w:line="240" w:lineRule="auto" w:before="15" w:after="0"/>
        <w:ind w:left="1434" w:right="0" w:hanging="103"/>
        <w:jc w:val="left"/>
        <w:rPr>
          <w:rFonts w:ascii="Calibri"/>
          <w:sz w:val="14"/>
        </w:rPr>
      </w:pPr>
      <w:r>
        <w:rPr/>
        <w:pict>
          <v:group style="position:absolute;margin-left:404.960632pt;margin-top:.043867pt;width:17.9pt;height:130.5pt;mso-position-horizontal-relative:page;mso-position-vertical-relative:paragraph;z-index:252374016" coordorigin="8099,1" coordsize="358,2610">
            <v:rect style="position:absolute;left:8102;top:0;width:354;height:186" filled="true" fillcolor="#1f487c" stroked="false">
              <v:fill type="solid"/>
            </v:rect>
            <v:rect style="position:absolute;left:8102;top:186;width:354;height:186" filled="true" fillcolor="#009544" stroked="false">
              <v:fill type="solid"/>
            </v:rect>
            <v:rect style="position:absolute;left:8102;top:372;width:354;height:186" filled="true" fillcolor="#e16b09" stroked="false">
              <v:fill type="solid"/>
            </v:rect>
            <v:rect style="position:absolute;left:8102;top:558;width:354;height:186" filled="true" fillcolor="#e08ad6" stroked="false">
              <v:fill type="solid"/>
            </v:rect>
            <v:rect style="position:absolute;left:8102;top:744;width:354;height:186" filled="true" fillcolor="#8063a1" stroked="false">
              <v:fill type="solid"/>
            </v:rect>
            <v:rect style="position:absolute;left:8102;top:930;width:354;height:186" filled="true" fillcolor="#c0504d" stroked="false">
              <v:fill type="solid"/>
            </v:rect>
            <v:rect style="position:absolute;left:8102;top:1116;width:354;height:186" filled="true" fillcolor="#f8a763" stroked="false">
              <v:fill type="solid"/>
            </v:rect>
            <v:rect style="position:absolute;left:8102;top:1302;width:354;height:186" filled="true" fillcolor="#ecb8e7" stroked="false">
              <v:fill type="solid"/>
            </v:rect>
            <v:rect style="position:absolute;left:8102;top:1488;width:354;height:186" filled="true" fillcolor="#938953" stroked="false">
              <v:fill type="solid"/>
            </v:rect>
            <v:rect style="position:absolute;left:8102;top:1674;width:354;height:186" filled="true" fillcolor="#ffd600" stroked="false">
              <v:fill type="solid"/>
            </v:rect>
            <v:rect style="position:absolute;left:8102;top:1859;width:354;height:186" filled="true" fillcolor="#000000" stroked="false">
              <v:fill type="solid"/>
            </v:rect>
            <v:rect style="position:absolute;left:8102;top:2045;width:354;height:186" filled="true" fillcolor="#ffeb8f" stroked="false">
              <v:fill type="solid"/>
            </v:rect>
            <v:rect style="position:absolute;left:8102;top:2231;width:354;height:379" filled="true" fillcolor="#a6a6a6" stroked="false">
              <v:fill type="solid"/>
            </v:rect>
            <v:line style="position:absolute" from="8449,7" to="8449,2610" stroked="true" strokeweight="0pt" strokecolor="#ffffff">
              <v:stroke dashstyle="solid"/>
            </v:line>
            <v:line style="position:absolute" from="8452,7" to="8452,2610" stroked="true" strokeweight=".321105pt" strokecolor="#ffffff">
              <v:stroke dashstyle="solid"/>
            </v:line>
            <v:line style="position:absolute" from="8102,4" to="8456,4" stroked="true" strokeweight=".320535pt" strokecolor="#ffffff">
              <v:stroke dashstyle="solid"/>
            </v:line>
            <v:line style="position:absolute" from="8102,187" to="8456,187" stroked="true" strokeweight="0pt" strokecolor="#ffffff">
              <v:stroke dashstyle="solid"/>
            </v:line>
            <v:line style="position:absolute" from="8102,190" to="8456,190" stroked="true" strokeweight=".320856pt" strokecolor="#ffffff">
              <v:stroke dashstyle="solid"/>
            </v:line>
            <v:line style="position:absolute" from="8102,373" to="8456,373" stroked="true" strokeweight="0pt" strokecolor="#ffffff">
              <v:stroke dashstyle="solid"/>
            </v:line>
            <v:line style="position:absolute" from="8102,376" to="8456,376" stroked="true" strokeweight=".320535pt" strokecolor="#ffffff">
              <v:stroke dashstyle="solid"/>
            </v:line>
            <v:line style="position:absolute" from="8102,559" to="8456,559" stroked="true" strokeweight="0pt" strokecolor="#ffffff">
              <v:stroke dashstyle="solid"/>
            </v:line>
            <v:line style="position:absolute" from="8102,562" to="8456,562" stroked="true" strokeweight=".320535pt" strokecolor="#ffffff">
              <v:stroke dashstyle="solid"/>
            </v:line>
            <v:line style="position:absolute" from="8102,745" to="8456,745" stroked="true" strokeweight="0pt" strokecolor="#ffffff">
              <v:stroke dashstyle="solid"/>
            </v:line>
            <v:line style="position:absolute" from="8102,748" to="8456,748" stroked="true" strokeweight=".320535pt" strokecolor="#ffffff">
              <v:stroke dashstyle="solid"/>
            </v:line>
            <v:line style="position:absolute" from="8102,930" to="8456,930" stroked="true" strokeweight="0pt" strokecolor="#ffffff">
              <v:stroke dashstyle="solid"/>
            </v:line>
            <v:line style="position:absolute" from="8102,934" to="8456,934" stroked="true" strokeweight=".320535pt" strokecolor="#ffffff">
              <v:stroke dashstyle="solid"/>
            </v:line>
            <v:line style="position:absolute" from="8102,1116" to="8456,1116" stroked="true" strokeweight="0pt" strokecolor="#ffffff">
              <v:stroke dashstyle="solid"/>
            </v:line>
            <v:line style="position:absolute" from="8102,1120" to="8456,1120" stroked="true" strokeweight=".320535pt" strokecolor="#ffffff">
              <v:stroke dashstyle="solid"/>
            </v:line>
            <v:line style="position:absolute" from="8102,1302" to="8456,1302" stroked="true" strokeweight="0pt" strokecolor="#ffffff">
              <v:stroke dashstyle="solid"/>
            </v:line>
            <v:line style="position:absolute" from="8102,1305" to="8456,1305" stroked="true" strokeweight=".320535pt" strokecolor="#ffffff">
              <v:stroke dashstyle="solid"/>
            </v:line>
            <v:line style="position:absolute" from="8102,1488" to="8456,1488" stroked="true" strokeweight="0pt" strokecolor="#ffffff">
              <v:stroke dashstyle="solid"/>
            </v:line>
            <v:line style="position:absolute" from="8102,1491" to="8456,1491" stroked="true" strokeweight=".320535pt" strokecolor="#ffffff">
              <v:stroke dashstyle="solid"/>
            </v:line>
            <v:line style="position:absolute" from="8102,1674" to="8456,1674" stroked="true" strokeweight="0pt" strokecolor="#ffffff">
              <v:stroke dashstyle="solid"/>
            </v:line>
            <v:line style="position:absolute" from="8102,1677" to="8456,1677" stroked="true" strokeweight=".320535pt" strokecolor="#ffffff">
              <v:stroke dashstyle="solid"/>
            </v:line>
            <v:line style="position:absolute" from="8102,1860" to="8456,1860" stroked="true" strokeweight="0pt" strokecolor="#ffffff">
              <v:stroke dashstyle="solid"/>
            </v:line>
            <v:line style="position:absolute" from="8102,1863" to="8456,1863" stroked="true" strokeweight=".320856pt" strokecolor="#ffffff">
              <v:stroke dashstyle="solid"/>
            </v:line>
            <v:line style="position:absolute" from="8102,2046" to="8456,2046" stroked="true" strokeweight="0pt" strokecolor="#ffffff">
              <v:stroke dashstyle="solid"/>
            </v:line>
            <v:line style="position:absolute" from="8102,2049" to="8456,2049" stroked="true" strokeweight=".320535pt" strokecolor="#ffffff">
              <v:stroke dashstyle="solid"/>
            </v:line>
            <v:line style="position:absolute" from="8102,2232" to="8456,2232" stroked="true" strokeweight="0pt" strokecolor="#ffffff">
              <v:stroke dashstyle="solid"/>
            </v:line>
            <v:line style="position:absolute" from="8102,2235" to="8456,2235" stroked="true" strokeweight=".320535pt" strokecolor="#ffffff">
              <v:stroke dashstyle="solid"/>
            </v:line>
            <v:line style="position:absolute" from="8102,2418" to="8456,2418" stroked="true" strokeweight="0pt" strokecolor="#ffffff">
              <v:stroke dashstyle="solid"/>
            </v:line>
            <v:line style="position:absolute" from="8102,2421" to="8456,2421" stroked="true" strokeweight=".320535pt" strokecolor="#ffffff">
              <v:stroke dashstyle="solid"/>
            </v:line>
            <v:line style="position:absolute" from="8102,2604" to="8456,2604" stroked="true" strokeweight="0pt" strokecolor="#ffffff">
              <v:stroke dashstyle="solid"/>
            </v:line>
            <v:line style="position:absolute" from="8102,2607" to="8456,2607" stroked="true" strokeweight=".320535pt" strokecolor="#ffffff">
              <v:stroke dashstyle="solid"/>
            </v:line>
            <v:line style="position:absolute" from="8099,2344" to="8457,2344" stroked="true" strokeweight=".961678pt" strokecolor="#ffffff">
              <v:stroke dashstyle="solid"/>
            </v:line>
            <v:line style="position:absolute" from="8099,2517" to="8457,2517" stroked="true" strokeweight=".961678pt" strokecolor="#ffffff">
              <v:stroke dashstyle="solid"/>
            </v:line>
            <w10:wrap type="none"/>
          </v:group>
        </w:pict>
      </w:r>
      <w:r>
        <w:rPr>
          <w:rFonts w:ascii="Calibri"/>
          <w:sz w:val="14"/>
        </w:rPr>
        <w:t>Studying</w:t>
      </w:r>
    </w:p>
    <w:p>
      <w:pPr>
        <w:pStyle w:val="ListParagraph"/>
        <w:numPr>
          <w:ilvl w:val="0"/>
          <w:numId w:val="52"/>
        </w:numPr>
        <w:tabs>
          <w:tab w:pos="1435" w:val="left" w:leader="none"/>
        </w:tabs>
        <w:spacing w:line="240" w:lineRule="auto" w:before="15" w:after="0"/>
        <w:ind w:left="1434" w:right="0" w:hanging="103"/>
        <w:jc w:val="left"/>
        <w:rPr>
          <w:rFonts w:ascii="Calibri"/>
          <w:sz w:val="14"/>
        </w:rPr>
      </w:pPr>
      <w:r>
        <w:rPr>
          <w:rFonts w:ascii="Calibri"/>
          <w:sz w:val="14"/>
        </w:rPr>
        <w:t>Working</w:t>
      </w:r>
      <w:r>
        <w:rPr>
          <w:rFonts w:ascii="Calibri"/>
          <w:spacing w:val="-2"/>
          <w:sz w:val="14"/>
        </w:rPr>
        <w:t> </w:t>
      </w:r>
      <w:r>
        <w:rPr>
          <w:rFonts w:ascii="Calibri"/>
          <w:sz w:val="14"/>
        </w:rPr>
        <w:t>Age</w:t>
      </w:r>
    </w:p>
    <w:p>
      <w:pPr>
        <w:pStyle w:val="ListParagraph"/>
        <w:numPr>
          <w:ilvl w:val="0"/>
          <w:numId w:val="52"/>
        </w:numPr>
        <w:tabs>
          <w:tab w:pos="1435" w:val="left" w:leader="none"/>
        </w:tabs>
        <w:spacing w:line="240" w:lineRule="auto" w:before="15" w:after="0"/>
        <w:ind w:left="1434" w:right="0" w:hanging="103"/>
        <w:jc w:val="left"/>
        <w:rPr>
          <w:rFonts w:ascii="Calibri"/>
          <w:sz w:val="14"/>
        </w:rPr>
      </w:pPr>
      <w:r>
        <w:rPr>
          <w:rFonts w:ascii="Calibri"/>
          <w:sz w:val="14"/>
        </w:rPr>
        <w:t>Parents</w:t>
      </w:r>
    </w:p>
    <w:p>
      <w:pPr>
        <w:pStyle w:val="ListParagraph"/>
        <w:numPr>
          <w:ilvl w:val="0"/>
          <w:numId w:val="52"/>
        </w:numPr>
        <w:tabs>
          <w:tab w:pos="1435" w:val="left" w:leader="none"/>
        </w:tabs>
        <w:spacing w:line="240" w:lineRule="auto" w:before="15" w:after="0"/>
        <w:ind w:left="1434" w:right="0" w:hanging="103"/>
        <w:jc w:val="left"/>
        <w:rPr>
          <w:rFonts w:ascii="Calibri"/>
          <w:sz w:val="14"/>
        </w:rPr>
      </w:pPr>
      <w:r>
        <w:rPr>
          <w:rFonts w:ascii="Calibri"/>
          <w:sz w:val="14"/>
        </w:rPr>
        <w:t>Carers</w:t>
      </w:r>
    </w:p>
    <w:p>
      <w:pPr>
        <w:pStyle w:val="ListParagraph"/>
        <w:numPr>
          <w:ilvl w:val="0"/>
          <w:numId w:val="52"/>
        </w:numPr>
        <w:tabs>
          <w:tab w:pos="1435" w:val="left" w:leader="none"/>
        </w:tabs>
        <w:spacing w:line="240" w:lineRule="auto" w:before="15" w:after="0"/>
        <w:ind w:left="1434" w:right="0" w:hanging="103"/>
        <w:jc w:val="left"/>
        <w:rPr>
          <w:rFonts w:ascii="Calibri"/>
          <w:sz w:val="14"/>
        </w:rPr>
      </w:pPr>
      <w:r>
        <w:rPr>
          <w:rFonts w:ascii="Calibri"/>
          <w:sz w:val="14"/>
        </w:rPr>
        <w:t>Disability Support</w:t>
      </w:r>
    </w:p>
    <w:p>
      <w:pPr>
        <w:pStyle w:val="ListParagraph"/>
        <w:numPr>
          <w:ilvl w:val="0"/>
          <w:numId w:val="52"/>
        </w:numPr>
        <w:tabs>
          <w:tab w:pos="1435" w:val="left" w:leader="none"/>
        </w:tabs>
        <w:spacing w:line="261" w:lineRule="auto" w:before="15" w:after="0"/>
        <w:ind w:left="1332" w:right="2537" w:firstLine="0"/>
        <w:jc w:val="left"/>
        <w:rPr>
          <w:rFonts w:ascii="Calibri"/>
          <w:sz w:val="14"/>
        </w:rPr>
      </w:pPr>
      <w:r>
        <w:rPr>
          <w:rFonts w:ascii="Calibri"/>
          <w:sz w:val="14"/>
        </w:rPr>
        <w:t>Pension Age 7 Non IS Family 8 Non IS Carer 9 Non IS</w:t>
      </w:r>
      <w:r>
        <w:rPr>
          <w:rFonts w:ascii="Calibri"/>
          <w:spacing w:val="7"/>
          <w:sz w:val="14"/>
        </w:rPr>
        <w:t> </w:t>
      </w:r>
      <w:r>
        <w:rPr>
          <w:rFonts w:ascii="Calibri"/>
          <w:sz w:val="14"/>
        </w:rPr>
        <w:t>Other</w:t>
      </w:r>
    </w:p>
    <w:p>
      <w:pPr>
        <w:spacing w:line="261" w:lineRule="auto" w:before="0"/>
        <w:ind w:left="1332" w:right="1600" w:firstLine="0"/>
        <w:jc w:val="left"/>
        <w:rPr>
          <w:rFonts w:ascii="Calibri"/>
          <w:sz w:val="14"/>
        </w:rPr>
      </w:pPr>
      <w:r>
        <w:rPr>
          <w:rFonts w:ascii="Calibri"/>
          <w:sz w:val="14"/>
        </w:rPr>
        <w:t>10 Previous Welfare Recipient 11 Dead</w:t>
      </w:r>
    </w:p>
    <w:p>
      <w:pPr>
        <w:spacing w:line="261" w:lineRule="auto" w:before="0"/>
        <w:ind w:left="1332" w:right="1724" w:firstLine="0"/>
        <w:jc w:val="left"/>
        <w:rPr>
          <w:rFonts w:ascii="Calibri"/>
          <w:sz w:val="14"/>
        </w:rPr>
      </w:pPr>
      <w:r>
        <w:rPr>
          <w:rFonts w:ascii="Calibri"/>
          <w:sz w:val="14"/>
        </w:rPr>
        <w:t>12 Rest of Aust. Population Prior valuation - all active Prior valuation - current class</w:t>
      </w:r>
    </w:p>
    <w:p>
      <w:pPr>
        <w:spacing w:after="0" w:line="261" w:lineRule="auto"/>
        <w:jc w:val="left"/>
        <w:rPr>
          <w:rFonts w:ascii="Calibri"/>
          <w:sz w:val="14"/>
        </w:rPr>
        <w:sectPr>
          <w:type w:val="continuous"/>
          <w:pgSz w:w="11910" w:h="16850"/>
          <w:pgMar w:top="1600" w:bottom="280" w:left="120" w:right="0"/>
          <w:cols w:num="3" w:equalWidth="0">
            <w:col w:w="2930" w:space="40"/>
            <w:col w:w="4014" w:space="39"/>
            <w:col w:w="4767"/>
          </w:cols>
        </w:sectPr>
      </w:pPr>
    </w:p>
    <w:p>
      <w:pPr>
        <w:pStyle w:val="BodyText"/>
        <w:spacing w:before="7"/>
        <w:rPr>
          <w:rFonts w:ascii="Calibri"/>
          <w:sz w:val="21"/>
        </w:rPr>
      </w:pPr>
    </w:p>
    <w:p>
      <w:pPr>
        <w:pStyle w:val="BodyText"/>
        <w:spacing w:before="93"/>
        <w:ind w:left="900"/>
      </w:pPr>
      <w:r>
        <w:rPr>
          <w:color w:val="404040"/>
        </w:rPr>
        <w:t>The model projections indicate that:</w:t>
      </w:r>
    </w:p>
    <w:p>
      <w:pPr>
        <w:pStyle w:val="ListParagraph"/>
        <w:numPr>
          <w:ilvl w:val="0"/>
          <w:numId w:val="50"/>
        </w:numPr>
        <w:tabs>
          <w:tab w:pos="1184" w:val="left" w:leader="none"/>
        </w:tabs>
        <w:spacing w:line="240" w:lineRule="auto" w:before="117" w:after="0"/>
        <w:ind w:left="1183" w:right="1265" w:hanging="284"/>
        <w:jc w:val="left"/>
        <w:rPr>
          <w:sz w:val="20"/>
        </w:rPr>
      </w:pPr>
      <w:r>
        <w:rPr>
          <w:color w:val="404040"/>
          <w:sz w:val="20"/>
        </w:rPr>
        <w:t>More than 60% of the people in this class are projected to remain there for the next five years (or exit and subsequently</w:t>
      </w:r>
      <w:r>
        <w:rPr>
          <w:color w:val="404040"/>
          <w:spacing w:val="-7"/>
          <w:sz w:val="20"/>
        </w:rPr>
        <w:t> </w:t>
      </w:r>
      <w:r>
        <w:rPr>
          <w:color w:val="404040"/>
          <w:sz w:val="20"/>
        </w:rPr>
        <w:t>return)</w:t>
      </w:r>
      <w:r>
        <w:rPr>
          <w:color w:val="404040"/>
          <w:spacing w:val="-3"/>
          <w:sz w:val="20"/>
        </w:rPr>
        <w:t> </w:t>
      </w:r>
      <w:r>
        <w:rPr>
          <w:color w:val="404040"/>
          <w:sz w:val="20"/>
        </w:rPr>
        <w:t>and</w:t>
      </w:r>
      <w:r>
        <w:rPr>
          <w:color w:val="404040"/>
          <w:spacing w:val="-4"/>
          <w:sz w:val="20"/>
        </w:rPr>
        <w:t> </w:t>
      </w:r>
      <w:r>
        <w:rPr>
          <w:color w:val="404040"/>
          <w:sz w:val="20"/>
        </w:rPr>
        <w:t>over</w:t>
      </w:r>
      <w:r>
        <w:rPr>
          <w:color w:val="404040"/>
          <w:spacing w:val="-2"/>
          <w:sz w:val="20"/>
        </w:rPr>
        <w:t> </w:t>
      </w:r>
      <w:r>
        <w:rPr>
          <w:color w:val="404040"/>
          <w:sz w:val="20"/>
        </w:rPr>
        <w:t>40%</w:t>
      </w:r>
      <w:r>
        <w:rPr>
          <w:color w:val="404040"/>
          <w:spacing w:val="-3"/>
          <w:sz w:val="20"/>
        </w:rPr>
        <w:t> </w:t>
      </w:r>
      <w:r>
        <w:rPr>
          <w:color w:val="404040"/>
          <w:sz w:val="20"/>
        </w:rPr>
        <w:t>are</w:t>
      </w:r>
      <w:r>
        <w:rPr>
          <w:color w:val="404040"/>
          <w:spacing w:val="-2"/>
          <w:sz w:val="20"/>
        </w:rPr>
        <w:t> </w:t>
      </w:r>
      <w:r>
        <w:rPr>
          <w:color w:val="404040"/>
          <w:sz w:val="20"/>
        </w:rPr>
        <w:t>projected</w:t>
      </w:r>
      <w:r>
        <w:rPr>
          <w:color w:val="404040"/>
          <w:spacing w:val="-2"/>
          <w:sz w:val="20"/>
        </w:rPr>
        <w:t> </w:t>
      </w:r>
      <w:r>
        <w:rPr>
          <w:color w:val="404040"/>
          <w:sz w:val="20"/>
        </w:rPr>
        <w:t>to</w:t>
      </w:r>
      <w:r>
        <w:rPr>
          <w:color w:val="404040"/>
          <w:spacing w:val="-3"/>
          <w:sz w:val="20"/>
        </w:rPr>
        <w:t> </w:t>
      </w:r>
      <w:r>
        <w:rPr>
          <w:color w:val="404040"/>
          <w:sz w:val="20"/>
        </w:rPr>
        <w:t>still</w:t>
      </w:r>
      <w:r>
        <w:rPr>
          <w:color w:val="404040"/>
          <w:spacing w:val="-3"/>
          <w:sz w:val="20"/>
        </w:rPr>
        <w:t> </w:t>
      </w:r>
      <w:r>
        <w:rPr>
          <w:color w:val="404040"/>
          <w:sz w:val="20"/>
        </w:rPr>
        <w:t>be</w:t>
      </w:r>
      <w:r>
        <w:rPr>
          <w:color w:val="404040"/>
          <w:spacing w:val="-3"/>
          <w:sz w:val="20"/>
        </w:rPr>
        <w:t> </w:t>
      </w:r>
      <w:r>
        <w:rPr>
          <w:color w:val="404040"/>
          <w:sz w:val="20"/>
        </w:rPr>
        <w:t>receiving</w:t>
      </w:r>
      <w:r>
        <w:rPr>
          <w:color w:val="404040"/>
          <w:spacing w:val="-4"/>
          <w:sz w:val="20"/>
        </w:rPr>
        <w:t> </w:t>
      </w:r>
      <w:r>
        <w:rPr>
          <w:color w:val="404040"/>
          <w:sz w:val="20"/>
        </w:rPr>
        <w:t>the</w:t>
      </w:r>
      <w:r>
        <w:rPr>
          <w:color w:val="404040"/>
          <w:spacing w:val="-4"/>
          <w:sz w:val="20"/>
        </w:rPr>
        <w:t> </w:t>
      </w:r>
      <w:r>
        <w:rPr>
          <w:color w:val="404040"/>
          <w:sz w:val="20"/>
        </w:rPr>
        <w:t>Carer</w:t>
      </w:r>
      <w:r>
        <w:rPr>
          <w:color w:val="404040"/>
          <w:spacing w:val="-1"/>
          <w:sz w:val="20"/>
        </w:rPr>
        <w:t> </w:t>
      </w:r>
      <w:r>
        <w:rPr>
          <w:color w:val="404040"/>
          <w:sz w:val="20"/>
        </w:rPr>
        <w:t>Payment</w:t>
      </w:r>
      <w:r>
        <w:rPr>
          <w:color w:val="404040"/>
          <w:spacing w:val="-2"/>
          <w:sz w:val="20"/>
        </w:rPr>
        <w:t> </w:t>
      </w:r>
      <w:r>
        <w:rPr>
          <w:color w:val="404040"/>
          <w:sz w:val="20"/>
        </w:rPr>
        <w:t>in</w:t>
      </w:r>
      <w:r>
        <w:rPr>
          <w:color w:val="404040"/>
          <w:spacing w:val="-3"/>
          <w:sz w:val="20"/>
        </w:rPr>
        <w:t> </w:t>
      </w:r>
      <w:r>
        <w:rPr>
          <w:color w:val="404040"/>
          <w:sz w:val="20"/>
        </w:rPr>
        <w:t>10</w:t>
      </w:r>
      <w:r>
        <w:rPr>
          <w:color w:val="404040"/>
          <w:spacing w:val="1"/>
          <w:sz w:val="20"/>
        </w:rPr>
        <w:t> </w:t>
      </w:r>
      <w:r>
        <w:rPr>
          <w:color w:val="404040"/>
          <w:sz w:val="20"/>
        </w:rPr>
        <w:t>years’</w:t>
      </w:r>
      <w:r>
        <w:rPr>
          <w:color w:val="404040"/>
          <w:spacing w:val="-3"/>
          <w:sz w:val="20"/>
        </w:rPr>
        <w:t> </w:t>
      </w:r>
      <w:r>
        <w:rPr>
          <w:color w:val="404040"/>
          <w:sz w:val="20"/>
        </w:rPr>
        <w:t>time.</w:t>
      </w:r>
    </w:p>
    <w:p>
      <w:pPr>
        <w:pStyle w:val="ListParagraph"/>
        <w:numPr>
          <w:ilvl w:val="0"/>
          <w:numId w:val="50"/>
        </w:numPr>
        <w:tabs>
          <w:tab w:pos="1184" w:val="left" w:leader="none"/>
        </w:tabs>
        <w:spacing w:line="240" w:lineRule="auto" w:before="120" w:after="0"/>
        <w:ind w:left="1183" w:right="0" w:hanging="285"/>
        <w:jc w:val="left"/>
        <w:rPr>
          <w:sz w:val="20"/>
        </w:rPr>
      </w:pPr>
      <w:r>
        <w:rPr>
          <w:color w:val="404040"/>
          <w:sz w:val="20"/>
        </w:rPr>
        <w:t>For those who are projected to exit over the next 10</w:t>
      </w:r>
      <w:r>
        <w:rPr>
          <w:color w:val="404040"/>
          <w:spacing w:val="-2"/>
          <w:sz w:val="20"/>
        </w:rPr>
        <w:t> </w:t>
      </w:r>
      <w:r>
        <w:rPr>
          <w:color w:val="404040"/>
          <w:sz w:val="20"/>
        </w:rPr>
        <w:t>years:</w:t>
      </w:r>
    </w:p>
    <w:p>
      <w:pPr>
        <w:pStyle w:val="ListParagraph"/>
        <w:numPr>
          <w:ilvl w:val="1"/>
          <w:numId w:val="50"/>
        </w:numPr>
        <w:tabs>
          <w:tab w:pos="1467" w:val="left" w:leader="none"/>
        </w:tabs>
        <w:spacing w:line="240" w:lineRule="auto" w:before="119" w:after="0"/>
        <w:ind w:left="1468" w:right="1240" w:hanging="286"/>
        <w:jc w:val="left"/>
        <w:rPr>
          <w:sz w:val="20"/>
        </w:rPr>
      </w:pPr>
      <w:r>
        <w:rPr>
          <w:color w:val="404040"/>
          <w:sz w:val="20"/>
        </w:rPr>
        <w:t>Around</w:t>
      </w:r>
      <w:r>
        <w:rPr>
          <w:color w:val="404040"/>
          <w:spacing w:val="-4"/>
          <w:sz w:val="20"/>
        </w:rPr>
        <w:t> </w:t>
      </w:r>
      <w:r>
        <w:rPr>
          <w:color w:val="404040"/>
          <w:sz w:val="20"/>
        </w:rPr>
        <w:t>two</w:t>
      </w:r>
      <w:r>
        <w:rPr>
          <w:color w:val="404040"/>
          <w:spacing w:val="-4"/>
          <w:sz w:val="20"/>
        </w:rPr>
        <w:t> </w:t>
      </w:r>
      <w:r>
        <w:rPr>
          <w:color w:val="404040"/>
          <w:sz w:val="20"/>
        </w:rPr>
        <w:t>thirds</w:t>
      </w:r>
      <w:r>
        <w:rPr>
          <w:color w:val="404040"/>
          <w:spacing w:val="-3"/>
          <w:sz w:val="20"/>
        </w:rPr>
        <w:t> </w:t>
      </w:r>
      <w:r>
        <w:rPr>
          <w:color w:val="404040"/>
          <w:sz w:val="20"/>
        </w:rPr>
        <w:t>of</w:t>
      </w:r>
      <w:r>
        <w:rPr>
          <w:color w:val="404040"/>
          <w:spacing w:val="-3"/>
          <w:sz w:val="20"/>
        </w:rPr>
        <w:t> </w:t>
      </w:r>
      <w:r>
        <w:rPr>
          <w:color w:val="404040"/>
          <w:sz w:val="20"/>
        </w:rPr>
        <w:t>these</w:t>
      </w:r>
      <w:r>
        <w:rPr>
          <w:color w:val="404040"/>
          <w:spacing w:val="-2"/>
          <w:sz w:val="20"/>
        </w:rPr>
        <w:t> </w:t>
      </w:r>
      <w:r>
        <w:rPr>
          <w:color w:val="404040"/>
          <w:sz w:val="20"/>
        </w:rPr>
        <w:t>move</w:t>
      </w:r>
      <w:r>
        <w:rPr>
          <w:color w:val="404040"/>
          <w:spacing w:val="-4"/>
          <w:sz w:val="20"/>
        </w:rPr>
        <w:t> </w:t>
      </w:r>
      <w:r>
        <w:rPr>
          <w:color w:val="404040"/>
          <w:sz w:val="20"/>
        </w:rPr>
        <w:t>onto</w:t>
      </w:r>
      <w:r>
        <w:rPr>
          <w:color w:val="404040"/>
          <w:spacing w:val="-2"/>
          <w:sz w:val="20"/>
        </w:rPr>
        <w:t> </w:t>
      </w:r>
      <w:r>
        <w:rPr>
          <w:color w:val="404040"/>
          <w:sz w:val="20"/>
        </w:rPr>
        <w:t>another</w:t>
      </w:r>
      <w:r>
        <w:rPr>
          <w:color w:val="404040"/>
          <w:spacing w:val="-1"/>
          <w:sz w:val="20"/>
        </w:rPr>
        <w:t> </w:t>
      </w:r>
      <w:r>
        <w:rPr>
          <w:color w:val="404040"/>
          <w:sz w:val="20"/>
        </w:rPr>
        <w:t>income</w:t>
      </w:r>
      <w:r>
        <w:rPr>
          <w:color w:val="404040"/>
          <w:spacing w:val="-4"/>
          <w:sz w:val="20"/>
        </w:rPr>
        <w:t> </w:t>
      </w:r>
      <w:r>
        <w:rPr>
          <w:color w:val="404040"/>
          <w:sz w:val="20"/>
        </w:rPr>
        <w:t>support</w:t>
      </w:r>
      <w:r>
        <w:rPr>
          <w:color w:val="404040"/>
          <w:spacing w:val="-4"/>
          <w:sz w:val="20"/>
        </w:rPr>
        <w:t> </w:t>
      </w:r>
      <w:r>
        <w:rPr>
          <w:color w:val="404040"/>
          <w:sz w:val="20"/>
        </w:rPr>
        <w:t>payment.</w:t>
      </w:r>
      <w:r>
        <w:rPr>
          <w:color w:val="404040"/>
          <w:spacing w:val="-4"/>
          <w:sz w:val="20"/>
        </w:rPr>
        <w:t> </w:t>
      </w:r>
      <w:r>
        <w:rPr>
          <w:color w:val="404040"/>
          <w:sz w:val="20"/>
        </w:rPr>
        <w:t>The</w:t>
      </w:r>
      <w:r>
        <w:rPr>
          <w:color w:val="404040"/>
          <w:spacing w:val="-4"/>
          <w:sz w:val="20"/>
        </w:rPr>
        <w:t> </w:t>
      </w:r>
      <w:r>
        <w:rPr>
          <w:color w:val="404040"/>
          <w:sz w:val="20"/>
        </w:rPr>
        <w:t>biggest</w:t>
      </w:r>
      <w:r>
        <w:rPr>
          <w:color w:val="404040"/>
          <w:spacing w:val="-4"/>
          <w:sz w:val="20"/>
        </w:rPr>
        <w:t> </w:t>
      </w:r>
      <w:r>
        <w:rPr>
          <w:color w:val="404040"/>
          <w:sz w:val="20"/>
        </w:rPr>
        <w:t>destination</w:t>
      </w:r>
      <w:r>
        <w:rPr>
          <w:color w:val="404040"/>
          <w:spacing w:val="-2"/>
          <w:sz w:val="20"/>
        </w:rPr>
        <w:t> </w:t>
      </w:r>
      <w:r>
        <w:rPr>
          <w:color w:val="404040"/>
          <w:sz w:val="20"/>
        </w:rPr>
        <w:t>is</w:t>
      </w:r>
      <w:r>
        <w:rPr>
          <w:color w:val="404040"/>
          <w:spacing w:val="2"/>
          <w:sz w:val="20"/>
        </w:rPr>
        <w:t> </w:t>
      </w:r>
      <w:r>
        <w:rPr>
          <w:color w:val="404040"/>
          <w:sz w:val="20"/>
        </w:rPr>
        <w:t>Age Pension, although a significant proportion of people move onto Working Age</w:t>
      </w:r>
      <w:r>
        <w:rPr>
          <w:color w:val="404040"/>
          <w:spacing w:val="-12"/>
          <w:sz w:val="20"/>
        </w:rPr>
        <w:t> </w:t>
      </w:r>
      <w:r>
        <w:rPr>
          <w:color w:val="404040"/>
          <w:sz w:val="20"/>
        </w:rPr>
        <w:t>payments.</w:t>
      </w:r>
    </w:p>
    <w:p>
      <w:pPr>
        <w:pStyle w:val="ListParagraph"/>
        <w:numPr>
          <w:ilvl w:val="1"/>
          <w:numId w:val="50"/>
        </w:numPr>
        <w:tabs>
          <w:tab w:pos="1467" w:val="left" w:leader="none"/>
        </w:tabs>
        <w:spacing w:line="240" w:lineRule="auto" w:before="121" w:after="0"/>
        <w:ind w:left="1468" w:right="1039" w:hanging="286"/>
        <w:jc w:val="left"/>
        <w:rPr>
          <w:sz w:val="20"/>
        </w:rPr>
      </w:pPr>
      <w:r>
        <w:rPr>
          <w:color w:val="404040"/>
          <w:sz w:val="20"/>
        </w:rPr>
        <w:t>Most of the remainder are either projected to exit the system or die, although a small proportion transition to the non income support Carer</w:t>
      </w:r>
      <w:r>
        <w:rPr>
          <w:color w:val="404040"/>
          <w:spacing w:val="-3"/>
          <w:sz w:val="20"/>
        </w:rPr>
        <w:t> </w:t>
      </w:r>
      <w:r>
        <w:rPr>
          <w:color w:val="404040"/>
          <w:sz w:val="20"/>
        </w:rPr>
        <w:t>class.</w:t>
      </w:r>
    </w:p>
    <w:p>
      <w:pPr>
        <w:pStyle w:val="ListParagraph"/>
        <w:numPr>
          <w:ilvl w:val="0"/>
          <w:numId w:val="50"/>
        </w:numPr>
        <w:tabs>
          <w:tab w:pos="1184" w:val="left" w:leader="none"/>
        </w:tabs>
        <w:spacing w:line="240" w:lineRule="auto" w:before="116" w:after="0"/>
        <w:ind w:left="1183" w:right="1187" w:hanging="284"/>
        <w:jc w:val="left"/>
        <w:rPr>
          <w:sz w:val="20"/>
        </w:rPr>
      </w:pPr>
      <w:r>
        <w:rPr>
          <w:color w:val="404040"/>
          <w:sz w:val="20"/>
        </w:rPr>
        <w:t>After 30 years, the majority of the original group are projected to either be on some form of income support payment (53%) or dead</w:t>
      </w:r>
      <w:r>
        <w:rPr>
          <w:color w:val="404040"/>
          <w:spacing w:val="-1"/>
          <w:sz w:val="20"/>
        </w:rPr>
        <w:t> </w:t>
      </w:r>
      <w:r>
        <w:rPr>
          <w:color w:val="404040"/>
          <w:sz w:val="20"/>
        </w:rPr>
        <w:t>(33%).</w:t>
      </w:r>
    </w:p>
    <w:p>
      <w:pPr>
        <w:pStyle w:val="BodyText"/>
        <w:spacing w:before="10"/>
      </w:pPr>
    </w:p>
    <w:p>
      <w:pPr>
        <w:pStyle w:val="Heading6"/>
        <w:rPr>
          <w:i/>
        </w:rPr>
      </w:pPr>
      <w:r>
        <w:rPr>
          <w:i/>
          <w:color w:val="DF2F1E"/>
        </w:rPr>
        <w:t>Duration</w:t>
      </w:r>
    </w:p>
    <w:p>
      <w:pPr>
        <w:pStyle w:val="BodyText"/>
        <w:spacing w:line="242" w:lineRule="auto" w:before="119"/>
        <w:ind w:left="900" w:right="1287"/>
      </w:pPr>
      <w:r>
        <w:rPr>
          <w:color w:val="404040"/>
        </w:rPr>
        <w:t>The average future life expectancy for the income support Carer class is </w:t>
      </w:r>
      <w:r>
        <w:rPr>
          <w:b/>
          <w:color w:val="404040"/>
        </w:rPr>
        <w:t>38 </w:t>
      </w:r>
      <w:r>
        <w:rPr>
          <w:color w:val="404040"/>
        </w:rPr>
        <w:t>years. This reflects that a significant proportion of this class is approaching retirement age. The table below provides a summary of the expected welfare system use of people currently in this class over this time. This has been developed by considering which classes people move into as they move through the welfare system over their lives.</w:t>
      </w:r>
    </w:p>
    <w:p>
      <w:pPr>
        <w:pStyle w:val="Heading9"/>
        <w:spacing w:before="168" w:after="56"/>
      </w:pPr>
      <w:r>
        <w:rPr>
          <w:color w:val="DF2F1E"/>
        </w:rPr>
        <w:t>Table 26: Average expected durations in welfare system for people currently in class 4</w:t>
      </w:r>
    </w:p>
    <w:tbl>
      <w:tblPr>
        <w:tblW w:w="0" w:type="auto"/>
        <w:jc w:val="left"/>
        <w:tblInd w:w="1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30"/>
        <w:gridCol w:w="1765"/>
        <w:gridCol w:w="2773"/>
      </w:tblGrid>
      <w:tr>
        <w:trPr>
          <w:trHeight w:val="273" w:hRule="atLeast"/>
        </w:trPr>
        <w:tc>
          <w:tcPr>
            <w:tcW w:w="4330" w:type="dxa"/>
            <w:shd w:val="clear" w:color="auto" w:fill="DF2F1E"/>
          </w:tcPr>
          <w:p>
            <w:pPr>
              <w:pStyle w:val="TableParagraph"/>
              <w:spacing w:before="0"/>
              <w:rPr>
                <w:rFonts w:ascii="Times New Roman"/>
                <w:sz w:val="18"/>
              </w:rPr>
            </w:pPr>
          </w:p>
        </w:tc>
        <w:tc>
          <w:tcPr>
            <w:tcW w:w="1765" w:type="dxa"/>
            <w:shd w:val="clear" w:color="auto" w:fill="DF2F1E"/>
          </w:tcPr>
          <w:p>
            <w:pPr>
              <w:pStyle w:val="TableParagraph"/>
              <w:spacing w:before="34"/>
              <w:ind w:left="149" w:right="383"/>
              <w:jc w:val="center"/>
              <w:rPr>
                <w:b/>
                <w:sz w:val="16"/>
              </w:rPr>
            </w:pPr>
            <w:r>
              <w:rPr>
                <w:b/>
                <w:color w:val="FFFFFF"/>
                <w:sz w:val="16"/>
              </w:rPr>
              <w:t>Expected Years</w:t>
            </w:r>
          </w:p>
        </w:tc>
        <w:tc>
          <w:tcPr>
            <w:tcW w:w="2773" w:type="dxa"/>
            <w:shd w:val="clear" w:color="auto" w:fill="DF2F1E"/>
          </w:tcPr>
          <w:p>
            <w:pPr>
              <w:pStyle w:val="TableParagraph"/>
              <w:spacing w:before="34"/>
              <w:ind w:left="394" w:right="124"/>
              <w:jc w:val="center"/>
              <w:rPr>
                <w:b/>
                <w:sz w:val="16"/>
              </w:rPr>
            </w:pPr>
            <w:r>
              <w:rPr>
                <w:b/>
                <w:color w:val="FFFFFF"/>
                <w:sz w:val="16"/>
              </w:rPr>
              <w:t>Proportion of Future Lifetime</w:t>
            </w:r>
          </w:p>
        </w:tc>
      </w:tr>
      <w:tr>
        <w:trPr>
          <w:trHeight w:val="261" w:hRule="atLeast"/>
        </w:trPr>
        <w:tc>
          <w:tcPr>
            <w:tcW w:w="4330" w:type="dxa"/>
            <w:tcBorders>
              <w:left w:val="single" w:sz="4" w:space="0" w:color="DF2F1E"/>
            </w:tcBorders>
          </w:tcPr>
          <w:p>
            <w:pPr>
              <w:pStyle w:val="TableParagraph"/>
              <w:spacing w:before="34"/>
              <w:ind w:left="107"/>
              <w:rPr>
                <w:b/>
                <w:sz w:val="16"/>
              </w:rPr>
            </w:pPr>
            <w:r>
              <w:rPr>
                <w:b/>
                <w:color w:val="404040"/>
                <w:sz w:val="16"/>
              </w:rPr>
              <w:t>Years with some income support payments:</w:t>
            </w:r>
          </w:p>
        </w:tc>
        <w:tc>
          <w:tcPr>
            <w:tcW w:w="1765" w:type="dxa"/>
          </w:tcPr>
          <w:p>
            <w:pPr>
              <w:pStyle w:val="TableParagraph"/>
              <w:spacing w:before="0"/>
              <w:rPr>
                <w:rFonts w:ascii="Times New Roman"/>
                <w:sz w:val="18"/>
              </w:rPr>
            </w:pPr>
          </w:p>
        </w:tc>
        <w:tc>
          <w:tcPr>
            <w:tcW w:w="2773" w:type="dxa"/>
            <w:tcBorders>
              <w:right w:val="single" w:sz="4" w:space="0" w:color="DF2F1E"/>
            </w:tcBorders>
          </w:tcPr>
          <w:p>
            <w:pPr>
              <w:pStyle w:val="TableParagraph"/>
              <w:spacing w:before="0"/>
              <w:rPr>
                <w:rFonts w:ascii="Times New Roman"/>
                <w:sz w:val="18"/>
              </w:rPr>
            </w:pPr>
          </w:p>
        </w:tc>
      </w:tr>
      <w:tr>
        <w:trPr>
          <w:trHeight w:val="265" w:hRule="atLeast"/>
        </w:trPr>
        <w:tc>
          <w:tcPr>
            <w:tcW w:w="4330" w:type="dxa"/>
            <w:tcBorders>
              <w:left w:val="single" w:sz="4" w:space="0" w:color="DF2F1E"/>
            </w:tcBorders>
          </w:tcPr>
          <w:p>
            <w:pPr>
              <w:pStyle w:val="TableParagraph"/>
              <w:tabs>
                <w:tab w:pos="513" w:val="left" w:leader="none"/>
              </w:tabs>
              <w:ind w:left="153"/>
              <w:rPr>
                <w:b/>
                <w:sz w:val="16"/>
              </w:rPr>
            </w:pPr>
            <w:r>
              <w:rPr>
                <w:color w:val="404040"/>
                <w:sz w:val="16"/>
              </w:rPr>
              <w:t>-</w:t>
              <w:tab/>
            </w:r>
            <w:r>
              <w:rPr>
                <w:b/>
                <w:color w:val="404040"/>
                <w:sz w:val="16"/>
              </w:rPr>
              <w:t>Not </w:t>
            </w:r>
            <w:r>
              <w:rPr>
                <w:b/>
                <w:color w:val="404040"/>
                <w:spacing w:val="-3"/>
                <w:sz w:val="16"/>
              </w:rPr>
              <w:t>Age </w:t>
            </w:r>
            <w:r>
              <w:rPr>
                <w:b/>
                <w:color w:val="404040"/>
                <w:sz w:val="16"/>
              </w:rPr>
              <w:t>Pension (classes</w:t>
            </w:r>
            <w:r>
              <w:rPr>
                <w:b/>
                <w:color w:val="404040"/>
                <w:spacing w:val="5"/>
                <w:sz w:val="16"/>
              </w:rPr>
              <w:t> </w:t>
            </w:r>
            <w:r>
              <w:rPr>
                <w:b/>
                <w:color w:val="404040"/>
                <w:sz w:val="16"/>
              </w:rPr>
              <w:t>1-5)</w:t>
            </w:r>
          </w:p>
        </w:tc>
        <w:tc>
          <w:tcPr>
            <w:tcW w:w="1765" w:type="dxa"/>
          </w:tcPr>
          <w:p>
            <w:pPr>
              <w:pStyle w:val="TableParagraph"/>
              <w:spacing w:before="40"/>
              <w:ind w:left="149" w:right="381"/>
              <w:jc w:val="center"/>
              <w:rPr>
                <w:sz w:val="16"/>
              </w:rPr>
            </w:pPr>
            <w:r>
              <w:rPr>
                <w:color w:val="404040"/>
                <w:sz w:val="16"/>
              </w:rPr>
              <w:t>15</w:t>
            </w:r>
          </w:p>
        </w:tc>
        <w:tc>
          <w:tcPr>
            <w:tcW w:w="2773" w:type="dxa"/>
            <w:tcBorders>
              <w:right w:val="single" w:sz="4" w:space="0" w:color="DF2F1E"/>
            </w:tcBorders>
          </w:tcPr>
          <w:p>
            <w:pPr>
              <w:pStyle w:val="TableParagraph"/>
              <w:spacing w:before="40"/>
              <w:ind w:left="1293" w:right="1023"/>
              <w:jc w:val="center"/>
              <w:rPr>
                <w:sz w:val="16"/>
              </w:rPr>
            </w:pPr>
            <w:r>
              <w:rPr>
                <w:color w:val="404040"/>
                <w:sz w:val="16"/>
              </w:rPr>
              <w:t>40%</w:t>
            </w:r>
          </w:p>
        </w:tc>
      </w:tr>
      <w:tr>
        <w:trPr>
          <w:trHeight w:val="265" w:hRule="atLeast"/>
        </w:trPr>
        <w:tc>
          <w:tcPr>
            <w:tcW w:w="4330" w:type="dxa"/>
            <w:tcBorders>
              <w:left w:val="single" w:sz="4" w:space="0" w:color="DF2F1E"/>
              <w:bottom w:val="single" w:sz="4" w:space="0" w:color="DF2F1E"/>
            </w:tcBorders>
          </w:tcPr>
          <w:p>
            <w:pPr>
              <w:pStyle w:val="TableParagraph"/>
              <w:tabs>
                <w:tab w:pos="513" w:val="left" w:leader="none"/>
              </w:tabs>
              <w:spacing w:before="36"/>
              <w:ind w:left="153"/>
              <w:rPr>
                <w:b/>
                <w:sz w:val="16"/>
              </w:rPr>
            </w:pPr>
            <w:r>
              <w:rPr>
                <w:color w:val="404040"/>
                <w:sz w:val="16"/>
              </w:rPr>
              <w:t>-</w:t>
              <w:tab/>
            </w:r>
            <w:r>
              <w:rPr>
                <w:b/>
                <w:color w:val="404040"/>
                <w:sz w:val="16"/>
              </w:rPr>
              <w:t>Age Pension (class</w:t>
            </w:r>
            <w:r>
              <w:rPr>
                <w:b/>
                <w:color w:val="404040"/>
                <w:spacing w:val="-2"/>
                <w:sz w:val="16"/>
              </w:rPr>
              <w:t> </w:t>
            </w:r>
            <w:r>
              <w:rPr>
                <w:b/>
                <w:color w:val="404040"/>
                <w:sz w:val="16"/>
              </w:rPr>
              <w:t>6)</w:t>
            </w:r>
          </w:p>
        </w:tc>
        <w:tc>
          <w:tcPr>
            <w:tcW w:w="1765" w:type="dxa"/>
            <w:tcBorders>
              <w:bottom w:val="single" w:sz="4" w:space="0" w:color="DF2F1E"/>
            </w:tcBorders>
          </w:tcPr>
          <w:p>
            <w:pPr>
              <w:pStyle w:val="TableParagraph"/>
              <w:spacing w:before="39"/>
              <w:ind w:left="149" w:right="381"/>
              <w:jc w:val="center"/>
              <w:rPr>
                <w:sz w:val="16"/>
              </w:rPr>
            </w:pPr>
            <w:r>
              <w:rPr>
                <w:color w:val="404040"/>
                <w:sz w:val="16"/>
              </w:rPr>
              <w:t>16</w:t>
            </w:r>
          </w:p>
        </w:tc>
        <w:tc>
          <w:tcPr>
            <w:tcW w:w="2773" w:type="dxa"/>
            <w:tcBorders>
              <w:bottom w:val="single" w:sz="4" w:space="0" w:color="DF2F1E"/>
              <w:right w:val="single" w:sz="4" w:space="0" w:color="DF2F1E"/>
            </w:tcBorders>
          </w:tcPr>
          <w:p>
            <w:pPr>
              <w:pStyle w:val="TableParagraph"/>
              <w:spacing w:before="39"/>
              <w:ind w:left="1293" w:right="1023"/>
              <w:jc w:val="center"/>
              <w:rPr>
                <w:sz w:val="16"/>
              </w:rPr>
            </w:pPr>
            <w:r>
              <w:rPr>
                <w:color w:val="404040"/>
                <w:sz w:val="16"/>
              </w:rPr>
              <w:t>42%</w:t>
            </w:r>
          </w:p>
        </w:tc>
      </w:tr>
      <w:tr>
        <w:trPr>
          <w:trHeight w:val="263" w:hRule="atLeast"/>
        </w:trPr>
        <w:tc>
          <w:tcPr>
            <w:tcW w:w="4330" w:type="dxa"/>
            <w:tcBorders>
              <w:top w:val="single" w:sz="4" w:space="0" w:color="DF2F1E"/>
              <w:left w:val="single" w:sz="4" w:space="0" w:color="DF2F1E"/>
              <w:bottom w:val="single" w:sz="4" w:space="0" w:color="DF2F1E"/>
            </w:tcBorders>
          </w:tcPr>
          <w:p>
            <w:pPr>
              <w:pStyle w:val="TableParagraph"/>
              <w:spacing w:before="34"/>
              <w:ind w:left="107"/>
              <w:rPr>
                <w:b/>
                <w:sz w:val="16"/>
              </w:rPr>
            </w:pPr>
            <w:r>
              <w:rPr>
                <w:b/>
                <w:color w:val="404040"/>
                <w:sz w:val="16"/>
              </w:rPr>
              <w:t>Years with non income support payments only</w:t>
            </w:r>
          </w:p>
        </w:tc>
        <w:tc>
          <w:tcPr>
            <w:tcW w:w="1765" w:type="dxa"/>
            <w:tcBorders>
              <w:top w:val="single" w:sz="4" w:space="0" w:color="DF2F1E"/>
              <w:bottom w:val="single" w:sz="4" w:space="0" w:color="DF2F1E"/>
            </w:tcBorders>
          </w:tcPr>
          <w:p>
            <w:pPr>
              <w:pStyle w:val="TableParagraph"/>
              <w:ind w:right="234"/>
              <w:jc w:val="center"/>
              <w:rPr>
                <w:sz w:val="16"/>
              </w:rPr>
            </w:pPr>
            <w:r>
              <w:rPr>
                <w:color w:val="404040"/>
                <w:w w:val="100"/>
                <w:sz w:val="16"/>
              </w:rPr>
              <w:t>1</w:t>
            </w:r>
          </w:p>
        </w:tc>
        <w:tc>
          <w:tcPr>
            <w:tcW w:w="2773" w:type="dxa"/>
            <w:tcBorders>
              <w:top w:val="single" w:sz="4" w:space="0" w:color="DF2F1E"/>
              <w:bottom w:val="single" w:sz="4" w:space="0" w:color="DF2F1E"/>
              <w:right w:val="single" w:sz="4" w:space="0" w:color="DF2F1E"/>
            </w:tcBorders>
          </w:tcPr>
          <w:p>
            <w:pPr>
              <w:pStyle w:val="TableParagraph"/>
              <w:ind w:left="1293" w:right="1020"/>
              <w:jc w:val="center"/>
              <w:rPr>
                <w:sz w:val="16"/>
              </w:rPr>
            </w:pPr>
            <w:r>
              <w:rPr>
                <w:color w:val="404040"/>
                <w:sz w:val="16"/>
              </w:rPr>
              <w:t>3%</w:t>
            </w:r>
          </w:p>
        </w:tc>
      </w:tr>
      <w:tr>
        <w:trPr>
          <w:trHeight w:val="265" w:hRule="atLeast"/>
        </w:trPr>
        <w:tc>
          <w:tcPr>
            <w:tcW w:w="4330" w:type="dxa"/>
            <w:tcBorders>
              <w:top w:val="single" w:sz="4" w:space="0" w:color="DF2F1E"/>
              <w:left w:val="single" w:sz="4" w:space="0" w:color="DF2F1E"/>
              <w:bottom w:val="single" w:sz="4" w:space="0" w:color="DF2F1E"/>
            </w:tcBorders>
          </w:tcPr>
          <w:p>
            <w:pPr>
              <w:pStyle w:val="TableParagraph"/>
              <w:ind w:left="107"/>
              <w:rPr>
                <w:b/>
                <w:sz w:val="16"/>
              </w:rPr>
            </w:pPr>
            <w:r>
              <w:rPr>
                <w:b/>
                <w:color w:val="404040"/>
                <w:sz w:val="16"/>
              </w:rPr>
              <w:t>Years not receiving any welfare payments</w:t>
            </w:r>
          </w:p>
        </w:tc>
        <w:tc>
          <w:tcPr>
            <w:tcW w:w="1765" w:type="dxa"/>
            <w:tcBorders>
              <w:top w:val="single" w:sz="4" w:space="0" w:color="DF2F1E"/>
              <w:bottom w:val="single" w:sz="4" w:space="0" w:color="DF2F1E"/>
            </w:tcBorders>
          </w:tcPr>
          <w:p>
            <w:pPr>
              <w:pStyle w:val="TableParagraph"/>
              <w:spacing w:before="39"/>
              <w:ind w:right="234"/>
              <w:jc w:val="center"/>
              <w:rPr>
                <w:sz w:val="16"/>
              </w:rPr>
            </w:pPr>
            <w:r>
              <w:rPr>
                <w:color w:val="404040"/>
                <w:w w:val="100"/>
                <w:sz w:val="16"/>
              </w:rPr>
              <w:t>6</w:t>
            </w:r>
          </w:p>
        </w:tc>
        <w:tc>
          <w:tcPr>
            <w:tcW w:w="2773" w:type="dxa"/>
            <w:tcBorders>
              <w:top w:val="single" w:sz="4" w:space="0" w:color="DF2F1E"/>
              <w:bottom w:val="single" w:sz="4" w:space="0" w:color="DF2F1E"/>
              <w:right w:val="single" w:sz="4" w:space="0" w:color="DF2F1E"/>
            </w:tcBorders>
          </w:tcPr>
          <w:p>
            <w:pPr>
              <w:pStyle w:val="TableParagraph"/>
              <w:spacing w:before="39"/>
              <w:ind w:left="1293" w:right="1023"/>
              <w:jc w:val="center"/>
              <w:rPr>
                <w:sz w:val="16"/>
              </w:rPr>
            </w:pPr>
            <w:r>
              <w:rPr>
                <w:color w:val="404040"/>
                <w:sz w:val="16"/>
              </w:rPr>
              <w:t>15%</w:t>
            </w:r>
          </w:p>
        </w:tc>
      </w:tr>
      <w:tr>
        <w:trPr>
          <w:trHeight w:val="263" w:hRule="atLeast"/>
        </w:trPr>
        <w:tc>
          <w:tcPr>
            <w:tcW w:w="4330" w:type="dxa"/>
            <w:tcBorders>
              <w:top w:val="single" w:sz="4" w:space="0" w:color="DF2F1E"/>
              <w:left w:val="single" w:sz="4" w:space="0" w:color="DF2F1E"/>
              <w:bottom w:val="single" w:sz="4" w:space="0" w:color="DF2F1E"/>
            </w:tcBorders>
          </w:tcPr>
          <w:p>
            <w:pPr>
              <w:pStyle w:val="TableParagraph"/>
              <w:spacing w:before="34"/>
              <w:ind w:left="107"/>
              <w:rPr>
                <w:b/>
                <w:sz w:val="16"/>
              </w:rPr>
            </w:pPr>
            <w:r>
              <w:rPr>
                <w:b/>
                <w:color w:val="404040"/>
                <w:sz w:val="16"/>
              </w:rPr>
              <w:t>Total</w:t>
            </w:r>
          </w:p>
        </w:tc>
        <w:tc>
          <w:tcPr>
            <w:tcW w:w="1765" w:type="dxa"/>
            <w:tcBorders>
              <w:top w:val="single" w:sz="4" w:space="0" w:color="DF2F1E"/>
              <w:bottom w:val="single" w:sz="4" w:space="0" w:color="DF2F1E"/>
            </w:tcBorders>
          </w:tcPr>
          <w:p>
            <w:pPr>
              <w:pStyle w:val="TableParagraph"/>
              <w:ind w:left="149" w:right="381"/>
              <w:jc w:val="center"/>
              <w:rPr>
                <w:sz w:val="16"/>
              </w:rPr>
            </w:pPr>
            <w:r>
              <w:rPr>
                <w:color w:val="404040"/>
                <w:sz w:val="16"/>
              </w:rPr>
              <w:t>38</w:t>
            </w:r>
          </w:p>
        </w:tc>
        <w:tc>
          <w:tcPr>
            <w:tcW w:w="2773" w:type="dxa"/>
            <w:tcBorders>
              <w:top w:val="single" w:sz="4" w:space="0" w:color="DF2F1E"/>
              <w:bottom w:val="single" w:sz="4" w:space="0" w:color="DF2F1E"/>
              <w:right w:val="single" w:sz="4" w:space="0" w:color="DF2F1E"/>
            </w:tcBorders>
          </w:tcPr>
          <w:p>
            <w:pPr>
              <w:pStyle w:val="TableParagraph"/>
              <w:ind w:left="1293" w:right="1025"/>
              <w:jc w:val="center"/>
              <w:rPr>
                <w:sz w:val="16"/>
              </w:rPr>
            </w:pPr>
            <w:r>
              <w:rPr>
                <w:color w:val="404040"/>
                <w:sz w:val="16"/>
              </w:rPr>
              <w:t>100%</w:t>
            </w:r>
          </w:p>
        </w:tc>
      </w:tr>
    </w:tbl>
    <w:p>
      <w:pPr>
        <w:spacing w:after="0"/>
        <w:jc w:val="center"/>
        <w:rPr>
          <w:sz w:val="16"/>
        </w:rPr>
        <w:sectPr>
          <w:type w:val="continuous"/>
          <w:pgSz w:w="11910" w:h="16850"/>
          <w:pgMar w:top="1600" w:bottom="280" w:left="120" w:right="0"/>
        </w:sectPr>
      </w:pPr>
    </w:p>
    <w:p>
      <w:pPr>
        <w:pStyle w:val="BodyText"/>
        <w:rPr>
          <w:b/>
        </w:rPr>
      </w:pPr>
    </w:p>
    <w:p>
      <w:pPr>
        <w:pStyle w:val="BodyText"/>
        <w:rPr>
          <w:b/>
        </w:rPr>
      </w:pPr>
    </w:p>
    <w:p>
      <w:pPr>
        <w:pStyle w:val="BodyText"/>
        <w:spacing w:before="8"/>
        <w:rPr>
          <w:b/>
          <w:sz w:val="21"/>
        </w:rPr>
      </w:pPr>
    </w:p>
    <w:p>
      <w:pPr>
        <w:pStyle w:val="ListParagraph"/>
        <w:numPr>
          <w:ilvl w:val="1"/>
          <w:numId w:val="37"/>
        </w:numPr>
        <w:tabs>
          <w:tab w:pos="1752" w:val="left" w:leader="none"/>
          <w:tab w:pos="1753" w:val="left" w:leader="none"/>
        </w:tabs>
        <w:spacing w:line="240" w:lineRule="auto" w:before="91" w:after="0"/>
        <w:ind w:left="1752" w:right="0" w:hanging="853"/>
        <w:jc w:val="left"/>
        <w:rPr>
          <w:sz w:val="28"/>
        </w:rPr>
      </w:pPr>
      <w:r>
        <w:rPr/>
        <w:pict>
          <v:shape style="position:absolute;margin-left:51pt;margin-top:26.801851pt;width:493.35pt;height:223.8pt;mso-position-horizontal-relative:page;mso-position-vertical-relative:paragraph;z-index:-250940416;mso-wrap-distance-left:0;mso-wrap-distance-right:0" type="#_x0000_t202" filled="true" fillcolor="#f3aba3" stroked="false">
            <v:textbox inset="0,0,0,0">
              <w:txbxContent>
                <w:p>
                  <w:pPr>
                    <w:spacing w:before="117"/>
                    <w:ind w:left="107" w:right="0" w:firstLine="0"/>
                    <w:jc w:val="left"/>
                    <w:rPr>
                      <w:b/>
                      <w:sz w:val="20"/>
                    </w:rPr>
                  </w:pPr>
                  <w:r>
                    <w:rPr>
                      <w:b/>
                      <w:color w:val="404040"/>
                      <w:sz w:val="20"/>
                    </w:rPr>
                    <w:t>Key points</w:t>
                  </w:r>
                </w:p>
                <w:p>
                  <w:pPr>
                    <w:pStyle w:val="BodyText"/>
                    <w:spacing w:before="123"/>
                    <w:ind w:left="107"/>
                  </w:pPr>
                  <w:r>
                    <w:rPr>
                      <w:color w:val="404040"/>
                    </w:rPr>
                    <w:t>There were 762,000 people in the Disability Support Pension class in 2018.</w:t>
                  </w:r>
                </w:p>
                <w:p>
                  <w:pPr>
                    <w:pStyle w:val="BodyText"/>
                    <w:numPr>
                      <w:ilvl w:val="0"/>
                      <w:numId w:val="53"/>
                    </w:numPr>
                    <w:tabs>
                      <w:tab w:pos="392" w:val="left" w:leader="none"/>
                    </w:tabs>
                    <w:spacing w:line="240" w:lineRule="auto" w:before="116" w:after="0"/>
                    <w:ind w:left="391" w:right="306" w:hanging="284"/>
                    <w:jc w:val="left"/>
                  </w:pPr>
                  <w:r>
                    <w:rPr>
                      <w:color w:val="404040"/>
                    </w:rPr>
                    <w:t>Eligibility</w:t>
                  </w:r>
                  <w:r>
                    <w:rPr>
                      <w:color w:val="404040"/>
                      <w:spacing w:val="-7"/>
                    </w:rPr>
                    <w:t> </w:t>
                  </w:r>
                  <w:r>
                    <w:rPr>
                      <w:color w:val="404040"/>
                    </w:rPr>
                    <w:t>criteria</w:t>
                  </w:r>
                  <w:r>
                    <w:rPr>
                      <w:color w:val="404040"/>
                      <w:spacing w:val="-3"/>
                    </w:rPr>
                    <w:t> </w:t>
                  </w:r>
                  <w:r>
                    <w:rPr>
                      <w:color w:val="404040"/>
                    </w:rPr>
                    <w:t>for</w:t>
                  </w:r>
                  <w:r>
                    <w:rPr>
                      <w:color w:val="404040"/>
                      <w:spacing w:val="-3"/>
                    </w:rPr>
                    <w:t> </w:t>
                  </w:r>
                  <w:r>
                    <w:rPr>
                      <w:color w:val="404040"/>
                    </w:rPr>
                    <w:t>the</w:t>
                  </w:r>
                  <w:r>
                    <w:rPr>
                      <w:color w:val="404040"/>
                      <w:spacing w:val="-4"/>
                    </w:rPr>
                    <w:t> </w:t>
                  </w:r>
                  <w:r>
                    <w:rPr>
                      <w:color w:val="404040"/>
                    </w:rPr>
                    <w:t>Disability</w:t>
                  </w:r>
                  <w:r>
                    <w:rPr>
                      <w:color w:val="404040"/>
                      <w:spacing w:val="-5"/>
                    </w:rPr>
                    <w:t> </w:t>
                  </w:r>
                  <w:r>
                    <w:rPr>
                      <w:color w:val="404040"/>
                    </w:rPr>
                    <w:t>Support</w:t>
                  </w:r>
                  <w:r>
                    <w:rPr>
                      <w:color w:val="404040"/>
                      <w:spacing w:val="-2"/>
                    </w:rPr>
                    <w:t> </w:t>
                  </w:r>
                  <w:r>
                    <w:rPr>
                      <w:color w:val="404040"/>
                    </w:rPr>
                    <w:t>Pension</w:t>
                  </w:r>
                  <w:r>
                    <w:rPr>
                      <w:color w:val="404040"/>
                      <w:spacing w:val="-3"/>
                    </w:rPr>
                    <w:t> </w:t>
                  </w:r>
                  <w:r>
                    <w:rPr>
                      <w:color w:val="404040"/>
                    </w:rPr>
                    <w:t>has been</w:t>
                  </w:r>
                  <w:r>
                    <w:rPr>
                      <w:color w:val="404040"/>
                      <w:spacing w:val="-4"/>
                    </w:rPr>
                    <w:t> </w:t>
                  </w:r>
                  <w:r>
                    <w:rPr>
                      <w:color w:val="404040"/>
                    </w:rPr>
                    <w:t>tightening</w:t>
                  </w:r>
                  <w:r>
                    <w:rPr>
                      <w:color w:val="404040"/>
                      <w:spacing w:val="-2"/>
                    </w:rPr>
                    <w:t> </w:t>
                  </w:r>
                  <w:r>
                    <w:rPr>
                      <w:color w:val="404040"/>
                    </w:rPr>
                    <w:t>over</w:t>
                  </w:r>
                  <w:r>
                    <w:rPr>
                      <w:color w:val="404040"/>
                      <w:spacing w:val="-4"/>
                    </w:rPr>
                    <w:t> </w:t>
                  </w:r>
                  <w:r>
                    <w:rPr>
                      <w:color w:val="404040"/>
                    </w:rPr>
                    <w:t>the</w:t>
                  </w:r>
                  <w:r>
                    <w:rPr>
                      <w:color w:val="404040"/>
                      <w:spacing w:val="-2"/>
                    </w:rPr>
                    <w:t> </w:t>
                  </w:r>
                  <w:r>
                    <w:rPr>
                      <w:color w:val="404040"/>
                    </w:rPr>
                    <w:t>last</w:t>
                  </w:r>
                  <w:r>
                    <w:rPr>
                      <w:color w:val="404040"/>
                      <w:spacing w:val="-4"/>
                    </w:rPr>
                    <w:t> </w:t>
                  </w:r>
                  <w:r>
                    <w:rPr>
                      <w:color w:val="404040"/>
                    </w:rPr>
                    <w:t>five years.</w:t>
                  </w:r>
                  <w:r>
                    <w:rPr>
                      <w:color w:val="404040"/>
                      <w:spacing w:val="-4"/>
                    </w:rPr>
                    <w:t> </w:t>
                  </w:r>
                  <w:r>
                    <w:rPr>
                      <w:color w:val="404040"/>
                    </w:rPr>
                    <w:t>This</w:t>
                  </w:r>
                  <w:r>
                    <w:rPr>
                      <w:color w:val="404040"/>
                      <w:spacing w:val="-4"/>
                    </w:rPr>
                    <w:t> </w:t>
                  </w:r>
                  <w:r>
                    <w:rPr>
                      <w:color w:val="404040"/>
                    </w:rPr>
                    <w:t>has been reflected in reducing numbers of entrants each</w:t>
                  </w:r>
                  <w:r>
                    <w:rPr>
                      <w:color w:val="404040"/>
                      <w:spacing w:val="2"/>
                    </w:rPr>
                    <w:t> </w:t>
                  </w:r>
                  <w:r>
                    <w:rPr>
                      <w:color w:val="404040"/>
                    </w:rPr>
                    <w:t>year.</w:t>
                  </w:r>
                </w:p>
                <w:p>
                  <w:pPr>
                    <w:pStyle w:val="BodyText"/>
                    <w:numPr>
                      <w:ilvl w:val="0"/>
                      <w:numId w:val="53"/>
                    </w:numPr>
                    <w:tabs>
                      <w:tab w:pos="392" w:val="left" w:leader="none"/>
                    </w:tabs>
                    <w:spacing w:line="240" w:lineRule="auto" w:before="120" w:after="0"/>
                    <w:ind w:left="391" w:right="324" w:hanging="284"/>
                    <w:jc w:val="left"/>
                  </w:pPr>
                  <w:r>
                    <w:rPr>
                      <w:color w:val="404040"/>
                    </w:rPr>
                    <w:t>Over the last few years, and particularly in 2016, medical reviews have increased the number of exits to the Working Age class. This higher exit rate to class 2 is not expected to continue after the current program of medical reviews</w:t>
                  </w:r>
                  <w:r>
                    <w:rPr>
                      <w:color w:val="404040"/>
                      <w:spacing w:val="3"/>
                    </w:rPr>
                    <w:t> </w:t>
                  </w:r>
                  <w:r>
                    <w:rPr>
                      <w:color w:val="404040"/>
                    </w:rPr>
                    <w:t>ceases.</w:t>
                  </w:r>
                </w:p>
                <w:p>
                  <w:pPr>
                    <w:pStyle w:val="BodyText"/>
                    <w:numPr>
                      <w:ilvl w:val="0"/>
                      <w:numId w:val="53"/>
                    </w:numPr>
                    <w:tabs>
                      <w:tab w:pos="392" w:val="left" w:leader="none"/>
                    </w:tabs>
                    <w:spacing w:line="240" w:lineRule="auto" w:before="119" w:after="0"/>
                    <w:ind w:left="391" w:right="253" w:hanging="284"/>
                    <w:jc w:val="left"/>
                  </w:pPr>
                  <w:r>
                    <w:rPr>
                      <w:color w:val="404040"/>
                    </w:rPr>
                    <w:t>People in the Disability Support Pension class tend to remain on the Disability Support Pension and only a small proportion of people leave the class other than through retirement or</w:t>
                  </w:r>
                  <w:r>
                    <w:rPr>
                      <w:color w:val="404040"/>
                      <w:spacing w:val="-15"/>
                    </w:rPr>
                    <w:t> </w:t>
                  </w:r>
                  <w:r>
                    <w:rPr>
                      <w:color w:val="404040"/>
                    </w:rPr>
                    <w:t>death.</w:t>
                  </w:r>
                </w:p>
                <w:p>
                  <w:pPr>
                    <w:pStyle w:val="BodyText"/>
                    <w:numPr>
                      <w:ilvl w:val="0"/>
                      <w:numId w:val="53"/>
                    </w:numPr>
                    <w:tabs>
                      <w:tab w:pos="392" w:val="left" w:leader="none"/>
                    </w:tabs>
                    <w:spacing w:line="240" w:lineRule="auto" w:before="117" w:after="0"/>
                    <w:ind w:left="391" w:right="425" w:hanging="284"/>
                    <w:jc w:val="left"/>
                  </w:pPr>
                  <w:r>
                    <w:rPr>
                      <w:color w:val="404040"/>
                    </w:rPr>
                    <w:t>The lifetime cost for this class is $417bn, which is the same as the rebased 2017 lifetime cost. The low level of this change reflects the continued high persistency on payments for people in this</w:t>
                  </w:r>
                  <w:r>
                    <w:rPr>
                      <w:color w:val="404040"/>
                      <w:spacing w:val="-29"/>
                    </w:rPr>
                    <w:t> </w:t>
                  </w:r>
                  <w:r>
                    <w:rPr>
                      <w:color w:val="404040"/>
                    </w:rPr>
                    <w:t>class.</w:t>
                  </w:r>
                </w:p>
                <w:p>
                  <w:pPr>
                    <w:pStyle w:val="BodyText"/>
                    <w:numPr>
                      <w:ilvl w:val="0"/>
                      <w:numId w:val="53"/>
                    </w:numPr>
                    <w:tabs>
                      <w:tab w:pos="392" w:val="left" w:leader="none"/>
                    </w:tabs>
                    <w:spacing w:line="240" w:lineRule="auto" w:before="118" w:after="0"/>
                    <w:ind w:left="391" w:right="168" w:hanging="284"/>
                    <w:jc w:val="left"/>
                  </w:pPr>
                  <w:r>
                    <w:rPr>
                      <w:color w:val="404040"/>
                    </w:rPr>
                    <w:t>The average lifetime costs are very similar for people who live in areas with different levels of socio- economic disadvantage. This is because persistency in this class is high across most people, and so little variation is seen. However it can be seen that 37% of this group live in the 20% of locations with the most disadvantage.</w:t>
                  </w:r>
                </w:p>
              </w:txbxContent>
            </v:textbox>
            <v:fill type="solid"/>
            <w10:wrap type="topAndBottom"/>
          </v:shape>
        </w:pict>
      </w:r>
      <w:bookmarkStart w:name="6.5 Disability Support Pensioners" w:id="187"/>
      <w:bookmarkEnd w:id="187"/>
      <w:r>
        <w:rPr/>
      </w:r>
      <w:bookmarkStart w:name="_bookmark45" w:id="188"/>
      <w:bookmarkEnd w:id="188"/>
      <w:r>
        <w:rPr/>
      </w:r>
      <w:bookmarkStart w:name="_bookmark45" w:id="189"/>
      <w:bookmarkEnd w:id="189"/>
      <w:r>
        <w:rPr>
          <w:color w:val="DF2F28"/>
          <w:sz w:val="28"/>
        </w:rPr>
        <w:t>D</w:t>
      </w:r>
      <w:r>
        <w:rPr>
          <w:color w:val="DF2F28"/>
          <w:sz w:val="28"/>
        </w:rPr>
        <w:t>isability Support</w:t>
      </w:r>
      <w:r>
        <w:rPr>
          <w:color w:val="DF2F28"/>
          <w:spacing w:val="-4"/>
          <w:sz w:val="28"/>
        </w:rPr>
        <w:t> </w:t>
      </w:r>
      <w:r>
        <w:rPr>
          <w:color w:val="DF2F28"/>
          <w:sz w:val="28"/>
        </w:rPr>
        <w:t>Pensioners</w:t>
      </w:r>
    </w:p>
    <w:p>
      <w:pPr>
        <w:pStyle w:val="BodyText"/>
        <w:spacing w:before="4"/>
        <w:rPr>
          <w:sz w:val="11"/>
        </w:rPr>
      </w:pPr>
    </w:p>
    <w:p>
      <w:pPr>
        <w:pStyle w:val="Heading4"/>
        <w:spacing w:before="92"/>
        <w:jc w:val="both"/>
      </w:pPr>
      <w:bookmarkStart w:name="Recent and projected trends for Disabili" w:id="190"/>
      <w:bookmarkEnd w:id="190"/>
      <w:r>
        <w:rPr/>
      </w:r>
      <w:r>
        <w:rPr>
          <w:color w:val="DF2F28"/>
        </w:rPr>
        <w:t>Recent and projected trends for Disability Support Pensioners</w:t>
      </w:r>
    </w:p>
    <w:p>
      <w:pPr>
        <w:pStyle w:val="BodyText"/>
        <w:spacing w:before="122"/>
        <w:ind w:left="900" w:right="1270" w:hanging="1"/>
        <w:jc w:val="both"/>
      </w:pPr>
      <w:r>
        <w:rPr>
          <w:color w:val="404040"/>
        </w:rPr>
        <w:t>There were 762,000 people (9.6% of current welfare recipients) in the Disability Support Pension class in the 2018 model population. This represents 3.0% of the population of Australia which is a decrease from 3.1% at the previous valuation.</w:t>
      </w:r>
    </w:p>
    <w:p>
      <w:pPr>
        <w:pStyle w:val="BodyText"/>
        <w:spacing w:before="121"/>
        <w:ind w:left="900" w:right="1042"/>
      </w:pPr>
      <w:r>
        <w:rPr>
          <w:color w:val="404040"/>
        </w:rPr>
        <w:t>The following chart shows a breakdown of the number of people in the Disability Support Pension class by age, gender and payment type.</w:t>
      </w:r>
    </w:p>
    <w:p>
      <w:pPr>
        <w:pStyle w:val="Heading9"/>
        <w:spacing w:before="174"/>
        <w:ind w:left="899"/>
      </w:pPr>
      <w:r>
        <w:rPr>
          <w:color w:val="DF2F1E"/>
        </w:rPr>
        <w:t>Figure 66: 2018 profile of people in class 5 – Disability Support (age / gender)</w:t>
      </w:r>
    </w:p>
    <w:p>
      <w:pPr>
        <w:pStyle w:val="BodyText"/>
        <w:spacing w:before="1"/>
        <w:rPr>
          <w:b/>
          <w:sz w:val="12"/>
        </w:rPr>
      </w:pPr>
    </w:p>
    <w:p>
      <w:pPr>
        <w:tabs>
          <w:tab w:pos="4013" w:val="left" w:leader="none"/>
        </w:tabs>
        <w:spacing w:before="72"/>
        <w:ind w:left="3490" w:right="0" w:firstLine="0"/>
        <w:jc w:val="left"/>
        <w:rPr>
          <w:rFonts w:ascii="Calibri"/>
          <w:sz w:val="14"/>
        </w:rPr>
      </w:pPr>
      <w:r>
        <w:rPr/>
        <w:pict>
          <v:group style="position:absolute;margin-left:174.696548pt;margin-top:5.958665pt;width:4.350pt;height:4.350pt;mso-position-horizontal-relative:page;mso-position-vertical-relative:paragraph;z-index:252378112" coordorigin="3494,119" coordsize="87,87">
            <v:rect style="position:absolute;left:3499;top:124;width:76;height:76" filled="true" fillcolor="#94b3d6" stroked="false">
              <v:fill type="solid"/>
            </v:rect>
            <v:rect style="position:absolute;left:3499;top:124;width:76;height:76" filled="false" stroked="true" strokeweight=".538954pt" strokecolor="#94b3d6">
              <v:stroke dashstyle="solid"/>
            </v:rect>
            <w10:wrap type="none"/>
          </v:group>
        </w:pict>
      </w:r>
      <w:r>
        <w:rPr/>
        <w:pict>
          <v:group style="position:absolute;margin-left:200.59877pt;margin-top:5.958752pt;width:4.9pt;height:4.350pt;mso-position-horizontal-relative:page;mso-position-vertical-relative:paragraph;z-index:-287523840" coordorigin="4012,119" coordsize="98,87">
            <v:rect style="position:absolute;left:4017;top:124;width:87;height:76" filled="true" fillcolor="#ffa7e1" stroked="false">
              <v:fill type="solid"/>
            </v:rect>
            <v:rect style="position:absolute;left:4017;top:124;width:87;height:76" filled="false" stroked="true" strokeweight=".538780pt" strokecolor="#ffa7e1">
              <v:stroke dashstyle="solid"/>
            </v:rect>
            <w10:wrap type="none"/>
          </v:group>
        </w:pict>
      </w:r>
      <w:r>
        <w:rPr>
          <w:rFonts w:ascii="Calibri"/>
          <w:sz w:val="14"/>
        </w:rPr>
        <w:t>Male</w:t>
        <w:tab/>
        <w:t>Female</w:t>
      </w:r>
    </w:p>
    <w:p>
      <w:pPr>
        <w:spacing w:after="0"/>
        <w:jc w:val="left"/>
        <w:rPr>
          <w:rFonts w:ascii="Calibri"/>
          <w:sz w:val="14"/>
        </w:rPr>
        <w:sectPr>
          <w:pgSz w:w="11910" w:h="16850"/>
          <w:pgMar w:header="572" w:footer="581" w:top="780" w:bottom="780" w:left="120" w:right="0"/>
        </w:sectPr>
      </w:pPr>
    </w:p>
    <w:p>
      <w:pPr>
        <w:spacing w:before="128"/>
        <w:ind w:left="1545" w:right="0" w:firstLine="0"/>
        <w:jc w:val="left"/>
        <w:rPr>
          <w:rFonts w:ascii="Calibri"/>
          <w:sz w:val="16"/>
        </w:rPr>
      </w:pPr>
      <w:r>
        <w:rPr/>
        <w:pict>
          <v:group style="position:absolute;margin-left:96.180397pt;margin-top:11.274703pt;width:221.55pt;height:108.2pt;mso-position-horizontal-relative:page;mso-position-vertical-relative:paragraph;z-index:252377088" coordorigin="1924,225" coordsize="4431,2164">
            <v:shape style="position:absolute;left:-295203;top:-275928;width:295203;height:283569" coordorigin="-295202,-275927" coordsize="295203,283569" path="m6349,236l6349,2335m5615,236l5615,2335m4892,236l4892,2335m4158,236l4158,2335e" filled="false" stroked="true" strokeweight=".538883pt" strokecolor="#f1f1f1">
              <v:path arrowok="t"/>
              <v:stroke dashstyle="solid"/>
            </v:shape>
            <v:line style="position:absolute" from="3942,1915" to="4158,1915" stroked="true" strokeweight=".998616pt" strokecolor="#94b3d6">
              <v:stroke dashstyle="solid"/>
            </v:line>
            <v:line style="position:absolute" from="4007,1942" to="4158,1942" stroked="true" strokeweight="1.697648pt" strokecolor="#94b3d6">
              <v:stroke dashstyle="solid"/>
            </v:line>
            <v:rect style="position:absolute;left:4082;top:1958;width:76;height:22" filled="true" fillcolor="#94b3d6" stroked="false">
              <v:fill type="solid"/>
            </v:rect>
            <v:shape style="position:absolute;left:3833;top:1785;width:324;height:98" coordorigin="3834,1785" coordsize="324,98" path="m4158,1785l3834,1785,3834,1819,3855,1819,3855,1839,3866,1839,3866,1861,3877,1861,3877,1883,4158,1883,4158,1861,4158,1839,4158,1819,4158,1785e" filled="true" fillcolor="#94b3d6" stroked="false">
              <v:path arrowok="t"/>
              <v:fill type="solid"/>
            </v:shape>
            <v:line style="position:absolute" from="3899,1894" to="4158,1894" stroked="true" strokeweight="1.098478pt" strokecolor="#94b3d6">
              <v:stroke dashstyle="solid"/>
            </v:line>
            <v:shape style="position:absolute;left:3715;top:1387;width:443;height:399" coordorigin="3715,1388" coordsize="443,399" path="m4158,1700l3834,1700,3834,1722,3834,1786,4158,1786,4158,1722,4158,1700m4158,1485l3780,1485,3780,1506,3769,1506,3769,1528,3812,1528,3812,1582,3823,1582,3823,1604,3834,1604,3834,1646,3845,1646,3845,1668,3823,1668,3823,1699,4158,1699,4158,1668,4158,1646,4158,1646,4158,1604,4158,1603,4158,1582,4158,1528,4158,1506,4158,1506,4158,1485m4158,1388l3715,1388,3715,1420,4158,1420,4158,1388e" filled="true" fillcolor="#94b3d6" stroked="false">
              <v:path arrowok="t"/>
              <v:fill type="solid"/>
            </v:shape>
            <v:line style="position:absolute" from="3737,1431" to="4158,1431" stroked="true" strokeweight="1.098478pt" strokecolor="#94b3d6">
              <v:stroke dashstyle="solid"/>
            </v:line>
            <v:shape style="position:absolute;left:3758;top:1441;width:400;height:42" coordorigin="3758,1442" coordsize="400,42" path="m4158,1442l3758,1442,3758,1464,3769,1464,3769,1484,4158,1484,4158,1464,4158,1442e" filled="true" fillcolor="#94b3d6" stroked="false">
              <v:path arrowok="t"/>
              <v:fill type="solid"/>
            </v:shape>
            <v:line style="position:absolute" from="3672,1356" to="4158,1356" stroked="true" strokeweight="1.076271pt" strokecolor="#94b3d6">
              <v:stroke dashstyle="solid"/>
            </v:line>
            <v:rect style="position:absolute;left:3704;top:1366;width:454;height:22" filled="true" fillcolor="#94b3d6" stroked="false">
              <v:fill type="solid"/>
            </v:rect>
            <v:line style="position:absolute" from="3575,1291" to="4158,1291" stroked="true" strokeweight="1.076271pt" strokecolor="#94b3d6">
              <v:stroke dashstyle="solid"/>
            </v:line>
            <v:line style="position:absolute" from="3618,1313" to="4158,1313" stroked="true" strokeweight="1.098478pt" strokecolor="#94b3d6">
              <v:stroke dashstyle="solid"/>
            </v:line>
            <v:rect style="position:absolute;left:3650;top:1324;width:508;height:20" filled="true" fillcolor="#94b3d6" stroked="false">
              <v:fill type="solid"/>
            </v:rect>
            <v:line style="position:absolute" from="3435,236" to="3435,2335" stroked="true" strokeweight=".539632pt" strokecolor="#f1f1f1">
              <v:stroke dashstyle="solid"/>
            </v:line>
            <v:rect style="position:absolute;left:3488;top:1204;width:670;height:44" filled="true" fillcolor="#94b3d6" stroked="false">
              <v:fill type="solid"/>
            </v:rect>
            <v:line style="position:absolute" from="3521,1264" to="4158,1264" stroked="true" strokeweight="1.614413pt" strokecolor="#94b3d6">
              <v:stroke dashstyle="solid"/>
            </v:line>
            <v:rect style="position:absolute;left:3477;top:1183;width:680;height:22" filled="true" fillcolor="#94b3d6" stroked="false">
              <v:fill type="solid"/>
            </v:rect>
            <v:line style="position:absolute" from="3445,1151" to="4158,1151" stroked="true" strokeweight="1.076271pt" strokecolor="#94b3d6">
              <v:stroke dashstyle="solid"/>
            </v:line>
            <v:shape style="position:absolute;left:3380;top:1086;width:778;height:97" coordorigin="3381,1087" coordsize="778,97" path="m4158,1162l3467,1162,3467,1183,4158,1183,4158,1162m4158,1087l3381,1087,3381,1108,3391,1108,3391,1140,4158,1140,4158,1108,4158,1087e" filled="true" fillcolor="#94b3d6" stroked="false">
              <v:path arrowok="t"/>
              <v:fill type="solid"/>
            </v:shape>
            <v:line style="position:absolute" from="3327,1076" to="4158,1076" stroked="true" strokeweight="1.076271pt" strokecolor="#94b3d6">
              <v:stroke dashstyle="solid"/>
            </v:line>
            <v:line style="position:absolute" from="3240,1017" to="4158,1017" stroked="true" strokeweight="2.696264pt" strokecolor="#94b3d6">
              <v:stroke dashstyle="solid"/>
            </v:line>
            <v:line style="position:absolute" from="3294,1054" to="4158,1054" stroked="true" strokeweight=".998616pt" strokecolor="#94b3d6">
              <v:stroke dashstyle="solid"/>
            </v:line>
            <v:shape style="position:absolute;left:4028;top:483;width:130;height:184" coordorigin="4028,483" coordsize="130,184" path="m4158,483l4136,483,4136,527,4125,527,4125,549,4104,549,4104,569,4093,569,4093,603,4082,603,4082,623,4061,623,4061,645,4028,645,4028,667,4158,667,4158,645,4158,623,4158,603,4158,569,4158,549,4158,527,4158,483e" filled="true" fillcolor="#94b3d6" stroked="false">
              <v:path arrowok="t"/>
              <v:fill type="solid"/>
            </v:shape>
            <v:line style="position:absolute" from="4007,678" to="4158,678" stroked="true" strokeweight="1.098478pt" strokecolor="#94b3d6">
              <v:stroke dashstyle="solid"/>
            </v:line>
            <v:shape style="position:absolute;left:3974;top:688;width:184;height:54" coordorigin="3974,688" coordsize="184,54" path="m4158,688l3985,688,3985,710,3974,710,3974,742,4158,742,4158,710,4158,688e" filled="true" fillcolor="#94b3d6" stroked="false">
              <v:path arrowok="t"/>
              <v:fill type="solid"/>
            </v:shape>
            <v:line style="position:absolute" from="3953,753" to="4158,753" stroked="true" strokeweight=".998616pt" strokecolor="#94b3d6">
              <v:stroke dashstyle="solid"/>
            </v:line>
            <v:line style="position:absolute" from="3909,774" to="4158,774" stroked="true" strokeweight="1.098478pt" strokecolor="#94b3d6">
              <v:stroke dashstyle="solid"/>
            </v:line>
            <v:line style="position:absolute" from="3877,796" to="4158,796" stroked="true" strokeweight="1.076275pt" strokecolor="#94b3d6">
              <v:stroke dashstyle="solid"/>
            </v:line>
            <v:shape style="position:absolute;left:3013;top:817;width:1145;height:22" coordorigin="3014,818" coordsize="1145,22" path="m3316,818l4158,818m3014,840l4158,840e" filled="false" stroked="true" strokeweight="1.098478pt" strokecolor="#94b3d6">
              <v:path arrowok="t"/>
              <v:stroke dashstyle="solid"/>
            </v:shape>
            <v:line style="position:absolute" from="3068,866" to="4158,866" stroked="true" strokeweight="1.614413pt" strokecolor="#94b3d6">
              <v:stroke dashstyle="solid"/>
            </v:line>
            <v:line style="position:absolute" from="3111,893" to="4158,893" stroked="true" strokeweight=".998616pt" strokecolor="#94b3d6">
              <v:stroke dashstyle="solid"/>
            </v:line>
            <v:shape style="position:absolute;left:3143;top:902;width:1015;height:44" coordorigin="3143,903" coordsize="1015,44" path="m4158,903l3143,903,3143,925,3154,925,3154,947,4158,947,4158,925,4158,903e" filled="true" fillcolor="#94b3d6" stroked="false">
              <v:path arrowok="t"/>
              <v:fill type="solid"/>
            </v:shape>
            <v:shape style="position:absolute;left:3186;top:957;width:972;height:22" coordorigin="3186,958" coordsize="972,22" path="m3186,958l4158,958m3219,979l4158,979e" filled="false" stroked="true" strokeweight="1.098478pt" strokecolor="#94b3d6">
              <v:path arrowok="t"/>
              <v:stroke dashstyle="solid"/>
            </v:shape>
            <v:shape style="position:absolute;left:4152;top:230;width:2;height:253" coordorigin="4152,231" coordsize="0,253" path="m4152,231l4152,483,4152,231xe" filled="true" fillcolor="#94b3d6" stroked="false">
              <v:path arrowok="t"/>
              <v:fill type="solid"/>
            </v:shape>
            <v:shape style="position:absolute;left:471236;top:-400931;width:35093;height:12533" coordorigin="471237,-400931" coordsize="35093,12533" path="m4082,1980l4158,1980,4158,1958,4082,1958,4082,1980m4007,1958l4158,1958,4158,1926,4007,1926,4007,1958e" filled="false" stroked="true" strokeweight=".538883pt" strokecolor="#94b3d6">
              <v:path arrowok="t"/>
              <v:stroke dashstyle="solid"/>
            </v:shape>
            <v:shape style="position:absolute;left:3893;top:1893;width:270;height:22" coordorigin="3893,1894" coordsize="270,22" path="m3936,1915l4163,1915m3893,1894l4163,1894e" filled="false" stroked="true" strokeweight="1.614413pt" strokecolor="#94b3d6">
              <v:path arrowok="t"/>
              <v:stroke dashstyle="solid"/>
            </v:shape>
            <v:shape style="position:absolute;left:3850;top:1813;width:313;height:76" coordorigin="3850,1813" coordsize="313,76" path="m4163,1813l3850,1813,3850,1845,3861,1845,3861,1867,3872,1867,3872,1888,4163,1888,4163,1867,4163,1856,4163,1845,4163,1835,4163,1813e" filled="true" fillcolor="#94b3d6" stroked="false">
              <v:path arrowok="t"/>
              <v:fill type="solid"/>
            </v:shape>
            <v:rect style="position:absolute;left:3833;top:1786;width:324;height:33" filled="false" stroked="true" strokeweight=".538152pt" strokecolor="#94b3d6">
              <v:stroke dashstyle="solid"/>
            </v:rect>
            <v:shape style="position:absolute;left:3828;top:1694;width:335;height:97" coordorigin="3828,1695" coordsize="335,97" path="m4163,1738l4158,1738,4158,1727,4158,1716,4158,1695,3829,1695,3829,1716,3829,1727,3829,1738,3828,1759,3828,1770,3828,1792,4163,1792,4163,1770,4163,1759,4163,1738e" filled="true" fillcolor="#94b3d6" stroked="false">
              <v:path arrowok="t"/>
              <v:fill type="solid"/>
            </v:shape>
            <v:rect style="position:absolute;left:3823;top:1667;width:335;height:33" filled="false" stroked="true" strokeweight=".538151pt" strokecolor="#94b3d6">
              <v:stroke dashstyle="solid"/>
            </v:rect>
            <v:shape style="position:absolute;left:3806;top:1554;width:357;height:119" coordorigin="3807,1555" coordsize="357,119" path="m4163,1555l3807,1555,3807,1587,3818,1587,3818,1609,3828,1609,3828,1619,3828,1630,3828,1652,3839,1652,3839,1673,4158,1673,4158,1652,4163,1652,4163,1576,4163,1555e" filled="true" fillcolor="#94b3d6" stroked="false">
              <v:path arrowok="t"/>
              <v:fill type="solid"/>
            </v:shape>
            <v:rect style="position:absolute;left:3812;top:1527;width:346;height:33" filled="false" stroked="true" strokeweight=".538151pt" strokecolor="#94b3d6">
              <v:stroke dashstyle="solid"/>
            </v:rect>
            <v:shape style="position:absolute;left:3752;top:1436;width:411;height:97" coordorigin="3753,1436" coordsize="411,97" path="m4163,1436l3753,1436,3753,1469,3764,1469,3764,1490,3775,1490,3775,1501,3764,1501,3764,1533,4163,1533,4163,1512,4163,1501,4163,1490,4163,1479,4163,1469,4163,1458,4163,1436e" filled="true" fillcolor="#94b3d6" stroked="false">
              <v:path arrowok="t"/>
              <v:fill type="solid"/>
            </v:shape>
            <v:line style="position:absolute" from="3731,1431" to="4163,1431" stroked="true" strokeweight="1.614413pt" strokecolor="#94b3d6">
              <v:stroke dashstyle="solid"/>
            </v:line>
            <v:rect style="position:absolute;left:3715;top:1387;width:443;height:33" filled="false" stroked="true" strokeweight=".538146pt" strokecolor="#94b3d6">
              <v:stroke dashstyle="solid"/>
            </v:rect>
            <v:line style="position:absolute" from="3699,1377" to="4163,1377" stroked="true" strokeweight="1.614413pt" strokecolor="#94b3d6">
              <v:stroke dashstyle="solid"/>
            </v:line>
            <v:rect style="position:absolute;left:3666;top:1339;width:497;height:33" filled="true" fillcolor="#94b3d6" stroked="false">
              <v:fill type="solid"/>
            </v:rect>
            <v:line style="position:absolute" from="3645,1334" to="4163,1334" stroked="true" strokeweight="1.614413pt" strokecolor="#94b3d6">
              <v:stroke dashstyle="solid"/>
            </v:line>
            <v:line style="position:absolute" from="3613,1313" to="4163,1313" stroked="true" strokeweight="1.614413pt" strokecolor="#94b3d6">
              <v:stroke dashstyle="solid"/>
            </v:line>
            <v:line style="position:absolute" from="3569,1291" to="4163,1291" stroked="true" strokeweight="1.614409pt" strokecolor="#94b3d6">
              <v:stroke dashstyle="solid"/>
            </v:line>
            <v:rect style="position:absolute;left:3520;top:1247;width:637;height:33" filled="false" stroked="true" strokeweight=".538141pt" strokecolor="#94b3d6">
              <v:stroke dashstyle="solid"/>
            </v:rect>
            <v:shape style="position:absolute;left:3461;top:1156;width:702;height:97" coordorigin="3462,1157" coordsize="702,97" path="m4163,1157l3462,1157,3462,1189,3472,1189,3472,1210,3483,1210,3483,1221,3483,1232,3483,1253,4163,1253,4163,1232,4163,1221,4163,1210,4163,1200,4163,1189,4163,1178,4163,1157e" filled="true" fillcolor="#94b3d6" stroked="false">
              <v:path arrowok="t"/>
              <v:fill type="solid"/>
            </v:shape>
            <v:line style="position:absolute" from="3440,1151" to="4163,1151" stroked="true" strokeweight="1.614409pt" strokecolor="#94b3d6">
              <v:stroke dashstyle="solid"/>
            </v:line>
            <v:rect style="position:absolute;left:3391;top:1108;width:767;height:33" filled="false" stroked="true" strokeweight=".538140pt" strokecolor="#94b3d6">
              <v:stroke dashstyle="solid"/>
            </v:rect>
            <v:line style="position:absolute" from="3375,1097" to="4163,1097" stroked="true" strokeweight="1.614413pt" strokecolor="#94b3d6">
              <v:stroke dashstyle="solid"/>
            </v:line>
            <v:line style="position:absolute" from="3321,1076" to="4163,1076" stroked="true" strokeweight="1.614409pt" strokecolor="#94b3d6">
              <v:stroke dashstyle="solid"/>
            </v:line>
            <v:shape style="position:absolute;left:3234;top:1032;width:929;height:22" coordorigin="3235,1033" coordsize="929,22" path="m3289,1054l4163,1054m3235,1033l4163,1033e" filled="false" stroked="true" strokeweight="1.614413pt" strokecolor="#94b3d6">
              <v:path arrowok="t"/>
              <v:stroke dashstyle="solid"/>
            </v:shape>
            <v:rect style="position:absolute;left:3240;top:989;width:918;height:33" filled="false" stroked="true" strokeweight=".538139pt" strokecolor="#94b3d6">
              <v:stroke dashstyle="solid"/>
            </v:rect>
            <v:line style="position:absolute" from="3213,979" to="4163,979" stroked="true" strokeweight="1.614413pt" strokecolor="#94b3d6">
              <v:stroke dashstyle="solid"/>
            </v:line>
            <v:line style="position:absolute" from="3181,957" to="4163,957" stroked="true" strokeweight="1.614413pt" strokecolor="#94b3d6">
              <v:stroke dashstyle="solid"/>
            </v:line>
            <v:shape style="position:absolute;left:3137;top:898;width:1026;height:54" coordorigin="3138,898" coordsize="1026,54" path="m4163,898l3138,898,3138,930,3149,930,3149,952,4163,952,4163,930,4163,920,4163,898e" filled="true" fillcolor="#94b3d6" stroked="false">
              <v:path arrowok="t"/>
              <v:fill type="solid"/>
            </v:shape>
            <v:line style="position:absolute" from="3105,893" to="4163,893" stroked="true" strokeweight="1.614413pt" strokecolor="#94b3d6">
              <v:stroke dashstyle="solid"/>
            </v:line>
            <v:rect style="position:absolute;left:3067;top:849;width:1091;height:33" filled="false" stroked="true" strokeweight=".538139pt" strokecolor="#94b3d6">
              <v:stroke dashstyle="solid"/>
            </v:rect>
            <v:line style="position:absolute" from="3008,839" to="4163,839" stroked="true" strokeweight="1.614413pt" strokecolor="#94b3d6">
              <v:stroke dashstyle="solid"/>
            </v:line>
            <v:shape style="position:absolute;left:3310;top:795;width:853;height:22" coordorigin="3310,796" coordsize="853,22" path="m3310,817l4163,817m3872,796l4163,796e" filled="false" stroked="true" strokeweight="1.614413pt" strokecolor="#94b3d6">
              <v:path arrowok="t"/>
              <v:stroke dashstyle="solid"/>
            </v:shape>
            <v:line style="position:absolute" from="3904,774" to="4163,774" stroked="true" strokeweight="1.614413pt" strokecolor="#94b3d6">
              <v:stroke dashstyle="solid"/>
            </v:line>
            <v:line style="position:absolute" from="3947,753" to="4163,753" stroked="true" strokeweight="1.614413pt" strokecolor="#94b3d6">
              <v:stroke dashstyle="solid"/>
            </v:line>
            <v:rect style="position:absolute;left:3974;top:709;width:184;height:33" filled="false" stroked="true" strokeweight=".538182pt" strokecolor="#94b3d6">
              <v:stroke dashstyle="solid"/>
            </v:rect>
            <v:line style="position:absolute" from="3980,699" to="4163,699" stroked="true" strokeweight="1.614413pt" strokecolor="#94b3d6">
              <v:stroke dashstyle="solid"/>
            </v:line>
            <v:shape style="position:absolute;left:4001;top:656;width:162;height:22" coordorigin="4001,656" coordsize="162,22" path="m4001,678l4163,678m4023,656l4163,656e" filled="false" stroked="true" strokeweight="1.614413pt" strokecolor="#94b3d6">
              <v:path arrowok="t"/>
              <v:stroke dashstyle="solid"/>
            </v:shape>
            <v:shape style="position:absolute;left:483769;top:-90116;width:22560;height:96506" coordorigin="483770,-90115" coordsize="22560,96506" path="m4061,645l4158,645,4158,624,4061,624,4061,645m4082,624l4158,624,4158,602,4082,602,4082,624m4093,602l4158,602,4158,570,4093,570,4093,602m4104,570l4158,570,4158,548,4104,548,4104,570m4125,548l4158,548,4158,527,4125,527,4125,548m4136,527l4158,527,4158,505,4136,505,4136,527m4136,505l4158,505,4158,484,4136,484,4136,505m4147,484l4158,484,4158,452,4147,452,4147,484m4147,452l4158,452,4158,430,4147,430,4147,452m4147,430l4158,430,4158,408,4147,408,4147,430m4147,408l4158,408,4158,387,4147,387,4147,408m4147,387l4158,387,4158,365,4147,365,4147,387m4147,365l4158,365,4158,344,4147,344,4147,365m4147,344l4158,344,4158,312,4147,312,4147,344m4147,312l4158,312,4158,290,4147,290,4147,312m4147,290l4158,290,4158,269,4147,269,4147,290m4147,269l4158,269,4158,247,4147,247,4147,269m4147,247l4158,247,4158,231e" filled="false" stroked="true" strokeweight=".538883pt" strokecolor="#94b3d6">
              <v:path arrowok="t"/>
              <v:stroke dashstyle="solid"/>
            </v:shape>
            <v:line style="position:absolute" from="4141,239" to="4152,239" stroked="true" strokeweight=".80778pt" strokecolor="#94b3d6">
              <v:stroke dashstyle="solid"/>
            </v:line>
            <v:shape style="position:absolute;left:4157;top:1905;width:119;height:74" coordorigin="4158,1905" coordsize="119,74" path="m4276,1905l4158,1905,4158,1925,4158,1959,4158,1979,4201,1979,4201,1959,4233,1959,4233,1925,4276,1925,4276,1905e" filled="true" fillcolor="#ffa7e1" stroked="false">
              <v:path arrowok="t"/>
              <v:fill type="solid"/>
            </v:shape>
            <v:shape style="position:absolute;left:4157;top:1818;width:195;height:87" coordorigin="4158,1818" coordsize="195,87" path="m4352,1818l4158,1818,4158,1840,4158,1861,4158,1883,4158,1905,4298,1905,4298,1883,4320,1883,4320,1861,4330,1861,4330,1840,4352,1840,4352,1818e" filled="true" fillcolor="#ffa7e1" stroked="false">
              <v:path arrowok="t"/>
              <v:fill type="solid"/>
            </v:shape>
            <v:rect style="position:absolute;left:4157;top:1625;width:227;height:140" filled="true" fillcolor="#ffa7e1" stroked="false">
              <v:fill type="solid"/>
            </v:rect>
            <v:shape style="position:absolute;left:4157;top:1484;width:281;height:335" coordorigin="4158,1485" coordsize="281,335" path="m4363,1765l4158,1765,4158,1819,4363,1819,4363,1765m4438,1485l4158,1485,4158,1506,4158,1560,4158,1582,4158,1603,4158,1625,4395,1625,4395,1603,4417,1603,4417,1582,4417,1560,4427,1560,4427,1506,4438,1506,4438,1485e" filled="true" fillcolor="#ffa7e1" stroked="false">
              <v:path arrowok="t"/>
              <v:fill type="solid"/>
            </v:shape>
            <v:line style="position:absolute" from="4158,1463" to="4460,1463" stroked="true" strokeweight="2.15254pt" strokecolor="#ffa7e1">
              <v:stroke dashstyle="solid"/>
            </v:line>
            <v:line style="position:absolute" from="4158,1393" to="4503,1393" stroked="true" strokeweight="2.690676pt" strokecolor="#ffa7e1">
              <v:stroke dashstyle="solid"/>
            </v:line>
            <v:rect style="position:absolute;left:4157;top:1420;width:324;height:22" filled="true" fillcolor="#ffa7e1" stroked="false">
              <v:fill type="solid"/>
            </v:rect>
            <v:shape style="position:absolute;left:4157;top:1334;width:400;height:22" coordorigin="4158,1334" coordsize="400,22" path="m4158,1334l4557,1334m4158,1356l4535,1356e" filled="false" stroked="true" strokeweight="1.076267pt" strokecolor="#ffa7e1">
              <v:path arrowok="t"/>
              <v:stroke dashstyle="solid"/>
            </v:shape>
            <v:shape style="position:absolute;left:4157;top:1291;width:486;height:22" coordorigin="4158,1291" coordsize="486,22" path="m4158,1291l4643,1291m4158,1313l4589,1313e" filled="false" stroked="true" strokeweight="1.098480pt" strokecolor="#ffa7e1">
              <v:path arrowok="t"/>
              <v:stroke dashstyle="solid"/>
            </v:shape>
            <v:shape style="position:absolute;left:4157;top:1204;width:583;height:44" coordorigin="4158,1204" coordsize="583,44" path="m4740,1226l4730,1226,4730,1204,4158,1204,4158,1226,4158,1248,4740,1248,4740,1226e" filled="true" fillcolor="#ffa7e1" stroked="false">
              <v:path arrowok="t"/>
              <v:fill type="solid"/>
            </v:shape>
            <v:line style="position:absolute" from="4158,1264" to="4708,1264" stroked="true" strokeweight="1.614403pt" strokecolor="#ffa7e1">
              <v:stroke dashstyle="solid"/>
            </v:line>
            <v:line style="position:absolute" from="4158,877" to="5302,877" stroked="true" strokeweight="2.596408pt" strokecolor="#ffa7e1">
              <v:stroke dashstyle="solid"/>
            </v:line>
            <v:line style="position:absolute" from="4158,914" to="5248,914" stroked="true" strokeweight="1.098480pt" strokecolor="#ffa7e1">
              <v:stroke dashstyle="solid"/>
            </v:line>
            <v:shape style="position:absolute;left:5247;top:903;width:54;height:2" coordorigin="5248,904" coordsize="54,0" path="m5302,904l5248,904,5302,904xe" filled="true" fillcolor="#ffa7e1" stroked="false">
              <v:path arrowok="t"/>
              <v:fill type="solid"/>
            </v:shape>
            <v:line style="position:absolute" from="4158,936" to="5194,936" stroked="true" strokeweight="1.076273pt" strokecolor="#ffa7e1">
              <v:stroke dashstyle="solid"/>
            </v:line>
            <v:line style="position:absolute" from="4158,957" to="5172,957" stroked="true" strokeweight="1.076267pt" strokecolor="#ffa7e1">
              <v:stroke dashstyle="solid"/>
            </v:line>
            <v:line style="position:absolute" from="4158,979" to="5107,979" stroked="true" strokeweight="1.098480pt" strokecolor="#ffa7e1">
              <v:stroke dashstyle="solid"/>
            </v:line>
            <v:line style="position:absolute" from="4158,1006" to="5086,1006" stroked="true" strokeweight="1.59779pt" strokecolor="#ffa7e1">
              <v:stroke dashstyle="solid"/>
            </v:line>
            <v:line style="position:absolute" from="4158,1033" to="5032,1033" stroked="true" strokeweight="1.098480pt" strokecolor="#ffa7e1">
              <v:stroke dashstyle="solid"/>
            </v:line>
            <v:line style="position:absolute" from="4158,1054" to="4989,1054" stroked="true" strokeweight=".998619pt" strokecolor="#ffa7e1">
              <v:stroke dashstyle="solid"/>
            </v:line>
            <v:line style="position:absolute" from="4158,1076" to="4946,1076" stroked="true" strokeweight="1.076267pt" strokecolor="#ffa7e1">
              <v:stroke dashstyle="solid"/>
            </v:line>
            <v:line style="position:absolute" from="4158,1097" to="4870,1097" stroked="true" strokeweight="1.098480pt" strokecolor="#ffa7e1">
              <v:stroke dashstyle="solid"/>
            </v:line>
            <v:line style="position:absolute" from="4158,1124" to="4848,1124" stroked="true" strokeweight="1.59779pt" strokecolor="#ffa7e1">
              <v:stroke dashstyle="solid"/>
            </v:line>
            <v:line style="position:absolute" from="4158,1151" to="4794,1151" stroked="true" strokeweight="1.098480pt" strokecolor="#ffa7e1">
              <v:stroke dashstyle="solid"/>
            </v:line>
            <v:shape style="position:absolute;left:4157;top:1162;width:616;height:43" coordorigin="4158,1162" coordsize="616,43" path="m4773,1162l4158,1162,4158,1183,4158,1184,4158,1205,4762,1205,4762,1184,4773,1184,4773,1162e" filled="true" fillcolor="#ffa7e1" stroked="false">
              <v:path arrowok="t"/>
              <v:fill type="solid"/>
            </v:shape>
            <v:line style="position:absolute" from="4158,818" to="5021,818" stroked="true" strokeweight="1.098480pt" strokecolor="#ffa7e1">
              <v:stroke dashstyle="solid"/>
            </v:line>
            <v:line style="position:absolute" from="4158,840" to="5356,840" stroked="true" strokeweight="1.098480pt" strokecolor="#ffa7e1">
              <v:stroke dashstyle="solid"/>
            </v:line>
            <v:line style="position:absolute" from="5021,828" to="5356,828" stroked="true" strokeweight=".000006pt" strokecolor="#ffa7e1">
              <v:stroke dashstyle="solid"/>
            </v:line>
            <v:shape style="position:absolute;left:4157;top:688;width:206;height:55" coordorigin="4158,688" coordsize="206,55" path="m4363,709l4352,709,4352,688,4158,688,4158,709,4158,710,4158,743,4363,743,4363,709e" filled="true" fillcolor="#ffa7e1" stroked="false">
              <v:path arrowok="t"/>
              <v:fill type="solid"/>
            </v:shape>
            <v:line style="position:absolute" from="4158,753" to="4384,753" stroked="true" strokeweight=".998619pt" strokecolor="#ffa7e1">
              <v:stroke dashstyle="solid"/>
            </v:line>
            <v:shape style="position:absolute;left:4157;top:773;width:303;height:22" coordorigin="4158,774" coordsize="303,22" path="m4158,774l4417,774m4158,796l4460,796e" filled="false" stroked="true" strokeweight="1.098480pt" strokecolor="#ffa7e1">
              <v:path arrowok="t"/>
              <v:stroke dashstyle="solid"/>
            </v:shape>
            <v:rect style="position:absolute;left:4157;top:644;width:108;height:22" filled="true" fillcolor="#ffa7e1" stroked="false">
              <v:fill type="solid"/>
            </v:rect>
            <v:line style="position:absolute" from="4158,678" to="4330,678" stroked="true" strokeweight="1.098480pt" strokecolor="#ffa7e1">
              <v:stroke dashstyle="solid"/>
            </v:line>
            <v:shape style="position:absolute;left:4157;top:549;width:76;height:97" coordorigin="4158,549" coordsize="76,97" path="m4190,549l4158,549,4158,569,4190,569,4190,549m4233,624l4222,624,4222,602,4179,602,4179,570,4158,570,4158,602,4158,624,4158,645,4233,645,4233,624e" filled="true" fillcolor="#ffa7e1" stroked="false">
              <v:path arrowok="t"/>
              <v:fill type="solid"/>
            </v:shape>
            <v:shape style="position:absolute;left:4163;top:290;width:2;height:259" coordorigin="4163,290" coordsize="0,259" path="m4163,290l4163,549,4163,290xe" filled="true" fillcolor="#ffa7e1" stroked="false">
              <v:path arrowok="t"/>
              <v:fill type="solid"/>
            </v:shape>
            <v:rect style="position:absolute;left:4157;top:247;width:11;height:22" filled="true" fillcolor="#ffa7e1" stroked="false">
              <v:fill type="solid"/>
            </v:rect>
            <v:shape style="position:absolute;left:373601;top:-293830;width:20345;height:12947" coordorigin="373602,-293829" coordsize="20345,12947" path="m4201,1980l4158,1980,4158,1958,4201,1958,4201,1980xm4233,1958l4158,1958,4158,1926,4233,1926,4233,1958xm4276,1926l4158,1926,4158,1905,4276,1905,4276,1926xe" filled="false" stroked="true" strokeweight=".538881pt" strokecolor="#ffa7e1">
              <v:path arrowok="t"/>
              <v:stroke dashstyle="solid"/>
            </v:shape>
            <v:line style="position:absolute" from="4152,1894" to="4303,1894" stroked="true" strokeweight="1.614409pt" strokecolor="#ffa7e1">
              <v:stroke dashstyle="solid"/>
            </v:line>
            <v:shape style="position:absolute;left:4152;top:1813;width:206;height:76" coordorigin="4152,1813" coordsize="206,76" path="m4357,1813l4152,1813,4152,1835,4152,1845,4152,1856,4152,1867,4152,1888,4325,1888,4325,1867,4336,1867,4336,1845,4357,1845,4357,1813e" filled="true" fillcolor="#ffa7e1" stroked="false">
              <v:path arrowok="t"/>
              <v:fill type="solid"/>
            </v:shape>
            <v:rect style="position:absolute;left:4157;top:1786;width:206;height:33" filled="false" stroked="true" strokeweight=".538172pt" strokecolor="#ffa7e1">
              <v:stroke dashstyle="solid"/>
            </v:rect>
            <v:line style="position:absolute" from="4152,1775" to="4368,1775" stroked="true" strokeweight="1.614403pt" strokecolor="#ffa7e1">
              <v:stroke dashstyle="solid"/>
            </v:line>
            <v:shape style="position:absolute;left:4152;top:1694;width:238;height:76" coordorigin="4152,1695" coordsize="238,76" path="m4390,1695l4152,1695,4152,1716,4152,1727,4152,1738,4152,1748,4152,1770,4390,1770,4390,1748,4390,1738,4390,1727,4390,1716,4390,1695e" filled="true" fillcolor="#ffa7e1" stroked="false">
              <v:path arrowok="t"/>
              <v:fill type="solid"/>
            </v:shape>
            <v:rect style="position:absolute;left:4157;top:1667;width:227;height:33" filled="false" stroked="true" strokeweight=".538166pt" strokecolor="#ffa7e1">
              <v:stroke dashstyle="solid"/>
            </v:rect>
            <v:shape style="position:absolute;left:4152;top:1554;width:270;height:119" coordorigin="4152,1555" coordsize="270,119" path="m4422,1555l4152,1555,4152,1576,4152,1587,4152,1673,4390,1673,4390,1652,4390,1641,4390,1630,4400,1630,4400,1609,4422,1609,4422,1587,4422,1576,4422,1555e" filled="true" fillcolor="#ffa7e1" stroked="false">
              <v:path arrowok="t"/>
              <v:fill type="solid"/>
            </v:shape>
            <v:rect style="position:absolute;left:4157;top:1527;width:270;height:33" filled="false" stroked="true" strokeweight=".538157pt" strokecolor="#ffa7e1">
              <v:stroke dashstyle="solid"/>
            </v:rect>
            <v:shape style="position:absolute;left:4152;top:1436;width:313;height:97" coordorigin="4152,1436" coordsize="313,97" path="m4465,1436l4152,1436,4152,1458,4152,1469,4152,1533,4433,1533,4433,1512,4444,1512,4444,1490,4465,1490,4465,1469,4465,1458,4465,1436e" filled="true" fillcolor="#ffa7e1" stroked="false">
              <v:path arrowok="t"/>
              <v:fill type="solid"/>
            </v:shape>
            <v:line style="position:absolute" from="4152,1431" to="4487,1431" stroked="true" strokeweight="1.614403pt" strokecolor="#ffa7e1">
              <v:stroke dashstyle="solid"/>
            </v:line>
            <v:rect style="position:absolute;left:4157;top:1387;width:346;height:33" filled="false" stroked="true" strokeweight=".538149pt" strokecolor="#ffa7e1">
              <v:stroke dashstyle="solid"/>
            </v:rect>
            <v:line style="position:absolute" from="4152,1377" to="4508,1377" stroked="true" strokeweight="1.614409pt" strokecolor="#ffa7e1">
              <v:stroke dashstyle="solid"/>
            </v:line>
            <v:shape style="position:absolute;left:4152;top:1312;width:443;height:44" coordorigin="4152,1313" coordsize="443,44" path="m4152,1356l4541,1356m4152,1334l4562,1334m4152,1313l4595,1313e" filled="false" stroked="true" strokeweight="1.614403pt" strokecolor="#ffa7e1">
              <v:path arrowok="t"/>
              <v:stroke dashstyle="solid"/>
            </v:shape>
            <v:line style="position:absolute" from="4152,1291" to="4649,1291" stroked="true" strokeweight="1.614409pt" strokecolor="#ffa7e1">
              <v:stroke dashstyle="solid"/>
            </v:line>
            <v:rect style="position:absolute;left:4157;top:1247;width:551;height:33" filled="false" stroked="true" strokeweight=".538141pt" strokecolor="#ffa7e1">
              <v:stroke dashstyle="solid"/>
            </v:rect>
            <v:shape style="position:absolute;left:4152;top:1156;width:626;height:97" coordorigin="4152,1157" coordsize="626,97" path="m4778,1157l4152,1157,4152,1178,4152,1189,4152,1253,4746,1253,4746,1221,4735,1221,4735,1210,4767,1210,4767,1189,4778,1189,4778,1157e" filled="true" fillcolor="#ffa7e1" stroked="false">
              <v:path arrowok="t"/>
              <v:fill type="solid"/>
            </v:shape>
            <v:line style="position:absolute" from="4152,1151" to="4800,1151" stroked="true" strokeweight="1.614403pt" strokecolor="#ffa7e1">
              <v:stroke dashstyle="solid"/>
            </v:line>
            <v:rect style="position:absolute;left:4157;top:1108;width:691;height:33" filled="false" stroked="true" strokeweight=".538140pt" strokecolor="#ffa7e1">
              <v:stroke dashstyle="solid"/>
            </v:rect>
            <v:line style="position:absolute" from="4152,1097" to="4875,1097" stroked="true" strokeweight="1.614409pt" strokecolor="#ffa7e1">
              <v:stroke dashstyle="solid"/>
            </v:line>
            <v:line style="position:absolute" from="4152,1076" to="4951,1076" stroked="true" strokeweight="1.614403pt" strokecolor="#ffa7e1">
              <v:stroke dashstyle="solid"/>
            </v:line>
            <v:line style="position:absolute" from="4152,1054" to="4994,1054" stroked="true" strokeweight="1.614409pt" strokecolor="#ffa7e1">
              <v:stroke dashstyle="solid"/>
            </v:line>
            <v:line style="position:absolute" from="4152,1033" to="5037,1033" stroked="true" strokeweight="1.614403pt" strokecolor="#ffa7e1">
              <v:stroke dashstyle="solid"/>
            </v:line>
            <v:rect style="position:absolute;left:4157;top:989;width:929;height:33" filled="false" stroked="true" strokeweight=".538138pt" strokecolor="#ffa7e1">
              <v:stroke dashstyle="solid"/>
            </v:rect>
            <v:line style="position:absolute" from="4152,979" to="5113,979" stroked="true" strokeweight="1.614409pt" strokecolor="#ffa7e1">
              <v:stroke dashstyle="solid"/>
            </v:line>
            <v:line style="position:absolute" from="4152,957" to="5178,957" stroked="true" strokeweight="1.614403pt" strokecolor="#ffa7e1">
              <v:stroke dashstyle="solid"/>
            </v:line>
            <v:line style="position:absolute" from="4152,936" to="5199,936" stroked="true" strokeweight="1.614409pt" strokecolor="#ffa7e1">
              <v:stroke dashstyle="solid"/>
            </v:line>
            <v:line style="position:absolute" from="4152,914" to="5253,914" stroked="true" strokeweight="1.614409pt" strokecolor="#ffa7e1">
              <v:stroke dashstyle="solid"/>
            </v:line>
            <v:line style="position:absolute" from="4152,893" to="5307,893" stroked="true" strokeweight="1.614403pt" strokecolor="#ffa7e1">
              <v:stroke dashstyle="solid"/>
            </v:line>
            <v:rect style="position:absolute;left:4157;top:849;width:1144;height:33" filled="false" stroked="true" strokeweight=".538138pt" strokecolor="#ffa7e1">
              <v:stroke dashstyle="solid"/>
            </v:rect>
            <v:line style="position:absolute" from="4152,839" to="5361,839" stroked="true" strokeweight="1.614409pt" strokecolor="#ffa7e1">
              <v:stroke dashstyle="solid"/>
            </v:line>
            <v:line style="position:absolute" from="4152,817" to="5026,817" stroked="true" strokeweight="1.614403pt" strokecolor="#ffa7e1">
              <v:stroke dashstyle="solid"/>
            </v:line>
            <v:line style="position:absolute" from="4152,796" to="4465,796" stroked="true" strokeweight="1.614409pt" strokecolor="#ffa7e1">
              <v:stroke dashstyle="solid"/>
            </v:line>
            <v:line style="position:absolute" from="4152,774" to="4422,774" stroked="true" strokeweight="1.614403pt" strokecolor="#ffa7e1">
              <v:stroke dashstyle="solid"/>
            </v:line>
            <v:line style="position:absolute" from="4152,753" to="4390,753" stroked="true" strokeweight="1.614409pt" strokecolor="#ffa7e1">
              <v:stroke dashstyle="solid"/>
            </v:line>
            <v:rect style="position:absolute;left:4157;top:709;width:206;height:33" filled="false" stroked="true" strokeweight=".538172pt" strokecolor="#ffa7e1">
              <v:stroke dashstyle="solid"/>
            </v:rect>
            <v:shape style="position:absolute;left:4152;top:677;width:206;height:22" coordorigin="4152,678" coordsize="206,22" path="m4152,699l4357,699m4152,678l4336,678e" filled="false" stroked="true" strokeweight="1.614403pt" strokecolor="#ffa7e1">
              <v:path arrowok="t"/>
              <v:stroke dashstyle="solid"/>
            </v:shape>
            <v:shape style="position:absolute;left:373601;top:-68189;width:18496;height:72132" coordorigin="373602,-68189" coordsize="18496,72132" path="m4266,667l4158,667,4158,645,4266,645,4266,667xm4233,645l4158,645,4158,624,4233,624,4233,645xm4222,624l4158,624,4158,602,4222,602,4222,624xm4179,602l4158,602,4158,570,4179,570,4179,602xm4190,570l4158,570,4158,548,4190,548,4190,570xm4168,548l4158,548,4158,527,4168,527,4168,548xm4158,527l4168,527,4168,505,4158,505,4158,527xm4158,505l4168,505,4168,484,4158,484,4158,505xm4158,484l4168,484,4168,452,4158,452,4158,484xm4158,452l4168,452,4168,430,4158,430,4158,452xm4158,430l4168,430,4168,408,4158,408,4158,430xm4158,408l4168,408,4168,387,4158,387,4158,408xm4158,387l4168,387,4168,365,4158,365,4158,387xm4158,365l4168,365,4168,344,4158,344,4158,365xm4158,344l4168,344,4168,312,4158,312,4158,344xm4158,312l4168,312,4168,290,4158,290,4158,312xm4158,269l4168,269,4168,247,4158,247,4158,269xe" filled="false" stroked="true" strokeweight=".538881pt" strokecolor="#ffa7e1">
              <v:path arrowok="t"/>
              <v:stroke dashstyle="solid"/>
            </v:shape>
            <v:line style="position:absolute" from="2701,236" to="2701,2335" stroked="true" strokeweight=".539632pt" strokecolor="#f1f1f1">
              <v:stroke dashstyle="solid"/>
            </v:line>
            <v:line style="position:absolute" from="6349,2335" to="1978,2335" stroked="true" strokeweight=".538128pt" strokecolor="#bebebe">
              <v:stroke dashstyle="solid"/>
            </v:line>
            <v:shape style="position:absolute;left:-653835;top:-431;width:653835;height:8073" coordorigin="-653835,-431" coordsize="653835,8073" path="m6349,2335l6349,2389m5615,2335l5615,2389m4892,2335l4892,2389m4158,2335l4158,2389m3435,2335l3435,2389m2701,2335l2701,2389m1978,2335l1978,2389e" filled="false" stroked="true" strokeweight=".538879pt" strokecolor="#bebebe">
              <v:path arrowok="t"/>
              <v:stroke dashstyle="solid"/>
            </v:shape>
            <v:line style="position:absolute" from="1978,2335" to="1978,236" stroked="true" strokeweight=".539632pt" strokecolor="#bebebe">
              <v:stroke dashstyle="solid"/>
            </v:line>
            <v:shape style="position:absolute;left:0;top:7641;width:16711;height:651711" coordorigin="0,7641" coordsize="16711,651711" path="m1924,2335l1978,2335m1924,2109l1978,2109m1924,1872l1978,1872m1924,1635l1978,1635m1924,1399l1978,1399m1924,1173l1978,1173m1924,936l1978,936m1924,699l1978,699m1924,473l1978,473m1924,236l1978,236e" filled="false" stroked="true" strokeweight=".53888pt" strokecolor="#bebebe">
              <v:path arrowok="t"/>
              <v:stroke dashstyle="solid"/>
            </v:shape>
            <w10:wrap type="none"/>
          </v:group>
        </w:pict>
      </w:r>
      <w:r>
        <w:rPr>
          <w:rFonts w:ascii="Calibri"/>
          <w:spacing w:val="-7"/>
          <w:sz w:val="16"/>
        </w:rPr>
        <w:t>90</w:t>
      </w:r>
    </w:p>
    <w:p>
      <w:pPr>
        <w:spacing w:before="39"/>
        <w:ind w:left="1545" w:right="0" w:firstLine="0"/>
        <w:jc w:val="left"/>
        <w:rPr>
          <w:rFonts w:ascii="Calibri"/>
          <w:sz w:val="16"/>
        </w:rPr>
      </w:pPr>
      <w:r>
        <w:rPr>
          <w:rFonts w:ascii="Calibri"/>
          <w:spacing w:val="-7"/>
          <w:sz w:val="16"/>
        </w:rPr>
        <w:t>80</w:t>
      </w:r>
    </w:p>
    <w:p>
      <w:pPr>
        <w:spacing w:before="38"/>
        <w:ind w:left="1545" w:right="0" w:firstLine="0"/>
        <w:jc w:val="left"/>
        <w:rPr>
          <w:rFonts w:ascii="Calibri"/>
          <w:sz w:val="16"/>
        </w:rPr>
      </w:pPr>
      <w:r>
        <w:rPr>
          <w:rFonts w:ascii="Calibri"/>
          <w:spacing w:val="-7"/>
          <w:sz w:val="16"/>
        </w:rPr>
        <w:t>70</w:t>
      </w:r>
    </w:p>
    <w:p>
      <w:pPr>
        <w:spacing w:before="39"/>
        <w:ind w:left="1545" w:right="0" w:firstLine="0"/>
        <w:jc w:val="left"/>
        <w:rPr>
          <w:rFonts w:ascii="Calibri"/>
          <w:sz w:val="16"/>
        </w:rPr>
      </w:pPr>
      <w:r>
        <w:rPr>
          <w:rFonts w:ascii="Calibri"/>
          <w:spacing w:val="-7"/>
          <w:sz w:val="16"/>
        </w:rPr>
        <w:t>60</w:t>
      </w:r>
    </w:p>
    <w:p>
      <w:pPr>
        <w:spacing w:before="39"/>
        <w:ind w:left="1545" w:right="0" w:firstLine="0"/>
        <w:jc w:val="left"/>
        <w:rPr>
          <w:rFonts w:ascii="Calibri"/>
          <w:sz w:val="16"/>
        </w:rPr>
      </w:pPr>
      <w:r>
        <w:rPr/>
        <w:pict>
          <v:shape style="position:absolute;margin-left:73.093697pt;margin-top:6.813605pt;width:9.050pt;height:12.5pt;mso-position-horizontal-relative:page;mso-position-vertical-relative:paragraph;z-index:252380160" type="#_x0000_t202" filled="false" stroked="false">
            <v:textbox inset="0,0,0,0" style="layout-flow:vertical;mso-layout-flow-alt:bottom-to-top">
              <w:txbxContent>
                <w:p>
                  <w:pPr>
                    <w:spacing w:line="163" w:lineRule="exact" w:before="0"/>
                    <w:ind w:left="20" w:right="0" w:firstLine="0"/>
                    <w:jc w:val="left"/>
                    <w:rPr>
                      <w:rFonts w:ascii="Calibri"/>
                      <w:sz w:val="14"/>
                    </w:rPr>
                  </w:pPr>
                  <w:r>
                    <w:rPr>
                      <w:rFonts w:ascii="Calibri"/>
                      <w:color w:val="A6A6A6"/>
                      <w:sz w:val="14"/>
                    </w:rPr>
                    <w:t>Age</w:t>
                  </w:r>
                </w:p>
              </w:txbxContent>
            </v:textbox>
            <w10:wrap type="none"/>
          </v:shape>
        </w:pict>
      </w:r>
      <w:r>
        <w:rPr>
          <w:rFonts w:ascii="Calibri"/>
          <w:spacing w:val="-7"/>
          <w:sz w:val="16"/>
        </w:rPr>
        <w:t>50</w:t>
      </w:r>
    </w:p>
    <w:p>
      <w:pPr>
        <w:spacing w:before="38"/>
        <w:ind w:left="1545" w:right="0" w:firstLine="0"/>
        <w:jc w:val="left"/>
        <w:rPr>
          <w:rFonts w:ascii="Calibri"/>
          <w:sz w:val="16"/>
        </w:rPr>
      </w:pPr>
      <w:r>
        <w:rPr>
          <w:rFonts w:ascii="Calibri"/>
          <w:spacing w:val="-7"/>
          <w:sz w:val="16"/>
        </w:rPr>
        <w:t>40</w:t>
      </w:r>
    </w:p>
    <w:p>
      <w:pPr>
        <w:spacing w:before="39"/>
        <w:ind w:left="1545" w:right="0" w:firstLine="0"/>
        <w:jc w:val="left"/>
        <w:rPr>
          <w:rFonts w:ascii="Calibri"/>
          <w:sz w:val="16"/>
        </w:rPr>
      </w:pPr>
      <w:r>
        <w:rPr>
          <w:rFonts w:ascii="Calibri"/>
          <w:spacing w:val="-7"/>
          <w:sz w:val="16"/>
        </w:rPr>
        <w:t>30</w:t>
      </w:r>
    </w:p>
    <w:p>
      <w:pPr>
        <w:spacing w:before="38"/>
        <w:ind w:left="1545" w:right="0" w:firstLine="0"/>
        <w:jc w:val="left"/>
        <w:rPr>
          <w:rFonts w:ascii="Calibri"/>
          <w:sz w:val="16"/>
        </w:rPr>
      </w:pPr>
      <w:r>
        <w:rPr>
          <w:rFonts w:ascii="Calibri"/>
          <w:spacing w:val="-7"/>
          <w:sz w:val="16"/>
        </w:rPr>
        <w:t>20</w:t>
      </w:r>
    </w:p>
    <w:p>
      <w:pPr>
        <w:spacing w:before="39"/>
        <w:ind w:left="1545" w:right="0" w:firstLine="0"/>
        <w:jc w:val="left"/>
        <w:rPr>
          <w:rFonts w:ascii="Calibri"/>
          <w:sz w:val="16"/>
        </w:rPr>
      </w:pPr>
      <w:r>
        <w:rPr>
          <w:rFonts w:ascii="Calibri"/>
          <w:spacing w:val="-7"/>
          <w:sz w:val="16"/>
        </w:rPr>
        <w:t>10</w:t>
      </w:r>
    </w:p>
    <w:p>
      <w:pPr>
        <w:spacing w:before="38"/>
        <w:ind w:left="1625" w:right="0" w:firstLine="0"/>
        <w:jc w:val="left"/>
        <w:rPr>
          <w:rFonts w:ascii="Calibri"/>
          <w:sz w:val="16"/>
        </w:rPr>
      </w:pPr>
      <w:r>
        <w:rPr>
          <w:rFonts w:ascii="Calibri"/>
          <w:w w:val="101"/>
          <w:sz w:val="16"/>
        </w:rPr>
        <w:t>0</w:t>
      </w:r>
    </w:p>
    <w:p>
      <w:pPr>
        <w:spacing w:before="10"/>
        <w:ind w:left="1632" w:right="0" w:firstLine="0"/>
        <w:jc w:val="left"/>
        <w:rPr>
          <w:rFonts w:ascii="Calibri"/>
          <w:sz w:val="16"/>
        </w:rPr>
      </w:pPr>
      <w:r>
        <w:rPr>
          <w:rFonts w:ascii="Calibri"/>
          <w:spacing w:val="-4"/>
          <w:sz w:val="16"/>
        </w:rPr>
        <w:t>30,000</w:t>
      </w:r>
    </w:p>
    <w:p>
      <w:pPr>
        <w:pStyle w:val="BodyText"/>
        <w:rPr>
          <w:rFonts w:ascii="Calibri"/>
          <w:sz w:val="16"/>
        </w:rPr>
      </w:pPr>
      <w:r>
        <w:rPr/>
        <w:br w:type="column"/>
      </w:r>
      <w:r>
        <w:rPr>
          <w:rFonts w:ascii="Calibri"/>
          <w:sz w:val="16"/>
        </w:rPr>
      </w: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spacing w:before="9"/>
        <w:rPr>
          <w:rFonts w:ascii="Calibri"/>
          <w:sz w:val="23"/>
        </w:rPr>
      </w:pPr>
    </w:p>
    <w:p>
      <w:pPr>
        <w:spacing w:before="0"/>
        <w:ind w:left="256" w:right="0" w:firstLine="0"/>
        <w:jc w:val="left"/>
        <w:rPr>
          <w:rFonts w:ascii="Calibri"/>
          <w:sz w:val="16"/>
        </w:rPr>
      </w:pPr>
      <w:r>
        <w:rPr>
          <w:rFonts w:ascii="Calibri"/>
          <w:spacing w:val="-4"/>
          <w:sz w:val="16"/>
        </w:rPr>
        <w:t>20,000</w:t>
      </w:r>
    </w:p>
    <w:p>
      <w:pPr>
        <w:pStyle w:val="BodyText"/>
        <w:rPr>
          <w:rFonts w:ascii="Calibri"/>
          <w:sz w:val="16"/>
        </w:rPr>
      </w:pPr>
      <w:r>
        <w:rPr/>
        <w:br w:type="column"/>
      </w:r>
      <w:r>
        <w:rPr>
          <w:rFonts w:ascii="Calibri"/>
          <w:sz w:val="16"/>
        </w:rPr>
      </w: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spacing w:before="9"/>
        <w:rPr>
          <w:rFonts w:ascii="Calibri"/>
          <w:sz w:val="23"/>
        </w:rPr>
      </w:pPr>
    </w:p>
    <w:p>
      <w:pPr>
        <w:spacing w:before="0"/>
        <w:ind w:left="256" w:right="0" w:firstLine="0"/>
        <w:jc w:val="left"/>
        <w:rPr>
          <w:rFonts w:ascii="Calibri"/>
          <w:sz w:val="16"/>
        </w:rPr>
      </w:pPr>
      <w:r>
        <w:rPr>
          <w:rFonts w:ascii="Calibri"/>
          <w:spacing w:val="-4"/>
          <w:sz w:val="16"/>
        </w:rPr>
        <w:t>10,000</w:t>
      </w:r>
    </w:p>
    <w:p>
      <w:pPr>
        <w:pStyle w:val="BodyText"/>
        <w:rPr>
          <w:rFonts w:ascii="Calibri"/>
          <w:sz w:val="16"/>
        </w:rPr>
      </w:pPr>
      <w:r>
        <w:rPr/>
        <w:br w:type="column"/>
      </w:r>
      <w:r>
        <w:rPr>
          <w:rFonts w:ascii="Calibri"/>
          <w:sz w:val="16"/>
        </w:rPr>
      </w: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spacing w:before="9"/>
        <w:rPr>
          <w:rFonts w:ascii="Calibri"/>
          <w:sz w:val="23"/>
        </w:rPr>
      </w:pPr>
    </w:p>
    <w:p>
      <w:pPr>
        <w:tabs>
          <w:tab w:pos="985" w:val="left" w:leader="none"/>
        </w:tabs>
        <w:spacing w:before="0"/>
        <w:ind w:left="437" w:right="0" w:firstLine="0"/>
        <w:jc w:val="left"/>
        <w:rPr>
          <w:rFonts w:ascii="Calibri"/>
          <w:sz w:val="16"/>
        </w:rPr>
      </w:pPr>
      <w:r>
        <w:rPr>
          <w:rFonts w:ascii="Calibri"/>
          <w:sz w:val="16"/>
        </w:rPr>
        <w:t>0</w:t>
        <w:tab/>
      </w:r>
      <w:r>
        <w:rPr>
          <w:rFonts w:ascii="Calibri"/>
          <w:spacing w:val="-7"/>
          <w:sz w:val="16"/>
        </w:rPr>
        <w:t>10,000</w:t>
      </w:r>
    </w:p>
    <w:p>
      <w:pPr>
        <w:pStyle w:val="BodyText"/>
        <w:rPr>
          <w:rFonts w:ascii="Calibri"/>
          <w:sz w:val="16"/>
        </w:rPr>
      </w:pPr>
      <w:r>
        <w:rPr/>
        <w:br w:type="column"/>
      </w:r>
      <w:r>
        <w:rPr>
          <w:rFonts w:ascii="Calibri"/>
          <w:sz w:val="16"/>
        </w:rPr>
      </w: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spacing w:before="9"/>
        <w:rPr>
          <w:rFonts w:ascii="Calibri"/>
          <w:sz w:val="23"/>
        </w:rPr>
      </w:pPr>
    </w:p>
    <w:p>
      <w:pPr>
        <w:spacing w:before="0"/>
        <w:ind w:left="256" w:right="0" w:firstLine="0"/>
        <w:jc w:val="left"/>
        <w:rPr>
          <w:rFonts w:ascii="Calibri"/>
          <w:sz w:val="16"/>
        </w:rPr>
      </w:pPr>
      <w:r>
        <w:rPr>
          <w:rFonts w:ascii="Calibri"/>
          <w:spacing w:val="-4"/>
          <w:sz w:val="16"/>
        </w:rPr>
        <w:t>20,000</w:t>
      </w:r>
    </w:p>
    <w:p>
      <w:pPr>
        <w:pStyle w:val="BodyText"/>
        <w:rPr>
          <w:rFonts w:ascii="Calibri"/>
          <w:sz w:val="16"/>
        </w:rPr>
      </w:pPr>
      <w:r>
        <w:rPr/>
        <w:br w:type="column"/>
      </w:r>
      <w:r>
        <w:rPr>
          <w:rFonts w:ascii="Calibri"/>
          <w:sz w:val="16"/>
        </w:rPr>
      </w: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spacing w:before="9"/>
        <w:rPr>
          <w:rFonts w:ascii="Calibri"/>
          <w:sz w:val="23"/>
        </w:rPr>
      </w:pPr>
    </w:p>
    <w:p>
      <w:pPr>
        <w:spacing w:before="0"/>
        <w:ind w:left="256" w:right="0" w:firstLine="0"/>
        <w:jc w:val="left"/>
        <w:rPr>
          <w:rFonts w:ascii="Calibri"/>
          <w:sz w:val="16"/>
        </w:rPr>
      </w:pPr>
      <w:r>
        <w:rPr>
          <w:rFonts w:ascii="Calibri"/>
          <w:sz w:val="16"/>
        </w:rPr>
        <w:t>30,000</w:t>
      </w:r>
    </w:p>
    <w:p>
      <w:pPr>
        <w:spacing w:after="0"/>
        <w:jc w:val="left"/>
        <w:rPr>
          <w:rFonts w:ascii="Calibri"/>
          <w:sz w:val="16"/>
        </w:rPr>
        <w:sectPr>
          <w:type w:val="continuous"/>
          <w:pgSz w:w="11910" w:h="16850"/>
          <w:pgMar w:top="1600" w:bottom="280" w:left="120" w:right="0"/>
          <w:cols w:num="6" w:equalWidth="0">
            <w:col w:w="2065" w:space="40"/>
            <w:col w:w="689" w:space="39"/>
            <w:col w:w="689" w:space="40"/>
            <w:col w:w="1418" w:space="39"/>
            <w:col w:w="689" w:space="40"/>
            <w:col w:w="6042"/>
          </w:cols>
        </w:sectPr>
      </w:pPr>
    </w:p>
    <w:p>
      <w:pPr>
        <w:spacing w:before="40"/>
        <w:ind w:left="3427" w:right="0" w:firstLine="0"/>
        <w:jc w:val="left"/>
        <w:rPr>
          <w:rFonts w:ascii="Calibri"/>
          <w:sz w:val="16"/>
        </w:rPr>
      </w:pPr>
      <w:r>
        <w:rPr>
          <w:rFonts w:ascii="Calibri"/>
          <w:color w:val="A6A6A6"/>
          <w:sz w:val="16"/>
        </w:rPr>
        <w:t>Number of People</w:t>
      </w:r>
    </w:p>
    <w:p>
      <w:pPr>
        <w:pStyle w:val="BodyText"/>
        <w:spacing w:before="9"/>
        <w:rPr>
          <w:rFonts w:ascii="Calibri"/>
          <w:sz w:val="24"/>
        </w:rPr>
      </w:pPr>
    </w:p>
    <w:p>
      <w:pPr>
        <w:pStyle w:val="BodyText"/>
        <w:spacing w:before="93"/>
        <w:ind w:left="900" w:right="1076"/>
      </w:pPr>
      <w:r>
        <w:rPr>
          <w:color w:val="404040"/>
        </w:rPr>
        <w:t>There are slightly more men than women in this class. The numbers in the class increase by age up to pension age and then reduce as most retire.</w:t>
      </w:r>
    </w:p>
    <w:p>
      <w:pPr>
        <w:pStyle w:val="BodyText"/>
        <w:spacing w:before="9"/>
      </w:pPr>
    </w:p>
    <w:p>
      <w:pPr>
        <w:pStyle w:val="Heading6"/>
        <w:rPr>
          <w:i/>
        </w:rPr>
      </w:pPr>
      <w:r>
        <w:rPr>
          <w:i/>
          <w:color w:val="DF2F1E"/>
        </w:rPr>
        <w:t>Movements into and out of this class</w:t>
      </w:r>
    </w:p>
    <w:p>
      <w:pPr>
        <w:pStyle w:val="BodyText"/>
        <w:spacing w:before="121"/>
        <w:ind w:left="900" w:right="1035"/>
      </w:pPr>
      <w:r>
        <w:rPr>
          <w:color w:val="404040"/>
        </w:rPr>
        <w:t>Over the last three years, the number of people entering and exiting this class has fluctuated due to a number of policy changes. Over this period there were an average of 27,600 people (around 3.5% of the people in this class) entering this class from another welfare class or from outside the welfare system. Over this same period, an average of 46,800 people (around 5.9% of people in this class) transitioned out of the Disability Support Pension</w:t>
      </w:r>
      <w:r>
        <w:rPr>
          <w:color w:val="404040"/>
          <w:spacing w:val="-4"/>
        </w:rPr>
        <w:t> </w:t>
      </w:r>
      <w:r>
        <w:rPr>
          <w:color w:val="404040"/>
        </w:rPr>
        <w:t>class.</w:t>
      </w:r>
      <w:r>
        <w:rPr>
          <w:color w:val="404040"/>
          <w:spacing w:val="-4"/>
        </w:rPr>
        <w:t> </w:t>
      </w:r>
      <w:r>
        <w:rPr>
          <w:color w:val="404040"/>
        </w:rPr>
        <w:t>The</w:t>
      </w:r>
      <w:r>
        <w:rPr>
          <w:color w:val="404040"/>
          <w:spacing w:val="-4"/>
        </w:rPr>
        <w:t> </w:t>
      </w:r>
      <w:r>
        <w:rPr>
          <w:color w:val="404040"/>
        </w:rPr>
        <w:t>following</w:t>
      </w:r>
      <w:r>
        <w:rPr>
          <w:color w:val="404040"/>
          <w:spacing w:val="-3"/>
        </w:rPr>
        <w:t> </w:t>
      </w:r>
      <w:r>
        <w:rPr>
          <w:color w:val="404040"/>
        </w:rPr>
        <w:t>chart</w:t>
      </w:r>
      <w:r>
        <w:rPr>
          <w:color w:val="404040"/>
          <w:spacing w:val="-4"/>
        </w:rPr>
        <w:t> </w:t>
      </w:r>
      <w:r>
        <w:rPr>
          <w:color w:val="404040"/>
        </w:rPr>
        <w:t>shows</w:t>
      </w:r>
      <w:r>
        <w:rPr>
          <w:color w:val="404040"/>
          <w:spacing w:val="-3"/>
        </w:rPr>
        <w:t> </w:t>
      </w:r>
      <w:r>
        <w:rPr>
          <w:color w:val="404040"/>
        </w:rPr>
        <w:t>the</w:t>
      </w:r>
      <w:r>
        <w:rPr>
          <w:color w:val="404040"/>
          <w:spacing w:val="-2"/>
        </w:rPr>
        <w:t> </w:t>
      </w:r>
      <w:r>
        <w:rPr>
          <w:color w:val="404040"/>
        </w:rPr>
        <w:t>breakdown</w:t>
      </w:r>
      <w:r>
        <w:rPr>
          <w:color w:val="404040"/>
          <w:spacing w:val="-3"/>
        </w:rPr>
        <w:t> </w:t>
      </w:r>
      <w:r>
        <w:rPr>
          <w:color w:val="404040"/>
        </w:rPr>
        <w:t>of</w:t>
      </w:r>
      <w:r>
        <w:rPr>
          <w:color w:val="404040"/>
          <w:spacing w:val="-2"/>
        </w:rPr>
        <w:t> </w:t>
      </w:r>
      <w:r>
        <w:rPr>
          <w:color w:val="404040"/>
        </w:rPr>
        <w:t>these</w:t>
      </w:r>
      <w:r>
        <w:rPr>
          <w:color w:val="404040"/>
          <w:spacing w:val="-2"/>
        </w:rPr>
        <w:t> </w:t>
      </w:r>
      <w:r>
        <w:rPr>
          <w:color w:val="404040"/>
        </w:rPr>
        <w:t>transitions</w:t>
      </w:r>
      <w:r>
        <w:rPr>
          <w:color w:val="404040"/>
          <w:spacing w:val="-3"/>
        </w:rPr>
        <w:t> </w:t>
      </w:r>
      <w:r>
        <w:rPr>
          <w:color w:val="404040"/>
        </w:rPr>
        <w:t>by</w:t>
      </w:r>
      <w:r>
        <w:rPr>
          <w:color w:val="404040"/>
          <w:spacing w:val="-5"/>
        </w:rPr>
        <w:t> </w:t>
      </w:r>
      <w:r>
        <w:rPr>
          <w:color w:val="404040"/>
        </w:rPr>
        <w:t>previous /</w:t>
      </w:r>
      <w:r>
        <w:rPr>
          <w:color w:val="404040"/>
          <w:spacing w:val="-4"/>
        </w:rPr>
        <w:t> </w:t>
      </w:r>
      <w:r>
        <w:rPr>
          <w:color w:val="404040"/>
        </w:rPr>
        <w:t>destination</w:t>
      </w:r>
      <w:r>
        <w:rPr>
          <w:color w:val="404040"/>
          <w:spacing w:val="-4"/>
        </w:rPr>
        <w:t> </w:t>
      </w:r>
      <w:r>
        <w:rPr>
          <w:color w:val="404040"/>
        </w:rPr>
        <w:t>class</w:t>
      </w:r>
      <w:r>
        <w:rPr>
          <w:color w:val="404040"/>
          <w:spacing w:val="-3"/>
        </w:rPr>
        <w:t> </w:t>
      </w:r>
      <w:r>
        <w:rPr>
          <w:color w:val="404040"/>
        </w:rPr>
        <w:t>and year of</w:t>
      </w:r>
      <w:r>
        <w:rPr>
          <w:color w:val="404040"/>
          <w:spacing w:val="2"/>
        </w:rPr>
        <w:t> </w:t>
      </w:r>
      <w:r>
        <w:rPr>
          <w:color w:val="404040"/>
        </w:rPr>
        <w:t>transition.</w:t>
      </w:r>
    </w:p>
    <w:p>
      <w:pPr>
        <w:spacing w:after="0"/>
        <w:sectPr>
          <w:type w:val="continuous"/>
          <w:pgSz w:w="11910" w:h="16850"/>
          <w:pgMar w:top="1600" w:bottom="280" w:left="120" w:right="0"/>
        </w:sectPr>
      </w:pPr>
    </w:p>
    <w:p>
      <w:pPr>
        <w:pStyle w:val="BodyText"/>
      </w:pPr>
    </w:p>
    <w:p>
      <w:pPr>
        <w:pStyle w:val="BodyText"/>
      </w:pPr>
    </w:p>
    <w:p>
      <w:pPr>
        <w:pStyle w:val="BodyText"/>
        <w:spacing w:before="5"/>
        <w:rPr>
          <w:sz w:val="21"/>
        </w:rPr>
      </w:pPr>
    </w:p>
    <w:p>
      <w:pPr>
        <w:pStyle w:val="Heading9"/>
      </w:pPr>
      <w:r>
        <w:rPr>
          <w:color w:val="DF2F1E"/>
        </w:rPr>
        <w:t>Figure 67: Number of people entering class 5 – Disability Support (by class entered from)</w:t>
      </w:r>
    </w:p>
    <w:p>
      <w:pPr>
        <w:spacing w:before="62"/>
        <w:ind w:left="1242" w:right="0" w:firstLine="0"/>
        <w:jc w:val="left"/>
        <w:rPr>
          <w:rFonts w:ascii="Calibri"/>
          <w:sz w:val="16"/>
        </w:rPr>
      </w:pPr>
      <w:r>
        <w:rPr/>
        <w:pict>
          <v:group style="position:absolute;margin-left:98.294128pt;margin-top:8.110501pt;width:412.55pt;height:144.050pt;mso-position-horizontal-relative:page;mso-position-vertical-relative:paragraph;z-index:252392448" coordorigin="1966,162" coordsize="8251,2881">
            <v:shape style="position:absolute;left:1971;top:1664;width:8240;height:378" coordorigin="1972,1664" coordsize="8240,378" path="m9963,2041l10211,2041m9138,2041l9633,2041m8313,2041l8808,2041m7488,2041l7983,2041m6663,2041l7158,2041m5838,2041l6333,2041m5025,2041l5520,2041m4200,2041l4695,2041m3374,2041l3870,2041m2549,2041l3044,2041m1972,2041l2219,2041m2549,1664l4695,1664m1972,1664l2219,1664e" filled="false" stroked="true" strokeweight=".589103pt" strokecolor="#d9d9d9">
              <v:path arrowok="t"/>
              <v:stroke dashstyle="solid"/>
            </v:shape>
            <v:rect style="position:absolute;left:2219;top:2383;width:331;height:24" filled="true" fillcolor="#1f487c" stroked="false">
              <v:fill type="solid"/>
            </v:rect>
            <v:rect style="position:absolute;left:2219;top:1546;width:331;height:837" filled="true" fillcolor="#009544" stroked="false">
              <v:fill type="solid"/>
            </v:rect>
            <v:line style="position:absolute" from="3044,2401" to="3374,2401" stroked="true" strokeweight=".589112pt" strokecolor="#1f487c">
              <v:stroke dashstyle="solid"/>
            </v:line>
            <v:rect style="position:absolute;left:3044;top:1735;width:331;height:660" filled="true" fillcolor="#009544" stroked="false">
              <v:fill type="solid"/>
            </v:rect>
            <v:line style="position:absolute" from="3870,2401" to="4200,2401" stroked="true" strokeweight=".589112pt" strokecolor="#1f487c">
              <v:stroke dashstyle="solid"/>
            </v:line>
            <v:rect style="position:absolute;left:3869;top:1982;width:331;height:413" filled="true" fillcolor="#009544" stroked="false">
              <v:fill type="solid"/>
            </v:rect>
            <v:line style="position:absolute" from="4695,2401" to="5025,2401" stroked="true" strokeweight=".589112pt" strokecolor="#1f487c">
              <v:stroke dashstyle="solid"/>
            </v:line>
            <v:rect style="position:absolute;left:4694;top:1935;width:331;height:460" filled="true" fillcolor="#009544" stroked="false">
              <v:fill type="solid"/>
            </v:rect>
            <v:line style="position:absolute" from="5520,2401" to="5838,2401" stroked="true" strokeweight=".589112pt" strokecolor="#1f487c">
              <v:stroke dashstyle="solid"/>
            </v:line>
            <v:rect style="position:absolute;left:5519;top:1970;width:319;height:425" filled="true" fillcolor="#009544" stroked="false">
              <v:fill type="solid"/>
            </v:rect>
            <v:line style="position:absolute" from="6333,2401" to="6663,2401" stroked="true" strokeweight=".589112pt" strokecolor="#1f487c">
              <v:stroke dashstyle="solid"/>
            </v:line>
            <v:shape style="position:absolute;left:6333;top:1829;width:2806;height:578" coordorigin="6333,1829" coordsize="2806,578" path="m6663,1829l6333,1829,6333,2395,6663,2395,6663,1829m7488,1947l7158,1947,7158,2407,7488,2407,7488,1947m8313,1935l7983,1935,7983,2407,8313,2407,8313,1935m9138,1924l8808,1924,8808,2407,9138,2407,9138,1924e" filled="true" fillcolor="#009544" stroked="false">
              <v:path arrowok="t"/>
              <v:fill type="solid"/>
            </v:shape>
            <v:line style="position:absolute" from="9633,2401" to="9963,2401" stroked="true" strokeweight=".589112pt" strokecolor="#1f487c">
              <v:stroke dashstyle="solid"/>
            </v:line>
            <v:rect style="position:absolute;left:9633;top:1923;width:331;height:472" filled="true" fillcolor="#009544" stroked="false">
              <v:fill type="solid"/>
            </v:rect>
            <v:shape style="position:absolute;left:2219;top:1499;width:2806;height:484" coordorigin="2219,1499" coordsize="2806,484" path="m2549,1499l2219,1499,2219,1547,2549,1547,2549,1499m3374,1688l3044,1688,3044,1735,3374,1735,3374,1688m4200,1959l3869,1959,3869,1983,4200,1983,4200,1959m5025,1912l4695,1912,4695,1935,5025,1935,5025,1912e" filled="true" fillcolor="#e16b09" stroked="false">
              <v:path arrowok="t"/>
              <v:fill type="solid"/>
            </v:shape>
            <v:shape style="position:absolute;left:5519;top:1823;width:1144;height:142" coordorigin="5520,1823" coordsize="1144,142" path="m5520,1965l5838,1965m6333,1823l6663,1823e" filled="false" stroked="true" strokeweight=".589103pt" strokecolor="#e16b09">
              <v:path arrowok="t"/>
              <v:stroke dashstyle="solid"/>
            </v:shape>
            <v:rect style="position:absolute;left:7158;top:1923;width:331;height:24" filled="true" fillcolor="#e16b09" stroked="false">
              <v:fill type="solid"/>
            </v:rect>
            <v:line style="position:absolute" from="7983,1930" to="8313,1930" stroked="true" strokeweight=".589103pt" strokecolor="#e16b09">
              <v:stroke dashstyle="solid"/>
            </v:line>
            <v:line style="position:absolute" from="8808,1918" to="9138,1918" stroked="true" strokeweight=".589103pt" strokecolor="#e16b09">
              <v:stroke dashstyle="solid"/>
            </v:line>
            <v:rect style="position:absolute;left:9633;top:1900;width:331;height:24" filled="true" fillcolor="#e16b09" stroked="false">
              <v:fill type="solid"/>
            </v:rect>
            <v:shape style="position:absolute;left:2219;top:1440;width:3619;height:519" coordorigin="2219,1441" coordsize="3619,519" path="m2549,1441l2219,1441,2219,1499,2549,1499,2549,1441m3374,1641l3044,1641,3044,1688,3374,1688,3374,1641m4200,1924l3869,1924,3869,1959,4200,1959,4200,1924m5025,1877l4695,1877,4695,1912,5025,1912,5025,1877m5838,1935l5520,1935,5520,1959,5838,1959,5838,1935e" filled="true" fillcolor="#e08ad6" stroked="false">
              <v:path arrowok="t"/>
              <v:fill type="solid"/>
            </v:shape>
            <v:line style="position:absolute" from="6333,1800" to="6663,1800" stroked="true" strokeweight="1.767316pt" strokecolor="#e08ad6">
              <v:stroke dashstyle="solid"/>
            </v:line>
            <v:shape style="position:absolute;left:7158;top:1864;width:2806;height:59" coordorigin="7158,1865" coordsize="2806,59" path="m7488,1900l7158,1900,7158,1924,7488,1924,7488,1900m8313,1888l7983,1888,7983,1924,8313,1924,8313,1888m9138,1877l8808,1877,8808,1912,9138,1912,9138,1877m9963,1865l9633,1865,9633,1900,9963,1900,9963,1865e" filled="true" fillcolor="#e08ad6" stroked="false">
              <v:path arrowok="t"/>
              <v:fill type="solid"/>
            </v:shape>
            <v:shape style="position:absolute;left:2219;top:1434;width:1156;height:201" coordorigin="2219,1435" coordsize="1156,201" path="m2219,1435l2549,1435m3044,1635l3374,1635e" filled="false" stroked="true" strokeweight=".589101pt" strokecolor="#c0504d">
              <v:path arrowok="t"/>
              <v:stroke dashstyle="solid"/>
            </v:shape>
            <v:shape style="position:absolute;left:3869;top:1870;width:1156;height:48" coordorigin="3869,1871" coordsize="1156,48" path="m3869,1918l4200,1918m4695,1871l5025,1871e" filled="false" stroked="true" strokeweight=".589101pt" strokecolor="#c0504d">
              <v:path arrowok="t"/>
              <v:stroke dashstyle="solid"/>
            </v:shape>
            <v:shape style="position:absolute;left:5519;top:1776;width:1969;height:154" coordorigin="5520,1776" coordsize="1969,154" path="m5520,1930l5838,1930m6333,1776l6663,1776m7158,1894l7488,1894e" filled="false" stroked="true" strokeweight=".589114pt" strokecolor="#c0504d">
              <v:path arrowok="t"/>
              <v:stroke dashstyle="solid"/>
            </v:shape>
            <v:line style="position:absolute" from="7983,1882" to="8313,1882" stroked="true" strokeweight=".589101pt" strokecolor="#c0504d">
              <v:stroke dashstyle="solid"/>
            </v:line>
            <v:line style="position:absolute" from="8808,1871" to="9138,1871" stroked="true" strokeweight=".589101pt" strokecolor="#c0504d">
              <v:stroke dashstyle="solid"/>
            </v:line>
            <v:line style="position:absolute" from="9633,1859" to="9963,1859" stroked="true" strokeweight=".589114pt" strokecolor="#c0504d">
              <v:stroke dashstyle="solid"/>
            </v:line>
            <v:shape style="position:absolute;left:2219;top:1381;width:3619;height:554" coordorigin="2219,1382" coordsize="3619,554" path="m2549,1382l2219,1382,2219,1441,2549,1441,2549,1382m3374,1594l3044,1594,3044,1641,3374,1641,3374,1594m4200,1888l3869,1888,3869,1924,4200,1924,4200,1888m5025,1853l4695,1853,4695,1877,5025,1877,5025,1853m5838,1912l5520,1912,5520,1935,5838,1935,5838,1912e" filled="true" fillcolor="#f8a763" stroked="false">
              <v:path arrowok="t"/>
              <v:fill type="solid"/>
            </v:shape>
            <v:line style="position:absolute" from="6333,1776" to="6663,1776" stroked="true" strokeweight=".589114pt" strokecolor="#f8a763">
              <v:stroke dashstyle="solid"/>
            </v:line>
            <v:shape style="position:absolute;left:7158;top:1852;width:1981;height:48" coordorigin="7158,1853" coordsize="1981,48" path="m7488,1877l7158,1877,7158,1900,7488,1900,7488,1877m8313,1865l7983,1865,7983,1888,8313,1888,8313,1865m9138,1853l8808,1853,8808,1877,9138,1877,9138,1853e" filled="true" fillcolor="#f8a763" stroked="false">
              <v:path arrowok="t"/>
              <v:fill type="solid"/>
            </v:shape>
            <v:line style="position:absolute" from="9633,1859" to="9963,1859" stroked="true" strokeweight=".589114pt" strokecolor="#f8a763">
              <v:stroke dashstyle="solid"/>
            </v:line>
            <v:shape style="position:absolute;left:1971;top:1287;width:1073;height:2" coordorigin="1972,1287" coordsize="1073,0" path="m2549,1287l3044,1287m1972,1287l2219,1287e" filled="false" stroked="true" strokeweight=".589103pt" strokecolor="#d9d9d9">
              <v:path arrowok="t"/>
              <v:stroke dashstyle="solid"/>
            </v:shape>
            <v:rect style="position:absolute;left:2219;top:1358;width:331;height:24" filled="true" fillcolor="#ecb8e7" stroked="false">
              <v:fill type="solid"/>
            </v:rect>
            <v:line style="position:absolute" from="3044,1588" to="3374,1588" stroked="true" strokeweight=".589101pt" strokecolor="#ecb8e7">
              <v:stroke dashstyle="solid"/>
            </v:line>
            <v:line style="position:absolute" from="3869,1882" to="4200,1882" stroked="true" strokeweight=".589101pt" strokecolor="#ecb8e7">
              <v:stroke dashstyle="solid"/>
            </v:line>
            <v:line style="position:absolute" from="4695,1847" to="5025,1847" stroked="true" strokeweight=".589101pt" strokecolor="#ecb8e7">
              <v:stroke dashstyle="solid"/>
            </v:line>
            <v:shape style="position:absolute;left:5519;top:1764;width:1144;height:142" coordorigin="5520,1765" coordsize="1144,142" path="m5520,1906l5838,1906m6333,1765l6663,1765e" filled="false" stroked="true" strokeweight=".589101pt" strokecolor="#ecb8e7">
              <v:path arrowok="t"/>
              <v:stroke dashstyle="solid"/>
            </v:shape>
            <v:line style="position:absolute" from="7158,1871" to="7488,1871" stroked="true" strokeweight=".589101pt" strokecolor="#ecb8e7">
              <v:stroke dashstyle="solid"/>
            </v:line>
            <v:line style="position:absolute" from="7983,1859" to="8313,1859" stroked="true" strokeweight=".589114pt" strokecolor="#ecb8e7">
              <v:stroke dashstyle="solid"/>
            </v:line>
            <v:shape style="position:absolute;left:8808;top:1847;width:1156;height:2" coordorigin="8808,1847" coordsize="1156,0" path="m8808,1847l9138,1847m9633,1847l9963,1847e" filled="false" stroked="true" strokeweight=".589101pt" strokecolor="#ecb8e7">
              <v:path arrowok="t"/>
              <v:stroke dashstyle="solid"/>
            </v:shape>
            <v:shape style="position:absolute;left:2219;top:1310;width:3619;height:601" coordorigin="2219,1311" coordsize="3619,601" path="m2549,1311l2219,1311,2219,1358,2549,1358,2549,1311m3374,1547l3044,1547,3044,1582,3374,1582,3374,1547m4200,1853l3869,1853,3869,1877,4200,1877,4200,1853m5025,1818l4695,1818,4695,1841,5025,1841,5025,1818m5838,1888l5520,1888,5520,1912,5838,1912,5838,1888e" filled="true" fillcolor="#938953" stroked="false">
              <v:path arrowok="t"/>
              <v:fill type="solid"/>
            </v:shape>
            <v:shape style="position:absolute;left:5837;top:1664;width:1321;height:2" coordorigin="5838,1664" coordsize="1321,0" path="m6663,1664l7158,1664m5838,1664l6333,1664e" filled="false" stroked="true" strokeweight=".589103pt" strokecolor="#d9d9d9">
              <v:path arrowok="t"/>
              <v:stroke dashstyle="solid"/>
            </v:shape>
            <v:shape style="position:absolute;left:6332;top:1735;width:3631;height:130" coordorigin="6333,1735" coordsize="3631,130" path="m6663,1735l6333,1735,6333,1759,6663,1759,6663,1735m7488,1841l7158,1841,7158,1865,7488,1865,7488,1841m8313,1829l7983,1829,7983,1865,8313,1865,8313,1829m9138,1818l8808,1818,8808,1853,9138,1853,9138,1818m9963,1806l9633,1806,9633,1841,9963,1841,9963,1806e" filled="true" fillcolor="#938953" stroked="false">
              <v:path arrowok="t"/>
              <v:fill type="solid"/>
            </v:shape>
            <v:shape style="position:absolute;left:1971;top:922;width:1073;height:2" coordorigin="1972,922" coordsize="1073,0" path="m2549,922l3044,922m1972,922l2219,922e" filled="false" stroked="true" strokeweight=".589103pt" strokecolor="#d9d9d9">
              <v:path arrowok="t"/>
              <v:stroke dashstyle="solid"/>
            </v:shape>
            <v:rect style="position:absolute;left:2219;top:981;width:331;height:330" filled="true" fillcolor="#ffd600" stroked="false">
              <v:fill type="solid"/>
            </v:rect>
            <v:line style="position:absolute" from="3374,1287" to="6333,1287" stroked="true" strokeweight=".589103pt" strokecolor="#d9d9d9">
              <v:stroke dashstyle="solid"/>
            </v:line>
            <v:shape style="position:absolute;left:3044;top:1275;width:1156;height:578" coordorigin="3044,1276" coordsize="1156,578" path="m3374,1276l3044,1276,3044,1547,3374,1547,3374,1276m4200,1664l3869,1664,3869,1853,4200,1853,4200,1664e" filled="true" fillcolor="#ffd600" stroked="false">
              <v:path arrowok="t"/>
              <v:fill type="solid"/>
            </v:shape>
            <v:line style="position:absolute" from="5025,1664" to="5520,1664" stroked="true" strokeweight=".589103pt" strokecolor="#d9d9d9">
              <v:stroke dashstyle="solid"/>
            </v:line>
            <v:shape style="position:absolute;left:4694;top:1546;width:1969;height:342" coordorigin="4695,1547" coordsize="1969,342" path="m5025,1641l4695,1641,4695,1818,5025,1818,5025,1641m5838,1735l5520,1735,5520,1888,5838,1888,5838,1735m6663,1547l6333,1547,6333,1735,6663,1735,6663,1547e" filled="true" fillcolor="#ffd600" stroked="false">
              <v:path arrowok="t"/>
              <v:fill type="solid"/>
            </v:shape>
            <v:line style="position:absolute" from="7488,1664" to="7983,1664" stroked="true" strokeweight=".589103pt" strokecolor="#d9d9d9">
              <v:stroke dashstyle="solid"/>
            </v:line>
            <v:rect style="position:absolute;left:7158;top:1640;width:331;height:201" filled="true" fillcolor="#ffd600" stroked="false">
              <v:fill type="solid"/>
            </v:rect>
            <v:line style="position:absolute" from="8313,1664" to="8808,1664" stroked="true" strokeweight=".589103pt" strokecolor="#d9d9d9">
              <v:stroke dashstyle="solid"/>
            </v:line>
            <v:rect style="position:absolute;left:7983;top:1629;width:331;height:201" filled="true" fillcolor="#ffd600" stroked="false">
              <v:fill type="solid"/>
            </v:rect>
            <v:line style="position:absolute" from="9138,1664" to="9633,1664" stroked="true" strokeweight=".589103pt" strokecolor="#d9d9d9">
              <v:stroke dashstyle="solid"/>
            </v:line>
            <v:rect style="position:absolute;left:8808;top:1605;width:331;height:213" filled="true" fillcolor="#ffd600" stroked="false">
              <v:fill type="solid"/>
            </v:rect>
            <v:line style="position:absolute" from="9963,1664" to="10211,1664" stroked="true" strokeweight=".589103pt" strokecolor="#d9d9d9">
              <v:stroke dashstyle="solid"/>
            </v:line>
            <v:rect style="position:absolute;left:9633;top:1593;width:331;height:213" filled="true" fillcolor="#ffd600" stroked="false">
              <v:fill type="solid"/>
            </v:rect>
            <v:shape style="position:absolute;left:1971;top:545;width:8240;height:2" coordorigin="1972,545" coordsize="8240,0" path="m2549,545l10211,545m1972,545l2219,545e" filled="false" stroked="true" strokeweight=".589103pt" strokecolor="#d9d9d9">
              <v:path arrowok="t"/>
              <v:stroke dashstyle="solid"/>
            </v:shape>
            <v:rect style="position:absolute;left:2219;top:486;width:331;height:495" filled="true" fillcolor="#ffeb8f" stroked="false">
              <v:fill type="solid"/>
            </v:rect>
            <v:line style="position:absolute" from="3374,922" to="10211,922" stroked="true" strokeweight=".589103pt" strokecolor="#d9d9d9">
              <v:stroke dashstyle="solid"/>
            </v:line>
            <v:shape style="position:absolute;left:3044;top:851;width:2794;height:884" coordorigin="3044,851" coordsize="2794,884" path="m3374,851l3044,851,3044,1276,3374,1276,3374,851m4200,1335l3870,1335,3870,1664,4200,1664,4200,1335m5025,1323l4695,1323,4695,1641,5025,1641,5025,1323m5838,1488l5520,1488,5520,1735,5838,1735,5838,1488e" filled="true" fillcolor="#ffeb8f" stroked="false">
              <v:path arrowok="t"/>
              <v:fill type="solid"/>
            </v:shape>
            <v:line style="position:absolute" from="6663,1287" to="9633,1287" stroked="true" strokeweight=".589103pt" strokecolor="#d9d9d9">
              <v:stroke dashstyle="solid"/>
            </v:line>
            <v:shape style="position:absolute;left:6333;top:1204;width:2806;height:436" coordorigin="6333,1205" coordsize="2806,436" path="m6663,1205l6333,1205,6333,1547,6663,1547,6663,1205m7488,1311l7158,1311,7158,1641,7488,1641,7488,1311m8313,1311l7983,1311,7983,1629,8313,1629,8313,1311m9138,1287l8808,1287,8808,1606,9138,1606,9138,1287e" filled="true" fillcolor="#ffeb8f" stroked="false">
              <v:path arrowok="t"/>
              <v:fill type="solid"/>
            </v:shape>
            <v:line style="position:absolute" from="9963,1287" to="10211,1287" stroked="true" strokeweight=".589103pt" strokecolor="#d9d9d9">
              <v:stroke dashstyle="solid"/>
            </v:line>
            <v:rect style="position:absolute;left:9633;top:1275;width:331;height:319" filled="true" fillcolor="#ffeb8f" stroked="false">
              <v:fill type="solid"/>
            </v:rect>
            <v:shape style="position:absolute;left:0;top:-10187;width:652743;height:25214" coordorigin="0,-10186" coordsize="652743,25214" path="m1972,2407l10211,2407m1972,2407l1972,2466m1972,2407l1972,2725m2797,2407l2797,2466m2797,2407l2797,2725m3622,2407l3622,2466m3622,2407l3622,2725m4447,2407l4447,2466m4447,2407l4447,2725m5272,2407l5272,2466m5272,2407l5272,2725m6085,2407l6085,2466m6085,2407l6085,2725m6911,2407l6911,2466m6911,2407l6911,2725m7736,2407l7736,2466m7736,2407l7736,2725m8561,2407l8561,2466m8561,2407l8561,2725m9386,2407l9386,2466m9386,2407l9386,2725m10211,2407l10211,2466m10211,2407l10211,2725e" filled="false" stroked="true" strokeweight=".589229pt" strokecolor="#d9d9d9">
              <v:path arrowok="t"/>
              <v:stroke dashstyle="solid"/>
            </v:shape>
            <v:shape style="position:absolute;left:0;top:-10187;width:652743;height:25214" coordorigin="0,-10186" coordsize="652743,25214" path="m1972,2725l1972,3043m6085,2725l6085,3043m10211,2725l10211,3043e" filled="false" stroked="true" strokeweight=".589229pt" strokecolor="#d9d9d9">
              <v:path arrowok="t"/>
              <v:stroke dashstyle="solid"/>
            </v:shape>
            <v:line style="position:absolute" from="1972,168" to="10211,168" stroked="true" strokeweight=".589103pt" strokecolor="#d9d9d9">
              <v:stroke dashstyle="solid"/>
            </v:line>
            <v:line style="position:absolute" from="6104,180" to="6097,2423" stroked="true" strokeweight=".589358pt" strokecolor="#a6a6a6">
              <v:stroke dashstyle="solid"/>
            </v:line>
            <v:shape style="position:absolute;left:2219;top:2546;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2014</w:t>
                    </w:r>
                  </w:p>
                </w:txbxContent>
              </v:textbox>
              <w10:wrap type="none"/>
            </v:shape>
            <v:shape style="position:absolute;left:3042;top:2546;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2015</w:t>
                    </w:r>
                  </w:p>
                </w:txbxContent>
              </v:textbox>
              <w10:wrap type="none"/>
            </v:shape>
            <v:shape style="position:absolute;left:3865;top:2546;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2016</w:t>
                    </w:r>
                  </w:p>
                </w:txbxContent>
              </v:textbox>
              <w10:wrap type="none"/>
            </v:shape>
            <v:shape style="position:absolute;left:4688;top:2546;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2017</w:t>
                    </w:r>
                  </w:p>
                </w:txbxContent>
              </v:textbox>
              <w10:wrap type="none"/>
            </v:shape>
            <v:shape style="position:absolute;left:5511;top:2546;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2018</w:t>
                    </w:r>
                  </w:p>
                </w:txbxContent>
              </v:textbox>
              <w10:wrap type="none"/>
            </v:shape>
            <v:shape style="position:absolute;left:6334;top:2546;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2019</w:t>
                    </w:r>
                  </w:p>
                </w:txbxContent>
              </v:textbox>
              <w10:wrap type="none"/>
            </v:shape>
            <v:shape style="position:absolute;left:7157;top:2546;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2020</w:t>
                    </w:r>
                  </w:p>
                </w:txbxContent>
              </v:textbox>
              <w10:wrap type="none"/>
            </v:shape>
            <v:shape style="position:absolute;left:7980;top:2546;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2021</w:t>
                    </w:r>
                  </w:p>
                </w:txbxContent>
              </v:textbox>
              <w10:wrap type="none"/>
            </v:shape>
            <v:shape style="position:absolute;left:8803;top:2546;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2022</w:t>
                    </w:r>
                  </w:p>
                </w:txbxContent>
              </v:textbox>
              <w10:wrap type="none"/>
            </v:shape>
            <v:shape style="position:absolute;left:9626;top:2546;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2023</w:t>
                    </w:r>
                  </w:p>
                </w:txbxContent>
              </v:textbox>
              <w10:wrap type="none"/>
            </v:shape>
            <v:shape style="position:absolute;left:3776;top:2863;width:4711;height:165" type="#_x0000_t202" filled="false" stroked="false">
              <v:textbox inset="0,0,0,0">
                <w:txbxContent>
                  <w:p>
                    <w:pPr>
                      <w:tabs>
                        <w:tab w:pos="4049" w:val="left" w:leader="none"/>
                      </w:tabs>
                      <w:spacing w:line="165" w:lineRule="exact" w:before="0"/>
                      <w:ind w:left="0" w:right="0" w:firstLine="0"/>
                      <w:jc w:val="left"/>
                      <w:rPr>
                        <w:rFonts w:ascii="Calibri"/>
                        <w:sz w:val="16"/>
                      </w:rPr>
                    </w:pPr>
                    <w:r>
                      <w:rPr>
                        <w:rFonts w:ascii="Calibri"/>
                        <w:color w:val="585858"/>
                        <w:w w:val="105"/>
                        <w:sz w:val="16"/>
                      </w:rPr>
                      <w:t>Historic</w:t>
                      <w:tab/>
                    </w:r>
                    <w:r>
                      <w:rPr>
                        <w:rFonts w:ascii="Calibri"/>
                        <w:color w:val="585858"/>
                        <w:sz w:val="16"/>
                      </w:rPr>
                      <w:t>Projected</w:t>
                    </w:r>
                  </w:p>
                </w:txbxContent>
              </v:textbox>
              <w10:wrap type="none"/>
            </v:shape>
            <w10:wrap type="none"/>
          </v:group>
        </w:pict>
      </w:r>
      <w:r>
        <w:rPr>
          <w:rFonts w:ascii="Calibri"/>
          <w:color w:val="585858"/>
          <w:w w:val="105"/>
          <w:sz w:val="16"/>
        </w:rPr>
        <w:t>60,000</w:t>
      </w:r>
    </w:p>
    <w:p>
      <w:pPr>
        <w:pStyle w:val="BodyText"/>
        <w:spacing w:before="9"/>
        <w:rPr>
          <w:rFonts w:ascii="Calibri"/>
          <w:sz w:val="8"/>
        </w:rPr>
      </w:pPr>
    </w:p>
    <w:p>
      <w:pPr>
        <w:spacing w:before="71"/>
        <w:ind w:left="1242" w:right="0" w:firstLine="0"/>
        <w:jc w:val="left"/>
        <w:rPr>
          <w:rFonts w:ascii="Calibri"/>
          <w:sz w:val="16"/>
        </w:rPr>
      </w:pPr>
      <w:r>
        <w:rPr>
          <w:rFonts w:ascii="Calibri"/>
          <w:color w:val="585858"/>
          <w:w w:val="105"/>
          <w:sz w:val="16"/>
        </w:rPr>
        <w:t>50,000</w:t>
      </w:r>
    </w:p>
    <w:p>
      <w:pPr>
        <w:pStyle w:val="BodyText"/>
        <w:spacing w:before="9"/>
        <w:rPr>
          <w:rFonts w:ascii="Calibri"/>
          <w:sz w:val="8"/>
        </w:rPr>
      </w:pPr>
    </w:p>
    <w:p>
      <w:pPr>
        <w:spacing w:before="72"/>
        <w:ind w:left="1242" w:right="0" w:firstLine="0"/>
        <w:jc w:val="left"/>
        <w:rPr>
          <w:rFonts w:ascii="Calibri"/>
          <w:sz w:val="16"/>
        </w:rPr>
      </w:pPr>
      <w:r>
        <w:rPr>
          <w:rFonts w:ascii="Calibri"/>
          <w:color w:val="585858"/>
          <w:w w:val="105"/>
          <w:sz w:val="16"/>
        </w:rPr>
        <w:t>40,000</w:t>
      </w:r>
    </w:p>
    <w:p>
      <w:pPr>
        <w:pStyle w:val="BodyText"/>
        <w:spacing w:before="9"/>
        <w:rPr>
          <w:rFonts w:ascii="Calibri"/>
          <w:sz w:val="8"/>
        </w:rPr>
      </w:pPr>
    </w:p>
    <w:p>
      <w:pPr>
        <w:spacing w:before="71"/>
        <w:ind w:left="1242" w:right="0" w:firstLine="0"/>
        <w:jc w:val="left"/>
        <w:rPr>
          <w:rFonts w:ascii="Calibri"/>
          <w:sz w:val="16"/>
        </w:rPr>
      </w:pPr>
      <w:r>
        <w:rPr>
          <w:rFonts w:ascii="Calibri"/>
          <w:color w:val="585858"/>
          <w:w w:val="105"/>
          <w:sz w:val="16"/>
        </w:rPr>
        <w:t>30,000</w:t>
      </w:r>
    </w:p>
    <w:p>
      <w:pPr>
        <w:pStyle w:val="BodyText"/>
        <w:spacing w:before="9"/>
        <w:rPr>
          <w:rFonts w:ascii="Calibri"/>
          <w:sz w:val="8"/>
        </w:rPr>
      </w:pPr>
    </w:p>
    <w:p>
      <w:pPr>
        <w:spacing w:before="72"/>
        <w:ind w:left="1242" w:right="0" w:firstLine="0"/>
        <w:jc w:val="left"/>
        <w:rPr>
          <w:rFonts w:ascii="Calibri"/>
          <w:sz w:val="16"/>
        </w:rPr>
      </w:pPr>
      <w:r>
        <w:rPr>
          <w:rFonts w:ascii="Calibri"/>
          <w:color w:val="585858"/>
          <w:w w:val="105"/>
          <w:sz w:val="16"/>
        </w:rPr>
        <w:t>20,000</w:t>
      </w:r>
    </w:p>
    <w:p>
      <w:pPr>
        <w:pStyle w:val="BodyText"/>
        <w:spacing w:before="9"/>
        <w:rPr>
          <w:rFonts w:ascii="Calibri"/>
          <w:sz w:val="8"/>
        </w:rPr>
      </w:pPr>
    </w:p>
    <w:p>
      <w:pPr>
        <w:spacing w:before="71"/>
        <w:ind w:left="1242" w:right="0" w:firstLine="0"/>
        <w:jc w:val="left"/>
        <w:rPr>
          <w:rFonts w:ascii="Calibri"/>
          <w:sz w:val="16"/>
        </w:rPr>
      </w:pPr>
      <w:r>
        <w:rPr>
          <w:rFonts w:ascii="Calibri"/>
          <w:color w:val="585858"/>
          <w:w w:val="105"/>
          <w:sz w:val="16"/>
        </w:rPr>
        <w:t>10,000</w:t>
      </w:r>
    </w:p>
    <w:p>
      <w:pPr>
        <w:pStyle w:val="BodyText"/>
        <w:spacing w:before="9"/>
        <w:rPr>
          <w:rFonts w:ascii="Calibri"/>
          <w:sz w:val="8"/>
        </w:rPr>
      </w:pPr>
    </w:p>
    <w:p>
      <w:pPr>
        <w:spacing w:before="72"/>
        <w:ind w:left="1618" w:right="0" w:firstLine="0"/>
        <w:jc w:val="left"/>
        <w:rPr>
          <w:rFonts w:ascii="Calibri"/>
          <w:sz w:val="16"/>
        </w:rPr>
      </w:pPr>
      <w:r>
        <w:rPr>
          <w:rFonts w:ascii="Calibri"/>
          <w:color w:val="585858"/>
          <w:w w:val="103"/>
          <w:sz w:val="16"/>
        </w:rPr>
        <w:t>0</w:t>
      </w:r>
    </w:p>
    <w:p>
      <w:pPr>
        <w:pStyle w:val="BodyText"/>
        <w:rPr>
          <w:rFonts w:ascii="Calibri"/>
        </w:rPr>
      </w:pPr>
    </w:p>
    <w:p>
      <w:pPr>
        <w:pStyle w:val="BodyText"/>
        <w:spacing w:before="4"/>
        <w:rPr>
          <w:rFonts w:ascii="Calibri"/>
          <w:sz w:val="26"/>
        </w:rPr>
      </w:pPr>
    </w:p>
    <w:p>
      <w:pPr>
        <w:spacing w:before="61"/>
        <w:ind w:left="1602" w:right="1423" w:firstLine="0"/>
        <w:jc w:val="center"/>
        <w:rPr>
          <w:rFonts w:ascii="Calibri"/>
          <w:b/>
          <w:sz w:val="19"/>
        </w:rPr>
      </w:pPr>
      <w:r>
        <w:rPr>
          <w:rFonts w:ascii="Calibri"/>
          <w:b/>
          <w:color w:val="585858"/>
          <w:sz w:val="19"/>
        </w:rPr>
        <w:t>Year Ending 30 June</w:t>
      </w:r>
    </w:p>
    <w:p>
      <w:pPr>
        <w:pStyle w:val="BodyText"/>
        <w:spacing w:before="3"/>
        <w:rPr>
          <w:rFonts w:ascii="Calibri"/>
          <w:b/>
          <w:sz w:val="21"/>
        </w:rPr>
      </w:pPr>
    </w:p>
    <w:p>
      <w:pPr>
        <w:spacing w:before="96"/>
        <w:ind w:left="900" w:right="1211" w:firstLine="0"/>
        <w:jc w:val="left"/>
        <w:rPr>
          <w:sz w:val="16"/>
        </w:rPr>
      </w:pPr>
      <w:r>
        <w:rPr>
          <w:color w:val="DF2F1E"/>
          <w:sz w:val="16"/>
        </w:rPr>
        <w:t>Notes the entries into class 5 in 2017/18 are impacted by data maturity and are likely understated. An adjustment has been carried out in order to increase the entries in the 2018/19 year of the projection, in order to make an allowance for this.</w:t>
      </w:r>
    </w:p>
    <w:p>
      <w:pPr>
        <w:pStyle w:val="BodyText"/>
        <w:spacing w:before="5"/>
        <w:rPr>
          <w:sz w:val="15"/>
        </w:rPr>
      </w:pPr>
    </w:p>
    <w:p>
      <w:pPr>
        <w:pStyle w:val="Heading9"/>
        <w:spacing w:before="0"/>
      </w:pPr>
      <w:r>
        <w:rPr>
          <w:color w:val="DF2F1E"/>
        </w:rPr>
        <w:t>Figure 68: Number of people exiting class 5 – Disability Support (by class exited to)</w:t>
      </w:r>
    </w:p>
    <w:p>
      <w:pPr>
        <w:pStyle w:val="BodyText"/>
        <w:spacing w:before="2"/>
        <w:rPr>
          <w:b/>
          <w:sz w:val="9"/>
        </w:rPr>
      </w:pPr>
    </w:p>
    <w:p>
      <w:pPr>
        <w:spacing w:before="72"/>
        <w:ind w:left="1239" w:right="0" w:firstLine="0"/>
        <w:jc w:val="left"/>
        <w:rPr>
          <w:rFonts w:ascii="Calibri"/>
          <w:sz w:val="16"/>
        </w:rPr>
      </w:pPr>
      <w:r>
        <w:rPr/>
        <w:pict>
          <v:group style="position:absolute;margin-left:98.348862pt;margin-top:8.855659pt;width:412.5pt;height:144.3pt;mso-position-horizontal-relative:page;mso-position-vertical-relative:paragraph;z-index:252404736" coordorigin="1967,177" coordsize="8250,2886">
            <v:shape style="position:absolute;left:1972;top:1681;width:8239;height:366" coordorigin="1973,1682" coordsize="8239,366" path="m9963,2047l10211,2047m9149,2047l9633,2047m8323,2047l8818,2047m7496,2047l7992,2047m6670,2047l7166,2047m5844,2047l6340,2047m5018,2047l5514,2047m4204,2047l4687,2047m3377,2047l3873,2047m2551,2047l3047,2047m1973,2047l2221,2047m2551,1682l3047,1682m1973,1682l2221,1682e" filled="false" stroked="true" strokeweight=".589983pt" strokecolor="#d9d9d9">
              <v:path arrowok="t"/>
              <v:stroke dashstyle="solid"/>
            </v:shape>
            <v:line style="position:absolute" from="2221,2419" to="2551,2419" stroked="true" strokeweight=".589985pt" strokecolor="#1f487c">
              <v:stroke dashstyle="solid"/>
            </v:line>
            <v:rect style="position:absolute;left:2214;top:2407;width:343;height:24" filled="true" fillcolor="#1f487c" stroked="false">
              <v:fill type="solid"/>
            </v:rect>
            <v:rect style="position:absolute;left:2220;top:2389;width:331;height:36" filled="true" fillcolor="#009544" stroked="false">
              <v:fill type="solid"/>
            </v:rect>
            <v:rect style="position:absolute;left:2220;top:2389;width:331;height:36" filled="false" stroked="true" strokeweight=".589984pt" strokecolor="#009544">
              <v:stroke dashstyle="solid"/>
            </v:rect>
            <v:line style="position:absolute" from="2221,2384" to="2551,2384" stroked="true" strokeweight=".589983pt" strokecolor="#e16b09">
              <v:stroke dashstyle="solid"/>
            </v:line>
            <v:rect style="position:absolute;left:2214;top:2371;width:343;height:24" filled="true" fillcolor="#e16b09" stroked="false">
              <v:fill type="solid"/>
            </v:rect>
            <v:line style="position:absolute" from="2221,2384" to="2551,2384" stroked="true" strokeweight=".589983pt" strokecolor="#e08ad6">
              <v:stroke dashstyle="solid"/>
            </v:line>
            <v:rect style="position:absolute;left:2214;top:2371;width:343;height:24" filled="true" fillcolor="#e08ad6" stroked="false">
              <v:fill type="solid"/>
            </v:rect>
            <v:rect style="position:absolute;left:2220;top:1445;width:331;height:933" filled="true" fillcolor="#c0504d" stroked="false">
              <v:fill type="solid"/>
            </v:rect>
            <v:shape style="position:absolute;left:2551;top:1303;width:1322;height:378" coordorigin="2551,1304" coordsize="1322,378" path="m3377,1682l3873,1682m3377,1304l3873,1304m2551,1304l3047,1304e" filled="false" stroked="true" strokeweight=".589983pt" strokecolor="#d9d9d9">
              <v:path arrowok="t"/>
              <v:stroke dashstyle="solid"/>
            </v:shape>
            <v:line style="position:absolute" from="3047,2419" to="3377,2419" stroked="true" strokeweight=".589985pt" strokecolor="#1f487c">
              <v:stroke dashstyle="solid"/>
            </v:line>
            <v:rect style="position:absolute;left:3041;top:2407;width:343;height:24" filled="true" fillcolor="#1f487c" stroked="false">
              <v:fill type="solid"/>
            </v:rect>
            <v:rect style="position:absolute;left:3046;top:2377;width:331;height:48" filled="true" fillcolor="#009544" stroked="false">
              <v:fill type="solid"/>
            </v:rect>
            <v:rect style="position:absolute;left:3046;top:2377;width:331;height:48" filled="false" stroked="true" strokeweight=".589985pt" strokecolor="#009544">
              <v:stroke dashstyle="solid"/>
            </v:rect>
            <v:line style="position:absolute" from="3047,2372" to="3377,2372" stroked="true" strokeweight=".589995pt" strokecolor="#e16b09">
              <v:stroke dashstyle="solid"/>
            </v:line>
            <v:rect style="position:absolute;left:3041;top:2360;width:343;height:24" filled="true" fillcolor="#e16b09" stroked="false">
              <v:fill type="solid"/>
            </v:rect>
            <v:line style="position:absolute" from="3047,2360" to="3377,2360" stroked="true" strokeweight=".589983pt" strokecolor="#e08ad6">
              <v:stroke dashstyle="solid"/>
            </v:line>
            <v:rect style="position:absolute;left:3041;top:2348;width:343;height:24" filled="true" fillcolor="#e08ad6" stroked="false">
              <v:fill type="solid"/>
            </v:rect>
            <v:rect style="position:absolute;left:3046;top:1127;width:331;height:1228" filled="true" fillcolor="#c0504d" stroked="false">
              <v:fill type="solid"/>
            </v:rect>
            <v:shape style="position:absolute;left:4203;top:1303;width:1311;height:378" coordorigin="4204,1304" coordsize="1311,378" path="m4204,1682l4687,1682m4204,1304l5514,1304e" filled="false" stroked="true" strokeweight=".589983pt" strokecolor="#d9d9d9">
              <v:path arrowok="t"/>
              <v:stroke dashstyle="solid"/>
            </v:shape>
            <v:line style="position:absolute" from="3873,2419" to="4204,2419" stroked="true" strokeweight=".589985pt" strokecolor="#1f487c">
              <v:stroke dashstyle="solid"/>
            </v:line>
            <v:rect style="position:absolute;left:3867;top:2407;width:343;height:24" filled="true" fillcolor="#1f487c" stroked="false">
              <v:fill type="solid"/>
            </v:rect>
            <v:rect style="position:absolute;left:3873;top:2271;width:331;height:142" filled="true" fillcolor="#009544" stroked="false">
              <v:fill type="solid"/>
            </v:rect>
            <v:rect style="position:absolute;left:3873;top:2271;width:331;height:142" filled="false" stroked="true" strokeweight=".590004pt" strokecolor="#009544">
              <v:stroke dashstyle="solid"/>
            </v:rect>
            <v:rect style="position:absolute;left:3873;top:2247;width:331;height:24" filled="true" fillcolor="#e16b09" stroked="false">
              <v:fill type="solid"/>
            </v:rect>
            <v:rect style="position:absolute;left:3867;top:2242;width:343;height:36" filled="true" fillcolor="#e16b09" stroked="false">
              <v:fill type="solid"/>
            </v:rect>
            <v:line style="position:absolute" from="3873,2242" to="4204,2242" stroked="true" strokeweight=".589983pt" strokecolor="#e08ad6">
              <v:stroke dashstyle="solid"/>
            </v:line>
            <v:rect style="position:absolute;left:3867;top:2230;width:343;height:24" filled="true" fillcolor="#e08ad6" stroked="false">
              <v:fill type="solid"/>
            </v:rect>
            <v:rect style="position:absolute;left:3873;top:1103;width:331;height:1133" filled="true" fillcolor="#c0504d" stroked="false">
              <v:fill type="solid"/>
            </v:rect>
            <v:line style="position:absolute" from="5018,1682" to="5514,1682" stroked="true" strokeweight=".589983pt" strokecolor="#d9d9d9">
              <v:stroke dashstyle="solid"/>
            </v:line>
            <v:line style="position:absolute" from="4687,2419" to="5018,2419" stroked="true" strokeweight=".589985pt" strokecolor="#1f487c">
              <v:stroke dashstyle="solid"/>
            </v:line>
            <v:rect style="position:absolute;left:4681;top:2407;width:343;height:24" filled="true" fillcolor="#1f487c" stroked="false">
              <v:fill type="solid"/>
            </v:rect>
            <v:rect style="position:absolute;left:4687;top:2365;width:331;height:59" filled="true" fillcolor="#009544" stroked="false">
              <v:fill type="solid"/>
            </v:rect>
            <v:rect style="position:absolute;left:4687;top:2365;width:331;height:59" filled="false" stroked="true" strokeweight=".589987pt" strokecolor="#009544">
              <v:stroke dashstyle="solid"/>
            </v:rect>
            <v:line style="position:absolute" from="4687,2360" to="5018,2360" stroked="true" strokeweight=".589983pt" strokecolor="#e16b09">
              <v:stroke dashstyle="solid"/>
            </v:line>
            <v:rect style="position:absolute;left:4681;top:2348;width:343;height:24" filled="true" fillcolor="#e16b09" stroked="false">
              <v:fill type="solid"/>
            </v:rect>
            <v:line style="position:absolute" from="4687,2348" to="5018,2348" stroked="true" strokeweight=".589995pt" strokecolor="#e08ad6">
              <v:stroke dashstyle="solid"/>
            </v:line>
            <v:rect style="position:absolute;left:4681;top:2336;width:343;height:24" filled="true" fillcolor="#e08ad6" stroked="false">
              <v:fill type="solid"/>
            </v:rect>
            <v:rect style="position:absolute;left:4687;top:1351;width:331;height:992" filled="true" fillcolor="#c0504d" stroked="false">
              <v:fill type="solid"/>
            </v:rect>
            <v:line style="position:absolute" from="5514,2419" to="5844,2419" stroked="true" strokeweight=".589985pt" strokecolor="#1f487c">
              <v:stroke dashstyle="solid"/>
            </v:line>
            <v:rect style="position:absolute;left:5507;top:2407;width:343;height:24" filled="true" fillcolor="#1f487c" stroked="false">
              <v:fill type="solid"/>
            </v:rect>
            <v:rect style="position:absolute;left:5513;top:2389;width:331;height:36" filled="true" fillcolor="#009544" stroked="false">
              <v:fill type="solid"/>
            </v:rect>
            <v:rect style="position:absolute;left:5513;top:2389;width:331;height:36" filled="false" stroked="true" strokeweight=".589984pt" strokecolor="#009544">
              <v:stroke dashstyle="solid"/>
            </v:rect>
            <v:rect style="position:absolute;left:5507;top:2371;width:343;height:24" filled="true" fillcolor="#e16b09" stroked="false">
              <v:fill type="solid"/>
            </v:rect>
            <v:rect style="position:absolute;left:5507;top:2371;width:343;height:24" filled="true" fillcolor="#e08ad6" stroked="false">
              <v:fill type="solid"/>
            </v:rect>
            <v:rect style="position:absolute;left:5513;top:1964;width:331;height:425" filled="true" fillcolor="#c0504d" stroked="false">
              <v:fill type="solid"/>
            </v:rect>
            <v:shape style="position:absolute;left:5844;top:1681;width:1322;height:2" coordorigin="5844,1682" coordsize="1322,0" path="m6670,1682l7166,1682m5844,1682l6340,1682e" filled="false" stroked="true" strokeweight=".589983pt" strokecolor="#d9d9d9">
              <v:path arrowok="t"/>
              <v:stroke dashstyle="solid"/>
            </v:shape>
            <v:rect style="position:absolute;left:6339;top:2401;width:331;height:24" filled="true" fillcolor="#009544" stroked="false">
              <v:fill type="solid"/>
            </v:rect>
            <v:rect style="position:absolute;left:6333;top:2395;width:343;height:36" filled="true" fillcolor="#009544" stroked="false">
              <v:fill type="solid"/>
            </v:rect>
            <v:line style="position:absolute" from="6340,2395" to="6670,2395" stroked="true" strokeweight=".589995pt" strokecolor="#e16b09">
              <v:stroke dashstyle="solid"/>
            </v:line>
            <v:rect style="position:absolute;left:6333;top:2383;width:343;height:24" filled="true" fillcolor="#e16b09" stroked="false">
              <v:fill type="solid"/>
            </v:rect>
            <v:line style="position:absolute" from="6340,2395" to="6670,2395" stroked="true" strokeweight=".589995pt" strokecolor="#e08ad6">
              <v:stroke dashstyle="solid"/>
            </v:line>
            <v:rect style="position:absolute;left:6333;top:2383;width:343;height:24" filled="true" fillcolor="#e08ad6" stroked="false">
              <v:fill type="solid"/>
            </v:rect>
            <v:rect style="position:absolute;left:6339;top:1445;width:331;height:944" filled="true" fillcolor="#c0504d" stroked="false">
              <v:fill type="solid"/>
            </v:rect>
            <v:rect style="position:absolute;left:7166;top:2401;width:331;height:24" filled="true" fillcolor="#009544" stroked="false">
              <v:fill type="solid"/>
            </v:rect>
            <v:rect style="position:absolute;left:7160;top:2395;width:343;height:36" filled="true" fillcolor="#009544" stroked="false">
              <v:fill type="solid"/>
            </v:rect>
            <v:line style="position:absolute" from="7166,2395" to="7496,2395" stroked="true" strokeweight=".589995pt" strokecolor="#e16b09">
              <v:stroke dashstyle="solid"/>
            </v:line>
            <v:rect style="position:absolute;left:7160;top:2383;width:343;height:24" filled="true" fillcolor="#e16b09" stroked="false">
              <v:fill type="solid"/>
            </v:rect>
            <v:line style="position:absolute" from="7166,2395" to="7496,2395" stroked="true" strokeweight=".589995pt" strokecolor="#e08ad6">
              <v:stroke dashstyle="solid"/>
            </v:line>
            <v:rect style="position:absolute;left:7160;top:2383;width:343;height:24" filled="true" fillcolor="#e08ad6" stroked="false">
              <v:fill type="solid"/>
            </v:rect>
            <v:rect style="position:absolute;left:7166;top:1893;width:331;height:496" filled="true" fillcolor="#c0504d" stroked="false">
              <v:fill type="solid"/>
            </v:rect>
            <v:shape style="position:absolute;left:7496;top:1681;width:1322;height:2" coordorigin="7496,1682" coordsize="1322,0" path="m8323,1682l8818,1682m7496,1682l7992,1682e" filled="false" stroked="true" strokeweight=".589983pt" strokecolor="#d9d9d9">
              <v:path arrowok="t"/>
              <v:stroke dashstyle="solid"/>
            </v:shape>
            <v:rect style="position:absolute;left:7992;top:2401;width:331;height:24" filled="true" fillcolor="#009544" stroked="false">
              <v:fill type="solid"/>
            </v:rect>
            <v:rect style="position:absolute;left:7986;top:2395;width:343;height:36" filled="true" fillcolor="#009544" stroked="false">
              <v:fill type="solid"/>
            </v:rect>
            <v:line style="position:absolute" from="7992,2395" to="8323,2395" stroked="true" strokeweight=".589995pt" strokecolor="#e16b09">
              <v:stroke dashstyle="solid"/>
            </v:line>
            <v:rect style="position:absolute;left:7986;top:2383;width:343;height:24" filled="true" fillcolor="#e16b09" stroked="false">
              <v:fill type="solid"/>
            </v:rect>
            <v:line style="position:absolute" from="7992,2395" to="8323,2395" stroked="true" strokeweight=".589995pt" strokecolor="#e08ad6">
              <v:stroke dashstyle="solid"/>
            </v:line>
            <v:rect style="position:absolute;left:7986;top:2383;width:343;height:24" filled="true" fillcolor="#e08ad6" stroked="false">
              <v:fill type="solid"/>
            </v:rect>
            <v:rect style="position:absolute;left:7992;top:1492;width:331;height:897" filled="true" fillcolor="#c0504d" stroked="false">
              <v:fill type="solid"/>
            </v:rect>
            <v:rect style="position:absolute;left:8818;top:2401;width:331;height:24" filled="true" fillcolor="#009544" stroked="false">
              <v:fill type="solid"/>
            </v:rect>
            <v:rect style="position:absolute;left:8812;top:2395;width:343;height:36" filled="true" fillcolor="#009544" stroked="false">
              <v:fill type="solid"/>
            </v:rect>
            <v:line style="position:absolute" from="8818,2395" to="9149,2395" stroked="true" strokeweight=".589995pt" strokecolor="#e16b09">
              <v:stroke dashstyle="solid"/>
            </v:line>
            <v:rect style="position:absolute;left:8812;top:2383;width:343;height:24" filled="true" fillcolor="#e16b09" stroked="false">
              <v:fill type="solid"/>
            </v:rect>
            <v:line style="position:absolute" from="8818,2395" to="9149,2395" stroked="true" strokeweight=".589995pt" strokecolor="#e08ad6">
              <v:stroke dashstyle="solid"/>
            </v:line>
            <v:rect style="position:absolute;left:8812;top:2383;width:343;height:24" filled="true" fillcolor="#e08ad6" stroked="false">
              <v:fill type="solid"/>
            </v:rect>
            <v:rect style="position:absolute;left:8818;top:1905;width:331;height:484" filled="true" fillcolor="#c0504d" stroked="false">
              <v:fill type="solid"/>
            </v:rect>
            <v:shape style="position:absolute;left:9148;top:1681;width:1063;height:2" coordorigin="9149,1682" coordsize="1063,0" path="m9963,1682l10211,1682m9149,1682l9633,1682e" filled="false" stroked="true" strokeweight=".589983pt" strokecolor="#d9d9d9">
              <v:path arrowok="t"/>
              <v:stroke dashstyle="solid"/>
            </v:shape>
            <v:rect style="position:absolute;left:9632;top:2401;width:331;height:24" filled="true" fillcolor="#009544" stroked="false">
              <v:fill type="solid"/>
            </v:rect>
            <v:rect style="position:absolute;left:9626;top:2395;width:343;height:36" filled="true" fillcolor="#009544" stroked="false">
              <v:fill type="solid"/>
            </v:rect>
            <v:line style="position:absolute" from="9633,2395" to="9963,2395" stroked="true" strokeweight=".589995pt" strokecolor="#e16b09">
              <v:stroke dashstyle="solid"/>
            </v:line>
            <v:rect style="position:absolute;left:9626;top:2383;width:343;height:24" filled="true" fillcolor="#e16b09" stroked="false">
              <v:fill type="solid"/>
            </v:rect>
            <v:line style="position:absolute" from="9633,2395" to="9963,2395" stroked="true" strokeweight=".589995pt" strokecolor="#e08ad6">
              <v:stroke dashstyle="solid"/>
            </v:line>
            <v:rect style="position:absolute;left:9626;top:2383;width:343;height:24" filled="true" fillcolor="#e08ad6" stroked="false">
              <v:fill type="solid"/>
            </v:rect>
            <v:rect style="position:absolute;left:9632;top:1504;width:331;height:885" filled="true" fillcolor="#c0504d" stroked="false">
              <v:fill type="solid"/>
            </v:rect>
            <v:shape style="position:absolute;left:19514;top:-163340;width:609601;height:101291" coordorigin="19515,-163339" coordsize="609601,101291" path="m2221,1446l2551,1446,2551,2378,2221,2378,2221,1446xm3047,1127l3377,1127,3377,2354,3047,2354,3047,1127xm3873,1103l4204,1103,4204,2236,3873,2236,3873,1103xm4687,1351l5018,1351,5018,2342,4687,2342,4687,1351xm5514,1965l5844,1965,5844,2390,5514,2390,5514,1965xm6340,1446l6670,1446,6670,2390,6340,2390,6340,1446xm7166,1894l7496,1894,7496,2390,7166,2390,7166,1894xm7992,1493l8323,1493,8323,2390,7992,2390,7992,1493xm8818,1906l9149,1906,9149,2390,8818,2390,8818,1906xm9633,1505l9963,1505,9963,2390,9633,2390,9633,1505xe" filled="false" stroked="true" strokeweight=".590052pt" strokecolor="#c0504d">
              <v:path arrowok="t"/>
              <v:stroke dashstyle="solid"/>
            </v:shape>
            <v:shape style="position:absolute;left:2220;top:1079;width:3624;height:885" coordorigin="2221,1080" coordsize="3624,885" path="m2551,1410l2221,1410,2221,1446,2551,1446,2551,1410m3377,1092l3047,1092,3047,1127,3377,1127,3377,1092m4204,1080l3873,1080,3873,1103,4204,1103,4204,1080m5018,1328l4687,1328,4687,1351,5018,1351,5018,1328m5844,1941l5514,1941,5514,1965,5844,1965,5844,1941e" filled="true" fillcolor="#f8a763" stroked="false">
              <v:path arrowok="t"/>
              <v:fill type="solid"/>
            </v:shape>
            <v:line style="position:absolute" from="6340,1440" to="6670,1440" stroked="true" strokeweight=".589991pt" strokecolor="#f8a763">
              <v:stroke dashstyle="solid"/>
            </v:line>
            <v:rect style="position:absolute;left:7165;top:1870;width:331;height:24" filled="true" fillcolor="#f8a763" stroked="false">
              <v:fill type="solid"/>
            </v:rect>
            <v:line style="position:absolute" from="7992,1487" to="8323,1487" stroked="true" strokeweight=".589978pt" strokecolor="#f8a763">
              <v:stroke dashstyle="solid"/>
            </v:line>
            <v:rect style="position:absolute;left:8818;top:1882;width:331;height:24" filled="true" fillcolor="#f8a763" stroked="false">
              <v:fill type="solid"/>
            </v:rect>
            <v:line style="position:absolute" from="9633,1499" to="9963,1499" stroked="true" strokeweight=".589978pt" strokecolor="#f8a763">
              <v:stroke dashstyle="solid"/>
            </v:line>
            <v:shape style="position:absolute;left:19804;top:-90475;width:92421;height:28293" coordorigin="19804,-90474" coordsize="92421,28293" path="m2221,1410l2551,1410,2551,1446,2221,1446,2221,1410xm3047,1092l3377,1092,3377,1127,3047,1127,3047,1092xe" filled="false" stroked="true" strokeweight=".590049pt" strokecolor="#f8a763">
              <v:path arrowok="t"/>
              <v:stroke dashstyle="solid"/>
            </v:shape>
            <v:shape style="position:absolute;left:3867;top:1073;width:6102;height:897" coordorigin="3867,1074" coordsize="6102,897" path="m4209,1074l3867,1074,3867,1109,4209,1109,4209,1074m5024,1322l4682,1322,4682,1357,5024,1357,5024,1322m5850,1935l5508,1935,5508,1971,5850,1971,5850,1935m6676,1428l6334,1428,6334,1451,6676,1451,6676,1428m7502,1864l7160,1864,7160,1900,7502,1900,7502,1864m8329,1475l7986,1475,7986,1499,8329,1499,8329,1475m9155,1876l8812,1876,8812,1912,9155,1912,9155,1876m9969,1487l9627,1487,9627,1510,9969,1510,9969,1487e" filled="true" fillcolor="#f8a763" stroked="false">
              <v:path arrowok="t"/>
              <v:fill type="solid"/>
            </v:shape>
            <v:line style="position:absolute" from="2221,1404" to="2551,1404" stroked="true" strokeweight=".589978pt" strokecolor="#ecb8e7">
              <v:stroke dashstyle="solid"/>
            </v:line>
            <v:line style="position:absolute" from="3047,1086" to="3377,1086" stroked="true" strokeweight=".589991pt" strokecolor="#ecb8e7">
              <v:stroke dashstyle="solid"/>
            </v:line>
            <v:shape style="position:absolute;left:3873;top:1073;width:3624;height:862" coordorigin="3873,1074" coordsize="3624,862" path="m3873,1074l4204,1074m4687,1322l5018,1322m5514,1935l5844,1935m6340,1428l6670,1428m7166,1864l7496,1864e" filled="false" stroked="true" strokeweight=".589978pt" strokecolor="#ecb8e7">
              <v:path arrowok="t"/>
              <v:stroke dashstyle="solid"/>
            </v:shape>
            <v:shape style="position:absolute;left:7992;top:1475;width:1157;height:402" coordorigin="7992,1475" coordsize="1157,402" path="m7992,1475l8323,1475m8818,1876l9149,1876e" filled="false" stroked="true" strokeweight=".589991pt" strokecolor="#ecb8e7">
              <v:path arrowok="t"/>
              <v:stroke dashstyle="solid"/>
            </v:shape>
            <v:line style="position:absolute" from="9633,1487" to="9963,1487" stroked="true" strokeweight=".589978pt" strokecolor="#ecb8e7">
              <v:stroke dashstyle="solid"/>
            </v:line>
            <v:shape style="position:absolute;left:2214;top:1062;width:7755;height:885" coordorigin="2215,1062" coordsize="7755,885" path="m2557,1392l2215,1392,2215,1416,2557,1416,2557,1392m3383,1074l3041,1074,3041,1098,3383,1098,3383,1074m4209,1062l3867,1062,3867,1086,4209,1086,4209,1062m5024,1310l4682,1310,4682,1333,5024,1333,5024,1310m5850,1923l5508,1923,5508,1947,5850,1947,5850,1923m6676,1416l6334,1416,6334,1440,6676,1440,6676,1416m7502,1853l7160,1853,7160,1876,7502,1876,7502,1853m8329,1463l7986,1463,7986,1487,8329,1487,8329,1463m9155,1864l8812,1864,8812,1888,9155,1888,9155,1864m9969,1475l9627,1475,9627,1499,9969,1499,9969,1475e" filled="true" fillcolor="#ecb8e7" stroked="false">
              <v:path arrowok="t"/>
              <v:fill type="solid"/>
            </v:shape>
            <v:line style="position:absolute" from="1973,1304" to="2221,1304" stroked="true" strokeweight=".589983pt" strokecolor="#d9d9d9">
              <v:stroke dashstyle="solid"/>
            </v:line>
            <v:shape style="position:absolute;left:2220;top:1044;width:5276;height:885" coordorigin="2221,1044" coordsize="5276,885" path="m2551,1375l2221,1375,2221,1410,2551,1410,2551,1375m3377,1068l3047,1068,3047,1092,3377,1092,3377,1068m4204,1044l3873,1044,3873,1068,4204,1068,4204,1044m5018,1292l4687,1292,4687,1328,5018,1328,5018,1292m5844,1894l5514,1894,5514,1929,5844,1929,5844,1894m6670,1410l6340,1410,6340,1434,6670,1434,6670,1410m7496,1847l7166,1847,7166,1870,7496,1870,7496,1847e" filled="true" fillcolor="#938953" stroked="false">
              <v:path arrowok="t"/>
              <v:fill type="solid"/>
            </v:shape>
            <v:line style="position:absolute" from="7992,1463" to="8323,1463" stroked="true" strokeweight=".589978pt" strokecolor="#938953">
              <v:stroke dashstyle="solid"/>
            </v:line>
            <v:rect style="position:absolute;left:8818;top:1858;width:331;height:24" filled="true" fillcolor="#938953" stroked="false">
              <v:fill type="solid"/>
            </v:rect>
            <v:line style="position:absolute" from="9633,1487" to="9963,1487" stroked="true" strokeweight=".589978pt" strokecolor="#938953">
              <v:stroke dashstyle="solid"/>
            </v:line>
            <v:rect style="position:absolute;left:2220;top:1374;width:331;height:36" filled="false" stroked="true" strokeweight=".589980pt" strokecolor="#938953">
              <v:stroke dashstyle="solid"/>
            </v:rect>
            <v:shape style="position:absolute;left:3041;top:1038;width:1169;height:59" coordorigin="3041,1039" coordsize="1169,59" path="m3383,1062l3041,1062,3041,1098,3383,1098,3383,1062m4209,1039l3867,1039,3867,1074,4209,1074,4209,1039e" filled="true" fillcolor="#938953" stroked="false">
              <v:path arrowok="t"/>
              <v:fill type="solid"/>
            </v:shape>
            <v:shape style="position:absolute;left:216905;top:-129141;width:92421;height:50926" coordorigin="216906,-129140" coordsize="92421,50926" path="m4687,1292l5018,1292,5018,1328,4687,1328,4687,1292xm5514,1894l5844,1894,5844,1929,5514,1929,5514,1894xe" filled="false" stroked="true" strokeweight=".590049pt" strokecolor="#938953">
              <v:path arrowok="t"/>
              <v:stroke dashstyle="solid"/>
            </v:shape>
            <v:shape style="position:absolute;left:6333;top:1404;width:3636;height:484" coordorigin="6334,1404" coordsize="3636,484" path="m6676,1404l6334,1404,6334,1440,6676,1440,6676,1404m7502,1841l7160,1841,7160,1876,7502,1876,7502,1841m8329,1451l7986,1451,7986,1475,8329,1475,8329,1451m9155,1853l8812,1853,8812,1888,9155,1888,9155,1853m9969,1475l9627,1475,9627,1499,9969,1499,9969,1475e" filled="true" fillcolor="#938953" stroked="false">
              <v:path arrowok="t"/>
              <v:fill type="solid"/>
            </v:shape>
            <v:rect style="position:absolute;left:2220;top:1174;width:331;height:201" filled="true" fillcolor="#ffd600" stroked="false">
              <v:fill type="solid"/>
            </v:rect>
            <v:shape style="position:absolute;left:2551;top:926;width:1322;height:2" coordorigin="2551,926" coordsize="1322,0" path="m3377,926l3873,926m2551,926l3047,926e" filled="false" stroked="true" strokeweight=".589983pt" strokecolor="#d9d9d9">
              <v:path arrowok="t"/>
              <v:stroke dashstyle="solid"/>
            </v:shape>
            <v:rect style="position:absolute;left:3046;top:879;width:331;height:189" filled="true" fillcolor="#ffd600" stroked="false">
              <v:fill type="solid"/>
            </v:rect>
            <v:line style="position:absolute" from="4204,926" to="4687,926" stroked="true" strokeweight=".589983pt" strokecolor="#d9d9d9">
              <v:stroke dashstyle="solid"/>
            </v:line>
            <v:shape style="position:absolute;left:3873;top:855;width:1972;height:1039" coordorigin="3873,856" coordsize="1972,1039" path="m4204,856l3873,856,3873,1044,4204,1044,4204,856m5018,1115l4687,1115,4687,1292,5018,1292,5018,1115m5844,1693l5514,1693,5514,1894,5844,1894,5844,1693e" filled="true" fillcolor="#ffd600" stroked="false">
              <v:path arrowok="t"/>
              <v:fill type="solid"/>
            </v:shape>
            <v:shape style="position:absolute;left:5844;top:1303;width:1322;height:2" coordorigin="5844,1304" coordsize="1322,0" path="m6670,1304l7166,1304m5844,1304l6340,1304e" filled="false" stroked="true" strokeweight=".589983pt" strokecolor="#d9d9d9">
              <v:path arrowok="t"/>
              <v:stroke dashstyle="solid"/>
            </v:shape>
            <v:shape style="position:absolute;left:6339;top:1221;width:1157;height:626" coordorigin="6340,1221" coordsize="1157,626" path="m6670,1221l6340,1221,6340,1410,6670,1410,6670,1221m7496,1658l7166,1658,7166,1847,7496,1847,7496,1658e" filled="true" fillcolor="#ffd600" stroked="false">
              <v:path arrowok="t"/>
              <v:fill type="solid"/>
            </v:shape>
            <v:shape style="position:absolute;left:7496;top:1303;width:2715;height:2" coordorigin="7496,1304" coordsize="2715,0" path="m8323,1304l10211,1304m7496,1304l7992,1304e" filled="false" stroked="true" strokeweight=".589983pt" strokecolor="#d9d9d9">
              <v:path arrowok="t"/>
              <v:stroke dashstyle="solid"/>
            </v:shape>
            <v:shape style="position:absolute;left:7992;top:1280;width:1972;height:579" coordorigin="7992,1280" coordsize="1972,579" path="m8323,1280l7992,1280,7992,1457,8323,1457,8323,1280m9149,1693l8818,1693,8818,1859,9149,1859,9149,1693m9963,1304l9633,1304,9633,1481,9963,1481,9963,1304e" filled="true" fillcolor="#ffd600" stroked="false">
              <v:path arrowok="t"/>
              <v:fill type="solid"/>
            </v:shape>
            <v:shape style="position:absolute;left:19804;top:-126312;width:618654;height:82991" coordorigin="19804,-126311" coordsize="618654,82991" path="m2221,1174l2551,1174,2551,1375,2221,1375,2221,1174xm3047,879l3377,879,3377,1068,3047,1068,3047,879xm3873,856l4204,856,4204,1044,3873,1044,3873,856xm4687,1115l5018,1115,5018,1292,4687,1292,4687,1115xm5514,1693l5844,1693,5844,1894,5514,1894,5514,1693xm6340,1221l6670,1221,6670,1410,6340,1410,6340,1221xm7166,1658l7496,1658,7496,1847,7166,1847,7166,1658xm7992,1280l8323,1280,8323,1457,7992,1457,7992,1280xm8818,1693l9149,1693,9149,1859,8818,1859,8818,1693xm9633,1304l9963,1304,9963,1481,9633,1481,9633,1304xe" filled="false" stroked="true" strokeweight=".590049pt" strokecolor="#ffd600">
              <v:path arrowok="t"/>
              <v:stroke dashstyle="solid"/>
            </v:shape>
            <v:line style="position:absolute" from="1973,926" to="2221,926" stroked="true" strokeweight=".589983pt" strokecolor="#d9d9d9">
              <v:stroke dashstyle="solid"/>
            </v:line>
            <v:rect style="position:absolute;left:2220;top:666;width:331;height:508" filled="true" fillcolor="#000000" stroked="false">
              <v:fill type="solid"/>
            </v:rect>
            <v:shape style="position:absolute;left:1972;top:560;width:1901;height:2" coordorigin="1973,561" coordsize="1901,0" path="m3377,561l3873,561m1973,561l3047,561e" filled="false" stroked="true" strokeweight=".589983pt" strokecolor="#d9d9d9">
              <v:path arrowok="t"/>
              <v:stroke dashstyle="solid"/>
            </v:shape>
            <v:rect style="position:absolute;left:3046;top:336;width:331;height:543" filled="true" fillcolor="#000000" stroked="false">
              <v:fill type="solid"/>
            </v:rect>
            <v:line style="position:absolute" from="4204,561" to="10211,561" stroked="true" strokeweight=".589983pt" strokecolor="#d9d9d9">
              <v:stroke dashstyle="solid"/>
            </v:line>
            <v:rect style="position:absolute;left:3873;top:312;width:331;height:543" filled="true" fillcolor="#000000" stroked="false">
              <v:fill type="solid"/>
            </v:rect>
            <v:line style="position:absolute" from="5018,926" to="6340,926" stroked="true" strokeweight=".589983pt" strokecolor="#d9d9d9">
              <v:stroke dashstyle="solid"/>
            </v:line>
            <v:shape style="position:absolute;left:4687;top:560;width:1157;height:1133" coordorigin="4687,561" coordsize="1157,1133" path="m5018,561l4687,561,4687,1115,5018,1115,5018,561m5844,1151l5514,1151,5514,1693,5844,1693,5844,1151e" filled="true" fillcolor="#000000" stroked="false">
              <v:path arrowok="t"/>
              <v:fill type="solid"/>
            </v:shape>
            <v:line style="position:absolute" from="6670,926" to="7992,926" stroked="true" strokeweight=".589983pt" strokecolor="#d9d9d9">
              <v:stroke dashstyle="solid"/>
            </v:line>
            <v:shape style="position:absolute;left:6339;top:690;width:1157;height:968" coordorigin="6340,690" coordsize="1157,968" path="m6670,690l6340,690,6340,1221,6670,1221,6670,690m7496,1280l7166,1280,7166,1658,7496,1658,7496,1280e" filled="true" fillcolor="#000000" stroked="false">
              <v:path arrowok="t"/>
              <v:fill type="solid"/>
            </v:shape>
            <v:line style="position:absolute" from="8323,926" to="10211,926" stroked="true" strokeweight=".589983pt" strokecolor="#d9d9d9">
              <v:stroke dashstyle="solid"/>
            </v:line>
            <v:shape style="position:absolute;left:7992;top:891;width:1972;height:803" coordorigin="7992,891" coordsize="1972,803" path="m8323,891l7992,891,7992,1280,8323,1280,8323,891m9149,1304l8818,1304,8818,1693,9149,1693,9149,1304m9963,926l9633,926,9633,1304,9963,1304,9963,926e" filled="true" fillcolor="#000000" stroked="false">
              <v:path arrowok="t"/>
              <v:fill type="solid"/>
            </v:shape>
            <v:shape style="position:absolute;left:19902;top:-110880;width:621732;height:110889" coordorigin="19903,-110879" coordsize="621732,110889" path="m2221,667l2551,667,2551,1174,2221,1174,2221,667xm3047,336l3377,336,3377,879,3047,879,3047,336xm3873,313l4204,313,4204,856,3873,856,3873,313xm4687,561l5018,561,5018,1115,4687,1115,4687,561xm5514,1151l5844,1151,5844,1693,5514,1693,5514,1151xm6340,690l6670,690,6670,1221,6340,1221,6340,690xm7166,1280l7496,1280,7496,1658,7166,1658,7166,1280xm7992,891l8323,891,8323,1280,7992,1280,7992,891xm8818,1304l9149,1304,9149,1693,8818,1693,8818,1304xm9633,926l9963,926,9963,1304,9633,1304,9633,926xe" filled="false" stroked="true" strokeweight=".590054pt" strokecolor="#000000">
              <v:path arrowok="t"/>
              <v:stroke dashstyle="solid"/>
            </v:shape>
            <v:line style="position:absolute" from="1973,2425" to="10211,2425" stroked="true" strokeweight=".589985pt" strokecolor="#d9d9d9">
              <v:stroke dashstyle="solid"/>
            </v:line>
            <v:shape style="position:absolute;left:0;top:-14780;width:651809;height:25214" coordorigin="0,-14779" coordsize="651809,25214" path="m1973,2425l1973,2472m1973,2425l1973,2744m2799,2425l2799,2472m2799,2425l2799,2744m3625,2425l3625,2472m3625,2425l3625,2744m4440,2425l4440,2472m4440,2425l4440,2744m5266,2425l5266,2472m5266,2425l5266,2744m6092,2425l6092,2472m6092,2425l6092,2744m6918,2425l6918,2472m6918,2425l6918,2744m7744,2425l7744,2472m7744,2425l7744,2744m8570,2425l8570,2472m8570,2425l8570,2744m9385,2425l9385,2472m9385,2425l9385,2744m10211,2425l10211,2472m10211,2425l10211,2744e" filled="false" stroked="true" strokeweight=".590053pt" strokecolor="#d9d9d9">
              <v:path arrowok="t"/>
              <v:stroke dashstyle="solid"/>
            </v:shape>
            <v:shape style="position:absolute;left:0;top:-14780;width:651809;height:25214" coordorigin="0,-14779" coordsize="651809,25214" path="m1973,2744l1973,3062m6092,2744l6092,3062m10211,2744l10211,3062e" filled="false" stroked="true" strokeweight=".590053pt" strokecolor="#d9d9d9">
              <v:path arrowok="t"/>
              <v:stroke dashstyle="solid"/>
            </v:shape>
            <v:line style="position:absolute" from="1973,183" to="10211,183" stroked="true" strokeweight=".589983pt" strokecolor="#d9d9d9">
              <v:stroke dashstyle="solid"/>
            </v:line>
            <v:line style="position:absolute" from="6099,183" to="6092,2430" stroked="true" strokeweight=".590124pt" strokecolor="#a6a6a6">
              <v:stroke dashstyle="solid"/>
            </v:line>
            <v:shape style="position:absolute;left:2217;top:2559;width:351;height:166"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2014</w:t>
                    </w:r>
                  </w:p>
                </w:txbxContent>
              </v:textbox>
              <w10:wrap type="none"/>
            </v:shape>
            <v:shape style="position:absolute;left:3041;top:2559;width:351;height:166"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2015</w:t>
                    </w:r>
                  </w:p>
                </w:txbxContent>
              </v:textbox>
              <w10:wrap type="none"/>
            </v:shape>
            <v:shape style="position:absolute;left:3865;top:2559;width:351;height:166"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2016</w:t>
                    </w:r>
                  </w:p>
                </w:txbxContent>
              </v:textbox>
              <w10:wrap type="none"/>
            </v:shape>
            <v:shape style="position:absolute;left:4690;top:2559;width:351;height:166"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2017</w:t>
                    </w:r>
                  </w:p>
                </w:txbxContent>
              </v:textbox>
              <w10:wrap type="none"/>
            </v:shape>
            <v:shape style="position:absolute;left:5514;top:2559;width:351;height:166"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2018</w:t>
                    </w:r>
                  </w:p>
                </w:txbxContent>
              </v:textbox>
              <w10:wrap type="none"/>
            </v:shape>
            <v:shape style="position:absolute;left:6338;top:2559;width:351;height:166"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2019</w:t>
                    </w:r>
                  </w:p>
                </w:txbxContent>
              </v:textbox>
              <w10:wrap type="none"/>
            </v:shape>
            <v:shape style="position:absolute;left:7162;top:2559;width:351;height:166"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2020</w:t>
                    </w:r>
                  </w:p>
                </w:txbxContent>
              </v:textbox>
              <w10:wrap type="none"/>
            </v:shape>
            <v:shape style="position:absolute;left:7986;top:2559;width:351;height:166"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2021</w:t>
                    </w:r>
                  </w:p>
                </w:txbxContent>
              </v:textbox>
              <w10:wrap type="none"/>
            </v:shape>
            <v:shape style="position:absolute;left:8810;top:2559;width:351;height:166"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2022</w:t>
                    </w:r>
                  </w:p>
                </w:txbxContent>
              </v:textbox>
              <w10:wrap type="none"/>
            </v:shape>
            <v:shape style="position:absolute;left:9634;top:2559;width:351;height:166"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2023</w:t>
                    </w:r>
                  </w:p>
                </w:txbxContent>
              </v:textbox>
              <w10:wrap type="none"/>
            </v:shape>
            <v:shape style="position:absolute;left:3776;top:2877;width:4717;height:166" type="#_x0000_t202" filled="false" stroked="false">
              <v:textbox inset="0,0,0,0">
                <w:txbxContent>
                  <w:p>
                    <w:pPr>
                      <w:tabs>
                        <w:tab w:pos="4054" w:val="left" w:leader="none"/>
                      </w:tabs>
                      <w:spacing w:line="165" w:lineRule="exact" w:before="0"/>
                      <w:ind w:left="0" w:right="0" w:firstLine="0"/>
                      <w:jc w:val="left"/>
                      <w:rPr>
                        <w:rFonts w:ascii="Calibri"/>
                        <w:sz w:val="16"/>
                      </w:rPr>
                    </w:pPr>
                    <w:r>
                      <w:rPr>
                        <w:rFonts w:ascii="Calibri"/>
                        <w:color w:val="585858"/>
                        <w:w w:val="105"/>
                        <w:sz w:val="16"/>
                      </w:rPr>
                      <w:t>Historic</w:t>
                      <w:tab/>
                    </w:r>
                    <w:r>
                      <w:rPr>
                        <w:rFonts w:ascii="Calibri"/>
                        <w:color w:val="585858"/>
                        <w:sz w:val="16"/>
                      </w:rPr>
                      <w:t>Projected</w:t>
                    </w:r>
                  </w:p>
                </w:txbxContent>
              </v:textbox>
              <w10:wrap type="none"/>
            </v:shape>
            <w10:wrap type="none"/>
          </v:group>
        </w:pict>
      </w:r>
      <w:r>
        <w:rPr>
          <w:rFonts w:ascii="Calibri"/>
          <w:color w:val="585858"/>
          <w:w w:val="105"/>
          <w:sz w:val="16"/>
        </w:rPr>
        <w:t>60,000</w:t>
      </w:r>
    </w:p>
    <w:p>
      <w:pPr>
        <w:pStyle w:val="BodyText"/>
        <w:spacing w:before="9"/>
        <w:rPr>
          <w:rFonts w:ascii="Calibri"/>
          <w:sz w:val="8"/>
        </w:rPr>
      </w:pPr>
    </w:p>
    <w:p>
      <w:pPr>
        <w:spacing w:before="72"/>
        <w:ind w:left="1239" w:right="0" w:firstLine="0"/>
        <w:jc w:val="left"/>
        <w:rPr>
          <w:rFonts w:ascii="Calibri"/>
          <w:sz w:val="16"/>
        </w:rPr>
      </w:pPr>
      <w:r>
        <w:rPr>
          <w:rFonts w:ascii="Calibri"/>
          <w:color w:val="585858"/>
          <w:w w:val="105"/>
          <w:sz w:val="16"/>
        </w:rPr>
        <w:t>50,000</w:t>
      </w:r>
    </w:p>
    <w:p>
      <w:pPr>
        <w:pStyle w:val="BodyText"/>
        <w:spacing w:before="9"/>
        <w:rPr>
          <w:rFonts w:ascii="Calibri"/>
          <w:sz w:val="8"/>
        </w:rPr>
      </w:pPr>
    </w:p>
    <w:p>
      <w:pPr>
        <w:spacing w:before="72"/>
        <w:ind w:left="1239" w:right="0" w:firstLine="0"/>
        <w:jc w:val="left"/>
        <w:rPr>
          <w:rFonts w:ascii="Calibri"/>
          <w:sz w:val="16"/>
        </w:rPr>
      </w:pPr>
      <w:r>
        <w:rPr>
          <w:rFonts w:ascii="Calibri"/>
          <w:color w:val="585858"/>
          <w:w w:val="105"/>
          <w:sz w:val="16"/>
        </w:rPr>
        <w:t>40,000</w:t>
      </w:r>
    </w:p>
    <w:p>
      <w:pPr>
        <w:pStyle w:val="BodyText"/>
        <w:spacing w:before="9"/>
        <w:rPr>
          <w:rFonts w:ascii="Calibri"/>
          <w:sz w:val="8"/>
        </w:rPr>
      </w:pPr>
    </w:p>
    <w:p>
      <w:pPr>
        <w:spacing w:before="72"/>
        <w:ind w:left="1239" w:right="0" w:firstLine="0"/>
        <w:jc w:val="left"/>
        <w:rPr>
          <w:rFonts w:ascii="Calibri"/>
          <w:sz w:val="16"/>
        </w:rPr>
      </w:pPr>
      <w:r>
        <w:rPr>
          <w:rFonts w:ascii="Calibri"/>
          <w:color w:val="585858"/>
          <w:w w:val="105"/>
          <w:sz w:val="16"/>
        </w:rPr>
        <w:t>30,000</w:t>
      </w:r>
    </w:p>
    <w:p>
      <w:pPr>
        <w:pStyle w:val="BodyText"/>
        <w:spacing w:before="10"/>
        <w:rPr>
          <w:rFonts w:ascii="Calibri"/>
          <w:sz w:val="8"/>
        </w:rPr>
      </w:pPr>
    </w:p>
    <w:p>
      <w:pPr>
        <w:spacing w:before="71"/>
        <w:ind w:left="1239" w:right="0" w:firstLine="0"/>
        <w:jc w:val="left"/>
        <w:rPr>
          <w:rFonts w:ascii="Calibri"/>
          <w:sz w:val="16"/>
        </w:rPr>
      </w:pPr>
      <w:r>
        <w:rPr>
          <w:rFonts w:ascii="Calibri"/>
          <w:color w:val="585858"/>
          <w:w w:val="105"/>
          <w:sz w:val="16"/>
        </w:rPr>
        <w:t>20,000</w:t>
      </w:r>
    </w:p>
    <w:p>
      <w:pPr>
        <w:pStyle w:val="BodyText"/>
        <w:spacing w:before="10"/>
        <w:rPr>
          <w:rFonts w:ascii="Calibri"/>
          <w:sz w:val="8"/>
        </w:rPr>
      </w:pPr>
    </w:p>
    <w:p>
      <w:pPr>
        <w:spacing w:before="71"/>
        <w:ind w:left="1239" w:right="0" w:firstLine="0"/>
        <w:jc w:val="left"/>
        <w:rPr>
          <w:rFonts w:ascii="Calibri"/>
          <w:sz w:val="16"/>
        </w:rPr>
      </w:pPr>
      <w:r>
        <w:rPr>
          <w:rFonts w:ascii="Calibri"/>
          <w:color w:val="585858"/>
          <w:w w:val="105"/>
          <w:sz w:val="16"/>
        </w:rPr>
        <w:t>10,000</w:t>
      </w:r>
    </w:p>
    <w:p>
      <w:pPr>
        <w:pStyle w:val="BodyText"/>
        <w:spacing w:before="10"/>
        <w:rPr>
          <w:rFonts w:ascii="Calibri"/>
          <w:sz w:val="8"/>
        </w:rPr>
      </w:pPr>
    </w:p>
    <w:p>
      <w:pPr>
        <w:spacing w:before="71"/>
        <w:ind w:left="1615" w:right="0" w:firstLine="0"/>
        <w:jc w:val="left"/>
        <w:rPr>
          <w:rFonts w:ascii="Calibri"/>
          <w:sz w:val="16"/>
        </w:rPr>
      </w:pPr>
      <w:r>
        <w:rPr>
          <w:rFonts w:ascii="Calibri"/>
          <w:color w:val="585858"/>
          <w:w w:val="103"/>
          <w:sz w:val="16"/>
        </w:rPr>
        <w:t>0</w:t>
      </w:r>
    </w:p>
    <w:p>
      <w:pPr>
        <w:pStyle w:val="BodyText"/>
        <w:rPr>
          <w:rFonts w:ascii="Calibri"/>
        </w:rPr>
      </w:pPr>
    </w:p>
    <w:p>
      <w:pPr>
        <w:pStyle w:val="BodyText"/>
        <w:spacing w:before="6"/>
        <w:rPr>
          <w:rFonts w:ascii="Calibri"/>
          <w:sz w:val="26"/>
        </w:rPr>
      </w:pPr>
    </w:p>
    <w:p>
      <w:pPr>
        <w:spacing w:before="61"/>
        <w:ind w:left="1602" w:right="1416" w:firstLine="0"/>
        <w:jc w:val="center"/>
        <w:rPr>
          <w:rFonts w:ascii="Calibri"/>
          <w:b/>
          <w:sz w:val="19"/>
        </w:rPr>
      </w:pPr>
      <w:r>
        <w:rPr>
          <w:rFonts w:ascii="Calibri"/>
          <w:b/>
          <w:color w:val="585858"/>
          <w:sz w:val="19"/>
        </w:rPr>
        <w:t>Year Ending 30 June</w:t>
      </w:r>
    </w:p>
    <w:p>
      <w:pPr>
        <w:pStyle w:val="BodyText"/>
        <w:spacing w:before="8"/>
        <w:rPr>
          <w:rFonts w:ascii="Calibri"/>
          <w:b/>
          <w:sz w:val="8"/>
        </w:rPr>
      </w:pPr>
    </w:p>
    <w:p>
      <w:pPr>
        <w:spacing w:before="76"/>
        <w:ind w:left="1597" w:right="9672" w:firstLine="0"/>
        <w:jc w:val="center"/>
        <w:rPr>
          <w:rFonts w:ascii="Calibri"/>
          <w:sz w:val="12"/>
        </w:rPr>
      </w:pPr>
      <w:r>
        <w:rPr>
          <w:rFonts w:ascii="Calibri"/>
          <w:sz w:val="12"/>
        </w:rPr>
        <w:t>Class key:</w:t>
      </w:r>
    </w:p>
    <w:p>
      <w:pPr>
        <w:tabs>
          <w:tab w:pos="1445" w:val="left" w:leader="none"/>
          <w:tab w:pos="2891" w:val="left" w:leader="none"/>
          <w:tab w:pos="4337" w:val="left" w:leader="none"/>
          <w:tab w:pos="5782" w:val="left" w:leader="none"/>
          <w:tab w:pos="7228" w:val="left" w:leader="none"/>
        </w:tabs>
        <w:spacing w:before="46"/>
        <w:ind w:left="0" w:right="132" w:firstLine="0"/>
        <w:jc w:val="center"/>
        <w:rPr>
          <w:rFonts w:ascii="Calibri"/>
          <w:sz w:val="12"/>
        </w:rPr>
      </w:pPr>
      <w:r>
        <w:rPr/>
        <w:pict>
          <v:group style="position:absolute;margin-left:85.804085pt;margin-top:1.603468pt;width:10.95pt;height:18.850pt;mso-position-horizontal-relative:page;mso-position-vertical-relative:paragraph;z-index:252405760" coordorigin="1716,32" coordsize="219,377">
            <v:rect style="position:absolute;left:1716;top:32;width:219;height:169" filled="true" fillcolor="#1f487c" stroked="false">
              <v:fill type="solid"/>
            </v:rect>
            <v:rect style="position:absolute;left:1716;top:240;width:219;height:169" filled="true" fillcolor="#f8a763" stroked="false">
              <v:fill type="solid"/>
            </v:rect>
            <w10:wrap type="none"/>
          </v:group>
        </w:pict>
      </w:r>
      <w:r>
        <w:rPr/>
        <w:pict>
          <v:group style="position:absolute;margin-left:157.689728pt;margin-top:1.603468pt;width:11.35pt;height:18.850pt;mso-position-horizontal-relative:page;mso-position-vertical-relative:paragraph;z-index:-287496192" coordorigin="3154,32" coordsize="227,377">
            <v:rect style="position:absolute;left:3153;top:32;width:227;height:169" filled="true" fillcolor="#009544" stroked="false">
              <v:fill type="solid"/>
            </v:rect>
            <v:rect style="position:absolute;left:3153;top:240;width:227;height:169" filled="true" fillcolor="#ecb8e7" stroked="false">
              <v:fill type="solid"/>
            </v:rect>
            <w10:wrap type="none"/>
          </v:group>
        </w:pict>
      </w:r>
      <w:r>
        <w:rPr/>
        <w:pict>
          <v:group style="position:absolute;margin-left:229.97963pt;margin-top:1.603468pt;width:11.35pt;height:18.850pt;mso-position-horizontal-relative:page;mso-position-vertical-relative:paragraph;z-index:-287495168" coordorigin="4600,32" coordsize="227,377">
            <v:rect style="position:absolute;left:4599;top:32;width:227;height:169" filled="true" fillcolor="#e16b09" stroked="false">
              <v:fill type="solid"/>
            </v:rect>
            <v:rect style="position:absolute;left:4599;top:240;width:227;height:169" filled="true" fillcolor="#938953" stroked="false">
              <v:fill type="solid"/>
            </v:rect>
            <w10:wrap type="none"/>
          </v:group>
        </w:pict>
      </w:r>
      <w:r>
        <w:rPr/>
        <w:pict>
          <v:group style="position:absolute;margin-left:302.269928pt;margin-top:1.603468pt;width:11.35pt;height:18.850pt;mso-position-horizontal-relative:page;mso-position-vertical-relative:paragraph;z-index:-287494144" coordorigin="6045,32" coordsize="227,377">
            <v:rect style="position:absolute;left:6045;top:32;width:227;height:169" filled="true" fillcolor="#e08ad6" stroked="false">
              <v:fill type="solid"/>
            </v:rect>
            <v:rect style="position:absolute;left:6045;top:240;width:227;height:169" filled="true" fillcolor="#ffd600" stroked="false">
              <v:fill type="solid"/>
            </v:rect>
            <w10:wrap type="none"/>
          </v:group>
        </w:pict>
      </w:r>
      <w:r>
        <w:rPr/>
        <w:pict>
          <v:group style="position:absolute;margin-left:374.559845pt;margin-top:1.603468pt;width:11.35pt;height:18.850pt;mso-position-horizontal-relative:page;mso-position-vertical-relative:paragraph;z-index:-287493120" coordorigin="7491,32" coordsize="227,377">
            <v:rect style="position:absolute;left:7491;top:32;width:227;height:169" filled="true" fillcolor="#8063a1" stroked="false">
              <v:fill type="solid"/>
            </v:rect>
            <v:rect style="position:absolute;left:7491;top:240;width:227;height:169" filled="true" fillcolor="#000000" stroked="false">
              <v:fill type="solid"/>
            </v:rect>
            <w10:wrap type="none"/>
          </v:group>
        </w:pict>
      </w:r>
      <w:r>
        <w:rPr/>
        <w:pict>
          <v:group style="position:absolute;margin-left:446.849335pt;margin-top:1.603468pt;width:11.35pt;height:18.850pt;mso-position-horizontal-relative:page;mso-position-vertical-relative:paragraph;z-index:-287492096" coordorigin="8937,32" coordsize="227,377">
            <v:rect style="position:absolute;left:8936;top:32;width:227;height:169" filled="true" fillcolor="#c0504d" stroked="false">
              <v:fill type="solid"/>
            </v:rect>
            <v:rect style="position:absolute;left:8936;top:240;width:227;height:169" filled="true" fillcolor="#ffeb8f" stroked="false">
              <v:fill type="solid"/>
            </v:rect>
            <w10:wrap type="none"/>
          </v:group>
        </w:pict>
      </w:r>
      <w:r>
        <w:rPr>
          <w:rFonts w:ascii="Calibri"/>
          <w:sz w:val="12"/>
        </w:rPr>
        <w:t>1</w:t>
      </w:r>
      <w:r>
        <w:rPr>
          <w:rFonts w:ascii="Calibri"/>
          <w:spacing w:val="-7"/>
          <w:sz w:val="12"/>
        </w:rPr>
        <w:t> </w:t>
      </w:r>
      <w:r>
        <w:rPr>
          <w:rFonts w:ascii="Calibri"/>
          <w:sz w:val="12"/>
        </w:rPr>
        <w:t>-</w:t>
      </w:r>
      <w:r>
        <w:rPr>
          <w:rFonts w:ascii="Calibri"/>
          <w:spacing w:val="2"/>
          <w:sz w:val="12"/>
        </w:rPr>
        <w:t> </w:t>
      </w:r>
      <w:r>
        <w:rPr>
          <w:rFonts w:ascii="Calibri"/>
          <w:sz w:val="12"/>
        </w:rPr>
        <w:t>Studying</w:t>
        <w:tab/>
        <w:t>2 -</w:t>
      </w:r>
      <w:r>
        <w:rPr>
          <w:rFonts w:ascii="Calibri"/>
          <w:spacing w:val="-6"/>
          <w:sz w:val="12"/>
        </w:rPr>
        <w:t> </w:t>
      </w:r>
      <w:r>
        <w:rPr>
          <w:rFonts w:ascii="Calibri"/>
          <w:sz w:val="12"/>
        </w:rPr>
        <w:t>Working</w:t>
      </w:r>
      <w:r>
        <w:rPr>
          <w:rFonts w:ascii="Calibri"/>
          <w:spacing w:val="-3"/>
          <w:sz w:val="12"/>
        </w:rPr>
        <w:t> </w:t>
      </w:r>
      <w:r>
        <w:rPr>
          <w:rFonts w:ascii="Calibri"/>
          <w:sz w:val="12"/>
        </w:rPr>
        <w:t>Age</w:t>
        <w:tab/>
        <w:t>3</w:t>
      </w:r>
      <w:r>
        <w:rPr>
          <w:rFonts w:ascii="Calibri"/>
          <w:spacing w:val="-7"/>
          <w:sz w:val="12"/>
        </w:rPr>
        <w:t> </w:t>
      </w:r>
      <w:r>
        <w:rPr>
          <w:rFonts w:ascii="Calibri"/>
          <w:sz w:val="12"/>
        </w:rPr>
        <w:t>-</w:t>
      </w:r>
      <w:r>
        <w:rPr>
          <w:rFonts w:ascii="Calibri"/>
          <w:spacing w:val="1"/>
          <w:sz w:val="12"/>
        </w:rPr>
        <w:t> </w:t>
      </w:r>
      <w:r>
        <w:rPr>
          <w:rFonts w:ascii="Calibri"/>
          <w:sz w:val="12"/>
        </w:rPr>
        <w:t>Parents</w:t>
        <w:tab/>
        <w:t>4</w:t>
      </w:r>
      <w:r>
        <w:rPr>
          <w:rFonts w:ascii="Calibri"/>
          <w:spacing w:val="-8"/>
          <w:sz w:val="12"/>
        </w:rPr>
        <w:t> </w:t>
      </w:r>
      <w:r>
        <w:rPr>
          <w:rFonts w:ascii="Calibri"/>
          <w:sz w:val="12"/>
        </w:rPr>
        <w:t>- Carers</w:t>
        <w:tab/>
        <w:t>5 -</w:t>
      </w:r>
      <w:r>
        <w:rPr>
          <w:rFonts w:ascii="Calibri"/>
          <w:spacing w:val="-2"/>
          <w:sz w:val="12"/>
        </w:rPr>
        <w:t> </w:t>
      </w:r>
      <w:r>
        <w:rPr>
          <w:rFonts w:ascii="Calibri"/>
          <w:sz w:val="12"/>
        </w:rPr>
        <w:t>Disability</w:t>
      </w:r>
      <w:r>
        <w:rPr>
          <w:rFonts w:ascii="Calibri"/>
          <w:spacing w:val="1"/>
          <w:sz w:val="12"/>
        </w:rPr>
        <w:t> </w:t>
      </w:r>
      <w:r>
        <w:rPr>
          <w:rFonts w:ascii="Calibri"/>
          <w:sz w:val="12"/>
        </w:rPr>
        <w:t>Support</w:t>
        <w:tab/>
        <w:t>6 - Pension</w:t>
      </w:r>
      <w:r>
        <w:rPr>
          <w:rFonts w:ascii="Calibri"/>
          <w:spacing w:val="-10"/>
          <w:sz w:val="12"/>
        </w:rPr>
        <w:t> </w:t>
      </w:r>
      <w:r>
        <w:rPr>
          <w:rFonts w:ascii="Calibri"/>
          <w:sz w:val="12"/>
        </w:rPr>
        <w:t>Age</w:t>
      </w:r>
    </w:p>
    <w:p>
      <w:pPr>
        <w:spacing w:after="0"/>
        <w:jc w:val="center"/>
        <w:rPr>
          <w:rFonts w:ascii="Calibri"/>
          <w:sz w:val="12"/>
        </w:rPr>
        <w:sectPr>
          <w:pgSz w:w="11910" w:h="16850"/>
          <w:pgMar w:header="572" w:footer="581" w:top="780" w:bottom="780" w:left="120" w:right="0"/>
        </w:sectPr>
      </w:pPr>
    </w:p>
    <w:p>
      <w:pPr>
        <w:spacing w:before="61"/>
        <w:ind w:left="0" w:right="0" w:firstLine="0"/>
        <w:jc w:val="right"/>
        <w:rPr>
          <w:rFonts w:ascii="Calibri"/>
          <w:sz w:val="12"/>
        </w:rPr>
      </w:pPr>
      <w:r>
        <w:rPr>
          <w:rFonts w:ascii="Calibri"/>
          <w:sz w:val="12"/>
        </w:rPr>
        <w:t>7 - Non IS Family</w:t>
      </w:r>
    </w:p>
    <w:p>
      <w:pPr>
        <w:pStyle w:val="ListParagraph"/>
        <w:numPr>
          <w:ilvl w:val="0"/>
          <w:numId w:val="54"/>
        </w:numPr>
        <w:tabs>
          <w:tab w:pos="665" w:val="left" w:leader="none"/>
        </w:tabs>
        <w:spacing w:line="240" w:lineRule="auto" w:before="61" w:after="0"/>
        <w:ind w:left="664" w:right="0" w:hanging="82"/>
        <w:jc w:val="left"/>
        <w:rPr>
          <w:rFonts w:ascii="Calibri"/>
          <w:sz w:val="12"/>
        </w:rPr>
      </w:pPr>
      <w:r>
        <w:rPr>
          <w:rFonts w:ascii="Calibri"/>
          <w:w w:val="100"/>
          <w:sz w:val="12"/>
        </w:rPr>
        <w:br w:type="column"/>
      </w:r>
      <w:r>
        <w:rPr>
          <w:rFonts w:ascii="Calibri"/>
          <w:sz w:val="12"/>
        </w:rPr>
        <w:t>- Non IS</w:t>
      </w:r>
      <w:r>
        <w:rPr>
          <w:rFonts w:ascii="Calibri"/>
          <w:spacing w:val="2"/>
          <w:sz w:val="12"/>
        </w:rPr>
        <w:t> </w:t>
      </w:r>
      <w:r>
        <w:rPr>
          <w:rFonts w:ascii="Calibri"/>
          <w:spacing w:val="-3"/>
          <w:sz w:val="12"/>
        </w:rPr>
        <w:t>Carer</w:t>
      </w:r>
    </w:p>
    <w:p>
      <w:pPr>
        <w:pStyle w:val="ListParagraph"/>
        <w:numPr>
          <w:ilvl w:val="0"/>
          <w:numId w:val="54"/>
        </w:numPr>
        <w:tabs>
          <w:tab w:pos="726" w:val="left" w:leader="none"/>
        </w:tabs>
        <w:spacing w:line="240" w:lineRule="auto" w:before="61" w:after="0"/>
        <w:ind w:left="725" w:right="0" w:hanging="82"/>
        <w:jc w:val="left"/>
        <w:rPr>
          <w:rFonts w:ascii="Calibri"/>
          <w:sz w:val="12"/>
        </w:rPr>
      </w:pPr>
      <w:r>
        <w:rPr>
          <w:rFonts w:ascii="Calibri"/>
          <w:w w:val="100"/>
          <w:sz w:val="12"/>
        </w:rPr>
        <w:br w:type="column"/>
      </w:r>
      <w:r>
        <w:rPr>
          <w:rFonts w:ascii="Calibri"/>
          <w:sz w:val="12"/>
        </w:rPr>
        <w:t>- Non IS</w:t>
      </w:r>
      <w:r>
        <w:rPr>
          <w:rFonts w:ascii="Calibri"/>
          <w:spacing w:val="5"/>
          <w:sz w:val="12"/>
        </w:rPr>
        <w:t> </w:t>
      </w:r>
      <w:r>
        <w:rPr>
          <w:rFonts w:ascii="Calibri"/>
          <w:spacing w:val="-3"/>
          <w:sz w:val="12"/>
        </w:rPr>
        <w:t>Other</w:t>
      </w:r>
    </w:p>
    <w:p>
      <w:pPr>
        <w:pStyle w:val="ListParagraph"/>
        <w:numPr>
          <w:ilvl w:val="0"/>
          <w:numId w:val="54"/>
        </w:numPr>
        <w:tabs>
          <w:tab w:pos="759" w:val="left" w:leader="none"/>
        </w:tabs>
        <w:spacing w:line="261" w:lineRule="auto" w:before="61" w:after="0"/>
        <w:ind w:left="620" w:right="0" w:firstLine="0"/>
        <w:jc w:val="left"/>
        <w:rPr>
          <w:rFonts w:ascii="Calibri"/>
          <w:sz w:val="12"/>
        </w:rPr>
      </w:pPr>
      <w:r>
        <w:rPr>
          <w:rFonts w:ascii="Calibri"/>
          <w:w w:val="100"/>
          <w:sz w:val="12"/>
        </w:rPr>
        <w:br w:type="column"/>
      </w:r>
      <w:r>
        <w:rPr>
          <w:rFonts w:ascii="Calibri"/>
          <w:sz w:val="12"/>
        </w:rPr>
        <w:t>- Previous Welfare Recipient</w:t>
      </w:r>
    </w:p>
    <w:p>
      <w:pPr>
        <w:pStyle w:val="ListParagraph"/>
        <w:numPr>
          <w:ilvl w:val="0"/>
          <w:numId w:val="54"/>
        </w:numPr>
        <w:tabs>
          <w:tab w:pos="482" w:val="left" w:leader="none"/>
        </w:tabs>
        <w:spacing w:line="240" w:lineRule="auto" w:before="61" w:after="0"/>
        <w:ind w:left="481" w:right="0" w:hanging="139"/>
        <w:jc w:val="left"/>
        <w:rPr>
          <w:rFonts w:ascii="Calibri"/>
          <w:sz w:val="12"/>
        </w:rPr>
      </w:pPr>
      <w:r>
        <w:rPr>
          <w:rFonts w:ascii="Calibri"/>
          <w:w w:val="100"/>
          <w:sz w:val="12"/>
        </w:rPr>
        <w:br w:type="column"/>
      </w:r>
      <w:r>
        <w:rPr>
          <w:rFonts w:ascii="Calibri"/>
          <w:sz w:val="12"/>
        </w:rPr>
        <w:t>-</w:t>
      </w:r>
      <w:r>
        <w:rPr>
          <w:rFonts w:ascii="Calibri"/>
          <w:spacing w:val="3"/>
          <w:sz w:val="12"/>
        </w:rPr>
        <w:t> </w:t>
      </w:r>
      <w:r>
        <w:rPr>
          <w:rFonts w:ascii="Calibri"/>
          <w:spacing w:val="-5"/>
          <w:sz w:val="12"/>
        </w:rPr>
        <w:t>Dead</w:t>
      </w:r>
    </w:p>
    <w:p>
      <w:pPr>
        <w:pStyle w:val="ListParagraph"/>
        <w:numPr>
          <w:ilvl w:val="0"/>
          <w:numId w:val="54"/>
        </w:numPr>
        <w:tabs>
          <w:tab w:pos="1084" w:val="left" w:leader="none"/>
        </w:tabs>
        <w:spacing w:line="261" w:lineRule="auto" w:before="61" w:after="0"/>
        <w:ind w:left="946" w:right="1894" w:firstLine="0"/>
        <w:jc w:val="left"/>
        <w:rPr>
          <w:rFonts w:ascii="Calibri"/>
          <w:sz w:val="12"/>
        </w:rPr>
      </w:pPr>
      <w:r>
        <w:rPr>
          <w:rFonts w:ascii="Calibri"/>
          <w:w w:val="100"/>
          <w:sz w:val="12"/>
        </w:rPr>
        <w:br w:type="column"/>
      </w:r>
      <w:r>
        <w:rPr>
          <w:rFonts w:ascii="Calibri"/>
          <w:sz w:val="12"/>
        </w:rPr>
        <w:t>- Rest of Aust. Population</w:t>
      </w:r>
    </w:p>
    <w:p>
      <w:pPr>
        <w:spacing w:after="0" w:line="261" w:lineRule="auto"/>
        <w:jc w:val="left"/>
        <w:rPr>
          <w:rFonts w:ascii="Calibri"/>
          <w:sz w:val="12"/>
        </w:rPr>
        <w:sectPr>
          <w:type w:val="continuous"/>
          <w:pgSz w:w="11910" w:h="16850"/>
          <w:pgMar w:top="1600" w:bottom="280" w:left="120" w:right="0"/>
          <w:cols w:num="6" w:equalWidth="0">
            <w:col w:w="2653" w:space="40"/>
            <w:col w:w="1345" w:space="39"/>
            <w:col w:w="1430" w:space="40"/>
            <w:col w:w="1683" w:space="39"/>
            <w:col w:w="804" w:space="40"/>
            <w:col w:w="3677"/>
          </w:cols>
        </w:sectPr>
      </w:pPr>
    </w:p>
    <w:p>
      <w:pPr>
        <w:pStyle w:val="BodyText"/>
        <w:spacing w:before="3"/>
        <w:rPr>
          <w:rFonts w:ascii="Calibri"/>
          <w:sz w:val="13"/>
        </w:rPr>
      </w:pPr>
    </w:p>
    <w:p>
      <w:pPr>
        <w:pStyle w:val="BodyText"/>
        <w:spacing w:before="93"/>
        <w:ind w:left="899" w:right="1010"/>
      </w:pPr>
      <w:r>
        <w:rPr>
          <w:color w:val="404040"/>
        </w:rPr>
        <w:t>We can see that people in this class primarily came from the Working Age class, with the remainder mostly coming from outside the welfare system. The number of entries into DSP increases with age, up until retirement age.</w:t>
      </w:r>
    </w:p>
    <w:p>
      <w:pPr>
        <w:pStyle w:val="BodyText"/>
        <w:spacing w:before="121"/>
        <w:ind w:left="899" w:right="1110"/>
      </w:pPr>
      <w:r>
        <w:rPr>
          <w:color w:val="404040"/>
        </w:rPr>
        <w:t>The projected entries in 2019 are above the level seen in 2018. This is because, at this stage, we do not believe there is enough experience to assume that the entries will continue at the low level seen in 2018. Instead, a slightly higher level of entries is projected forward, which gives some credit to the higher levels seen in previous years. Additionally the 2018 year is impacted by data maturity and likely understated, and an adjustment has been carried out in to increase entries in the 2019 projection in order to compensate; these factors act to increase the difference seen between the 2018 historic level and the 2019 projected level.</w:t>
      </w:r>
    </w:p>
    <w:p>
      <w:pPr>
        <w:pStyle w:val="BodyText"/>
        <w:spacing w:before="121"/>
        <w:ind w:left="899" w:right="1165"/>
      </w:pPr>
      <w:r>
        <w:rPr>
          <w:color w:val="404040"/>
        </w:rPr>
        <w:t>People in this class show very limited mobility. The main exits from the class are through retirement or death. Notwithstanding this, we have observed that a material number of people aged under 40 exit the class, mainly into the other income support classes, particularly in the 2015/16 year. This is understood to be driven by medical reviews conducted by the Department of Human Services (DHS), which were expected to result in a higher exit rate (relative to historical levels) in the short term. The medical reviews and tightened eligibility criteria have reduced the number of people receiving DSP but increased the proportion of individuals with a severe medical condition.</w:t>
      </w:r>
    </w:p>
    <w:p>
      <w:pPr>
        <w:spacing w:after="0"/>
        <w:sectPr>
          <w:type w:val="continuous"/>
          <w:pgSz w:w="11910" w:h="16850"/>
          <w:pgMar w:top="1600" w:bottom="280" w:left="120" w:right="0"/>
        </w:sectPr>
      </w:pPr>
    </w:p>
    <w:p>
      <w:pPr>
        <w:pStyle w:val="BodyText"/>
      </w:pPr>
    </w:p>
    <w:p>
      <w:pPr>
        <w:pStyle w:val="BodyText"/>
      </w:pPr>
    </w:p>
    <w:p>
      <w:pPr>
        <w:pStyle w:val="BodyText"/>
        <w:spacing w:before="7"/>
        <w:rPr>
          <w:sz w:val="21"/>
        </w:rPr>
      </w:pPr>
    </w:p>
    <w:p>
      <w:pPr>
        <w:pStyle w:val="BodyText"/>
        <w:spacing w:before="93"/>
        <w:ind w:left="900" w:right="1174"/>
      </w:pPr>
      <w:r>
        <w:rPr>
          <w:color w:val="404040"/>
        </w:rPr>
        <w:t>The actual and projected exits into the Pension Age class are lower for 2018, 2020 and 2022, as shown in the figure above. This is the result of fewer people reaching Age Pension age during these years, as the Age Pension age transitions from age 65 to 67.</w:t>
      </w:r>
    </w:p>
    <w:p>
      <w:pPr>
        <w:pStyle w:val="BodyText"/>
        <w:spacing w:before="9"/>
      </w:pPr>
    </w:p>
    <w:p>
      <w:pPr>
        <w:pStyle w:val="Heading6"/>
        <w:rPr>
          <w:i/>
        </w:rPr>
      </w:pPr>
      <w:r>
        <w:rPr>
          <w:i/>
          <w:color w:val="DF2F1E"/>
        </w:rPr>
        <w:t>Payments received</w:t>
      </w:r>
    </w:p>
    <w:p>
      <w:pPr>
        <w:pStyle w:val="BodyText"/>
        <w:spacing w:before="121"/>
        <w:ind w:left="900" w:right="1164"/>
      </w:pPr>
      <w:r>
        <w:rPr>
          <w:color w:val="404040"/>
        </w:rPr>
        <w:t>During 2017/18, people in this class received a total of $17.4 billion. This is 15.1% of the total payments made in 2017/18. The charts below show the average amount paid in a year to each person in this class.</w:t>
      </w:r>
    </w:p>
    <w:p>
      <w:pPr>
        <w:pStyle w:val="Heading9"/>
        <w:spacing w:before="176"/>
      </w:pPr>
      <w:r>
        <w:rPr>
          <w:color w:val="DF2F1E"/>
        </w:rPr>
        <w:t>Figure 69: Average payments per person in class 5 – Disability Support (restated to 2017/18 $ values)</w:t>
      </w:r>
    </w:p>
    <w:p>
      <w:pPr>
        <w:pStyle w:val="BodyText"/>
        <w:spacing w:before="10"/>
        <w:rPr>
          <w:b/>
          <w:sz w:val="22"/>
        </w:rPr>
      </w:pPr>
    </w:p>
    <w:p>
      <w:pPr>
        <w:spacing w:before="71"/>
        <w:ind w:left="1042" w:right="0" w:firstLine="0"/>
        <w:jc w:val="left"/>
        <w:rPr>
          <w:rFonts w:ascii="Calibri"/>
          <w:sz w:val="15"/>
        </w:rPr>
      </w:pPr>
      <w:r>
        <w:rPr/>
        <w:pict>
          <v:group style="position:absolute;margin-left:88.370232pt;margin-top:7.987681pt;width:420.25pt;height:141.15pt;mso-position-horizontal-relative:page;mso-position-vertical-relative:paragraph;z-index:252431360" coordorigin="1767,160" coordsize="8405,2823">
            <v:shape style="position:absolute;left:1825;top:1053;width:8341;height:877" coordorigin="1826,1054" coordsize="8341,877" path="m9932,1930l10166,1930m9100,1930l9557,1930m8269,1930l8725,1930m7425,1930l7894,1930m6594,1930l7062,1930m5762,1930l6230,1930m4930,1930l5387,1930m4087,1930l4555,1930m3255,1930l3724,1930m2423,1930l2892,1930m1826,1930l2049,1930m2423,1498l2892,1498m1826,1498l2049,1498m2423,1054l2892,1054m1826,1054l2049,1054e" filled="false" stroked="true" strokeweight=".584347pt" strokecolor="#f1f1f1">
              <v:path arrowok="t"/>
              <v:stroke dashstyle="solid"/>
            </v:shape>
            <v:line style="position:absolute" from="2049,2369" to="2423,2369" stroked="true" strokeweight=".58435pt" strokecolor="#1f487c">
              <v:stroke dashstyle="solid"/>
            </v:line>
            <v:line style="position:absolute" from="2049,2369" to="2423,2369" stroked="true" strokeweight=".58435pt" strokecolor="#009544">
              <v:stroke dashstyle="solid"/>
            </v:line>
            <v:rect style="position:absolute;left:2048;top:808;width:375;height:1555" filled="true" fillcolor="#8063a1" stroked="false">
              <v:fill type="solid"/>
            </v:rect>
            <v:shape style="position:absolute;left:3255;top:1053;width:469;height:445" coordorigin="3255,1054" coordsize="469,445" path="m3255,1498l3724,1498m3255,1054l3724,1054e" filled="false" stroked="true" strokeweight=".584347pt" strokecolor="#f1f1f1">
              <v:path arrowok="t"/>
              <v:stroke dashstyle="solid"/>
            </v:shape>
            <v:line style="position:absolute" from="2892,2369" to="3255,2369" stroked="true" strokeweight=".58435pt" strokecolor="#1f487c">
              <v:stroke dashstyle="solid"/>
            </v:line>
            <v:line style="position:absolute" from="2892,2369" to="3255,2369" stroked="true" strokeweight=".58435pt" strokecolor="#009544">
              <v:stroke dashstyle="solid"/>
            </v:line>
            <v:rect style="position:absolute;left:2891;top:796;width:364;height:1567" filled="true" fillcolor="#8063a1" stroked="false">
              <v:fill type="solid"/>
            </v:rect>
            <v:shape style="position:absolute;left:4086;top:1053;width:469;height:445" coordorigin="4087,1054" coordsize="469,445" path="m4087,1498l4555,1498m4087,1054l4555,1054e" filled="false" stroked="true" strokeweight=".584347pt" strokecolor="#f1f1f1">
              <v:path arrowok="t"/>
              <v:stroke dashstyle="solid"/>
            </v:shape>
            <v:line style="position:absolute" from="3724,2369" to="4087,2369" stroked="true" strokeweight=".58435pt" strokecolor="#1f487c">
              <v:stroke dashstyle="solid"/>
            </v:line>
            <v:line style="position:absolute" from="3724,2369" to="4087,2369" stroked="true" strokeweight=".58435pt" strokecolor="#009544">
              <v:stroke dashstyle="solid"/>
            </v:line>
            <v:line style="position:absolute" from="3724,2369" to="4087,2369" stroked="true" strokeweight=".58435pt" strokecolor="#e16b09">
              <v:stroke dashstyle="solid"/>
            </v:line>
            <v:line style="position:absolute" from="3724,2369" to="4087,2369" stroked="true" strokeweight=".58435pt" strokecolor="#e08ad6">
              <v:stroke dashstyle="solid"/>
            </v:line>
            <v:rect style="position:absolute;left:3723;top:785;width:364;height:1578" filled="true" fillcolor="#8063a1" stroked="false">
              <v:fill type="solid"/>
            </v:rect>
            <v:shape style="position:absolute;left:4930;top:1053;width:457;height:445" coordorigin="4930,1054" coordsize="457,445" path="m4930,1498l5387,1498m4930,1054l5387,1054e" filled="false" stroked="true" strokeweight=".584347pt" strokecolor="#f1f1f1">
              <v:path arrowok="t"/>
              <v:stroke dashstyle="solid"/>
            </v:shape>
            <v:line style="position:absolute" from="4555,2369" to="4930,2369" stroked="true" strokeweight=".58435pt" strokecolor="#1f487c">
              <v:stroke dashstyle="solid"/>
            </v:line>
            <v:line style="position:absolute" from="4555,2369" to="4930,2369" stroked="true" strokeweight=".58435pt" strokecolor="#009544">
              <v:stroke dashstyle="solid"/>
            </v:line>
            <v:rect style="position:absolute;left:4555;top:785;width:375;height:1578" filled="true" fillcolor="#8063a1" stroked="false">
              <v:fill type="solid"/>
            </v:rect>
            <v:shape style="position:absolute;left:5761;top:1053;width:469;height:445" coordorigin="5762,1054" coordsize="469,445" path="m5762,1498l6230,1498m5762,1054l6230,1054e" filled="false" stroked="true" strokeweight=".584347pt" strokecolor="#f1f1f1">
              <v:path arrowok="t"/>
              <v:stroke dashstyle="solid"/>
            </v:shape>
            <v:line style="position:absolute" from="5387,2369" to="5762,2369" stroked="true" strokeweight=".58435pt" strokecolor="#1f487c">
              <v:stroke dashstyle="solid"/>
            </v:line>
            <v:line style="position:absolute" from="5387,2369" to="5762,2369" stroked="true" strokeweight=".58435pt" strokecolor="#009544">
              <v:stroke dashstyle="solid"/>
            </v:line>
            <v:line style="position:absolute" from="5387,2369" to="5762,2369" stroked="true" strokeweight=".58435pt" strokecolor="#e16b09">
              <v:stroke dashstyle="solid"/>
            </v:line>
            <v:line style="position:absolute" from="5387,2369" to="5762,2369" stroked="true" strokeweight=".58435pt" strokecolor="#e08ad6">
              <v:stroke dashstyle="solid"/>
            </v:line>
            <v:rect style="position:absolute;left:5386;top:761;width:375;height:1602" filled="true" fillcolor="#8063a1" stroked="false">
              <v:fill type="solid"/>
            </v:rect>
            <v:shape style="position:absolute;left:6593;top:1053;width:469;height:445" coordorigin="6594,1054" coordsize="469,445" path="m6594,1498l7062,1498m6594,1054l7062,1054e" filled="false" stroked="true" strokeweight=".584347pt" strokecolor="#f1f1f1">
              <v:path arrowok="t"/>
              <v:stroke dashstyle="solid"/>
            </v:shape>
            <v:line style="position:absolute" from="6230,2369" to="6594,2369" stroked="true" strokeweight=".58435pt" strokecolor="#1f487c">
              <v:stroke dashstyle="solid"/>
            </v:line>
            <v:line style="position:absolute" from="6230,2369" to="6594,2369" stroked="true" strokeweight=".58435pt" strokecolor="#009544">
              <v:stroke dashstyle="solid"/>
            </v:line>
            <v:rect style="position:absolute;left:6230;top:761;width:364;height:1602" filled="true" fillcolor="#8063a1" stroked="false">
              <v:fill type="solid"/>
            </v:rect>
            <v:shape style="position:absolute;left:7425;top:1053;width:469;height:445" coordorigin="7425,1054" coordsize="469,445" path="m7425,1498l7894,1498m7425,1054l7894,1054e" filled="false" stroked="true" strokeweight=".584347pt" strokecolor="#f1f1f1">
              <v:path arrowok="t"/>
              <v:stroke dashstyle="solid"/>
            </v:shape>
            <v:line style="position:absolute" from="7062,2369" to="7425,2369" stroked="true" strokeweight=".58435pt" strokecolor="#1f487c">
              <v:stroke dashstyle="solid"/>
            </v:line>
            <v:line style="position:absolute" from="7062,2369" to="7425,2369" stroked="true" strokeweight=".58435pt" strokecolor="#009544">
              <v:stroke dashstyle="solid"/>
            </v:line>
            <v:rect style="position:absolute;left:7062;top:761;width:364;height:1602" filled="true" fillcolor="#8063a1" stroked="false">
              <v:fill type="solid"/>
            </v:rect>
            <v:shape style="position:absolute;left:8268;top:1053;width:457;height:445" coordorigin="8269,1054" coordsize="457,445" path="m8269,1498l8725,1498m8269,1054l8725,1054e" filled="false" stroked="true" strokeweight=".584347pt" strokecolor="#f1f1f1">
              <v:path arrowok="t"/>
              <v:stroke dashstyle="solid"/>
            </v:shape>
            <v:line style="position:absolute" from="7894,2369" to="8269,2369" stroked="true" strokeweight=".58435pt" strokecolor="#1f487c">
              <v:stroke dashstyle="solid"/>
            </v:line>
            <v:line style="position:absolute" from="7894,2369" to="8269,2369" stroked="true" strokeweight=".58435pt" strokecolor="#009544">
              <v:stroke dashstyle="solid"/>
            </v:line>
            <v:rect style="position:absolute;left:7893;top:761;width:375;height:1602" filled="true" fillcolor="#8063a1" stroked="false">
              <v:fill type="solid"/>
            </v:rect>
            <v:shape style="position:absolute;left:9100;top:1053;width:457;height:445" coordorigin="9100,1054" coordsize="457,445" path="m9100,1498l9557,1498m9100,1054l9557,1054e" filled="false" stroked="true" strokeweight=".584347pt" strokecolor="#f1f1f1">
              <v:path arrowok="t"/>
              <v:stroke dashstyle="solid"/>
            </v:shape>
            <v:line style="position:absolute" from="8725,2369" to="9100,2369" stroked="true" strokeweight=".58435pt" strokecolor="#1f487c">
              <v:stroke dashstyle="solid"/>
            </v:line>
            <v:line style="position:absolute" from="8725,2369" to="9100,2369" stroked="true" strokeweight=".58435pt" strokecolor="#009544">
              <v:stroke dashstyle="solid"/>
            </v:line>
            <v:rect style="position:absolute;left:8725;top:773;width:375;height:1590" filled="true" fillcolor="#8063a1" stroked="false">
              <v:fill type="solid"/>
            </v:rect>
            <v:shape style="position:absolute;left:9931;top:1053;width:235;height:445" coordorigin="9932,1054" coordsize="235,445" path="m9932,1498l10166,1498m9932,1054l10166,1054e" filled="false" stroked="true" strokeweight=".584347pt" strokecolor="#f1f1f1">
              <v:path arrowok="t"/>
              <v:stroke dashstyle="solid"/>
            </v:shape>
            <v:line style="position:absolute" from="9557,2369" to="9932,2369" stroked="true" strokeweight=".58435pt" strokecolor="#1f487c">
              <v:stroke dashstyle="solid"/>
            </v:line>
            <v:line style="position:absolute" from="9557,2369" to="9932,2369" stroked="true" strokeweight=".58435pt" strokecolor="#009544">
              <v:stroke dashstyle="solid"/>
            </v:line>
            <v:rect style="position:absolute;left:9557;top:773;width:375;height:1590" filled="true" fillcolor="#8063a1" stroked="false">
              <v:fill type="solid"/>
            </v:rect>
            <v:shape style="position:absolute;left:5386;top:755;width:2882;height:2" coordorigin="5387,756" coordsize="2882,0" path="m5387,756l5762,756m6230,756l6594,756m7062,756l7425,756m7894,756l8269,756e" filled="false" stroked="true" strokeweight=".584344pt" strokecolor="#c0504d">
              <v:path arrowok="t"/>
              <v:stroke dashstyle="solid"/>
            </v:shape>
            <v:shape style="position:absolute;left:8725;top:767;width:1207;height:2" coordorigin="8725,767" coordsize="1207,0" path="m8725,767l9100,767m9557,767l9932,767e" filled="false" stroked="true" strokeweight=".584356pt" strokecolor="#c0504d">
              <v:path arrowok="t"/>
              <v:stroke dashstyle="solid"/>
            </v:shape>
            <v:shape style="position:absolute;left:5386;top:755;width:2882;height:2" coordorigin="5387,756" coordsize="2882,0" path="m5387,756l5762,756m6230,756l6594,756m7062,756l7425,756m7894,756l8269,756e" filled="false" stroked="true" strokeweight=".584355pt" strokecolor="#c9dba4">
              <v:path arrowok="t"/>
              <v:stroke dashstyle="solid"/>
            </v:shape>
            <v:shape style="position:absolute;left:2048;top:691;width:7884;height:117" coordorigin="2049,692" coordsize="7884,117" path="m2423,727l2049,727,2049,808,2423,808,2423,727m3255,715l2892,715,2892,797,3255,797,3255,715m4087,703l3724,703,3724,785,4087,785,4087,703m4930,703l4555,703,4555,785,4930,785,4930,703m5762,692l5387,692,5387,762,5762,762,5762,692m6594,692l6230,692,6230,762,6594,762,6594,692m7425,692l7062,692,7062,762,7425,762,7425,692m8269,692l7894,692,7894,762,8269,762,8269,692m9100,703l8725,703,8725,773,9100,773,9100,703m9932,703l9557,703,9557,773,9932,773,9932,703e" filled="true" fillcolor="#f8a763" stroked="false">
              <v:path arrowok="t"/>
              <v:fill type="solid"/>
            </v:shape>
            <v:line style="position:absolute" from="2049,721" to="2423,721" stroked="true" strokeweight=".584356pt" strokecolor="#f9c090">
              <v:stroke dashstyle="solid"/>
            </v:line>
            <v:rect style="position:absolute;left:2891;top:691;width:364;height:24" filled="true" fillcolor="#f9c090" stroked="false">
              <v:fill type="solid"/>
            </v:rect>
            <v:shape style="position:absolute;left:3255;top:609;width:1301;height:2" coordorigin="3255,610" coordsize="1301,0" path="m4087,610l4555,610m3255,610l3724,610e" filled="false" stroked="true" strokeweight=".584347pt" strokecolor="#f1f1f1">
              <v:path arrowok="t"/>
              <v:stroke dashstyle="solid"/>
            </v:shape>
            <v:rect style="position:absolute;left:3723;top:679;width:364;height:24" filled="true" fillcolor="#f9c090" stroked="false">
              <v:fill type="solid"/>
            </v:rect>
            <v:line style="position:absolute" from="4555,697" to="4930,697" stroked="true" strokeweight=".584344pt" strokecolor="#f9c090">
              <v:stroke dashstyle="solid"/>
            </v:line>
            <v:shape style="position:absolute;left:4930;top:609;width:1301;height:2" coordorigin="4930,610" coordsize="1301,0" path="m5762,610l6230,610m4930,610l5387,610e" filled="false" stroked="true" strokeweight=".584347pt" strokecolor="#f1f1f1">
              <v:path arrowok="t"/>
              <v:stroke dashstyle="solid"/>
            </v:shape>
            <v:line style="position:absolute" from="5387,686" to="5762,686" stroked="true" strokeweight=".584356pt" strokecolor="#f9c090">
              <v:stroke dashstyle="solid"/>
            </v:line>
            <v:line style="position:absolute" from="6594,610" to="7062,610" stroked="true" strokeweight=".584347pt" strokecolor="#f1f1f1">
              <v:stroke dashstyle="solid"/>
            </v:line>
            <v:rect style="position:absolute;left:6230;top:668;width:364;height:24" filled="true" fillcolor="#f9c090" stroked="false">
              <v:fill type="solid"/>
            </v:rect>
            <v:line style="position:absolute" from="7425,610" to="7894,610" stroked="true" strokeweight=".584347pt" strokecolor="#f1f1f1">
              <v:stroke dashstyle="solid"/>
            </v:line>
            <v:line style="position:absolute" from="7062,686" to="7425,686" stroked="true" strokeweight=".584356pt" strokecolor="#f9c090">
              <v:stroke dashstyle="solid"/>
            </v:line>
            <v:line style="position:absolute" from="8269,610" to="8725,610" stroked="true" strokeweight=".584347pt" strokecolor="#f1f1f1">
              <v:stroke dashstyle="solid"/>
            </v:line>
            <v:line style="position:absolute" from="7894,686" to="8269,686" stroked="true" strokeweight=".584356pt" strokecolor="#f9c090">
              <v:stroke dashstyle="solid"/>
            </v:line>
            <v:line style="position:absolute" from="9100,610" to="9557,610" stroked="true" strokeweight=".584347pt" strokecolor="#f1f1f1">
              <v:stroke dashstyle="solid"/>
            </v:line>
            <v:rect style="position:absolute;left:8725;top:679;width:375;height:24" filled="true" fillcolor="#f9c090" stroked="false">
              <v:fill type="solid"/>
            </v:rect>
            <v:line style="position:absolute" from="9557,697" to="9932,697" stroked="true" strokeweight=".584344pt" strokecolor="#f9c090">
              <v:stroke dashstyle="solid"/>
            </v:line>
            <v:line style="position:absolute" from="2049,709" to="2423,709" stroked="true" strokeweight=".584356pt" strokecolor="#fbddc4">
              <v:stroke dashstyle="solid"/>
            </v:line>
            <v:line style="position:absolute" from="2423,610" to="2892,610" stroked="true" strokeweight=".584347pt" strokecolor="#f1f1f1">
              <v:stroke dashstyle="solid"/>
            </v:line>
            <v:line style="position:absolute" from="2892,686" to="3255,686" stroked="true" strokeweight=".584356pt" strokecolor="#fbddc4">
              <v:stroke dashstyle="solid"/>
            </v:line>
            <v:line style="position:absolute" from="3724,674" to="4087,674" stroked="true" strokeweight=".584344pt" strokecolor="#fbddc4">
              <v:stroke dashstyle="solid"/>
            </v:line>
            <v:line style="position:absolute" from="4555,686" to="4930,686" stroked="true" strokeweight=".584356pt" strokecolor="#fbddc4">
              <v:stroke dashstyle="solid"/>
            </v:line>
            <v:line style="position:absolute" from="5387,674" to="5762,674" stroked="true" strokeweight=".584344pt" strokecolor="#fbddc4">
              <v:stroke dashstyle="solid"/>
            </v:line>
            <v:line style="position:absolute" from="6230,662" to="6594,662" stroked="true" strokeweight=".584344pt" strokecolor="#fbddc4">
              <v:stroke dashstyle="solid"/>
            </v:line>
            <v:shape style="position:absolute;left:7062;top:673;width:2039;height:2" coordorigin="7062,674" coordsize="2039,0" path="m7062,674l7425,674m7894,674l8269,674m8725,674l9100,674e" filled="false" stroked="true" strokeweight=".584344pt" strokecolor="#fbddc4">
              <v:path arrowok="t"/>
              <v:stroke dashstyle="solid"/>
            </v:shape>
            <v:line style="position:absolute" from="9932,610" to="10166,610" stroked="true" strokeweight=".584347pt" strokecolor="#f1f1f1">
              <v:stroke dashstyle="solid"/>
            </v:line>
            <v:line style="position:absolute" from="9557,686" to="9932,686" stroked="true" strokeweight=".584356pt" strokecolor="#fbddc4">
              <v:stroke dashstyle="solid"/>
            </v:line>
            <v:line style="position:absolute" from="1826,610" to="2049,610" stroked="true" strokeweight=".584347pt" strokecolor="#f1f1f1">
              <v:stroke dashstyle="solid"/>
            </v:line>
            <v:line style="position:absolute" from="2049,692" to="2423,692" stroked="true" strokeweight="1.168699pt" strokecolor="#938953">
              <v:stroke dashstyle="solid"/>
            </v:line>
            <v:shape style="position:absolute;left:2891;top:656;width:1195;height:36" coordorigin="2892,656" coordsize="1195,36" path="m3255,668l2892,668,2892,692,3255,692,3255,668m4087,656l3724,656,3724,680,4087,680,4087,656e" filled="true" fillcolor="#938953" stroked="false">
              <v:path arrowok="t"/>
              <v:fill type="solid"/>
            </v:shape>
            <v:line style="position:absolute" from="4555,680" to="4930,680" stroked="true" strokeweight="1.168699pt" strokecolor="#938953">
              <v:stroke dashstyle="solid"/>
            </v:line>
            <v:line style="position:absolute" from="5387,674" to="5762,674" stroked="true" strokeweight=".584344pt" strokecolor="#938953">
              <v:stroke dashstyle="solid"/>
            </v:line>
            <v:line style="position:absolute" from="6230,662" to="6594,662" stroked="true" strokeweight=".584344pt" strokecolor="#938953">
              <v:stroke dashstyle="solid"/>
            </v:line>
            <v:shape style="position:absolute;left:7062;top:673;width:2039;height:2" coordorigin="7062,674" coordsize="2039,0" path="m7062,674l7425,674m7894,674l8269,674m8725,674l9100,674e" filled="false" stroked="true" strokeweight=".584344pt" strokecolor="#938953">
              <v:path arrowok="t"/>
              <v:stroke dashstyle="solid"/>
            </v:shape>
            <v:line style="position:absolute" from="9557,686" to="9932,686" stroked="true" strokeweight=".584356pt" strokecolor="#938953">
              <v:stroke dashstyle="solid"/>
            </v:line>
            <v:line style="position:absolute" from="2049,674" to="2423,674" stroked="true" strokeweight=".584344pt" strokecolor="#ecb8e7">
              <v:stroke dashstyle="solid"/>
            </v:line>
            <v:line style="position:absolute" from="2892,662" to="3255,662" stroked="true" strokeweight=".584344pt" strokecolor="#ecb8e7">
              <v:stroke dashstyle="solid"/>
            </v:line>
            <v:line style="position:absolute" from="3724,651" to="4087,651" stroked="true" strokeweight=".584344pt" strokecolor="#ecb8e7">
              <v:stroke dashstyle="solid"/>
            </v:line>
            <v:shape style="position:absolute;left:4555;top:662;width:1207;height:2" coordorigin="4555,662" coordsize="1207,0" path="m4555,662l4930,662m5387,662l5762,662e" filled="false" stroked="true" strokeweight=".584344pt" strokecolor="#ecb8e7">
              <v:path arrowok="t"/>
              <v:stroke dashstyle="solid"/>
            </v:shape>
            <v:line style="position:absolute" from="6230,651" to="6594,651" stroked="true" strokeweight=".584344pt" strokecolor="#ecb8e7">
              <v:stroke dashstyle="solid"/>
            </v:line>
            <v:rect style="position:absolute;left:7062;top:644;width:364;height:24" filled="true" fillcolor="#ecb8e7" stroked="false">
              <v:fill type="solid"/>
            </v:rect>
            <v:shape style="position:absolute;left:7893;top:662;width:1207;height:2" coordorigin="7894,662" coordsize="1207,0" path="m7894,662l8269,662m8725,662l9100,662e" filled="false" stroked="true" strokeweight=".584344pt" strokecolor="#ecb8e7">
              <v:path arrowok="t"/>
              <v:stroke dashstyle="solid"/>
            </v:shape>
            <v:rect style="position:absolute;left:9557;top:656;width:375;height:24" filled="true" fillcolor="#ecb8e7" stroked="false">
              <v:fill type="solid"/>
            </v:rect>
            <v:line style="position:absolute" from="2892,651" to="3255,651" stroked="true" strokeweight=".584344pt" strokecolor="#c4bc96">
              <v:stroke dashstyle="solid"/>
            </v:line>
            <v:line style="position:absolute" from="3724,639" to="4087,639" stroked="true" strokeweight=".584344pt" strokecolor="#c4bc96">
              <v:stroke dashstyle="solid"/>
            </v:line>
            <v:shape style="position:absolute;left:4555;top:650;width:1207;height:2" coordorigin="4555,651" coordsize="1207,0" path="m4555,651l4930,651m5387,651l5762,651e" filled="false" stroked="true" strokeweight=".584344pt" strokecolor="#c4bc96">
              <v:path arrowok="t"/>
              <v:stroke dashstyle="solid"/>
            </v:shape>
            <v:line style="position:absolute" from="6230,639" to="6594,639" stroked="true" strokeweight=".584344pt" strokecolor="#c4bc96">
              <v:stroke dashstyle="solid"/>
            </v:line>
            <v:line style="position:absolute" from="7894,651" to="8269,651" stroked="true" strokeweight=".584344pt" strokecolor="#c4bc96">
              <v:stroke dashstyle="solid"/>
            </v:line>
            <v:shape style="position:absolute;left:2891;top:650;width:5377;height:2" coordorigin="2892,651" coordsize="5377,0" path="m2892,651l3255,651m7894,651l8269,651e" filled="false" stroked="true" strokeweight=".584344pt" strokecolor="#808080">
              <v:path arrowok="t"/>
              <v:stroke dashstyle="solid"/>
            </v:shape>
            <v:shape style="position:absolute;left:2048;top:469;width:7884;height:199" coordorigin="2049,469" coordsize="7884,199" path="m2423,505l2049,505,2049,668,2423,668,2423,505m3255,481l2892,481,2892,645,3255,645,3255,481m4087,469l3724,469,3724,633,4087,633,4087,469m4930,481l4555,481,4555,645,4930,645,4930,481m5762,481l5387,481,5387,645,5762,645,5762,481m6594,469l6230,469,6230,633,6594,633,6594,469m7425,481l7062,481,7062,645,7425,645,7425,481m8269,481l7894,481,7894,645,8269,645,8269,481m9100,493l8725,493,8725,656,9100,656,9100,493m9932,493l9557,493,9557,656,9932,656,9932,493e" filled="true" fillcolor="#a6a6a6" stroked="false">
              <v:path arrowok="t"/>
              <v:fill type="solid"/>
            </v:shape>
            <v:shape style="position:absolute;left:2048;top:375;width:7884;height:129" coordorigin="2049,376" coordsize="7884,129" path="m2423,423l2049,423,2049,505,2423,505,2423,423m3255,399l2892,399,2892,481,3255,481,3255,399m4087,388l3724,388,3724,469,4087,469,4087,388m4930,388l4555,388,4555,481,4930,481,4930,388m5762,388l5387,388,5387,481,5762,481,5762,388m6594,376l6230,376,6230,469,6594,469,6594,376m7425,388l7062,388,7062,481,7425,481,7425,388m8269,399l7894,399,7894,481,8269,481,8269,399m9100,399l8725,399,8725,493,9100,493,9100,399m9932,411l9557,411,9557,493,9932,493,9932,411e" filled="true" fillcolor="#413c22" stroked="false">
              <v:path arrowok="t"/>
              <v:fill type="solid"/>
            </v:shape>
            <v:line style="position:absolute" from="1826,166" to="10166,166" stroked="true" strokeweight=".584347pt" strokecolor="#f1f1f1">
              <v:stroke dashstyle="solid"/>
            </v:line>
            <v:line style="position:absolute" from="1826,2374" to="1826,166" stroked="true" strokeweight=".585702pt" strokecolor="#bebebe">
              <v:stroke dashstyle="solid"/>
            </v:line>
            <v:shape style="position:absolute;left:0;top:12822;width:17319;height:654628" coordorigin="0,12823" coordsize="17319,654628" path="m1767,2374l1826,2374m1767,1930l1826,1930m1767,1498l1826,1498m1767,1054l1826,1054m1767,610l1826,610m1767,166l1826,166e" filled="false" stroked="true" strokeweight=".585026pt" strokecolor="#bebebe">
              <v:path arrowok="t"/>
              <v:stroke dashstyle="solid"/>
            </v:shape>
            <v:line style="position:absolute" from="1826,2374" to="10166,2374" stroked="true" strokeweight=".584346pt" strokecolor="#bebebe">
              <v:stroke dashstyle="solid"/>
            </v:line>
            <v:shape style="position:absolute;left:0;top:-10990;width:652097;height:23813" coordorigin="0,-10990" coordsize="652097,23813" path="m1826,2374l1826,2421m1826,2374l1826,2678m2658,2374l2658,2421m2658,2374l2658,2678m3489,2374l3489,2421m3489,2374l3489,2678m4321,2374l4321,2421m4321,2374l4321,2678m5164,2374l5164,2421m5164,2374l5164,2678m5996,2374l5996,2421m5996,2374l5996,2678m6828,2374l6828,2421m6828,2374l6828,2678m7659,2374l7659,2421m7659,2374l7659,2678m8491,2374l8491,2421m8491,2374l8491,2678m9335,2374l9335,2421m9335,2374l9335,2678m10166,2374l10166,2421m10166,2374l10166,2678e" filled="false" stroked="true" strokeweight=".585017pt" strokecolor="#bebebe">
              <v:path arrowok="t"/>
              <v:stroke dashstyle="solid"/>
            </v:shape>
            <v:shape style="position:absolute;left:0;top:-10990;width:652097;height:23813" coordorigin="0,-10990" coordsize="652097,23813" path="m1826,2678l1826,2982m5996,2678l5996,2982m10166,2678l10166,2982e" filled="false" stroked="true" strokeweight=".585017pt" strokecolor="#bebebe">
              <v:path arrowok="t"/>
              <v:stroke dashstyle="solid"/>
            </v:shape>
            <v:line style="position:absolute" from="5996,2344" to="5996,224" stroked="true" strokeweight=".585698pt" strokecolor="#7e7e7e">
              <v:stroke dashstyle="solid"/>
            </v:line>
            <v:shape style="position:absolute;left:2080;top:2513;width:332;height:152" type="#_x0000_t202" filled="false" stroked="false">
              <v:textbox inset="0,0,0,0">
                <w:txbxContent>
                  <w:p>
                    <w:pPr>
                      <w:spacing w:line="152" w:lineRule="exact" w:before="0"/>
                      <w:ind w:left="0" w:right="0" w:firstLine="0"/>
                      <w:jc w:val="left"/>
                      <w:rPr>
                        <w:rFonts w:ascii="Calibri"/>
                        <w:sz w:val="15"/>
                      </w:rPr>
                    </w:pPr>
                    <w:r>
                      <w:rPr>
                        <w:rFonts w:ascii="Calibri"/>
                        <w:color w:val="585858"/>
                        <w:sz w:val="15"/>
                      </w:rPr>
                      <w:t>2014</w:t>
                    </w:r>
                  </w:p>
                </w:txbxContent>
              </v:textbox>
              <w10:wrap type="none"/>
            </v:shape>
            <v:shape style="position:absolute;left:2914;top:2513;width:332;height:152" type="#_x0000_t202" filled="false" stroked="false">
              <v:textbox inset="0,0,0,0">
                <w:txbxContent>
                  <w:p>
                    <w:pPr>
                      <w:spacing w:line="152" w:lineRule="exact" w:before="0"/>
                      <w:ind w:left="0" w:right="0" w:firstLine="0"/>
                      <w:jc w:val="left"/>
                      <w:rPr>
                        <w:rFonts w:ascii="Calibri"/>
                        <w:sz w:val="15"/>
                      </w:rPr>
                    </w:pPr>
                    <w:r>
                      <w:rPr>
                        <w:rFonts w:ascii="Calibri"/>
                        <w:color w:val="585858"/>
                        <w:sz w:val="15"/>
                      </w:rPr>
                      <w:t>2015</w:t>
                    </w:r>
                  </w:p>
                </w:txbxContent>
              </v:textbox>
              <w10:wrap type="none"/>
            </v:shape>
            <v:shape style="position:absolute;left:3748;top:2513;width:332;height:152" type="#_x0000_t202" filled="false" stroked="false">
              <v:textbox inset="0,0,0,0">
                <w:txbxContent>
                  <w:p>
                    <w:pPr>
                      <w:spacing w:line="152" w:lineRule="exact" w:before="0"/>
                      <w:ind w:left="0" w:right="0" w:firstLine="0"/>
                      <w:jc w:val="left"/>
                      <w:rPr>
                        <w:rFonts w:ascii="Calibri"/>
                        <w:sz w:val="15"/>
                      </w:rPr>
                    </w:pPr>
                    <w:r>
                      <w:rPr>
                        <w:rFonts w:ascii="Calibri"/>
                        <w:color w:val="585858"/>
                        <w:sz w:val="15"/>
                      </w:rPr>
                      <w:t>2016</w:t>
                    </w:r>
                  </w:p>
                </w:txbxContent>
              </v:textbox>
              <w10:wrap type="none"/>
            </v:shape>
            <v:shape style="position:absolute;left:4583;top:2513;width:332;height:152" type="#_x0000_t202" filled="false" stroked="false">
              <v:textbox inset="0,0,0,0">
                <w:txbxContent>
                  <w:p>
                    <w:pPr>
                      <w:spacing w:line="152" w:lineRule="exact" w:before="0"/>
                      <w:ind w:left="0" w:right="0" w:firstLine="0"/>
                      <w:jc w:val="left"/>
                      <w:rPr>
                        <w:rFonts w:ascii="Calibri"/>
                        <w:sz w:val="15"/>
                      </w:rPr>
                    </w:pPr>
                    <w:r>
                      <w:rPr>
                        <w:rFonts w:ascii="Calibri"/>
                        <w:color w:val="585858"/>
                        <w:sz w:val="15"/>
                      </w:rPr>
                      <w:t>2017</w:t>
                    </w:r>
                  </w:p>
                </w:txbxContent>
              </v:textbox>
              <w10:wrap type="none"/>
            </v:shape>
            <v:shape style="position:absolute;left:5417;top:2513;width:332;height:152" type="#_x0000_t202" filled="false" stroked="false">
              <v:textbox inset="0,0,0,0">
                <w:txbxContent>
                  <w:p>
                    <w:pPr>
                      <w:spacing w:line="152" w:lineRule="exact" w:before="0"/>
                      <w:ind w:left="0" w:right="0" w:firstLine="0"/>
                      <w:jc w:val="left"/>
                      <w:rPr>
                        <w:rFonts w:ascii="Calibri"/>
                        <w:sz w:val="15"/>
                      </w:rPr>
                    </w:pPr>
                    <w:r>
                      <w:rPr>
                        <w:rFonts w:ascii="Calibri"/>
                        <w:color w:val="585858"/>
                        <w:sz w:val="15"/>
                      </w:rPr>
                      <w:t>2018</w:t>
                    </w:r>
                  </w:p>
                </w:txbxContent>
              </v:textbox>
              <w10:wrap type="none"/>
            </v:shape>
            <v:shape style="position:absolute;left:6251;top:2513;width:332;height:152" type="#_x0000_t202" filled="false" stroked="false">
              <v:textbox inset="0,0,0,0">
                <w:txbxContent>
                  <w:p>
                    <w:pPr>
                      <w:spacing w:line="152" w:lineRule="exact" w:before="0"/>
                      <w:ind w:left="0" w:right="0" w:firstLine="0"/>
                      <w:jc w:val="left"/>
                      <w:rPr>
                        <w:rFonts w:ascii="Calibri"/>
                        <w:sz w:val="15"/>
                      </w:rPr>
                    </w:pPr>
                    <w:r>
                      <w:rPr>
                        <w:rFonts w:ascii="Calibri"/>
                        <w:color w:val="585858"/>
                        <w:sz w:val="15"/>
                      </w:rPr>
                      <w:t>2019</w:t>
                    </w:r>
                  </w:p>
                </w:txbxContent>
              </v:textbox>
              <w10:wrap type="none"/>
            </v:shape>
            <v:shape style="position:absolute;left:7085;top:2513;width:332;height:152" type="#_x0000_t202" filled="false" stroked="false">
              <v:textbox inset="0,0,0,0">
                <w:txbxContent>
                  <w:p>
                    <w:pPr>
                      <w:spacing w:line="152" w:lineRule="exact" w:before="0"/>
                      <w:ind w:left="0" w:right="0" w:firstLine="0"/>
                      <w:jc w:val="left"/>
                      <w:rPr>
                        <w:rFonts w:ascii="Calibri"/>
                        <w:sz w:val="15"/>
                      </w:rPr>
                    </w:pPr>
                    <w:r>
                      <w:rPr>
                        <w:rFonts w:ascii="Calibri"/>
                        <w:color w:val="585858"/>
                        <w:sz w:val="15"/>
                      </w:rPr>
                      <w:t>2020</w:t>
                    </w:r>
                  </w:p>
                </w:txbxContent>
              </v:textbox>
              <w10:wrap type="none"/>
            </v:shape>
            <v:shape style="position:absolute;left:7920;top:2513;width:332;height:152" type="#_x0000_t202" filled="false" stroked="false">
              <v:textbox inset="0,0,0,0">
                <w:txbxContent>
                  <w:p>
                    <w:pPr>
                      <w:spacing w:line="152" w:lineRule="exact" w:before="0"/>
                      <w:ind w:left="0" w:right="0" w:firstLine="0"/>
                      <w:jc w:val="left"/>
                      <w:rPr>
                        <w:rFonts w:ascii="Calibri"/>
                        <w:sz w:val="15"/>
                      </w:rPr>
                    </w:pPr>
                    <w:r>
                      <w:rPr>
                        <w:rFonts w:ascii="Calibri"/>
                        <w:color w:val="585858"/>
                        <w:sz w:val="15"/>
                      </w:rPr>
                      <w:t>2021</w:t>
                    </w:r>
                  </w:p>
                </w:txbxContent>
              </v:textbox>
              <w10:wrap type="none"/>
            </v:shape>
            <v:shape style="position:absolute;left:8754;top:2513;width:332;height:152" type="#_x0000_t202" filled="false" stroked="false">
              <v:textbox inset="0,0,0,0">
                <w:txbxContent>
                  <w:p>
                    <w:pPr>
                      <w:spacing w:line="152" w:lineRule="exact" w:before="0"/>
                      <w:ind w:left="0" w:right="0" w:firstLine="0"/>
                      <w:jc w:val="left"/>
                      <w:rPr>
                        <w:rFonts w:ascii="Calibri"/>
                        <w:sz w:val="15"/>
                      </w:rPr>
                    </w:pPr>
                    <w:r>
                      <w:rPr>
                        <w:rFonts w:ascii="Calibri"/>
                        <w:color w:val="585858"/>
                        <w:sz w:val="15"/>
                      </w:rPr>
                      <w:t>2022</w:t>
                    </w:r>
                  </w:p>
                </w:txbxContent>
              </v:textbox>
              <w10:wrap type="none"/>
            </v:shape>
            <v:shape style="position:absolute;left:9588;top:2513;width:332;height:152" type="#_x0000_t202" filled="false" stroked="false">
              <v:textbox inset="0,0,0,0">
                <w:txbxContent>
                  <w:p>
                    <w:pPr>
                      <w:spacing w:line="152" w:lineRule="exact" w:before="0"/>
                      <w:ind w:left="0" w:right="0" w:firstLine="0"/>
                      <w:jc w:val="left"/>
                      <w:rPr>
                        <w:rFonts w:ascii="Calibri"/>
                        <w:sz w:val="15"/>
                      </w:rPr>
                    </w:pPr>
                    <w:r>
                      <w:rPr>
                        <w:rFonts w:ascii="Calibri"/>
                        <w:color w:val="585858"/>
                        <w:sz w:val="15"/>
                      </w:rPr>
                      <w:t>2023</w:t>
                    </w:r>
                  </w:p>
                </w:txbxContent>
              </v:textbox>
              <w10:wrap type="none"/>
            </v:shape>
            <v:shape style="position:absolute;left:3664;top:2814;width:4736;height:152" type="#_x0000_t202" filled="false" stroked="false">
              <v:textbox inset="0,0,0,0">
                <w:txbxContent>
                  <w:p>
                    <w:pPr>
                      <w:tabs>
                        <w:tab w:pos="4108" w:val="left" w:leader="none"/>
                      </w:tabs>
                      <w:spacing w:line="152" w:lineRule="exact" w:before="0"/>
                      <w:ind w:left="0" w:right="0" w:firstLine="0"/>
                      <w:jc w:val="left"/>
                      <w:rPr>
                        <w:rFonts w:ascii="Calibri"/>
                        <w:sz w:val="15"/>
                      </w:rPr>
                    </w:pPr>
                    <w:r>
                      <w:rPr>
                        <w:rFonts w:ascii="Calibri"/>
                        <w:color w:val="585858"/>
                        <w:sz w:val="15"/>
                      </w:rPr>
                      <w:t>Historic</w:t>
                      <w:tab/>
                      <w:t>Projected</w:t>
                    </w:r>
                  </w:p>
                </w:txbxContent>
              </v:textbox>
              <w10:wrap type="none"/>
            </v:shape>
            <w10:wrap type="none"/>
          </v:group>
        </w:pict>
      </w:r>
      <w:r>
        <w:rPr>
          <w:rFonts w:ascii="Calibri"/>
          <w:color w:val="585858"/>
          <w:sz w:val="15"/>
        </w:rPr>
        <w:t>$25,000</w:t>
      </w:r>
    </w:p>
    <w:p>
      <w:pPr>
        <w:pStyle w:val="BodyText"/>
        <w:spacing w:before="5"/>
        <w:rPr>
          <w:rFonts w:ascii="Calibri"/>
          <w:sz w:val="15"/>
        </w:rPr>
      </w:pPr>
    </w:p>
    <w:p>
      <w:pPr>
        <w:spacing w:before="72"/>
        <w:ind w:left="1042" w:right="0" w:firstLine="0"/>
        <w:jc w:val="left"/>
        <w:rPr>
          <w:rFonts w:ascii="Calibri"/>
          <w:sz w:val="15"/>
        </w:rPr>
      </w:pPr>
      <w:r>
        <w:rPr>
          <w:rFonts w:ascii="Calibri"/>
          <w:color w:val="585858"/>
          <w:sz w:val="15"/>
        </w:rPr>
        <w:t>$20,000</w:t>
      </w:r>
    </w:p>
    <w:p>
      <w:pPr>
        <w:pStyle w:val="BodyText"/>
        <w:spacing w:before="4"/>
        <w:rPr>
          <w:rFonts w:ascii="Calibri"/>
          <w:sz w:val="15"/>
        </w:rPr>
      </w:pPr>
    </w:p>
    <w:p>
      <w:pPr>
        <w:spacing w:before="72"/>
        <w:ind w:left="1042" w:right="0" w:firstLine="0"/>
        <w:jc w:val="left"/>
        <w:rPr>
          <w:rFonts w:ascii="Calibri"/>
          <w:sz w:val="15"/>
        </w:rPr>
      </w:pPr>
      <w:r>
        <w:rPr>
          <w:rFonts w:ascii="Calibri"/>
          <w:color w:val="585858"/>
          <w:sz w:val="15"/>
        </w:rPr>
        <w:t>$15,000</w:t>
      </w:r>
    </w:p>
    <w:p>
      <w:pPr>
        <w:pStyle w:val="BodyText"/>
        <w:spacing w:before="4"/>
        <w:rPr>
          <w:rFonts w:ascii="Calibri"/>
          <w:sz w:val="15"/>
        </w:rPr>
      </w:pPr>
    </w:p>
    <w:p>
      <w:pPr>
        <w:spacing w:before="72"/>
        <w:ind w:left="1042" w:right="0" w:firstLine="0"/>
        <w:jc w:val="left"/>
        <w:rPr>
          <w:rFonts w:ascii="Calibri"/>
          <w:sz w:val="15"/>
        </w:rPr>
      </w:pPr>
      <w:r>
        <w:rPr>
          <w:rFonts w:ascii="Calibri"/>
          <w:color w:val="585858"/>
          <w:sz w:val="15"/>
        </w:rPr>
        <w:t>$10,000</w:t>
      </w:r>
    </w:p>
    <w:p>
      <w:pPr>
        <w:pStyle w:val="BodyText"/>
        <w:spacing w:before="5"/>
        <w:rPr>
          <w:rFonts w:ascii="Calibri"/>
          <w:sz w:val="15"/>
        </w:rPr>
      </w:pPr>
    </w:p>
    <w:p>
      <w:pPr>
        <w:spacing w:before="71"/>
        <w:ind w:left="1121" w:right="0" w:firstLine="0"/>
        <w:jc w:val="left"/>
        <w:rPr>
          <w:rFonts w:ascii="Calibri"/>
          <w:sz w:val="15"/>
        </w:rPr>
      </w:pPr>
      <w:r>
        <w:rPr>
          <w:rFonts w:ascii="Calibri"/>
          <w:color w:val="585858"/>
          <w:sz w:val="15"/>
        </w:rPr>
        <w:t>$5,000</w:t>
      </w:r>
    </w:p>
    <w:p>
      <w:pPr>
        <w:pStyle w:val="BodyText"/>
        <w:spacing w:before="5"/>
        <w:rPr>
          <w:rFonts w:ascii="Calibri"/>
          <w:sz w:val="15"/>
        </w:rPr>
      </w:pPr>
    </w:p>
    <w:p>
      <w:pPr>
        <w:spacing w:before="71"/>
        <w:ind w:left="1398" w:right="0" w:firstLine="0"/>
        <w:jc w:val="left"/>
        <w:rPr>
          <w:rFonts w:ascii="Calibri"/>
          <w:sz w:val="15"/>
        </w:rPr>
      </w:pPr>
      <w:r>
        <w:rPr>
          <w:rFonts w:ascii="Calibri"/>
          <w:color w:val="585858"/>
          <w:sz w:val="15"/>
        </w:rPr>
        <w:t>$0</w:t>
      </w:r>
    </w:p>
    <w:p>
      <w:pPr>
        <w:pStyle w:val="BodyText"/>
        <w:rPr>
          <w:rFonts w:ascii="Calibri"/>
        </w:rPr>
      </w:pPr>
    </w:p>
    <w:p>
      <w:pPr>
        <w:pStyle w:val="BodyText"/>
        <w:spacing w:before="10"/>
        <w:rPr>
          <w:rFonts w:ascii="Calibri"/>
          <w:sz w:val="18"/>
        </w:rPr>
      </w:pPr>
    </w:p>
    <w:p>
      <w:pPr>
        <w:spacing w:before="72"/>
        <w:ind w:left="1602" w:right="1653" w:firstLine="0"/>
        <w:jc w:val="center"/>
        <w:rPr>
          <w:rFonts w:ascii="Calibri"/>
          <w:b/>
          <w:sz w:val="15"/>
        </w:rPr>
      </w:pPr>
      <w:r>
        <w:rPr/>
        <w:pict>
          <v:group style="position:absolute;margin-left:92.775719pt;margin-top:28.420902pt;width:10.1pt;height:22.3pt;mso-position-horizontal-relative:page;mso-position-vertical-relative:paragraph;z-index:-287470592" coordorigin="1856,568" coordsize="202,446">
            <v:rect style="position:absolute;left:1855;top:568;width:202;height:136" filled="true" fillcolor="#1f487c" stroked="false">
              <v:fill type="solid"/>
            </v:rect>
            <v:rect style="position:absolute;left:1855;top:723;width:202;height:136" filled="true" fillcolor="#f8a763" stroked="false">
              <v:fill type="solid"/>
            </v:rect>
            <v:rect style="position:absolute;left:1855;top:878;width:202;height:136" filled="true" fillcolor="#808080" stroked="false">
              <v:fill type="solid"/>
            </v:rect>
            <w10:wrap type="none"/>
          </v:group>
        </w:pict>
      </w:r>
      <w:r>
        <w:rPr/>
        <w:pict>
          <v:rect style="position:absolute;margin-left:423.363892pt;margin-top:28.420902pt;width:10.412246pt;height:6.777943pt;mso-position-horizontal-relative:page;mso-position-vertical-relative:paragraph;z-index:-287469568" filled="true" fillcolor="#c9dba4" stroked="false">
            <v:fill type="solid"/>
            <w10:wrap type="none"/>
          </v:rect>
        </w:pict>
      </w:r>
      <w:r>
        <w:rPr>
          <w:rFonts w:ascii="Calibri"/>
          <w:b/>
          <w:color w:val="585858"/>
          <w:sz w:val="15"/>
        </w:rPr>
        <w:t>Year Ending  30 June</w:t>
      </w:r>
    </w:p>
    <w:p>
      <w:pPr>
        <w:pStyle w:val="BodyText"/>
        <w:spacing w:before="5" w:after="1"/>
        <w:rPr>
          <w:rFonts w:ascii="Calibri"/>
          <w:b/>
          <w:sz w:val="15"/>
        </w:rPr>
      </w:pPr>
    </w:p>
    <w:tbl>
      <w:tblPr>
        <w:tblW w:w="0" w:type="auto"/>
        <w:jc w:val="left"/>
        <w:tblInd w:w="16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72"/>
        <w:gridCol w:w="215"/>
        <w:gridCol w:w="822"/>
        <w:gridCol w:w="90"/>
        <w:gridCol w:w="209"/>
        <w:gridCol w:w="944"/>
        <w:gridCol w:w="60"/>
        <w:gridCol w:w="209"/>
        <w:gridCol w:w="1181"/>
        <w:gridCol w:w="57"/>
        <w:gridCol w:w="209"/>
        <w:gridCol w:w="704"/>
        <w:gridCol w:w="71"/>
        <w:gridCol w:w="208"/>
        <w:gridCol w:w="726"/>
        <w:gridCol w:w="835"/>
      </w:tblGrid>
      <w:tr>
        <w:trPr>
          <w:trHeight w:val="110" w:hRule="atLeast"/>
        </w:trPr>
        <w:tc>
          <w:tcPr>
            <w:tcW w:w="1072" w:type="dxa"/>
          </w:tcPr>
          <w:p>
            <w:pPr>
              <w:pStyle w:val="TableParagraph"/>
              <w:spacing w:line="91" w:lineRule="exact" w:before="0"/>
              <w:ind w:left="31" w:right="43"/>
              <w:jc w:val="center"/>
              <w:rPr>
                <w:rFonts w:ascii="Calibri"/>
                <w:b/>
                <w:sz w:val="9"/>
              </w:rPr>
            </w:pPr>
            <w:r>
              <w:rPr>
                <w:rFonts w:ascii="Calibri"/>
                <w:b/>
                <w:w w:val="110"/>
                <w:sz w:val="9"/>
              </w:rPr>
              <w:t>Payment Category Key:</w:t>
            </w:r>
          </w:p>
        </w:tc>
        <w:tc>
          <w:tcPr>
            <w:tcW w:w="6540" w:type="dxa"/>
            <w:gridSpan w:val="15"/>
          </w:tcPr>
          <w:p>
            <w:pPr>
              <w:pStyle w:val="TableParagraph"/>
              <w:spacing w:before="0"/>
              <w:rPr>
                <w:rFonts w:ascii="Times New Roman"/>
                <w:sz w:val="6"/>
              </w:rPr>
            </w:pPr>
          </w:p>
        </w:tc>
      </w:tr>
      <w:tr>
        <w:trPr>
          <w:trHeight w:val="168" w:hRule="atLeast"/>
        </w:trPr>
        <w:tc>
          <w:tcPr>
            <w:tcW w:w="1072" w:type="dxa"/>
          </w:tcPr>
          <w:p>
            <w:pPr>
              <w:pStyle w:val="TableParagraph"/>
              <w:spacing w:before="31"/>
              <w:ind w:left="31"/>
              <w:jc w:val="center"/>
              <w:rPr>
                <w:rFonts w:ascii="Calibri"/>
                <w:sz w:val="9"/>
              </w:rPr>
            </w:pPr>
            <w:r>
              <w:rPr>
                <w:rFonts w:ascii="Calibri"/>
                <w:w w:val="110"/>
                <w:sz w:val="9"/>
              </w:rPr>
              <w:t>A - IS Studying</w:t>
            </w:r>
          </w:p>
        </w:tc>
        <w:tc>
          <w:tcPr>
            <w:tcW w:w="215" w:type="dxa"/>
            <w:shd w:val="clear" w:color="auto" w:fill="009544"/>
          </w:tcPr>
          <w:p>
            <w:pPr>
              <w:pStyle w:val="TableParagraph"/>
              <w:spacing w:line="135" w:lineRule="exact" w:before="0"/>
              <w:ind w:left="-1" w:right="-58"/>
              <w:rPr>
                <w:rFonts w:ascii="Calibri"/>
                <w:sz w:val="13"/>
              </w:rPr>
            </w:pPr>
            <w:r>
              <w:rPr>
                <w:rFonts w:ascii="Calibri"/>
                <w:position w:val="-2"/>
                <w:sz w:val="13"/>
              </w:rPr>
              <w:pict>
                <v:group style="width:10.45pt;height:6.8pt;mso-position-horizontal-relative:char;mso-position-vertical-relative:line" coordorigin="0,0" coordsize="209,136">
                  <v:rect style="position:absolute;left:0;top:0;width:209;height:136" filled="true" fillcolor="#009544" stroked="false">
                    <v:fill type="solid"/>
                  </v:rect>
                </v:group>
              </w:pict>
            </w:r>
            <w:r>
              <w:rPr>
                <w:rFonts w:ascii="Calibri"/>
                <w:position w:val="-2"/>
                <w:sz w:val="13"/>
              </w:rPr>
            </w:r>
          </w:p>
        </w:tc>
        <w:tc>
          <w:tcPr>
            <w:tcW w:w="822" w:type="dxa"/>
          </w:tcPr>
          <w:p>
            <w:pPr>
              <w:pStyle w:val="TableParagraph"/>
              <w:spacing w:before="31"/>
              <w:ind w:left="5"/>
              <w:rPr>
                <w:rFonts w:ascii="Calibri"/>
                <w:sz w:val="9"/>
              </w:rPr>
            </w:pPr>
            <w:r>
              <w:rPr>
                <w:rFonts w:ascii="Calibri"/>
                <w:w w:val="110"/>
                <w:sz w:val="9"/>
              </w:rPr>
              <w:t>B - IS Working Age</w:t>
            </w:r>
          </w:p>
        </w:tc>
        <w:tc>
          <w:tcPr>
            <w:tcW w:w="90" w:type="dxa"/>
          </w:tcPr>
          <w:p>
            <w:pPr>
              <w:pStyle w:val="TableParagraph"/>
              <w:spacing w:before="0"/>
              <w:rPr>
                <w:rFonts w:ascii="Times New Roman"/>
                <w:sz w:val="10"/>
              </w:rPr>
            </w:pPr>
          </w:p>
        </w:tc>
        <w:tc>
          <w:tcPr>
            <w:tcW w:w="209" w:type="dxa"/>
            <w:shd w:val="clear" w:color="auto" w:fill="E16B09"/>
          </w:tcPr>
          <w:p>
            <w:pPr>
              <w:pStyle w:val="TableParagraph"/>
              <w:spacing w:line="135" w:lineRule="exact" w:before="0"/>
              <w:ind w:left="-2" w:right="-58"/>
              <w:rPr>
                <w:rFonts w:ascii="Calibri"/>
                <w:sz w:val="13"/>
              </w:rPr>
            </w:pPr>
            <w:r>
              <w:rPr>
                <w:rFonts w:ascii="Calibri"/>
                <w:position w:val="-2"/>
                <w:sz w:val="13"/>
              </w:rPr>
              <w:pict>
                <v:group style="width:10.45pt;height:6.8pt;mso-position-horizontal-relative:char;mso-position-vertical-relative:line" coordorigin="0,0" coordsize="209,136">
                  <v:rect style="position:absolute;left:0;top:0;width:209;height:136" filled="true" fillcolor="#e16b09" stroked="false">
                    <v:fill type="solid"/>
                  </v:rect>
                </v:group>
              </w:pict>
            </w:r>
            <w:r>
              <w:rPr>
                <w:rFonts w:ascii="Calibri"/>
                <w:position w:val="-2"/>
                <w:sz w:val="13"/>
              </w:rPr>
            </w:r>
          </w:p>
        </w:tc>
        <w:tc>
          <w:tcPr>
            <w:tcW w:w="944" w:type="dxa"/>
          </w:tcPr>
          <w:p>
            <w:pPr>
              <w:pStyle w:val="TableParagraph"/>
              <w:spacing w:before="31"/>
              <w:ind w:left="10"/>
              <w:rPr>
                <w:rFonts w:ascii="Calibri"/>
                <w:sz w:val="9"/>
              </w:rPr>
            </w:pPr>
            <w:r>
              <w:rPr>
                <w:rFonts w:ascii="Calibri"/>
                <w:w w:val="110"/>
                <w:sz w:val="9"/>
              </w:rPr>
              <w:t>C - IS Parents</w:t>
            </w:r>
          </w:p>
        </w:tc>
        <w:tc>
          <w:tcPr>
            <w:tcW w:w="60" w:type="dxa"/>
          </w:tcPr>
          <w:p>
            <w:pPr>
              <w:pStyle w:val="TableParagraph"/>
              <w:spacing w:before="0"/>
              <w:rPr>
                <w:rFonts w:ascii="Times New Roman"/>
                <w:sz w:val="10"/>
              </w:rPr>
            </w:pPr>
          </w:p>
        </w:tc>
        <w:tc>
          <w:tcPr>
            <w:tcW w:w="209" w:type="dxa"/>
            <w:shd w:val="clear" w:color="auto" w:fill="E08AD6"/>
          </w:tcPr>
          <w:p>
            <w:pPr>
              <w:pStyle w:val="TableParagraph"/>
              <w:spacing w:line="135" w:lineRule="exact" w:before="0"/>
              <w:ind w:left="-5" w:right="-58"/>
              <w:rPr>
                <w:rFonts w:ascii="Calibri"/>
                <w:sz w:val="13"/>
              </w:rPr>
            </w:pPr>
            <w:r>
              <w:rPr>
                <w:rFonts w:ascii="Calibri"/>
                <w:position w:val="-2"/>
                <w:sz w:val="13"/>
              </w:rPr>
              <w:pict>
                <v:group style="width:10.45pt;height:6.8pt;mso-position-horizontal-relative:char;mso-position-vertical-relative:line" coordorigin="0,0" coordsize="209,136">
                  <v:rect style="position:absolute;left:0;top:0;width:209;height:136" filled="true" fillcolor="#e08ad6" stroked="false">
                    <v:fill type="solid"/>
                  </v:rect>
                </v:group>
              </w:pict>
            </w:r>
            <w:r>
              <w:rPr>
                <w:rFonts w:ascii="Calibri"/>
                <w:position w:val="-2"/>
                <w:sz w:val="13"/>
              </w:rPr>
            </w:r>
          </w:p>
        </w:tc>
        <w:tc>
          <w:tcPr>
            <w:tcW w:w="1181" w:type="dxa"/>
          </w:tcPr>
          <w:p>
            <w:pPr>
              <w:pStyle w:val="TableParagraph"/>
              <w:spacing w:before="31"/>
              <w:ind w:left="8"/>
              <w:rPr>
                <w:rFonts w:ascii="Calibri"/>
                <w:sz w:val="9"/>
              </w:rPr>
            </w:pPr>
            <w:r>
              <w:rPr>
                <w:rFonts w:ascii="Calibri"/>
                <w:w w:val="110"/>
                <w:sz w:val="9"/>
              </w:rPr>
              <w:t>D - IS Carer</w:t>
            </w:r>
          </w:p>
        </w:tc>
        <w:tc>
          <w:tcPr>
            <w:tcW w:w="57" w:type="dxa"/>
          </w:tcPr>
          <w:p>
            <w:pPr>
              <w:pStyle w:val="TableParagraph"/>
              <w:spacing w:before="0"/>
              <w:rPr>
                <w:rFonts w:ascii="Times New Roman"/>
                <w:sz w:val="10"/>
              </w:rPr>
            </w:pPr>
          </w:p>
        </w:tc>
        <w:tc>
          <w:tcPr>
            <w:tcW w:w="209" w:type="dxa"/>
            <w:shd w:val="clear" w:color="auto" w:fill="8063A1"/>
          </w:tcPr>
          <w:p>
            <w:pPr>
              <w:pStyle w:val="TableParagraph"/>
              <w:spacing w:line="135" w:lineRule="exact" w:before="0"/>
              <w:ind w:left="-7" w:right="-58"/>
              <w:rPr>
                <w:rFonts w:ascii="Calibri"/>
                <w:sz w:val="13"/>
              </w:rPr>
            </w:pPr>
            <w:r>
              <w:rPr>
                <w:rFonts w:ascii="Calibri"/>
                <w:position w:val="-2"/>
                <w:sz w:val="13"/>
              </w:rPr>
              <w:pict>
                <v:group style="width:10.45pt;height:6.8pt;mso-position-horizontal-relative:char;mso-position-vertical-relative:line" coordorigin="0,0" coordsize="209,136">
                  <v:rect style="position:absolute;left:0;top:0;width:209;height:136" filled="true" fillcolor="#8063a1" stroked="false">
                    <v:fill type="solid"/>
                  </v:rect>
                </v:group>
              </w:pict>
            </w:r>
            <w:r>
              <w:rPr>
                <w:rFonts w:ascii="Calibri"/>
                <w:position w:val="-2"/>
                <w:sz w:val="13"/>
              </w:rPr>
            </w:r>
          </w:p>
        </w:tc>
        <w:tc>
          <w:tcPr>
            <w:tcW w:w="704" w:type="dxa"/>
          </w:tcPr>
          <w:p>
            <w:pPr>
              <w:pStyle w:val="TableParagraph"/>
              <w:spacing w:before="31"/>
              <w:ind w:left="5"/>
              <w:rPr>
                <w:rFonts w:ascii="Calibri"/>
                <w:sz w:val="9"/>
              </w:rPr>
            </w:pPr>
            <w:r>
              <w:rPr>
                <w:rFonts w:ascii="Calibri"/>
                <w:w w:val="110"/>
                <w:sz w:val="9"/>
              </w:rPr>
              <w:t>E - IS Disability</w:t>
            </w:r>
          </w:p>
        </w:tc>
        <w:tc>
          <w:tcPr>
            <w:tcW w:w="71" w:type="dxa"/>
          </w:tcPr>
          <w:p>
            <w:pPr>
              <w:pStyle w:val="TableParagraph"/>
              <w:spacing w:before="0"/>
              <w:rPr>
                <w:rFonts w:ascii="Times New Roman"/>
                <w:sz w:val="10"/>
              </w:rPr>
            </w:pPr>
          </w:p>
        </w:tc>
        <w:tc>
          <w:tcPr>
            <w:tcW w:w="208" w:type="dxa"/>
            <w:shd w:val="clear" w:color="auto" w:fill="C0504D"/>
          </w:tcPr>
          <w:p>
            <w:pPr>
              <w:pStyle w:val="TableParagraph"/>
              <w:spacing w:line="135" w:lineRule="exact" w:before="0"/>
              <w:ind w:left="-8" w:right="-58"/>
              <w:rPr>
                <w:rFonts w:ascii="Calibri"/>
                <w:sz w:val="13"/>
              </w:rPr>
            </w:pPr>
            <w:r>
              <w:rPr>
                <w:rFonts w:ascii="Calibri"/>
                <w:position w:val="-2"/>
                <w:sz w:val="13"/>
              </w:rPr>
              <w:pict>
                <v:group style="width:10.45pt;height:6.8pt;mso-position-horizontal-relative:char;mso-position-vertical-relative:line" coordorigin="0,0" coordsize="209,136">
                  <v:rect style="position:absolute;left:0;top:0;width:209;height:136" filled="true" fillcolor="#c0504d" stroked="false">
                    <v:fill type="solid"/>
                  </v:rect>
                </v:group>
              </w:pict>
            </w:r>
            <w:r>
              <w:rPr>
                <w:rFonts w:ascii="Calibri"/>
                <w:position w:val="-2"/>
                <w:sz w:val="13"/>
              </w:rPr>
            </w:r>
          </w:p>
        </w:tc>
        <w:tc>
          <w:tcPr>
            <w:tcW w:w="726" w:type="dxa"/>
          </w:tcPr>
          <w:p>
            <w:pPr>
              <w:pStyle w:val="TableParagraph"/>
              <w:spacing w:before="31"/>
              <w:ind w:left="5"/>
              <w:rPr>
                <w:rFonts w:ascii="Calibri"/>
                <w:sz w:val="9"/>
              </w:rPr>
            </w:pPr>
            <w:r>
              <w:rPr>
                <w:rFonts w:ascii="Calibri"/>
                <w:w w:val="110"/>
                <w:sz w:val="9"/>
              </w:rPr>
              <w:t>F - IS Age</w:t>
            </w:r>
          </w:p>
        </w:tc>
        <w:tc>
          <w:tcPr>
            <w:tcW w:w="835" w:type="dxa"/>
          </w:tcPr>
          <w:p>
            <w:pPr>
              <w:pStyle w:val="TableParagraph"/>
              <w:spacing w:before="31"/>
              <w:ind w:left="106"/>
              <w:rPr>
                <w:rFonts w:ascii="Calibri"/>
                <w:sz w:val="9"/>
              </w:rPr>
            </w:pPr>
            <w:r>
              <w:rPr>
                <w:rFonts w:ascii="Calibri"/>
                <w:w w:val="110"/>
                <w:sz w:val="9"/>
              </w:rPr>
              <w:t>G - IS Dependant</w:t>
            </w:r>
          </w:p>
        </w:tc>
      </w:tr>
      <w:tr>
        <w:trPr>
          <w:trHeight w:val="135" w:hRule="atLeast"/>
        </w:trPr>
        <w:tc>
          <w:tcPr>
            <w:tcW w:w="1072" w:type="dxa"/>
          </w:tcPr>
          <w:p>
            <w:pPr>
              <w:pStyle w:val="TableParagraph"/>
              <w:spacing w:line="98" w:lineRule="exact" w:before="17"/>
              <w:ind w:left="31" w:right="43"/>
              <w:jc w:val="center"/>
              <w:rPr>
                <w:rFonts w:ascii="Calibri"/>
                <w:sz w:val="9"/>
              </w:rPr>
            </w:pPr>
            <w:r>
              <w:rPr>
                <w:rFonts w:ascii="Calibri"/>
                <w:w w:val="110"/>
                <w:sz w:val="9"/>
              </w:rPr>
              <w:t>H - Other FTB</w:t>
            </w:r>
          </w:p>
        </w:tc>
        <w:tc>
          <w:tcPr>
            <w:tcW w:w="215" w:type="dxa"/>
            <w:shd w:val="clear" w:color="auto" w:fill="F9C090"/>
          </w:tcPr>
          <w:p>
            <w:pPr>
              <w:pStyle w:val="TableParagraph"/>
              <w:spacing w:before="0"/>
              <w:rPr>
                <w:rFonts w:ascii="Times New Roman"/>
                <w:sz w:val="8"/>
              </w:rPr>
            </w:pPr>
          </w:p>
        </w:tc>
        <w:tc>
          <w:tcPr>
            <w:tcW w:w="822" w:type="dxa"/>
          </w:tcPr>
          <w:p>
            <w:pPr>
              <w:pStyle w:val="TableParagraph"/>
              <w:spacing w:line="98" w:lineRule="exact" w:before="17"/>
              <w:ind w:left="5"/>
              <w:rPr>
                <w:rFonts w:ascii="Calibri"/>
                <w:sz w:val="9"/>
              </w:rPr>
            </w:pPr>
            <w:r>
              <w:rPr>
                <w:rFonts w:ascii="Calibri"/>
                <w:w w:val="110"/>
                <w:sz w:val="9"/>
              </w:rPr>
              <w:t>I - Other Family</w:t>
            </w:r>
          </w:p>
        </w:tc>
        <w:tc>
          <w:tcPr>
            <w:tcW w:w="90" w:type="dxa"/>
            <w:shd w:val="clear" w:color="auto" w:fill="FBDDC4"/>
          </w:tcPr>
          <w:p>
            <w:pPr>
              <w:pStyle w:val="TableParagraph"/>
              <w:spacing w:before="0"/>
              <w:rPr>
                <w:rFonts w:ascii="Times New Roman"/>
                <w:sz w:val="8"/>
              </w:rPr>
            </w:pPr>
          </w:p>
        </w:tc>
        <w:tc>
          <w:tcPr>
            <w:tcW w:w="209" w:type="dxa"/>
            <w:shd w:val="clear" w:color="auto" w:fill="FBDDC4"/>
          </w:tcPr>
          <w:p>
            <w:pPr>
              <w:pStyle w:val="TableParagraph"/>
              <w:spacing w:before="0"/>
              <w:rPr>
                <w:rFonts w:ascii="Times New Roman"/>
                <w:sz w:val="8"/>
              </w:rPr>
            </w:pPr>
          </w:p>
        </w:tc>
        <w:tc>
          <w:tcPr>
            <w:tcW w:w="944" w:type="dxa"/>
          </w:tcPr>
          <w:p>
            <w:pPr>
              <w:pStyle w:val="TableParagraph"/>
              <w:spacing w:line="98" w:lineRule="exact" w:before="17"/>
              <w:ind w:left="10"/>
              <w:rPr>
                <w:rFonts w:ascii="Calibri"/>
                <w:sz w:val="9"/>
              </w:rPr>
            </w:pPr>
            <w:r>
              <w:rPr>
                <w:rFonts w:ascii="Calibri"/>
                <w:w w:val="110"/>
                <w:sz w:val="9"/>
              </w:rPr>
              <w:t>J - Other New Parents</w:t>
            </w:r>
          </w:p>
        </w:tc>
        <w:tc>
          <w:tcPr>
            <w:tcW w:w="60" w:type="dxa"/>
            <w:shd w:val="clear" w:color="auto" w:fill="938953"/>
          </w:tcPr>
          <w:p>
            <w:pPr>
              <w:pStyle w:val="TableParagraph"/>
              <w:spacing w:before="0"/>
              <w:rPr>
                <w:rFonts w:ascii="Times New Roman"/>
                <w:sz w:val="8"/>
              </w:rPr>
            </w:pPr>
          </w:p>
        </w:tc>
        <w:tc>
          <w:tcPr>
            <w:tcW w:w="209" w:type="dxa"/>
            <w:shd w:val="clear" w:color="auto" w:fill="938953"/>
          </w:tcPr>
          <w:p>
            <w:pPr>
              <w:pStyle w:val="TableParagraph"/>
              <w:spacing w:before="0"/>
              <w:rPr>
                <w:rFonts w:ascii="Times New Roman"/>
                <w:sz w:val="8"/>
              </w:rPr>
            </w:pPr>
          </w:p>
        </w:tc>
        <w:tc>
          <w:tcPr>
            <w:tcW w:w="1181" w:type="dxa"/>
          </w:tcPr>
          <w:p>
            <w:pPr>
              <w:pStyle w:val="TableParagraph"/>
              <w:spacing w:line="98" w:lineRule="exact" w:before="17"/>
              <w:ind w:left="8"/>
              <w:rPr>
                <w:rFonts w:ascii="Calibri"/>
                <w:sz w:val="9"/>
              </w:rPr>
            </w:pPr>
            <w:r>
              <w:rPr>
                <w:rFonts w:ascii="Calibri"/>
                <w:w w:val="110"/>
                <w:sz w:val="9"/>
              </w:rPr>
              <w:t>L - Other Health &amp; Disability</w:t>
            </w:r>
          </w:p>
        </w:tc>
        <w:tc>
          <w:tcPr>
            <w:tcW w:w="57" w:type="dxa"/>
            <w:shd w:val="clear" w:color="auto" w:fill="ECB8E7"/>
          </w:tcPr>
          <w:p>
            <w:pPr>
              <w:pStyle w:val="TableParagraph"/>
              <w:spacing w:before="0"/>
              <w:rPr>
                <w:rFonts w:ascii="Times New Roman"/>
                <w:sz w:val="8"/>
              </w:rPr>
            </w:pPr>
          </w:p>
        </w:tc>
        <w:tc>
          <w:tcPr>
            <w:tcW w:w="209" w:type="dxa"/>
            <w:shd w:val="clear" w:color="auto" w:fill="ECB8E7"/>
          </w:tcPr>
          <w:p>
            <w:pPr>
              <w:pStyle w:val="TableParagraph"/>
              <w:spacing w:before="0"/>
              <w:rPr>
                <w:rFonts w:ascii="Times New Roman"/>
                <w:sz w:val="8"/>
              </w:rPr>
            </w:pPr>
          </w:p>
        </w:tc>
        <w:tc>
          <w:tcPr>
            <w:tcW w:w="704" w:type="dxa"/>
          </w:tcPr>
          <w:p>
            <w:pPr>
              <w:pStyle w:val="TableParagraph"/>
              <w:spacing w:line="98" w:lineRule="exact" w:before="17"/>
              <w:ind w:left="5"/>
              <w:rPr>
                <w:rFonts w:ascii="Calibri"/>
                <w:sz w:val="9"/>
              </w:rPr>
            </w:pPr>
            <w:r>
              <w:rPr>
                <w:rFonts w:ascii="Calibri"/>
                <w:w w:val="110"/>
                <w:sz w:val="9"/>
              </w:rPr>
              <w:t>M - Other Carer</w:t>
            </w:r>
          </w:p>
        </w:tc>
        <w:tc>
          <w:tcPr>
            <w:tcW w:w="71" w:type="dxa"/>
            <w:shd w:val="clear" w:color="auto" w:fill="C4BC96"/>
          </w:tcPr>
          <w:p>
            <w:pPr>
              <w:pStyle w:val="TableParagraph"/>
              <w:spacing w:before="0"/>
              <w:rPr>
                <w:rFonts w:ascii="Times New Roman"/>
                <w:sz w:val="8"/>
              </w:rPr>
            </w:pPr>
          </w:p>
        </w:tc>
        <w:tc>
          <w:tcPr>
            <w:tcW w:w="208" w:type="dxa"/>
            <w:shd w:val="clear" w:color="auto" w:fill="C4BC96"/>
          </w:tcPr>
          <w:p>
            <w:pPr>
              <w:pStyle w:val="TableParagraph"/>
              <w:spacing w:before="0"/>
              <w:rPr>
                <w:rFonts w:ascii="Times New Roman"/>
                <w:sz w:val="8"/>
              </w:rPr>
            </w:pPr>
          </w:p>
        </w:tc>
        <w:tc>
          <w:tcPr>
            <w:tcW w:w="726" w:type="dxa"/>
          </w:tcPr>
          <w:p>
            <w:pPr>
              <w:pStyle w:val="TableParagraph"/>
              <w:spacing w:line="98" w:lineRule="exact" w:before="17"/>
              <w:ind w:left="5"/>
              <w:rPr>
                <w:rFonts w:ascii="Calibri"/>
                <w:sz w:val="9"/>
              </w:rPr>
            </w:pPr>
            <w:r>
              <w:rPr>
                <w:rFonts w:ascii="Calibri"/>
                <w:w w:val="110"/>
                <w:sz w:val="9"/>
              </w:rPr>
              <w:t>N - Other Study &amp;</w:t>
            </w:r>
          </w:p>
        </w:tc>
        <w:tc>
          <w:tcPr>
            <w:tcW w:w="835" w:type="dxa"/>
          </w:tcPr>
          <w:p>
            <w:pPr>
              <w:pStyle w:val="TableParagraph"/>
              <w:spacing w:line="98" w:lineRule="exact" w:before="17"/>
              <w:ind w:left="1"/>
              <w:rPr>
                <w:rFonts w:ascii="Calibri"/>
                <w:sz w:val="9"/>
              </w:rPr>
            </w:pPr>
            <w:r>
              <w:rPr>
                <w:rFonts w:ascii="Calibri"/>
                <w:w w:val="110"/>
                <w:sz w:val="9"/>
              </w:rPr>
              <w:t>Skills</w:t>
            </w:r>
          </w:p>
        </w:tc>
      </w:tr>
      <w:tr>
        <w:trPr>
          <w:trHeight w:val="275" w:hRule="atLeast"/>
        </w:trPr>
        <w:tc>
          <w:tcPr>
            <w:tcW w:w="1072" w:type="dxa"/>
          </w:tcPr>
          <w:p>
            <w:pPr>
              <w:pStyle w:val="TableParagraph"/>
              <w:spacing w:line="130" w:lineRule="atLeast" w:before="17"/>
              <w:ind w:left="264" w:right="-17"/>
              <w:rPr>
                <w:rFonts w:ascii="Calibri"/>
                <w:sz w:val="9"/>
              </w:rPr>
            </w:pPr>
            <w:r>
              <w:rPr>
                <w:rFonts w:ascii="Calibri"/>
                <w:w w:val="110"/>
                <w:sz w:val="9"/>
              </w:rPr>
              <w:t>O - Other Remote &amp; Regional</w:t>
            </w:r>
          </w:p>
        </w:tc>
        <w:tc>
          <w:tcPr>
            <w:tcW w:w="215" w:type="dxa"/>
          </w:tcPr>
          <w:p>
            <w:pPr>
              <w:pStyle w:val="TableParagraph"/>
              <w:spacing w:line="135" w:lineRule="exact" w:before="0"/>
              <w:ind w:left="-1" w:right="-58"/>
              <w:rPr>
                <w:rFonts w:ascii="Calibri"/>
                <w:sz w:val="13"/>
              </w:rPr>
            </w:pPr>
            <w:r>
              <w:rPr>
                <w:rFonts w:ascii="Calibri"/>
                <w:position w:val="-2"/>
                <w:sz w:val="13"/>
              </w:rPr>
              <w:pict>
                <v:group style="width:10.45pt;height:6.8pt;mso-position-horizontal-relative:char;mso-position-vertical-relative:line" coordorigin="0,0" coordsize="209,136">
                  <v:rect style="position:absolute;left:0;top:0;width:209;height:136" filled="true" fillcolor="#a6a6a6" stroked="false">
                    <v:fill type="solid"/>
                  </v:rect>
                </v:group>
              </w:pict>
            </w:r>
            <w:r>
              <w:rPr>
                <w:rFonts w:ascii="Calibri"/>
                <w:position w:val="-2"/>
                <w:sz w:val="13"/>
              </w:rPr>
            </w:r>
          </w:p>
        </w:tc>
        <w:tc>
          <w:tcPr>
            <w:tcW w:w="822" w:type="dxa"/>
          </w:tcPr>
          <w:p>
            <w:pPr>
              <w:pStyle w:val="TableParagraph"/>
              <w:spacing w:line="130" w:lineRule="atLeast" w:before="17"/>
              <w:ind w:left="5"/>
              <w:rPr>
                <w:rFonts w:ascii="Calibri"/>
                <w:sz w:val="9"/>
              </w:rPr>
            </w:pPr>
            <w:r>
              <w:rPr>
                <w:rFonts w:ascii="Calibri"/>
                <w:w w:val="110"/>
                <w:sz w:val="9"/>
              </w:rPr>
              <w:t>P - Other General Allowances</w:t>
            </w:r>
          </w:p>
        </w:tc>
        <w:tc>
          <w:tcPr>
            <w:tcW w:w="90" w:type="dxa"/>
          </w:tcPr>
          <w:p>
            <w:pPr>
              <w:pStyle w:val="TableParagraph"/>
              <w:spacing w:before="0"/>
              <w:rPr>
                <w:rFonts w:ascii="Times New Roman"/>
                <w:sz w:val="18"/>
              </w:rPr>
            </w:pPr>
          </w:p>
        </w:tc>
        <w:tc>
          <w:tcPr>
            <w:tcW w:w="209" w:type="dxa"/>
          </w:tcPr>
          <w:p>
            <w:pPr>
              <w:pStyle w:val="TableParagraph"/>
              <w:spacing w:line="135" w:lineRule="exact" w:before="0"/>
              <w:ind w:left="-2" w:right="-58"/>
              <w:rPr>
                <w:rFonts w:ascii="Calibri"/>
                <w:sz w:val="13"/>
              </w:rPr>
            </w:pPr>
            <w:r>
              <w:rPr>
                <w:rFonts w:ascii="Calibri"/>
                <w:position w:val="-2"/>
                <w:sz w:val="13"/>
              </w:rPr>
              <w:pict>
                <v:group style="width:10.45pt;height:6.8pt;mso-position-horizontal-relative:char;mso-position-vertical-relative:line" coordorigin="0,0" coordsize="209,136">
                  <v:rect style="position:absolute;left:0;top:0;width:209;height:136" filled="true" fillcolor="#d9d9d9" stroked="false">
                    <v:fill type="solid"/>
                  </v:rect>
                </v:group>
              </w:pict>
            </w:r>
            <w:r>
              <w:rPr>
                <w:rFonts w:ascii="Calibri"/>
                <w:position w:val="-2"/>
                <w:sz w:val="13"/>
              </w:rPr>
            </w:r>
          </w:p>
        </w:tc>
        <w:tc>
          <w:tcPr>
            <w:tcW w:w="944" w:type="dxa"/>
          </w:tcPr>
          <w:p>
            <w:pPr>
              <w:pStyle w:val="TableParagraph"/>
              <w:ind w:left="10"/>
              <w:rPr>
                <w:rFonts w:ascii="Calibri"/>
                <w:sz w:val="9"/>
              </w:rPr>
            </w:pPr>
            <w:r>
              <w:rPr>
                <w:rFonts w:ascii="Calibri"/>
                <w:w w:val="110"/>
                <w:sz w:val="9"/>
              </w:rPr>
              <w:t>Q - All Other</w:t>
            </w:r>
          </w:p>
        </w:tc>
        <w:tc>
          <w:tcPr>
            <w:tcW w:w="60" w:type="dxa"/>
          </w:tcPr>
          <w:p>
            <w:pPr>
              <w:pStyle w:val="TableParagraph"/>
              <w:spacing w:before="0"/>
              <w:rPr>
                <w:rFonts w:ascii="Times New Roman"/>
                <w:sz w:val="18"/>
              </w:rPr>
            </w:pPr>
          </w:p>
        </w:tc>
        <w:tc>
          <w:tcPr>
            <w:tcW w:w="209" w:type="dxa"/>
          </w:tcPr>
          <w:p>
            <w:pPr>
              <w:pStyle w:val="TableParagraph"/>
              <w:spacing w:line="135" w:lineRule="exact" w:before="0"/>
              <w:ind w:left="-5" w:right="-58"/>
              <w:rPr>
                <w:rFonts w:ascii="Calibri"/>
                <w:sz w:val="13"/>
              </w:rPr>
            </w:pPr>
            <w:r>
              <w:rPr>
                <w:rFonts w:ascii="Calibri"/>
                <w:position w:val="-2"/>
                <w:sz w:val="13"/>
              </w:rPr>
              <w:pict>
                <v:group style="width:10.45pt;height:6.8pt;mso-position-horizontal-relative:char;mso-position-vertical-relative:line" coordorigin="0,0" coordsize="209,136">
                  <v:rect style="position:absolute;left:0;top:0;width:209;height:136" filled="true" fillcolor="#413c22" stroked="false">
                    <v:fill type="solid"/>
                  </v:rect>
                </v:group>
              </w:pict>
            </w:r>
            <w:r>
              <w:rPr>
                <w:rFonts w:ascii="Calibri"/>
                <w:position w:val="-2"/>
                <w:sz w:val="13"/>
              </w:rPr>
            </w:r>
          </w:p>
        </w:tc>
        <w:tc>
          <w:tcPr>
            <w:tcW w:w="1181" w:type="dxa"/>
          </w:tcPr>
          <w:p>
            <w:pPr>
              <w:pStyle w:val="TableParagraph"/>
              <w:ind w:left="8"/>
              <w:rPr>
                <w:rFonts w:ascii="Calibri"/>
                <w:sz w:val="9"/>
              </w:rPr>
            </w:pPr>
            <w:r>
              <w:rPr>
                <w:rFonts w:ascii="Calibri"/>
                <w:w w:val="110"/>
                <w:sz w:val="9"/>
              </w:rPr>
              <w:t>R - Rent Assistance</w:t>
            </w:r>
          </w:p>
        </w:tc>
        <w:tc>
          <w:tcPr>
            <w:tcW w:w="57" w:type="dxa"/>
          </w:tcPr>
          <w:p>
            <w:pPr>
              <w:pStyle w:val="TableParagraph"/>
              <w:spacing w:before="0"/>
              <w:rPr>
                <w:rFonts w:ascii="Times New Roman"/>
                <w:sz w:val="18"/>
              </w:rPr>
            </w:pPr>
          </w:p>
        </w:tc>
        <w:tc>
          <w:tcPr>
            <w:tcW w:w="209" w:type="dxa"/>
          </w:tcPr>
          <w:p>
            <w:pPr>
              <w:pStyle w:val="TableParagraph"/>
              <w:spacing w:before="0"/>
              <w:rPr>
                <w:rFonts w:ascii="Times New Roman"/>
                <w:sz w:val="18"/>
              </w:rPr>
            </w:pPr>
          </w:p>
        </w:tc>
        <w:tc>
          <w:tcPr>
            <w:tcW w:w="704" w:type="dxa"/>
          </w:tcPr>
          <w:p>
            <w:pPr>
              <w:pStyle w:val="TableParagraph"/>
              <w:spacing w:before="0"/>
              <w:rPr>
                <w:rFonts w:ascii="Times New Roman"/>
                <w:sz w:val="18"/>
              </w:rPr>
            </w:pPr>
          </w:p>
        </w:tc>
        <w:tc>
          <w:tcPr>
            <w:tcW w:w="71" w:type="dxa"/>
          </w:tcPr>
          <w:p>
            <w:pPr>
              <w:pStyle w:val="TableParagraph"/>
              <w:spacing w:before="0"/>
              <w:rPr>
                <w:rFonts w:ascii="Times New Roman"/>
                <w:sz w:val="18"/>
              </w:rPr>
            </w:pPr>
          </w:p>
        </w:tc>
        <w:tc>
          <w:tcPr>
            <w:tcW w:w="208" w:type="dxa"/>
          </w:tcPr>
          <w:p>
            <w:pPr>
              <w:pStyle w:val="TableParagraph"/>
              <w:spacing w:before="0"/>
              <w:rPr>
                <w:rFonts w:ascii="Times New Roman"/>
                <w:sz w:val="18"/>
              </w:rPr>
            </w:pPr>
          </w:p>
        </w:tc>
        <w:tc>
          <w:tcPr>
            <w:tcW w:w="726" w:type="dxa"/>
          </w:tcPr>
          <w:p>
            <w:pPr>
              <w:pStyle w:val="TableParagraph"/>
              <w:spacing w:before="0"/>
              <w:rPr>
                <w:rFonts w:ascii="Times New Roman"/>
                <w:sz w:val="18"/>
              </w:rPr>
            </w:pPr>
          </w:p>
        </w:tc>
        <w:tc>
          <w:tcPr>
            <w:tcW w:w="835" w:type="dxa"/>
          </w:tcPr>
          <w:p>
            <w:pPr>
              <w:pStyle w:val="TableParagraph"/>
              <w:spacing w:before="0"/>
              <w:rPr>
                <w:rFonts w:ascii="Times New Roman"/>
                <w:sz w:val="18"/>
              </w:rPr>
            </w:pPr>
          </w:p>
        </w:tc>
      </w:tr>
    </w:tbl>
    <w:p>
      <w:pPr>
        <w:pStyle w:val="BodyText"/>
        <w:rPr>
          <w:rFonts w:ascii="Calibri"/>
          <w:b/>
          <w:sz w:val="14"/>
        </w:rPr>
      </w:pPr>
    </w:p>
    <w:p>
      <w:pPr>
        <w:pStyle w:val="BodyText"/>
        <w:spacing w:before="98"/>
        <w:ind w:left="899" w:right="1448"/>
        <w:jc w:val="both"/>
      </w:pPr>
      <w:r>
        <w:rPr>
          <w:color w:val="404040"/>
        </w:rPr>
        <w:t>The average payment made in 2017/18 was $22,400 with slightly higher average payments being made to women than men, as a result of them being more likely to also be claiming FTB. This is expected to remain stable going forward.</w:t>
      </w:r>
    </w:p>
    <w:p>
      <w:pPr>
        <w:pStyle w:val="BodyText"/>
        <w:spacing w:before="7"/>
      </w:pPr>
    </w:p>
    <w:p>
      <w:pPr>
        <w:pStyle w:val="Heading4"/>
      </w:pPr>
      <w:bookmarkStart w:name="What does the model show for current Dis" w:id="191"/>
      <w:bookmarkEnd w:id="191"/>
      <w:r>
        <w:rPr/>
      </w:r>
      <w:r>
        <w:rPr>
          <w:color w:val="DF2F28"/>
        </w:rPr>
        <w:t>What does the model show for current Disability Support Pensioners?</w:t>
      </w:r>
    </w:p>
    <w:p>
      <w:pPr>
        <w:pStyle w:val="BodyText"/>
        <w:spacing w:before="10"/>
      </w:pPr>
    </w:p>
    <w:p>
      <w:pPr>
        <w:pStyle w:val="Heading6"/>
        <w:rPr>
          <w:i/>
        </w:rPr>
      </w:pPr>
      <w:r>
        <w:rPr>
          <w:i/>
          <w:color w:val="DF2F1E"/>
        </w:rPr>
        <w:t>Lifetime costs</w:t>
      </w:r>
    </w:p>
    <w:p>
      <w:pPr>
        <w:pStyle w:val="BodyText"/>
        <w:spacing w:before="118"/>
        <w:ind w:left="900" w:right="1154"/>
      </w:pPr>
      <w:r>
        <w:rPr>
          <w:color w:val="404040"/>
        </w:rPr>
        <w:t>We estimated the lifetime cost for the people in this class to be </w:t>
      </w:r>
      <w:r>
        <w:rPr>
          <w:b/>
          <w:color w:val="404040"/>
        </w:rPr>
        <w:t>$417bn </w:t>
      </w:r>
      <w:r>
        <w:rPr>
          <w:color w:val="404040"/>
        </w:rPr>
        <w:t>(or </w:t>
      </w:r>
      <w:r>
        <w:rPr>
          <w:b/>
          <w:color w:val="404040"/>
        </w:rPr>
        <w:t>7.4% </w:t>
      </w:r>
      <w:r>
        <w:rPr>
          <w:color w:val="404040"/>
        </w:rPr>
        <w:t>of the total lifetime cost). The average lifetime cost for people in this class is </w:t>
      </w:r>
      <w:r>
        <w:rPr>
          <w:b/>
          <w:color w:val="404040"/>
        </w:rPr>
        <w:t>$547,000</w:t>
      </w:r>
      <w:r>
        <w:rPr>
          <w:color w:val="404040"/>
        </w:rPr>
        <w:t>. It is interesting to note that this class represents around 10% of current welfare recipients but a significantly greater proportion (20%) of total lifetime costs for current welfare recipients. This is because these welfare recipients are less likely than average to exit the system.</w:t>
      </w:r>
    </w:p>
    <w:p>
      <w:pPr>
        <w:pStyle w:val="BodyText"/>
        <w:spacing w:before="125"/>
        <w:ind w:left="900"/>
      </w:pPr>
      <w:r>
        <w:rPr>
          <w:color w:val="404040"/>
        </w:rPr>
        <w:t>The variation in average lifetime cost by age and gender is illustrated in the figure below.</w:t>
      </w:r>
    </w:p>
    <w:p>
      <w:pPr>
        <w:spacing w:after="0"/>
        <w:sectPr>
          <w:pgSz w:w="11910" w:h="16850"/>
          <w:pgMar w:header="572" w:footer="581" w:top="780" w:bottom="780" w:left="120" w:right="0"/>
        </w:sectPr>
      </w:pPr>
    </w:p>
    <w:p>
      <w:pPr>
        <w:pStyle w:val="BodyText"/>
      </w:pPr>
    </w:p>
    <w:p>
      <w:pPr>
        <w:pStyle w:val="BodyText"/>
      </w:pPr>
    </w:p>
    <w:p>
      <w:pPr>
        <w:pStyle w:val="BodyText"/>
        <w:spacing w:before="5"/>
        <w:rPr>
          <w:sz w:val="21"/>
        </w:rPr>
      </w:pPr>
    </w:p>
    <w:p>
      <w:pPr>
        <w:pStyle w:val="Heading9"/>
      </w:pPr>
      <w:r>
        <w:rPr>
          <w:color w:val="DF2F1E"/>
        </w:rPr>
        <w:t>Figure 70: Average lifetime cost by age and gender (class 5)</w:t>
      </w:r>
    </w:p>
    <w:p>
      <w:pPr>
        <w:pStyle w:val="BodyText"/>
        <w:spacing w:before="4"/>
        <w:rPr>
          <w:b/>
          <w:sz w:val="13"/>
        </w:rPr>
      </w:pPr>
    </w:p>
    <w:p>
      <w:pPr>
        <w:spacing w:after="0"/>
        <w:rPr>
          <w:sz w:val="13"/>
        </w:rPr>
        <w:sectPr>
          <w:pgSz w:w="11910" w:h="16850"/>
          <w:pgMar w:header="572" w:footer="581" w:top="780" w:bottom="780" w:left="120" w:right="0"/>
        </w:sectPr>
      </w:pPr>
    </w:p>
    <w:p>
      <w:pPr>
        <w:spacing w:before="71"/>
        <w:ind w:left="1558" w:right="0" w:firstLine="0"/>
        <w:jc w:val="left"/>
        <w:rPr>
          <w:rFonts w:ascii="Calibri"/>
          <w:sz w:val="14"/>
        </w:rPr>
      </w:pPr>
      <w:r>
        <w:rPr/>
        <w:pict>
          <v:group style="position:absolute;margin-left:95.50042pt;margin-top:7.514617pt;width:237.2pt;height:128.25pt;mso-position-horizontal-relative:page;mso-position-vertical-relative:paragraph;z-index:252436480" coordorigin="1910,150" coordsize="4744,2565">
            <v:shape style="position:absolute;left:1910;top:150;width:4744;height:2565" type="#_x0000_t75" stroked="false">
              <v:imagedata r:id="rId142" o:title=""/>
            </v:shape>
            <v:shape style="position:absolute;left:3077;top:238;width:634;height:204" type="#_x0000_t202" filled="false" stroked="false">
              <v:textbox inset="0,0,0,0">
                <w:txbxContent>
                  <w:p>
                    <w:pPr>
                      <w:spacing w:line="204" w:lineRule="exact" w:before="0"/>
                      <w:ind w:left="0" w:right="0" w:firstLine="0"/>
                      <w:jc w:val="left"/>
                      <w:rPr>
                        <w:rFonts w:ascii="Calibri"/>
                        <w:sz w:val="20"/>
                      </w:rPr>
                    </w:pPr>
                    <w:r>
                      <w:rPr>
                        <w:rFonts w:ascii="Calibri"/>
                        <w:color w:val="BEBEBE"/>
                        <w:sz w:val="20"/>
                      </w:rPr>
                      <w:t>&lt;- Male</w:t>
                    </w:r>
                  </w:p>
                </w:txbxContent>
              </v:textbox>
              <w10:wrap type="none"/>
            </v:shape>
            <v:shape style="position:absolute;left:4957;top:238;width:831;height:204" type="#_x0000_t202" filled="false" stroked="false">
              <v:textbox inset="0,0,0,0">
                <w:txbxContent>
                  <w:p>
                    <w:pPr>
                      <w:spacing w:line="204" w:lineRule="exact" w:before="0"/>
                      <w:ind w:left="0" w:right="0" w:firstLine="0"/>
                      <w:jc w:val="left"/>
                      <w:rPr>
                        <w:rFonts w:ascii="Calibri"/>
                        <w:sz w:val="20"/>
                      </w:rPr>
                    </w:pPr>
                    <w:r>
                      <w:rPr>
                        <w:rFonts w:ascii="Calibri"/>
                        <w:color w:val="BEBEBE"/>
                        <w:sz w:val="20"/>
                      </w:rPr>
                      <w:t>Female -&gt;</w:t>
                    </w:r>
                  </w:p>
                </w:txbxContent>
              </v:textbox>
              <w10:wrap type="none"/>
            </v:shape>
            <w10:wrap type="none"/>
          </v:group>
        </w:pict>
      </w:r>
      <w:r>
        <w:rPr>
          <w:rFonts w:ascii="Calibri"/>
          <w:sz w:val="14"/>
        </w:rPr>
        <w:t>90</w:t>
      </w:r>
    </w:p>
    <w:p>
      <w:pPr>
        <w:spacing w:before="107"/>
        <w:ind w:left="1558" w:right="0" w:firstLine="0"/>
        <w:jc w:val="left"/>
        <w:rPr>
          <w:rFonts w:ascii="Calibri"/>
          <w:sz w:val="14"/>
        </w:rPr>
      </w:pPr>
      <w:r>
        <w:rPr>
          <w:rFonts w:ascii="Calibri"/>
          <w:sz w:val="14"/>
        </w:rPr>
        <w:t>80</w:t>
      </w:r>
    </w:p>
    <w:p>
      <w:pPr>
        <w:spacing w:before="107"/>
        <w:ind w:left="1558" w:right="0" w:firstLine="0"/>
        <w:jc w:val="left"/>
        <w:rPr>
          <w:rFonts w:ascii="Calibri"/>
          <w:sz w:val="14"/>
        </w:rPr>
      </w:pPr>
      <w:r>
        <w:rPr/>
        <w:pict>
          <v:shape style="position:absolute;margin-left:73.772301pt;margin-top:11.527499pt;width:9pt;height:66.7pt;mso-position-horizontal-relative:page;mso-position-vertical-relative:paragraph;z-index:252438528" type="#_x0000_t202" filled="false" stroked="false">
            <v:textbox inset="0,0,0,0" style="layout-flow:vertical;mso-layout-flow-alt:bottom-to-top">
              <w:txbxContent>
                <w:p>
                  <w:pPr>
                    <w:spacing w:line="162" w:lineRule="exact" w:before="0"/>
                    <w:ind w:left="20" w:right="0" w:firstLine="0"/>
                    <w:jc w:val="left"/>
                    <w:rPr>
                      <w:rFonts w:ascii="Calibri"/>
                      <w:b/>
                      <w:sz w:val="14"/>
                    </w:rPr>
                  </w:pPr>
                  <w:r>
                    <w:rPr>
                      <w:rFonts w:ascii="Calibri"/>
                      <w:b/>
                      <w:sz w:val="14"/>
                    </w:rPr>
                    <w:t>Age at Valuation Date</w:t>
                  </w:r>
                </w:p>
              </w:txbxContent>
            </v:textbox>
            <w10:wrap type="none"/>
          </v:shape>
        </w:pict>
      </w:r>
      <w:r>
        <w:rPr>
          <w:rFonts w:ascii="Calibri"/>
          <w:sz w:val="14"/>
        </w:rPr>
        <w:t>70</w:t>
      </w:r>
    </w:p>
    <w:p>
      <w:pPr>
        <w:spacing w:before="107"/>
        <w:ind w:left="1558" w:right="0" w:firstLine="0"/>
        <w:jc w:val="left"/>
        <w:rPr>
          <w:rFonts w:ascii="Calibri"/>
          <w:sz w:val="14"/>
        </w:rPr>
      </w:pPr>
      <w:r>
        <w:rPr>
          <w:rFonts w:ascii="Calibri"/>
          <w:sz w:val="14"/>
        </w:rPr>
        <w:t>60</w:t>
      </w:r>
    </w:p>
    <w:p>
      <w:pPr>
        <w:spacing w:before="107"/>
        <w:ind w:left="1558" w:right="0" w:firstLine="0"/>
        <w:jc w:val="left"/>
        <w:rPr>
          <w:rFonts w:ascii="Calibri"/>
          <w:sz w:val="14"/>
        </w:rPr>
      </w:pPr>
      <w:r>
        <w:rPr>
          <w:rFonts w:ascii="Calibri"/>
          <w:sz w:val="14"/>
        </w:rPr>
        <w:t>50</w:t>
      </w:r>
    </w:p>
    <w:p>
      <w:pPr>
        <w:spacing w:before="107"/>
        <w:ind w:left="1558" w:right="0" w:firstLine="0"/>
        <w:jc w:val="left"/>
        <w:rPr>
          <w:rFonts w:ascii="Calibri"/>
          <w:sz w:val="14"/>
        </w:rPr>
      </w:pPr>
      <w:r>
        <w:rPr>
          <w:rFonts w:ascii="Calibri"/>
          <w:sz w:val="14"/>
        </w:rPr>
        <w:t>40</w:t>
      </w:r>
    </w:p>
    <w:p>
      <w:pPr>
        <w:spacing w:before="107"/>
        <w:ind w:left="1558" w:right="0" w:firstLine="0"/>
        <w:jc w:val="left"/>
        <w:rPr>
          <w:rFonts w:ascii="Calibri"/>
          <w:sz w:val="14"/>
        </w:rPr>
      </w:pPr>
      <w:r>
        <w:rPr>
          <w:rFonts w:ascii="Calibri"/>
          <w:sz w:val="14"/>
        </w:rPr>
        <w:t>30</w:t>
      </w:r>
    </w:p>
    <w:p>
      <w:pPr>
        <w:spacing w:before="107"/>
        <w:ind w:left="1558" w:right="0" w:firstLine="0"/>
        <w:jc w:val="left"/>
        <w:rPr>
          <w:rFonts w:ascii="Calibri"/>
          <w:sz w:val="14"/>
        </w:rPr>
      </w:pPr>
      <w:r>
        <w:rPr>
          <w:rFonts w:ascii="Calibri"/>
          <w:sz w:val="14"/>
        </w:rPr>
        <w:t>20</w:t>
      </w:r>
    </w:p>
    <w:p>
      <w:pPr>
        <w:spacing w:before="107"/>
        <w:ind w:left="1558" w:right="0" w:firstLine="0"/>
        <w:jc w:val="left"/>
        <w:rPr>
          <w:rFonts w:ascii="Calibri"/>
          <w:sz w:val="14"/>
        </w:rPr>
      </w:pPr>
      <w:r>
        <w:rPr>
          <w:rFonts w:ascii="Calibri"/>
          <w:sz w:val="14"/>
        </w:rPr>
        <w:t>10</w:t>
      </w:r>
    </w:p>
    <w:p>
      <w:pPr>
        <w:spacing w:before="107"/>
        <w:ind w:left="1630" w:right="0" w:firstLine="0"/>
        <w:jc w:val="left"/>
        <w:rPr>
          <w:rFonts w:ascii="Calibri"/>
          <w:sz w:val="14"/>
        </w:rPr>
      </w:pPr>
      <w:r>
        <w:rPr>
          <w:rFonts w:ascii="Calibri"/>
          <w:w w:val="99"/>
          <w:sz w:val="14"/>
        </w:rPr>
        <w:t>0</w:t>
      </w:r>
    </w:p>
    <w:p>
      <w:pPr>
        <w:spacing w:before="29"/>
        <w:ind w:left="1673" w:right="0" w:firstLine="0"/>
        <w:jc w:val="left"/>
        <w:rPr>
          <w:rFonts w:ascii="Calibri"/>
          <w:sz w:val="14"/>
        </w:rPr>
      </w:pPr>
      <w:r>
        <w:rPr>
          <w:rFonts w:ascii="Calibri"/>
          <w:sz w:val="14"/>
        </w:rPr>
        <w:t>1,000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7"/>
        </w:rPr>
      </w:pPr>
    </w:p>
    <w:p>
      <w:pPr>
        <w:spacing w:before="1"/>
        <w:ind w:left="154" w:right="0" w:firstLine="0"/>
        <w:jc w:val="left"/>
        <w:rPr>
          <w:rFonts w:ascii="Calibri"/>
          <w:sz w:val="14"/>
        </w:rPr>
      </w:pPr>
      <w:r>
        <w:rPr>
          <w:rFonts w:ascii="Calibri"/>
          <w:sz w:val="14"/>
        </w:rPr>
        <w:t>800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7"/>
        </w:rPr>
      </w:pPr>
    </w:p>
    <w:p>
      <w:pPr>
        <w:spacing w:before="1"/>
        <w:ind w:left="207" w:right="0" w:firstLine="0"/>
        <w:jc w:val="left"/>
        <w:rPr>
          <w:rFonts w:ascii="Calibri"/>
          <w:sz w:val="14"/>
        </w:rPr>
      </w:pPr>
      <w:r>
        <w:rPr>
          <w:rFonts w:ascii="Calibri"/>
          <w:sz w:val="14"/>
        </w:rPr>
        <w:t>600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7"/>
        </w:rPr>
      </w:pPr>
    </w:p>
    <w:p>
      <w:pPr>
        <w:spacing w:before="1"/>
        <w:ind w:left="207" w:right="0" w:firstLine="0"/>
        <w:jc w:val="left"/>
        <w:rPr>
          <w:rFonts w:ascii="Calibri"/>
          <w:sz w:val="14"/>
        </w:rPr>
      </w:pPr>
      <w:r>
        <w:rPr>
          <w:rFonts w:ascii="Calibri"/>
          <w:sz w:val="14"/>
        </w:rPr>
        <w:t>400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7"/>
        </w:rPr>
      </w:pPr>
    </w:p>
    <w:p>
      <w:pPr>
        <w:tabs>
          <w:tab w:pos="749" w:val="left" w:leader="none"/>
        </w:tabs>
        <w:spacing w:before="1"/>
        <w:ind w:left="207" w:right="0" w:firstLine="0"/>
        <w:jc w:val="left"/>
        <w:rPr>
          <w:rFonts w:ascii="Calibri"/>
          <w:sz w:val="14"/>
        </w:rPr>
      </w:pPr>
      <w:r>
        <w:rPr>
          <w:rFonts w:ascii="Calibri"/>
          <w:spacing w:val="2"/>
          <w:sz w:val="14"/>
        </w:rPr>
        <w:t>200</w:t>
        <w:tab/>
      </w:r>
      <w:r>
        <w:rPr>
          <w:rFonts w:ascii="Calibri"/>
          <w:spacing w:val="-20"/>
          <w:sz w:val="14"/>
        </w:rPr>
        <w:t>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7"/>
        </w:rPr>
      </w:pPr>
    </w:p>
    <w:p>
      <w:pPr>
        <w:spacing w:before="1"/>
        <w:ind w:left="285" w:right="0" w:firstLine="0"/>
        <w:jc w:val="left"/>
        <w:rPr>
          <w:rFonts w:ascii="Calibri"/>
          <w:sz w:val="14"/>
        </w:rPr>
      </w:pPr>
      <w:r>
        <w:rPr>
          <w:rFonts w:ascii="Calibri"/>
          <w:sz w:val="14"/>
        </w:rPr>
        <w:t>200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7"/>
        </w:rPr>
      </w:pPr>
    </w:p>
    <w:p>
      <w:pPr>
        <w:spacing w:before="1"/>
        <w:ind w:left="207" w:right="0" w:firstLine="0"/>
        <w:jc w:val="left"/>
        <w:rPr>
          <w:rFonts w:ascii="Calibri"/>
          <w:sz w:val="14"/>
        </w:rPr>
      </w:pPr>
      <w:r>
        <w:rPr>
          <w:rFonts w:ascii="Calibri"/>
          <w:sz w:val="14"/>
        </w:rPr>
        <w:t>400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7"/>
        </w:rPr>
      </w:pPr>
    </w:p>
    <w:p>
      <w:pPr>
        <w:spacing w:before="1"/>
        <w:ind w:left="207" w:right="0" w:firstLine="0"/>
        <w:jc w:val="left"/>
        <w:rPr>
          <w:rFonts w:ascii="Calibri"/>
          <w:sz w:val="14"/>
        </w:rPr>
      </w:pPr>
      <w:r>
        <w:rPr>
          <w:rFonts w:ascii="Calibri"/>
          <w:sz w:val="14"/>
        </w:rPr>
        <w:t>600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7"/>
        </w:rPr>
      </w:pPr>
    </w:p>
    <w:p>
      <w:pPr>
        <w:spacing w:before="1"/>
        <w:ind w:left="207" w:right="0" w:firstLine="0"/>
        <w:jc w:val="left"/>
        <w:rPr>
          <w:rFonts w:ascii="Calibri"/>
          <w:sz w:val="14"/>
        </w:rPr>
      </w:pPr>
      <w:r>
        <w:rPr>
          <w:rFonts w:ascii="Calibri"/>
          <w:sz w:val="14"/>
        </w:rPr>
        <w:t>800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7"/>
        </w:rPr>
      </w:pPr>
    </w:p>
    <w:p>
      <w:pPr>
        <w:spacing w:before="1"/>
        <w:ind w:left="153" w:right="0" w:firstLine="0"/>
        <w:jc w:val="left"/>
        <w:rPr>
          <w:rFonts w:ascii="Calibri"/>
          <w:sz w:val="14"/>
        </w:rPr>
      </w:pPr>
      <w:r>
        <w:rPr>
          <w:rFonts w:ascii="Calibri"/>
          <w:sz w:val="14"/>
        </w:rPr>
        <w:t>1,000</w:t>
      </w:r>
    </w:p>
    <w:p>
      <w:pPr>
        <w:pStyle w:val="BodyText"/>
        <w:rPr>
          <w:rFonts w:ascii="Calibri"/>
          <w:sz w:val="10"/>
        </w:rPr>
      </w:pPr>
      <w:r>
        <w:rPr/>
        <w:br w:type="column"/>
      </w:r>
      <w:r>
        <w:rPr>
          <w:rFonts w:ascii="Calibri"/>
          <w:sz w:val="10"/>
        </w:rPr>
      </w:r>
    </w:p>
    <w:p>
      <w:pPr>
        <w:spacing w:before="63"/>
        <w:ind w:left="946" w:right="0" w:firstLine="0"/>
        <w:jc w:val="left"/>
        <w:rPr>
          <w:rFonts w:ascii="Calibri"/>
          <w:b/>
          <w:sz w:val="10"/>
        </w:rPr>
      </w:pPr>
      <w:r>
        <w:rPr>
          <w:rFonts w:ascii="Calibri"/>
          <w:b/>
          <w:w w:val="105"/>
          <w:sz w:val="10"/>
        </w:rPr>
        <w:t>Payment Category Key:</w:t>
      </w:r>
    </w:p>
    <w:p>
      <w:pPr>
        <w:spacing w:before="31"/>
        <w:ind w:left="1162" w:right="0" w:firstLine="0"/>
        <w:jc w:val="left"/>
        <w:rPr>
          <w:rFonts w:ascii="Calibri"/>
          <w:sz w:val="10"/>
        </w:rPr>
      </w:pPr>
      <w:r>
        <w:rPr/>
        <w:drawing>
          <wp:anchor distT="0" distB="0" distL="0" distR="0" allowOverlap="1" layoutInCell="1" locked="0" behindDoc="0" simplePos="0" relativeHeight="252437504">
            <wp:simplePos x="0" y="0"/>
            <wp:positionH relativeFrom="page">
              <wp:posOffset>4944719</wp:posOffset>
            </wp:positionH>
            <wp:positionV relativeFrom="paragraph">
              <wp:posOffset>9310</wp:posOffset>
            </wp:positionV>
            <wp:extent cx="136997" cy="1508880"/>
            <wp:effectExtent l="0" t="0" r="0" b="0"/>
            <wp:wrapNone/>
            <wp:docPr id="233" name="image121.png"/>
            <wp:cNvGraphicFramePr>
              <a:graphicFrameLocks noChangeAspect="1"/>
            </wp:cNvGraphicFramePr>
            <a:graphic>
              <a:graphicData uri="http://schemas.openxmlformats.org/drawingml/2006/picture">
                <pic:pic>
                  <pic:nvPicPr>
                    <pic:cNvPr id="234" name="image121.png"/>
                    <pic:cNvPicPr/>
                  </pic:nvPicPr>
                  <pic:blipFill>
                    <a:blip r:embed="rId143" cstate="print"/>
                    <a:stretch>
                      <a:fillRect/>
                    </a:stretch>
                  </pic:blipFill>
                  <pic:spPr>
                    <a:xfrm>
                      <a:off x="0" y="0"/>
                      <a:ext cx="136997" cy="1508880"/>
                    </a:xfrm>
                    <a:prstGeom prst="rect">
                      <a:avLst/>
                    </a:prstGeom>
                  </pic:spPr>
                </pic:pic>
              </a:graphicData>
            </a:graphic>
          </wp:anchor>
        </w:drawing>
      </w:r>
      <w:r>
        <w:rPr>
          <w:rFonts w:ascii="Calibri"/>
          <w:w w:val="105"/>
          <w:sz w:val="10"/>
        </w:rPr>
        <w:t>A - IS Studying</w:t>
      </w:r>
    </w:p>
    <w:p>
      <w:pPr>
        <w:spacing w:line="273" w:lineRule="auto" w:before="17"/>
        <w:ind w:left="1162" w:right="3074" w:firstLine="0"/>
        <w:jc w:val="left"/>
        <w:rPr>
          <w:rFonts w:ascii="Calibri"/>
          <w:sz w:val="10"/>
        </w:rPr>
      </w:pPr>
      <w:r>
        <w:rPr>
          <w:rFonts w:ascii="Calibri"/>
          <w:w w:val="105"/>
          <w:sz w:val="10"/>
        </w:rPr>
        <w:t>B - IS Working Age C - IS Parents</w:t>
      </w:r>
    </w:p>
    <w:p>
      <w:pPr>
        <w:spacing w:before="1"/>
        <w:ind w:left="1162" w:right="0" w:firstLine="0"/>
        <w:jc w:val="left"/>
        <w:rPr>
          <w:rFonts w:ascii="Calibri"/>
          <w:sz w:val="10"/>
        </w:rPr>
      </w:pPr>
      <w:r>
        <w:rPr>
          <w:rFonts w:ascii="Calibri"/>
          <w:w w:val="105"/>
          <w:sz w:val="10"/>
        </w:rPr>
        <w:t>D - IS Carer</w:t>
      </w:r>
    </w:p>
    <w:p>
      <w:pPr>
        <w:spacing w:line="273" w:lineRule="auto" w:before="17"/>
        <w:ind w:left="1162" w:right="3254" w:firstLine="0"/>
        <w:jc w:val="left"/>
        <w:rPr>
          <w:rFonts w:ascii="Calibri"/>
          <w:sz w:val="10"/>
        </w:rPr>
      </w:pPr>
      <w:r>
        <w:rPr>
          <w:rFonts w:ascii="Calibri"/>
          <w:w w:val="105"/>
          <w:sz w:val="10"/>
        </w:rPr>
        <w:t>E - IS Disability F - IS Age</w:t>
      </w:r>
    </w:p>
    <w:p>
      <w:pPr>
        <w:spacing w:line="273" w:lineRule="auto" w:before="0"/>
        <w:ind w:left="1162" w:right="3154" w:firstLine="0"/>
        <w:jc w:val="left"/>
        <w:rPr>
          <w:rFonts w:ascii="Calibri"/>
          <w:sz w:val="10"/>
        </w:rPr>
      </w:pPr>
      <w:r>
        <w:rPr>
          <w:rFonts w:ascii="Calibri"/>
          <w:w w:val="105"/>
          <w:sz w:val="10"/>
        </w:rPr>
        <w:t>G - IS Dependant H - Other FTB</w:t>
      </w:r>
    </w:p>
    <w:p>
      <w:pPr>
        <w:spacing w:before="1"/>
        <w:ind w:left="1162" w:right="0" w:firstLine="0"/>
        <w:jc w:val="left"/>
        <w:rPr>
          <w:rFonts w:ascii="Calibri"/>
          <w:sz w:val="10"/>
        </w:rPr>
      </w:pPr>
      <w:r>
        <w:rPr>
          <w:rFonts w:ascii="Calibri"/>
          <w:w w:val="105"/>
          <w:sz w:val="10"/>
        </w:rPr>
        <w:t>I - Other Family</w:t>
      </w:r>
    </w:p>
    <w:p>
      <w:pPr>
        <w:spacing w:before="17"/>
        <w:ind w:left="1162" w:right="0" w:firstLine="0"/>
        <w:jc w:val="left"/>
        <w:rPr>
          <w:rFonts w:ascii="Calibri"/>
          <w:sz w:val="10"/>
        </w:rPr>
      </w:pPr>
      <w:r>
        <w:rPr>
          <w:rFonts w:ascii="Calibri"/>
          <w:w w:val="105"/>
          <w:sz w:val="10"/>
        </w:rPr>
        <w:t>J - Other New Parents</w:t>
      </w:r>
    </w:p>
    <w:p>
      <w:pPr>
        <w:spacing w:line="273" w:lineRule="auto" w:before="17"/>
        <w:ind w:left="1162" w:right="2686" w:firstLine="0"/>
        <w:jc w:val="left"/>
        <w:rPr>
          <w:rFonts w:ascii="Calibri"/>
          <w:sz w:val="10"/>
        </w:rPr>
      </w:pPr>
      <w:r>
        <w:rPr>
          <w:rFonts w:ascii="Calibri"/>
          <w:w w:val="105"/>
          <w:sz w:val="10"/>
        </w:rPr>
        <w:t>L - Other Health &amp; Disability M - Other Carer</w:t>
      </w:r>
    </w:p>
    <w:p>
      <w:pPr>
        <w:spacing w:before="0"/>
        <w:ind w:left="1162" w:right="0" w:firstLine="0"/>
        <w:jc w:val="left"/>
        <w:rPr>
          <w:rFonts w:ascii="Calibri"/>
          <w:sz w:val="10"/>
        </w:rPr>
      </w:pPr>
      <w:r>
        <w:rPr>
          <w:rFonts w:ascii="Calibri"/>
          <w:w w:val="105"/>
          <w:sz w:val="10"/>
        </w:rPr>
        <w:t>N - Other Study &amp; Skills</w:t>
      </w:r>
    </w:p>
    <w:p>
      <w:pPr>
        <w:spacing w:line="273" w:lineRule="auto" w:before="18"/>
        <w:ind w:left="1162" w:right="2629" w:firstLine="0"/>
        <w:jc w:val="both"/>
        <w:rPr>
          <w:rFonts w:ascii="Calibri"/>
          <w:sz w:val="10"/>
        </w:rPr>
      </w:pPr>
      <w:r>
        <w:rPr>
          <w:rFonts w:ascii="Calibri"/>
          <w:w w:val="105"/>
          <w:sz w:val="10"/>
        </w:rPr>
        <w:t>O - Other Remote &amp; Regional P - Other General Allowances Q - All Other</w:t>
      </w:r>
    </w:p>
    <w:p>
      <w:pPr>
        <w:spacing w:before="0"/>
        <w:ind w:left="1162" w:right="0" w:firstLine="0"/>
        <w:jc w:val="both"/>
        <w:rPr>
          <w:rFonts w:ascii="Calibri"/>
          <w:sz w:val="10"/>
        </w:rPr>
      </w:pPr>
      <w:r>
        <w:rPr>
          <w:rFonts w:ascii="Calibri"/>
          <w:w w:val="105"/>
          <w:sz w:val="10"/>
        </w:rPr>
        <w:t>R - Rent Assistance</w:t>
      </w:r>
    </w:p>
    <w:p>
      <w:pPr>
        <w:spacing w:after="0"/>
        <w:jc w:val="both"/>
        <w:rPr>
          <w:rFonts w:ascii="Calibri"/>
          <w:sz w:val="10"/>
        </w:rPr>
        <w:sectPr>
          <w:type w:val="continuous"/>
          <w:pgSz w:w="11910" w:h="16850"/>
          <w:pgMar w:top="1600" w:bottom="280" w:left="120" w:right="0"/>
          <w:cols w:num="11" w:equalWidth="0">
            <w:col w:w="2003" w:space="40"/>
            <w:col w:w="376" w:space="39"/>
            <w:col w:w="430" w:space="39"/>
            <w:col w:w="430" w:space="40"/>
            <w:col w:w="821" w:space="39"/>
            <w:col w:w="507" w:space="39"/>
            <w:col w:w="430" w:space="40"/>
            <w:col w:w="430" w:space="40"/>
            <w:col w:w="430" w:space="39"/>
            <w:col w:w="483" w:space="39"/>
            <w:col w:w="5056"/>
          </w:cols>
        </w:sectPr>
      </w:pPr>
    </w:p>
    <w:p>
      <w:pPr>
        <w:spacing w:before="46"/>
        <w:ind w:left="3293" w:right="0" w:firstLine="0"/>
        <w:jc w:val="left"/>
        <w:rPr>
          <w:rFonts w:ascii="Calibri"/>
          <w:b/>
          <w:sz w:val="14"/>
        </w:rPr>
      </w:pPr>
      <w:r>
        <w:rPr>
          <w:rFonts w:ascii="Calibri"/>
          <w:b/>
          <w:sz w:val="14"/>
        </w:rPr>
        <w:t>Average Lifetime Cost ($000s)</w:t>
      </w:r>
    </w:p>
    <w:p>
      <w:pPr>
        <w:pStyle w:val="BodyText"/>
        <w:spacing w:before="5"/>
        <w:rPr>
          <w:rFonts w:ascii="Calibri"/>
          <w:b/>
          <w:sz w:val="19"/>
        </w:rPr>
      </w:pPr>
    </w:p>
    <w:p>
      <w:pPr>
        <w:pStyle w:val="BodyText"/>
        <w:spacing w:before="93"/>
        <w:ind w:left="900" w:right="1197" w:hanging="1"/>
      </w:pPr>
      <w:r>
        <w:rPr>
          <w:color w:val="404040"/>
        </w:rPr>
        <w:t>We can see that the most substantial part of this average lifetime cost is for the Disability Support Pension itself, with the Age Pension also being a key component of the average lifetime cost for people below pension age. Supplements paid along with the pension also contribute to the cost.</w:t>
      </w:r>
    </w:p>
    <w:p>
      <w:pPr>
        <w:pStyle w:val="BodyText"/>
        <w:spacing w:before="121"/>
        <w:ind w:left="900" w:right="1220"/>
      </w:pPr>
      <w:r>
        <w:rPr>
          <w:color w:val="404040"/>
        </w:rPr>
        <w:t>The average lifetime cost is higher for younger people with a steady reduction as people age. This is a reflection of the extremely high persistency in the payment system for people in this class – as people are not expected to exit the system, the main determinant of the lifetime cost is then the expected duration of the person’s future lifetime.</w:t>
      </w:r>
    </w:p>
    <w:p>
      <w:pPr>
        <w:pStyle w:val="BodyText"/>
        <w:spacing w:before="120"/>
        <w:ind w:left="900" w:right="1008"/>
      </w:pPr>
      <w:r>
        <w:rPr>
          <w:color w:val="404040"/>
        </w:rPr>
        <w:t>The average lifetime cost pyramid shows a change at around age 65 as most people would leave this class and instead be in the Age Pension class once they are over this age. For the small proportion of people who continue in this class once they are above their pension age, the lifetime cost is comprised primarily of the Disability Support Pension. This simply reflects the reduced likelihood of them transitioning to the Age Pension at some later stage.</w:t>
      </w:r>
    </w:p>
    <w:p>
      <w:pPr>
        <w:pStyle w:val="BodyText"/>
        <w:spacing w:before="120"/>
        <w:ind w:left="900" w:right="1165"/>
      </w:pPr>
      <w:r>
        <w:rPr>
          <w:color w:val="404040"/>
        </w:rPr>
        <w:t>To further explore differences in the average lifetime costs for people within class 5, we have prepared the table below, which shows the average lifetime cost for 45 to 54 year olds currently receiving Disability Support Pension payments, split by key characteristics. We have selected a set age group to reduce the effect of age on the future lifetime cost. It is important to note that some characteristics serve as proxies for more fundamental socio-economic factors, and as such, they may not necessarily be the underlying cause of any differences observed in the average lifetime costs of individuals. Further, the variations and relativities to the average lifetime cost that have been shown may differ for other age bands.</w:t>
      </w:r>
    </w:p>
    <w:p>
      <w:pPr>
        <w:spacing w:after="0"/>
        <w:sectPr>
          <w:type w:val="continuous"/>
          <w:pgSz w:w="11910" w:h="16850"/>
          <w:pgMar w:top="1600" w:bottom="280" w:left="120" w:right="0"/>
        </w:sectPr>
      </w:pPr>
    </w:p>
    <w:p>
      <w:pPr>
        <w:pStyle w:val="BodyText"/>
      </w:pPr>
    </w:p>
    <w:p>
      <w:pPr>
        <w:pStyle w:val="BodyText"/>
      </w:pPr>
    </w:p>
    <w:p>
      <w:pPr>
        <w:pStyle w:val="BodyText"/>
        <w:spacing w:before="5"/>
        <w:rPr>
          <w:sz w:val="21"/>
        </w:rPr>
      </w:pPr>
    </w:p>
    <w:p>
      <w:pPr>
        <w:pStyle w:val="Heading9"/>
        <w:spacing w:after="44"/>
        <w:ind w:left="899" w:right="1245"/>
      </w:pPr>
      <w:r>
        <w:rPr>
          <w:color w:val="DF2F1E"/>
        </w:rPr>
        <w:t>Table 27: Average lifetime cost for 45 to 54 year old Disability Support Pension recipients split by key characteristics</w:t>
      </w:r>
    </w:p>
    <w:tbl>
      <w:tblPr>
        <w:tblW w:w="0" w:type="auto"/>
        <w:jc w:val="left"/>
        <w:tblInd w:w="1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05"/>
        <w:gridCol w:w="1037"/>
        <w:gridCol w:w="1658"/>
        <w:gridCol w:w="1574"/>
        <w:gridCol w:w="1608"/>
      </w:tblGrid>
      <w:tr>
        <w:trPr>
          <w:trHeight w:val="652" w:hRule="atLeast"/>
        </w:trPr>
        <w:tc>
          <w:tcPr>
            <w:tcW w:w="3905" w:type="dxa"/>
            <w:shd w:val="clear" w:color="auto" w:fill="DF2F1E"/>
          </w:tcPr>
          <w:p>
            <w:pPr>
              <w:pStyle w:val="TableParagraph"/>
              <w:spacing w:before="0"/>
              <w:rPr>
                <w:rFonts w:ascii="Times New Roman"/>
                <w:sz w:val="16"/>
              </w:rPr>
            </w:pPr>
          </w:p>
        </w:tc>
        <w:tc>
          <w:tcPr>
            <w:tcW w:w="1037" w:type="dxa"/>
            <w:shd w:val="clear" w:color="auto" w:fill="DF2F1E"/>
          </w:tcPr>
          <w:p>
            <w:pPr>
              <w:pStyle w:val="TableParagraph"/>
              <w:spacing w:before="44"/>
              <w:ind w:left="237" w:right="122" w:hanging="142"/>
              <w:rPr>
                <w:b/>
                <w:sz w:val="16"/>
              </w:rPr>
            </w:pPr>
            <w:r>
              <w:rPr>
                <w:b/>
                <w:color w:val="FFFFFF"/>
                <w:sz w:val="16"/>
              </w:rPr>
              <w:t>Number of people</w:t>
            </w:r>
          </w:p>
        </w:tc>
        <w:tc>
          <w:tcPr>
            <w:tcW w:w="1658" w:type="dxa"/>
            <w:shd w:val="clear" w:color="auto" w:fill="DF2F1E"/>
          </w:tcPr>
          <w:p>
            <w:pPr>
              <w:pStyle w:val="TableParagraph"/>
              <w:spacing w:before="44"/>
              <w:ind w:left="277" w:right="130" w:hanging="130"/>
              <w:rPr>
                <w:b/>
                <w:sz w:val="16"/>
              </w:rPr>
            </w:pPr>
            <w:r>
              <w:rPr>
                <w:b/>
                <w:color w:val="FFFFFF"/>
                <w:sz w:val="16"/>
              </w:rPr>
              <w:t>Number of people as % of cohort</w:t>
            </w:r>
          </w:p>
        </w:tc>
        <w:tc>
          <w:tcPr>
            <w:tcW w:w="1574" w:type="dxa"/>
            <w:shd w:val="clear" w:color="auto" w:fill="DF2F1E"/>
          </w:tcPr>
          <w:p>
            <w:pPr>
              <w:pStyle w:val="TableParagraph"/>
              <w:spacing w:before="44"/>
              <w:ind w:left="612" w:right="161" w:hanging="456"/>
              <w:rPr>
                <w:b/>
                <w:sz w:val="16"/>
              </w:rPr>
            </w:pPr>
            <w:r>
              <w:rPr>
                <w:b/>
                <w:color w:val="FFFFFF"/>
                <w:sz w:val="16"/>
              </w:rPr>
              <w:t>Average lifetime cost</w:t>
            </w:r>
          </w:p>
        </w:tc>
        <w:tc>
          <w:tcPr>
            <w:tcW w:w="1608" w:type="dxa"/>
            <w:shd w:val="clear" w:color="auto" w:fill="DF2F1E"/>
          </w:tcPr>
          <w:p>
            <w:pPr>
              <w:pStyle w:val="TableParagraph"/>
              <w:spacing w:before="44"/>
              <w:ind w:left="190" w:right="177"/>
              <w:jc w:val="center"/>
              <w:rPr>
                <w:b/>
                <w:sz w:val="16"/>
              </w:rPr>
            </w:pPr>
            <w:r>
              <w:rPr>
                <w:b/>
                <w:color w:val="FFFFFF"/>
                <w:sz w:val="16"/>
              </w:rPr>
              <w:t>Average lifetime cost relative to cohort</w:t>
            </w:r>
          </w:p>
        </w:tc>
      </w:tr>
      <w:tr>
        <w:trPr>
          <w:trHeight w:val="263" w:hRule="atLeast"/>
        </w:trPr>
        <w:tc>
          <w:tcPr>
            <w:tcW w:w="3905" w:type="dxa"/>
            <w:tcBorders>
              <w:left w:val="single" w:sz="4" w:space="0" w:color="DF2F1E"/>
              <w:bottom w:val="single" w:sz="4" w:space="0" w:color="DF2F1E"/>
            </w:tcBorders>
            <w:shd w:val="clear" w:color="auto" w:fill="F7DCE0"/>
          </w:tcPr>
          <w:p>
            <w:pPr>
              <w:pStyle w:val="TableParagraph"/>
              <w:spacing w:before="34"/>
              <w:ind w:left="107"/>
              <w:rPr>
                <w:b/>
                <w:sz w:val="16"/>
              </w:rPr>
            </w:pPr>
            <w:r>
              <w:rPr>
                <w:b/>
                <w:color w:val="404040"/>
                <w:sz w:val="16"/>
              </w:rPr>
              <w:t>Total</w:t>
            </w:r>
          </w:p>
        </w:tc>
        <w:tc>
          <w:tcPr>
            <w:tcW w:w="1037" w:type="dxa"/>
            <w:tcBorders>
              <w:bottom w:val="single" w:sz="4" w:space="0" w:color="DF2F1E"/>
            </w:tcBorders>
            <w:shd w:val="clear" w:color="auto" w:fill="F7DCE0"/>
          </w:tcPr>
          <w:p>
            <w:pPr>
              <w:pStyle w:val="TableParagraph"/>
              <w:spacing w:before="34"/>
              <w:ind w:right="250"/>
              <w:jc w:val="right"/>
              <w:rPr>
                <w:b/>
                <w:sz w:val="16"/>
              </w:rPr>
            </w:pPr>
            <w:r>
              <w:rPr>
                <w:b/>
                <w:color w:val="404040"/>
                <w:sz w:val="16"/>
              </w:rPr>
              <w:t>182,000</w:t>
            </w:r>
          </w:p>
        </w:tc>
        <w:tc>
          <w:tcPr>
            <w:tcW w:w="1658" w:type="dxa"/>
            <w:tcBorders>
              <w:bottom w:val="single" w:sz="4" w:space="0" w:color="DF2F1E"/>
            </w:tcBorders>
            <w:shd w:val="clear" w:color="auto" w:fill="F7DCE0"/>
          </w:tcPr>
          <w:p>
            <w:pPr>
              <w:pStyle w:val="TableParagraph"/>
              <w:spacing w:before="34"/>
              <w:ind w:left="623"/>
              <w:rPr>
                <w:b/>
                <w:sz w:val="16"/>
              </w:rPr>
            </w:pPr>
            <w:r>
              <w:rPr>
                <w:b/>
                <w:color w:val="404040"/>
                <w:sz w:val="16"/>
              </w:rPr>
              <w:t>100%</w:t>
            </w:r>
          </w:p>
        </w:tc>
        <w:tc>
          <w:tcPr>
            <w:tcW w:w="1574" w:type="dxa"/>
            <w:tcBorders>
              <w:bottom w:val="single" w:sz="4" w:space="0" w:color="DF2F1E"/>
            </w:tcBorders>
            <w:shd w:val="clear" w:color="auto" w:fill="F7DCE0"/>
          </w:tcPr>
          <w:p>
            <w:pPr>
              <w:pStyle w:val="TableParagraph"/>
              <w:spacing w:before="34"/>
              <w:ind w:left="468" w:right="487"/>
              <w:jc w:val="center"/>
              <w:rPr>
                <w:b/>
                <w:sz w:val="16"/>
              </w:rPr>
            </w:pPr>
            <w:r>
              <w:rPr>
                <w:b/>
                <w:color w:val="404040"/>
                <w:sz w:val="16"/>
              </w:rPr>
              <w:t>558,000</w:t>
            </w:r>
          </w:p>
        </w:tc>
        <w:tc>
          <w:tcPr>
            <w:tcW w:w="1608" w:type="dxa"/>
            <w:tcBorders>
              <w:bottom w:val="single" w:sz="4" w:space="0" w:color="DF2F1E"/>
              <w:right w:val="single" w:sz="4" w:space="0" w:color="DF2F1E"/>
            </w:tcBorders>
            <w:shd w:val="clear" w:color="auto" w:fill="F7DCE0"/>
          </w:tcPr>
          <w:p>
            <w:pPr>
              <w:pStyle w:val="TableParagraph"/>
              <w:spacing w:before="34"/>
              <w:ind w:left="581" w:right="570"/>
              <w:jc w:val="center"/>
              <w:rPr>
                <w:b/>
                <w:sz w:val="16"/>
              </w:rPr>
            </w:pPr>
            <w:r>
              <w:rPr>
                <w:b/>
                <w:color w:val="404040"/>
                <w:sz w:val="16"/>
              </w:rPr>
              <w:t>100%</w:t>
            </w:r>
          </w:p>
        </w:tc>
      </w:tr>
      <w:tr>
        <w:trPr>
          <w:trHeight w:val="262" w:hRule="atLeast"/>
        </w:trPr>
        <w:tc>
          <w:tcPr>
            <w:tcW w:w="3905" w:type="dxa"/>
            <w:tcBorders>
              <w:top w:val="single" w:sz="4" w:space="0" w:color="DF2F1E"/>
              <w:left w:val="single" w:sz="4" w:space="0" w:color="DF2F1E"/>
            </w:tcBorders>
          </w:tcPr>
          <w:p>
            <w:pPr>
              <w:pStyle w:val="TableParagraph"/>
              <w:spacing w:before="34"/>
              <w:ind w:left="107"/>
              <w:rPr>
                <w:b/>
                <w:sz w:val="16"/>
              </w:rPr>
            </w:pPr>
            <w:r>
              <w:rPr>
                <w:b/>
                <w:color w:val="404040"/>
                <w:sz w:val="16"/>
              </w:rPr>
              <w:t>DSP medical condition</w:t>
            </w:r>
          </w:p>
        </w:tc>
        <w:tc>
          <w:tcPr>
            <w:tcW w:w="1037" w:type="dxa"/>
            <w:tcBorders>
              <w:top w:val="single" w:sz="4" w:space="0" w:color="DF2F1E"/>
            </w:tcBorders>
          </w:tcPr>
          <w:p>
            <w:pPr>
              <w:pStyle w:val="TableParagraph"/>
              <w:spacing w:before="0"/>
              <w:rPr>
                <w:rFonts w:ascii="Times New Roman"/>
                <w:sz w:val="16"/>
              </w:rPr>
            </w:pPr>
          </w:p>
        </w:tc>
        <w:tc>
          <w:tcPr>
            <w:tcW w:w="1658" w:type="dxa"/>
            <w:tcBorders>
              <w:top w:val="single" w:sz="4" w:space="0" w:color="DF2F1E"/>
            </w:tcBorders>
          </w:tcPr>
          <w:p>
            <w:pPr>
              <w:pStyle w:val="TableParagraph"/>
              <w:spacing w:before="0"/>
              <w:rPr>
                <w:rFonts w:ascii="Times New Roman"/>
                <w:sz w:val="16"/>
              </w:rPr>
            </w:pPr>
          </w:p>
        </w:tc>
        <w:tc>
          <w:tcPr>
            <w:tcW w:w="1574" w:type="dxa"/>
            <w:tcBorders>
              <w:top w:val="single" w:sz="4" w:space="0" w:color="DF2F1E"/>
            </w:tcBorders>
          </w:tcPr>
          <w:p>
            <w:pPr>
              <w:pStyle w:val="TableParagraph"/>
              <w:spacing w:before="0"/>
              <w:rPr>
                <w:rFonts w:ascii="Times New Roman"/>
                <w:sz w:val="16"/>
              </w:rPr>
            </w:pPr>
          </w:p>
        </w:tc>
        <w:tc>
          <w:tcPr>
            <w:tcW w:w="1608" w:type="dxa"/>
            <w:tcBorders>
              <w:top w:val="single" w:sz="4" w:space="0" w:color="DF2F1E"/>
              <w:right w:val="single" w:sz="4" w:space="0" w:color="000000"/>
            </w:tcBorders>
          </w:tcPr>
          <w:p>
            <w:pPr>
              <w:pStyle w:val="TableParagraph"/>
              <w:spacing w:before="0"/>
              <w:rPr>
                <w:rFonts w:ascii="Times New Roman"/>
                <w:sz w:val="16"/>
              </w:rPr>
            </w:pPr>
          </w:p>
        </w:tc>
      </w:tr>
      <w:tr>
        <w:trPr>
          <w:trHeight w:val="265" w:hRule="atLeast"/>
        </w:trPr>
        <w:tc>
          <w:tcPr>
            <w:tcW w:w="3905" w:type="dxa"/>
            <w:tcBorders>
              <w:left w:val="single" w:sz="4" w:space="0" w:color="DF2F1E"/>
            </w:tcBorders>
          </w:tcPr>
          <w:p>
            <w:pPr>
              <w:pStyle w:val="TableParagraph"/>
              <w:spacing w:before="39"/>
              <w:ind w:left="287"/>
              <w:rPr>
                <w:b/>
                <w:i/>
                <w:sz w:val="16"/>
              </w:rPr>
            </w:pPr>
            <w:r>
              <w:rPr>
                <w:b/>
                <w:i/>
                <w:color w:val="404040"/>
                <w:sz w:val="16"/>
              </w:rPr>
              <w:t>- Acquired brain impairment</w:t>
            </w:r>
          </w:p>
        </w:tc>
        <w:tc>
          <w:tcPr>
            <w:tcW w:w="1037" w:type="dxa"/>
          </w:tcPr>
          <w:p>
            <w:pPr>
              <w:pStyle w:val="TableParagraph"/>
              <w:spacing w:before="39"/>
              <w:ind w:right="339"/>
              <w:jc w:val="right"/>
              <w:rPr>
                <w:sz w:val="16"/>
              </w:rPr>
            </w:pPr>
            <w:r>
              <w:rPr>
                <w:color w:val="404040"/>
                <w:sz w:val="16"/>
              </w:rPr>
              <w:t>6,000</w:t>
            </w:r>
          </w:p>
        </w:tc>
        <w:tc>
          <w:tcPr>
            <w:tcW w:w="1658" w:type="dxa"/>
          </w:tcPr>
          <w:p>
            <w:pPr>
              <w:pStyle w:val="TableParagraph"/>
              <w:spacing w:before="39"/>
              <w:ind w:left="712"/>
              <w:rPr>
                <w:sz w:val="16"/>
              </w:rPr>
            </w:pPr>
            <w:r>
              <w:rPr>
                <w:color w:val="404040"/>
                <w:sz w:val="16"/>
              </w:rPr>
              <w:t>3%</w:t>
            </w:r>
          </w:p>
        </w:tc>
        <w:tc>
          <w:tcPr>
            <w:tcW w:w="1574" w:type="dxa"/>
          </w:tcPr>
          <w:p>
            <w:pPr>
              <w:pStyle w:val="TableParagraph"/>
              <w:spacing w:before="39"/>
              <w:ind w:left="468" w:right="487"/>
              <w:jc w:val="center"/>
              <w:rPr>
                <w:sz w:val="16"/>
              </w:rPr>
            </w:pPr>
            <w:r>
              <w:rPr>
                <w:color w:val="404040"/>
                <w:sz w:val="16"/>
              </w:rPr>
              <w:t>546,000</w:t>
            </w:r>
          </w:p>
        </w:tc>
        <w:tc>
          <w:tcPr>
            <w:tcW w:w="1608" w:type="dxa"/>
            <w:tcBorders>
              <w:right w:val="single" w:sz="4" w:space="0" w:color="000000"/>
            </w:tcBorders>
          </w:tcPr>
          <w:p>
            <w:pPr>
              <w:pStyle w:val="TableParagraph"/>
              <w:spacing w:before="39"/>
              <w:ind w:left="581" w:right="568"/>
              <w:jc w:val="center"/>
              <w:rPr>
                <w:sz w:val="16"/>
              </w:rPr>
            </w:pPr>
            <w:r>
              <w:rPr>
                <w:color w:val="404040"/>
                <w:sz w:val="16"/>
              </w:rPr>
              <w:t>98%</w:t>
            </w:r>
          </w:p>
        </w:tc>
      </w:tr>
      <w:tr>
        <w:trPr>
          <w:trHeight w:val="263" w:hRule="atLeast"/>
        </w:trPr>
        <w:tc>
          <w:tcPr>
            <w:tcW w:w="3905" w:type="dxa"/>
            <w:tcBorders>
              <w:left w:val="single" w:sz="4" w:space="0" w:color="DF2F1E"/>
            </w:tcBorders>
          </w:tcPr>
          <w:p>
            <w:pPr>
              <w:pStyle w:val="TableParagraph"/>
              <w:ind w:left="287"/>
              <w:rPr>
                <w:b/>
                <w:i/>
                <w:sz w:val="16"/>
              </w:rPr>
            </w:pPr>
            <w:r>
              <w:rPr>
                <w:b/>
                <w:i/>
                <w:color w:val="404040"/>
                <w:sz w:val="16"/>
              </w:rPr>
              <w:t>- Cancer / tumour</w:t>
            </w:r>
          </w:p>
        </w:tc>
        <w:tc>
          <w:tcPr>
            <w:tcW w:w="1037" w:type="dxa"/>
          </w:tcPr>
          <w:p>
            <w:pPr>
              <w:pStyle w:val="TableParagraph"/>
              <w:ind w:right="339"/>
              <w:jc w:val="right"/>
              <w:rPr>
                <w:sz w:val="16"/>
              </w:rPr>
            </w:pPr>
            <w:r>
              <w:rPr>
                <w:color w:val="404040"/>
                <w:sz w:val="16"/>
              </w:rPr>
              <w:t>4,000</w:t>
            </w:r>
          </w:p>
        </w:tc>
        <w:tc>
          <w:tcPr>
            <w:tcW w:w="1658" w:type="dxa"/>
          </w:tcPr>
          <w:p>
            <w:pPr>
              <w:pStyle w:val="TableParagraph"/>
              <w:ind w:left="712"/>
              <w:rPr>
                <w:sz w:val="16"/>
              </w:rPr>
            </w:pPr>
            <w:r>
              <w:rPr>
                <w:color w:val="404040"/>
                <w:sz w:val="16"/>
              </w:rPr>
              <w:t>2%</w:t>
            </w:r>
          </w:p>
        </w:tc>
        <w:tc>
          <w:tcPr>
            <w:tcW w:w="1574" w:type="dxa"/>
          </w:tcPr>
          <w:p>
            <w:pPr>
              <w:pStyle w:val="TableParagraph"/>
              <w:ind w:left="468" w:right="487"/>
              <w:jc w:val="center"/>
              <w:rPr>
                <w:sz w:val="16"/>
              </w:rPr>
            </w:pPr>
            <w:r>
              <w:rPr>
                <w:color w:val="404040"/>
                <w:sz w:val="16"/>
              </w:rPr>
              <w:t>171,000</w:t>
            </w:r>
          </w:p>
        </w:tc>
        <w:tc>
          <w:tcPr>
            <w:tcW w:w="1608" w:type="dxa"/>
            <w:tcBorders>
              <w:right w:val="single" w:sz="4" w:space="0" w:color="000000"/>
            </w:tcBorders>
          </w:tcPr>
          <w:p>
            <w:pPr>
              <w:pStyle w:val="TableParagraph"/>
              <w:ind w:left="581" w:right="568"/>
              <w:jc w:val="center"/>
              <w:rPr>
                <w:sz w:val="16"/>
              </w:rPr>
            </w:pPr>
            <w:r>
              <w:rPr>
                <w:color w:val="404040"/>
                <w:sz w:val="16"/>
              </w:rPr>
              <w:t>31%</w:t>
            </w:r>
          </w:p>
        </w:tc>
      </w:tr>
      <w:tr>
        <w:trPr>
          <w:trHeight w:val="264" w:hRule="atLeast"/>
        </w:trPr>
        <w:tc>
          <w:tcPr>
            <w:tcW w:w="3905" w:type="dxa"/>
            <w:tcBorders>
              <w:left w:val="single" w:sz="4" w:space="0" w:color="DF2F1E"/>
            </w:tcBorders>
          </w:tcPr>
          <w:p>
            <w:pPr>
              <w:pStyle w:val="TableParagraph"/>
              <w:ind w:left="287"/>
              <w:rPr>
                <w:b/>
                <w:i/>
                <w:sz w:val="16"/>
              </w:rPr>
            </w:pPr>
            <w:r>
              <w:rPr>
                <w:b/>
                <w:i/>
                <w:color w:val="404040"/>
                <w:sz w:val="16"/>
              </w:rPr>
              <w:t>- Circulatory &amp; respiratory system</w:t>
            </w:r>
          </w:p>
        </w:tc>
        <w:tc>
          <w:tcPr>
            <w:tcW w:w="1037" w:type="dxa"/>
          </w:tcPr>
          <w:p>
            <w:pPr>
              <w:pStyle w:val="TableParagraph"/>
              <w:ind w:right="339"/>
              <w:jc w:val="right"/>
              <w:rPr>
                <w:sz w:val="16"/>
              </w:rPr>
            </w:pPr>
            <w:r>
              <w:rPr>
                <w:color w:val="404040"/>
                <w:sz w:val="16"/>
              </w:rPr>
              <w:t>7,000</w:t>
            </w:r>
          </w:p>
        </w:tc>
        <w:tc>
          <w:tcPr>
            <w:tcW w:w="1658" w:type="dxa"/>
          </w:tcPr>
          <w:p>
            <w:pPr>
              <w:pStyle w:val="TableParagraph"/>
              <w:ind w:left="712"/>
              <w:rPr>
                <w:sz w:val="16"/>
              </w:rPr>
            </w:pPr>
            <w:r>
              <w:rPr>
                <w:color w:val="404040"/>
                <w:sz w:val="16"/>
              </w:rPr>
              <w:t>4%</w:t>
            </w:r>
          </w:p>
        </w:tc>
        <w:tc>
          <w:tcPr>
            <w:tcW w:w="1574" w:type="dxa"/>
          </w:tcPr>
          <w:p>
            <w:pPr>
              <w:pStyle w:val="TableParagraph"/>
              <w:ind w:left="468" w:right="487"/>
              <w:jc w:val="center"/>
              <w:rPr>
                <w:sz w:val="16"/>
              </w:rPr>
            </w:pPr>
            <w:r>
              <w:rPr>
                <w:color w:val="404040"/>
                <w:sz w:val="16"/>
              </w:rPr>
              <w:t>540,000</w:t>
            </w:r>
          </w:p>
        </w:tc>
        <w:tc>
          <w:tcPr>
            <w:tcW w:w="1608" w:type="dxa"/>
            <w:tcBorders>
              <w:right w:val="single" w:sz="4" w:space="0" w:color="000000"/>
            </w:tcBorders>
          </w:tcPr>
          <w:p>
            <w:pPr>
              <w:pStyle w:val="TableParagraph"/>
              <w:ind w:left="581" w:right="568"/>
              <w:jc w:val="center"/>
              <w:rPr>
                <w:sz w:val="16"/>
              </w:rPr>
            </w:pPr>
            <w:r>
              <w:rPr>
                <w:color w:val="404040"/>
                <w:sz w:val="16"/>
              </w:rPr>
              <w:t>97%</w:t>
            </w:r>
          </w:p>
        </w:tc>
      </w:tr>
      <w:tr>
        <w:trPr>
          <w:trHeight w:val="264" w:hRule="atLeast"/>
        </w:trPr>
        <w:tc>
          <w:tcPr>
            <w:tcW w:w="3905" w:type="dxa"/>
            <w:tcBorders>
              <w:left w:val="single" w:sz="4" w:space="0" w:color="DF2F1E"/>
            </w:tcBorders>
          </w:tcPr>
          <w:p>
            <w:pPr>
              <w:pStyle w:val="TableParagraph"/>
              <w:ind w:right="204"/>
              <w:jc w:val="right"/>
              <w:rPr>
                <w:b/>
                <w:i/>
                <w:sz w:val="16"/>
              </w:rPr>
            </w:pPr>
            <w:r>
              <w:rPr>
                <w:b/>
                <w:i/>
                <w:color w:val="404040"/>
                <w:sz w:val="16"/>
              </w:rPr>
              <w:t>- Congenital anomalies &amp; inherited disorders</w:t>
            </w:r>
          </w:p>
        </w:tc>
        <w:tc>
          <w:tcPr>
            <w:tcW w:w="1037" w:type="dxa"/>
          </w:tcPr>
          <w:p>
            <w:pPr>
              <w:pStyle w:val="TableParagraph"/>
              <w:ind w:right="339"/>
              <w:jc w:val="right"/>
              <w:rPr>
                <w:sz w:val="16"/>
              </w:rPr>
            </w:pPr>
            <w:r>
              <w:rPr>
                <w:color w:val="404040"/>
                <w:sz w:val="16"/>
              </w:rPr>
              <w:t>3,000</w:t>
            </w:r>
          </w:p>
        </w:tc>
        <w:tc>
          <w:tcPr>
            <w:tcW w:w="1658" w:type="dxa"/>
          </w:tcPr>
          <w:p>
            <w:pPr>
              <w:pStyle w:val="TableParagraph"/>
              <w:ind w:left="712"/>
              <w:rPr>
                <w:sz w:val="16"/>
              </w:rPr>
            </w:pPr>
            <w:r>
              <w:rPr>
                <w:color w:val="404040"/>
                <w:sz w:val="16"/>
              </w:rPr>
              <w:t>1%</w:t>
            </w:r>
          </w:p>
        </w:tc>
        <w:tc>
          <w:tcPr>
            <w:tcW w:w="1574" w:type="dxa"/>
          </w:tcPr>
          <w:p>
            <w:pPr>
              <w:pStyle w:val="TableParagraph"/>
              <w:ind w:left="468" w:right="487"/>
              <w:jc w:val="center"/>
              <w:rPr>
                <w:sz w:val="16"/>
              </w:rPr>
            </w:pPr>
            <w:r>
              <w:rPr>
                <w:color w:val="404040"/>
                <w:sz w:val="16"/>
              </w:rPr>
              <w:t>582,000</w:t>
            </w:r>
          </w:p>
        </w:tc>
        <w:tc>
          <w:tcPr>
            <w:tcW w:w="1608" w:type="dxa"/>
            <w:tcBorders>
              <w:right w:val="single" w:sz="4" w:space="0" w:color="000000"/>
            </w:tcBorders>
          </w:tcPr>
          <w:p>
            <w:pPr>
              <w:pStyle w:val="TableParagraph"/>
              <w:ind w:left="581" w:right="570"/>
              <w:jc w:val="center"/>
              <w:rPr>
                <w:sz w:val="16"/>
              </w:rPr>
            </w:pPr>
            <w:r>
              <w:rPr>
                <w:color w:val="404040"/>
                <w:sz w:val="16"/>
              </w:rPr>
              <w:t>104%</w:t>
            </w:r>
          </w:p>
        </w:tc>
      </w:tr>
      <w:tr>
        <w:trPr>
          <w:trHeight w:val="263" w:hRule="atLeast"/>
        </w:trPr>
        <w:tc>
          <w:tcPr>
            <w:tcW w:w="3905" w:type="dxa"/>
            <w:tcBorders>
              <w:left w:val="single" w:sz="4" w:space="0" w:color="DF2F1E"/>
            </w:tcBorders>
          </w:tcPr>
          <w:p>
            <w:pPr>
              <w:pStyle w:val="TableParagraph"/>
              <w:ind w:left="287"/>
              <w:rPr>
                <w:b/>
                <w:i/>
                <w:sz w:val="16"/>
              </w:rPr>
            </w:pPr>
            <w:r>
              <w:rPr>
                <w:b/>
                <w:i/>
                <w:color w:val="404040"/>
                <w:sz w:val="16"/>
              </w:rPr>
              <w:t>- Intellectual/learning</w:t>
            </w:r>
          </w:p>
        </w:tc>
        <w:tc>
          <w:tcPr>
            <w:tcW w:w="1037" w:type="dxa"/>
          </w:tcPr>
          <w:p>
            <w:pPr>
              <w:pStyle w:val="TableParagraph"/>
              <w:ind w:right="293"/>
              <w:jc w:val="right"/>
              <w:rPr>
                <w:sz w:val="16"/>
              </w:rPr>
            </w:pPr>
            <w:r>
              <w:rPr>
                <w:color w:val="404040"/>
                <w:sz w:val="16"/>
              </w:rPr>
              <w:t>18,000</w:t>
            </w:r>
          </w:p>
        </w:tc>
        <w:tc>
          <w:tcPr>
            <w:tcW w:w="1658" w:type="dxa"/>
          </w:tcPr>
          <w:p>
            <w:pPr>
              <w:pStyle w:val="TableParagraph"/>
              <w:ind w:left="669"/>
              <w:rPr>
                <w:sz w:val="16"/>
              </w:rPr>
            </w:pPr>
            <w:r>
              <w:rPr>
                <w:color w:val="404040"/>
                <w:sz w:val="16"/>
              </w:rPr>
              <w:t>10%</w:t>
            </w:r>
          </w:p>
        </w:tc>
        <w:tc>
          <w:tcPr>
            <w:tcW w:w="1574" w:type="dxa"/>
          </w:tcPr>
          <w:p>
            <w:pPr>
              <w:pStyle w:val="TableParagraph"/>
              <w:ind w:left="468" w:right="487"/>
              <w:jc w:val="center"/>
              <w:rPr>
                <w:sz w:val="16"/>
              </w:rPr>
            </w:pPr>
            <w:r>
              <w:rPr>
                <w:color w:val="404040"/>
                <w:sz w:val="16"/>
              </w:rPr>
              <w:t>585,000</w:t>
            </w:r>
          </w:p>
        </w:tc>
        <w:tc>
          <w:tcPr>
            <w:tcW w:w="1608" w:type="dxa"/>
            <w:tcBorders>
              <w:right w:val="single" w:sz="4" w:space="0" w:color="000000"/>
            </w:tcBorders>
          </w:tcPr>
          <w:p>
            <w:pPr>
              <w:pStyle w:val="TableParagraph"/>
              <w:ind w:left="581" w:right="570"/>
              <w:jc w:val="center"/>
              <w:rPr>
                <w:sz w:val="16"/>
              </w:rPr>
            </w:pPr>
            <w:r>
              <w:rPr>
                <w:color w:val="404040"/>
                <w:sz w:val="16"/>
              </w:rPr>
              <w:t>105%</w:t>
            </w:r>
          </w:p>
        </w:tc>
      </w:tr>
      <w:tr>
        <w:trPr>
          <w:trHeight w:val="264" w:hRule="atLeast"/>
        </w:trPr>
        <w:tc>
          <w:tcPr>
            <w:tcW w:w="3905" w:type="dxa"/>
            <w:tcBorders>
              <w:left w:val="single" w:sz="4" w:space="0" w:color="DF2F1E"/>
            </w:tcBorders>
          </w:tcPr>
          <w:p>
            <w:pPr>
              <w:pStyle w:val="TableParagraph"/>
              <w:ind w:left="287"/>
              <w:rPr>
                <w:b/>
                <w:i/>
                <w:sz w:val="16"/>
              </w:rPr>
            </w:pPr>
            <w:r>
              <w:rPr>
                <w:b/>
                <w:i/>
                <w:color w:val="404040"/>
                <w:sz w:val="16"/>
              </w:rPr>
              <w:t>- Musculo-skeletal &amp; connective tissue</w:t>
            </w:r>
          </w:p>
        </w:tc>
        <w:tc>
          <w:tcPr>
            <w:tcW w:w="1037" w:type="dxa"/>
          </w:tcPr>
          <w:p>
            <w:pPr>
              <w:pStyle w:val="TableParagraph"/>
              <w:ind w:right="293"/>
              <w:jc w:val="right"/>
              <w:rPr>
                <w:sz w:val="16"/>
              </w:rPr>
            </w:pPr>
            <w:r>
              <w:rPr>
                <w:color w:val="404040"/>
                <w:sz w:val="16"/>
              </w:rPr>
              <w:t>36,000</w:t>
            </w:r>
          </w:p>
        </w:tc>
        <w:tc>
          <w:tcPr>
            <w:tcW w:w="1658" w:type="dxa"/>
          </w:tcPr>
          <w:p>
            <w:pPr>
              <w:pStyle w:val="TableParagraph"/>
              <w:ind w:left="669"/>
              <w:rPr>
                <w:sz w:val="16"/>
              </w:rPr>
            </w:pPr>
            <w:r>
              <w:rPr>
                <w:color w:val="404040"/>
                <w:sz w:val="16"/>
              </w:rPr>
              <w:t>20%</w:t>
            </w:r>
          </w:p>
        </w:tc>
        <w:tc>
          <w:tcPr>
            <w:tcW w:w="1574" w:type="dxa"/>
          </w:tcPr>
          <w:p>
            <w:pPr>
              <w:pStyle w:val="TableParagraph"/>
              <w:ind w:left="468" w:right="487"/>
              <w:jc w:val="center"/>
              <w:rPr>
                <w:sz w:val="16"/>
              </w:rPr>
            </w:pPr>
            <w:r>
              <w:rPr>
                <w:color w:val="404040"/>
                <w:sz w:val="16"/>
              </w:rPr>
              <w:t>547,000</w:t>
            </w:r>
          </w:p>
        </w:tc>
        <w:tc>
          <w:tcPr>
            <w:tcW w:w="1608" w:type="dxa"/>
            <w:tcBorders>
              <w:right w:val="single" w:sz="4" w:space="0" w:color="000000"/>
            </w:tcBorders>
          </w:tcPr>
          <w:p>
            <w:pPr>
              <w:pStyle w:val="TableParagraph"/>
              <w:ind w:left="581" w:right="568"/>
              <w:jc w:val="center"/>
              <w:rPr>
                <w:sz w:val="16"/>
              </w:rPr>
            </w:pPr>
            <w:r>
              <w:rPr>
                <w:color w:val="404040"/>
                <w:sz w:val="16"/>
              </w:rPr>
              <w:t>98%</w:t>
            </w:r>
          </w:p>
        </w:tc>
      </w:tr>
      <w:tr>
        <w:trPr>
          <w:trHeight w:val="263" w:hRule="atLeast"/>
        </w:trPr>
        <w:tc>
          <w:tcPr>
            <w:tcW w:w="3905" w:type="dxa"/>
            <w:tcBorders>
              <w:left w:val="single" w:sz="4" w:space="0" w:color="DF2F1E"/>
            </w:tcBorders>
          </w:tcPr>
          <w:p>
            <w:pPr>
              <w:pStyle w:val="TableParagraph"/>
              <w:ind w:left="287"/>
              <w:rPr>
                <w:b/>
                <w:i/>
                <w:sz w:val="16"/>
              </w:rPr>
            </w:pPr>
            <w:r>
              <w:rPr>
                <w:b/>
                <w:i/>
                <w:color w:val="404040"/>
                <w:sz w:val="16"/>
              </w:rPr>
              <w:t>- Nervous system</w:t>
            </w:r>
          </w:p>
        </w:tc>
        <w:tc>
          <w:tcPr>
            <w:tcW w:w="1037" w:type="dxa"/>
          </w:tcPr>
          <w:p>
            <w:pPr>
              <w:pStyle w:val="TableParagraph"/>
              <w:ind w:right="293"/>
              <w:jc w:val="right"/>
              <w:rPr>
                <w:sz w:val="16"/>
              </w:rPr>
            </w:pPr>
            <w:r>
              <w:rPr>
                <w:color w:val="404040"/>
                <w:sz w:val="16"/>
              </w:rPr>
              <w:t>10,000</w:t>
            </w:r>
          </w:p>
        </w:tc>
        <w:tc>
          <w:tcPr>
            <w:tcW w:w="1658" w:type="dxa"/>
          </w:tcPr>
          <w:p>
            <w:pPr>
              <w:pStyle w:val="TableParagraph"/>
              <w:ind w:left="712"/>
              <w:rPr>
                <w:sz w:val="16"/>
              </w:rPr>
            </w:pPr>
            <w:r>
              <w:rPr>
                <w:color w:val="404040"/>
                <w:sz w:val="16"/>
              </w:rPr>
              <w:t>5%</w:t>
            </w:r>
          </w:p>
        </w:tc>
        <w:tc>
          <w:tcPr>
            <w:tcW w:w="1574" w:type="dxa"/>
          </w:tcPr>
          <w:p>
            <w:pPr>
              <w:pStyle w:val="TableParagraph"/>
              <w:ind w:left="468" w:right="487"/>
              <w:jc w:val="center"/>
              <w:rPr>
                <w:sz w:val="16"/>
              </w:rPr>
            </w:pPr>
            <w:r>
              <w:rPr>
                <w:color w:val="404040"/>
                <w:sz w:val="16"/>
              </w:rPr>
              <w:t>563,000</w:t>
            </w:r>
          </w:p>
        </w:tc>
        <w:tc>
          <w:tcPr>
            <w:tcW w:w="1608" w:type="dxa"/>
            <w:tcBorders>
              <w:right w:val="single" w:sz="4" w:space="0" w:color="000000"/>
            </w:tcBorders>
          </w:tcPr>
          <w:p>
            <w:pPr>
              <w:pStyle w:val="TableParagraph"/>
              <w:ind w:left="581" w:right="570"/>
              <w:jc w:val="center"/>
              <w:rPr>
                <w:sz w:val="16"/>
              </w:rPr>
            </w:pPr>
            <w:r>
              <w:rPr>
                <w:color w:val="404040"/>
                <w:sz w:val="16"/>
              </w:rPr>
              <w:t>101%</w:t>
            </w:r>
          </w:p>
        </w:tc>
      </w:tr>
      <w:tr>
        <w:trPr>
          <w:trHeight w:val="264" w:hRule="atLeast"/>
        </w:trPr>
        <w:tc>
          <w:tcPr>
            <w:tcW w:w="3905" w:type="dxa"/>
            <w:tcBorders>
              <w:left w:val="single" w:sz="4" w:space="0" w:color="DF2F1E"/>
            </w:tcBorders>
          </w:tcPr>
          <w:p>
            <w:pPr>
              <w:pStyle w:val="TableParagraph"/>
              <w:ind w:left="287"/>
              <w:rPr>
                <w:b/>
                <w:i/>
                <w:sz w:val="16"/>
              </w:rPr>
            </w:pPr>
            <w:r>
              <w:rPr>
                <w:b/>
                <w:i/>
                <w:color w:val="404040"/>
                <w:sz w:val="16"/>
              </w:rPr>
              <w:t>- Poorly defined cause / chronic pain</w:t>
            </w:r>
          </w:p>
        </w:tc>
        <w:tc>
          <w:tcPr>
            <w:tcW w:w="1037" w:type="dxa"/>
          </w:tcPr>
          <w:p>
            <w:pPr>
              <w:pStyle w:val="TableParagraph"/>
              <w:ind w:right="339"/>
              <w:jc w:val="right"/>
              <w:rPr>
                <w:sz w:val="16"/>
              </w:rPr>
            </w:pPr>
            <w:r>
              <w:rPr>
                <w:color w:val="404040"/>
                <w:sz w:val="16"/>
              </w:rPr>
              <w:t>7,000</w:t>
            </w:r>
          </w:p>
        </w:tc>
        <w:tc>
          <w:tcPr>
            <w:tcW w:w="1658" w:type="dxa"/>
          </w:tcPr>
          <w:p>
            <w:pPr>
              <w:pStyle w:val="TableParagraph"/>
              <w:ind w:left="712"/>
              <w:rPr>
                <w:sz w:val="16"/>
              </w:rPr>
            </w:pPr>
            <w:r>
              <w:rPr>
                <w:color w:val="404040"/>
                <w:sz w:val="16"/>
              </w:rPr>
              <w:t>4%</w:t>
            </w:r>
          </w:p>
        </w:tc>
        <w:tc>
          <w:tcPr>
            <w:tcW w:w="1574" w:type="dxa"/>
          </w:tcPr>
          <w:p>
            <w:pPr>
              <w:pStyle w:val="TableParagraph"/>
              <w:ind w:left="468" w:right="487"/>
              <w:jc w:val="center"/>
              <w:rPr>
                <w:sz w:val="16"/>
              </w:rPr>
            </w:pPr>
            <w:r>
              <w:rPr>
                <w:color w:val="404040"/>
                <w:sz w:val="16"/>
              </w:rPr>
              <w:t>563,000</w:t>
            </w:r>
          </w:p>
        </w:tc>
        <w:tc>
          <w:tcPr>
            <w:tcW w:w="1608" w:type="dxa"/>
            <w:tcBorders>
              <w:right w:val="single" w:sz="4" w:space="0" w:color="000000"/>
            </w:tcBorders>
          </w:tcPr>
          <w:p>
            <w:pPr>
              <w:pStyle w:val="TableParagraph"/>
              <w:ind w:left="581" w:right="570"/>
              <w:jc w:val="center"/>
              <w:rPr>
                <w:sz w:val="16"/>
              </w:rPr>
            </w:pPr>
            <w:r>
              <w:rPr>
                <w:color w:val="404040"/>
                <w:sz w:val="16"/>
              </w:rPr>
              <w:t>101%</w:t>
            </w:r>
          </w:p>
        </w:tc>
      </w:tr>
      <w:tr>
        <w:trPr>
          <w:trHeight w:val="264" w:hRule="atLeast"/>
        </w:trPr>
        <w:tc>
          <w:tcPr>
            <w:tcW w:w="3905" w:type="dxa"/>
            <w:tcBorders>
              <w:left w:val="single" w:sz="4" w:space="0" w:color="DF2F1E"/>
            </w:tcBorders>
          </w:tcPr>
          <w:p>
            <w:pPr>
              <w:pStyle w:val="TableParagraph"/>
              <w:ind w:left="287"/>
              <w:rPr>
                <w:b/>
                <w:i/>
                <w:sz w:val="16"/>
              </w:rPr>
            </w:pPr>
            <w:r>
              <w:rPr>
                <w:b/>
                <w:i/>
                <w:color w:val="404040"/>
                <w:sz w:val="16"/>
              </w:rPr>
              <w:t>- Psychological / psychiatric</w:t>
            </w:r>
          </w:p>
        </w:tc>
        <w:tc>
          <w:tcPr>
            <w:tcW w:w="1037" w:type="dxa"/>
          </w:tcPr>
          <w:p>
            <w:pPr>
              <w:pStyle w:val="TableParagraph"/>
              <w:ind w:right="293"/>
              <w:jc w:val="right"/>
              <w:rPr>
                <w:sz w:val="16"/>
              </w:rPr>
            </w:pPr>
            <w:r>
              <w:rPr>
                <w:color w:val="404040"/>
                <w:sz w:val="16"/>
              </w:rPr>
              <w:t>73,000</w:t>
            </w:r>
          </w:p>
        </w:tc>
        <w:tc>
          <w:tcPr>
            <w:tcW w:w="1658" w:type="dxa"/>
          </w:tcPr>
          <w:p>
            <w:pPr>
              <w:pStyle w:val="TableParagraph"/>
              <w:ind w:left="669"/>
              <w:rPr>
                <w:sz w:val="16"/>
              </w:rPr>
            </w:pPr>
            <w:r>
              <w:rPr>
                <w:color w:val="404040"/>
                <w:sz w:val="16"/>
              </w:rPr>
              <w:t>40%</w:t>
            </w:r>
          </w:p>
        </w:tc>
        <w:tc>
          <w:tcPr>
            <w:tcW w:w="1574" w:type="dxa"/>
          </w:tcPr>
          <w:p>
            <w:pPr>
              <w:pStyle w:val="TableParagraph"/>
              <w:ind w:left="468" w:right="487"/>
              <w:jc w:val="center"/>
              <w:rPr>
                <w:sz w:val="16"/>
              </w:rPr>
            </w:pPr>
            <w:r>
              <w:rPr>
                <w:color w:val="404040"/>
                <w:sz w:val="16"/>
              </w:rPr>
              <w:t>577,000</w:t>
            </w:r>
          </w:p>
        </w:tc>
        <w:tc>
          <w:tcPr>
            <w:tcW w:w="1608" w:type="dxa"/>
            <w:tcBorders>
              <w:right w:val="single" w:sz="4" w:space="0" w:color="000000"/>
            </w:tcBorders>
          </w:tcPr>
          <w:p>
            <w:pPr>
              <w:pStyle w:val="TableParagraph"/>
              <w:ind w:left="581" w:right="570"/>
              <w:jc w:val="center"/>
              <w:rPr>
                <w:sz w:val="16"/>
              </w:rPr>
            </w:pPr>
            <w:r>
              <w:rPr>
                <w:color w:val="404040"/>
                <w:sz w:val="16"/>
              </w:rPr>
              <w:t>103%</w:t>
            </w:r>
          </w:p>
        </w:tc>
      </w:tr>
      <w:tr>
        <w:trPr>
          <w:trHeight w:val="264" w:hRule="atLeast"/>
        </w:trPr>
        <w:tc>
          <w:tcPr>
            <w:tcW w:w="3905" w:type="dxa"/>
            <w:tcBorders>
              <w:left w:val="single" w:sz="4" w:space="0" w:color="DF2F1E"/>
              <w:bottom w:val="single" w:sz="4" w:space="0" w:color="DF2F1E"/>
            </w:tcBorders>
          </w:tcPr>
          <w:p>
            <w:pPr>
              <w:pStyle w:val="TableParagraph"/>
              <w:ind w:left="287"/>
              <w:rPr>
                <w:b/>
                <w:i/>
                <w:sz w:val="16"/>
              </w:rPr>
            </w:pPr>
            <w:r>
              <w:rPr>
                <w:b/>
                <w:i/>
                <w:color w:val="404040"/>
                <w:sz w:val="16"/>
              </w:rPr>
              <w:t>- Other</w:t>
            </w:r>
          </w:p>
        </w:tc>
        <w:tc>
          <w:tcPr>
            <w:tcW w:w="1037" w:type="dxa"/>
            <w:tcBorders>
              <w:bottom w:val="single" w:sz="4" w:space="0" w:color="DF2F1E"/>
            </w:tcBorders>
          </w:tcPr>
          <w:p>
            <w:pPr>
              <w:pStyle w:val="TableParagraph"/>
              <w:ind w:right="293"/>
              <w:jc w:val="right"/>
              <w:rPr>
                <w:sz w:val="16"/>
              </w:rPr>
            </w:pPr>
            <w:r>
              <w:rPr>
                <w:color w:val="404040"/>
                <w:sz w:val="16"/>
              </w:rPr>
              <w:t>18,000</w:t>
            </w:r>
          </w:p>
        </w:tc>
        <w:tc>
          <w:tcPr>
            <w:tcW w:w="1658" w:type="dxa"/>
            <w:tcBorders>
              <w:bottom w:val="single" w:sz="4" w:space="0" w:color="DF2F1E"/>
            </w:tcBorders>
          </w:tcPr>
          <w:p>
            <w:pPr>
              <w:pStyle w:val="TableParagraph"/>
              <w:ind w:left="669"/>
              <w:rPr>
                <w:sz w:val="16"/>
              </w:rPr>
            </w:pPr>
            <w:r>
              <w:rPr>
                <w:color w:val="404040"/>
                <w:sz w:val="16"/>
              </w:rPr>
              <w:t>10%</w:t>
            </w:r>
          </w:p>
        </w:tc>
        <w:tc>
          <w:tcPr>
            <w:tcW w:w="1574" w:type="dxa"/>
            <w:tcBorders>
              <w:bottom w:val="single" w:sz="4" w:space="0" w:color="DF2F1E"/>
            </w:tcBorders>
          </w:tcPr>
          <w:p>
            <w:pPr>
              <w:pStyle w:val="TableParagraph"/>
              <w:ind w:left="468" w:right="487"/>
              <w:jc w:val="center"/>
              <w:rPr>
                <w:sz w:val="16"/>
              </w:rPr>
            </w:pPr>
            <w:r>
              <w:rPr>
                <w:color w:val="404040"/>
                <w:sz w:val="16"/>
              </w:rPr>
              <w:t>556,000</w:t>
            </w:r>
          </w:p>
        </w:tc>
        <w:tc>
          <w:tcPr>
            <w:tcW w:w="1608" w:type="dxa"/>
            <w:tcBorders>
              <w:bottom w:val="single" w:sz="4" w:space="0" w:color="DF2F1E"/>
              <w:right w:val="single" w:sz="4" w:space="0" w:color="000000"/>
            </w:tcBorders>
          </w:tcPr>
          <w:p>
            <w:pPr>
              <w:pStyle w:val="TableParagraph"/>
              <w:ind w:left="581" w:right="570"/>
              <w:jc w:val="center"/>
              <w:rPr>
                <w:sz w:val="16"/>
              </w:rPr>
            </w:pPr>
            <w:r>
              <w:rPr>
                <w:color w:val="404040"/>
                <w:sz w:val="16"/>
              </w:rPr>
              <w:t>100%</w:t>
            </w:r>
          </w:p>
        </w:tc>
      </w:tr>
      <w:tr>
        <w:trPr>
          <w:trHeight w:val="262" w:hRule="atLeast"/>
        </w:trPr>
        <w:tc>
          <w:tcPr>
            <w:tcW w:w="3905" w:type="dxa"/>
            <w:tcBorders>
              <w:top w:val="single" w:sz="4" w:space="0" w:color="DF2F1E"/>
              <w:left w:val="single" w:sz="4" w:space="0" w:color="DF2F1E"/>
            </w:tcBorders>
          </w:tcPr>
          <w:p>
            <w:pPr>
              <w:pStyle w:val="TableParagraph"/>
              <w:spacing w:before="34"/>
              <w:ind w:left="107"/>
              <w:rPr>
                <w:b/>
                <w:sz w:val="16"/>
              </w:rPr>
            </w:pPr>
            <w:r>
              <w:rPr>
                <w:b/>
                <w:color w:val="404040"/>
                <w:sz w:val="16"/>
              </w:rPr>
              <w:t>Earnings</w:t>
            </w:r>
          </w:p>
        </w:tc>
        <w:tc>
          <w:tcPr>
            <w:tcW w:w="1037" w:type="dxa"/>
            <w:tcBorders>
              <w:top w:val="single" w:sz="4" w:space="0" w:color="DF2F1E"/>
            </w:tcBorders>
          </w:tcPr>
          <w:p>
            <w:pPr>
              <w:pStyle w:val="TableParagraph"/>
              <w:spacing w:before="0"/>
              <w:rPr>
                <w:rFonts w:ascii="Times New Roman"/>
                <w:sz w:val="16"/>
              </w:rPr>
            </w:pPr>
          </w:p>
        </w:tc>
        <w:tc>
          <w:tcPr>
            <w:tcW w:w="1658" w:type="dxa"/>
            <w:tcBorders>
              <w:top w:val="single" w:sz="4" w:space="0" w:color="DF2F1E"/>
            </w:tcBorders>
          </w:tcPr>
          <w:p>
            <w:pPr>
              <w:pStyle w:val="TableParagraph"/>
              <w:spacing w:before="0"/>
              <w:rPr>
                <w:rFonts w:ascii="Times New Roman"/>
                <w:sz w:val="16"/>
              </w:rPr>
            </w:pPr>
          </w:p>
        </w:tc>
        <w:tc>
          <w:tcPr>
            <w:tcW w:w="1574" w:type="dxa"/>
            <w:tcBorders>
              <w:top w:val="single" w:sz="4" w:space="0" w:color="DF2F1E"/>
            </w:tcBorders>
          </w:tcPr>
          <w:p>
            <w:pPr>
              <w:pStyle w:val="TableParagraph"/>
              <w:spacing w:before="0"/>
              <w:rPr>
                <w:rFonts w:ascii="Times New Roman"/>
                <w:sz w:val="16"/>
              </w:rPr>
            </w:pPr>
          </w:p>
        </w:tc>
        <w:tc>
          <w:tcPr>
            <w:tcW w:w="1608" w:type="dxa"/>
            <w:tcBorders>
              <w:top w:val="single" w:sz="4" w:space="0" w:color="DF2F1E"/>
              <w:right w:val="single" w:sz="4" w:space="0" w:color="DF2F1E"/>
            </w:tcBorders>
          </w:tcPr>
          <w:p>
            <w:pPr>
              <w:pStyle w:val="TableParagraph"/>
              <w:spacing w:before="0"/>
              <w:rPr>
                <w:rFonts w:ascii="Times New Roman"/>
                <w:sz w:val="16"/>
              </w:rPr>
            </w:pPr>
          </w:p>
        </w:tc>
      </w:tr>
      <w:tr>
        <w:trPr>
          <w:trHeight w:val="265" w:hRule="atLeast"/>
        </w:trPr>
        <w:tc>
          <w:tcPr>
            <w:tcW w:w="3905" w:type="dxa"/>
            <w:tcBorders>
              <w:left w:val="single" w:sz="4" w:space="0" w:color="DF2F1E"/>
            </w:tcBorders>
          </w:tcPr>
          <w:p>
            <w:pPr>
              <w:pStyle w:val="TableParagraph"/>
              <w:spacing w:before="39"/>
              <w:ind w:left="287"/>
              <w:rPr>
                <w:b/>
                <w:i/>
                <w:sz w:val="16"/>
              </w:rPr>
            </w:pPr>
            <w:r>
              <w:rPr>
                <w:b/>
                <w:i/>
                <w:color w:val="404040"/>
                <w:sz w:val="16"/>
              </w:rPr>
              <w:t>- No earnings</w:t>
            </w:r>
          </w:p>
        </w:tc>
        <w:tc>
          <w:tcPr>
            <w:tcW w:w="1037" w:type="dxa"/>
          </w:tcPr>
          <w:p>
            <w:pPr>
              <w:pStyle w:val="TableParagraph"/>
              <w:spacing w:before="39"/>
              <w:ind w:right="250"/>
              <w:jc w:val="right"/>
              <w:rPr>
                <w:sz w:val="16"/>
              </w:rPr>
            </w:pPr>
            <w:r>
              <w:rPr>
                <w:color w:val="404040"/>
                <w:sz w:val="16"/>
              </w:rPr>
              <w:t>163,000</w:t>
            </w:r>
          </w:p>
        </w:tc>
        <w:tc>
          <w:tcPr>
            <w:tcW w:w="1658" w:type="dxa"/>
          </w:tcPr>
          <w:p>
            <w:pPr>
              <w:pStyle w:val="TableParagraph"/>
              <w:spacing w:before="39"/>
              <w:ind w:left="669"/>
              <w:rPr>
                <w:sz w:val="16"/>
              </w:rPr>
            </w:pPr>
            <w:r>
              <w:rPr>
                <w:color w:val="404040"/>
                <w:sz w:val="16"/>
              </w:rPr>
              <w:t>89%</w:t>
            </w:r>
          </w:p>
        </w:tc>
        <w:tc>
          <w:tcPr>
            <w:tcW w:w="1574" w:type="dxa"/>
          </w:tcPr>
          <w:p>
            <w:pPr>
              <w:pStyle w:val="TableParagraph"/>
              <w:spacing w:before="39"/>
              <w:ind w:left="468" w:right="487"/>
              <w:jc w:val="center"/>
              <w:rPr>
                <w:sz w:val="16"/>
              </w:rPr>
            </w:pPr>
            <w:r>
              <w:rPr>
                <w:color w:val="404040"/>
                <w:sz w:val="16"/>
              </w:rPr>
              <w:t>561,000</w:t>
            </w:r>
          </w:p>
        </w:tc>
        <w:tc>
          <w:tcPr>
            <w:tcW w:w="1608" w:type="dxa"/>
            <w:tcBorders>
              <w:right w:val="single" w:sz="4" w:space="0" w:color="DF2F1E"/>
            </w:tcBorders>
          </w:tcPr>
          <w:p>
            <w:pPr>
              <w:pStyle w:val="TableParagraph"/>
              <w:spacing w:before="39"/>
              <w:ind w:left="581" w:right="571"/>
              <w:jc w:val="center"/>
              <w:rPr>
                <w:sz w:val="16"/>
              </w:rPr>
            </w:pPr>
            <w:r>
              <w:rPr>
                <w:color w:val="404040"/>
                <w:sz w:val="16"/>
              </w:rPr>
              <w:t>100%</w:t>
            </w:r>
          </w:p>
        </w:tc>
      </w:tr>
      <w:tr>
        <w:trPr>
          <w:trHeight w:val="264" w:hRule="atLeast"/>
        </w:trPr>
        <w:tc>
          <w:tcPr>
            <w:tcW w:w="3905" w:type="dxa"/>
            <w:tcBorders>
              <w:left w:val="single" w:sz="4" w:space="0" w:color="DF2F1E"/>
              <w:bottom w:val="single" w:sz="4" w:space="0" w:color="DF2F1E"/>
            </w:tcBorders>
          </w:tcPr>
          <w:p>
            <w:pPr>
              <w:pStyle w:val="TableParagraph"/>
              <w:ind w:left="287"/>
              <w:rPr>
                <w:b/>
                <w:i/>
                <w:sz w:val="16"/>
              </w:rPr>
            </w:pPr>
            <w:r>
              <w:rPr>
                <w:b/>
                <w:i/>
                <w:color w:val="404040"/>
                <w:sz w:val="16"/>
              </w:rPr>
              <w:t>- Has earnings</w:t>
            </w:r>
          </w:p>
        </w:tc>
        <w:tc>
          <w:tcPr>
            <w:tcW w:w="1037" w:type="dxa"/>
            <w:tcBorders>
              <w:bottom w:val="single" w:sz="4" w:space="0" w:color="DF2F1E"/>
            </w:tcBorders>
          </w:tcPr>
          <w:p>
            <w:pPr>
              <w:pStyle w:val="TableParagraph"/>
              <w:ind w:right="293"/>
              <w:jc w:val="right"/>
              <w:rPr>
                <w:sz w:val="16"/>
              </w:rPr>
            </w:pPr>
            <w:r>
              <w:rPr>
                <w:color w:val="404040"/>
                <w:sz w:val="16"/>
              </w:rPr>
              <w:t>19,000</w:t>
            </w:r>
          </w:p>
        </w:tc>
        <w:tc>
          <w:tcPr>
            <w:tcW w:w="1658" w:type="dxa"/>
            <w:tcBorders>
              <w:bottom w:val="single" w:sz="4" w:space="0" w:color="DF2F1E"/>
            </w:tcBorders>
          </w:tcPr>
          <w:p>
            <w:pPr>
              <w:pStyle w:val="TableParagraph"/>
              <w:ind w:left="669"/>
              <w:rPr>
                <w:sz w:val="16"/>
              </w:rPr>
            </w:pPr>
            <w:r>
              <w:rPr>
                <w:color w:val="404040"/>
                <w:sz w:val="16"/>
              </w:rPr>
              <w:t>11%</w:t>
            </w:r>
          </w:p>
        </w:tc>
        <w:tc>
          <w:tcPr>
            <w:tcW w:w="1574" w:type="dxa"/>
            <w:tcBorders>
              <w:bottom w:val="single" w:sz="4" w:space="0" w:color="DF2F1E"/>
            </w:tcBorders>
          </w:tcPr>
          <w:p>
            <w:pPr>
              <w:pStyle w:val="TableParagraph"/>
              <w:ind w:left="468" w:right="487"/>
              <w:jc w:val="center"/>
              <w:rPr>
                <w:sz w:val="16"/>
              </w:rPr>
            </w:pPr>
            <w:r>
              <w:rPr>
                <w:color w:val="404040"/>
                <w:sz w:val="16"/>
              </w:rPr>
              <w:t>535,000</w:t>
            </w:r>
          </w:p>
        </w:tc>
        <w:tc>
          <w:tcPr>
            <w:tcW w:w="1608" w:type="dxa"/>
            <w:tcBorders>
              <w:bottom w:val="single" w:sz="4" w:space="0" w:color="DF2F1E"/>
              <w:right w:val="single" w:sz="4" w:space="0" w:color="DF2F1E"/>
            </w:tcBorders>
          </w:tcPr>
          <w:p>
            <w:pPr>
              <w:pStyle w:val="TableParagraph"/>
              <w:ind w:left="581" w:right="568"/>
              <w:jc w:val="center"/>
              <w:rPr>
                <w:sz w:val="16"/>
              </w:rPr>
            </w:pPr>
            <w:r>
              <w:rPr>
                <w:color w:val="404040"/>
                <w:sz w:val="16"/>
              </w:rPr>
              <w:t>96%</w:t>
            </w:r>
          </w:p>
        </w:tc>
      </w:tr>
      <w:tr>
        <w:trPr>
          <w:trHeight w:val="262" w:hRule="atLeast"/>
        </w:trPr>
        <w:tc>
          <w:tcPr>
            <w:tcW w:w="3905" w:type="dxa"/>
            <w:tcBorders>
              <w:top w:val="single" w:sz="4" w:space="0" w:color="DF2F1E"/>
              <w:left w:val="single" w:sz="4" w:space="0" w:color="DF2F1E"/>
            </w:tcBorders>
          </w:tcPr>
          <w:p>
            <w:pPr>
              <w:pStyle w:val="TableParagraph"/>
              <w:spacing w:before="34"/>
              <w:ind w:left="107"/>
              <w:rPr>
                <w:b/>
                <w:sz w:val="16"/>
              </w:rPr>
            </w:pPr>
            <w:r>
              <w:rPr>
                <w:b/>
                <w:color w:val="404040"/>
                <w:sz w:val="16"/>
              </w:rPr>
              <w:t>Number of children</w:t>
            </w:r>
          </w:p>
        </w:tc>
        <w:tc>
          <w:tcPr>
            <w:tcW w:w="1037" w:type="dxa"/>
            <w:tcBorders>
              <w:top w:val="single" w:sz="4" w:space="0" w:color="DF2F1E"/>
            </w:tcBorders>
          </w:tcPr>
          <w:p>
            <w:pPr>
              <w:pStyle w:val="TableParagraph"/>
              <w:spacing w:before="0"/>
              <w:rPr>
                <w:rFonts w:ascii="Times New Roman"/>
                <w:sz w:val="16"/>
              </w:rPr>
            </w:pPr>
          </w:p>
        </w:tc>
        <w:tc>
          <w:tcPr>
            <w:tcW w:w="1658" w:type="dxa"/>
            <w:tcBorders>
              <w:top w:val="single" w:sz="4" w:space="0" w:color="DF2F1E"/>
            </w:tcBorders>
          </w:tcPr>
          <w:p>
            <w:pPr>
              <w:pStyle w:val="TableParagraph"/>
              <w:spacing w:before="0"/>
              <w:rPr>
                <w:rFonts w:ascii="Times New Roman"/>
                <w:sz w:val="16"/>
              </w:rPr>
            </w:pPr>
          </w:p>
        </w:tc>
        <w:tc>
          <w:tcPr>
            <w:tcW w:w="1574" w:type="dxa"/>
            <w:tcBorders>
              <w:top w:val="single" w:sz="4" w:space="0" w:color="DF2F1E"/>
            </w:tcBorders>
          </w:tcPr>
          <w:p>
            <w:pPr>
              <w:pStyle w:val="TableParagraph"/>
              <w:spacing w:before="0"/>
              <w:rPr>
                <w:rFonts w:ascii="Times New Roman"/>
                <w:sz w:val="16"/>
              </w:rPr>
            </w:pPr>
          </w:p>
        </w:tc>
        <w:tc>
          <w:tcPr>
            <w:tcW w:w="1608" w:type="dxa"/>
            <w:tcBorders>
              <w:top w:val="single" w:sz="4" w:space="0" w:color="DF2F1E"/>
              <w:right w:val="single" w:sz="4" w:space="0" w:color="DF2F1E"/>
            </w:tcBorders>
          </w:tcPr>
          <w:p>
            <w:pPr>
              <w:pStyle w:val="TableParagraph"/>
              <w:spacing w:before="0"/>
              <w:rPr>
                <w:rFonts w:ascii="Times New Roman"/>
                <w:sz w:val="16"/>
              </w:rPr>
            </w:pPr>
          </w:p>
        </w:tc>
      </w:tr>
      <w:tr>
        <w:trPr>
          <w:trHeight w:val="265" w:hRule="atLeast"/>
        </w:trPr>
        <w:tc>
          <w:tcPr>
            <w:tcW w:w="3905" w:type="dxa"/>
            <w:tcBorders>
              <w:left w:val="single" w:sz="4" w:space="0" w:color="DF2F1E"/>
            </w:tcBorders>
          </w:tcPr>
          <w:p>
            <w:pPr>
              <w:pStyle w:val="TableParagraph"/>
              <w:spacing w:before="39"/>
              <w:ind w:left="287"/>
              <w:rPr>
                <w:b/>
                <w:i/>
                <w:sz w:val="16"/>
              </w:rPr>
            </w:pPr>
            <w:r>
              <w:rPr>
                <w:b/>
                <w:i/>
                <w:color w:val="404040"/>
                <w:sz w:val="16"/>
              </w:rPr>
              <w:t>- No children</w:t>
            </w:r>
          </w:p>
        </w:tc>
        <w:tc>
          <w:tcPr>
            <w:tcW w:w="1037" w:type="dxa"/>
          </w:tcPr>
          <w:p>
            <w:pPr>
              <w:pStyle w:val="TableParagraph"/>
              <w:spacing w:before="39"/>
              <w:ind w:right="250"/>
              <w:jc w:val="right"/>
              <w:rPr>
                <w:sz w:val="16"/>
              </w:rPr>
            </w:pPr>
            <w:r>
              <w:rPr>
                <w:color w:val="404040"/>
                <w:sz w:val="16"/>
              </w:rPr>
              <w:t>138,000</w:t>
            </w:r>
          </w:p>
        </w:tc>
        <w:tc>
          <w:tcPr>
            <w:tcW w:w="1658" w:type="dxa"/>
          </w:tcPr>
          <w:p>
            <w:pPr>
              <w:pStyle w:val="TableParagraph"/>
              <w:spacing w:before="39"/>
              <w:ind w:left="669"/>
              <w:rPr>
                <w:sz w:val="16"/>
              </w:rPr>
            </w:pPr>
            <w:r>
              <w:rPr>
                <w:color w:val="404040"/>
                <w:sz w:val="16"/>
              </w:rPr>
              <w:t>76%</w:t>
            </w:r>
          </w:p>
        </w:tc>
        <w:tc>
          <w:tcPr>
            <w:tcW w:w="1574" w:type="dxa"/>
          </w:tcPr>
          <w:p>
            <w:pPr>
              <w:pStyle w:val="TableParagraph"/>
              <w:spacing w:before="39"/>
              <w:ind w:left="468" w:right="487"/>
              <w:jc w:val="center"/>
              <w:rPr>
                <w:sz w:val="16"/>
              </w:rPr>
            </w:pPr>
            <w:r>
              <w:rPr>
                <w:color w:val="404040"/>
                <w:sz w:val="16"/>
              </w:rPr>
              <w:t>564,000</w:t>
            </w:r>
          </w:p>
        </w:tc>
        <w:tc>
          <w:tcPr>
            <w:tcW w:w="1608" w:type="dxa"/>
            <w:tcBorders>
              <w:right w:val="single" w:sz="4" w:space="0" w:color="DF2F1E"/>
            </w:tcBorders>
          </w:tcPr>
          <w:p>
            <w:pPr>
              <w:pStyle w:val="TableParagraph"/>
              <w:spacing w:before="39"/>
              <w:ind w:left="581" w:right="571"/>
              <w:jc w:val="center"/>
              <w:rPr>
                <w:sz w:val="16"/>
              </w:rPr>
            </w:pPr>
            <w:r>
              <w:rPr>
                <w:color w:val="404040"/>
                <w:sz w:val="16"/>
              </w:rPr>
              <w:t>101%</w:t>
            </w:r>
          </w:p>
        </w:tc>
      </w:tr>
      <w:tr>
        <w:trPr>
          <w:trHeight w:val="263" w:hRule="atLeast"/>
        </w:trPr>
        <w:tc>
          <w:tcPr>
            <w:tcW w:w="3905" w:type="dxa"/>
            <w:tcBorders>
              <w:left w:val="single" w:sz="4" w:space="0" w:color="DF2F1E"/>
            </w:tcBorders>
          </w:tcPr>
          <w:p>
            <w:pPr>
              <w:pStyle w:val="TableParagraph"/>
              <w:ind w:left="287"/>
              <w:rPr>
                <w:b/>
                <w:i/>
                <w:sz w:val="16"/>
              </w:rPr>
            </w:pPr>
            <w:r>
              <w:rPr>
                <w:b/>
                <w:i/>
                <w:color w:val="404040"/>
                <w:sz w:val="16"/>
              </w:rPr>
              <w:t>- 1 child</w:t>
            </w:r>
          </w:p>
        </w:tc>
        <w:tc>
          <w:tcPr>
            <w:tcW w:w="1037" w:type="dxa"/>
          </w:tcPr>
          <w:p>
            <w:pPr>
              <w:pStyle w:val="TableParagraph"/>
              <w:ind w:right="293"/>
              <w:jc w:val="right"/>
              <w:rPr>
                <w:sz w:val="16"/>
              </w:rPr>
            </w:pPr>
            <w:r>
              <w:rPr>
                <w:color w:val="404040"/>
                <w:sz w:val="16"/>
              </w:rPr>
              <w:t>24,000</w:t>
            </w:r>
          </w:p>
        </w:tc>
        <w:tc>
          <w:tcPr>
            <w:tcW w:w="1658" w:type="dxa"/>
          </w:tcPr>
          <w:p>
            <w:pPr>
              <w:pStyle w:val="TableParagraph"/>
              <w:ind w:left="669"/>
              <w:rPr>
                <w:sz w:val="16"/>
              </w:rPr>
            </w:pPr>
            <w:r>
              <w:rPr>
                <w:color w:val="404040"/>
                <w:sz w:val="16"/>
              </w:rPr>
              <w:t>13%</w:t>
            </w:r>
          </w:p>
        </w:tc>
        <w:tc>
          <w:tcPr>
            <w:tcW w:w="1574" w:type="dxa"/>
          </w:tcPr>
          <w:p>
            <w:pPr>
              <w:pStyle w:val="TableParagraph"/>
              <w:ind w:left="468" w:right="487"/>
              <w:jc w:val="center"/>
              <w:rPr>
                <w:sz w:val="16"/>
              </w:rPr>
            </w:pPr>
            <w:r>
              <w:rPr>
                <w:color w:val="404040"/>
                <w:sz w:val="16"/>
              </w:rPr>
              <w:t>551,000</w:t>
            </w:r>
          </w:p>
        </w:tc>
        <w:tc>
          <w:tcPr>
            <w:tcW w:w="1608" w:type="dxa"/>
            <w:tcBorders>
              <w:right w:val="single" w:sz="4" w:space="0" w:color="DF2F1E"/>
            </w:tcBorders>
          </w:tcPr>
          <w:p>
            <w:pPr>
              <w:pStyle w:val="TableParagraph"/>
              <w:ind w:left="581" w:right="568"/>
              <w:jc w:val="center"/>
              <w:rPr>
                <w:sz w:val="16"/>
              </w:rPr>
            </w:pPr>
            <w:r>
              <w:rPr>
                <w:color w:val="404040"/>
                <w:sz w:val="16"/>
              </w:rPr>
              <w:t>99%</w:t>
            </w:r>
          </w:p>
        </w:tc>
      </w:tr>
      <w:tr>
        <w:trPr>
          <w:trHeight w:val="264" w:hRule="atLeast"/>
        </w:trPr>
        <w:tc>
          <w:tcPr>
            <w:tcW w:w="3905" w:type="dxa"/>
            <w:tcBorders>
              <w:left w:val="single" w:sz="4" w:space="0" w:color="DF2F1E"/>
            </w:tcBorders>
          </w:tcPr>
          <w:p>
            <w:pPr>
              <w:pStyle w:val="TableParagraph"/>
              <w:ind w:left="287"/>
              <w:rPr>
                <w:b/>
                <w:i/>
                <w:sz w:val="16"/>
              </w:rPr>
            </w:pPr>
            <w:r>
              <w:rPr>
                <w:b/>
                <w:i/>
                <w:color w:val="404040"/>
                <w:sz w:val="16"/>
              </w:rPr>
              <w:t>- 2 children</w:t>
            </w:r>
          </w:p>
        </w:tc>
        <w:tc>
          <w:tcPr>
            <w:tcW w:w="1037" w:type="dxa"/>
          </w:tcPr>
          <w:p>
            <w:pPr>
              <w:pStyle w:val="TableParagraph"/>
              <w:ind w:right="293"/>
              <w:jc w:val="right"/>
              <w:rPr>
                <w:sz w:val="16"/>
              </w:rPr>
            </w:pPr>
            <w:r>
              <w:rPr>
                <w:color w:val="404040"/>
                <w:sz w:val="16"/>
              </w:rPr>
              <w:t>12,000</w:t>
            </w:r>
          </w:p>
        </w:tc>
        <w:tc>
          <w:tcPr>
            <w:tcW w:w="1658" w:type="dxa"/>
          </w:tcPr>
          <w:p>
            <w:pPr>
              <w:pStyle w:val="TableParagraph"/>
              <w:ind w:left="712"/>
              <w:rPr>
                <w:sz w:val="16"/>
              </w:rPr>
            </w:pPr>
            <w:r>
              <w:rPr>
                <w:color w:val="404040"/>
                <w:sz w:val="16"/>
              </w:rPr>
              <w:t>7%</w:t>
            </w:r>
          </w:p>
        </w:tc>
        <w:tc>
          <w:tcPr>
            <w:tcW w:w="1574" w:type="dxa"/>
          </w:tcPr>
          <w:p>
            <w:pPr>
              <w:pStyle w:val="TableParagraph"/>
              <w:ind w:left="468" w:right="487"/>
              <w:jc w:val="center"/>
              <w:rPr>
                <w:sz w:val="16"/>
              </w:rPr>
            </w:pPr>
            <w:r>
              <w:rPr>
                <w:color w:val="404040"/>
                <w:sz w:val="16"/>
              </w:rPr>
              <w:t>533,000</w:t>
            </w:r>
          </w:p>
        </w:tc>
        <w:tc>
          <w:tcPr>
            <w:tcW w:w="1608" w:type="dxa"/>
            <w:tcBorders>
              <w:right w:val="single" w:sz="4" w:space="0" w:color="DF2F1E"/>
            </w:tcBorders>
          </w:tcPr>
          <w:p>
            <w:pPr>
              <w:pStyle w:val="TableParagraph"/>
              <w:ind w:left="581" w:right="568"/>
              <w:jc w:val="center"/>
              <w:rPr>
                <w:sz w:val="16"/>
              </w:rPr>
            </w:pPr>
            <w:r>
              <w:rPr>
                <w:color w:val="404040"/>
                <w:sz w:val="16"/>
              </w:rPr>
              <w:t>96%</w:t>
            </w:r>
          </w:p>
        </w:tc>
      </w:tr>
      <w:tr>
        <w:trPr>
          <w:trHeight w:val="264" w:hRule="atLeast"/>
        </w:trPr>
        <w:tc>
          <w:tcPr>
            <w:tcW w:w="3905" w:type="dxa"/>
            <w:tcBorders>
              <w:left w:val="single" w:sz="4" w:space="0" w:color="DF2F1E"/>
              <w:bottom w:val="single" w:sz="4" w:space="0" w:color="DF2F1E"/>
            </w:tcBorders>
          </w:tcPr>
          <w:p>
            <w:pPr>
              <w:pStyle w:val="TableParagraph"/>
              <w:ind w:left="287"/>
              <w:rPr>
                <w:b/>
                <w:i/>
                <w:sz w:val="16"/>
              </w:rPr>
            </w:pPr>
            <w:r>
              <w:rPr>
                <w:b/>
                <w:i/>
                <w:color w:val="404040"/>
                <w:sz w:val="16"/>
              </w:rPr>
              <w:t>- 3+ children</w:t>
            </w:r>
          </w:p>
        </w:tc>
        <w:tc>
          <w:tcPr>
            <w:tcW w:w="1037" w:type="dxa"/>
            <w:tcBorders>
              <w:bottom w:val="single" w:sz="4" w:space="0" w:color="DF2F1E"/>
            </w:tcBorders>
          </w:tcPr>
          <w:p>
            <w:pPr>
              <w:pStyle w:val="TableParagraph"/>
              <w:ind w:right="339"/>
              <w:jc w:val="right"/>
              <w:rPr>
                <w:sz w:val="16"/>
              </w:rPr>
            </w:pPr>
            <w:r>
              <w:rPr>
                <w:color w:val="404040"/>
                <w:sz w:val="16"/>
              </w:rPr>
              <w:t>8,000</w:t>
            </w:r>
          </w:p>
        </w:tc>
        <w:tc>
          <w:tcPr>
            <w:tcW w:w="1658" w:type="dxa"/>
            <w:tcBorders>
              <w:bottom w:val="single" w:sz="4" w:space="0" w:color="DF2F1E"/>
            </w:tcBorders>
          </w:tcPr>
          <w:p>
            <w:pPr>
              <w:pStyle w:val="TableParagraph"/>
              <w:ind w:left="712"/>
              <w:rPr>
                <w:sz w:val="16"/>
              </w:rPr>
            </w:pPr>
            <w:r>
              <w:rPr>
                <w:color w:val="404040"/>
                <w:sz w:val="16"/>
              </w:rPr>
              <w:t>4%</w:t>
            </w:r>
          </w:p>
        </w:tc>
        <w:tc>
          <w:tcPr>
            <w:tcW w:w="1574" w:type="dxa"/>
            <w:tcBorders>
              <w:bottom w:val="single" w:sz="4" w:space="0" w:color="DF2F1E"/>
            </w:tcBorders>
          </w:tcPr>
          <w:p>
            <w:pPr>
              <w:pStyle w:val="TableParagraph"/>
              <w:ind w:left="468" w:right="487"/>
              <w:jc w:val="center"/>
              <w:rPr>
                <w:sz w:val="16"/>
              </w:rPr>
            </w:pPr>
            <w:r>
              <w:rPr>
                <w:color w:val="404040"/>
                <w:sz w:val="16"/>
              </w:rPr>
              <w:t>512,000</w:t>
            </w:r>
          </w:p>
        </w:tc>
        <w:tc>
          <w:tcPr>
            <w:tcW w:w="1608" w:type="dxa"/>
            <w:tcBorders>
              <w:bottom w:val="single" w:sz="4" w:space="0" w:color="DF2F1E"/>
              <w:right w:val="single" w:sz="4" w:space="0" w:color="DF2F1E"/>
            </w:tcBorders>
          </w:tcPr>
          <w:p>
            <w:pPr>
              <w:pStyle w:val="TableParagraph"/>
              <w:ind w:left="581" w:right="568"/>
              <w:jc w:val="center"/>
              <w:rPr>
                <w:sz w:val="16"/>
              </w:rPr>
            </w:pPr>
            <w:r>
              <w:rPr>
                <w:color w:val="404040"/>
                <w:sz w:val="16"/>
              </w:rPr>
              <w:t>92%</w:t>
            </w:r>
          </w:p>
        </w:tc>
      </w:tr>
      <w:tr>
        <w:trPr>
          <w:trHeight w:val="262" w:hRule="atLeast"/>
        </w:trPr>
        <w:tc>
          <w:tcPr>
            <w:tcW w:w="3905" w:type="dxa"/>
            <w:tcBorders>
              <w:top w:val="single" w:sz="4" w:space="0" w:color="DF2F1E"/>
              <w:left w:val="single" w:sz="4" w:space="0" w:color="DF2F1E"/>
            </w:tcBorders>
          </w:tcPr>
          <w:p>
            <w:pPr>
              <w:pStyle w:val="TableParagraph"/>
              <w:spacing w:before="34"/>
              <w:ind w:left="107"/>
              <w:rPr>
                <w:b/>
                <w:sz w:val="16"/>
              </w:rPr>
            </w:pPr>
            <w:r>
              <w:rPr>
                <w:b/>
                <w:color w:val="404040"/>
                <w:sz w:val="16"/>
              </w:rPr>
              <w:t>Class before entering '5 Disability Support'</w:t>
            </w:r>
          </w:p>
        </w:tc>
        <w:tc>
          <w:tcPr>
            <w:tcW w:w="1037" w:type="dxa"/>
            <w:tcBorders>
              <w:top w:val="single" w:sz="4" w:space="0" w:color="DF2F1E"/>
            </w:tcBorders>
          </w:tcPr>
          <w:p>
            <w:pPr>
              <w:pStyle w:val="TableParagraph"/>
              <w:spacing w:before="0"/>
              <w:rPr>
                <w:rFonts w:ascii="Times New Roman"/>
                <w:sz w:val="16"/>
              </w:rPr>
            </w:pPr>
          </w:p>
        </w:tc>
        <w:tc>
          <w:tcPr>
            <w:tcW w:w="1658" w:type="dxa"/>
            <w:tcBorders>
              <w:top w:val="single" w:sz="4" w:space="0" w:color="DF2F1E"/>
            </w:tcBorders>
          </w:tcPr>
          <w:p>
            <w:pPr>
              <w:pStyle w:val="TableParagraph"/>
              <w:spacing w:before="0"/>
              <w:rPr>
                <w:rFonts w:ascii="Times New Roman"/>
                <w:sz w:val="16"/>
              </w:rPr>
            </w:pPr>
          </w:p>
        </w:tc>
        <w:tc>
          <w:tcPr>
            <w:tcW w:w="1574" w:type="dxa"/>
            <w:tcBorders>
              <w:top w:val="single" w:sz="4" w:space="0" w:color="DF2F1E"/>
            </w:tcBorders>
          </w:tcPr>
          <w:p>
            <w:pPr>
              <w:pStyle w:val="TableParagraph"/>
              <w:spacing w:before="0"/>
              <w:rPr>
                <w:rFonts w:ascii="Times New Roman"/>
                <w:sz w:val="16"/>
              </w:rPr>
            </w:pPr>
          </w:p>
        </w:tc>
        <w:tc>
          <w:tcPr>
            <w:tcW w:w="1608" w:type="dxa"/>
            <w:tcBorders>
              <w:top w:val="single" w:sz="4" w:space="0" w:color="DF2F1E"/>
              <w:right w:val="single" w:sz="4" w:space="0" w:color="DF2F1E"/>
            </w:tcBorders>
          </w:tcPr>
          <w:p>
            <w:pPr>
              <w:pStyle w:val="TableParagraph"/>
              <w:spacing w:before="0"/>
              <w:rPr>
                <w:rFonts w:ascii="Times New Roman"/>
                <w:sz w:val="16"/>
              </w:rPr>
            </w:pPr>
          </w:p>
        </w:tc>
      </w:tr>
      <w:tr>
        <w:trPr>
          <w:trHeight w:val="265" w:hRule="atLeast"/>
        </w:trPr>
        <w:tc>
          <w:tcPr>
            <w:tcW w:w="3905" w:type="dxa"/>
            <w:tcBorders>
              <w:left w:val="single" w:sz="4" w:space="0" w:color="DF2F1E"/>
            </w:tcBorders>
          </w:tcPr>
          <w:p>
            <w:pPr>
              <w:pStyle w:val="TableParagraph"/>
              <w:spacing w:before="39"/>
              <w:ind w:left="287"/>
              <w:rPr>
                <w:b/>
                <w:i/>
                <w:sz w:val="16"/>
              </w:rPr>
            </w:pPr>
            <w:r>
              <w:rPr>
                <w:b/>
                <w:i/>
                <w:color w:val="404040"/>
                <w:sz w:val="16"/>
              </w:rPr>
              <w:t>- Income support</w:t>
            </w:r>
          </w:p>
        </w:tc>
        <w:tc>
          <w:tcPr>
            <w:tcW w:w="1037" w:type="dxa"/>
          </w:tcPr>
          <w:p>
            <w:pPr>
              <w:pStyle w:val="TableParagraph"/>
              <w:spacing w:before="39"/>
              <w:ind w:right="293"/>
              <w:jc w:val="right"/>
              <w:rPr>
                <w:sz w:val="16"/>
              </w:rPr>
            </w:pPr>
            <w:r>
              <w:rPr>
                <w:color w:val="404040"/>
                <w:sz w:val="16"/>
              </w:rPr>
              <w:t>91,000</w:t>
            </w:r>
          </w:p>
        </w:tc>
        <w:tc>
          <w:tcPr>
            <w:tcW w:w="1658" w:type="dxa"/>
          </w:tcPr>
          <w:p>
            <w:pPr>
              <w:pStyle w:val="TableParagraph"/>
              <w:spacing w:before="39"/>
              <w:ind w:left="669"/>
              <w:rPr>
                <w:sz w:val="16"/>
              </w:rPr>
            </w:pPr>
            <w:r>
              <w:rPr>
                <w:color w:val="404040"/>
                <w:sz w:val="16"/>
              </w:rPr>
              <w:t>50%</w:t>
            </w:r>
          </w:p>
        </w:tc>
        <w:tc>
          <w:tcPr>
            <w:tcW w:w="1574" w:type="dxa"/>
          </w:tcPr>
          <w:p>
            <w:pPr>
              <w:pStyle w:val="TableParagraph"/>
              <w:spacing w:before="39"/>
              <w:ind w:left="468" w:right="487"/>
              <w:jc w:val="center"/>
              <w:rPr>
                <w:sz w:val="16"/>
              </w:rPr>
            </w:pPr>
            <w:r>
              <w:rPr>
                <w:color w:val="404040"/>
                <w:sz w:val="16"/>
              </w:rPr>
              <w:t>564,000</w:t>
            </w:r>
          </w:p>
        </w:tc>
        <w:tc>
          <w:tcPr>
            <w:tcW w:w="1608" w:type="dxa"/>
            <w:tcBorders>
              <w:right w:val="single" w:sz="4" w:space="0" w:color="DF2F1E"/>
            </w:tcBorders>
          </w:tcPr>
          <w:p>
            <w:pPr>
              <w:pStyle w:val="TableParagraph"/>
              <w:spacing w:before="39"/>
              <w:ind w:left="581" w:right="570"/>
              <w:jc w:val="center"/>
              <w:rPr>
                <w:sz w:val="16"/>
              </w:rPr>
            </w:pPr>
            <w:r>
              <w:rPr>
                <w:color w:val="404040"/>
                <w:sz w:val="16"/>
              </w:rPr>
              <w:t>101%</w:t>
            </w:r>
          </w:p>
        </w:tc>
      </w:tr>
      <w:tr>
        <w:trPr>
          <w:trHeight w:val="263" w:hRule="atLeast"/>
        </w:trPr>
        <w:tc>
          <w:tcPr>
            <w:tcW w:w="3905" w:type="dxa"/>
            <w:tcBorders>
              <w:left w:val="single" w:sz="4" w:space="0" w:color="DF2F1E"/>
            </w:tcBorders>
          </w:tcPr>
          <w:p>
            <w:pPr>
              <w:pStyle w:val="TableParagraph"/>
              <w:ind w:left="287"/>
              <w:rPr>
                <w:b/>
                <w:i/>
                <w:sz w:val="16"/>
              </w:rPr>
            </w:pPr>
            <w:r>
              <w:rPr>
                <w:b/>
                <w:i/>
                <w:color w:val="404040"/>
                <w:sz w:val="16"/>
              </w:rPr>
              <w:t>- Non income support</w:t>
            </w:r>
          </w:p>
        </w:tc>
        <w:tc>
          <w:tcPr>
            <w:tcW w:w="1037" w:type="dxa"/>
          </w:tcPr>
          <w:p>
            <w:pPr>
              <w:pStyle w:val="TableParagraph"/>
              <w:ind w:right="339"/>
              <w:jc w:val="right"/>
              <w:rPr>
                <w:sz w:val="16"/>
              </w:rPr>
            </w:pPr>
            <w:r>
              <w:rPr>
                <w:color w:val="404040"/>
                <w:sz w:val="16"/>
              </w:rPr>
              <w:t>9,000</w:t>
            </w:r>
          </w:p>
        </w:tc>
        <w:tc>
          <w:tcPr>
            <w:tcW w:w="1658" w:type="dxa"/>
          </w:tcPr>
          <w:p>
            <w:pPr>
              <w:pStyle w:val="TableParagraph"/>
              <w:ind w:left="712"/>
              <w:rPr>
                <w:sz w:val="16"/>
              </w:rPr>
            </w:pPr>
            <w:r>
              <w:rPr>
                <w:color w:val="404040"/>
                <w:sz w:val="16"/>
              </w:rPr>
              <w:t>5%</w:t>
            </w:r>
          </w:p>
        </w:tc>
        <w:tc>
          <w:tcPr>
            <w:tcW w:w="1574" w:type="dxa"/>
          </w:tcPr>
          <w:p>
            <w:pPr>
              <w:pStyle w:val="TableParagraph"/>
              <w:ind w:left="468" w:right="487"/>
              <w:jc w:val="center"/>
              <w:rPr>
                <w:sz w:val="16"/>
              </w:rPr>
            </w:pPr>
            <w:r>
              <w:rPr>
                <w:color w:val="404040"/>
                <w:sz w:val="16"/>
              </w:rPr>
              <w:t>526,000</w:t>
            </w:r>
          </w:p>
        </w:tc>
        <w:tc>
          <w:tcPr>
            <w:tcW w:w="1608" w:type="dxa"/>
            <w:tcBorders>
              <w:right w:val="single" w:sz="4" w:space="0" w:color="DF2F1E"/>
            </w:tcBorders>
          </w:tcPr>
          <w:p>
            <w:pPr>
              <w:pStyle w:val="TableParagraph"/>
              <w:ind w:left="581" w:right="568"/>
              <w:jc w:val="center"/>
              <w:rPr>
                <w:sz w:val="16"/>
              </w:rPr>
            </w:pPr>
            <w:r>
              <w:rPr>
                <w:color w:val="404040"/>
                <w:sz w:val="16"/>
              </w:rPr>
              <w:t>94%</w:t>
            </w:r>
          </w:p>
        </w:tc>
      </w:tr>
      <w:tr>
        <w:trPr>
          <w:trHeight w:val="264" w:hRule="atLeast"/>
        </w:trPr>
        <w:tc>
          <w:tcPr>
            <w:tcW w:w="3905" w:type="dxa"/>
            <w:tcBorders>
              <w:left w:val="single" w:sz="4" w:space="0" w:color="DF2F1E"/>
              <w:bottom w:val="single" w:sz="4" w:space="0" w:color="DF2F1E"/>
            </w:tcBorders>
          </w:tcPr>
          <w:p>
            <w:pPr>
              <w:pStyle w:val="TableParagraph"/>
              <w:ind w:left="287"/>
              <w:rPr>
                <w:b/>
                <w:i/>
                <w:sz w:val="16"/>
              </w:rPr>
            </w:pPr>
            <w:r>
              <w:rPr>
                <w:b/>
                <w:i/>
                <w:color w:val="404040"/>
                <w:sz w:val="16"/>
              </w:rPr>
              <w:t>- Previous client / non client</w:t>
            </w:r>
          </w:p>
        </w:tc>
        <w:tc>
          <w:tcPr>
            <w:tcW w:w="1037" w:type="dxa"/>
            <w:tcBorders>
              <w:bottom w:val="single" w:sz="4" w:space="0" w:color="DF2F1E"/>
            </w:tcBorders>
          </w:tcPr>
          <w:p>
            <w:pPr>
              <w:pStyle w:val="TableParagraph"/>
              <w:ind w:right="293"/>
              <w:jc w:val="right"/>
              <w:rPr>
                <w:sz w:val="16"/>
              </w:rPr>
            </w:pPr>
            <w:r>
              <w:rPr>
                <w:color w:val="404040"/>
                <w:sz w:val="16"/>
              </w:rPr>
              <w:t>81,000</w:t>
            </w:r>
          </w:p>
        </w:tc>
        <w:tc>
          <w:tcPr>
            <w:tcW w:w="1658" w:type="dxa"/>
            <w:tcBorders>
              <w:bottom w:val="single" w:sz="4" w:space="0" w:color="DF2F1E"/>
            </w:tcBorders>
          </w:tcPr>
          <w:p>
            <w:pPr>
              <w:pStyle w:val="TableParagraph"/>
              <w:ind w:left="669"/>
              <w:rPr>
                <w:sz w:val="16"/>
              </w:rPr>
            </w:pPr>
            <w:r>
              <w:rPr>
                <w:color w:val="404040"/>
                <w:sz w:val="16"/>
              </w:rPr>
              <w:t>45%</w:t>
            </w:r>
          </w:p>
        </w:tc>
        <w:tc>
          <w:tcPr>
            <w:tcW w:w="1574" w:type="dxa"/>
            <w:tcBorders>
              <w:bottom w:val="single" w:sz="4" w:space="0" w:color="DF2F1E"/>
            </w:tcBorders>
          </w:tcPr>
          <w:p>
            <w:pPr>
              <w:pStyle w:val="TableParagraph"/>
              <w:ind w:left="468" w:right="487"/>
              <w:jc w:val="center"/>
              <w:rPr>
                <w:sz w:val="16"/>
              </w:rPr>
            </w:pPr>
            <w:r>
              <w:rPr>
                <w:color w:val="404040"/>
                <w:sz w:val="16"/>
              </w:rPr>
              <w:t>555,000</w:t>
            </w:r>
          </w:p>
        </w:tc>
        <w:tc>
          <w:tcPr>
            <w:tcW w:w="1608" w:type="dxa"/>
            <w:tcBorders>
              <w:bottom w:val="single" w:sz="4" w:space="0" w:color="DF2F1E"/>
              <w:right w:val="single" w:sz="4" w:space="0" w:color="DF2F1E"/>
            </w:tcBorders>
          </w:tcPr>
          <w:p>
            <w:pPr>
              <w:pStyle w:val="TableParagraph"/>
              <w:ind w:left="581" w:right="568"/>
              <w:jc w:val="center"/>
              <w:rPr>
                <w:sz w:val="16"/>
              </w:rPr>
            </w:pPr>
            <w:r>
              <w:rPr>
                <w:color w:val="404040"/>
                <w:sz w:val="16"/>
              </w:rPr>
              <w:t>99%</w:t>
            </w:r>
          </w:p>
        </w:tc>
      </w:tr>
      <w:tr>
        <w:trPr>
          <w:trHeight w:val="262" w:hRule="atLeast"/>
        </w:trPr>
        <w:tc>
          <w:tcPr>
            <w:tcW w:w="3905" w:type="dxa"/>
            <w:tcBorders>
              <w:top w:val="single" w:sz="4" w:space="0" w:color="DF2F1E"/>
              <w:left w:val="single" w:sz="4" w:space="0" w:color="DF2F1E"/>
            </w:tcBorders>
          </w:tcPr>
          <w:p>
            <w:pPr>
              <w:pStyle w:val="TableParagraph"/>
              <w:spacing w:before="34"/>
              <w:ind w:left="107"/>
              <w:rPr>
                <w:b/>
                <w:sz w:val="16"/>
              </w:rPr>
            </w:pPr>
            <w:r>
              <w:rPr>
                <w:b/>
                <w:color w:val="404040"/>
                <w:sz w:val="16"/>
              </w:rPr>
              <w:t>Geography – socio-economic area grouping</w:t>
            </w:r>
          </w:p>
        </w:tc>
        <w:tc>
          <w:tcPr>
            <w:tcW w:w="1037" w:type="dxa"/>
            <w:tcBorders>
              <w:top w:val="single" w:sz="4" w:space="0" w:color="DF2F1E"/>
            </w:tcBorders>
          </w:tcPr>
          <w:p>
            <w:pPr>
              <w:pStyle w:val="TableParagraph"/>
              <w:spacing w:before="0"/>
              <w:rPr>
                <w:rFonts w:ascii="Times New Roman"/>
                <w:sz w:val="16"/>
              </w:rPr>
            </w:pPr>
          </w:p>
        </w:tc>
        <w:tc>
          <w:tcPr>
            <w:tcW w:w="1658" w:type="dxa"/>
            <w:tcBorders>
              <w:top w:val="single" w:sz="4" w:space="0" w:color="DF2F1E"/>
            </w:tcBorders>
          </w:tcPr>
          <w:p>
            <w:pPr>
              <w:pStyle w:val="TableParagraph"/>
              <w:spacing w:before="0"/>
              <w:rPr>
                <w:rFonts w:ascii="Times New Roman"/>
                <w:sz w:val="16"/>
              </w:rPr>
            </w:pPr>
          </w:p>
        </w:tc>
        <w:tc>
          <w:tcPr>
            <w:tcW w:w="1574" w:type="dxa"/>
            <w:tcBorders>
              <w:top w:val="single" w:sz="4" w:space="0" w:color="DF2F1E"/>
            </w:tcBorders>
          </w:tcPr>
          <w:p>
            <w:pPr>
              <w:pStyle w:val="TableParagraph"/>
              <w:spacing w:before="0"/>
              <w:rPr>
                <w:rFonts w:ascii="Times New Roman"/>
                <w:sz w:val="16"/>
              </w:rPr>
            </w:pPr>
          </w:p>
        </w:tc>
        <w:tc>
          <w:tcPr>
            <w:tcW w:w="1608" w:type="dxa"/>
            <w:tcBorders>
              <w:top w:val="single" w:sz="4" w:space="0" w:color="DF2F1E"/>
              <w:right w:val="single" w:sz="4" w:space="0" w:color="DF2F1E"/>
            </w:tcBorders>
          </w:tcPr>
          <w:p>
            <w:pPr>
              <w:pStyle w:val="TableParagraph"/>
              <w:spacing w:before="0"/>
              <w:rPr>
                <w:rFonts w:ascii="Times New Roman"/>
                <w:sz w:val="16"/>
              </w:rPr>
            </w:pPr>
          </w:p>
        </w:tc>
      </w:tr>
      <w:tr>
        <w:trPr>
          <w:trHeight w:val="265" w:hRule="atLeast"/>
        </w:trPr>
        <w:tc>
          <w:tcPr>
            <w:tcW w:w="3905" w:type="dxa"/>
            <w:tcBorders>
              <w:left w:val="single" w:sz="4" w:space="0" w:color="DF2F1E"/>
            </w:tcBorders>
          </w:tcPr>
          <w:p>
            <w:pPr>
              <w:pStyle w:val="TableParagraph"/>
              <w:spacing w:before="39"/>
              <w:ind w:left="287"/>
              <w:rPr>
                <w:b/>
                <w:i/>
                <w:sz w:val="16"/>
              </w:rPr>
            </w:pPr>
            <w:r>
              <w:rPr>
                <w:b/>
                <w:i/>
                <w:color w:val="404040"/>
                <w:sz w:val="16"/>
              </w:rPr>
              <w:t>- Lowest 20% (most disadvantaged)</w:t>
            </w:r>
          </w:p>
        </w:tc>
        <w:tc>
          <w:tcPr>
            <w:tcW w:w="1037" w:type="dxa"/>
          </w:tcPr>
          <w:p>
            <w:pPr>
              <w:pStyle w:val="TableParagraph"/>
              <w:spacing w:before="39"/>
              <w:ind w:right="293"/>
              <w:jc w:val="right"/>
              <w:rPr>
                <w:sz w:val="16"/>
              </w:rPr>
            </w:pPr>
            <w:r>
              <w:rPr>
                <w:color w:val="404040"/>
                <w:sz w:val="16"/>
              </w:rPr>
              <w:t>67,000</w:t>
            </w:r>
          </w:p>
        </w:tc>
        <w:tc>
          <w:tcPr>
            <w:tcW w:w="1658" w:type="dxa"/>
          </w:tcPr>
          <w:p>
            <w:pPr>
              <w:pStyle w:val="TableParagraph"/>
              <w:spacing w:before="39"/>
              <w:ind w:left="669"/>
              <w:rPr>
                <w:sz w:val="16"/>
              </w:rPr>
            </w:pPr>
            <w:r>
              <w:rPr>
                <w:color w:val="404040"/>
                <w:sz w:val="16"/>
              </w:rPr>
              <w:t>37%</w:t>
            </w:r>
          </w:p>
        </w:tc>
        <w:tc>
          <w:tcPr>
            <w:tcW w:w="1574" w:type="dxa"/>
          </w:tcPr>
          <w:p>
            <w:pPr>
              <w:pStyle w:val="TableParagraph"/>
              <w:spacing w:before="39"/>
              <w:ind w:left="468" w:right="487"/>
              <w:jc w:val="center"/>
              <w:rPr>
                <w:sz w:val="16"/>
              </w:rPr>
            </w:pPr>
            <w:r>
              <w:rPr>
                <w:color w:val="404040"/>
                <w:sz w:val="16"/>
              </w:rPr>
              <w:t>556,000</w:t>
            </w:r>
          </w:p>
        </w:tc>
        <w:tc>
          <w:tcPr>
            <w:tcW w:w="1608" w:type="dxa"/>
            <w:tcBorders>
              <w:right w:val="single" w:sz="4" w:space="0" w:color="DF2F1E"/>
            </w:tcBorders>
          </w:tcPr>
          <w:p>
            <w:pPr>
              <w:pStyle w:val="TableParagraph"/>
              <w:spacing w:before="39"/>
              <w:ind w:left="581" w:right="570"/>
              <w:jc w:val="center"/>
              <w:rPr>
                <w:sz w:val="16"/>
              </w:rPr>
            </w:pPr>
            <w:r>
              <w:rPr>
                <w:color w:val="404040"/>
                <w:sz w:val="16"/>
              </w:rPr>
              <w:t>100%</w:t>
            </w:r>
          </w:p>
        </w:tc>
      </w:tr>
      <w:tr>
        <w:trPr>
          <w:trHeight w:val="263" w:hRule="atLeast"/>
        </w:trPr>
        <w:tc>
          <w:tcPr>
            <w:tcW w:w="3905" w:type="dxa"/>
            <w:tcBorders>
              <w:left w:val="single" w:sz="4" w:space="0" w:color="DF2F1E"/>
            </w:tcBorders>
          </w:tcPr>
          <w:p>
            <w:pPr>
              <w:pStyle w:val="TableParagraph"/>
              <w:ind w:left="287"/>
              <w:rPr>
                <w:b/>
                <w:i/>
                <w:sz w:val="16"/>
              </w:rPr>
            </w:pPr>
            <w:r>
              <w:rPr>
                <w:b/>
                <w:i/>
                <w:color w:val="404040"/>
                <w:sz w:val="16"/>
              </w:rPr>
              <w:t>- 20% to 40%</w:t>
            </w:r>
          </w:p>
        </w:tc>
        <w:tc>
          <w:tcPr>
            <w:tcW w:w="1037" w:type="dxa"/>
          </w:tcPr>
          <w:p>
            <w:pPr>
              <w:pStyle w:val="TableParagraph"/>
              <w:ind w:right="293"/>
              <w:jc w:val="right"/>
              <w:rPr>
                <w:sz w:val="16"/>
              </w:rPr>
            </w:pPr>
            <w:r>
              <w:rPr>
                <w:color w:val="404040"/>
                <w:sz w:val="16"/>
              </w:rPr>
              <w:t>44,000</w:t>
            </w:r>
          </w:p>
        </w:tc>
        <w:tc>
          <w:tcPr>
            <w:tcW w:w="1658" w:type="dxa"/>
          </w:tcPr>
          <w:p>
            <w:pPr>
              <w:pStyle w:val="TableParagraph"/>
              <w:ind w:left="669"/>
              <w:rPr>
                <w:sz w:val="16"/>
              </w:rPr>
            </w:pPr>
            <w:r>
              <w:rPr>
                <w:color w:val="404040"/>
                <w:sz w:val="16"/>
              </w:rPr>
              <w:t>24%</w:t>
            </w:r>
          </w:p>
        </w:tc>
        <w:tc>
          <w:tcPr>
            <w:tcW w:w="1574" w:type="dxa"/>
          </w:tcPr>
          <w:p>
            <w:pPr>
              <w:pStyle w:val="TableParagraph"/>
              <w:ind w:left="468" w:right="487"/>
              <w:jc w:val="center"/>
              <w:rPr>
                <w:sz w:val="16"/>
              </w:rPr>
            </w:pPr>
            <w:r>
              <w:rPr>
                <w:color w:val="404040"/>
                <w:sz w:val="16"/>
              </w:rPr>
              <w:t>558,000</w:t>
            </w:r>
          </w:p>
        </w:tc>
        <w:tc>
          <w:tcPr>
            <w:tcW w:w="1608" w:type="dxa"/>
            <w:tcBorders>
              <w:right w:val="single" w:sz="4" w:space="0" w:color="DF2F1E"/>
            </w:tcBorders>
          </w:tcPr>
          <w:p>
            <w:pPr>
              <w:pStyle w:val="TableParagraph"/>
              <w:ind w:left="581" w:right="570"/>
              <w:jc w:val="center"/>
              <w:rPr>
                <w:sz w:val="16"/>
              </w:rPr>
            </w:pPr>
            <w:r>
              <w:rPr>
                <w:color w:val="404040"/>
                <w:sz w:val="16"/>
              </w:rPr>
              <w:t>100%</w:t>
            </w:r>
          </w:p>
        </w:tc>
      </w:tr>
      <w:tr>
        <w:trPr>
          <w:trHeight w:val="263" w:hRule="atLeast"/>
        </w:trPr>
        <w:tc>
          <w:tcPr>
            <w:tcW w:w="3905" w:type="dxa"/>
            <w:tcBorders>
              <w:left w:val="single" w:sz="4" w:space="0" w:color="DF2F1E"/>
            </w:tcBorders>
          </w:tcPr>
          <w:p>
            <w:pPr>
              <w:pStyle w:val="TableParagraph"/>
              <w:ind w:left="287"/>
              <w:rPr>
                <w:b/>
                <w:i/>
                <w:sz w:val="16"/>
              </w:rPr>
            </w:pPr>
            <w:r>
              <w:rPr>
                <w:b/>
                <w:i/>
                <w:color w:val="404040"/>
                <w:sz w:val="16"/>
              </w:rPr>
              <w:t>- 40% to 60%</w:t>
            </w:r>
          </w:p>
        </w:tc>
        <w:tc>
          <w:tcPr>
            <w:tcW w:w="1037" w:type="dxa"/>
          </w:tcPr>
          <w:p>
            <w:pPr>
              <w:pStyle w:val="TableParagraph"/>
              <w:ind w:right="293"/>
              <w:jc w:val="right"/>
              <w:rPr>
                <w:sz w:val="16"/>
              </w:rPr>
            </w:pPr>
            <w:r>
              <w:rPr>
                <w:color w:val="404040"/>
                <w:sz w:val="16"/>
              </w:rPr>
              <w:t>31,000</w:t>
            </w:r>
          </w:p>
        </w:tc>
        <w:tc>
          <w:tcPr>
            <w:tcW w:w="1658" w:type="dxa"/>
          </w:tcPr>
          <w:p>
            <w:pPr>
              <w:pStyle w:val="TableParagraph"/>
              <w:ind w:left="669"/>
              <w:rPr>
                <w:sz w:val="16"/>
              </w:rPr>
            </w:pPr>
            <w:r>
              <w:rPr>
                <w:color w:val="404040"/>
                <w:sz w:val="16"/>
              </w:rPr>
              <w:t>17%</w:t>
            </w:r>
          </w:p>
        </w:tc>
        <w:tc>
          <w:tcPr>
            <w:tcW w:w="1574" w:type="dxa"/>
          </w:tcPr>
          <w:p>
            <w:pPr>
              <w:pStyle w:val="TableParagraph"/>
              <w:ind w:left="468" w:right="487"/>
              <w:jc w:val="center"/>
              <w:rPr>
                <w:sz w:val="16"/>
              </w:rPr>
            </w:pPr>
            <w:r>
              <w:rPr>
                <w:color w:val="404040"/>
                <w:sz w:val="16"/>
              </w:rPr>
              <w:t>557,000</w:t>
            </w:r>
          </w:p>
        </w:tc>
        <w:tc>
          <w:tcPr>
            <w:tcW w:w="1608" w:type="dxa"/>
            <w:tcBorders>
              <w:right w:val="single" w:sz="4" w:space="0" w:color="DF2F1E"/>
            </w:tcBorders>
          </w:tcPr>
          <w:p>
            <w:pPr>
              <w:pStyle w:val="TableParagraph"/>
              <w:ind w:left="581" w:right="570"/>
              <w:jc w:val="center"/>
              <w:rPr>
                <w:sz w:val="16"/>
              </w:rPr>
            </w:pPr>
            <w:r>
              <w:rPr>
                <w:color w:val="404040"/>
                <w:sz w:val="16"/>
              </w:rPr>
              <w:t>100%</w:t>
            </w:r>
          </w:p>
        </w:tc>
      </w:tr>
      <w:tr>
        <w:trPr>
          <w:trHeight w:val="264" w:hRule="atLeast"/>
        </w:trPr>
        <w:tc>
          <w:tcPr>
            <w:tcW w:w="3905" w:type="dxa"/>
            <w:tcBorders>
              <w:left w:val="single" w:sz="4" w:space="0" w:color="DF2F1E"/>
            </w:tcBorders>
          </w:tcPr>
          <w:p>
            <w:pPr>
              <w:pStyle w:val="TableParagraph"/>
              <w:ind w:left="287"/>
              <w:rPr>
                <w:b/>
                <w:i/>
                <w:sz w:val="16"/>
              </w:rPr>
            </w:pPr>
            <w:r>
              <w:rPr>
                <w:b/>
                <w:i/>
                <w:color w:val="404040"/>
                <w:sz w:val="16"/>
              </w:rPr>
              <w:t>- 60% to 80%</w:t>
            </w:r>
          </w:p>
        </w:tc>
        <w:tc>
          <w:tcPr>
            <w:tcW w:w="1037" w:type="dxa"/>
          </w:tcPr>
          <w:p>
            <w:pPr>
              <w:pStyle w:val="TableParagraph"/>
              <w:ind w:right="293"/>
              <w:jc w:val="right"/>
              <w:rPr>
                <w:sz w:val="16"/>
              </w:rPr>
            </w:pPr>
            <w:r>
              <w:rPr>
                <w:color w:val="404040"/>
                <w:sz w:val="16"/>
              </w:rPr>
              <w:t>22,000</w:t>
            </w:r>
          </w:p>
        </w:tc>
        <w:tc>
          <w:tcPr>
            <w:tcW w:w="1658" w:type="dxa"/>
          </w:tcPr>
          <w:p>
            <w:pPr>
              <w:pStyle w:val="TableParagraph"/>
              <w:ind w:left="669"/>
              <w:rPr>
                <w:sz w:val="16"/>
              </w:rPr>
            </w:pPr>
            <w:r>
              <w:rPr>
                <w:color w:val="404040"/>
                <w:sz w:val="16"/>
              </w:rPr>
              <w:t>12%</w:t>
            </w:r>
          </w:p>
        </w:tc>
        <w:tc>
          <w:tcPr>
            <w:tcW w:w="1574" w:type="dxa"/>
          </w:tcPr>
          <w:p>
            <w:pPr>
              <w:pStyle w:val="TableParagraph"/>
              <w:ind w:left="468" w:right="487"/>
              <w:jc w:val="center"/>
              <w:rPr>
                <w:sz w:val="16"/>
              </w:rPr>
            </w:pPr>
            <w:r>
              <w:rPr>
                <w:color w:val="404040"/>
                <w:sz w:val="16"/>
              </w:rPr>
              <w:t>561,000</w:t>
            </w:r>
          </w:p>
        </w:tc>
        <w:tc>
          <w:tcPr>
            <w:tcW w:w="1608" w:type="dxa"/>
            <w:tcBorders>
              <w:right w:val="single" w:sz="4" w:space="0" w:color="DF2F1E"/>
            </w:tcBorders>
          </w:tcPr>
          <w:p>
            <w:pPr>
              <w:pStyle w:val="TableParagraph"/>
              <w:ind w:left="581" w:right="570"/>
              <w:jc w:val="center"/>
              <w:rPr>
                <w:sz w:val="16"/>
              </w:rPr>
            </w:pPr>
            <w:r>
              <w:rPr>
                <w:color w:val="404040"/>
                <w:sz w:val="16"/>
              </w:rPr>
              <w:t>101%</w:t>
            </w:r>
          </w:p>
        </w:tc>
      </w:tr>
      <w:tr>
        <w:trPr>
          <w:trHeight w:val="264" w:hRule="atLeast"/>
        </w:trPr>
        <w:tc>
          <w:tcPr>
            <w:tcW w:w="3905" w:type="dxa"/>
            <w:tcBorders>
              <w:left w:val="single" w:sz="4" w:space="0" w:color="DF2F1E"/>
              <w:bottom w:val="single" w:sz="4" w:space="0" w:color="DF2F1E"/>
            </w:tcBorders>
          </w:tcPr>
          <w:p>
            <w:pPr>
              <w:pStyle w:val="TableParagraph"/>
              <w:ind w:left="287"/>
              <w:rPr>
                <w:b/>
                <w:i/>
                <w:sz w:val="16"/>
              </w:rPr>
            </w:pPr>
            <w:r>
              <w:rPr>
                <w:b/>
                <w:i/>
                <w:color w:val="404040"/>
                <w:sz w:val="16"/>
              </w:rPr>
              <w:t>- Highest 20% (least disadvantaged)</w:t>
            </w:r>
          </w:p>
        </w:tc>
        <w:tc>
          <w:tcPr>
            <w:tcW w:w="1037" w:type="dxa"/>
            <w:tcBorders>
              <w:bottom w:val="single" w:sz="4" w:space="0" w:color="DF2F1E"/>
            </w:tcBorders>
          </w:tcPr>
          <w:p>
            <w:pPr>
              <w:pStyle w:val="TableParagraph"/>
              <w:ind w:right="293"/>
              <w:jc w:val="right"/>
              <w:rPr>
                <w:sz w:val="16"/>
              </w:rPr>
            </w:pPr>
            <w:r>
              <w:rPr>
                <w:color w:val="404040"/>
                <w:sz w:val="16"/>
              </w:rPr>
              <w:t>17,000</w:t>
            </w:r>
          </w:p>
        </w:tc>
        <w:tc>
          <w:tcPr>
            <w:tcW w:w="1658" w:type="dxa"/>
            <w:tcBorders>
              <w:bottom w:val="single" w:sz="4" w:space="0" w:color="DF2F1E"/>
            </w:tcBorders>
          </w:tcPr>
          <w:p>
            <w:pPr>
              <w:pStyle w:val="TableParagraph"/>
              <w:ind w:left="712"/>
              <w:rPr>
                <w:sz w:val="16"/>
              </w:rPr>
            </w:pPr>
            <w:r>
              <w:rPr>
                <w:color w:val="404040"/>
                <w:sz w:val="16"/>
              </w:rPr>
              <w:t>9%</w:t>
            </w:r>
          </w:p>
        </w:tc>
        <w:tc>
          <w:tcPr>
            <w:tcW w:w="1574" w:type="dxa"/>
            <w:tcBorders>
              <w:bottom w:val="single" w:sz="4" w:space="0" w:color="DF2F1E"/>
            </w:tcBorders>
          </w:tcPr>
          <w:p>
            <w:pPr>
              <w:pStyle w:val="TableParagraph"/>
              <w:ind w:left="468" w:right="487"/>
              <w:jc w:val="center"/>
              <w:rPr>
                <w:sz w:val="16"/>
              </w:rPr>
            </w:pPr>
            <w:r>
              <w:rPr>
                <w:color w:val="404040"/>
                <w:sz w:val="16"/>
              </w:rPr>
              <w:t>566,000</w:t>
            </w:r>
          </w:p>
        </w:tc>
        <w:tc>
          <w:tcPr>
            <w:tcW w:w="1608" w:type="dxa"/>
            <w:tcBorders>
              <w:bottom w:val="single" w:sz="4" w:space="0" w:color="DF2F1E"/>
              <w:right w:val="single" w:sz="4" w:space="0" w:color="DF2F1E"/>
            </w:tcBorders>
          </w:tcPr>
          <w:p>
            <w:pPr>
              <w:pStyle w:val="TableParagraph"/>
              <w:ind w:left="581" w:right="570"/>
              <w:jc w:val="center"/>
              <w:rPr>
                <w:sz w:val="16"/>
              </w:rPr>
            </w:pPr>
            <w:r>
              <w:rPr>
                <w:color w:val="404040"/>
                <w:sz w:val="16"/>
              </w:rPr>
              <w:t>101%</w:t>
            </w:r>
          </w:p>
        </w:tc>
      </w:tr>
      <w:tr>
        <w:trPr>
          <w:trHeight w:val="262" w:hRule="atLeast"/>
        </w:trPr>
        <w:tc>
          <w:tcPr>
            <w:tcW w:w="3905" w:type="dxa"/>
            <w:tcBorders>
              <w:top w:val="single" w:sz="4" w:space="0" w:color="DF2F1E"/>
              <w:left w:val="single" w:sz="4" w:space="0" w:color="DF2F1E"/>
            </w:tcBorders>
          </w:tcPr>
          <w:p>
            <w:pPr>
              <w:pStyle w:val="TableParagraph"/>
              <w:spacing w:before="34"/>
              <w:ind w:left="107"/>
              <w:rPr>
                <w:b/>
                <w:sz w:val="16"/>
              </w:rPr>
            </w:pPr>
            <w:r>
              <w:rPr>
                <w:b/>
                <w:color w:val="404040"/>
                <w:sz w:val="16"/>
              </w:rPr>
              <w:t>Payments at valuation date</w:t>
            </w:r>
          </w:p>
        </w:tc>
        <w:tc>
          <w:tcPr>
            <w:tcW w:w="1037" w:type="dxa"/>
            <w:tcBorders>
              <w:top w:val="single" w:sz="4" w:space="0" w:color="DF2F1E"/>
            </w:tcBorders>
          </w:tcPr>
          <w:p>
            <w:pPr>
              <w:pStyle w:val="TableParagraph"/>
              <w:spacing w:before="0"/>
              <w:rPr>
                <w:rFonts w:ascii="Times New Roman"/>
                <w:sz w:val="16"/>
              </w:rPr>
            </w:pPr>
          </w:p>
        </w:tc>
        <w:tc>
          <w:tcPr>
            <w:tcW w:w="1658" w:type="dxa"/>
            <w:tcBorders>
              <w:top w:val="single" w:sz="4" w:space="0" w:color="DF2F1E"/>
            </w:tcBorders>
          </w:tcPr>
          <w:p>
            <w:pPr>
              <w:pStyle w:val="TableParagraph"/>
              <w:spacing w:before="0"/>
              <w:rPr>
                <w:rFonts w:ascii="Times New Roman"/>
                <w:sz w:val="16"/>
              </w:rPr>
            </w:pPr>
          </w:p>
        </w:tc>
        <w:tc>
          <w:tcPr>
            <w:tcW w:w="1574" w:type="dxa"/>
            <w:tcBorders>
              <w:top w:val="single" w:sz="4" w:space="0" w:color="DF2F1E"/>
            </w:tcBorders>
          </w:tcPr>
          <w:p>
            <w:pPr>
              <w:pStyle w:val="TableParagraph"/>
              <w:spacing w:before="0"/>
              <w:rPr>
                <w:rFonts w:ascii="Times New Roman"/>
                <w:sz w:val="16"/>
              </w:rPr>
            </w:pPr>
          </w:p>
        </w:tc>
        <w:tc>
          <w:tcPr>
            <w:tcW w:w="1608" w:type="dxa"/>
            <w:tcBorders>
              <w:top w:val="single" w:sz="4" w:space="0" w:color="DF2F1E"/>
              <w:right w:val="single" w:sz="4" w:space="0" w:color="DF2F1E"/>
            </w:tcBorders>
          </w:tcPr>
          <w:p>
            <w:pPr>
              <w:pStyle w:val="TableParagraph"/>
              <w:spacing w:before="0"/>
              <w:rPr>
                <w:rFonts w:ascii="Times New Roman"/>
                <w:sz w:val="16"/>
              </w:rPr>
            </w:pPr>
          </w:p>
        </w:tc>
      </w:tr>
      <w:tr>
        <w:trPr>
          <w:trHeight w:val="265" w:hRule="atLeast"/>
        </w:trPr>
        <w:tc>
          <w:tcPr>
            <w:tcW w:w="3905" w:type="dxa"/>
            <w:tcBorders>
              <w:left w:val="single" w:sz="4" w:space="0" w:color="DF2F1E"/>
            </w:tcBorders>
          </w:tcPr>
          <w:p>
            <w:pPr>
              <w:pStyle w:val="TableParagraph"/>
              <w:spacing w:before="39"/>
              <w:ind w:left="287"/>
              <w:rPr>
                <w:b/>
                <w:i/>
                <w:sz w:val="16"/>
              </w:rPr>
            </w:pPr>
            <w:r>
              <w:rPr>
                <w:b/>
                <w:i/>
                <w:color w:val="404040"/>
                <w:sz w:val="16"/>
              </w:rPr>
              <w:t>- In receipt of payments at valuation date</w:t>
            </w:r>
          </w:p>
        </w:tc>
        <w:tc>
          <w:tcPr>
            <w:tcW w:w="1037" w:type="dxa"/>
          </w:tcPr>
          <w:p>
            <w:pPr>
              <w:pStyle w:val="TableParagraph"/>
              <w:spacing w:before="39"/>
              <w:ind w:right="250"/>
              <w:jc w:val="right"/>
              <w:rPr>
                <w:sz w:val="16"/>
              </w:rPr>
            </w:pPr>
            <w:r>
              <w:rPr>
                <w:color w:val="404040"/>
                <w:sz w:val="16"/>
              </w:rPr>
              <w:t>179,000</w:t>
            </w:r>
          </w:p>
        </w:tc>
        <w:tc>
          <w:tcPr>
            <w:tcW w:w="1658" w:type="dxa"/>
          </w:tcPr>
          <w:p>
            <w:pPr>
              <w:pStyle w:val="TableParagraph"/>
              <w:spacing w:before="39"/>
              <w:ind w:left="669"/>
              <w:rPr>
                <w:sz w:val="16"/>
              </w:rPr>
            </w:pPr>
            <w:r>
              <w:rPr>
                <w:color w:val="404040"/>
                <w:sz w:val="16"/>
              </w:rPr>
              <w:t>98%</w:t>
            </w:r>
          </w:p>
        </w:tc>
        <w:tc>
          <w:tcPr>
            <w:tcW w:w="1574" w:type="dxa"/>
          </w:tcPr>
          <w:p>
            <w:pPr>
              <w:pStyle w:val="TableParagraph"/>
              <w:spacing w:before="39"/>
              <w:ind w:left="468" w:right="487"/>
              <w:jc w:val="center"/>
              <w:rPr>
                <w:sz w:val="16"/>
              </w:rPr>
            </w:pPr>
            <w:r>
              <w:rPr>
                <w:color w:val="404040"/>
                <w:sz w:val="16"/>
              </w:rPr>
              <w:t>560,000</w:t>
            </w:r>
          </w:p>
        </w:tc>
        <w:tc>
          <w:tcPr>
            <w:tcW w:w="1608" w:type="dxa"/>
            <w:tcBorders>
              <w:right w:val="single" w:sz="4" w:space="0" w:color="DF2F1E"/>
            </w:tcBorders>
          </w:tcPr>
          <w:p>
            <w:pPr>
              <w:pStyle w:val="TableParagraph"/>
              <w:spacing w:before="39"/>
              <w:ind w:left="581" w:right="571"/>
              <w:jc w:val="center"/>
              <w:rPr>
                <w:sz w:val="16"/>
              </w:rPr>
            </w:pPr>
            <w:r>
              <w:rPr>
                <w:color w:val="404040"/>
                <w:sz w:val="16"/>
              </w:rPr>
              <w:t>100%</w:t>
            </w:r>
          </w:p>
        </w:tc>
      </w:tr>
      <w:tr>
        <w:trPr>
          <w:trHeight w:val="266" w:hRule="atLeast"/>
        </w:trPr>
        <w:tc>
          <w:tcPr>
            <w:tcW w:w="3905" w:type="dxa"/>
            <w:tcBorders>
              <w:left w:val="single" w:sz="4" w:space="0" w:color="DF2F1E"/>
              <w:bottom w:val="single" w:sz="4" w:space="0" w:color="DF2F1E"/>
            </w:tcBorders>
          </w:tcPr>
          <w:p>
            <w:pPr>
              <w:pStyle w:val="TableParagraph"/>
              <w:ind w:right="194"/>
              <w:jc w:val="right"/>
              <w:rPr>
                <w:b/>
                <w:i/>
                <w:sz w:val="16"/>
              </w:rPr>
            </w:pPr>
            <w:r>
              <w:rPr>
                <w:b/>
                <w:i/>
                <w:color w:val="404040"/>
                <w:sz w:val="16"/>
              </w:rPr>
              <w:t>- Not in receipt of payments at valuation date</w:t>
            </w:r>
          </w:p>
        </w:tc>
        <w:tc>
          <w:tcPr>
            <w:tcW w:w="1037" w:type="dxa"/>
            <w:tcBorders>
              <w:bottom w:val="single" w:sz="4" w:space="0" w:color="DF2F1E"/>
            </w:tcBorders>
          </w:tcPr>
          <w:p>
            <w:pPr>
              <w:pStyle w:val="TableParagraph"/>
              <w:ind w:right="339"/>
              <w:jc w:val="right"/>
              <w:rPr>
                <w:sz w:val="16"/>
              </w:rPr>
            </w:pPr>
            <w:r>
              <w:rPr>
                <w:color w:val="404040"/>
                <w:sz w:val="16"/>
              </w:rPr>
              <w:t>3,000</w:t>
            </w:r>
          </w:p>
        </w:tc>
        <w:tc>
          <w:tcPr>
            <w:tcW w:w="1658" w:type="dxa"/>
            <w:tcBorders>
              <w:bottom w:val="single" w:sz="4" w:space="0" w:color="DF2F1E"/>
            </w:tcBorders>
          </w:tcPr>
          <w:p>
            <w:pPr>
              <w:pStyle w:val="TableParagraph"/>
              <w:ind w:left="712"/>
              <w:rPr>
                <w:sz w:val="16"/>
              </w:rPr>
            </w:pPr>
            <w:r>
              <w:rPr>
                <w:color w:val="404040"/>
                <w:sz w:val="16"/>
              </w:rPr>
              <w:t>2%</w:t>
            </w:r>
          </w:p>
        </w:tc>
        <w:tc>
          <w:tcPr>
            <w:tcW w:w="1574" w:type="dxa"/>
            <w:tcBorders>
              <w:bottom w:val="single" w:sz="4" w:space="0" w:color="DF2F1E"/>
            </w:tcBorders>
          </w:tcPr>
          <w:p>
            <w:pPr>
              <w:pStyle w:val="TableParagraph"/>
              <w:ind w:left="468" w:right="487"/>
              <w:jc w:val="center"/>
              <w:rPr>
                <w:sz w:val="16"/>
              </w:rPr>
            </w:pPr>
            <w:r>
              <w:rPr>
                <w:color w:val="404040"/>
                <w:sz w:val="16"/>
              </w:rPr>
              <w:t>420,000</w:t>
            </w:r>
          </w:p>
        </w:tc>
        <w:tc>
          <w:tcPr>
            <w:tcW w:w="1608" w:type="dxa"/>
            <w:tcBorders>
              <w:bottom w:val="single" w:sz="4" w:space="0" w:color="DF2F1E"/>
              <w:right w:val="single" w:sz="4" w:space="0" w:color="DF2F1E"/>
            </w:tcBorders>
          </w:tcPr>
          <w:p>
            <w:pPr>
              <w:pStyle w:val="TableParagraph"/>
              <w:ind w:left="581" w:right="568"/>
              <w:jc w:val="center"/>
              <w:rPr>
                <w:sz w:val="16"/>
              </w:rPr>
            </w:pPr>
            <w:r>
              <w:rPr>
                <w:color w:val="404040"/>
                <w:sz w:val="16"/>
              </w:rPr>
              <w:t>75%</w:t>
            </w:r>
          </w:p>
        </w:tc>
      </w:tr>
    </w:tbl>
    <w:p>
      <w:pPr>
        <w:pStyle w:val="BodyText"/>
        <w:spacing w:before="117"/>
        <w:ind w:left="900" w:right="1898"/>
      </w:pPr>
      <w:r>
        <w:rPr>
          <w:color w:val="404040"/>
        </w:rPr>
        <w:t>From the table, we can see that for the current cohort of 45 to 54 year old Disability Support Pensions recipients:</w:t>
      </w:r>
    </w:p>
    <w:p>
      <w:pPr>
        <w:pStyle w:val="ListParagraph"/>
        <w:numPr>
          <w:ilvl w:val="0"/>
          <w:numId w:val="55"/>
        </w:numPr>
        <w:tabs>
          <w:tab w:pos="1184" w:val="left" w:leader="none"/>
        </w:tabs>
        <w:spacing w:line="240" w:lineRule="auto" w:before="119" w:after="0"/>
        <w:ind w:left="1183" w:right="0" w:hanging="285"/>
        <w:jc w:val="left"/>
        <w:rPr>
          <w:sz w:val="20"/>
        </w:rPr>
      </w:pPr>
      <w:r>
        <w:rPr>
          <w:color w:val="404040"/>
          <w:sz w:val="20"/>
        </w:rPr>
        <w:t>Those with congenital anomalies or learning disabilities tend to have higher average lifetime</w:t>
      </w:r>
      <w:r>
        <w:rPr>
          <w:color w:val="404040"/>
          <w:spacing w:val="-15"/>
          <w:sz w:val="20"/>
        </w:rPr>
        <w:t> </w:t>
      </w:r>
      <w:r>
        <w:rPr>
          <w:color w:val="404040"/>
          <w:sz w:val="20"/>
        </w:rPr>
        <w:t>costs.</w:t>
      </w:r>
    </w:p>
    <w:p>
      <w:pPr>
        <w:pStyle w:val="ListParagraph"/>
        <w:numPr>
          <w:ilvl w:val="0"/>
          <w:numId w:val="55"/>
        </w:numPr>
        <w:tabs>
          <w:tab w:pos="1184" w:val="left" w:leader="none"/>
        </w:tabs>
        <w:spacing w:line="240" w:lineRule="auto" w:before="120" w:after="0"/>
        <w:ind w:left="1183" w:right="1078" w:hanging="284"/>
        <w:jc w:val="left"/>
        <w:rPr>
          <w:sz w:val="20"/>
        </w:rPr>
      </w:pPr>
      <w:r>
        <w:rPr>
          <w:color w:val="404040"/>
          <w:sz w:val="20"/>
        </w:rPr>
        <w:t>Those</w:t>
      </w:r>
      <w:r>
        <w:rPr>
          <w:color w:val="404040"/>
          <w:spacing w:val="-4"/>
          <w:sz w:val="20"/>
        </w:rPr>
        <w:t> </w:t>
      </w:r>
      <w:r>
        <w:rPr>
          <w:color w:val="404040"/>
          <w:sz w:val="20"/>
        </w:rPr>
        <w:t>with</w:t>
      </w:r>
      <w:r>
        <w:rPr>
          <w:color w:val="404040"/>
          <w:spacing w:val="-3"/>
          <w:sz w:val="20"/>
        </w:rPr>
        <w:t> </w:t>
      </w:r>
      <w:r>
        <w:rPr>
          <w:color w:val="404040"/>
          <w:sz w:val="20"/>
        </w:rPr>
        <w:t>more</w:t>
      </w:r>
      <w:r>
        <w:rPr>
          <w:color w:val="404040"/>
          <w:spacing w:val="-4"/>
          <w:sz w:val="20"/>
        </w:rPr>
        <w:t> </w:t>
      </w:r>
      <w:r>
        <w:rPr>
          <w:color w:val="404040"/>
          <w:sz w:val="20"/>
        </w:rPr>
        <w:t>children</w:t>
      </w:r>
      <w:r>
        <w:rPr>
          <w:color w:val="404040"/>
          <w:spacing w:val="-3"/>
          <w:sz w:val="20"/>
        </w:rPr>
        <w:t> </w:t>
      </w:r>
      <w:r>
        <w:rPr>
          <w:color w:val="404040"/>
          <w:sz w:val="20"/>
        </w:rPr>
        <w:t>tend</w:t>
      </w:r>
      <w:r>
        <w:rPr>
          <w:color w:val="404040"/>
          <w:spacing w:val="-4"/>
          <w:sz w:val="20"/>
        </w:rPr>
        <w:t> </w:t>
      </w:r>
      <w:r>
        <w:rPr>
          <w:color w:val="404040"/>
          <w:sz w:val="20"/>
        </w:rPr>
        <w:t>to</w:t>
      </w:r>
      <w:r>
        <w:rPr>
          <w:color w:val="404040"/>
          <w:spacing w:val="-3"/>
          <w:sz w:val="20"/>
        </w:rPr>
        <w:t> </w:t>
      </w:r>
      <w:r>
        <w:rPr>
          <w:color w:val="404040"/>
          <w:sz w:val="20"/>
        </w:rPr>
        <w:t>have</w:t>
      </w:r>
      <w:r>
        <w:rPr>
          <w:color w:val="404040"/>
          <w:spacing w:val="-4"/>
          <w:sz w:val="20"/>
        </w:rPr>
        <w:t> </w:t>
      </w:r>
      <w:r>
        <w:rPr>
          <w:color w:val="404040"/>
          <w:sz w:val="20"/>
        </w:rPr>
        <w:t>lower lifetime</w:t>
      </w:r>
      <w:r>
        <w:rPr>
          <w:color w:val="404040"/>
          <w:spacing w:val="-4"/>
          <w:sz w:val="20"/>
        </w:rPr>
        <w:t> </w:t>
      </w:r>
      <w:r>
        <w:rPr>
          <w:color w:val="404040"/>
          <w:sz w:val="20"/>
        </w:rPr>
        <w:t>costs.</w:t>
      </w:r>
      <w:r>
        <w:rPr>
          <w:color w:val="404040"/>
          <w:spacing w:val="-3"/>
          <w:sz w:val="20"/>
        </w:rPr>
        <w:t> </w:t>
      </w:r>
      <w:r>
        <w:rPr>
          <w:color w:val="404040"/>
          <w:sz w:val="20"/>
        </w:rPr>
        <w:t>This</w:t>
      </w:r>
      <w:r>
        <w:rPr>
          <w:color w:val="404040"/>
          <w:spacing w:val="-3"/>
          <w:sz w:val="20"/>
        </w:rPr>
        <w:t> </w:t>
      </w:r>
      <w:r>
        <w:rPr>
          <w:color w:val="404040"/>
          <w:sz w:val="20"/>
        </w:rPr>
        <w:t>trend</w:t>
      </w:r>
      <w:r>
        <w:rPr>
          <w:color w:val="404040"/>
          <w:spacing w:val="-3"/>
          <w:sz w:val="20"/>
        </w:rPr>
        <w:t> </w:t>
      </w:r>
      <w:r>
        <w:rPr>
          <w:color w:val="404040"/>
          <w:sz w:val="20"/>
        </w:rPr>
        <w:t>is</w:t>
      </w:r>
      <w:r>
        <w:rPr>
          <w:color w:val="404040"/>
          <w:spacing w:val="-3"/>
          <w:sz w:val="20"/>
        </w:rPr>
        <w:t> </w:t>
      </w:r>
      <w:r>
        <w:rPr>
          <w:color w:val="404040"/>
          <w:sz w:val="20"/>
        </w:rPr>
        <w:t>the</w:t>
      </w:r>
      <w:r>
        <w:rPr>
          <w:color w:val="404040"/>
          <w:spacing w:val="-1"/>
          <w:sz w:val="20"/>
        </w:rPr>
        <w:t> </w:t>
      </w:r>
      <w:r>
        <w:rPr>
          <w:color w:val="404040"/>
          <w:sz w:val="20"/>
        </w:rPr>
        <w:t>opposite</w:t>
      </w:r>
      <w:r>
        <w:rPr>
          <w:color w:val="404040"/>
          <w:spacing w:val="-4"/>
          <w:sz w:val="20"/>
        </w:rPr>
        <w:t> </w:t>
      </w:r>
      <w:r>
        <w:rPr>
          <w:color w:val="404040"/>
          <w:sz w:val="20"/>
        </w:rPr>
        <w:t>to</w:t>
      </w:r>
      <w:r>
        <w:rPr>
          <w:color w:val="404040"/>
          <w:spacing w:val="-1"/>
          <w:sz w:val="20"/>
        </w:rPr>
        <w:t> </w:t>
      </w:r>
      <w:r>
        <w:rPr>
          <w:color w:val="404040"/>
          <w:sz w:val="20"/>
        </w:rPr>
        <w:t>the</w:t>
      </w:r>
      <w:r>
        <w:rPr>
          <w:color w:val="404040"/>
          <w:spacing w:val="-2"/>
          <w:sz w:val="20"/>
        </w:rPr>
        <w:t> </w:t>
      </w:r>
      <w:r>
        <w:rPr>
          <w:color w:val="404040"/>
          <w:sz w:val="20"/>
        </w:rPr>
        <w:t>trends</w:t>
      </w:r>
      <w:r>
        <w:rPr>
          <w:color w:val="404040"/>
          <w:spacing w:val="1"/>
          <w:sz w:val="20"/>
        </w:rPr>
        <w:t> </w:t>
      </w:r>
      <w:r>
        <w:rPr>
          <w:color w:val="404040"/>
          <w:sz w:val="20"/>
        </w:rPr>
        <w:t>observed in other classes and is likely related to the fact that those Disability Support Pensioners with more children are less likely to have severe medical</w:t>
      </w:r>
      <w:r>
        <w:rPr>
          <w:color w:val="404040"/>
          <w:spacing w:val="-9"/>
          <w:sz w:val="20"/>
        </w:rPr>
        <w:t> </w:t>
      </w:r>
      <w:r>
        <w:rPr>
          <w:color w:val="404040"/>
          <w:sz w:val="20"/>
        </w:rPr>
        <w:t>conditions.</w:t>
      </w:r>
    </w:p>
    <w:p>
      <w:pPr>
        <w:pStyle w:val="ListParagraph"/>
        <w:numPr>
          <w:ilvl w:val="0"/>
          <w:numId w:val="55"/>
        </w:numPr>
        <w:tabs>
          <w:tab w:pos="1184" w:val="left" w:leader="none"/>
        </w:tabs>
        <w:spacing w:line="240" w:lineRule="auto" w:before="118" w:after="0"/>
        <w:ind w:left="1183" w:right="1411" w:hanging="284"/>
        <w:jc w:val="left"/>
        <w:rPr>
          <w:sz w:val="20"/>
        </w:rPr>
      </w:pPr>
      <w:r>
        <w:rPr>
          <w:color w:val="404040"/>
          <w:sz w:val="20"/>
        </w:rPr>
        <w:t>98%</w:t>
      </w:r>
      <w:r>
        <w:rPr>
          <w:color w:val="404040"/>
          <w:spacing w:val="-3"/>
          <w:sz w:val="20"/>
        </w:rPr>
        <w:t> </w:t>
      </w:r>
      <w:r>
        <w:rPr>
          <w:color w:val="404040"/>
          <w:sz w:val="20"/>
        </w:rPr>
        <w:t>of</w:t>
      </w:r>
      <w:r>
        <w:rPr>
          <w:color w:val="404040"/>
          <w:spacing w:val="-2"/>
          <w:sz w:val="20"/>
        </w:rPr>
        <w:t> </w:t>
      </w:r>
      <w:r>
        <w:rPr>
          <w:color w:val="404040"/>
          <w:sz w:val="20"/>
        </w:rPr>
        <w:t>this</w:t>
      </w:r>
      <w:r>
        <w:rPr>
          <w:color w:val="404040"/>
          <w:spacing w:val="-2"/>
          <w:sz w:val="20"/>
        </w:rPr>
        <w:t> </w:t>
      </w:r>
      <w:r>
        <w:rPr>
          <w:color w:val="404040"/>
          <w:sz w:val="20"/>
        </w:rPr>
        <w:t>group</w:t>
      </w:r>
      <w:r>
        <w:rPr>
          <w:color w:val="404040"/>
          <w:spacing w:val="-2"/>
          <w:sz w:val="20"/>
        </w:rPr>
        <w:t> </w:t>
      </w:r>
      <w:r>
        <w:rPr>
          <w:color w:val="404040"/>
          <w:sz w:val="20"/>
        </w:rPr>
        <w:t>were</w:t>
      </w:r>
      <w:r>
        <w:rPr>
          <w:color w:val="404040"/>
          <w:spacing w:val="-2"/>
          <w:sz w:val="20"/>
        </w:rPr>
        <w:t> </w:t>
      </w:r>
      <w:r>
        <w:rPr>
          <w:color w:val="404040"/>
          <w:sz w:val="20"/>
        </w:rPr>
        <w:t>in</w:t>
      </w:r>
      <w:r>
        <w:rPr>
          <w:color w:val="404040"/>
          <w:spacing w:val="-1"/>
          <w:sz w:val="20"/>
        </w:rPr>
        <w:t> </w:t>
      </w:r>
      <w:r>
        <w:rPr>
          <w:color w:val="404040"/>
          <w:sz w:val="20"/>
        </w:rPr>
        <w:t>receipt</w:t>
      </w:r>
      <w:r>
        <w:rPr>
          <w:color w:val="404040"/>
          <w:spacing w:val="-2"/>
          <w:sz w:val="20"/>
        </w:rPr>
        <w:t> </w:t>
      </w:r>
      <w:r>
        <w:rPr>
          <w:color w:val="404040"/>
          <w:sz w:val="20"/>
        </w:rPr>
        <w:t>of</w:t>
      </w:r>
      <w:r>
        <w:rPr>
          <w:color w:val="404040"/>
          <w:spacing w:val="-2"/>
          <w:sz w:val="20"/>
        </w:rPr>
        <w:t> </w:t>
      </w:r>
      <w:r>
        <w:rPr>
          <w:color w:val="404040"/>
          <w:sz w:val="20"/>
        </w:rPr>
        <w:t>payments</w:t>
      </w:r>
      <w:r>
        <w:rPr>
          <w:color w:val="404040"/>
          <w:spacing w:val="-2"/>
          <w:sz w:val="20"/>
        </w:rPr>
        <w:t> </w:t>
      </w:r>
      <w:r>
        <w:rPr>
          <w:color w:val="404040"/>
          <w:sz w:val="20"/>
        </w:rPr>
        <w:t>at</w:t>
      </w:r>
      <w:r>
        <w:rPr>
          <w:color w:val="404040"/>
          <w:spacing w:val="-4"/>
          <w:sz w:val="20"/>
        </w:rPr>
        <w:t> </w:t>
      </w:r>
      <w:r>
        <w:rPr>
          <w:color w:val="404040"/>
          <w:sz w:val="20"/>
        </w:rPr>
        <w:t>the</w:t>
      </w:r>
      <w:r>
        <w:rPr>
          <w:color w:val="404040"/>
          <w:spacing w:val="-2"/>
          <w:sz w:val="20"/>
        </w:rPr>
        <w:t> </w:t>
      </w:r>
      <w:r>
        <w:rPr>
          <w:color w:val="404040"/>
          <w:sz w:val="20"/>
        </w:rPr>
        <w:t>valuation</w:t>
      </w:r>
      <w:r>
        <w:rPr>
          <w:color w:val="404040"/>
          <w:spacing w:val="-3"/>
          <w:sz w:val="20"/>
        </w:rPr>
        <w:t> </w:t>
      </w:r>
      <w:r>
        <w:rPr>
          <w:color w:val="404040"/>
          <w:sz w:val="20"/>
        </w:rPr>
        <w:t>date.</w:t>
      </w:r>
      <w:r>
        <w:rPr>
          <w:color w:val="404040"/>
          <w:spacing w:val="-2"/>
          <w:sz w:val="20"/>
        </w:rPr>
        <w:t> </w:t>
      </w:r>
      <w:r>
        <w:rPr>
          <w:color w:val="404040"/>
          <w:sz w:val="20"/>
        </w:rPr>
        <w:t>The</w:t>
      </w:r>
      <w:r>
        <w:rPr>
          <w:color w:val="404040"/>
          <w:spacing w:val="-4"/>
          <w:sz w:val="20"/>
        </w:rPr>
        <w:t> </w:t>
      </w:r>
      <w:r>
        <w:rPr>
          <w:color w:val="404040"/>
          <w:sz w:val="20"/>
        </w:rPr>
        <w:t>other</w:t>
      </w:r>
      <w:r>
        <w:rPr>
          <w:color w:val="404040"/>
          <w:spacing w:val="-2"/>
          <w:sz w:val="20"/>
        </w:rPr>
        <w:t> </w:t>
      </w:r>
      <w:r>
        <w:rPr>
          <w:color w:val="404040"/>
          <w:sz w:val="20"/>
        </w:rPr>
        <w:t>2%</w:t>
      </w:r>
      <w:r>
        <w:rPr>
          <w:color w:val="404040"/>
          <w:spacing w:val="-3"/>
          <w:sz w:val="20"/>
        </w:rPr>
        <w:t> </w:t>
      </w:r>
      <w:r>
        <w:rPr>
          <w:color w:val="404040"/>
          <w:sz w:val="20"/>
        </w:rPr>
        <w:t>have</w:t>
      </w:r>
      <w:r>
        <w:rPr>
          <w:color w:val="404040"/>
          <w:spacing w:val="-3"/>
          <w:sz w:val="20"/>
        </w:rPr>
        <w:t> </w:t>
      </w:r>
      <w:r>
        <w:rPr>
          <w:color w:val="404040"/>
          <w:sz w:val="20"/>
        </w:rPr>
        <w:t>a</w:t>
      </w:r>
      <w:r>
        <w:rPr>
          <w:color w:val="404040"/>
          <w:spacing w:val="-2"/>
          <w:sz w:val="20"/>
        </w:rPr>
        <w:t> </w:t>
      </w:r>
      <w:r>
        <w:rPr>
          <w:color w:val="404040"/>
          <w:sz w:val="20"/>
        </w:rPr>
        <w:t>lower</w:t>
      </w:r>
      <w:r>
        <w:rPr>
          <w:color w:val="404040"/>
          <w:spacing w:val="-3"/>
          <w:sz w:val="20"/>
        </w:rPr>
        <w:t> </w:t>
      </w:r>
      <w:r>
        <w:rPr>
          <w:color w:val="404040"/>
          <w:sz w:val="20"/>
        </w:rPr>
        <w:t>average lifetime</w:t>
      </w:r>
      <w:r>
        <w:rPr>
          <w:color w:val="404040"/>
          <w:spacing w:val="-2"/>
          <w:sz w:val="20"/>
        </w:rPr>
        <w:t> </w:t>
      </w:r>
      <w:r>
        <w:rPr>
          <w:color w:val="404040"/>
          <w:sz w:val="20"/>
        </w:rPr>
        <w:t>cost.</w:t>
      </w:r>
    </w:p>
    <w:p>
      <w:pPr>
        <w:pStyle w:val="ListParagraph"/>
        <w:numPr>
          <w:ilvl w:val="0"/>
          <w:numId w:val="55"/>
        </w:numPr>
        <w:tabs>
          <w:tab w:pos="1184" w:val="left" w:leader="none"/>
        </w:tabs>
        <w:spacing w:line="240" w:lineRule="auto" w:before="118" w:after="0"/>
        <w:ind w:left="1183" w:right="1295" w:hanging="284"/>
        <w:jc w:val="left"/>
        <w:rPr>
          <w:sz w:val="20"/>
        </w:rPr>
      </w:pPr>
      <w:r>
        <w:rPr>
          <w:color w:val="404040"/>
          <w:sz w:val="20"/>
        </w:rPr>
        <w:t>The average lifetime costs are very similar for people who live in areas with different levels of socio- economic disadvantage. This is because persistency in this class is high across most people, and so little variation is seen. However it can be seen that 37% of this group live in the 20% of locations with the most disadvantage.</w:t>
      </w:r>
    </w:p>
    <w:p>
      <w:pPr>
        <w:spacing w:after="0" w:line="240" w:lineRule="auto"/>
        <w:jc w:val="left"/>
        <w:rPr>
          <w:sz w:val="20"/>
        </w:rPr>
        <w:sectPr>
          <w:pgSz w:w="11910" w:h="16850"/>
          <w:pgMar w:header="572" w:footer="581" w:top="780" w:bottom="780" w:left="120" w:right="0"/>
        </w:sectPr>
      </w:pPr>
    </w:p>
    <w:p>
      <w:pPr>
        <w:pStyle w:val="BodyText"/>
      </w:pPr>
    </w:p>
    <w:p>
      <w:pPr>
        <w:pStyle w:val="BodyText"/>
      </w:pPr>
    </w:p>
    <w:p>
      <w:pPr>
        <w:pStyle w:val="BodyText"/>
        <w:spacing w:before="7"/>
        <w:rPr>
          <w:sz w:val="21"/>
        </w:rPr>
      </w:pPr>
    </w:p>
    <w:p>
      <w:pPr>
        <w:pStyle w:val="Heading6"/>
        <w:spacing w:before="94"/>
        <w:rPr>
          <w:i/>
        </w:rPr>
      </w:pPr>
      <w:r>
        <w:rPr>
          <w:i/>
          <w:color w:val="DF2F1E"/>
        </w:rPr>
        <w:t>Change in lifetime costs since the 2017 valuation</w:t>
      </w:r>
    </w:p>
    <w:p>
      <w:pPr>
        <w:pStyle w:val="BodyText"/>
        <w:spacing w:line="242" w:lineRule="auto" w:before="118"/>
        <w:ind w:left="899" w:right="1121"/>
      </w:pPr>
      <w:r>
        <w:rPr>
          <w:color w:val="404040"/>
        </w:rPr>
        <w:t>The lifetime cost for the people in this class is </w:t>
      </w:r>
      <w:r>
        <w:rPr>
          <w:b/>
          <w:color w:val="404040"/>
        </w:rPr>
        <w:t>$417bn</w:t>
      </w:r>
      <w:r>
        <w:rPr>
          <w:color w:val="404040"/>
        </w:rPr>
        <w:t>, which is the same as the rebased June 2017 valuation. This was the result both a similar number of people in this class and a similar average cost:</w:t>
      </w:r>
    </w:p>
    <w:p>
      <w:pPr>
        <w:pStyle w:val="ListParagraph"/>
        <w:numPr>
          <w:ilvl w:val="0"/>
          <w:numId w:val="55"/>
        </w:numPr>
        <w:tabs>
          <w:tab w:pos="1184" w:val="left" w:leader="none"/>
        </w:tabs>
        <w:spacing w:line="240" w:lineRule="auto" w:before="117" w:after="0"/>
        <w:ind w:left="1183" w:right="1206" w:hanging="284"/>
        <w:jc w:val="left"/>
        <w:rPr>
          <w:sz w:val="20"/>
        </w:rPr>
      </w:pPr>
      <w:r>
        <w:rPr>
          <w:color w:val="404040"/>
          <w:sz w:val="20"/>
        </w:rPr>
        <w:t>The average cost remained around the same at an overall level. The following table provides a breakdown of the change in average lifetime cost by payment</w:t>
      </w:r>
      <w:r>
        <w:rPr>
          <w:color w:val="404040"/>
          <w:spacing w:val="-7"/>
          <w:sz w:val="20"/>
        </w:rPr>
        <w:t> </w:t>
      </w:r>
      <w:r>
        <w:rPr>
          <w:color w:val="404040"/>
          <w:sz w:val="20"/>
        </w:rPr>
        <w:t>category.</w:t>
      </w:r>
    </w:p>
    <w:p>
      <w:pPr>
        <w:pStyle w:val="Heading9"/>
        <w:spacing w:before="175" w:after="56"/>
        <w:ind w:left="899"/>
      </w:pPr>
      <w:r>
        <w:rPr>
          <w:color w:val="DF2F1E"/>
        </w:rPr>
        <w:t>Table 28: Breakdown of change in average lifetime cost for class 5 by payment category</w:t>
      </w:r>
    </w:p>
    <w:tbl>
      <w:tblPr>
        <w:tblW w:w="0" w:type="auto"/>
        <w:jc w:val="left"/>
        <w:tblInd w:w="1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20"/>
        <w:gridCol w:w="1270"/>
        <w:gridCol w:w="991"/>
        <w:gridCol w:w="1032"/>
        <w:gridCol w:w="959"/>
        <w:gridCol w:w="1207"/>
        <w:gridCol w:w="1204"/>
      </w:tblGrid>
      <w:tr>
        <w:trPr>
          <w:trHeight w:val="268" w:hRule="atLeast"/>
        </w:trPr>
        <w:tc>
          <w:tcPr>
            <w:tcW w:w="3120" w:type="dxa"/>
            <w:shd w:val="clear" w:color="auto" w:fill="DF2F1E"/>
          </w:tcPr>
          <w:p>
            <w:pPr>
              <w:pStyle w:val="TableParagraph"/>
              <w:spacing w:before="0"/>
              <w:rPr>
                <w:rFonts w:ascii="Times New Roman"/>
                <w:sz w:val="16"/>
              </w:rPr>
            </w:pPr>
          </w:p>
        </w:tc>
        <w:tc>
          <w:tcPr>
            <w:tcW w:w="1270" w:type="dxa"/>
            <w:shd w:val="clear" w:color="auto" w:fill="DF2F1E"/>
          </w:tcPr>
          <w:p>
            <w:pPr>
              <w:pStyle w:val="TableParagraph"/>
              <w:spacing w:before="0"/>
              <w:rPr>
                <w:rFonts w:ascii="Times New Roman"/>
                <w:sz w:val="16"/>
              </w:rPr>
            </w:pPr>
          </w:p>
        </w:tc>
        <w:tc>
          <w:tcPr>
            <w:tcW w:w="2982" w:type="dxa"/>
            <w:gridSpan w:val="3"/>
            <w:shd w:val="clear" w:color="auto" w:fill="DF2F1E"/>
          </w:tcPr>
          <w:p>
            <w:pPr>
              <w:pStyle w:val="TableParagraph"/>
              <w:spacing w:before="34"/>
              <w:ind w:left="1403" w:right="1386"/>
              <w:jc w:val="center"/>
              <w:rPr>
                <w:b/>
                <w:sz w:val="16"/>
              </w:rPr>
            </w:pPr>
            <w:r>
              <w:rPr>
                <w:b/>
                <w:color w:val="FFFFFF"/>
                <w:sz w:val="16"/>
              </w:rPr>
              <w:t>IS</w:t>
            </w:r>
          </w:p>
        </w:tc>
        <w:tc>
          <w:tcPr>
            <w:tcW w:w="1207" w:type="dxa"/>
            <w:shd w:val="clear" w:color="auto" w:fill="DF2F1E"/>
          </w:tcPr>
          <w:p>
            <w:pPr>
              <w:pStyle w:val="TableParagraph"/>
              <w:spacing w:before="34"/>
              <w:ind w:right="50"/>
              <w:jc w:val="right"/>
              <w:rPr>
                <w:b/>
                <w:sz w:val="16"/>
              </w:rPr>
            </w:pPr>
            <w:r>
              <w:rPr>
                <w:b/>
                <w:color w:val="FFFFFF"/>
                <w:sz w:val="16"/>
              </w:rPr>
              <w:t>Non</w:t>
            </w:r>
          </w:p>
        </w:tc>
        <w:tc>
          <w:tcPr>
            <w:tcW w:w="1204" w:type="dxa"/>
            <w:shd w:val="clear" w:color="auto" w:fill="DF2F1E"/>
          </w:tcPr>
          <w:p>
            <w:pPr>
              <w:pStyle w:val="TableParagraph"/>
              <w:spacing w:before="31"/>
              <w:ind w:left="60"/>
              <w:rPr>
                <w:b/>
                <w:sz w:val="10"/>
              </w:rPr>
            </w:pPr>
            <w:r>
              <w:rPr>
                <w:b/>
                <w:color w:val="FFFFFF"/>
                <w:sz w:val="16"/>
              </w:rPr>
              <w:t>IS</w:t>
            </w:r>
            <w:r>
              <w:rPr>
                <w:b/>
                <w:color w:val="FFFFFF"/>
                <w:position w:val="6"/>
                <w:sz w:val="10"/>
              </w:rPr>
              <w:t>1</w:t>
            </w:r>
          </w:p>
        </w:tc>
      </w:tr>
      <w:tr>
        <w:trPr>
          <w:trHeight w:val="640" w:hRule="atLeast"/>
        </w:trPr>
        <w:tc>
          <w:tcPr>
            <w:tcW w:w="3120" w:type="dxa"/>
            <w:shd w:val="clear" w:color="auto" w:fill="DF2F1E"/>
          </w:tcPr>
          <w:p>
            <w:pPr>
              <w:pStyle w:val="TableParagraph"/>
              <w:spacing w:before="0"/>
              <w:rPr>
                <w:rFonts w:ascii="Times New Roman"/>
                <w:sz w:val="16"/>
              </w:rPr>
            </w:pPr>
          </w:p>
        </w:tc>
        <w:tc>
          <w:tcPr>
            <w:tcW w:w="1270" w:type="dxa"/>
            <w:shd w:val="clear" w:color="auto" w:fill="DF2F1E"/>
          </w:tcPr>
          <w:p>
            <w:pPr>
              <w:pStyle w:val="TableParagraph"/>
              <w:spacing w:before="39"/>
              <w:ind w:left="430" w:right="417"/>
              <w:jc w:val="center"/>
              <w:rPr>
                <w:b/>
                <w:sz w:val="16"/>
              </w:rPr>
            </w:pPr>
            <w:r>
              <w:rPr>
                <w:b/>
                <w:color w:val="FFFFFF"/>
                <w:sz w:val="16"/>
              </w:rPr>
              <w:t>Total</w:t>
            </w:r>
          </w:p>
        </w:tc>
        <w:tc>
          <w:tcPr>
            <w:tcW w:w="991" w:type="dxa"/>
            <w:shd w:val="clear" w:color="auto" w:fill="DF2F1E"/>
          </w:tcPr>
          <w:p>
            <w:pPr>
              <w:pStyle w:val="TableParagraph"/>
              <w:spacing w:before="39"/>
              <w:ind w:left="201" w:right="106" w:hanging="48"/>
              <w:rPr>
                <w:b/>
                <w:sz w:val="16"/>
              </w:rPr>
            </w:pPr>
            <w:r>
              <w:rPr>
                <w:b/>
                <w:color w:val="FFFFFF"/>
                <w:sz w:val="16"/>
              </w:rPr>
              <w:t>Disability Support</w:t>
            </w:r>
          </w:p>
        </w:tc>
        <w:tc>
          <w:tcPr>
            <w:tcW w:w="1032" w:type="dxa"/>
            <w:shd w:val="clear" w:color="auto" w:fill="DF2F1E"/>
          </w:tcPr>
          <w:p>
            <w:pPr>
              <w:pStyle w:val="TableParagraph"/>
              <w:spacing w:before="39"/>
              <w:ind w:left="131" w:right="144" w:hanging="1"/>
              <w:jc w:val="center"/>
              <w:rPr>
                <w:b/>
                <w:sz w:val="16"/>
              </w:rPr>
            </w:pPr>
            <w:r>
              <w:rPr>
                <w:b/>
                <w:color w:val="FFFFFF"/>
                <w:sz w:val="16"/>
              </w:rPr>
              <w:t>Other (excl. Age Pension)</w:t>
            </w:r>
          </w:p>
        </w:tc>
        <w:tc>
          <w:tcPr>
            <w:tcW w:w="959" w:type="dxa"/>
            <w:shd w:val="clear" w:color="auto" w:fill="DF2F1E"/>
          </w:tcPr>
          <w:p>
            <w:pPr>
              <w:pStyle w:val="TableParagraph"/>
              <w:spacing w:before="39"/>
              <w:ind w:left="155" w:right="161" w:firstLine="160"/>
              <w:rPr>
                <w:b/>
                <w:sz w:val="16"/>
              </w:rPr>
            </w:pPr>
            <w:r>
              <w:rPr>
                <w:b/>
                <w:color w:val="FFFFFF"/>
                <w:sz w:val="16"/>
              </w:rPr>
              <w:t>Age Pension</w:t>
            </w:r>
          </w:p>
        </w:tc>
        <w:tc>
          <w:tcPr>
            <w:tcW w:w="1207" w:type="dxa"/>
            <w:shd w:val="clear" w:color="auto" w:fill="DF2F1E"/>
          </w:tcPr>
          <w:p>
            <w:pPr>
              <w:pStyle w:val="TableParagraph"/>
              <w:spacing w:before="39"/>
              <w:ind w:left="106" w:right="76" w:firstLine="249"/>
              <w:rPr>
                <w:b/>
                <w:sz w:val="16"/>
              </w:rPr>
            </w:pPr>
            <w:r>
              <w:rPr>
                <w:b/>
                <w:color w:val="FFFFFF"/>
                <w:sz w:val="16"/>
              </w:rPr>
              <w:t>Family Supplements</w:t>
            </w:r>
          </w:p>
        </w:tc>
        <w:tc>
          <w:tcPr>
            <w:tcW w:w="1204" w:type="dxa"/>
            <w:shd w:val="clear" w:color="auto" w:fill="DF2F1E"/>
          </w:tcPr>
          <w:p>
            <w:pPr>
              <w:pStyle w:val="TableParagraph"/>
              <w:spacing w:before="39"/>
              <w:ind w:left="104" w:right="75" w:firstLine="288"/>
              <w:rPr>
                <w:b/>
                <w:sz w:val="16"/>
              </w:rPr>
            </w:pPr>
            <w:r>
              <w:rPr>
                <w:b/>
                <w:color w:val="FFFFFF"/>
                <w:sz w:val="16"/>
              </w:rPr>
              <w:t>Other Supplements</w:t>
            </w:r>
          </w:p>
        </w:tc>
      </w:tr>
      <w:tr>
        <w:trPr>
          <w:trHeight w:val="258" w:hRule="atLeast"/>
        </w:trPr>
        <w:tc>
          <w:tcPr>
            <w:tcW w:w="3120" w:type="dxa"/>
            <w:tcBorders>
              <w:top w:val="single" w:sz="4" w:space="0" w:color="DF2F1E"/>
              <w:left w:val="single" w:sz="4" w:space="0" w:color="DF2F1E"/>
              <w:bottom w:val="single" w:sz="4" w:space="0" w:color="DF2F1E"/>
              <w:right w:val="single" w:sz="4" w:space="0" w:color="DF2F1E"/>
            </w:tcBorders>
          </w:tcPr>
          <w:p>
            <w:pPr>
              <w:pStyle w:val="TableParagraph"/>
              <w:spacing w:before="29"/>
              <w:ind w:left="57"/>
              <w:rPr>
                <w:b/>
                <w:sz w:val="16"/>
              </w:rPr>
            </w:pPr>
            <w:r>
              <w:rPr>
                <w:b/>
                <w:color w:val="404040"/>
                <w:sz w:val="16"/>
              </w:rPr>
              <w:t>Jun-17 Total Lifetime Cost</w:t>
            </w:r>
          </w:p>
        </w:tc>
        <w:tc>
          <w:tcPr>
            <w:tcW w:w="1270" w:type="dxa"/>
            <w:tcBorders>
              <w:top w:val="single" w:sz="4" w:space="0" w:color="DF2F1E"/>
              <w:left w:val="single" w:sz="4" w:space="0" w:color="DF2F1E"/>
              <w:bottom w:val="single" w:sz="4" w:space="0" w:color="DF2F1E"/>
              <w:right w:val="single" w:sz="4" w:space="0" w:color="DF2F1E"/>
            </w:tcBorders>
          </w:tcPr>
          <w:p>
            <w:pPr>
              <w:pStyle w:val="TableParagraph"/>
              <w:spacing w:before="32"/>
              <w:ind w:left="88" w:right="72"/>
              <w:jc w:val="center"/>
              <w:rPr>
                <w:sz w:val="16"/>
              </w:rPr>
            </w:pPr>
            <w:r>
              <w:rPr>
                <w:color w:val="404040"/>
                <w:sz w:val="16"/>
              </w:rPr>
              <w:t>$351bn</w:t>
            </w:r>
          </w:p>
        </w:tc>
        <w:tc>
          <w:tcPr>
            <w:tcW w:w="5393" w:type="dxa"/>
            <w:gridSpan w:val="5"/>
            <w:vMerge w:val="restart"/>
            <w:tcBorders>
              <w:top w:val="single" w:sz="4" w:space="0" w:color="DF2F1E"/>
              <w:left w:val="single" w:sz="4" w:space="0" w:color="DF2F1E"/>
              <w:bottom w:val="single" w:sz="4" w:space="0" w:color="DF2F1E"/>
              <w:right w:val="single" w:sz="4" w:space="0" w:color="DF2F1E"/>
            </w:tcBorders>
            <w:shd w:val="clear" w:color="auto" w:fill="D9D9D9"/>
          </w:tcPr>
          <w:p>
            <w:pPr>
              <w:pStyle w:val="TableParagraph"/>
              <w:spacing w:before="0"/>
              <w:rPr>
                <w:rFonts w:ascii="Times New Roman"/>
                <w:sz w:val="16"/>
              </w:rPr>
            </w:pPr>
          </w:p>
        </w:tc>
      </w:tr>
      <w:tr>
        <w:trPr>
          <w:trHeight w:val="257" w:hRule="atLeast"/>
        </w:trPr>
        <w:tc>
          <w:tcPr>
            <w:tcW w:w="3120" w:type="dxa"/>
            <w:tcBorders>
              <w:top w:val="single" w:sz="4" w:space="0" w:color="DF2F1E"/>
              <w:left w:val="single" w:sz="4" w:space="0" w:color="DF2F1E"/>
              <w:right w:val="single" w:sz="4" w:space="0" w:color="DF2F1E"/>
            </w:tcBorders>
          </w:tcPr>
          <w:p>
            <w:pPr>
              <w:pStyle w:val="TableParagraph"/>
              <w:spacing w:before="31"/>
              <w:ind w:left="57"/>
              <w:rPr>
                <w:b/>
                <w:sz w:val="10"/>
              </w:rPr>
            </w:pPr>
            <w:r>
              <w:rPr>
                <w:b/>
                <w:color w:val="404040"/>
                <w:sz w:val="16"/>
              </w:rPr>
              <w:t>Jun-17 Total Lifetime Cost – rebased</w:t>
            </w:r>
            <w:r>
              <w:rPr>
                <w:b/>
                <w:color w:val="404040"/>
                <w:position w:val="6"/>
                <w:sz w:val="10"/>
              </w:rPr>
              <w:t>2</w:t>
            </w:r>
          </w:p>
        </w:tc>
        <w:tc>
          <w:tcPr>
            <w:tcW w:w="1270" w:type="dxa"/>
            <w:tcBorders>
              <w:top w:val="single" w:sz="4" w:space="0" w:color="DF2F1E"/>
              <w:left w:val="single" w:sz="4" w:space="0" w:color="DF2F1E"/>
              <w:right w:val="single" w:sz="4" w:space="0" w:color="DF2F1E"/>
            </w:tcBorders>
          </w:tcPr>
          <w:p>
            <w:pPr>
              <w:pStyle w:val="TableParagraph"/>
              <w:ind w:left="88" w:right="72"/>
              <w:jc w:val="center"/>
              <w:rPr>
                <w:sz w:val="16"/>
              </w:rPr>
            </w:pPr>
            <w:r>
              <w:rPr>
                <w:color w:val="404040"/>
                <w:sz w:val="16"/>
              </w:rPr>
              <w:t>$417bn</w:t>
            </w:r>
          </w:p>
        </w:tc>
        <w:tc>
          <w:tcPr>
            <w:tcW w:w="5393" w:type="dxa"/>
            <w:gridSpan w:val="5"/>
            <w:vMerge/>
            <w:tcBorders>
              <w:top w:val="nil"/>
              <w:left w:val="single" w:sz="4" w:space="0" w:color="DF2F1E"/>
              <w:bottom w:val="single" w:sz="4" w:space="0" w:color="DF2F1E"/>
              <w:right w:val="single" w:sz="4" w:space="0" w:color="DF2F1E"/>
            </w:tcBorders>
            <w:shd w:val="clear" w:color="auto" w:fill="D9D9D9"/>
          </w:tcPr>
          <w:p>
            <w:pPr>
              <w:rPr>
                <w:sz w:val="2"/>
                <w:szCs w:val="2"/>
              </w:rPr>
            </w:pPr>
          </w:p>
        </w:tc>
      </w:tr>
      <w:tr>
        <w:trPr>
          <w:trHeight w:val="260" w:hRule="atLeast"/>
        </w:trPr>
        <w:tc>
          <w:tcPr>
            <w:tcW w:w="3120" w:type="dxa"/>
            <w:tcBorders>
              <w:left w:val="single" w:sz="4" w:space="0" w:color="DF2F1E"/>
              <w:bottom w:val="single" w:sz="4" w:space="0" w:color="DF2F1E"/>
              <w:right w:val="single" w:sz="4" w:space="0" w:color="DF2F1E"/>
            </w:tcBorders>
          </w:tcPr>
          <w:p>
            <w:pPr>
              <w:pStyle w:val="TableParagraph"/>
              <w:spacing w:before="31"/>
              <w:ind w:left="57"/>
              <w:rPr>
                <w:b/>
                <w:sz w:val="16"/>
              </w:rPr>
            </w:pPr>
            <w:r>
              <w:rPr>
                <w:b/>
                <w:color w:val="404040"/>
                <w:sz w:val="16"/>
              </w:rPr>
              <w:t>Jun-18 Total Lifetime Cost</w:t>
            </w:r>
          </w:p>
        </w:tc>
        <w:tc>
          <w:tcPr>
            <w:tcW w:w="1270" w:type="dxa"/>
            <w:tcBorders>
              <w:left w:val="single" w:sz="4" w:space="0" w:color="DF2F1E"/>
              <w:bottom w:val="single" w:sz="4" w:space="0" w:color="DF2F1E"/>
              <w:right w:val="single" w:sz="4" w:space="0" w:color="DF2F1E"/>
            </w:tcBorders>
          </w:tcPr>
          <w:p>
            <w:pPr>
              <w:pStyle w:val="TableParagraph"/>
              <w:spacing w:before="34"/>
              <w:ind w:left="88" w:right="72"/>
              <w:jc w:val="center"/>
              <w:rPr>
                <w:sz w:val="16"/>
              </w:rPr>
            </w:pPr>
            <w:r>
              <w:rPr>
                <w:color w:val="404040"/>
                <w:sz w:val="16"/>
              </w:rPr>
              <w:t>$417bn</w:t>
            </w:r>
          </w:p>
        </w:tc>
        <w:tc>
          <w:tcPr>
            <w:tcW w:w="5393" w:type="dxa"/>
            <w:gridSpan w:val="5"/>
            <w:vMerge/>
            <w:tcBorders>
              <w:top w:val="nil"/>
              <w:left w:val="single" w:sz="4" w:space="0" w:color="DF2F1E"/>
              <w:bottom w:val="single" w:sz="4" w:space="0" w:color="DF2F1E"/>
              <w:right w:val="single" w:sz="4" w:space="0" w:color="DF2F1E"/>
            </w:tcBorders>
            <w:shd w:val="clear" w:color="auto" w:fill="D9D9D9"/>
          </w:tcPr>
          <w:p>
            <w:pPr>
              <w:rPr>
                <w:sz w:val="2"/>
                <w:szCs w:val="2"/>
              </w:rPr>
            </w:pPr>
          </w:p>
        </w:tc>
      </w:tr>
      <w:tr>
        <w:trPr>
          <w:trHeight w:val="265" w:hRule="atLeast"/>
        </w:trPr>
        <w:tc>
          <w:tcPr>
            <w:tcW w:w="3120" w:type="dxa"/>
            <w:tcBorders>
              <w:top w:val="single" w:sz="4" w:space="0" w:color="DF2F1E"/>
              <w:left w:val="single" w:sz="4" w:space="0" w:color="DF2F1E"/>
              <w:bottom w:val="single" w:sz="4" w:space="0" w:color="DF2F1E"/>
              <w:right w:val="single" w:sz="4" w:space="0" w:color="DF2F1E"/>
            </w:tcBorders>
          </w:tcPr>
          <w:p>
            <w:pPr>
              <w:pStyle w:val="TableParagraph"/>
              <w:spacing w:before="33"/>
              <w:ind w:left="57"/>
              <w:rPr>
                <w:b/>
                <w:sz w:val="10"/>
              </w:rPr>
            </w:pPr>
            <w:r>
              <w:rPr>
                <w:b/>
                <w:color w:val="404040"/>
                <w:sz w:val="16"/>
              </w:rPr>
              <w:t>Change in Total Lifetime Cost</w:t>
            </w:r>
            <w:r>
              <w:rPr>
                <w:b/>
                <w:color w:val="404040"/>
                <w:position w:val="6"/>
                <w:sz w:val="10"/>
              </w:rPr>
              <w:t>2</w:t>
            </w:r>
          </w:p>
        </w:tc>
        <w:tc>
          <w:tcPr>
            <w:tcW w:w="1270" w:type="dxa"/>
            <w:tcBorders>
              <w:top w:val="single" w:sz="4" w:space="0" w:color="DF2F1E"/>
              <w:left w:val="single" w:sz="4" w:space="0" w:color="DF2F1E"/>
              <w:bottom w:val="single" w:sz="4" w:space="0" w:color="DF2F1E"/>
              <w:right w:val="single" w:sz="4" w:space="0" w:color="DF2F1E"/>
            </w:tcBorders>
          </w:tcPr>
          <w:p>
            <w:pPr>
              <w:pStyle w:val="TableParagraph"/>
              <w:spacing w:before="39"/>
              <w:ind w:left="39" w:right="23"/>
              <w:jc w:val="center"/>
              <w:rPr>
                <w:sz w:val="16"/>
              </w:rPr>
            </w:pPr>
            <w:r>
              <w:rPr>
                <w:color w:val="404040"/>
                <w:sz w:val="16"/>
              </w:rPr>
              <w:t>+$0bn (+0.1%)</w:t>
            </w:r>
          </w:p>
        </w:tc>
        <w:tc>
          <w:tcPr>
            <w:tcW w:w="5393" w:type="dxa"/>
            <w:gridSpan w:val="5"/>
            <w:vMerge/>
            <w:tcBorders>
              <w:top w:val="nil"/>
              <w:left w:val="single" w:sz="4" w:space="0" w:color="DF2F1E"/>
              <w:bottom w:val="single" w:sz="4" w:space="0" w:color="DF2F1E"/>
              <w:right w:val="single" w:sz="4" w:space="0" w:color="DF2F1E"/>
            </w:tcBorders>
            <w:shd w:val="clear" w:color="auto" w:fill="D9D9D9"/>
          </w:tcPr>
          <w:p>
            <w:pPr>
              <w:rPr>
                <w:sz w:val="2"/>
                <w:szCs w:val="2"/>
              </w:rPr>
            </w:pPr>
          </w:p>
        </w:tc>
      </w:tr>
      <w:tr>
        <w:trPr>
          <w:trHeight w:val="263" w:hRule="atLeast"/>
        </w:trPr>
        <w:tc>
          <w:tcPr>
            <w:tcW w:w="3120" w:type="dxa"/>
            <w:tcBorders>
              <w:top w:val="single" w:sz="4" w:space="0" w:color="DF2F1E"/>
              <w:left w:val="single" w:sz="4" w:space="0" w:color="DF2F1E"/>
              <w:bottom w:val="single" w:sz="4" w:space="0" w:color="DF2F1E"/>
              <w:right w:val="single" w:sz="4" w:space="0" w:color="DF2F1E"/>
            </w:tcBorders>
          </w:tcPr>
          <w:p>
            <w:pPr>
              <w:pStyle w:val="TableParagraph"/>
              <w:spacing w:before="34"/>
              <w:ind w:left="57"/>
              <w:rPr>
                <w:b/>
                <w:sz w:val="16"/>
              </w:rPr>
            </w:pPr>
            <w:r>
              <w:rPr>
                <w:b/>
                <w:color w:val="404040"/>
                <w:sz w:val="16"/>
              </w:rPr>
              <w:t>Change due to People in Class</w:t>
            </w:r>
          </w:p>
        </w:tc>
        <w:tc>
          <w:tcPr>
            <w:tcW w:w="1270" w:type="dxa"/>
            <w:tcBorders>
              <w:top w:val="single" w:sz="4" w:space="0" w:color="DF2F1E"/>
              <w:left w:val="single" w:sz="4" w:space="0" w:color="DF2F1E"/>
              <w:bottom w:val="single" w:sz="4" w:space="0" w:color="DF2F1E"/>
              <w:right w:val="single" w:sz="4" w:space="0" w:color="DF2F1E"/>
            </w:tcBorders>
          </w:tcPr>
          <w:p>
            <w:pPr>
              <w:pStyle w:val="TableParagraph"/>
              <w:ind w:left="88" w:right="74"/>
              <w:jc w:val="center"/>
              <w:rPr>
                <w:sz w:val="16"/>
              </w:rPr>
            </w:pPr>
            <w:r>
              <w:rPr>
                <w:color w:val="404040"/>
                <w:sz w:val="16"/>
              </w:rPr>
              <w:t>+0.2%</w:t>
            </w:r>
          </w:p>
        </w:tc>
        <w:tc>
          <w:tcPr>
            <w:tcW w:w="5393" w:type="dxa"/>
            <w:gridSpan w:val="5"/>
            <w:vMerge/>
            <w:tcBorders>
              <w:top w:val="nil"/>
              <w:left w:val="single" w:sz="4" w:space="0" w:color="DF2F1E"/>
              <w:bottom w:val="single" w:sz="4" w:space="0" w:color="DF2F1E"/>
              <w:right w:val="single" w:sz="4" w:space="0" w:color="DF2F1E"/>
            </w:tcBorders>
            <w:shd w:val="clear" w:color="auto" w:fill="D9D9D9"/>
          </w:tcPr>
          <w:p>
            <w:pPr>
              <w:rPr>
                <w:sz w:val="2"/>
                <w:szCs w:val="2"/>
              </w:rPr>
            </w:pPr>
          </w:p>
        </w:tc>
      </w:tr>
      <w:tr>
        <w:trPr>
          <w:trHeight w:val="262" w:hRule="atLeast"/>
        </w:trPr>
        <w:tc>
          <w:tcPr>
            <w:tcW w:w="3120" w:type="dxa"/>
            <w:tcBorders>
              <w:top w:val="single" w:sz="4" w:space="0" w:color="DF2F1E"/>
              <w:left w:val="single" w:sz="4" w:space="0" w:color="DF2F1E"/>
              <w:right w:val="single" w:sz="4" w:space="0" w:color="DF2F1E"/>
            </w:tcBorders>
          </w:tcPr>
          <w:p>
            <w:pPr>
              <w:pStyle w:val="TableParagraph"/>
              <w:spacing w:before="31"/>
              <w:ind w:left="57"/>
              <w:rPr>
                <w:b/>
                <w:sz w:val="10"/>
              </w:rPr>
            </w:pPr>
            <w:r>
              <w:rPr>
                <w:b/>
                <w:color w:val="404040"/>
                <w:sz w:val="16"/>
              </w:rPr>
              <w:t>Change due to Average Lifetime Cost</w:t>
            </w:r>
            <w:r>
              <w:rPr>
                <w:b/>
                <w:color w:val="404040"/>
                <w:position w:val="6"/>
                <w:sz w:val="10"/>
              </w:rPr>
              <w:t>2</w:t>
            </w:r>
          </w:p>
        </w:tc>
        <w:tc>
          <w:tcPr>
            <w:tcW w:w="1270" w:type="dxa"/>
            <w:tcBorders>
              <w:top w:val="single" w:sz="4" w:space="0" w:color="DF2F1E"/>
              <w:left w:val="single" w:sz="4" w:space="0" w:color="DF2F1E"/>
              <w:right w:val="single" w:sz="4" w:space="0" w:color="DF2F1E"/>
            </w:tcBorders>
          </w:tcPr>
          <w:p>
            <w:pPr>
              <w:pStyle w:val="TableParagraph"/>
              <w:ind w:left="88" w:right="72"/>
              <w:jc w:val="center"/>
              <w:rPr>
                <w:sz w:val="16"/>
              </w:rPr>
            </w:pPr>
            <w:r>
              <w:rPr>
                <w:color w:val="A6A6A6"/>
                <w:sz w:val="16"/>
              </w:rPr>
              <w:t>&lt;$1k</w:t>
            </w:r>
          </w:p>
        </w:tc>
        <w:tc>
          <w:tcPr>
            <w:tcW w:w="991" w:type="dxa"/>
            <w:tcBorders>
              <w:top w:val="single" w:sz="4" w:space="0" w:color="DF2F1E"/>
              <w:left w:val="single" w:sz="4" w:space="0" w:color="DF2F1E"/>
            </w:tcBorders>
          </w:tcPr>
          <w:p>
            <w:pPr>
              <w:pStyle w:val="TableParagraph"/>
              <w:ind w:right="261"/>
              <w:jc w:val="right"/>
              <w:rPr>
                <w:sz w:val="16"/>
              </w:rPr>
            </w:pPr>
            <w:r>
              <w:rPr>
                <w:color w:val="404040"/>
                <w:sz w:val="16"/>
              </w:rPr>
              <w:t>+$12k</w:t>
            </w:r>
          </w:p>
        </w:tc>
        <w:tc>
          <w:tcPr>
            <w:tcW w:w="1032" w:type="dxa"/>
            <w:tcBorders>
              <w:top w:val="single" w:sz="4" w:space="0" w:color="DF2F1E"/>
            </w:tcBorders>
          </w:tcPr>
          <w:p>
            <w:pPr>
              <w:pStyle w:val="TableParagraph"/>
              <w:ind w:right="345"/>
              <w:jc w:val="right"/>
              <w:rPr>
                <w:sz w:val="16"/>
              </w:rPr>
            </w:pPr>
            <w:r>
              <w:rPr>
                <w:color w:val="A6A6A6"/>
                <w:sz w:val="16"/>
              </w:rPr>
              <w:t>&lt;$1k</w:t>
            </w:r>
          </w:p>
        </w:tc>
        <w:tc>
          <w:tcPr>
            <w:tcW w:w="959" w:type="dxa"/>
            <w:tcBorders>
              <w:top w:val="single" w:sz="4" w:space="0" w:color="DF2F1E"/>
              <w:right w:val="dashSmallGap" w:sz="4" w:space="0" w:color="DF2F1E"/>
            </w:tcBorders>
          </w:tcPr>
          <w:p>
            <w:pPr>
              <w:pStyle w:val="TableParagraph"/>
              <w:ind w:left="245" w:right="266"/>
              <w:jc w:val="center"/>
              <w:rPr>
                <w:sz w:val="16"/>
              </w:rPr>
            </w:pPr>
            <w:r>
              <w:rPr>
                <w:color w:val="404040"/>
                <w:sz w:val="16"/>
              </w:rPr>
              <w:t>-$12k</w:t>
            </w:r>
          </w:p>
        </w:tc>
        <w:tc>
          <w:tcPr>
            <w:tcW w:w="1207" w:type="dxa"/>
            <w:tcBorders>
              <w:top w:val="single" w:sz="4" w:space="0" w:color="DF2F1E"/>
              <w:left w:val="dashSmallGap" w:sz="4" w:space="0" w:color="DF2F1E"/>
            </w:tcBorders>
          </w:tcPr>
          <w:p>
            <w:pPr>
              <w:pStyle w:val="TableParagraph"/>
              <w:ind w:left="427"/>
              <w:rPr>
                <w:sz w:val="16"/>
              </w:rPr>
            </w:pPr>
            <w:r>
              <w:rPr>
                <w:color w:val="A6A6A6"/>
                <w:sz w:val="16"/>
              </w:rPr>
              <w:t>&lt;$1k</w:t>
            </w:r>
          </w:p>
        </w:tc>
        <w:tc>
          <w:tcPr>
            <w:tcW w:w="1204" w:type="dxa"/>
            <w:tcBorders>
              <w:top w:val="single" w:sz="4" w:space="0" w:color="DF2F1E"/>
              <w:right w:val="single" w:sz="4" w:space="0" w:color="DF2F1E"/>
            </w:tcBorders>
          </w:tcPr>
          <w:p>
            <w:pPr>
              <w:pStyle w:val="TableParagraph"/>
              <w:ind w:right="415"/>
              <w:jc w:val="right"/>
              <w:rPr>
                <w:sz w:val="16"/>
              </w:rPr>
            </w:pPr>
            <w:r>
              <w:rPr>
                <w:color w:val="A6A6A6"/>
                <w:sz w:val="16"/>
              </w:rPr>
              <w:t>&lt;$1k</w:t>
            </w:r>
          </w:p>
        </w:tc>
      </w:tr>
      <w:tr>
        <w:trPr>
          <w:trHeight w:val="263" w:hRule="atLeast"/>
        </w:trPr>
        <w:tc>
          <w:tcPr>
            <w:tcW w:w="3120" w:type="dxa"/>
            <w:tcBorders>
              <w:left w:val="single" w:sz="4" w:space="0" w:color="DF2F1E"/>
              <w:right w:val="single" w:sz="4" w:space="0" w:color="DF2F1E"/>
            </w:tcBorders>
          </w:tcPr>
          <w:p>
            <w:pPr>
              <w:pStyle w:val="TableParagraph"/>
              <w:spacing w:before="36"/>
              <w:ind w:left="57"/>
              <w:rPr>
                <w:b/>
                <w:sz w:val="16"/>
              </w:rPr>
            </w:pPr>
            <w:r>
              <w:rPr>
                <w:b/>
                <w:color w:val="404040"/>
                <w:sz w:val="16"/>
              </w:rPr>
              <w:t>- Impact of change in inflation</w:t>
            </w:r>
          </w:p>
        </w:tc>
        <w:tc>
          <w:tcPr>
            <w:tcW w:w="1270" w:type="dxa"/>
            <w:tcBorders>
              <w:left w:val="single" w:sz="4" w:space="0" w:color="DF2F1E"/>
              <w:right w:val="single" w:sz="4" w:space="0" w:color="DF2F1E"/>
            </w:tcBorders>
          </w:tcPr>
          <w:p>
            <w:pPr>
              <w:pStyle w:val="TableParagraph"/>
              <w:spacing w:before="39"/>
              <w:ind w:left="88" w:right="74"/>
              <w:jc w:val="center"/>
              <w:rPr>
                <w:sz w:val="16"/>
              </w:rPr>
            </w:pPr>
            <w:r>
              <w:rPr>
                <w:color w:val="404040"/>
                <w:sz w:val="16"/>
              </w:rPr>
              <w:t>+$10k</w:t>
            </w:r>
          </w:p>
        </w:tc>
        <w:tc>
          <w:tcPr>
            <w:tcW w:w="991" w:type="dxa"/>
            <w:tcBorders>
              <w:left w:val="single" w:sz="4" w:space="0" w:color="DF2F1E"/>
            </w:tcBorders>
          </w:tcPr>
          <w:p>
            <w:pPr>
              <w:pStyle w:val="TableParagraph"/>
              <w:spacing w:before="39"/>
              <w:ind w:right="304"/>
              <w:jc w:val="right"/>
              <w:rPr>
                <w:sz w:val="16"/>
              </w:rPr>
            </w:pPr>
            <w:r>
              <w:rPr>
                <w:color w:val="404040"/>
                <w:sz w:val="16"/>
              </w:rPr>
              <w:t>+$5k</w:t>
            </w:r>
          </w:p>
        </w:tc>
        <w:tc>
          <w:tcPr>
            <w:tcW w:w="1032" w:type="dxa"/>
          </w:tcPr>
          <w:p>
            <w:pPr>
              <w:pStyle w:val="TableParagraph"/>
              <w:spacing w:before="39"/>
              <w:ind w:right="345"/>
              <w:jc w:val="right"/>
              <w:rPr>
                <w:sz w:val="16"/>
              </w:rPr>
            </w:pPr>
            <w:r>
              <w:rPr>
                <w:color w:val="A6A6A6"/>
                <w:sz w:val="16"/>
              </w:rPr>
              <w:t>&lt;$1k</w:t>
            </w:r>
          </w:p>
        </w:tc>
        <w:tc>
          <w:tcPr>
            <w:tcW w:w="959" w:type="dxa"/>
            <w:tcBorders>
              <w:right w:val="dashSmallGap" w:sz="4" w:space="0" w:color="DF2F1E"/>
            </w:tcBorders>
          </w:tcPr>
          <w:p>
            <w:pPr>
              <w:pStyle w:val="TableParagraph"/>
              <w:spacing w:before="39"/>
              <w:ind w:left="245" w:right="261"/>
              <w:jc w:val="center"/>
              <w:rPr>
                <w:sz w:val="16"/>
              </w:rPr>
            </w:pPr>
            <w:r>
              <w:rPr>
                <w:color w:val="404040"/>
                <w:sz w:val="16"/>
              </w:rPr>
              <w:t>+$4k</w:t>
            </w:r>
          </w:p>
        </w:tc>
        <w:tc>
          <w:tcPr>
            <w:tcW w:w="1207" w:type="dxa"/>
            <w:tcBorders>
              <w:left w:val="dashSmallGap" w:sz="4" w:space="0" w:color="DF2F1E"/>
            </w:tcBorders>
          </w:tcPr>
          <w:p>
            <w:pPr>
              <w:pStyle w:val="TableParagraph"/>
              <w:spacing w:before="39"/>
              <w:ind w:left="427"/>
              <w:rPr>
                <w:sz w:val="16"/>
              </w:rPr>
            </w:pPr>
            <w:r>
              <w:rPr>
                <w:color w:val="A6A6A6"/>
                <w:sz w:val="16"/>
              </w:rPr>
              <w:t>&lt;$1k</w:t>
            </w:r>
          </w:p>
        </w:tc>
        <w:tc>
          <w:tcPr>
            <w:tcW w:w="1204" w:type="dxa"/>
            <w:tcBorders>
              <w:right w:val="single" w:sz="4" w:space="0" w:color="DF2F1E"/>
            </w:tcBorders>
          </w:tcPr>
          <w:p>
            <w:pPr>
              <w:pStyle w:val="TableParagraph"/>
              <w:spacing w:before="39"/>
              <w:ind w:right="415"/>
              <w:jc w:val="right"/>
              <w:rPr>
                <w:sz w:val="16"/>
              </w:rPr>
            </w:pPr>
            <w:r>
              <w:rPr>
                <w:color w:val="404040"/>
                <w:sz w:val="16"/>
              </w:rPr>
              <w:t>+$1k</w:t>
            </w:r>
          </w:p>
        </w:tc>
      </w:tr>
      <w:tr>
        <w:trPr>
          <w:trHeight w:val="264" w:hRule="atLeast"/>
        </w:trPr>
        <w:tc>
          <w:tcPr>
            <w:tcW w:w="3120" w:type="dxa"/>
            <w:tcBorders>
              <w:left w:val="single" w:sz="4" w:space="0" w:color="DF2F1E"/>
              <w:right w:val="single" w:sz="4" w:space="0" w:color="DF2F1E"/>
            </w:tcBorders>
          </w:tcPr>
          <w:p>
            <w:pPr>
              <w:pStyle w:val="TableParagraph"/>
              <w:spacing w:before="36"/>
              <w:ind w:left="57"/>
              <w:rPr>
                <w:b/>
                <w:sz w:val="16"/>
              </w:rPr>
            </w:pPr>
            <w:r>
              <w:rPr>
                <w:b/>
                <w:color w:val="404040"/>
                <w:sz w:val="16"/>
              </w:rPr>
              <w:t>- Impact of Age Pension forecast</w:t>
            </w:r>
          </w:p>
        </w:tc>
        <w:tc>
          <w:tcPr>
            <w:tcW w:w="1270" w:type="dxa"/>
            <w:tcBorders>
              <w:left w:val="single" w:sz="4" w:space="0" w:color="DF2F1E"/>
              <w:right w:val="single" w:sz="4" w:space="0" w:color="DF2F1E"/>
            </w:tcBorders>
          </w:tcPr>
          <w:p>
            <w:pPr>
              <w:pStyle w:val="TableParagraph"/>
              <w:spacing w:before="39"/>
              <w:ind w:left="88" w:right="74"/>
              <w:jc w:val="center"/>
              <w:rPr>
                <w:sz w:val="16"/>
              </w:rPr>
            </w:pPr>
            <w:r>
              <w:rPr>
                <w:color w:val="404040"/>
                <w:sz w:val="16"/>
              </w:rPr>
              <w:t>-$3k</w:t>
            </w:r>
          </w:p>
        </w:tc>
        <w:tc>
          <w:tcPr>
            <w:tcW w:w="991" w:type="dxa"/>
            <w:tcBorders>
              <w:left w:val="single" w:sz="4" w:space="0" w:color="DF2F1E"/>
            </w:tcBorders>
          </w:tcPr>
          <w:p>
            <w:pPr>
              <w:pStyle w:val="TableParagraph"/>
              <w:spacing w:before="39"/>
              <w:ind w:right="306"/>
              <w:jc w:val="right"/>
              <w:rPr>
                <w:sz w:val="16"/>
              </w:rPr>
            </w:pPr>
            <w:r>
              <w:rPr>
                <w:color w:val="A6A6A6"/>
                <w:sz w:val="16"/>
              </w:rPr>
              <w:t>&lt;$1k</w:t>
            </w:r>
          </w:p>
        </w:tc>
        <w:tc>
          <w:tcPr>
            <w:tcW w:w="1032" w:type="dxa"/>
          </w:tcPr>
          <w:p>
            <w:pPr>
              <w:pStyle w:val="TableParagraph"/>
              <w:spacing w:before="39"/>
              <w:ind w:right="345"/>
              <w:jc w:val="right"/>
              <w:rPr>
                <w:sz w:val="16"/>
              </w:rPr>
            </w:pPr>
            <w:r>
              <w:rPr>
                <w:color w:val="A6A6A6"/>
                <w:sz w:val="16"/>
              </w:rPr>
              <w:t>&lt;$1k</w:t>
            </w:r>
          </w:p>
        </w:tc>
        <w:tc>
          <w:tcPr>
            <w:tcW w:w="959" w:type="dxa"/>
            <w:tcBorders>
              <w:right w:val="dashSmallGap" w:sz="4" w:space="0" w:color="DF2F1E"/>
            </w:tcBorders>
          </w:tcPr>
          <w:p>
            <w:pPr>
              <w:pStyle w:val="TableParagraph"/>
              <w:spacing w:before="39"/>
              <w:ind w:left="245" w:right="263"/>
              <w:jc w:val="center"/>
              <w:rPr>
                <w:sz w:val="16"/>
              </w:rPr>
            </w:pPr>
            <w:r>
              <w:rPr>
                <w:color w:val="404040"/>
                <w:sz w:val="16"/>
              </w:rPr>
              <w:t>-$2k</w:t>
            </w:r>
          </w:p>
        </w:tc>
        <w:tc>
          <w:tcPr>
            <w:tcW w:w="1207" w:type="dxa"/>
            <w:tcBorders>
              <w:left w:val="dashSmallGap" w:sz="4" w:space="0" w:color="DF2F1E"/>
            </w:tcBorders>
          </w:tcPr>
          <w:p>
            <w:pPr>
              <w:pStyle w:val="TableParagraph"/>
              <w:spacing w:before="39"/>
              <w:ind w:left="427"/>
              <w:rPr>
                <w:sz w:val="16"/>
              </w:rPr>
            </w:pPr>
            <w:r>
              <w:rPr>
                <w:color w:val="A6A6A6"/>
                <w:sz w:val="16"/>
              </w:rPr>
              <w:t>&lt;$1k</w:t>
            </w:r>
          </w:p>
        </w:tc>
        <w:tc>
          <w:tcPr>
            <w:tcW w:w="1204" w:type="dxa"/>
            <w:tcBorders>
              <w:right w:val="single" w:sz="4" w:space="0" w:color="DF2F1E"/>
            </w:tcBorders>
          </w:tcPr>
          <w:p>
            <w:pPr>
              <w:pStyle w:val="TableParagraph"/>
              <w:spacing w:before="39"/>
              <w:ind w:right="415"/>
              <w:jc w:val="right"/>
              <w:rPr>
                <w:sz w:val="16"/>
              </w:rPr>
            </w:pPr>
            <w:r>
              <w:rPr>
                <w:color w:val="A6A6A6"/>
                <w:sz w:val="16"/>
              </w:rPr>
              <w:t>&lt;$1k</w:t>
            </w:r>
          </w:p>
        </w:tc>
      </w:tr>
      <w:tr>
        <w:trPr>
          <w:trHeight w:val="265" w:hRule="atLeast"/>
        </w:trPr>
        <w:tc>
          <w:tcPr>
            <w:tcW w:w="3120" w:type="dxa"/>
            <w:tcBorders>
              <w:left w:val="single" w:sz="4" w:space="0" w:color="DF2F1E"/>
              <w:bottom w:val="single" w:sz="4" w:space="0" w:color="DF2F1E"/>
              <w:right w:val="single" w:sz="4" w:space="0" w:color="DF2F1E"/>
            </w:tcBorders>
          </w:tcPr>
          <w:p>
            <w:pPr>
              <w:pStyle w:val="TableParagraph"/>
              <w:spacing w:before="36"/>
              <w:ind w:left="57"/>
              <w:rPr>
                <w:b/>
                <w:sz w:val="16"/>
              </w:rPr>
            </w:pPr>
            <w:r>
              <w:rPr>
                <w:b/>
                <w:color w:val="404040"/>
                <w:sz w:val="16"/>
              </w:rPr>
              <w:t>- Impact of other changes</w:t>
            </w:r>
          </w:p>
        </w:tc>
        <w:tc>
          <w:tcPr>
            <w:tcW w:w="1270" w:type="dxa"/>
            <w:tcBorders>
              <w:left w:val="single" w:sz="4" w:space="0" w:color="DF2F1E"/>
              <w:bottom w:val="single" w:sz="4" w:space="0" w:color="DF2F1E"/>
              <w:right w:val="single" w:sz="4" w:space="0" w:color="DF2F1E"/>
            </w:tcBorders>
          </w:tcPr>
          <w:p>
            <w:pPr>
              <w:pStyle w:val="TableParagraph"/>
              <w:spacing w:before="39"/>
              <w:ind w:left="88" w:right="74"/>
              <w:jc w:val="center"/>
              <w:rPr>
                <w:sz w:val="16"/>
              </w:rPr>
            </w:pPr>
            <w:r>
              <w:rPr>
                <w:color w:val="404040"/>
                <w:sz w:val="16"/>
              </w:rPr>
              <w:t>-$8k</w:t>
            </w:r>
          </w:p>
        </w:tc>
        <w:tc>
          <w:tcPr>
            <w:tcW w:w="991" w:type="dxa"/>
            <w:tcBorders>
              <w:left w:val="single" w:sz="4" w:space="0" w:color="DF2F1E"/>
              <w:bottom w:val="single" w:sz="4" w:space="0" w:color="DF2F1E"/>
            </w:tcBorders>
          </w:tcPr>
          <w:p>
            <w:pPr>
              <w:pStyle w:val="TableParagraph"/>
              <w:spacing w:before="39"/>
              <w:ind w:right="306"/>
              <w:jc w:val="right"/>
              <w:rPr>
                <w:sz w:val="16"/>
              </w:rPr>
            </w:pPr>
            <w:r>
              <w:rPr>
                <w:color w:val="404040"/>
                <w:sz w:val="16"/>
              </w:rPr>
              <w:t>+$7k</w:t>
            </w:r>
          </w:p>
        </w:tc>
        <w:tc>
          <w:tcPr>
            <w:tcW w:w="1032" w:type="dxa"/>
            <w:tcBorders>
              <w:bottom w:val="single" w:sz="4" w:space="0" w:color="DF2F1E"/>
            </w:tcBorders>
          </w:tcPr>
          <w:p>
            <w:pPr>
              <w:pStyle w:val="TableParagraph"/>
              <w:spacing w:before="39"/>
              <w:ind w:right="345"/>
              <w:jc w:val="right"/>
              <w:rPr>
                <w:sz w:val="16"/>
              </w:rPr>
            </w:pPr>
            <w:r>
              <w:rPr>
                <w:color w:val="A6A6A6"/>
                <w:sz w:val="16"/>
              </w:rPr>
              <w:t>&lt;$1k</w:t>
            </w:r>
          </w:p>
        </w:tc>
        <w:tc>
          <w:tcPr>
            <w:tcW w:w="959" w:type="dxa"/>
            <w:tcBorders>
              <w:bottom w:val="single" w:sz="4" w:space="0" w:color="DF2F1E"/>
              <w:right w:val="dashSmallGap" w:sz="4" w:space="0" w:color="DF2F1E"/>
            </w:tcBorders>
          </w:tcPr>
          <w:p>
            <w:pPr>
              <w:pStyle w:val="TableParagraph"/>
              <w:spacing w:before="39"/>
              <w:ind w:left="245" w:right="267"/>
              <w:jc w:val="center"/>
              <w:rPr>
                <w:sz w:val="16"/>
              </w:rPr>
            </w:pPr>
            <w:r>
              <w:rPr>
                <w:color w:val="404040"/>
                <w:sz w:val="16"/>
              </w:rPr>
              <w:t>-$14k</w:t>
            </w:r>
          </w:p>
        </w:tc>
        <w:tc>
          <w:tcPr>
            <w:tcW w:w="1207" w:type="dxa"/>
            <w:tcBorders>
              <w:left w:val="dashSmallGap" w:sz="4" w:space="0" w:color="DF2F1E"/>
              <w:bottom w:val="single" w:sz="4" w:space="0" w:color="DF2F1E"/>
            </w:tcBorders>
          </w:tcPr>
          <w:p>
            <w:pPr>
              <w:pStyle w:val="TableParagraph"/>
              <w:spacing w:before="39"/>
              <w:ind w:left="427"/>
              <w:rPr>
                <w:sz w:val="16"/>
              </w:rPr>
            </w:pPr>
            <w:r>
              <w:rPr>
                <w:color w:val="A6A6A6"/>
                <w:sz w:val="16"/>
              </w:rPr>
              <w:t>&lt;$1k</w:t>
            </w:r>
          </w:p>
        </w:tc>
        <w:tc>
          <w:tcPr>
            <w:tcW w:w="1204" w:type="dxa"/>
            <w:tcBorders>
              <w:bottom w:val="single" w:sz="4" w:space="0" w:color="DF2F1E"/>
              <w:right w:val="single" w:sz="4" w:space="0" w:color="DF2F1E"/>
            </w:tcBorders>
          </w:tcPr>
          <w:p>
            <w:pPr>
              <w:pStyle w:val="TableParagraph"/>
              <w:spacing w:before="39"/>
              <w:ind w:right="415"/>
              <w:jc w:val="right"/>
              <w:rPr>
                <w:sz w:val="16"/>
              </w:rPr>
            </w:pPr>
            <w:r>
              <w:rPr>
                <w:color w:val="A6A6A6"/>
                <w:sz w:val="16"/>
              </w:rPr>
              <w:t>&lt;$1k</w:t>
            </w:r>
          </w:p>
        </w:tc>
      </w:tr>
    </w:tbl>
    <w:p>
      <w:pPr>
        <w:spacing w:before="78"/>
        <w:ind w:left="900" w:right="0" w:firstLine="0"/>
        <w:jc w:val="left"/>
        <w:rPr>
          <w:sz w:val="16"/>
        </w:rPr>
      </w:pPr>
      <w:r>
        <w:rPr>
          <w:color w:val="DF2F1E"/>
          <w:sz w:val="16"/>
        </w:rPr>
        <w:t>Notes:</w:t>
      </w:r>
    </w:p>
    <w:p>
      <w:pPr>
        <w:pStyle w:val="ListParagraph"/>
        <w:numPr>
          <w:ilvl w:val="1"/>
          <w:numId w:val="54"/>
        </w:numPr>
        <w:tabs>
          <w:tab w:pos="1619" w:val="left" w:leader="none"/>
          <w:tab w:pos="1621" w:val="left" w:leader="none"/>
        </w:tabs>
        <w:spacing w:line="240" w:lineRule="auto" w:before="80" w:after="0"/>
        <w:ind w:left="1620" w:right="1555" w:hanging="361"/>
        <w:jc w:val="left"/>
        <w:rPr>
          <w:sz w:val="16"/>
        </w:rPr>
      </w:pPr>
      <w:r>
        <w:rPr>
          <w:color w:val="DF2F1E"/>
          <w:sz w:val="16"/>
        </w:rPr>
        <w:t>Note that payment categories H, I and J have been included in family supplements and the remaining non income support payment categories in other</w:t>
      </w:r>
      <w:r>
        <w:rPr>
          <w:color w:val="DF2F1E"/>
          <w:spacing w:val="-3"/>
          <w:sz w:val="16"/>
        </w:rPr>
        <w:t> </w:t>
      </w:r>
      <w:r>
        <w:rPr>
          <w:color w:val="DF2F1E"/>
          <w:sz w:val="16"/>
        </w:rPr>
        <w:t>supplements.</w:t>
      </w:r>
    </w:p>
    <w:p>
      <w:pPr>
        <w:pStyle w:val="ListParagraph"/>
        <w:numPr>
          <w:ilvl w:val="1"/>
          <w:numId w:val="54"/>
        </w:numPr>
        <w:tabs>
          <w:tab w:pos="1620" w:val="left" w:leader="none"/>
          <w:tab w:pos="1621" w:val="left" w:leader="none"/>
        </w:tabs>
        <w:spacing w:line="240" w:lineRule="auto" w:before="80" w:after="0"/>
        <w:ind w:left="1620" w:right="1484" w:hanging="361"/>
        <w:jc w:val="left"/>
        <w:rPr>
          <w:sz w:val="16"/>
        </w:rPr>
      </w:pPr>
      <w:r>
        <w:rPr>
          <w:color w:val="DF2F1E"/>
          <w:sz w:val="16"/>
        </w:rPr>
        <w:t>The June 2017 rebased Lifetime Cost represents a recalculation of the June 2017 lifetime cost, but using a discount rate of 5% p.a. for consistency with the June 2018 results. All changes are shown relative to this rebased lifetime</w:t>
      </w:r>
      <w:r>
        <w:rPr>
          <w:color w:val="DF2F1E"/>
          <w:spacing w:val="-33"/>
          <w:sz w:val="16"/>
        </w:rPr>
        <w:t> </w:t>
      </w:r>
      <w:r>
        <w:rPr>
          <w:color w:val="DF2F1E"/>
          <w:sz w:val="16"/>
        </w:rPr>
        <w:t>cost.</w:t>
      </w:r>
    </w:p>
    <w:p>
      <w:pPr>
        <w:pStyle w:val="BodyText"/>
        <w:spacing w:before="121"/>
        <w:ind w:left="899" w:right="1099"/>
      </w:pPr>
      <w:r>
        <w:rPr>
          <w:color w:val="404040"/>
        </w:rPr>
        <w:t>The change in average cost has been primarily driven by an increase in the cost of future payments as a result of inflation; offset by a small decrease in the overall projected use of income support payments, combined with a rebalancing such that the continuation of DSP payment beyond retirement is more likely under the updated assumptions (instead of transitioning to Age Pension).</w:t>
      </w:r>
    </w:p>
    <w:p>
      <w:pPr>
        <w:pStyle w:val="BodyText"/>
        <w:spacing w:before="9"/>
      </w:pPr>
    </w:p>
    <w:p>
      <w:pPr>
        <w:pStyle w:val="Heading6"/>
        <w:rPr>
          <w:i/>
        </w:rPr>
      </w:pPr>
      <w:r>
        <w:rPr>
          <w:i/>
          <w:color w:val="DF2F1E"/>
        </w:rPr>
        <w:t>Future outcomes</w:t>
      </w:r>
    </w:p>
    <w:p>
      <w:pPr>
        <w:pStyle w:val="BodyText"/>
        <w:spacing w:before="121"/>
        <w:ind w:left="900" w:right="1141"/>
      </w:pPr>
      <w:r>
        <w:rPr>
          <w:color w:val="404040"/>
        </w:rPr>
        <w:t>In developing the valuation results, the projection model also produces information on the expected transitions for people out of each class, as shown below.</w:t>
      </w:r>
    </w:p>
    <w:p>
      <w:pPr>
        <w:pStyle w:val="Heading9"/>
        <w:spacing w:before="176"/>
      </w:pPr>
      <w:r>
        <w:rPr>
          <w:color w:val="DF2F1E"/>
        </w:rPr>
        <w:t>Figure 71: Expected future trajectory for people in class 5</w:t>
      </w:r>
    </w:p>
    <w:p>
      <w:pPr>
        <w:spacing w:after="0"/>
        <w:sectPr>
          <w:pgSz w:w="11910" w:h="16850"/>
          <w:pgMar w:header="572" w:footer="581" w:top="780" w:bottom="780" w:left="120" w:right="0"/>
        </w:sectPr>
      </w:pPr>
    </w:p>
    <w:p>
      <w:pPr>
        <w:pStyle w:val="BodyText"/>
        <w:spacing w:before="2"/>
        <w:rPr>
          <w:b/>
          <w:sz w:val="14"/>
        </w:rPr>
      </w:pPr>
    </w:p>
    <w:p>
      <w:pPr>
        <w:spacing w:before="0"/>
        <w:ind w:left="0" w:right="979" w:firstLine="0"/>
        <w:jc w:val="right"/>
        <w:rPr>
          <w:rFonts w:ascii="Calibri"/>
          <w:sz w:val="15"/>
        </w:rPr>
      </w:pPr>
      <w:r>
        <w:rPr/>
        <w:pict>
          <v:group style="position:absolute;margin-left:106.06192pt;margin-top:4.393074pt;width:246pt;height:119.4pt;mso-position-horizontal-relative:page;mso-position-vertical-relative:paragraph;z-index:252439552" coordorigin="2121,88" coordsize="4920,2388">
            <v:shape style="position:absolute;left:2168;top:93;width:4855;height:2323" coordorigin="2169,94" coordsize="4855,2323" path="m7023,2416l2169,2416,2169,94,2501,283,2655,390,2822,473,2988,568,3142,639,3308,722,3462,817,3629,888,3795,971,3949,1042,4115,1101,4281,1172,4436,1231,4602,1291,4768,1338,4922,1397,5088,1445,5243,1492,5575,1587,5729,1634,6062,1705,6216,1753,6382,1777,6548,1812,6703,1848,6869,1883,7023,1907,7023,2416xe" filled="true" fillcolor="#8063a1" stroked="false">
              <v:path arrowok="t"/>
              <v:fill type="solid"/>
            </v:shape>
            <v:shape style="position:absolute;left:2168;top:93;width:4855;height:2323" coordorigin="2169,94" coordsize="4855,2323" path="m2169,94l2335,189,2501,283,2655,390,2822,473,2988,568,3142,639,3308,722,3462,817,3629,888,3795,971,3949,1042,4115,1101,4281,1172,4436,1231,4602,1291,4768,1338,4922,1397,5088,1445,5243,1492,5409,1540,5575,1587,5729,1634,5896,1670,6062,1705,6216,1753,6382,1777,6548,1812,6703,1848,6869,1883,7023,1907,7023,2416,6869,2416,6703,2416,2169,2416,2169,94xe" filled="false" stroked="true" strokeweight=".592699pt" strokecolor="#8063a1">
              <v:path arrowok="t"/>
              <v:stroke dashstyle="solid"/>
            </v:shape>
            <v:shape style="position:absolute;left:6061;top:1705;width:321;height:72" coordorigin="6062,1705" coordsize="321,72" path="m6382,1777l6216,1753,6062,1705,6216,1741,6382,1777xe" filled="true" fillcolor="#1f487c" stroked="false">
              <v:path arrowok="t"/>
              <v:fill type="solid"/>
            </v:shape>
            <v:shape style="position:absolute;left:2168;top:93;width:4855;height:1814" coordorigin="2169,94" coordsize="4855,1814" path="m2169,94l2335,189,2501,283,2655,390,2822,473,2988,568,3142,639,3308,722,3462,817,3629,888,3795,971,3949,1042,4115,1101,4281,1172,4436,1231,4602,1291,4768,1338,4922,1397,5089,1445,5243,1492,5409,1540,5575,1587,5729,1634,5896,1670,6062,1705,6216,1741,6382,1777,6548,1812,6703,1848,6869,1883,7023,1907,6869,1883,6703,1848,6548,1812,6382,1777,6216,1753,6062,1705,5896,1670,5729,1634,5575,1587,5409,1540,5243,1492,5089,1445,4922,1397,4768,1338,4602,1291,4436,1231,4281,1172,4115,1101,3949,1042,3795,971,3629,888,3462,817,3308,722,3142,639,2988,568,2822,473,2655,390,2501,283,2335,189,2169,94xe" filled="false" stroked="true" strokeweight=".592643pt" strokecolor="#1f487c">
              <v:path arrowok="t"/>
              <v:stroke dashstyle="solid"/>
            </v:shape>
            <v:shape style="position:absolute;left:2334;top:188;width:4689;height:1719" coordorigin="2335,189" coordsize="4689,1719" path="m2655,390l2501,283,2335,189,2501,272,2655,390xm7023,1907l6869,1883,6703,1848,6548,1812,6216,1741,6062,1705,5729,1634,5575,1587,5243,1492,5089,1445,4922,1397,4768,1338,4602,1291,4436,1231,4281,1172,4115,1101,3949,1042,3795,971,3629,888,3462,817,3308,722,3142,639,2988,568,2822,473,2655,390,2822,461,2988,556,3142,627,3308,710,3462,793,3629,876,3795,947,3949,1018,4115,1089,4281,1148,4436,1208,4768,1326,4922,1374,5089,1421,5243,1480,5575,1575,5729,1611,5896,1658,6062,1694,6216,1729,6548,1800,6703,1836,6869,1871,7023,1895,7023,1907xe" filled="true" fillcolor="#009544" stroked="false">
              <v:path arrowok="t"/>
              <v:fill type="solid"/>
            </v:shape>
            <v:shape style="position:absolute;left:2168;top:93;width:4855;height:1814" coordorigin="2169,94" coordsize="4855,1814" path="m2169,94l2335,189,2501,272,2655,390,2822,461,2988,556,3142,627,3308,710,3462,793,3629,876,3795,947,3949,1018,4115,1089,4281,1148,4436,1208,4602,1267,4768,1326,4922,1374,5089,1421,5243,1480,5409,1528,5575,1575,5729,1611,5896,1658,6062,1694,6216,1729,6382,1765,6548,1800,6703,1836,6869,1871,7023,1895,7023,1907,6869,1883,6703,1848,6548,1812,6382,1777,6216,1741,6062,1705,5896,1670,5729,1634,5575,1587,5409,1540,5243,1492,5089,1445,4922,1397,4768,1338,4602,1291,4436,1231,4281,1172,4115,1101,3949,1042,3795,971,3629,888,3462,817,3308,722,3142,639,2988,568,2822,473,2655,390,2501,283,2335,189,2169,94xe" filled="false" stroked="true" strokeweight=".592643pt" strokecolor="#009544">
              <v:path arrowok="t"/>
              <v:stroke dashstyle="solid"/>
            </v:shape>
            <v:shape style="position:absolute;left:2168;top:93;width:4855;height:1802" coordorigin="2169,94" coordsize="4855,1802" path="m2169,94l2335,189,2501,272,2655,390,2822,461,2988,556,3142,627,3308,710,3462,793,3629,876,3795,947,3949,1018,4115,1089,4281,1148,4436,1208,4602,1267,4768,1326,4922,1374,5089,1421,5243,1480,5409,1528,5575,1575,5729,1611,5896,1658,6062,1694,6216,1729,6382,1765,6548,1800,6703,1836,6869,1871,7023,1895,6869,1871,6703,1836,6548,1800,6382,1765,6216,1729,6062,1694,5896,1658,5729,1611,5575,1575,5409,1528,5243,1480,5089,1421,4922,1374,4768,1326,4602,1267,4436,1208,4281,1148,4115,1089,3949,1018,3795,947,3629,876,3462,793,3308,710,3142,627,2988,556,2822,461,2655,390,2501,272,2335,189,2169,94xe" filled="false" stroked="true" strokeweight=".592642pt" strokecolor="#e16b09">
              <v:path arrowok="t"/>
              <v:stroke dashstyle="solid"/>
            </v:shape>
            <v:shape style="position:absolute;left:2987;top:555;width:4036;height:1340" coordorigin="2988,556" coordsize="4036,1340" path="m3462,793l3308,710,3142,627,2988,556,3142,615,3308,698,3462,793xm4281,1148l4115,1089,3949,1018,3795,947,3629,876,3462,793,3795,935,3949,1006,4281,1148xm4922,1374l4768,1326,4436,1208,4602,1255,4768,1314,4922,1374xm5729,1611l5575,1575,5243,1480,5089,1421,5243,1468,5575,1563,5729,1611xm6216,1729l6062,1694,5896,1658,5729,1611,6062,1682,6216,1729xm7023,1895l6869,1871,6703,1836,6548,1800,6703,1824,6869,1860,7023,1895xe" filled="true" fillcolor="#e08ad6" stroked="false">
              <v:path arrowok="t"/>
              <v:fill type="solid"/>
            </v:shape>
            <v:shape style="position:absolute;left:2168;top:93;width:4855;height:1802" coordorigin="2169,94" coordsize="4855,1802" path="m2169,94l2335,189,2501,272,2655,390,2822,461,2988,556,3142,615,3308,698,3462,793,3629,864,3795,935,3949,1006,4115,1077,4281,1148,4436,1208,4602,1255,4768,1314,4922,1374,5089,1421,5243,1468,5409,1516,5575,1563,5729,1611,5896,1646,6062,1682,6216,1729,6382,1765,6548,1800,6703,1824,6869,1860,7023,1895,6869,1871,6703,1836,6548,1800,6382,1765,6216,1729,6062,1694,5896,1658,5729,1611,5575,1575,5409,1528,5243,1480,5089,1421,4922,1374,4768,1326,4602,1267,4436,1208,4281,1148,4115,1089,3949,1018,3795,947,3629,876,3462,793,3308,710,3142,627,2988,556,2822,461,2655,390,2501,272,2335,189,2169,94xe" filled="false" stroked="true" strokeweight=".592642pt" strokecolor="#e08ad6">
              <v:path arrowok="t"/>
              <v:stroke dashstyle="solid"/>
            </v:shape>
            <v:shape style="position:absolute;left:2168;top:93;width:4855;height:1802" coordorigin="2169,94" coordsize="4855,1802" path="m7023,1895l6869,1860,6703,1824,6548,1800,6216,1729,6062,1682,5729,1611,5575,1563,5243,1468,5089,1421,4922,1374,4768,1314,4602,1255,4436,1208,4281,1148,3949,1006,3795,935,3462,793,3308,698,3142,615,2988,556,2822,461,2655,390,2501,272,2335,189,2169,94,2335,117,2501,165,2655,200,2822,248,2988,283,3142,319,3308,355,3462,390,3795,461,3949,485,4281,556,4436,580,4768,651,4922,674,5089,710,5243,746,5409,769,5575,805,5729,840,5896,876,6062,923,6216,959,6382,994,6548,1042,6703,1089,6869,1137,7023,1184,7023,1895xe" filled="true" fillcolor="#c0504d" stroked="false">
              <v:path arrowok="t"/>
              <v:fill type="solid"/>
            </v:shape>
            <v:shape style="position:absolute;left:2168;top:93;width:4855;height:1802" coordorigin="2169,94" coordsize="4855,1802" path="m2169,94l2335,117,2501,165,2655,200,2822,248,2988,283,3142,319,3308,355,3462,390,3629,426,3795,461,3949,485,4115,520,4281,556,4436,580,4602,615,4768,651,4922,674,5089,710,5243,746,5409,769,5575,805,5729,840,5896,876,6062,923,6216,959,6382,994,6548,1042,6703,1089,6869,1137,7023,1184,7023,1895,6869,1860,6703,1824,6548,1800,6382,1765,6216,1729,6062,1682,5896,1646,5729,1611,5575,1563,5409,1516,5243,1468,5089,1421,4922,1374,4768,1314,4602,1255,4436,1208,4281,1148,4115,1077,3949,1006,3795,935,3629,864,3462,793,3308,698,3142,615,2988,556,2822,461,2655,390,2501,272,2335,189,2169,94xe" filled="false" stroked="true" strokeweight=".592642pt" strokecolor="#c0504d">
              <v:path arrowok="t"/>
              <v:stroke dashstyle="solid"/>
            </v:shape>
            <v:shape style="position:absolute;left:2168;top:93;width:4048;height:866" coordorigin="2169,94" coordsize="4048,866" path="m2655,200l2501,165,2335,117,2169,94,2335,106,2501,153,2655,200xm3949,485l3795,461,3629,426,3795,449,3949,485xm4436,580l4281,556,4115,520,4281,544,4436,580xm4922,674l4768,651,4436,580,4602,603,4768,639,4922,674xm5575,805l5409,769,5243,746,5088,710,4922,674,5088,698,5243,734,5575,805xm6216,959l6062,923,5896,876,5729,840,6062,911,6216,959xe" filled="true" fillcolor="#f8a763" stroked="false">
              <v:path arrowok="t"/>
              <v:fill type="solid"/>
            </v:shape>
            <v:shape style="position:absolute;left:2168;top:93;width:4855;height:1091" coordorigin="2169,94" coordsize="4855,1091" path="m2169,94l2335,106,2501,153,2655,200,2822,248,2988,283,3142,319,3308,355,3462,390,3629,426,3795,449,3949,485,4115,520,4281,544,4436,580,4602,603,4768,639,4922,674,5088,698,5243,734,5409,769,5575,805,5729,840,5896,876,6062,911,6216,959,6382,994,6548,1042,6703,1089,6869,1137,7023,1184,6869,1137,6703,1089,6548,1042,6382,994,6216,959,6062,923,5896,876,5729,840,5575,805,5409,769,5243,746,5088,710,4922,674,4768,651,4602,615,4436,580,4281,556,4115,520,3949,485,3795,461,3629,426,3462,390,3308,355,3142,319,2988,283,2822,248,2655,200,2501,165,2335,117,2169,94xe" filled="false" stroked="true" strokeweight=".592579pt" strokecolor="#f8a763">
              <v:path arrowok="t"/>
              <v:stroke dashstyle="solid"/>
            </v:shape>
            <v:shape style="position:absolute;left:2655;top:200;width:4368;height:984" coordorigin="2655,200" coordsize="4368,984" path="m2988,283l2822,248,2655,200,2822,236,2988,283xm3795,449l3629,426,3462,390,3629,414,3795,449xm4281,544l4115,520,3949,485,4115,509,4281,544xm6382,994l6216,959,6062,911,6216,947,6382,994xm7023,1184l6869,1137,6703,1089,6548,1042,6703,1077,6869,1125,7023,1184xe" filled="true" fillcolor="#ecb8e7" stroked="false">
              <v:path arrowok="t"/>
              <v:fill type="solid"/>
            </v:shape>
            <v:shape style="position:absolute;left:2168;top:93;width:4855;height:1091" coordorigin="2169,94" coordsize="4855,1091" path="m2169,94l2335,106,2501,153,2655,200,2822,236,2988,283,3142,319,3308,355,3462,390,3629,414,3795,449,3949,485,4115,509,4281,544,4436,580,4602,603,4768,639,4922,674,5088,698,5243,734,5409,769,5575,805,5729,840,5896,876,6062,911,6216,947,6382,994,6548,1042,6703,1077,6869,1125,7023,1184,6869,1137,6703,1089,6548,1042,6382,994,6216,959,6062,911,5896,876,5729,840,5575,805,5409,769,5243,734,5088,698,4922,674,4768,639,4602,603,4436,580,4281,544,4115,520,3949,485,3795,449,3629,426,3462,390,3308,355,3142,319,2988,283,2822,248,2655,200,2501,153,2335,106,2169,94xe" filled="false" stroked="true" strokeweight=".592579pt" strokecolor="#ecb8e7">
              <v:path arrowok="t"/>
              <v:stroke dashstyle="solid"/>
            </v:shape>
            <v:shape style="position:absolute;left:2821;top:236;width:4202;height:949" coordorigin="2822,236" coordsize="4202,949" path="m3629,414l3462,390,3308,355,3142,319,2988,283,2822,236,2988,272,3142,307,3308,343,3462,378,3629,414xm4115,509l3949,485,3795,449,3949,473,4115,509xm4602,603l4436,580,4281,544,4436,568,4602,603xm5088,698l4922,674,4768,639,4922,663,5088,698xm5896,876l5729,840,5575,805,5243,734,5409,757,5575,793,5729,829,5896,876xm6703,1077l6548,1042,6216,947,6382,994,6548,1030,6703,1077xm7023,1184l6869,1125,7023,1172,7023,1184xe" filled="true" fillcolor="#938953" stroked="false">
              <v:path arrowok="t"/>
              <v:fill type="solid"/>
            </v:shape>
            <v:shape style="position:absolute;left:2168;top:93;width:4855;height:1091" coordorigin="2169,94" coordsize="4855,1091" path="m2169,94l2335,106,2501,153,2655,200,2822,236,2988,272,3142,307,3308,343,3462,378,3629,414,3795,449,3949,473,4115,509,4281,544,4436,568,4602,603,4768,639,4922,663,5088,698,5243,734,5409,757,5575,793,5729,829,5896,876,6062,911,6216,947,6382,994,6548,1030,6703,1077,6869,1125,7023,1172,7023,1184,6869,1125,6703,1077,6548,1042,6382,994,6216,947,6062,911,5896,876,5729,840,5575,805,5409,769,5243,734,5088,698,4922,674,4768,639,4602,603,4436,580,4281,544,4115,509,3949,485,3795,449,3629,414,3462,390,3308,355,3142,319,2988,283,2822,236,2655,200,2501,153,2335,106,2169,94xe" filled="false" stroked="true" strokeweight=".592579pt" strokecolor="#938953">
              <v:path arrowok="t"/>
              <v:stroke dashstyle="solid"/>
            </v:shape>
            <v:shape style="position:absolute;left:2168;top:93;width:4855;height:1079" coordorigin="2169,94" coordsize="4855,1079" path="m7023,1172l6869,1125,6703,1077,6548,1030,6382,994,6216,947,6062,911,5896,876,5729,829,5575,793,5409,757,5243,734,5088,698,4922,663,4768,639,4436,568,4281,544,3949,473,3795,449,3462,378,3308,343,3142,307,2988,272,2655,200,2501,153,2335,106,2169,94,2335,94,2501,129,2655,165,2822,189,2988,224,3142,248,3308,283,3462,307,3629,331,3795,366,3949,390,4115,414,4281,449,4436,473,4602,509,4768,532,4922,556,5088,592,5243,615,5575,686,5729,722,6062,793,6216,840,6382,876,6548,923,6703,971,6869,1018,7023,1066,7023,1172xe" filled="true" fillcolor="#ffd600" stroked="false">
              <v:path arrowok="t"/>
              <v:fill type="solid"/>
            </v:shape>
            <v:shape style="position:absolute;left:2168;top:93;width:4855;height:1079" coordorigin="2169,94" coordsize="4855,1079" path="m2169,94l2335,94,2501,129,2655,165,2822,189,2988,224,3142,248,3308,283,3462,307,3629,331,3795,366,3949,390,4115,414,4281,449,4436,473,4602,509,4768,532,4922,556,5088,592,5243,615,5409,651,5575,686,5729,722,5896,757,6062,793,6216,840,6382,876,6548,923,6703,971,6869,1018,7023,1066,7023,1172,6869,1125,6703,1077,6548,1030,6382,994,6216,947,6062,911,5896,876,5729,829,5575,793,5409,757,5243,734,5088,698,4922,663,4768,639,4602,603,4436,568,4281,544,4115,509,3949,473,3795,449,3629,414,3462,378,3308,343,3142,307,2988,272,2822,236,2655,200,2501,153,2335,106,2169,94xe" filled="false" stroked="true" strokeweight=".592578pt" strokecolor="#ffd600">
              <v:path arrowok="t"/>
              <v:stroke dashstyle="solid"/>
            </v:shape>
            <v:shape style="position:absolute;left:2168;top:93;width:4855;height:972" coordorigin="2169,94" coordsize="4855,972" path="m2169,94l2335,94,2501,129,2655,165,2822,189,2988,224,3142,248,3308,283,3462,307,3629,331,3795,366,3949,390,4115,414,4281,449,4436,473,4602,509,4768,532,4922,556,5088,592,5243,615,5409,651,5575,686,5729,722,5896,757,6062,793,6216,840,6382,876,6548,923,6703,971,6869,1018,7023,1066,6869,1018,6703,971,6548,923,6382,876,6216,840,6062,793,5896,757,5729,722,5575,686,5409,651,5243,615,5088,592,4922,556,4768,532,4602,509,4436,473,4281,449,4115,414,3949,390,3795,366,3629,331,3462,307,3308,283,3142,248,2988,224,2822,189,2655,165,2501,129,2335,94,2169,94xe" filled="false" stroked="true" strokeweight=".592570pt" strokecolor="#ffeb8f">
              <v:path arrowok="t"/>
              <v:stroke dashstyle="solid"/>
            </v:shape>
            <v:shape style="position:absolute;left:2334;top:93;width:4689;height:972" coordorigin="2335,94" coordsize="4689,972" path="m7023,1066l6869,1018,6703,971,6548,923,6382,876,6216,840,6062,793,5729,722,5575,686,5243,615,5088,592,4922,556,4768,532,4602,509,4436,473,4281,449,4115,414,3949,390,3795,366,3629,331,3462,307,3308,283,3142,248,2988,224,2822,189,2655,165,2501,129,2335,94,7023,94,7023,1066xe" filled="true" fillcolor="#000000" stroked="false">
              <v:path arrowok="t"/>
              <v:fill type="solid"/>
            </v:shape>
            <v:shape style="position:absolute;left:2168;top:93;width:4855;height:972" coordorigin="2169,94" coordsize="4855,972" path="m2169,94l2169,94,7023,94,7023,1066,6869,1018,6703,971,6548,923,6382,876,6216,840,6062,793,5896,757,5729,722,5575,686,5409,651,5243,615,5088,592,4922,556,4768,532,4602,509,4436,473,4281,449,4115,414,3949,390,3795,366,3629,331,3462,307,3308,283,3142,248,2988,224,2822,189,2655,165,2501,129,2335,94,2169,94xe" filled="false" stroked="true" strokeweight=".592570pt" strokecolor="#000000">
              <v:path arrowok="t"/>
              <v:stroke dashstyle="solid"/>
            </v:shape>
            <v:line style="position:absolute" from="2163,94" to="7029,94" stroked="true" strokeweight=".592527pt" strokecolor="#000000">
              <v:stroke dashstyle="solid"/>
            </v:line>
            <v:line style="position:absolute" from="2169,2417" to="2169,94" stroked="true" strokeweight=".593457pt" strokecolor="#858585">
              <v:stroke dashstyle="solid"/>
            </v:line>
            <v:shape style="position:absolute;left:0;top:6183;width:13369;height:655053" coordorigin="0,6184" coordsize="13369,655053" path="m2121,2416l2169,2416m2121,2191l2169,2191m2121,1954l2169,1954m2121,1729l2169,1729m2121,1492l2169,1492m2121,1255l2169,1255m2121,1030l2169,1030m2121,793l2169,793m2121,556l2169,556m2121,331l2169,331m2121,94l2169,94e" filled="false" stroked="true" strokeweight=".592989pt" strokecolor="#858585">
              <v:path arrowok="t"/>
              <v:stroke dashstyle="solid"/>
            </v:shape>
            <v:shape style="position:absolute;left:0;top:-1821;width:654744;height:8005" coordorigin="0,-1820" coordsize="654744,8005" path="m2169,2417l7023,2417m2169,2417l2169,2476m2335,2417l2335,2476m2501,2417l2501,2476m2655,2417l2655,2476m2822,2417l2822,2476m2988,2417l2988,2476m3142,2417l3142,2476m3308,2417l3308,2476m3462,2417l3462,2476m3629,2417l3629,2476m3795,2417l3795,2476m3949,2417l3949,2476m4115,2417l4115,2476m4281,2417l4281,2476m4436,2417l4436,2476m4602,2417l4602,2476m4768,2417l4768,2476m4922,2417l4922,2476m5088,2417l5088,2476m5243,2417l5243,2476m5409,2417l5409,2476m5575,2417l5575,2476m5729,2417l5729,2476m5896,2417l5896,2476m6062,2417l6062,2476m6216,2417l6216,2476m6382,2417l6382,2476m6548,2417l6548,2476m6703,2417l6703,2476m6869,2417l6869,2476m7023,2417l7023,2476e" filled="false" stroked="true" strokeweight=".592987pt" strokecolor="#858585">
              <v:path arrowok="t"/>
              <v:stroke dashstyle="solid"/>
            </v:shape>
            <v:shape style="position:absolute;left:2174;top:99;width:4855;height:1825" coordorigin="2175,100" coordsize="4855,1825" path="m2175,100l2329,159,2495,289,2661,372,2816,479,2982,550,3148,645,3302,704,3468,787,3635,870,3789,953,3955,1024,4109,1095,4275,1166,4442,1226,4596,1285,4762,1344,4928,1391,5083,1451,5249,1498,5415,1545,5569,1593,5735,1640,5890,1688,6056,1723,6222,1759,6376,1794,6542,1830,6709,1865,6863,1901,7029,1925e" filled="false" stroked="true" strokeweight="1.185286pt" strokecolor="#ffffff">
              <v:path arrowok="t"/>
              <v:stroke dashstyle="dot"/>
            </v:shape>
            <v:shape style="position:absolute;left:2174;top:99;width:4855;height:1031" coordorigin="2175,100" coordsize="4855,1031" path="m2175,100l2329,112,2495,147,2661,195,2816,230,2982,266,3148,301,3302,337,3468,360,3635,396,3789,432,3955,455,4109,491,4275,514,4442,550,4596,574,4762,609,4928,633,5083,669,5249,704,5415,728,5569,763,5735,799,5890,834,6056,870,6222,906,6376,953,6542,989,6709,1036,6863,1083,7029,1131e" filled="false" stroked="true" strokeweight="1.185148pt" strokecolor="#ffffff">
              <v:path arrowok="t"/>
              <v:stroke dashstyle="longdash"/>
            </v:shape>
            <w10:wrap type="none"/>
          </v:group>
        </w:pict>
      </w:r>
      <w:r>
        <w:rPr>
          <w:rFonts w:ascii="Calibri"/>
          <w:sz w:val="15"/>
        </w:rPr>
        <w:t>100%</w:t>
      </w:r>
    </w:p>
    <w:p>
      <w:pPr>
        <w:spacing w:before="50"/>
        <w:ind w:left="0" w:right="970" w:firstLine="0"/>
        <w:jc w:val="right"/>
        <w:rPr>
          <w:rFonts w:ascii="Calibri"/>
          <w:sz w:val="15"/>
        </w:rPr>
      </w:pPr>
      <w:r>
        <w:rPr/>
        <w:pict>
          <v:shape style="position:absolute;margin-left:72.494827pt;margin-top:8.152496pt;width:9.75pt;height:91.05pt;mso-position-horizontal-relative:page;mso-position-vertical-relative:paragraph;z-index:252441600" type="#_x0000_t202" filled="false" stroked="false">
            <v:textbox inset="0,0,0,0" style="layout-flow:vertical;mso-layout-flow-alt:bottom-to-top">
              <w:txbxContent>
                <w:p>
                  <w:pPr>
                    <w:spacing w:line="176" w:lineRule="exact" w:before="0"/>
                    <w:ind w:left="20" w:right="0" w:firstLine="0"/>
                    <w:jc w:val="left"/>
                    <w:rPr>
                      <w:rFonts w:ascii="Calibri"/>
                      <w:b/>
                      <w:sz w:val="15"/>
                    </w:rPr>
                  </w:pPr>
                  <w:r>
                    <w:rPr>
                      <w:rFonts w:ascii="Calibri"/>
                      <w:b/>
                      <w:w w:val="105"/>
                      <w:sz w:val="15"/>
                    </w:rPr>
                    <w:t>Proportion In Welfare Class</w:t>
                  </w:r>
                </w:p>
              </w:txbxContent>
            </v:textbox>
            <w10:wrap type="none"/>
          </v:shape>
        </w:pict>
      </w:r>
      <w:r>
        <w:rPr>
          <w:rFonts w:ascii="Calibri"/>
          <w:spacing w:val="2"/>
          <w:sz w:val="15"/>
        </w:rPr>
        <w:t>90%</w:t>
      </w:r>
    </w:p>
    <w:p>
      <w:pPr>
        <w:spacing w:before="49"/>
        <w:ind w:left="0" w:right="970" w:firstLine="0"/>
        <w:jc w:val="right"/>
        <w:rPr>
          <w:rFonts w:ascii="Calibri"/>
          <w:sz w:val="15"/>
        </w:rPr>
      </w:pPr>
      <w:r>
        <w:rPr>
          <w:rFonts w:ascii="Calibri"/>
          <w:spacing w:val="2"/>
          <w:sz w:val="15"/>
        </w:rPr>
        <w:t>80%</w:t>
      </w:r>
    </w:p>
    <w:p>
      <w:pPr>
        <w:spacing w:before="50"/>
        <w:ind w:left="0" w:right="970" w:firstLine="0"/>
        <w:jc w:val="right"/>
        <w:rPr>
          <w:rFonts w:ascii="Calibri"/>
          <w:sz w:val="15"/>
        </w:rPr>
      </w:pPr>
      <w:r>
        <w:rPr>
          <w:rFonts w:ascii="Calibri"/>
          <w:spacing w:val="2"/>
          <w:sz w:val="15"/>
        </w:rPr>
        <w:t>70%</w:t>
      </w:r>
    </w:p>
    <w:p>
      <w:pPr>
        <w:spacing w:before="50"/>
        <w:ind w:left="0" w:right="970" w:firstLine="0"/>
        <w:jc w:val="right"/>
        <w:rPr>
          <w:rFonts w:ascii="Calibri"/>
          <w:sz w:val="15"/>
        </w:rPr>
      </w:pPr>
      <w:r>
        <w:rPr>
          <w:rFonts w:ascii="Calibri"/>
          <w:spacing w:val="2"/>
          <w:sz w:val="15"/>
        </w:rPr>
        <w:t>60%</w:t>
      </w:r>
    </w:p>
    <w:p>
      <w:pPr>
        <w:spacing w:before="50"/>
        <w:ind w:left="0" w:right="970" w:firstLine="0"/>
        <w:jc w:val="right"/>
        <w:rPr>
          <w:rFonts w:ascii="Calibri"/>
          <w:sz w:val="15"/>
        </w:rPr>
      </w:pPr>
      <w:r>
        <w:rPr>
          <w:rFonts w:ascii="Calibri"/>
          <w:spacing w:val="2"/>
          <w:sz w:val="15"/>
        </w:rPr>
        <w:t>50%</w:t>
      </w:r>
    </w:p>
    <w:p>
      <w:pPr>
        <w:spacing w:before="49"/>
        <w:ind w:left="0" w:right="970" w:firstLine="0"/>
        <w:jc w:val="right"/>
        <w:rPr>
          <w:rFonts w:ascii="Calibri"/>
          <w:sz w:val="15"/>
        </w:rPr>
      </w:pPr>
      <w:r>
        <w:rPr>
          <w:rFonts w:ascii="Calibri"/>
          <w:spacing w:val="2"/>
          <w:sz w:val="15"/>
        </w:rPr>
        <w:t>40%</w:t>
      </w:r>
    </w:p>
    <w:p>
      <w:pPr>
        <w:spacing w:before="50"/>
        <w:ind w:left="0" w:right="970" w:firstLine="0"/>
        <w:jc w:val="right"/>
        <w:rPr>
          <w:rFonts w:ascii="Calibri"/>
          <w:sz w:val="15"/>
        </w:rPr>
      </w:pPr>
      <w:r>
        <w:rPr>
          <w:rFonts w:ascii="Calibri"/>
          <w:spacing w:val="2"/>
          <w:sz w:val="15"/>
        </w:rPr>
        <w:t>30%</w:t>
      </w:r>
    </w:p>
    <w:p>
      <w:pPr>
        <w:spacing w:before="50"/>
        <w:ind w:left="0" w:right="970" w:firstLine="0"/>
        <w:jc w:val="right"/>
        <w:rPr>
          <w:rFonts w:ascii="Calibri"/>
          <w:sz w:val="15"/>
        </w:rPr>
      </w:pPr>
      <w:r>
        <w:rPr>
          <w:rFonts w:ascii="Calibri"/>
          <w:spacing w:val="2"/>
          <w:sz w:val="15"/>
        </w:rPr>
        <w:t>20%</w:t>
      </w:r>
    </w:p>
    <w:p>
      <w:pPr>
        <w:spacing w:before="50"/>
        <w:ind w:left="0" w:right="970" w:firstLine="0"/>
        <w:jc w:val="right"/>
        <w:rPr>
          <w:rFonts w:ascii="Calibri"/>
          <w:sz w:val="15"/>
        </w:rPr>
      </w:pPr>
      <w:r>
        <w:rPr>
          <w:rFonts w:ascii="Calibri"/>
          <w:spacing w:val="2"/>
          <w:sz w:val="15"/>
        </w:rPr>
        <w:t>10%</w:t>
      </w:r>
    </w:p>
    <w:p>
      <w:pPr>
        <w:spacing w:before="49"/>
        <w:ind w:left="0" w:right="973" w:firstLine="0"/>
        <w:jc w:val="right"/>
        <w:rPr>
          <w:rFonts w:ascii="Calibri"/>
          <w:sz w:val="15"/>
        </w:rPr>
      </w:pPr>
      <w:r>
        <w:rPr>
          <w:rFonts w:ascii="Calibri"/>
          <w:w w:val="105"/>
          <w:sz w:val="15"/>
        </w:rPr>
        <w:t>0%</w:t>
      </w:r>
    </w:p>
    <w:p>
      <w:pPr>
        <w:pStyle w:val="BodyText"/>
        <w:spacing w:before="9"/>
        <w:rPr>
          <w:rFonts w:ascii="Calibri"/>
          <w:sz w:val="5"/>
        </w:rPr>
      </w:pPr>
    </w:p>
    <w:p>
      <w:pPr>
        <w:pStyle w:val="BodyText"/>
        <w:tabs>
          <w:tab w:pos="2620" w:val="left" w:leader="none"/>
        </w:tabs>
        <w:ind w:left="1810" w:right="-44"/>
        <w:rPr>
          <w:rFonts w:ascii="Calibri"/>
        </w:rPr>
      </w:pPr>
      <w:r>
        <w:rPr>
          <w:rFonts w:ascii="Calibri"/>
        </w:rPr>
        <w:drawing>
          <wp:inline distT="0" distB="0" distL="0" distR="0">
            <wp:extent cx="168756" cy="171450"/>
            <wp:effectExtent l="0" t="0" r="0" b="0"/>
            <wp:docPr id="235" name="image122.png"/>
            <wp:cNvGraphicFramePr>
              <a:graphicFrameLocks noChangeAspect="1"/>
            </wp:cNvGraphicFramePr>
            <a:graphic>
              <a:graphicData uri="http://schemas.openxmlformats.org/drawingml/2006/picture">
                <pic:pic>
                  <pic:nvPicPr>
                    <pic:cNvPr id="236" name="image122.png"/>
                    <pic:cNvPicPr/>
                  </pic:nvPicPr>
                  <pic:blipFill>
                    <a:blip r:embed="rId144" cstate="print"/>
                    <a:stretch>
                      <a:fillRect/>
                    </a:stretch>
                  </pic:blipFill>
                  <pic:spPr>
                    <a:xfrm>
                      <a:off x="0" y="0"/>
                      <a:ext cx="168756" cy="171450"/>
                    </a:xfrm>
                    <a:prstGeom prst="rect">
                      <a:avLst/>
                    </a:prstGeom>
                  </pic:spPr>
                </pic:pic>
              </a:graphicData>
            </a:graphic>
          </wp:inline>
        </w:drawing>
      </w:r>
      <w:r>
        <w:rPr>
          <w:rFonts w:ascii="Calibri"/>
        </w:rPr>
      </w:r>
      <w:r>
        <w:rPr>
          <w:rFonts w:ascii="Calibri"/>
        </w:rPr>
        <w:tab/>
      </w:r>
      <w:r>
        <w:rPr>
          <w:rFonts w:ascii="Calibri"/>
        </w:rPr>
        <w:drawing>
          <wp:inline distT="0" distB="0" distL="0" distR="0">
            <wp:extent cx="165177" cy="168020"/>
            <wp:effectExtent l="0" t="0" r="0" b="0"/>
            <wp:docPr id="237" name="image123.png"/>
            <wp:cNvGraphicFramePr>
              <a:graphicFrameLocks noChangeAspect="1"/>
            </wp:cNvGraphicFramePr>
            <a:graphic>
              <a:graphicData uri="http://schemas.openxmlformats.org/drawingml/2006/picture">
                <pic:pic>
                  <pic:nvPicPr>
                    <pic:cNvPr id="238" name="image123.png"/>
                    <pic:cNvPicPr/>
                  </pic:nvPicPr>
                  <pic:blipFill>
                    <a:blip r:embed="rId145" cstate="print"/>
                    <a:stretch>
                      <a:fillRect/>
                    </a:stretch>
                  </pic:blipFill>
                  <pic:spPr>
                    <a:xfrm>
                      <a:off x="0" y="0"/>
                      <a:ext cx="165177" cy="168020"/>
                    </a:xfrm>
                    <a:prstGeom prst="rect">
                      <a:avLst/>
                    </a:prstGeom>
                  </pic:spPr>
                </pic:pic>
              </a:graphicData>
            </a:graphic>
          </wp:inline>
        </w:drawing>
      </w:r>
      <w:r>
        <w:rPr>
          <w:rFonts w:ascii="Calibri"/>
        </w:rPr>
      </w:r>
    </w:p>
    <w:p>
      <w:pPr>
        <w:pStyle w:val="BodyText"/>
        <w:rPr>
          <w:rFonts w:ascii="Calibri"/>
        </w:rPr>
      </w:pPr>
      <w:r>
        <w:rPr/>
        <w:br w:type="column"/>
      </w:r>
      <w:r>
        <w:rPr>
          <w:rFonts w:ascii="Calibri"/>
        </w:rPr>
      </w: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spacing w:before="10"/>
        <w:rPr>
          <w:rFonts w:ascii="Calibri"/>
          <w:sz w:val="24"/>
        </w:rPr>
      </w:pPr>
    </w:p>
    <w:p>
      <w:pPr>
        <w:pStyle w:val="BodyText"/>
        <w:tabs>
          <w:tab w:pos="1317" w:val="left" w:leader="none"/>
          <w:tab w:pos="2126" w:val="left" w:leader="none"/>
          <w:tab w:pos="2935" w:val="left" w:leader="none"/>
          <w:tab w:pos="3745" w:val="left" w:leader="none"/>
        </w:tabs>
        <w:ind w:left="507" w:right="-44"/>
        <w:rPr>
          <w:rFonts w:ascii="Calibri"/>
        </w:rPr>
      </w:pPr>
      <w:r>
        <w:rPr>
          <w:rFonts w:ascii="Calibri"/>
        </w:rPr>
        <w:drawing>
          <wp:inline distT="0" distB="0" distL="0" distR="0">
            <wp:extent cx="168756" cy="171450"/>
            <wp:effectExtent l="0" t="0" r="0" b="0"/>
            <wp:docPr id="239" name="image124.png"/>
            <wp:cNvGraphicFramePr>
              <a:graphicFrameLocks noChangeAspect="1"/>
            </wp:cNvGraphicFramePr>
            <a:graphic>
              <a:graphicData uri="http://schemas.openxmlformats.org/drawingml/2006/picture">
                <pic:pic>
                  <pic:nvPicPr>
                    <pic:cNvPr id="240" name="image124.png"/>
                    <pic:cNvPicPr/>
                  </pic:nvPicPr>
                  <pic:blipFill>
                    <a:blip r:embed="rId146" cstate="print"/>
                    <a:stretch>
                      <a:fillRect/>
                    </a:stretch>
                  </pic:blipFill>
                  <pic:spPr>
                    <a:xfrm>
                      <a:off x="0" y="0"/>
                      <a:ext cx="168756" cy="171450"/>
                    </a:xfrm>
                    <a:prstGeom prst="rect">
                      <a:avLst/>
                    </a:prstGeom>
                  </pic:spPr>
                </pic:pic>
              </a:graphicData>
            </a:graphic>
          </wp:inline>
        </w:drawing>
      </w:r>
      <w:r>
        <w:rPr>
          <w:rFonts w:ascii="Calibri"/>
        </w:rPr>
      </w:r>
      <w:r>
        <w:rPr>
          <w:rFonts w:ascii="Calibri"/>
        </w:rPr>
        <w:tab/>
      </w:r>
      <w:r>
        <w:rPr>
          <w:rFonts w:ascii="Calibri"/>
        </w:rPr>
        <w:drawing>
          <wp:inline distT="0" distB="0" distL="0" distR="0">
            <wp:extent cx="165177" cy="168020"/>
            <wp:effectExtent l="0" t="0" r="0" b="0"/>
            <wp:docPr id="241" name="image125.png"/>
            <wp:cNvGraphicFramePr>
              <a:graphicFrameLocks noChangeAspect="1"/>
            </wp:cNvGraphicFramePr>
            <a:graphic>
              <a:graphicData uri="http://schemas.openxmlformats.org/drawingml/2006/picture">
                <pic:pic>
                  <pic:nvPicPr>
                    <pic:cNvPr id="242" name="image125.png"/>
                    <pic:cNvPicPr/>
                  </pic:nvPicPr>
                  <pic:blipFill>
                    <a:blip r:embed="rId147" cstate="print"/>
                    <a:stretch>
                      <a:fillRect/>
                    </a:stretch>
                  </pic:blipFill>
                  <pic:spPr>
                    <a:xfrm>
                      <a:off x="0" y="0"/>
                      <a:ext cx="165177" cy="168020"/>
                    </a:xfrm>
                    <a:prstGeom prst="rect">
                      <a:avLst/>
                    </a:prstGeom>
                  </pic:spPr>
                </pic:pic>
              </a:graphicData>
            </a:graphic>
          </wp:inline>
        </w:drawing>
      </w:r>
      <w:r>
        <w:rPr>
          <w:rFonts w:ascii="Calibri"/>
        </w:rPr>
      </w:r>
      <w:r>
        <w:rPr>
          <w:rFonts w:ascii="Calibri"/>
        </w:rPr>
        <w:tab/>
      </w:r>
      <w:r>
        <w:rPr>
          <w:rFonts w:ascii="Calibri"/>
        </w:rPr>
        <w:drawing>
          <wp:inline distT="0" distB="0" distL="0" distR="0">
            <wp:extent cx="168756" cy="171450"/>
            <wp:effectExtent l="0" t="0" r="0" b="0"/>
            <wp:docPr id="243" name="image126.png"/>
            <wp:cNvGraphicFramePr>
              <a:graphicFrameLocks noChangeAspect="1"/>
            </wp:cNvGraphicFramePr>
            <a:graphic>
              <a:graphicData uri="http://schemas.openxmlformats.org/drawingml/2006/picture">
                <pic:pic>
                  <pic:nvPicPr>
                    <pic:cNvPr id="244" name="image126.png"/>
                    <pic:cNvPicPr/>
                  </pic:nvPicPr>
                  <pic:blipFill>
                    <a:blip r:embed="rId148" cstate="print"/>
                    <a:stretch>
                      <a:fillRect/>
                    </a:stretch>
                  </pic:blipFill>
                  <pic:spPr>
                    <a:xfrm>
                      <a:off x="0" y="0"/>
                      <a:ext cx="168756" cy="171450"/>
                    </a:xfrm>
                    <a:prstGeom prst="rect">
                      <a:avLst/>
                    </a:prstGeom>
                  </pic:spPr>
                </pic:pic>
              </a:graphicData>
            </a:graphic>
          </wp:inline>
        </w:drawing>
      </w:r>
      <w:r>
        <w:rPr>
          <w:rFonts w:ascii="Calibri"/>
        </w:rPr>
      </w:r>
      <w:r>
        <w:rPr>
          <w:rFonts w:ascii="Calibri"/>
        </w:rPr>
        <w:tab/>
      </w:r>
      <w:r>
        <w:rPr>
          <w:rFonts w:ascii="Calibri"/>
        </w:rPr>
        <w:drawing>
          <wp:inline distT="0" distB="0" distL="0" distR="0">
            <wp:extent cx="165177" cy="168020"/>
            <wp:effectExtent l="0" t="0" r="0" b="0"/>
            <wp:docPr id="245" name="image127.png"/>
            <wp:cNvGraphicFramePr>
              <a:graphicFrameLocks noChangeAspect="1"/>
            </wp:cNvGraphicFramePr>
            <a:graphic>
              <a:graphicData uri="http://schemas.openxmlformats.org/drawingml/2006/picture">
                <pic:pic>
                  <pic:nvPicPr>
                    <pic:cNvPr id="246" name="image127.png"/>
                    <pic:cNvPicPr/>
                  </pic:nvPicPr>
                  <pic:blipFill>
                    <a:blip r:embed="rId149" cstate="print"/>
                    <a:stretch>
                      <a:fillRect/>
                    </a:stretch>
                  </pic:blipFill>
                  <pic:spPr>
                    <a:xfrm>
                      <a:off x="0" y="0"/>
                      <a:ext cx="165177" cy="168020"/>
                    </a:xfrm>
                    <a:prstGeom prst="rect">
                      <a:avLst/>
                    </a:prstGeom>
                  </pic:spPr>
                </pic:pic>
              </a:graphicData>
            </a:graphic>
          </wp:inline>
        </w:drawing>
      </w:r>
      <w:r>
        <w:rPr>
          <w:rFonts w:ascii="Calibri"/>
        </w:rPr>
      </w:r>
      <w:r>
        <w:rPr>
          <w:rFonts w:ascii="Calibri"/>
        </w:rPr>
        <w:tab/>
      </w:r>
      <w:r>
        <w:rPr>
          <w:rFonts w:ascii="Calibri"/>
        </w:rPr>
        <w:drawing>
          <wp:inline distT="0" distB="0" distL="0" distR="0">
            <wp:extent cx="168756" cy="171450"/>
            <wp:effectExtent l="0" t="0" r="0" b="0"/>
            <wp:docPr id="247" name="image128.png"/>
            <wp:cNvGraphicFramePr>
              <a:graphicFrameLocks noChangeAspect="1"/>
            </wp:cNvGraphicFramePr>
            <a:graphic>
              <a:graphicData uri="http://schemas.openxmlformats.org/drawingml/2006/picture">
                <pic:pic>
                  <pic:nvPicPr>
                    <pic:cNvPr id="248" name="image128.png"/>
                    <pic:cNvPicPr/>
                  </pic:nvPicPr>
                  <pic:blipFill>
                    <a:blip r:embed="rId150" cstate="print"/>
                    <a:stretch>
                      <a:fillRect/>
                    </a:stretch>
                  </pic:blipFill>
                  <pic:spPr>
                    <a:xfrm>
                      <a:off x="0" y="0"/>
                      <a:ext cx="168756" cy="171450"/>
                    </a:xfrm>
                    <a:prstGeom prst="rect">
                      <a:avLst/>
                    </a:prstGeom>
                  </pic:spPr>
                </pic:pic>
              </a:graphicData>
            </a:graphic>
          </wp:inline>
        </w:drawing>
      </w:r>
      <w:r>
        <w:rPr>
          <w:rFonts w:ascii="Calibri"/>
        </w:rPr>
      </w:r>
    </w:p>
    <w:p>
      <w:pPr>
        <w:spacing w:before="92"/>
        <w:ind w:left="1386" w:right="2286" w:firstLine="0"/>
        <w:jc w:val="center"/>
        <w:rPr>
          <w:rFonts w:ascii="Calibri"/>
          <w:b/>
          <w:sz w:val="15"/>
        </w:rPr>
      </w:pPr>
      <w:r>
        <w:rPr>
          <w:rFonts w:ascii="Calibri"/>
          <w:b/>
          <w:w w:val="105"/>
          <w:sz w:val="15"/>
        </w:rPr>
        <w:t>Year</w:t>
      </w:r>
    </w:p>
    <w:p>
      <w:pPr>
        <w:pStyle w:val="BodyText"/>
        <w:rPr>
          <w:rFonts w:ascii="Calibri"/>
          <w:b/>
          <w:sz w:val="14"/>
        </w:rPr>
      </w:pPr>
      <w:r>
        <w:rPr/>
        <w:br w:type="column"/>
      </w:r>
      <w:r>
        <w:rPr>
          <w:rFonts w:ascii="Calibri"/>
          <w:b/>
          <w:sz w:val="14"/>
        </w:rPr>
      </w:r>
    </w:p>
    <w:p>
      <w:pPr>
        <w:pStyle w:val="BodyText"/>
        <w:spacing w:before="5"/>
        <w:rPr>
          <w:rFonts w:ascii="Calibri"/>
          <w:b/>
          <w:sz w:val="12"/>
        </w:rPr>
      </w:pPr>
    </w:p>
    <w:p>
      <w:pPr>
        <w:spacing w:before="1"/>
        <w:ind w:left="942" w:right="0" w:firstLine="0"/>
        <w:jc w:val="left"/>
        <w:rPr>
          <w:rFonts w:ascii="Calibri"/>
          <w:sz w:val="14"/>
        </w:rPr>
      </w:pPr>
      <w:r>
        <w:rPr>
          <w:rFonts w:ascii="Calibri"/>
          <w:sz w:val="14"/>
        </w:rPr>
        <w:t>Class key:</w:t>
      </w:r>
    </w:p>
    <w:p>
      <w:pPr>
        <w:pStyle w:val="ListParagraph"/>
        <w:numPr>
          <w:ilvl w:val="0"/>
          <w:numId w:val="56"/>
        </w:numPr>
        <w:tabs>
          <w:tab w:pos="1399" w:val="left" w:leader="none"/>
        </w:tabs>
        <w:spacing w:line="240" w:lineRule="auto" w:before="15" w:after="0"/>
        <w:ind w:left="1398" w:right="0" w:hanging="104"/>
        <w:jc w:val="left"/>
        <w:rPr>
          <w:rFonts w:ascii="Calibri"/>
          <w:sz w:val="14"/>
        </w:rPr>
      </w:pPr>
      <w:r>
        <w:rPr/>
        <w:pict>
          <v:group style="position:absolute;margin-left:400.560455pt;margin-top:.043968pt;width:17.9pt;height:130.5pt;mso-position-horizontal-relative:page;mso-position-vertical-relative:paragraph;z-index:252440576" coordorigin="8011,1" coordsize="358,2610">
            <v:rect style="position:absolute;left:8014;top:0;width:354;height:186" filled="true" fillcolor="#1f487c" stroked="false">
              <v:fill type="solid"/>
            </v:rect>
            <v:rect style="position:absolute;left:8014;top:186;width:354;height:186" filled="true" fillcolor="#009544" stroked="false">
              <v:fill type="solid"/>
            </v:rect>
            <v:rect style="position:absolute;left:8014;top:372;width:354;height:186" filled="true" fillcolor="#e16b09" stroked="false">
              <v:fill type="solid"/>
            </v:rect>
            <v:rect style="position:absolute;left:8014;top:558;width:354;height:186" filled="true" fillcolor="#e08ad6" stroked="false">
              <v:fill type="solid"/>
            </v:rect>
            <v:rect style="position:absolute;left:8014;top:744;width:354;height:186" filled="true" fillcolor="#8063a1" stroked="false">
              <v:fill type="solid"/>
            </v:rect>
            <v:rect style="position:absolute;left:8014;top:930;width:354;height:186" filled="true" fillcolor="#c0504d" stroked="false">
              <v:fill type="solid"/>
            </v:rect>
            <v:rect style="position:absolute;left:8014;top:1116;width:354;height:186" filled="true" fillcolor="#f8a763" stroked="false">
              <v:fill type="solid"/>
            </v:rect>
            <v:rect style="position:absolute;left:8014;top:1302;width:354;height:186" filled="true" fillcolor="#ecb8e7" stroked="false">
              <v:fill type="solid"/>
            </v:rect>
            <v:rect style="position:absolute;left:8014;top:1488;width:354;height:186" filled="true" fillcolor="#938953" stroked="false">
              <v:fill type="solid"/>
            </v:rect>
            <v:rect style="position:absolute;left:8014;top:1674;width:354;height:186" filled="true" fillcolor="#ffd600" stroked="false">
              <v:fill type="solid"/>
            </v:rect>
            <v:rect style="position:absolute;left:8014;top:1859;width:354;height:186" filled="true" fillcolor="#000000" stroked="false">
              <v:fill type="solid"/>
            </v:rect>
            <v:rect style="position:absolute;left:8014;top:2045;width:354;height:186" filled="true" fillcolor="#ffeb8f" stroked="false">
              <v:fill type="solid"/>
            </v:rect>
            <v:rect style="position:absolute;left:8014;top:2231;width:354;height:379" filled="true" fillcolor="#a6a6a6" stroked="false">
              <v:fill type="solid"/>
            </v:rect>
            <v:line style="position:absolute" from="8361,7" to="8361,2610" stroked="true" strokeweight="0pt" strokecolor="#ffffff">
              <v:stroke dashstyle="solid"/>
            </v:line>
            <v:line style="position:absolute" from="8364,7" to="8364,2610" stroked="true" strokeweight=".321105pt" strokecolor="#ffffff">
              <v:stroke dashstyle="solid"/>
            </v:line>
            <v:line style="position:absolute" from="8014,4" to="8368,4" stroked="true" strokeweight=".320535pt" strokecolor="#ffffff">
              <v:stroke dashstyle="solid"/>
            </v:line>
            <v:line style="position:absolute" from="8014,187" to="8368,187" stroked="true" strokeweight="0pt" strokecolor="#ffffff">
              <v:stroke dashstyle="solid"/>
            </v:line>
            <v:line style="position:absolute" from="8014,190" to="8368,190" stroked="true" strokeweight=".320535pt" strokecolor="#ffffff">
              <v:stroke dashstyle="solid"/>
            </v:line>
            <v:line style="position:absolute" from="8014,373" to="8368,373" stroked="true" strokeweight="0pt" strokecolor="#ffffff">
              <v:stroke dashstyle="solid"/>
            </v:line>
            <v:line style="position:absolute" from="8014,376" to="8368,376" stroked="true" strokeweight=".320535pt" strokecolor="#ffffff">
              <v:stroke dashstyle="solid"/>
            </v:line>
            <v:line style="position:absolute" from="8014,559" to="8368,559" stroked="true" strokeweight="0pt" strokecolor="#ffffff">
              <v:stroke dashstyle="solid"/>
            </v:line>
            <v:line style="position:absolute" from="8014,562" to="8368,562" stroked="true" strokeweight=".320535pt" strokecolor="#ffffff">
              <v:stroke dashstyle="solid"/>
            </v:line>
            <v:line style="position:absolute" from="8014,745" to="8368,745" stroked="true" strokeweight="0pt" strokecolor="#ffffff">
              <v:stroke dashstyle="solid"/>
            </v:line>
            <v:line style="position:absolute" from="8014,748" to="8368,748" stroked="true" strokeweight=".320535pt" strokecolor="#ffffff">
              <v:stroke dashstyle="solid"/>
            </v:line>
            <v:line style="position:absolute" from="8014,930" to="8368,930" stroked="true" strokeweight="0pt" strokecolor="#ffffff">
              <v:stroke dashstyle="solid"/>
            </v:line>
            <v:line style="position:absolute" from="8014,934" to="8368,934" stroked="true" strokeweight=".320535pt" strokecolor="#ffffff">
              <v:stroke dashstyle="solid"/>
            </v:line>
            <v:line style="position:absolute" from="8014,1116" to="8368,1116" stroked="true" strokeweight="0pt" strokecolor="#ffffff">
              <v:stroke dashstyle="solid"/>
            </v:line>
            <v:line style="position:absolute" from="8014,1120" to="8368,1120" stroked="true" strokeweight=".320535pt" strokecolor="#ffffff">
              <v:stroke dashstyle="solid"/>
            </v:line>
            <v:line style="position:absolute" from="8014,1302" to="8368,1302" stroked="true" strokeweight="0pt" strokecolor="#ffffff">
              <v:stroke dashstyle="solid"/>
            </v:line>
            <v:line style="position:absolute" from="8014,1305" to="8368,1305" stroked="true" strokeweight=".320535pt" strokecolor="#ffffff">
              <v:stroke dashstyle="solid"/>
            </v:line>
            <v:line style="position:absolute" from="8014,1488" to="8368,1488" stroked="true" strokeweight="0pt" strokecolor="#ffffff">
              <v:stroke dashstyle="solid"/>
            </v:line>
            <v:line style="position:absolute" from="8014,1491" to="8368,1491" stroked="true" strokeweight=".320856pt" strokecolor="#ffffff">
              <v:stroke dashstyle="solid"/>
            </v:line>
            <v:line style="position:absolute" from="8014,1674" to="8368,1674" stroked="true" strokeweight="0pt" strokecolor="#ffffff">
              <v:stroke dashstyle="solid"/>
            </v:line>
            <v:line style="position:absolute" from="8014,1677" to="8368,1677" stroked="true" strokeweight=".320535pt" strokecolor="#ffffff">
              <v:stroke dashstyle="solid"/>
            </v:line>
            <v:line style="position:absolute" from="8014,1860" to="8368,1860" stroked="true" strokeweight="0pt" strokecolor="#ffffff">
              <v:stroke dashstyle="solid"/>
            </v:line>
            <v:line style="position:absolute" from="8014,1863" to="8368,1863" stroked="true" strokeweight=".320535pt" strokecolor="#ffffff">
              <v:stroke dashstyle="solid"/>
            </v:line>
            <v:line style="position:absolute" from="8014,2046" to="8368,2046" stroked="true" strokeweight="0pt" strokecolor="#ffffff">
              <v:stroke dashstyle="solid"/>
            </v:line>
            <v:line style="position:absolute" from="8014,2049" to="8368,2049" stroked="true" strokeweight=".320535pt" strokecolor="#ffffff">
              <v:stroke dashstyle="solid"/>
            </v:line>
            <v:line style="position:absolute" from="8014,2232" to="8368,2232" stroked="true" strokeweight="0pt" strokecolor="#ffffff">
              <v:stroke dashstyle="solid"/>
            </v:line>
            <v:line style="position:absolute" from="8014,2235" to="8368,2235" stroked="true" strokeweight=".320535pt" strokecolor="#ffffff">
              <v:stroke dashstyle="solid"/>
            </v:line>
            <v:line style="position:absolute" from="8014,2418" to="8368,2418" stroked="true" strokeweight="0pt" strokecolor="#ffffff">
              <v:stroke dashstyle="solid"/>
            </v:line>
            <v:line style="position:absolute" from="8014,2421" to="8368,2421" stroked="true" strokeweight=".320535pt" strokecolor="#ffffff">
              <v:stroke dashstyle="solid"/>
            </v:line>
            <v:line style="position:absolute" from="8014,2604" to="8368,2604" stroked="true" strokeweight="0pt" strokecolor="#ffffff">
              <v:stroke dashstyle="solid"/>
            </v:line>
            <v:line style="position:absolute" from="8014,2607" to="8368,2607" stroked="true" strokeweight=".320535pt" strokecolor="#ffffff">
              <v:stroke dashstyle="solid"/>
            </v:line>
            <v:line style="position:absolute" from="8011,2344" to="8369,2344" stroked="true" strokeweight=".961678pt" strokecolor="#ffffff">
              <v:stroke dashstyle="solid"/>
            </v:line>
            <v:line style="position:absolute" from="8011,2517" to="8369,2517" stroked="true" strokeweight=".961678pt" strokecolor="#ffffff">
              <v:stroke dashstyle="solid"/>
            </v:line>
            <w10:wrap type="none"/>
          </v:group>
        </w:pict>
      </w:r>
      <w:r>
        <w:rPr>
          <w:rFonts w:ascii="Calibri"/>
          <w:sz w:val="14"/>
        </w:rPr>
        <w:t>Studying</w:t>
      </w:r>
    </w:p>
    <w:p>
      <w:pPr>
        <w:pStyle w:val="ListParagraph"/>
        <w:numPr>
          <w:ilvl w:val="0"/>
          <w:numId w:val="56"/>
        </w:numPr>
        <w:tabs>
          <w:tab w:pos="1399" w:val="left" w:leader="none"/>
        </w:tabs>
        <w:spacing w:line="240" w:lineRule="auto" w:before="15" w:after="0"/>
        <w:ind w:left="1398" w:right="0" w:hanging="104"/>
        <w:jc w:val="left"/>
        <w:rPr>
          <w:rFonts w:ascii="Calibri"/>
          <w:sz w:val="14"/>
        </w:rPr>
      </w:pPr>
      <w:r>
        <w:rPr>
          <w:rFonts w:ascii="Calibri"/>
          <w:sz w:val="14"/>
        </w:rPr>
        <w:t>Working</w:t>
      </w:r>
      <w:r>
        <w:rPr>
          <w:rFonts w:ascii="Calibri"/>
          <w:spacing w:val="-2"/>
          <w:sz w:val="14"/>
        </w:rPr>
        <w:t> </w:t>
      </w:r>
      <w:r>
        <w:rPr>
          <w:rFonts w:ascii="Calibri"/>
          <w:sz w:val="14"/>
        </w:rPr>
        <w:t>Age</w:t>
      </w:r>
    </w:p>
    <w:p>
      <w:pPr>
        <w:pStyle w:val="ListParagraph"/>
        <w:numPr>
          <w:ilvl w:val="0"/>
          <w:numId w:val="56"/>
        </w:numPr>
        <w:tabs>
          <w:tab w:pos="1399" w:val="left" w:leader="none"/>
        </w:tabs>
        <w:spacing w:line="240" w:lineRule="auto" w:before="15" w:after="0"/>
        <w:ind w:left="1398" w:right="0" w:hanging="104"/>
        <w:jc w:val="left"/>
        <w:rPr>
          <w:rFonts w:ascii="Calibri"/>
          <w:sz w:val="14"/>
        </w:rPr>
      </w:pPr>
      <w:r>
        <w:rPr>
          <w:rFonts w:ascii="Calibri"/>
          <w:sz w:val="14"/>
        </w:rPr>
        <w:t>Parents</w:t>
      </w:r>
    </w:p>
    <w:p>
      <w:pPr>
        <w:pStyle w:val="ListParagraph"/>
        <w:numPr>
          <w:ilvl w:val="0"/>
          <w:numId w:val="56"/>
        </w:numPr>
        <w:tabs>
          <w:tab w:pos="1399" w:val="left" w:leader="none"/>
        </w:tabs>
        <w:spacing w:line="240" w:lineRule="auto" w:before="15" w:after="0"/>
        <w:ind w:left="1398" w:right="0" w:hanging="104"/>
        <w:jc w:val="left"/>
        <w:rPr>
          <w:rFonts w:ascii="Calibri"/>
          <w:sz w:val="14"/>
        </w:rPr>
      </w:pPr>
      <w:r>
        <w:rPr>
          <w:rFonts w:ascii="Calibri"/>
          <w:sz w:val="14"/>
        </w:rPr>
        <w:t>Carers</w:t>
      </w:r>
    </w:p>
    <w:p>
      <w:pPr>
        <w:pStyle w:val="ListParagraph"/>
        <w:numPr>
          <w:ilvl w:val="0"/>
          <w:numId w:val="56"/>
        </w:numPr>
        <w:tabs>
          <w:tab w:pos="1399" w:val="left" w:leader="none"/>
        </w:tabs>
        <w:spacing w:line="240" w:lineRule="auto" w:before="15" w:after="0"/>
        <w:ind w:left="1398" w:right="0" w:hanging="104"/>
        <w:jc w:val="left"/>
        <w:rPr>
          <w:rFonts w:ascii="Calibri"/>
          <w:sz w:val="14"/>
        </w:rPr>
      </w:pPr>
      <w:r>
        <w:rPr>
          <w:rFonts w:ascii="Calibri"/>
          <w:sz w:val="14"/>
        </w:rPr>
        <w:t>Disability Support</w:t>
      </w:r>
    </w:p>
    <w:p>
      <w:pPr>
        <w:pStyle w:val="ListParagraph"/>
        <w:numPr>
          <w:ilvl w:val="0"/>
          <w:numId w:val="56"/>
        </w:numPr>
        <w:tabs>
          <w:tab w:pos="1399" w:val="left" w:leader="none"/>
        </w:tabs>
        <w:spacing w:line="261" w:lineRule="auto" w:before="15" w:after="0"/>
        <w:ind w:left="1295" w:right="2625" w:firstLine="0"/>
        <w:jc w:val="left"/>
        <w:rPr>
          <w:rFonts w:ascii="Calibri"/>
          <w:sz w:val="14"/>
        </w:rPr>
      </w:pPr>
      <w:r>
        <w:rPr>
          <w:rFonts w:ascii="Calibri"/>
          <w:sz w:val="14"/>
        </w:rPr>
        <w:t>Pension Age 7 Non IS Family 8 Non IS Carer 9 Non IS</w:t>
      </w:r>
      <w:r>
        <w:rPr>
          <w:rFonts w:ascii="Calibri"/>
          <w:spacing w:val="7"/>
          <w:sz w:val="14"/>
        </w:rPr>
        <w:t> </w:t>
      </w:r>
      <w:r>
        <w:rPr>
          <w:rFonts w:ascii="Calibri"/>
          <w:sz w:val="14"/>
        </w:rPr>
        <w:t>Other</w:t>
      </w:r>
    </w:p>
    <w:p>
      <w:pPr>
        <w:spacing w:line="261" w:lineRule="auto" w:before="0"/>
        <w:ind w:left="1295" w:right="1689" w:firstLine="0"/>
        <w:jc w:val="left"/>
        <w:rPr>
          <w:rFonts w:ascii="Calibri"/>
          <w:sz w:val="14"/>
        </w:rPr>
      </w:pPr>
      <w:r>
        <w:rPr>
          <w:rFonts w:ascii="Calibri"/>
          <w:sz w:val="14"/>
        </w:rPr>
        <w:t>10 Previous Welfare Recipient 11 Dead</w:t>
      </w:r>
    </w:p>
    <w:p>
      <w:pPr>
        <w:spacing w:line="261" w:lineRule="auto" w:before="0"/>
        <w:ind w:left="1295" w:right="1812" w:firstLine="0"/>
        <w:jc w:val="left"/>
        <w:rPr>
          <w:rFonts w:ascii="Calibri"/>
          <w:sz w:val="14"/>
        </w:rPr>
      </w:pPr>
      <w:r>
        <w:rPr>
          <w:rFonts w:ascii="Calibri"/>
          <w:sz w:val="14"/>
        </w:rPr>
        <w:t>12 Rest of Aust. Population Prior valuation - all active Prior valuation - current class</w:t>
      </w:r>
    </w:p>
    <w:p>
      <w:pPr>
        <w:spacing w:after="0" w:line="261" w:lineRule="auto"/>
        <w:jc w:val="left"/>
        <w:rPr>
          <w:rFonts w:ascii="Calibri"/>
          <w:sz w:val="14"/>
        </w:rPr>
        <w:sectPr>
          <w:type w:val="continuous"/>
          <w:pgSz w:w="11910" w:h="16850"/>
          <w:pgMar w:top="1600" w:bottom="280" w:left="120" w:right="0"/>
          <w:cols w:num="3" w:equalWidth="0">
            <w:col w:w="2882" w:space="40"/>
            <w:col w:w="4010" w:space="39"/>
            <w:col w:w="4819"/>
          </w:cols>
        </w:sectPr>
      </w:pPr>
    </w:p>
    <w:p>
      <w:pPr>
        <w:pStyle w:val="BodyText"/>
        <w:spacing w:before="5"/>
        <w:rPr>
          <w:rFonts w:ascii="Calibri"/>
          <w:sz w:val="21"/>
        </w:rPr>
      </w:pPr>
    </w:p>
    <w:p>
      <w:pPr>
        <w:pStyle w:val="BodyText"/>
        <w:spacing w:before="93"/>
        <w:ind w:left="900" w:right="1976"/>
      </w:pPr>
      <w:r>
        <w:rPr>
          <w:color w:val="404040"/>
        </w:rPr>
        <w:t>This reinforces the observation that most people are only expected to exit this class through death or retirement.</w:t>
      </w:r>
    </w:p>
    <w:p>
      <w:pPr>
        <w:pStyle w:val="ListParagraph"/>
        <w:numPr>
          <w:ilvl w:val="0"/>
          <w:numId w:val="55"/>
        </w:numPr>
        <w:tabs>
          <w:tab w:pos="1184" w:val="left" w:leader="none"/>
        </w:tabs>
        <w:spacing w:line="240" w:lineRule="auto" w:before="119" w:after="0"/>
        <w:ind w:left="1183" w:right="1063" w:hanging="284"/>
        <w:jc w:val="left"/>
        <w:rPr>
          <w:sz w:val="20"/>
        </w:rPr>
      </w:pPr>
      <w:r>
        <w:rPr>
          <w:color w:val="404040"/>
          <w:sz w:val="20"/>
        </w:rPr>
        <w:t>More than 60% of the people in this class are projected to remain there for the next 10 years (or exit and subsequently</w:t>
      </w:r>
      <w:r>
        <w:rPr>
          <w:color w:val="404040"/>
          <w:spacing w:val="-7"/>
          <w:sz w:val="20"/>
        </w:rPr>
        <w:t> </w:t>
      </w:r>
      <w:r>
        <w:rPr>
          <w:color w:val="404040"/>
          <w:sz w:val="20"/>
        </w:rPr>
        <w:t>return)</w:t>
      </w:r>
      <w:r>
        <w:rPr>
          <w:color w:val="404040"/>
          <w:spacing w:val="-3"/>
          <w:sz w:val="20"/>
        </w:rPr>
        <w:t> </w:t>
      </w:r>
      <w:r>
        <w:rPr>
          <w:color w:val="404040"/>
          <w:sz w:val="20"/>
        </w:rPr>
        <w:t>and</w:t>
      </w:r>
      <w:r>
        <w:rPr>
          <w:color w:val="404040"/>
          <w:spacing w:val="-4"/>
          <w:sz w:val="20"/>
        </w:rPr>
        <w:t> </w:t>
      </w:r>
      <w:r>
        <w:rPr>
          <w:color w:val="404040"/>
          <w:sz w:val="20"/>
        </w:rPr>
        <w:t>38%</w:t>
      </w:r>
      <w:r>
        <w:rPr>
          <w:color w:val="404040"/>
          <w:spacing w:val="-3"/>
          <w:sz w:val="20"/>
        </w:rPr>
        <w:t> </w:t>
      </w:r>
      <w:r>
        <w:rPr>
          <w:color w:val="404040"/>
          <w:sz w:val="20"/>
        </w:rPr>
        <w:t>are</w:t>
      </w:r>
      <w:r>
        <w:rPr>
          <w:color w:val="404040"/>
          <w:spacing w:val="-2"/>
          <w:sz w:val="20"/>
        </w:rPr>
        <w:t> </w:t>
      </w:r>
      <w:r>
        <w:rPr>
          <w:color w:val="404040"/>
          <w:sz w:val="20"/>
        </w:rPr>
        <w:t>expected</w:t>
      </w:r>
      <w:r>
        <w:rPr>
          <w:color w:val="404040"/>
          <w:spacing w:val="-2"/>
          <w:sz w:val="20"/>
        </w:rPr>
        <w:t> </w:t>
      </w:r>
      <w:r>
        <w:rPr>
          <w:color w:val="404040"/>
          <w:sz w:val="20"/>
        </w:rPr>
        <w:t>still</w:t>
      </w:r>
      <w:r>
        <w:rPr>
          <w:color w:val="404040"/>
          <w:spacing w:val="-4"/>
          <w:sz w:val="20"/>
        </w:rPr>
        <w:t> </w:t>
      </w:r>
      <w:r>
        <w:rPr>
          <w:color w:val="404040"/>
          <w:sz w:val="20"/>
        </w:rPr>
        <w:t>to</w:t>
      </w:r>
      <w:r>
        <w:rPr>
          <w:color w:val="404040"/>
          <w:spacing w:val="-4"/>
          <w:sz w:val="20"/>
        </w:rPr>
        <w:t> </w:t>
      </w:r>
      <w:r>
        <w:rPr>
          <w:color w:val="404040"/>
          <w:sz w:val="20"/>
        </w:rPr>
        <w:t>be</w:t>
      </w:r>
      <w:r>
        <w:rPr>
          <w:color w:val="404040"/>
          <w:spacing w:val="1"/>
          <w:sz w:val="20"/>
        </w:rPr>
        <w:t> </w:t>
      </w:r>
      <w:r>
        <w:rPr>
          <w:color w:val="404040"/>
          <w:sz w:val="20"/>
        </w:rPr>
        <w:t>receiving</w:t>
      </w:r>
      <w:r>
        <w:rPr>
          <w:color w:val="404040"/>
          <w:spacing w:val="-4"/>
          <w:sz w:val="20"/>
        </w:rPr>
        <w:t> </w:t>
      </w:r>
      <w:r>
        <w:rPr>
          <w:color w:val="404040"/>
          <w:sz w:val="20"/>
        </w:rPr>
        <w:t>Disability</w:t>
      </w:r>
      <w:r>
        <w:rPr>
          <w:color w:val="404040"/>
          <w:spacing w:val="-5"/>
          <w:sz w:val="20"/>
        </w:rPr>
        <w:t> </w:t>
      </w:r>
      <w:r>
        <w:rPr>
          <w:color w:val="404040"/>
          <w:sz w:val="20"/>
        </w:rPr>
        <w:t>Support</w:t>
      </w:r>
      <w:r>
        <w:rPr>
          <w:color w:val="404040"/>
          <w:spacing w:val="-2"/>
          <w:sz w:val="20"/>
        </w:rPr>
        <w:t> </w:t>
      </w:r>
      <w:r>
        <w:rPr>
          <w:color w:val="404040"/>
          <w:sz w:val="20"/>
        </w:rPr>
        <w:t>Pension</w:t>
      </w:r>
      <w:r>
        <w:rPr>
          <w:color w:val="404040"/>
          <w:spacing w:val="-1"/>
          <w:sz w:val="20"/>
        </w:rPr>
        <w:t> </w:t>
      </w:r>
      <w:r>
        <w:rPr>
          <w:color w:val="404040"/>
          <w:sz w:val="20"/>
        </w:rPr>
        <w:t>in</w:t>
      </w:r>
      <w:r>
        <w:rPr>
          <w:color w:val="404040"/>
          <w:spacing w:val="-2"/>
          <w:sz w:val="20"/>
        </w:rPr>
        <w:t> </w:t>
      </w:r>
      <w:r>
        <w:rPr>
          <w:color w:val="404040"/>
          <w:sz w:val="20"/>
        </w:rPr>
        <w:t>20</w:t>
      </w:r>
      <w:r>
        <w:rPr>
          <w:color w:val="404040"/>
          <w:spacing w:val="1"/>
          <w:sz w:val="20"/>
        </w:rPr>
        <w:t> </w:t>
      </w:r>
      <w:r>
        <w:rPr>
          <w:color w:val="404040"/>
          <w:sz w:val="20"/>
        </w:rPr>
        <w:t>years’</w:t>
      </w:r>
      <w:r>
        <w:rPr>
          <w:color w:val="404040"/>
          <w:spacing w:val="-4"/>
          <w:sz w:val="20"/>
        </w:rPr>
        <w:t> </w:t>
      </w:r>
      <w:r>
        <w:rPr>
          <w:color w:val="404040"/>
          <w:sz w:val="20"/>
        </w:rPr>
        <w:t>time.</w:t>
      </w:r>
    </w:p>
    <w:p>
      <w:pPr>
        <w:spacing w:after="0" w:line="240" w:lineRule="auto"/>
        <w:jc w:val="left"/>
        <w:rPr>
          <w:sz w:val="20"/>
        </w:rPr>
        <w:sectPr>
          <w:type w:val="continuous"/>
          <w:pgSz w:w="11910" w:h="16850"/>
          <w:pgMar w:top="1600" w:bottom="280" w:left="120" w:right="0"/>
        </w:sectPr>
      </w:pPr>
    </w:p>
    <w:p>
      <w:pPr>
        <w:pStyle w:val="BodyText"/>
      </w:pPr>
    </w:p>
    <w:p>
      <w:pPr>
        <w:pStyle w:val="BodyText"/>
      </w:pPr>
    </w:p>
    <w:p>
      <w:pPr>
        <w:pStyle w:val="BodyText"/>
        <w:spacing w:before="2"/>
        <w:rPr>
          <w:sz w:val="21"/>
        </w:rPr>
      </w:pPr>
    </w:p>
    <w:p>
      <w:pPr>
        <w:pStyle w:val="ListParagraph"/>
        <w:numPr>
          <w:ilvl w:val="0"/>
          <w:numId w:val="55"/>
        </w:numPr>
        <w:tabs>
          <w:tab w:pos="1184" w:val="left" w:leader="none"/>
        </w:tabs>
        <w:spacing w:line="240" w:lineRule="auto" w:before="99" w:after="0"/>
        <w:ind w:left="1183" w:right="1883" w:hanging="284"/>
        <w:jc w:val="left"/>
        <w:rPr>
          <w:sz w:val="20"/>
        </w:rPr>
      </w:pPr>
      <w:r>
        <w:rPr>
          <w:color w:val="404040"/>
          <w:sz w:val="20"/>
        </w:rPr>
        <w:t>52% of the people currently in the class are expected to be receiving either DSP or Age Pension in 30 years’ time (and are most likely to also do so for all the intervening</w:t>
      </w:r>
      <w:r>
        <w:rPr>
          <w:color w:val="404040"/>
          <w:spacing w:val="-14"/>
          <w:sz w:val="20"/>
        </w:rPr>
        <w:t> </w:t>
      </w:r>
      <w:r>
        <w:rPr>
          <w:color w:val="404040"/>
          <w:sz w:val="20"/>
        </w:rPr>
        <w:t>years).</w:t>
      </w:r>
    </w:p>
    <w:p>
      <w:pPr>
        <w:pStyle w:val="BodyText"/>
        <w:spacing w:before="7"/>
      </w:pPr>
    </w:p>
    <w:p>
      <w:pPr>
        <w:pStyle w:val="Heading6"/>
        <w:rPr>
          <w:i/>
        </w:rPr>
      </w:pPr>
      <w:r>
        <w:rPr>
          <w:i/>
          <w:color w:val="DF2F1E"/>
        </w:rPr>
        <w:t>Duration</w:t>
      </w:r>
    </w:p>
    <w:p>
      <w:pPr>
        <w:pStyle w:val="BodyText"/>
        <w:spacing w:line="242" w:lineRule="auto" w:before="119"/>
        <w:ind w:left="900" w:right="1343"/>
      </w:pPr>
      <w:r>
        <w:rPr>
          <w:color w:val="404040"/>
        </w:rPr>
        <w:t>The average future life expectancy for the Disability Support class is </w:t>
      </w:r>
      <w:r>
        <w:rPr>
          <w:b/>
          <w:color w:val="404040"/>
        </w:rPr>
        <w:t>34 </w:t>
      </w:r>
      <w:r>
        <w:rPr>
          <w:color w:val="404040"/>
        </w:rPr>
        <w:t>years. This reflects that a significant proportion of this class is approaching retirement age.</w:t>
      </w:r>
    </w:p>
    <w:p>
      <w:pPr>
        <w:pStyle w:val="BodyText"/>
        <w:spacing w:before="119"/>
        <w:ind w:left="900" w:right="1155"/>
      </w:pPr>
      <w:r>
        <w:rPr>
          <w:color w:val="404040"/>
        </w:rPr>
        <w:t>The table below provides a summary of the expected welfare system use of people currently in this class over this time. This has been developed by considering which classes people move into as they move through the welfare system over their lives.</w:t>
      </w:r>
    </w:p>
    <w:p>
      <w:pPr>
        <w:pStyle w:val="Heading9"/>
        <w:spacing w:before="174" w:after="51"/>
      </w:pPr>
      <w:r>
        <w:rPr>
          <w:color w:val="DF2F1E"/>
        </w:rPr>
        <w:t>Table 29: Average expected durations in welfare system for people currently in class 5</w:t>
      </w:r>
    </w:p>
    <w:tbl>
      <w:tblPr>
        <w:tblW w:w="0" w:type="auto"/>
        <w:jc w:val="left"/>
        <w:tblInd w:w="1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30"/>
        <w:gridCol w:w="1765"/>
        <w:gridCol w:w="2773"/>
      </w:tblGrid>
      <w:tr>
        <w:trPr>
          <w:trHeight w:val="278" w:hRule="atLeast"/>
        </w:trPr>
        <w:tc>
          <w:tcPr>
            <w:tcW w:w="4330" w:type="dxa"/>
            <w:shd w:val="clear" w:color="auto" w:fill="DF2F1E"/>
          </w:tcPr>
          <w:p>
            <w:pPr>
              <w:pStyle w:val="TableParagraph"/>
              <w:spacing w:before="0"/>
              <w:rPr>
                <w:rFonts w:ascii="Times New Roman"/>
                <w:sz w:val="18"/>
              </w:rPr>
            </w:pPr>
          </w:p>
        </w:tc>
        <w:tc>
          <w:tcPr>
            <w:tcW w:w="1765" w:type="dxa"/>
            <w:shd w:val="clear" w:color="auto" w:fill="DF2F1E"/>
          </w:tcPr>
          <w:p>
            <w:pPr>
              <w:pStyle w:val="TableParagraph"/>
              <w:spacing w:before="39"/>
              <w:ind w:left="149" w:right="383"/>
              <w:jc w:val="center"/>
              <w:rPr>
                <w:b/>
                <w:sz w:val="16"/>
              </w:rPr>
            </w:pPr>
            <w:r>
              <w:rPr>
                <w:b/>
                <w:color w:val="FFFFFF"/>
                <w:sz w:val="16"/>
              </w:rPr>
              <w:t>Expected Years</w:t>
            </w:r>
          </w:p>
        </w:tc>
        <w:tc>
          <w:tcPr>
            <w:tcW w:w="2773" w:type="dxa"/>
            <w:shd w:val="clear" w:color="auto" w:fill="DF2F1E"/>
          </w:tcPr>
          <w:p>
            <w:pPr>
              <w:pStyle w:val="TableParagraph"/>
              <w:spacing w:before="39"/>
              <w:ind w:left="394" w:right="124"/>
              <w:jc w:val="center"/>
              <w:rPr>
                <w:b/>
                <w:sz w:val="16"/>
              </w:rPr>
            </w:pPr>
            <w:r>
              <w:rPr>
                <w:b/>
                <w:color w:val="FFFFFF"/>
                <w:sz w:val="16"/>
              </w:rPr>
              <w:t>Proportion of Future Lifetime</w:t>
            </w:r>
          </w:p>
        </w:tc>
      </w:tr>
      <w:tr>
        <w:trPr>
          <w:trHeight w:val="261" w:hRule="atLeast"/>
        </w:trPr>
        <w:tc>
          <w:tcPr>
            <w:tcW w:w="4330" w:type="dxa"/>
            <w:tcBorders>
              <w:left w:val="single" w:sz="4" w:space="0" w:color="DF2F1E"/>
            </w:tcBorders>
          </w:tcPr>
          <w:p>
            <w:pPr>
              <w:pStyle w:val="TableParagraph"/>
              <w:spacing w:before="34"/>
              <w:ind w:left="107"/>
              <w:rPr>
                <w:b/>
                <w:sz w:val="16"/>
              </w:rPr>
            </w:pPr>
            <w:r>
              <w:rPr>
                <w:b/>
                <w:color w:val="404040"/>
                <w:sz w:val="16"/>
              </w:rPr>
              <w:t>Years with some income support payments:</w:t>
            </w:r>
          </w:p>
        </w:tc>
        <w:tc>
          <w:tcPr>
            <w:tcW w:w="1765" w:type="dxa"/>
          </w:tcPr>
          <w:p>
            <w:pPr>
              <w:pStyle w:val="TableParagraph"/>
              <w:spacing w:before="0"/>
              <w:rPr>
                <w:rFonts w:ascii="Times New Roman"/>
                <w:sz w:val="18"/>
              </w:rPr>
            </w:pPr>
          </w:p>
        </w:tc>
        <w:tc>
          <w:tcPr>
            <w:tcW w:w="2773" w:type="dxa"/>
            <w:tcBorders>
              <w:right w:val="single" w:sz="4" w:space="0" w:color="DF2F1E"/>
            </w:tcBorders>
          </w:tcPr>
          <w:p>
            <w:pPr>
              <w:pStyle w:val="TableParagraph"/>
              <w:spacing w:before="0"/>
              <w:rPr>
                <w:rFonts w:ascii="Times New Roman"/>
                <w:sz w:val="18"/>
              </w:rPr>
            </w:pPr>
          </w:p>
        </w:tc>
      </w:tr>
      <w:tr>
        <w:trPr>
          <w:trHeight w:val="265" w:hRule="atLeast"/>
        </w:trPr>
        <w:tc>
          <w:tcPr>
            <w:tcW w:w="4330" w:type="dxa"/>
            <w:tcBorders>
              <w:left w:val="single" w:sz="4" w:space="0" w:color="DF2F1E"/>
            </w:tcBorders>
          </w:tcPr>
          <w:p>
            <w:pPr>
              <w:pStyle w:val="TableParagraph"/>
              <w:tabs>
                <w:tab w:pos="513" w:val="left" w:leader="none"/>
              </w:tabs>
              <w:ind w:left="153"/>
              <w:rPr>
                <w:b/>
                <w:sz w:val="16"/>
              </w:rPr>
            </w:pPr>
            <w:r>
              <w:rPr>
                <w:color w:val="404040"/>
                <w:sz w:val="16"/>
              </w:rPr>
              <w:t>-</w:t>
              <w:tab/>
            </w:r>
            <w:r>
              <w:rPr>
                <w:b/>
                <w:color w:val="404040"/>
                <w:sz w:val="16"/>
              </w:rPr>
              <w:t>Not </w:t>
            </w:r>
            <w:r>
              <w:rPr>
                <w:b/>
                <w:color w:val="404040"/>
                <w:spacing w:val="-3"/>
                <w:sz w:val="16"/>
              </w:rPr>
              <w:t>Age </w:t>
            </w:r>
            <w:r>
              <w:rPr>
                <w:b/>
                <w:color w:val="404040"/>
                <w:sz w:val="16"/>
              </w:rPr>
              <w:t>Pension (classes</w:t>
            </w:r>
            <w:r>
              <w:rPr>
                <w:b/>
                <w:color w:val="404040"/>
                <w:spacing w:val="5"/>
                <w:sz w:val="16"/>
              </w:rPr>
              <w:t> </w:t>
            </w:r>
            <w:r>
              <w:rPr>
                <w:b/>
                <w:color w:val="404040"/>
                <w:sz w:val="16"/>
              </w:rPr>
              <w:t>1-5)</w:t>
            </w:r>
          </w:p>
        </w:tc>
        <w:tc>
          <w:tcPr>
            <w:tcW w:w="1765" w:type="dxa"/>
          </w:tcPr>
          <w:p>
            <w:pPr>
              <w:pStyle w:val="TableParagraph"/>
              <w:spacing w:before="40"/>
              <w:ind w:left="149" w:right="381"/>
              <w:jc w:val="center"/>
              <w:rPr>
                <w:sz w:val="16"/>
              </w:rPr>
            </w:pPr>
            <w:r>
              <w:rPr>
                <w:color w:val="404040"/>
                <w:sz w:val="16"/>
              </w:rPr>
              <w:t>19</w:t>
            </w:r>
          </w:p>
        </w:tc>
        <w:tc>
          <w:tcPr>
            <w:tcW w:w="2773" w:type="dxa"/>
            <w:tcBorders>
              <w:right w:val="single" w:sz="4" w:space="0" w:color="DF2F1E"/>
            </w:tcBorders>
          </w:tcPr>
          <w:p>
            <w:pPr>
              <w:pStyle w:val="TableParagraph"/>
              <w:spacing w:before="40"/>
              <w:ind w:left="1293" w:right="1023"/>
              <w:jc w:val="center"/>
              <w:rPr>
                <w:sz w:val="16"/>
              </w:rPr>
            </w:pPr>
            <w:r>
              <w:rPr>
                <w:color w:val="404040"/>
                <w:sz w:val="16"/>
              </w:rPr>
              <w:t>55%</w:t>
            </w:r>
          </w:p>
        </w:tc>
      </w:tr>
      <w:tr>
        <w:trPr>
          <w:trHeight w:val="265" w:hRule="atLeast"/>
        </w:trPr>
        <w:tc>
          <w:tcPr>
            <w:tcW w:w="4330" w:type="dxa"/>
            <w:tcBorders>
              <w:left w:val="single" w:sz="4" w:space="0" w:color="DF2F1E"/>
              <w:bottom w:val="single" w:sz="4" w:space="0" w:color="DF2F1E"/>
            </w:tcBorders>
          </w:tcPr>
          <w:p>
            <w:pPr>
              <w:pStyle w:val="TableParagraph"/>
              <w:tabs>
                <w:tab w:pos="513" w:val="left" w:leader="none"/>
              </w:tabs>
              <w:spacing w:before="36"/>
              <w:ind w:left="153"/>
              <w:rPr>
                <w:b/>
                <w:sz w:val="16"/>
              </w:rPr>
            </w:pPr>
            <w:r>
              <w:rPr>
                <w:color w:val="404040"/>
                <w:sz w:val="16"/>
              </w:rPr>
              <w:t>-</w:t>
              <w:tab/>
            </w:r>
            <w:r>
              <w:rPr>
                <w:b/>
                <w:color w:val="404040"/>
                <w:sz w:val="16"/>
              </w:rPr>
              <w:t>Age Pension (class</w:t>
            </w:r>
            <w:r>
              <w:rPr>
                <w:b/>
                <w:color w:val="404040"/>
                <w:spacing w:val="-3"/>
                <w:sz w:val="16"/>
              </w:rPr>
              <w:t> </w:t>
            </w:r>
            <w:r>
              <w:rPr>
                <w:b/>
                <w:color w:val="404040"/>
                <w:sz w:val="16"/>
              </w:rPr>
              <w:t>6)</w:t>
            </w:r>
          </w:p>
        </w:tc>
        <w:tc>
          <w:tcPr>
            <w:tcW w:w="1765" w:type="dxa"/>
            <w:tcBorders>
              <w:bottom w:val="single" w:sz="4" w:space="0" w:color="DF2F1E"/>
            </w:tcBorders>
          </w:tcPr>
          <w:p>
            <w:pPr>
              <w:pStyle w:val="TableParagraph"/>
              <w:spacing w:before="39"/>
              <w:ind w:left="149" w:right="381"/>
              <w:jc w:val="center"/>
              <w:rPr>
                <w:sz w:val="16"/>
              </w:rPr>
            </w:pPr>
            <w:r>
              <w:rPr>
                <w:color w:val="404040"/>
                <w:sz w:val="16"/>
              </w:rPr>
              <w:t>13</w:t>
            </w:r>
          </w:p>
        </w:tc>
        <w:tc>
          <w:tcPr>
            <w:tcW w:w="2773" w:type="dxa"/>
            <w:tcBorders>
              <w:bottom w:val="single" w:sz="4" w:space="0" w:color="DF2F1E"/>
              <w:right w:val="single" w:sz="4" w:space="0" w:color="DF2F1E"/>
            </w:tcBorders>
          </w:tcPr>
          <w:p>
            <w:pPr>
              <w:pStyle w:val="TableParagraph"/>
              <w:spacing w:before="39"/>
              <w:ind w:left="1293" w:right="1023"/>
              <w:jc w:val="center"/>
              <w:rPr>
                <w:sz w:val="16"/>
              </w:rPr>
            </w:pPr>
            <w:r>
              <w:rPr>
                <w:color w:val="404040"/>
                <w:sz w:val="16"/>
              </w:rPr>
              <w:t>39%</w:t>
            </w:r>
          </w:p>
        </w:tc>
      </w:tr>
      <w:tr>
        <w:trPr>
          <w:trHeight w:val="263" w:hRule="atLeast"/>
        </w:trPr>
        <w:tc>
          <w:tcPr>
            <w:tcW w:w="4330" w:type="dxa"/>
            <w:tcBorders>
              <w:top w:val="single" w:sz="4" w:space="0" w:color="DF2F1E"/>
              <w:left w:val="single" w:sz="4" w:space="0" w:color="DF2F1E"/>
              <w:bottom w:val="single" w:sz="4" w:space="0" w:color="DF2F1E"/>
            </w:tcBorders>
          </w:tcPr>
          <w:p>
            <w:pPr>
              <w:pStyle w:val="TableParagraph"/>
              <w:spacing w:before="34"/>
              <w:ind w:left="107"/>
              <w:rPr>
                <w:b/>
                <w:sz w:val="16"/>
              </w:rPr>
            </w:pPr>
            <w:r>
              <w:rPr>
                <w:b/>
                <w:color w:val="404040"/>
                <w:sz w:val="16"/>
              </w:rPr>
              <w:t>Years with non income support payments only</w:t>
            </w:r>
          </w:p>
        </w:tc>
        <w:tc>
          <w:tcPr>
            <w:tcW w:w="1765" w:type="dxa"/>
            <w:tcBorders>
              <w:top w:val="single" w:sz="4" w:space="0" w:color="DF2F1E"/>
              <w:bottom w:val="single" w:sz="4" w:space="0" w:color="DF2F1E"/>
            </w:tcBorders>
          </w:tcPr>
          <w:p>
            <w:pPr>
              <w:pStyle w:val="TableParagraph"/>
              <w:ind w:right="234"/>
              <w:jc w:val="center"/>
              <w:rPr>
                <w:sz w:val="16"/>
              </w:rPr>
            </w:pPr>
            <w:r>
              <w:rPr>
                <w:color w:val="404040"/>
                <w:w w:val="100"/>
                <w:sz w:val="16"/>
              </w:rPr>
              <w:t>0</w:t>
            </w:r>
          </w:p>
        </w:tc>
        <w:tc>
          <w:tcPr>
            <w:tcW w:w="2773" w:type="dxa"/>
            <w:tcBorders>
              <w:top w:val="single" w:sz="4" w:space="0" w:color="DF2F1E"/>
              <w:bottom w:val="single" w:sz="4" w:space="0" w:color="DF2F1E"/>
              <w:right w:val="single" w:sz="4" w:space="0" w:color="DF2F1E"/>
            </w:tcBorders>
          </w:tcPr>
          <w:p>
            <w:pPr>
              <w:pStyle w:val="TableParagraph"/>
              <w:ind w:left="1293" w:right="1020"/>
              <w:jc w:val="center"/>
              <w:rPr>
                <w:sz w:val="16"/>
              </w:rPr>
            </w:pPr>
            <w:r>
              <w:rPr>
                <w:color w:val="404040"/>
                <w:sz w:val="16"/>
              </w:rPr>
              <w:t>0%</w:t>
            </w:r>
          </w:p>
        </w:tc>
      </w:tr>
      <w:tr>
        <w:trPr>
          <w:trHeight w:val="265" w:hRule="atLeast"/>
        </w:trPr>
        <w:tc>
          <w:tcPr>
            <w:tcW w:w="4330" w:type="dxa"/>
            <w:tcBorders>
              <w:top w:val="single" w:sz="4" w:space="0" w:color="DF2F1E"/>
              <w:left w:val="single" w:sz="4" w:space="0" w:color="DF2F1E"/>
              <w:bottom w:val="single" w:sz="4" w:space="0" w:color="DF2F1E"/>
            </w:tcBorders>
          </w:tcPr>
          <w:p>
            <w:pPr>
              <w:pStyle w:val="TableParagraph"/>
              <w:ind w:left="107"/>
              <w:rPr>
                <w:b/>
                <w:sz w:val="16"/>
              </w:rPr>
            </w:pPr>
            <w:r>
              <w:rPr>
                <w:b/>
                <w:color w:val="404040"/>
                <w:sz w:val="16"/>
              </w:rPr>
              <w:t>Years not receiving any welfare payments</w:t>
            </w:r>
          </w:p>
        </w:tc>
        <w:tc>
          <w:tcPr>
            <w:tcW w:w="1765" w:type="dxa"/>
            <w:tcBorders>
              <w:top w:val="single" w:sz="4" w:space="0" w:color="DF2F1E"/>
              <w:bottom w:val="single" w:sz="4" w:space="0" w:color="DF2F1E"/>
            </w:tcBorders>
          </w:tcPr>
          <w:p>
            <w:pPr>
              <w:pStyle w:val="TableParagraph"/>
              <w:spacing w:before="39"/>
              <w:ind w:right="234"/>
              <w:jc w:val="center"/>
              <w:rPr>
                <w:sz w:val="16"/>
              </w:rPr>
            </w:pPr>
            <w:r>
              <w:rPr>
                <w:color w:val="404040"/>
                <w:w w:val="100"/>
                <w:sz w:val="16"/>
              </w:rPr>
              <w:t>2</w:t>
            </w:r>
          </w:p>
        </w:tc>
        <w:tc>
          <w:tcPr>
            <w:tcW w:w="2773" w:type="dxa"/>
            <w:tcBorders>
              <w:top w:val="single" w:sz="4" w:space="0" w:color="DF2F1E"/>
              <w:bottom w:val="single" w:sz="4" w:space="0" w:color="DF2F1E"/>
              <w:right w:val="single" w:sz="4" w:space="0" w:color="DF2F1E"/>
            </w:tcBorders>
          </w:tcPr>
          <w:p>
            <w:pPr>
              <w:pStyle w:val="TableParagraph"/>
              <w:spacing w:before="39"/>
              <w:ind w:left="1293" w:right="1020"/>
              <w:jc w:val="center"/>
              <w:rPr>
                <w:sz w:val="16"/>
              </w:rPr>
            </w:pPr>
            <w:r>
              <w:rPr>
                <w:color w:val="404040"/>
                <w:sz w:val="16"/>
              </w:rPr>
              <w:t>6%</w:t>
            </w:r>
          </w:p>
        </w:tc>
      </w:tr>
      <w:tr>
        <w:trPr>
          <w:trHeight w:val="263" w:hRule="atLeast"/>
        </w:trPr>
        <w:tc>
          <w:tcPr>
            <w:tcW w:w="4330" w:type="dxa"/>
            <w:tcBorders>
              <w:top w:val="single" w:sz="4" w:space="0" w:color="DF2F1E"/>
              <w:left w:val="single" w:sz="4" w:space="0" w:color="DF2F1E"/>
              <w:bottom w:val="single" w:sz="4" w:space="0" w:color="DF2F1E"/>
            </w:tcBorders>
          </w:tcPr>
          <w:p>
            <w:pPr>
              <w:pStyle w:val="TableParagraph"/>
              <w:spacing w:before="34"/>
              <w:ind w:left="107"/>
              <w:rPr>
                <w:b/>
                <w:sz w:val="16"/>
              </w:rPr>
            </w:pPr>
            <w:r>
              <w:rPr>
                <w:b/>
                <w:color w:val="404040"/>
                <w:sz w:val="16"/>
              </w:rPr>
              <w:t>Total</w:t>
            </w:r>
          </w:p>
        </w:tc>
        <w:tc>
          <w:tcPr>
            <w:tcW w:w="1765" w:type="dxa"/>
            <w:tcBorders>
              <w:top w:val="single" w:sz="4" w:space="0" w:color="DF2F1E"/>
              <w:bottom w:val="single" w:sz="4" w:space="0" w:color="DF2F1E"/>
            </w:tcBorders>
          </w:tcPr>
          <w:p>
            <w:pPr>
              <w:pStyle w:val="TableParagraph"/>
              <w:ind w:left="149" w:right="381"/>
              <w:jc w:val="center"/>
              <w:rPr>
                <w:sz w:val="16"/>
              </w:rPr>
            </w:pPr>
            <w:r>
              <w:rPr>
                <w:color w:val="404040"/>
                <w:sz w:val="16"/>
              </w:rPr>
              <w:t>34</w:t>
            </w:r>
          </w:p>
        </w:tc>
        <w:tc>
          <w:tcPr>
            <w:tcW w:w="2773" w:type="dxa"/>
            <w:tcBorders>
              <w:top w:val="single" w:sz="4" w:space="0" w:color="DF2F1E"/>
              <w:bottom w:val="single" w:sz="4" w:space="0" w:color="DF2F1E"/>
              <w:right w:val="single" w:sz="4" w:space="0" w:color="DF2F1E"/>
            </w:tcBorders>
          </w:tcPr>
          <w:p>
            <w:pPr>
              <w:pStyle w:val="TableParagraph"/>
              <w:ind w:left="1293" w:right="1025"/>
              <w:jc w:val="center"/>
              <w:rPr>
                <w:sz w:val="16"/>
              </w:rPr>
            </w:pPr>
            <w:r>
              <w:rPr>
                <w:color w:val="404040"/>
                <w:sz w:val="16"/>
              </w:rPr>
              <w:t>100%</w:t>
            </w:r>
          </w:p>
        </w:tc>
      </w:tr>
    </w:tbl>
    <w:p>
      <w:pPr>
        <w:spacing w:after="0"/>
        <w:jc w:val="center"/>
        <w:rPr>
          <w:sz w:val="16"/>
        </w:rPr>
        <w:sectPr>
          <w:pgSz w:w="11910" w:h="16850"/>
          <w:pgMar w:header="572" w:footer="581" w:top="780" w:bottom="780" w:left="120" w:right="0"/>
        </w:sectPr>
      </w:pPr>
    </w:p>
    <w:p>
      <w:pPr>
        <w:pStyle w:val="BodyText"/>
        <w:rPr>
          <w:b/>
        </w:rPr>
      </w:pPr>
    </w:p>
    <w:p>
      <w:pPr>
        <w:pStyle w:val="BodyText"/>
        <w:rPr>
          <w:b/>
        </w:rPr>
      </w:pPr>
    </w:p>
    <w:p>
      <w:pPr>
        <w:pStyle w:val="BodyText"/>
        <w:spacing w:before="8"/>
        <w:rPr>
          <w:b/>
          <w:sz w:val="21"/>
        </w:rPr>
      </w:pPr>
    </w:p>
    <w:p>
      <w:pPr>
        <w:pStyle w:val="ListParagraph"/>
        <w:numPr>
          <w:ilvl w:val="1"/>
          <w:numId w:val="37"/>
        </w:numPr>
        <w:tabs>
          <w:tab w:pos="1752" w:val="left" w:leader="none"/>
          <w:tab w:pos="1753" w:val="left" w:leader="none"/>
        </w:tabs>
        <w:spacing w:line="240" w:lineRule="auto" w:before="91" w:after="0"/>
        <w:ind w:left="1752" w:right="0" w:hanging="853"/>
        <w:jc w:val="left"/>
        <w:rPr>
          <w:sz w:val="28"/>
        </w:rPr>
      </w:pPr>
      <w:r>
        <w:rPr/>
        <w:pict>
          <v:shape style="position:absolute;margin-left:51pt;margin-top:26.801851pt;width:493.35pt;height:226.7pt;mso-position-horizontal-relative:page;mso-position-vertical-relative:paragraph;z-index:-250873856;mso-wrap-distance-left:0;mso-wrap-distance-right:0" type="#_x0000_t202" filled="true" fillcolor="#f3aba3" stroked="false">
            <v:textbox inset="0,0,0,0">
              <w:txbxContent>
                <w:p>
                  <w:pPr>
                    <w:spacing w:before="117"/>
                    <w:ind w:left="107" w:right="0" w:firstLine="0"/>
                    <w:jc w:val="left"/>
                    <w:rPr>
                      <w:b/>
                      <w:sz w:val="20"/>
                    </w:rPr>
                  </w:pPr>
                  <w:r>
                    <w:rPr>
                      <w:b/>
                      <w:color w:val="404040"/>
                      <w:sz w:val="20"/>
                    </w:rPr>
                    <w:t>Key points</w:t>
                  </w:r>
                </w:p>
                <w:p>
                  <w:pPr>
                    <w:pStyle w:val="BodyText"/>
                    <w:spacing w:before="120"/>
                    <w:ind w:left="107" w:right="223"/>
                  </w:pPr>
                  <w:r>
                    <w:rPr>
                      <w:color w:val="404040"/>
                    </w:rPr>
                    <w:t>There were 2,508,000 people in the Age Pension class in 2018, who were mostly aged 65 and over. The Age Pensioner class is very immobile with very few people transitioning off payment before the end of their life. Age Pension payments in 2017/18 were $45.8 billion representing 40% of the total welfare payments covered by this valuation.</w:t>
                  </w:r>
                </w:p>
                <w:p>
                  <w:pPr>
                    <w:pStyle w:val="BodyText"/>
                    <w:numPr>
                      <w:ilvl w:val="0"/>
                      <w:numId w:val="57"/>
                    </w:numPr>
                    <w:tabs>
                      <w:tab w:pos="392" w:val="left" w:leader="none"/>
                    </w:tabs>
                    <w:spacing w:line="240" w:lineRule="auto" w:before="121" w:after="0"/>
                    <w:ind w:left="391" w:right="324" w:hanging="284"/>
                    <w:jc w:val="left"/>
                  </w:pPr>
                  <w:r>
                    <w:rPr>
                      <w:color w:val="404040"/>
                    </w:rPr>
                    <w:t>This year the entries into Age Pension were low as a result of the increase in the Age Pension age from 65 to 65.5. Additionally exits from Age Pension were higher as a result of the changes in the pension assets test. These two factors resulted in a decrease in the Age Pension class size in</w:t>
                  </w:r>
                  <w:r>
                    <w:rPr>
                      <w:color w:val="404040"/>
                      <w:spacing w:val="-18"/>
                    </w:rPr>
                    <w:t> </w:t>
                  </w:r>
                  <w:r>
                    <w:rPr>
                      <w:color w:val="404040"/>
                    </w:rPr>
                    <w:t>2018.</w:t>
                  </w:r>
                </w:p>
                <w:p>
                  <w:pPr>
                    <w:pStyle w:val="BodyText"/>
                    <w:numPr>
                      <w:ilvl w:val="0"/>
                      <w:numId w:val="57"/>
                    </w:numPr>
                    <w:tabs>
                      <w:tab w:pos="392" w:val="left" w:leader="none"/>
                    </w:tabs>
                    <w:spacing w:line="240" w:lineRule="auto" w:before="118" w:after="0"/>
                    <w:ind w:left="391" w:right="174" w:hanging="284"/>
                    <w:jc w:val="left"/>
                  </w:pPr>
                  <w:r>
                    <w:rPr>
                      <w:color w:val="404040"/>
                    </w:rPr>
                    <w:t>However</w:t>
                  </w:r>
                  <w:r>
                    <w:rPr>
                      <w:color w:val="404040"/>
                      <w:spacing w:val="-4"/>
                    </w:rPr>
                    <w:t> </w:t>
                  </w:r>
                  <w:r>
                    <w:rPr>
                      <w:color w:val="404040"/>
                    </w:rPr>
                    <w:t>more</w:t>
                  </w:r>
                  <w:r>
                    <w:rPr>
                      <w:color w:val="404040"/>
                      <w:spacing w:val="-4"/>
                    </w:rPr>
                    <w:t> </w:t>
                  </w:r>
                  <w:r>
                    <w:rPr>
                      <w:color w:val="404040"/>
                    </w:rPr>
                    <w:t>generally</w:t>
                  </w:r>
                  <w:r>
                    <w:rPr>
                      <w:color w:val="404040"/>
                      <w:spacing w:val="-5"/>
                    </w:rPr>
                    <w:t> </w:t>
                  </w:r>
                  <w:r>
                    <w:rPr>
                      <w:color w:val="404040"/>
                    </w:rPr>
                    <w:t>over</w:t>
                  </w:r>
                  <w:r>
                    <w:rPr>
                      <w:color w:val="404040"/>
                      <w:spacing w:val="-3"/>
                    </w:rPr>
                    <w:t> </w:t>
                  </w:r>
                  <w:r>
                    <w:rPr>
                      <w:color w:val="404040"/>
                    </w:rPr>
                    <w:t>recent</w:t>
                  </w:r>
                  <w:r>
                    <w:rPr>
                      <w:color w:val="404040"/>
                      <w:spacing w:val="1"/>
                    </w:rPr>
                    <w:t> </w:t>
                  </w:r>
                  <w:r>
                    <w:rPr>
                      <w:color w:val="404040"/>
                    </w:rPr>
                    <w:t>years,</w:t>
                  </w:r>
                  <w:r>
                    <w:rPr>
                      <w:color w:val="404040"/>
                      <w:spacing w:val="-4"/>
                    </w:rPr>
                    <w:t> </w:t>
                  </w:r>
                  <w:r>
                    <w:rPr>
                      <w:color w:val="404040"/>
                    </w:rPr>
                    <w:t>there</w:t>
                  </w:r>
                  <w:r>
                    <w:rPr>
                      <w:color w:val="404040"/>
                      <w:spacing w:val="-3"/>
                    </w:rPr>
                    <w:t> </w:t>
                  </w:r>
                  <w:r>
                    <w:rPr>
                      <w:color w:val="404040"/>
                    </w:rPr>
                    <w:t>have</w:t>
                  </w:r>
                  <w:r>
                    <w:rPr>
                      <w:color w:val="404040"/>
                      <w:spacing w:val="-2"/>
                    </w:rPr>
                    <w:t> </w:t>
                  </w:r>
                  <w:r>
                    <w:rPr>
                      <w:color w:val="404040"/>
                    </w:rPr>
                    <w:t>been</w:t>
                  </w:r>
                  <w:r>
                    <w:rPr>
                      <w:color w:val="404040"/>
                      <w:spacing w:val="-2"/>
                    </w:rPr>
                    <w:t> </w:t>
                  </w:r>
                  <w:r>
                    <w:rPr>
                      <w:color w:val="404040"/>
                    </w:rPr>
                    <w:t>more</w:t>
                  </w:r>
                  <w:r>
                    <w:rPr>
                      <w:color w:val="404040"/>
                      <w:spacing w:val="-4"/>
                    </w:rPr>
                    <w:t> </w:t>
                  </w:r>
                  <w:r>
                    <w:rPr>
                      <w:color w:val="404040"/>
                    </w:rPr>
                    <w:t>people</w:t>
                  </w:r>
                  <w:r>
                    <w:rPr>
                      <w:color w:val="404040"/>
                      <w:spacing w:val="-4"/>
                    </w:rPr>
                    <w:t> </w:t>
                  </w:r>
                  <w:r>
                    <w:rPr>
                      <w:color w:val="404040"/>
                    </w:rPr>
                    <w:t>entering</w:t>
                  </w:r>
                  <w:r>
                    <w:rPr>
                      <w:color w:val="404040"/>
                      <w:spacing w:val="-2"/>
                    </w:rPr>
                    <w:t> </w:t>
                  </w:r>
                  <w:r>
                    <w:rPr>
                      <w:color w:val="404040"/>
                    </w:rPr>
                    <w:t>the</w:t>
                  </w:r>
                  <w:r>
                    <w:rPr>
                      <w:color w:val="404040"/>
                      <w:spacing w:val="-3"/>
                    </w:rPr>
                    <w:t> </w:t>
                  </w:r>
                  <w:r>
                    <w:rPr>
                      <w:color w:val="404040"/>
                    </w:rPr>
                    <w:t>Age</w:t>
                  </w:r>
                  <w:r>
                    <w:rPr>
                      <w:color w:val="404040"/>
                      <w:spacing w:val="-2"/>
                    </w:rPr>
                    <w:t> </w:t>
                  </w:r>
                  <w:r>
                    <w:rPr>
                      <w:color w:val="404040"/>
                    </w:rPr>
                    <w:t>Pension</w:t>
                  </w:r>
                  <w:r>
                    <w:rPr>
                      <w:color w:val="404040"/>
                      <w:spacing w:val="-4"/>
                    </w:rPr>
                    <w:t> </w:t>
                  </w:r>
                  <w:r>
                    <w:rPr>
                      <w:color w:val="404040"/>
                    </w:rPr>
                    <w:t>class than those exiting, resulting in a growing population of age pensioners for most years. </w:t>
                  </w:r>
                  <w:r>
                    <w:rPr>
                      <w:color w:val="404040"/>
                      <w:spacing w:val="4"/>
                    </w:rPr>
                    <w:t>We </w:t>
                  </w:r>
                  <w:r>
                    <w:rPr>
                      <w:color w:val="404040"/>
                    </w:rPr>
                    <w:t>would expect the general trend of a growing population of age pensioners to continue well into the</w:t>
                  </w:r>
                  <w:r>
                    <w:rPr>
                      <w:color w:val="404040"/>
                      <w:spacing w:val="-16"/>
                    </w:rPr>
                    <w:t> </w:t>
                  </w:r>
                  <w:r>
                    <w:rPr>
                      <w:color w:val="404040"/>
                    </w:rPr>
                    <w:t>future.</w:t>
                  </w:r>
                </w:p>
                <w:p>
                  <w:pPr>
                    <w:pStyle w:val="BodyText"/>
                    <w:numPr>
                      <w:ilvl w:val="0"/>
                      <w:numId w:val="57"/>
                    </w:numPr>
                    <w:tabs>
                      <w:tab w:pos="392" w:val="left" w:leader="none"/>
                    </w:tabs>
                    <w:spacing w:line="240" w:lineRule="auto" w:before="118" w:after="0"/>
                    <w:ind w:left="391" w:right="119" w:hanging="284"/>
                    <w:jc w:val="left"/>
                  </w:pPr>
                  <w:r>
                    <w:rPr>
                      <w:color w:val="404040"/>
                    </w:rPr>
                    <w:t>The</w:t>
                  </w:r>
                  <w:r>
                    <w:rPr>
                      <w:color w:val="404040"/>
                      <w:spacing w:val="-3"/>
                    </w:rPr>
                    <w:t> </w:t>
                  </w:r>
                  <w:r>
                    <w:rPr>
                      <w:color w:val="404040"/>
                    </w:rPr>
                    <w:t>pension</w:t>
                  </w:r>
                  <w:r>
                    <w:rPr>
                      <w:color w:val="404040"/>
                      <w:spacing w:val="-3"/>
                    </w:rPr>
                    <w:t> </w:t>
                  </w:r>
                  <w:r>
                    <w:rPr>
                      <w:color w:val="404040"/>
                    </w:rPr>
                    <w:t>age</w:t>
                  </w:r>
                  <w:r>
                    <w:rPr>
                      <w:color w:val="404040"/>
                      <w:spacing w:val="-1"/>
                    </w:rPr>
                    <w:t> </w:t>
                  </w:r>
                  <w:r>
                    <w:rPr>
                      <w:color w:val="404040"/>
                    </w:rPr>
                    <w:t>will</w:t>
                  </w:r>
                  <w:r>
                    <w:rPr>
                      <w:color w:val="404040"/>
                      <w:spacing w:val="-4"/>
                    </w:rPr>
                    <w:t> </w:t>
                  </w:r>
                  <w:r>
                    <w:rPr>
                      <w:color w:val="404040"/>
                    </w:rPr>
                    <w:t>increase</w:t>
                  </w:r>
                  <w:r>
                    <w:rPr>
                      <w:color w:val="404040"/>
                      <w:spacing w:val="-3"/>
                    </w:rPr>
                    <w:t> </w:t>
                  </w:r>
                  <w:r>
                    <w:rPr>
                      <w:color w:val="404040"/>
                    </w:rPr>
                    <w:t>by</w:t>
                  </w:r>
                  <w:r>
                    <w:rPr>
                      <w:color w:val="404040"/>
                      <w:spacing w:val="-4"/>
                    </w:rPr>
                    <w:t> </w:t>
                  </w:r>
                  <w:r>
                    <w:rPr>
                      <w:color w:val="404040"/>
                    </w:rPr>
                    <w:t>half</w:t>
                  </w:r>
                  <w:r>
                    <w:rPr>
                      <w:color w:val="404040"/>
                      <w:spacing w:val="-1"/>
                    </w:rPr>
                    <w:t> </w:t>
                  </w:r>
                  <w:r>
                    <w:rPr>
                      <w:color w:val="404040"/>
                    </w:rPr>
                    <w:t>a</w:t>
                  </w:r>
                  <w:r>
                    <w:rPr>
                      <w:color w:val="404040"/>
                      <w:spacing w:val="-1"/>
                    </w:rPr>
                    <w:t> </w:t>
                  </w:r>
                  <w:r>
                    <w:rPr>
                      <w:color w:val="404040"/>
                    </w:rPr>
                    <w:t>year</w:t>
                  </w:r>
                  <w:r>
                    <w:rPr>
                      <w:color w:val="404040"/>
                      <w:spacing w:val="-2"/>
                    </w:rPr>
                    <w:t> </w:t>
                  </w:r>
                  <w:r>
                    <w:rPr>
                      <w:color w:val="404040"/>
                    </w:rPr>
                    <w:t>every</w:t>
                  </w:r>
                  <w:r>
                    <w:rPr>
                      <w:color w:val="404040"/>
                      <w:spacing w:val="-4"/>
                    </w:rPr>
                    <w:t> </w:t>
                  </w:r>
                  <w:r>
                    <w:rPr>
                      <w:color w:val="404040"/>
                    </w:rPr>
                    <w:t>two</w:t>
                  </w:r>
                  <w:r>
                    <w:rPr>
                      <w:color w:val="404040"/>
                      <w:spacing w:val="-1"/>
                    </w:rPr>
                    <w:t> </w:t>
                  </w:r>
                  <w:r>
                    <w:rPr>
                      <w:color w:val="404040"/>
                    </w:rPr>
                    <w:t>years</w:t>
                  </w:r>
                  <w:r>
                    <w:rPr>
                      <w:color w:val="404040"/>
                      <w:spacing w:val="-2"/>
                    </w:rPr>
                    <w:t> </w:t>
                  </w:r>
                  <w:r>
                    <w:rPr>
                      <w:color w:val="404040"/>
                    </w:rPr>
                    <w:t>for</w:t>
                  </w:r>
                  <w:r>
                    <w:rPr>
                      <w:color w:val="404040"/>
                      <w:spacing w:val="-2"/>
                    </w:rPr>
                    <w:t> </w:t>
                  </w:r>
                  <w:r>
                    <w:rPr>
                      <w:color w:val="404040"/>
                    </w:rPr>
                    <w:t>each</w:t>
                  </w:r>
                  <w:r>
                    <w:rPr>
                      <w:color w:val="404040"/>
                      <w:spacing w:val="-1"/>
                    </w:rPr>
                    <w:t> </w:t>
                  </w:r>
                  <w:r>
                    <w:rPr>
                      <w:color w:val="404040"/>
                    </w:rPr>
                    <w:t>of</w:t>
                  </w:r>
                  <w:r>
                    <w:rPr>
                      <w:color w:val="404040"/>
                      <w:spacing w:val="-1"/>
                    </w:rPr>
                    <w:t> </w:t>
                  </w:r>
                  <w:r>
                    <w:rPr>
                      <w:color w:val="404040"/>
                    </w:rPr>
                    <w:t>the</w:t>
                  </w:r>
                  <w:r>
                    <w:rPr>
                      <w:color w:val="404040"/>
                      <w:spacing w:val="-3"/>
                    </w:rPr>
                    <w:t> </w:t>
                  </w:r>
                  <w:r>
                    <w:rPr>
                      <w:color w:val="404040"/>
                    </w:rPr>
                    <w:t>next</w:t>
                  </w:r>
                  <w:r>
                    <w:rPr>
                      <w:color w:val="404040"/>
                      <w:spacing w:val="-3"/>
                    </w:rPr>
                    <w:t> </w:t>
                  </w:r>
                  <w:r>
                    <w:rPr>
                      <w:color w:val="404040"/>
                    </w:rPr>
                    <w:t>six</w:t>
                  </w:r>
                  <w:r>
                    <w:rPr>
                      <w:color w:val="404040"/>
                      <w:spacing w:val="1"/>
                    </w:rPr>
                    <w:t> </w:t>
                  </w:r>
                  <w:r>
                    <w:rPr>
                      <w:color w:val="404040"/>
                    </w:rPr>
                    <w:t>years,</w:t>
                  </w:r>
                  <w:r>
                    <w:rPr>
                      <w:color w:val="404040"/>
                      <w:spacing w:val="-3"/>
                    </w:rPr>
                    <w:t> </w:t>
                  </w:r>
                  <w:r>
                    <w:rPr>
                      <w:color w:val="404040"/>
                    </w:rPr>
                    <w:t>until</w:t>
                  </w:r>
                  <w:r>
                    <w:rPr>
                      <w:color w:val="404040"/>
                      <w:spacing w:val="-2"/>
                    </w:rPr>
                    <w:t> </w:t>
                  </w:r>
                  <w:r>
                    <w:rPr>
                      <w:color w:val="404040"/>
                    </w:rPr>
                    <w:t>it</w:t>
                  </w:r>
                  <w:r>
                    <w:rPr>
                      <w:color w:val="404040"/>
                      <w:spacing w:val="-3"/>
                    </w:rPr>
                    <w:t> </w:t>
                  </w:r>
                  <w:r>
                    <w:rPr>
                      <w:color w:val="404040"/>
                    </w:rPr>
                    <w:t>reaches 67 by 1 July</w:t>
                  </w:r>
                  <w:r>
                    <w:rPr>
                      <w:color w:val="404040"/>
                      <w:spacing w:val="-9"/>
                    </w:rPr>
                    <w:t> </w:t>
                  </w:r>
                  <w:r>
                    <w:rPr>
                      <w:color w:val="404040"/>
                    </w:rPr>
                    <w:t>2023.</w:t>
                  </w:r>
                </w:p>
                <w:p>
                  <w:pPr>
                    <w:pStyle w:val="BodyText"/>
                    <w:numPr>
                      <w:ilvl w:val="0"/>
                      <w:numId w:val="57"/>
                    </w:numPr>
                    <w:tabs>
                      <w:tab w:pos="392" w:val="left" w:leader="none"/>
                    </w:tabs>
                    <w:spacing w:line="240" w:lineRule="auto" w:before="120" w:after="0"/>
                    <w:ind w:left="391" w:right="325" w:hanging="284"/>
                    <w:jc w:val="left"/>
                  </w:pPr>
                  <w:r>
                    <w:rPr>
                      <w:color w:val="404040"/>
                    </w:rPr>
                    <w:t>The lifetime cost for this class is $577bn, which is $14bn below the rebased 2017 lifetime cost. The decrease</w:t>
                  </w:r>
                  <w:r>
                    <w:rPr>
                      <w:color w:val="404040"/>
                      <w:spacing w:val="-2"/>
                    </w:rPr>
                    <w:t> </w:t>
                  </w:r>
                  <w:r>
                    <w:rPr>
                      <w:color w:val="404040"/>
                    </w:rPr>
                    <w:t>is</w:t>
                  </w:r>
                  <w:r>
                    <w:rPr>
                      <w:color w:val="404040"/>
                      <w:spacing w:val="-3"/>
                    </w:rPr>
                    <w:t> </w:t>
                  </w:r>
                  <w:r>
                    <w:rPr>
                      <w:color w:val="404040"/>
                    </w:rPr>
                    <w:t>driven</w:t>
                  </w:r>
                  <w:r>
                    <w:rPr>
                      <w:color w:val="404040"/>
                      <w:spacing w:val="-1"/>
                    </w:rPr>
                    <w:t> </w:t>
                  </w:r>
                  <w:r>
                    <w:rPr>
                      <w:color w:val="404040"/>
                    </w:rPr>
                    <w:t>by</w:t>
                  </w:r>
                  <w:r>
                    <w:rPr>
                      <w:color w:val="404040"/>
                      <w:spacing w:val="-4"/>
                    </w:rPr>
                    <w:t> </w:t>
                  </w:r>
                  <w:r>
                    <w:rPr>
                      <w:color w:val="404040"/>
                    </w:rPr>
                    <w:t>a</w:t>
                  </w:r>
                  <w:r>
                    <w:rPr>
                      <w:color w:val="404040"/>
                      <w:spacing w:val="-2"/>
                    </w:rPr>
                    <w:t> </w:t>
                  </w:r>
                  <w:r>
                    <w:rPr>
                      <w:color w:val="404040"/>
                    </w:rPr>
                    <w:t>decrease</w:t>
                  </w:r>
                  <w:r>
                    <w:rPr>
                      <w:color w:val="404040"/>
                      <w:spacing w:val="-3"/>
                    </w:rPr>
                    <w:t> </w:t>
                  </w:r>
                  <w:r>
                    <w:rPr>
                      <w:color w:val="404040"/>
                    </w:rPr>
                    <w:t>in</w:t>
                  </w:r>
                  <w:r>
                    <w:rPr>
                      <w:color w:val="404040"/>
                      <w:spacing w:val="-2"/>
                    </w:rPr>
                    <w:t> </w:t>
                  </w:r>
                  <w:r>
                    <w:rPr>
                      <w:color w:val="404040"/>
                    </w:rPr>
                    <w:t>the</w:t>
                  </w:r>
                  <w:r>
                    <w:rPr>
                      <w:color w:val="404040"/>
                      <w:spacing w:val="-2"/>
                    </w:rPr>
                    <w:t> </w:t>
                  </w:r>
                  <w:r>
                    <w:rPr>
                      <w:color w:val="404040"/>
                    </w:rPr>
                    <w:t>number</w:t>
                  </w:r>
                  <w:r>
                    <w:rPr>
                      <w:color w:val="404040"/>
                      <w:spacing w:val="-2"/>
                    </w:rPr>
                    <w:t> </w:t>
                  </w:r>
                  <w:r>
                    <w:rPr>
                      <w:color w:val="404040"/>
                    </w:rPr>
                    <w:t>of</w:t>
                  </w:r>
                  <w:r>
                    <w:rPr>
                      <w:color w:val="404040"/>
                      <w:spacing w:val="-2"/>
                    </w:rPr>
                    <w:t> </w:t>
                  </w:r>
                  <w:r>
                    <w:rPr>
                      <w:color w:val="404040"/>
                    </w:rPr>
                    <w:t>people</w:t>
                  </w:r>
                  <w:r>
                    <w:rPr>
                      <w:color w:val="404040"/>
                      <w:spacing w:val="-1"/>
                    </w:rPr>
                    <w:t> </w:t>
                  </w:r>
                  <w:r>
                    <w:rPr>
                      <w:color w:val="404040"/>
                    </w:rPr>
                    <w:t>in</w:t>
                  </w:r>
                  <w:r>
                    <w:rPr>
                      <w:color w:val="404040"/>
                      <w:spacing w:val="-2"/>
                    </w:rPr>
                    <w:t> </w:t>
                  </w:r>
                  <w:r>
                    <w:rPr>
                      <w:color w:val="404040"/>
                    </w:rPr>
                    <w:t>the</w:t>
                  </w:r>
                  <w:r>
                    <w:rPr>
                      <w:color w:val="404040"/>
                      <w:spacing w:val="-3"/>
                    </w:rPr>
                    <w:t> </w:t>
                  </w:r>
                  <w:r>
                    <w:rPr>
                      <w:color w:val="404040"/>
                    </w:rPr>
                    <w:t>class, which</w:t>
                  </w:r>
                  <w:r>
                    <w:rPr>
                      <w:color w:val="404040"/>
                      <w:spacing w:val="-3"/>
                    </w:rPr>
                    <w:t> </w:t>
                  </w:r>
                  <w:r>
                    <w:rPr>
                      <w:color w:val="404040"/>
                    </w:rPr>
                    <w:t>is largely</w:t>
                  </w:r>
                  <w:r>
                    <w:rPr>
                      <w:color w:val="404040"/>
                      <w:spacing w:val="-6"/>
                    </w:rPr>
                    <w:t> </w:t>
                  </w:r>
                  <w:r>
                    <w:rPr>
                      <w:color w:val="404040"/>
                    </w:rPr>
                    <w:t>as a</w:t>
                  </w:r>
                  <w:r>
                    <w:rPr>
                      <w:color w:val="404040"/>
                      <w:spacing w:val="-3"/>
                    </w:rPr>
                    <w:t> </w:t>
                  </w:r>
                  <w:r>
                    <w:rPr>
                      <w:color w:val="404040"/>
                    </w:rPr>
                    <w:t>result</w:t>
                  </w:r>
                  <w:r>
                    <w:rPr>
                      <w:color w:val="404040"/>
                      <w:spacing w:val="-4"/>
                    </w:rPr>
                    <w:t> </w:t>
                  </w:r>
                  <w:r>
                    <w:rPr>
                      <w:color w:val="404040"/>
                    </w:rPr>
                    <w:t>of</w:t>
                  </w:r>
                  <w:r>
                    <w:rPr>
                      <w:color w:val="404040"/>
                      <w:spacing w:val="-1"/>
                    </w:rPr>
                    <w:t> </w:t>
                  </w:r>
                  <w:r>
                    <w:rPr>
                      <w:color w:val="404040"/>
                    </w:rPr>
                    <w:t>the factors above influencing entries and exits during the</w:t>
                  </w:r>
                  <w:r>
                    <w:rPr>
                      <w:color w:val="404040"/>
                      <w:spacing w:val="-1"/>
                    </w:rPr>
                    <w:t> </w:t>
                  </w:r>
                  <w:r>
                    <w:rPr>
                      <w:color w:val="404040"/>
                    </w:rPr>
                    <w:t>year.</w:t>
                  </w:r>
                </w:p>
              </w:txbxContent>
            </v:textbox>
            <v:fill type="solid"/>
            <w10:wrap type="topAndBottom"/>
          </v:shape>
        </w:pict>
      </w:r>
      <w:bookmarkStart w:name="6.6 Age Pensioners" w:id="192"/>
      <w:bookmarkEnd w:id="192"/>
      <w:r>
        <w:rPr/>
      </w:r>
      <w:bookmarkStart w:name="_bookmark46" w:id="193"/>
      <w:bookmarkEnd w:id="193"/>
      <w:r>
        <w:rPr/>
      </w:r>
      <w:bookmarkStart w:name="_bookmark46" w:id="194"/>
      <w:bookmarkEnd w:id="194"/>
      <w:r>
        <w:rPr>
          <w:color w:val="DF2F28"/>
          <w:sz w:val="28"/>
        </w:rPr>
        <w:t>Ag</w:t>
      </w:r>
      <w:r>
        <w:rPr>
          <w:color w:val="DF2F28"/>
          <w:sz w:val="28"/>
        </w:rPr>
        <w:t>e Pensioners</w:t>
      </w:r>
    </w:p>
    <w:p>
      <w:pPr>
        <w:pStyle w:val="BodyText"/>
        <w:spacing w:before="4"/>
        <w:rPr>
          <w:sz w:val="11"/>
        </w:rPr>
      </w:pPr>
    </w:p>
    <w:p>
      <w:pPr>
        <w:pStyle w:val="Heading4"/>
        <w:spacing w:before="92"/>
      </w:pPr>
      <w:bookmarkStart w:name="Recent and projected trends for Age Pens" w:id="195"/>
      <w:bookmarkEnd w:id="195"/>
      <w:r>
        <w:rPr/>
      </w:r>
      <w:r>
        <w:rPr>
          <w:color w:val="DF2F28"/>
        </w:rPr>
        <w:t>Recent and projected trends for Age Pensioners</w:t>
      </w:r>
    </w:p>
    <w:p>
      <w:pPr>
        <w:pStyle w:val="BodyText"/>
        <w:spacing w:before="122"/>
        <w:ind w:left="900" w:right="1053" w:hanging="1"/>
      </w:pPr>
      <w:r>
        <w:rPr>
          <w:color w:val="404040"/>
        </w:rPr>
        <w:t>There were 2,508,000 people in the Age Pension class in the 2018 model population. This represents 10.0% of the population of Australia which is a decrease from 10.5% at the previous valuation, and 31.5% of current welfare recipients; it is the biggest income support class by a considerable margin.</w:t>
      </w:r>
    </w:p>
    <w:p>
      <w:pPr>
        <w:pStyle w:val="BodyText"/>
        <w:spacing w:before="119"/>
        <w:ind w:left="900"/>
      </w:pPr>
      <w:r>
        <w:rPr>
          <w:color w:val="404040"/>
        </w:rPr>
        <w:t>The following chart shows a breakdown of the number of people in the Age Pension class by age and gender.</w:t>
      </w:r>
    </w:p>
    <w:p>
      <w:pPr>
        <w:pStyle w:val="Heading9"/>
        <w:spacing w:before="175"/>
      </w:pPr>
      <w:r>
        <w:rPr>
          <w:color w:val="DF2F1E"/>
        </w:rPr>
        <w:t>Figure 72: 2018 profile of people in class 6 – Pension Age (age / gender)</w:t>
      </w:r>
    </w:p>
    <w:p>
      <w:pPr>
        <w:pStyle w:val="BodyText"/>
        <w:spacing w:before="1"/>
        <w:rPr>
          <w:b/>
          <w:sz w:val="12"/>
        </w:rPr>
      </w:pPr>
    </w:p>
    <w:p>
      <w:pPr>
        <w:tabs>
          <w:tab w:pos="4014" w:val="left" w:leader="none"/>
        </w:tabs>
        <w:spacing w:before="72"/>
        <w:ind w:left="3490" w:right="0" w:firstLine="0"/>
        <w:jc w:val="left"/>
        <w:rPr>
          <w:rFonts w:ascii="Calibri"/>
          <w:sz w:val="14"/>
        </w:rPr>
      </w:pPr>
      <w:r>
        <w:rPr/>
        <w:pict>
          <v:group style="position:absolute;margin-left:174.685303pt;margin-top:5.958897pt;width:4.350pt;height:4.350pt;mso-position-horizontal-relative:page;mso-position-vertical-relative:paragraph;z-index:252444672" coordorigin="3494,119" coordsize="87,87">
            <v:rect style="position:absolute;left:3499;top:124;width:76;height:76" filled="true" fillcolor="#94b3d6" stroked="false">
              <v:fill type="solid"/>
            </v:rect>
            <v:rect style="position:absolute;left:3499;top:124;width:76;height:76" filled="false" stroked="true" strokeweight=".538796pt" strokecolor="#94b3d6">
              <v:stroke dashstyle="solid"/>
            </v:rect>
            <w10:wrap type="none"/>
          </v:group>
        </w:pict>
      </w:r>
      <w:r>
        <w:rPr/>
        <w:pict>
          <v:group style="position:absolute;margin-left:200.584808pt;margin-top:5.958905pt;width:4.9pt;height:4.350pt;mso-position-horizontal-relative:page;mso-position-vertical-relative:paragraph;z-index:-287457280" coordorigin="4012,119" coordsize="98,87">
            <v:rect style="position:absolute;left:4017;top:124;width:87;height:76" filled="true" fillcolor="#ffa7e1" stroked="false">
              <v:fill type="solid"/>
            </v:rect>
            <v:rect style="position:absolute;left:4017;top:124;width:87;height:76" filled="false" stroked="true" strokeweight=".538780pt" strokecolor="#ffa7e1">
              <v:stroke dashstyle="solid"/>
            </v:rect>
            <w10:wrap type="none"/>
          </v:group>
        </w:pict>
      </w:r>
      <w:r>
        <w:rPr>
          <w:rFonts w:ascii="Calibri"/>
          <w:sz w:val="14"/>
        </w:rPr>
        <w:t>Male</w:t>
        <w:tab/>
        <w:t>Female</w:t>
      </w:r>
    </w:p>
    <w:p>
      <w:pPr>
        <w:spacing w:after="0"/>
        <w:jc w:val="left"/>
        <w:rPr>
          <w:rFonts w:ascii="Calibri"/>
          <w:sz w:val="14"/>
        </w:rPr>
        <w:sectPr>
          <w:pgSz w:w="11910" w:h="16850"/>
          <w:pgMar w:header="572" w:footer="581" w:top="780" w:bottom="780" w:left="120" w:right="0"/>
        </w:sectPr>
      </w:pPr>
    </w:p>
    <w:p>
      <w:pPr>
        <w:spacing w:line="193" w:lineRule="exact" w:before="128"/>
        <w:ind w:left="0" w:right="405" w:firstLine="0"/>
        <w:jc w:val="right"/>
        <w:rPr>
          <w:rFonts w:ascii="Calibri"/>
          <w:sz w:val="16"/>
        </w:rPr>
      </w:pPr>
      <w:r>
        <w:rPr/>
        <w:pict>
          <v:group style="position:absolute;margin-left:96.71669pt;margin-top:11.274837pt;width:218.8pt;height:108.2pt;mso-position-horizontal-relative:page;mso-position-vertical-relative:paragraph;z-index:252443648" coordorigin="1934,225" coordsize="4376,2164">
            <v:shape style="position:absolute;left:-293077;top:-277936;width:293077;height:285750" coordorigin="-293077,-277935" coordsize="293077,285750" path="m6305,236l6305,2335m5226,236l5226,2335m4147,236l4147,2335e" filled="false" stroked="true" strokeweight=".538846pt" strokecolor="#f1f1f1">
              <v:path arrowok="t"/>
              <v:stroke dashstyle="solid"/>
            </v:shape>
            <v:rect style="position:absolute;left:3736;top:1086;width:411;height:22" filled="true" fillcolor="#94b3d6" stroked="false">
              <v:fill type="solid"/>
            </v:rect>
            <v:line style="position:absolute" from="3067,236" to="3067,2335" stroked="true" strokeweight=".539568pt" strokecolor="#f1f1f1">
              <v:stroke dashstyle="solid"/>
            </v:line>
            <v:line style="position:absolute" from="2808,1038" to="4147,1038" stroked="true" strokeweight=".5992pt" strokecolor="#94b3d6">
              <v:stroke dashstyle="solid"/>
            </v:line>
            <v:line style="position:absolute" from="2895,1054" to="4147,1054" stroked="true" strokeweight="1.076265pt" strokecolor="#94b3d6">
              <v:stroke dashstyle="solid"/>
            </v:line>
            <v:line style="position:absolute" from="3003,1076" to="4147,1076" stroked="true" strokeweight="1.076265pt" strokecolor="#94b3d6">
              <v:stroke dashstyle="solid"/>
            </v:line>
            <v:line style="position:absolute" from="2744,1000" to="4147,1000" stroked="true" strokeweight=".998667pt" strokecolor="#94b3d6">
              <v:stroke dashstyle="solid"/>
            </v:line>
            <v:rect style="position:absolute;left:2797;top:1010;width:1349;height:22" filled="true" fillcolor="#94b3d6" stroked="false">
              <v:fill type="solid"/>
            </v:rect>
            <v:line style="position:absolute" from="2884,963" to="4147,963" stroked="true" strokeweight=".538131pt" strokecolor="#94b3d6">
              <v:stroke dashstyle="solid"/>
            </v:line>
            <v:line style="position:absolute" from="2625,980" to="4147,980" stroked="true" strokeweight="1.098534pt" strokecolor="#94b3d6">
              <v:stroke dashstyle="solid"/>
            </v:line>
            <v:line style="position:absolute" from="3089,866" to="4147,866" stroked="true" strokeweight=".499334pt" strokecolor="#94b3d6">
              <v:stroke dashstyle="solid"/>
            </v:line>
            <v:shape style="position:absolute;left:2894;top:870;width:1252;height:86" coordorigin="2895,871" coordsize="1252,86" path="m4147,871l3024,871,3024,893,3013,893,3013,915,2895,915,2895,957,4147,957,4147,915,4147,893,4147,871e" filled="true" fillcolor="#94b3d6" stroked="false">
              <v:path arrowok="t"/>
              <v:fill type="solid"/>
            </v:shape>
            <v:line style="position:absolute" from="3251,807" to="4147,807" stroked="true" strokeweight="1.076265pt" strokecolor="#94b3d6">
              <v:stroke dashstyle="solid"/>
            </v:line>
            <v:shape style="position:absolute;left:3121;top:827;width:1026;height:22" coordorigin="3121,828" coordsize="1026,22" path="m3186,828l4147,828m3121,850l4147,850e" filled="false" stroked="true" strokeweight="1.098534pt" strokecolor="#94b3d6">
              <v:path arrowok="t"/>
              <v:stroke dashstyle="solid"/>
            </v:shape>
            <v:line style="position:absolute" from="3316,791" to="4147,791" stroked="true" strokeweight=".538131pt" strokecolor="#94b3d6">
              <v:stroke dashstyle="solid"/>
            </v:line>
            <v:line style="position:absolute" from="3661,694" to="4147,694" stroked="true" strokeweight=".499334pt" strokecolor="#94b3d6">
              <v:stroke dashstyle="solid"/>
            </v:line>
            <v:shape style="position:absolute;left:3531;top:709;width:616;height:22" coordorigin="3531,710" coordsize="616,22" path="m3607,710l4147,710m3531,732l4147,732e" filled="false" stroked="true" strokeweight="1.098534pt" strokecolor="#94b3d6">
              <v:path arrowok="t"/>
              <v:stroke dashstyle="solid"/>
            </v:shape>
            <v:line style="position:absolute" from="3467,753" to="4147,753" stroked="true" strokeweight=".998667pt" strokecolor="#94b3d6">
              <v:stroke dashstyle="solid"/>
            </v:line>
            <v:line style="position:absolute" from="3391,774" to="4147,774" stroked="true" strokeweight="1.098534pt" strokecolor="#94b3d6">
              <v:stroke dashstyle="solid"/>
            </v:line>
            <v:shape style="position:absolute;left:4017;top:494;width:130;height:97" coordorigin="4017,495" coordsize="130,97" path="m4147,495l4125,495,4125,515,4114,515,4114,527,4093,527,4093,548,4060,548,4060,569,4017,569,4017,591,4147,591,4147,570,4147,569,4147,515,4147,495e" filled="true" fillcolor="#94b3d6" stroked="false">
              <v:path arrowok="t"/>
              <v:fill type="solid"/>
            </v:shape>
            <v:line style="position:absolute" from="3942,602" to="4147,602" stroked="true" strokeweight="1.098534pt" strokecolor="#94b3d6">
              <v:stroke dashstyle="solid"/>
            </v:line>
            <v:line style="position:absolute" from="3888,618" to="4147,618" stroked="true" strokeweight=".538134pt" strokecolor="#94b3d6">
              <v:stroke dashstyle="solid"/>
            </v:line>
            <v:line style="position:absolute" from="3823,634" to="4147,634" stroked="true" strokeweight="1.076265pt" strokecolor="#94b3d6">
              <v:stroke dashstyle="solid"/>
            </v:line>
            <v:line style="position:absolute" from="3758,656" to="4147,656" stroked="true" strokeweight="1.076265pt" strokecolor="#94b3d6">
              <v:stroke dashstyle="solid"/>
            </v:line>
            <v:line style="position:absolute" from="3704,678" to="4147,678" stroked="true" strokeweight="1.098534pt" strokecolor="#94b3d6">
              <v:stroke dashstyle="solid"/>
            </v:line>
            <v:shape style="position:absolute;left:4146;top:666;width:2;height:2" coordorigin="4147,667" coordsize="0,0" path="m4147,667xe" filled="true" fillcolor="#94b3d6" stroked="false">
              <v:path arrowok="t"/>
              <v:fill type="solid"/>
            </v:shape>
            <v:line style="position:absolute" from="4141,247" to="4141,495" stroked="true" strokeweight=".53957pt" strokecolor="#94b3d6">
              <v:stroke dashstyle="solid"/>
            </v:line>
            <v:rect style="position:absolute;left:3731;top:1081;width:421;height:33" filled="true" fillcolor="#94b3d6" stroked="false">
              <v:fill type="solid"/>
            </v:rect>
            <v:shape style="position:absolute;left:2889;top:1054;width:1263;height:22" coordorigin="2889,1054" coordsize="1263,22" path="m2997,1076l4152,1076m2889,1054l4152,1054e" filled="false" stroked="true" strokeweight="1.614395pt" strokecolor="#94b3d6">
              <v:path arrowok="t"/>
              <v:stroke dashstyle="solid"/>
            </v:shape>
            <v:shape style="position:absolute;left:2792;top:1005;width:1360;height:44" coordorigin="2792,1006" coordsize="1360,44" path="m4152,1006l2792,1006,2792,1038,2803,1038,2803,1049,4152,1049,4152,1038,4152,1027,4152,1006e" filled="true" fillcolor="#94b3d6" stroked="false">
              <v:path arrowok="t"/>
              <v:fill type="solid"/>
            </v:shape>
            <v:shape style="position:absolute;left:2619;top:978;width:1533;height:22" coordorigin="2620,979" coordsize="1533,22" path="m2738,1000l4152,1000m2620,979l4152,979e" filled="false" stroked="true" strokeweight="1.614395pt" strokecolor="#94b3d6">
              <v:path arrowok="t"/>
              <v:stroke dashstyle="solid"/>
            </v:shape>
            <v:shape style="position:absolute;left:2878;top:865;width:1274;height:108" coordorigin="2879,866" coordsize="1274,108" path="m4152,866l3019,866,3019,887,3008,887,3008,909,2889,909,2889,930,2889,941,2889,952,2879,952,2879,974,4152,974,4152,963,4152,952,4152,887,4152,866e" filled="true" fillcolor="#94b3d6" stroked="false">
              <v:path arrowok="t"/>
              <v:fill type="solid"/>
            </v:shape>
            <v:line style="position:absolute" from="3084,866" to="4152,866" stroked="true" strokeweight="1.076261pt" strokecolor="#94b3d6">
              <v:stroke dashstyle="solid"/>
            </v:line>
            <v:shape style="position:absolute;left:3115;top:806;width:1036;height:44" coordorigin="3116,807" coordsize="1036,44" path="m3116,850l4152,850m3181,828l4152,828m3245,807l4152,807e" filled="false" stroked="true" strokeweight="1.614395pt" strokecolor="#94b3d6">
              <v:path arrowok="t"/>
              <v:stroke dashstyle="solid"/>
            </v:shape>
            <v:line style="position:absolute" from="3310,791" to="4152,791" stroked="true" strokeweight="1.076261pt" strokecolor="#94b3d6">
              <v:stroke dashstyle="solid"/>
            </v:line>
            <v:line style="position:absolute" from="3386,774" to="4152,774" stroked="true" strokeweight="1.614395pt" strokecolor="#94b3d6">
              <v:stroke dashstyle="solid"/>
            </v:line>
            <v:shape style="position:absolute;left:3461;top:731;width:691;height:22" coordorigin="3461,731" coordsize="691,22" path="m3461,753l4152,753m3526,731l4152,731e" filled="false" stroked="true" strokeweight="1.614395pt" strokecolor="#94b3d6">
              <v:path arrowok="t"/>
              <v:stroke dashstyle="solid"/>
            </v:shape>
            <v:line style="position:absolute" from="3602,710" to="4152,710" stroked="true" strokeweight="1.614395pt" strokecolor="#94b3d6">
              <v:stroke dashstyle="solid"/>
            </v:line>
            <v:line style="position:absolute" from="3656,694" to="4152,694" stroked="true" strokeweight="1.076261pt" strokecolor="#94b3d6">
              <v:stroke dashstyle="solid"/>
            </v:line>
            <v:line style="position:absolute" from="3699,678" to="4152,678" stroked="true" strokeweight="1.614395pt" strokecolor="#94b3d6">
              <v:stroke dashstyle="solid"/>
            </v:line>
            <v:line style="position:absolute" from="3753,656" to="4152,656" stroked="true" strokeweight="1.614395pt" strokecolor="#94b3d6">
              <v:stroke dashstyle="solid"/>
            </v:line>
            <v:line style="position:absolute" from="3817,634" to="4152,634" stroked="true" strokeweight="1.614395pt" strokecolor="#94b3d6">
              <v:stroke dashstyle="solid"/>
            </v:line>
            <v:line style="position:absolute" from="3882,618" to="4152,618" stroked="true" strokeweight="1.076265pt" strokecolor="#94b3d6">
              <v:stroke dashstyle="solid"/>
            </v:line>
            <v:line style="position:absolute" from="3936,602" to="4152,602" stroked="true" strokeweight="1.614395pt" strokecolor="#94b3d6">
              <v:stroke dashstyle="solid"/>
            </v:line>
            <v:line style="position:absolute" from="4012,581" to="4152,581" stroked="true" strokeweight="1.614395pt" strokecolor="#94b3d6">
              <v:stroke dashstyle="solid"/>
            </v:line>
            <v:shape style="position:absolute;left:580571;top:-88948;width:24191;height:90715" coordorigin="580571,-88947" coordsize="24191,90715" path="m4060,570l4147,570,4147,548,4060,548,4060,570xm4093,548l4147,548,4147,527,4093,527,4093,548xm4114,527l4147,527,4147,516,4114,516,4114,527xm4125,516l4147,516,4147,495,4125,495,4125,516xm4136,495l4147,495,4147,473,4136,473,4136,495xm4136,473l4147,473,4147,452,4136,452,4136,473xm4136,452l4147,452,4147,441,4136,441,4136,452xm4136,441l4147,441,4147,419,4136,419,4136,441xm4136,419l4147,419,4147,398,4136,398,4136,419xm4136,398l4147,398,4147,376,4136,376,4136,398xm4136,376l4147,376,4147,355,4136,355,4136,376xm4136,355l4147,355,4147,344,4136,344,4136,355xm4136,344l4147,344,4147,322,4136,322,4136,344xm4136,322l4147,322,4147,301,4136,301,4136,322xm4136,301l4147,301,4147,279,4136,279,4136,301xm4136,279l4147,279,4147,269,4136,269,4136,279xm4136,269l4147,269,4147,247,4136,247,4136,269xe" filled="false" stroked="true" strokeweight=".538849pt" strokecolor="#94b3d6">
              <v:path arrowok="t"/>
              <v:stroke dashstyle="solid"/>
            </v:shape>
            <v:line style="position:absolute" from="4152,1140" to="4152,1582" stroked="true" strokeweight=".539577pt" strokecolor="#ffa7e1">
              <v:stroke dashstyle="solid"/>
            </v:line>
            <v:rect style="position:absolute;left:4146;top:1086;width:540;height:22" filled="true" fillcolor="#ffa7e1" stroked="false">
              <v:fill type="solid"/>
            </v:rect>
            <v:rect style="position:absolute;left:4146;top:1108;width:22;height:32" filled="true" fillcolor="#ffa7e1" stroked="false">
              <v:fill type="solid"/>
            </v:rect>
            <v:line style="position:absolute" from="4147,1000" to="5755,1000" stroked="true" strokeweight="1.076255pt" strokecolor="#ffa7e1">
              <v:stroke dashstyle="solid"/>
            </v:line>
            <v:line style="position:absolute" from="4147,1022" to="5701,1022" stroked="true" strokeweight="1.076255pt" strokecolor="#ffa7e1">
              <v:stroke dashstyle="solid"/>
            </v:line>
            <v:line style="position:absolute" from="4147,1038" to="5679,1038" stroked="true" strokeweight=".599195pt" strokecolor="#ffa7e1">
              <v:stroke dashstyle="solid"/>
            </v:line>
            <v:line style="position:absolute" from="4147,1054" to="5603,1054" stroked="true" strokeweight=".998658pt" strokecolor="#ffa7e1">
              <v:stroke dashstyle="solid"/>
            </v:line>
            <v:line style="position:absolute" from="4147,1075" to="5496,1075" stroked="true" strokeweight="1.098524pt" strokecolor="#ffa7e1">
              <v:stroke dashstyle="solid"/>
            </v:line>
            <v:line style="position:absolute" from="4147,947" to="5625,947" stroked="true" strokeweight=".998658pt" strokecolor="#ffa7e1">
              <v:stroke dashstyle="solid"/>
            </v:line>
            <v:line style="position:absolute" from="4147,963" to="5603,963" stroked="true" strokeweight=".599195pt" strokecolor="#ffa7e1">
              <v:stroke dashstyle="solid"/>
            </v:line>
            <v:line style="position:absolute" from="4147,980" to="5895,980" stroked="true" strokeweight="1.098524pt" strokecolor="#ffa7e1">
              <v:stroke dashstyle="solid"/>
            </v:line>
            <v:line style="position:absolute" from="5603,968" to="5895,968" stroked="true" strokeweight=".000006pt" strokecolor="#ffa7e1">
              <v:stroke dashstyle="solid"/>
            </v:line>
            <v:line style="position:absolute" from="4147,850" to="5334,850" stroked="true" strokeweight="1.098524pt" strokecolor="#ffa7e1">
              <v:stroke dashstyle="solid"/>
            </v:line>
            <v:line style="position:absolute" from="4147,866" to="5377,866" stroked="true" strokeweight=".499329pt" strokecolor="#ffa7e1">
              <v:stroke dashstyle="solid"/>
            </v:line>
            <v:line style="position:absolute" from="4147,882" to="5431,882" stroked="true" strokeweight="1.076255pt" strokecolor="#ffa7e1">
              <v:stroke dashstyle="solid"/>
            </v:line>
            <v:line style="position:absolute" from="4147,904" to="5452,904" stroked="true" strokeweight="1.076255pt" strokecolor="#ffa7e1">
              <v:stroke dashstyle="solid"/>
            </v:line>
            <v:line style="position:absolute" from="4147,925" to="5582,925" stroked="true" strokeweight="1.076255pt" strokecolor="#ffa7e1">
              <v:stroke dashstyle="solid"/>
            </v:line>
            <v:line style="position:absolute" from="4147,807" to="5237,807" stroked="true" strokeweight=".998658pt" strokecolor="#ffa7e1">
              <v:stroke dashstyle="solid"/>
            </v:line>
            <v:line style="position:absolute" from="4147,828" to="5301,828" stroked="true" strokeweight="1.098524pt" strokecolor="#ffa7e1">
              <v:stroke dashstyle="solid"/>
            </v:line>
            <v:line style="position:absolute" from="4147,731" to="4945,731" stroked="true" strokeweight="1.076255pt" strokecolor="#ffa7e1">
              <v:stroke dashstyle="solid"/>
            </v:line>
            <v:line style="position:absolute" from="4147,753" to="5021,753" stroked="true" strokeweight="1.076255pt" strokecolor="#ffa7e1">
              <v:stroke dashstyle="solid"/>
            </v:line>
            <v:line style="position:absolute" from="4147,774" to="5096,774" stroked="true" strokeweight="1.076255pt" strokecolor="#ffa7e1">
              <v:stroke dashstyle="solid"/>
            </v:line>
            <v:line style="position:absolute" from="4147,791" to="5172,791" stroked="true" strokeweight=".538131pt" strokecolor="#ffa7e1">
              <v:stroke dashstyle="solid"/>
            </v:line>
            <v:line style="position:absolute" from="4147,678" to="4772,678" stroked="true" strokeweight="1.076255pt" strokecolor="#ffa7e1">
              <v:stroke dashstyle="solid"/>
            </v:line>
            <v:line style="position:absolute" from="4147,694" to="4805,694" stroked="true" strokeweight=".538131pt" strokecolor="#ffa7e1">
              <v:stroke dashstyle="solid"/>
            </v:line>
            <v:shape style="position:absolute;left:4772;top:688;width:33;height:2" coordorigin="4772,688" coordsize="33,0" path="m4805,688l4772,688,4805,688xe" filled="true" fillcolor="#ffa7e1" stroked="false">
              <v:path arrowok="t"/>
              <v:fill type="solid"/>
            </v:shape>
            <v:line style="position:absolute" from="4147,710" to="4880,710" stroked="true" strokeweight="1.076255pt" strokecolor="#ffa7e1">
              <v:stroke dashstyle="solid"/>
            </v:line>
            <v:shape style="position:absolute;left:4146;top:580;width:313;height:22" coordorigin="4147,580" coordsize="313,22" path="m4147,580l4395,580m4147,602l4460,602e" filled="false" stroked="true" strokeweight="1.098524pt" strokecolor="#ffa7e1">
              <v:path arrowok="t"/>
              <v:stroke dashstyle="solid"/>
            </v:shape>
            <v:line style="position:absolute" from="4147,618" to="4524,618" stroked="true" strokeweight=".538131pt" strokecolor="#ffa7e1">
              <v:stroke dashstyle="solid"/>
            </v:line>
            <v:shape style="position:absolute;left:4146;top:633;width:540;height:22" coordorigin="4147,634" coordsize="540,22" path="m4147,634l4600,634m4147,656l4686,656e" filled="false" stroked="true" strokeweight="1.098524pt" strokecolor="#ffa7e1">
              <v:path arrowok="t"/>
              <v:stroke dashstyle="solid"/>
            </v:shape>
            <v:shape style="position:absolute;left:4146;top:419;width:108;height:108" coordorigin="4147,419" coordsize="108,108" path="m4255,515l4233,515,4233,495,4211,495,4211,473,4190,473,4190,451,4168,451,4168,419,4147,419,4147,527,4255,527,4255,515e" filled="true" fillcolor="#ffa7e1" stroked="false">
              <v:path arrowok="t"/>
              <v:fill type="solid"/>
            </v:shape>
            <v:line style="position:absolute" from="4147,538" to="4298,538" stroked="true" strokeweight="1.098524pt" strokecolor="#ffa7e1">
              <v:stroke dashstyle="solid"/>
            </v:line>
            <v:line style="position:absolute" from="4147,559" to="4341,559" stroked="true" strokeweight="1.076255pt" strokecolor="#ffa7e1">
              <v:stroke dashstyle="solid"/>
            </v:line>
            <v:shape style="position:absolute;left:4151;top:247;width:2;height:173" coordorigin="4152,247" coordsize="0,173" path="m4152,247l4152,419,4152,247xe" filled="true" fillcolor="#ffa7e1" stroked="false">
              <v:path arrowok="t"/>
              <v:fill type="solid"/>
            </v:shape>
            <v:rect style="position:absolute;left:4146;top:230;width:11;height:17" filled="true" fillcolor="#ffa7e1" stroked="false">
              <v:fill type="solid"/>
            </v:rect>
            <v:shape style="position:absolute;left:340178;top:-206498;width:3402;height:74840" coordorigin="340179,-206498" coordsize="3402,74840" path="m4147,1582l4157,1582,4157,1560,4147,1560,4147,1582m4147,1560l4157,1560,4157,1549,4147,1549,4147,1560m4147,1549l4157,1549,4157,1528,4147,1528,4147,1549m4147,1528l4157,1528,4157,1506,4147,1506,4147,1528m4147,1506l4157,1506,4157,1485,4147,1485,4147,1506m4147,1485l4157,1485,4157,1474,4147,1474,4147,1485m4147,1474l4157,1474,4157,1452,4147,1452,4147,1474m4147,1452l4157,1452,4157,1431,4147,1431,4147,1452m4147,1431l4157,1431,4157,1409,4147,1409,4147,1431m4147,1409l4157,1409,4157,1388,4147,1388,4147,1409m4147,1388l4157,1388,4157,1377,4147,1377,4147,1388m4147,1377l4157,1377,4157,1356,4147,1356,4147,1377m4147,1356l4157,1356,4157,1334,4147,1334,4147,1356m4147,1334l4157,1334,4157,1313,4147,1313,4147,1334m4147,1313l4157,1313,4157,1302,4147,1302,4147,1313m4147,1302l4157,1302,4157,1280,4147,1280,4147,1302m4147,1280l4157,1280,4157,1259,4147,1259,4147,1280m4147,1259l4157,1259,4157,1237,4147,1237,4147,1259m4147,1237l4157,1237,4157,1216,4147,1216,4147,1237m4157,1216l4147,1216,4147,1205,4157,1205,4157,1216m4157,1205l4147,1205,4147,1183,4157,1183,4157,1205m4157,1183l4147,1183,4147,1162,4157,1162,4157,1183m4157,1162l4147,1162,4147,1140,4157,1140,4157,1162m4168,1140l4147,1140,4147,1130,4168,1130,4168,1140m4168,1130l4147,1130,4147,1108,4168,1108,4168,1130e" filled="false" stroked="true" strokeweight=".538854pt" strokecolor="#ffa7e1">
              <v:path arrowok="t"/>
              <v:stroke dashstyle="solid"/>
            </v:shape>
            <v:rect style="position:absolute;left:4141;top:1081;width:551;height:33" filled="true" fillcolor="#ffa7e1" stroked="false">
              <v:fill type="solid"/>
            </v:rect>
            <v:line style="position:absolute" from="4141,1076" to="5501,1076" stroked="true" strokeweight="1.614386pt" strokecolor="#ffa7e1">
              <v:stroke dashstyle="solid"/>
            </v:line>
            <v:line style="position:absolute" from="4141,1054" to="5609,1054" stroked="true" strokeweight="1.614386pt" strokecolor="#ffa7e1">
              <v:stroke dashstyle="solid"/>
            </v:line>
            <v:line style="position:absolute" from="4141,1038" to="5684,1038" stroked="true" strokeweight="1.076262pt" strokecolor="#ffa7e1">
              <v:stroke dashstyle="solid"/>
            </v:line>
            <v:line style="position:absolute" from="4141,1022" to="5706,1022" stroked="true" strokeweight="1.614386pt" strokecolor="#ffa7e1">
              <v:stroke dashstyle="solid"/>
            </v:line>
            <v:line style="position:absolute" from="4141,1000" to="5760,1000" stroked="true" strokeweight="1.614386pt" strokecolor="#ffa7e1">
              <v:stroke dashstyle="solid"/>
            </v:line>
            <v:line style="position:absolute" from="4141,979" to="5900,979" stroked="true" strokeweight="1.614386pt" strokecolor="#ffa7e1">
              <v:stroke dashstyle="solid"/>
            </v:line>
            <v:line style="position:absolute" from="4141,963" to="5609,963" stroked="true" strokeweight="1.076262pt" strokecolor="#ffa7e1">
              <v:stroke dashstyle="solid"/>
            </v:line>
            <v:shape style="position:absolute;left:4141;top:925;width:1490;height:22" coordorigin="4141,925" coordsize="1490,22" path="m4141,947l5630,947m4141,925l5587,925e" filled="false" stroked="true" strokeweight="1.614386pt" strokecolor="#ffa7e1">
              <v:path arrowok="t"/>
              <v:stroke dashstyle="solid"/>
            </v:shape>
            <v:line style="position:absolute" from="4141,904" to="5458,904" stroked="true" strokeweight="1.614386pt" strokecolor="#ffa7e1">
              <v:stroke dashstyle="solid"/>
            </v:line>
            <v:line style="position:absolute" from="4141,882" to="5436,882" stroked="true" strokeweight="1.614386pt" strokecolor="#ffa7e1">
              <v:stroke dashstyle="solid"/>
            </v:line>
            <v:line style="position:absolute" from="4141,866" to="5382,866" stroked="true" strokeweight="1.076262pt" strokecolor="#ffa7e1">
              <v:stroke dashstyle="solid"/>
            </v:line>
            <v:line style="position:absolute" from="4141,850" to="5339,850" stroked="true" strokeweight="1.614386pt" strokecolor="#ffa7e1">
              <v:stroke dashstyle="solid"/>
            </v:line>
            <v:shape style="position:absolute;left:4141;top:806;width:1166;height:22" coordorigin="4141,807" coordsize="1166,22" path="m4141,828l5307,828m4141,807l5242,807e" filled="false" stroked="true" strokeweight="1.614386pt" strokecolor="#ffa7e1">
              <v:path arrowok="t"/>
              <v:stroke dashstyle="solid"/>
            </v:shape>
            <v:line style="position:absolute" from="4141,791" to="5177,791" stroked="true" strokeweight="1.076262pt" strokecolor="#ffa7e1">
              <v:stroke dashstyle="solid"/>
            </v:line>
            <v:line style="position:absolute" from="4141,774" to="5102,774" stroked="true" strokeweight="1.614386pt" strokecolor="#ffa7e1">
              <v:stroke dashstyle="solid"/>
            </v:line>
            <v:line style="position:absolute" from="4141,753" to="5026,753" stroked="true" strokeweight="1.614386pt" strokecolor="#ffa7e1">
              <v:stroke dashstyle="solid"/>
            </v:line>
            <v:shape style="position:absolute;left:4141;top:709;width:810;height:22" coordorigin="4141,710" coordsize="810,22" path="m4141,731l4951,731m4141,710l4886,710e" filled="false" stroked="true" strokeweight="1.614386pt" strokecolor="#ffa7e1">
              <v:path arrowok="t"/>
              <v:stroke dashstyle="solid"/>
            </v:shape>
            <v:line style="position:absolute" from="4141,694" to="4810,694" stroked="true" strokeweight="1.076262pt" strokecolor="#ffa7e1">
              <v:stroke dashstyle="solid"/>
            </v:line>
            <v:line style="position:absolute" from="4141,678" to="4778,678" stroked="true" strokeweight="1.614386pt" strokecolor="#ffa7e1">
              <v:stroke dashstyle="solid"/>
            </v:line>
            <v:line style="position:absolute" from="4141,656" to="4692,656" stroked="true" strokeweight="1.614386pt" strokecolor="#ffa7e1">
              <v:stroke dashstyle="solid"/>
            </v:line>
            <v:line style="position:absolute" from="4141,634" to="4605,634" stroked="true" strokeweight="1.614386pt" strokecolor="#ffa7e1">
              <v:stroke dashstyle="solid"/>
            </v:line>
            <v:line style="position:absolute" from="4141,618" to="4530,618" stroked="true" strokeweight="1.076262pt" strokecolor="#ffa7e1">
              <v:stroke dashstyle="solid"/>
            </v:line>
            <v:line style="position:absolute" from="4141,602" to="4465,602" stroked="true" strokeweight="1.614386pt" strokecolor="#ffa7e1">
              <v:stroke dashstyle="solid"/>
            </v:line>
            <v:shape style="position:absolute;left:4141;top:537;width:259;height:44" coordorigin="4141,538" coordsize="259,44" path="m4141,581l4400,581m4141,559l4346,559m4141,538l4303,538e" filled="false" stroked="true" strokeweight="1.614386pt" strokecolor="#ffa7e1">
              <v:path arrowok="t"/>
              <v:stroke dashstyle="solid"/>
            </v:shape>
            <v:shape style="position:absolute;left:340178;top:-39811;width:17009;height:46776" coordorigin="340179,-39810" coordsize="17009,46776" path="m4255,527l4147,527,4147,516,4255,516,4255,527m4233,516l4147,516,4147,495,4233,495,4233,516m4211,495l4147,495,4147,473,4211,473,4211,495m4190,473l4147,473,4147,452,4190,452,4190,473m4168,452l4147,452,4147,441,4168,441,4168,452m4168,441l4147,441,4147,419,4168,419,4168,441m4157,419l4147,419,4147,398,4157,398,4157,419m4147,398l4157,398,4157,376,4147,376,4147,398m4147,376l4157,376,4157,355,4147,355,4147,376m4147,355l4157,355,4157,344,4147,344,4147,355m4147,344l4157,344,4157,322,4147,322,4147,344m4147,322l4157,322,4157,301,4147,301,4147,322m4147,301l4157,301,4157,279,4147,279,4147,301m4147,279l4157,279,4157,269,4147,269,4147,279m4147,269l4157,269,4157,247,4147,247,4147,269m4147,247l4157,247,4157,231e" filled="false" stroked="true" strokeweight=".538854pt" strokecolor="#ffa7e1">
              <v:path arrowok="t"/>
              <v:stroke dashstyle="solid"/>
            </v:shape>
            <v:line style="position:absolute" from="4141,239" to="4152,239" stroked="true" strokeweight=".807645pt" strokecolor="#ffa7e1">
              <v:stroke dashstyle="solid"/>
            </v:line>
            <v:line style="position:absolute" from="6305,2335" to="1988,2335" stroked="true" strokeweight=".538128pt" strokecolor="#bebebe">
              <v:stroke dashstyle="solid"/>
            </v:line>
            <v:shape style="position:absolute;left:-651283;top:-327;width:651283;height:8142" coordorigin="-651282,-326" coordsize="651283,8142" path="m6305,2335l6305,2389m5226,2335l5226,2389m4147,2335l4147,2389m3067,2335l3067,2389m1988,2335l1988,2389e" filled="false" stroked="true" strokeweight=".538849pt" strokecolor="#bebebe">
              <v:path arrowok="t"/>
              <v:stroke dashstyle="solid"/>
            </v:shape>
            <v:line style="position:absolute" from="1988,2335" to="1988,236" stroked="true" strokeweight=".539565pt" strokecolor="#bebebe">
              <v:stroke dashstyle="solid"/>
            </v:line>
            <v:shape style="position:absolute;left:0;top:7814;width:16711;height:651711" coordorigin="0,7815" coordsize="16711,651711" path="m1934,2335l1988,2335m1934,2152l1988,2152m1934,1958l1988,1958m1934,1765l1988,1765m1934,1571l1988,1571m1934,1388l1988,1388m1934,1194l1988,1194m1934,1000l1988,1000m1934,807l1988,807m1934,613l1988,613m1934,430l1988,430m1934,236l1988,236e" filled="false" stroked="true" strokeweight=".538847pt" strokecolor="#bebebe">
              <v:path arrowok="t"/>
              <v:stroke dashstyle="solid"/>
            </v:shape>
            <w10:wrap type="none"/>
          </v:group>
        </w:pict>
      </w:r>
      <w:r>
        <w:rPr>
          <w:rFonts w:ascii="Calibri"/>
          <w:spacing w:val="-2"/>
          <w:sz w:val="16"/>
        </w:rPr>
        <w:t>110</w:t>
      </w:r>
    </w:p>
    <w:p>
      <w:pPr>
        <w:spacing w:line="191" w:lineRule="exact" w:before="0"/>
        <w:ind w:left="0" w:right="405" w:firstLine="0"/>
        <w:jc w:val="right"/>
        <w:rPr>
          <w:rFonts w:ascii="Calibri"/>
          <w:sz w:val="16"/>
        </w:rPr>
      </w:pPr>
      <w:r>
        <w:rPr>
          <w:rFonts w:ascii="Calibri"/>
          <w:spacing w:val="-2"/>
          <w:sz w:val="16"/>
        </w:rPr>
        <w:t>100</w:t>
      </w:r>
    </w:p>
    <w:p>
      <w:pPr>
        <w:spacing w:line="191" w:lineRule="exact" w:before="0"/>
        <w:ind w:left="0" w:right="418" w:firstLine="0"/>
        <w:jc w:val="right"/>
        <w:rPr>
          <w:rFonts w:ascii="Calibri"/>
          <w:sz w:val="16"/>
        </w:rPr>
      </w:pPr>
      <w:r>
        <w:rPr>
          <w:rFonts w:ascii="Calibri"/>
          <w:spacing w:val="-7"/>
          <w:sz w:val="16"/>
        </w:rPr>
        <w:t>90</w:t>
      </w:r>
    </w:p>
    <w:p>
      <w:pPr>
        <w:spacing w:line="191" w:lineRule="exact" w:before="0"/>
        <w:ind w:left="0" w:right="418" w:firstLine="0"/>
        <w:jc w:val="right"/>
        <w:rPr>
          <w:rFonts w:ascii="Calibri"/>
          <w:sz w:val="16"/>
        </w:rPr>
      </w:pPr>
      <w:r>
        <w:rPr>
          <w:rFonts w:ascii="Calibri"/>
          <w:spacing w:val="-7"/>
          <w:sz w:val="16"/>
        </w:rPr>
        <w:t>80</w:t>
      </w:r>
    </w:p>
    <w:p>
      <w:pPr>
        <w:spacing w:line="191" w:lineRule="exact" w:before="0"/>
        <w:ind w:left="0" w:right="418" w:firstLine="0"/>
        <w:jc w:val="right"/>
        <w:rPr>
          <w:rFonts w:ascii="Calibri"/>
          <w:sz w:val="16"/>
        </w:rPr>
      </w:pPr>
      <w:r>
        <w:rPr>
          <w:rFonts w:ascii="Calibri"/>
          <w:spacing w:val="-7"/>
          <w:sz w:val="16"/>
        </w:rPr>
        <w:t>70</w:t>
      </w:r>
    </w:p>
    <w:p>
      <w:pPr>
        <w:spacing w:line="191" w:lineRule="exact" w:before="0"/>
        <w:ind w:left="0" w:right="418" w:firstLine="0"/>
        <w:jc w:val="right"/>
        <w:rPr>
          <w:rFonts w:ascii="Calibri"/>
          <w:sz w:val="16"/>
        </w:rPr>
      </w:pPr>
      <w:r>
        <w:rPr/>
        <w:pict>
          <v:shape style="position:absolute;margin-left:69.846703pt;margin-top:3.700842pt;width:9.050pt;height:12.5pt;mso-position-horizontal-relative:page;mso-position-vertical-relative:paragraph;z-index:252446720" type="#_x0000_t202" filled="false" stroked="false">
            <v:textbox inset="0,0,0,0" style="layout-flow:vertical;mso-layout-flow-alt:bottom-to-top">
              <w:txbxContent>
                <w:p>
                  <w:pPr>
                    <w:spacing w:line="163" w:lineRule="exact" w:before="0"/>
                    <w:ind w:left="20" w:right="0" w:firstLine="0"/>
                    <w:jc w:val="left"/>
                    <w:rPr>
                      <w:rFonts w:ascii="Calibri"/>
                      <w:sz w:val="14"/>
                    </w:rPr>
                  </w:pPr>
                  <w:r>
                    <w:rPr>
                      <w:rFonts w:ascii="Calibri"/>
                      <w:color w:val="A6A6A6"/>
                      <w:sz w:val="14"/>
                    </w:rPr>
                    <w:t>Age</w:t>
                  </w:r>
                </w:p>
              </w:txbxContent>
            </v:textbox>
            <w10:wrap type="none"/>
          </v:shape>
        </w:pict>
      </w:r>
      <w:r>
        <w:rPr>
          <w:rFonts w:ascii="Calibri"/>
          <w:spacing w:val="-7"/>
          <w:sz w:val="16"/>
        </w:rPr>
        <w:t>60</w:t>
      </w:r>
    </w:p>
    <w:p>
      <w:pPr>
        <w:spacing w:line="191" w:lineRule="exact" w:before="0"/>
        <w:ind w:left="0" w:right="418" w:firstLine="0"/>
        <w:jc w:val="right"/>
        <w:rPr>
          <w:rFonts w:ascii="Calibri"/>
          <w:sz w:val="16"/>
        </w:rPr>
      </w:pPr>
      <w:r>
        <w:rPr>
          <w:rFonts w:ascii="Calibri"/>
          <w:spacing w:val="-7"/>
          <w:sz w:val="16"/>
        </w:rPr>
        <w:t>50</w:t>
      </w:r>
    </w:p>
    <w:p>
      <w:pPr>
        <w:spacing w:line="191" w:lineRule="exact" w:before="0"/>
        <w:ind w:left="0" w:right="418" w:firstLine="0"/>
        <w:jc w:val="right"/>
        <w:rPr>
          <w:rFonts w:ascii="Calibri"/>
          <w:sz w:val="16"/>
        </w:rPr>
      </w:pPr>
      <w:r>
        <w:rPr>
          <w:rFonts w:ascii="Calibri"/>
          <w:spacing w:val="-7"/>
          <w:sz w:val="16"/>
        </w:rPr>
        <w:t>40</w:t>
      </w:r>
    </w:p>
    <w:p>
      <w:pPr>
        <w:spacing w:line="191" w:lineRule="exact" w:before="0"/>
        <w:ind w:left="0" w:right="418" w:firstLine="0"/>
        <w:jc w:val="right"/>
        <w:rPr>
          <w:rFonts w:ascii="Calibri"/>
          <w:sz w:val="16"/>
        </w:rPr>
      </w:pPr>
      <w:r>
        <w:rPr>
          <w:rFonts w:ascii="Calibri"/>
          <w:spacing w:val="-7"/>
          <w:sz w:val="16"/>
        </w:rPr>
        <w:t>30</w:t>
      </w:r>
    </w:p>
    <w:p>
      <w:pPr>
        <w:spacing w:line="191" w:lineRule="exact" w:before="0"/>
        <w:ind w:left="0" w:right="418" w:firstLine="0"/>
        <w:jc w:val="right"/>
        <w:rPr>
          <w:rFonts w:ascii="Calibri"/>
          <w:sz w:val="16"/>
        </w:rPr>
      </w:pPr>
      <w:r>
        <w:rPr>
          <w:rFonts w:ascii="Calibri"/>
          <w:spacing w:val="-7"/>
          <w:sz w:val="16"/>
        </w:rPr>
        <w:t>20</w:t>
      </w:r>
    </w:p>
    <w:p>
      <w:pPr>
        <w:spacing w:line="191" w:lineRule="exact" w:before="0"/>
        <w:ind w:left="0" w:right="418" w:firstLine="0"/>
        <w:jc w:val="right"/>
        <w:rPr>
          <w:rFonts w:ascii="Calibri"/>
          <w:sz w:val="16"/>
        </w:rPr>
      </w:pPr>
      <w:r>
        <w:rPr>
          <w:rFonts w:ascii="Calibri"/>
          <w:spacing w:val="-7"/>
          <w:sz w:val="16"/>
        </w:rPr>
        <w:t>10</w:t>
      </w:r>
    </w:p>
    <w:p>
      <w:pPr>
        <w:spacing w:line="193" w:lineRule="exact" w:before="0"/>
        <w:ind w:left="0" w:right="407" w:firstLine="0"/>
        <w:jc w:val="right"/>
        <w:rPr>
          <w:rFonts w:ascii="Calibri"/>
          <w:sz w:val="16"/>
        </w:rPr>
      </w:pPr>
      <w:r>
        <w:rPr>
          <w:rFonts w:ascii="Calibri"/>
          <w:w w:val="101"/>
          <w:sz w:val="16"/>
        </w:rPr>
        <w:t>0</w:t>
      </w:r>
    </w:p>
    <w:p>
      <w:pPr>
        <w:spacing w:before="10"/>
        <w:ind w:left="0" w:right="0" w:firstLine="0"/>
        <w:jc w:val="right"/>
        <w:rPr>
          <w:rFonts w:ascii="Calibri"/>
          <w:sz w:val="16"/>
        </w:rPr>
      </w:pPr>
      <w:r>
        <w:rPr>
          <w:rFonts w:ascii="Calibri"/>
          <w:sz w:val="16"/>
        </w:rPr>
        <w:t>100,000</w:t>
      </w:r>
    </w:p>
    <w:p>
      <w:pPr>
        <w:pStyle w:val="BodyText"/>
        <w:rPr>
          <w:rFonts w:ascii="Calibri"/>
          <w:sz w:val="16"/>
        </w:rPr>
      </w:pPr>
      <w:r>
        <w:rPr/>
        <w:br w:type="column"/>
      </w:r>
      <w:r>
        <w:rPr>
          <w:rFonts w:ascii="Calibri"/>
          <w:sz w:val="16"/>
        </w:rPr>
      </w: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spacing w:before="9"/>
        <w:rPr>
          <w:rFonts w:ascii="Calibri"/>
          <w:sz w:val="23"/>
        </w:rPr>
      </w:pPr>
    </w:p>
    <w:p>
      <w:pPr>
        <w:spacing w:before="0"/>
        <w:ind w:left="554" w:right="0" w:firstLine="0"/>
        <w:jc w:val="left"/>
        <w:rPr>
          <w:rFonts w:ascii="Calibri"/>
          <w:sz w:val="16"/>
        </w:rPr>
      </w:pPr>
      <w:r>
        <w:rPr>
          <w:rFonts w:ascii="Calibri"/>
          <w:spacing w:val="-4"/>
          <w:sz w:val="16"/>
        </w:rPr>
        <w:t>50,000</w:t>
      </w:r>
    </w:p>
    <w:p>
      <w:pPr>
        <w:pStyle w:val="BodyText"/>
        <w:rPr>
          <w:rFonts w:ascii="Calibri"/>
          <w:sz w:val="16"/>
        </w:rPr>
      </w:pPr>
      <w:r>
        <w:rPr/>
        <w:br w:type="column"/>
      </w:r>
      <w:r>
        <w:rPr>
          <w:rFonts w:ascii="Calibri"/>
          <w:sz w:val="16"/>
        </w:rPr>
      </w: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spacing w:before="9"/>
        <w:rPr>
          <w:rFonts w:ascii="Calibri"/>
          <w:sz w:val="23"/>
        </w:rPr>
      </w:pPr>
    </w:p>
    <w:p>
      <w:pPr>
        <w:spacing w:before="0"/>
        <w:ind w:left="188" w:right="0" w:firstLine="0"/>
        <w:jc w:val="center"/>
        <w:rPr>
          <w:rFonts w:ascii="Calibri"/>
          <w:sz w:val="16"/>
        </w:rPr>
      </w:pPr>
      <w:r>
        <w:rPr>
          <w:rFonts w:ascii="Calibri"/>
          <w:w w:val="101"/>
          <w:sz w:val="16"/>
        </w:rPr>
        <w:t>0</w:t>
      </w:r>
    </w:p>
    <w:p>
      <w:pPr>
        <w:spacing w:before="40"/>
        <w:ind w:left="183" w:right="0" w:firstLine="0"/>
        <w:jc w:val="center"/>
        <w:rPr>
          <w:rFonts w:ascii="Calibri"/>
          <w:sz w:val="16"/>
        </w:rPr>
      </w:pPr>
      <w:r>
        <w:rPr>
          <w:rFonts w:ascii="Calibri"/>
          <w:color w:val="A6A6A6"/>
          <w:sz w:val="16"/>
        </w:rPr>
        <w:t>Number of Number</w:t>
      </w:r>
    </w:p>
    <w:p>
      <w:pPr>
        <w:pStyle w:val="BodyText"/>
        <w:rPr>
          <w:rFonts w:ascii="Calibri"/>
          <w:sz w:val="16"/>
        </w:rPr>
      </w:pPr>
      <w:r>
        <w:rPr/>
        <w:br w:type="column"/>
      </w:r>
      <w:r>
        <w:rPr>
          <w:rFonts w:ascii="Calibri"/>
          <w:sz w:val="16"/>
        </w:rPr>
      </w: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spacing w:before="9"/>
        <w:rPr>
          <w:rFonts w:ascii="Calibri"/>
          <w:sz w:val="23"/>
        </w:rPr>
      </w:pPr>
    </w:p>
    <w:p>
      <w:pPr>
        <w:spacing w:before="0"/>
        <w:ind w:left="177" w:right="0" w:firstLine="0"/>
        <w:jc w:val="left"/>
        <w:rPr>
          <w:rFonts w:ascii="Calibri"/>
          <w:sz w:val="16"/>
        </w:rPr>
      </w:pPr>
      <w:r>
        <w:rPr>
          <w:rFonts w:ascii="Calibri"/>
          <w:spacing w:val="-4"/>
          <w:sz w:val="16"/>
        </w:rPr>
        <w:t>50,000</w:t>
      </w:r>
    </w:p>
    <w:p>
      <w:pPr>
        <w:pStyle w:val="BodyText"/>
        <w:rPr>
          <w:rFonts w:ascii="Calibri"/>
          <w:sz w:val="16"/>
        </w:rPr>
      </w:pPr>
      <w:r>
        <w:rPr/>
        <w:br w:type="column"/>
      </w:r>
      <w:r>
        <w:rPr>
          <w:rFonts w:ascii="Calibri"/>
          <w:sz w:val="16"/>
        </w:rPr>
      </w: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spacing w:before="9"/>
        <w:rPr>
          <w:rFonts w:ascii="Calibri"/>
          <w:sz w:val="23"/>
        </w:rPr>
      </w:pPr>
    </w:p>
    <w:p>
      <w:pPr>
        <w:spacing w:before="0"/>
        <w:ind w:left="567" w:right="0" w:firstLine="0"/>
        <w:jc w:val="left"/>
        <w:rPr>
          <w:rFonts w:ascii="Calibri"/>
          <w:sz w:val="16"/>
        </w:rPr>
      </w:pPr>
      <w:r>
        <w:rPr>
          <w:rFonts w:ascii="Calibri"/>
          <w:sz w:val="16"/>
        </w:rPr>
        <w:t>100,000</w:t>
      </w:r>
    </w:p>
    <w:p>
      <w:pPr>
        <w:spacing w:after="0"/>
        <w:jc w:val="left"/>
        <w:rPr>
          <w:rFonts w:ascii="Calibri"/>
          <w:sz w:val="16"/>
        </w:rPr>
        <w:sectPr>
          <w:type w:val="continuous"/>
          <w:pgSz w:w="11910" w:h="16850"/>
          <w:pgMar w:top="1600" w:bottom="280" w:left="120" w:right="0"/>
          <w:cols w:num="5" w:equalWidth="0">
            <w:col w:w="2133" w:space="40"/>
            <w:col w:w="987" w:space="39"/>
            <w:col w:w="1470" w:space="40"/>
            <w:col w:w="610" w:space="39"/>
            <w:col w:w="6432"/>
          </w:cols>
        </w:sectPr>
      </w:pPr>
    </w:p>
    <w:p>
      <w:pPr>
        <w:pStyle w:val="BodyText"/>
        <w:spacing w:before="10"/>
        <w:rPr>
          <w:rFonts w:ascii="Calibri"/>
          <w:sz w:val="24"/>
        </w:rPr>
      </w:pPr>
    </w:p>
    <w:p>
      <w:pPr>
        <w:pStyle w:val="BodyText"/>
        <w:spacing w:before="93"/>
        <w:ind w:left="900" w:right="1065"/>
      </w:pPr>
      <w:r>
        <w:rPr>
          <w:color w:val="404040"/>
        </w:rPr>
        <w:t>From the chart, we can see that while there are a mix of both men and women, there are more woman at every age. This is most likely a result of greater female longevity. The vast majority of people in the class are past pension age, however a small number of younger people have been included through their receipt of the Wife Pension.</w:t>
      </w:r>
    </w:p>
    <w:p>
      <w:pPr>
        <w:pStyle w:val="BodyText"/>
        <w:spacing w:before="7"/>
      </w:pPr>
    </w:p>
    <w:p>
      <w:pPr>
        <w:pStyle w:val="Heading6"/>
        <w:rPr>
          <w:i/>
        </w:rPr>
      </w:pPr>
      <w:r>
        <w:rPr>
          <w:i/>
          <w:color w:val="DF2F1E"/>
        </w:rPr>
        <w:t>Movements into and out of this class</w:t>
      </w:r>
    </w:p>
    <w:p>
      <w:pPr>
        <w:pStyle w:val="BodyText"/>
        <w:spacing w:before="123"/>
        <w:ind w:left="900" w:right="1275"/>
      </w:pPr>
      <w:r>
        <w:rPr>
          <w:color w:val="404040"/>
        </w:rPr>
        <w:t>Over the last three years, an average of 144,600 people (around 5.4% of the people in this class) per annum entered this class from another welfare class or from outside the welfare system. Over this same period an average of 141,900 people (around 5.3% of people in this class) per annum have transitioned out of the Age Pension class.</w:t>
      </w:r>
    </w:p>
    <w:p>
      <w:pPr>
        <w:spacing w:after="0"/>
        <w:sectPr>
          <w:type w:val="continuous"/>
          <w:pgSz w:w="11910" w:h="16850"/>
          <w:pgMar w:top="1600" w:bottom="280" w:left="120" w:right="0"/>
        </w:sectPr>
      </w:pPr>
    </w:p>
    <w:p>
      <w:pPr>
        <w:pStyle w:val="BodyText"/>
      </w:pPr>
    </w:p>
    <w:p>
      <w:pPr>
        <w:pStyle w:val="BodyText"/>
      </w:pPr>
    </w:p>
    <w:p>
      <w:pPr>
        <w:pStyle w:val="BodyText"/>
        <w:spacing w:before="7"/>
        <w:rPr>
          <w:sz w:val="21"/>
        </w:rPr>
      </w:pPr>
    </w:p>
    <w:p>
      <w:pPr>
        <w:pStyle w:val="BodyText"/>
        <w:spacing w:before="93"/>
        <w:ind w:left="900" w:right="1687"/>
      </w:pPr>
      <w:r>
        <w:rPr>
          <w:color w:val="404040"/>
        </w:rPr>
        <w:t>The following chart shows the breakdown of these transitions by previous / destination class and year of transition.</w:t>
      </w:r>
    </w:p>
    <w:p>
      <w:pPr>
        <w:pStyle w:val="Heading9"/>
        <w:spacing w:before="176"/>
      </w:pPr>
      <w:r>
        <w:rPr>
          <w:color w:val="DF2F1E"/>
        </w:rPr>
        <w:t>Figure 73: Number of people entering class 6 – Pension Age (by class entered from)</w:t>
      </w:r>
    </w:p>
    <w:p>
      <w:pPr>
        <w:spacing w:before="64"/>
        <w:ind w:left="1158" w:right="0" w:firstLine="0"/>
        <w:jc w:val="left"/>
        <w:rPr>
          <w:rFonts w:ascii="Calibri"/>
          <w:sz w:val="16"/>
        </w:rPr>
      </w:pPr>
      <w:r>
        <w:rPr/>
        <w:pict>
          <v:group style="position:absolute;margin-left:98.294128pt;margin-top:8.210623pt;width:412.55pt;height:144.050pt;mso-position-horizontal-relative:page;mso-position-vertical-relative:paragraph;z-index:252459008" coordorigin="1966,164" coordsize="8251,2881">
            <v:shape style="position:absolute;left:9138;top:1961;width:1073;height:2" coordorigin="9138,1961" coordsize="1073,0" path="m9963,1961l10211,1961m9138,1961l9633,1961e" filled="false" stroked="true" strokeweight=".589104pt" strokecolor="#d9d9d9">
              <v:path arrowok="t"/>
              <v:stroke dashstyle="solid"/>
            </v:shape>
            <v:rect style="position:absolute;left:9633;top:2137;width:331;height:271" filled="true" fillcolor="#009544" stroked="false">
              <v:fill type="solid"/>
            </v:rect>
            <v:line style="position:absolute" from="9633,2132" to="9963,2132" stroked="true" strokeweight=".589105pt" strokecolor="#e16b09">
              <v:stroke dashstyle="solid"/>
            </v:line>
            <v:rect style="position:absolute;left:9633;top:2067;width:331;height:71" filled="true" fillcolor="#e08ad6" stroked="false">
              <v:fill type="solid"/>
            </v:rect>
            <v:rect style="position:absolute;left:9633;top:1854;width:331;height:213" filled="true" fillcolor="#8063a1" stroked="false">
              <v:fill type="solid"/>
            </v:rect>
            <v:shape style="position:absolute;left:7488;top:1961;width:1321;height:2" coordorigin="7488,1961" coordsize="1321,0" path="m8313,1961l8808,1961m7488,1961l7983,1961e" filled="false" stroked="true" strokeweight=".589104pt" strokecolor="#d9d9d9">
              <v:path arrowok="t"/>
              <v:stroke dashstyle="solid"/>
            </v:shape>
            <v:rect style="position:absolute;left:7983;top:2149;width:331;height:260" filled="true" fillcolor="#009544" stroked="false">
              <v:fill type="solid"/>
            </v:rect>
            <v:rect style="position:absolute;left:7983;top:2067;width:331;height:83" filled="true" fillcolor="#e08ad6" stroked="false">
              <v:fill type="solid"/>
            </v:rect>
            <v:rect style="position:absolute;left:7983;top:1854;width:331;height:213" filled="true" fillcolor="#8063a1" stroked="false">
              <v:fill type="solid"/>
            </v:rect>
            <v:line style="position:absolute" from="8808,2344" to="9138,2344" stroked="true" strokeweight="6.48016pt" strokecolor="#009544">
              <v:stroke dashstyle="solid"/>
            </v:line>
            <v:line style="position:absolute" from="8808,2273" to="9138,2273" stroked="true" strokeweight=".589105pt" strokecolor="#e16b09">
              <v:stroke dashstyle="solid"/>
            </v:line>
            <v:rect style="position:absolute;left:8808;top:2220;width:331;height:59" filled="true" fillcolor="#e08ad6" stroked="false">
              <v:fill type="solid"/>
            </v:rect>
            <v:rect style="position:absolute;left:8808;top:2102;width:331;height:118" filled="true" fillcolor="#8063a1" stroked="false">
              <v:fill type="solid"/>
            </v:rect>
            <v:shape style="position:absolute;left:5837;top:1961;width:1321;height:2" coordorigin="5838,1961" coordsize="1321,0" path="m6663,1961l7158,1961m5838,1961l6333,1961e" filled="false" stroked="true" strokeweight=".589104pt" strokecolor="#d9d9d9">
              <v:path arrowok="t"/>
              <v:stroke dashstyle="solid"/>
            </v:shape>
            <v:rect style="position:absolute;left:6333;top:2161;width:331;height:248" filled="true" fillcolor="#009544" stroked="false">
              <v:fill type="solid"/>
            </v:rect>
            <v:line style="position:absolute" from="6333,2155" to="6663,2155" stroked="true" strokeweight=".589105pt" strokecolor="#e16b09">
              <v:stroke dashstyle="solid"/>
            </v:line>
            <v:rect style="position:absolute;left:6333;top:2090;width:331;height:71" filled="true" fillcolor="#e08ad6" stroked="false">
              <v:fill type="solid"/>
            </v:rect>
            <v:rect style="position:absolute;left:6333;top:1866;width:331;height:224" filled="true" fillcolor="#8063a1" stroked="false">
              <v:fill type="solid"/>
            </v:rect>
            <v:line style="position:absolute" from="7158,2344" to="7488,2344" stroked="true" strokeweight="6.48016pt" strokecolor="#009544">
              <v:stroke dashstyle="solid"/>
            </v:line>
            <v:line style="position:absolute" from="7158,2273" to="7488,2273" stroked="true" strokeweight=".589105pt" strokecolor="#e16b09">
              <v:stroke dashstyle="solid"/>
            </v:line>
            <v:rect style="position:absolute;left:7158;top:2220;width:331;height:59" filled="true" fillcolor="#e08ad6" stroked="false">
              <v:fill type="solid"/>
            </v:rect>
            <v:rect style="position:absolute;left:7158;top:2102;width:331;height:118" filled="true" fillcolor="#8063a1" stroked="false">
              <v:fill type="solid"/>
            </v:rect>
            <v:shape style="position:absolute;left:1971;top:1961;width:3548;height:2" coordorigin="1972,1961" coordsize="3548,0" path="m5025,1961l5520,1961m4200,1961l4695,1961m3374,1961l3869,1961m2549,1961l3044,1961m1972,1961l2219,1961e" filled="false" stroked="true" strokeweight=".589104pt" strokecolor="#d9d9d9">
              <v:path arrowok="t"/>
              <v:stroke dashstyle="solid"/>
            </v:shape>
            <v:rect style="position:absolute;left:2219;top:2267;width:331;height:142" filled="true" fillcolor="#009544" stroked="false">
              <v:fill type="solid"/>
            </v:rect>
            <v:line style="position:absolute" from="2219,2261" to="2549,2261" stroked="true" strokeweight=".589105pt" strokecolor="#e16b09">
              <v:stroke dashstyle="solid"/>
            </v:line>
            <v:rect style="position:absolute;left:2219;top:2220;width:331;height:48" filled="true" fillcolor="#e08ad6" stroked="false">
              <v:fill type="solid"/>
            </v:rect>
            <v:rect style="position:absolute;left:2219;top:1996;width:331;height:224" filled="true" fillcolor="#8063a1" stroked="false">
              <v:fill type="solid"/>
            </v:rect>
            <v:rect style="position:absolute;left:3044;top:2196;width:331;height:213" filled="true" fillcolor="#009544" stroked="false">
              <v:fill type="solid"/>
            </v:rect>
            <v:line style="position:absolute" from="3044,2191" to="3374,2191" stroked="true" strokeweight=".589105pt" strokecolor="#e16b09">
              <v:stroke dashstyle="solid"/>
            </v:line>
            <v:rect style="position:absolute;left:3044;top:2137;width:331;height:59" filled="true" fillcolor="#e08ad6" stroked="false">
              <v:fill type="solid"/>
            </v:rect>
            <v:rect style="position:absolute;left:3044;top:1843;width:331;height:295" filled="true" fillcolor="#8063a1" stroked="false">
              <v:fill type="solid"/>
            </v:rect>
            <v:rect style="position:absolute;left:3869;top:2184;width:331;height:224" filled="true" fillcolor="#009544" stroked="false">
              <v:fill type="solid"/>
            </v:rect>
            <v:line style="position:absolute" from="3869,2179" to="4200,2179" stroked="true" strokeweight=".589105pt" strokecolor="#e16b09">
              <v:stroke dashstyle="solid"/>
            </v:line>
            <v:rect style="position:absolute;left:3869;top:2125;width:331;height:59" filled="true" fillcolor="#e08ad6" stroked="false">
              <v:fill type="solid"/>
            </v:rect>
            <v:rect style="position:absolute;left:3869;top:1854;width:331;height:271" filled="true" fillcolor="#8063a1" stroked="false">
              <v:fill type="solid"/>
            </v:rect>
            <v:rect style="position:absolute;left:4694;top:2184;width:331;height:224" filled="true" fillcolor="#009544" stroked="false">
              <v:fill type="solid"/>
            </v:rect>
            <v:line style="position:absolute" from="4695,2179" to="5025,2179" stroked="true" strokeweight=".589105pt" strokecolor="#e16b09">
              <v:stroke dashstyle="solid"/>
            </v:line>
            <v:rect style="position:absolute;left:4694;top:2114;width:331;height:59" filled="true" fillcolor="#e08ad6" stroked="false">
              <v:fill type="solid"/>
            </v:rect>
            <v:rect style="position:absolute;left:4694;top:1878;width:331;height:236" filled="true" fillcolor="#8063a1" stroked="false">
              <v:fill type="solid"/>
            </v:rect>
            <v:line style="position:absolute" from="5520,2350" to="5838,2350" stroked="true" strokeweight="5.891048pt" strokecolor="#009544">
              <v:stroke dashstyle="solid"/>
            </v:line>
            <v:line style="position:absolute" from="5520,2285" to="5838,2285" stroked="true" strokeweight=".589105pt" strokecolor="#e16b09">
              <v:stroke dashstyle="solid"/>
            </v:line>
            <v:rect style="position:absolute;left:5519;top:2243;width:319;height:48" filled="true" fillcolor="#e08ad6" stroked="false">
              <v:fill type="solid"/>
            </v:rect>
            <v:rect style="position:absolute;left:5519;top:2137;width:319;height:107" filled="true" fillcolor="#8063a1" stroked="false">
              <v:fill type="solid"/>
            </v:rect>
            <v:shape style="position:absolute;left:2219;top:1837;width:7745;height:295" coordorigin="2219,1837" coordsize="7745,295" path="m2219,1990l2549,1990m3044,1837l3374,1837m3869,1849l4200,1849m4695,1873l5025,1873m5520,2132l5838,2132m6333,1861l6663,1861m7158,2096l7488,2096m7983,1849l8313,1849m8808,2096l9138,2096m9633,1849l9963,1849e" filled="false" stroked="true" strokeweight=".589103pt" strokecolor="#f8a763">
              <v:path arrowok="t"/>
              <v:stroke dashstyle="solid"/>
            </v:shape>
            <v:shape style="position:absolute;left:2219;top:1825;width:1156;height:165" coordorigin="2219,1825" coordsize="1156,165" path="m2219,1990l2549,1990m3044,1825l3374,1825e" filled="false" stroked="true" strokeweight=".589103pt" strokecolor="#ecb8e7">
              <v:path arrowok="t"/>
              <v:stroke dashstyle="solid"/>
            </v:shape>
            <v:rect style="position:absolute;left:3869;top:1831;width:331;height:24" filled="true" fillcolor="#ecb8e7" stroked="false">
              <v:fill type="solid"/>
            </v:rect>
            <v:shape style="position:absolute;left:4694;top:1860;width:2794;height:271" coordorigin="4695,1861" coordsize="2794,271" path="m4695,1861l5025,1861m5520,2132l5838,2132m6333,1861l6663,1861m7158,2096l7488,2096e" filled="false" stroked="true" strokeweight=".589103pt" strokecolor="#ecb8e7">
              <v:path arrowok="t"/>
              <v:stroke dashstyle="solid"/>
            </v:shape>
            <v:rect style="position:absolute;left:7983;top:1831;width:331;height:24" filled="true" fillcolor="#ecb8e7" stroked="false">
              <v:fill type="solid"/>
            </v:rect>
            <v:line style="position:absolute" from="8808,2096" to="9138,2096" stroked="true" strokeweight=".589103pt" strokecolor="#ecb8e7">
              <v:stroke dashstyle="solid"/>
            </v:line>
            <v:rect style="position:absolute;left:9633;top:1831;width:331;height:24" filled="true" fillcolor="#ecb8e7" stroked="false">
              <v:fill type="solid"/>
            </v:rect>
            <v:shape style="position:absolute;left:2219;top:1631;width:1981;height:354" coordorigin="2219,1631" coordsize="1981,354" path="m2549,1784l2219,1784,2219,1985,2549,1985,2549,1784m3374,1631l3044,1631,3044,1820,3374,1820,3374,1631m4200,1666l3869,1666,3869,1831,4200,1831,4200,1666e" filled="true" fillcolor="#938953" stroked="false">
              <v:path arrowok="t"/>
              <v:fill type="solid"/>
            </v:shape>
            <v:shape style="position:absolute;left:4694;top:1748;width:5269;height:378" coordorigin="4695,1749" coordsize="5269,378" path="m5025,1761l4695,1761,4695,1855,5025,1855,5025,1761m5838,2067l5520,2067,5520,2126,5838,2126,5838,2067m6663,1749l6333,1749,6333,1855,6663,1855,6663,1749m7488,1996l7158,1996,7158,2091,7488,2091,7488,1996m8313,1749l7983,1749,7983,1831,8313,1831,8313,1749m9138,2008l8808,2008,8808,2091,9138,2091,9138,2008m9963,1761l9633,1761,9633,1831,9963,1831,9963,1761e" filled="true" fillcolor="#938953" stroked="false">
              <v:path arrowok="t"/>
              <v:fill type="solid"/>
            </v:shape>
            <v:rect style="position:absolute;left:2219;top:1631;width:331;height:154" filled="true" fillcolor="#ffd600" stroked="false">
              <v:fill type="solid"/>
            </v:rect>
            <v:shape style="position:absolute;left:2549;top:1513;width:1321;height:2" coordorigin="2549,1513" coordsize="1321,0" path="m3374,1513l3869,1513m2549,1513l3044,1513e" filled="false" stroked="true" strokeweight=".589104pt" strokecolor="#d9d9d9">
              <v:path arrowok="t"/>
              <v:stroke dashstyle="solid"/>
            </v:shape>
            <v:rect style="position:absolute;left:3044;top:1430;width:331;height:201" filled="true" fillcolor="#ffd600" stroked="false">
              <v:fill type="solid"/>
            </v:rect>
            <v:line style="position:absolute" from="4200,1513" to="4695,1513" stroked="true" strokeweight=".589104pt" strokecolor="#d9d9d9">
              <v:stroke dashstyle="solid"/>
            </v:line>
            <v:rect style="position:absolute;left:3869;top:1454;width:331;height:213" filled="true" fillcolor="#ffd600" stroked="false">
              <v:fill type="solid"/>
            </v:rect>
            <v:line style="position:absolute" from="5025,1513" to="6333,1513" stroked="true" strokeweight=".589104pt" strokecolor="#d9d9d9">
              <v:stroke dashstyle="solid"/>
            </v:line>
            <v:shape style="position:absolute;left:4694;top:1536;width:1144;height:531" coordorigin="4695,1537" coordsize="1144,531" path="m5025,1537l4695,1537,4695,1761,5025,1761,5025,1537m5838,1914l5520,1914,5520,2067,5838,2067,5838,1914e" filled="true" fillcolor="#ffd600" stroked="false">
              <v:path arrowok="t"/>
              <v:fill type="solid"/>
            </v:shape>
            <v:line style="position:absolute" from="6663,1513" to="7158,1513" stroked="true" strokeweight=".589104pt" strokecolor="#d9d9d9">
              <v:stroke dashstyle="solid"/>
            </v:line>
            <v:shape style="position:absolute;left:6332;top:1501;width:1156;height:495" coordorigin="6333,1501" coordsize="1156,495" path="m6663,1501l6333,1501,6333,1749,6663,1749,6663,1501m7488,1796l7158,1796,7158,1996,7488,1996,7488,1796e" filled="true" fillcolor="#ffd600" stroked="false">
              <v:path arrowok="t"/>
              <v:fill type="solid"/>
            </v:shape>
            <v:shape style="position:absolute;left:7488;top:1513;width:1321;height:2" coordorigin="7488,1513" coordsize="1321,0" path="m8313,1513l8808,1513m7488,1513l7983,1513e" filled="false" stroked="true" strokeweight=".589104pt" strokecolor="#d9d9d9">
              <v:path arrowok="t"/>
              <v:stroke dashstyle="solid"/>
            </v:shape>
            <v:shape style="position:absolute;left:7983;top:1466;width:1156;height:542" coordorigin="7983,1466" coordsize="1156,542" path="m8313,1466l7983,1466,7983,1749,8313,1749,8313,1466m9138,1772l8808,1772,8808,2008,9138,2008,9138,1772e" filled="true" fillcolor="#ffd600" stroked="false">
              <v:path arrowok="t"/>
              <v:fill type="solid"/>
            </v:shape>
            <v:shape style="position:absolute;left:9138;top:1513;width:1073;height:2" coordorigin="9138,1513" coordsize="1073,0" path="m9963,1513l10211,1513m9138,1513l9633,1513e" filled="false" stroked="true" strokeweight=".589104pt" strokecolor="#d9d9d9">
              <v:path arrowok="t"/>
              <v:stroke dashstyle="solid"/>
            </v:shape>
            <v:rect style="position:absolute;left:9633;top:1430;width:331;height:330" filled="true" fillcolor="#ffd600" stroked="false">
              <v:fill type="solid"/>
            </v:rect>
            <v:shape style="position:absolute;left:1971;top:1065;width:1073;height:448" coordorigin="1972,1066" coordsize="1073,448" path="m1972,1513l2219,1513m1972,1066l3044,1066e" filled="false" stroked="true" strokeweight=".589104pt" strokecolor="#d9d9d9">
              <v:path arrowok="t"/>
              <v:stroke dashstyle="solid"/>
            </v:shape>
            <v:rect style="position:absolute;left:2219;top:1065;width:331;height:566" filled="true" fillcolor="#ffeb8f" stroked="false">
              <v:fill type="solid"/>
            </v:rect>
            <v:line style="position:absolute" from="3374,1066" to="3869,1066" stroked="true" strokeweight=".589104pt" strokecolor="#d9d9d9">
              <v:stroke dashstyle="solid"/>
            </v:line>
            <v:rect style="position:absolute;left:3044;top:735;width:331;height:696" filled="true" fillcolor="#ffeb8f" stroked="false">
              <v:fill type="solid"/>
            </v:rect>
            <v:line style="position:absolute" from="4200,1066" to="4695,1066" stroked="true" strokeweight=".589104pt" strokecolor="#d9d9d9">
              <v:stroke dashstyle="solid"/>
            </v:line>
            <v:rect style="position:absolute;left:3869;top:829;width:331;height:625" filled="true" fillcolor="#ffeb8f" stroked="false">
              <v:fill type="solid"/>
            </v:rect>
            <v:line style="position:absolute" from="5025,1066" to="6333,1066" stroked="true" strokeweight=".589104pt" strokecolor="#d9d9d9">
              <v:stroke dashstyle="solid"/>
            </v:line>
            <v:shape style="position:absolute;left:4694;top:947;width:1144;height:967" coordorigin="4695,948" coordsize="1144,967" path="m5025,948l4695,948,4695,1537,5025,1537,5025,948m5838,1572l5520,1572,5520,1914,5838,1914,5838,1572e" filled="true" fillcolor="#ffeb8f" stroked="false">
              <v:path arrowok="t"/>
              <v:fill type="solid"/>
            </v:shape>
            <v:line style="position:absolute" from="6663,1066" to="7983,1066" stroked="true" strokeweight=".589104pt" strokecolor="#d9d9d9">
              <v:stroke dashstyle="solid"/>
            </v:line>
            <v:shape style="position:absolute;left:6332;top:1053;width:1156;height:743" coordorigin="6333,1054" coordsize="1156,743" path="m6663,1054l6333,1054,6333,1501,6663,1501,6663,1054m7488,1384l7158,1384,7158,1796,7488,1796,7488,1384e" filled="true" fillcolor="#ffeb8f" stroked="false">
              <v:path arrowok="t"/>
              <v:fill type="solid"/>
            </v:shape>
            <v:line style="position:absolute" from="8313,1066" to="9633,1066" stroked="true" strokeweight=".589104pt" strokecolor="#d9d9d9">
              <v:stroke dashstyle="solid"/>
            </v:line>
            <v:shape style="position:absolute;left:7983;top:959;width:1156;height:813" coordorigin="7983,960" coordsize="1156,813" path="m8313,960l7983,960,7983,1466,8313,1466,8313,960m9138,1372l8808,1372,8808,1772,9138,1772,9138,1372e" filled="true" fillcolor="#ffeb8f" stroked="false">
              <v:path arrowok="t"/>
              <v:fill type="solid"/>
            </v:shape>
            <v:line style="position:absolute" from="9963,1066" to="10211,1066" stroked="true" strokeweight=".589104pt" strokecolor="#d9d9d9">
              <v:stroke dashstyle="solid"/>
            </v:line>
            <v:rect style="position:absolute;left:9633;top:947;width:331;height:484" filled="true" fillcolor="#ffeb8f" stroked="false">
              <v:fill type="solid"/>
            </v:rect>
            <v:shape style="position:absolute;left:0;top:-10824;width:652743;height:25214" coordorigin="0,-10824" coordsize="652743,25214" path="m1972,2409l10211,2409m1972,2409l1972,2468m1972,2409l1972,2727m2797,2409l2797,2468m2797,2409l2797,2727m3622,2409l3622,2468m3622,2409l3622,2727m4447,2409l4447,2468m4447,2409l4447,2727m5272,2409l5272,2468m5272,2409l5272,2727m6085,2409l6085,2468m6085,2409l6085,2727m6911,2409l6911,2468m6911,2409l6911,2727m7736,2409l7736,2468m7736,2409l7736,2727m8561,2409l8561,2468m8561,2409l8561,2727m9386,2409l9386,2468m9386,2409l9386,2727m10211,2409l10211,2468m10211,2409l10211,2727e" filled="false" stroked="true" strokeweight=".589229pt" strokecolor="#d9d9d9">
              <v:path arrowok="t"/>
              <v:stroke dashstyle="solid"/>
            </v:shape>
            <v:shape style="position:absolute;left:0;top:-10824;width:652743;height:25214" coordorigin="0,-10824" coordsize="652743,25214" path="m1972,2727l1972,3045m6085,2727l6085,3045m10211,2727l10211,3045e" filled="false" stroked="true" strokeweight=".589229pt" strokecolor="#d9d9d9">
              <v:path arrowok="t"/>
              <v:stroke dashstyle="solid"/>
            </v:shape>
            <v:shape style="position:absolute;left:0;top:118797;width:640190;height:34803" coordorigin="0,118798" coordsize="640190,34803" path="m1972,618l10211,618m1972,170l10211,170e" filled="false" stroked="true" strokeweight=".589228pt" strokecolor="#d9d9d9">
              <v:path arrowok="t"/>
              <v:stroke dashstyle="solid"/>
            </v:shape>
            <v:line style="position:absolute" from="6104,182" to="6097,2425" stroked="true" strokeweight=".589358pt" strokecolor="#a6a6a6">
              <v:stroke dashstyle="solid"/>
            </v:line>
            <v:shape style="position:absolute;left:2219;top:2548;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2014</w:t>
                    </w:r>
                  </w:p>
                </w:txbxContent>
              </v:textbox>
              <w10:wrap type="none"/>
            </v:shape>
            <v:shape style="position:absolute;left:3042;top:2548;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2015</w:t>
                    </w:r>
                  </w:p>
                </w:txbxContent>
              </v:textbox>
              <w10:wrap type="none"/>
            </v:shape>
            <v:shape style="position:absolute;left:3865;top:2548;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2016</w:t>
                    </w:r>
                  </w:p>
                </w:txbxContent>
              </v:textbox>
              <w10:wrap type="none"/>
            </v:shape>
            <v:shape style="position:absolute;left:4688;top:2548;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2017</w:t>
                    </w:r>
                  </w:p>
                </w:txbxContent>
              </v:textbox>
              <w10:wrap type="none"/>
            </v:shape>
            <v:shape style="position:absolute;left:5511;top:2548;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2018</w:t>
                    </w:r>
                  </w:p>
                </w:txbxContent>
              </v:textbox>
              <w10:wrap type="none"/>
            </v:shape>
            <v:shape style="position:absolute;left:6334;top:2548;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2019</w:t>
                    </w:r>
                  </w:p>
                </w:txbxContent>
              </v:textbox>
              <w10:wrap type="none"/>
            </v:shape>
            <v:shape style="position:absolute;left:7157;top:2548;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2020</w:t>
                    </w:r>
                  </w:p>
                </w:txbxContent>
              </v:textbox>
              <w10:wrap type="none"/>
            </v:shape>
            <v:shape style="position:absolute;left:7980;top:2548;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2021</w:t>
                    </w:r>
                  </w:p>
                </w:txbxContent>
              </v:textbox>
              <w10:wrap type="none"/>
            </v:shape>
            <v:shape style="position:absolute;left:8803;top:2548;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2022</w:t>
                    </w:r>
                  </w:p>
                </w:txbxContent>
              </v:textbox>
              <w10:wrap type="none"/>
            </v:shape>
            <v:shape style="position:absolute;left:9626;top:2548;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2023</w:t>
                    </w:r>
                  </w:p>
                </w:txbxContent>
              </v:textbox>
              <w10:wrap type="none"/>
            </v:shape>
            <v:shape style="position:absolute;left:3776;top:2865;width:4711;height:165" type="#_x0000_t202" filled="false" stroked="false">
              <v:textbox inset="0,0,0,0">
                <w:txbxContent>
                  <w:p>
                    <w:pPr>
                      <w:tabs>
                        <w:tab w:pos="4049" w:val="left" w:leader="none"/>
                      </w:tabs>
                      <w:spacing w:line="165" w:lineRule="exact" w:before="0"/>
                      <w:ind w:left="0" w:right="0" w:firstLine="0"/>
                      <w:jc w:val="left"/>
                      <w:rPr>
                        <w:rFonts w:ascii="Calibri"/>
                        <w:sz w:val="16"/>
                      </w:rPr>
                    </w:pPr>
                    <w:r>
                      <w:rPr>
                        <w:rFonts w:ascii="Calibri"/>
                        <w:color w:val="585858"/>
                        <w:w w:val="105"/>
                        <w:sz w:val="16"/>
                      </w:rPr>
                      <w:t>Historic</w:t>
                      <w:tab/>
                    </w:r>
                    <w:r>
                      <w:rPr>
                        <w:rFonts w:ascii="Calibri"/>
                        <w:color w:val="585858"/>
                        <w:sz w:val="16"/>
                      </w:rPr>
                      <w:t>Projected</w:t>
                    </w:r>
                  </w:p>
                </w:txbxContent>
              </v:textbox>
              <w10:wrap type="none"/>
            </v:shape>
            <w10:wrap type="none"/>
          </v:group>
        </w:pict>
      </w:r>
      <w:r>
        <w:rPr>
          <w:rFonts w:ascii="Calibri"/>
          <w:color w:val="585858"/>
          <w:w w:val="105"/>
          <w:sz w:val="16"/>
        </w:rPr>
        <w:t>250,000</w:t>
      </w:r>
    </w:p>
    <w:p>
      <w:pPr>
        <w:pStyle w:val="BodyText"/>
        <w:spacing w:before="10"/>
        <w:rPr>
          <w:rFonts w:ascii="Calibri"/>
          <w:sz w:val="14"/>
        </w:rPr>
      </w:pPr>
    </w:p>
    <w:p>
      <w:pPr>
        <w:spacing w:before="72"/>
        <w:ind w:left="1158" w:right="0" w:firstLine="0"/>
        <w:jc w:val="left"/>
        <w:rPr>
          <w:rFonts w:ascii="Calibri"/>
          <w:sz w:val="16"/>
        </w:rPr>
      </w:pPr>
      <w:r>
        <w:rPr>
          <w:rFonts w:ascii="Calibri"/>
          <w:color w:val="585858"/>
          <w:w w:val="105"/>
          <w:sz w:val="16"/>
        </w:rPr>
        <w:t>200,000</w:t>
      </w:r>
    </w:p>
    <w:p>
      <w:pPr>
        <w:pStyle w:val="BodyText"/>
        <w:spacing w:before="10"/>
        <w:rPr>
          <w:rFonts w:ascii="Calibri"/>
          <w:sz w:val="14"/>
        </w:rPr>
      </w:pPr>
    </w:p>
    <w:p>
      <w:pPr>
        <w:spacing w:before="72"/>
        <w:ind w:left="1158" w:right="0" w:firstLine="0"/>
        <w:jc w:val="left"/>
        <w:rPr>
          <w:rFonts w:ascii="Calibri"/>
          <w:sz w:val="16"/>
        </w:rPr>
      </w:pPr>
      <w:r>
        <w:rPr>
          <w:rFonts w:ascii="Calibri"/>
          <w:color w:val="585858"/>
          <w:w w:val="105"/>
          <w:sz w:val="16"/>
        </w:rPr>
        <w:t>150,000</w:t>
      </w:r>
    </w:p>
    <w:p>
      <w:pPr>
        <w:pStyle w:val="BodyText"/>
        <w:spacing w:before="10"/>
        <w:rPr>
          <w:rFonts w:ascii="Calibri"/>
          <w:sz w:val="14"/>
        </w:rPr>
      </w:pPr>
    </w:p>
    <w:p>
      <w:pPr>
        <w:spacing w:before="72"/>
        <w:ind w:left="1158" w:right="0" w:firstLine="0"/>
        <w:jc w:val="left"/>
        <w:rPr>
          <w:rFonts w:ascii="Calibri"/>
          <w:sz w:val="16"/>
        </w:rPr>
      </w:pPr>
      <w:r>
        <w:rPr>
          <w:rFonts w:ascii="Calibri"/>
          <w:color w:val="585858"/>
          <w:w w:val="105"/>
          <w:sz w:val="16"/>
        </w:rPr>
        <w:t>100,000</w:t>
      </w:r>
    </w:p>
    <w:p>
      <w:pPr>
        <w:pStyle w:val="BodyText"/>
        <w:spacing w:before="10"/>
        <w:rPr>
          <w:rFonts w:ascii="Calibri"/>
          <w:sz w:val="14"/>
        </w:rPr>
      </w:pPr>
    </w:p>
    <w:p>
      <w:pPr>
        <w:spacing w:before="72"/>
        <w:ind w:left="1242" w:right="0" w:firstLine="0"/>
        <w:jc w:val="left"/>
        <w:rPr>
          <w:rFonts w:ascii="Calibri"/>
          <w:sz w:val="16"/>
        </w:rPr>
      </w:pPr>
      <w:r>
        <w:rPr>
          <w:rFonts w:ascii="Calibri"/>
          <w:color w:val="585858"/>
          <w:w w:val="105"/>
          <w:sz w:val="16"/>
        </w:rPr>
        <w:t>50,000</w:t>
      </w:r>
    </w:p>
    <w:p>
      <w:pPr>
        <w:pStyle w:val="BodyText"/>
        <w:spacing w:before="10"/>
        <w:rPr>
          <w:rFonts w:ascii="Calibri"/>
          <w:sz w:val="14"/>
        </w:rPr>
      </w:pPr>
    </w:p>
    <w:p>
      <w:pPr>
        <w:spacing w:before="71"/>
        <w:ind w:left="1618" w:right="0" w:firstLine="0"/>
        <w:jc w:val="left"/>
        <w:rPr>
          <w:rFonts w:ascii="Calibri"/>
          <w:sz w:val="16"/>
        </w:rPr>
      </w:pPr>
      <w:r>
        <w:rPr>
          <w:rFonts w:ascii="Calibri"/>
          <w:color w:val="585858"/>
          <w:w w:val="103"/>
          <w:sz w:val="16"/>
        </w:rPr>
        <w:t>0</w:t>
      </w:r>
    </w:p>
    <w:p>
      <w:pPr>
        <w:pStyle w:val="BodyText"/>
        <w:rPr>
          <w:rFonts w:ascii="Calibri"/>
        </w:rPr>
      </w:pPr>
    </w:p>
    <w:p>
      <w:pPr>
        <w:pStyle w:val="BodyText"/>
        <w:spacing w:before="5"/>
        <w:rPr>
          <w:rFonts w:ascii="Calibri"/>
          <w:sz w:val="26"/>
        </w:rPr>
      </w:pPr>
    </w:p>
    <w:p>
      <w:pPr>
        <w:spacing w:before="61"/>
        <w:ind w:left="1602" w:right="1423" w:firstLine="0"/>
        <w:jc w:val="center"/>
        <w:rPr>
          <w:rFonts w:ascii="Calibri"/>
          <w:b/>
          <w:sz w:val="19"/>
        </w:rPr>
      </w:pPr>
      <w:r>
        <w:rPr>
          <w:rFonts w:ascii="Calibri"/>
          <w:b/>
          <w:color w:val="585858"/>
          <w:sz w:val="19"/>
        </w:rPr>
        <w:t>Year Ending 30 June</w:t>
      </w:r>
    </w:p>
    <w:p>
      <w:pPr>
        <w:pStyle w:val="BodyText"/>
        <w:rPr>
          <w:rFonts w:ascii="Calibri"/>
          <w:b/>
        </w:rPr>
      </w:pPr>
    </w:p>
    <w:p>
      <w:pPr>
        <w:pStyle w:val="BodyText"/>
        <w:spacing w:before="4"/>
        <w:rPr>
          <w:rFonts w:ascii="Calibri"/>
          <w:b/>
          <w:sz w:val="19"/>
        </w:rPr>
      </w:pPr>
    </w:p>
    <w:p>
      <w:pPr>
        <w:pStyle w:val="Heading9"/>
      </w:pPr>
      <w:r>
        <w:rPr>
          <w:color w:val="DF2F1E"/>
        </w:rPr>
        <w:t>Figure 74: Number of people exiting class 6 – Pension Age (by class exited to)</w:t>
      </w:r>
    </w:p>
    <w:p>
      <w:pPr>
        <w:pStyle w:val="BodyText"/>
        <w:spacing w:before="2"/>
        <w:rPr>
          <w:b/>
          <w:sz w:val="9"/>
        </w:rPr>
      </w:pPr>
    </w:p>
    <w:p>
      <w:pPr>
        <w:spacing w:before="72"/>
        <w:ind w:left="1156" w:right="0" w:firstLine="0"/>
        <w:jc w:val="left"/>
        <w:rPr>
          <w:rFonts w:ascii="Calibri"/>
          <w:sz w:val="16"/>
        </w:rPr>
      </w:pPr>
      <w:r>
        <w:rPr/>
        <w:pict>
          <v:group style="position:absolute;margin-left:98.348862pt;margin-top:8.85575pt;width:412.5pt;height:144.3pt;mso-position-horizontal-relative:page;mso-position-vertical-relative:paragraph;z-index:252471296" coordorigin="1967,177" coordsize="8250,2886">
            <v:shape style="position:absolute;left:5017;top:1976;width:5194;height:2" coordorigin="5018,1977" coordsize="5194,0" path="m9963,1977l10211,1977m9149,1977l9633,1977m8323,1977l8818,1977m7496,1977l7992,1977m6670,1977l7166,1977m5844,1977l6340,1977m5018,1977l5514,1977e" filled="false" stroked="true" strokeweight=".589983pt" strokecolor="#d9d9d9">
              <v:path arrowok="t"/>
              <v:stroke dashstyle="solid"/>
            </v:shape>
            <v:line style="position:absolute" from="5514,2419" to="5844,2419" stroked="true" strokeweight=".589995pt" strokecolor="#009544">
              <v:stroke dashstyle="solid"/>
            </v:line>
            <v:rect style="position:absolute;left:5507;top:2407;width:343;height:24" filled="true" fillcolor="#009544" stroked="false">
              <v:fill type="solid"/>
            </v:rect>
            <v:line style="position:absolute" from="5514,2419" to="5844,2419" stroked="true" strokeweight=".589995pt" strokecolor="#e16b09">
              <v:stroke dashstyle="solid"/>
            </v:line>
            <v:rect style="position:absolute;left:5507;top:2407;width:343;height:24" filled="true" fillcolor="#e16b09" stroked="false">
              <v:fill type="solid"/>
            </v:rect>
            <v:line style="position:absolute" from="5514,2419" to="5844,2419" stroked="true" strokeweight=".589995pt" strokecolor="#e08ad6">
              <v:stroke dashstyle="solid"/>
            </v:line>
            <v:rect style="position:absolute;left:5507;top:2407;width:343;height:24" filled="true" fillcolor="#e08ad6" stroked="false">
              <v:fill type="solid"/>
            </v:rect>
            <v:line style="position:absolute" from="5514,2407" to="5844,2407" stroked="true" strokeweight=".589983pt" strokecolor="#8063a1">
              <v:stroke dashstyle="solid"/>
            </v:line>
            <v:rect style="position:absolute;left:5507;top:2395;width:343;height:24" filled="true" fillcolor="#8063a1" stroked="false">
              <v:fill type="solid"/>
            </v:rect>
            <v:line style="position:absolute" from="5514,2407" to="5844,2407" stroked="true" strokeweight=".589983pt" strokecolor="#f8a763">
              <v:stroke dashstyle="solid"/>
            </v:line>
            <v:rect style="position:absolute;left:5507;top:2395;width:343;height:24" filled="true" fillcolor="#f8a763" stroked="false">
              <v:fill type="solid"/>
            </v:rect>
            <v:rect style="position:absolute;left:5513;top:2389;width:331;height:24" filled="true" fillcolor="#ecb8e7" stroked="false">
              <v:fill type="solid"/>
            </v:rect>
            <v:rect style="position:absolute;left:5507;top:2383;width:343;height:36" filled="true" fillcolor="#ecb8e7" stroked="false">
              <v:fill type="solid"/>
            </v:rect>
            <v:rect style="position:absolute;left:5513;top:1657;width:331;height:732" filled="true" fillcolor="#938953" stroked="false">
              <v:fill type="solid"/>
            </v:rect>
            <v:line style="position:absolute" from="6340,2419" to="6670,2419" stroked="true" strokeweight=".589987pt" strokecolor="#1f487c">
              <v:stroke dashstyle="solid"/>
            </v:line>
            <v:rect style="position:absolute;left:6333;top:2407;width:343;height:24" filled="true" fillcolor="#1f487c" stroked="false">
              <v:fill type="solid"/>
            </v:rect>
            <v:line style="position:absolute" from="6340,2419" to="6670,2419" stroked="true" strokeweight=".589995pt" strokecolor="#009544">
              <v:stroke dashstyle="solid"/>
            </v:line>
            <v:rect style="position:absolute;left:6333;top:2407;width:343;height:24" filled="true" fillcolor="#009544" stroked="false">
              <v:fill type="solid"/>
            </v:rect>
            <v:line style="position:absolute" from="6340,2419" to="6670,2419" stroked="true" strokeweight=".589995pt" strokecolor="#e16b09">
              <v:stroke dashstyle="solid"/>
            </v:line>
            <v:rect style="position:absolute;left:6333;top:2407;width:343;height:24" filled="true" fillcolor="#e16b09" stroked="false">
              <v:fill type="solid"/>
            </v:rect>
            <v:line style="position:absolute" from="6340,2419" to="6670,2419" stroked="true" strokeweight=".589995pt" strokecolor="#e08ad6">
              <v:stroke dashstyle="solid"/>
            </v:line>
            <v:rect style="position:absolute;left:6333;top:2407;width:343;height:24" filled="true" fillcolor="#e08ad6" stroked="false">
              <v:fill type="solid"/>
            </v:rect>
            <v:line style="position:absolute" from="6340,2407" to="6670,2407" stroked="true" strokeweight=".589983pt" strokecolor="#8063a1">
              <v:stroke dashstyle="solid"/>
            </v:line>
            <v:rect style="position:absolute;left:6333;top:2395;width:343;height:24" filled="true" fillcolor="#8063a1" stroked="false">
              <v:fill type="solid"/>
            </v:rect>
            <v:line style="position:absolute" from="6340,2407" to="6670,2407" stroked="true" strokeweight=".589983pt" strokecolor="#f8a763">
              <v:stroke dashstyle="solid"/>
            </v:line>
            <v:rect style="position:absolute;left:6333;top:2395;width:343;height:24" filled="true" fillcolor="#f8a763" stroked="false">
              <v:fill type="solid"/>
            </v:rect>
            <v:line style="position:absolute" from="6340,2407" to="6670,2407" stroked="true" strokeweight=".589983pt" strokecolor="#ecb8e7">
              <v:stroke dashstyle="solid"/>
            </v:line>
            <v:rect style="position:absolute;left:6333;top:2395;width:343;height:24" filled="true" fillcolor="#ecb8e7" stroked="false">
              <v:fill type="solid"/>
            </v:rect>
            <v:rect style="position:absolute;left:6339;top:2389;width:331;height:24" filled="true" fillcolor="#938953" stroked="false">
              <v:fill type="solid"/>
            </v:rect>
            <v:line style="position:absolute" from="4687,2419" to="5018,2419" stroked="true" strokeweight=".589987pt" strokecolor="#1f487c">
              <v:stroke dashstyle="solid"/>
            </v:line>
            <v:rect style="position:absolute;left:4681;top:2407;width:343;height:24" filled="true" fillcolor="#1f487c" stroked="false">
              <v:fill type="solid"/>
            </v:rect>
            <v:line style="position:absolute" from="4687,2419" to="5018,2419" stroked="true" strokeweight=".589995pt" strokecolor="#009544">
              <v:stroke dashstyle="solid"/>
            </v:line>
            <v:rect style="position:absolute;left:4681;top:2407;width:343;height:24" filled="true" fillcolor="#009544" stroked="false">
              <v:fill type="solid"/>
            </v:rect>
            <v:line style="position:absolute" from="4687,2419" to="5018,2419" stroked="true" strokeweight=".589995pt" strokecolor="#e16b09">
              <v:stroke dashstyle="solid"/>
            </v:line>
            <v:rect style="position:absolute;left:4681;top:2407;width:343;height:24" filled="true" fillcolor="#e16b09" stroked="false">
              <v:fill type="solid"/>
            </v:rect>
            <v:line style="position:absolute" from="4687,2419" to="5018,2419" stroked="true" strokeweight=".589995pt" strokecolor="#e08ad6">
              <v:stroke dashstyle="solid"/>
            </v:line>
            <v:rect style="position:absolute;left:4681;top:2407;width:343;height:24" filled="true" fillcolor="#e08ad6" stroked="false">
              <v:fill type="solid"/>
            </v:rect>
            <v:line style="position:absolute" from="4687,2407" to="5018,2407" stroked="true" strokeweight=".589983pt" strokecolor="#8063a1">
              <v:stroke dashstyle="solid"/>
            </v:line>
            <v:rect style="position:absolute;left:4681;top:2395;width:343;height:24" filled="true" fillcolor="#8063a1" stroked="false">
              <v:fill type="solid"/>
            </v:rect>
            <v:line style="position:absolute" from="4687,2407" to="5018,2407" stroked="true" strokeweight=".589983pt" strokecolor="#f8a763">
              <v:stroke dashstyle="solid"/>
            </v:line>
            <v:rect style="position:absolute;left:4681;top:2395;width:343;height:24" filled="true" fillcolor="#f8a763" stroked="false">
              <v:fill type="solid"/>
            </v:rect>
            <v:line style="position:absolute" from="4687,2407" to="5018,2407" stroked="true" strokeweight=".589983pt" strokecolor="#ecb8e7">
              <v:stroke dashstyle="solid"/>
            </v:line>
            <v:rect style="position:absolute;left:4681;top:2395;width:343;height:24" filled="true" fillcolor="#ecb8e7" stroked="false">
              <v:fill type="solid"/>
            </v:rect>
            <v:rect style="position:absolute;left:4687;top:2330;width:331;height:71" filled="true" fillcolor="#938953" stroked="false">
              <v:fill type="solid"/>
            </v:rect>
            <v:shape style="position:absolute;left:213731;top:-164581;width:91069;height:58544" coordorigin="213732,-164580" coordsize="91069,58544" path="m4687,2331l5018,2331,5018,2401,4687,2401,4687,2331xm5514,1658l5844,1658,5844,2390,5514,2390,5514,1658xe" filled="false" stroked="true" strokeweight=".590052pt" strokecolor="#938953">
              <v:path arrowok="t"/>
              <v:stroke dashstyle="solid"/>
            </v:shape>
            <v:rect style="position:absolute;left:6333;top:2383;width:343;height:36" filled="true" fillcolor="#938953" stroked="false">
              <v:fill type="solid"/>
            </v:rect>
            <v:rect style="position:absolute;left:4687;top:2259;width:331;height:71" filled="true" fillcolor="#ffd600" stroked="false">
              <v:fill type="solid"/>
            </v:rect>
            <v:line style="position:absolute" from="5018,1528" to="6340,1528" stroked="true" strokeweight=".589983pt" strokecolor="#d9d9d9">
              <v:stroke dashstyle="solid"/>
            </v:line>
            <v:shape style="position:absolute;left:5513;top:1528;width:1157;height:862" coordorigin="5514,1528" coordsize="1157,862" path="m5844,1528l5514,1528,5514,1658,5844,1658,5844,1528m6670,2272l6340,2272,6340,2390,6670,2390,6670,2272e" filled="true" fillcolor="#ffd600" stroked="false">
              <v:path arrowok="t"/>
              <v:fill type="solid"/>
            </v:shape>
            <v:shape style="position:absolute;left:213731;top:-163652;width:156118;height:67837" coordorigin="213732,-163651" coordsize="156118,67837" path="m4687,2260l5018,2260,5018,2331,4687,2331,4687,2260xm5514,1528l5844,1528,5844,1658,5514,1658,5514,1528xm6340,2272l6670,2272,6670,2390,6340,2390,6340,2272xe" filled="false" stroked="true" strokeweight=".590052pt" strokecolor="#ffd600">
              <v:path arrowok="t"/>
              <v:stroke dashstyle="solid"/>
            </v:shape>
            <v:shape style="position:absolute;left:1972;top:1528;width:2715;height:449" coordorigin="1973,1528" coordsize="2715,449" path="m4204,1977l4687,1977m3377,1977l3873,1977m2551,1977l3047,1977m1973,1977l2221,1977m2551,1528l3047,1528m1973,1528l2221,1528e" filled="false" stroked="true" strokeweight=".589983pt" strokecolor="#d9d9d9">
              <v:path arrowok="t"/>
              <v:stroke dashstyle="solid"/>
            </v:shape>
            <v:line style="position:absolute" from="2221,2419" to="2551,2419" stroked="true" strokeweight=".589987pt" strokecolor="#1f487c">
              <v:stroke dashstyle="solid"/>
            </v:line>
            <v:rect style="position:absolute;left:2214;top:2407;width:343;height:24" filled="true" fillcolor="#1f487c" stroked="false">
              <v:fill type="solid"/>
            </v:rect>
            <v:line style="position:absolute" from="2221,2419" to="2551,2419" stroked="true" strokeweight=".589995pt" strokecolor="#009544">
              <v:stroke dashstyle="solid"/>
            </v:line>
            <v:rect style="position:absolute;left:2214;top:2407;width:343;height:24" filled="true" fillcolor="#009544" stroked="false">
              <v:fill type="solid"/>
            </v:rect>
            <v:line style="position:absolute" from="2221,2419" to="2551,2419" stroked="true" strokeweight=".589995pt" strokecolor="#e16b09">
              <v:stroke dashstyle="solid"/>
            </v:line>
            <v:rect style="position:absolute;left:2214;top:2407;width:343;height:24" filled="true" fillcolor="#e16b09" stroked="false">
              <v:fill type="solid"/>
            </v:rect>
            <v:rect style="position:absolute;left:2220;top:2401;width:331;height:24" filled="true" fillcolor="#e08ad6" stroked="false">
              <v:fill type="solid"/>
            </v:rect>
            <v:rect style="position:absolute;left:2214;top:2395;width:343;height:36" filled="true" fillcolor="#e08ad6" stroked="false">
              <v:fill type="solid"/>
            </v:rect>
            <v:line style="position:absolute" from="2221,2395" to="2551,2395" stroked="true" strokeweight=".589995pt" strokecolor="#8063a1">
              <v:stroke dashstyle="solid"/>
            </v:line>
            <v:rect style="position:absolute;left:2214;top:2383;width:343;height:24" filled="true" fillcolor="#8063a1" stroked="false">
              <v:fill type="solid"/>
            </v:rect>
            <v:line style="position:absolute" from="2221,2395" to="2551,2395" stroked="true" strokeweight=".589995pt" strokecolor="#f8a763">
              <v:stroke dashstyle="solid"/>
            </v:line>
            <v:rect style="position:absolute;left:2214;top:2383;width:343;height:24" filled="true" fillcolor="#f8a763" stroked="false">
              <v:fill type="solid"/>
            </v:rect>
            <v:line style="position:absolute" from="2221,2395" to="2551,2395" stroked="true" strokeweight=".589995pt" strokecolor="#ecb8e7">
              <v:stroke dashstyle="solid"/>
            </v:line>
            <v:rect style="position:absolute;left:2214;top:2383;width:343;height:24" filled="true" fillcolor="#ecb8e7" stroked="false">
              <v:fill type="solid"/>
            </v:rect>
            <v:rect style="position:absolute;left:2220;top:2354;width:331;height:48" filled="true" fillcolor="#938953" stroked="false">
              <v:fill type="solid"/>
            </v:rect>
            <v:rect style="position:absolute;left:2220;top:2354;width:331;height:48" filled="false" stroked="true" strokeweight=".589985pt" strokecolor="#938953">
              <v:stroke dashstyle="solid"/>
            </v:rect>
            <v:rect style="position:absolute;left:2220;top:2306;width:331;height:48" filled="true" fillcolor="#ffd600" stroked="false">
              <v:fill type="solid"/>
            </v:rect>
            <v:rect style="position:absolute;left:2220;top:2306;width:331;height:48" filled="false" stroked="true" strokeweight=".589985pt" strokecolor="#ffd600">
              <v:stroke dashstyle="solid"/>
            </v:rect>
            <v:rect style="position:absolute;left:2220;top:1504;width:331;height:803" filled="true" fillcolor="#000000" stroked="false">
              <v:fill type="solid"/>
            </v:rect>
            <v:line style="position:absolute" from="3377,1528" to="3873,1528" stroked="true" strokeweight=".589983pt" strokecolor="#d9d9d9">
              <v:stroke dashstyle="solid"/>
            </v:line>
            <v:line style="position:absolute" from="3047,2419" to="3377,2419" stroked="true" strokeweight=".589987pt" strokecolor="#1f487c">
              <v:stroke dashstyle="solid"/>
            </v:line>
            <v:rect style="position:absolute;left:3041;top:2407;width:343;height:24" filled="true" fillcolor="#1f487c" stroked="false">
              <v:fill type="solid"/>
            </v:rect>
            <v:line style="position:absolute" from="3047,2419" to="3377,2419" stroked="true" strokeweight=".589995pt" strokecolor="#009544">
              <v:stroke dashstyle="solid"/>
            </v:line>
            <v:rect style="position:absolute;left:3041;top:2407;width:343;height:24" filled="true" fillcolor="#009544" stroked="false">
              <v:fill type="solid"/>
            </v:rect>
            <v:line style="position:absolute" from="3047,2419" to="3377,2419" stroked="true" strokeweight=".589995pt" strokecolor="#e16b09">
              <v:stroke dashstyle="solid"/>
            </v:line>
            <v:rect style="position:absolute;left:3041;top:2407;width:343;height:24" filled="true" fillcolor="#e16b09" stroked="false">
              <v:fill type="solid"/>
            </v:rect>
            <v:line style="position:absolute" from="3047,2419" to="3377,2419" stroked="true" strokeweight=".589995pt" strokecolor="#e08ad6">
              <v:stroke dashstyle="solid"/>
            </v:line>
            <v:rect style="position:absolute;left:3041;top:2407;width:343;height:24" filled="true" fillcolor="#e08ad6" stroked="false">
              <v:fill type="solid"/>
            </v:rect>
            <v:line style="position:absolute" from="3047,2407" to="3377,2407" stroked="true" strokeweight=".589983pt" strokecolor="#8063a1">
              <v:stroke dashstyle="solid"/>
            </v:line>
            <v:rect style="position:absolute;left:3041;top:2395;width:343;height:24" filled="true" fillcolor="#8063a1" stroked="false">
              <v:fill type="solid"/>
            </v:rect>
            <v:line style="position:absolute" from="3047,2395" to="3377,2395" stroked="true" strokeweight=".589995pt" strokecolor="#f8a763">
              <v:stroke dashstyle="solid"/>
            </v:line>
            <v:rect style="position:absolute;left:3041;top:2383;width:343;height:24" filled="true" fillcolor="#f8a763" stroked="false">
              <v:fill type="solid"/>
            </v:rect>
            <v:line style="position:absolute" from="3047,2395" to="3377,2395" stroked="true" strokeweight=".589995pt" strokecolor="#ecb8e7">
              <v:stroke dashstyle="solid"/>
            </v:line>
            <v:rect style="position:absolute;left:3041;top:2383;width:343;height:24" filled="true" fillcolor="#ecb8e7" stroked="false">
              <v:fill type="solid"/>
            </v:rect>
            <v:rect style="position:absolute;left:3046;top:2354;width:331;height:48" filled="true" fillcolor="#938953" stroked="false">
              <v:fill type="solid"/>
            </v:rect>
            <v:rect style="position:absolute;left:3046;top:2354;width:331;height:48" filled="false" stroked="true" strokeweight=".589985pt" strokecolor="#938953">
              <v:stroke dashstyle="solid"/>
            </v:rect>
            <v:rect style="position:absolute;left:3046;top:2306;width:331;height:48" filled="true" fillcolor="#ffd600" stroked="false">
              <v:fill type="solid"/>
            </v:rect>
            <v:rect style="position:absolute;left:3046;top:2306;width:331;height:48" filled="false" stroked="true" strokeweight=".589985pt" strokecolor="#ffd600">
              <v:stroke dashstyle="solid"/>
            </v:rect>
            <v:rect style="position:absolute;left:3046;top:1492;width:331;height:815" filled="true" fillcolor="#000000" stroked="false">
              <v:fill type="solid"/>
            </v:rect>
            <v:line style="position:absolute" from="4204,1528" to="4687,1528" stroked="true" strokeweight=".589983pt" strokecolor="#d9d9d9">
              <v:stroke dashstyle="solid"/>
            </v:line>
            <v:line style="position:absolute" from="3873,2419" to="4204,2419" stroked="true" strokeweight=".589995pt" strokecolor="#009544">
              <v:stroke dashstyle="solid"/>
            </v:line>
            <v:rect style="position:absolute;left:3867;top:2407;width:343;height:24" filled="true" fillcolor="#009544" stroked="false">
              <v:fill type="solid"/>
            </v:rect>
            <v:line style="position:absolute" from="3873,2419" to="4204,2419" stroked="true" strokeweight=".589995pt" strokecolor="#e16b09">
              <v:stroke dashstyle="solid"/>
            </v:line>
            <v:rect style="position:absolute;left:3867;top:2407;width:343;height:24" filled="true" fillcolor="#e16b09" stroked="false">
              <v:fill type="solid"/>
            </v:rect>
            <v:line style="position:absolute" from="3873,2419" to="4204,2419" stroked="true" strokeweight=".589995pt" strokecolor="#e08ad6">
              <v:stroke dashstyle="solid"/>
            </v:line>
            <v:rect style="position:absolute;left:3867;top:2407;width:343;height:24" filled="true" fillcolor="#e08ad6" stroked="false">
              <v:fill type="solid"/>
            </v:rect>
            <v:line style="position:absolute" from="3873,2407" to="4204,2407" stroked="true" strokeweight=".589983pt" strokecolor="#8063a1">
              <v:stroke dashstyle="solid"/>
            </v:line>
            <v:rect style="position:absolute;left:3867;top:2395;width:343;height:24" filled="true" fillcolor="#8063a1" stroked="false">
              <v:fill type="solid"/>
            </v:rect>
            <v:line style="position:absolute" from="3873,2407" to="4204,2407" stroked="true" strokeweight=".589983pt" strokecolor="#f8a763">
              <v:stroke dashstyle="solid"/>
            </v:line>
            <v:rect style="position:absolute;left:3867;top:2395;width:343;height:24" filled="true" fillcolor="#f8a763" stroked="false">
              <v:fill type="solid"/>
            </v:rect>
            <v:line style="position:absolute" from="3873,2395" to="4204,2395" stroked="true" strokeweight=".589995pt" strokecolor="#ecb8e7">
              <v:stroke dashstyle="solid"/>
            </v:line>
            <v:rect style="position:absolute;left:3867;top:2383;width:343;height:24" filled="true" fillcolor="#ecb8e7" stroked="false">
              <v:fill type="solid"/>
            </v:rect>
            <v:rect style="position:absolute;left:3873;top:2354;width:331;height:48" filled="true" fillcolor="#938953" stroked="false">
              <v:fill type="solid"/>
            </v:rect>
            <v:rect style="position:absolute;left:3873;top:2354;width:331;height:48" filled="false" stroked="true" strokeweight=".589985pt" strokecolor="#938953">
              <v:stroke dashstyle="solid"/>
            </v:rect>
            <v:rect style="position:absolute;left:3873;top:2295;width:331;height:59" filled="true" fillcolor="#ffd600" stroked="false">
              <v:fill type="solid"/>
            </v:rect>
            <v:rect style="position:absolute;left:3873;top:2295;width:331;height:59" filled="false" stroked="true" strokeweight=".589987pt" strokecolor="#ffd600">
              <v:stroke dashstyle="solid"/>
            </v:rect>
            <v:shape style="position:absolute;left:3873;top:1374;width:1145;height:921" coordorigin="3873,1375" coordsize="1145,921" path="m4204,1446l3873,1446,3873,2295,4204,2295,4204,1446m5018,1375l4687,1375,4687,2260,5018,2260,5018,1375e" filled="true" fillcolor="#000000" stroked="false">
              <v:path arrowok="t"/>
              <v:fill type="solid"/>
            </v:shape>
            <v:shape style="position:absolute;left:1972;top:1079;width:8239;height:2" coordorigin="1973,1080" coordsize="8239,0" path="m5844,1080l10211,1080m1973,1080l5514,1080e" filled="false" stroked="true" strokeweight=".589983pt" strokecolor="#d9d9d9">
              <v:path arrowok="t"/>
              <v:stroke dashstyle="solid"/>
            </v:shape>
            <v:line style="position:absolute" from="1973,631" to="10211,631" stroked="true" strokeweight=".589983pt" strokecolor="#d9d9d9">
              <v:stroke dashstyle="solid"/>
            </v:line>
            <v:rect style="position:absolute;left:5513;top:631;width:331;height:897" filled="true" fillcolor="#000000" stroked="false">
              <v:fill type="solid"/>
            </v:rect>
            <v:line style="position:absolute" from="6670,1528" to="7166,1528" stroked="true" strokeweight=".589983pt" strokecolor="#d9d9d9">
              <v:stroke dashstyle="solid"/>
            </v:line>
            <v:rect style="position:absolute;left:6339;top:1386;width:331;height:885" filled="true" fillcolor="#000000" stroked="false">
              <v:fill type="solid"/>
            </v:rect>
            <v:line style="position:absolute" from="7496,1528" to="7992,1528" stroked="true" strokeweight=".589983pt" strokecolor="#d9d9d9">
              <v:stroke dashstyle="solid"/>
            </v:line>
            <v:line style="position:absolute" from="7166,2419" to="7496,2419" stroked="true" strokeweight=".589987pt" strokecolor="#1f487c">
              <v:stroke dashstyle="solid"/>
            </v:line>
            <v:rect style="position:absolute;left:7160;top:2407;width:343;height:24" filled="true" fillcolor="#1f487c" stroked="false">
              <v:fill type="solid"/>
            </v:rect>
            <v:line style="position:absolute" from="7166,2419" to="7496,2419" stroked="true" strokeweight=".589995pt" strokecolor="#009544">
              <v:stroke dashstyle="solid"/>
            </v:line>
            <v:rect style="position:absolute;left:7160;top:2407;width:343;height:24" filled="true" fillcolor="#009544" stroked="false">
              <v:fill type="solid"/>
            </v:rect>
            <v:line style="position:absolute" from="7166,2419" to="7496,2419" stroked="true" strokeweight=".589995pt" strokecolor="#e16b09">
              <v:stroke dashstyle="solid"/>
            </v:line>
            <v:rect style="position:absolute;left:7160;top:2407;width:343;height:24" filled="true" fillcolor="#e16b09" stroked="false">
              <v:fill type="solid"/>
            </v:rect>
            <v:line style="position:absolute" from="7166,2419" to="7496,2419" stroked="true" strokeweight=".589995pt" strokecolor="#e08ad6">
              <v:stroke dashstyle="solid"/>
            </v:line>
            <v:rect style="position:absolute;left:7160;top:2407;width:343;height:24" filled="true" fillcolor="#e08ad6" stroked="false">
              <v:fill type="solid"/>
            </v:rect>
            <v:line style="position:absolute" from="7166,2407" to="7496,2407" stroked="true" strokeweight=".589983pt" strokecolor="#8063a1">
              <v:stroke dashstyle="solid"/>
            </v:line>
            <v:rect style="position:absolute;left:7160;top:2395;width:343;height:24" filled="true" fillcolor="#8063a1" stroked="false">
              <v:fill type="solid"/>
            </v:rect>
            <v:line style="position:absolute" from="7166,2407" to="7496,2407" stroked="true" strokeweight=".589983pt" strokecolor="#f8a763">
              <v:stroke dashstyle="solid"/>
            </v:line>
            <v:rect style="position:absolute;left:7160;top:2395;width:343;height:24" filled="true" fillcolor="#f8a763" stroked="false">
              <v:fill type="solid"/>
            </v:rect>
            <v:line style="position:absolute" from="7166,2407" to="7496,2407" stroked="true" strokeweight=".589983pt" strokecolor="#ecb8e7">
              <v:stroke dashstyle="solid"/>
            </v:line>
            <v:rect style="position:absolute;left:7160;top:2395;width:343;height:24" filled="true" fillcolor="#ecb8e7" stroked="false">
              <v:fill type="solid"/>
            </v:rect>
            <v:rect style="position:absolute;left:7166;top:2389;width:331;height:24" filled="true" fillcolor="#938953" stroked="false">
              <v:fill type="solid"/>
            </v:rect>
            <v:rect style="position:absolute;left:7160;top:2383;width:343;height:36" filled="true" fillcolor="#938953" stroked="false">
              <v:fill type="solid"/>
            </v:rect>
            <v:rect style="position:absolute;left:7166;top:2271;width:331;height:118" filled="true" fillcolor="#ffd600" stroked="false">
              <v:fill type="solid"/>
            </v:rect>
            <v:rect style="position:absolute;left:7166;top:2271;width:331;height:118" filled="false" stroked="true" strokeweight=".589998pt" strokecolor="#ffd600">
              <v:stroke dashstyle="solid"/>
            </v:rect>
            <v:rect style="position:absolute;left:7165;top:1410;width:331;height:862" filled="true" fillcolor="#000000" stroked="false">
              <v:fill type="solid"/>
            </v:rect>
            <v:line style="position:absolute" from="8323,1528" to="8818,1528" stroked="true" strokeweight=".589983pt" strokecolor="#d9d9d9">
              <v:stroke dashstyle="solid"/>
            </v:line>
            <v:line style="position:absolute" from="7992,2419" to="8323,2419" stroked="true" strokeweight=".589995pt" strokecolor="#009544">
              <v:stroke dashstyle="solid"/>
            </v:line>
            <v:rect style="position:absolute;left:7986;top:2407;width:343;height:24" filled="true" fillcolor="#009544" stroked="false">
              <v:fill type="solid"/>
            </v:rect>
            <v:line style="position:absolute" from="7992,2419" to="8323,2419" stroked="true" strokeweight=".589995pt" strokecolor="#e16b09">
              <v:stroke dashstyle="solid"/>
            </v:line>
            <v:rect style="position:absolute;left:7986;top:2407;width:343;height:24" filled="true" fillcolor="#e16b09" stroked="false">
              <v:fill type="solid"/>
            </v:rect>
            <v:line style="position:absolute" from="7992,2419" to="8323,2419" stroked="true" strokeweight=".589995pt" strokecolor="#e08ad6">
              <v:stroke dashstyle="solid"/>
            </v:line>
            <v:rect style="position:absolute;left:7986;top:2407;width:343;height:24" filled="true" fillcolor="#e08ad6" stroked="false">
              <v:fill type="solid"/>
            </v:rect>
            <v:line style="position:absolute" from="7992,2407" to="8323,2407" stroked="true" strokeweight=".589983pt" strokecolor="#8063a1">
              <v:stroke dashstyle="solid"/>
            </v:line>
            <v:rect style="position:absolute;left:7986;top:2395;width:343;height:24" filled="true" fillcolor="#8063a1" stroked="false">
              <v:fill type="solid"/>
            </v:rect>
            <v:line style="position:absolute" from="7992,2407" to="8323,2407" stroked="true" strokeweight=".589983pt" strokecolor="#f8a763">
              <v:stroke dashstyle="solid"/>
            </v:line>
            <v:rect style="position:absolute;left:7986;top:2395;width:343;height:24" filled="true" fillcolor="#f8a763" stroked="false">
              <v:fill type="solid"/>
            </v:rect>
            <v:line style="position:absolute" from="7992,2407" to="8323,2407" stroked="true" strokeweight=".589983pt" strokecolor="#ecb8e7">
              <v:stroke dashstyle="solid"/>
            </v:line>
            <v:rect style="position:absolute;left:7986;top:2395;width:343;height:24" filled="true" fillcolor="#ecb8e7" stroked="false">
              <v:fill type="solid"/>
            </v:rect>
            <v:rect style="position:absolute;left:7992;top:2389;width:331;height:24" filled="true" fillcolor="#938953" stroked="false">
              <v:fill type="solid"/>
            </v:rect>
            <v:rect style="position:absolute;left:7986;top:2383;width:343;height:36" filled="true" fillcolor="#938953" stroked="false">
              <v:fill type="solid"/>
            </v:rect>
            <v:rect style="position:absolute;left:7992;top:2271;width:331;height:118" filled="true" fillcolor="#ffd600" stroked="false">
              <v:fill type="solid"/>
            </v:rect>
            <v:rect style="position:absolute;left:7992;top:2271;width:331;height:118" filled="false" stroked="true" strokeweight=".589998pt" strokecolor="#ffd600">
              <v:stroke dashstyle="solid"/>
            </v:rect>
            <v:rect style="position:absolute;left:7992;top:1398;width:331;height:874" filled="true" fillcolor="#000000" stroked="false">
              <v:fill type="solid"/>
            </v:rect>
            <v:line style="position:absolute" from="9149,1528" to="9633,1528" stroked="true" strokeweight=".589983pt" strokecolor="#d9d9d9">
              <v:stroke dashstyle="solid"/>
            </v:line>
            <v:line style="position:absolute" from="8818,2419" to="9149,2419" stroked="true" strokeweight=".589995pt" strokecolor="#009544">
              <v:stroke dashstyle="solid"/>
            </v:line>
            <v:rect style="position:absolute;left:8812;top:2407;width:343;height:24" filled="true" fillcolor="#009544" stroked="false">
              <v:fill type="solid"/>
            </v:rect>
            <v:line style="position:absolute" from="8818,2419" to="9149,2419" stroked="true" strokeweight=".589995pt" strokecolor="#e16b09">
              <v:stroke dashstyle="solid"/>
            </v:line>
            <v:rect style="position:absolute;left:8812;top:2407;width:343;height:24" filled="true" fillcolor="#e16b09" stroked="false">
              <v:fill type="solid"/>
            </v:rect>
            <v:line style="position:absolute" from="8818,2419" to="9149,2419" stroked="true" strokeweight=".589995pt" strokecolor="#e08ad6">
              <v:stroke dashstyle="solid"/>
            </v:line>
            <v:rect style="position:absolute;left:8812;top:2407;width:343;height:24" filled="true" fillcolor="#e08ad6" stroked="false">
              <v:fill type="solid"/>
            </v:rect>
            <v:line style="position:absolute" from="8818,2407" to="9149,2407" stroked="true" strokeweight=".589983pt" strokecolor="#8063a1">
              <v:stroke dashstyle="solid"/>
            </v:line>
            <v:rect style="position:absolute;left:8812;top:2395;width:343;height:24" filled="true" fillcolor="#8063a1" stroked="false">
              <v:fill type="solid"/>
            </v:rect>
            <v:line style="position:absolute" from="8818,2407" to="9149,2407" stroked="true" strokeweight=".589983pt" strokecolor="#f8a763">
              <v:stroke dashstyle="solid"/>
            </v:line>
            <v:rect style="position:absolute;left:8812;top:2395;width:343;height:24" filled="true" fillcolor="#f8a763" stroked="false">
              <v:fill type="solid"/>
            </v:rect>
            <v:line style="position:absolute" from="8818,2407" to="9149,2407" stroked="true" strokeweight=".589983pt" strokecolor="#ecb8e7">
              <v:stroke dashstyle="solid"/>
            </v:line>
            <v:rect style="position:absolute;left:8812;top:2395;width:343;height:24" filled="true" fillcolor="#ecb8e7" stroked="false">
              <v:fill type="solid"/>
            </v:rect>
            <v:rect style="position:absolute;left:8818;top:2389;width:331;height:24" filled="true" fillcolor="#938953" stroked="false">
              <v:fill type="solid"/>
            </v:rect>
            <v:rect style="position:absolute;left:8812;top:2383;width:343;height:36" filled="true" fillcolor="#938953" stroked="false">
              <v:fill type="solid"/>
            </v:rect>
            <v:rect style="position:absolute;left:8818;top:2271;width:331;height:118" filled="true" fillcolor="#ffd600" stroked="false">
              <v:fill type="solid"/>
            </v:rect>
            <v:rect style="position:absolute;left:8818;top:2271;width:331;height:118" filled="false" stroked="true" strokeweight=".589998pt" strokecolor="#ffd600">
              <v:stroke dashstyle="solid"/>
            </v:rect>
            <v:rect style="position:absolute;left:8818;top:1374;width:331;height:897" filled="true" fillcolor="#000000" stroked="false">
              <v:fill type="solid"/>
            </v:rect>
            <v:line style="position:absolute" from="9963,1528" to="10211,1528" stroked="true" strokeweight=".589983pt" strokecolor="#d9d9d9">
              <v:stroke dashstyle="solid"/>
            </v:line>
            <v:line style="position:absolute" from="9633,2419" to="9963,2419" stroked="true" strokeweight=".589995pt" strokecolor="#009544">
              <v:stroke dashstyle="solid"/>
            </v:line>
            <v:rect style="position:absolute;left:9626;top:2407;width:343;height:24" filled="true" fillcolor="#009544" stroked="false">
              <v:fill type="solid"/>
            </v:rect>
            <v:line style="position:absolute" from="9633,2419" to="9963,2419" stroked="true" strokeweight=".589995pt" strokecolor="#e16b09">
              <v:stroke dashstyle="solid"/>
            </v:line>
            <v:rect style="position:absolute;left:9626;top:2407;width:343;height:24" filled="true" fillcolor="#e16b09" stroked="false">
              <v:fill type="solid"/>
            </v:rect>
            <v:line style="position:absolute" from="9633,2419" to="9963,2419" stroked="true" strokeweight=".589995pt" strokecolor="#e08ad6">
              <v:stroke dashstyle="solid"/>
            </v:line>
            <v:rect style="position:absolute;left:9626;top:2407;width:343;height:24" filled="true" fillcolor="#e08ad6" stroked="false">
              <v:fill type="solid"/>
            </v:rect>
            <v:line style="position:absolute" from="9633,2407" to="9963,2407" stroked="true" strokeweight=".589983pt" strokecolor="#8063a1">
              <v:stroke dashstyle="solid"/>
            </v:line>
            <v:rect style="position:absolute;left:9626;top:2395;width:343;height:24" filled="true" fillcolor="#8063a1" stroked="false">
              <v:fill type="solid"/>
            </v:rect>
            <v:line style="position:absolute" from="9633,2407" to="9963,2407" stroked="true" strokeweight=".589983pt" strokecolor="#f8a763">
              <v:stroke dashstyle="solid"/>
            </v:line>
            <v:rect style="position:absolute;left:9626;top:2395;width:343;height:24" filled="true" fillcolor="#f8a763" stroked="false">
              <v:fill type="solid"/>
            </v:rect>
            <v:line style="position:absolute" from="9633,2407" to="9963,2407" stroked="true" strokeweight=".589983pt" strokecolor="#ecb8e7">
              <v:stroke dashstyle="solid"/>
            </v:line>
            <v:rect style="position:absolute;left:9626;top:2395;width:343;height:24" filled="true" fillcolor="#ecb8e7" stroked="false">
              <v:fill type="solid"/>
            </v:rect>
            <v:rect style="position:absolute;left:9632;top:2389;width:331;height:24" filled="true" fillcolor="#938953" stroked="false">
              <v:fill type="solid"/>
            </v:rect>
            <v:rect style="position:absolute;left:9626;top:2383;width:343;height:36" filled="true" fillcolor="#938953" stroked="false">
              <v:fill type="solid"/>
            </v:rect>
            <v:rect style="position:absolute;left:9632;top:2271;width:331;height:118" filled="true" fillcolor="#ffd600" stroked="false">
              <v:fill type="solid"/>
            </v:rect>
            <v:rect style="position:absolute;left:9632;top:2271;width:331;height:118" filled="false" stroked="true" strokeweight=".589998pt" strokecolor="#ffd600">
              <v:stroke dashstyle="solid"/>
            </v:rect>
            <v:rect style="position:absolute;left:9632;top:1362;width:331;height:909" filled="true" fillcolor="#000000" stroked="false">
              <v:fill type="solid"/>
            </v:rect>
            <v:shape style="position:absolute;left:19610;top:-157967;width:612589;height:132603" coordorigin="19610,-157966" coordsize="612589,132603" path="m2221,1505l2551,1505,2551,2307,2221,2307,2221,1505xm3047,1493l3377,1493,3377,2307,3047,2307,3047,1493xm3873,1446l4204,1446,4204,2295,3873,2295,3873,1446xm4687,1375l5018,1375,5018,2260,4687,2260,4687,1375xm5514,631l5844,631,5844,1528,5514,1528,5514,631xm6340,1387l6670,1387,6670,2272,6340,2272,6340,1387xm7166,1410l7496,1410,7496,2272,7166,2272,7166,1410xm7992,1398l8323,1398,8323,2272,7992,2272,7992,1398xm8818,1375l9149,1375,9149,2272,8818,2272,8818,1375xm9633,1363l9963,1363,9963,2272,9633,2272,9633,1363xe" filled="false" stroked="true" strokeweight=".590053pt" strokecolor="#000000">
              <v:path arrowok="t"/>
              <v:stroke dashstyle="solid"/>
            </v:shape>
            <v:line style="position:absolute" from="1973,2425" to="10211,2425" stroked="true" strokeweight=".589985pt" strokecolor="#d9d9d9">
              <v:stroke dashstyle="solid"/>
            </v:line>
            <v:shape style="position:absolute;left:0;top:-15092;width:651809;height:25214" coordorigin="0,-15091" coordsize="651809,25214" path="m1973,2425l1973,2472m1973,2425l1973,2744m2799,2425l2799,2472m2799,2425l2799,2744m3625,2425l3625,2472m3625,2425l3625,2744m4440,2425l4440,2472m4440,2425l4440,2744m5266,2425l5266,2472m5266,2425l5266,2744m6092,2425l6092,2472m6092,2425l6092,2744m6918,2425l6918,2472m6918,2425l6918,2744m7744,2425l7744,2472m7744,2425l7744,2744m8570,2425l8570,2472m8570,2425l8570,2744m9385,2425l9385,2472m9385,2425l9385,2744m10211,2425l10211,2472m10211,2425l10211,2744e" filled="false" stroked="true" strokeweight=".590053pt" strokecolor="#d9d9d9">
              <v:path arrowok="t"/>
              <v:stroke dashstyle="solid"/>
            </v:shape>
            <v:shape style="position:absolute;left:0;top:-15092;width:651809;height:25214" coordorigin="0,-15091" coordsize="651809,25214" path="m1973,2744l1973,3062m6092,2744l6092,3062m10211,2744l10211,3062e" filled="false" stroked="true" strokeweight=".590053pt" strokecolor="#d9d9d9">
              <v:path arrowok="t"/>
              <v:stroke dashstyle="solid"/>
            </v:shape>
            <v:line style="position:absolute" from="1973,183" to="10211,183" stroked="true" strokeweight=".589983pt" strokecolor="#d9d9d9">
              <v:stroke dashstyle="solid"/>
            </v:line>
            <v:line style="position:absolute" from="6099,183" to="6092,2430" stroked="true" strokeweight=".590124pt" strokecolor="#a6a6a6">
              <v:stroke dashstyle="solid"/>
            </v:line>
            <v:shape style="position:absolute;left:2217;top:2559;width:351;height:166"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2014</w:t>
                    </w:r>
                  </w:p>
                </w:txbxContent>
              </v:textbox>
              <w10:wrap type="none"/>
            </v:shape>
            <v:shape style="position:absolute;left:3041;top:2559;width:351;height:166"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2015</w:t>
                    </w:r>
                  </w:p>
                </w:txbxContent>
              </v:textbox>
              <w10:wrap type="none"/>
            </v:shape>
            <v:shape style="position:absolute;left:3865;top:2559;width:351;height:166"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2016</w:t>
                    </w:r>
                  </w:p>
                </w:txbxContent>
              </v:textbox>
              <w10:wrap type="none"/>
            </v:shape>
            <v:shape style="position:absolute;left:4690;top:2559;width:351;height:166"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2017</w:t>
                    </w:r>
                  </w:p>
                </w:txbxContent>
              </v:textbox>
              <w10:wrap type="none"/>
            </v:shape>
            <v:shape style="position:absolute;left:5514;top:2559;width:351;height:166"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2018</w:t>
                    </w:r>
                  </w:p>
                </w:txbxContent>
              </v:textbox>
              <w10:wrap type="none"/>
            </v:shape>
            <v:shape style="position:absolute;left:6338;top:2559;width:351;height:166"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2019</w:t>
                    </w:r>
                  </w:p>
                </w:txbxContent>
              </v:textbox>
              <w10:wrap type="none"/>
            </v:shape>
            <v:shape style="position:absolute;left:7162;top:2559;width:351;height:166"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2020</w:t>
                    </w:r>
                  </w:p>
                </w:txbxContent>
              </v:textbox>
              <w10:wrap type="none"/>
            </v:shape>
            <v:shape style="position:absolute;left:7986;top:2559;width:351;height:166"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2021</w:t>
                    </w:r>
                  </w:p>
                </w:txbxContent>
              </v:textbox>
              <w10:wrap type="none"/>
            </v:shape>
            <v:shape style="position:absolute;left:8810;top:2559;width:351;height:166"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2022</w:t>
                    </w:r>
                  </w:p>
                </w:txbxContent>
              </v:textbox>
              <w10:wrap type="none"/>
            </v:shape>
            <v:shape style="position:absolute;left:9634;top:2559;width:351;height:166"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2023</w:t>
                    </w:r>
                  </w:p>
                </w:txbxContent>
              </v:textbox>
              <w10:wrap type="none"/>
            </v:shape>
            <v:shape style="position:absolute;left:3776;top:2877;width:4717;height:166" type="#_x0000_t202" filled="false" stroked="false">
              <v:textbox inset="0,0,0,0">
                <w:txbxContent>
                  <w:p>
                    <w:pPr>
                      <w:tabs>
                        <w:tab w:pos="4054" w:val="left" w:leader="none"/>
                      </w:tabs>
                      <w:spacing w:line="165" w:lineRule="exact" w:before="0"/>
                      <w:ind w:left="0" w:right="0" w:firstLine="0"/>
                      <w:jc w:val="left"/>
                      <w:rPr>
                        <w:rFonts w:ascii="Calibri"/>
                        <w:sz w:val="16"/>
                      </w:rPr>
                    </w:pPr>
                    <w:r>
                      <w:rPr>
                        <w:rFonts w:ascii="Calibri"/>
                        <w:color w:val="585858"/>
                        <w:w w:val="105"/>
                        <w:sz w:val="16"/>
                      </w:rPr>
                      <w:t>Historic</w:t>
                      <w:tab/>
                    </w:r>
                    <w:r>
                      <w:rPr>
                        <w:rFonts w:ascii="Calibri"/>
                        <w:color w:val="585858"/>
                        <w:sz w:val="16"/>
                      </w:rPr>
                      <w:t>Projected</w:t>
                    </w:r>
                  </w:p>
                </w:txbxContent>
              </v:textbox>
              <w10:wrap type="none"/>
            </v:shape>
            <w10:wrap type="none"/>
          </v:group>
        </w:pict>
      </w:r>
      <w:r>
        <w:rPr>
          <w:rFonts w:ascii="Calibri"/>
          <w:color w:val="585858"/>
          <w:w w:val="105"/>
          <w:sz w:val="16"/>
        </w:rPr>
        <w:t>250,000</w:t>
      </w:r>
    </w:p>
    <w:p>
      <w:pPr>
        <w:pStyle w:val="BodyText"/>
        <w:spacing w:before="10"/>
        <w:rPr>
          <w:rFonts w:ascii="Calibri"/>
          <w:sz w:val="14"/>
        </w:rPr>
      </w:pPr>
    </w:p>
    <w:p>
      <w:pPr>
        <w:spacing w:before="72"/>
        <w:ind w:left="1156" w:right="0" w:firstLine="0"/>
        <w:jc w:val="left"/>
        <w:rPr>
          <w:rFonts w:ascii="Calibri"/>
          <w:sz w:val="16"/>
        </w:rPr>
      </w:pPr>
      <w:r>
        <w:rPr>
          <w:rFonts w:ascii="Calibri"/>
          <w:color w:val="585858"/>
          <w:w w:val="105"/>
          <w:sz w:val="16"/>
        </w:rPr>
        <w:t>200,000</w:t>
      </w:r>
    </w:p>
    <w:p>
      <w:pPr>
        <w:pStyle w:val="BodyText"/>
        <w:spacing w:before="11"/>
        <w:rPr>
          <w:rFonts w:ascii="Calibri"/>
          <w:sz w:val="14"/>
        </w:rPr>
      </w:pPr>
    </w:p>
    <w:p>
      <w:pPr>
        <w:spacing w:before="72"/>
        <w:ind w:left="1156" w:right="0" w:firstLine="0"/>
        <w:jc w:val="left"/>
        <w:rPr>
          <w:rFonts w:ascii="Calibri"/>
          <w:sz w:val="16"/>
        </w:rPr>
      </w:pPr>
      <w:r>
        <w:rPr>
          <w:rFonts w:ascii="Calibri"/>
          <w:color w:val="585858"/>
          <w:w w:val="105"/>
          <w:sz w:val="16"/>
        </w:rPr>
        <w:t>150,000</w:t>
      </w:r>
    </w:p>
    <w:p>
      <w:pPr>
        <w:pStyle w:val="BodyText"/>
        <w:spacing w:before="11"/>
        <w:rPr>
          <w:rFonts w:ascii="Calibri"/>
          <w:sz w:val="14"/>
        </w:rPr>
      </w:pPr>
    </w:p>
    <w:p>
      <w:pPr>
        <w:spacing w:before="71"/>
        <w:ind w:left="1156" w:right="0" w:firstLine="0"/>
        <w:jc w:val="left"/>
        <w:rPr>
          <w:rFonts w:ascii="Calibri"/>
          <w:sz w:val="16"/>
        </w:rPr>
      </w:pPr>
      <w:r>
        <w:rPr>
          <w:rFonts w:ascii="Calibri"/>
          <w:color w:val="585858"/>
          <w:w w:val="105"/>
          <w:sz w:val="16"/>
        </w:rPr>
        <w:t>100,000</w:t>
      </w:r>
    </w:p>
    <w:p>
      <w:pPr>
        <w:pStyle w:val="BodyText"/>
        <w:spacing w:before="11"/>
        <w:rPr>
          <w:rFonts w:ascii="Calibri"/>
          <w:sz w:val="14"/>
        </w:rPr>
      </w:pPr>
    </w:p>
    <w:p>
      <w:pPr>
        <w:spacing w:before="72"/>
        <w:ind w:left="1239" w:right="0" w:firstLine="0"/>
        <w:jc w:val="left"/>
        <w:rPr>
          <w:rFonts w:ascii="Calibri"/>
          <w:sz w:val="16"/>
        </w:rPr>
      </w:pPr>
      <w:r>
        <w:rPr>
          <w:rFonts w:ascii="Calibri"/>
          <w:color w:val="585858"/>
          <w:w w:val="105"/>
          <w:sz w:val="16"/>
        </w:rPr>
        <w:t>50,000</w:t>
      </w:r>
    </w:p>
    <w:p>
      <w:pPr>
        <w:pStyle w:val="BodyText"/>
        <w:spacing w:before="11"/>
        <w:rPr>
          <w:rFonts w:ascii="Calibri"/>
          <w:sz w:val="14"/>
        </w:rPr>
      </w:pPr>
    </w:p>
    <w:p>
      <w:pPr>
        <w:spacing w:before="72"/>
        <w:ind w:left="1615" w:right="0" w:firstLine="0"/>
        <w:jc w:val="left"/>
        <w:rPr>
          <w:rFonts w:ascii="Calibri"/>
          <w:sz w:val="16"/>
        </w:rPr>
      </w:pPr>
      <w:r>
        <w:rPr>
          <w:rFonts w:ascii="Calibri"/>
          <w:color w:val="585858"/>
          <w:w w:val="103"/>
          <w:sz w:val="16"/>
        </w:rPr>
        <w:t>0</w:t>
      </w:r>
    </w:p>
    <w:p>
      <w:pPr>
        <w:pStyle w:val="BodyText"/>
        <w:rPr>
          <w:rFonts w:ascii="Calibri"/>
        </w:rPr>
      </w:pPr>
    </w:p>
    <w:p>
      <w:pPr>
        <w:pStyle w:val="BodyText"/>
        <w:spacing w:before="5"/>
        <w:rPr>
          <w:rFonts w:ascii="Calibri"/>
          <w:sz w:val="26"/>
        </w:rPr>
      </w:pPr>
    </w:p>
    <w:p>
      <w:pPr>
        <w:spacing w:before="61"/>
        <w:ind w:left="1602" w:right="1416" w:firstLine="0"/>
        <w:jc w:val="center"/>
        <w:rPr>
          <w:rFonts w:ascii="Calibri"/>
          <w:b/>
          <w:sz w:val="19"/>
        </w:rPr>
      </w:pPr>
      <w:r>
        <w:rPr>
          <w:rFonts w:ascii="Calibri"/>
          <w:b/>
          <w:color w:val="585858"/>
          <w:sz w:val="19"/>
        </w:rPr>
        <w:t>Year Ending 30 June</w:t>
      </w:r>
    </w:p>
    <w:p>
      <w:pPr>
        <w:pStyle w:val="BodyText"/>
        <w:spacing w:before="8"/>
        <w:rPr>
          <w:rFonts w:ascii="Calibri"/>
          <w:b/>
          <w:sz w:val="8"/>
        </w:rPr>
      </w:pPr>
    </w:p>
    <w:p>
      <w:pPr>
        <w:spacing w:before="76"/>
        <w:ind w:left="1597" w:right="9672" w:firstLine="0"/>
        <w:jc w:val="center"/>
        <w:rPr>
          <w:rFonts w:ascii="Calibri"/>
          <w:sz w:val="12"/>
        </w:rPr>
      </w:pPr>
      <w:r>
        <w:rPr>
          <w:rFonts w:ascii="Calibri"/>
          <w:sz w:val="12"/>
        </w:rPr>
        <w:t>Class key:</w:t>
      </w:r>
    </w:p>
    <w:p>
      <w:pPr>
        <w:tabs>
          <w:tab w:pos="1445" w:val="left" w:leader="none"/>
          <w:tab w:pos="2891" w:val="left" w:leader="none"/>
          <w:tab w:pos="4337" w:val="left" w:leader="none"/>
          <w:tab w:pos="5782" w:val="left" w:leader="none"/>
          <w:tab w:pos="7228" w:val="left" w:leader="none"/>
        </w:tabs>
        <w:spacing w:before="46"/>
        <w:ind w:left="0" w:right="132" w:firstLine="0"/>
        <w:jc w:val="center"/>
        <w:rPr>
          <w:rFonts w:ascii="Calibri"/>
          <w:sz w:val="12"/>
        </w:rPr>
      </w:pPr>
      <w:r>
        <w:rPr/>
        <w:pict>
          <v:group style="position:absolute;margin-left:85.804085pt;margin-top:1.603528pt;width:10.95pt;height:18.850pt;mso-position-horizontal-relative:page;mso-position-vertical-relative:paragraph;z-index:252472320" coordorigin="1716,32" coordsize="219,377">
            <v:rect style="position:absolute;left:1716;top:32;width:219;height:169" filled="true" fillcolor="#1f487c" stroked="false">
              <v:fill type="solid"/>
            </v:rect>
            <v:rect style="position:absolute;left:1716;top:240;width:219;height:169" filled="true" fillcolor="#f8a763" stroked="false">
              <v:fill type="solid"/>
            </v:rect>
            <w10:wrap type="none"/>
          </v:group>
        </w:pict>
      </w:r>
      <w:r>
        <w:rPr/>
        <w:pict>
          <v:group style="position:absolute;margin-left:157.689728pt;margin-top:1.603528pt;width:11.35pt;height:18.850pt;mso-position-horizontal-relative:page;mso-position-vertical-relative:paragraph;z-index:-287429632" coordorigin="3154,32" coordsize="227,377">
            <v:rect style="position:absolute;left:3153;top:32;width:227;height:169" filled="true" fillcolor="#009544" stroked="false">
              <v:fill type="solid"/>
            </v:rect>
            <v:rect style="position:absolute;left:3153;top:240;width:227;height:169" filled="true" fillcolor="#ecb8e7" stroked="false">
              <v:fill type="solid"/>
            </v:rect>
            <w10:wrap type="none"/>
          </v:group>
        </w:pict>
      </w:r>
      <w:r>
        <w:rPr/>
        <w:pict>
          <v:group style="position:absolute;margin-left:229.97963pt;margin-top:1.603528pt;width:11.35pt;height:18.850pt;mso-position-horizontal-relative:page;mso-position-vertical-relative:paragraph;z-index:-287428608" coordorigin="4600,32" coordsize="227,377">
            <v:rect style="position:absolute;left:4599;top:32;width:227;height:169" filled="true" fillcolor="#e16b09" stroked="false">
              <v:fill type="solid"/>
            </v:rect>
            <v:rect style="position:absolute;left:4599;top:240;width:227;height:169" filled="true" fillcolor="#938953" stroked="false">
              <v:fill type="solid"/>
            </v:rect>
            <w10:wrap type="none"/>
          </v:group>
        </w:pict>
      </w:r>
      <w:r>
        <w:rPr/>
        <w:pict>
          <v:group style="position:absolute;margin-left:302.269928pt;margin-top:1.603528pt;width:11.35pt;height:18.850pt;mso-position-horizontal-relative:page;mso-position-vertical-relative:paragraph;z-index:-287427584" coordorigin="6045,32" coordsize="227,377">
            <v:rect style="position:absolute;left:6045;top:32;width:227;height:169" filled="true" fillcolor="#e08ad6" stroked="false">
              <v:fill type="solid"/>
            </v:rect>
            <v:rect style="position:absolute;left:6045;top:240;width:227;height:169" filled="true" fillcolor="#ffd600" stroked="false">
              <v:fill type="solid"/>
            </v:rect>
            <w10:wrap type="none"/>
          </v:group>
        </w:pict>
      </w:r>
      <w:r>
        <w:rPr/>
        <w:pict>
          <v:group style="position:absolute;margin-left:374.559845pt;margin-top:1.603528pt;width:11.35pt;height:18.850pt;mso-position-horizontal-relative:page;mso-position-vertical-relative:paragraph;z-index:-287426560" coordorigin="7491,32" coordsize="227,377">
            <v:rect style="position:absolute;left:7491;top:32;width:227;height:169" filled="true" fillcolor="#8063a1" stroked="false">
              <v:fill type="solid"/>
            </v:rect>
            <v:rect style="position:absolute;left:7491;top:240;width:227;height:169" filled="true" fillcolor="#000000" stroked="false">
              <v:fill type="solid"/>
            </v:rect>
            <w10:wrap type="none"/>
          </v:group>
        </w:pict>
      </w:r>
      <w:r>
        <w:rPr/>
        <w:pict>
          <v:group style="position:absolute;margin-left:446.849335pt;margin-top:1.603528pt;width:11.35pt;height:18.850pt;mso-position-horizontal-relative:page;mso-position-vertical-relative:paragraph;z-index:-287425536" coordorigin="8937,32" coordsize="227,377">
            <v:rect style="position:absolute;left:8936;top:32;width:227;height:169" filled="true" fillcolor="#c0504d" stroked="false">
              <v:fill type="solid"/>
            </v:rect>
            <v:rect style="position:absolute;left:8936;top:240;width:227;height:169" filled="true" fillcolor="#ffeb8f" stroked="false">
              <v:fill type="solid"/>
            </v:rect>
            <w10:wrap type="none"/>
          </v:group>
        </w:pict>
      </w:r>
      <w:r>
        <w:rPr>
          <w:rFonts w:ascii="Calibri"/>
          <w:sz w:val="12"/>
        </w:rPr>
        <w:t>1</w:t>
      </w:r>
      <w:r>
        <w:rPr>
          <w:rFonts w:ascii="Calibri"/>
          <w:spacing w:val="-7"/>
          <w:sz w:val="12"/>
        </w:rPr>
        <w:t> </w:t>
      </w:r>
      <w:r>
        <w:rPr>
          <w:rFonts w:ascii="Calibri"/>
          <w:sz w:val="12"/>
        </w:rPr>
        <w:t>-</w:t>
      </w:r>
      <w:r>
        <w:rPr>
          <w:rFonts w:ascii="Calibri"/>
          <w:spacing w:val="2"/>
          <w:sz w:val="12"/>
        </w:rPr>
        <w:t> </w:t>
      </w:r>
      <w:r>
        <w:rPr>
          <w:rFonts w:ascii="Calibri"/>
          <w:sz w:val="12"/>
        </w:rPr>
        <w:t>Studying</w:t>
        <w:tab/>
        <w:t>2 -</w:t>
      </w:r>
      <w:r>
        <w:rPr>
          <w:rFonts w:ascii="Calibri"/>
          <w:spacing w:val="-6"/>
          <w:sz w:val="12"/>
        </w:rPr>
        <w:t> </w:t>
      </w:r>
      <w:r>
        <w:rPr>
          <w:rFonts w:ascii="Calibri"/>
          <w:sz w:val="12"/>
        </w:rPr>
        <w:t>Working</w:t>
      </w:r>
      <w:r>
        <w:rPr>
          <w:rFonts w:ascii="Calibri"/>
          <w:spacing w:val="-3"/>
          <w:sz w:val="12"/>
        </w:rPr>
        <w:t> </w:t>
      </w:r>
      <w:r>
        <w:rPr>
          <w:rFonts w:ascii="Calibri"/>
          <w:sz w:val="12"/>
        </w:rPr>
        <w:t>Age</w:t>
        <w:tab/>
        <w:t>3</w:t>
      </w:r>
      <w:r>
        <w:rPr>
          <w:rFonts w:ascii="Calibri"/>
          <w:spacing w:val="-7"/>
          <w:sz w:val="12"/>
        </w:rPr>
        <w:t> </w:t>
      </w:r>
      <w:r>
        <w:rPr>
          <w:rFonts w:ascii="Calibri"/>
          <w:sz w:val="12"/>
        </w:rPr>
        <w:t>-</w:t>
      </w:r>
      <w:r>
        <w:rPr>
          <w:rFonts w:ascii="Calibri"/>
          <w:spacing w:val="1"/>
          <w:sz w:val="12"/>
        </w:rPr>
        <w:t> </w:t>
      </w:r>
      <w:r>
        <w:rPr>
          <w:rFonts w:ascii="Calibri"/>
          <w:sz w:val="12"/>
        </w:rPr>
        <w:t>Parents</w:t>
        <w:tab/>
        <w:t>4</w:t>
      </w:r>
      <w:r>
        <w:rPr>
          <w:rFonts w:ascii="Calibri"/>
          <w:spacing w:val="-8"/>
          <w:sz w:val="12"/>
        </w:rPr>
        <w:t> </w:t>
      </w:r>
      <w:r>
        <w:rPr>
          <w:rFonts w:ascii="Calibri"/>
          <w:sz w:val="12"/>
        </w:rPr>
        <w:t>- Carers</w:t>
        <w:tab/>
        <w:t>5 -</w:t>
      </w:r>
      <w:r>
        <w:rPr>
          <w:rFonts w:ascii="Calibri"/>
          <w:spacing w:val="-2"/>
          <w:sz w:val="12"/>
        </w:rPr>
        <w:t> </w:t>
      </w:r>
      <w:r>
        <w:rPr>
          <w:rFonts w:ascii="Calibri"/>
          <w:sz w:val="12"/>
        </w:rPr>
        <w:t>Disability</w:t>
      </w:r>
      <w:r>
        <w:rPr>
          <w:rFonts w:ascii="Calibri"/>
          <w:spacing w:val="1"/>
          <w:sz w:val="12"/>
        </w:rPr>
        <w:t> </w:t>
      </w:r>
      <w:r>
        <w:rPr>
          <w:rFonts w:ascii="Calibri"/>
          <w:sz w:val="12"/>
        </w:rPr>
        <w:t>Support</w:t>
        <w:tab/>
        <w:t>6 - Pension</w:t>
      </w:r>
      <w:r>
        <w:rPr>
          <w:rFonts w:ascii="Calibri"/>
          <w:spacing w:val="-10"/>
          <w:sz w:val="12"/>
        </w:rPr>
        <w:t> </w:t>
      </w:r>
      <w:r>
        <w:rPr>
          <w:rFonts w:ascii="Calibri"/>
          <w:sz w:val="12"/>
        </w:rPr>
        <w:t>Age</w:t>
      </w:r>
    </w:p>
    <w:p>
      <w:pPr>
        <w:spacing w:after="0"/>
        <w:jc w:val="center"/>
        <w:rPr>
          <w:rFonts w:ascii="Calibri"/>
          <w:sz w:val="12"/>
        </w:rPr>
        <w:sectPr>
          <w:headerReference w:type="default" r:id="rId151"/>
          <w:footerReference w:type="default" r:id="rId152"/>
          <w:pgSz w:w="11910" w:h="16850"/>
          <w:pgMar w:header="572" w:footer="581" w:top="780" w:bottom="780" w:left="120" w:right="0"/>
        </w:sectPr>
      </w:pPr>
    </w:p>
    <w:p>
      <w:pPr>
        <w:spacing w:before="62"/>
        <w:ind w:left="0" w:right="0" w:firstLine="0"/>
        <w:jc w:val="right"/>
        <w:rPr>
          <w:rFonts w:ascii="Calibri"/>
          <w:sz w:val="12"/>
        </w:rPr>
      </w:pPr>
      <w:r>
        <w:rPr>
          <w:rFonts w:ascii="Calibri"/>
          <w:sz w:val="12"/>
        </w:rPr>
        <w:t>7 - Non IS Family</w:t>
      </w:r>
    </w:p>
    <w:p>
      <w:pPr>
        <w:pStyle w:val="ListParagraph"/>
        <w:numPr>
          <w:ilvl w:val="0"/>
          <w:numId w:val="58"/>
        </w:numPr>
        <w:tabs>
          <w:tab w:pos="665" w:val="left" w:leader="none"/>
        </w:tabs>
        <w:spacing w:line="240" w:lineRule="auto" w:before="62" w:after="0"/>
        <w:ind w:left="664" w:right="0" w:hanging="82"/>
        <w:jc w:val="left"/>
        <w:rPr>
          <w:rFonts w:ascii="Calibri"/>
          <w:sz w:val="12"/>
        </w:rPr>
      </w:pPr>
      <w:r>
        <w:rPr>
          <w:rFonts w:ascii="Calibri"/>
          <w:w w:val="100"/>
          <w:sz w:val="12"/>
        </w:rPr>
        <w:br w:type="column"/>
      </w:r>
      <w:r>
        <w:rPr>
          <w:rFonts w:ascii="Calibri"/>
          <w:sz w:val="12"/>
        </w:rPr>
        <w:t>- Non IS</w:t>
      </w:r>
      <w:r>
        <w:rPr>
          <w:rFonts w:ascii="Calibri"/>
          <w:spacing w:val="2"/>
          <w:sz w:val="12"/>
        </w:rPr>
        <w:t> </w:t>
      </w:r>
      <w:r>
        <w:rPr>
          <w:rFonts w:ascii="Calibri"/>
          <w:spacing w:val="-3"/>
          <w:sz w:val="12"/>
        </w:rPr>
        <w:t>Carer</w:t>
      </w:r>
    </w:p>
    <w:p>
      <w:pPr>
        <w:pStyle w:val="ListParagraph"/>
        <w:numPr>
          <w:ilvl w:val="0"/>
          <w:numId w:val="58"/>
        </w:numPr>
        <w:tabs>
          <w:tab w:pos="726" w:val="left" w:leader="none"/>
        </w:tabs>
        <w:spacing w:line="240" w:lineRule="auto" w:before="62" w:after="0"/>
        <w:ind w:left="725" w:right="0" w:hanging="82"/>
        <w:jc w:val="left"/>
        <w:rPr>
          <w:rFonts w:ascii="Calibri"/>
          <w:sz w:val="12"/>
        </w:rPr>
      </w:pPr>
      <w:r>
        <w:rPr>
          <w:rFonts w:ascii="Calibri"/>
          <w:w w:val="100"/>
          <w:sz w:val="12"/>
        </w:rPr>
        <w:br w:type="column"/>
      </w:r>
      <w:r>
        <w:rPr>
          <w:rFonts w:ascii="Calibri"/>
          <w:sz w:val="12"/>
        </w:rPr>
        <w:t>- Non IS</w:t>
      </w:r>
      <w:r>
        <w:rPr>
          <w:rFonts w:ascii="Calibri"/>
          <w:spacing w:val="5"/>
          <w:sz w:val="12"/>
        </w:rPr>
        <w:t> </w:t>
      </w:r>
      <w:r>
        <w:rPr>
          <w:rFonts w:ascii="Calibri"/>
          <w:spacing w:val="-3"/>
          <w:sz w:val="12"/>
        </w:rPr>
        <w:t>Other</w:t>
      </w:r>
    </w:p>
    <w:p>
      <w:pPr>
        <w:pStyle w:val="ListParagraph"/>
        <w:numPr>
          <w:ilvl w:val="0"/>
          <w:numId w:val="58"/>
        </w:numPr>
        <w:tabs>
          <w:tab w:pos="759" w:val="left" w:leader="none"/>
        </w:tabs>
        <w:spacing w:line="261" w:lineRule="auto" w:before="62" w:after="0"/>
        <w:ind w:left="620" w:right="0" w:firstLine="0"/>
        <w:jc w:val="left"/>
        <w:rPr>
          <w:rFonts w:ascii="Calibri"/>
          <w:sz w:val="12"/>
        </w:rPr>
      </w:pPr>
      <w:r>
        <w:rPr>
          <w:rFonts w:ascii="Calibri"/>
          <w:w w:val="100"/>
          <w:sz w:val="12"/>
        </w:rPr>
        <w:br w:type="column"/>
      </w:r>
      <w:r>
        <w:rPr>
          <w:rFonts w:ascii="Calibri"/>
          <w:sz w:val="12"/>
        </w:rPr>
        <w:t>- Previous Welfare Recipient</w:t>
      </w:r>
    </w:p>
    <w:p>
      <w:pPr>
        <w:pStyle w:val="ListParagraph"/>
        <w:numPr>
          <w:ilvl w:val="0"/>
          <w:numId w:val="58"/>
        </w:numPr>
        <w:tabs>
          <w:tab w:pos="482" w:val="left" w:leader="none"/>
        </w:tabs>
        <w:spacing w:line="240" w:lineRule="auto" w:before="62" w:after="0"/>
        <w:ind w:left="481" w:right="0" w:hanging="139"/>
        <w:jc w:val="left"/>
        <w:rPr>
          <w:rFonts w:ascii="Calibri"/>
          <w:sz w:val="12"/>
        </w:rPr>
      </w:pPr>
      <w:r>
        <w:rPr>
          <w:rFonts w:ascii="Calibri"/>
          <w:w w:val="100"/>
          <w:sz w:val="12"/>
        </w:rPr>
        <w:br w:type="column"/>
      </w:r>
      <w:r>
        <w:rPr>
          <w:rFonts w:ascii="Calibri"/>
          <w:sz w:val="12"/>
        </w:rPr>
        <w:t>-</w:t>
      </w:r>
      <w:r>
        <w:rPr>
          <w:rFonts w:ascii="Calibri"/>
          <w:spacing w:val="3"/>
          <w:sz w:val="12"/>
        </w:rPr>
        <w:t> </w:t>
      </w:r>
      <w:r>
        <w:rPr>
          <w:rFonts w:ascii="Calibri"/>
          <w:spacing w:val="-5"/>
          <w:sz w:val="12"/>
        </w:rPr>
        <w:t>Dead</w:t>
      </w:r>
    </w:p>
    <w:p>
      <w:pPr>
        <w:pStyle w:val="ListParagraph"/>
        <w:numPr>
          <w:ilvl w:val="0"/>
          <w:numId w:val="58"/>
        </w:numPr>
        <w:tabs>
          <w:tab w:pos="1084" w:val="left" w:leader="none"/>
        </w:tabs>
        <w:spacing w:line="261" w:lineRule="auto" w:before="62" w:after="0"/>
        <w:ind w:left="946" w:right="1894" w:firstLine="0"/>
        <w:jc w:val="left"/>
        <w:rPr>
          <w:rFonts w:ascii="Calibri"/>
          <w:sz w:val="12"/>
        </w:rPr>
      </w:pPr>
      <w:r>
        <w:rPr>
          <w:rFonts w:ascii="Calibri"/>
          <w:w w:val="100"/>
          <w:sz w:val="12"/>
        </w:rPr>
        <w:br w:type="column"/>
      </w:r>
      <w:r>
        <w:rPr>
          <w:rFonts w:ascii="Calibri"/>
          <w:sz w:val="12"/>
        </w:rPr>
        <w:t>- Rest of Aust. Population</w:t>
      </w:r>
    </w:p>
    <w:p>
      <w:pPr>
        <w:spacing w:after="0" w:line="261" w:lineRule="auto"/>
        <w:jc w:val="left"/>
        <w:rPr>
          <w:rFonts w:ascii="Calibri"/>
          <w:sz w:val="12"/>
        </w:rPr>
        <w:sectPr>
          <w:type w:val="continuous"/>
          <w:pgSz w:w="11910" w:h="16850"/>
          <w:pgMar w:top="1600" w:bottom="280" w:left="120" w:right="0"/>
          <w:cols w:num="6" w:equalWidth="0">
            <w:col w:w="2653" w:space="40"/>
            <w:col w:w="1345" w:space="39"/>
            <w:col w:w="1430" w:space="40"/>
            <w:col w:w="1683" w:space="39"/>
            <w:col w:w="804" w:space="40"/>
            <w:col w:w="3677"/>
          </w:cols>
        </w:sectPr>
      </w:pPr>
    </w:p>
    <w:p>
      <w:pPr>
        <w:pStyle w:val="BodyText"/>
        <w:spacing w:before="2"/>
        <w:rPr>
          <w:rFonts w:ascii="Calibri"/>
          <w:sz w:val="13"/>
        </w:rPr>
      </w:pPr>
    </w:p>
    <w:p>
      <w:pPr>
        <w:pStyle w:val="BodyText"/>
        <w:spacing w:before="93"/>
        <w:ind w:left="899" w:right="1061"/>
      </w:pPr>
      <w:r>
        <w:rPr>
          <w:color w:val="404040"/>
          <w:spacing w:val="3"/>
        </w:rPr>
        <w:t>We </w:t>
      </w:r>
      <w:r>
        <w:rPr>
          <w:color w:val="404040"/>
        </w:rPr>
        <w:t>can see that people typically enter the Age Pension class either from outside the welfare system, or through the Working Age, Disability Support Pension, or Non IS Other classes. The majority of people enter the class upon reaching their age pension qualifying age (pension</w:t>
      </w:r>
      <w:r>
        <w:rPr>
          <w:color w:val="404040"/>
          <w:spacing w:val="-5"/>
        </w:rPr>
        <w:t> </w:t>
      </w:r>
      <w:r>
        <w:rPr>
          <w:color w:val="404040"/>
        </w:rPr>
        <w:t>age).</w:t>
      </w:r>
    </w:p>
    <w:p>
      <w:pPr>
        <w:pStyle w:val="BodyText"/>
        <w:spacing w:before="122"/>
        <w:ind w:left="899" w:right="1110"/>
      </w:pPr>
      <w:r>
        <w:rPr>
          <w:color w:val="404040"/>
        </w:rPr>
        <w:t>Over the last five years, there have generally been fewer people leaving the Age Pension class than entering. Aside from those at the end of their life, only a very small number of people leave the class presumably as a result of changes in their personal circumstances which affects their eligibility. It is possible that these changes in circumstances are temporary and they will re-enter the Age Pension class later in life.</w:t>
      </w:r>
    </w:p>
    <w:p>
      <w:pPr>
        <w:pStyle w:val="BodyText"/>
        <w:spacing w:before="119"/>
        <w:ind w:left="899" w:right="1115"/>
        <w:jc w:val="both"/>
      </w:pPr>
      <w:r>
        <w:rPr>
          <w:color w:val="404040"/>
        </w:rPr>
        <w:t>On 1 January 2017 the assets test changes were implemented, increasing the assets threshold and increasing the taper rate. This led to the cancellation of benefits for approximately 100,000 age pensioners, as well as the re-calculation of pensions for many other pensioners with some payments increasing and other decreasing.</w:t>
      </w:r>
    </w:p>
    <w:p>
      <w:pPr>
        <w:pStyle w:val="BodyText"/>
        <w:spacing w:before="2"/>
        <w:ind w:left="899" w:right="1332"/>
      </w:pPr>
      <w:r>
        <w:rPr>
          <w:color w:val="404040"/>
        </w:rPr>
        <w:t>These cancellations can be seen in the increased 2017/18 exits. An additional impact is the lower expected entries into Age Pension following the tightening of this criteria. This will have acted to reduce the number of people entering into Age Pension after 1 January 2017.</w:t>
      </w:r>
    </w:p>
    <w:p>
      <w:pPr>
        <w:pStyle w:val="BodyText"/>
        <w:spacing w:before="119"/>
        <w:ind w:left="900" w:right="1364" w:hanging="1"/>
      </w:pPr>
      <w:r>
        <w:rPr>
          <w:color w:val="404040"/>
        </w:rPr>
        <w:t>For 2018, the Age Pension age increased from 65 to 65.5 and as such the number of people reaching Age Pension age in that year was about half of the normal number. It follows that we would expect the normal number of transitions into Age Pension at Age Pension age to reduce by about half. However in practice we</w:t>
      </w:r>
    </w:p>
    <w:p>
      <w:pPr>
        <w:spacing w:after="0"/>
        <w:sectPr>
          <w:type w:val="continuous"/>
          <w:pgSz w:w="11910" w:h="16850"/>
          <w:pgMar w:top="1600" w:bottom="280" w:left="120" w:right="0"/>
        </w:sectPr>
      </w:pPr>
    </w:p>
    <w:p>
      <w:pPr>
        <w:pStyle w:val="BodyText"/>
      </w:pPr>
    </w:p>
    <w:p>
      <w:pPr>
        <w:pStyle w:val="BodyText"/>
      </w:pPr>
    </w:p>
    <w:p>
      <w:pPr>
        <w:pStyle w:val="BodyText"/>
        <w:spacing w:before="7"/>
        <w:rPr>
          <w:sz w:val="21"/>
        </w:rPr>
      </w:pPr>
    </w:p>
    <w:p>
      <w:pPr>
        <w:pStyle w:val="BodyText"/>
        <w:spacing w:before="93"/>
        <w:ind w:left="900" w:right="1019"/>
      </w:pPr>
      <w:r>
        <w:rPr>
          <w:color w:val="404040"/>
        </w:rPr>
        <w:t>noted (when looking at more detailed age breakdowns of the information above) that the drop off in numbers entering at Age Pension age was actually more than half. This would appear to be a kind of ‘honeymoon effect’, whereby the impact of a change was a little different to what might be expected, and this would likely be to do with behavioural or administrative factors which acted to further reduce entries. These factors are likely short- term considerations, and we might expect a catch up in entries in future which would counter this honeymoon effect.</w:t>
      </w:r>
    </w:p>
    <w:p>
      <w:pPr>
        <w:pStyle w:val="BodyText"/>
        <w:spacing w:before="121"/>
        <w:ind w:left="900" w:right="1342" w:hanging="1"/>
      </w:pPr>
      <w:r>
        <w:rPr>
          <w:color w:val="404040"/>
        </w:rPr>
        <w:t>The charts above consider Age Pension entries across all ages. Entries into Age Pension at higher ages continued at a more typical level in 2018, and as such the overall drop off was not as marked across this full group – however there was still around a 40% drop off in 2018.</w:t>
      </w:r>
    </w:p>
    <w:p>
      <w:pPr>
        <w:pStyle w:val="BodyText"/>
        <w:spacing w:before="121"/>
        <w:ind w:left="900" w:right="1620" w:hanging="1"/>
      </w:pPr>
      <w:r>
        <w:rPr>
          <w:color w:val="404040"/>
        </w:rPr>
        <w:t>Similar drops in projected entries into the Pension Age class are also seen in 2020 and 2022, as the Age Pension age continues to transitions from age 65 to 67.</w:t>
      </w:r>
    </w:p>
    <w:p>
      <w:pPr>
        <w:pStyle w:val="BodyText"/>
        <w:spacing w:before="121"/>
        <w:ind w:left="900" w:right="1208"/>
      </w:pPr>
      <w:r>
        <w:rPr>
          <w:color w:val="404040"/>
        </w:rPr>
        <w:t>It can also be seen that entries into Age Pension in 2014 were lower than in other recent years. This in due to the Age Pension age for females which increased from 64.5 to 65 for females turning 65 after</w:t>
      </w:r>
    </w:p>
    <w:p>
      <w:pPr>
        <w:pStyle w:val="BodyText"/>
        <w:spacing w:line="229" w:lineRule="exact"/>
        <w:ind w:left="900"/>
      </w:pPr>
      <w:r>
        <w:rPr>
          <w:color w:val="404040"/>
        </w:rPr>
        <w:t>31 December 2013. The Age Pension age for males was 65 during this earlier period.</w:t>
      </w:r>
    </w:p>
    <w:p>
      <w:pPr>
        <w:pStyle w:val="BodyText"/>
        <w:spacing w:before="120"/>
        <w:ind w:left="900"/>
      </w:pPr>
      <w:r>
        <w:rPr>
          <w:color w:val="404040"/>
        </w:rPr>
        <w:t>The projection shows we expect this class to grow again next year and in generally over subsequent years.</w:t>
      </w:r>
    </w:p>
    <w:p>
      <w:pPr>
        <w:pStyle w:val="BodyText"/>
        <w:spacing w:before="8"/>
      </w:pPr>
    </w:p>
    <w:p>
      <w:pPr>
        <w:pStyle w:val="Heading6"/>
        <w:jc w:val="both"/>
        <w:rPr>
          <w:i/>
        </w:rPr>
      </w:pPr>
      <w:r>
        <w:rPr>
          <w:i/>
          <w:color w:val="DF2F1E"/>
        </w:rPr>
        <w:t>Payments received</w:t>
      </w:r>
    </w:p>
    <w:p>
      <w:pPr>
        <w:pStyle w:val="BodyText"/>
        <w:spacing w:before="121"/>
        <w:ind w:left="900" w:right="1167"/>
        <w:jc w:val="both"/>
      </w:pPr>
      <w:r>
        <w:rPr>
          <w:color w:val="404040"/>
        </w:rPr>
        <w:t>During 2017/18, people in this class received a total of $45.8 billion. This is 39.7% of the total payments made in 2017/18. The charts below show the average amount paid in a year to each person in this class, split by the categories of payments received.</w:t>
      </w:r>
    </w:p>
    <w:p>
      <w:pPr>
        <w:pStyle w:val="Heading9"/>
        <w:spacing w:before="177"/>
        <w:jc w:val="both"/>
      </w:pPr>
      <w:r>
        <w:rPr>
          <w:color w:val="DF2F1E"/>
        </w:rPr>
        <w:t>Figure 75: Average payments per person in class 6 – Pension Age (restated to 2017/18 $ values)</w:t>
      </w:r>
    </w:p>
    <w:p>
      <w:pPr>
        <w:pStyle w:val="BodyText"/>
        <w:spacing w:before="9"/>
        <w:rPr>
          <w:b/>
          <w:sz w:val="22"/>
        </w:rPr>
      </w:pPr>
    </w:p>
    <w:p>
      <w:pPr>
        <w:spacing w:before="71"/>
        <w:ind w:left="0" w:right="10231" w:firstLine="0"/>
        <w:jc w:val="right"/>
        <w:rPr>
          <w:rFonts w:ascii="Calibri"/>
          <w:sz w:val="15"/>
        </w:rPr>
      </w:pPr>
      <w:r>
        <w:rPr/>
        <w:pict>
          <v:group style="position:absolute;margin-left:88.370232pt;margin-top:7.987864pt;width:420.25pt;height:141.15pt;mso-position-horizontal-relative:page;mso-position-vertical-relative:paragraph;z-index:252497920" coordorigin="1767,160" coordsize="8405,2823">
            <v:shape style="position:absolute;left:1825;top:831;width:8341;height:1321" coordorigin="1826,832" coordsize="8341,1321" path="m9932,2152l10166,2152m9100,2152l9557,2152m8269,2152l8725,2152m7425,2152l7894,2152m6594,2152l7062,2152m5762,2152l6230,2152m4930,2152l5387,2152m4087,2152l4555,2152m3255,2152l3724,2152m2423,2152l2892,2152m1826,2152l2049,2152m2423,1930l2892,1930m1826,1930l2049,1930m2423,1708l2892,1708m1826,1708l2049,1708m2423,1498l2892,1498m1826,1498l2049,1498m2423,1276l2892,1276m1826,1276l2049,1276m2423,1054l2892,1054m1826,1054l2049,1054m2423,832l2892,832m1826,832l2049,832e" filled="false" stroked="true" strokeweight=".584348pt" strokecolor="#f1f1f1">
              <v:path arrowok="t"/>
              <v:stroke dashstyle="solid"/>
            </v:shape>
            <v:line style="position:absolute" from="2049,2369" to="2423,2369" stroked="true" strokeweight=".58435pt" strokecolor="#1f487c">
              <v:stroke dashstyle="solid"/>
            </v:line>
            <v:line style="position:absolute" from="2049,2369" to="2423,2369" stroked="true" strokeweight=".58435pt" strokecolor="#009544">
              <v:stroke dashstyle="solid"/>
            </v:line>
            <v:line style="position:absolute" from="2049,2369" to="2423,2369" stroked="true" strokeweight=".58435pt" strokecolor="#e16b09">
              <v:stroke dashstyle="solid"/>
            </v:line>
            <v:line style="position:absolute" from="2049,2369" to="2423,2369" stroked="true" strokeweight=".58435pt" strokecolor="#e08ad6">
              <v:stroke dashstyle="solid"/>
            </v:line>
            <v:line style="position:absolute" from="2049,2369" to="2423,2369" stroked="true" strokeweight=".58435pt" strokecolor="#8063a1">
              <v:stroke dashstyle="solid"/>
            </v:line>
            <v:rect style="position:absolute;left:2048;top:703;width:375;height:1660" filled="true" fillcolor="#c0504d" stroked="false">
              <v:fill type="solid"/>
            </v:rect>
            <v:shape style="position:absolute;left:3255;top:831;width:469;height:1099" coordorigin="3255,832" coordsize="469,1099" path="m3255,1930l3724,1930m3255,1708l3724,1708m3255,1498l3724,1498m3255,1276l3724,1276m3255,1054l3724,1054m3255,832l3724,832e" filled="false" stroked="true" strokeweight=".584348pt" strokecolor="#f1f1f1">
              <v:path arrowok="t"/>
              <v:stroke dashstyle="solid"/>
            </v:shape>
            <v:line style="position:absolute" from="2892,2369" to="3255,2369" stroked="true" strokeweight=".58435pt" strokecolor="#1f487c">
              <v:stroke dashstyle="solid"/>
            </v:line>
            <v:line style="position:absolute" from="2892,2369" to="3255,2369" stroked="true" strokeweight=".58435pt" strokecolor="#009544">
              <v:stroke dashstyle="solid"/>
            </v:line>
            <v:line style="position:absolute" from="2892,2369" to="3255,2369" stroked="true" strokeweight=".58435pt" strokecolor="#e16b09">
              <v:stroke dashstyle="solid"/>
            </v:line>
            <v:line style="position:absolute" from="2892,2369" to="3255,2369" stroked="true" strokeweight=".58435pt" strokecolor="#e08ad6">
              <v:stroke dashstyle="solid"/>
            </v:line>
            <v:line style="position:absolute" from="2892,2369" to="3255,2369" stroked="true" strokeweight=".58435pt" strokecolor="#8063a1">
              <v:stroke dashstyle="solid"/>
            </v:line>
            <v:rect style="position:absolute;left:2891;top:714;width:364;height:1648" filled="true" fillcolor="#c0504d" stroked="false">
              <v:fill type="solid"/>
            </v:rect>
            <v:shape style="position:absolute;left:4086;top:831;width:469;height:1099" coordorigin="4087,832" coordsize="469,1099" path="m4087,1930l4555,1930m4087,1708l4555,1708m4087,1498l4555,1498m4087,1276l4555,1276m4087,1054l4555,1054m4087,832l4555,832e" filled="false" stroked="true" strokeweight=".584348pt" strokecolor="#f1f1f1">
              <v:path arrowok="t"/>
              <v:stroke dashstyle="solid"/>
            </v:shape>
            <v:line style="position:absolute" from="3724,2369" to="4087,2369" stroked="true" strokeweight=".58435pt" strokecolor="#1f487c">
              <v:stroke dashstyle="solid"/>
            </v:line>
            <v:line style="position:absolute" from="3724,2369" to="4087,2369" stroked="true" strokeweight=".58435pt" strokecolor="#009544">
              <v:stroke dashstyle="solid"/>
            </v:line>
            <v:line style="position:absolute" from="3724,2369" to="4087,2369" stroked="true" strokeweight=".58435pt" strokecolor="#e16b09">
              <v:stroke dashstyle="solid"/>
            </v:line>
            <v:line style="position:absolute" from="3724,2369" to="4087,2369" stroked="true" strokeweight=".58435pt" strokecolor="#e08ad6">
              <v:stroke dashstyle="solid"/>
            </v:line>
            <v:line style="position:absolute" from="3724,2369" to="4087,2369" stroked="true" strokeweight=".58435pt" strokecolor="#8063a1">
              <v:stroke dashstyle="solid"/>
            </v:line>
            <v:rect style="position:absolute;left:3723;top:714;width:364;height:1648" filled="true" fillcolor="#c0504d" stroked="false">
              <v:fill type="solid"/>
            </v:rect>
            <v:shape style="position:absolute;left:4930;top:831;width:457;height:1099" coordorigin="4930,832" coordsize="457,1099" path="m4930,1930l5387,1930m4930,1708l5387,1708m4930,1498l5387,1498m4930,1276l5387,1276m4930,1054l5387,1054m4930,832l5387,832e" filled="false" stroked="true" strokeweight=".584348pt" strokecolor="#f1f1f1">
              <v:path arrowok="t"/>
              <v:stroke dashstyle="solid"/>
            </v:shape>
            <v:line style="position:absolute" from="4555,2369" to="4930,2369" stroked="true" strokeweight=".58435pt" strokecolor="#1f487c">
              <v:stroke dashstyle="solid"/>
            </v:line>
            <v:line style="position:absolute" from="4555,2369" to="4930,2369" stroked="true" strokeweight=".58435pt" strokecolor="#009544">
              <v:stroke dashstyle="solid"/>
            </v:line>
            <v:line style="position:absolute" from="4555,2369" to="4930,2369" stroked="true" strokeweight=".58435pt" strokecolor="#e16b09">
              <v:stroke dashstyle="solid"/>
            </v:line>
            <v:line style="position:absolute" from="4555,2369" to="4930,2369" stroked="true" strokeweight=".58435pt" strokecolor="#e08ad6">
              <v:stroke dashstyle="solid"/>
            </v:line>
            <v:line style="position:absolute" from="4555,2369" to="4930,2369" stroked="true" strokeweight=".58435pt" strokecolor="#8063a1">
              <v:stroke dashstyle="solid"/>
            </v:line>
            <v:rect style="position:absolute;left:4555;top:738;width:375;height:1625" filled="true" fillcolor="#c0504d" stroked="false">
              <v:fill type="solid"/>
            </v:rect>
            <v:shape style="position:absolute;left:5761;top:831;width:469;height:1099" coordorigin="5762,832" coordsize="469,1099" path="m5762,1930l6230,1930m5762,1708l6230,1708m5762,1498l6230,1498m5762,1276l6230,1276m5762,1054l6230,1054m5762,832l6230,832e" filled="false" stroked="true" strokeweight=".584348pt" strokecolor="#f1f1f1">
              <v:path arrowok="t"/>
              <v:stroke dashstyle="solid"/>
            </v:shape>
            <v:line style="position:absolute" from="5387,2369" to="5762,2369" stroked="true" strokeweight=".58435pt" strokecolor="#1f487c">
              <v:stroke dashstyle="solid"/>
            </v:line>
            <v:line style="position:absolute" from="5387,2369" to="5762,2369" stroked="true" strokeweight=".58435pt" strokecolor="#009544">
              <v:stroke dashstyle="solid"/>
            </v:line>
            <v:line style="position:absolute" from="5387,2369" to="5762,2369" stroked="true" strokeweight=".58435pt" strokecolor="#e16b09">
              <v:stroke dashstyle="solid"/>
            </v:line>
            <v:line style="position:absolute" from="5387,2369" to="5762,2369" stroked="true" strokeweight=".58435pt" strokecolor="#e08ad6">
              <v:stroke dashstyle="solid"/>
            </v:line>
            <v:line style="position:absolute" from="5387,2369" to="5762,2369" stroked="true" strokeweight=".58435pt" strokecolor="#8063a1">
              <v:stroke dashstyle="solid"/>
            </v:line>
            <v:rect style="position:absolute;left:5386;top:691;width:375;height:1672" filled="true" fillcolor="#c0504d" stroked="false">
              <v:fill type="solid"/>
            </v:rect>
            <v:shape style="position:absolute;left:5761;top:609;width:1301;height:1321" coordorigin="5762,610" coordsize="1301,1321" path="m6594,1930l7062,1930m6594,1708l7062,1708m6594,1498l7062,1498m6594,1276l7062,1276m6594,1054l7062,1054m6594,832l7062,832m6594,610l7062,610m5762,610l6230,610e" filled="false" stroked="true" strokeweight=".584348pt" strokecolor="#f1f1f1">
              <v:path arrowok="t"/>
              <v:stroke dashstyle="solid"/>
            </v:shape>
            <v:line style="position:absolute" from="6230,2369" to="6594,2369" stroked="true" strokeweight=".58435pt" strokecolor="#1f487c">
              <v:stroke dashstyle="solid"/>
            </v:line>
            <v:line style="position:absolute" from="6230,2369" to="6594,2369" stroked="true" strokeweight=".58435pt" strokecolor="#009544">
              <v:stroke dashstyle="solid"/>
            </v:line>
            <v:line style="position:absolute" from="6230,2369" to="6594,2369" stroked="true" strokeweight=".58435pt" strokecolor="#e16b09">
              <v:stroke dashstyle="solid"/>
            </v:line>
            <v:line style="position:absolute" from="6230,2369" to="6594,2369" stroked="true" strokeweight=".58435pt" strokecolor="#e08ad6">
              <v:stroke dashstyle="solid"/>
            </v:line>
            <v:line style="position:absolute" from="6230,2369" to="6594,2369" stroked="true" strokeweight=".58435pt" strokecolor="#8063a1">
              <v:stroke dashstyle="solid"/>
            </v:line>
            <v:rect style="position:absolute;left:6230;top:679;width:364;height:1683" filled="true" fillcolor="#c0504d" stroked="false">
              <v:fill type="solid"/>
            </v:rect>
            <v:shape style="position:absolute;left:7425;top:609;width:469;height:1321" coordorigin="7425,610" coordsize="469,1321" path="m7425,1930l7894,1930m7425,1708l7894,1708m7425,1498l7894,1498m7425,1276l7894,1276m7425,1054l7894,1054m7425,832l7894,832m7425,610l7894,610e" filled="false" stroked="true" strokeweight=".584348pt" strokecolor="#f1f1f1">
              <v:path arrowok="t"/>
              <v:stroke dashstyle="solid"/>
            </v:shape>
            <v:line style="position:absolute" from="7062,2369" to="7425,2369" stroked="true" strokeweight=".58435pt" strokecolor="#1f487c">
              <v:stroke dashstyle="solid"/>
            </v:line>
            <v:line style="position:absolute" from="7062,2369" to="7425,2369" stroked="true" strokeweight=".58435pt" strokecolor="#009544">
              <v:stroke dashstyle="solid"/>
            </v:line>
            <v:line style="position:absolute" from="7062,2369" to="7425,2369" stroked="true" strokeweight=".58435pt" strokecolor="#e16b09">
              <v:stroke dashstyle="solid"/>
            </v:line>
            <v:line style="position:absolute" from="7062,2369" to="7425,2369" stroked="true" strokeweight=".58435pt" strokecolor="#e08ad6">
              <v:stroke dashstyle="solid"/>
            </v:line>
            <v:line style="position:absolute" from="7062,2369" to="7425,2369" stroked="true" strokeweight=".58435pt" strokecolor="#8063a1">
              <v:stroke dashstyle="solid"/>
            </v:line>
            <v:rect style="position:absolute;left:7062;top:668;width:364;height:1695" filled="true" fillcolor="#c0504d" stroked="false">
              <v:fill type="solid"/>
            </v:rect>
            <v:shape style="position:absolute;left:8268;top:609;width:457;height:1321" coordorigin="8269,610" coordsize="457,1321" path="m8269,1930l8725,1930m8269,1708l8725,1708m8269,1498l8725,1498m8269,1276l8725,1276m8269,1054l8725,1054m8269,832l8725,832m8269,610l8725,610e" filled="false" stroked="true" strokeweight=".584348pt" strokecolor="#f1f1f1">
              <v:path arrowok="t"/>
              <v:stroke dashstyle="solid"/>
            </v:shape>
            <v:line style="position:absolute" from="7894,2369" to="8269,2369" stroked="true" strokeweight=".58435pt" strokecolor="#1f487c">
              <v:stroke dashstyle="solid"/>
            </v:line>
            <v:line style="position:absolute" from="7894,2369" to="8269,2369" stroked="true" strokeweight=".58435pt" strokecolor="#009544">
              <v:stroke dashstyle="solid"/>
            </v:line>
            <v:line style="position:absolute" from="7894,2369" to="8269,2369" stroked="true" strokeweight=".58435pt" strokecolor="#e16b09">
              <v:stroke dashstyle="solid"/>
            </v:line>
            <v:line style="position:absolute" from="7894,2369" to="8269,2369" stroked="true" strokeweight=".58435pt" strokecolor="#e08ad6">
              <v:stroke dashstyle="solid"/>
            </v:line>
            <v:line style="position:absolute" from="7894,2369" to="8269,2369" stroked="true" strokeweight=".58435pt" strokecolor="#8063a1">
              <v:stroke dashstyle="solid"/>
            </v:line>
            <v:rect style="position:absolute;left:7893;top:679;width:375;height:1683" filled="true" fillcolor="#c0504d" stroked="false">
              <v:fill type="solid"/>
            </v:rect>
            <v:shape style="position:absolute;left:9100;top:609;width:457;height:1321" coordorigin="9100,610" coordsize="457,1321" path="m9100,1930l9557,1930m9100,1708l9557,1708m9100,1498l9557,1498m9100,1276l9557,1276m9100,1054l9557,1054m9100,832l9557,832m9100,610l9557,610e" filled="false" stroked="true" strokeweight=".584348pt" strokecolor="#f1f1f1">
              <v:path arrowok="t"/>
              <v:stroke dashstyle="solid"/>
            </v:shape>
            <v:line style="position:absolute" from="8725,2369" to="9100,2369" stroked="true" strokeweight=".58435pt" strokecolor="#1f487c">
              <v:stroke dashstyle="solid"/>
            </v:line>
            <v:line style="position:absolute" from="8725,2369" to="9100,2369" stroked="true" strokeweight=".58435pt" strokecolor="#009544">
              <v:stroke dashstyle="solid"/>
            </v:line>
            <v:line style="position:absolute" from="8725,2369" to="9100,2369" stroked="true" strokeweight=".58435pt" strokecolor="#e16b09">
              <v:stroke dashstyle="solid"/>
            </v:line>
            <v:line style="position:absolute" from="8725,2369" to="9100,2369" stroked="true" strokeweight=".58435pt" strokecolor="#e08ad6">
              <v:stroke dashstyle="solid"/>
            </v:line>
            <v:line style="position:absolute" from="8725,2369" to="9100,2369" stroked="true" strokeweight=".58435pt" strokecolor="#8063a1">
              <v:stroke dashstyle="solid"/>
            </v:line>
            <v:rect style="position:absolute;left:8725;top:668;width:375;height:1695" filled="true" fillcolor="#c0504d" stroked="false">
              <v:fill type="solid"/>
            </v:rect>
            <v:shape style="position:absolute;left:9931;top:609;width:235;height:1321" coordorigin="9932,610" coordsize="235,1321" path="m9932,1930l10166,1930m9932,1708l10166,1708m9932,1498l10166,1498m9932,1276l10166,1276m9932,1054l10166,1054m9932,832l10166,832m9932,610l10166,610e" filled="false" stroked="true" strokeweight=".584348pt" strokecolor="#f1f1f1">
              <v:path arrowok="t"/>
              <v:stroke dashstyle="solid"/>
            </v:shape>
            <v:line style="position:absolute" from="9557,2369" to="9932,2369" stroked="true" strokeweight=".58435pt" strokecolor="#1f487c">
              <v:stroke dashstyle="solid"/>
            </v:line>
            <v:line style="position:absolute" from="9557,2369" to="9932,2369" stroked="true" strokeweight=".58435pt" strokecolor="#009544">
              <v:stroke dashstyle="solid"/>
            </v:line>
            <v:line style="position:absolute" from="9557,2369" to="9932,2369" stroked="true" strokeweight=".58435pt" strokecolor="#e16b09">
              <v:stroke dashstyle="solid"/>
            </v:line>
            <v:line style="position:absolute" from="9557,2369" to="9932,2369" stroked="true" strokeweight=".58435pt" strokecolor="#e08ad6">
              <v:stroke dashstyle="solid"/>
            </v:line>
            <v:rect style="position:absolute;left:9557;top:668;width:375;height:1695" filled="true" fillcolor="#c0504d" stroked="false">
              <v:fill type="solid"/>
            </v:rect>
            <v:line style="position:absolute" from="2049,697" to="2423,697" stroked="true" strokeweight=".584344pt" strokecolor="#c9dba4">
              <v:stroke dashstyle="solid"/>
            </v:line>
            <v:shape style="position:absolute;left:2891;top:709;width:1195;height:2" coordorigin="2892,709" coordsize="1195,0" path="m2892,709l3255,709m3724,709l4087,709e" filled="false" stroked="true" strokeweight=".584356pt" strokecolor="#c9dba4">
              <v:path arrowok="t"/>
              <v:stroke dashstyle="solid"/>
            </v:shape>
            <v:line style="position:absolute" from="4555,732" to="4930,732" stroked="true" strokeweight=".584344pt" strokecolor="#c9dba4">
              <v:stroke dashstyle="solid"/>
            </v:line>
            <v:line style="position:absolute" from="4930,610" to="5387,610" stroked="true" strokeweight=".584348pt" strokecolor="#f1f1f1">
              <v:stroke dashstyle="solid"/>
            </v:line>
            <v:line style="position:absolute" from="5387,686" to="5762,686" stroked="true" strokeweight=".584356pt" strokecolor="#c9dba4">
              <v:stroke dashstyle="solid"/>
            </v:line>
            <v:line style="position:absolute" from="6230,674" to="6594,674" stroked="true" strokeweight=".584344pt" strokecolor="#c9dba4">
              <v:stroke dashstyle="solid"/>
            </v:line>
            <v:line style="position:absolute" from="7062,662" to="7425,662" stroked="true" strokeweight=".584344pt" strokecolor="#c9dba4">
              <v:stroke dashstyle="solid"/>
            </v:line>
            <v:line style="position:absolute" from="7894,674" to="8269,674" stroked="true" strokeweight=".584344pt" strokecolor="#c9dba4">
              <v:stroke dashstyle="solid"/>
            </v:line>
            <v:shape style="position:absolute;left:8725;top:662;width:1207;height:2" coordorigin="8725,662" coordsize="1207,0" path="m8725,662l9100,662m9557,662l9932,662e" filled="false" stroked="true" strokeweight=".584344pt" strokecolor="#c9dba4">
              <v:path arrowok="t"/>
              <v:stroke dashstyle="solid"/>
            </v:shape>
            <v:line style="position:absolute" from="2049,697" to="2423,697" stroked="true" strokeweight=".584344pt" strokecolor="#f8a763">
              <v:stroke dashstyle="solid"/>
            </v:line>
            <v:shape style="position:absolute;left:2891;top:709;width:1195;height:2" coordorigin="2892,709" coordsize="1195,0" path="m2892,709l3255,709m3724,709l4087,709e" filled="false" stroked="true" strokeweight=".584356pt" strokecolor="#f8a763">
              <v:path arrowok="t"/>
              <v:stroke dashstyle="solid"/>
            </v:shape>
            <v:line style="position:absolute" from="4555,732" to="4930,732" stroked="true" strokeweight=".584344pt" strokecolor="#f8a763">
              <v:stroke dashstyle="solid"/>
            </v:line>
            <v:line style="position:absolute" from="5387,686" to="5762,686" stroked="true" strokeweight=".584356pt" strokecolor="#f8a763">
              <v:stroke dashstyle="solid"/>
            </v:line>
            <v:line style="position:absolute" from="6230,674" to="6594,674" stroked="true" strokeweight=".584344pt" strokecolor="#f8a763">
              <v:stroke dashstyle="solid"/>
            </v:line>
            <v:line style="position:absolute" from="7062,662" to="7425,662" stroked="true" strokeweight=".584344pt" strokecolor="#f8a763">
              <v:stroke dashstyle="solid"/>
            </v:line>
            <v:line style="position:absolute" from="7894,674" to="8269,674" stroked="true" strokeweight=".584344pt" strokecolor="#f8a763">
              <v:stroke dashstyle="solid"/>
            </v:line>
            <v:shape style="position:absolute;left:8725;top:662;width:1207;height:2" coordorigin="8725,662" coordsize="1207,0" path="m8725,662l9100,662m9557,662l9932,662e" filled="false" stroked="true" strokeweight=".584344pt" strokecolor="#f8a763">
              <v:path arrowok="t"/>
              <v:stroke dashstyle="solid"/>
            </v:shape>
            <v:shape style="position:absolute;left:1825;top:609;width:1066;height:2" coordorigin="1826,610" coordsize="1066,0" path="m2423,610l2892,610m1826,610l2049,610e" filled="false" stroked="true" strokeweight=".584348pt" strokecolor="#f1f1f1">
              <v:path arrowok="t"/>
              <v:stroke dashstyle="solid"/>
            </v:shape>
            <v:shape style="position:absolute;left:2048;top:685;width:2039;height:24" coordorigin="2049,686" coordsize="2039,24" path="m2049,686l2423,686m2892,709l3255,709m3724,709l4087,709e" filled="false" stroked="true" strokeweight=".584356pt" strokecolor="#f9c090">
              <v:path arrowok="t"/>
              <v:stroke dashstyle="solid"/>
            </v:shape>
            <v:line style="position:absolute" from="4555,721" to="4930,721" stroked="true" strokeweight=".584356pt" strokecolor="#f9c090">
              <v:stroke dashstyle="solid"/>
            </v:line>
            <v:shape style="position:absolute;left:5386;top:673;width:1207;height:2" coordorigin="5387,674" coordsize="1207,0" path="m5387,674l5762,674m6230,674l6594,674e" filled="false" stroked="true" strokeweight=".584344pt" strokecolor="#f9c090">
              <v:path arrowok="t"/>
              <v:stroke dashstyle="solid"/>
            </v:shape>
            <v:shape style="position:absolute;left:7062;top:662;width:2870;height:2" coordorigin="7062,662" coordsize="2870,0" path="m7062,662l7425,662m7894,662l8269,662m8725,662l9100,662m9557,662l9932,662e" filled="false" stroked="true" strokeweight=".584344pt" strokecolor="#f9c090">
              <v:path arrowok="t"/>
              <v:stroke dashstyle="solid"/>
            </v:shape>
            <v:line style="position:absolute" from="2049,686" to="2423,686" stroked="true" strokeweight=".584356pt" strokecolor="#fbddc4">
              <v:stroke dashstyle="solid"/>
            </v:line>
            <v:line style="position:absolute" from="2892,697" to="3255,697" stroked="true" strokeweight=".584344pt" strokecolor="#fbddc4">
              <v:stroke dashstyle="solid"/>
            </v:line>
            <v:line style="position:absolute" from="3724,709" to="4087,709" stroked="true" strokeweight=".584356pt" strokecolor="#fbddc4">
              <v:stroke dashstyle="solid"/>
            </v:line>
            <v:line style="position:absolute" from="4555,721" to="4930,721" stroked="true" strokeweight=".584356pt" strokecolor="#fbddc4">
              <v:stroke dashstyle="solid"/>
            </v:line>
            <v:shape style="position:absolute;left:5386;top:673;width:1207;height:2" coordorigin="5387,674" coordsize="1207,0" path="m5387,674l5762,674m6230,674l6594,674e" filled="false" stroked="true" strokeweight=".584344pt" strokecolor="#fbddc4">
              <v:path arrowok="t"/>
              <v:stroke dashstyle="solid"/>
            </v:shape>
            <v:shape style="position:absolute;left:7062;top:662;width:1207;height:2" coordorigin="7062,662" coordsize="1207,0" path="m7062,662l7425,662m7894,662l8269,662e" filled="false" stroked="true" strokeweight=".584344pt" strokecolor="#fbddc4">
              <v:path arrowok="t"/>
              <v:stroke dashstyle="solid"/>
            </v:shape>
            <v:line style="position:absolute" from="8725,651" to="9100,651" stroked="true" strokeweight=".584344pt" strokecolor="#fbddc4">
              <v:stroke dashstyle="solid"/>
            </v:line>
            <v:line style="position:absolute" from="9557,662" to="9932,662" stroked="true" strokeweight=".584344pt" strokecolor="#fbddc4">
              <v:stroke dashstyle="solid"/>
            </v:line>
            <v:line style="position:absolute" from="2049,686" to="2423,686" stroked="true" strokeweight=".584356pt" strokecolor="#938953">
              <v:stroke dashstyle="solid"/>
            </v:line>
            <v:line style="position:absolute" from="2892,697" to="3255,697" stroked="true" strokeweight=".584344pt" strokecolor="#938953">
              <v:stroke dashstyle="solid"/>
            </v:line>
            <v:line style="position:absolute" from="3724,709" to="4087,709" stroked="true" strokeweight=".584356pt" strokecolor="#938953">
              <v:stroke dashstyle="solid"/>
            </v:line>
            <v:line style="position:absolute" from="4555,721" to="4930,721" stroked="true" strokeweight=".584356pt" strokecolor="#938953">
              <v:stroke dashstyle="solid"/>
            </v:line>
            <v:shape style="position:absolute;left:5386;top:673;width:1207;height:2" coordorigin="5387,674" coordsize="1207,0" path="m5387,674l5762,674m6230,674l6594,674e" filled="false" stroked="true" strokeweight=".584344pt" strokecolor="#938953">
              <v:path arrowok="t"/>
              <v:stroke dashstyle="solid"/>
            </v:shape>
            <v:shape style="position:absolute;left:7062;top:662;width:1207;height:2" coordorigin="7062,662" coordsize="1207,0" path="m7062,662l7425,662m7894,662l8269,662e" filled="false" stroked="true" strokeweight=".584344pt" strokecolor="#938953">
              <v:path arrowok="t"/>
              <v:stroke dashstyle="solid"/>
            </v:shape>
            <v:line style="position:absolute" from="8725,651" to="9100,651" stroked="true" strokeweight=".584344pt" strokecolor="#938953">
              <v:stroke dashstyle="solid"/>
            </v:line>
            <v:line style="position:absolute" from="9557,662" to="9932,662" stroked="true" strokeweight=".584344pt" strokecolor="#938953">
              <v:stroke dashstyle="solid"/>
            </v:line>
            <v:line style="position:absolute" from="2049,686" to="2423,686" stroked="true" strokeweight=".584356pt" strokecolor="#ecb8e7">
              <v:stroke dashstyle="solid"/>
            </v:line>
            <v:shape style="position:absolute;left:2891;top:697;width:1195;height:2" coordorigin="2892,697" coordsize="1195,0" path="m2892,697l3255,697m3724,697l4087,697e" filled="false" stroked="true" strokeweight=".584344pt" strokecolor="#ecb8e7">
              <v:path arrowok="t"/>
              <v:stroke dashstyle="solid"/>
            </v:shape>
            <v:rect style="position:absolute;left:4555;top:703;width:375;height:24" filled="true" fillcolor="#ecb8e7" stroked="false">
              <v:fill type="solid"/>
            </v:rect>
            <v:line style="position:absolute" from="5387,674" to="5762,674" stroked="true" strokeweight=".584344pt" strokecolor="#ecb8e7">
              <v:stroke dashstyle="solid"/>
            </v:line>
            <v:shape style="position:absolute;left:6230;top:644;width:1195;height:36" coordorigin="6230,645" coordsize="1195,36" path="m6594,656l6230,656,6230,680,6594,680,6594,656m7425,645l7062,645,7062,668,7425,668,7425,645e" filled="true" fillcolor="#ecb8e7" stroked="false">
              <v:path arrowok="t"/>
              <v:fill type="solid"/>
            </v:shape>
            <v:line style="position:absolute" from="7894,662" to="8269,662" stroked="true" strokeweight=".584344pt" strokecolor="#ecb8e7">
              <v:stroke dashstyle="solid"/>
            </v:line>
            <v:line style="position:absolute" from="8725,651" to="9100,651" stroked="true" strokeweight=".584344pt" strokecolor="#ecb8e7">
              <v:stroke dashstyle="solid"/>
            </v:line>
            <v:rect style="position:absolute;left:9557;top:644;width:375;height:24" filled="true" fillcolor="#ecb8e7" stroked="false">
              <v:fill type="solid"/>
            </v:rect>
            <v:line style="position:absolute" from="5387,662" to="5762,662" stroked="true" strokeweight=".584344pt" strokecolor="#c4bc96">
              <v:stroke dashstyle="solid"/>
            </v:line>
            <v:line style="position:absolute" from="5387,662" to="5762,662" stroked="true" strokeweight=".584344pt" strokecolor="#808080">
              <v:stroke dashstyle="solid"/>
            </v:line>
            <v:rect style="position:absolute;left:2048;top:481;width:375;height:199" filled="true" fillcolor="#a6a6a6" stroked="false">
              <v:fill type="solid"/>
            </v:rect>
            <v:line style="position:absolute" from="3255,610" to="3724,610" stroked="true" strokeweight=".584348pt" strokecolor="#f1f1f1">
              <v:stroke dashstyle="solid"/>
            </v:line>
            <v:rect style="position:absolute;left:2891;top:492;width:364;height:199" filled="true" fillcolor="#a6a6a6" stroked="false">
              <v:fill type="solid"/>
            </v:rect>
            <v:line style="position:absolute" from="4087,610" to="4555,610" stroked="true" strokeweight=".584348pt" strokecolor="#f1f1f1">
              <v:stroke dashstyle="solid"/>
            </v:line>
            <v:shape style="position:absolute;left:3723;top:469;width:2870;height:234" coordorigin="3724,469" coordsize="2870,234" path="m4087,505l3724,505,3724,692,4087,692,4087,505m4930,516l4555,516,4555,703,4930,703,4930,516m5762,469l5387,469,5387,656,5762,656,5762,469m6594,469l6230,469,6230,656,6594,656,6594,469e" filled="true" fillcolor="#a6a6a6" stroked="false">
              <v:path arrowok="t"/>
              <v:fill type="solid"/>
            </v:shape>
            <v:line style="position:absolute" from="1826,388" to="10166,388" stroked="true" strokeweight=".584348pt" strokecolor="#f1f1f1">
              <v:stroke dashstyle="solid"/>
            </v:line>
            <v:shape style="position:absolute;left:7062;top:446;width:2870;height:211" coordorigin="7062,446" coordsize="2870,211" path="m7425,458l7062,458,7062,645,7425,645,7425,458m8269,458l7894,458,7894,656,8269,656,8269,458m9100,446l8725,446,8725,645,9100,645,9100,446m9932,458l9557,458,9557,645,9932,645,9932,458e" filled="true" fillcolor="#a6a6a6" stroked="false">
              <v:path arrowok="t"/>
              <v:fill type="solid"/>
            </v:shape>
            <v:line style="position:absolute" from="2049,475" to="2423,475" stroked="true" strokeweight=".584344pt" strokecolor="#d9d9d9">
              <v:stroke dashstyle="solid"/>
            </v:line>
            <v:shape style="position:absolute;left:2891;top:487;width:1195;height:12" coordorigin="2892,487" coordsize="1195,12" path="m2892,487l3255,487m3724,499l4087,499e" filled="false" stroked="true" strokeweight=".584344pt" strokecolor="#d9d9d9">
              <v:path arrowok="t"/>
              <v:stroke dashstyle="solid"/>
            </v:shape>
            <v:line style="position:absolute" from="4555,510" to="4930,510" stroked="true" strokeweight=".584356pt" strokecolor="#d9d9d9">
              <v:stroke dashstyle="solid"/>
            </v:line>
            <v:shape style="position:absolute;left:5386;top:451;width:2882;height:12" coordorigin="5387,452" coordsize="2882,12" path="m5387,464l5762,464m6230,464l6594,464m7062,452l7425,452m7894,452l8269,452e" filled="false" stroked="true" strokeweight=".584344pt" strokecolor="#d9d9d9">
              <v:path arrowok="t"/>
              <v:stroke dashstyle="solid"/>
            </v:shape>
            <v:line style="position:absolute" from="8725,440" to="9100,440" stroked="true" strokeweight=".584356pt" strokecolor="#d9d9d9">
              <v:stroke dashstyle="solid"/>
            </v:line>
            <v:line style="position:absolute" from="9557,452" to="9932,452" stroked="true" strokeweight=".584344pt" strokecolor="#d9d9d9">
              <v:stroke dashstyle="solid"/>
            </v:line>
            <v:line style="position:absolute" from="2049,458" to="2423,458" stroked="true" strokeweight="1.168699pt" strokecolor="#413c22">
              <v:stroke dashstyle="solid"/>
            </v:line>
            <v:rect style="position:absolute;left:2891;top:457;width:364;height:36" filled="true" fillcolor="#413c22" stroked="false">
              <v:fill type="solid"/>
            </v:rect>
            <v:line style="position:absolute" from="3724,481" to="4087,481" stroked="true" strokeweight="1.168699pt" strokecolor="#413c22">
              <v:stroke dashstyle="solid"/>
            </v:line>
            <v:shape style="position:absolute;left:4555;top:434;width:1207;height:82" coordorigin="4555,434" coordsize="1207,82" path="m4930,481l4555,481,4555,516,4930,516,4930,481m5762,434l5387,434,5387,469,5762,469,5762,434e" filled="true" fillcolor="#413c22" stroked="false">
              <v:path arrowok="t"/>
              <v:fill type="solid"/>
            </v:shape>
            <v:line style="position:absolute" from="6230,440" to="6594,440" stroked="true" strokeweight="1.753043pt" strokecolor="#413c22">
              <v:stroke dashstyle="solid"/>
            </v:line>
            <v:shape style="position:absolute;left:7062;top:411;width:2870;height:47" coordorigin="7062,411" coordsize="2870,47" path="m7425,423l7062,423,7062,458,7425,458,7425,423m8269,423l7894,423,7894,458,8269,458,8269,423m9100,411l8725,411,8725,446,9100,446,9100,411m9932,411l9557,411,9557,458,9932,458,9932,411e" filled="true" fillcolor="#413c22" stroked="false">
              <v:path arrowok="t"/>
              <v:fill type="solid"/>
            </v:shape>
            <v:line style="position:absolute" from="1826,166" to="10166,166" stroked="true" strokeweight=".584348pt" strokecolor="#f1f1f1">
              <v:stroke dashstyle="solid"/>
            </v:line>
            <v:line style="position:absolute" from="1826,2374" to="1826,166" stroked="true" strokeweight=".585702pt" strokecolor="#bebebe">
              <v:stroke dashstyle="solid"/>
            </v:line>
            <v:shape style="position:absolute;left:0;top:9352;width:17319;height:654628" coordorigin="0,9353" coordsize="17319,654628" path="m1767,2374l1826,2374m1767,2152l1826,2152m1767,1930l1826,1930m1767,1708l1826,1708m1767,1498l1826,1498m1767,1276l1826,1276m1767,1054l1826,1054m1767,832l1826,832m1767,610l1826,610m1767,388l1826,388m1767,166l1826,166e" filled="false" stroked="true" strokeweight=".585026pt" strokecolor="#bebebe">
              <v:path arrowok="t"/>
              <v:stroke dashstyle="solid"/>
            </v:shape>
            <v:line style="position:absolute" from="1826,2374" to="10166,2374" stroked="true" strokeweight=".584346pt" strokecolor="#bebebe">
              <v:stroke dashstyle="solid"/>
            </v:line>
            <v:shape style="position:absolute;left:0;top:-14460;width:652097;height:23813" coordorigin="0,-14460" coordsize="652097,23813" path="m1826,2374l1826,2421m1826,2374l1826,2678m2658,2374l2658,2421m2658,2374l2658,2678m3489,2374l3489,2421m3489,2374l3489,2678m4321,2374l4321,2421m4321,2374l4321,2678m5164,2374l5164,2421m5164,2374l5164,2678m5996,2374l5996,2421m5996,2374l5996,2678m6828,2374l6828,2421m6828,2374l6828,2678m7659,2374l7659,2421m7659,2374l7659,2678m8491,2374l8491,2421m8491,2374l8491,2678m9335,2374l9335,2421m9335,2374l9335,2678m10166,2374l10166,2421m10166,2374l10166,2678e" filled="false" stroked="true" strokeweight=".585017pt" strokecolor="#bebebe">
              <v:path arrowok="t"/>
              <v:stroke dashstyle="solid"/>
            </v:shape>
            <v:shape style="position:absolute;left:0;top:-14460;width:652097;height:23813" coordorigin="0,-14460" coordsize="652097,23813" path="m1826,2678l1826,2982m5996,2678l5996,2982m10166,2678l10166,2982e" filled="false" stroked="true" strokeweight=".585017pt" strokecolor="#bebebe">
              <v:path arrowok="t"/>
              <v:stroke dashstyle="solid"/>
            </v:shape>
            <v:line style="position:absolute" from="5996,2344" to="5996,224" stroked="true" strokeweight=".585698pt" strokecolor="#7e7e7e">
              <v:stroke dashstyle="solid"/>
            </v:line>
            <v:shape style="position:absolute;left:2080;top:2514;width:332;height:152" type="#_x0000_t202" filled="false" stroked="false">
              <v:textbox inset="0,0,0,0">
                <w:txbxContent>
                  <w:p>
                    <w:pPr>
                      <w:spacing w:line="152" w:lineRule="exact" w:before="0"/>
                      <w:ind w:left="0" w:right="0" w:firstLine="0"/>
                      <w:jc w:val="left"/>
                      <w:rPr>
                        <w:rFonts w:ascii="Calibri"/>
                        <w:sz w:val="15"/>
                      </w:rPr>
                    </w:pPr>
                    <w:r>
                      <w:rPr>
                        <w:rFonts w:ascii="Calibri"/>
                        <w:color w:val="585858"/>
                        <w:sz w:val="15"/>
                      </w:rPr>
                      <w:t>2014</w:t>
                    </w:r>
                  </w:p>
                </w:txbxContent>
              </v:textbox>
              <w10:wrap type="none"/>
            </v:shape>
            <v:shape style="position:absolute;left:2914;top:2514;width:332;height:152" type="#_x0000_t202" filled="false" stroked="false">
              <v:textbox inset="0,0,0,0">
                <w:txbxContent>
                  <w:p>
                    <w:pPr>
                      <w:spacing w:line="152" w:lineRule="exact" w:before="0"/>
                      <w:ind w:left="0" w:right="0" w:firstLine="0"/>
                      <w:jc w:val="left"/>
                      <w:rPr>
                        <w:rFonts w:ascii="Calibri"/>
                        <w:sz w:val="15"/>
                      </w:rPr>
                    </w:pPr>
                    <w:r>
                      <w:rPr>
                        <w:rFonts w:ascii="Calibri"/>
                        <w:color w:val="585858"/>
                        <w:sz w:val="15"/>
                      </w:rPr>
                      <w:t>2015</w:t>
                    </w:r>
                  </w:p>
                </w:txbxContent>
              </v:textbox>
              <w10:wrap type="none"/>
            </v:shape>
            <v:shape style="position:absolute;left:3748;top:2514;width:332;height:152" type="#_x0000_t202" filled="false" stroked="false">
              <v:textbox inset="0,0,0,0">
                <w:txbxContent>
                  <w:p>
                    <w:pPr>
                      <w:spacing w:line="152" w:lineRule="exact" w:before="0"/>
                      <w:ind w:left="0" w:right="0" w:firstLine="0"/>
                      <w:jc w:val="left"/>
                      <w:rPr>
                        <w:rFonts w:ascii="Calibri"/>
                        <w:sz w:val="15"/>
                      </w:rPr>
                    </w:pPr>
                    <w:r>
                      <w:rPr>
                        <w:rFonts w:ascii="Calibri"/>
                        <w:color w:val="585858"/>
                        <w:sz w:val="15"/>
                      </w:rPr>
                      <w:t>2016</w:t>
                    </w:r>
                  </w:p>
                </w:txbxContent>
              </v:textbox>
              <w10:wrap type="none"/>
            </v:shape>
            <v:shape style="position:absolute;left:4583;top:2514;width:332;height:152" type="#_x0000_t202" filled="false" stroked="false">
              <v:textbox inset="0,0,0,0">
                <w:txbxContent>
                  <w:p>
                    <w:pPr>
                      <w:spacing w:line="152" w:lineRule="exact" w:before="0"/>
                      <w:ind w:left="0" w:right="0" w:firstLine="0"/>
                      <w:jc w:val="left"/>
                      <w:rPr>
                        <w:rFonts w:ascii="Calibri"/>
                        <w:sz w:val="15"/>
                      </w:rPr>
                    </w:pPr>
                    <w:r>
                      <w:rPr>
                        <w:rFonts w:ascii="Calibri"/>
                        <w:color w:val="585858"/>
                        <w:sz w:val="15"/>
                      </w:rPr>
                      <w:t>2017</w:t>
                    </w:r>
                  </w:p>
                </w:txbxContent>
              </v:textbox>
              <w10:wrap type="none"/>
            </v:shape>
            <v:shape style="position:absolute;left:5417;top:2514;width:332;height:152" type="#_x0000_t202" filled="false" stroked="false">
              <v:textbox inset="0,0,0,0">
                <w:txbxContent>
                  <w:p>
                    <w:pPr>
                      <w:spacing w:line="152" w:lineRule="exact" w:before="0"/>
                      <w:ind w:left="0" w:right="0" w:firstLine="0"/>
                      <w:jc w:val="left"/>
                      <w:rPr>
                        <w:rFonts w:ascii="Calibri"/>
                        <w:sz w:val="15"/>
                      </w:rPr>
                    </w:pPr>
                    <w:r>
                      <w:rPr>
                        <w:rFonts w:ascii="Calibri"/>
                        <w:color w:val="585858"/>
                        <w:sz w:val="15"/>
                      </w:rPr>
                      <w:t>2018</w:t>
                    </w:r>
                  </w:p>
                </w:txbxContent>
              </v:textbox>
              <w10:wrap type="none"/>
            </v:shape>
            <v:shape style="position:absolute;left:6251;top:2514;width:332;height:152" type="#_x0000_t202" filled="false" stroked="false">
              <v:textbox inset="0,0,0,0">
                <w:txbxContent>
                  <w:p>
                    <w:pPr>
                      <w:spacing w:line="152" w:lineRule="exact" w:before="0"/>
                      <w:ind w:left="0" w:right="0" w:firstLine="0"/>
                      <w:jc w:val="left"/>
                      <w:rPr>
                        <w:rFonts w:ascii="Calibri"/>
                        <w:sz w:val="15"/>
                      </w:rPr>
                    </w:pPr>
                    <w:r>
                      <w:rPr>
                        <w:rFonts w:ascii="Calibri"/>
                        <w:color w:val="585858"/>
                        <w:sz w:val="15"/>
                      </w:rPr>
                      <w:t>2019</w:t>
                    </w:r>
                  </w:p>
                </w:txbxContent>
              </v:textbox>
              <w10:wrap type="none"/>
            </v:shape>
            <v:shape style="position:absolute;left:7085;top:2514;width:332;height:152" type="#_x0000_t202" filled="false" stroked="false">
              <v:textbox inset="0,0,0,0">
                <w:txbxContent>
                  <w:p>
                    <w:pPr>
                      <w:spacing w:line="152" w:lineRule="exact" w:before="0"/>
                      <w:ind w:left="0" w:right="0" w:firstLine="0"/>
                      <w:jc w:val="left"/>
                      <w:rPr>
                        <w:rFonts w:ascii="Calibri"/>
                        <w:sz w:val="15"/>
                      </w:rPr>
                    </w:pPr>
                    <w:r>
                      <w:rPr>
                        <w:rFonts w:ascii="Calibri"/>
                        <w:color w:val="585858"/>
                        <w:sz w:val="15"/>
                      </w:rPr>
                      <w:t>2020</w:t>
                    </w:r>
                  </w:p>
                </w:txbxContent>
              </v:textbox>
              <w10:wrap type="none"/>
            </v:shape>
            <v:shape style="position:absolute;left:7920;top:2514;width:332;height:152" type="#_x0000_t202" filled="false" stroked="false">
              <v:textbox inset="0,0,0,0">
                <w:txbxContent>
                  <w:p>
                    <w:pPr>
                      <w:spacing w:line="152" w:lineRule="exact" w:before="0"/>
                      <w:ind w:left="0" w:right="0" w:firstLine="0"/>
                      <w:jc w:val="left"/>
                      <w:rPr>
                        <w:rFonts w:ascii="Calibri"/>
                        <w:sz w:val="15"/>
                      </w:rPr>
                    </w:pPr>
                    <w:r>
                      <w:rPr>
                        <w:rFonts w:ascii="Calibri"/>
                        <w:color w:val="585858"/>
                        <w:sz w:val="15"/>
                      </w:rPr>
                      <w:t>2021</w:t>
                    </w:r>
                  </w:p>
                </w:txbxContent>
              </v:textbox>
              <w10:wrap type="none"/>
            </v:shape>
            <v:shape style="position:absolute;left:8754;top:2514;width:332;height:152" type="#_x0000_t202" filled="false" stroked="false">
              <v:textbox inset="0,0,0,0">
                <w:txbxContent>
                  <w:p>
                    <w:pPr>
                      <w:spacing w:line="152" w:lineRule="exact" w:before="0"/>
                      <w:ind w:left="0" w:right="0" w:firstLine="0"/>
                      <w:jc w:val="left"/>
                      <w:rPr>
                        <w:rFonts w:ascii="Calibri"/>
                        <w:sz w:val="15"/>
                      </w:rPr>
                    </w:pPr>
                    <w:r>
                      <w:rPr>
                        <w:rFonts w:ascii="Calibri"/>
                        <w:color w:val="585858"/>
                        <w:sz w:val="15"/>
                      </w:rPr>
                      <w:t>2022</w:t>
                    </w:r>
                  </w:p>
                </w:txbxContent>
              </v:textbox>
              <w10:wrap type="none"/>
            </v:shape>
            <v:shape style="position:absolute;left:9588;top:2514;width:332;height:152" type="#_x0000_t202" filled="false" stroked="false">
              <v:textbox inset="0,0,0,0">
                <w:txbxContent>
                  <w:p>
                    <w:pPr>
                      <w:spacing w:line="152" w:lineRule="exact" w:before="0"/>
                      <w:ind w:left="0" w:right="0" w:firstLine="0"/>
                      <w:jc w:val="left"/>
                      <w:rPr>
                        <w:rFonts w:ascii="Calibri"/>
                        <w:sz w:val="15"/>
                      </w:rPr>
                    </w:pPr>
                    <w:r>
                      <w:rPr>
                        <w:rFonts w:ascii="Calibri"/>
                        <w:color w:val="585858"/>
                        <w:sz w:val="15"/>
                      </w:rPr>
                      <w:t>2023</w:t>
                    </w:r>
                  </w:p>
                </w:txbxContent>
              </v:textbox>
              <w10:wrap type="none"/>
            </v:shape>
            <v:shape style="position:absolute;left:3664;top:2814;width:4736;height:152" type="#_x0000_t202" filled="false" stroked="false">
              <v:textbox inset="0,0,0,0">
                <w:txbxContent>
                  <w:p>
                    <w:pPr>
                      <w:tabs>
                        <w:tab w:pos="4108" w:val="left" w:leader="none"/>
                      </w:tabs>
                      <w:spacing w:line="152" w:lineRule="exact" w:before="0"/>
                      <w:ind w:left="0" w:right="0" w:firstLine="0"/>
                      <w:jc w:val="left"/>
                      <w:rPr>
                        <w:rFonts w:ascii="Calibri"/>
                        <w:sz w:val="15"/>
                      </w:rPr>
                    </w:pPr>
                    <w:r>
                      <w:rPr>
                        <w:rFonts w:ascii="Calibri"/>
                        <w:color w:val="585858"/>
                        <w:sz w:val="15"/>
                      </w:rPr>
                      <w:t>Historic</w:t>
                      <w:tab/>
                      <w:t>Projected</w:t>
                    </w:r>
                  </w:p>
                </w:txbxContent>
              </v:textbox>
              <w10:wrap type="none"/>
            </v:shape>
            <w10:wrap type="none"/>
          </v:group>
        </w:pict>
      </w:r>
      <w:r>
        <w:rPr>
          <w:rFonts w:ascii="Calibri"/>
          <w:color w:val="585858"/>
          <w:sz w:val="15"/>
        </w:rPr>
        <w:t>$20,000</w:t>
      </w:r>
    </w:p>
    <w:p>
      <w:pPr>
        <w:spacing w:before="38"/>
        <w:ind w:left="0" w:right="10231" w:firstLine="0"/>
        <w:jc w:val="right"/>
        <w:rPr>
          <w:rFonts w:ascii="Calibri"/>
          <w:sz w:val="15"/>
        </w:rPr>
      </w:pPr>
      <w:r>
        <w:rPr>
          <w:rFonts w:ascii="Calibri"/>
          <w:color w:val="585858"/>
          <w:sz w:val="15"/>
        </w:rPr>
        <w:t>$18,000</w:t>
      </w:r>
    </w:p>
    <w:p>
      <w:pPr>
        <w:spacing w:before="38"/>
        <w:ind w:left="0" w:right="10231" w:firstLine="0"/>
        <w:jc w:val="right"/>
        <w:rPr>
          <w:rFonts w:ascii="Calibri"/>
          <w:sz w:val="15"/>
        </w:rPr>
      </w:pPr>
      <w:r>
        <w:rPr>
          <w:rFonts w:ascii="Calibri"/>
          <w:color w:val="585858"/>
          <w:sz w:val="15"/>
        </w:rPr>
        <w:t>$16,000</w:t>
      </w:r>
    </w:p>
    <w:p>
      <w:pPr>
        <w:spacing w:before="38"/>
        <w:ind w:left="0" w:right="10231" w:firstLine="0"/>
        <w:jc w:val="right"/>
        <w:rPr>
          <w:rFonts w:ascii="Calibri"/>
          <w:sz w:val="15"/>
        </w:rPr>
      </w:pPr>
      <w:r>
        <w:rPr>
          <w:rFonts w:ascii="Calibri"/>
          <w:color w:val="585858"/>
          <w:sz w:val="15"/>
        </w:rPr>
        <w:t>$14,000</w:t>
      </w:r>
    </w:p>
    <w:p>
      <w:pPr>
        <w:spacing w:before="38"/>
        <w:ind w:left="0" w:right="10231" w:firstLine="0"/>
        <w:jc w:val="right"/>
        <w:rPr>
          <w:rFonts w:ascii="Calibri"/>
          <w:sz w:val="15"/>
        </w:rPr>
      </w:pPr>
      <w:r>
        <w:rPr>
          <w:rFonts w:ascii="Calibri"/>
          <w:color w:val="585858"/>
          <w:sz w:val="15"/>
        </w:rPr>
        <w:t>$12,000</w:t>
      </w:r>
    </w:p>
    <w:p>
      <w:pPr>
        <w:spacing w:before="38"/>
        <w:ind w:left="0" w:right="10231" w:firstLine="0"/>
        <w:jc w:val="right"/>
        <w:rPr>
          <w:rFonts w:ascii="Calibri"/>
          <w:sz w:val="15"/>
        </w:rPr>
      </w:pPr>
      <w:r>
        <w:rPr>
          <w:rFonts w:ascii="Calibri"/>
          <w:color w:val="585858"/>
          <w:sz w:val="15"/>
        </w:rPr>
        <w:t>$10,000</w:t>
      </w:r>
    </w:p>
    <w:p>
      <w:pPr>
        <w:spacing w:before="38"/>
        <w:ind w:left="0" w:right="10234" w:firstLine="0"/>
        <w:jc w:val="right"/>
        <w:rPr>
          <w:rFonts w:ascii="Calibri"/>
          <w:sz w:val="15"/>
        </w:rPr>
      </w:pPr>
      <w:r>
        <w:rPr>
          <w:rFonts w:ascii="Calibri"/>
          <w:color w:val="585858"/>
          <w:sz w:val="15"/>
        </w:rPr>
        <w:t>$8,000</w:t>
      </w:r>
    </w:p>
    <w:p>
      <w:pPr>
        <w:spacing w:before="38"/>
        <w:ind w:left="0" w:right="10234" w:firstLine="0"/>
        <w:jc w:val="right"/>
        <w:rPr>
          <w:rFonts w:ascii="Calibri"/>
          <w:sz w:val="15"/>
        </w:rPr>
      </w:pPr>
      <w:r>
        <w:rPr>
          <w:rFonts w:ascii="Calibri"/>
          <w:color w:val="585858"/>
          <w:sz w:val="15"/>
        </w:rPr>
        <w:t>$6,000</w:t>
      </w:r>
    </w:p>
    <w:p>
      <w:pPr>
        <w:spacing w:before="38"/>
        <w:ind w:left="0" w:right="10234" w:firstLine="0"/>
        <w:jc w:val="right"/>
        <w:rPr>
          <w:rFonts w:ascii="Calibri"/>
          <w:sz w:val="15"/>
        </w:rPr>
      </w:pPr>
      <w:r>
        <w:rPr>
          <w:rFonts w:ascii="Calibri"/>
          <w:color w:val="585858"/>
          <w:sz w:val="15"/>
        </w:rPr>
        <w:t>$4,000</w:t>
      </w:r>
    </w:p>
    <w:p>
      <w:pPr>
        <w:spacing w:before="38"/>
        <w:ind w:left="0" w:right="10234" w:firstLine="0"/>
        <w:jc w:val="right"/>
        <w:rPr>
          <w:rFonts w:ascii="Calibri"/>
          <w:sz w:val="15"/>
        </w:rPr>
      </w:pPr>
      <w:r>
        <w:rPr>
          <w:rFonts w:ascii="Calibri"/>
          <w:color w:val="585858"/>
          <w:sz w:val="15"/>
        </w:rPr>
        <w:t>$2,000</w:t>
      </w:r>
    </w:p>
    <w:p>
      <w:pPr>
        <w:spacing w:before="38"/>
        <w:ind w:left="0" w:right="10227" w:firstLine="0"/>
        <w:jc w:val="right"/>
        <w:rPr>
          <w:rFonts w:ascii="Calibri"/>
          <w:sz w:val="15"/>
        </w:rPr>
      </w:pPr>
      <w:r>
        <w:rPr>
          <w:rFonts w:ascii="Calibri"/>
          <w:color w:val="585858"/>
          <w:sz w:val="15"/>
        </w:rPr>
        <w:t>$0</w:t>
      </w:r>
    </w:p>
    <w:p>
      <w:pPr>
        <w:pStyle w:val="BodyText"/>
        <w:rPr>
          <w:rFonts w:ascii="Calibri"/>
        </w:rPr>
      </w:pPr>
    </w:p>
    <w:p>
      <w:pPr>
        <w:pStyle w:val="BodyText"/>
        <w:spacing w:before="11"/>
        <w:rPr>
          <w:rFonts w:ascii="Calibri"/>
          <w:sz w:val="18"/>
        </w:rPr>
      </w:pPr>
    </w:p>
    <w:p>
      <w:pPr>
        <w:spacing w:before="71"/>
        <w:ind w:left="1602" w:right="1653" w:firstLine="0"/>
        <w:jc w:val="center"/>
        <w:rPr>
          <w:rFonts w:ascii="Calibri"/>
          <w:b/>
          <w:sz w:val="15"/>
        </w:rPr>
      </w:pPr>
      <w:r>
        <w:rPr/>
        <w:pict>
          <v:group style="position:absolute;margin-left:92.775719pt;margin-top:28.371267pt;width:10.1pt;height:22.3pt;mso-position-horizontal-relative:page;mso-position-vertical-relative:paragraph;z-index:-287404032" coordorigin="1856,567" coordsize="202,446">
            <v:rect style="position:absolute;left:1855;top:567;width:202;height:136" filled="true" fillcolor="#1f487c" stroked="false">
              <v:fill type="solid"/>
            </v:rect>
            <v:rect style="position:absolute;left:1855;top:722;width:202;height:136" filled="true" fillcolor="#f8a763" stroked="false">
              <v:fill type="solid"/>
            </v:rect>
            <v:rect style="position:absolute;left:1855;top:877;width:202;height:136" filled="true" fillcolor="#808080" stroked="false">
              <v:fill type="solid"/>
            </v:rect>
            <w10:wrap type="none"/>
          </v:group>
        </w:pict>
      </w:r>
      <w:r>
        <w:rPr/>
        <w:pict>
          <v:rect style="position:absolute;margin-left:423.363892pt;margin-top:28.371267pt;width:10.412246pt;height:6.778266pt;mso-position-horizontal-relative:page;mso-position-vertical-relative:paragraph;z-index:-287403008" filled="true" fillcolor="#c9dba4" stroked="false">
            <v:fill type="solid"/>
            <w10:wrap type="none"/>
          </v:rect>
        </w:pict>
      </w:r>
      <w:r>
        <w:rPr>
          <w:rFonts w:ascii="Calibri"/>
          <w:b/>
          <w:color w:val="585858"/>
          <w:sz w:val="15"/>
        </w:rPr>
        <w:t>Year Ending  30 June</w:t>
      </w:r>
    </w:p>
    <w:p>
      <w:pPr>
        <w:pStyle w:val="BodyText"/>
        <w:spacing w:before="6"/>
        <w:rPr>
          <w:rFonts w:ascii="Calibri"/>
          <w:b/>
          <w:sz w:val="15"/>
        </w:rPr>
      </w:pPr>
    </w:p>
    <w:tbl>
      <w:tblPr>
        <w:tblW w:w="0" w:type="auto"/>
        <w:jc w:val="left"/>
        <w:tblInd w:w="16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72"/>
        <w:gridCol w:w="215"/>
        <w:gridCol w:w="822"/>
        <w:gridCol w:w="90"/>
        <w:gridCol w:w="209"/>
        <w:gridCol w:w="944"/>
        <w:gridCol w:w="60"/>
        <w:gridCol w:w="209"/>
        <w:gridCol w:w="1181"/>
        <w:gridCol w:w="57"/>
        <w:gridCol w:w="209"/>
        <w:gridCol w:w="704"/>
        <w:gridCol w:w="71"/>
        <w:gridCol w:w="208"/>
        <w:gridCol w:w="726"/>
        <w:gridCol w:w="835"/>
      </w:tblGrid>
      <w:tr>
        <w:trPr>
          <w:trHeight w:val="110" w:hRule="atLeast"/>
        </w:trPr>
        <w:tc>
          <w:tcPr>
            <w:tcW w:w="1072" w:type="dxa"/>
          </w:tcPr>
          <w:p>
            <w:pPr>
              <w:pStyle w:val="TableParagraph"/>
              <w:spacing w:line="91" w:lineRule="exact" w:before="0"/>
              <w:ind w:left="31" w:right="43"/>
              <w:jc w:val="center"/>
              <w:rPr>
                <w:rFonts w:ascii="Calibri"/>
                <w:b/>
                <w:sz w:val="9"/>
              </w:rPr>
            </w:pPr>
            <w:r>
              <w:rPr>
                <w:rFonts w:ascii="Calibri"/>
                <w:b/>
                <w:w w:val="110"/>
                <w:sz w:val="9"/>
              </w:rPr>
              <w:t>Payment Category Key:</w:t>
            </w:r>
          </w:p>
        </w:tc>
        <w:tc>
          <w:tcPr>
            <w:tcW w:w="6540" w:type="dxa"/>
            <w:gridSpan w:val="15"/>
          </w:tcPr>
          <w:p>
            <w:pPr>
              <w:pStyle w:val="TableParagraph"/>
              <w:spacing w:before="0"/>
              <w:rPr>
                <w:rFonts w:ascii="Times New Roman"/>
                <w:sz w:val="6"/>
              </w:rPr>
            </w:pPr>
          </w:p>
        </w:tc>
      </w:tr>
      <w:tr>
        <w:trPr>
          <w:trHeight w:val="168" w:hRule="atLeast"/>
        </w:trPr>
        <w:tc>
          <w:tcPr>
            <w:tcW w:w="1072" w:type="dxa"/>
          </w:tcPr>
          <w:p>
            <w:pPr>
              <w:pStyle w:val="TableParagraph"/>
              <w:spacing w:before="31"/>
              <w:ind w:left="31"/>
              <w:jc w:val="center"/>
              <w:rPr>
                <w:rFonts w:ascii="Calibri"/>
                <w:sz w:val="9"/>
              </w:rPr>
            </w:pPr>
            <w:r>
              <w:rPr>
                <w:rFonts w:ascii="Calibri"/>
                <w:w w:val="110"/>
                <w:sz w:val="9"/>
              </w:rPr>
              <w:t>A - IS Studying</w:t>
            </w:r>
          </w:p>
        </w:tc>
        <w:tc>
          <w:tcPr>
            <w:tcW w:w="215" w:type="dxa"/>
            <w:shd w:val="clear" w:color="auto" w:fill="009544"/>
          </w:tcPr>
          <w:p>
            <w:pPr>
              <w:pStyle w:val="TableParagraph"/>
              <w:spacing w:line="135" w:lineRule="exact" w:before="0"/>
              <w:ind w:left="-1" w:right="-58"/>
              <w:rPr>
                <w:rFonts w:ascii="Calibri"/>
                <w:sz w:val="13"/>
              </w:rPr>
            </w:pPr>
            <w:r>
              <w:rPr>
                <w:rFonts w:ascii="Calibri"/>
                <w:position w:val="-2"/>
                <w:sz w:val="13"/>
              </w:rPr>
              <w:pict>
                <v:group style="width:10.45pt;height:6.8pt;mso-position-horizontal-relative:char;mso-position-vertical-relative:line" coordorigin="0,0" coordsize="209,136">
                  <v:rect style="position:absolute;left:0;top:0;width:209;height:136" filled="true" fillcolor="#009544" stroked="false">
                    <v:fill type="solid"/>
                  </v:rect>
                </v:group>
              </w:pict>
            </w:r>
            <w:r>
              <w:rPr>
                <w:rFonts w:ascii="Calibri"/>
                <w:position w:val="-2"/>
                <w:sz w:val="13"/>
              </w:rPr>
            </w:r>
          </w:p>
        </w:tc>
        <w:tc>
          <w:tcPr>
            <w:tcW w:w="822" w:type="dxa"/>
          </w:tcPr>
          <w:p>
            <w:pPr>
              <w:pStyle w:val="TableParagraph"/>
              <w:spacing w:before="31"/>
              <w:ind w:left="5"/>
              <w:rPr>
                <w:rFonts w:ascii="Calibri"/>
                <w:sz w:val="9"/>
              </w:rPr>
            </w:pPr>
            <w:r>
              <w:rPr>
                <w:rFonts w:ascii="Calibri"/>
                <w:w w:val="110"/>
                <w:sz w:val="9"/>
              </w:rPr>
              <w:t>B - IS Working Age</w:t>
            </w:r>
          </w:p>
        </w:tc>
        <w:tc>
          <w:tcPr>
            <w:tcW w:w="90" w:type="dxa"/>
          </w:tcPr>
          <w:p>
            <w:pPr>
              <w:pStyle w:val="TableParagraph"/>
              <w:spacing w:before="0"/>
              <w:rPr>
                <w:rFonts w:ascii="Times New Roman"/>
                <w:sz w:val="10"/>
              </w:rPr>
            </w:pPr>
          </w:p>
        </w:tc>
        <w:tc>
          <w:tcPr>
            <w:tcW w:w="209" w:type="dxa"/>
            <w:shd w:val="clear" w:color="auto" w:fill="E16B09"/>
          </w:tcPr>
          <w:p>
            <w:pPr>
              <w:pStyle w:val="TableParagraph"/>
              <w:spacing w:line="135" w:lineRule="exact" w:before="0"/>
              <w:ind w:left="-2" w:right="-58"/>
              <w:rPr>
                <w:rFonts w:ascii="Calibri"/>
                <w:sz w:val="13"/>
              </w:rPr>
            </w:pPr>
            <w:r>
              <w:rPr>
                <w:rFonts w:ascii="Calibri"/>
                <w:position w:val="-2"/>
                <w:sz w:val="13"/>
              </w:rPr>
              <w:pict>
                <v:group style="width:10.45pt;height:6.8pt;mso-position-horizontal-relative:char;mso-position-vertical-relative:line" coordorigin="0,0" coordsize="209,136">
                  <v:rect style="position:absolute;left:0;top:0;width:209;height:136" filled="true" fillcolor="#e16b09" stroked="false">
                    <v:fill type="solid"/>
                  </v:rect>
                </v:group>
              </w:pict>
            </w:r>
            <w:r>
              <w:rPr>
                <w:rFonts w:ascii="Calibri"/>
                <w:position w:val="-2"/>
                <w:sz w:val="13"/>
              </w:rPr>
            </w:r>
          </w:p>
        </w:tc>
        <w:tc>
          <w:tcPr>
            <w:tcW w:w="944" w:type="dxa"/>
          </w:tcPr>
          <w:p>
            <w:pPr>
              <w:pStyle w:val="TableParagraph"/>
              <w:spacing w:before="31"/>
              <w:ind w:left="10"/>
              <w:rPr>
                <w:rFonts w:ascii="Calibri"/>
                <w:sz w:val="9"/>
              </w:rPr>
            </w:pPr>
            <w:r>
              <w:rPr>
                <w:rFonts w:ascii="Calibri"/>
                <w:w w:val="110"/>
                <w:sz w:val="9"/>
              </w:rPr>
              <w:t>C - IS Parents</w:t>
            </w:r>
          </w:p>
        </w:tc>
        <w:tc>
          <w:tcPr>
            <w:tcW w:w="60" w:type="dxa"/>
          </w:tcPr>
          <w:p>
            <w:pPr>
              <w:pStyle w:val="TableParagraph"/>
              <w:spacing w:before="0"/>
              <w:rPr>
                <w:rFonts w:ascii="Times New Roman"/>
                <w:sz w:val="10"/>
              </w:rPr>
            </w:pPr>
          </w:p>
        </w:tc>
        <w:tc>
          <w:tcPr>
            <w:tcW w:w="209" w:type="dxa"/>
            <w:shd w:val="clear" w:color="auto" w:fill="E08AD6"/>
          </w:tcPr>
          <w:p>
            <w:pPr>
              <w:pStyle w:val="TableParagraph"/>
              <w:spacing w:line="135" w:lineRule="exact" w:before="0"/>
              <w:ind w:left="-5" w:right="-58"/>
              <w:rPr>
                <w:rFonts w:ascii="Calibri"/>
                <w:sz w:val="13"/>
              </w:rPr>
            </w:pPr>
            <w:r>
              <w:rPr>
                <w:rFonts w:ascii="Calibri"/>
                <w:position w:val="-2"/>
                <w:sz w:val="13"/>
              </w:rPr>
              <w:pict>
                <v:group style="width:10.45pt;height:6.8pt;mso-position-horizontal-relative:char;mso-position-vertical-relative:line" coordorigin="0,0" coordsize="209,136">
                  <v:rect style="position:absolute;left:0;top:0;width:209;height:136" filled="true" fillcolor="#e08ad6" stroked="false">
                    <v:fill type="solid"/>
                  </v:rect>
                </v:group>
              </w:pict>
            </w:r>
            <w:r>
              <w:rPr>
                <w:rFonts w:ascii="Calibri"/>
                <w:position w:val="-2"/>
                <w:sz w:val="13"/>
              </w:rPr>
            </w:r>
          </w:p>
        </w:tc>
        <w:tc>
          <w:tcPr>
            <w:tcW w:w="1181" w:type="dxa"/>
          </w:tcPr>
          <w:p>
            <w:pPr>
              <w:pStyle w:val="TableParagraph"/>
              <w:spacing w:before="31"/>
              <w:ind w:left="8"/>
              <w:rPr>
                <w:rFonts w:ascii="Calibri"/>
                <w:sz w:val="9"/>
              </w:rPr>
            </w:pPr>
            <w:r>
              <w:rPr>
                <w:rFonts w:ascii="Calibri"/>
                <w:w w:val="110"/>
                <w:sz w:val="9"/>
              </w:rPr>
              <w:t>D - IS Carer</w:t>
            </w:r>
          </w:p>
        </w:tc>
        <w:tc>
          <w:tcPr>
            <w:tcW w:w="57" w:type="dxa"/>
          </w:tcPr>
          <w:p>
            <w:pPr>
              <w:pStyle w:val="TableParagraph"/>
              <w:spacing w:before="0"/>
              <w:rPr>
                <w:rFonts w:ascii="Times New Roman"/>
                <w:sz w:val="10"/>
              </w:rPr>
            </w:pPr>
          </w:p>
        </w:tc>
        <w:tc>
          <w:tcPr>
            <w:tcW w:w="209" w:type="dxa"/>
            <w:shd w:val="clear" w:color="auto" w:fill="8063A1"/>
          </w:tcPr>
          <w:p>
            <w:pPr>
              <w:pStyle w:val="TableParagraph"/>
              <w:spacing w:line="135" w:lineRule="exact" w:before="0"/>
              <w:ind w:left="-7" w:right="-58"/>
              <w:rPr>
                <w:rFonts w:ascii="Calibri"/>
                <w:sz w:val="13"/>
              </w:rPr>
            </w:pPr>
            <w:r>
              <w:rPr>
                <w:rFonts w:ascii="Calibri"/>
                <w:position w:val="-2"/>
                <w:sz w:val="13"/>
              </w:rPr>
              <w:pict>
                <v:group style="width:10.45pt;height:6.8pt;mso-position-horizontal-relative:char;mso-position-vertical-relative:line" coordorigin="0,0" coordsize="209,136">
                  <v:rect style="position:absolute;left:0;top:0;width:209;height:136" filled="true" fillcolor="#8063a1" stroked="false">
                    <v:fill type="solid"/>
                  </v:rect>
                </v:group>
              </w:pict>
            </w:r>
            <w:r>
              <w:rPr>
                <w:rFonts w:ascii="Calibri"/>
                <w:position w:val="-2"/>
                <w:sz w:val="13"/>
              </w:rPr>
            </w:r>
          </w:p>
        </w:tc>
        <w:tc>
          <w:tcPr>
            <w:tcW w:w="704" w:type="dxa"/>
          </w:tcPr>
          <w:p>
            <w:pPr>
              <w:pStyle w:val="TableParagraph"/>
              <w:spacing w:before="31"/>
              <w:ind w:left="5"/>
              <w:rPr>
                <w:rFonts w:ascii="Calibri"/>
                <w:sz w:val="9"/>
              </w:rPr>
            </w:pPr>
            <w:r>
              <w:rPr>
                <w:rFonts w:ascii="Calibri"/>
                <w:w w:val="110"/>
                <w:sz w:val="9"/>
              </w:rPr>
              <w:t>E - IS Disability</w:t>
            </w:r>
          </w:p>
        </w:tc>
        <w:tc>
          <w:tcPr>
            <w:tcW w:w="71" w:type="dxa"/>
          </w:tcPr>
          <w:p>
            <w:pPr>
              <w:pStyle w:val="TableParagraph"/>
              <w:spacing w:before="0"/>
              <w:rPr>
                <w:rFonts w:ascii="Times New Roman"/>
                <w:sz w:val="10"/>
              </w:rPr>
            </w:pPr>
          </w:p>
        </w:tc>
        <w:tc>
          <w:tcPr>
            <w:tcW w:w="208" w:type="dxa"/>
            <w:shd w:val="clear" w:color="auto" w:fill="C0504D"/>
          </w:tcPr>
          <w:p>
            <w:pPr>
              <w:pStyle w:val="TableParagraph"/>
              <w:spacing w:line="135" w:lineRule="exact" w:before="0"/>
              <w:ind w:left="-8" w:right="-58"/>
              <w:rPr>
                <w:rFonts w:ascii="Calibri"/>
                <w:sz w:val="13"/>
              </w:rPr>
            </w:pPr>
            <w:r>
              <w:rPr>
                <w:rFonts w:ascii="Calibri"/>
                <w:position w:val="-2"/>
                <w:sz w:val="13"/>
              </w:rPr>
              <w:pict>
                <v:group style="width:10.45pt;height:6.8pt;mso-position-horizontal-relative:char;mso-position-vertical-relative:line" coordorigin="0,0" coordsize="209,136">
                  <v:rect style="position:absolute;left:0;top:0;width:209;height:136" filled="true" fillcolor="#c0504d" stroked="false">
                    <v:fill type="solid"/>
                  </v:rect>
                </v:group>
              </w:pict>
            </w:r>
            <w:r>
              <w:rPr>
                <w:rFonts w:ascii="Calibri"/>
                <w:position w:val="-2"/>
                <w:sz w:val="13"/>
              </w:rPr>
            </w:r>
          </w:p>
        </w:tc>
        <w:tc>
          <w:tcPr>
            <w:tcW w:w="726" w:type="dxa"/>
          </w:tcPr>
          <w:p>
            <w:pPr>
              <w:pStyle w:val="TableParagraph"/>
              <w:spacing w:before="31"/>
              <w:ind w:left="5"/>
              <w:rPr>
                <w:rFonts w:ascii="Calibri"/>
                <w:sz w:val="9"/>
              </w:rPr>
            </w:pPr>
            <w:r>
              <w:rPr>
                <w:rFonts w:ascii="Calibri"/>
                <w:w w:val="110"/>
                <w:sz w:val="9"/>
              </w:rPr>
              <w:t>F - IS Age</w:t>
            </w:r>
          </w:p>
        </w:tc>
        <w:tc>
          <w:tcPr>
            <w:tcW w:w="835" w:type="dxa"/>
          </w:tcPr>
          <w:p>
            <w:pPr>
              <w:pStyle w:val="TableParagraph"/>
              <w:spacing w:before="31"/>
              <w:ind w:left="106"/>
              <w:rPr>
                <w:rFonts w:ascii="Calibri"/>
                <w:sz w:val="9"/>
              </w:rPr>
            </w:pPr>
            <w:r>
              <w:rPr>
                <w:rFonts w:ascii="Calibri"/>
                <w:w w:val="110"/>
                <w:sz w:val="9"/>
              </w:rPr>
              <w:t>G - IS Dependant</w:t>
            </w:r>
          </w:p>
        </w:tc>
      </w:tr>
      <w:tr>
        <w:trPr>
          <w:trHeight w:val="135" w:hRule="atLeast"/>
        </w:trPr>
        <w:tc>
          <w:tcPr>
            <w:tcW w:w="1072" w:type="dxa"/>
          </w:tcPr>
          <w:p>
            <w:pPr>
              <w:pStyle w:val="TableParagraph"/>
              <w:spacing w:line="98" w:lineRule="exact" w:before="17"/>
              <w:ind w:left="31" w:right="43"/>
              <w:jc w:val="center"/>
              <w:rPr>
                <w:rFonts w:ascii="Calibri"/>
                <w:sz w:val="9"/>
              </w:rPr>
            </w:pPr>
            <w:r>
              <w:rPr>
                <w:rFonts w:ascii="Calibri"/>
                <w:w w:val="110"/>
                <w:sz w:val="9"/>
              </w:rPr>
              <w:t>H - Other FTB</w:t>
            </w:r>
          </w:p>
        </w:tc>
        <w:tc>
          <w:tcPr>
            <w:tcW w:w="215" w:type="dxa"/>
            <w:shd w:val="clear" w:color="auto" w:fill="F9C090"/>
          </w:tcPr>
          <w:p>
            <w:pPr>
              <w:pStyle w:val="TableParagraph"/>
              <w:spacing w:before="0"/>
              <w:rPr>
                <w:rFonts w:ascii="Times New Roman"/>
                <w:sz w:val="8"/>
              </w:rPr>
            </w:pPr>
          </w:p>
        </w:tc>
        <w:tc>
          <w:tcPr>
            <w:tcW w:w="822" w:type="dxa"/>
          </w:tcPr>
          <w:p>
            <w:pPr>
              <w:pStyle w:val="TableParagraph"/>
              <w:spacing w:line="98" w:lineRule="exact" w:before="17"/>
              <w:ind w:left="5"/>
              <w:rPr>
                <w:rFonts w:ascii="Calibri"/>
                <w:sz w:val="9"/>
              </w:rPr>
            </w:pPr>
            <w:r>
              <w:rPr>
                <w:rFonts w:ascii="Calibri"/>
                <w:w w:val="110"/>
                <w:sz w:val="9"/>
              </w:rPr>
              <w:t>I - Other Family</w:t>
            </w:r>
          </w:p>
        </w:tc>
        <w:tc>
          <w:tcPr>
            <w:tcW w:w="90" w:type="dxa"/>
            <w:shd w:val="clear" w:color="auto" w:fill="FBDDC4"/>
          </w:tcPr>
          <w:p>
            <w:pPr>
              <w:pStyle w:val="TableParagraph"/>
              <w:spacing w:before="0"/>
              <w:rPr>
                <w:rFonts w:ascii="Times New Roman"/>
                <w:sz w:val="8"/>
              </w:rPr>
            </w:pPr>
          </w:p>
        </w:tc>
        <w:tc>
          <w:tcPr>
            <w:tcW w:w="209" w:type="dxa"/>
            <w:shd w:val="clear" w:color="auto" w:fill="FBDDC4"/>
          </w:tcPr>
          <w:p>
            <w:pPr>
              <w:pStyle w:val="TableParagraph"/>
              <w:spacing w:before="0"/>
              <w:rPr>
                <w:rFonts w:ascii="Times New Roman"/>
                <w:sz w:val="8"/>
              </w:rPr>
            </w:pPr>
          </w:p>
        </w:tc>
        <w:tc>
          <w:tcPr>
            <w:tcW w:w="944" w:type="dxa"/>
          </w:tcPr>
          <w:p>
            <w:pPr>
              <w:pStyle w:val="TableParagraph"/>
              <w:spacing w:line="98" w:lineRule="exact" w:before="17"/>
              <w:ind w:left="10"/>
              <w:rPr>
                <w:rFonts w:ascii="Calibri"/>
                <w:sz w:val="9"/>
              </w:rPr>
            </w:pPr>
            <w:r>
              <w:rPr>
                <w:rFonts w:ascii="Calibri"/>
                <w:w w:val="110"/>
                <w:sz w:val="9"/>
              </w:rPr>
              <w:t>J - Other New Parents</w:t>
            </w:r>
          </w:p>
        </w:tc>
        <w:tc>
          <w:tcPr>
            <w:tcW w:w="60" w:type="dxa"/>
            <w:shd w:val="clear" w:color="auto" w:fill="938953"/>
          </w:tcPr>
          <w:p>
            <w:pPr>
              <w:pStyle w:val="TableParagraph"/>
              <w:spacing w:before="0"/>
              <w:rPr>
                <w:rFonts w:ascii="Times New Roman"/>
                <w:sz w:val="8"/>
              </w:rPr>
            </w:pPr>
          </w:p>
        </w:tc>
        <w:tc>
          <w:tcPr>
            <w:tcW w:w="209" w:type="dxa"/>
            <w:shd w:val="clear" w:color="auto" w:fill="938953"/>
          </w:tcPr>
          <w:p>
            <w:pPr>
              <w:pStyle w:val="TableParagraph"/>
              <w:spacing w:before="0"/>
              <w:rPr>
                <w:rFonts w:ascii="Times New Roman"/>
                <w:sz w:val="8"/>
              </w:rPr>
            </w:pPr>
          </w:p>
        </w:tc>
        <w:tc>
          <w:tcPr>
            <w:tcW w:w="1181" w:type="dxa"/>
          </w:tcPr>
          <w:p>
            <w:pPr>
              <w:pStyle w:val="TableParagraph"/>
              <w:spacing w:line="98" w:lineRule="exact" w:before="17"/>
              <w:ind w:left="8"/>
              <w:rPr>
                <w:rFonts w:ascii="Calibri"/>
                <w:sz w:val="9"/>
              </w:rPr>
            </w:pPr>
            <w:r>
              <w:rPr>
                <w:rFonts w:ascii="Calibri"/>
                <w:w w:val="110"/>
                <w:sz w:val="9"/>
              </w:rPr>
              <w:t>L - Other Health &amp; Disability</w:t>
            </w:r>
          </w:p>
        </w:tc>
        <w:tc>
          <w:tcPr>
            <w:tcW w:w="57" w:type="dxa"/>
            <w:shd w:val="clear" w:color="auto" w:fill="ECB8E7"/>
          </w:tcPr>
          <w:p>
            <w:pPr>
              <w:pStyle w:val="TableParagraph"/>
              <w:spacing w:before="0"/>
              <w:rPr>
                <w:rFonts w:ascii="Times New Roman"/>
                <w:sz w:val="8"/>
              </w:rPr>
            </w:pPr>
          </w:p>
        </w:tc>
        <w:tc>
          <w:tcPr>
            <w:tcW w:w="209" w:type="dxa"/>
            <w:shd w:val="clear" w:color="auto" w:fill="ECB8E7"/>
          </w:tcPr>
          <w:p>
            <w:pPr>
              <w:pStyle w:val="TableParagraph"/>
              <w:spacing w:before="0"/>
              <w:rPr>
                <w:rFonts w:ascii="Times New Roman"/>
                <w:sz w:val="8"/>
              </w:rPr>
            </w:pPr>
          </w:p>
        </w:tc>
        <w:tc>
          <w:tcPr>
            <w:tcW w:w="704" w:type="dxa"/>
          </w:tcPr>
          <w:p>
            <w:pPr>
              <w:pStyle w:val="TableParagraph"/>
              <w:spacing w:line="98" w:lineRule="exact" w:before="17"/>
              <w:ind w:left="5"/>
              <w:rPr>
                <w:rFonts w:ascii="Calibri"/>
                <w:sz w:val="9"/>
              </w:rPr>
            </w:pPr>
            <w:r>
              <w:rPr>
                <w:rFonts w:ascii="Calibri"/>
                <w:w w:val="110"/>
                <w:sz w:val="9"/>
              </w:rPr>
              <w:t>M - Other Carer</w:t>
            </w:r>
          </w:p>
        </w:tc>
        <w:tc>
          <w:tcPr>
            <w:tcW w:w="71" w:type="dxa"/>
            <w:shd w:val="clear" w:color="auto" w:fill="C4BC96"/>
          </w:tcPr>
          <w:p>
            <w:pPr>
              <w:pStyle w:val="TableParagraph"/>
              <w:spacing w:before="0"/>
              <w:rPr>
                <w:rFonts w:ascii="Times New Roman"/>
                <w:sz w:val="8"/>
              </w:rPr>
            </w:pPr>
          </w:p>
        </w:tc>
        <w:tc>
          <w:tcPr>
            <w:tcW w:w="208" w:type="dxa"/>
            <w:shd w:val="clear" w:color="auto" w:fill="C4BC96"/>
          </w:tcPr>
          <w:p>
            <w:pPr>
              <w:pStyle w:val="TableParagraph"/>
              <w:spacing w:before="0"/>
              <w:rPr>
                <w:rFonts w:ascii="Times New Roman"/>
                <w:sz w:val="8"/>
              </w:rPr>
            </w:pPr>
          </w:p>
        </w:tc>
        <w:tc>
          <w:tcPr>
            <w:tcW w:w="726" w:type="dxa"/>
          </w:tcPr>
          <w:p>
            <w:pPr>
              <w:pStyle w:val="TableParagraph"/>
              <w:spacing w:line="98" w:lineRule="exact" w:before="17"/>
              <w:ind w:left="5"/>
              <w:rPr>
                <w:rFonts w:ascii="Calibri"/>
                <w:sz w:val="9"/>
              </w:rPr>
            </w:pPr>
            <w:r>
              <w:rPr>
                <w:rFonts w:ascii="Calibri"/>
                <w:w w:val="110"/>
                <w:sz w:val="9"/>
              </w:rPr>
              <w:t>N - Other Study &amp;</w:t>
            </w:r>
          </w:p>
        </w:tc>
        <w:tc>
          <w:tcPr>
            <w:tcW w:w="835" w:type="dxa"/>
          </w:tcPr>
          <w:p>
            <w:pPr>
              <w:pStyle w:val="TableParagraph"/>
              <w:spacing w:line="98" w:lineRule="exact" w:before="17"/>
              <w:ind w:left="1"/>
              <w:rPr>
                <w:rFonts w:ascii="Calibri"/>
                <w:sz w:val="9"/>
              </w:rPr>
            </w:pPr>
            <w:r>
              <w:rPr>
                <w:rFonts w:ascii="Calibri"/>
                <w:w w:val="110"/>
                <w:sz w:val="9"/>
              </w:rPr>
              <w:t>Skills</w:t>
            </w:r>
          </w:p>
        </w:tc>
      </w:tr>
      <w:tr>
        <w:trPr>
          <w:trHeight w:val="275" w:hRule="atLeast"/>
        </w:trPr>
        <w:tc>
          <w:tcPr>
            <w:tcW w:w="1072" w:type="dxa"/>
          </w:tcPr>
          <w:p>
            <w:pPr>
              <w:pStyle w:val="TableParagraph"/>
              <w:spacing w:line="130" w:lineRule="atLeast" w:before="17"/>
              <w:ind w:left="264" w:right="-17"/>
              <w:rPr>
                <w:rFonts w:ascii="Calibri"/>
                <w:sz w:val="9"/>
              </w:rPr>
            </w:pPr>
            <w:r>
              <w:rPr>
                <w:rFonts w:ascii="Calibri"/>
                <w:w w:val="110"/>
                <w:sz w:val="9"/>
              </w:rPr>
              <w:t>O - Other Remote &amp; Regional</w:t>
            </w:r>
          </w:p>
        </w:tc>
        <w:tc>
          <w:tcPr>
            <w:tcW w:w="215" w:type="dxa"/>
          </w:tcPr>
          <w:p>
            <w:pPr>
              <w:pStyle w:val="TableParagraph"/>
              <w:spacing w:line="135" w:lineRule="exact" w:before="0"/>
              <w:ind w:left="-1" w:right="-58"/>
              <w:rPr>
                <w:rFonts w:ascii="Calibri"/>
                <w:sz w:val="13"/>
              </w:rPr>
            </w:pPr>
            <w:r>
              <w:rPr>
                <w:rFonts w:ascii="Calibri"/>
                <w:position w:val="-2"/>
                <w:sz w:val="13"/>
              </w:rPr>
              <w:pict>
                <v:group style="width:10.45pt;height:6.8pt;mso-position-horizontal-relative:char;mso-position-vertical-relative:line" coordorigin="0,0" coordsize="209,136">
                  <v:rect style="position:absolute;left:0;top:0;width:209;height:136" filled="true" fillcolor="#a6a6a6" stroked="false">
                    <v:fill type="solid"/>
                  </v:rect>
                </v:group>
              </w:pict>
            </w:r>
            <w:r>
              <w:rPr>
                <w:rFonts w:ascii="Calibri"/>
                <w:position w:val="-2"/>
                <w:sz w:val="13"/>
              </w:rPr>
            </w:r>
          </w:p>
        </w:tc>
        <w:tc>
          <w:tcPr>
            <w:tcW w:w="822" w:type="dxa"/>
          </w:tcPr>
          <w:p>
            <w:pPr>
              <w:pStyle w:val="TableParagraph"/>
              <w:spacing w:line="130" w:lineRule="atLeast" w:before="17"/>
              <w:ind w:left="5"/>
              <w:rPr>
                <w:rFonts w:ascii="Calibri"/>
                <w:sz w:val="9"/>
              </w:rPr>
            </w:pPr>
            <w:r>
              <w:rPr>
                <w:rFonts w:ascii="Calibri"/>
                <w:w w:val="110"/>
                <w:sz w:val="9"/>
              </w:rPr>
              <w:t>P - Other General Allowances</w:t>
            </w:r>
          </w:p>
        </w:tc>
        <w:tc>
          <w:tcPr>
            <w:tcW w:w="90" w:type="dxa"/>
          </w:tcPr>
          <w:p>
            <w:pPr>
              <w:pStyle w:val="TableParagraph"/>
              <w:spacing w:before="0"/>
              <w:rPr>
                <w:rFonts w:ascii="Times New Roman"/>
                <w:sz w:val="18"/>
              </w:rPr>
            </w:pPr>
          </w:p>
        </w:tc>
        <w:tc>
          <w:tcPr>
            <w:tcW w:w="209" w:type="dxa"/>
          </w:tcPr>
          <w:p>
            <w:pPr>
              <w:pStyle w:val="TableParagraph"/>
              <w:spacing w:line="135" w:lineRule="exact" w:before="0"/>
              <w:ind w:left="-2" w:right="-58"/>
              <w:rPr>
                <w:rFonts w:ascii="Calibri"/>
                <w:sz w:val="13"/>
              </w:rPr>
            </w:pPr>
            <w:r>
              <w:rPr>
                <w:rFonts w:ascii="Calibri"/>
                <w:position w:val="-2"/>
                <w:sz w:val="13"/>
              </w:rPr>
              <w:pict>
                <v:group style="width:10.45pt;height:6.8pt;mso-position-horizontal-relative:char;mso-position-vertical-relative:line" coordorigin="0,0" coordsize="209,136">
                  <v:rect style="position:absolute;left:0;top:0;width:209;height:136" filled="true" fillcolor="#d9d9d9" stroked="false">
                    <v:fill type="solid"/>
                  </v:rect>
                </v:group>
              </w:pict>
            </w:r>
            <w:r>
              <w:rPr>
                <w:rFonts w:ascii="Calibri"/>
                <w:position w:val="-2"/>
                <w:sz w:val="13"/>
              </w:rPr>
            </w:r>
          </w:p>
        </w:tc>
        <w:tc>
          <w:tcPr>
            <w:tcW w:w="944" w:type="dxa"/>
          </w:tcPr>
          <w:p>
            <w:pPr>
              <w:pStyle w:val="TableParagraph"/>
              <w:ind w:left="10"/>
              <w:rPr>
                <w:rFonts w:ascii="Calibri"/>
                <w:sz w:val="9"/>
              </w:rPr>
            </w:pPr>
            <w:r>
              <w:rPr>
                <w:rFonts w:ascii="Calibri"/>
                <w:w w:val="110"/>
                <w:sz w:val="9"/>
              </w:rPr>
              <w:t>Q - All Other</w:t>
            </w:r>
          </w:p>
        </w:tc>
        <w:tc>
          <w:tcPr>
            <w:tcW w:w="60" w:type="dxa"/>
          </w:tcPr>
          <w:p>
            <w:pPr>
              <w:pStyle w:val="TableParagraph"/>
              <w:spacing w:before="0"/>
              <w:rPr>
                <w:rFonts w:ascii="Times New Roman"/>
                <w:sz w:val="18"/>
              </w:rPr>
            </w:pPr>
          </w:p>
        </w:tc>
        <w:tc>
          <w:tcPr>
            <w:tcW w:w="209" w:type="dxa"/>
          </w:tcPr>
          <w:p>
            <w:pPr>
              <w:pStyle w:val="TableParagraph"/>
              <w:spacing w:line="135" w:lineRule="exact" w:before="0"/>
              <w:ind w:left="-5" w:right="-58"/>
              <w:rPr>
                <w:rFonts w:ascii="Calibri"/>
                <w:sz w:val="13"/>
              </w:rPr>
            </w:pPr>
            <w:r>
              <w:rPr>
                <w:rFonts w:ascii="Calibri"/>
                <w:position w:val="-2"/>
                <w:sz w:val="13"/>
              </w:rPr>
              <w:pict>
                <v:group style="width:10.45pt;height:6.8pt;mso-position-horizontal-relative:char;mso-position-vertical-relative:line" coordorigin="0,0" coordsize="209,136">
                  <v:rect style="position:absolute;left:0;top:0;width:209;height:136" filled="true" fillcolor="#413c22" stroked="false">
                    <v:fill type="solid"/>
                  </v:rect>
                </v:group>
              </w:pict>
            </w:r>
            <w:r>
              <w:rPr>
                <w:rFonts w:ascii="Calibri"/>
                <w:position w:val="-2"/>
                <w:sz w:val="13"/>
              </w:rPr>
            </w:r>
          </w:p>
        </w:tc>
        <w:tc>
          <w:tcPr>
            <w:tcW w:w="1181" w:type="dxa"/>
          </w:tcPr>
          <w:p>
            <w:pPr>
              <w:pStyle w:val="TableParagraph"/>
              <w:ind w:left="8"/>
              <w:rPr>
                <w:rFonts w:ascii="Calibri"/>
                <w:sz w:val="9"/>
              </w:rPr>
            </w:pPr>
            <w:r>
              <w:rPr>
                <w:rFonts w:ascii="Calibri"/>
                <w:w w:val="110"/>
                <w:sz w:val="9"/>
              </w:rPr>
              <w:t>R - Rent Assistance</w:t>
            </w:r>
          </w:p>
        </w:tc>
        <w:tc>
          <w:tcPr>
            <w:tcW w:w="57" w:type="dxa"/>
          </w:tcPr>
          <w:p>
            <w:pPr>
              <w:pStyle w:val="TableParagraph"/>
              <w:spacing w:before="0"/>
              <w:rPr>
                <w:rFonts w:ascii="Times New Roman"/>
                <w:sz w:val="18"/>
              </w:rPr>
            </w:pPr>
          </w:p>
        </w:tc>
        <w:tc>
          <w:tcPr>
            <w:tcW w:w="209" w:type="dxa"/>
          </w:tcPr>
          <w:p>
            <w:pPr>
              <w:pStyle w:val="TableParagraph"/>
              <w:spacing w:before="0"/>
              <w:rPr>
                <w:rFonts w:ascii="Times New Roman"/>
                <w:sz w:val="18"/>
              </w:rPr>
            </w:pPr>
          </w:p>
        </w:tc>
        <w:tc>
          <w:tcPr>
            <w:tcW w:w="704" w:type="dxa"/>
          </w:tcPr>
          <w:p>
            <w:pPr>
              <w:pStyle w:val="TableParagraph"/>
              <w:spacing w:before="0"/>
              <w:rPr>
                <w:rFonts w:ascii="Times New Roman"/>
                <w:sz w:val="18"/>
              </w:rPr>
            </w:pPr>
          </w:p>
        </w:tc>
        <w:tc>
          <w:tcPr>
            <w:tcW w:w="71" w:type="dxa"/>
          </w:tcPr>
          <w:p>
            <w:pPr>
              <w:pStyle w:val="TableParagraph"/>
              <w:spacing w:before="0"/>
              <w:rPr>
                <w:rFonts w:ascii="Times New Roman"/>
                <w:sz w:val="18"/>
              </w:rPr>
            </w:pPr>
          </w:p>
        </w:tc>
        <w:tc>
          <w:tcPr>
            <w:tcW w:w="208" w:type="dxa"/>
          </w:tcPr>
          <w:p>
            <w:pPr>
              <w:pStyle w:val="TableParagraph"/>
              <w:spacing w:before="0"/>
              <w:rPr>
                <w:rFonts w:ascii="Times New Roman"/>
                <w:sz w:val="18"/>
              </w:rPr>
            </w:pPr>
          </w:p>
        </w:tc>
        <w:tc>
          <w:tcPr>
            <w:tcW w:w="726" w:type="dxa"/>
          </w:tcPr>
          <w:p>
            <w:pPr>
              <w:pStyle w:val="TableParagraph"/>
              <w:spacing w:before="0"/>
              <w:rPr>
                <w:rFonts w:ascii="Times New Roman"/>
                <w:sz w:val="18"/>
              </w:rPr>
            </w:pPr>
          </w:p>
        </w:tc>
        <w:tc>
          <w:tcPr>
            <w:tcW w:w="835" w:type="dxa"/>
          </w:tcPr>
          <w:p>
            <w:pPr>
              <w:pStyle w:val="TableParagraph"/>
              <w:spacing w:before="0"/>
              <w:rPr>
                <w:rFonts w:ascii="Times New Roman"/>
                <w:sz w:val="18"/>
              </w:rPr>
            </w:pPr>
          </w:p>
        </w:tc>
      </w:tr>
    </w:tbl>
    <w:p>
      <w:pPr>
        <w:pStyle w:val="BodyText"/>
        <w:rPr>
          <w:rFonts w:ascii="Calibri"/>
          <w:b/>
          <w:sz w:val="14"/>
        </w:rPr>
      </w:pPr>
    </w:p>
    <w:p>
      <w:pPr>
        <w:pStyle w:val="BodyText"/>
        <w:spacing w:before="96"/>
        <w:ind w:left="899" w:right="1421"/>
      </w:pPr>
      <w:r>
        <w:rPr>
          <w:color w:val="404040"/>
        </w:rPr>
        <w:t>The average payment made in 2017/18 was $17,600. The average payments are slightly higher for women than men, in part as a result of more of them receiving the single rate.</w:t>
      </w:r>
    </w:p>
    <w:p>
      <w:pPr>
        <w:pStyle w:val="BodyText"/>
        <w:spacing w:before="9"/>
      </w:pPr>
    </w:p>
    <w:p>
      <w:pPr>
        <w:pStyle w:val="Heading4"/>
      </w:pPr>
      <w:bookmarkStart w:name="What does the model show for current Age" w:id="196"/>
      <w:bookmarkEnd w:id="196"/>
      <w:r>
        <w:rPr/>
      </w:r>
      <w:r>
        <w:rPr>
          <w:color w:val="DF2F28"/>
        </w:rPr>
        <w:t>What does the model show for current Age Pensioners?</w:t>
      </w:r>
    </w:p>
    <w:p>
      <w:pPr>
        <w:pStyle w:val="BodyText"/>
        <w:spacing w:before="10"/>
      </w:pPr>
    </w:p>
    <w:p>
      <w:pPr>
        <w:pStyle w:val="Heading6"/>
        <w:rPr>
          <w:i/>
        </w:rPr>
      </w:pPr>
      <w:r>
        <w:rPr>
          <w:i/>
          <w:color w:val="DF2F1E"/>
        </w:rPr>
        <w:t>Lifetime costs</w:t>
      </w:r>
    </w:p>
    <w:p>
      <w:pPr>
        <w:pStyle w:val="BodyText"/>
        <w:spacing w:line="242" w:lineRule="auto" w:before="119"/>
        <w:ind w:left="900" w:right="1044" w:hanging="1"/>
      </w:pPr>
      <w:r>
        <w:rPr>
          <w:color w:val="404040"/>
        </w:rPr>
        <w:t>We estimated the lifetime cost for the people in this class to be </w:t>
      </w:r>
      <w:r>
        <w:rPr>
          <w:b/>
          <w:color w:val="404040"/>
        </w:rPr>
        <w:t>$577bn </w:t>
      </w:r>
      <w:r>
        <w:rPr>
          <w:color w:val="404040"/>
        </w:rPr>
        <w:t>(or </w:t>
      </w:r>
      <w:r>
        <w:rPr>
          <w:b/>
          <w:color w:val="404040"/>
        </w:rPr>
        <w:t>10.2% </w:t>
      </w:r>
      <w:r>
        <w:rPr>
          <w:color w:val="404040"/>
        </w:rPr>
        <w:t>of the total lifetime cost). The average lifetime cost for people in this class is </w:t>
      </w:r>
      <w:r>
        <w:rPr>
          <w:b/>
          <w:color w:val="404040"/>
        </w:rPr>
        <w:t>$230,000</w:t>
      </w:r>
      <w:r>
        <w:rPr>
          <w:color w:val="404040"/>
        </w:rPr>
        <w:t>. The variation in average lifetime cost by age and gender is illustrated in the figure below.</w:t>
      </w:r>
    </w:p>
    <w:p>
      <w:pPr>
        <w:spacing w:after="0" w:line="242" w:lineRule="auto"/>
        <w:sectPr>
          <w:headerReference w:type="default" r:id="rId153"/>
          <w:footerReference w:type="default" r:id="rId154"/>
          <w:pgSz w:w="11910" w:h="16850"/>
          <w:pgMar w:header="572" w:footer="581" w:top="780" w:bottom="780" w:left="120" w:right="0"/>
          <w:pgNumType w:start="111"/>
        </w:sectPr>
      </w:pPr>
    </w:p>
    <w:p>
      <w:pPr>
        <w:pStyle w:val="BodyText"/>
      </w:pPr>
    </w:p>
    <w:p>
      <w:pPr>
        <w:pStyle w:val="BodyText"/>
      </w:pPr>
    </w:p>
    <w:p>
      <w:pPr>
        <w:pStyle w:val="BodyText"/>
        <w:spacing w:before="5"/>
        <w:rPr>
          <w:sz w:val="21"/>
        </w:rPr>
      </w:pPr>
    </w:p>
    <w:p>
      <w:pPr>
        <w:pStyle w:val="Heading9"/>
      </w:pPr>
      <w:r>
        <w:rPr>
          <w:color w:val="DF2F1E"/>
        </w:rPr>
        <w:t>Figure 76: Average lifetime cost by age and gender (class 6)</w:t>
      </w:r>
    </w:p>
    <w:p>
      <w:pPr>
        <w:pStyle w:val="BodyText"/>
        <w:spacing w:before="4"/>
        <w:rPr>
          <w:b/>
          <w:sz w:val="13"/>
        </w:rPr>
      </w:pPr>
    </w:p>
    <w:p>
      <w:pPr>
        <w:spacing w:after="0"/>
        <w:rPr>
          <w:sz w:val="13"/>
        </w:rPr>
        <w:sectPr>
          <w:pgSz w:w="11910" w:h="16850"/>
          <w:pgMar w:header="572" w:footer="581" w:top="780" w:bottom="780" w:left="120" w:right="0"/>
        </w:sectPr>
      </w:pPr>
    </w:p>
    <w:p>
      <w:pPr>
        <w:spacing w:before="71"/>
        <w:ind w:left="1553" w:right="0" w:firstLine="0"/>
        <w:jc w:val="left"/>
        <w:rPr>
          <w:rFonts w:ascii="Calibri"/>
          <w:sz w:val="14"/>
        </w:rPr>
      </w:pPr>
      <w:r>
        <w:rPr/>
        <w:pict>
          <v:group style="position:absolute;margin-left:95.500412pt;margin-top:7.246132pt;width:239.9pt;height:128.5pt;mso-position-horizontal-relative:page;mso-position-vertical-relative:paragraph;z-index:252503040" coordorigin="1910,145" coordsize="4798,2570">
            <v:shape style="position:absolute;left:1910;top:144;width:4798;height:2570" type="#_x0000_t75" stroked="false">
              <v:imagedata r:id="rId155" o:title=""/>
            </v:shape>
            <v:shape style="position:absolute;left:3073;top:238;width:634;height:204" type="#_x0000_t202" filled="false" stroked="false">
              <v:textbox inset="0,0,0,0">
                <w:txbxContent>
                  <w:p>
                    <w:pPr>
                      <w:spacing w:line="204" w:lineRule="exact" w:before="0"/>
                      <w:ind w:left="0" w:right="0" w:firstLine="0"/>
                      <w:jc w:val="left"/>
                      <w:rPr>
                        <w:rFonts w:ascii="Calibri"/>
                        <w:sz w:val="20"/>
                      </w:rPr>
                    </w:pPr>
                    <w:r>
                      <w:rPr>
                        <w:rFonts w:ascii="Calibri"/>
                        <w:color w:val="BEBEBE"/>
                        <w:sz w:val="20"/>
                      </w:rPr>
                      <w:t>&lt;- Male</w:t>
                    </w:r>
                  </w:p>
                </w:txbxContent>
              </v:textbox>
              <w10:wrap type="none"/>
            </v:shape>
            <v:shape style="position:absolute;left:4948;top:238;width:831;height:204" type="#_x0000_t202" filled="false" stroked="false">
              <v:textbox inset="0,0,0,0">
                <w:txbxContent>
                  <w:p>
                    <w:pPr>
                      <w:spacing w:line="204" w:lineRule="exact" w:before="0"/>
                      <w:ind w:left="0" w:right="0" w:firstLine="0"/>
                      <w:jc w:val="left"/>
                      <w:rPr>
                        <w:rFonts w:ascii="Calibri"/>
                        <w:sz w:val="20"/>
                      </w:rPr>
                    </w:pPr>
                    <w:r>
                      <w:rPr>
                        <w:rFonts w:ascii="Calibri"/>
                        <w:color w:val="BEBEBE"/>
                        <w:sz w:val="20"/>
                      </w:rPr>
                      <w:t>Female -&gt;</w:t>
                    </w:r>
                  </w:p>
                </w:txbxContent>
              </v:textbox>
              <w10:wrap type="none"/>
            </v:shape>
            <w10:wrap type="none"/>
          </v:group>
        </w:pict>
      </w:r>
      <w:r>
        <w:rPr>
          <w:rFonts w:ascii="Calibri"/>
          <w:sz w:val="14"/>
        </w:rPr>
        <w:t>90</w:t>
      </w:r>
    </w:p>
    <w:p>
      <w:pPr>
        <w:spacing w:before="107"/>
        <w:ind w:left="1553" w:right="0" w:firstLine="0"/>
        <w:jc w:val="left"/>
        <w:rPr>
          <w:rFonts w:ascii="Calibri"/>
          <w:sz w:val="14"/>
        </w:rPr>
      </w:pPr>
      <w:r>
        <w:rPr>
          <w:rFonts w:ascii="Calibri"/>
          <w:sz w:val="14"/>
        </w:rPr>
        <w:t>80</w:t>
      </w:r>
    </w:p>
    <w:p>
      <w:pPr>
        <w:spacing w:before="107"/>
        <w:ind w:left="1553" w:right="0" w:firstLine="0"/>
        <w:jc w:val="left"/>
        <w:rPr>
          <w:rFonts w:ascii="Calibri"/>
          <w:sz w:val="14"/>
        </w:rPr>
      </w:pPr>
      <w:r>
        <w:rPr/>
        <w:pict>
          <v:shape style="position:absolute;margin-left:73.542099pt;margin-top:11.527499pt;width:9pt;height:66.7pt;mso-position-horizontal-relative:page;mso-position-vertical-relative:paragraph;z-index:252505088" type="#_x0000_t202" filled="false" stroked="false">
            <v:textbox inset="0,0,0,0" style="layout-flow:vertical;mso-layout-flow-alt:bottom-to-top">
              <w:txbxContent>
                <w:p>
                  <w:pPr>
                    <w:spacing w:line="162" w:lineRule="exact" w:before="0"/>
                    <w:ind w:left="20" w:right="0" w:firstLine="0"/>
                    <w:jc w:val="left"/>
                    <w:rPr>
                      <w:rFonts w:ascii="Calibri"/>
                      <w:b/>
                      <w:sz w:val="14"/>
                    </w:rPr>
                  </w:pPr>
                  <w:r>
                    <w:rPr>
                      <w:rFonts w:ascii="Calibri"/>
                      <w:b/>
                      <w:sz w:val="14"/>
                    </w:rPr>
                    <w:t>Age at Valuation Date</w:t>
                  </w:r>
                </w:p>
              </w:txbxContent>
            </v:textbox>
            <w10:wrap type="none"/>
          </v:shape>
        </w:pict>
      </w:r>
      <w:r>
        <w:rPr>
          <w:rFonts w:ascii="Calibri"/>
          <w:sz w:val="14"/>
        </w:rPr>
        <w:t>70</w:t>
      </w:r>
    </w:p>
    <w:p>
      <w:pPr>
        <w:spacing w:before="107"/>
        <w:ind w:left="1553" w:right="0" w:firstLine="0"/>
        <w:jc w:val="left"/>
        <w:rPr>
          <w:rFonts w:ascii="Calibri"/>
          <w:sz w:val="14"/>
        </w:rPr>
      </w:pPr>
      <w:r>
        <w:rPr>
          <w:rFonts w:ascii="Calibri"/>
          <w:sz w:val="14"/>
        </w:rPr>
        <w:t>60</w:t>
      </w:r>
    </w:p>
    <w:p>
      <w:pPr>
        <w:spacing w:before="107"/>
        <w:ind w:left="1553" w:right="0" w:firstLine="0"/>
        <w:jc w:val="left"/>
        <w:rPr>
          <w:rFonts w:ascii="Calibri"/>
          <w:sz w:val="14"/>
        </w:rPr>
      </w:pPr>
      <w:r>
        <w:rPr>
          <w:rFonts w:ascii="Calibri"/>
          <w:sz w:val="14"/>
        </w:rPr>
        <w:t>50</w:t>
      </w:r>
    </w:p>
    <w:p>
      <w:pPr>
        <w:spacing w:before="107"/>
        <w:ind w:left="1553" w:right="0" w:firstLine="0"/>
        <w:jc w:val="left"/>
        <w:rPr>
          <w:rFonts w:ascii="Calibri"/>
          <w:sz w:val="14"/>
        </w:rPr>
      </w:pPr>
      <w:r>
        <w:rPr>
          <w:rFonts w:ascii="Calibri"/>
          <w:sz w:val="14"/>
        </w:rPr>
        <w:t>40</w:t>
      </w:r>
    </w:p>
    <w:p>
      <w:pPr>
        <w:spacing w:before="107"/>
        <w:ind w:left="1553" w:right="0" w:firstLine="0"/>
        <w:jc w:val="left"/>
        <w:rPr>
          <w:rFonts w:ascii="Calibri"/>
          <w:sz w:val="14"/>
        </w:rPr>
      </w:pPr>
      <w:r>
        <w:rPr>
          <w:rFonts w:ascii="Calibri"/>
          <w:sz w:val="14"/>
        </w:rPr>
        <w:t>30</w:t>
      </w:r>
    </w:p>
    <w:p>
      <w:pPr>
        <w:spacing w:before="107"/>
        <w:ind w:left="1553" w:right="0" w:firstLine="0"/>
        <w:jc w:val="left"/>
        <w:rPr>
          <w:rFonts w:ascii="Calibri"/>
          <w:sz w:val="14"/>
        </w:rPr>
      </w:pPr>
      <w:r>
        <w:rPr>
          <w:rFonts w:ascii="Calibri"/>
          <w:sz w:val="14"/>
        </w:rPr>
        <w:t>20</w:t>
      </w:r>
    </w:p>
    <w:p>
      <w:pPr>
        <w:spacing w:before="107"/>
        <w:ind w:left="1553" w:right="0" w:firstLine="0"/>
        <w:jc w:val="left"/>
        <w:rPr>
          <w:rFonts w:ascii="Calibri"/>
          <w:sz w:val="14"/>
        </w:rPr>
      </w:pPr>
      <w:r>
        <w:rPr>
          <w:rFonts w:ascii="Calibri"/>
          <w:sz w:val="14"/>
        </w:rPr>
        <w:t>10</w:t>
      </w:r>
    </w:p>
    <w:p>
      <w:pPr>
        <w:spacing w:before="107"/>
        <w:ind w:left="1626" w:right="0" w:firstLine="0"/>
        <w:jc w:val="left"/>
        <w:rPr>
          <w:rFonts w:ascii="Calibri"/>
          <w:sz w:val="14"/>
        </w:rPr>
      </w:pPr>
      <w:r>
        <w:rPr>
          <w:rFonts w:ascii="Calibri"/>
          <w:w w:val="99"/>
          <w:sz w:val="14"/>
        </w:rPr>
        <w:t>0</w:t>
      </w:r>
    </w:p>
    <w:p>
      <w:pPr>
        <w:spacing w:before="29"/>
        <w:ind w:left="1722" w:right="0" w:firstLine="0"/>
        <w:jc w:val="left"/>
        <w:rPr>
          <w:rFonts w:ascii="Calibri"/>
          <w:sz w:val="14"/>
        </w:rPr>
      </w:pPr>
      <w:r>
        <w:rPr>
          <w:rFonts w:ascii="Calibri"/>
          <w:sz w:val="14"/>
        </w:rPr>
        <w:t>600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7"/>
        </w:rPr>
      </w:pPr>
    </w:p>
    <w:p>
      <w:pPr>
        <w:spacing w:before="1"/>
        <w:ind w:left="134" w:right="0" w:firstLine="0"/>
        <w:jc w:val="left"/>
        <w:rPr>
          <w:rFonts w:ascii="Calibri"/>
          <w:sz w:val="14"/>
        </w:rPr>
      </w:pPr>
      <w:r>
        <w:rPr>
          <w:rFonts w:ascii="Calibri"/>
          <w:sz w:val="14"/>
        </w:rPr>
        <w:t>500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7"/>
        </w:rPr>
      </w:pPr>
    </w:p>
    <w:p>
      <w:pPr>
        <w:spacing w:before="1"/>
        <w:ind w:left="134" w:right="0" w:firstLine="0"/>
        <w:jc w:val="left"/>
        <w:rPr>
          <w:rFonts w:ascii="Calibri"/>
          <w:sz w:val="14"/>
        </w:rPr>
      </w:pPr>
      <w:r>
        <w:rPr>
          <w:rFonts w:ascii="Calibri"/>
          <w:sz w:val="14"/>
        </w:rPr>
        <w:t>400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7"/>
        </w:rPr>
      </w:pPr>
    </w:p>
    <w:p>
      <w:pPr>
        <w:spacing w:before="1"/>
        <w:ind w:left="134" w:right="0" w:firstLine="0"/>
        <w:jc w:val="left"/>
        <w:rPr>
          <w:rFonts w:ascii="Calibri"/>
          <w:sz w:val="14"/>
        </w:rPr>
      </w:pPr>
      <w:r>
        <w:rPr>
          <w:rFonts w:ascii="Calibri"/>
          <w:sz w:val="14"/>
        </w:rPr>
        <w:t>300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7"/>
        </w:rPr>
      </w:pPr>
    </w:p>
    <w:p>
      <w:pPr>
        <w:spacing w:before="1"/>
        <w:ind w:left="134" w:right="0" w:firstLine="0"/>
        <w:jc w:val="left"/>
        <w:rPr>
          <w:rFonts w:ascii="Calibri"/>
          <w:sz w:val="14"/>
        </w:rPr>
      </w:pPr>
      <w:r>
        <w:rPr>
          <w:rFonts w:ascii="Calibri"/>
          <w:sz w:val="14"/>
        </w:rPr>
        <w:t>200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7"/>
        </w:rPr>
      </w:pPr>
    </w:p>
    <w:p>
      <w:pPr>
        <w:tabs>
          <w:tab w:pos="602" w:val="left" w:leader="none"/>
        </w:tabs>
        <w:spacing w:before="1"/>
        <w:ind w:left="134" w:right="0" w:firstLine="0"/>
        <w:jc w:val="left"/>
        <w:rPr>
          <w:rFonts w:ascii="Calibri"/>
          <w:sz w:val="14"/>
        </w:rPr>
      </w:pPr>
      <w:r>
        <w:rPr>
          <w:rFonts w:ascii="Calibri"/>
          <w:spacing w:val="2"/>
          <w:sz w:val="14"/>
        </w:rPr>
        <w:t>100</w:t>
        <w:tab/>
      </w:r>
      <w:r>
        <w:rPr>
          <w:rFonts w:ascii="Calibri"/>
          <w:spacing w:val="-20"/>
          <w:sz w:val="14"/>
        </w:rPr>
        <w:t>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7"/>
        </w:rPr>
      </w:pPr>
    </w:p>
    <w:p>
      <w:pPr>
        <w:spacing w:before="1"/>
        <w:ind w:left="212" w:right="0" w:firstLine="0"/>
        <w:jc w:val="left"/>
        <w:rPr>
          <w:rFonts w:ascii="Calibri"/>
          <w:sz w:val="14"/>
        </w:rPr>
      </w:pPr>
      <w:r>
        <w:rPr>
          <w:rFonts w:ascii="Calibri"/>
          <w:sz w:val="14"/>
        </w:rPr>
        <w:t>100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7"/>
        </w:rPr>
      </w:pPr>
    </w:p>
    <w:p>
      <w:pPr>
        <w:spacing w:before="1"/>
        <w:ind w:left="134" w:right="0" w:firstLine="0"/>
        <w:jc w:val="left"/>
        <w:rPr>
          <w:rFonts w:ascii="Calibri"/>
          <w:sz w:val="14"/>
        </w:rPr>
      </w:pPr>
      <w:r>
        <w:rPr>
          <w:rFonts w:ascii="Calibri"/>
          <w:sz w:val="14"/>
        </w:rPr>
        <w:t>200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7"/>
        </w:rPr>
      </w:pPr>
    </w:p>
    <w:p>
      <w:pPr>
        <w:spacing w:before="1"/>
        <w:ind w:left="134" w:right="0" w:firstLine="0"/>
        <w:jc w:val="left"/>
        <w:rPr>
          <w:rFonts w:ascii="Calibri"/>
          <w:sz w:val="14"/>
        </w:rPr>
      </w:pPr>
      <w:r>
        <w:rPr>
          <w:rFonts w:ascii="Calibri"/>
          <w:sz w:val="14"/>
        </w:rPr>
        <w:t>300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7"/>
        </w:rPr>
      </w:pPr>
    </w:p>
    <w:p>
      <w:pPr>
        <w:spacing w:before="1"/>
        <w:ind w:left="134" w:right="0" w:firstLine="0"/>
        <w:jc w:val="left"/>
        <w:rPr>
          <w:rFonts w:ascii="Calibri"/>
          <w:sz w:val="14"/>
        </w:rPr>
      </w:pPr>
      <w:r>
        <w:rPr>
          <w:rFonts w:ascii="Calibri"/>
          <w:sz w:val="14"/>
        </w:rPr>
        <w:t>400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7"/>
        </w:rPr>
      </w:pPr>
    </w:p>
    <w:p>
      <w:pPr>
        <w:spacing w:before="1"/>
        <w:ind w:left="134" w:right="0" w:firstLine="0"/>
        <w:jc w:val="left"/>
        <w:rPr>
          <w:rFonts w:ascii="Calibri"/>
          <w:sz w:val="14"/>
        </w:rPr>
      </w:pPr>
      <w:r>
        <w:rPr>
          <w:rFonts w:ascii="Calibri"/>
          <w:sz w:val="14"/>
        </w:rPr>
        <w:t>500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7"/>
        </w:rPr>
      </w:pPr>
    </w:p>
    <w:p>
      <w:pPr>
        <w:spacing w:before="1"/>
        <w:ind w:left="134" w:right="0" w:firstLine="0"/>
        <w:jc w:val="left"/>
        <w:rPr>
          <w:rFonts w:ascii="Calibri"/>
          <w:sz w:val="14"/>
        </w:rPr>
      </w:pPr>
      <w:r>
        <w:rPr>
          <w:rFonts w:ascii="Calibri"/>
          <w:sz w:val="14"/>
        </w:rPr>
        <w:t>600</w:t>
      </w:r>
    </w:p>
    <w:p>
      <w:pPr>
        <w:pStyle w:val="BodyText"/>
        <w:rPr>
          <w:rFonts w:ascii="Calibri"/>
          <w:sz w:val="10"/>
        </w:rPr>
      </w:pPr>
      <w:r>
        <w:rPr/>
        <w:br w:type="column"/>
      </w:r>
      <w:r>
        <w:rPr>
          <w:rFonts w:ascii="Calibri"/>
          <w:sz w:val="10"/>
        </w:rPr>
      </w:r>
    </w:p>
    <w:p>
      <w:pPr>
        <w:spacing w:before="63"/>
        <w:ind w:left="950" w:right="0" w:firstLine="0"/>
        <w:jc w:val="left"/>
        <w:rPr>
          <w:rFonts w:ascii="Calibri"/>
          <w:b/>
          <w:sz w:val="10"/>
        </w:rPr>
      </w:pPr>
      <w:r>
        <w:rPr>
          <w:rFonts w:ascii="Calibri"/>
          <w:b/>
          <w:w w:val="105"/>
          <w:sz w:val="10"/>
        </w:rPr>
        <w:t>Payment Category Key:</w:t>
      </w:r>
    </w:p>
    <w:p>
      <w:pPr>
        <w:spacing w:before="31"/>
        <w:ind w:left="1166" w:right="0" w:firstLine="0"/>
        <w:jc w:val="left"/>
        <w:rPr>
          <w:rFonts w:ascii="Calibri"/>
          <w:sz w:val="10"/>
        </w:rPr>
      </w:pPr>
      <w:r>
        <w:rPr/>
        <w:drawing>
          <wp:anchor distT="0" distB="0" distL="0" distR="0" allowOverlap="1" layoutInCell="1" locked="0" behindDoc="0" simplePos="0" relativeHeight="252504064">
            <wp:simplePos x="0" y="0"/>
            <wp:positionH relativeFrom="page">
              <wp:posOffset>4944719</wp:posOffset>
            </wp:positionH>
            <wp:positionV relativeFrom="paragraph">
              <wp:posOffset>9310</wp:posOffset>
            </wp:positionV>
            <wp:extent cx="136997" cy="1508880"/>
            <wp:effectExtent l="0" t="0" r="0" b="0"/>
            <wp:wrapNone/>
            <wp:docPr id="249" name="image121.png"/>
            <wp:cNvGraphicFramePr>
              <a:graphicFrameLocks noChangeAspect="1"/>
            </wp:cNvGraphicFramePr>
            <a:graphic>
              <a:graphicData uri="http://schemas.openxmlformats.org/drawingml/2006/picture">
                <pic:pic>
                  <pic:nvPicPr>
                    <pic:cNvPr id="250" name="image121.png"/>
                    <pic:cNvPicPr/>
                  </pic:nvPicPr>
                  <pic:blipFill>
                    <a:blip r:embed="rId143" cstate="print"/>
                    <a:stretch>
                      <a:fillRect/>
                    </a:stretch>
                  </pic:blipFill>
                  <pic:spPr>
                    <a:xfrm>
                      <a:off x="0" y="0"/>
                      <a:ext cx="136997" cy="1508880"/>
                    </a:xfrm>
                    <a:prstGeom prst="rect">
                      <a:avLst/>
                    </a:prstGeom>
                  </pic:spPr>
                </pic:pic>
              </a:graphicData>
            </a:graphic>
          </wp:anchor>
        </w:drawing>
      </w:r>
      <w:r>
        <w:rPr>
          <w:rFonts w:ascii="Calibri"/>
          <w:w w:val="105"/>
          <w:sz w:val="10"/>
        </w:rPr>
        <w:t>A - IS Studying</w:t>
      </w:r>
    </w:p>
    <w:p>
      <w:pPr>
        <w:spacing w:line="273" w:lineRule="auto" w:before="17"/>
        <w:ind w:left="1166" w:right="3074" w:firstLine="0"/>
        <w:jc w:val="left"/>
        <w:rPr>
          <w:rFonts w:ascii="Calibri"/>
          <w:sz w:val="10"/>
        </w:rPr>
      </w:pPr>
      <w:r>
        <w:rPr>
          <w:rFonts w:ascii="Calibri"/>
          <w:w w:val="105"/>
          <w:sz w:val="10"/>
        </w:rPr>
        <w:t>B - IS Working Age C - IS Parents</w:t>
      </w:r>
    </w:p>
    <w:p>
      <w:pPr>
        <w:spacing w:before="1"/>
        <w:ind w:left="1166" w:right="0" w:firstLine="0"/>
        <w:jc w:val="left"/>
        <w:rPr>
          <w:rFonts w:ascii="Calibri"/>
          <w:sz w:val="10"/>
        </w:rPr>
      </w:pPr>
      <w:r>
        <w:rPr>
          <w:rFonts w:ascii="Calibri"/>
          <w:w w:val="105"/>
          <w:sz w:val="10"/>
        </w:rPr>
        <w:t>D - IS Carer</w:t>
      </w:r>
    </w:p>
    <w:p>
      <w:pPr>
        <w:spacing w:line="273" w:lineRule="auto" w:before="17"/>
        <w:ind w:left="1166" w:right="3254" w:firstLine="0"/>
        <w:jc w:val="left"/>
        <w:rPr>
          <w:rFonts w:ascii="Calibri"/>
          <w:sz w:val="10"/>
        </w:rPr>
      </w:pPr>
      <w:r>
        <w:rPr>
          <w:rFonts w:ascii="Calibri"/>
          <w:w w:val="105"/>
          <w:sz w:val="10"/>
        </w:rPr>
        <w:t>E - IS Disability F - IS Age</w:t>
      </w:r>
    </w:p>
    <w:p>
      <w:pPr>
        <w:spacing w:line="273" w:lineRule="auto" w:before="0"/>
        <w:ind w:left="1166" w:right="3154" w:firstLine="0"/>
        <w:jc w:val="left"/>
        <w:rPr>
          <w:rFonts w:ascii="Calibri"/>
          <w:sz w:val="10"/>
        </w:rPr>
      </w:pPr>
      <w:r>
        <w:rPr>
          <w:rFonts w:ascii="Calibri"/>
          <w:w w:val="105"/>
          <w:sz w:val="10"/>
        </w:rPr>
        <w:t>G - IS Dependant H - Other FTB</w:t>
      </w:r>
    </w:p>
    <w:p>
      <w:pPr>
        <w:spacing w:before="1"/>
        <w:ind w:left="1166" w:right="0" w:firstLine="0"/>
        <w:jc w:val="left"/>
        <w:rPr>
          <w:rFonts w:ascii="Calibri"/>
          <w:sz w:val="10"/>
        </w:rPr>
      </w:pPr>
      <w:r>
        <w:rPr>
          <w:rFonts w:ascii="Calibri"/>
          <w:w w:val="105"/>
          <w:sz w:val="10"/>
        </w:rPr>
        <w:t>I - Other Family</w:t>
      </w:r>
    </w:p>
    <w:p>
      <w:pPr>
        <w:spacing w:before="17"/>
        <w:ind w:left="1166" w:right="0" w:firstLine="0"/>
        <w:jc w:val="left"/>
        <w:rPr>
          <w:rFonts w:ascii="Calibri"/>
          <w:sz w:val="10"/>
        </w:rPr>
      </w:pPr>
      <w:r>
        <w:rPr>
          <w:rFonts w:ascii="Calibri"/>
          <w:w w:val="105"/>
          <w:sz w:val="10"/>
        </w:rPr>
        <w:t>J - Other New Parents</w:t>
      </w:r>
    </w:p>
    <w:p>
      <w:pPr>
        <w:spacing w:line="273" w:lineRule="auto" w:before="17"/>
        <w:ind w:left="1166" w:right="2686" w:firstLine="0"/>
        <w:jc w:val="left"/>
        <w:rPr>
          <w:rFonts w:ascii="Calibri"/>
          <w:sz w:val="10"/>
        </w:rPr>
      </w:pPr>
      <w:r>
        <w:rPr>
          <w:rFonts w:ascii="Calibri"/>
          <w:w w:val="105"/>
          <w:sz w:val="10"/>
        </w:rPr>
        <w:t>L - Other Health &amp; Disability M - Other Carer</w:t>
      </w:r>
    </w:p>
    <w:p>
      <w:pPr>
        <w:spacing w:before="0"/>
        <w:ind w:left="1166" w:right="0" w:firstLine="0"/>
        <w:jc w:val="left"/>
        <w:rPr>
          <w:rFonts w:ascii="Calibri"/>
          <w:sz w:val="10"/>
        </w:rPr>
      </w:pPr>
      <w:r>
        <w:rPr>
          <w:rFonts w:ascii="Calibri"/>
          <w:w w:val="105"/>
          <w:sz w:val="10"/>
        </w:rPr>
        <w:t>N - Other Study &amp; Skills</w:t>
      </w:r>
    </w:p>
    <w:p>
      <w:pPr>
        <w:spacing w:line="273" w:lineRule="auto" w:before="18"/>
        <w:ind w:left="1166" w:right="2629" w:firstLine="0"/>
        <w:jc w:val="both"/>
        <w:rPr>
          <w:rFonts w:ascii="Calibri"/>
          <w:sz w:val="10"/>
        </w:rPr>
      </w:pPr>
      <w:r>
        <w:rPr>
          <w:rFonts w:ascii="Calibri"/>
          <w:w w:val="105"/>
          <w:sz w:val="10"/>
        </w:rPr>
        <w:t>O - Other Remote &amp; Regional P - Other General Allowances Q - All Other</w:t>
      </w:r>
    </w:p>
    <w:p>
      <w:pPr>
        <w:spacing w:before="0"/>
        <w:ind w:left="1166" w:right="0" w:firstLine="0"/>
        <w:jc w:val="both"/>
        <w:rPr>
          <w:rFonts w:ascii="Calibri"/>
          <w:sz w:val="10"/>
        </w:rPr>
      </w:pPr>
      <w:r>
        <w:rPr>
          <w:rFonts w:ascii="Calibri"/>
          <w:w w:val="105"/>
          <w:sz w:val="10"/>
        </w:rPr>
        <w:t>R - Rent Assistance</w:t>
      </w:r>
    </w:p>
    <w:p>
      <w:pPr>
        <w:spacing w:after="0"/>
        <w:jc w:val="both"/>
        <w:rPr>
          <w:rFonts w:ascii="Calibri"/>
          <w:sz w:val="10"/>
        </w:rPr>
        <w:sectPr>
          <w:type w:val="continuous"/>
          <w:pgSz w:w="11910" w:h="16850"/>
          <w:pgMar w:top="1600" w:bottom="280" w:left="120" w:right="0"/>
          <w:cols w:num="13" w:equalWidth="0">
            <w:col w:w="1945" w:space="40"/>
            <w:col w:w="356" w:space="39"/>
            <w:col w:w="356" w:space="39"/>
            <w:col w:w="356" w:space="40"/>
            <w:col w:w="356" w:space="39"/>
            <w:col w:w="674" w:space="40"/>
            <w:col w:w="434" w:space="39"/>
            <w:col w:w="356" w:space="39"/>
            <w:col w:w="356" w:space="40"/>
            <w:col w:w="356" w:space="39"/>
            <w:col w:w="356" w:space="40"/>
            <w:col w:w="356" w:space="39"/>
            <w:col w:w="5060"/>
          </w:cols>
        </w:sectPr>
      </w:pPr>
    </w:p>
    <w:p>
      <w:pPr>
        <w:spacing w:before="46"/>
        <w:ind w:left="3315" w:right="0" w:firstLine="0"/>
        <w:jc w:val="left"/>
        <w:rPr>
          <w:rFonts w:ascii="Calibri"/>
          <w:b/>
          <w:sz w:val="14"/>
        </w:rPr>
      </w:pPr>
      <w:r>
        <w:rPr>
          <w:rFonts w:ascii="Calibri"/>
          <w:b/>
          <w:sz w:val="14"/>
        </w:rPr>
        <w:t>Average Lifetime Cost ($000s)</w:t>
      </w:r>
    </w:p>
    <w:p>
      <w:pPr>
        <w:pStyle w:val="BodyText"/>
        <w:spacing w:before="5"/>
        <w:rPr>
          <w:rFonts w:ascii="Calibri"/>
          <w:b/>
          <w:sz w:val="19"/>
        </w:rPr>
      </w:pPr>
    </w:p>
    <w:p>
      <w:pPr>
        <w:pStyle w:val="BodyText"/>
        <w:spacing w:before="93"/>
        <w:ind w:left="900" w:right="1040"/>
      </w:pPr>
      <w:r>
        <w:rPr>
          <w:color w:val="404040"/>
        </w:rPr>
        <w:t>The pyramid or ‘inverse funnel’ shape illustrates the reductions in average lifetime cost as age increases. This is simply a function of the expected future lifetimes for people who have currently reached the ages shown. The average lifetime costs range from around </w:t>
      </w:r>
      <w:r>
        <w:rPr>
          <w:b/>
          <w:color w:val="404040"/>
        </w:rPr>
        <w:t>$383,000 </w:t>
      </w:r>
      <w:r>
        <w:rPr>
          <w:color w:val="404040"/>
        </w:rPr>
        <w:t>for women aged 65 to around </w:t>
      </w:r>
      <w:r>
        <w:rPr>
          <w:b/>
          <w:color w:val="404040"/>
        </w:rPr>
        <w:t>$79,000 </w:t>
      </w:r>
      <w:r>
        <w:rPr>
          <w:color w:val="404040"/>
        </w:rPr>
        <w:t>for men aged 90. As can be seen, almost all of the cost is from the Age Pension; the remainder is the cost of the Pension Supplement and Energy Supplement that are paid as a component of the pension rate.</w:t>
      </w:r>
    </w:p>
    <w:p>
      <w:pPr>
        <w:pStyle w:val="BodyText"/>
        <w:spacing w:before="122"/>
        <w:ind w:left="899" w:right="1154"/>
      </w:pPr>
      <w:r>
        <w:rPr>
          <w:color w:val="404040"/>
        </w:rPr>
        <w:t>There are very small numbers of people in this class below retirement age (approx. 6,000 people or around 0.3% of the class). Typically these are people receiving the Wife Pension. The existence of this group extends the pyramid to younger ages and the average lifetime costs are larger again as a result of the combined effect of the longer future lifetime and the expectation of this group being highly likely to remain in the class for the remainder of their lives.</w:t>
      </w:r>
    </w:p>
    <w:p>
      <w:pPr>
        <w:pStyle w:val="BodyText"/>
        <w:spacing w:before="120"/>
        <w:ind w:left="899" w:right="1087"/>
      </w:pPr>
      <w:r>
        <w:rPr>
          <w:color w:val="404040"/>
        </w:rPr>
        <w:t>To further explore differences in the average lifetime costs for people within class 6, we have prepared the table below, which shows the average lifetime cost for 65 to 69 year olds currently receiving Age Pension, split by key characteristics. We have selected a set age group to reduce the effect of age on the future lifetime cost. It is important to note that some characteristics serve as proxies for more fundamental socio-economic factors, and as such, they may not necessarily be the underlying cause of any differences observed in the average lifetime costs of individuals. Further, the variations and relativities to the average lifetime cost that have been shown may differ for other age bands.</w:t>
      </w:r>
    </w:p>
    <w:p>
      <w:pPr>
        <w:spacing w:after="0"/>
        <w:sectPr>
          <w:type w:val="continuous"/>
          <w:pgSz w:w="11910" w:h="16850"/>
          <w:pgMar w:top="1600" w:bottom="280" w:left="120" w:right="0"/>
        </w:sectPr>
      </w:pPr>
    </w:p>
    <w:p>
      <w:pPr>
        <w:pStyle w:val="BodyText"/>
      </w:pPr>
    </w:p>
    <w:p>
      <w:pPr>
        <w:pStyle w:val="BodyText"/>
      </w:pPr>
    </w:p>
    <w:p>
      <w:pPr>
        <w:pStyle w:val="BodyText"/>
        <w:spacing w:before="5"/>
        <w:rPr>
          <w:sz w:val="21"/>
        </w:rPr>
      </w:pPr>
    </w:p>
    <w:p>
      <w:pPr>
        <w:pStyle w:val="Heading9"/>
        <w:spacing w:after="49"/>
      </w:pPr>
      <w:r>
        <w:rPr>
          <w:color w:val="DF2F1E"/>
        </w:rPr>
        <w:t>Table 30: Average lifetime cost for 65 to 69 year old Age Pension recipients split by key characteristics</w:t>
      </w:r>
    </w:p>
    <w:tbl>
      <w:tblPr>
        <w:tblW w:w="0" w:type="auto"/>
        <w:jc w:val="left"/>
        <w:tblInd w:w="1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62"/>
        <w:gridCol w:w="1380"/>
        <w:gridCol w:w="1658"/>
        <w:gridCol w:w="1574"/>
        <w:gridCol w:w="1608"/>
      </w:tblGrid>
      <w:tr>
        <w:trPr>
          <w:trHeight w:val="647" w:hRule="atLeast"/>
        </w:trPr>
        <w:tc>
          <w:tcPr>
            <w:tcW w:w="3562" w:type="dxa"/>
            <w:shd w:val="clear" w:color="auto" w:fill="DF2F1E"/>
          </w:tcPr>
          <w:p>
            <w:pPr>
              <w:pStyle w:val="TableParagraph"/>
              <w:spacing w:before="0"/>
              <w:rPr>
                <w:rFonts w:ascii="Times New Roman"/>
                <w:sz w:val="16"/>
              </w:rPr>
            </w:pPr>
          </w:p>
        </w:tc>
        <w:tc>
          <w:tcPr>
            <w:tcW w:w="1380" w:type="dxa"/>
            <w:shd w:val="clear" w:color="auto" w:fill="DF2F1E"/>
          </w:tcPr>
          <w:p>
            <w:pPr>
              <w:pStyle w:val="TableParagraph"/>
              <w:spacing w:before="39"/>
              <w:ind w:left="580" w:right="122" w:hanging="142"/>
              <w:rPr>
                <w:b/>
                <w:sz w:val="16"/>
              </w:rPr>
            </w:pPr>
            <w:r>
              <w:rPr>
                <w:b/>
                <w:color w:val="FFFFFF"/>
                <w:sz w:val="16"/>
              </w:rPr>
              <w:t>Number of people</w:t>
            </w:r>
          </w:p>
        </w:tc>
        <w:tc>
          <w:tcPr>
            <w:tcW w:w="1658" w:type="dxa"/>
            <w:shd w:val="clear" w:color="auto" w:fill="DF2F1E"/>
          </w:tcPr>
          <w:p>
            <w:pPr>
              <w:pStyle w:val="TableParagraph"/>
              <w:spacing w:before="39"/>
              <w:ind w:left="277" w:right="130" w:hanging="130"/>
              <w:rPr>
                <w:b/>
                <w:sz w:val="16"/>
              </w:rPr>
            </w:pPr>
            <w:r>
              <w:rPr>
                <w:b/>
                <w:color w:val="FFFFFF"/>
                <w:sz w:val="16"/>
              </w:rPr>
              <w:t>Number of people as % of cohort</w:t>
            </w:r>
          </w:p>
        </w:tc>
        <w:tc>
          <w:tcPr>
            <w:tcW w:w="1574" w:type="dxa"/>
            <w:shd w:val="clear" w:color="auto" w:fill="DF2F1E"/>
          </w:tcPr>
          <w:p>
            <w:pPr>
              <w:pStyle w:val="TableParagraph"/>
              <w:spacing w:before="39"/>
              <w:ind w:left="612" w:right="161" w:hanging="456"/>
              <w:rPr>
                <w:b/>
                <w:sz w:val="16"/>
              </w:rPr>
            </w:pPr>
            <w:r>
              <w:rPr>
                <w:b/>
                <w:color w:val="FFFFFF"/>
                <w:sz w:val="16"/>
              </w:rPr>
              <w:t>Average lifetime cost</w:t>
            </w:r>
          </w:p>
        </w:tc>
        <w:tc>
          <w:tcPr>
            <w:tcW w:w="1608" w:type="dxa"/>
            <w:shd w:val="clear" w:color="auto" w:fill="DF2F1E"/>
          </w:tcPr>
          <w:p>
            <w:pPr>
              <w:pStyle w:val="TableParagraph"/>
              <w:spacing w:before="39"/>
              <w:ind w:left="190" w:right="177"/>
              <w:jc w:val="center"/>
              <w:rPr>
                <w:b/>
                <w:sz w:val="16"/>
              </w:rPr>
            </w:pPr>
            <w:r>
              <w:rPr>
                <w:b/>
                <w:color w:val="FFFFFF"/>
                <w:sz w:val="16"/>
              </w:rPr>
              <w:t>Average lifetime cost relative to cohort</w:t>
            </w:r>
          </w:p>
        </w:tc>
      </w:tr>
      <w:tr>
        <w:trPr>
          <w:trHeight w:val="263" w:hRule="atLeast"/>
        </w:trPr>
        <w:tc>
          <w:tcPr>
            <w:tcW w:w="3562" w:type="dxa"/>
            <w:tcBorders>
              <w:left w:val="single" w:sz="4" w:space="0" w:color="DF2F1E"/>
              <w:bottom w:val="single" w:sz="4" w:space="0" w:color="DF2F1E"/>
            </w:tcBorders>
          </w:tcPr>
          <w:p>
            <w:pPr>
              <w:pStyle w:val="TableParagraph"/>
              <w:spacing w:before="34"/>
              <w:ind w:left="107"/>
              <w:rPr>
                <w:b/>
                <w:sz w:val="16"/>
              </w:rPr>
            </w:pPr>
            <w:r>
              <w:rPr>
                <w:b/>
                <w:color w:val="404040"/>
                <w:sz w:val="16"/>
              </w:rPr>
              <w:t>Total</w:t>
            </w:r>
          </w:p>
        </w:tc>
        <w:tc>
          <w:tcPr>
            <w:tcW w:w="1380" w:type="dxa"/>
            <w:tcBorders>
              <w:bottom w:val="single" w:sz="4" w:space="0" w:color="DF2F1E"/>
            </w:tcBorders>
          </w:tcPr>
          <w:p>
            <w:pPr>
              <w:pStyle w:val="TableParagraph"/>
              <w:spacing w:before="34"/>
              <w:ind w:right="250"/>
              <w:jc w:val="right"/>
              <w:rPr>
                <w:b/>
                <w:sz w:val="16"/>
              </w:rPr>
            </w:pPr>
            <w:r>
              <w:rPr>
                <w:b/>
                <w:color w:val="404040"/>
                <w:sz w:val="16"/>
              </w:rPr>
              <w:t>552,000</w:t>
            </w:r>
          </w:p>
        </w:tc>
        <w:tc>
          <w:tcPr>
            <w:tcW w:w="1658" w:type="dxa"/>
            <w:tcBorders>
              <w:bottom w:val="single" w:sz="4" w:space="0" w:color="DF2F1E"/>
            </w:tcBorders>
          </w:tcPr>
          <w:p>
            <w:pPr>
              <w:pStyle w:val="TableParagraph"/>
              <w:spacing w:before="34"/>
              <w:ind w:left="623"/>
              <w:rPr>
                <w:b/>
                <w:sz w:val="16"/>
              </w:rPr>
            </w:pPr>
            <w:r>
              <w:rPr>
                <w:b/>
                <w:color w:val="404040"/>
                <w:sz w:val="16"/>
              </w:rPr>
              <w:t>100%</w:t>
            </w:r>
          </w:p>
        </w:tc>
        <w:tc>
          <w:tcPr>
            <w:tcW w:w="1574" w:type="dxa"/>
            <w:tcBorders>
              <w:bottom w:val="single" w:sz="4" w:space="0" w:color="DF2F1E"/>
            </w:tcBorders>
          </w:tcPr>
          <w:p>
            <w:pPr>
              <w:pStyle w:val="TableParagraph"/>
              <w:spacing w:before="34"/>
              <w:ind w:left="468" w:right="487"/>
              <w:jc w:val="center"/>
              <w:rPr>
                <w:b/>
                <w:sz w:val="16"/>
              </w:rPr>
            </w:pPr>
            <w:r>
              <w:rPr>
                <w:b/>
                <w:color w:val="404040"/>
                <w:sz w:val="16"/>
              </w:rPr>
              <w:t>326,000</w:t>
            </w:r>
          </w:p>
        </w:tc>
        <w:tc>
          <w:tcPr>
            <w:tcW w:w="1608" w:type="dxa"/>
            <w:tcBorders>
              <w:bottom w:val="single" w:sz="4" w:space="0" w:color="DF2F1E"/>
              <w:right w:val="single" w:sz="4" w:space="0" w:color="DF2F1E"/>
            </w:tcBorders>
          </w:tcPr>
          <w:p>
            <w:pPr>
              <w:pStyle w:val="TableParagraph"/>
              <w:spacing w:before="34"/>
              <w:ind w:left="581" w:right="571"/>
              <w:jc w:val="center"/>
              <w:rPr>
                <w:b/>
                <w:sz w:val="16"/>
              </w:rPr>
            </w:pPr>
            <w:r>
              <w:rPr>
                <w:b/>
                <w:color w:val="404040"/>
                <w:sz w:val="16"/>
              </w:rPr>
              <w:t>100%</w:t>
            </w:r>
          </w:p>
        </w:tc>
      </w:tr>
      <w:tr>
        <w:trPr>
          <w:trHeight w:val="262" w:hRule="atLeast"/>
        </w:trPr>
        <w:tc>
          <w:tcPr>
            <w:tcW w:w="3562" w:type="dxa"/>
            <w:tcBorders>
              <w:top w:val="single" w:sz="4" w:space="0" w:color="DF2F1E"/>
              <w:left w:val="single" w:sz="4" w:space="0" w:color="DF2F1E"/>
            </w:tcBorders>
          </w:tcPr>
          <w:p>
            <w:pPr>
              <w:pStyle w:val="TableParagraph"/>
              <w:spacing w:before="34"/>
              <w:ind w:left="107"/>
              <w:rPr>
                <w:b/>
                <w:sz w:val="16"/>
              </w:rPr>
            </w:pPr>
            <w:r>
              <w:rPr>
                <w:b/>
                <w:color w:val="404040"/>
                <w:sz w:val="16"/>
              </w:rPr>
              <w:t>Marital status</w:t>
            </w:r>
          </w:p>
        </w:tc>
        <w:tc>
          <w:tcPr>
            <w:tcW w:w="1380" w:type="dxa"/>
            <w:tcBorders>
              <w:top w:val="single" w:sz="4" w:space="0" w:color="DF2F1E"/>
            </w:tcBorders>
          </w:tcPr>
          <w:p>
            <w:pPr>
              <w:pStyle w:val="TableParagraph"/>
              <w:spacing w:before="0"/>
              <w:rPr>
                <w:rFonts w:ascii="Times New Roman"/>
                <w:sz w:val="16"/>
              </w:rPr>
            </w:pPr>
          </w:p>
        </w:tc>
        <w:tc>
          <w:tcPr>
            <w:tcW w:w="1658" w:type="dxa"/>
            <w:tcBorders>
              <w:top w:val="single" w:sz="4" w:space="0" w:color="DF2F1E"/>
            </w:tcBorders>
          </w:tcPr>
          <w:p>
            <w:pPr>
              <w:pStyle w:val="TableParagraph"/>
              <w:spacing w:before="0"/>
              <w:rPr>
                <w:rFonts w:ascii="Times New Roman"/>
                <w:sz w:val="16"/>
              </w:rPr>
            </w:pPr>
          </w:p>
        </w:tc>
        <w:tc>
          <w:tcPr>
            <w:tcW w:w="1574" w:type="dxa"/>
            <w:tcBorders>
              <w:top w:val="single" w:sz="4" w:space="0" w:color="DF2F1E"/>
            </w:tcBorders>
          </w:tcPr>
          <w:p>
            <w:pPr>
              <w:pStyle w:val="TableParagraph"/>
              <w:spacing w:before="0"/>
              <w:rPr>
                <w:rFonts w:ascii="Times New Roman"/>
                <w:sz w:val="16"/>
              </w:rPr>
            </w:pPr>
          </w:p>
        </w:tc>
        <w:tc>
          <w:tcPr>
            <w:tcW w:w="1608" w:type="dxa"/>
            <w:tcBorders>
              <w:top w:val="single" w:sz="4" w:space="0" w:color="DF2F1E"/>
              <w:right w:val="single" w:sz="4" w:space="0" w:color="DF2F1E"/>
            </w:tcBorders>
          </w:tcPr>
          <w:p>
            <w:pPr>
              <w:pStyle w:val="TableParagraph"/>
              <w:spacing w:before="0"/>
              <w:rPr>
                <w:rFonts w:ascii="Times New Roman"/>
                <w:sz w:val="16"/>
              </w:rPr>
            </w:pPr>
          </w:p>
        </w:tc>
      </w:tr>
      <w:tr>
        <w:trPr>
          <w:trHeight w:val="265" w:hRule="atLeast"/>
        </w:trPr>
        <w:tc>
          <w:tcPr>
            <w:tcW w:w="3562" w:type="dxa"/>
            <w:tcBorders>
              <w:left w:val="single" w:sz="4" w:space="0" w:color="DF2F1E"/>
            </w:tcBorders>
          </w:tcPr>
          <w:p>
            <w:pPr>
              <w:pStyle w:val="TableParagraph"/>
              <w:spacing w:before="39"/>
              <w:ind w:left="287"/>
              <w:rPr>
                <w:b/>
                <w:i/>
                <w:sz w:val="16"/>
              </w:rPr>
            </w:pPr>
            <w:r>
              <w:rPr>
                <w:b/>
                <w:i/>
                <w:color w:val="404040"/>
                <w:sz w:val="16"/>
              </w:rPr>
              <w:t>- Single</w:t>
            </w:r>
          </w:p>
        </w:tc>
        <w:tc>
          <w:tcPr>
            <w:tcW w:w="1380" w:type="dxa"/>
          </w:tcPr>
          <w:p>
            <w:pPr>
              <w:pStyle w:val="TableParagraph"/>
              <w:spacing w:before="39"/>
              <w:ind w:right="250"/>
              <w:jc w:val="right"/>
              <w:rPr>
                <w:sz w:val="16"/>
              </w:rPr>
            </w:pPr>
            <w:r>
              <w:rPr>
                <w:color w:val="404040"/>
                <w:sz w:val="16"/>
              </w:rPr>
              <w:t>221,000</w:t>
            </w:r>
          </w:p>
        </w:tc>
        <w:tc>
          <w:tcPr>
            <w:tcW w:w="1658" w:type="dxa"/>
          </w:tcPr>
          <w:p>
            <w:pPr>
              <w:pStyle w:val="TableParagraph"/>
              <w:spacing w:before="39"/>
              <w:ind w:left="669"/>
              <w:rPr>
                <w:sz w:val="16"/>
              </w:rPr>
            </w:pPr>
            <w:r>
              <w:rPr>
                <w:color w:val="404040"/>
                <w:sz w:val="16"/>
              </w:rPr>
              <w:t>40%</w:t>
            </w:r>
          </w:p>
        </w:tc>
        <w:tc>
          <w:tcPr>
            <w:tcW w:w="1574" w:type="dxa"/>
          </w:tcPr>
          <w:p>
            <w:pPr>
              <w:pStyle w:val="TableParagraph"/>
              <w:spacing w:before="39"/>
              <w:ind w:left="468" w:right="487"/>
              <w:jc w:val="center"/>
              <w:rPr>
                <w:sz w:val="16"/>
              </w:rPr>
            </w:pPr>
            <w:r>
              <w:rPr>
                <w:color w:val="404040"/>
                <w:sz w:val="16"/>
              </w:rPr>
              <w:t>378,000</w:t>
            </w:r>
          </w:p>
        </w:tc>
        <w:tc>
          <w:tcPr>
            <w:tcW w:w="1608" w:type="dxa"/>
            <w:tcBorders>
              <w:right w:val="single" w:sz="4" w:space="0" w:color="DF2F1E"/>
            </w:tcBorders>
          </w:tcPr>
          <w:p>
            <w:pPr>
              <w:pStyle w:val="TableParagraph"/>
              <w:spacing w:before="39"/>
              <w:ind w:left="581" w:right="571"/>
              <w:jc w:val="center"/>
              <w:rPr>
                <w:sz w:val="16"/>
              </w:rPr>
            </w:pPr>
            <w:r>
              <w:rPr>
                <w:color w:val="404040"/>
                <w:sz w:val="16"/>
              </w:rPr>
              <w:t>116%</w:t>
            </w:r>
          </w:p>
        </w:tc>
      </w:tr>
      <w:tr>
        <w:trPr>
          <w:trHeight w:val="264" w:hRule="atLeast"/>
        </w:trPr>
        <w:tc>
          <w:tcPr>
            <w:tcW w:w="3562" w:type="dxa"/>
            <w:tcBorders>
              <w:left w:val="single" w:sz="4" w:space="0" w:color="DF2F1E"/>
              <w:bottom w:val="single" w:sz="4" w:space="0" w:color="DF2F1E"/>
            </w:tcBorders>
          </w:tcPr>
          <w:p>
            <w:pPr>
              <w:pStyle w:val="TableParagraph"/>
              <w:ind w:left="287"/>
              <w:rPr>
                <w:b/>
                <w:i/>
                <w:sz w:val="16"/>
              </w:rPr>
            </w:pPr>
            <w:r>
              <w:rPr>
                <w:b/>
                <w:i/>
                <w:color w:val="404040"/>
                <w:sz w:val="16"/>
              </w:rPr>
              <w:t>- Partnered</w:t>
            </w:r>
          </w:p>
        </w:tc>
        <w:tc>
          <w:tcPr>
            <w:tcW w:w="1380" w:type="dxa"/>
            <w:tcBorders>
              <w:bottom w:val="single" w:sz="4" w:space="0" w:color="DF2F1E"/>
            </w:tcBorders>
          </w:tcPr>
          <w:p>
            <w:pPr>
              <w:pStyle w:val="TableParagraph"/>
              <w:ind w:right="250"/>
              <w:jc w:val="right"/>
              <w:rPr>
                <w:sz w:val="16"/>
              </w:rPr>
            </w:pPr>
            <w:r>
              <w:rPr>
                <w:color w:val="404040"/>
                <w:sz w:val="16"/>
              </w:rPr>
              <w:t>331,000</w:t>
            </w:r>
          </w:p>
        </w:tc>
        <w:tc>
          <w:tcPr>
            <w:tcW w:w="1658" w:type="dxa"/>
            <w:tcBorders>
              <w:bottom w:val="single" w:sz="4" w:space="0" w:color="DF2F1E"/>
            </w:tcBorders>
          </w:tcPr>
          <w:p>
            <w:pPr>
              <w:pStyle w:val="TableParagraph"/>
              <w:ind w:left="669"/>
              <w:rPr>
                <w:sz w:val="16"/>
              </w:rPr>
            </w:pPr>
            <w:r>
              <w:rPr>
                <w:color w:val="404040"/>
                <w:sz w:val="16"/>
              </w:rPr>
              <w:t>60%</w:t>
            </w:r>
          </w:p>
        </w:tc>
        <w:tc>
          <w:tcPr>
            <w:tcW w:w="1574" w:type="dxa"/>
            <w:tcBorders>
              <w:bottom w:val="single" w:sz="4" w:space="0" w:color="DF2F1E"/>
            </w:tcBorders>
          </w:tcPr>
          <w:p>
            <w:pPr>
              <w:pStyle w:val="TableParagraph"/>
              <w:ind w:left="468" w:right="487"/>
              <w:jc w:val="center"/>
              <w:rPr>
                <w:sz w:val="16"/>
              </w:rPr>
            </w:pPr>
            <w:r>
              <w:rPr>
                <w:color w:val="404040"/>
                <w:sz w:val="16"/>
              </w:rPr>
              <w:t>291,000</w:t>
            </w:r>
          </w:p>
        </w:tc>
        <w:tc>
          <w:tcPr>
            <w:tcW w:w="1608" w:type="dxa"/>
            <w:tcBorders>
              <w:bottom w:val="single" w:sz="4" w:space="0" w:color="DF2F1E"/>
              <w:right w:val="single" w:sz="4" w:space="0" w:color="DF2F1E"/>
            </w:tcBorders>
          </w:tcPr>
          <w:p>
            <w:pPr>
              <w:pStyle w:val="TableParagraph"/>
              <w:ind w:left="581" w:right="568"/>
              <w:jc w:val="center"/>
              <w:rPr>
                <w:sz w:val="16"/>
              </w:rPr>
            </w:pPr>
            <w:r>
              <w:rPr>
                <w:color w:val="404040"/>
                <w:sz w:val="16"/>
              </w:rPr>
              <w:t>89%</w:t>
            </w:r>
          </w:p>
        </w:tc>
      </w:tr>
      <w:tr>
        <w:trPr>
          <w:trHeight w:val="262" w:hRule="atLeast"/>
        </w:trPr>
        <w:tc>
          <w:tcPr>
            <w:tcW w:w="3562" w:type="dxa"/>
            <w:tcBorders>
              <w:top w:val="single" w:sz="4" w:space="0" w:color="DF2F1E"/>
              <w:left w:val="single" w:sz="4" w:space="0" w:color="DF2F1E"/>
            </w:tcBorders>
          </w:tcPr>
          <w:p>
            <w:pPr>
              <w:pStyle w:val="TableParagraph"/>
              <w:spacing w:before="34"/>
              <w:ind w:left="107"/>
              <w:rPr>
                <w:b/>
                <w:sz w:val="16"/>
              </w:rPr>
            </w:pPr>
            <w:r>
              <w:rPr>
                <w:b/>
                <w:color w:val="404040"/>
                <w:sz w:val="16"/>
              </w:rPr>
              <w:t>Received ‘Other Carer’ payment</w:t>
            </w:r>
          </w:p>
        </w:tc>
        <w:tc>
          <w:tcPr>
            <w:tcW w:w="1380" w:type="dxa"/>
            <w:tcBorders>
              <w:top w:val="single" w:sz="4" w:space="0" w:color="DF2F1E"/>
            </w:tcBorders>
          </w:tcPr>
          <w:p>
            <w:pPr>
              <w:pStyle w:val="TableParagraph"/>
              <w:spacing w:before="0"/>
              <w:rPr>
                <w:rFonts w:ascii="Times New Roman"/>
                <w:sz w:val="16"/>
              </w:rPr>
            </w:pPr>
          </w:p>
        </w:tc>
        <w:tc>
          <w:tcPr>
            <w:tcW w:w="1658" w:type="dxa"/>
            <w:tcBorders>
              <w:top w:val="single" w:sz="4" w:space="0" w:color="DF2F1E"/>
            </w:tcBorders>
          </w:tcPr>
          <w:p>
            <w:pPr>
              <w:pStyle w:val="TableParagraph"/>
              <w:spacing w:before="0"/>
              <w:rPr>
                <w:rFonts w:ascii="Times New Roman"/>
                <w:sz w:val="16"/>
              </w:rPr>
            </w:pPr>
          </w:p>
        </w:tc>
        <w:tc>
          <w:tcPr>
            <w:tcW w:w="1574" w:type="dxa"/>
            <w:tcBorders>
              <w:top w:val="single" w:sz="4" w:space="0" w:color="DF2F1E"/>
            </w:tcBorders>
          </w:tcPr>
          <w:p>
            <w:pPr>
              <w:pStyle w:val="TableParagraph"/>
              <w:spacing w:before="0"/>
              <w:rPr>
                <w:rFonts w:ascii="Times New Roman"/>
                <w:sz w:val="16"/>
              </w:rPr>
            </w:pPr>
          </w:p>
        </w:tc>
        <w:tc>
          <w:tcPr>
            <w:tcW w:w="1608" w:type="dxa"/>
            <w:tcBorders>
              <w:top w:val="single" w:sz="4" w:space="0" w:color="DF2F1E"/>
              <w:right w:val="single" w:sz="4" w:space="0" w:color="DF2F1E"/>
            </w:tcBorders>
          </w:tcPr>
          <w:p>
            <w:pPr>
              <w:pStyle w:val="TableParagraph"/>
              <w:spacing w:before="0"/>
              <w:rPr>
                <w:rFonts w:ascii="Times New Roman"/>
                <w:sz w:val="16"/>
              </w:rPr>
            </w:pPr>
          </w:p>
        </w:tc>
      </w:tr>
      <w:tr>
        <w:trPr>
          <w:trHeight w:val="265" w:hRule="atLeast"/>
        </w:trPr>
        <w:tc>
          <w:tcPr>
            <w:tcW w:w="3562" w:type="dxa"/>
            <w:tcBorders>
              <w:left w:val="single" w:sz="4" w:space="0" w:color="DF2F1E"/>
            </w:tcBorders>
          </w:tcPr>
          <w:p>
            <w:pPr>
              <w:pStyle w:val="TableParagraph"/>
              <w:spacing w:before="39"/>
              <w:ind w:left="287"/>
              <w:rPr>
                <w:b/>
                <w:i/>
                <w:sz w:val="16"/>
              </w:rPr>
            </w:pPr>
            <w:r>
              <w:rPr>
                <w:b/>
                <w:i/>
                <w:color w:val="404040"/>
                <w:sz w:val="16"/>
              </w:rPr>
              <w:t>- No</w:t>
            </w:r>
          </w:p>
        </w:tc>
        <w:tc>
          <w:tcPr>
            <w:tcW w:w="1380" w:type="dxa"/>
          </w:tcPr>
          <w:p>
            <w:pPr>
              <w:pStyle w:val="TableParagraph"/>
              <w:spacing w:before="39"/>
              <w:ind w:right="250"/>
              <w:jc w:val="right"/>
              <w:rPr>
                <w:sz w:val="16"/>
              </w:rPr>
            </w:pPr>
            <w:r>
              <w:rPr>
                <w:color w:val="404040"/>
                <w:sz w:val="16"/>
              </w:rPr>
              <w:t>525,000</w:t>
            </w:r>
          </w:p>
        </w:tc>
        <w:tc>
          <w:tcPr>
            <w:tcW w:w="1658" w:type="dxa"/>
          </w:tcPr>
          <w:p>
            <w:pPr>
              <w:pStyle w:val="TableParagraph"/>
              <w:spacing w:before="39"/>
              <w:ind w:left="669"/>
              <w:rPr>
                <w:sz w:val="16"/>
              </w:rPr>
            </w:pPr>
            <w:r>
              <w:rPr>
                <w:color w:val="404040"/>
                <w:sz w:val="16"/>
              </w:rPr>
              <w:t>95%</w:t>
            </w:r>
          </w:p>
        </w:tc>
        <w:tc>
          <w:tcPr>
            <w:tcW w:w="1574" w:type="dxa"/>
          </w:tcPr>
          <w:p>
            <w:pPr>
              <w:pStyle w:val="TableParagraph"/>
              <w:spacing w:before="39"/>
              <w:ind w:left="468" w:right="487"/>
              <w:jc w:val="center"/>
              <w:rPr>
                <w:sz w:val="16"/>
              </w:rPr>
            </w:pPr>
            <w:r>
              <w:rPr>
                <w:color w:val="404040"/>
                <w:sz w:val="16"/>
              </w:rPr>
              <w:t>325,000</w:t>
            </w:r>
          </w:p>
        </w:tc>
        <w:tc>
          <w:tcPr>
            <w:tcW w:w="1608" w:type="dxa"/>
            <w:tcBorders>
              <w:right w:val="single" w:sz="4" w:space="0" w:color="DF2F1E"/>
            </w:tcBorders>
          </w:tcPr>
          <w:p>
            <w:pPr>
              <w:pStyle w:val="TableParagraph"/>
              <w:spacing w:before="39"/>
              <w:ind w:left="581" w:right="571"/>
              <w:jc w:val="center"/>
              <w:rPr>
                <w:sz w:val="16"/>
              </w:rPr>
            </w:pPr>
            <w:r>
              <w:rPr>
                <w:color w:val="404040"/>
                <w:sz w:val="16"/>
              </w:rPr>
              <w:t>100%</w:t>
            </w:r>
          </w:p>
        </w:tc>
      </w:tr>
      <w:tr>
        <w:trPr>
          <w:trHeight w:val="264" w:hRule="atLeast"/>
        </w:trPr>
        <w:tc>
          <w:tcPr>
            <w:tcW w:w="3562" w:type="dxa"/>
            <w:tcBorders>
              <w:left w:val="single" w:sz="4" w:space="0" w:color="DF2F1E"/>
              <w:bottom w:val="single" w:sz="4" w:space="0" w:color="DF2F1E"/>
            </w:tcBorders>
          </w:tcPr>
          <w:p>
            <w:pPr>
              <w:pStyle w:val="TableParagraph"/>
              <w:ind w:left="287"/>
              <w:rPr>
                <w:b/>
                <w:i/>
                <w:sz w:val="16"/>
              </w:rPr>
            </w:pPr>
            <w:r>
              <w:rPr>
                <w:b/>
                <w:i/>
                <w:color w:val="404040"/>
                <w:sz w:val="16"/>
              </w:rPr>
              <w:t>- Yes</w:t>
            </w:r>
          </w:p>
        </w:tc>
        <w:tc>
          <w:tcPr>
            <w:tcW w:w="1380" w:type="dxa"/>
            <w:tcBorders>
              <w:bottom w:val="single" w:sz="4" w:space="0" w:color="DF2F1E"/>
            </w:tcBorders>
          </w:tcPr>
          <w:p>
            <w:pPr>
              <w:pStyle w:val="TableParagraph"/>
              <w:ind w:right="293"/>
              <w:jc w:val="right"/>
              <w:rPr>
                <w:sz w:val="16"/>
              </w:rPr>
            </w:pPr>
            <w:r>
              <w:rPr>
                <w:color w:val="404040"/>
                <w:sz w:val="16"/>
              </w:rPr>
              <w:t>27,000</w:t>
            </w:r>
          </w:p>
        </w:tc>
        <w:tc>
          <w:tcPr>
            <w:tcW w:w="1658" w:type="dxa"/>
            <w:tcBorders>
              <w:bottom w:val="single" w:sz="4" w:space="0" w:color="DF2F1E"/>
            </w:tcBorders>
          </w:tcPr>
          <w:p>
            <w:pPr>
              <w:pStyle w:val="TableParagraph"/>
              <w:ind w:left="712"/>
              <w:rPr>
                <w:sz w:val="16"/>
              </w:rPr>
            </w:pPr>
            <w:r>
              <w:rPr>
                <w:color w:val="404040"/>
                <w:sz w:val="16"/>
              </w:rPr>
              <w:t>5%</w:t>
            </w:r>
          </w:p>
        </w:tc>
        <w:tc>
          <w:tcPr>
            <w:tcW w:w="1574" w:type="dxa"/>
            <w:tcBorders>
              <w:bottom w:val="single" w:sz="4" w:space="0" w:color="DF2F1E"/>
            </w:tcBorders>
          </w:tcPr>
          <w:p>
            <w:pPr>
              <w:pStyle w:val="TableParagraph"/>
              <w:ind w:left="468" w:right="487"/>
              <w:jc w:val="center"/>
              <w:rPr>
                <w:sz w:val="16"/>
              </w:rPr>
            </w:pPr>
            <w:r>
              <w:rPr>
                <w:color w:val="404040"/>
                <w:sz w:val="16"/>
              </w:rPr>
              <w:t>339,000</w:t>
            </w:r>
          </w:p>
        </w:tc>
        <w:tc>
          <w:tcPr>
            <w:tcW w:w="1608" w:type="dxa"/>
            <w:tcBorders>
              <w:bottom w:val="single" w:sz="4" w:space="0" w:color="DF2F1E"/>
              <w:right w:val="single" w:sz="4" w:space="0" w:color="DF2F1E"/>
            </w:tcBorders>
          </w:tcPr>
          <w:p>
            <w:pPr>
              <w:pStyle w:val="TableParagraph"/>
              <w:ind w:left="581" w:right="570"/>
              <w:jc w:val="center"/>
              <w:rPr>
                <w:sz w:val="16"/>
              </w:rPr>
            </w:pPr>
            <w:r>
              <w:rPr>
                <w:color w:val="404040"/>
                <w:sz w:val="16"/>
              </w:rPr>
              <w:t>104%</w:t>
            </w:r>
          </w:p>
        </w:tc>
      </w:tr>
      <w:tr>
        <w:trPr>
          <w:trHeight w:val="262" w:hRule="atLeast"/>
        </w:trPr>
        <w:tc>
          <w:tcPr>
            <w:tcW w:w="3562" w:type="dxa"/>
            <w:tcBorders>
              <w:top w:val="single" w:sz="4" w:space="0" w:color="DF2F1E"/>
              <w:left w:val="single" w:sz="4" w:space="0" w:color="DF2F1E"/>
            </w:tcBorders>
          </w:tcPr>
          <w:p>
            <w:pPr>
              <w:pStyle w:val="TableParagraph"/>
              <w:spacing w:before="34"/>
              <w:ind w:left="107"/>
              <w:rPr>
                <w:b/>
                <w:sz w:val="16"/>
              </w:rPr>
            </w:pPr>
            <w:r>
              <w:rPr>
                <w:b/>
                <w:color w:val="404040"/>
                <w:sz w:val="16"/>
              </w:rPr>
              <w:t>Payment rate (over latest year)</w:t>
            </w:r>
          </w:p>
        </w:tc>
        <w:tc>
          <w:tcPr>
            <w:tcW w:w="1380" w:type="dxa"/>
            <w:tcBorders>
              <w:top w:val="single" w:sz="4" w:space="0" w:color="DF2F1E"/>
            </w:tcBorders>
          </w:tcPr>
          <w:p>
            <w:pPr>
              <w:pStyle w:val="TableParagraph"/>
              <w:spacing w:before="0"/>
              <w:rPr>
                <w:rFonts w:ascii="Times New Roman"/>
                <w:sz w:val="16"/>
              </w:rPr>
            </w:pPr>
          </w:p>
        </w:tc>
        <w:tc>
          <w:tcPr>
            <w:tcW w:w="1658" w:type="dxa"/>
            <w:tcBorders>
              <w:top w:val="single" w:sz="4" w:space="0" w:color="DF2F1E"/>
            </w:tcBorders>
          </w:tcPr>
          <w:p>
            <w:pPr>
              <w:pStyle w:val="TableParagraph"/>
              <w:spacing w:before="0"/>
              <w:rPr>
                <w:rFonts w:ascii="Times New Roman"/>
                <w:sz w:val="16"/>
              </w:rPr>
            </w:pPr>
          </w:p>
        </w:tc>
        <w:tc>
          <w:tcPr>
            <w:tcW w:w="1574" w:type="dxa"/>
            <w:tcBorders>
              <w:top w:val="single" w:sz="4" w:space="0" w:color="DF2F1E"/>
            </w:tcBorders>
          </w:tcPr>
          <w:p>
            <w:pPr>
              <w:pStyle w:val="TableParagraph"/>
              <w:spacing w:before="0"/>
              <w:rPr>
                <w:rFonts w:ascii="Times New Roman"/>
                <w:sz w:val="16"/>
              </w:rPr>
            </w:pPr>
          </w:p>
        </w:tc>
        <w:tc>
          <w:tcPr>
            <w:tcW w:w="1608" w:type="dxa"/>
            <w:tcBorders>
              <w:top w:val="single" w:sz="4" w:space="0" w:color="DF2F1E"/>
              <w:right w:val="single" w:sz="4" w:space="0" w:color="DF2F1E"/>
            </w:tcBorders>
          </w:tcPr>
          <w:p>
            <w:pPr>
              <w:pStyle w:val="TableParagraph"/>
              <w:spacing w:before="0"/>
              <w:rPr>
                <w:rFonts w:ascii="Times New Roman"/>
                <w:sz w:val="16"/>
              </w:rPr>
            </w:pPr>
          </w:p>
        </w:tc>
      </w:tr>
      <w:tr>
        <w:trPr>
          <w:trHeight w:val="265" w:hRule="atLeast"/>
        </w:trPr>
        <w:tc>
          <w:tcPr>
            <w:tcW w:w="3562" w:type="dxa"/>
            <w:tcBorders>
              <w:left w:val="single" w:sz="4" w:space="0" w:color="DF2F1E"/>
            </w:tcBorders>
          </w:tcPr>
          <w:p>
            <w:pPr>
              <w:pStyle w:val="TableParagraph"/>
              <w:spacing w:before="39"/>
              <w:ind w:left="287"/>
              <w:rPr>
                <w:b/>
                <w:i/>
                <w:sz w:val="16"/>
              </w:rPr>
            </w:pPr>
            <w:r>
              <w:rPr>
                <w:b/>
                <w:i/>
                <w:color w:val="404040"/>
                <w:sz w:val="16"/>
              </w:rPr>
              <w:t>- Partial rate / partial year</w:t>
            </w:r>
          </w:p>
        </w:tc>
        <w:tc>
          <w:tcPr>
            <w:tcW w:w="1380" w:type="dxa"/>
          </w:tcPr>
          <w:p>
            <w:pPr>
              <w:pStyle w:val="TableParagraph"/>
              <w:spacing w:before="39"/>
              <w:ind w:right="250"/>
              <w:jc w:val="right"/>
              <w:rPr>
                <w:sz w:val="16"/>
              </w:rPr>
            </w:pPr>
            <w:r>
              <w:rPr>
                <w:color w:val="404040"/>
                <w:sz w:val="16"/>
              </w:rPr>
              <w:t>283,000</w:t>
            </w:r>
          </w:p>
        </w:tc>
        <w:tc>
          <w:tcPr>
            <w:tcW w:w="1658" w:type="dxa"/>
          </w:tcPr>
          <w:p>
            <w:pPr>
              <w:pStyle w:val="TableParagraph"/>
              <w:spacing w:before="39"/>
              <w:ind w:left="669"/>
              <w:rPr>
                <w:sz w:val="16"/>
              </w:rPr>
            </w:pPr>
            <w:r>
              <w:rPr>
                <w:color w:val="404040"/>
                <w:sz w:val="16"/>
              </w:rPr>
              <w:t>51%</w:t>
            </w:r>
          </w:p>
        </w:tc>
        <w:tc>
          <w:tcPr>
            <w:tcW w:w="1574" w:type="dxa"/>
          </w:tcPr>
          <w:p>
            <w:pPr>
              <w:pStyle w:val="TableParagraph"/>
              <w:spacing w:before="39"/>
              <w:ind w:left="468" w:right="487"/>
              <w:jc w:val="center"/>
              <w:rPr>
                <w:sz w:val="16"/>
              </w:rPr>
            </w:pPr>
            <w:r>
              <w:rPr>
                <w:color w:val="404040"/>
                <w:sz w:val="16"/>
              </w:rPr>
              <w:t>294,000</w:t>
            </w:r>
          </w:p>
        </w:tc>
        <w:tc>
          <w:tcPr>
            <w:tcW w:w="1608" w:type="dxa"/>
            <w:tcBorders>
              <w:right w:val="single" w:sz="4" w:space="0" w:color="DF2F1E"/>
            </w:tcBorders>
          </w:tcPr>
          <w:p>
            <w:pPr>
              <w:pStyle w:val="TableParagraph"/>
              <w:spacing w:before="39"/>
              <w:ind w:left="581" w:right="568"/>
              <w:jc w:val="center"/>
              <w:rPr>
                <w:sz w:val="16"/>
              </w:rPr>
            </w:pPr>
            <w:r>
              <w:rPr>
                <w:color w:val="404040"/>
                <w:sz w:val="16"/>
              </w:rPr>
              <w:t>90%</w:t>
            </w:r>
          </w:p>
        </w:tc>
      </w:tr>
      <w:tr>
        <w:trPr>
          <w:trHeight w:val="264" w:hRule="atLeast"/>
        </w:trPr>
        <w:tc>
          <w:tcPr>
            <w:tcW w:w="3562" w:type="dxa"/>
            <w:tcBorders>
              <w:left w:val="single" w:sz="4" w:space="0" w:color="DF2F1E"/>
            </w:tcBorders>
          </w:tcPr>
          <w:p>
            <w:pPr>
              <w:pStyle w:val="TableParagraph"/>
              <w:ind w:left="287"/>
              <w:rPr>
                <w:b/>
                <w:i/>
                <w:sz w:val="16"/>
              </w:rPr>
            </w:pPr>
            <w:r>
              <w:rPr>
                <w:b/>
                <w:i/>
                <w:color w:val="404040"/>
                <w:sz w:val="16"/>
              </w:rPr>
              <w:t>- Max partnered rate, full year</w:t>
            </w:r>
          </w:p>
        </w:tc>
        <w:tc>
          <w:tcPr>
            <w:tcW w:w="1380" w:type="dxa"/>
          </w:tcPr>
          <w:p>
            <w:pPr>
              <w:pStyle w:val="TableParagraph"/>
              <w:ind w:right="250"/>
              <w:jc w:val="right"/>
              <w:rPr>
                <w:sz w:val="16"/>
              </w:rPr>
            </w:pPr>
            <w:r>
              <w:rPr>
                <w:color w:val="404040"/>
                <w:sz w:val="16"/>
              </w:rPr>
              <w:t>110,000</w:t>
            </w:r>
          </w:p>
        </w:tc>
        <w:tc>
          <w:tcPr>
            <w:tcW w:w="1658" w:type="dxa"/>
          </w:tcPr>
          <w:p>
            <w:pPr>
              <w:pStyle w:val="TableParagraph"/>
              <w:ind w:left="669"/>
              <w:rPr>
                <w:sz w:val="16"/>
              </w:rPr>
            </w:pPr>
            <w:r>
              <w:rPr>
                <w:color w:val="404040"/>
                <w:sz w:val="16"/>
              </w:rPr>
              <w:t>20%</w:t>
            </w:r>
          </w:p>
        </w:tc>
        <w:tc>
          <w:tcPr>
            <w:tcW w:w="1574" w:type="dxa"/>
          </w:tcPr>
          <w:p>
            <w:pPr>
              <w:pStyle w:val="TableParagraph"/>
              <w:ind w:left="468" w:right="487"/>
              <w:jc w:val="center"/>
              <w:rPr>
                <w:sz w:val="16"/>
              </w:rPr>
            </w:pPr>
            <w:r>
              <w:rPr>
                <w:color w:val="404040"/>
                <w:sz w:val="16"/>
              </w:rPr>
              <w:t>319,000</w:t>
            </w:r>
          </w:p>
        </w:tc>
        <w:tc>
          <w:tcPr>
            <w:tcW w:w="1608" w:type="dxa"/>
            <w:tcBorders>
              <w:right w:val="single" w:sz="4" w:space="0" w:color="DF2F1E"/>
            </w:tcBorders>
          </w:tcPr>
          <w:p>
            <w:pPr>
              <w:pStyle w:val="TableParagraph"/>
              <w:ind w:left="581" w:right="568"/>
              <w:jc w:val="center"/>
              <w:rPr>
                <w:sz w:val="16"/>
              </w:rPr>
            </w:pPr>
            <w:r>
              <w:rPr>
                <w:color w:val="404040"/>
                <w:sz w:val="16"/>
              </w:rPr>
              <w:t>98%</w:t>
            </w:r>
          </w:p>
        </w:tc>
      </w:tr>
      <w:tr>
        <w:trPr>
          <w:trHeight w:val="263" w:hRule="atLeast"/>
        </w:trPr>
        <w:tc>
          <w:tcPr>
            <w:tcW w:w="3562" w:type="dxa"/>
            <w:tcBorders>
              <w:left w:val="single" w:sz="4" w:space="0" w:color="DF2F1E"/>
            </w:tcBorders>
          </w:tcPr>
          <w:p>
            <w:pPr>
              <w:pStyle w:val="TableParagraph"/>
              <w:ind w:left="287"/>
              <w:rPr>
                <w:b/>
                <w:i/>
                <w:sz w:val="16"/>
              </w:rPr>
            </w:pPr>
            <w:r>
              <w:rPr>
                <w:b/>
                <w:i/>
                <w:color w:val="404040"/>
                <w:sz w:val="16"/>
              </w:rPr>
              <w:t>- Partial single rate / partial year</w:t>
            </w:r>
          </w:p>
        </w:tc>
        <w:tc>
          <w:tcPr>
            <w:tcW w:w="1380" w:type="dxa"/>
          </w:tcPr>
          <w:p>
            <w:pPr>
              <w:pStyle w:val="TableParagraph"/>
              <w:ind w:right="293"/>
              <w:jc w:val="right"/>
              <w:rPr>
                <w:sz w:val="16"/>
              </w:rPr>
            </w:pPr>
            <w:r>
              <w:rPr>
                <w:color w:val="404040"/>
                <w:sz w:val="16"/>
              </w:rPr>
              <w:t>42,000</w:t>
            </w:r>
          </w:p>
        </w:tc>
        <w:tc>
          <w:tcPr>
            <w:tcW w:w="1658" w:type="dxa"/>
          </w:tcPr>
          <w:p>
            <w:pPr>
              <w:pStyle w:val="TableParagraph"/>
              <w:ind w:left="712"/>
              <w:rPr>
                <w:sz w:val="16"/>
              </w:rPr>
            </w:pPr>
            <w:r>
              <w:rPr>
                <w:color w:val="404040"/>
                <w:sz w:val="16"/>
              </w:rPr>
              <w:t>8%</w:t>
            </w:r>
          </w:p>
        </w:tc>
        <w:tc>
          <w:tcPr>
            <w:tcW w:w="1574" w:type="dxa"/>
          </w:tcPr>
          <w:p>
            <w:pPr>
              <w:pStyle w:val="TableParagraph"/>
              <w:ind w:left="468" w:right="487"/>
              <w:jc w:val="center"/>
              <w:rPr>
                <w:sz w:val="16"/>
              </w:rPr>
            </w:pPr>
            <w:r>
              <w:rPr>
                <w:color w:val="404040"/>
                <w:sz w:val="16"/>
              </w:rPr>
              <w:t>372,000</w:t>
            </w:r>
          </w:p>
        </w:tc>
        <w:tc>
          <w:tcPr>
            <w:tcW w:w="1608" w:type="dxa"/>
            <w:tcBorders>
              <w:right w:val="single" w:sz="4" w:space="0" w:color="DF2F1E"/>
            </w:tcBorders>
          </w:tcPr>
          <w:p>
            <w:pPr>
              <w:pStyle w:val="TableParagraph"/>
              <w:ind w:left="581" w:right="570"/>
              <w:jc w:val="center"/>
              <w:rPr>
                <w:sz w:val="16"/>
              </w:rPr>
            </w:pPr>
            <w:r>
              <w:rPr>
                <w:color w:val="404040"/>
                <w:sz w:val="16"/>
              </w:rPr>
              <w:t>114%</w:t>
            </w:r>
          </w:p>
        </w:tc>
      </w:tr>
      <w:tr>
        <w:trPr>
          <w:trHeight w:val="264" w:hRule="atLeast"/>
        </w:trPr>
        <w:tc>
          <w:tcPr>
            <w:tcW w:w="3562" w:type="dxa"/>
            <w:tcBorders>
              <w:left w:val="single" w:sz="4" w:space="0" w:color="DF2F1E"/>
              <w:bottom w:val="single" w:sz="4" w:space="0" w:color="DF2F1E"/>
            </w:tcBorders>
          </w:tcPr>
          <w:p>
            <w:pPr>
              <w:pStyle w:val="TableParagraph"/>
              <w:ind w:left="287"/>
              <w:rPr>
                <w:b/>
                <w:i/>
                <w:sz w:val="16"/>
              </w:rPr>
            </w:pPr>
            <w:r>
              <w:rPr>
                <w:b/>
                <w:i/>
                <w:color w:val="404040"/>
                <w:sz w:val="16"/>
              </w:rPr>
              <w:t>- Max single rate, full year</w:t>
            </w:r>
          </w:p>
        </w:tc>
        <w:tc>
          <w:tcPr>
            <w:tcW w:w="1380" w:type="dxa"/>
            <w:tcBorders>
              <w:bottom w:val="single" w:sz="4" w:space="0" w:color="DF2F1E"/>
            </w:tcBorders>
          </w:tcPr>
          <w:p>
            <w:pPr>
              <w:pStyle w:val="TableParagraph"/>
              <w:ind w:right="250"/>
              <w:jc w:val="right"/>
              <w:rPr>
                <w:sz w:val="16"/>
              </w:rPr>
            </w:pPr>
            <w:r>
              <w:rPr>
                <w:color w:val="404040"/>
                <w:sz w:val="16"/>
              </w:rPr>
              <w:t>117,000</w:t>
            </w:r>
          </w:p>
        </w:tc>
        <w:tc>
          <w:tcPr>
            <w:tcW w:w="1658" w:type="dxa"/>
            <w:tcBorders>
              <w:bottom w:val="single" w:sz="4" w:space="0" w:color="DF2F1E"/>
            </w:tcBorders>
          </w:tcPr>
          <w:p>
            <w:pPr>
              <w:pStyle w:val="TableParagraph"/>
              <w:ind w:left="669"/>
              <w:rPr>
                <w:sz w:val="16"/>
              </w:rPr>
            </w:pPr>
            <w:r>
              <w:rPr>
                <w:color w:val="404040"/>
                <w:sz w:val="16"/>
              </w:rPr>
              <w:t>21%</w:t>
            </w:r>
          </w:p>
        </w:tc>
        <w:tc>
          <w:tcPr>
            <w:tcW w:w="1574" w:type="dxa"/>
            <w:tcBorders>
              <w:bottom w:val="single" w:sz="4" w:space="0" w:color="DF2F1E"/>
            </w:tcBorders>
          </w:tcPr>
          <w:p>
            <w:pPr>
              <w:pStyle w:val="TableParagraph"/>
              <w:ind w:left="468" w:right="487"/>
              <w:jc w:val="center"/>
              <w:rPr>
                <w:sz w:val="16"/>
              </w:rPr>
            </w:pPr>
            <w:r>
              <w:rPr>
                <w:color w:val="404040"/>
                <w:sz w:val="16"/>
              </w:rPr>
              <w:t>393,000</w:t>
            </w:r>
          </w:p>
        </w:tc>
        <w:tc>
          <w:tcPr>
            <w:tcW w:w="1608" w:type="dxa"/>
            <w:tcBorders>
              <w:bottom w:val="single" w:sz="4" w:space="0" w:color="DF2F1E"/>
              <w:right w:val="single" w:sz="4" w:space="0" w:color="DF2F1E"/>
            </w:tcBorders>
          </w:tcPr>
          <w:p>
            <w:pPr>
              <w:pStyle w:val="TableParagraph"/>
              <w:ind w:left="581" w:right="571"/>
              <w:jc w:val="center"/>
              <w:rPr>
                <w:sz w:val="16"/>
              </w:rPr>
            </w:pPr>
            <w:r>
              <w:rPr>
                <w:color w:val="404040"/>
                <w:sz w:val="16"/>
              </w:rPr>
              <w:t>121%</w:t>
            </w:r>
          </w:p>
        </w:tc>
      </w:tr>
      <w:tr>
        <w:trPr>
          <w:trHeight w:val="262" w:hRule="atLeast"/>
        </w:trPr>
        <w:tc>
          <w:tcPr>
            <w:tcW w:w="3562" w:type="dxa"/>
            <w:tcBorders>
              <w:top w:val="single" w:sz="4" w:space="0" w:color="DF2F1E"/>
              <w:left w:val="single" w:sz="4" w:space="0" w:color="DF2F1E"/>
            </w:tcBorders>
          </w:tcPr>
          <w:p>
            <w:pPr>
              <w:pStyle w:val="TableParagraph"/>
              <w:spacing w:before="34"/>
              <w:ind w:left="107"/>
              <w:rPr>
                <w:b/>
                <w:sz w:val="16"/>
              </w:rPr>
            </w:pPr>
            <w:r>
              <w:rPr>
                <w:b/>
                <w:color w:val="404040"/>
                <w:sz w:val="16"/>
              </w:rPr>
              <w:t>Geography – socio-economic area grouping</w:t>
            </w:r>
          </w:p>
        </w:tc>
        <w:tc>
          <w:tcPr>
            <w:tcW w:w="1380" w:type="dxa"/>
            <w:tcBorders>
              <w:top w:val="single" w:sz="4" w:space="0" w:color="DF2F1E"/>
            </w:tcBorders>
          </w:tcPr>
          <w:p>
            <w:pPr>
              <w:pStyle w:val="TableParagraph"/>
              <w:spacing w:before="0"/>
              <w:rPr>
                <w:rFonts w:ascii="Times New Roman"/>
                <w:sz w:val="16"/>
              </w:rPr>
            </w:pPr>
          </w:p>
        </w:tc>
        <w:tc>
          <w:tcPr>
            <w:tcW w:w="1658" w:type="dxa"/>
            <w:tcBorders>
              <w:top w:val="single" w:sz="4" w:space="0" w:color="DF2F1E"/>
            </w:tcBorders>
          </w:tcPr>
          <w:p>
            <w:pPr>
              <w:pStyle w:val="TableParagraph"/>
              <w:spacing w:before="0"/>
              <w:rPr>
                <w:rFonts w:ascii="Times New Roman"/>
                <w:sz w:val="16"/>
              </w:rPr>
            </w:pPr>
          </w:p>
        </w:tc>
        <w:tc>
          <w:tcPr>
            <w:tcW w:w="1574" w:type="dxa"/>
            <w:tcBorders>
              <w:top w:val="single" w:sz="4" w:space="0" w:color="DF2F1E"/>
            </w:tcBorders>
          </w:tcPr>
          <w:p>
            <w:pPr>
              <w:pStyle w:val="TableParagraph"/>
              <w:spacing w:before="0"/>
              <w:rPr>
                <w:rFonts w:ascii="Times New Roman"/>
                <w:sz w:val="16"/>
              </w:rPr>
            </w:pPr>
          </w:p>
        </w:tc>
        <w:tc>
          <w:tcPr>
            <w:tcW w:w="1608" w:type="dxa"/>
            <w:tcBorders>
              <w:top w:val="single" w:sz="4" w:space="0" w:color="DF2F1E"/>
              <w:right w:val="single" w:sz="4" w:space="0" w:color="DF2F1E"/>
            </w:tcBorders>
          </w:tcPr>
          <w:p>
            <w:pPr>
              <w:pStyle w:val="TableParagraph"/>
              <w:spacing w:before="0"/>
              <w:rPr>
                <w:rFonts w:ascii="Times New Roman"/>
                <w:sz w:val="16"/>
              </w:rPr>
            </w:pPr>
          </w:p>
        </w:tc>
      </w:tr>
      <w:tr>
        <w:trPr>
          <w:trHeight w:val="265" w:hRule="atLeast"/>
        </w:trPr>
        <w:tc>
          <w:tcPr>
            <w:tcW w:w="3562" w:type="dxa"/>
            <w:tcBorders>
              <w:left w:val="single" w:sz="4" w:space="0" w:color="DF2F1E"/>
            </w:tcBorders>
          </w:tcPr>
          <w:p>
            <w:pPr>
              <w:pStyle w:val="TableParagraph"/>
              <w:spacing w:before="39"/>
              <w:ind w:left="287"/>
              <w:rPr>
                <w:b/>
                <w:i/>
                <w:sz w:val="16"/>
              </w:rPr>
            </w:pPr>
            <w:r>
              <w:rPr>
                <w:b/>
                <w:i/>
                <w:color w:val="404040"/>
                <w:sz w:val="16"/>
              </w:rPr>
              <w:t>- Lowest 20% (most disadvantaged)</w:t>
            </w:r>
          </w:p>
        </w:tc>
        <w:tc>
          <w:tcPr>
            <w:tcW w:w="1380" w:type="dxa"/>
          </w:tcPr>
          <w:p>
            <w:pPr>
              <w:pStyle w:val="TableParagraph"/>
              <w:spacing w:before="39"/>
              <w:ind w:right="250"/>
              <w:jc w:val="right"/>
              <w:rPr>
                <w:sz w:val="16"/>
              </w:rPr>
            </w:pPr>
            <w:r>
              <w:rPr>
                <w:color w:val="404040"/>
                <w:sz w:val="16"/>
              </w:rPr>
              <w:t>153,000</w:t>
            </w:r>
          </w:p>
        </w:tc>
        <w:tc>
          <w:tcPr>
            <w:tcW w:w="1658" w:type="dxa"/>
          </w:tcPr>
          <w:p>
            <w:pPr>
              <w:pStyle w:val="TableParagraph"/>
              <w:spacing w:before="39"/>
              <w:ind w:left="669"/>
              <w:rPr>
                <w:sz w:val="16"/>
              </w:rPr>
            </w:pPr>
            <w:r>
              <w:rPr>
                <w:color w:val="404040"/>
                <w:sz w:val="16"/>
              </w:rPr>
              <w:t>28%</w:t>
            </w:r>
          </w:p>
        </w:tc>
        <w:tc>
          <w:tcPr>
            <w:tcW w:w="1574" w:type="dxa"/>
          </w:tcPr>
          <w:p>
            <w:pPr>
              <w:pStyle w:val="TableParagraph"/>
              <w:spacing w:before="39"/>
              <w:ind w:left="468" w:right="487"/>
              <w:jc w:val="center"/>
              <w:rPr>
                <w:sz w:val="16"/>
              </w:rPr>
            </w:pPr>
            <w:r>
              <w:rPr>
                <w:color w:val="404040"/>
                <w:sz w:val="16"/>
              </w:rPr>
              <w:t>337,000</w:t>
            </w:r>
          </w:p>
        </w:tc>
        <w:tc>
          <w:tcPr>
            <w:tcW w:w="1608" w:type="dxa"/>
            <w:tcBorders>
              <w:right w:val="single" w:sz="4" w:space="0" w:color="DF2F1E"/>
            </w:tcBorders>
          </w:tcPr>
          <w:p>
            <w:pPr>
              <w:pStyle w:val="TableParagraph"/>
              <w:spacing w:before="39"/>
              <w:ind w:left="581" w:right="570"/>
              <w:jc w:val="center"/>
              <w:rPr>
                <w:sz w:val="16"/>
              </w:rPr>
            </w:pPr>
            <w:r>
              <w:rPr>
                <w:color w:val="404040"/>
                <w:sz w:val="16"/>
              </w:rPr>
              <w:t>103%</w:t>
            </w:r>
          </w:p>
        </w:tc>
      </w:tr>
      <w:tr>
        <w:trPr>
          <w:trHeight w:val="263" w:hRule="atLeast"/>
        </w:trPr>
        <w:tc>
          <w:tcPr>
            <w:tcW w:w="3562" w:type="dxa"/>
            <w:tcBorders>
              <w:left w:val="single" w:sz="4" w:space="0" w:color="DF2F1E"/>
            </w:tcBorders>
          </w:tcPr>
          <w:p>
            <w:pPr>
              <w:pStyle w:val="TableParagraph"/>
              <w:ind w:left="287"/>
              <w:rPr>
                <w:b/>
                <w:i/>
                <w:sz w:val="16"/>
              </w:rPr>
            </w:pPr>
            <w:r>
              <w:rPr>
                <w:b/>
                <w:i/>
                <w:color w:val="404040"/>
                <w:sz w:val="16"/>
              </w:rPr>
              <w:t>- 20% to 40%</w:t>
            </w:r>
          </w:p>
        </w:tc>
        <w:tc>
          <w:tcPr>
            <w:tcW w:w="1380" w:type="dxa"/>
          </w:tcPr>
          <w:p>
            <w:pPr>
              <w:pStyle w:val="TableParagraph"/>
              <w:ind w:right="250"/>
              <w:jc w:val="right"/>
              <w:rPr>
                <w:sz w:val="16"/>
              </w:rPr>
            </w:pPr>
            <w:r>
              <w:rPr>
                <w:color w:val="404040"/>
                <w:sz w:val="16"/>
              </w:rPr>
              <w:t>135,000</w:t>
            </w:r>
          </w:p>
        </w:tc>
        <w:tc>
          <w:tcPr>
            <w:tcW w:w="1658" w:type="dxa"/>
          </w:tcPr>
          <w:p>
            <w:pPr>
              <w:pStyle w:val="TableParagraph"/>
              <w:ind w:left="669"/>
              <w:rPr>
                <w:sz w:val="16"/>
              </w:rPr>
            </w:pPr>
            <w:r>
              <w:rPr>
                <w:color w:val="404040"/>
                <w:sz w:val="16"/>
              </w:rPr>
              <w:t>25%</w:t>
            </w:r>
          </w:p>
        </w:tc>
        <w:tc>
          <w:tcPr>
            <w:tcW w:w="1574" w:type="dxa"/>
          </w:tcPr>
          <w:p>
            <w:pPr>
              <w:pStyle w:val="TableParagraph"/>
              <w:ind w:left="468" w:right="487"/>
              <w:jc w:val="center"/>
              <w:rPr>
                <w:sz w:val="16"/>
              </w:rPr>
            </w:pPr>
            <w:r>
              <w:rPr>
                <w:color w:val="404040"/>
                <w:sz w:val="16"/>
              </w:rPr>
              <w:t>330,000</w:t>
            </w:r>
          </w:p>
        </w:tc>
        <w:tc>
          <w:tcPr>
            <w:tcW w:w="1608" w:type="dxa"/>
            <w:tcBorders>
              <w:right w:val="single" w:sz="4" w:space="0" w:color="DF2F1E"/>
            </w:tcBorders>
          </w:tcPr>
          <w:p>
            <w:pPr>
              <w:pStyle w:val="TableParagraph"/>
              <w:ind w:left="581" w:right="571"/>
              <w:jc w:val="center"/>
              <w:rPr>
                <w:sz w:val="16"/>
              </w:rPr>
            </w:pPr>
            <w:r>
              <w:rPr>
                <w:color w:val="404040"/>
                <w:sz w:val="16"/>
              </w:rPr>
              <w:t>101%</w:t>
            </w:r>
          </w:p>
        </w:tc>
      </w:tr>
      <w:tr>
        <w:trPr>
          <w:trHeight w:val="263" w:hRule="atLeast"/>
        </w:trPr>
        <w:tc>
          <w:tcPr>
            <w:tcW w:w="3562" w:type="dxa"/>
            <w:tcBorders>
              <w:left w:val="single" w:sz="4" w:space="0" w:color="DF2F1E"/>
            </w:tcBorders>
          </w:tcPr>
          <w:p>
            <w:pPr>
              <w:pStyle w:val="TableParagraph"/>
              <w:ind w:left="287"/>
              <w:rPr>
                <w:b/>
                <w:i/>
                <w:sz w:val="16"/>
              </w:rPr>
            </w:pPr>
            <w:r>
              <w:rPr>
                <w:b/>
                <w:i/>
                <w:color w:val="404040"/>
                <w:sz w:val="16"/>
              </w:rPr>
              <w:t>- 40% to 60%</w:t>
            </w:r>
          </w:p>
        </w:tc>
        <w:tc>
          <w:tcPr>
            <w:tcW w:w="1380" w:type="dxa"/>
          </w:tcPr>
          <w:p>
            <w:pPr>
              <w:pStyle w:val="TableParagraph"/>
              <w:ind w:right="250"/>
              <w:jc w:val="right"/>
              <w:rPr>
                <w:sz w:val="16"/>
              </w:rPr>
            </w:pPr>
            <w:r>
              <w:rPr>
                <w:color w:val="404040"/>
                <w:sz w:val="16"/>
              </w:rPr>
              <w:t>110,000</w:t>
            </w:r>
          </w:p>
        </w:tc>
        <w:tc>
          <w:tcPr>
            <w:tcW w:w="1658" w:type="dxa"/>
          </w:tcPr>
          <w:p>
            <w:pPr>
              <w:pStyle w:val="TableParagraph"/>
              <w:ind w:left="669"/>
              <w:rPr>
                <w:sz w:val="16"/>
              </w:rPr>
            </w:pPr>
            <w:r>
              <w:rPr>
                <w:color w:val="404040"/>
                <w:sz w:val="16"/>
              </w:rPr>
              <w:t>20%</w:t>
            </w:r>
          </w:p>
        </w:tc>
        <w:tc>
          <w:tcPr>
            <w:tcW w:w="1574" w:type="dxa"/>
          </w:tcPr>
          <w:p>
            <w:pPr>
              <w:pStyle w:val="TableParagraph"/>
              <w:ind w:left="468" w:right="487"/>
              <w:jc w:val="center"/>
              <w:rPr>
                <w:sz w:val="16"/>
              </w:rPr>
            </w:pPr>
            <w:r>
              <w:rPr>
                <w:color w:val="404040"/>
                <w:sz w:val="16"/>
              </w:rPr>
              <w:t>325,000</w:t>
            </w:r>
          </w:p>
        </w:tc>
        <w:tc>
          <w:tcPr>
            <w:tcW w:w="1608" w:type="dxa"/>
            <w:tcBorders>
              <w:right w:val="single" w:sz="4" w:space="0" w:color="DF2F1E"/>
            </w:tcBorders>
          </w:tcPr>
          <w:p>
            <w:pPr>
              <w:pStyle w:val="TableParagraph"/>
              <w:ind w:left="581" w:right="571"/>
              <w:jc w:val="center"/>
              <w:rPr>
                <w:sz w:val="16"/>
              </w:rPr>
            </w:pPr>
            <w:r>
              <w:rPr>
                <w:color w:val="404040"/>
                <w:sz w:val="16"/>
              </w:rPr>
              <w:t>100%</w:t>
            </w:r>
          </w:p>
        </w:tc>
      </w:tr>
      <w:tr>
        <w:trPr>
          <w:trHeight w:val="263" w:hRule="atLeast"/>
        </w:trPr>
        <w:tc>
          <w:tcPr>
            <w:tcW w:w="3562" w:type="dxa"/>
            <w:tcBorders>
              <w:left w:val="single" w:sz="4" w:space="0" w:color="DF2F1E"/>
            </w:tcBorders>
          </w:tcPr>
          <w:p>
            <w:pPr>
              <w:pStyle w:val="TableParagraph"/>
              <w:ind w:left="287"/>
              <w:rPr>
                <w:b/>
                <w:i/>
                <w:sz w:val="16"/>
              </w:rPr>
            </w:pPr>
            <w:r>
              <w:rPr>
                <w:b/>
                <w:i/>
                <w:color w:val="404040"/>
                <w:sz w:val="16"/>
              </w:rPr>
              <w:t>- 60% to 80%</w:t>
            </w:r>
          </w:p>
        </w:tc>
        <w:tc>
          <w:tcPr>
            <w:tcW w:w="1380" w:type="dxa"/>
          </w:tcPr>
          <w:p>
            <w:pPr>
              <w:pStyle w:val="TableParagraph"/>
              <w:ind w:right="293"/>
              <w:jc w:val="right"/>
              <w:rPr>
                <w:sz w:val="16"/>
              </w:rPr>
            </w:pPr>
            <w:r>
              <w:rPr>
                <w:color w:val="404040"/>
                <w:sz w:val="16"/>
              </w:rPr>
              <w:t>85,000</w:t>
            </w:r>
          </w:p>
        </w:tc>
        <w:tc>
          <w:tcPr>
            <w:tcW w:w="1658" w:type="dxa"/>
          </w:tcPr>
          <w:p>
            <w:pPr>
              <w:pStyle w:val="TableParagraph"/>
              <w:ind w:left="669"/>
              <w:rPr>
                <w:sz w:val="16"/>
              </w:rPr>
            </w:pPr>
            <w:r>
              <w:rPr>
                <w:color w:val="404040"/>
                <w:sz w:val="16"/>
              </w:rPr>
              <w:t>16%</w:t>
            </w:r>
          </w:p>
        </w:tc>
        <w:tc>
          <w:tcPr>
            <w:tcW w:w="1574" w:type="dxa"/>
          </w:tcPr>
          <w:p>
            <w:pPr>
              <w:pStyle w:val="TableParagraph"/>
              <w:ind w:left="468" w:right="487"/>
              <w:jc w:val="center"/>
              <w:rPr>
                <w:sz w:val="16"/>
              </w:rPr>
            </w:pPr>
            <w:r>
              <w:rPr>
                <w:color w:val="404040"/>
                <w:sz w:val="16"/>
              </w:rPr>
              <w:t>321,000</w:t>
            </w:r>
          </w:p>
        </w:tc>
        <w:tc>
          <w:tcPr>
            <w:tcW w:w="1608" w:type="dxa"/>
            <w:tcBorders>
              <w:right w:val="single" w:sz="4" w:space="0" w:color="DF2F1E"/>
            </w:tcBorders>
          </w:tcPr>
          <w:p>
            <w:pPr>
              <w:pStyle w:val="TableParagraph"/>
              <w:ind w:left="581" w:right="568"/>
              <w:jc w:val="center"/>
              <w:rPr>
                <w:sz w:val="16"/>
              </w:rPr>
            </w:pPr>
            <w:r>
              <w:rPr>
                <w:color w:val="404040"/>
                <w:sz w:val="16"/>
              </w:rPr>
              <w:t>99%</w:t>
            </w:r>
          </w:p>
        </w:tc>
      </w:tr>
      <w:tr>
        <w:trPr>
          <w:trHeight w:val="266" w:hRule="atLeast"/>
        </w:trPr>
        <w:tc>
          <w:tcPr>
            <w:tcW w:w="3562" w:type="dxa"/>
            <w:tcBorders>
              <w:left w:val="single" w:sz="4" w:space="0" w:color="DF2F1E"/>
              <w:bottom w:val="single" w:sz="4" w:space="0" w:color="DF2F1E"/>
            </w:tcBorders>
          </w:tcPr>
          <w:p>
            <w:pPr>
              <w:pStyle w:val="TableParagraph"/>
              <w:ind w:left="287"/>
              <w:rPr>
                <w:b/>
                <w:i/>
                <w:sz w:val="16"/>
              </w:rPr>
            </w:pPr>
            <w:r>
              <w:rPr>
                <w:b/>
                <w:i/>
                <w:color w:val="404040"/>
                <w:sz w:val="16"/>
              </w:rPr>
              <w:t>- Highest 20% (least disadvantaged)</w:t>
            </w:r>
          </w:p>
        </w:tc>
        <w:tc>
          <w:tcPr>
            <w:tcW w:w="1380" w:type="dxa"/>
            <w:tcBorders>
              <w:bottom w:val="single" w:sz="4" w:space="0" w:color="DF2F1E"/>
            </w:tcBorders>
          </w:tcPr>
          <w:p>
            <w:pPr>
              <w:pStyle w:val="TableParagraph"/>
              <w:ind w:right="293"/>
              <w:jc w:val="right"/>
              <w:rPr>
                <w:sz w:val="16"/>
              </w:rPr>
            </w:pPr>
            <w:r>
              <w:rPr>
                <w:color w:val="404040"/>
                <w:sz w:val="16"/>
              </w:rPr>
              <w:t>54,000</w:t>
            </w:r>
          </w:p>
        </w:tc>
        <w:tc>
          <w:tcPr>
            <w:tcW w:w="1658" w:type="dxa"/>
            <w:tcBorders>
              <w:bottom w:val="single" w:sz="4" w:space="0" w:color="DF2F1E"/>
            </w:tcBorders>
          </w:tcPr>
          <w:p>
            <w:pPr>
              <w:pStyle w:val="TableParagraph"/>
              <w:ind w:left="669"/>
              <w:rPr>
                <w:sz w:val="16"/>
              </w:rPr>
            </w:pPr>
            <w:r>
              <w:rPr>
                <w:color w:val="404040"/>
                <w:sz w:val="16"/>
              </w:rPr>
              <w:t>10%</w:t>
            </w:r>
          </w:p>
        </w:tc>
        <w:tc>
          <w:tcPr>
            <w:tcW w:w="1574" w:type="dxa"/>
            <w:tcBorders>
              <w:bottom w:val="single" w:sz="4" w:space="0" w:color="DF2F1E"/>
            </w:tcBorders>
          </w:tcPr>
          <w:p>
            <w:pPr>
              <w:pStyle w:val="TableParagraph"/>
              <w:ind w:left="468" w:right="487"/>
              <w:jc w:val="center"/>
              <w:rPr>
                <w:sz w:val="16"/>
              </w:rPr>
            </w:pPr>
            <w:r>
              <w:rPr>
                <w:color w:val="404040"/>
                <w:sz w:val="16"/>
              </w:rPr>
              <w:t>323,000</w:t>
            </w:r>
          </w:p>
        </w:tc>
        <w:tc>
          <w:tcPr>
            <w:tcW w:w="1608" w:type="dxa"/>
            <w:tcBorders>
              <w:bottom w:val="single" w:sz="4" w:space="0" w:color="DF2F1E"/>
              <w:right w:val="single" w:sz="4" w:space="0" w:color="DF2F1E"/>
            </w:tcBorders>
          </w:tcPr>
          <w:p>
            <w:pPr>
              <w:pStyle w:val="TableParagraph"/>
              <w:ind w:left="581" w:right="568"/>
              <w:jc w:val="center"/>
              <w:rPr>
                <w:sz w:val="16"/>
              </w:rPr>
            </w:pPr>
            <w:r>
              <w:rPr>
                <w:color w:val="404040"/>
                <w:sz w:val="16"/>
              </w:rPr>
              <w:t>99%</w:t>
            </w:r>
          </w:p>
        </w:tc>
      </w:tr>
    </w:tbl>
    <w:p>
      <w:pPr>
        <w:spacing w:before="78"/>
        <w:ind w:left="900" w:right="0" w:firstLine="0"/>
        <w:jc w:val="left"/>
        <w:rPr>
          <w:sz w:val="16"/>
        </w:rPr>
      </w:pPr>
      <w:r>
        <w:rPr>
          <w:color w:val="DF2F1E"/>
          <w:sz w:val="16"/>
        </w:rPr>
        <w:t>The payment rates over the last year are split into the following bands:</w:t>
      </w:r>
    </w:p>
    <w:p>
      <w:pPr>
        <w:pStyle w:val="ListParagraph"/>
        <w:numPr>
          <w:ilvl w:val="1"/>
          <w:numId w:val="58"/>
        </w:numPr>
        <w:tabs>
          <w:tab w:pos="1619" w:val="left" w:leader="none"/>
          <w:tab w:pos="1621" w:val="left" w:leader="none"/>
        </w:tabs>
        <w:spacing w:line="240" w:lineRule="auto" w:before="80" w:after="0"/>
        <w:ind w:left="1620" w:right="1259" w:hanging="361"/>
        <w:jc w:val="left"/>
        <w:rPr>
          <w:sz w:val="16"/>
        </w:rPr>
      </w:pPr>
      <w:r>
        <w:rPr>
          <w:color w:val="DF2F1E"/>
          <w:sz w:val="16"/>
        </w:rPr>
        <w:t>Partial rate / partial year: People who have received a partial (single or partnered) rate and / or received payments for a partial year, such that the total received over the year is less than the maximum partnered rate for a</w:t>
      </w:r>
      <w:r>
        <w:rPr>
          <w:color w:val="DF2F1E"/>
          <w:spacing w:val="-14"/>
          <w:sz w:val="16"/>
        </w:rPr>
        <w:t> </w:t>
      </w:r>
      <w:r>
        <w:rPr>
          <w:color w:val="DF2F1E"/>
          <w:sz w:val="16"/>
        </w:rPr>
        <w:t>year.</w:t>
      </w:r>
    </w:p>
    <w:p>
      <w:pPr>
        <w:pStyle w:val="ListParagraph"/>
        <w:numPr>
          <w:ilvl w:val="1"/>
          <w:numId w:val="58"/>
        </w:numPr>
        <w:tabs>
          <w:tab w:pos="1619" w:val="left" w:leader="none"/>
          <w:tab w:pos="1621" w:val="left" w:leader="none"/>
        </w:tabs>
        <w:spacing w:line="240" w:lineRule="auto" w:before="78" w:after="0"/>
        <w:ind w:left="1620" w:right="1190" w:hanging="361"/>
        <w:jc w:val="left"/>
        <w:rPr>
          <w:sz w:val="16"/>
        </w:rPr>
      </w:pPr>
      <w:r>
        <w:rPr>
          <w:color w:val="DF2F1E"/>
          <w:sz w:val="16"/>
        </w:rPr>
        <w:t>Max partnered rate, full year: People who have received a full year of payments at the maximum partnered rate (which equates to a basic rate of around $16,200 over a year, based on the rate applicable at 1 July</w:t>
      </w:r>
      <w:r>
        <w:rPr>
          <w:color w:val="DF2F1E"/>
          <w:spacing w:val="-10"/>
          <w:sz w:val="16"/>
        </w:rPr>
        <w:t> </w:t>
      </w:r>
      <w:r>
        <w:rPr>
          <w:color w:val="DF2F1E"/>
          <w:sz w:val="16"/>
        </w:rPr>
        <w:t>2018).</w:t>
      </w:r>
    </w:p>
    <w:p>
      <w:pPr>
        <w:pStyle w:val="ListParagraph"/>
        <w:numPr>
          <w:ilvl w:val="1"/>
          <w:numId w:val="58"/>
        </w:numPr>
        <w:tabs>
          <w:tab w:pos="1619" w:val="left" w:leader="none"/>
          <w:tab w:pos="1621" w:val="left" w:leader="none"/>
        </w:tabs>
        <w:spacing w:line="240" w:lineRule="auto" w:before="81" w:after="0"/>
        <w:ind w:left="1620" w:right="1038" w:hanging="361"/>
        <w:jc w:val="left"/>
        <w:rPr>
          <w:sz w:val="16"/>
        </w:rPr>
      </w:pPr>
      <w:r>
        <w:rPr>
          <w:color w:val="DF2F1E"/>
          <w:sz w:val="16"/>
        </w:rPr>
        <w:t>Partial single rate / partial year: People who have received a partial single rate and / or received payments for a partial year, such that the total received over the year is between the maximum partnered rate for a full year and the maximum single rate for a full year.</w:t>
      </w:r>
    </w:p>
    <w:p>
      <w:pPr>
        <w:pStyle w:val="ListParagraph"/>
        <w:numPr>
          <w:ilvl w:val="1"/>
          <w:numId w:val="58"/>
        </w:numPr>
        <w:tabs>
          <w:tab w:pos="1620" w:val="left" w:leader="none"/>
          <w:tab w:pos="1621" w:val="left" w:leader="none"/>
        </w:tabs>
        <w:spacing w:line="240" w:lineRule="auto" w:before="79" w:after="0"/>
        <w:ind w:left="1620" w:right="1410" w:hanging="361"/>
        <w:jc w:val="left"/>
        <w:rPr>
          <w:sz w:val="16"/>
        </w:rPr>
      </w:pPr>
      <w:r>
        <w:rPr>
          <w:color w:val="DF2F1E"/>
          <w:sz w:val="16"/>
        </w:rPr>
        <w:t>Max single rate, full year: People who have received a full year of payments at the maximum single rate (which equates to a basic rate of around $21,500 over a year, based on the rate applicable at 1 July</w:t>
      </w:r>
      <w:r>
        <w:rPr>
          <w:color w:val="DF2F1E"/>
          <w:spacing w:val="-11"/>
          <w:sz w:val="16"/>
        </w:rPr>
        <w:t> </w:t>
      </w:r>
      <w:r>
        <w:rPr>
          <w:color w:val="DF2F1E"/>
          <w:sz w:val="16"/>
        </w:rPr>
        <w:t>2018).</w:t>
      </w:r>
    </w:p>
    <w:p>
      <w:pPr>
        <w:pStyle w:val="BodyText"/>
        <w:spacing w:before="120"/>
        <w:ind w:left="900"/>
      </w:pPr>
      <w:r>
        <w:rPr>
          <w:color w:val="404040"/>
        </w:rPr>
        <w:t>From the table, we can see that for the current cohort of Age Pension recipients aged 65 to 69:</w:t>
      </w:r>
    </w:p>
    <w:p>
      <w:pPr>
        <w:pStyle w:val="ListParagraph"/>
        <w:numPr>
          <w:ilvl w:val="0"/>
          <w:numId w:val="59"/>
        </w:numPr>
        <w:tabs>
          <w:tab w:pos="1184" w:val="left" w:leader="none"/>
        </w:tabs>
        <w:spacing w:line="240" w:lineRule="auto" w:before="122" w:after="0"/>
        <w:ind w:left="1183" w:right="0" w:hanging="285"/>
        <w:jc w:val="left"/>
        <w:rPr>
          <w:sz w:val="20"/>
        </w:rPr>
      </w:pPr>
      <w:r>
        <w:rPr>
          <w:color w:val="404040"/>
          <w:sz w:val="20"/>
        </w:rPr>
        <w:t>Single pensioners have higher average lifetime costs compared to partnered</w:t>
      </w:r>
      <w:r>
        <w:rPr>
          <w:color w:val="404040"/>
          <w:spacing w:val="-10"/>
          <w:sz w:val="20"/>
        </w:rPr>
        <w:t> </w:t>
      </w:r>
      <w:r>
        <w:rPr>
          <w:color w:val="404040"/>
          <w:sz w:val="20"/>
        </w:rPr>
        <w:t>pensioners.</w:t>
      </w:r>
    </w:p>
    <w:p>
      <w:pPr>
        <w:pStyle w:val="ListParagraph"/>
        <w:numPr>
          <w:ilvl w:val="0"/>
          <w:numId w:val="59"/>
        </w:numPr>
        <w:tabs>
          <w:tab w:pos="1184" w:val="left" w:leader="none"/>
        </w:tabs>
        <w:spacing w:line="240" w:lineRule="auto" w:before="117" w:after="0"/>
        <w:ind w:left="1183" w:right="1555" w:hanging="284"/>
        <w:jc w:val="left"/>
        <w:rPr>
          <w:sz w:val="20"/>
        </w:rPr>
      </w:pPr>
      <w:r>
        <w:rPr>
          <w:color w:val="404040"/>
          <w:sz w:val="20"/>
        </w:rPr>
        <w:t>Those pensioners providing some form of care for another person tend to have higher average lifetime costs.</w:t>
      </w:r>
    </w:p>
    <w:p>
      <w:pPr>
        <w:pStyle w:val="BodyText"/>
        <w:spacing w:before="7"/>
      </w:pPr>
    </w:p>
    <w:p>
      <w:pPr>
        <w:pStyle w:val="Heading6"/>
        <w:rPr>
          <w:i/>
        </w:rPr>
      </w:pPr>
      <w:r>
        <w:rPr>
          <w:i/>
          <w:color w:val="DF2F1E"/>
        </w:rPr>
        <w:t>Change in lifetime costs since the 2017 valuation</w:t>
      </w:r>
    </w:p>
    <w:p>
      <w:pPr>
        <w:pStyle w:val="BodyText"/>
        <w:spacing w:before="124"/>
        <w:ind w:left="900" w:right="1064" w:hanging="1"/>
      </w:pPr>
      <w:r>
        <w:rPr>
          <w:color w:val="404040"/>
        </w:rPr>
        <w:t>The lifetime cost for the people in this class is $577bn, a decrease of $14bn (2.4%) compared to the rebased 2017 valuation. This is due to a decrease in the number of people in this class, partially offset by an increase in lifetime cost:</w:t>
      </w:r>
    </w:p>
    <w:p>
      <w:pPr>
        <w:pStyle w:val="ListParagraph"/>
        <w:numPr>
          <w:ilvl w:val="0"/>
          <w:numId w:val="59"/>
        </w:numPr>
        <w:tabs>
          <w:tab w:pos="1184" w:val="left" w:leader="none"/>
        </w:tabs>
        <w:spacing w:line="240" w:lineRule="auto" w:before="117" w:after="0"/>
        <w:ind w:left="1183" w:right="1065" w:hanging="284"/>
        <w:jc w:val="left"/>
        <w:rPr>
          <w:sz w:val="20"/>
        </w:rPr>
      </w:pPr>
      <w:r>
        <w:rPr>
          <w:color w:val="404040"/>
          <w:sz w:val="20"/>
        </w:rPr>
        <w:t>The number of age pensioners has decreased by 3.3%; this is due to a combination of low entries over the year as the Age Pension age increased, combined with the higher number of exits as a result of the pension assets test</w:t>
      </w:r>
      <w:r>
        <w:rPr>
          <w:color w:val="404040"/>
          <w:spacing w:val="-2"/>
          <w:sz w:val="20"/>
        </w:rPr>
        <w:t> </w:t>
      </w:r>
      <w:r>
        <w:rPr>
          <w:color w:val="404040"/>
          <w:sz w:val="20"/>
        </w:rPr>
        <w:t>change.</w:t>
      </w:r>
    </w:p>
    <w:p>
      <w:pPr>
        <w:pStyle w:val="ListParagraph"/>
        <w:numPr>
          <w:ilvl w:val="0"/>
          <w:numId w:val="59"/>
        </w:numPr>
        <w:tabs>
          <w:tab w:pos="1184" w:val="left" w:leader="none"/>
        </w:tabs>
        <w:spacing w:line="240" w:lineRule="auto" w:before="118" w:after="0"/>
        <w:ind w:left="1183" w:right="1362" w:hanging="284"/>
        <w:jc w:val="left"/>
        <w:rPr>
          <w:sz w:val="20"/>
        </w:rPr>
      </w:pPr>
      <w:r>
        <w:rPr>
          <w:color w:val="404040"/>
          <w:sz w:val="20"/>
        </w:rPr>
        <w:t>The average cost of age pensioners has increased by $2,000 (1.0%) since the previous valuation largely due to the increase in the cost of future payments as a result of inflation. The following table provides a breakdown of the change in average lifetime cost by payment</w:t>
      </w:r>
      <w:r>
        <w:rPr>
          <w:color w:val="404040"/>
          <w:spacing w:val="-11"/>
          <w:sz w:val="20"/>
        </w:rPr>
        <w:t> </w:t>
      </w:r>
      <w:r>
        <w:rPr>
          <w:color w:val="404040"/>
          <w:sz w:val="20"/>
        </w:rPr>
        <w:t>category.</w:t>
      </w:r>
    </w:p>
    <w:p>
      <w:pPr>
        <w:spacing w:after="0" w:line="240" w:lineRule="auto"/>
        <w:jc w:val="left"/>
        <w:rPr>
          <w:sz w:val="20"/>
        </w:rPr>
        <w:sectPr>
          <w:pgSz w:w="11910" w:h="16850"/>
          <w:pgMar w:header="572" w:footer="581" w:top="780" w:bottom="780" w:left="120" w:right="0"/>
        </w:sectPr>
      </w:pPr>
    </w:p>
    <w:p>
      <w:pPr>
        <w:pStyle w:val="BodyText"/>
      </w:pPr>
    </w:p>
    <w:p>
      <w:pPr>
        <w:pStyle w:val="BodyText"/>
      </w:pPr>
    </w:p>
    <w:p>
      <w:pPr>
        <w:pStyle w:val="BodyText"/>
        <w:spacing w:before="5"/>
        <w:rPr>
          <w:sz w:val="21"/>
        </w:rPr>
      </w:pPr>
    </w:p>
    <w:p>
      <w:pPr>
        <w:pStyle w:val="Heading9"/>
        <w:spacing w:after="54"/>
      </w:pPr>
      <w:r>
        <w:rPr>
          <w:color w:val="DF2F1E"/>
        </w:rPr>
        <w:t>Table 31: Breakdown of change in average lifetime cost for class 6 by payment category</w:t>
      </w:r>
    </w:p>
    <w:tbl>
      <w:tblPr>
        <w:tblW w:w="0" w:type="auto"/>
        <w:jc w:val="left"/>
        <w:tblInd w:w="1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20"/>
        <w:gridCol w:w="1270"/>
        <w:gridCol w:w="1167"/>
        <w:gridCol w:w="1318"/>
        <w:gridCol w:w="1347"/>
        <w:gridCol w:w="1275"/>
      </w:tblGrid>
      <w:tr>
        <w:trPr>
          <w:trHeight w:val="268" w:hRule="atLeast"/>
        </w:trPr>
        <w:tc>
          <w:tcPr>
            <w:tcW w:w="3120" w:type="dxa"/>
            <w:shd w:val="clear" w:color="auto" w:fill="DF2F1E"/>
          </w:tcPr>
          <w:p>
            <w:pPr>
              <w:pStyle w:val="TableParagraph"/>
              <w:spacing w:before="0"/>
              <w:rPr>
                <w:rFonts w:ascii="Times New Roman"/>
                <w:sz w:val="16"/>
              </w:rPr>
            </w:pPr>
          </w:p>
        </w:tc>
        <w:tc>
          <w:tcPr>
            <w:tcW w:w="1270" w:type="dxa"/>
            <w:shd w:val="clear" w:color="auto" w:fill="DF2F1E"/>
          </w:tcPr>
          <w:p>
            <w:pPr>
              <w:pStyle w:val="TableParagraph"/>
              <w:spacing w:before="0"/>
              <w:rPr>
                <w:rFonts w:ascii="Times New Roman"/>
                <w:sz w:val="16"/>
              </w:rPr>
            </w:pPr>
          </w:p>
        </w:tc>
        <w:tc>
          <w:tcPr>
            <w:tcW w:w="2485" w:type="dxa"/>
            <w:gridSpan w:val="2"/>
            <w:shd w:val="clear" w:color="auto" w:fill="DF2F1E"/>
          </w:tcPr>
          <w:p>
            <w:pPr>
              <w:pStyle w:val="TableParagraph"/>
              <w:spacing w:before="34"/>
              <w:ind w:left="1026" w:right="1267"/>
              <w:jc w:val="center"/>
              <w:rPr>
                <w:b/>
                <w:sz w:val="16"/>
              </w:rPr>
            </w:pPr>
            <w:r>
              <w:rPr>
                <w:b/>
                <w:color w:val="FFFFFF"/>
                <w:sz w:val="16"/>
              </w:rPr>
              <w:t>IS</w:t>
            </w:r>
          </w:p>
        </w:tc>
        <w:tc>
          <w:tcPr>
            <w:tcW w:w="1347" w:type="dxa"/>
            <w:shd w:val="clear" w:color="auto" w:fill="DF2F1E"/>
          </w:tcPr>
          <w:p>
            <w:pPr>
              <w:pStyle w:val="TableParagraph"/>
              <w:spacing w:before="34"/>
              <w:ind w:right="48"/>
              <w:jc w:val="right"/>
              <w:rPr>
                <w:b/>
                <w:sz w:val="16"/>
              </w:rPr>
            </w:pPr>
            <w:r>
              <w:rPr>
                <w:b/>
                <w:color w:val="FFFFFF"/>
                <w:sz w:val="16"/>
              </w:rPr>
              <w:t>Non</w:t>
            </w:r>
          </w:p>
        </w:tc>
        <w:tc>
          <w:tcPr>
            <w:tcW w:w="1275" w:type="dxa"/>
            <w:shd w:val="clear" w:color="auto" w:fill="DF2F1E"/>
          </w:tcPr>
          <w:p>
            <w:pPr>
              <w:pStyle w:val="TableParagraph"/>
              <w:spacing w:before="31"/>
              <w:ind w:left="62"/>
              <w:rPr>
                <w:b/>
                <w:sz w:val="10"/>
              </w:rPr>
            </w:pPr>
            <w:r>
              <w:rPr>
                <w:b/>
                <w:color w:val="FFFFFF"/>
                <w:sz w:val="16"/>
              </w:rPr>
              <w:t>IS</w:t>
            </w:r>
            <w:r>
              <w:rPr>
                <w:b/>
                <w:color w:val="FFFFFF"/>
                <w:position w:val="6"/>
                <w:sz w:val="10"/>
              </w:rPr>
              <w:t>1</w:t>
            </w:r>
          </w:p>
        </w:tc>
      </w:tr>
      <w:tr>
        <w:trPr>
          <w:trHeight w:val="458" w:hRule="atLeast"/>
        </w:trPr>
        <w:tc>
          <w:tcPr>
            <w:tcW w:w="3120" w:type="dxa"/>
            <w:shd w:val="clear" w:color="auto" w:fill="DF2F1E"/>
          </w:tcPr>
          <w:p>
            <w:pPr>
              <w:pStyle w:val="TableParagraph"/>
              <w:spacing w:before="0"/>
              <w:rPr>
                <w:rFonts w:ascii="Times New Roman"/>
                <w:sz w:val="16"/>
              </w:rPr>
            </w:pPr>
          </w:p>
        </w:tc>
        <w:tc>
          <w:tcPr>
            <w:tcW w:w="1270" w:type="dxa"/>
            <w:shd w:val="clear" w:color="auto" w:fill="DF2F1E"/>
          </w:tcPr>
          <w:p>
            <w:pPr>
              <w:pStyle w:val="TableParagraph"/>
              <w:spacing w:before="39"/>
              <w:ind w:left="430" w:right="417"/>
              <w:jc w:val="center"/>
              <w:rPr>
                <w:b/>
                <w:sz w:val="16"/>
              </w:rPr>
            </w:pPr>
            <w:r>
              <w:rPr>
                <w:b/>
                <w:color w:val="FFFFFF"/>
                <w:sz w:val="16"/>
              </w:rPr>
              <w:t>Total</w:t>
            </w:r>
          </w:p>
        </w:tc>
        <w:tc>
          <w:tcPr>
            <w:tcW w:w="1167" w:type="dxa"/>
            <w:shd w:val="clear" w:color="auto" w:fill="DF2F1E"/>
          </w:tcPr>
          <w:p>
            <w:pPr>
              <w:pStyle w:val="TableParagraph"/>
              <w:spacing w:before="39"/>
              <w:ind w:left="321" w:right="185" w:hanging="17"/>
              <w:rPr>
                <w:b/>
                <w:sz w:val="16"/>
              </w:rPr>
            </w:pPr>
            <w:r>
              <w:rPr>
                <w:b/>
                <w:color w:val="FFFFFF"/>
                <w:sz w:val="16"/>
              </w:rPr>
              <w:t>Non Age Pension</w:t>
            </w:r>
          </w:p>
        </w:tc>
        <w:tc>
          <w:tcPr>
            <w:tcW w:w="1318" w:type="dxa"/>
            <w:shd w:val="clear" w:color="auto" w:fill="DF2F1E"/>
          </w:tcPr>
          <w:p>
            <w:pPr>
              <w:pStyle w:val="TableParagraph"/>
              <w:spacing w:before="39"/>
              <w:ind w:left="198" w:right="110"/>
              <w:jc w:val="center"/>
              <w:rPr>
                <w:b/>
                <w:sz w:val="16"/>
              </w:rPr>
            </w:pPr>
            <w:r>
              <w:rPr>
                <w:b/>
                <w:color w:val="FFFFFF"/>
                <w:sz w:val="16"/>
              </w:rPr>
              <w:t>Age Pension</w:t>
            </w:r>
          </w:p>
        </w:tc>
        <w:tc>
          <w:tcPr>
            <w:tcW w:w="1347" w:type="dxa"/>
            <w:shd w:val="clear" w:color="auto" w:fill="DF2F1E"/>
          </w:tcPr>
          <w:p>
            <w:pPr>
              <w:pStyle w:val="TableParagraph"/>
              <w:spacing w:before="39"/>
              <w:ind w:left="176" w:right="146" w:firstLine="252"/>
              <w:rPr>
                <w:b/>
                <w:sz w:val="16"/>
              </w:rPr>
            </w:pPr>
            <w:r>
              <w:rPr>
                <w:b/>
                <w:color w:val="FFFFFF"/>
                <w:sz w:val="16"/>
              </w:rPr>
              <w:t>Family Supplements</w:t>
            </w:r>
          </w:p>
        </w:tc>
        <w:tc>
          <w:tcPr>
            <w:tcW w:w="1275" w:type="dxa"/>
            <w:shd w:val="clear" w:color="auto" w:fill="DF2F1E"/>
          </w:tcPr>
          <w:p>
            <w:pPr>
              <w:pStyle w:val="TableParagraph"/>
              <w:spacing w:before="39"/>
              <w:ind w:left="139" w:right="111" w:firstLine="290"/>
              <w:rPr>
                <w:b/>
                <w:sz w:val="16"/>
              </w:rPr>
            </w:pPr>
            <w:r>
              <w:rPr>
                <w:b/>
                <w:color w:val="FFFFFF"/>
                <w:sz w:val="16"/>
              </w:rPr>
              <w:t>Other Supplements</w:t>
            </w:r>
          </w:p>
        </w:tc>
      </w:tr>
      <w:tr>
        <w:trPr>
          <w:trHeight w:val="258" w:hRule="atLeast"/>
        </w:trPr>
        <w:tc>
          <w:tcPr>
            <w:tcW w:w="3120" w:type="dxa"/>
            <w:tcBorders>
              <w:top w:val="single" w:sz="4" w:space="0" w:color="DF2F1E"/>
              <w:left w:val="single" w:sz="4" w:space="0" w:color="DF2F1E"/>
              <w:bottom w:val="single" w:sz="4" w:space="0" w:color="DF2F1E"/>
              <w:right w:val="single" w:sz="4" w:space="0" w:color="DF2F1E"/>
            </w:tcBorders>
          </w:tcPr>
          <w:p>
            <w:pPr>
              <w:pStyle w:val="TableParagraph"/>
              <w:spacing w:before="29"/>
              <w:ind w:left="57"/>
              <w:rPr>
                <w:b/>
                <w:sz w:val="16"/>
              </w:rPr>
            </w:pPr>
            <w:r>
              <w:rPr>
                <w:b/>
                <w:color w:val="404040"/>
                <w:sz w:val="16"/>
              </w:rPr>
              <w:t>Jun-17 Total Lifetime Cost</w:t>
            </w:r>
          </w:p>
        </w:tc>
        <w:tc>
          <w:tcPr>
            <w:tcW w:w="1270" w:type="dxa"/>
            <w:tcBorders>
              <w:top w:val="single" w:sz="4" w:space="0" w:color="DF2F1E"/>
              <w:left w:val="single" w:sz="4" w:space="0" w:color="DF2F1E"/>
              <w:bottom w:val="single" w:sz="4" w:space="0" w:color="DF2F1E"/>
              <w:right w:val="single" w:sz="4" w:space="0" w:color="DF2F1E"/>
            </w:tcBorders>
          </w:tcPr>
          <w:p>
            <w:pPr>
              <w:pStyle w:val="TableParagraph"/>
              <w:spacing w:before="32"/>
              <w:ind w:left="371"/>
              <w:rPr>
                <w:sz w:val="16"/>
              </w:rPr>
            </w:pPr>
            <w:r>
              <w:rPr>
                <w:color w:val="404040"/>
                <w:sz w:val="16"/>
              </w:rPr>
              <w:t>$542bn</w:t>
            </w:r>
          </w:p>
        </w:tc>
        <w:tc>
          <w:tcPr>
            <w:tcW w:w="5107" w:type="dxa"/>
            <w:gridSpan w:val="4"/>
            <w:vMerge w:val="restart"/>
            <w:tcBorders>
              <w:top w:val="single" w:sz="4" w:space="0" w:color="DF2F1E"/>
              <w:left w:val="single" w:sz="4" w:space="0" w:color="DF2F1E"/>
              <w:bottom w:val="single" w:sz="4" w:space="0" w:color="DF2F1E"/>
              <w:right w:val="single" w:sz="4" w:space="0" w:color="DF2F1E"/>
            </w:tcBorders>
            <w:shd w:val="clear" w:color="auto" w:fill="D9D9D9"/>
          </w:tcPr>
          <w:p>
            <w:pPr>
              <w:pStyle w:val="TableParagraph"/>
              <w:spacing w:before="0"/>
              <w:rPr>
                <w:rFonts w:ascii="Times New Roman"/>
                <w:sz w:val="16"/>
              </w:rPr>
            </w:pPr>
          </w:p>
        </w:tc>
      </w:tr>
      <w:tr>
        <w:trPr>
          <w:trHeight w:val="257" w:hRule="atLeast"/>
        </w:trPr>
        <w:tc>
          <w:tcPr>
            <w:tcW w:w="3120" w:type="dxa"/>
            <w:tcBorders>
              <w:top w:val="single" w:sz="4" w:space="0" w:color="DF2F1E"/>
              <w:left w:val="single" w:sz="4" w:space="0" w:color="DF2F1E"/>
              <w:right w:val="single" w:sz="4" w:space="0" w:color="DF2F1E"/>
            </w:tcBorders>
          </w:tcPr>
          <w:p>
            <w:pPr>
              <w:pStyle w:val="TableParagraph"/>
              <w:spacing w:before="31"/>
              <w:ind w:left="57"/>
              <w:rPr>
                <w:b/>
                <w:sz w:val="10"/>
              </w:rPr>
            </w:pPr>
            <w:r>
              <w:rPr>
                <w:b/>
                <w:color w:val="404040"/>
                <w:sz w:val="16"/>
              </w:rPr>
              <w:t>Jun-17 Total Lifetime Cost – rebased</w:t>
            </w:r>
            <w:r>
              <w:rPr>
                <w:b/>
                <w:color w:val="404040"/>
                <w:position w:val="6"/>
                <w:sz w:val="10"/>
              </w:rPr>
              <w:t>2</w:t>
            </w:r>
          </w:p>
        </w:tc>
        <w:tc>
          <w:tcPr>
            <w:tcW w:w="1270" w:type="dxa"/>
            <w:tcBorders>
              <w:top w:val="single" w:sz="4" w:space="0" w:color="DF2F1E"/>
              <w:left w:val="single" w:sz="4" w:space="0" w:color="DF2F1E"/>
              <w:right w:val="single" w:sz="4" w:space="0" w:color="DF2F1E"/>
            </w:tcBorders>
          </w:tcPr>
          <w:p>
            <w:pPr>
              <w:pStyle w:val="TableParagraph"/>
              <w:ind w:left="371"/>
              <w:rPr>
                <w:sz w:val="16"/>
              </w:rPr>
            </w:pPr>
            <w:r>
              <w:rPr>
                <w:color w:val="404040"/>
                <w:sz w:val="16"/>
              </w:rPr>
              <w:t>$591bn</w:t>
            </w:r>
          </w:p>
        </w:tc>
        <w:tc>
          <w:tcPr>
            <w:tcW w:w="5107" w:type="dxa"/>
            <w:gridSpan w:val="4"/>
            <w:vMerge/>
            <w:tcBorders>
              <w:top w:val="nil"/>
              <w:left w:val="single" w:sz="4" w:space="0" w:color="DF2F1E"/>
              <w:bottom w:val="single" w:sz="4" w:space="0" w:color="DF2F1E"/>
              <w:right w:val="single" w:sz="4" w:space="0" w:color="DF2F1E"/>
            </w:tcBorders>
            <w:shd w:val="clear" w:color="auto" w:fill="D9D9D9"/>
          </w:tcPr>
          <w:p>
            <w:pPr>
              <w:rPr>
                <w:sz w:val="2"/>
                <w:szCs w:val="2"/>
              </w:rPr>
            </w:pPr>
          </w:p>
        </w:tc>
      </w:tr>
      <w:tr>
        <w:trPr>
          <w:trHeight w:val="260" w:hRule="atLeast"/>
        </w:trPr>
        <w:tc>
          <w:tcPr>
            <w:tcW w:w="3120" w:type="dxa"/>
            <w:tcBorders>
              <w:left w:val="single" w:sz="4" w:space="0" w:color="DF2F1E"/>
              <w:bottom w:val="single" w:sz="4" w:space="0" w:color="DF2F1E"/>
              <w:right w:val="single" w:sz="4" w:space="0" w:color="DF2F1E"/>
            </w:tcBorders>
          </w:tcPr>
          <w:p>
            <w:pPr>
              <w:pStyle w:val="TableParagraph"/>
              <w:spacing w:before="31"/>
              <w:ind w:left="57"/>
              <w:rPr>
                <w:b/>
                <w:sz w:val="16"/>
              </w:rPr>
            </w:pPr>
            <w:r>
              <w:rPr>
                <w:b/>
                <w:color w:val="404040"/>
                <w:sz w:val="16"/>
              </w:rPr>
              <w:t>Jun-18 Total Lifetime Cost</w:t>
            </w:r>
          </w:p>
        </w:tc>
        <w:tc>
          <w:tcPr>
            <w:tcW w:w="1270" w:type="dxa"/>
            <w:tcBorders>
              <w:left w:val="single" w:sz="4" w:space="0" w:color="DF2F1E"/>
              <w:bottom w:val="single" w:sz="4" w:space="0" w:color="DF2F1E"/>
              <w:right w:val="single" w:sz="4" w:space="0" w:color="DF2F1E"/>
            </w:tcBorders>
          </w:tcPr>
          <w:p>
            <w:pPr>
              <w:pStyle w:val="TableParagraph"/>
              <w:spacing w:before="34"/>
              <w:ind w:left="371"/>
              <w:rPr>
                <w:sz w:val="16"/>
              </w:rPr>
            </w:pPr>
            <w:r>
              <w:rPr>
                <w:color w:val="404040"/>
                <w:sz w:val="16"/>
              </w:rPr>
              <w:t>$577bn</w:t>
            </w:r>
          </w:p>
        </w:tc>
        <w:tc>
          <w:tcPr>
            <w:tcW w:w="5107" w:type="dxa"/>
            <w:gridSpan w:val="4"/>
            <w:vMerge/>
            <w:tcBorders>
              <w:top w:val="nil"/>
              <w:left w:val="single" w:sz="4" w:space="0" w:color="DF2F1E"/>
              <w:bottom w:val="single" w:sz="4" w:space="0" w:color="DF2F1E"/>
              <w:right w:val="single" w:sz="4" w:space="0" w:color="DF2F1E"/>
            </w:tcBorders>
            <w:shd w:val="clear" w:color="auto" w:fill="D9D9D9"/>
          </w:tcPr>
          <w:p>
            <w:pPr>
              <w:rPr>
                <w:sz w:val="2"/>
                <w:szCs w:val="2"/>
              </w:rPr>
            </w:pPr>
          </w:p>
        </w:tc>
      </w:tr>
      <w:tr>
        <w:trPr>
          <w:trHeight w:val="266" w:hRule="atLeast"/>
        </w:trPr>
        <w:tc>
          <w:tcPr>
            <w:tcW w:w="3120" w:type="dxa"/>
            <w:tcBorders>
              <w:top w:val="single" w:sz="4" w:space="0" w:color="DF2F1E"/>
              <w:left w:val="single" w:sz="4" w:space="0" w:color="DF2F1E"/>
              <w:bottom w:val="single" w:sz="4" w:space="0" w:color="DF2F1E"/>
              <w:right w:val="single" w:sz="4" w:space="0" w:color="DF2F1E"/>
            </w:tcBorders>
          </w:tcPr>
          <w:p>
            <w:pPr>
              <w:pStyle w:val="TableParagraph"/>
              <w:spacing w:before="33"/>
              <w:ind w:left="57"/>
              <w:rPr>
                <w:b/>
                <w:sz w:val="10"/>
              </w:rPr>
            </w:pPr>
            <w:r>
              <w:rPr>
                <w:b/>
                <w:color w:val="404040"/>
                <w:sz w:val="16"/>
              </w:rPr>
              <w:t>Change in Total Lifetime Cost</w:t>
            </w:r>
            <w:r>
              <w:rPr>
                <w:b/>
                <w:color w:val="404040"/>
                <w:position w:val="6"/>
                <w:sz w:val="10"/>
              </w:rPr>
              <w:t>2</w:t>
            </w:r>
          </w:p>
        </w:tc>
        <w:tc>
          <w:tcPr>
            <w:tcW w:w="1270" w:type="dxa"/>
            <w:tcBorders>
              <w:top w:val="single" w:sz="4" w:space="0" w:color="DF2F1E"/>
              <w:left w:val="single" w:sz="4" w:space="0" w:color="DF2F1E"/>
              <w:bottom w:val="single" w:sz="4" w:space="0" w:color="DF2F1E"/>
              <w:right w:val="single" w:sz="4" w:space="0" w:color="DF2F1E"/>
            </w:tcBorders>
          </w:tcPr>
          <w:p>
            <w:pPr>
              <w:pStyle w:val="TableParagraph"/>
              <w:spacing w:before="39"/>
              <w:ind w:right="86"/>
              <w:jc w:val="right"/>
              <w:rPr>
                <w:sz w:val="16"/>
              </w:rPr>
            </w:pPr>
            <w:r>
              <w:rPr>
                <w:color w:val="404040"/>
                <w:sz w:val="16"/>
              </w:rPr>
              <w:t>-$14bn (-2.4%)</w:t>
            </w:r>
          </w:p>
        </w:tc>
        <w:tc>
          <w:tcPr>
            <w:tcW w:w="5107" w:type="dxa"/>
            <w:gridSpan w:val="4"/>
            <w:vMerge/>
            <w:tcBorders>
              <w:top w:val="nil"/>
              <w:left w:val="single" w:sz="4" w:space="0" w:color="DF2F1E"/>
              <w:bottom w:val="single" w:sz="4" w:space="0" w:color="DF2F1E"/>
              <w:right w:val="single" w:sz="4" w:space="0" w:color="DF2F1E"/>
            </w:tcBorders>
            <w:shd w:val="clear" w:color="auto" w:fill="D9D9D9"/>
          </w:tcPr>
          <w:p>
            <w:pPr>
              <w:rPr>
                <w:sz w:val="2"/>
                <w:szCs w:val="2"/>
              </w:rPr>
            </w:pPr>
          </w:p>
        </w:tc>
      </w:tr>
      <w:tr>
        <w:trPr>
          <w:trHeight w:val="263" w:hRule="atLeast"/>
        </w:trPr>
        <w:tc>
          <w:tcPr>
            <w:tcW w:w="3120" w:type="dxa"/>
            <w:tcBorders>
              <w:top w:val="single" w:sz="4" w:space="0" w:color="DF2F1E"/>
              <w:left w:val="single" w:sz="4" w:space="0" w:color="DF2F1E"/>
              <w:bottom w:val="single" w:sz="4" w:space="0" w:color="DF2F1E"/>
              <w:right w:val="single" w:sz="4" w:space="0" w:color="DF2F1E"/>
            </w:tcBorders>
          </w:tcPr>
          <w:p>
            <w:pPr>
              <w:pStyle w:val="TableParagraph"/>
              <w:spacing w:before="34"/>
              <w:ind w:left="57"/>
              <w:rPr>
                <w:b/>
                <w:sz w:val="16"/>
              </w:rPr>
            </w:pPr>
            <w:r>
              <w:rPr>
                <w:b/>
                <w:color w:val="404040"/>
                <w:sz w:val="16"/>
              </w:rPr>
              <w:t>Change due to People in Class</w:t>
            </w:r>
          </w:p>
        </w:tc>
        <w:tc>
          <w:tcPr>
            <w:tcW w:w="1270" w:type="dxa"/>
            <w:tcBorders>
              <w:top w:val="single" w:sz="4" w:space="0" w:color="DF2F1E"/>
              <w:left w:val="single" w:sz="4" w:space="0" w:color="DF2F1E"/>
              <w:bottom w:val="single" w:sz="4" w:space="0" w:color="DF2F1E"/>
              <w:right w:val="single" w:sz="4" w:space="0" w:color="DF2F1E"/>
            </w:tcBorders>
          </w:tcPr>
          <w:p>
            <w:pPr>
              <w:pStyle w:val="TableParagraph"/>
              <w:ind w:left="429"/>
              <w:rPr>
                <w:sz w:val="16"/>
              </w:rPr>
            </w:pPr>
            <w:r>
              <w:rPr>
                <w:color w:val="404040"/>
                <w:sz w:val="16"/>
              </w:rPr>
              <w:t>-3.3%</w:t>
            </w:r>
          </w:p>
        </w:tc>
        <w:tc>
          <w:tcPr>
            <w:tcW w:w="5107" w:type="dxa"/>
            <w:gridSpan w:val="4"/>
            <w:vMerge/>
            <w:tcBorders>
              <w:top w:val="nil"/>
              <w:left w:val="single" w:sz="4" w:space="0" w:color="DF2F1E"/>
              <w:bottom w:val="single" w:sz="4" w:space="0" w:color="DF2F1E"/>
              <w:right w:val="single" w:sz="4" w:space="0" w:color="DF2F1E"/>
            </w:tcBorders>
            <w:shd w:val="clear" w:color="auto" w:fill="D9D9D9"/>
          </w:tcPr>
          <w:p>
            <w:pPr>
              <w:rPr>
                <w:sz w:val="2"/>
                <w:szCs w:val="2"/>
              </w:rPr>
            </w:pPr>
          </w:p>
        </w:tc>
      </w:tr>
      <w:tr>
        <w:trPr>
          <w:trHeight w:val="262" w:hRule="atLeast"/>
        </w:trPr>
        <w:tc>
          <w:tcPr>
            <w:tcW w:w="3120" w:type="dxa"/>
            <w:tcBorders>
              <w:top w:val="single" w:sz="4" w:space="0" w:color="DF2F1E"/>
              <w:left w:val="single" w:sz="4" w:space="0" w:color="DF2F1E"/>
              <w:right w:val="single" w:sz="4" w:space="0" w:color="DF2F1E"/>
            </w:tcBorders>
          </w:tcPr>
          <w:p>
            <w:pPr>
              <w:pStyle w:val="TableParagraph"/>
              <w:spacing w:before="31"/>
              <w:ind w:left="57"/>
              <w:rPr>
                <w:b/>
                <w:sz w:val="10"/>
              </w:rPr>
            </w:pPr>
            <w:r>
              <w:rPr>
                <w:b/>
                <w:color w:val="404040"/>
                <w:sz w:val="16"/>
              </w:rPr>
              <w:t>Change due to Average Lifetime Cost</w:t>
            </w:r>
            <w:r>
              <w:rPr>
                <w:b/>
                <w:color w:val="404040"/>
                <w:position w:val="6"/>
                <w:sz w:val="10"/>
              </w:rPr>
              <w:t>2</w:t>
            </w:r>
          </w:p>
        </w:tc>
        <w:tc>
          <w:tcPr>
            <w:tcW w:w="1270" w:type="dxa"/>
            <w:tcBorders>
              <w:top w:val="single" w:sz="4" w:space="0" w:color="DF2F1E"/>
              <w:left w:val="single" w:sz="4" w:space="0" w:color="DF2F1E"/>
              <w:right w:val="single" w:sz="4" w:space="0" w:color="DF2F1E"/>
            </w:tcBorders>
          </w:tcPr>
          <w:p>
            <w:pPr>
              <w:pStyle w:val="TableParagraph"/>
              <w:ind w:right="136"/>
              <w:jc w:val="right"/>
              <w:rPr>
                <w:sz w:val="16"/>
              </w:rPr>
            </w:pPr>
            <w:r>
              <w:rPr>
                <w:color w:val="404040"/>
                <w:sz w:val="16"/>
              </w:rPr>
              <w:t>+$2k (+1.0%)</w:t>
            </w:r>
          </w:p>
        </w:tc>
        <w:tc>
          <w:tcPr>
            <w:tcW w:w="1167" w:type="dxa"/>
            <w:tcBorders>
              <w:top w:val="single" w:sz="4" w:space="0" w:color="DF2F1E"/>
              <w:left w:val="single" w:sz="4" w:space="0" w:color="DF2F1E"/>
            </w:tcBorders>
          </w:tcPr>
          <w:p>
            <w:pPr>
              <w:pStyle w:val="TableParagraph"/>
              <w:ind w:right="358"/>
              <w:jc w:val="right"/>
              <w:rPr>
                <w:sz w:val="16"/>
              </w:rPr>
            </w:pPr>
            <w:r>
              <w:rPr>
                <w:color w:val="A6A6A6"/>
                <w:sz w:val="16"/>
              </w:rPr>
              <w:t>&lt;$1k</w:t>
            </w:r>
          </w:p>
        </w:tc>
        <w:tc>
          <w:tcPr>
            <w:tcW w:w="1318" w:type="dxa"/>
            <w:tcBorders>
              <w:top w:val="single" w:sz="4" w:space="0" w:color="DF2F1E"/>
              <w:right w:val="dashSmallGap" w:sz="4" w:space="0" w:color="DF2F1E"/>
            </w:tcBorders>
          </w:tcPr>
          <w:p>
            <w:pPr>
              <w:pStyle w:val="TableParagraph"/>
              <w:ind w:left="506" w:right="415"/>
              <w:jc w:val="center"/>
              <w:rPr>
                <w:sz w:val="16"/>
              </w:rPr>
            </w:pPr>
            <w:r>
              <w:rPr>
                <w:color w:val="404040"/>
                <w:sz w:val="16"/>
              </w:rPr>
              <w:t>+$1k</w:t>
            </w:r>
          </w:p>
        </w:tc>
        <w:tc>
          <w:tcPr>
            <w:tcW w:w="1347" w:type="dxa"/>
            <w:tcBorders>
              <w:top w:val="single" w:sz="4" w:space="0" w:color="DF2F1E"/>
              <w:left w:val="dashSmallGap" w:sz="4" w:space="0" w:color="DF2F1E"/>
            </w:tcBorders>
          </w:tcPr>
          <w:p>
            <w:pPr>
              <w:pStyle w:val="TableParagraph"/>
              <w:ind w:left="499"/>
              <w:rPr>
                <w:sz w:val="16"/>
              </w:rPr>
            </w:pPr>
            <w:r>
              <w:rPr>
                <w:color w:val="A6A6A6"/>
                <w:sz w:val="16"/>
              </w:rPr>
              <w:t>&lt;$1k</w:t>
            </w:r>
          </w:p>
        </w:tc>
        <w:tc>
          <w:tcPr>
            <w:tcW w:w="1275" w:type="dxa"/>
            <w:tcBorders>
              <w:top w:val="single" w:sz="4" w:space="0" w:color="DF2F1E"/>
              <w:right w:val="single" w:sz="4" w:space="0" w:color="DF2F1E"/>
            </w:tcBorders>
          </w:tcPr>
          <w:p>
            <w:pPr>
              <w:pStyle w:val="TableParagraph"/>
              <w:ind w:right="448"/>
              <w:jc w:val="right"/>
              <w:rPr>
                <w:sz w:val="16"/>
              </w:rPr>
            </w:pPr>
            <w:r>
              <w:rPr>
                <w:color w:val="A6A6A6"/>
                <w:sz w:val="16"/>
              </w:rPr>
              <w:t>&lt;$1k</w:t>
            </w:r>
          </w:p>
        </w:tc>
      </w:tr>
      <w:tr>
        <w:trPr>
          <w:trHeight w:val="263" w:hRule="atLeast"/>
        </w:trPr>
        <w:tc>
          <w:tcPr>
            <w:tcW w:w="3120" w:type="dxa"/>
            <w:tcBorders>
              <w:left w:val="single" w:sz="4" w:space="0" w:color="DF2F1E"/>
              <w:right w:val="single" w:sz="4" w:space="0" w:color="DF2F1E"/>
            </w:tcBorders>
          </w:tcPr>
          <w:p>
            <w:pPr>
              <w:pStyle w:val="TableParagraph"/>
              <w:spacing w:before="36"/>
              <w:ind w:left="57"/>
              <w:rPr>
                <w:b/>
                <w:sz w:val="16"/>
              </w:rPr>
            </w:pPr>
            <w:r>
              <w:rPr>
                <w:b/>
                <w:color w:val="404040"/>
                <w:sz w:val="16"/>
              </w:rPr>
              <w:t>- Impact of change in inflation</w:t>
            </w:r>
          </w:p>
        </w:tc>
        <w:tc>
          <w:tcPr>
            <w:tcW w:w="1270" w:type="dxa"/>
            <w:tcBorders>
              <w:left w:val="single" w:sz="4" w:space="0" w:color="DF2F1E"/>
              <w:right w:val="single" w:sz="4" w:space="0" w:color="DF2F1E"/>
            </w:tcBorders>
          </w:tcPr>
          <w:p>
            <w:pPr>
              <w:pStyle w:val="TableParagraph"/>
              <w:spacing w:before="39"/>
              <w:ind w:left="88" w:right="72"/>
              <w:jc w:val="center"/>
              <w:rPr>
                <w:sz w:val="16"/>
              </w:rPr>
            </w:pPr>
            <w:r>
              <w:rPr>
                <w:color w:val="404040"/>
                <w:sz w:val="16"/>
              </w:rPr>
              <w:t>+$5k</w:t>
            </w:r>
          </w:p>
        </w:tc>
        <w:tc>
          <w:tcPr>
            <w:tcW w:w="1167" w:type="dxa"/>
            <w:tcBorders>
              <w:left w:val="single" w:sz="4" w:space="0" w:color="DF2F1E"/>
            </w:tcBorders>
          </w:tcPr>
          <w:p>
            <w:pPr>
              <w:pStyle w:val="TableParagraph"/>
              <w:spacing w:before="39"/>
              <w:ind w:right="358"/>
              <w:jc w:val="right"/>
              <w:rPr>
                <w:sz w:val="16"/>
              </w:rPr>
            </w:pPr>
            <w:r>
              <w:rPr>
                <w:color w:val="A6A6A6"/>
                <w:sz w:val="16"/>
              </w:rPr>
              <w:t>&lt;$1k</w:t>
            </w:r>
          </w:p>
        </w:tc>
        <w:tc>
          <w:tcPr>
            <w:tcW w:w="1318" w:type="dxa"/>
            <w:tcBorders>
              <w:right w:val="dashSmallGap" w:sz="4" w:space="0" w:color="DF2F1E"/>
            </w:tcBorders>
          </w:tcPr>
          <w:p>
            <w:pPr>
              <w:pStyle w:val="TableParagraph"/>
              <w:spacing w:before="39"/>
              <w:ind w:left="506" w:right="415"/>
              <w:jc w:val="center"/>
              <w:rPr>
                <w:sz w:val="16"/>
              </w:rPr>
            </w:pPr>
            <w:r>
              <w:rPr>
                <w:color w:val="404040"/>
                <w:sz w:val="16"/>
              </w:rPr>
              <w:t>+$4k</w:t>
            </w:r>
          </w:p>
        </w:tc>
        <w:tc>
          <w:tcPr>
            <w:tcW w:w="1347" w:type="dxa"/>
            <w:tcBorders>
              <w:left w:val="dashSmallGap" w:sz="4" w:space="0" w:color="DF2F1E"/>
            </w:tcBorders>
          </w:tcPr>
          <w:p>
            <w:pPr>
              <w:pStyle w:val="TableParagraph"/>
              <w:spacing w:before="39"/>
              <w:ind w:left="499"/>
              <w:rPr>
                <w:sz w:val="16"/>
              </w:rPr>
            </w:pPr>
            <w:r>
              <w:rPr>
                <w:color w:val="A6A6A6"/>
                <w:sz w:val="16"/>
              </w:rPr>
              <w:t>&lt;$1k</w:t>
            </w:r>
          </w:p>
        </w:tc>
        <w:tc>
          <w:tcPr>
            <w:tcW w:w="1275" w:type="dxa"/>
            <w:tcBorders>
              <w:right w:val="single" w:sz="4" w:space="0" w:color="DF2F1E"/>
            </w:tcBorders>
          </w:tcPr>
          <w:p>
            <w:pPr>
              <w:pStyle w:val="TableParagraph"/>
              <w:spacing w:before="39"/>
              <w:ind w:right="448"/>
              <w:jc w:val="right"/>
              <w:rPr>
                <w:sz w:val="16"/>
              </w:rPr>
            </w:pPr>
            <w:r>
              <w:rPr>
                <w:color w:val="A6A6A6"/>
                <w:sz w:val="16"/>
              </w:rPr>
              <w:t>&lt;$1k</w:t>
            </w:r>
          </w:p>
        </w:tc>
      </w:tr>
      <w:tr>
        <w:trPr>
          <w:trHeight w:val="264" w:hRule="atLeast"/>
        </w:trPr>
        <w:tc>
          <w:tcPr>
            <w:tcW w:w="3120" w:type="dxa"/>
            <w:tcBorders>
              <w:left w:val="single" w:sz="4" w:space="0" w:color="DF2F1E"/>
              <w:right w:val="single" w:sz="4" w:space="0" w:color="DF2F1E"/>
            </w:tcBorders>
          </w:tcPr>
          <w:p>
            <w:pPr>
              <w:pStyle w:val="TableParagraph"/>
              <w:spacing w:before="36"/>
              <w:ind w:left="57"/>
              <w:rPr>
                <w:b/>
                <w:sz w:val="16"/>
              </w:rPr>
            </w:pPr>
            <w:r>
              <w:rPr>
                <w:b/>
                <w:color w:val="404040"/>
                <w:sz w:val="16"/>
              </w:rPr>
              <w:t>- Impact of policy changes</w:t>
            </w:r>
          </w:p>
        </w:tc>
        <w:tc>
          <w:tcPr>
            <w:tcW w:w="1270" w:type="dxa"/>
            <w:tcBorders>
              <w:left w:val="single" w:sz="4" w:space="0" w:color="DF2F1E"/>
              <w:right w:val="single" w:sz="4" w:space="0" w:color="DF2F1E"/>
            </w:tcBorders>
          </w:tcPr>
          <w:p>
            <w:pPr>
              <w:pStyle w:val="TableParagraph"/>
              <w:spacing w:before="39"/>
              <w:ind w:left="88" w:right="72"/>
              <w:jc w:val="center"/>
              <w:rPr>
                <w:sz w:val="16"/>
              </w:rPr>
            </w:pPr>
            <w:r>
              <w:rPr>
                <w:color w:val="404040"/>
                <w:sz w:val="16"/>
              </w:rPr>
              <w:t>&lt;$1k</w:t>
            </w:r>
          </w:p>
        </w:tc>
        <w:tc>
          <w:tcPr>
            <w:tcW w:w="1167" w:type="dxa"/>
            <w:tcBorders>
              <w:left w:val="single" w:sz="4" w:space="0" w:color="DF2F1E"/>
            </w:tcBorders>
          </w:tcPr>
          <w:p>
            <w:pPr>
              <w:pStyle w:val="TableParagraph"/>
              <w:spacing w:before="39"/>
              <w:ind w:right="358"/>
              <w:jc w:val="right"/>
              <w:rPr>
                <w:sz w:val="16"/>
              </w:rPr>
            </w:pPr>
            <w:r>
              <w:rPr>
                <w:color w:val="A6A6A6"/>
                <w:sz w:val="16"/>
              </w:rPr>
              <w:t>&lt;$1k</w:t>
            </w:r>
          </w:p>
        </w:tc>
        <w:tc>
          <w:tcPr>
            <w:tcW w:w="1318" w:type="dxa"/>
            <w:tcBorders>
              <w:right w:val="dashSmallGap" w:sz="4" w:space="0" w:color="DF2F1E"/>
            </w:tcBorders>
          </w:tcPr>
          <w:p>
            <w:pPr>
              <w:pStyle w:val="TableParagraph"/>
              <w:spacing w:before="39"/>
              <w:ind w:left="506" w:right="415"/>
              <w:jc w:val="center"/>
              <w:rPr>
                <w:sz w:val="16"/>
              </w:rPr>
            </w:pPr>
            <w:r>
              <w:rPr>
                <w:color w:val="A6A6A6"/>
                <w:sz w:val="16"/>
              </w:rPr>
              <w:t>&lt;$1k</w:t>
            </w:r>
          </w:p>
        </w:tc>
        <w:tc>
          <w:tcPr>
            <w:tcW w:w="1347" w:type="dxa"/>
            <w:tcBorders>
              <w:left w:val="dashSmallGap" w:sz="4" w:space="0" w:color="DF2F1E"/>
            </w:tcBorders>
          </w:tcPr>
          <w:p>
            <w:pPr>
              <w:pStyle w:val="TableParagraph"/>
              <w:spacing w:before="39"/>
              <w:ind w:left="499"/>
              <w:rPr>
                <w:sz w:val="16"/>
              </w:rPr>
            </w:pPr>
            <w:r>
              <w:rPr>
                <w:color w:val="A6A6A6"/>
                <w:sz w:val="16"/>
              </w:rPr>
              <w:t>&lt;$1k</w:t>
            </w:r>
          </w:p>
        </w:tc>
        <w:tc>
          <w:tcPr>
            <w:tcW w:w="1275" w:type="dxa"/>
            <w:tcBorders>
              <w:right w:val="single" w:sz="4" w:space="0" w:color="DF2F1E"/>
            </w:tcBorders>
          </w:tcPr>
          <w:p>
            <w:pPr>
              <w:pStyle w:val="TableParagraph"/>
              <w:spacing w:before="39"/>
              <w:ind w:right="448"/>
              <w:jc w:val="right"/>
              <w:rPr>
                <w:sz w:val="16"/>
              </w:rPr>
            </w:pPr>
            <w:r>
              <w:rPr>
                <w:color w:val="A6A6A6"/>
                <w:sz w:val="16"/>
              </w:rPr>
              <w:t>&lt;$1k</w:t>
            </w:r>
          </w:p>
        </w:tc>
      </w:tr>
      <w:tr>
        <w:trPr>
          <w:trHeight w:val="265" w:hRule="atLeast"/>
        </w:trPr>
        <w:tc>
          <w:tcPr>
            <w:tcW w:w="3120" w:type="dxa"/>
            <w:tcBorders>
              <w:left w:val="single" w:sz="4" w:space="0" w:color="DF2F1E"/>
              <w:bottom w:val="single" w:sz="4" w:space="0" w:color="DF2F1E"/>
              <w:right w:val="single" w:sz="4" w:space="0" w:color="DF2F1E"/>
            </w:tcBorders>
          </w:tcPr>
          <w:p>
            <w:pPr>
              <w:pStyle w:val="TableParagraph"/>
              <w:spacing w:before="36"/>
              <w:ind w:left="57"/>
              <w:rPr>
                <w:b/>
                <w:sz w:val="16"/>
              </w:rPr>
            </w:pPr>
            <w:r>
              <w:rPr>
                <w:b/>
                <w:color w:val="404040"/>
                <w:sz w:val="16"/>
              </w:rPr>
              <w:t>- Impact of other changes</w:t>
            </w:r>
          </w:p>
        </w:tc>
        <w:tc>
          <w:tcPr>
            <w:tcW w:w="1270" w:type="dxa"/>
            <w:tcBorders>
              <w:left w:val="single" w:sz="4" w:space="0" w:color="DF2F1E"/>
              <w:bottom w:val="single" w:sz="4" w:space="0" w:color="DF2F1E"/>
              <w:right w:val="single" w:sz="4" w:space="0" w:color="DF2F1E"/>
            </w:tcBorders>
          </w:tcPr>
          <w:p>
            <w:pPr>
              <w:pStyle w:val="TableParagraph"/>
              <w:spacing w:before="39"/>
              <w:ind w:left="88" w:right="74"/>
              <w:jc w:val="center"/>
              <w:rPr>
                <w:sz w:val="16"/>
              </w:rPr>
            </w:pPr>
            <w:r>
              <w:rPr>
                <w:color w:val="404040"/>
                <w:sz w:val="16"/>
              </w:rPr>
              <w:t>-$3k</w:t>
            </w:r>
          </w:p>
        </w:tc>
        <w:tc>
          <w:tcPr>
            <w:tcW w:w="1167" w:type="dxa"/>
            <w:tcBorders>
              <w:left w:val="single" w:sz="4" w:space="0" w:color="DF2F1E"/>
              <w:bottom w:val="single" w:sz="4" w:space="0" w:color="DF2F1E"/>
            </w:tcBorders>
          </w:tcPr>
          <w:p>
            <w:pPr>
              <w:pStyle w:val="TableParagraph"/>
              <w:spacing w:before="39"/>
              <w:ind w:right="358"/>
              <w:jc w:val="right"/>
              <w:rPr>
                <w:sz w:val="16"/>
              </w:rPr>
            </w:pPr>
            <w:r>
              <w:rPr>
                <w:color w:val="A6A6A6"/>
                <w:sz w:val="16"/>
              </w:rPr>
              <w:t>&lt;$1k</w:t>
            </w:r>
          </w:p>
        </w:tc>
        <w:tc>
          <w:tcPr>
            <w:tcW w:w="1318" w:type="dxa"/>
            <w:tcBorders>
              <w:bottom w:val="single" w:sz="4" w:space="0" w:color="DF2F1E"/>
              <w:right w:val="dashSmallGap" w:sz="4" w:space="0" w:color="DF2F1E"/>
            </w:tcBorders>
          </w:tcPr>
          <w:p>
            <w:pPr>
              <w:pStyle w:val="TableParagraph"/>
              <w:spacing w:before="39"/>
              <w:ind w:left="504" w:right="415"/>
              <w:jc w:val="center"/>
              <w:rPr>
                <w:sz w:val="16"/>
              </w:rPr>
            </w:pPr>
            <w:r>
              <w:rPr>
                <w:color w:val="404040"/>
                <w:sz w:val="16"/>
              </w:rPr>
              <w:t>-$3k</w:t>
            </w:r>
          </w:p>
        </w:tc>
        <w:tc>
          <w:tcPr>
            <w:tcW w:w="1347" w:type="dxa"/>
            <w:tcBorders>
              <w:left w:val="dashSmallGap" w:sz="4" w:space="0" w:color="DF2F1E"/>
              <w:bottom w:val="single" w:sz="4" w:space="0" w:color="DF2F1E"/>
            </w:tcBorders>
          </w:tcPr>
          <w:p>
            <w:pPr>
              <w:pStyle w:val="TableParagraph"/>
              <w:spacing w:before="39"/>
              <w:ind w:left="499"/>
              <w:rPr>
                <w:sz w:val="16"/>
              </w:rPr>
            </w:pPr>
            <w:r>
              <w:rPr>
                <w:color w:val="A6A6A6"/>
                <w:sz w:val="16"/>
              </w:rPr>
              <w:t>&lt;$1k</w:t>
            </w:r>
          </w:p>
        </w:tc>
        <w:tc>
          <w:tcPr>
            <w:tcW w:w="1275" w:type="dxa"/>
            <w:tcBorders>
              <w:bottom w:val="single" w:sz="4" w:space="0" w:color="DF2F1E"/>
              <w:right w:val="single" w:sz="4" w:space="0" w:color="DF2F1E"/>
            </w:tcBorders>
          </w:tcPr>
          <w:p>
            <w:pPr>
              <w:pStyle w:val="TableParagraph"/>
              <w:spacing w:before="39"/>
              <w:ind w:right="448"/>
              <w:jc w:val="right"/>
              <w:rPr>
                <w:sz w:val="16"/>
              </w:rPr>
            </w:pPr>
            <w:r>
              <w:rPr>
                <w:color w:val="A6A6A6"/>
                <w:sz w:val="16"/>
              </w:rPr>
              <w:t>&lt;$1k</w:t>
            </w:r>
          </w:p>
        </w:tc>
      </w:tr>
    </w:tbl>
    <w:p>
      <w:pPr>
        <w:spacing w:before="78"/>
        <w:ind w:left="900" w:right="0" w:firstLine="0"/>
        <w:jc w:val="left"/>
        <w:rPr>
          <w:sz w:val="16"/>
        </w:rPr>
      </w:pPr>
      <w:r>
        <w:rPr>
          <w:color w:val="DF2F1E"/>
          <w:sz w:val="16"/>
        </w:rPr>
        <w:t>Notes:</w:t>
      </w:r>
    </w:p>
    <w:p>
      <w:pPr>
        <w:pStyle w:val="ListParagraph"/>
        <w:numPr>
          <w:ilvl w:val="1"/>
          <w:numId w:val="58"/>
        </w:numPr>
        <w:tabs>
          <w:tab w:pos="1619" w:val="left" w:leader="none"/>
          <w:tab w:pos="1621" w:val="left" w:leader="none"/>
        </w:tabs>
        <w:spacing w:line="240" w:lineRule="auto" w:before="80" w:after="0"/>
        <w:ind w:left="1620" w:right="1555" w:hanging="361"/>
        <w:jc w:val="left"/>
        <w:rPr>
          <w:sz w:val="16"/>
        </w:rPr>
      </w:pPr>
      <w:r>
        <w:rPr>
          <w:color w:val="DF2F1E"/>
          <w:sz w:val="16"/>
        </w:rPr>
        <w:t>Note that payment categories H, I and J have been included in family supplements and the remaining non income support payment categories in other</w:t>
      </w:r>
      <w:r>
        <w:rPr>
          <w:color w:val="DF2F1E"/>
          <w:spacing w:val="-3"/>
          <w:sz w:val="16"/>
        </w:rPr>
        <w:t> </w:t>
      </w:r>
      <w:r>
        <w:rPr>
          <w:color w:val="DF2F1E"/>
          <w:sz w:val="16"/>
        </w:rPr>
        <w:t>supplements.</w:t>
      </w:r>
    </w:p>
    <w:p>
      <w:pPr>
        <w:pStyle w:val="ListParagraph"/>
        <w:numPr>
          <w:ilvl w:val="1"/>
          <w:numId w:val="58"/>
        </w:numPr>
        <w:tabs>
          <w:tab w:pos="1620" w:val="left" w:leader="none"/>
          <w:tab w:pos="1621" w:val="left" w:leader="none"/>
        </w:tabs>
        <w:spacing w:line="240" w:lineRule="auto" w:before="80" w:after="0"/>
        <w:ind w:left="1620" w:right="1484" w:hanging="361"/>
        <w:jc w:val="left"/>
        <w:rPr>
          <w:sz w:val="16"/>
        </w:rPr>
      </w:pPr>
      <w:r>
        <w:rPr>
          <w:color w:val="DF2F1E"/>
          <w:sz w:val="16"/>
        </w:rPr>
        <w:t>The June 2017 rebased Lifetime Cost represents a recalculation of the June 2017 lifetime cost, but using a discount rate of 5% p.a. for consistency with the June 2018 results. All changes are shown relative to this rebased lifetime</w:t>
      </w:r>
      <w:r>
        <w:rPr>
          <w:color w:val="DF2F1E"/>
          <w:spacing w:val="-33"/>
          <w:sz w:val="16"/>
        </w:rPr>
        <w:t> </w:t>
      </w:r>
      <w:r>
        <w:rPr>
          <w:color w:val="DF2F1E"/>
          <w:sz w:val="16"/>
        </w:rPr>
        <w:t>cost.</w:t>
      </w:r>
    </w:p>
    <w:p>
      <w:pPr>
        <w:pStyle w:val="BodyText"/>
        <w:spacing w:before="121"/>
        <w:ind w:left="899" w:right="1054"/>
      </w:pPr>
      <w:r>
        <w:rPr>
          <w:color w:val="404040"/>
        </w:rPr>
        <w:t>There has been an increase in the average lifetime cost of Age Pension payments as a result of increases due to indexation over the year, partially offset by decreases due to slightly reduced average payment sizes for Age Pension (reflecting a slight shift in the mix of part and full pension payments).</w:t>
      </w:r>
    </w:p>
    <w:p>
      <w:pPr>
        <w:pStyle w:val="BodyText"/>
        <w:spacing w:before="9"/>
      </w:pPr>
    </w:p>
    <w:p>
      <w:pPr>
        <w:pStyle w:val="Heading6"/>
        <w:rPr>
          <w:i/>
        </w:rPr>
      </w:pPr>
      <w:r>
        <w:rPr>
          <w:i/>
          <w:color w:val="DF2F1E"/>
        </w:rPr>
        <w:t>Future outcomes</w:t>
      </w:r>
    </w:p>
    <w:p>
      <w:pPr>
        <w:pStyle w:val="BodyText"/>
        <w:spacing w:before="121"/>
        <w:ind w:left="900" w:right="1197"/>
      </w:pPr>
      <w:r>
        <w:rPr>
          <w:color w:val="404040"/>
        </w:rPr>
        <w:t>In developing the valuation results the projection model also produces information on the expected transitions for people out of each class, as shown below.</w:t>
      </w:r>
    </w:p>
    <w:p>
      <w:pPr>
        <w:pStyle w:val="Heading9"/>
        <w:spacing w:before="176"/>
      </w:pPr>
      <w:r>
        <w:rPr>
          <w:color w:val="DF2F1E"/>
        </w:rPr>
        <w:t>Figure 77: Expected future trajectory for people in class 6</w:t>
      </w:r>
    </w:p>
    <w:p>
      <w:pPr>
        <w:spacing w:after="0"/>
        <w:sectPr>
          <w:pgSz w:w="11910" w:h="16850"/>
          <w:pgMar w:header="572" w:footer="581" w:top="780" w:bottom="780" w:left="120" w:right="0"/>
        </w:sectPr>
      </w:pPr>
    </w:p>
    <w:p>
      <w:pPr>
        <w:pStyle w:val="BodyText"/>
        <w:spacing w:before="2"/>
        <w:rPr>
          <w:b/>
          <w:sz w:val="14"/>
        </w:rPr>
      </w:pPr>
    </w:p>
    <w:p>
      <w:pPr>
        <w:spacing w:before="0"/>
        <w:ind w:left="0" w:right="979" w:firstLine="0"/>
        <w:jc w:val="right"/>
        <w:rPr>
          <w:rFonts w:ascii="Calibri"/>
          <w:sz w:val="15"/>
        </w:rPr>
      </w:pPr>
      <w:r>
        <w:rPr/>
        <w:pict>
          <v:group style="position:absolute;margin-left:106.059738pt;margin-top:4.393095pt;width:246pt;height:119.4pt;mso-position-horizontal-relative:page;mso-position-vertical-relative:paragraph;z-index:252506112" coordorigin="2121,88" coordsize="4920,2388">
            <v:shape style="position:absolute;left:2162;top:87;width:4867;height:2335" type="#_x0000_t75" stroked="false">
              <v:imagedata r:id="rId156" o:title=""/>
            </v:shape>
            <v:line style="position:absolute" from="2163,94" to="7029,94" stroked="true" strokeweight=".592527pt" strokecolor="#000000">
              <v:stroke dashstyle="solid"/>
            </v:line>
            <v:line style="position:absolute" from="2169,2417" to="2169,94" stroked="true" strokeweight=".593423pt" strokecolor="#858585">
              <v:stroke dashstyle="solid"/>
            </v:line>
            <v:shape style="position:absolute;left:0;top:8204;width:13369;height:655053" coordorigin="0,8204" coordsize="13369,655053" path="m2121,2416l2169,2416m2121,2191l2169,2191m2121,1954l2169,1954m2121,1729l2169,1729m2121,1492l2169,1492m2121,1255l2169,1255m2121,1030l2169,1030m2121,793l2169,793m2121,556l2169,556m2121,331l2169,331m2121,94l2169,94e" filled="false" stroked="true" strokeweight=".592972pt" strokecolor="#858585">
              <v:path arrowok="t"/>
              <v:stroke dashstyle="solid"/>
            </v:shape>
            <v:shape style="position:absolute;left:0;top:199;width:654744;height:8005" coordorigin="0,200" coordsize="654744,8005" path="m2169,2417l7023,2417m2169,2417l2169,2476m2335,2417l2335,2476m2489,2417l2489,2476m2655,2417l2655,2476m2821,2417l2821,2476m2976,2417l2976,2476m3142,2417l3142,2476m3308,2417l3308,2476m3462,2417l3462,2476m3628,2417l3628,2476m3783,2417l3783,2476m3949,2417l3949,2476m4115,2417l4115,2476m4269,2417l4269,2476m4436,2417l4436,2476m4602,2417l4602,2476m4756,2417l4756,2476m4922,2417l4922,2476m5088,2417l5088,2476m5243,2417l5243,2476m5409,2417l5409,2476m5563,2417l5563,2476m5729,2417l5729,2476m5895,2417l5895,2476m6050,2417l6050,2476m6216,2417l6216,2476m6382,2417l6382,2476m6536,2417l6536,2476m6702,2417l6702,2476m6857,2417l6857,2476m7023,2417l7023,2476e" filled="false" stroked="true" strokeweight=".592975pt" strokecolor="#858585">
              <v:path arrowok="t"/>
              <v:stroke dashstyle="solid"/>
            </v:shape>
            <v:shape style="position:absolute;left:2174;top:99;width:4855;height:2228" coordorigin="2175,100" coordsize="4855,2228" path="m2175,100l2329,195,2495,289,2661,372,2815,467,2982,550,3136,633,3302,728,3468,811,3623,894,3789,977,3955,1071,4109,1154,4275,1237,4430,1320,4596,1403,4762,1486,4916,1557,5082,1640,5249,1723,5403,1794,5569,1865,5735,1937,5889,1996,6056,2055,6210,2114,6376,2174,6542,2221,6696,2257,6863,2292,7029,2328e" filled="false" stroked="true" strokeweight="1.185368pt" strokecolor="#ffffff">
              <v:path arrowok="t"/>
              <v:stroke dashstyle="dot"/>
            </v:shape>
            <v:shape style="position:absolute;left:2174;top:99;width:4855;height:2217" coordorigin="2175,100" coordsize="4855,2217" path="m2175,100l2329,123,2495,218,2661,301,2815,396,2982,479,3136,574,3302,657,3468,751,3623,834,3789,917,3955,1012,4109,1095,4275,1190,4430,1273,4596,1356,4762,1439,4916,1534,5082,1605,5249,1688,5403,1771,5569,1842,5735,1913,5889,1984,6056,2043,6210,2102,6376,2162,6542,2209,6696,2257,6863,2292,7029,2316e" filled="false" stroked="true" strokeweight="1.185365pt" strokecolor="#ffffff">
              <v:path arrowok="t"/>
              <v:stroke dashstyle="longdash"/>
            </v:shape>
            <w10:wrap type="none"/>
          </v:group>
        </w:pict>
      </w:r>
      <w:r>
        <w:rPr>
          <w:rFonts w:ascii="Calibri"/>
          <w:sz w:val="15"/>
        </w:rPr>
        <w:t>100%</w:t>
      </w:r>
    </w:p>
    <w:p>
      <w:pPr>
        <w:spacing w:before="50"/>
        <w:ind w:left="0" w:right="970" w:firstLine="0"/>
        <w:jc w:val="right"/>
        <w:rPr>
          <w:rFonts w:ascii="Calibri"/>
          <w:sz w:val="15"/>
        </w:rPr>
      </w:pPr>
      <w:r>
        <w:rPr/>
        <w:pict>
          <v:shape style="position:absolute;margin-left:72.424423pt;margin-top:8.152516pt;width:9.75pt;height:91.05pt;mso-position-horizontal-relative:page;mso-position-vertical-relative:paragraph;z-index:252508160" type="#_x0000_t202" filled="false" stroked="false">
            <v:textbox inset="0,0,0,0" style="layout-flow:vertical;mso-layout-flow-alt:bottom-to-top">
              <w:txbxContent>
                <w:p>
                  <w:pPr>
                    <w:spacing w:line="176" w:lineRule="exact" w:before="0"/>
                    <w:ind w:left="20" w:right="0" w:firstLine="0"/>
                    <w:jc w:val="left"/>
                    <w:rPr>
                      <w:rFonts w:ascii="Calibri"/>
                      <w:b/>
                      <w:sz w:val="15"/>
                    </w:rPr>
                  </w:pPr>
                  <w:r>
                    <w:rPr>
                      <w:rFonts w:ascii="Calibri"/>
                      <w:b/>
                      <w:w w:val="105"/>
                      <w:sz w:val="15"/>
                    </w:rPr>
                    <w:t>Proportion In Welfare Class</w:t>
                  </w:r>
                </w:p>
              </w:txbxContent>
            </v:textbox>
            <w10:wrap type="none"/>
          </v:shape>
        </w:pict>
      </w:r>
      <w:r>
        <w:rPr>
          <w:rFonts w:ascii="Calibri"/>
          <w:spacing w:val="2"/>
          <w:sz w:val="15"/>
        </w:rPr>
        <w:t>90%</w:t>
      </w:r>
    </w:p>
    <w:p>
      <w:pPr>
        <w:spacing w:before="49"/>
        <w:ind w:left="0" w:right="970" w:firstLine="0"/>
        <w:jc w:val="right"/>
        <w:rPr>
          <w:rFonts w:ascii="Calibri"/>
          <w:sz w:val="15"/>
        </w:rPr>
      </w:pPr>
      <w:r>
        <w:rPr>
          <w:rFonts w:ascii="Calibri"/>
          <w:spacing w:val="2"/>
          <w:sz w:val="15"/>
        </w:rPr>
        <w:t>80%</w:t>
      </w:r>
    </w:p>
    <w:p>
      <w:pPr>
        <w:spacing w:before="50"/>
        <w:ind w:left="0" w:right="970" w:firstLine="0"/>
        <w:jc w:val="right"/>
        <w:rPr>
          <w:rFonts w:ascii="Calibri"/>
          <w:sz w:val="15"/>
        </w:rPr>
      </w:pPr>
      <w:r>
        <w:rPr>
          <w:rFonts w:ascii="Calibri"/>
          <w:spacing w:val="2"/>
          <w:sz w:val="15"/>
        </w:rPr>
        <w:t>70%</w:t>
      </w:r>
    </w:p>
    <w:p>
      <w:pPr>
        <w:spacing w:before="50"/>
        <w:ind w:left="0" w:right="970" w:firstLine="0"/>
        <w:jc w:val="right"/>
        <w:rPr>
          <w:rFonts w:ascii="Calibri"/>
          <w:sz w:val="15"/>
        </w:rPr>
      </w:pPr>
      <w:r>
        <w:rPr>
          <w:rFonts w:ascii="Calibri"/>
          <w:spacing w:val="2"/>
          <w:sz w:val="15"/>
        </w:rPr>
        <w:t>60%</w:t>
      </w:r>
    </w:p>
    <w:p>
      <w:pPr>
        <w:spacing w:before="50"/>
        <w:ind w:left="0" w:right="970" w:firstLine="0"/>
        <w:jc w:val="right"/>
        <w:rPr>
          <w:rFonts w:ascii="Calibri"/>
          <w:sz w:val="15"/>
        </w:rPr>
      </w:pPr>
      <w:r>
        <w:rPr>
          <w:rFonts w:ascii="Calibri"/>
          <w:spacing w:val="2"/>
          <w:sz w:val="15"/>
        </w:rPr>
        <w:t>50%</w:t>
      </w:r>
    </w:p>
    <w:p>
      <w:pPr>
        <w:spacing w:before="49"/>
        <w:ind w:left="0" w:right="970" w:firstLine="0"/>
        <w:jc w:val="right"/>
        <w:rPr>
          <w:rFonts w:ascii="Calibri"/>
          <w:sz w:val="15"/>
        </w:rPr>
      </w:pPr>
      <w:r>
        <w:rPr>
          <w:rFonts w:ascii="Calibri"/>
          <w:spacing w:val="2"/>
          <w:sz w:val="15"/>
        </w:rPr>
        <w:t>40%</w:t>
      </w:r>
    </w:p>
    <w:p>
      <w:pPr>
        <w:spacing w:before="50"/>
        <w:ind w:left="0" w:right="970" w:firstLine="0"/>
        <w:jc w:val="right"/>
        <w:rPr>
          <w:rFonts w:ascii="Calibri"/>
          <w:sz w:val="15"/>
        </w:rPr>
      </w:pPr>
      <w:r>
        <w:rPr>
          <w:rFonts w:ascii="Calibri"/>
          <w:spacing w:val="2"/>
          <w:sz w:val="15"/>
        </w:rPr>
        <w:t>30%</w:t>
      </w:r>
    </w:p>
    <w:p>
      <w:pPr>
        <w:spacing w:before="50"/>
        <w:ind w:left="0" w:right="970" w:firstLine="0"/>
        <w:jc w:val="right"/>
        <w:rPr>
          <w:rFonts w:ascii="Calibri"/>
          <w:sz w:val="15"/>
        </w:rPr>
      </w:pPr>
      <w:r>
        <w:rPr>
          <w:rFonts w:ascii="Calibri"/>
          <w:spacing w:val="2"/>
          <w:sz w:val="15"/>
        </w:rPr>
        <w:t>20%</w:t>
      </w:r>
    </w:p>
    <w:p>
      <w:pPr>
        <w:spacing w:before="50"/>
        <w:ind w:left="0" w:right="970" w:firstLine="0"/>
        <w:jc w:val="right"/>
        <w:rPr>
          <w:rFonts w:ascii="Calibri"/>
          <w:sz w:val="15"/>
        </w:rPr>
      </w:pPr>
      <w:r>
        <w:rPr>
          <w:rFonts w:ascii="Calibri"/>
          <w:spacing w:val="2"/>
          <w:sz w:val="15"/>
        </w:rPr>
        <w:t>10%</w:t>
      </w:r>
    </w:p>
    <w:p>
      <w:pPr>
        <w:spacing w:before="49"/>
        <w:ind w:left="0" w:right="973" w:firstLine="0"/>
        <w:jc w:val="right"/>
        <w:rPr>
          <w:rFonts w:ascii="Calibri"/>
          <w:sz w:val="15"/>
        </w:rPr>
      </w:pPr>
      <w:r>
        <w:rPr>
          <w:rFonts w:ascii="Calibri"/>
          <w:w w:val="105"/>
          <w:sz w:val="15"/>
        </w:rPr>
        <w:t>0%</w:t>
      </w:r>
    </w:p>
    <w:p>
      <w:pPr>
        <w:pStyle w:val="BodyText"/>
        <w:spacing w:before="9"/>
        <w:rPr>
          <w:rFonts w:ascii="Calibri"/>
          <w:sz w:val="5"/>
        </w:rPr>
      </w:pPr>
    </w:p>
    <w:p>
      <w:pPr>
        <w:pStyle w:val="BodyText"/>
        <w:tabs>
          <w:tab w:pos="2618" w:val="left" w:leader="none"/>
        </w:tabs>
        <w:ind w:left="1809" w:right="-44"/>
        <w:rPr>
          <w:rFonts w:ascii="Calibri"/>
        </w:rPr>
      </w:pPr>
      <w:r>
        <w:rPr>
          <w:rFonts w:ascii="Calibri"/>
        </w:rPr>
        <w:drawing>
          <wp:inline distT="0" distB="0" distL="0" distR="0">
            <wp:extent cx="168748" cy="171450"/>
            <wp:effectExtent l="0" t="0" r="0" b="0"/>
            <wp:docPr id="251" name="image122.png"/>
            <wp:cNvGraphicFramePr>
              <a:graphicFrameLocks noChangeAspect="1"/>
            </wp:cNvGraphicFramePr>
            <a:graphic>
              <a:graphicData uri="http://schemas.openxmlformats.org/drawingml/2006/picture">
                <pic:pic>
                  <pic:nvPicPr>
                    <pic:cNvPr id="252" name="image122.png"/>
                    <pic:cNvPicPr/>
                  </pic:nvPicPr>
                  <pic:blipFill>
                    <a:blip r:embed="rId144" cstate="print"/>
                    <a:stretch>
                      <a:fillRect/>
                    </a:stretch>
                  </pic:blipFill>
                  <pic:spPr>
                    <a:xfrm>
                      <a:off x="0" y="0"/>
                      <a:ext cx="168748" cy="171450"/>
                    </a:xfrm>
                    <a:prstGeom prst="rect">
                      <a:avLst/>
                    </a:prstGeom>
                  </pic:spPr>
                </pic:pic>
              </a:graphicData>
            </a:graphic>
          </wp:inline>
        </w:drawing>
      </w:r>
      <w:r>
        <w:rPr>
          <w:rFonts w:ascii="Calibri"/>
        </w:rPr>
      </w:r>
      <w:r>
        <w:rPr>
          <w:rFonts w:ascii="Calibri"/>
        </w:rPr>
        <w:tab/>
      </w:r>
      <w:r>
        <w:rPr>
          <w:rFonts w:ascii="Calibri"/>
        </w:rPr>
        <w:drawing>
          <wp:inline distT="0" distB="0" distL="0" distR="0">
            <wp:extent cx="167135" cy="170021"/>
            <wp:effectExtent l="0" t="0" r="0" b="0"/>
            <wp:docPr id="253" name="image131.png"/>
            <wp:cNvGraphicFramePr>
              <a:graphicFrameLocks noChangeAspect="1"/>
            </wp:cNvGraphicFramePr>
            <a:graphic>
              <a:graphicData uri="http://schemas.openxmlformats.org/drawingml/2006/picture">
                <pic:pic>
                  <pic:nvPicPr>
                    <pic:cNvPr id="254" name="image131.png"/>
                    <pic:cNvPicPr/>
                  </pic:nvPicPr>
                  <pic:blipFill>
                    <a:blip r:embed="rId157" cstate="print"/>
                    <a:stretch>
                      <a:fillRect/>
                    </a:stretch>
                  </pic:blipFill>
                  <pic:spPr>
                    <a:xfrm>
                      <a:off x="0" y="0"/>
                      <a:ext cx="167135" cy="170021"/>
                    </a:xfrm>
                    <a:prstGeom prst="rect">
                      <a:avLst/>
                    </a:prstGeom>
                  </pic:spPr>
                </pic:pic>
              </a:graphicData>
            </a:graphic>
          </wp:inline>
        </w:drawing>
      </w:r>
      <w:r>
        <w:rPr>
          <w:rFonts w:ascii="Calibri"/>
        </w:rPr>
      </w:r>
    </w:p>
    <w:p>
      <w:pPr>
        <w:pStyle w:val="BodyText"/>
        <w:rPr>
          <w:rFonts w:ascii="Calibri"/>
        </w:rPr>
      </w:pPr>
      <w:r>
        <w:rPr/>
        <w:br w:type="column"/>
      </w:r>
      <w:r>
        <w:rPr>
          <w:rFonts w:ascii="Calibri"/>
        </w:rPr>
      </w: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spacing w:before="10"/>
        <w:rPr>
          <w:rFonts w:ascii="Calibri"/>
          <w:sz w:val="24"/>
        </w:rPr>
      </w:pPr>
    </w:p>
    <w:p>
      <w:pPr>
        <w:pStyle w:val="BodyText"/>
        <w:tabs>
          <w:tab w:pos="1316" w:val="left" w:leader="none"/>
          <w:tab w:pos="2124" w:val="left" w:leader="none"/>
          <w:tab w:pos="2933" w:val="left" w:leader="none"/>
          <w:tab w:pos="3742" w:val="left" w:leader="none"/>
        </w:tabs>
        <w:ind w:left="507" w:right="-44"/>
        <w:rPr>
          <w:rFonts w:ascii="Calibri"/>
        </w:rPr>
      </w:pPr>
      <w:r>
        <w:rPr>
          <w:rFonts w:ascii="Calibri"/>
        </w:rPr>
        <w:drawing>
          <wp:inline distT="0" distB="0" distL="0" distR="0">
            <wp:extent cx="168748" cy="171450"/>
            <wp:effectExtent l="0" t="0" r="0" b="0"/>
            <wp:docPr id="255" name="image132.png"/>
            <wp:cNvGraphicFramePr>
              <a:graphicFrameLocks noChangeAspect="1"/>
            </wp:cNvGraphicFramePr>
            <a:graphic>
              <a:graphicData uri="http://schemas.openxmlformats.org/drawingml/2006/picture">
                <pic:pic>
                  <pic:nvPicPr>
                    <pic:cNvPr id="256" name="image132.png"/>
                    <pic:cNvPicPr/>
                  </pic:nvPicPr>
                  <pic:blipFill>
                    <a:blip r:embed="rId158" cstate="print"/>
                    <a:stretch>
                      <a:fillRect/>
                    </a:stretch>
                  </pic:blipFill>
                  <pic:spPr>
                    <a:xfrm>
                      <a:off x="0" y="0"/>
                      <a:ext cx="168748" cy="171450"/>
                    </a:xfrm>
                    <a:prstGeom prst="rect">
                      <a:avLst/>
                    </a:prstGeom>
                  </pic:spPr>
                </pic:pic>
              </a:graphicData>
            </a:graphic>
          </wp:inline>
        </w:drawing>
      </w:r>
      <w:r>
        <w:rPr>
          <w:rFonts w:ascii="Calibri"/>
        </w:rPr>
      </w:r>
      <w:r>
        <w:rPr>
          <w:rFonts w:ascii="Calibri"/>
        </w:rPr>
        <w:tab/>
      </w:r>
      <w:r>
        <w:rPr>
          <w:rFonts w:ascii="Calibri"/>
        </w:rPr>
        <w:drawing>
          <wp:inline distT="0" distB="0" distL="0" distR="0">
            <wp:extent cx="167135" cy="170021"/>
            <wp:effectExtent l="0" t="0" r="0" b="0"/>
            <wp:docPr id="257" name="image133.png"/>
            <wp:cNvGraphicFramePr>
              <a:graphicFrameLocks noChangeAspect="1"/>
            </wp:cNvGraphicFramePr>
            <a:graphic>
              <a:graphicData uri="http://schemas.openxmlformats.org/drawingml/2006/picture">
                <pic:pic>
                  <pic:nvPicPr>
                    <pic:cNvPr id="258" name="image133.png"/>
                    <pic:cNvPicPr/>
                  </pic:nvPicPr>
                  <pic:blipFill>
                    <a:blip r:embed="rId159" cstate="print"/>
                    <a:stretch>
                      <a:fillRect/>
                    </a:stretch>
                  </pic:blipFill>
                  <pic:spPr>
                    <a:xfrm>
                      <a:off x="0" y="0"/>
                      <a:ext cx="167135" cy="170021"/>
                    </a:xfrm>
                    <a:prstGeom prst="rect">
                      <a:avLst/>
                    </a:prstGeom>
                  </pic:spPr>
                </pic:pic>
              </a:graphicData>
            </a:graphic>
          </wp:inline>
        </w:drawing>
      </w:r>
      <w:r>
        <w:rPr>
          <w:rFonts w:ascii="Calibri"/>
        </w:rPr>
      </w:r>
      <w:r>
        <w:rPr>
          <w:rFonts w:ascii="Calibri"/>
        </w:rPr>
        <w:tab/>
      </w:r>
      <w:r>
        <w:rPr>
          <w:rFonts w:ascii="Calibri"/>
        </w:rPr>
        <w:drawing>
          <wp:inline distT="0" distB="0" distL="0" distR="0">
            <wp:extent cx="168748" cy="171450"/>
            <wp:effectExtent l="0" t="0" r="0" b="0"/>
            <wp:docPr id="259" name="image134.png"/>
            <wp:cNvGraphicFramePr>
              <a:graphicFrameLocks noChangeAspect="1"/>
            </wp:cNvGraphicFramePr>
            <a:graphic>
              <a:graphicData uri="http://schemas.openxmlformats.org/drawingml/2006/picture">
                <pic:pic>
                  <pic:nvPicPr>
                    <pic:cNvPr id="260" name="image134.png"/>
                    <pic:cNvPicPr/>
                  </pic:nvPicPr>
                  <pic:blipFill>
                    <a:blip r:embed="rId160" cstate="print"/>
                    <a:stretch>
                      <a:fillRect/>
                    </a:stretch>
                  </pic:blipFill>
                  <pic:spPr>
                    <a:xfrm>
                      <a:off x="0" y="0"/>
                      <a:ext cx="168748" cy="171450"/>
                    </a:xfrm>
                    <a:prstGeom prst="rect">
                      <a:avLst/>
                    </a:prstGeom>
                  </pic:spPr>
                </pic:pic>
              </a:graphicData>
            </a:graphic>
          </wp:inline>
        </w:drawing>
      </w:r>
      <w:r>
        <w:rPr>
          <w:rFonts w:ascii="Calibri"/>
        </w:rPr>
      </w:r>
      <w:r>
        <w:rPr>
          <w:rFonts w:ascii="Calibri"/>
        </w:rPr>
        <w:tab/>
      </w:r>
      <w:r>
        <w:rPr>
          <w:rFonts w:ascii="Calibri"/>
        </w:rPr>
        <w:drawing>
          <wp:inline distT="0" distB="0" distL="0" distR="0">
            <wp:extent cx="167135" cy="170021"/>
            <wp:effectExtent l="0" t="0" r="0" b="0"/>
            <wp:docPr id="261" name="image135.png"/>
            <wp:cNvGraphicFramePr>
              <a:graphicFrameLocks noChangeAspect="1"/>
            </wp:cNvGraphicFramePr>
            <a:graphic>
              <a:graphicData uri="http://schemas.openxmlformats.org/drawingml/2006/picture">
                <pic:pic>
                  <pic:nvPicPr>
                    <pic:cNvPr id="262" name="image135.png"/>
                    <pic:cNvPicPr/>
                  </pic:nvPicPr>
                  <pic:blipFill>
                    <a:blip r:embed="rId161" cstate="print"/>
                    <a:stretch>
                      <a:fillRect/>
                    </a:stretch>
                  </pic:blipFill>
                  <pic:spPr>
                    <a:xfrm>
                      <a:off x="0" y="0"/>
                      <a:ext cx="167135" cy="170021"/>
                    </a:xfrm>
                    <a:prstGeom prst="rect">
                      <a:avLst/>
                    </a:prstGeom>
                  </pic:spPr>
                </pic:pic>
              </a:graphicData>
            </a:graphic>
          </wp:inline>
        </w:drawing>
      </w:r>
      <w:r>
        <w:rPr>
          <w:rFonts w:ascii="Calibri"/>
        </w:rPr>
      </w:r>
      <w:r>
        <w:rPr>
          <w:rFonts w:ascii="Calibri"/>
        </w:rPr>
        <w:tab/>
      </w:r>
      <w:r>
        <w:rPr>
          <w:rFonts w:ascii="Calibri"/>
        </w:rPr>
        <w:drawing>
          <wp:inline distT="0" distB="0" distL="0" distR="0">
            <wp:extent cx="168748" cy="171450"/>
            <wp:effectExtent l="0" t="0" r="0" b="0"/>
            <wp:docPr id="263" name="image136.png"/>
            <wp:cNvGraphicFramePr>
              <a:graphicFrameLocks noChangeAspect="1"/>
            </wp:cNvGraphicFramePr>
            <a:graphic>
              <a:graphicData uri="http://schemas.openxmlformats.org/drawingml/2006/picture">
                <pic:pic>
                  <pic:nvPicPr>
                    <pic:cNvPr id="264" name="image136.png"/>
                    <pic:cNvPicPr/>
                  </pic:nvPicPr>
                  <pic:blipFill>
                    <a:blip r:embed="rId162" cstate="print"/>
                    <a:stretch>
                      <a:fillRect/>
                    </a:stretch>
                  </pic:blipFill>
                  <pic:spPr>
                    <a:xfrm>
                      <a:off x="0" y="0"/>
                      <a:ext cx="168748" cy="171450"/>
                    </a:xfrm>
                    <a:prstGeom prst="rect">
                      <a:avLst/>
                    </a:prstGeom>
                  </pic:spPr>
                </pic:pic>
              </a:graphicData>
            </a:graphic>
          </wp:inline>
        </w:drawing>
      </w:r>
      <w:r>
        <w:rPr>
          <w:rFonts w:ascii="Calibri"/>
        </w:rPr>
      </w:r>
    </w:p>
    <w:p>
      <w:pPr>
        <w:spacing w:before="91"/>
        <w:ind w:left="1387" w:right="2284" w:firstLine="0"/>
        <w:jc w:val="center"/>
        <w:rPr>
          <w:rFonts w:ascii="Calibri"/>
          <w:b/>
          <w:sz w:val="15"/>
        </w:rPr>
      </w:pPr>
      <w:r>
        <w:rPr>
          <w:rFonts w:ascii="Calibri"/>
          <w:b/>
          <w:w w:val="105"/>
          <w:sz w:val="15"/>
        </w:rPr>
        <w:t>Year</w:t>
      </w:r>
    </w:p>
    <w:p>
      <w:pPr>
        <w:pStyle w:val="BodyText"/>
        <w:rPr>
          <w:rFonts w:ascii="Calibri"/>
          <w:b/>
          <w:sz w:val="14"/>
        </w:rPr>
      </w:pPr>
      <w:r>
        <w:rPr/>
        <w:br w:type="column"/>
      </w:r>
      <w:r>
        <w:rPr>
          <w:rFonts w:ascii="Calibri"/>
          <w:b/>
          <w:sz w:val="14"/>
        </w:rPr>
      </w:r>
    </w:p>
    <w:p>
      <w:pPr>
        <w:pStyle w:val="BodyText"/>
        <w:spacing w:before="5"/>
        <w:rPr>
          <w:rFonts w:ascii="Calibri"/>
          <w:b/>
          <w:sz w:val="12"/>
        </w:rPr>
      </w:pPr>
    </w:p>
    <w:p>
      <w:pPr>
        <w:spacing w:before="1"/>
        <w:ind w:left="801" w:right="0" w:firstLine="0"/>
        <w:jc w:val="left"/>
        <w:rPr>
          <w:rFonts w:ascii="Calibri"/>
          <w:sz w:val="14"/>
        </w:rPr>
      </w:pPr>
      <w:r>
        <w:rPr>
          <w:rFonts w:ascii="Calibri"/>
          <w:sz w:val="14"/>
        </w:rPr>
        <w:t>Class key:</w:t>
      </w:r>
    </w:p>
    <w:p>
      <w:pPr>
        <w:pStyle w:val="ListParagraph"/>
        <w:numPr>
          <w:ilvl w:val="0"/>
          <w:numId w:val="60"/>
        </w:numPr>
        <w:tabs>
          <w:tab w:pos="1258" w:val="left" w:leader="none"/>
        </w:tabs>
        <w:spacing w:line="240" w:lineRule="auto" w:before="15" w:after="0"/>
        <w:ind w:left="1257" w:right="0" w:hanging="104"/>
        <w:jc w:val="left"/>
        <w:rPr>
          <w:rFonts w:ascii="Calibri"/>
          <w:sz w:val="14"/>
        </w:rPr>
      </w:pPr>
      <w:r>
        <w:rPr/>
        <w:pict>
          <v:group style="position:absolute;margin-left:393.260376pt;margin-top:.043692pt;width:17.9pt;height:130.5pt;mso-position-horizontal-relative:page;mso-position-vertical-relative:paragraph;z-index:252507136" coordorigin="7865,1" coordsize="358,2610">
            <v:rect style="position:absolute;left:7868;top:0;width:354;height:186" filled="true" fillcolor="#1f487c" stroked="false">
              <v:fill type="solid"/>
            </v:rect>
            <v:rect style="position:absolute;left:7868;top:186;width:354;height:186" filled="true" fillcolor="#009544" stroked="false">
              <v:fill type="solid"/>
            </v:rect>
            <v:rect style="position:absolute;left:7868;top:372;width:354;height:186" filled="true" fillcolor="#e16b09" stroked="false">
              <v:fill type="solid"/>
            </v:rect>
            <v:rect style="position:absolute;left:7868;top:558;width:354;height:186" filled="true" fillcolor="#e08ad6" stroked="false">
              <v:fill type="solid"/>
            </v:rect>
            <v:rect style="position:absolute;left:7868;top:744;width:354;height:186" filled="true" fillcolor="#8063a1" stroked="false">
              <v:fill type="solid"/>
            </v:rect>
            <v:rect style="position:absolute;left:7868;top:930;width:354;height:186" filled="true" fillcolor="#c0504d" stroked="false">
              <v:fill type="solid"/>
            </v:rect>
            <v:rect style="position:absolute;left:7868;top:1116;width:354;height:186" filled="true" fillcolor="#f8a763" stroked="false">
              <v:fill type="solid"/>
            </v:rect>
            <v:rect style="position:absolute;left:7868;top:1302;width:354;height:186" filled="true" fillcolor="#ecb8e7" stroked="false">
              <v:fill type="solid"/>
            </v:rect>
            <v:rect style="position:absolute;left:7868;top:1488;width:354;height:186" filled="true" fillcolor="#938953" stroked="false">
              <v:fill type="solid"/>
            </v:rect>
            <v:rect style="position:absolute;left:7868;top:1674;width:354;height:186" filled="true" fillcolor="#ffd600" stroked="false">
              <v:fill type="solid"/>
            </v:rect>
            <v:rect style="position:absolute;left:7868;top:1859;width:354;height:186" filled="true" fillcolor="#000000" stroked="false">
              <v:fill type="solid"/>
            </v:rect>
            <v:rect style="position:absolute;left:7868;top:2045;width:354;height:186" filled="true" fillcolor="#ffeb8f" stroked="false">
              <v:fill type="solid"/>
            </v:rect>
            <v:rect style="position:absolute;left:7868;top:2231;width:354;height:379" filled="true" fillcolor="#a6a6a6" stroked="false">
              <v:fill type="solid"/>
            </v:rect>
            <v:line style="position:absolute" from="8215,7" to="8215,2610" stroked="true" strokeweight="0pt" strokecolor="#ffffff">
              <v:stroke dashstyle="solid"/>
            </v:line>
            <v:line style="position:absolute" from="8218,7" to="8218,2610" stroked="true" strokeweight=".321105pt" strokecolor="#ffffff">
              <v:stroke dashstyle="solid"/>
            </v:line>
            <v:line style="position:absolute" from="7868,4" to="8222,4" stroked="true" strokeweight=".320856pt" strokecolor="#ffffff">
              <v:stroke dashstyle="solid"/>
            </v:line>
            <v:line style="position:absolute" from="7868,187" to="8222,187" stroked="true" strokeweight="0pt" strokecolor="#ffffff">
              <v:stroke dashstyle="solid"/>
            </v:line>
            <v:line style="position:absolute" from="7868,190" to="8222,190" stroked="true" strokeweight=".320535pt" strokecolor="#ffffff">
              <v:stroke dashstyle="solid"/>
            </v:line>
            <v:line style="position:absolute" from="7868,373" to="8222,373" stroked="true" strokeweight="0pt" strokecolor="#ffffff">
              <v:stroke dashstyle="solid"/>
            </v:line>
            <v:line style="position:absolute" from="7868,376" to="8222,376" stroked="true" strokeweight=".320535pt" strokecolor="#ffffff">
              <v:stroke dashstyle="solid"/>
            </v:line>
            <v:line style="position:absolute" from="7868,559" to="8222,559" stroked="true" strokeweight="0pt" strokecolor="#ffffff">
              <v:stroke dashstyle="solid"/>
            </v:line>
            <v:line style="position:absolute" from="7868,562" to="8222,562" stroked="true" strokeweight=".320535pt" strokecolor="#ffffff">
              <v:stroke dashstyle="solid"/>
            </v:line>
            <v:line style="position:absolute" from="7868,745" to="8222,745" stroked="true" strokeweight="0pt" strokecolor="#ffffff">
              <v:stroke dashstyle="solid"/>
            </v:line>
            <v:line style="position:absolute" from="7868,748" to="8222,748" stroked="true" strokeweight=".320535pt" strokecolor="#ffffff">
              <v:stroke dashstyle="solid"/>
            </v:line>
            <v:line style="position:absolute" from="7868,930" to="8222,930" stroked="true" strokeweight="0pt" strokecolor="#ffffff">
              <v:stroke dashstyle="solid"/>
            </v:line>
            <v:line style="position:absolute" from="7868,934" to="8222,934" stroked="true" strokeweight=".320535pt" strokecolor="#ffffff">
              <v:stroke dashstyle="solid"/>
            </v:line>
            <v:line style="position:absolute" from="7868,1116" to="8222,1116" stroked="true" strokeweight="0pt" strokecolor="#ffffff">
              <v:stroke dashstyle="solid"/>
            </v:line>
            <v:line style="position:absolute" from="7868,1120" to="8222,1120" stroked="true" strokeweight=".320535pt" strokecolor="#ffffff">
              <v:stroke dashstyle="solid"/>
            </v:line>
            <v:line style="position:absolute" from="7868,1302" to="8222,1302" stroked="true" strokeweight="0pt" strokecolor="#ffffff">
              <v:stroke dashstyle="solid"/>
            </v:line>
            <v:line style="position:absolute" from="7868,1305" to="8222,1305" stroked="true" strokeweight=".320535pt" strokecolor="#ffffff">
              <v:stroke dashstyle="solid"/>
            </v:line>
            <v:line style="position:absolute" from="7868,1488" to="8222,1488" stroked="true" strokeweight="0pt" strokecolor="#ffffff">
              <v:stroke dashstyle="solid"/>
            </v:line>
            <v:line style="position:absolute" from="7868,1491" to="8222,1491" stroked="true" strokeweight=".320535pt" strokecolor="#ffffff">
              <v:stroke dashstyle="solid"/>
            </v:line>
            <v:line style="position:absolute" from="7868,1674" to="8222,1674" stroked="true" strokeweight="0pt" strokecolor="#ffffff">
              <v:stroke dashstyle="solid"/>
            </v:line>
            <v:line style="position:absolute" from="7868,1677" to="8222,1677" stroked="true" strokeweight=".320856pt" strokecolor="#ffffff">
              <v:stroke dashstyle="solid"/>
            </v:line>
            <v:line style="position:absolute" from="7868,1860" to="8222,1860" stroked="true" strokeweight="0pt" strokecolor="#ffffff">
              <v:stroke dashstyle="solid"/>
            </v:line>
            <v:line style="position:absolute" from="7868,1863" to="8222,1863" stroked="true" strokeweight=".320535pt" strokecolor="#ffffff">
              <v:stroke dashstyle="solid"/>
            </v:line>
            <v:line style="position:absolute" from="7868,2046" to="8222,2046" stroked="true" strokeweight="0pt" strokecolor="#ffffff">
              <v:stroke dashstyle="solid"/>
            </v:line>
            <v:line style="position:absolute" from="7868,2049" to="8222,2049" stroked="true" strokeweight=".320535pt" strokecolor="#ffffff">
              <v:stroke dashstyle="solid"/>
            </v:line>
            <v:line style="position:absolute" from="7868,2232" to="8222,2232" stroked="true" strokeweight="0pt" strokecolor="#ffffff">
              <v:stroke dashstyle="solid"/>
            </v:line>
            <v:line style="position:absolute" from="7868,2235" to="8222,2235" stroked="true" strokeweight=".320535pt" strokecolor="#ffffff">
              <v:stroke dashstyle="solid"/>
            </v:line>
            <v:line style="position:absolute" from="7868,2418" to="8222,2418" stroked="true" strokeweight="0pt" strokecolor="#ffffff">
              <v:stroke dashstyle="solid"/>
            </v:line>
            <v:line style="position:absolute" from="7868,2421" to="8222,2421" stroked="true" strokeweight=".320535pt" strokecolor="#ffffff">
              <v:stroke dashstyle="solid"/>
            </v:line>
            <v:line style="position:absolute" from="7868,2604" to="8222,2604" stroked="true" strokeweight="0pt" strokecolor="#ffffff">
              <v:stroke dashstyle="solid"/>
            </v:line>
            <v:line style="position:absolute" from="7868,2607" to="8222,2607" stroked="true" strokeweight=".319894pt" strokecolor="#ffffff">
              <v:stroke dashstyle="solid"/>
            </v:line>
            <v:line style="position:absolute" from="7865,2344" to="8223,2344" stroked="true" strokeweight=".961678pt" strokecolor="#ffffff">
              <v:stroke dashstyle="solid"/>
            </v:line>
            <v:line style="position:absolute" from="7865,2517" to="8223,2517" stroked="true" strokeweight=".961678pt" strokecolor="#ffffff">
              <v:stroke dashstyle="solid"/>
            </v:line>
            <w10:wrap type="none"/>
          </v:group>
        </w:pict>
      </w:r>
      <w:r>
        <w:rPr>
          <w:rFonts w:ascii="Calibri"/>
          <w:sz w:val="14"/>
        </w:rPr>
        <w:t>Studying</w:t>
      </w:r>
    </w:p>
    <w:p>
      <w:pPr>
        <w:pStyle w:val="ListParagraph"/>
        <w:numPr>
          <w:ilvl w:val="0"/>
          <w:numId w:val="60"/>
        </w:numPr>
        <w:tabs>
          <w:tab w:pos="1258" w:val="left" w:leader="none"/>
        </w:tabs>
        <w:spacing w:line="240" w:lineRule="auto" w:before="15" w:after="0"/>
        <w:ind w:left="1257" w:right="0" w:hanging="104"/>
        <w:jc w:val="left"/>
        <w:rPr>
          <w:rFonts w:ascii="Calibri"/>
          <w:sz w:val="14"/>
        </w:rPr>
      </w:pPr>
      <w:r>
        <w:rPr>
          <w:rFonts w:ascii="Calibri"/>
          <w:sz w:val="14"/>
        </w:rPr>
        <w:t>Working</w:t>
      </w:r>
      <w:r>
        <w:rPr>
          <w:rFonts w:ascii="Calibri"/>
          <w:spacing w:val="-2"/>
          <w:sz w:val="14"/>
        </w:rPr>
        <w:t> </w:t>
      </w:r>
      <w:r>
        <w:rPr>
          <w:rFonts w:ascii="Calibri"/>
          <w:sz w:val="14"/>
        </w:rPr>
        <w:t>Age</w:t>
      </w:r>
    </w:p>
    <w:p>
      <w:pPr>
        <w:pStyle w:val="ListParagraph"/>
        <w:numPr>
          <w:ilvl w:val="0"/>
          <w:numId w:val="60"/>
        </w:numPr>
        <w:tabs>
          <w:tab w:pos="1258" w:val="left" w:leader="none"/>
        </w:tabs>
        <w:spacing w:line="240" w:lineRule="auto" w:before="15" w:after="0"/>
        <w:ind w:left="1257" w:right="0" w:hanging="104"/>
        <w:jc w:val="left"/>
        <w:rPr>
          <w:rFonts w:ascii="Calibri"/>
          <w:sz w:val="14"/>
        </w:rPr>
      </w:pPr>
      <w:r>
        <w:rPr>
          <w:rFonts w:ascii="Calibri"/>
          <w:sz w:val="14"/>
        </w:rPr>
        <w:t>Parents</w:t>
      </w:r>
    </w:p>
    <w:p>
      <w:pPr>
        <w:pStyle w:val="ListParagraph"/>
        <w:numPr>
          <w:ilvl w:val="0"/>
          <w:numId w:val="60"/>
        </w:numPr>
        <w:tabs>
          <w:tab w:pos="1258" w:val="left" w:leader="none"/>
        </w:tabs>
        <w:spacing w:line="240" w:lineRule="auto" w:before="15" w:after="0"/>
        <w:ind w:left="1257" w:right="0" w:hanging="104"/>
        <w:jc w:val="left"/>
        <w:rPr>
          <w:rFonts w:ascii="Calibri"/>
          <w:sz w:val="14"/>
        </w:rPr>
      </w:pPr>
      <w:r>
        <w:rPr>
          <w:rFonts w:ascii="Calibri"/>
          <w:sz w:val="14"/>
        </w:rPr>
        <w:t>Carers</w:t>
      </w:r>
    </w:p>
    <w:p>
      <w:pPr>
        <w:pStyle w:val="ListParagraph"/>
        <w:numPr>
          <w:ilvl w:val="0"/>
          <w:numId w:val="60"/>
        </w:numPr>
        <w:tabs>
          <w:tab w:pos="1258" w:val="left" w:leader="none"/>
        </w:tabs>
        <w:spacing w:line="240" w:lineRule="auto" w:before="15" w:after="0"/>
        <w:ind w:left="1257" w:right="0" w:hanging="104"/>
        <w:jc w:val="left"/>
        <w:rPr>
          <w:rFonts w:ascii="Calibri"/>
          <w:sz w:val="14"/>
        </w:rPr>
      </w:pPr>
      <w:r>
        <w:rPr>
          <w:rFonts w:ascii="Calibri"/>
          <w:sz w:val="14"/>
        </w:rPr>
        <w:t>Disability Support</w:t>
      </w:r>
    </w:p>
    <w:p>
      <w:pPr>
        <w:pStyle w:val="ListParagraph"/>
        <w:numPr>
          <w:ilvl w:val="0"/>
          <w:numId w:val="60"/>
        </w:numPr>
        <w:tabs>
          <w:tab w:pos="1258" w:val="left" w:leader="none"/>
        </w:tabs>
        <w:spacing w:line="261" w:lineRule="auto" w:before="15" w:after="0"/>
        <w:ind w:left="1154" w:right="2771" w:firstLine="0"/>
        <w:jc w:val="left"/>
        <w:rPr>
          <w:rFonts w:ascii="Calibri"/>
          <w:sz w:val="14"/>
        </w:rPr>
      </w:pPr>
      <w:r>
        <w:rPr>
          <w:rFonts w:ascii="Calibri"/>
          <w:sz w:val="14"/>
        </w:rPr>
        <w:t>Pension Age 7 Non IS Family 8 Non IS Carer 9 Non IS</w:t>
      </w:r>
      <w:r>
        <w:rPr>
          <w:rFonts w:ascii="Calibri"/>
          <w:spacing w:val="7"/>
          <w:sz w:val="14"/>
        </w:rPr>
        <w:t> </w:t>
      </w:r>
      <w:r>
        <w:rPr>
          <w:rFonts w:ascii="Calibri"/>
          <w:sz w:val="14"/>
        </w:rPr>
        <w:t>Other</w:t>
      </w:r>
    </w:p>
    <w:p>
      <w:pPr>
        <w:spacing w:line="261" w:lineRule="auto" w:before="0"/>
        <w:ind w:left="1154" w:right="1835" w:firstLine="0"/>
        <w:jc w:val="left"/>
        <w:rPr>
          <w:rFonts w:ascii="Calibri"/>
          <w:sz w:val="14"/>
        </w:rPr>
      </w:pPr>
      <w:r>
        <w:rPr>
          <w:rFonts w:ascii="Calibri"/>
          <w:sz w:val="14"/>
        </w:rPr>
        <w:t>10 Previous Welfare Recipient 11 Dead</w:t>
      </w:r>
    </w:p>
    <w:p>
      <w:pPr>
        <w:spacing w:line="261" w:lineRule="auto" w:before="0"/>
        <w:ind w:left="1154" w:right="1958" w:firstLine="0"/>
        <w:jc w:val="left"/>
        <w:rPr>
          <w:rFonts w:ascii="Calibri"/>
          <w:sz w:val="14"/>
        </w:rPr>
      </w:pPr>
      <w:r>
        <w:rPr>
          <w:rFonts w:ascii="Calibri"/>
          <w:sz w:val="14"/>
        </w:rPr>
        <w:t>12 Rest of Aust. Population Prior valuation - all active Prior valuation - current class</w:t>
      </w:r>
    </w:p>
    <w:p>
      <w:pPr>
        <w:spacing w:after="0" w:line="261" w:lineRule="auto"/>
        <w:jc w:val="left"/>
        <w:rPr>
          <w:rFonts w:ascii="Calibri"/>
          <w:sz w:val="14"/>
        </w:rPr>
        <w:sectPr>
          <w:type w:val="continuous"/>
          <w:pgSz w:w="11910" w:h="16850"/>
          <w:pgMar w:top="1600" w:bottom="280" w:left="120" w:right="0"/>
          <w:cols w:num="3" w:equalWidth="0">
            <w:col w:w="2880" w:space="40"/>
            <w:col w:w="4007" w:space="39"/>
            <w:col w:w="4824"/>
          </w:cols>
        </w:sectPr>
      </w:pPr>
    </w:p>
    <w:p>
      <w:pPr>
        <w:pStyle w:val="BodyText"/>
        <w:spacing w:before="7"/>
        <w:rPr>
          <w:rFonts w:ascii="Calibri"/>
          <w:sz w:val="21"/>
        </w:rPr>
      </w:pPr>
    </w:p>
    <w:p>
      <w:pPr>
        <w:pStyle w:val="BodyText"/>
        <w:spacing w:before="93"/>
        <w:ind w:left="900" w:right="1343" w:hanging="1"/>
      </w:pPr>
      <w:r>
        <w:rPr>
          <w:color w:val="404040"/>
        </w:rPr>
        <w:t>We can see that a very small proportion of this class exit and, as would be expected for age pensioners, the rest stay on the payment for their remainder of their natural lives.</w:t>
      </w:r>
    </w:p>
    <w:p>
      <w:pPr>
        <w:pStyle w:val="BodyText"/>
        <w:spacing w:before="6"/>
      </w:pPr>
    </w:p>
    <w:p>
      <w:pPr>
        <w:pStyle w:val="Heading6"/>
        <w:rPr>
          <w:i/>
        </w:rPr>
      </w:pPr>
      <w:r>
        <w:rPr>
          <w:i/>
          <w:color w:val="DF2F1E"/>
        </w:rPr>
        <w:t>Duration</w:t>
      </w:r>
    </w:p>
    <w:p>
      <w:pPr>
        <w:pStyle w:val="BodyText"/>
        <w:spacing w:before="121"/>
        <w:ind w:left="899" w:right="1199"/>
      </w:pPr>
      <w:r>
        <w:rPr>
          <w:color w:val="404040"/>
        </w:rPr>
        <w:t>The average future life expectancy for the Age Pension class is </w:t>
      </w:r>
      <w:r>
        <w:rPr>
          <w:b/>
          <w:color w:val="404040"/>
        </w:rPr>
        <w:t>14 </w:t>
      </w:r>
      <w:r>
        <w:rPr>
          <w:color w:val="404040"/>
        </w:rPr>
        <w:t>years. This reflects the older age profile of this class. The table below provides a summary of the expected welfare system use of people currently in this class over this time. This has been developed by considering which classes people move into as they move through the welfare system over their lives.</w:t>
      </w:r>
    </w:p>
    <w:p>
      <w:pPr>
        <w:spacing w:after="0"/>
        <w:sectPr>
          <w:type w:val="continuous"/>
          <w:pgSz w:w="11910" w:h="16850"/>
          <w:pgMar w:top="1600" w:bottom="280" w:left="120" w:right="0"/>
        </w:sectPr>
      </w:pPr>
    </w:p>
    <w:p>
      <w:pPr>
        <w:pStyle w:val="BodyText"/>
      </w:pPr>
    </w:p>
    <w:p>
      <w:pPr>
        <w:pStyle w:val="BodyText"/>
      </w:pPr>
    </w:p>
    <w:p>
      <w:pPr>
        <w:pStyle w:val="BodyText"/>
        <w:spacing w:before="5"/>
        <w:rPr>
          <w:sz w:val="21"/>
        </w:rPr>
      </w:pPr>
    </w:p>
    <w:p>
      <w:pPr>
        <w:pStyle w:val="Heading9"/>
        <w:spacing w:after="44"/>
      </w:pPr>
      <w:r>
        <w:rPr>
          <w:color w:val="DF2F1E"/>
        </w:rPr>
        <w:t>Table 32: Average expected durations in welfare system for people currently in class 6</w:t>
      </w:r>
    </w:p>
    <w:tbl>
      <w:tblPr>
        <w:tblW w:w="0" w:type="auto"/>
        <w:jc w:val="left"/>
        <w:tblInd w:w="1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29"/>
        <w:gridCol w:w="1766"/>
        <w:gridCol w:w="2773"/>
      </w:tblGrid>
      <w:tr>
        <w:trPr>
          <w:trHeight w:val="283" w:hRule="atLeast"/>
        </w:trPr>
        <w:tc>
          <w:tcPr>
            <w:tcW w:w="4329" w:type="dxa"/>
            <w:shd w:val="clear" w:color="auto" w:fill="DF2F1E"/>
          </w:tcPr>
          <w:p>
            <w:pPr>
              <w:pStyle w:val="TableParagraph"/>
              <w:spacing w:before="0"/>
              <w:rPr>
                <w:rFonts w:ascii="Times New Roman"/>
                <w:sz w:val="16"/>
              </w:rPr>
            </w:pPr>
          </w:p>
        </w:tc>
        <w:tc>
          <w:tcPr>
            <w:tcW w:w="1766" w:type="dxa"/>
            <w:shd w:val="clear" w:color="auto" w:fill="DF2F1E"/>
          </w:tcPr>
          <w:p>
            <w:pPr>
              <w:pStyle w:val="TableParagraph"/>
              <w:spacing w:before="44"/>
              <w:ind w:left="150" w:right="383"/>
              <w:jc w:val="center"/>
              <w:rPr>
                <w:b/>
                <w:sz w:val="16"/>
              </w:rPr>
            </w:pPr>
            <w:r>
              <w:rPr>
                <w:b/>
                <w:color w:val="FFFFFF"/>
                <w:sz w:val="16"/>
              </w:rPr>
              <w:t>Expected Years</w:t>
            </w:r>
          </w:p>
        </w:tc>
        <w:tc>
          <w:tcPr>
            <w:tcW w:w="2773" w:type="dxa"/>
            <w:shd w:val="clear" w:color="auto" w:fill="DF2F1E"/>
          </w:tcPr>
          <w:p>
            <w:pPr>
              <w:pStyle w:val="TableParagraph"/>
              <w:spacing w:before="44"/>
              <w:ind w:left="394" w:right="124"/>
              <w:jc w:val="center"/>
              <w:rPr>
                <w:b/>
                <w:sz w:val="16"/>
              </w:rPr>
            </w:pPr>
            <w:r>
              <w:rPr>
                <w:b/>
                <w:color w:val="FFFFFF"/>
                <w:sz w:val="16"/>
              </w:rPr>
              <w:t>Proportion of Future Lifetime</w:t>
            </w:r>
          </w:p>
        </w:tc>
      </w:tr>
      <w:tr>
        <w:trPr>
          <w:trHeight w:val="261" w:hRule="atLeast"/>
        </w:trPr>
        <w:tc>
          <w:tcPr>
            <w:tcW w:w="4329" w:type="dxa"/>
            <w:tcBorders>
              <w:left w:val="single" w:sz="4" w:space="0" w:color="DF2F1E"/>
            </w:tcBorders>
          </w:tcPr>
          <w:p>
            <w:pPr>
              <w:pStyle w:val="TableParagraph"/>
              <w:spacing w:before="34"/>
              <w:ind w:left="107"/>
              <w:rPr>
                <w:b/>
                <w:sz w:val="16"/>
              </w:rPr>
            </w:pPr>
            <w:r>
              <w:rPr>
                <w:b/>
                <w:color w:val="404040"/>
                <w:sz w:val="16"/>
              </w:rPr>
              <w:t>Years with some income support payments:</w:t>
            </w:r>
          </w:p>
        </w:tc>
        <w:tc>
          <w:tcPr>
            <w:tcW w:w="1766" w:type="dxa"/>
          </w:tcPr>
          <w:p>
            <w:pPr>
              <w:pStyle w:val="TableParagraph"/>
              <w:spacing w:before="0"/>
              <w:rPr>
                <w:rFonts w:ascii="Times New Roman"/>
                <w:sz w:val="16"/>
              </w:rPr>
            </w:pPr>
          </w:p>
        </w:tc>
        <w:tc>
          <w:tcPr>
            <w:tcW w:w="2773" w:type="dxa"/>
            <w:tcBorders>
              <w:right w:val="single" w:sz="4" w:space="0" w:color="DF2F1E"/>
            </w:tcBorders>
          </w:tcPr>
          <w:p>
            <w:pPr>
              <w:pStyle w:val="TableParagraph"/>
              <w:spacing w:before="0"/>
              <w:rPr>
                <w:rFonts w:ascii="Times New Roman"/>
                <w:sz w:val="16"/>
              </w:rPr>
            </w:pPr>
          </w:p>
        </w:tc>
      </w:tr>
      <w:tr>
        <w:trPr>
          <w:trHeight w:val="265" w:hRule="atLeast"/>
        </w:trPr>
        <w:tc>
          <w:tcPr>
            <w:tcW w:w="4329" w:type="dxa"/>
            <w:tcBorders>
              <w:left w:val="single" w:sz="4" w:space="0" w:color="DF2F1E"/>
            </w:tcBorders>
          </w:tcPr>
          <w:p>
            <w:pPr>
              <w:pStyle w:val="TableParagraph"/>
              <w:tabs>
                <w:tab w:pos="513" w:val="left" w:leader="none"/>
              </w:tabs>
              <w:ind w:left="153"/>
              <w:rPr>
                <w:b/>
                <w:sz w:val="16"/>
              </w:rPr>
            </w:pPr>
            <w:r>
              <w:rPr>
                <w:color w:val="404040"/>
                <w:sz w:val="16"/>
              </w:rPr>
              <w:t>-</w:t>
              <w:tab/>
            </w:r>
            <w:r>
              <w:rPr>
                <w:b/>
                <w:color w:val="404040"/>
                <w:sz w:val="16"/>
              </w:rPr>
              <w:t>Not </w:t>
            </w:r>
            <w:r>
              <w:rPr>
                <w:b/>
                <w:color w:val="404040"/>
                <w:spacing w:val="-3"/>
                <w:sz w:val="16"/>
              </w:rPr>
              <w:t>Age </w:t>
            </w:r>
            <w:r>
              <w:rPr>
                <w:b/>
                <w:color w:val="404040"/>
                <w:sz w:val="16"/>
              </w:rPr>
              <w:t>Pension (classes</w:t>
            </w:r>
            <w:r>
              <w:rPr>
                <w:b/>
                <w:color w:val="404040"/>
                <w:spacing w:val="5"/>
                <w:sz w:val="16"/>
              </w:rPr>
              <w:t> </w:t>
            </w:r>
            <w:r>
              <w:rPr>
                <w:b/>
                <w:color w:val="404040"/>
                <w:sz w:val="16"/>
              </w:rPr>
              <w:t>1-5)</w:t>
            </w:r>
          </w:p>
        </w:tc>
        <w:tc>
          <w:tcPr>
            <w:tcW w:w="1766" w:type="dxa"/>
          </w:tcPr>
          <w:p>
            <w:pPr>
              <w:pStyle w:val="TableParagraph"/>
              <w:spacing w:before="40"/>
              <w:ind w:left="150" w:right="381"/>
              <w:jc w:val="center"/>
              <w:rPr>
                <w:sz w:val="16"/>
              </w:rPr>
            </w:pPr>
            <w:r>
              <w:rPr>
                <w:color w:val="404040"/>
                <w:sz w:val="16"/>
              </w:rPr>
              <w:t>&lt;1</w:t>
            </w:r>
          </w:p>
        </w:tc>
        <w:tc>
          <w:tcPr>
            <w:tcW w:w="2773" w:type="dxa"/>
            <w:tcBorders>
              <w:right w:val="single" w:sz="4" w:space="0" w:color="DF2F1E"/>
            </w:tcBorders>
          </w:tcPr>
          <w:p>
            <w:pPr>
              <w:pStyle w:val="TableParagraph"/>
              <w:spacing w:before="40"/>
              <w:ind w:left="1293" w:right="1021"/>
              <w:jc w:val="center"/>
              <w:rPr>
                <w:sz w:val="16"/>
              </w:rPr>
            </w:pPr>
            <w:r>
              <w:rPr>
                <w:color w:val="404040"/>
                <w:sz w:val="16"/>
              </w:rPr>
              <w:t>0%</w:t>
            </w:r>
          </w:p>
        </w:tc>
      </w:tr>
      <w:tr>
        <w:trPr>
          <w:trHeight w:val="265" w:hRule="atLeast"/>
        </w:trPr>
        <w:tc>
          <w:tcPr>
            <w:tcW w:w="4329" w:type="dxa"/>
            <w:tcBorders>
              <w:left w:val="single" w:sz="4" w:space="0" w:color="DF2F1E"/>
              <w:bottom w:val="single" w:sz="4" w:space="0" w:color="DF2F1E"/>
            </w:tcBorders>
          </w:tcPr>
          <w:p>
            <w:pPr>
              <w:pStyle w:val="TableParagraph"/>
              <w:tabs>
                <w:tab w:pos="513" w:val="left" w:leader="none"/>
              </w:tabs>
              <w:spacing w:before="36"/>
              <w:ind w:left="153"/>
              <w:rPr>
                <w:b/>
                <w:sz w:val="16"/>
              </w:rPr>
            </w:pPr>
            <w:r>
              <w:rPr>
                <w:color w:val="404040"/>
                <w:sz w:val="16"/>
              </w:rPr>
              <w:t>-</w:t>
              <w:tab/>
            </w:r>
            <w:r>
              <w:rPr>
                <w:b/>
                <w:color w:val="404040"/>
                <w:sz w:val="16"/>
              </w:rPr>
              <w:t>Age Pension (class</w:t>
            </w:r>
            <w:r>
              <w:rPr>
                <w:b/>
                <w:color w:val="404040"/>
                <w:spacing w:val="-3"/>
                <w:sz w:val="16"/>
              </w:rPr>
              <w:t> </w:t>
            </w:r>
            <w:r>
              <w:rPr>
                <w:b/>
                <w:color w:val="404040"/>
                <w:sz w:val="16"/>
              </w:rPr>
              <w:t>6)</w:t>
            </w:r>
          </w:p>
        </w:tc>
        <w:tc>
          <w:tcPr>
            <w:tcW w:w="1766" w:type="dxa"/>
            <w:tcBorders>
              <w:bottom w:val="single" w:sz="4" w:space="0" w:color="DF2F1E"/>
            </w:tcBorders>
          </w:tcPr>
          <w:p>
            <w:pPr>
              <w:pStyle w:val="TableParagraph"/>
              <w:spacing w:before="39"/>
              <w:ind w:left="150" w:right="381"/>
              <w:jc w:val="center"/>
              <w:rPr>
                <w:sz w:val="16"/>
              </w:rPr>
            </w:pPr>
            <w:r>
              <w:rPr>
                <w:color w:val="404040"/>
                <w:sz w:val="16"/>
              </w:rPr>
              <w:t>14</w:t>
            </w:r>
          </w:p>
        </w:tc>
        <w:tc>
          <w:tcPr>
            <w:tcW w:w="2773" w:type="dxa"/>
            <w:tcBorders>
              <w:bottom w:val="single" w:sz="4" w:space="0" w:color="DF2F1E"/>
              <w:right w:val="single" w:sz="4" w:space="0" w:color="DF2F1E"/>
            </w:tcBorders>
          </w:tcPr>
          <w:p>
            <w:pPr>
              <w:pStyle w:val="TableParagraph"/>
              <w:spacing w:before="39"/>
              <w:ind w:left="1293" w:right="1023"/>
              <w:jc w:val="center"/>
              <w:rPr>
                <w:sz w:val="16"/>
              </w:rPr>
            </w:pPr>
            <w:r>
              <w:rPr>
                <w:color w:val="404040"/>
                <w:sz w:val="16"/>
              </w:rPr>
              <w:t>96%</w:t>
            </w:r>
          </w:p>
        </w:tc>
      </w:tr>
      <w:tr>
        <w:trPr>
          <w:trHeight w:val="266" w:hRule="atLeast"/>
        </w:trPr>
        <w:tc>
          <w:tcPr>
            <w:tcW w:w="4329" w:type="dxa"/>
            <w:tcBorders>
              <w:top w:val="single" w:sz="4" w:space="0" w:color="DF2F1E"/>
              <w:left w:val="single" w:sz="4" w:space="0" w:color="DF2F1E"/>
              <w:bottom w:val="single" w:sz="4" w:space="0" w:color="DF2F1E"/>
            </w:tcBorders>
          </w:tcPr>
          <w:p>
            <w:pPr>
              <w:pStyle w:val="TableParagraph"/>
              <w:ind w:left="107"/>
              <w:rPr>
                <w:b/>
                <w:sz w:val="16"/>
              </w:rPr>
            </w:pPr>
            <w:r>
              <w:rPr>
                <w:b/>
                <w:color w:val="404040"/>
                <w:sz w:val="16"/>
              </w:rPr>
              <w:t>Years with non income support payments only</w:t>
            </w:r>
          </w:p>
        </w:tc>
        <w:tc>
          <w:tcPr>
            <w:tcW w:w="1766" w:type="dxa"/>
            <w:tcBorders>
              <w:top w:val="single" w:sz="4" w:space="0" w:color="DF2F1E"/>
              <w:bottom w:val="single" w:sz="4" w:space="0" w:color="DF2F1E"/>
            </w:tcBorders>
          </w:tcPr>
          <w:p>
            <w:pPr>
              <w:pStyle w:val="TableParagraph"/>
              <w:spacing w:before="39"/>
              <w:ind w:left="150" w:right="381"/>
              <w:jc w:val="center"/>
              <w:rPr>
                <w:sz w:val="16"/>
              </w:rPr>
            </w:pPr>
            <w:r>
              <w:rPr>
                <w:color w:val="404040"/>
                <w:sz w:val="16"/>
              </w:rPr>
              <w:t>&lt;1</w:t>
            </w:r>
          </w:p>
        </w:tc>
        <w:tc>
          <w:tcPr>
            <w:tcW w:w="2773" w:type="dxa"/>
            <w:tcBorders>
              <w:top w:val="single" w:sz="4" w:space="0" w:color="DF2F1E"/>
              <w:bottom w:val="single" w:sz="4" w:space="0" w:color="DF2F1E"/>
              <w:right w:val="single" w:sz="4" w:space="0" w:color="DF2F1E"/>
            </w:tcBorders>
          </w:tcPr>
          <w:p>
            <w:pPr>
              <w:pStyle w:val="TableParagraph"/>
              <w:spacing w:before="39"/>
              <w:ind w:left="1293" w:right="1021"/>
              <w:jc w:val="center"/>
              <w:rPr>
                <w:sz w:val="16"/>
              </w:rPr>
            </w:pPr>
            <w:r>
              <w:rPr>
                <w:color w:val="404040"/>
                <w:sz w:val="16"/>
              </w:rPr>
              <w:t>0%</w:t>
            </w:r>
          </w:p>
        </w:tc>
      </w:tr>
      <w:tr>
        <w:trPr>
          <w:trHeight w:val="263" w:hRule="atLeast"/>
        </w:trPr>
        <w:tc>
          <w:tcPr>
            <w:tcW w:w="4329" w:type="dxa"/>
            <w:tcBorders>
              <w:top w:val="single" w:sz="4" w:space="0" w:color="DF2F1E"/>
              <w:left w:val="single" w:sz="4" w:space="0" w:color="DF2F1E"/>
              <w:bottom w:val="single" w:sz="4" w:space="0" w:color="DF2F1E"/>
            </w:tcBorders>
          </w:tcPr>
          <w:p>
            <w:pPr>
              <w:pStyle w:val="TableParagraph"/>
              <w:spacing w:before="34"/>
              <w:ind w:left="107"/>
              <w:rPr>
                <w:b/>
                <w:sz w:val="16"/>
              </w:rPr>
            </w:pPr>
            <w:r>
              <w:rPr>
                <w:b/>
                <w:color w:val="404040"/>
                <w:sz w:val="16"/>
              </w:rPr>
              <w:t>Years not receiving any welfare payments</w:t>
            </w:r>
          </w:p>
        </w:tc>
        <w:tc>
          <w:tcPr>
            <w:tcW w:w="1766" w:type="dxa"/>
            <w:tcBorders>
              <w:top w:val="single" w:sz="4" w:space="0" w:color="DF2F1E"/>
              <w:bottom w:val="single" w:sz="4" w:space="0" w:color="DF2F1E"/>
            </w:tcBorders>
          </w:tcPr>
          <w:p>
            <w:pPr>
              <w:pStyle w:val="TableParagraph"/>
              <w:ind w:right="233"/>
              <w:jc w:val="center"/>
              <w:rPr>
                <w:sz w:val="16"/>
              </w:rPr>
            </w:pPr>
            <w:r>
              <w:rPr>
                <w:color w:val="404040"/>
                <w:w w:val="100"/>
                <w:sz w:val="16"/>
              </w:rPr>
              <w:t>1</w:t>
            </w:r>
          </w:p>
        </w:tc>
        <w:tc>
          <w:tcPr>
            <w:tcW w:w="2773" w:type="dxa"/>
            <w:tcBorders>
              <w:top w:val="single" w:sz="4" w:space="0" w:color="DF2F1E"/>
              <w:bottom w:val="single" w:sz="4" w:space="0" w:color="DF2F1E"/>
              <w:right w:val="single" w:sz="4" w:space="0" w:color="DF2F1E"/>
            </w:tcBorders>
          </w:tcPr>
          <w:p>
            <w:pPr>
              <w:pStyle w:val="TableParagraph"/>
              <w:ind w:left="1293" w:right="1020"/>
              <w:jc w:val="center"/>
              <w:rPr>
                <w:sz w:val="16"/>
              </w:rPr>
            </w:pPr>
            <w:r>
              <w:rPr>
                <w:color w:val="404040"/>
                <w:sz w:val="16"/>
              </w:rPr>
              <w:t>4%</w:t>
            </w:r>
          </w:p>
        </w:tc>
      </w:tr>
      <w:tr>
        <w:trPr>
          <w:trHeight w:val="263" w:hRule="atLeast"/>
        </w:trPr>
        <w:tc>
          <w:tcPr>
            <w:tcW w:w="4329" w:type="dxa"/>
            <w:tcBorders>
              <w:top w:val="single" w:sz="4" w:space="0" w:color="DF2F1E"/>
              <w:left w:val="single" w:sz="4" w:space="0" w:color="DF2F1E"/>
              <w:bottom w:val="single" w:sz="4" w:space="0" w:color="DF2F1E"/>
            </w:tcBorders>
          </w:tcPr>
          <w:p>
            <w:pPr>
              <w:pStyle w:val="TableParagraph"/>
              <w:spacing w:before="34"/>
              <w:ind w:left="107"/>
              <w:rPr>
                <w:b/>
                <w:sz w:val="16"/>
              </w:rPr>
            </w:pPr>
            <w:r>
              <w:rPr>
                <w:b/>
                <w:color w:val="404040"/>
                <w:sz w:val="16"/>
              </w:rPr>
              <w:t>Total</w:t>
            </w:r>
          </w:p>
        </w:tc>
        <w:tc>
          <w:tcPr>
            <w:tcW w:w="1766" w:type="dxa"/>
            <w:tcBorders>
              <w:top w:val="single" w:sz="4" w:space="0" w:color="DF2F1E"/>
              <w:bottom w:val="single" w:sz="4" w:space="0" w:color="DF2F1E"/>
            </w:tcBorders>
          </w:tcPr>
          <w:p>
            <w:pPr>
              <w:pStyle w:val="TableParagraph"/>
              <w:ind w:left="150" w:right="381"/>
              <w:jc w:val="center"/>
              <w:rPr>
                <w:sz w:val="16"/>
              </w:rPr>
            </w:pPr>
            <w:r>
              <w:rPr>
                <w:color w:val="404040"/>
                <w:sz w:val="16"/>
              </w:rPr>
              <w:t>14</w:t>
            </w:r>
          </w:p>
        </w:tc>
        <w:tc>
          <w:tcPr>
            <w:tcW w:w="2773" w:type="dxa"/>
            <w:tcBorders>
              <w:top w:val="single" w:sz="4" w:space="0" w:color="DF2F1E"/>
              <w:bottom w:val="single" w:sz="4" w:space="0" w:color="DF2F1E"/>
              <w:right w:val="single" w:sz="4" w:space="0" w:color="DF2F1E"/>
            </w:tcBorders>
          </w:tcPr>
          <w:p>
            <w:pPr>
              <w:pStyle w:val="TableParagraph"/>
              <w:ind w:left="1293" w:right="1025"/>
              <w:jc w:val="center"/>
              <w:rPr>
                <w:sz w:val="16"/>
              </w:rPr>
            </w:pPr>
            <w:r>
              <w:rPr>
                <w:color w:val="404040"/>
                <w:sz w:val="16"/>
              </w:rPr>
              <w:t>100%</w:t>
            </w:r>
          </w:p>
        </w:tc>
      </w:tr>
    </w:tbl>
    <w:p>
      <w:pPr>
        <w:spacing w:after="0"/>
        <w:jc w:val="center"/>
        <w:rPr>
          <w:sz w:val="16"/>
        </w:rPr>
        <w:sectPr>
          <w:pgSz w:w="11910" w:h="16850"/>
          <w:pgMar w:header="572" w:footer="581" w:top="780" w:bottom="780" w:left="120" w:right="0"/>
        </w:sectPr>
      </w:pPr>
    </w:p>
    <w:p>
      <w:pPr>
        <w:pStyle w:val="BodyText"/>
        <w:rPr>
          <w:b/>
        </w:rPr>
      </w:pPr>
    </w:p>
    <w:p>
      <w:pPr>
        <w:pStyle w:val="BodyText"/>
        <w:rPr>
          <w:b/>
        </w:rPr>
      </w:pPr>
    </w:p>
    <w:p>
      <w:pPr>
        <w:pStyle w:val="BodyText"/>
        <w:rPr>
          <w:b/>
          <w:sz w:val="22"/>
        </w:rPr>
      </w:pPr>
    </w:p>
    <w:p>
      <w:pPr>
        <w:pStyle w:val="ListParagraph"/>
        <w:numPr>
          <w:ilvl w:val="0"/>
          <w:numId w:val="60"/>
        </w:numPr>
        <w:tabs>
          <w:tab w:pos="1752" w:val="left" w:leader="none"/>
          <w:tab w:pos="1753" w:val="left" w:leader="none"/>
        </w:tabs>
        <w:spacing w:line="240" w:lineRule="auto" w:before="88" w:after="0"/>
        <w:ind w:left="1752" w:right="0" w:hanging="853"/>
        <w:jc w:val="left"/>
        <w:rPr>
          <w:color w:val="DF2F1E"/>
          <w:sz w:val="40"/>
        </w:rPr>
      </w:pPr>
      <w:bookmarkStart w:name="7 Results for non income support recipie" w:id="197"/>
      <w:bookmarkEnd w:id="197"/>
      <w:r>
        <w:rPr/>
      </w:r>
      <w:bookmarkStart w:name="_bookmark47" w:id="198"/>
      <w:bookmarkEnd w:id="198"/>
      <w:r>
        <w:rPr/>
      </w:r>
      <w:bookmarkStart w:name="_bookmark47" w:id="199"/>
      <w:bookmarkEnd w:id="199"/>
      <w:r>
        <w:rPr>
          <w:color w:val="DF2F1E"/>
          <w:sz w:val="40"/>
        </w:rPr>
        <w:t>R</w:t>
      </w:r>
      <w:r>
        <w:rPr>
          <w:color w:val="DF2F1E"/>
          <w:sz w:val="40"/>
        </w:rPr>
        <w:t>esults for non income support</w:t>
      </w:r>
      <w:r>
        <w:rPr>
          <w:color w:val="DF2F1E"/>
          <w:spacing w:val="-7"/>
          <w:sz w:val="40"/>
        </w:rPr>
        <w:t> </w:t>
      </w:r>
      <w:r>
        <w:rPr>
          <w:color w:val="DF2F1E"/>
          <w:sz w:val="40"/>
        </w:rPr>
        <w:t>recipients</w:t>
      </w:r>
    </w:p>
    <w:p>
      <w:pPr>
        <w:pStyle w:val="BodyText"/>
        <w:spacing w:before="241"/>
        <w:ind w:left="900" w:right="1476"/>
      </w:pPr>
      <w:r>
        <w:rPr>
          <w:color w:val="404040"/>
        </w:rPr>
        <w:t>In this section, we continue to discuss the profile of the classes and the key considerations for setting the assumptions, and the class-level lifetime cost results. This section covers the non income support classes.</w:t>
      </w:r>
    </w:p>
    <w:p>
      <w:pPr>
        <w:pStyle w:val="BodyText"/>
        <w:spacing w:before="121"/>
        <w:ind w:left="899"/>
      </w:pPr>
      <w:r>
        <w:rPr>
          <w:color w:val="404040"/>
        </w:rPr>
        <w:t>We have also set out key points at the top of each subsection.</w:t>
      </w:r>
    </w:p>
    <w:p>
      <w:pPr>
        <w:pStyle w:val="BodyText"/>
        <w:spacing w:before="7"/>
      </w:pPr>
    </w:p>
    <w:p>
      <w:pPr>
        <w:pStyle w:val="ListParagraph"/>
        <w:numPr>
          <w:ilvl w:val="1"/>
          <w:numId w:val="60"/>
        </w:numPr>
        <w:tabs>
          <w:tab w:pos="1752" w:val="left" w:leader="none"/>
          <w:tab w:pos="1753" w:val="left" w:leader="none"/>
        </w:tabs>
        <w:spacing w:line="240" w:lineRule="auto" w:before="1" w:after="0"/>
        <w:ind w:left="1752" w:right="0" w:hanging="853"/>
        <w:jc w:val="left"/>
        <w:rPr>
          <w:sz w:val="28"/>
        </w:rPr>
      </w:pPr>
      <w:bookmarkStart w:name="7.1 Non income support – Family" w:id="200"/>
      <w:bookmarkEnd w:id="200"/>
      <w:r>
        <w:rPr/>
      </w:r>
      <w:bookmarkStart w:name="_bookmark48" w:id="201"/>
      <w:bookmarkEnd w:id="201"/>
      <w:r>
        <w:rPr/>
      </w:r>
      <w:bookmarkStart w:name="_bookmark48" w:id="202"/>
      <w:bookmarkEnd w:id="202"/>
      <w:r>
        <w:rPr>
          <w:color w:val="DF2F28"/>
          <w:sz w:val="28"/>
        </w:rPr>
        <w:t>N</w:t>
      </w:r>
      <w:r>
        <w:rPr>
          <w:color w:val="DF2F28"/>
          <w:sz w:val="28"/>
        </w:rPr>
        <w:t>on income support –</w:t>
      </w:r>
      <w:r>
        <w:rPr>
          <w:color w:val="DF2F28"/>
          <w:spacing w:val="-1"/>
          <w:sz w:val="28"/>
        </w:rPr>
        <w:t> </w:t>
      </w:r>
      <w:r>
        <w:rPr>
          <w:color w:val="DF2F28"/>
          <w:sz w:val="28"/>
        </w:rPr>
        <w:t>Family</w:t>
      </w:r>
    </w:p>
    <w:p>
      <w:pPr>
        <w:pStyle w:val="BodyText"/>
        <w:spacing w:before="122"/>
        <w:ind w:left="900" w:right="1042"/>
      </w:pPr>
      <w:r>
        <w:rPr>
          <w:color w:val="404040"/>
        </w:rPr>
        <w:t>People are in this class if they have not received any income support payment in the financial year but received a FTB, family or new parent payment in the previous financial year.</w:t>
      </w:r>
    </w:p>
    <w:p>
      <w:pPr>
        <w:pStyle w:val="BodyText"/>
        <w:spacing w:before="119"/>
        <w:ind w:left="899" w:right="1177"/>
      </w:pPr>
      <w:r>
        <w:rPr/>
        <w:pict>
          <v:shape style="position:absolute;margin-left:51pt;margin-top:81.086044pt;width:493.35pt;height:231.5pt;mso-position-horizontal-relative:page;mso-position-vertical-relative:paragraph;z-index:-250807296;mso-wrap-distance-left:0;mso-wrap-distance-right:0" type="#_x0000_t202" filled="true" fillcolor="#f3aba3" stroked="false">
            <v:textbox inset="0,0,0,0">
              <w:txbxContent>
                <w:p>
                  <w:pPr>
                    <w:spacing w:before="117"/>
                    <w:ind w:left="107" w:right="0" w:firstLine="0"/>
                    <w:jc w:val="left"/>
                    <w:rPr>
                      <w:b/>
                      <w:sz w:val="20"/>
                    </w:rPr>
                  </w:pPr>
                  <w:r>
                    <w:rPr>
                      <w:b/>
                      <w:color w:val="404040"/>
                      <w:sz w:val="20"/>
                    </w:rPr>
                    <w:t>Key points</w:t>
                  </w:r>
                </w:p>
                <w:p>
                  <w:pPr>
                    <w:pStyle w:val="BodyText"/>
                    <w:spacing w:before="120"/>
                    <w:ind w:left="107" w:right="223"/>
                  </w:pPr>
                  <w:r>
                    <w:rPr>
                      <w:color w:val="404040"/>
                    </w:rPr>
                    <w:t>There were 1,540,000 people in the Non IS Family class in 2018. 80% of this class are women and they are predominately aged in their mid-twenties to late-forties.</w:t>
                  </w:r>
                </w:p>
                <w:p>
                  <w:pPr>
                    <w:pStyle w:val="BodyText"/>
                    <w:numPr>
                      <w:ilvl w:val="0"/>
                      <w:numId w:val="61"/>
                    </w:numPr>
                    <w:tabs>
                      <w:tab w:pos="392" w:val="left" w:leader="none"/>
                    </w:tabs>
                    <w:spacing w:line="240" w:lineRule="auto" w:before="120" w:after="0"/>
                    <w:ind w:left="391" w:right="115" w:hanging="284"/>
                    <w:jc w:val="left"/>
                  </w:pPr>
                  <w:r>
                    <w:rPr>
                      <w:color w:val="404040"/>
                    </w:rPr>
                    <w:t>Over the recent history there have been multiple changes to policies affecting family payments. There has been</w:t>
                  </w:r>
                  <w:r>
                    <w:rPr>
                      <w:color w:val="404040"/>
                      <w:spacing w:val="-2"/>
                    </w:rPr>
                    <w:t> </w:t>
                  </w:r>
                  <w:r>
                    <w:rPr>
                      <w:color w:val="404040"/>
                    </w:rPr>
                    <w:t>several</w:t>
                  </w:r>
                  <w:r>
                    <w:rPr>
                      <w:color w:val="404040"/>
                      <w:spacing w:val="-4"/>
                    </w:rPr>
                    <w:t> </w:t>
                  </w:r>
                  <w:r>
                    <w:rPr>
                      <w:color w:val="404040"/>
                    </w:rPr>
                    <w:t>changes which</w:t>
                  </w:r>
                  <w:r>
                    <w:rPr>
                      <w:color w:val="404040"/>
                      <w:spacing w:val="-3"/>
                    </w:rPr>
                    <w:t> </w:t>
                  </w:r>
                  <w:r>
                    <w:rPr>
                      <w:color w:val="404040"/>
                    </w:rPr>
                    <w:t>have</w:t>
                  </w:r>
                  <w:r>
                    <w:rPr>
                      <w:color w:val="404040"/>
                      <w:spacing w:val="-1"/>
                    </w:rPr>
                    <w:t> </w:t>
                  </w:r>
                  <w:r>
                    <w:rPr>
                      <w:color w:val="404040"/>
                    </w:rPr>
                    <w:t>tightened</w:t>
                  </w:r>
                  <w:r>
                    <w:rPr>
                      <w:color w:val="404040"/>
                      <w:spacing w:val="-2"/>
                    </w:rPr>
                    <w:t> </w:t>
                  </w:r>
                  <w:r>
                    <w:rPr>
                      <w:color w:val="404040"/>
                    </w:rPr>
                    <w:t>the</w:t>
                  </w:r>
                  <w:r>
                    <w:rPr>
                      <w:color w:val="404040"/>
                      <w:spacing w:val="-3"/>
                    </w:rPr>
                    <w:t> </w:t>
                  </w:r>
                  <w:r>
                    <w:rPr>
                      <w:color w:val="404040"/>
                    </w:rPr>
                    <w:t>criteria</w:t>
                  </w:r>
                  <w:r>
                    <w:rPr>
                      <w:color w:val="404040"/>
                      <w:spacing w:val="-3"/>
                    </w:rPr>
                    <w:t> </w:t>
                  </w:r>
                  <w:r>
                    <w:rPr>
                      <w:color w:val="404040"/>
                    </w:rPr>
                    <w:t>to</w:t>
                  </w:r>
                  <w:r>
                    <w:rPr>
                      <w:color w:val="404040"/>
                      <w:spacing w:val="-4"/>
                    </w:rPr>
                    <w:t> </w:t>
                  </w:r>
                  <w:r>
                    <w:rPr>
                      <w:color w:val="404040"/>
                    </w:rPr>
                    <w:t>receive</w:t>
                  </w:r>
                  <w:r>
                    <w:rPr>
                      <w:color w:val="404040"/>
                      <w:spacing w:val="-3"/>
                    </w:rPr>
                    <w:t> </w:t>
                  </w:r>
                  <w:r>
                    <w:rPr>
                      <w:color w:val="404040"/>
                    </w:rPr>
                    <w:t>Family</w:t>
                  </w:r>
                  <w:r>
                    <w:rPr>
                      <w:color w:val="404040"/>
                      <w:spacing w:val="-7"/>
                    </w:rPr>
                    <w:t> </w:t>
                  </w:r>
                  <w:r>
                    <w:rPr>
                      <w:color w:val="404040"/>
                    </w:rPr>
                    <w:t>Tax</w:t>
                  </w:r>
                  <w:r>
                    <w:rPr>
                      <w:color w:val="404040"/>
                      <w:spacing w:val="-3"/>
                    </w:rPr>
                    <w:t> </w:t>
                  </w:r>
                  <w:r>
                    <w:rPr>
                      <w:color w:val="404040"/>
                    </w:rPr>
                    <w:t>Benefits,</w:t>
                  </w:r>
                  <w:r>
                    <w:rPr>
                      <w:color w:val="404040"/>
                      <w:spacing w:val="-3"/>
                    </w:rPr>
                    <w:t> </w:t>
                  </w:r>
                  <w:r>
                    <w:rPr>
                      <w:color w:val="404040"/>
                    </w:rPr>
                    <w:t>and</w:t>
                  </w:r>
                  <w:r>
                    <w:rPr>
                      <w:color w:val="404040"/>
                      <w:spacing w:val="-3"/>
                    </w:rPr>
                    <w:t> </w:t>
                  </w:r>
                  <w:r>
                    <w:rPr>
                      <w:color w:val="404040"/>
                    </w:rPr>
                    <w:t>some</w:t>
                  </w:r>
                  <w:r>
                    <w:rPr>
                      <w:color w:val="404040"/>
                      <w:spacing w:val="-4"/>
                    </w:rPr>
                    <w:t> </w:t>
                  </w:r>
                  <w:r>
                    <w:rPr>
                      <w:color w:val="404040"/>
                    </w:rPr>
                    <w:t>benefits have been repealed. This has contributed to decreasing average payments. There has also been a significant</w:t>
                  </w:r>
                  <w:r>
                    <w:rPr>
                      <w:color w:val="404040"/>
                      <w:spacing w:val="-4"/>
                    </w:rPr>
                    <w:t> </w:t>
                  </w:r>
                  <w:r>
                    <w:rPr>
                      <w:color w:val="404040"/>
                    </w:rPr>
                    <w:t>change</w:t>
                  </w:r>
                  <w:r>
                    <w:rPr>
                      <w:color w:val="404040"/>
                      <w:spacing w:val="-3"/>
                    </w:rPr>
                    <w:t> </w:t>
                  </w:r>
                  <w:r>
                    <w:rPr>
                      <w:color w:val="404040"/>
                    </w:rPr>
                    <w:t>to</w:t>
                  </w:r>
                  <w:r>
                    <w:rPr>
                      <w:color w:val="404040"/>
                      <w:spacing w:val="-4"/>
                    </w:rPr>
                    <w:t> </w:t>
                  </w:r>
                  <w:r>
                    <w:rPr>
                      <w:color w:val="404040"/>
                    </w:rPr>
                    <w:t>child</w:t>
                  </w:r>
                  <w:r>
                    <w:rPr>
                      <w:color w:val="404040"/>
                      <w:spacing w:val="-1"/>
                    </w:rPr>
                    <w:t> </w:t>
                  </w:r>
                  <w:r>
                    <w:rPr>
                      <w:color w:val="404040"/>
                    </w:rPr>
                    <w:t>care</w:t>
                  </w:r>
                  <w:r>
                    <w:rPr>
                      <w:color w:val="404040"/>
                      <w:spacing w:val="-3"/>
                    </w:rPr>
                    <w:t> </w:t>
                  </w:r>
                  <w:r>
                    <w:rPr>
                      <w:color w:val="404040"/>
                    </w:rPr>
                    <w:t>payments which</w:t>
                  </w:r>
                  <w:r>
                    <w:rPr>
                      <w:color w:val="404040"/>
                      <w:spacing w:val="-3"/>
                    </w:rPr>
                    <w:t> </w:t>
                  </w:r>
                  <w:r>
                    <w:rPr>
                      <w:color w:val="404040"/>
                    </w:rPr>
                    <w:t>took effect</w:t>
                  </w:r>
                  <w:r>
                    <w:rPr>
                      <w:color w:val="404040"/>
                      <w:spacing w:val="-3"/>
                    </w:rPr>
                    <w:t> </w:t>
                  </w:r>
                  <w:r>
                    <w:rPr>
                      <w:color w:val="404040"/>
                    </w:rPr>
                    <w:t>from</w:t>
                  </w:r>
                  <w:r>
                    <w:rPr>
                      <w:color w:val="404040"/>
                      <w:spacing w:val="1"/>
                    </w:rPr>
                    <w:t> </w:t>
                  </w:r>
                  <w:r>
                    <w:rPr>
                      <w:color w:val="404040"/>
                    </w:rPr>
                    <w:t>July</w:t>
                  </w:r>
                  <w:r>
                    <w:rPr>
                      <w:color w:val="404040"/>
                      <w:spacing w:val="-6"/>
                    </w:rPr>
                    <w:t> </w:t>
                  </w:r>
                  <w:r>
                    <w:rPr>
                      <w:color w:val="404040"/>
                    </w:rPr>
                    <w:t>2018.</w:t>
                  </w:r>
                  <w:r>
                    <w:rPr>
                      <w:color w:val="404040"/>
                      <w:spacing w:val="-4"/>
                    </w:rPr>
                    <w:t> </w:t>
                  </w:r>
                  <w:r>
                    <w:rPr>
                      <w:color w:val="404040"/>
                    </w:rPr>
                    <w:t>While</w:t>
                  </w:r>
                  <w:r>
                    <w:rPr>
                      <w:color w:val="404040"/>
                      <w:spacing w:val="-4"/>
                    </w:rPr>
                    <w:t> </w:t>
                  </w:r>
                  <w:r>
                    <w:rPr>
                      <w:color w:val="404040"/>
                    </w:rPr>
                    <w:t>the</w:t>
                  </w:r>
                  <w:r>
                    <w:rPr>
                      <w:color w:val="404040"/>
                      <w:spacing w:val="-3"/>
                    </w:rPr>
                    <w:t> </w:t>
                  </w:r>
                  <w:r>
                    <w:rPr>
                      <w:color w:val="404040"/>
                    </w:rPr>
                    <w:t>effect</w:t>
                  </w:r>
                  <w:r>
                    <w:rPr>
                      <w:color w:val="404040"/>
                      <w:spacing w:val="-3"/>
                    </w:rPr>
                    <w:t> </w:t>
                  </w:r>
                  <w:r>
                    <w:rPr>
                      <w:color w:val="404040"/>
                    </w:rPr>
                    <w:t>of</w:t>
                  </w:r>
                  <w:r>
                    <w:rPr>
                      <w:color w:val="404040"/>
                      <w:spacing w:val="-2"/>
                    </w:rPr>
                    <w:t> </w:t>
                  </w:r>
                  <w:r>
                    <w:rPr>
                      <w:color w:val="404040"/>
                    </w:rPr>
                    <w:t>this</w:t>
                  </w:r>
                  <w:r>
                    <w:rPr>
                      <w:color w:val="404040"/>
                      <w:spacing w:val="-2"/>
                    </w:rPr>
                    <w:t> </w:t>
                  </w:r>
                  <w:r>
                    <w:rPr>
                      <w:color w:val="404040"/>
                    </w:rPr>
                    <w:t>change cannot be seen yet in the data, we have allowed for the expected impact in the</w:t>
                  </w:r>
                  <w:r>
                    <w:rPr>
                      <w:color w:val="404040"/>
                      <w:spacing w:val="-12"/>
                    </w:rPr>
                    <w:t> </w:t>
                  </w:r>
                  <w:r>
                    <w:rPr>
                      <w:color w:val="404040"/>
                    </w:rPr>
                    <w:t>valuation.</w:t>
                  </w:r>
                </w:p>
                <w:p>
                  <w:pPr>
                    <w:pStyle w:val="BodyText"/>
                    <w:numPr>
                      <w:ilvl w:val="0"/>
                      <w:numId w:val="61"/>
                    </w:numPr>
                    <w:tabs>
                      <w:tab w:pos="392" w:val="left" w:leader="none"/>
                    </w:tabs>
                    <w:spacing w:line="240" w:lineRule="auto" w:before="119" w:after="0"/>
                    <w:ind w:left="391" w:right="460" w:hanging="284"/>
                    <w:jc w:val="both"/>
                  </w:pPr>
                  <w:r>
                    <w:rPr>
                      <w:color w:val="404040"/>
                    </w:rPr>
                    <w:t>The number of people leaving the class has stabilised over the last few years at a level comparable to entries</w:t>
                  </w:r>
                  <w:r>
                    <w:rPr>
                      <w:color w:val="404040"/>
                      <w:spacing w:val="-2"/>
                    </w:rPr>
                    <w:t> </w:t>
                  </w:r>
                  <w:r>
                    <w:rPr>
                      <w:color w:val="404040"/>
                    </w:rPr>
                    <w:t>to</w:t>
                  </w:r>
                  <w:r>
                    <w:rPr>
                      <w:color w:val="404040"/>
                      <w:spacing w:val="-3"/>
                    </w:rPr>
                    <w:t> </w:t>
                  </w:r>
                  <w:r>
                    <w:rPr>
                      <w:color w:val="404040"/>
                    </w:rPr>
                    <w:t>the</w:t>
                  </w:r>
                  <w:r>
                    <w:rPr>
                      <w:color w:val="404040"/>
                      <w:spacing w:val="-2"/>
                    </w:rPr>
                    <w:t> </w:t>
                  </w:r>
                  <w:r>
                    <w:rPr>
                      <w:color w:val="404040"/>
                    </w:rPr>
                    <w:t>class.</w:t>
                  </w:r>
                  <w:r>
                    <w:rPr>
                      <w:color w:val="404040"/>
                      <w:spacing w:val="-3"/>
                    </w:rPr>
                    <w:t> </w:t>
                  </w:r>
                  <w:r>
                    <w:rPr>
                      <w:color w:val="404040"/>
                    </w:rPr>
                    <w:t>In</w:t>
                  </w:r>
                  <w:r>
                    <w:rPr>
                      <w:color w:val="404040"/>
                      <w:spacing w:val="-3"/>
                    </w:rPr>
                    <w:t> </w:t>
                  </w:r>
                  <w:r>
                    <w:rPr>
                      <w:color w:val="404040"/>
                    </w:rPr>
                    <w:t>general,</w:t>
                  </w:r>
                  <w:r>
                    <w:rPr>
                      <w:color w:val="404040"/>
                      <w:spacing w:val="-2"/>
                    </w:rPr>
                    <w:t> </w:t>
                  </w:r>
                  <w:r>
                    <w:rPr>
                      <w:color w:val="404040"/>
                    </w:rPr>
                    <w:t>single</w:t>
                  </w:r>
                  <w:r>
                    <w:rPr>
                      <w:color w:val="404040"/>
                      <w:spacing w:val="-3"/>
                    </w:rPr>
                    <w:t> </w:t>
                  </w:r>
                  <w:r>
                    <w:rPr>
                      <w:color w:val="404040"/>
                    </w:rPr>
                    <w:t>people</w:t>
                  </w:r>
                  <w:r>
                    <w:rPr>
                      <w:color w:val="404040"/>
                      <w:spacing w:val="-1"/>
                    </w:rPr>
                    <w:t> </w:t>
                  </w:r>
                  <w:r>
                    <w:rPr>
                      <w:color w:val="404040"/>
                    </w:rPr>
                    <w:t>are</w:t>
                  </w:r>
                  <w:r>
                    <w:rPr>
                      <w:color w:val="404040"/>
                      <w:spacing w:val="-2"/>
                    </w:rPr>
                    <w:t> </w:t>
                  </w:r>
                  <w:r>
                    <w:rPr>
                      <w:color w:val="404040"/>
                    </w:rPr>
                    <w:t>less</w:t>
                  </w:r>
                  <w:r>
                    <w:rPr>
                      <w:color w:val="404040"/>
                      <w:spacing w:val="-2"/>
                    </w:rPr>
                    <w:t> </w:t>
                  </w:r>
                  <w:r>
                    <w:rPr>
                      <w:color w:val="404040"/>
                    </w:rPr>
                    <w:t>likely</w:t>
                  </w:r>
                  <w:r>
                    <w:rPr>
                      <w:color w:val="404040"/>
                      <w:spacing w:val="-6"/>
                    </w:rPr>
                    <w:t> </w:t>
                  </w:r>
                  <w:r>
                    <w:rPr>
                      <w:color w:val="404040"/>
                    </w:rPr>
                    <w:t>than</w:t>
                  </w:r>
                  <w:r>
                    <w:rPr>
                      <w:color w:val="404040"/>
                      <w:spacing w:val="-2"/>
                    </w:rPr>
                    <w:t> </w:t>
                  </w:r>
                  <w:r>
                    <w:rPr>
                      <w:color w:val="404040"/>
                    </w:rPr>
                    <w:t>partnered</w:t>
                  </w:r>
                  <w:r>
                    <w:rPr>
                      <w:color w:val="404040"/>
                      <w:spacing w:val="-1"/>
                    </w:rPr>
                    <w:t> </w:t>
                  </w:r>
                  <w:r>
                    <w:rPr>
                      <w:color w:val="404040"/>
                    </w:rPr>
                    <w:t>people</w:t>
                  </w:r>
                  <w:r>
                    <w:rPr>
                      <w:color w:val="404040"/>
                      <w:spacing w:val="-1"/>
                    </w:rPr>
                    <w:t> </w:t>
                  </w:r>
                  <w:r>
                    <w:rPr>
                      <w:color w:val="404040"/>
                    </w:rPr>
                    <w:t>to</w:t>
                  </w:r>
                  <w:r>
                    <w:rPr>
                      <w:color w:val="404040"/>
                      <w:spacing w:val="-2"/>
                    </w:rPr>
                    <w:t> </w:t>
                  </w:r>
                  <w:r>
                    <w:rPr>
                      <w:color w:val="404040"/>
                    </w:rPr>
                    <w:t>stay</w:t>
                  </w:r>
                  <w:r>
                    <w:rPr>
                      <w:color w:val="404040"/>
                      <w:spacing w:val="-6"/>
                    </w:rPr>
                    <w:t> </w:t>
                  </w:r>
                  <w:r>
                    <w:rPr>
                      <w:color w:val="404040"/>
                    </w:rPr>
                    <w:t>in</w:t>
                  </w:r>
                  <w:r>
                    <w:rPr>
                      <w:color w:val="404040"/>
                      <w:spacing w:val="-2"/>
                    </w:rPr>
                    <w:t> </w:t>
                  </w:r>
                  <w:r>
                    <w:rPr>
                      <w:color w:val="404040"/>
                    </w:rPr>
                    <w:t>this</w:t>
                  </w:r>
                  <w:r>
                    <w:rPr>
                      <w:color w:val="404040"/>
                      <w:spacing w:val="-2"/>
                    </w:rPr>
                    <w:t> </w:t>
                  </w:r>
                  <w:r>
                    <w:rPr>
                      <w:color w:val="404040"/>
                    </w:rPr>
                    <w:t>class, and are far more likely to transition onto the Parenting</w:t>
                  </w:r>
                  <w:r>
                    <w:rPr>
                      <w:color w:val="404040"/>
                      <w:spacing w:val="-9"/>
                    </w:rPr>
                    <w:t> </w:t>
                  </w:r>
                  <w:r>
                    <w:rPr>
                      <w:color w:val="404040"/>
                    </w:rPr>
                    <w:t>payment.</w:t>
                  </w:r>
                </w:p>
                <w:p>
                  <w:pPr>
                    <w:pStyle w:val="BodyText"/>
                    <w:numPr>
                      <w:ilvl w:val="0"/>
                      <w:numId w:val="61"/>
                    </w:numPr>
                    <w:tabs>
                      <w:tab w:pos="392" w:val="left" w:leader="none"/>
                    </w:tabs>
                    <w:spacing w:line="240" w:lineRule="auto" w:before="118" w:after="0"/>
                    <w:ind w:left="391" w:right="272" w:hanging="284"/>
                    <w:jc w:val="left"/>
                  </w:pPr>
                  <w:r>
                    <w:rPr>
                      <w:color w:val="404040"/>
                    </w:rPr>
                    <w:t>The lifetime cost for this class is $354bn, which is $49bn below the rebased 2017 lifetime cost. The reduction is driven by decreased assumed future payment utilisation in light of recent decreases in both entries into income support and persistency on payments once in receipt of income support. The decrease</w:t>
                  </w:r>
                  <w:r>
                    <w:rPr>
                      <w:color w:val="404040"/>
                      <w:spacing w:val="-2"/>
                    </w:rPr>
                    <w:t> </w:t>
                  </w:r>
                  <w:r>
                    <w:rPr>
                      <w:color w:val="404040"/>
                    </w:rPr>
                    <w:t>in</w:t>
                  </w:r>
                  <w:r>
                    <w:rPr>
                      <w:color w:val="404040"/>
                      <w:spacing w:val="-2"/>
                    </w:rPr>
                    <w:t> </w:t>
                  </w:r>
                  <w:r>
                    <w:rPr>
                      <w:color w:val="404040"/>
                    </w:rPr>
                    <w:t>lifetime</w:t>
                  </w:r>
                  <w:r>
                    <w:rPr>
                      <w:color w:val="404040"/>
                      <w:spacing w:val="-3"/>
                    </w:rPr>
                    <w:t> </w:t>
                  </w:r>
                  <w:r>
                    <w:rPr>
                      <w:color w:val="404040"/>
                    </w:rPr>
                    <w:t>cost</w:t>
                  </w:r>
                  <w:r>
                    <w:rPr>
                      <w:color w:val="404040"/>
                      <w:spacing w:val="-4"/>
                    </w:rPr>
                    <w:t> </w:t>
                  </w:r>
                  <w:r>
                    <w:rPr>
                      <w:color w:val="404040"/>
                    </w:rPr>
                    <w:t>is</w:t>
                  </w:r>
                  <w:r>
                    <w:rPr>
                      <w:color w:val="404040"/>
                      <w:spacing w:val="-3"/>
                    </w:rPr>
                    <w:t> </w:t>
                  </w:r>
                  <w:r>
                    <w:rPr>
                      <w:color w:val="404040"/>
                    </w:rPr>
                    <w:t>particularly</w:t>
                  </w:r>
                  <w:r>
                    <w:rPr>
                      <w:color w:val="404040"/>
                      <w:spacing w:val="-4"/>
                    </w:rPr>
                    <w:t> </w:t>
                  </w:r>
                  <w:r>
                    <w:rPr>
                      <w:color w:val="404040"/>
                    </w:rPr>
                    <w:t>large</w:t>
                  </w:r>
                  <w:r>
                    <w:rPr>
                      <w:color w:val="404040"/>
                      <w:spacing w:val="-2"/>
                    </w:rPr>
                    <w:t> </w:t>
                  </w:r>
                  <w:r>
                    <w:rPr>
                      <w:color w:val="404040"/>
                    </w:rPr>
                    <w:t>for</w:t>
                  </w:r>
                  <w:r>
                    <w:rPr>
                      <w:color w:val="404040"/>
                      <w:spacing w:val="-3"/>
                    </w:rPr>
                    <w:t> </w:t>
                  </w:r>
                  <w:r>
                    <w:rPr>
                      <w:color w:val="404040"/>
                    </w:rPr>
                    <w:t>this</w:t>
                  </w:r>
                  <w:r>
                    <w:rPr>
                      <w:color w:val="404040"/>
                      <w:spacing w:val="-2"/>
                    </w:rPr>
                    <w:t> </w:t>
                  </w:r>
                  <w:r>
                    <w:rPr>
                      <w:color w:val="404040"/>
                    </w:rPr>
                    <w:t>class,</w:t>
                  </w:r>
                  <w:r>
                    <w:rPr>
                      <w:color w:val="404040"/>
                      <w:spacing w:val="-4"/>
                    </w:rPr>
                    <w:t> </w:t>
                  </w:r>
                  <w:r>
                    <w:rPr>
                      <w:color w:val="404040"/>
                    </w:rPr>
                    <w:t>as</w:t>
                  </w:r>
                  <w:r>
                    <w:rPr>
                      <w:color w:val="404040"/>
                      <w:spacing w:val="-2"/>
                    </w:rPr>
                    <w:t> </w:t>
                  </w:r>
                  <w:r>
                    <w:rPr>
                      <w:color w:val="404040"/>
                    </w:rPr>
                    <w:t>we</w:t>
                  </w:r>
                  <w:r>
                    <w:rPr>
                      <w:color w:val="404040"/>
                      <w:spacing w:val="-2"/>
                    </w:rPr>
                    <w:t> </w:t>
                  </w:r>
                  <w:r>
                    <w:rPr>
                      <w:color w:val="404040"/>
                    </w:rPr>
                    <w:t>are</w:t>
                  </w:r>
                  <w:r>
                    <w:rPr>
                      <w:color w:val="404040"/>
                      <w:spacing w:val="-4"/>
                    </w:rPr>
                    <w:t> </w:t>
                  </w:r>
                  <w:r>
                    <w:rPr>
                      <w:color w:val="404040"/>
                    </w:rPr>
                    <w:t>now</w:t>
                  </w:r>
                  <w:r>
                    <w:rPr>
                      <w:color w:val="404040"/>
                      <w:spacing w:val="-5"/>
                    </w:rPr>
                    <w:t> </w:t>
                  </w:r>
                  <w:r>
                    <w:rPr>
                      <w:color w:val="404040"/>
                    </w:rPr>
                    <w:t>modelling</w:t>
                  </w:r>
                  <w:r>
                    <w:rPr>
                      <w:color w:val="404040"/>
                      <w:spacing w:val="-4"/>
                    </w:rPr>
                    <w:t> </w:t>
                  </w:r>
                  <w:r>
                    <w:rPr>
                      <w:color w:val="404040"/>
                    </w:rPr>
                    <w:t>geographical</w:t>
                  </w:r>
                  <w:r>
                    <w:rPr>
                      <w:color w:val="404040"/>
                      <w:spacing w:val="-4"/>
                    </w:rPr>
                    <w:t> </w:t>
                  </w:r>
                  <w:r>
                    <w:rPr>
                      <w:color w:val="404040"/>
                    </w:rPr>
                    <w:t>factors which show that people in this class are more likely than average to live in higher SEIFA (more advantaged) locations. This in turn acts to reduce the likelihood of future income support</w:t>
                  </w:r>
                  <w:r>
                    <w:rPr>
                      <w:color w:val="404040"/>
                      <w:spacing w:val="-21"/>
                    </w:rPr>
                    <w:t> </w:t>
                  </w:r>
                  <w:r>
                    <w:rPr>
                      <w:color w:val="404040"/>
                    </w:rPr>
                    <w:t>use.</w:t>
                  </w:r>
                </w:p>
              </w:txbxContent>
            </v:textbox>
            <v:fill type="solid"/>
            <w10:wrap type="topAndBottom"/>
          </v:shape>
        </w:pict>
      </w:r>
      <w:r>
        <w:rPr>
          <w:color w:val="404040"/>
        </w:rPr>
        <w:t>The precise definition of this class includes a one year timing lag so that family payments are considered from the previous year rather than the current year when allocating people to this class. This definition has been used as data maturity has a particularly big impact on FTB payments since these are often claimed well after the year end through tax returns. This means that new recipients of family payments who are not receiving income support payments typically enter into class 9, and then transition to class 7 for the remainder of the period during which they receive any of the family payment categories.</w:t>
      </w:r>
    </w:p>
    <w:p>
      <w:pPr>
        <w:pStyle w:val="BodyText"/>
        <w:spacing w:before="4"/>
        <w:rPr>
          <w:sz w:val="11"/>
        </w:rPr>
      </w:pPr>
    </w:p>
    <w:p>
      <w:pPr>
        <w:pStyle w:val="Heading4"/>
        <w:spacing w:before="92"/>
      </w:pPr>
      <w:bookmarkStart w:name="Recent and projected trends for the Non " w:id="203"/>
      <w:bookmarkEnd w:id="203"/>
      <w:r>
        <w:rPr/>
      </w:r>
      <w:r>
        <w:rPr>
          <w:color w:val="DF2F28"/>
        </w:rPr>
        <w:t>Recent and projected trends for the Non IS Family class</w:t>
      </w:r>
    </w:p>
    <w:p>
      <w:pPr>
        <w:pStyle w:val="BodyText"/>
        <w:spacing w:before="122"/>
        <w:ind w:left="900" w:right="1043" w:hanging="1"/>
      </w:pPr>
      <w:r>
        <w:rPr>
          <w:color w:val="404040"/>
        </w:rPr>
        <w:t>There were 1,540,000 people in the Non IS Family class in the 2018 model population. This represents 6.2% of the population of Australia which is a decrease from 6.3% at the previous valuation, and 19.4% of current welfare recipients.</w:t>
      </w:r>
    </w:p>
    <w:p>
      <w:pPr>
        <w:spacing w:after="0"/>
        <w:sectPr>
          <w:headerReference w:type="default" r:id="rId163"/>
          <w:footerReference w:type="default" r:id="rId164"/>
          <w:pgSz w:w="11910" w:h="16850"/>
          <w:pgMar w:header="572" w:footer="581" w:top="780" w:bottom="780" w:left="120" w:right="0"/>
          <w:pgNumType w:start="116"/>
        </w:sectPr>
      </w:pPr>
    </w:p>
    <w:p>
      <w:pPr>
        <w:pStyle w:val="BodyText"/>
      </w:pPr>
    </w:p>
    <w:p>
      <w:pPr>
        <w:pStyle w:val="BodyText"/>
      </w:pPr>
    </w:p>
    <w:p>
      <w:pPr>
        <w:pStyle w:val="BodyText"/>
        <w:spacing w:before="10"/>
        <w:rPr>
          <w:sz w:val="21"/>
        </w:rPr>
      </w:pPr>
    </w:p>
    <w:p>
      <w:pPr>
        <w:pStyle w:val="BodyText"/>
        <w:spacing w:before="92"/>
        <w:ind w:left="900"/>
      </w:pPr>
      <w:r>
        <w:rPr>
          <w:color w:val="404040"/>
        </w:rPr>
        <w:t>The following chart shows a breakdown of the number of people in the Non IS Family class by age and gender.</w:t>
      </w:r>
    </w:p>
    <w:p>
      <w:pPr>
        <w:pStyle w:val="Heading9"/>
        <w:spacing w:before="174"/>
      </w:pPr>
      <w:r>
        <w:rPr>
          <w:color w:val="DF2F1E"/>
        </w:rPr>
        <w:t>Figure 78: 2018 profile of people in class 7 – Non IS Family (age / gender)</w:t>
      </w:r>
    </w:p>
    <w:p>
      <w:pPr>
        <w:pStyle w:val="BodyText"/>
        <w:spacing w:before="1"/>
        <w:rPr>
          <w:b/>
          <w:sz w:val="12"/>
        </w:rPr>
      </w:pPr>
    </w:p>
    <w:p>
      <w:pPr>
        <w:tabs>
          <w:tab w:pos="3942" w:val="left" w:leader="none"/>
        </w:tabs>
        <w:spacing w:before="72"/>
        <w:ind w:left="3420" w:right="0" w:firstLine="0"/>
        <w:jc w:val="left"/>
        <w:rPr>
          <w:rFonts w:ascii="Calibri"/>
          <w:sz w:val="14"/>
        </w:rPr>
      </w:pPr>
      <w:r>
        <w:rPr/>
        <w:pict>
          <v:group style="position:absolute;margin-left:171.259262pt;margin-top:5.95883pt;width:4.350pt;height:4.350pt;mso-position-horizontal-relative:page;mso-position-vertical-relative:paragraph;z-index:252511232" coordorigin="3425,119" coordsize="87,87">
            <v:rect style="position:absolute;left:3430;top:124;width:76;height:76" filled="true" fillcolor="#94b3d6" stroked="false">
              <v:fill type="solid"/>
            </v:rect>
            <v:rect style="position:absolute;left:3430;top:124;width:76;height:76" filled="false" stroked="true" strokeweight=".538321pt" strokecolor="#94b3d6">
              <v:stroke dashstyle="solid"/>
            </v:rect>
            <w10:wrap type="none"/>
          </v:group>
        </w:pict>
      </w:r>
      <w:r>
        <w:rPr/>
        <w:pict>
          <v:group style="position:absolute;margin-left:197.100616pt;margin-top:5.958858pt;width:4.850pt;height:4.350pt;mso-position-horizontal-relative:page;mso-position-vertical-relative:paragraph;z-index:-287390720" coordorigin="3942,119" coordsize="97,87">
            <v:rect style="position:absolute;left:3947;top:124;width:87;height:76" filled="true" fillcolor="#ffa7e1" stroked="false">
              <v:fill type="solid"/>
            </v:rect>
            <v:rect style="position:absolute;left:3947;top:124;width:87;height:76" filled="false" stroked="true" strokeweight=".538266pt" strokecolor="#ffa7e1">
              <v:stroke dashstyle="solid"/>
            </v:rect>
            <w10:wrap type="none"/>
          </v:group>
        </w:pict>
      </w:r>
      <w:r>
        <w:rPr>
          <w:rFonts w:ascii="Calibri"/>
          <w:sz w:val="14"/>
        </w:rPr>
        <w:t>Male</w:t>
        <w:tab/>
        <w:t>Female</w:t>
      </w:r>
    </w:p>
    <w:p>
      <w:pPr>
        <w:spacing w:after="0"/>
        <w:jc w:val="left"/>
        <w:rPr>
          <w:rFonts w:ascii="Calibri"/>
          <w:sz w:val="14"/>
        </w:rPr>
        <w:sectPr>
          <w:pgSz w:w="11910" w:h="16850"/>
          <w:pgMar w:header="572" w:footer="581" w:top="780" w:bottom="780" w:left="120" w:right="0"/>
        </w:sectPr>
      </w:pPr>
    </w:p>
    <w:p>
      <w:pPr>
        <w:spacing w:before="129"/>
        <w:ind w:left="1465" w:right="0" w:firstLine="0"/>
        <w:jc w:val="left"/>
        <w:rPr>
          <w:rFonts w:ascii="Calibri"/>
          <w:sz w:val="16"/>
        </w:rPr>
      </w:pPr>
      <w:r>
        <w:rPr/>
        <w:pict>
          <v:group style="position:absolute;margin-left:91.851044pt;margin-top:11.324954pt;width:222.1pt;height:108.2pt;mso-position-horizontal-relative:page;mso-position-vertical-relative:paragraph;z-index:252510208" coordorigin="1837,226" coordsize="4442,2164">
            <v:shape style="position:absolute;left:-294410;top:-267184;width:294410;height:281421" coordorigin="-294409,-267183" coordsize="294410,281421" path="m6273,237l6273,2336m5724,237l5724,2336m5175,237l5175,2336m4626,237l4626,2336m4077,237l4077,2336e" filled="false" stroked="true" strokeweight=".538245pt" strokecolor="#f1f1f1">
              <v:path arrowok="t"/>
              <v:stroke dashstyle="solid"/>
            </v:shape>
            <v:line style="position:absolute" from="4071,312" to="4071,882" stroked="true" strokeweight=".538366pt" strokecolor="#94b3d6">
              <v:stroke dashstyle="solid"/>
            </v:line>
            <v:shape style="position:absolute;left:3958;top:882;width:119;height:258" coordorigin="3958,882" coordsize="119,258" path="m4077,882l4055,882,4055,946,4044,946,4044,968,4034,968,4034,990,4023,990,4023,1022,4012,1022,4012,1042,3990,1042,3990,1064,3980,1064,3980,1086,3969,1086,3969,1108,3958,1108,3958,1140,4077,1140,4077,1108,4077,1086,4077,946,4077,882e" filled="true" fillcolor="#94b3d6" stroked="false">
              <v:path arrowok="t"/>
              <v:fill type="solid"/>
            </v:shape>
            <v:line style="position:absolute" from="3937,1151" to="4077,1151" stroked="true" strokeweight="1.099766pt" strokecolor="#94b3d6">
              <v:stroke dashstyle="solid"/>
            </v:line>
            <v:line style="position:absolute" from="3915,1172" to="4077,1172" stroked="true" strokeweight=".999788pt" strokecolor="#94b3d6">
              <v:stroke dashstyle="solid"/>
            </v:line>
            <v:line style="position:absolute" from="3883,1193" to="4077,1193" stroked="true" strokeweight="1.099766pt" strokecolor="#94b3d6">
              <v:stroke dashstyle="solid"/>
            </v:line>
            <v:line style="position:absolute" from="3861,1215" to="4077,1215" stroked="true" strokeweight="1.099766pt" strokecolor="#94b3d6">
              <v:stroke dashstyle="solid"/>
            </v:line>
            <v:line style="position:absolute" from="3829,1237" to="4077,1237" stroked="true" strokeweight="1.099766pt" strokecolor="#94b3d6">
              <v:stroke dashstyle="solid"/>
            </v:line>
            <v:line style="position:absolute" from="3807,1264" to="4077,1264" stroked="true" strokeweight="1.59966pt" strokecolor="#94b3d6">
              <v:stroke dashstyle="solid"/>
            </v:line>
            <v:shape style="position:absolute;left:3775;top:1280;width:302;height:42" coordorigin="3775,1280" coordsize="302,42" path="m4077,1280l3786,1280,3786,1302,3775,1302,3775,1322,4077,1322,4077,1302,4077,1280e" filled="true" fillcolor="#94b3d6" stroked="false">
              <v:path arrowok="t"/>
              <v:fill type="solid"/>
            </v:shape>
            <v:shape style="position:absolute;left:3732;top:1333;width:345;height:22" coordorigin="3732,1333" coordsize="345,22" path="m3754,1333l4077,1333m3732,1355l4077,1355e" filled="false" stroked="true" strokeweight="1.099766pt" strokecolor="#94b3d6">
              <v:path arrowok="t"/>
              <v:stroke dashstyle="solid"/>
            </v:shape>
            <v:line style="position:absolute" from="3711,1393" to="4077,1393" stroked="true" strokeweight="2.699427pt" strokecolor="#94b3d6">
              <v:stroke dashstyle="solid"/>
            </v:line>
            <v:line style="position:absolute" from="3678,1431" to="4077,1431" stroked="true" strokeweight="1.099766pt" strokecolor="#94b3d6">
              <v:stroke dashstyle="solid"/>
            </v:line>
            <v:shape style="position:absolute;left:3645;top:1442;width:431;height:86" coordorigin="3646,1442" coordsize="431,86" path="m4077,1442l3657,1442,3657,1484,3646,1484,3646,1506,3657,1506,3657,1528,4077,1528,4077,1506,4077,1484,4077,1442e" filled="true" fillcolor="#94b3d6" stroked="false">
              <v:path arrowok="t"/>
              <v:fill type="solid"/>
            </v:shape>
            <v:line style="position:absolute" from="3689,1544" to="4077,1544" stroked="true" strokeweight="1.59966pt" strokecolor="#94b3d6">
              <v:stroke dashstyle="solid"/>
            </v:line>
            <v:line style="position:absolute" from="3732,1571" to="4077,1571" stroked="true" strokeweight="1.099766pt" strokecolor="#94b3d6">
              <v:stroke dashstyle="solid"/>
            </v:line>
            <v:line style="position:absolute" from="3786,1592" to="4077,1592" stroked="true" strokeweight=".999788pt" strokecolor="#94b3d6">
              <v:stroke dashstyle="solid"/>
            </v:line>
            <v:line style="position:absolute" from="3840,1613" to="4077,1613" stroked="true" strokeweight="1.099766pt" strokecolor="#94b3d6">
              <v:stroke dashstyle="solid"/>
            </v:line>
            <v:shape style="position:absolute;left:3882;top:1635;width:194;height:22" coordorigin="3883,1635" coordsize="194,22" path="m3883,1635l4077,1635m3926,1657l4077,1657e" filled="false" stroked="true" strokeweight="1.099766pt" strokecolor="#94b3d6">
              <v:path arrowok="t"/>
              <v:stroke dashstyle="solid"/>
            </v:shape>
            <v:shape style="position:absolute;left:3968;top:1668;width:108;height:118" coordorigin="3969,1668" coordsize="108,118" path="m4077,1668l3969,1668,3969,1700,4001,1700,4001,1720,4023,1720,4023,1742,4044,1742,4044,1764,4055,1764,4055,1786,4077,1786,4077,1764,4077,1742,4077,1720,4077,1700,4077,1668e" filled="true" fillcolor="#94b3d6" stroked="false">
              <v:path arrowok="t"/>
              <v:fill type="solid"/>
            </v:shape>
            <v:line style="position:absolute" from="4071,1786" to="4071,1926" stroked="true" strokeweight=".538366pt" strokecolor="#94b3d6">
              <v:stroke dashstyle="solid"/>
            </v:line>
            <v:rect style="position:absolute;left:4065;top:248;width:11;height:44" filled="true" fillcolor="#94b3d6" stroked="false">
              <v:fill type="solid"/>
            </v:rect>
            <v:shape style="position:absolute;left:490219;top:-387083;width:25400;height:60960" coordorigin="490220,-387083" coordsize="25400,60960" path="m4066,1927l4077,1927,4077,1905,4066,1905,4066,1927xm4066,1905l4077,1905,4077,1884,4066,1884,4066,1905xm4066,1884l4077,1884,4077,1862,4066,1862,4066,1884xm4066,1862l4077,1862,4077,1841,4066,1841,4066,1862xm4066,1841l4077,1841,4077,1819,4066,1819,4066,1841xm4066,1819l4077,1819,4077,1787,4066,1787,4066,1819xm4055,1787l4077,1787,4077,1766,4055,1766,4055,1787xm4044,1766l4077,1766,4077,1744,4044,1744,4044,1766xm4023,1744l4077,1744,4077,1723,4023,1723,4023,1744xm4001,1723l4077,1723,4077,1701,4001,1701,4001,1723xm3969,1701l4077,1701,4077,1669,3969,1669,3969,1701xe" filled="false" stroked="true" strokeweight=".538251pt" strokecolor="#94b3d6">
              <v:path arrowok="t"/>
              <v:stroke dashstyle="solid"/>
            </v:shape>
            <v:shape style="position:absolute;left:3726;top:1571;width:356;height:87" coordorigin="3727,1572" coordsize="356,87" path="m3920,1658l4082,1658m3877,1636l4082,1636m3834,1615l4082,1615m3781,1593l4082,1593m3727,1572l4082,1572e" filled="false" stroked="true" strokeweight="1.614411pt" strokecolor="#94b3d6">
              <v:path arrowok="t"/>
              <v:stroke dashstyle="solid"/>
            </v:shape>
            <v:rect style="position:absolute;left:3689;top:1528;width:388;height:33" filled="false" stroked="true" strokeweight=".538139pt" strokecolor="#94b3d6">
              <v:stroke dashstyle="solid"/>
            </v:rect>
            <v:shape style="position:absolute;left:3640;top:1437;width:442;height:97" coordorigin="3641,1437" coordsize="442,97" path="m4082,1437l3651,1437,3651,1459,3651,1470,3651,1480,3641,1480,3641,1513,3651,1513,3651,1534,4082,1534,4082,1459,4082,1437e" filled="true" fillcolor="#94b3d6" stroked="false">
              <v:path arrowok="t"/>
              <v:fill type="solid"/>
            </v:shape>
            <v:line style="position:absolute" from="3673,1432" to="4082,1432" stroked="true" strokeweight="1.614411pt" strokecolor="#94b3d6">
              <v:stroke dashstyle="solid"/>
            </v:line>
            <v:rect style="position:absolute;left:3710;top:1388;width:367;height:33" filled="false" stroked="true" strokeweight=".538139pt" strokecolor="#94b3d6">
              <v:stroke dashstyle="solid"/>
            </v:rect>
            <v:shape style="position:absolute;left:3705;top:1335;width:377;height:44" coordorigin="3705,1335" coordsize="377,44" path="m3705,1378l4082,1378m3727,1357l4082,1357m3748,1335l4082,1335e" filled="false" stroked="true" strokeweight="1.614411pt" strokecolor="#94b3d6">
              <v:path arrowok="t"/>
              <v:stroke dashstyle="solid"/>
            </v:shape>
            <v:shape style="position:absolute;left:3769;top:1275;width:313;height:54" coordorigin="3770,1276" coordsize="313,54" path="m4082,1276l3781,1276,3781,1297,3770,1297,3770,1330,4082,1330,4082,1308,4082,1297,4082,1276e" filled="true" fillcolor="#94b3d6" stroked="false">
              <v:path arrowok="t"/>
              <v:fill type="solid"/>
            </v:shape>
            <v:rect style="position:absolute;left:3807;top:1248;width:270;height:33" filled="false" stroked="true" strokeweight=".538140pt" strokecolor="#94b3d6">
              <v:stroke dashstyle="solid"/>
            </v:rect>
            <v:shape style="position:absolute;left:3823;top:1152;width:259;height:87" coordorigin="3824,1152" coordsize="259,87" path="m3824,1238l4082,1238m3856,1217l4082,1217m3877,1195l4082,1195m3910,1174l4082,1174m3931,1152l4082,1152e" filled="false" stroked="true" strokeweight="1.614411pt" strokecolor="#94b3d6">
              <v:path arrowok="t"/>
              <v:stroke dashstyle="solid"/>
            </v:shape>
            <v:shape style="position:absolute;left:487679;top:-201663;width:27940;height:210820" coordorigin="487680,-201663" coordsize="27940,210820" path="m3958,1141l4077,1141,4077,1109,3958,1109,3958,1141xm3969,1109l4077,1109,4077,1088,3969,1088,3969,1109xm3980,1088l4077,1088,4077,1066,3980,1066,3980,1088xm3990,1066l4077,1066,4077,1044,3990,1044,3990,1066xm4012,1044l4077,1044,4077,1023,4012,1023,4012,1044xm4023,1023l4077,1023,4077,991,4023,991,4023,1023xm4034,991l4077,991,4077,969,4034,969,4034,991xm4044,969l4077,969,4077,948,4044,948,4044,969xm4055,948l4077,948,4077,926,4055,926,4055,948xm4055,926l4077,926,4077,905,4055,905,4055,926xm4055,905l4077,905,4077,883,4055,883,4055,905xm4066,883l4077,883,4077,851,4066,851,4066,883xm4066,851l4077,851,4077,829,4066,829,4066,851xm4066,829l4077,829,4077,808,4066,808,4066,829xm4066,808l4077,808,4077,786,4066,786,4066,808xm4066,786l4077,786,4077,765,4066,765,4066,786xm4066,765l4077,765,4077,743,4066,743,4066,765xm4066,743l4077,743,4077,711,4066,711,4066,743xm4066,711l4077,711,4077,689,4066,689,4066,711xm4066,689l4077,689,4077,668,4066,668,4066,689xm4066,668l4077,668,4077,646,4066,646,4066,668xm4066,646l4077,646,4077,625,4066,625,4066,646xm4066,625l4077,625,4077,603,4066,603,4066,625xm4066,603l4077,603,4077,571,4066,571,4066,603xm4066,571l4077,571,4077,549,4066,549,4066,571xm4066,549l4077,549,4077,528,4066,528,4066,549xm4066,528l4077,528,4077,506,4066,506,4066,528xm4066,506l4077,506,4077,485,4066,485,4066,506xm4066,485l4077,485,4077,453,4066,453,4066,485xm4066,453l4077,453,4077,431,4066,431,4066,453xm4066,431l4077,431,4077,409,4066,409,4066,431xm4066,409l4077,409,4077,388,4066,388,4066,409xm4066,388l4077,388,4077,366,4066,366,4066,388xm4066,366l4077,366,4077,345,4066,345,4066,366xm4066,345l4077,345,4077,313,4066,313,4066,345xm4066,291l4077,291,4077,270,4066,270,4066,291xm4066,270l4077,270,4077,248,4066,248,4066,270xe" filled="false" stroked="true" strokeweight=".538251pt" strokecolor="#94b3d6">
              <v:path arrowok="t"/>
              <v:stroke dashstyle="solid"/>
            </v:shape>
            <v:line style="position:absolute" from="4077,1711" to="4550,1711" stroked="true" strokeweight="1.099763pt" strokecolor="#ffa7e1">
              <v:stroke dashstyle="solid"/>
            </v:line>
            <v:line style="position:absolute" from="4077,1733" to="4421,1733" stroked="true" strokeweight="1.099763pt" strokecolor="#ffa7e1">
              <v:stroke dashstyle="solid"/>
            </v:line>
            <v:line style="position:absolute" from="4077,1755" to="4324,1755" stroked="true" strokeweight="1.099763pt" strokecolor="#ffa7e1">
              <v:stroke dashstyle="solid"/>
            </v:line>
            <v:line style="position:absolute" from="4077,1776" to="4249,1776" stroked="true" strokeweight=".999784pt" strokecolor="#ffa7e1">
              <v:stroke dashstyle="solid"/>
            </v:line>
            <v:shape style="position:absolute;left:4076;top:1786;width:108;height:98" coordorigin="4077,1786" coordsize="108,98" path="m4184,1786l4077,1786,4077,1820,4077,1840,4077,1862,4077,1884,4098,1884,4098,1862,4109,1862,4109,1840,4141,1840,4141,1820,4184,1820,4184,1786e" filled="true" fillcolor="#ffa7e1" stroked="false">
              <v:path arrowok="t"/>
              <v:fill type="solid"/>
            </v:shape>
            <v:line style="position:absolute" from="4082,1884" to="4082,2024" stroked="true" strokeweight=".538362pt" strokecolor="#ffa7e1">
              <v:stroke dashstyle="solid"/>
            </v:line>
            <v:line style="position:absolute" from="4077,1335" to="5444,1335" stroked="true" strokeweight="1.099763pt" strokecolor="#ffa7e1">
              <v:stroke dashstyle="solid"/>
            </v:line>
            <v:line style="position:absolute" from="4077,1357" to="5487,1357" stroked="true" strokeweight="1.099763pt" strokecolor="#ffa7e1">
              <v:stroke dashstyle="solid"/>
            </v:line>
            <v:line style="position:absolute" from="4077,1378" to="5584,1378" stroked="true" strokeweight=".999784pt" strokecolor="#ffa7e1">
              <v:stroke dashstyle="solid"/>
            </v:line>
            <v:line style="position:absolute" from="4077,1404" to="5659,1404" stroked="true" strokeweight="1.599655pt" strokecolor="#ffa7e1">
              <v:stroke dashstyle="solid"/>
            </v:line>
            <v:line style="position:absolute" from="4077,1431" to="5746,1431" stroked="true" strokeweight="1.099763pt" strokecolor="#ffa7e1">
              <v:stroke dashstyle="solid"/>
            </v:line>
            <v:line style="position:absolute" from="4077,1453" to="5810,1453" stroked="true" strokeweight="1.099763pt" strokecolor="#ffa7e1">
              <v:stroke dashstyle="solid"/>
            </v:line>
            <v:line style="position:absolute" from="4077,1475" to="5864,1475" stroked="true" strokeweight="1.099763pt" strokecolor="#ffa7e1">
              <v:stroke dashstyle="solid"/>
            </v:line>
            <v:line style="position:absolute" from="4077,1507" to="5896,1507" stroked="true" strokeweight="2.099547pt" strokecolor="#ffa7e1">
              <v:stroke dashstyle="solid"/>
            </v:line>
            <v:line style="position:absolute" from="4077,1544" to="5810,1544" stroked="true" strokeweight="1.599655pt" strokecolor="#ffa7e1">
              <v:stroke dashstyle="solid"/>
            </v:line>
            <v:line style="position:absolute" from="4077,1571" to="5681,1571" stroked="true" strokeweight="1.099763pt" strokecolor="#ffa7e1">
              <v:stroke dashstyle="solid"/>
            </v:line>
            <v:shape style="position:absolute;left:4076;top:1593;width:1400;height:22" coordorigin="4077,1593" coordsize="1400,22" path="m4077,1593l5476,1593m4077,1615l5272,1615e" filled="false" stroked="true" strokeweight="1.099763pt" strokecolor="#ffa7e1">
              <v:path arrowok="t"/>
              <v:stroke dashstyle="solid"/>
            </v:shape>
            <v:line style="position:absolute" from="4077,1636" to="5056,1636" stroked="true" strokeweight=".999784pt" strokecolor="#ffa7e1">
              <v:stroke dashstyle="solid"/>
            </v:line>
            <v:line style="position:absolute" from="4077,1657" to="4863,1657" stroked="true" strokeweight="1.099763pt" strokecolor="#ffa7e1">
              <v:stroke dashstyle="solid"/>
            </v:line>
            <v:line style="position:absolute" from="4077,1685" to="4701,1685" stroked="true" strokeweight="1.614391pt" strokecolor="#ffa7e1">
              <v:stroke dashstyle="solid"/>
            </v:line>
            <v:line style="position:absolute" from="4077,1217" to="4927,1217" stroked="true" strokeweight="1.076261pt" strokecolor="#ffa7e1">
              <v:stroke dashstyle="solid"/>
            </v:line>
            <v:line style="position:absolute" from="4077,1238" to="5099,1238" stroked="true" strokeweight=".999784pt" strokecolor="#ffa7e1">
              <v:stroke dashstyle="solid"/>
            </v:line>
            <v:line style="position:absolute" from="4077,1264" to="5218,1264" stroked="true" strokeweight="1.599655pt" strokecolor="#ffa7e1">
              <v:stroke dashstyle="solid"/>
            </v:line>
            <v:shape style="position:absolute;left:4076;top:1291;width:1282;height:22" coordorigin="4077,1291" coordsize="1282,22" path="m4077,1291l5283,1291m4077,1313l5358,1313e" filled="false" stroked="true" strokeweight="1.099763pt" strokecolor="#ffa7e1">
              <v:path arrowok="t"/>
              <v:stroke dashstyle="solid"/>
            </v:shape>
            <v:line style="position:absolute" from="4077,1195" to="4809,1195" stroked="true" strokeweight="1.076261pt" strokecolor="#ffa7e1">
              <v:stroke dashstyle="solid"/>
            </v:line>
            <v:shape style="position:absolute;left:4076;top:948;width:130;height:74" coordorigin="4077,948" coordsize="130,74" path="m4206,990l4163,990,4163,968,4141,968,4141,948,4077,948,4077,968,4077,990,4077,1022,4206,1022,4206,990e" filled="true" fillcolor="#ffa7e1" stroked="false">
              <v:path arrowok="t"/>
              <v:fill type="solid"/>
            </v:shape>
            <v:shape style="position:absolute;left:4076;top:1033;width:216;height:22" coordorigin="4077,1033" coordsize="216,22" path="m4077,1033l4238,1033m4077,1055l4292,1055e" filled="false" stroked="true" strokeweight="1.099763pt" strokecolor="#ffa7e1">
              <v:path arrowok="t"/>
              <v:stroke dashstyle="solid"/>
            </v:shape>
            <v:line style="position:absolute" from="4077,1077" to="4357,1077" stroked="true" strokeweight="1.099763pt" strokecolor="#ffa7e1">
              <v:stroke dashstyle="solid"/>
            </v:line>
            <v:line style="position:absolute" from="4077,1098" to="4410,1098" stroked="true" strokeweight=".999784pt" strokecolor="#ffa7e1">
              <v:stroke dashstyle="solid"/>
            </v:line>
            <v:line style="position:absolute" from="4077,1125" to="4497,1125" stroked="true" strokeweight="1.699633pt" strokecolor="#ffa7e1">
              <v:stroke dashstyle="solid"/>
            </v:line>
            <v:line style="position:absolute" from="4077,1152" to="4583,1152" stroked="true" strokeweight=".999784pt" strokecolor="#ffa7e1">
              <v:stroke dashstyle="solid"/>
            </v:line>
            <v:line style="position:absolute" from="4077,1173" to="4680,1173" stroked="true" strokeweight="1.099763pt" strokecolor="#ffa7e1">
              <v:stroke dashstyle="solid"/>
            </v:line>
            <v:shape style="position:absolute;left:4076;top:850;width:44;height:98" coordorigin="4077,850" coordsize="44,98" path="m4120,926l4109,926,4109,904,4098,904,4098,850,4077,850,4077,904,4077,926,4077,948,4120,948,4120,926e" filled="true" fillcolor="#ffa7e1" stroked="false">
              <v:path arrowok="t"/>
              <v:fill type="solid"/>
            </v:shape>
            <v:line style="position:absolute" from="4082,232" to="4082,850" stroked="true" strokeweight=".538362pt" strokecolor="#ffa7e1">
              <v:stroke dashstyle="solid"/>
            </v:line>
            <v:shape style="position:absolute;left:324970;top:-253103;width:16009;height:35219" coordorigin="324971,-253103" coordsize="16009,35219" path="m4077,2024l4087,2024,4087,2002,4077,2002,4077,2024m4077,2002l4087,2002,4087,1981,4077,1981,4077,2002m4077,1981l4087,1981,4087,1959,4077,1959,4077,1981m4077,1959l4087,1959,4087,1927,4077,1927,4077,1959m4077,1927l4087,1927,4087,1905,4077,1905,4077,1927m4077,1905l4087,1905,4087,1884,4077,1884,4077,1905m4098,1884l4077,1884,4077,1862,4098,1862,4098,1884m4109,1862l4077,1862,4077,1841,4109,1841,4109,1862m4141,1841l4077,1841,4077,1819,4141,1819,4141,1841m4184,1819l4077,1819,4077,1787,4184,1787,4184,1819e" filled="false" stroked="true" strokeweight=".538246pt" strokecolor="#ffa7e1">
              <v:path arrowok="t"/>
              <v:stroke dashstyle="solid"/>
            </v:shape>
            <v:line style="position:absolute" from="4071,1776" to="4254,1776" stroked="true" strokeweight="1.614391pt" strokecolor="#ffa7e1">
              <v:stroke dashstyle="solid"/>
            </v:line>
            <v:line style="position:absolute" from="4071,1755" to="4330,1755" stroked="true" strokeweight="1.614391pt" strokecolor="#ffa7e1">
              <v:stroke dashstyle="solid"/>
            </v:line>
            <v:line style="position:absolute" from="4071,1733" to="4427,1733" stroked="true" strokeweight="1.614391pt" strokecolor="#ffa7e1">
              <v:stroke dashstyle="solid"/>
            </v:line>
            <v:line style="position:absolute" from="4071,1712" to="4556,1712" stroked="true" strokeweight="1.614398pt" strokecolor="#ffa7e1">
              <v:stroke dashstyle="solid"/>
            </v:line>
            <v:rect style="position:absolute;left:4076;top:1668;width:625;height:33" filled="false" stroked="true" strokeweight=".538131pt" strokecolor="#ffa7e1">
              <v:stroke dashstyle="solid"/>
            </v:rect>
            <v:line style="position:absolute" from="4071,1658" to="4868,1658" stroked="true" strokeweight="1.614391pt" strokecolor="#ffa7e1">
              <v:stroke dashstyle="solid"/>
            </v:line>
            <v:shape style="position:absolute;left:4071;top:1593;width:1411;height:44" coordorigin="4071,1593" coordsize="1411,44" path="m4071,1636l5062,1636m4071,1615l5277,1615m4071,1593l5482,1593e" filled="false" stroked="true" strokeweight="1.614391pt" strokecolor="#ffa7e1">
              <v:path arrowok="t"/>
              <v:stroke dashstyle="solid"/>
            </v:shape>
            <v:line style="position:absolute" from="4071,1572" to="5686,1572" stroked="true" strokeweight="1.614391pt" strokecolor="#ffa7e1">
              <v:stroke dashstyle="solid"/>
            </v:line>
            <v:rect style="position:absolute;left:4076;top:1528;width:1734;height:33" filled="false" stroked="true" strokeweight=".53813pt" strokecolor="#ffa7e1">
              <v:stroke dashstyle="solid"/>
            </v:rect>
            <v:shape style="position:absolute;left:4071;top:1480;width:1831;height:54" coordorigin="4071,1480" coordsize="1831,54" path="m5902,1480l4071,1480,4071,1502,4071,1513,4071,1534,5902,1534,5902,1513,5902,1502,5902,1480e" filled="true" fillcolor="#ffa7e1" stroked="false">
              <v:path arrowok="t"/>
              <v:fill type="solid"/>
            </v:shape>
            <v:line style="position:absolute" from="4071,1475" to="5869,1475" stroked="true" strokeweight="1.614391pt" strokecolor="#ffa7e1">
              <v:stroke dashstyle="solid"/>
            </v:line>
            <v:line style="position:absolute" from="4071,1453" to="5816,1453" stroked="true" strokeweight="1.614391pt" strokecolor="#ffa7e1">
              <v:stroke dashstyle="solid"/>
            </v:line>
            <v:line style="position:absolute" from="4071,1432" to="5751,1432" stroked="true" strokeweight="1.614391pt" strokecolor="#ffa7e1">
              <v:stroke dashstyle="solid"/>
            </v:line>
            <v:rect style="position:absolute;left:4076;top:1388;width:1583;height:33" filled="false" stroked="true" strokeweight=".53813pt" strokecolor="#ffa7e1">
              <v:stroke dashstyle="solid"/>
            </v:rect>
            <v:shape style="position:absolute;left:4071;top:1292;width:1519;height:87" coordorigin="4071,1292" coordsize="1519,87" path="m4071,1378l5589,1378m4071,1357l5493,1357m4071,1335l5449,1335m4071,1314l5363,1314m4071,1292l5288,1292e" filled="false" stroked="true" strokeweight="1.614391pt" strokecolor="#ffa7e1">
              <v:path arrowok="t"/>
              <v:stroke dashstyle="solid"/>
            </v:shape>
            <v:rect style="position:absolute;left:4076;top:1248;width:1142;height:33" filled="false" stroked="true" strokeweight=".538131pt" strokecolor="#ffa7e1">
              <v:stroke dashstyle="solid"/>
            </v:rect>
            <v:line style="position:absolute" from="4071,1238" to="5105,1238" stroked="true" strokeweight="1.614391pt" strokecolor="#ffa7e1">
              <v:stroke dashstyle="solid"/>
            </v:line>
            <v:line style="position:absolute" from="4071,1217" to="4933,1217" stroked="true" strokeweight="1.614391pt" strokecolor="#ffa7e1">
              <v:stroke dashstyle="solid"/>
            </v:line>
            <v:shape style="position:absolute;left:4071;top:1173;width:743;height:22" coordorigin="4071,1174" coordsize="743,22" path="m4071,1195l4814,1195m4071,1174l4685,1174e" filled="false" stroked="true" strokeweight="1.614391pt" strokecolor="#ffa7e1">
              <v:path arrowok="t"/>
              <v:stroke dashstyle="solid"/>
            </v:shape>
            <v:line style="position:absolute" from="4071,1152" to="4588,1152" stroked="true" strokeweight="1.614391pt" strokecolor="#ffa7e1">
              <v:stroke dashstyle="solid"/>
            </v:line>
            <v:rect style="position:absolute;left:4076;top:1109;width:420;height:33" filled="false" stroked="true" strokeweight=".538132pt" strokecolor="#ffa7e1">
              <v:stroke dashstyle="solid"/>
            </v:rect>
            <v:shape style="position:absolute;left:4071;top:1055;width:345;height:44" coordorigin="4071,1055" coordsize="345,44" path="m4071,1098l4416,1098m4071,1077l4362,1077m4071,1055l4297,1055e" filled="false" stroked="true" strokeweight="1.614391pt" strokecolor="#ffa7e1">
              <v:path arrowok="t"/>
              <v:stroke dashstyle="solid"/>
            </v:shape>
            <v:line style="position:absolute" from="4071,1034" to="4244,1034" stroked="true" strokeweight="1.614391pt" strokecolor="#ffa7e1">
              <v:stroke dashstyle="solid"/>
            </v:line>
            <v:shape style="position:absolute;left:324970;top:-104225;width:19211;height:117664" coordorigin="324971,-104225" coordsize="19211,117664" path="m4206,1023l4077,1023,4077,991,4206,991,4206,1023m4163,991l4077,991,4077,969,4163,969,4163,991m4141,969l4077,969,4077,948,4141,948,4141,969m4120,948l4077,948,4077,926,4120,926,4120,948m4109,926l4077,926,4077,905,4109,905,4109,926m4098,905l4077,905,4077,883,4098,883,4098,905m4098,883l4077,883,4077,851,4098,851,4098,883m4077,851l4087,851,4087,829,4077,829,4077,851m4077,829l4087,829,4087,808,4077,808,4077,829m4077,808l4087,808,4087,786,4077,786,4077,808m4077,786l4087,786,4087,765,4077,765,4077,786m4077,765l4087,765,4087,743,4077,743,4077,765m4077,743l4087,743,4087,711,4077,711,4077,743m4077,711l4087,711,4087,689,4077,689,4077,711m4077,689l4087,689,4087,668,4077,668,4077,689m4077,668l4087,668,4087,646,4077,646,4077,668m4077,646l4087,646,4087,625,4077,625,4077,646m4077,625l4087,625,4087,603,4077,603,4077,625m4077,603l4087,603,4087,571,4077,571,4077,603m4077,571l4087,571,4087,549,4077,549,4077,571m4077,549l4087,549,4087,528,4077,528,4077,549m4077,528l4087,528,4087,506,4077,506,4077,528m4077,506l4087,506,4087,485,4077,485,4077,506m4077,485l4087,485,4087,453,4077,453,4077,485m4077,453l4087,453,4087,431,4077,431,4077,453m4077,431l4087,431,4087,409,4077,409,4077,431m4077,409l4087,409,4087,388,4077,388,4077,409m4077,388l4087,388,4087,366,4077,366,4077,388m4077,366l4087,366,4087,345,4077,345,4077,366m4077,345l4087,345,4087,313,4077,313,4077,345m4077,313l4087,313,4087,291,4077,291,4077,313m4077,291l4087,291,4087,270,4077,270,4077,291m4077,270l4087,270,4087,248,4077,248,4077,270m4077,248l4087,248,4087,232e" filled="false" stroked="true" strokeweight=".538246pt" strokecolor="#ffa7e1">
              <v:path arrowok="t"/>
              <v:stroke dashstyle="solid"/>
            </v:shape>
            <v:line style="position:absolute" from="4071,240" to="4082,240" stroked="true" strokeweight=".807771pt" strokecolor="#ffa7e1">
              <v:stroke dashstyle="solid"/>
            </v:line>
            <v:shape style="position:absolute;left:-513773;top:-267184;width:147205;height:281421" coordorigin="-513773,-267183" coordsize="147205,281421" path="m3538,237l3538,2336m2989,237l2989,2336m2440,237l2440,2336e" filled="false" stroked="true" strokeweight=".538245pt" strokecolor="#f1f1f1">
              <v:path arrowok="t"/>
              <v:stroke dashstyle="solid"/>
            </v:shape>
            <v:line style="position:absolute" from="6273,2336" to="1891,2336" stroked="true" strokeweight=".53813pt" strokecolor="#bebebe">
              <v:stroke dashstyle="solid"/>
            </v:line>
            <v:shape style="position:absolute;left:-651543;top:6233;width:651543;height:8005" coordorigin="-651542,6233" coordsize="651543,8005" path="m6273,2336l6273,2390m5724,2336l5724,2390m5175,2336l5175,2390m4626,2336l4626,2390m4077,2336l4077,2390m3538,2336l3538,2390m2989,2336l2989,2390m2440,2336l2440,2390m1891,2336l1891,2390e" filled="false" stroked="true" strokeweight=".538246pt" strokecolor="#bebebe">
              <v:path arrowok="t"/>
              <v:stroke dashstyle="solid"/>
            </v:shape>
            <v:line style="position:absolute" from="1891,2336" to="1891,237" stroked="true" strokeweight=".538362pt" strokecolor="#bebebe">
              <v:stroke dashstyle="solid"/>
            </v:line>
            <v:shape style="position:absolute;left:0;top:14237;width:16711;height:651711" coordorigin="0,14237" coordsize="16711,651711" path="m1837,2336l1891,2336m1837,2110l1891,2110m1837,1873l1891,1873m1837,1636l1891,1636m1837,1400l1891,1400m1837,1174l1891,1174m1837,937l1891,937m1837,700l1891,700m1837,474l1891,474m1837,237l1891,237e" filled="false" stroked="true" strokeweight=".538245pt" strokecolor="#bebebe">
              <v:path arrowok="t"/>
              <v:stroke dashstyle="solid"/>
            </v:shape>
            <w10:wrap type="none"/>
          </v:group>
        </w:pict>
      </w:r>
      <w:r>
        <w:rPr>
          <w:rFonts w:ascii="Calibri"/>
          <w:spacing w:val="-7"/>
          <w:sz w:val="16"/>
        </w:rPr>
        <w:t>90</w:t>
      </w:r>
    </w:p>
    <w:p>
      <w:pPr>
        <w:spacing w:before="38"/>
        <w:ind w:left="1465" w:right="0" w:firstLine="0"/>
        <w:jc w:val="left"/>
        <w:rPr>
          <w:rFonts w:ascii="Calibri"/>
          <w:sz w:val="16"/>
        </w:rPr>
      </w:pPr>
      <w:r>
        <w:rPr>
          <w:rFonts w:ascii="Calibri"/>
          <w:spacing w:val="-7"/>
          <w:sz w:val="16"/>
        </w:rPr>
        <w:t>80</w:t>
      </w:r>
    </w:p>
    <w:p>
      <w:pPr>
        <w:spacing w:before="39"/>
        <w:ind w:left="1465" w:right="0" w:firstLine="0"/>
        <w:jc w:val="left"/>
        <w:rPr>
          <w:rFonts w:ascii="Calibri"/>
          <w:sz w:val="16"/>
        </w:rPr>
      </w:pPr>
      <w:r>
        <w:rPr>
          <w:rFonts w:ascii="Calibri"/>
          <w:spacing w:val="-7"/>
          <w:sz w:val="16"/>
        </w:rPr>
        <w:t>70</w:t>
      </w:r>
    </w:p>
    <w:p>
      <w:pPr>
        <w:spacing w:before="38"/>
        <w:ind w:left="1465" w:right="0" w:firstLine="0"/>
        <w:jc w:val="left"/>
        <w:rPr>
          <w:rFonts w:ascii="Calibri"/>
          <w:sz w:val="16"/>
        </w:rPr>
      </w:pPr>
      <w:r>
        <w:rPr>
          <w:rFonts w:ascii="Calibri"/>
          <w:spacing w:val="-7"/>
          <w:sz w:val="16"/>
        </w:rPr>
        <w:t>60</w:t>
      </w:r>
    </w:p>
    <w:p>
      <w:pPr>
        <w:spacing w:before="39"/>
        <w:ind w:left="1465" w:right="0" w:firstLine="0"/>
        <w:jc w:val="left"/>
        <w:rPr>
          <w:rFonts w:ascii="Calibri"/>
          <w:sz w:val="16"/>
        </w:rPr>
      </w:pPr>
      <w:r>
        <w:rPr/>
        <w:pict>
          <v:shape style="position:absolute;margin-left:69.129776pt;margin-top:6.8136pt;width:9pt;height:12.5pt;mso-position-horizontal-relative:page;mso-position-vertical-relative:paragraph;z-index:252525568" type="#_x0000_t202" filled="false" stroked="false">
            <v:textbox inset="0,0,0,0" style="layout-flow:vertical;mso-layout-flow-alt:bottom-to-top">
              <w:txbxContent>
                <w:p>
                  <w:pPr>
                    <w:spacing w:line="163" w:lineRule="exact" w:before="0"/>
                    <w:ind w:left="20" w:right="0" w:firstLine="0"/>
                    <w:jc w:val="left"/>
                    <w:rPr>
                      <w:rFonts w:ascii="Calibri"/>
                      <w:sz w:val="14"/>
                    </w:rPr>
                  </w:pPr>
                  <w:r>
                    <w:rPr>
                      <w:rFonts w:ascii="Calibri"/>
                      <w:color w:val="A6A6A6"/>
                      <w:sz w:val="14"/>
                    </w:rPr>
                    <w:t>Age</w:t>
                  </w:r>
                </w:p>
              </w:txbxContent>
            </v:textbox>
            <w10:wrap type="none"/>
          </v:shape>
        </w:pict>
      </w:r>
      <w:r>
        <w:rPr>
          <w:rFonts w:ascii="Calibri"/>
          <w:spacing w:val="-7"/>
          <w:sz w:val="16"/>
        </w:rPr>
        <w:t>50</w:t>
      </w:r>
    </w:p>
    <w:p>
      <w:pPr>
        <w:spacing w:before="38"/>
        <w:ind w:left="1465" w:right="0" w:firstLine="0"/>
        <w:jc w:val="left"/>
        <w:rPr>
          <w:rFonts w:ascii="Calibri"/>
          <w:sz w:val="16"/>
        </w:rPr>
      </w:pPr>
      <w:r>
        <w:rPr>
          <w:rFonts w:ascii="Calibri"/>
          <w:spacing w:val="-7"/>
          <w:sz w:val="16"/>
        </w:rPr>
        <w:t>40</w:t>
      </w:r>
    </w:p>
    <w:p>
      <w:pPr>
        <w:spacing w:before="39"/>
        <w:ind w:left="1465" w:right="0" w:firstLine="0"/>
        <w:jc w:val="left"/>
        <w:rPr>
          <w:rFonts w:ascii="Calibri"/>
          <w:sz w:val="16"/>
        </w:rPr>
      </w:pPr>
      <w:r>
        <w:rPr>
          <w:rFonts w:ascii="Calibri"/>
          <w:spacing w:val="-7"/>
          <w:sz w:val="16"/>
        </w:rPr>
        <w:t>30</w:t>
      </w:r>
    </w:p>
    <w:p>
      <w:pPr>
        <w:spacing w:before="38"/>
        <w:ind w:left="1465" w:right="0" w:firstLine="0"/>
        <w:jc w:val="left"/>
        <w:rPr>
          <w:rFonts w:ascii="Calibri"/>
          <w:sz w:val="16"/>
        </w:rPr>
      </w:pPr>
      <w:r>
        <w:rPr>
          <w:rFonts w:ascii="Calibri"/>
          <w:spacing w:val="-7"/>
          <w:sz w:val="16"/>
        </w:rPr>
        <w:t>20</w:t>
      </w:r>
    </w:p>
    <w:p>
      <w:pPr>
        <w:spacing w:before="39"/>
        <w:ind w:left="1465" w:right="0" w:firstLine="0"/>
        <w:jc w:val="left"/>
        <w:rPr>
          <w:rFonts w:ascii="Calibri"/>
          <w:sz w:val="16"/>
        </w:rPr>
      </w:pPr>
      <w:r>
        <w:rPr>
          <w:rFonts w:ascii="Calibri"/>
          <w:spacing w:val="-7"/>
          <w:sz w:val="16"/>
        </w:rPr>
        <w:t>10</w:t>
      </w:r>
    </w:p>
    <w:p>
      <w:pPr>
        <w:spacing w:before="38"/>
        <w:ind w:left="1545" w:right="0" w:firstLine="0"/>
        <w:jc w:val="left"/>
        <w:rPr>
          <w:rFonts w:ascii="Calibri"/>
          <w:sz w:val="16"/>
        </w:rPr>
      </w:pPr>
      <w:r>
        <w:rPr>
          <w:rFonts w:ascii="Calibri"/>
          <w:w w:val="100"/>
          <w:sz w:val="16"/>
        </w:rPr>
        <w:t>0</w:t>
      </w:r>
    </w:p>
    <w:p>
      <w:pPr>
        <w:spacing w:before="10"/>
        <w:ind w:left="1552" w:right="0" w:firstLine="0"/>
        <w:jc w:val="left"/>
        <w:rPr>
          <w:rFonts w:ascii="Calibri"/>
          <w:sz w:val="16"/>
        </w:rPr>
      </w:pPr>
      <w:r>
        <w:rPr>
          <w:rFonts w:ascii="Calibri"/>
          <w:spacing w:val="-4"/>
          <w:sz w:val="16"/>
        </w:rPr>
        <w:t>80,000</w:t>
      </w:r>
    </w:p>
    <w:p>
      <w:pPr>
        <w:pStyle w:val="BodyText"/>
        <w:rPr>
          <w:rFonts w:ascii="Calibri"/>
          <w:sz w:val="16"/>
        </w:rPr>
      </w:pPr>
      <w:r>
        <w:rPr/>
        <w:br w:type="column"/>
      </w:r>
      <w:r>
        <w:rPr>
          <w:rFonts w:ascii="Calibri"/>
          <w:sz w:val="16"/>
        </w:rPr>
      </w: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spacing w:before="9"/>
        <w:rPr>
          <w:rFonts w:ascii="Calibri"/>
          <w:sz w:val="23"/>
        </w:rPr>
      </w:pPr>
    </w:p>
    <w:p>
      <w:pPr>
        <w:spacing w:before="0"/>
        <w:ind w:left="76" w:right="0" w:firstLine="0"/>
        <w:jc w:val="left"/>
        <w:rPr>
          <w:rFonts w:ascii="Calibri"/>
          <w:sz w:val="16"/>
        </w:rPr>
      </w:pPr>
      <w:r>
        <w:rPr>
          <w:rFonts w:ascii="Calibri"/>
          <w:spacing w:val="-4"/>
          <w:sz w:val="16"/>
        </w:rPr>
        <w:t>60,000</w:t>
      </w:r>
    </w:p>
    <w:p>
      <w:pPr>
        <w:pStyle w:val="BodyText"/>
        <w:rPr>
          <w:rFonts w:ascii="Calibri"/>
          <w:sz w:val="16"/>
        </w:rPr>
      </w:pPr>
      <w:r>
        <w:rPr/>
        <w:br w:type="column"/>
      </w:r>
      <w:r>
        <w:rPr>
          <w:rFonts w:ascii="Calibri"/>
          <w:sz w:val="16"/>
        </w:rPr>
      </w: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spacing w:before="9"/>
        <w:rPr>
          <w:rFonts w:ascii="Calibri"/>
          <w:sz w:val="23"/>
        </w:rPr>
      </w:pPr>
    </w:p>
    <w:p>
      <w:pPr>
        <w:spacing w:before="0"/>
        <w:ind w:left="76" w:right="0" w:firstLine="0"/>
        <w:jc w:val="left"/>
        <w:rPr>
          <w:rFonts w:ascii="Calibri"/>
          <w:sz w:val="16"/>
        </w:rPr>
      </w:pPr>
      <w:r>
        <w:rPr>
          <w:rFonts w:ascii="Calibri"/>
          <w:spacing w:val="-4"/>
          <w:sz w:val="16"/>
        </w:rPr>
        <w:t>40,000</w:t>
      </w:r>
    </w:p>
    <w:p>
      <w:pPr>
        <w:pStyle w:val="BodyText"/>
        <w:rPr>
          <w:rFonts w:ascii="Calibri"/>
          <w:sz w:val="16"/>
        </w:rPr>
      </w:pPr>
      <w:r>
        <w:rPr/>
        <w:br w:type="column"/>
      </w:r>
      <w:r>
        <w:rPr>
          <w:rFonts w:ascii="Calibri"/>
          <w:sz w:val="16"/>
        </w:rPr>
      </w: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spacing w:before="9"/>
        <w:rPr>
          <w:rFonts w:ascii="Calibri"/>
          <w:sz w:val="23"/>
        </w:rPr>
      </w:pPr>
    </w:p>
    <w:p>
      <w:pPr>
        <w:spacing w:before="0"/>
        <w:ind w:left="76" w:right="0" w:firstLine="0"/>
        <w:jc w:val="left"/>
        <w:rPr>
          <w:rFonts w:ascii="Calibri"/>
          <w:sz w:val="16"/>
        </w:rPr>
      </w:pPr>
      <w:r>
        <w:rPr>
          <w:rFonts w:ascii="Calibri"/>
          <w:spacing w:val="-4"/>
          <w:sz w:val="16"/>
        </w:rPr>
        <w:t>20,000</w:t>
      </w:r>
    </w:p>
    <w:p>
      <w:pPr>
        <w:pStyle w:val="BodyText"/>
        <w:rPr>
          <w:rFonts w:ascii="Calibri"/>
          <w:sz w:val="16"/>
        </w:rPr>
      </w:pPr>
      <w:r>
        <w:rPr/>
        <w:br w:type="column"/>
      </w:r>
      <w:r>
        <w:rPr>
          <w:rFonts w:ascii="Calibri"/>
          <w:sz w:val="16"/>
        </w:rPr>
      </w: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spacing w:before="9"/>
        <w:rPr>
          <w:rFonts w:ascii="Calibri"/>
          <w:sz w:val="23"/>
        </w:rPr>
      </w:pPr>
    </w:p>
    <w:p>
      <w:pPr>
        <w:tabs>
          <w:tab w:pos="623" w:val="left" w:leader="none"/>
        </w:tabs>
        <w:spacing w:before="0"/>
        <w:ind w:left="255" w:right="0" w:firstLine="0"/>
        <w:jc w:val="left"/>
        <w:rPr>
          <w:rFonts w:ascii="Calibri"/>
          <w:sz w:val="16"/>
        </w:rPr>
      </w:pPr>
      <w:r>
        <w:rPr>
          <w:rFonts w:ascii="Calibri"/>
          <w:sz w:val="16"/>
        </w:rPr>
        <w:t>0</w:t>
        <w:tab/>
      </w:r>
      <w:r>
        <w:rPr>
          <w:rFonts w:ascii="Calibri"/>
          <w:spacing w:val="-7"/>
          <w:sz w:val="16"/>
        </w:rPr>
        <w:t>20,000</w:t>
      </w:r>
    </w:p>
    <w:p>
      <w:pPr>
        <w:pStyle w:val="BodyText"/>
        <w:rPr>
          <w:rFonts w:ascii="Calibri"/>
          <w:sz w:val="16"/>
        </w:rPr>
      </w:pPr>
      <w:r>
        <w:rPr/>
        <w:br w:type="column"/>
      </w:r>
      <w:r>
        <w:rPr>
          <w:rFonts w:ascii="Calibri"/>
          <w:sz w:val="16"/>
        </w:rPr>
      </w: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spacing w:before="9"/>
        <w:rPr>
          <w:rFonts w:ascii="Calibri"/>
          <w:sz w:val="23"/>
        </w:rPr>
      </w:pPr>
    </w:p>
    <w:p>
      <w:pPr>
        <w:spacing w:before="0"/>
        <w:ind w:left="76" w:right="0" w:firstLine="0"/>
        <w:jc w:val="left"/>
        <w:rPr>
          <w:rFonts w:ascii="Calibri"/>
          <w:sz w:val="16"/>
        </w:rPr>
      </w:pPr>
      <w:r>
        <w:rPr>
          <w:rFonts w:ascii="Calibri"/>
          <w:spacing w:val="-4"/>
          <w:sz w:val="16"/>
        </w:rPr>
        <w:t>40,000</w:t>
      </w:r>
    </w:p>
    <w:p>
      <w:pPr>
        <w:pStyle w:val="BodyText"/>
        <w:rPr>
          <w:rFonts w:ascii="Calibri"/>
          <w:sz w:val="16"/>
        </w:rPr>
      </w:pPr>
      <w:r>
        <w:rPr/>
        <w:br w:type="column"/>
      </w:r>
      <w:r>
        <w:rPr>
          <w:rFonts w:ascii="Calibri"/>
          <w:sz w:val="16"/>
        </w:rPr>
      </w: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spacing w:before="9"/>
        <w:rPr>
          <w:rFonts w:ascii="Calibri"/>
          <w:sz w:val="23"/>
        </w:rPr>
      </w:pPr>
    </w:p>
    <w:p>
      <w:pPr>
        <w:spacing w:before="0"/>
        <w:ind w:left="76" w:right="0" w:firstLine="0"/>
        <w:jc w:val="left"/>
        <w:rPr>
          <w:rFonts w:ascii="Calibri"/>
          <w:sz w:val="16"/>
        </w:rPr>
      </w:pPr>
      <w:r>
        <w:rPr>
          <w:rFonts w:ascii="Calibri"/>
          <w:spacing w:val="-4"/>
          <w:sz w:val="16"/>
        </w:rPr>
        <w:t>60,000</w:t>
      </w:r>
    </w:p>
    <w:p>
      <w:pPr>
        <w:pStyle w:val="BodyText"/>
        <w:rPr>
          <w:rFonts w:ascii="Calibri"/>
          <w:sz w:val="16"/>
        </w:rPr>
      </w:pPr>
      <w:r>
        <w:rPr/>
        <w:br w:type="column"/>
      </w:r>
      <w:r>
        <w:rPr>
          <w:rFonts w:ascii="Calibri"/>
          <w:sz w:val="16"/>
        </w:rPr>
      </w: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spacing w:before="9"/>
        <w:rPr>
          <w:rFonts w:ascii="Calibri"/>
          <w:sz w:val="23"/>
        </w:rPr>
      </w:pPr>
    </w:p>
    <w:p>
      <w:pPr>
        <w:spacing w:before="0"/>
        <w:ind w:left="76" w:right="0" w:firstLine="0"/>
        <w:jc w:val="left"/>
        <w:rPr>
          <w:rFonts w:ascii="Calibri"/>
          <w:sz w:val="16"/>
        </w:rPr>
      </w:pPr>
      <w:r>
        <w:rPr>
          <w:rFonts w:ascii="Calibri"/>
          <w:sz w:val="16"/>
        </w:rPr>
        <w:t>80,000</w:t>
      </w:r>
    </w:p>
    <w:p>
      <w:pPr>
        <w:spacing w:after="0"/>
        <w:jc w:val="left"/>
        <w:rPr>
          <w:rFonts w:ascii="Calibri"/>
          <w:sz w:val="16"/>
        </w:rPr>
        <w:sectPr>
          <w:type w:val="continuous"/>
          <w:pgSz w:w="11910" w:h="16850"/>
          <w:pgMar w:top="1600" w:bottom="280" w:left="120" w:right="0"/>
          <w:cols w:num="8" w:equalWidth="0">
            <w:col w:w="1984" w:space="40"/>
            <w:col w:w="508" w:space="39"/>
            <w:col w:w="508" w:space="39"/>
            <w:col w:w="508" w:space="39"/>
            <w:col w:w="1055" w:space="39"/>
            <w:col w:w="508" w:space="39"/>
            <w:col w:w="508" w:space="39"/>
            <w:col w:w="5937"/>
          </w:cols>
        </w:sectPr>
      </w:pPr>
    </w:p>
    <w:p>
      <w:pPr>
        <w:spacing w:before="41"/>
        <w:ind w:left="3350" w:right="0" w:firstLine="0"/>
        <w:jc w:val="left"/>
        <w:rPr>
          <w:rFonts w:ascii="Calibri"/>
          <w:sz w:val="16"/>
        </w:rPr>
      </w:pPr>
      <w:r>
        <w:rPr>
          <w:rFonts w:ascii="Calibri"/>
          <w:color w:val="A6A6A6"/>
          <w:sz w:val="16"/>
        </w:rPr>
        <w:t>Number of People</w:t>
      </w:r>
    </w:p>
    <w:p>
      <w:pPr>
        <w:pStyle w:val="BodyText"/>
        <w:spacing w:before="8"/>
        <w:rPr>
          <w:rFonts w:ascii="Calibri"/>
          <w:sz w:val="24"/>
        </w:rPr>
      </w:pPr>
    </w:p>
    <w:p>
      <w:pPr>
        <w:pStyle w:val="BodyText"/>
        <w:spacing w:before="93"/>
        <w:ind w:left="900" w:right="1032"/>
      </w:pPr>
      <w:r>
        <w:rPr>
          <w:color w:val="404040"/>
        </w:rPr>
        <w:t>From the chart, we can see that there are a mix of both men and women, albeit with substantially more women at all ages. The people in this class are predominately aged 20 to 60, with class numbers peaking at around the mid-thirties.</w:t>
      </w:r>
    </w:p>
    <w:p>
      <w:pPr>
        <w:pStyle w:val="BodyText"/>
        <w:spacing w:before="9"/>
      </w:pPr>
    </w:p>
    <w:p>
      <w:pPr>
        <w:pStyle w:val="Heading6"/>
        <w:rPr>
          <w:i/>
        </w:rPr>
      </w:pPr>
      <w:r>
        <w:rPr>
          <w:i/>
          <w:color w:val="DF2F1E"/>
        </w:rPr>
        <w:t>Movements into and out of this class</w:t>
      </w:r>
    </w:p>
    <w:p>
      <w:pPr>
        <w:pStyle w:val="BodyText"/>
        <w:spacing w:before="121"/>
        <w:ind w:left="900" w:right="1043"/>
      </w:pPr>
      <w:r>
        <w:rPr>
          <w:color w:val="404040"/>
        </w:rPr>
        <w:t>Over the last three years, an average of 317,300 people (around 20.6% of the people in this class) per annum entered this class from another welfare class (note that owing to the lagged definition, it is not possible to transition directly into this class from outside the welfare system). Over this same period an average of 322,600 people (around 20.9% of people in this class) per annum have transitioned out of the Non IS Family class.</w:t>
      </w:r>
    </w:p>
    <w:p>
      <w:pPr>
        <w:pStyle w:val="BodyText"/>
        <w:spacing w:before="120"/>
        <w:ind w:left="900" w:right="1687"/>
      </w:pPr>
      <w:r>
        <w:rPr>
          <w:color w:val="404040"/>
        </w:rPr>
        <w:t>The following chart shows the breakdown of these transitions by previous / destination class and year of transition.</w:t>
      </w:r>
    </w:p>
    <w:p>
      <w:pPr>
        <w:pStyle w:val="Heading9"/>
        <w:spacing w:before="176"/>
      </w:pPr>
      <w:r>
        <w:rPr>
          <w:color w:val="DF2F1E"/>
        </w:rPr>
        <w:t>Figure 79: Number of people entering class 7 – Non IS Family (by class entered from)</w:t>
      </w:r>
    </w:p>
    <w:p>
      <w:pPr>
        <w:spacing w:before="63"/>
        <w:ind w:left="0" w:right="10083" w:firstLine="0"/>
        <w:jc w:val="right"/>
        <w:rPr>
          <w:rFonts w:ascii="Calibri"/>
          <w:sz w:val="16"/>
        </w:rPr>
      </w:pPr>
      <w:r>
        <w:rPr/>
        <w:pict>
          <v:group style="position:absolute;margin-left:98.294128pt;margin-top:8.160658pt;width:412.55pt;height:144.050pt;mso-position-horizontal-relative:page;mso-position-vertical-relative:paragraph;z-index:252524544" coordorigin="1966,163" coordsize="8251,2881">
            <v:shape style="position:absolute;left:1971;top:2136;width:8240;height:2" coordorigin="1972,2137" coordsize="8240,0" path="m9963,2137l10211,2137m9138,2137l9633,2137m8313,2137l8808,2137m7488,2137l7983,2137m6663,2137l7158,2137m5838,2137l6333,2137m5025,2137l5520,2137m4200,2137l4695,2137m3374,2137l3869,2137m2549,2137l3044,2137m1972,2137l2219,2137e" filled="false" stroked="true" strokeweight=".589103pt" strokecolor="#d9d9d9">
              <v:path arrowok="t"/>
              <v:stroke dashstyle="solid"/>
            </v:shape>
            <v:rect style="position:absolute;left:2219;top:2242;width:331;height:165" filled="true" fillcolor="#009544" stroked="false">
              <v:fill type="solid"/>
            </v:rect>
            <v:rect style="position:absolute;left:2219;top:2018;width:331;height:224" filled="true" fillcolor="#e16b09" stroked="false">
              <v:fill type="solid"/>
            </v:rect>
            <v:line style="position:absolute" from="3044,2402" to="3374,2402" stroked="true" strokeweight=".589112pt" strokecolor="#1f487c">
              <v:stroke dashstyle="solid"/>
            </v:line>
            <v:rect style="position:absolute;left:3044;top:2230;width:331;height:165" filled="true" fillcolor="#009544" stroked="false">
              <v:fill type="solid"/>
            </v:rect>
            <v:rect style="position:absolute;left:3044;top:2042;width:331;height:189" filled="true" fillcolor="#e16b09" stroked="false">
              <v:fill type="solid"/>
            </v:rect>
            <v:line style="position:absolute" from="3870,2402" to="4200,2402" stroked="true" strokeweight=".589112pt" strokecolor="#1f487c">
              <v:stroke dashstyle="solid"/>
            </v:line>
            <v:rect style="position:absolute;left:3869;top:2230;width:331;height:165" filled="true" fillcolor="#009544" stroked="false">
              <v:fill type="solid"/>
            </v:rect>
            <v:rect style="position:absolute;left:3869;top:2042;width:331;height:189" filled="true" fillcolor="#e16b09" stroked="false">
              <v:fill type="solid"/>
            </v:rect>
            <v:line style="position:absolute" from="4695,2402" to="5025,2402" stroked="true" strokeweight=".589112pt" strokecolor="#1f487c">
              <v:stroke dashstyle="solid"/>
            </v:line>
            <v:rect style="position:absolute;left:4694;top:2219;width:331;height:177" filled="true" fillcolor="#009544" stroked="false">
              <v:fill type="solid"/>
            </v:rect>
            <v:rect style="position:absolute;left:4694;top:2018;width:331;height:201" filled="true" fillcolor="#e16b09" stroked="false">
              <v:fill type="solid"/>
            </v:rect>
            <v:line style="position:absolute" from="5520,2402" to="5838,2402" stroked="true" strokeweight=".589112pt" strokecolor="#1f487c">
              <v:stroke dashstyle="solid"/>
            </v:line>
            <v:rect style="position:absolute;left:5519;top:2219;width:319;height:177" filled="true" fillcolor="#009544" stroked="false">
              <v:fill type="solid"/>
            </v:rect>
            <v:rect style="position:absolute;left:5519;top:2018;width:319;height:201" filled="true" fillcolor="#e16b09" stroked="false">
              <v:fill type="solid"/>
            </v:rect>
            <v:line style="position:absolute" from="6333,2402" to="6663,2402" stroked="true" strokeweight=".589112pt" strokecolor="#1f487c">
              <v:stroke dashstyle="solid"/>
            </v:line>
            <v:rect style="position:absolute;left:6333;top:2219;width:331;height:177" filled="true" fillcolor="#009544" stroked="false">
              <v:fill type="solid"/>
            </v:rect>
            <v:rect style="position:absolute;left:6333;top:2030;width:331;height:189" filled="true" fillcolor="#e16b09" stroked="false">
              <v:fill type="solid"/>
            </v:rect>
            <v:rect style="position:absolute;left:7158;top:2254;width:331;height:154" filled="true" fillcolor="#009544" stroked="false">
              <v:fill type="solid"/>
            </v:rect>
            <v:rect style="position:absolute;left:7158;top:2066;width:331;height:189" filled="true" fillcolor="#e16b09" stroked="false">
              <v:fill type="solid"/>
            </v:rect>
            <v:line style="position:absolute" from="7983,2402" to="8313,2402" stroked="true" strokeweight=".589112pt" strokecolor="#1f487c">
              <v:stroke dashstyle="solid"/>
            </v:line>
            <v:rect style="position:absolute;left:7983;top:2242;width:331;height:154" filled="true" fillcolor="#009544" stroked="false">
              <v:fill type="solid"/>
            </v:rect>
            <v:rect style="position:absolute;left:7983;top:2066;width:331;height:177" filled="true" fillcolor="#e16b09" stroked="false">
              <v:fill type="solid"/>
            </v:rect>
            <v:line style="position:absolute" from="8808,2402" to="9138,2402" stroked="true" strokeweight=".589112pt" strokecolor="#1f487c">
              <v:stroke dashstyle="solid"/>
            </v:line>
            <v:rect style="position:absolute;left:8808;top:2230;width:331;height:165" filled="true" fillcolor="#009544" stroked="false">
              <v:fill type="solid"/>
            </v:rect>
            <v:rect style="position:absolute;left:8808;top:2066;width:331;height:165" filled="true" fillcolor="#e16b09" stroked="false">
              <v:fill type="solid"/>
            </v:rect>
            <v:line style="position:absolute" from="9633,2402" to="9963,2402" stroked="true" strokeweight=".589112pt" strokecolor="#1f487c">
              <v:stroke dashstyle="solid"/>
            </v:line>
            <v:rect style="position:absolute;left:9633;top:2230;width:331;height:165" filled="true" fillcolor="#009544" stroked="false">
              <v:fill type="solid"/>
            </v:rect>
            <v:rect style="position:absolute;left:9633;top:2077;width:331;height:154" filled="true" fillcolor="#e16b09" stroked="false">
              <v:fill type="solid"/>
            </v:rect>
            <v:shape style="position:absolute;left:2219;top:2013;width:7745;height:59" coordorigin="2219,2013" coordsize="7745,59" path="m2219,2013l2549,2013m3044,2037l3374,2037m3869,2037l4200,2037m4695,2013l5025,2013m5520,2013l5838,2013m6333,2025l6663,2025m7158,2060l7488,2060m7983,2060l8313,2060m8808,2060l9138,2060m9633,2072l9963,2072e" filled="false" stroked="true" strokeweight=".589103pt" strokecolor="#e08ad6">
              <v:path arrowok="t"/>
              <v:stroke dashstyle="solid"/>
            </v:shape>
            <v:shape style="position:absolute;left:2219;top:2001;width:7745;height:59" coordorigin="2219,2001" coordsize="7745,59" path="m2219,2001l2549,2001m3044,2037l3374,2037m3869,2025l4200,2025m4695,2001l5025,2001m5520,2001l5838,2001m6333,2025l6663,2025m7158,2060l7488,2060m7983,2060l8313,2060m8808,2060l9138,2060m9633,2060l9963,2060e" filled="false" stroked="true" strokeweight=".589103pt" strokecolor="#8063a1">
              <v:path arrowok="t"/>
              <v:stroke dashstyle="solid"/>
            </v:shape>
            <v:shape style="position:absolute;left:2219;top:2001;width:7745;height:59" coordorigin="2219,2001" coordsize="7745,59" path="m2219,2001l2549,2001m3044,2037l3374,2037m3869,2025l4200,2025m4695,2001l5025,2001m5520,2001l5838,2001m6333,2013l6663,2013m7158,2060l7488,2060m7983,2048l8313,2048m8808,2060l9138,2060m9633,2060l9963,2060e" filled="false" stroked="true" strokeweight=".589103pt" strokecolor="#c0504d">
              <v:path arrowok="t"/>
              <v:stroke dashstyle="solid"/>
            </v:shape>
            <v:shape style="position:absolute;left:2219;top:1971;width:7745;height:95" coordorigin="2219,1972" coordsize="7745,95" path="m2549,1972l2219,1972,2219,2007,2549,2007,2549,1972m3374,2007l3044,2007,3044,2042,3374,2042,3374,2007m4200,2007l3869,2007,3869,2031,4200,2031,4200,2007m5025,1984l4695,1984,4695,2007,5025,2007,5025,1984m5838,1984l5520,1984,5520,2007,5838,2007,5838,1984m6663,1995l6333,1995,6333,2019,6663,2019,6663,1995m7488,2031l7158,2031,7158,2066,7488,2066,7488,2031m8313,2031l7983,2031,7983,2054,8313,2054,8313,2031m9138,2031l8808,2031,8808,2066,9138,2066,9138,2031m9963,2042l9633,2042,9633,2066,9963,2066,9963,2042e" filled="true" fillcolor="#ecb8e7" stroked="false">
              <v:path arrowok="t"/>
              <v:fill type="solid"/>
            </v:shape>
            <v:shape style="position:absolute;left:1971;top:1017;width:1073;height:837" coordorigin="1972,1017" coordsize="1073,837" path="m2549,1854l3044,1854m1972,1854l2219,1854m2549,1571l3044,1571m1972,1571l2219,1571m2549,1288l3044,1288m1972,1288l2219,1288m2549,1017l3044,1017m1972,1017l2219,1017e" filled="false" stroked="true" strokeweight=".589103pt" strokecolor="#d9d9d9">
              <v:path arrowok="t"/>
              <v:stroke dashstyle="solid"/>
            </v:shape>
            <v:rect style="position:absolute;left:2219;top:876;width:331;height:1096" filled="true" fillcolor="#938953" stroked="false">
              <v:fill type="solid"/>
            </v:rect>
            <v:shape style="position:absolute;left:1971;top:734;width:1898;height:1120" coordorigin="1972,735" coordsize="1898,1120" path="m3374,1854l3869,1854m3374,1571l3869,1571m3374,1288l3869,1288m3374,1017l3869,1017m3374,735l3869,735m1972,735l3044,735e" filled="false" stroked="true" strokeweight=".589103pt" strokecolor="#d9d9d9">
              <v:path arrowok="t"/>
              <v:stroke dashstyle="solid"/>
            </v:shape>
            <v:rect style="position:absolute;left:3044;top:640;width:331;height:1367" filled="true" fillcolor="#938953" stroked="false">
              <v:fill type="solid"/>
            </v:rect>
            <v:shape style="position:absolute;left:4199;top:734;width:496;height:1120" coordorigin="4200,735" coordsize="496,1120" path="m4200,1854l4695,1854m4200,1571l4695,1571m4200,1288l4695,1288m4200,1017l4695,1017m4200,735l4695,735e" filled="false" stroked="true" strokeweight=".589103pt" strokecolor="#d9d9d9">
              <v:path arrowok="t"/>
              <v:stroke dashstyle="solid"/>
            </v:shape>
            <v:rect style="position:absolute;left:3869;top:675;width:331;height:1332" filled="true" fillcolor="#938953" stroked="false">
              <v:fill type="solid"/>
            </v:rect>
            <v:shape style="position:absolute;left:5024;top:734;width:496;height:1120" coordorigin="5025,735" coordsize="496,1120" path="m5025,1854l5520,1854m5025,1571l5520,1571m5025,1288l5520,1288m5025,1017l5520,1017m5025,735l5520,735e" filled="false" stroked="true" strokeweight=".589103pt" strokecolor="#d9d9d9">
              <v:path arrowok="t"/>
              <v:stroke dashstyle="solid"/>
            </v:shape>
            <v:rect style="position:absolute;left:4694;top:640;width:331;height:1344" filled="true" fillcolor="#938953" stroked="false">
              <v:fill type="solid"/>
            </v:rect>
            <v:shape style="position:absolute;left:5837;top:734;width:496;height:1120" coordorigin="5838,735" coordsize="496,1120" path="m5838,1854l6333,1854m5838,1571l6333,1571m5838,1288l6333,1288m5838,1017l6333,1017m5838,735l6333,735e" filled="false" stroked="true" strokeweight=".589103pt" strokecolor="#d9d9d9">
              <v:path arrowok="t"/>
              <v:stroke dashstyle="solid"/>
            </v:shape>
            <v:rect style="position:absolute;left:5519;top:593;width:319;height:1391" filled="true" fillcolor="#938953" stroked="false">
              <v:fill type="solid"/>
            </v:rect>
            <v:shape style="position:absolute;left:6663;top:734;width:496;height:1120" coordorigin="6663,735" coordsize="496,1120" path="m6663,1854l7158,1854m6663,1571l7158,1571m6663,1288l7158,1288m6663,1017l7158,1017m6663,735l7158,735e" filled="false" stroked="true" strokeweight=".589103pt" strokecolor="#d9d9d9">
              <v:path arrowok="t"/>
              <v:stroke dashstyle="solid"/>
            </v:shape>
            <v:rect style="position:absolute;left:6333;top:534;width:331;height:1461" filled="true" fillcolor="#938953" stroked="false">
              <v:fill type="solid"/>
            </v:rect>
            <v:shape style="position:absolute;left:7488;top:734;width:496;height:1120" coordorigin="7488,735" coordsize="496,1120" path="m7488,1854l7983,1854m7488,1571l7983,1571m7488,1288l7983,1288m7488,1017l7983,1017m7488,735l7983,735e" filled="false" stroked="true" strokeweight=".589103pt" strokecolor="#d9d9d9">
              <v:path arrowok="t"/>
              <v:stroke dashstyle="solid"/>
            </v:shape>
            <v:rect style="position:absolute;left:7158;top:534;width:331;height:1497" filled="true" fillcolor="#938953" stroked="false">
              <v:fill type="solid"/>
            </v:rect>
            <v:shape style="position:absolute;left:8313;top:734;width:496;height:1120" coordorigin="8313,735" coordsize="496,1120" path="m8313,1854l8808,1854m8313,1571l8808,1571m8313,1288l8808,1288m8313,1017l8808,1017m8313,735l8808,735e" filled="false" stroked="true" strokeweight=".589103pt" strokecolor="#d9d9d9">
              <v:path arrowok="t"/>
              <v:stroke dashstyle="solid"/>
            </v:shape>
            <v:rect style="position:absolute;left:7983;top:557;width:331;height:1473" filled="true" fillcolor="#938953" stroked="false">
              <v:fill type="solid"/>
            </v:rect>
            <v:shape style="position:absolute;left:9138;top:734;width:496;height:1120" coordorigin="9138,735" coordsize="496,1120" path="m9138,1854l9633,1854m9138,1571l9633,1571m9138,1288l9633,1288m9138,1017l9633,1017m9138,735l9633,735e" filled="false" stroked="true" strokeweight=".589103pt" strokecolor="#d9d9d9">
              <v:path arrowok="t"/>
              <v:stroke dashstyle="solid"/>
            </v:shape>
            <v:rect style="position:absolute;left:8808;top:534;width:331;height:1497" filled="true" fillcolor="#938953" stroked="false">
              <v:fill type="solid"/>
            </v:rect>
            <v:shape style="position:absolute;left:9963;top:734;width:248;height:1120" coordorigin="9963,735" coordsize="248,1120" path="m9963,1854l10211,1854m9963,1571l10211,1571m9963,1288l10211,1288m9963,1017l10211,1017m9963,735l10211,735e" filled="false" stroked="true" strokeweight=".589103pt" strokecolor="#d9d9d9">
              <v:path arrowok="t"/>
              <v:stroke dashstyle="solid"/>
            </v:shape>
            <v:line style="position:absolute" from="1972,452" to="10211,452" stroked="true" strokeweight=".589103pt" strokecolor="#d9d9d9">
              <v:stroke dashstyle="solid"/>
            </v:line>
            <v:rect style="position:absolute;left:9633;top:510;width:331;height:1532" filled="true" fillcolor="#938953" stroked="false">
              <v:fill type="solid"/>
            </v:rect>
            <v:shape style="position:absolute;left:0;top:-17449;width:652743;height:25214" coordorigin="0,-17449" coordsize="652743,25214" path="m1972,2408l10211,2408m1972,2408l1972,2467m1972,2408l1972,2726m2797,2408l2797,2467m2797,2408l2797,2726m3622,2408l3622,2467m3622,2408l3622,2726m4447,2408l4447,2467m4447,2408l4447,2726m5272,2408l5272,2467m5272,2408l5272,2726m6085,2408l6085,2467m6085,2408l6085,2726m6911,2408l6911,2467m6911,2408l6911,2726m7736,2408l7736,2467m7736,2408l7736,2726m8561,2408l8561,2467m8561,2408l8561,2726m9386,2408l9386,2467m9386,2408l9386,2726m10211,2408l10211,2467m10211,2408l10211,2726e" filled="false" stroked="true" strokeweight=".589229pt" strokecolor="#d9d9d9">
              <v:path arrowok="t"/>
              <v:stroke dashstyle="solid"/>
            </v:shape>
            <v:shape style="position:absolute;left:0;top:-17449;width:652743;height:25214" coordorigin="0,-17449" coordsize="652743,25214" path="m1972,2726l1972,3044m6085,2726l6085,3044m10211,2726l10211,3044e" filled="false" stroked="true" strokeweight=".589229pt" strokecolor="#d9d9d9">
              <v:path arrowok="t"/>
              <v:stroke dashstyle="solid"/>
            </v:shape>
            <v:line style="position:absolute" from="1972,169" to="10211,169" stroked="true" strokeweight=".589103pt" strokecolor="#d9d9d9">
              <v:stroke dashstyle="solid"/>
            </v:line>
            <v:line style="position:absolute" from="6104,181" to="6097,2424" stroked="true" strokeweight=".589358pt" strokecolor="#a6a6a6">
              <v:stroke dashstyle="solid"/>
            </v:line>
            <v:shape style="position:absolute;left:2219;top:2547;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2014</w:t>
                    </w:r>
                  </w:p>
                </w:txbxContent>
              </v:textbox>
              <w10:wrap type="none"/>
            </v:shape>
            <v:shape style="position:absolute;left:3042;top:2547;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2015</w:t>
                    </w:r>
                  </w:p>
                </w:txbxContent>
              </v:textbox>
              <w10:wrap type="none"/>
            </v:shape>
            <v:shape style="position:absolute;left:3865;top:2547;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2016</w:t>
                    </w:r>
                  </w:p>
                </w:txbxContent>
              </v:textbox>
              <w10:wrap type="none"/>
            </v:shape>
            <v:shape style="position:absolute;left:4688;top:2547;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2017</w:t>
                    </w:r>
                  </w:p>
                </w:txbxContent>
              </v:textbox>
              <w10:wrap type="none"/>
            </v:shape>
            <v:shape style="position:absolute;left:5511;top:2547;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2018</w:t>
                    </w:r>
                  </w:p>
                </w:txbxContent>
              </v:textbox>
              <w10:wrap type="none"/>
            </v:shape>
            <v:shape style="position:absolute;left:6334;top:2547;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2019</w:t>
                    </w:r>
                  </w:p>
                </w:txbxContent>
              </v:textbox>
              <w10:wrap type="none"/>
            </v:shape>
            <v:shape style="position:absolute;left:7157;top:2547;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2020</w:t>
                    </w:r>
                  </w:p>
                </w:txbxContent>
              </v:textbox>
              <w10:wrap type="none"/>
            </v:shape>
            <v:shape style="position:absolute;left:7980;top:2547;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2021</w:t>
                    </w:r>
                  </w:p>
                </w:txbxContent>
              </v:textbox>
              <w10:wrap type="none"/>
            </v:shape>
            <v:shape style="position:absolute;left:8803;top:2547;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2022</w:t>
                    </w:r>
                  </w:p>
                </w:txbxContent>
              </v:textbox>
              <w10:wrap type="none"/>
            </v:shape>
            <v:shape style="position:absolute;left:9626;top:2547;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2023</w:t>
                    </w:r>
                  </w:p>
                </w:txbxContent>
              </v:textbox>
              <w10:wrap type="none"/>
            </v:shape>
            <v:shape style="position:absolute;left:3776;top:2864;width:4711;height:165" type="#_x0000_t202" filled="false" stroked="false">
              <v:textbox inset="0,0,0,0">
                <w:txbxContent>
                  <w:p>
                    <w:pPr>
                      <w:tabs>
                        <w:tab w:pos="4049" w:val="left" w:leader="none"/>
                      </w:tabs>
                      <w:spacing w:line="165" w:lineRule="exact" w:before="0"/>
                      <w:ind w:left="0" w:right="0" w:firstLine="0"/>
                      <w:jc w:val="left"/>
                      <w:rPr>
                        <w:rFonts w:ascii="Calibri"/>
                        <w:sz w:val="16"/>
                      </w:rPr>
                    </w:pPr>
                    <w:r>
                      <w:rPr>
                        <w:rFonts w:ascii="Calibri"/>
                        <w:color w:val="585858"/>
                        <w:w w:val="105"/>
                        <w:sz w:val="16"/>
                      </w:rPr>
                      <w:t>Historic</w:t>
                      <w:tab/>
                    </w:r>
                    <w:r>
                      <w:rPr>
                        <w:rFonts w:ascii="Calibri"/>
                        <w:color w:val="585858"/>
                        <w:sz w:val="16"/>
                      </w:rPr>
                      <w:t>Projected</w:t>
                    </w:r>
                  </w:p>
                </w:txbxContent>
              </v:textbox>
              <w10:wrap type="none"/>
            </v:shape>
            <w10:wrap type="none"/>
          </v:group>
        </w:pict>
      </w:r>
      <w:r>
        <w:rPr>
          <w:rFonts w:ascii="Calibri"/>
          <w:color w:val="585858"/>
          <w:spacing w:val="-2"/>
          <w:sz w:val="16"/>
        </w:rPr>
        <w:t>400,000</w:t>
      </w:r>
    </w:p>
    <w:p>
      <w:pPr>
        <w:spacing w:before="85"/>
        <w:ind w:left="0" w:right="10083" w:firstLine="0"/>
        <w:jc w:val="right"/>
        <w:rPr>
          <w:rFonts w:ascii="Calibri"/>
          <w:sz w:val="16"/>
        </w:rPr>
      </w:pPr>
      <w:r>
        <w:rPr>
          <w:rFonts w:ascii="Calibri"/>
          <w:color w:val="585858"/>
          <w:spacing w:val="-2"/>
          <w:sz w:val="16"/>
        </w:rPr>
        <w:t>350,000</w:t>
      </w:r>
    </w:p>
    <w:p>
      <w:pPr>
        <w:spacing w:before="85"/>
        <w:ind w:left="0" w:right="10083" w:firstLine="0"/>
        <w:jc w:val="right"/>
        <w:rPr>
          <w:rFonts w:ascii="Calibri"/>
          <w:sz w:val="16"/>
        </w:rPr>
      </w:pPr>
      <w:r>
        <w:rPr>
          <w:rFonts w:ascii="Calibri"/>
          <w:color w:val="585858"/>
          <w:spacing w:val="-2"/>
          <w:sz w:val="16"/>
        </w:rPr>
        <w:t>300,000</w:t>
      </w:r>
    </w:p>
    <w:p>
      <w:pPr>
        <w:spacing w:before="84"/>
        <w:ind w:left="0" w:right="10083" w:firstLine="0"/>
        <w:jc w:val="right"/>
        <w:rPr>
          <w:rFonts w:ascii="Calibri"/>
          <w:sz w:val="16"/>
        </w:rPr>
      </w:pPr>
      <w:r>
        <w:rPr>
          <w:rFonts w:ascii="Calibri"/>
          <w:color w:val="585858"/>
          <w:spacing w:val="-2"/>
          <w:sz w:val="16"/>
        </w:rPr>
        <w:t>250,000</w:t>
      </w:r>
    </w:p>
    <w:p>
      <w:pPr>
        <w:spacing w:before="85"/>
        <w:ind w:left="0" w:right="10083" w:firstLine="0"/>
        <w:jc w:val="right"/>
        <w:rPr>
          <w:rFonts w:ascii="Calibri"/>
          <w:sz w:val="16"/>
        </w:rPr>
      </w:pPr>
      <w:r>
        <w:rPr>
          <w:rFonts w:ascii="Calibri"/>
          <w:color w:val="585858"/>
          <w:spacing w:val="-2"/>
          <w:sz w:val="16"/>
        </w:rPr>
        <w:t>200,000</w:t>
      </w:r>
    </w:p>
    <w:p>
      <w:pPr>
        <w:spacing w:before="85"/>
        <w:ind w:left="0" w:right="10083" w:firstLine="0"/>
        <w:jc w:val="right"/>
        <w:rPr>
          <w:rFonts w:ascii="Calibri"/>
          <w:sz w:val="16"/>
        </w:rPr>
      </w:pPr>
      <w:r>
        <w:rPr>
          <w:rFonts w:ascii="Calibri"/>
          <w:color w:val="585858"/>
          <w:spacing w:val="-2"/>
          <w:sz w:val="16"/>
        </w:rPr>
        <w:t>150,000</w:t>
      </w:r>
    </w:p>
    <w:p>
      <w:pPr>
        <w:spacing w:before="85"/>
        <w:ind w:left="0" w:right="10083" w:firstLine="0"/>
        <w:jc w:val="right"/>
        <w:rPr>
          <w:rFonts w:ascii="Calibri"/>
          <w:sz w:val="16"/>
        </w:rPr>
      </w:pPr>
      <w:r>
        <w:rPr>
          <w:rFonts w:ascii="Calibri"/>
          <w:color w:val="585858"/>
          <w:spacing w:val="-2"/>
          <w:sz w:val="16"/>
        </w:rPr>
        <w:t>100,000</w:t>
      </w:r>
    </w:p>
    <w:p>
      <w:pPr>
        <w:spacing w:before="85"/>
        <w:ind w:left="0" w:right="10082" w:firstLine="0"/>
        <w:jc w:val="right"/>
        <w:rPr>
          <w:rFonts w:ascii="Calibri"/>
          <w:sz w:val="16"/>
        </w:rPr>
      </w:pPr>
      <w:r>
        <w:rPr>
          <w:rFonts w:ascii="Calibri"/>
          <w:color w:val="585858"/>
          <w:spacing w:val="-1"/>
          <w:sz w:val="16"/>
        </w:rPr>
        <w:t>50,000</w:t>
      </w:r>
    </w:p>
    <w:p>
      <w:pPr>
        <w:spacing w:before="84"/>
        <w:ind w:left="0" w:right="10082" w:firstLine="0"/>
        <w:jc w:val="right"/>
        <w:rPr>
          <w:rFonts w:ascii="Calibri"/>
          <w:sz w:val="16"/>
        </w:rPr>
      </w:pPr>
      <w:r>
        <w:rPr>
          <w:rFonts w:ascii="Calibri"/>
          <w:color w:val="585858"/>
          <w:w w:val="103"/>
          <w:sz w:val="16"/>
        </w:rPr>
        <w:t>0</w:t>
      </w:r>
    </w:p>
    <w:p>
      <w:pPr>
        <w:pStyle w:val="BodyText"/>
        <w:rPr>
          <w:rFonts w:ascii="Calibri"/>
        </w:rPr>
      </w:pPr>
    </w:p>
    <w:p>
      <w:pPr>
        <w:pStyle w:val="BodyText"/>
        <w:spacing w:before="5"/>
        <w:rPr>
          <w:rFonts w:ascii="Calibri"/>
          <w:sz w:val="26"/>
        </w:rPr>
      </w:pPr>
    </w:p>
    <w:p>
      <w:pPr>
        <w:spacing w:before="61"/>
        <w:ind w:left="1602" w:right="1423" w:firstLine="0"/>
        <w:jc w:val="center"/>
        <w:rPr>
          <w:rFonts w:ascii="Calibri"/>
          <w:b/>
          <w:sz w:val="19"/>
        </w:rPr>
      </w:pPr>
      <w:r>
        <w:rPr>
          <w:rFonts w:ascii="Calibri"/>
          <w:b/>
          <w:color w:val="585858"/>
          <w:sz w:val="19"/>
        </w:rPr>
        <w:t>Year Ending 30 June</w:t>
      </w:r>
    </w:p>
    <w:p>
      <w:pPr>
        <w:spacing w:after="0"/>
        <w:jc w:val="center"/>
        <w:rPr>
          <w:rFonts w:ascii="Calibri"/>
          <w:sz w:val="19"/>
        </w:rPr>
        <w:sectPr>
          <w:type w:val="continuous"/>
          <w:pgSz w:w="11910" w:h="16850"/>
          <w:pgMar w:top="1600" w:bottom="280" w:left="120" w:right="0"/>
        </w:sect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spacing w:before="11"/>
        <w:rPr>
          <w:rFonts w:ascii="Calibri"/>
          <w:b/>
          <w:sz w:val="18"/>
        </w:rPr>
      </w:pPr>
    </w:p>
    <w:p>
      <w:pPr>
        <w:pStyle w:val="Heading9"/>
        <w:spacing w:before="0"/>
      </w:pPr>
      <w:r>
        <w:rPr>
          <w:color w:val="DF2F1E"/>
        </w:rPr>
        <w:t>Figure 80: Number of people exiting class 7 – Non IS Family (by class exited to)</w:t>
      </w:r>
    </w:p>
    <w:p>
      <w:pPr>
        <w:pStyle w:val="BodyText"/>
        <w:spacing w:before="4"/>
        <w:rPr>
          <w:b/>
          <w:sz w:val="9"/>
        </w:rPr>
      </w:pPr>
    </w:p>
    <w:p>
      <w:pPr>
        <w:spacing w:before="72"/>
        <w:ind w:left="0" w:right="10085" w:firstLine="0"/>
        <w:jc w:val="right"/>
        <w:rPr>
          <w:rFonts w:ascii="Calibri"/>
          <w:sz w:val="16"/>
        </w:rPr>
      </w:pPr>
      <w:r>
        <w:rPr/>
        <w:pict>
          <v:group style="position:absolute;margin-left:98.348862pt;margin-top:8.855597pt;width:412.5pt;height:144.3pt;mso-position-horizontal-relative:page;mso-position-vertical-relative:paragraph;z-index:252537856" coordorigin="1967,177" coordsize="8250,2886">
            <v:shape style="position:absolute;left:5844;top:2141;width:4367;height:2" coordorigin="5844,2142" coordsize="4367,0" path="m9963,2142l10211,2142m9149,2142l9633,2142m8323,2142l8818,2142m7496,2142l7992,2142m6670,2142l7166,2142m5844,2142l6340,2142e" filled="false" stroked="true" strokeweight=".589983pt" strokecolor="#d9d9d9">
              <v:path arrowok="t"/>
              <v:stroke dashstyle="solid"/>
            </v:shape>
            <v:line style="position:absolute" from="6340,2419" to="6670,2419" stroked="true" strokeweight=".589995pt" strokecolor="#1f487c">
              <v:stroke dashstyle="solid"/>
            </v:line>
            <v:rect style="position:absolute;left:6333;top:2407;width:343;height:24" filled="true" fillcolor="#1f487c" stroked="false">
              <v:fill type="solid"/>
            </v:rect>
            <v:rect style="position:absolute;left:6339;top:2318;width:331;height:95" filled="true" fillcolor="#009544" stroked="false">
              <v:fill type="solid"/>
            </v:rect>
            <v:rect style="position:absolute;left:6339;top:2318;width:331;height:95" filled="false" stroked="true" strokeweight=".589993pt" strokecolor="#009544">
              <v:stroke dashstyle="solid"/>
            </v:rect>
            <v:rect style="position:absolute;left:6339;top:2212;width:331;height:107" filled="true" fillcolor="#e16b09" stroked="false">
              <v:fill type="solid"/>
            </v:rect>
            <v:line style="position:absolute" from="7166,2419" to="7496,2419" stroked="true" strokeweight=".589995pt" strokecolor="#1f487c">
              <v:stroke dashstyle="solid"/>
            </v:line>
            <v:rect style="position:absolute;left:7160;top:2407;width:343;height:24" filled="true" fillcolor="#1f487c" stroked="false">
              <v:fill type="solid"/>
            </v:rect>
            <v:rect style="position:absolute;left:7166;top:2318;width:331;height:95" filled="true" fillcolor="#009544" stroked="false">
              <v:fill type="solid"/>
            </v:rect>
            <v:rect style="position:absolute;left:7166;top:2318;width:331;height:95" filled="false" stroked="true" strokeweight=".589993pt" strokecolor="#009544">
              <v:stroke dashstyle="solid"/>
            </v:rect>
            <v:rect style="position:absolute;left:7165;top:2212;width:331;height:107" filled="true" fillcolor="#e16b09" stroked="false">
              <v:fill type="solid"/>
            </v:rect>
            <v:line style="position:absolute" from="7992,2419" to="8323,2419" stroked="true" strokeweight=".589995pt" strokecolor="#1f487c">
              <v:stroke dashstyle="solid"/>
            </v:line>
            <v:rect style="position:absolute;left:7986;top:2407;width:343;height:24" filled="true" fillcolor="#1f487c" stroked="false">
              <v:fill type="solid"/>
            </v:rect>
            <v:rect style="position:absolute;left:7992;top:2318;width:331;height:95" filled="true" fillcolor="#009544" stroked="false">
              <v:fill type="solid"/>
            </v:rect>
            <v:rect style="position:absolute;left:7992;top:2318;width:331;height:95" filled="false" stroked="true" strokeweight=".589993pt" strokecolor="#009544">
              <v:stroke dashstyle="solid"/>
            </v:rect>
            <v:rect style="position:absolute;left:7992;top:2224;width:331;height:95" filled="true" fillcolor="#e16b09" stroked="false">
              <v:fill type="solid"/>
            </v:rect>
            <v:shape style="position:absolute;left:1972;top:2141;width:3541;height:2" coordorigin="1973,2142" coordsize="3541,0" path="m2551,2142l5514,2142m1973,2142l2221,2142e" filled="false" stroked="true" strokeweight=".589983pt" strokecolor="#d9d9d9">
              <v:path arrowok="t"/>
              <v:stroke dashstyle="solid"/>
            </v:shape>
            <v:line style="position:absolute" from="2221,2419" to="2551,2419" stroked="true" strokeweight=".589995pt" strokecolor="#1f487c">
              <v:stroke dashstyle="solid"/>
            </v:line>
            <v:rect style="position:absolute;left:2214;top:2407;width:343;height:24" filled="true" fillcolor="#1f487c" stroked="false">
              <v:fill type="solid"/>
            </v:rect>
            <v:rect style="position:absolute;left:2220;top:2283;width:331;height:130" filled="true" fillcolor="#009544" stroked="false">
              <v:fill type="solid"/>
            </v:rect>
            <v:rect style="position:absolute;left:2220;top:2283;width:331;height:130" filled="false" stroked="true" strokeweight=".590001pt" strokecolor="#009544">
              <v:stroke dashstyle="solid"/>
            </v:rect>
            <v:rect style="position:absolute;left:2220;top:2129;width:331;height:154" filled="true" fillcolor="#e16b09" stroked="false">
              <v:fill type="solid"/>
            </v:rect>
            <v:line style="position:absolute" from="3047,2419" to="3377,2419" stroked="true" strokeweight=".589995pt" strokecolor="#1f487c">
              <v:stroke dashstyle="solid"/>
            </v:line>
            <v:rect style="position:absolute;left:3041;top:2407;width:343;height:24" filled="true" fillcolor="#1f487c" stroked="false">
              <v:fill type="solid"/>
            </v:rect>
            <v:rect style="position:absolute;left:3046;top:2295;width:331;height:118" filled="true" fillcolor="#009544" stroked="false">
              <v:fill type="solid"/>
            </v:rect>
            <v:rect style="position:absolute;left:3046;top:2295;width:331;height:118" filled="false" stroked="true" strokeweight=".589998pt" strokecolor="#009544">
              <v:stroke dashstyle="solid"/>
            </v:rect>
            <v:rect style="position:absolute;left:3046;top:2153;width:331;height:142" filled="true" fillcolor="#e16b09" stroked="false">
              <v:fill type="solid"/>
            </v:rect>
            <v:line style="position:absolute" from="3873,2419" to="4204,2419" stroked="true" strokeweight=".589995pt" strokecolor="#1f487c">
              <v:stroke dashstyle="solid"/>
            </v:line>
            <v:rect style="position:absolute;left:3867;top:2407;width:343;height:24" filled="true" fillcolor="#1f487c" stroked="false">
              <v:fill type="solid"/>
            </v:rect>
            <v:rect style="position:absolute;left:3873;top:2295;width:331;height:118" filled="true" fillcolor="#009544" stroked="false">
              <v:fill type="solid"/>
            </v:rect>
            <v:rect style="position:absolute;left:3873;top:2295;width:331;height:118" filled="false" stroked="true" strokeweight=".589998pt" strokecolor="#009544">
              <v:stroke dashstyle="solid"/>
            </v:rect>
            <v:rect style="position:absolute;left:3873;top:2165;width:331;height:130" filled="true" fillcolor="#e16b09" stroked="false">
              <v:fill type="solid"/>
            </v:rect>
            <v:line style="position:absolute" from="4687,2419" to="5018,2419" stroked="true" strokeweight=".589995pt" strokecolor="#1f487c">
              <v:stroke dashstyle="solid"/>
            </v:line>
            <v:rect style="position:absolute;left:4681;top:2407;width:343;height:24" filled="true" fillcolor="#1f487c" stroked="false">
              <v:fill type="solid"/>
            </v:rect>
            <v:rect style="position:absolute;left:4687;top:2306;width:331;height:107" filled="true" fillcolor="#009544" stroked="false">
              <v:fill type="solid"/>
            </v:rect>
            <v:rect style="position:absolute;left:4687;top:2306;width:331;height:107" filled="false" stroked="true" strokeweight=".589996pt" strokecolor="#009544">
              <v:stroke dashstyle="solid"/>
            </v:rect>
            <v:rect style="position:absolute;left:4687;top:2200;width:331;height:107" filled="true" fillcolor="#e16b09" stroked="false">
              <v:fill type="solid"/>
            </v:rect>
            <v:line style="position:absolute" from="5514,2419" to="5844,2419" stroked="true" strokeweight=".589995pt" strokecolor="#1f487c">
              <v:stroke dashstyle="solid"/>
            </v:line>
            <v:rect style="position:absolute;left:5507;top:2407;width:343;height:24" filled="true" fillcolor="#1f487c" stroked="false">
              <v:fill type="solid"/>
            </v:rect>
            <v:rect style="position:absolute;left:5513;top:2330;width:331;height:83" filled="true" fillcolor="#009544" stroked="false">
              <v:fill type="solid"/>
            </v:rect>
            <v:rect style="position:absolute;left:5513;top:2330;width:331;height:83" filled="false" stroked="true" strokeweight=".589991pt" strokecolor="#009544">
              <v:stroke dashstyle="solid"/>
            </v:rect>
            <v:rect style="position:absolute;left:5513;top:2236;width:331;height:95" filled="true" fillcolor="#e16b09" stroked="false">
              <v:fill type="solid"/>
            </v:rect>
            <v:shape style="position:absolute;left:19610;top:-155444;width:482787;height:15875" coordorigin="19610,-155444" coordsize="482787,15875" path="m2221,2130l2551,2130,2551,2283,2221,2283,2221,2130xm3047,2154l3377,2154,3377,2295,3047,2295,3047,2154xm3873,2165l4204,2165,4204,2295,3873,2295,3873,2165xm4687,2201l5018,2201,5018,2307,4687,2307,4687,2201xm5514,2236l5844,2236,5844,2331,5514,2331,5514,2236xm6340,2213l6670,2213,6670,2319,6340,2319,6340,2213xm7166,2213l7496,2213,7496,2319,7166,2319,7166,2213xm7992,2224l8323,2224,8323,2319,7992,2319,7992,2224xe" filled="false" stroked="true" strokeweight=".590053pt" strokecolor="#e16b09">
              <v:path arrowok="t"/>
              <v:stroke dashstyle="solid"/>
            </v:shape>
            <v:line style="position:absolute" from="2221,2124" to="2551,2124" stroked="true" strokeweight=".589983pt" strokecolor="#e08ad6">
              <v:stroke dashstyle="solid"/>
            </v:line>
            <v:line style="position:absolute" from="3047,2148" to="3377,2148" stroked="true" strokeweight=".589983pt" strokecolor="#e08ad6">
              <v:stroke dashstyle="solid"/>
            </v:line>
            <v:line style="position:absolute" from="3873,2159" to="4204,2159" stroked="true" strokeweight=".589983pt" strokecolor="#e08ad6">
              <v:stroke dashstyle="solid"/>
            </v:line>
            <v:line style="position:absolute" from="4687,2195" to="5018,2195" stroked="true" strokeweight=".589983pt" strokecolor="#e08ad6">
              <v:stroke dashstyle="solid"/>
            </v:line>
            <v:shape style="position:absolute;left:5513;top:2206;width:2809;height:24" coordorigin="5514,2207" coordsize="2809,24" path="m5514,2230l5844,2230m6340,2207l6670,2207m7166,2207l7496,2207m7992,2218l8323,2218e" filled="false" stroked="true" strokeweight=".589983pt" strokecolor="#e08ad6">
              <v:path arrowok="t"/>
              <v:stroke dashstyle="solid"/>
            </v:shape>
            <v:line style="position:absolute" from="8818,2419" to="9149,2419" stroked="true" strokeweight=".589995pt" strokecolor="#1f487c">
              <v:stroke dashstyle="solid"/>
            </v:line>
            <v:rect style="position:absolute;left:8812;top:2407;width:343;height:24" filled="true" fillcolor="#1f487c" stroked="false">
              <v:fill type="solid"/>
            </v:rect>
            <v:rect style="position:absolute;left:8818;top:2330;width:331;height:83" filled="true" fillcolor="#009544" stroked="false">
              <v:fill type="solid"/>
            </v:rect>
            <v:rect style="position:absolute;left:8818;top:2330;width:331;height:83" filled="false" stroked="true" strokeweight=".589991pt" strokecolor="#009544">
              <v:stroke dashstyle="solid"/>
            </v:rect>
            <v:rect style="position:absolute;left:8818;top:2224;width:331;height:107" filled="true" fillcolor="#e16b09" stroked="false">
              <v:fill type="solid"/>
            </v:rect>
            <v:rect style="position:absolute;left:8818;top:2224;width:331;height:107" filled="false" stroked="true" strokeweight=".589996pt" strokecolor="#e16b09">
              <v:stroke dashstyle="solid"/>
            </v:rect>
            <v:line style="position:absolute" from="8818,2218" to="9149,2218" stroked="true" strokeweight=".589983pt" strokecolor="#e08ad6">
              <v:stroke dashstyle="solid"/>
            </v:line>
            <v:line style="position:absolute" from="9633,2419" to="9963,2419" stroked="true" strokeweight=".589995pt" strokecolor="#1f487c">
              <v:stroke dashstyle="solid"/>
            </v:line>
            <v:rect style="position:absolute;left:9626;top:2407;width:343;height:24" filled="true" fillcolor="#1f487c" stroked="false">
              <v:fill type="solid"/>
            </v:rect>
            <v:rect style="position:absolute;left:9632;top:2330;width:331;height:83" filled="true" fillcolor="#009544" stroked="false">
              <v:fill type="solid"/>
            </v:rect>
            <v:rect style="position:absolute;left:9632;top:2330;width:331;height:83" filled="false" stroked="true" strokeweight=".589991pt" strokecolor="#009544">
              <v:stroke dashstyle="solid"/>
            </v:rect>
            <v:rect style="position:absolute;left:9632;top:2236;width:331;height:95" filled="true" fillcolor="#e16b09" stroked="false">
              <v:fill type="solid"/>
            </v:rect>
            <v:rect style="position:absolute;left:9632;top:2236;width:331;height:95" filled="false" stroked="true" strokeweight=".589993pt" strokecolor="#e16b09">
              <v:stroke dashstyle="solid"/>
            </v:rect>
            <v:line style="position:absolute" from="9633,2230" to="9963,2230" stroked="true" strokeweight=".589983pt" strokecolor="#e08ad6">
              <v:stroke dashstyle="solid"/>
            </v:line>
            <v:shape style="position:absolute;left:2214;top:2112;width:7755;height:130" coordorigin="2215,2112" coordsize="7755,130" path="m2557,2112l2215,2112,2215,2136,2557,2136,2557,2112m3383,2136l3041,2136,3041,2159,3383,2159,3383,2136m4209,2148l3867,2148,3867,2171,4209,2171,4209,2148m5024,2183l4682,2183,4682,2207,5024,2207,5024,2183m5850,2218l5508,2218,5508,2242,5850,2242,5850,2218m6676,2195l6334,2195,6334,2218,6676,2218,6676,2195m7502,2195l7160,2195,7160,2218,7502,2218,7502,2195m8329,2207l7986,2207,7986,2230,8329,2230,8329,2207m9155,2207l8812,2207,8812,2230,9155,2230,9155,2207m9969,2218l9627,2218,9627,2242,9969,2242,9969,2218e" filled="true" fillcolor="#e08ad6" stroked="false">
              <v:path arrowok="t"/>
              <v:fill type="solid"/>
            </v:shape>
            <v:shape style="position:absolute;left:2220;top:2124;width:1157;height:12" coordorigin="2221,2124" coordsize="1157,12" path="m2221,2124l2551,2124m3047,2136l3377,2136e" filled="false" stroked="true" strokeweight=".589983pt" strokecolor="#8063a1">
              <v:path arrowok="t"/>
              <v:stroke dashstyle="solid"/>
            </v:shape>
            <v:line style="position:absolute" from="3873,2148" to="4204,2148" stroked="true" strokeweight=".589983pt" strokecolor="#8063a1">
              <v:stroke dashstyle="solid"/>
            </v:line>
            <v:shape style="position:absolute;left:4687;top:2183;width:1983;height:36" coordorigin="4687,2183" coordsize="1983,36" path="m4687,2183l5018,2183m5514,2218l5844,2218m6340,2207l6670,2207e" filled="false" stroked="true" strokeweight=".589983pt" strokecolor="#8063a1">
              <v:path arrowok="t"/>
              <v:stroke dashstyle="solid"/>
            </v:shape>
            <v:line style="position:absolute" from="7166,2195" to="7496,2195" stroked="true" strokeweight=".589983pt" strokecolor="#8063a1">
              <v:stroke dashstyle="solid"/>
            </v:line>
            <v:shape style="position:absolute;left:7992;top:2206;width:1972;height:12" coordorigin="7992,2207" coordsize="1972,12" path="m7992,2207l8323,2207m8818,2218l9149,2218m9633,2218l9963,2218e" filled="false" stroked="true" strokeweight=".589983pt" strokecolor="#8063a1">
              <v:path arrowok="t"/>
              <v:stroke dashstyle="solid"/>
            </v:shape>
            <v:shape style="position:absolute;left:2214;top:2112;width:7755;height:118" coordorigin="2215,2112" coordsize="7755,118" path="m2557,2112l2215,2112,2215,2136,2557,2136,2557,2112m3383,2124l3041,2124,3041,2148,3383,2148,3383,2124m4209,2136l3867,2136,3867,2159,4209,2159,4209,2136m5024,2171l4682,2171,4682,2195,5024,2195,5024,2171m5850,2207l5508,2207,5508,2230,5850,2230,5850,2207m6676,2195l6334,2195,6334,2218,6676,2218,6676,2195m7502,2183l7160,2183,7160,2207,7502,2207,7502,2183m8329,2195l7986,2195,7986,2218,8329,2218,8329,2195m9155,2207l8812,2207,8812,2230,9155,2230,9155,2207m9969,2207l9627,2207,9627,2230,9969,2230,9969,2207e" filled="true" fillcolor="#8063a1" stroked="false">
              <v:path arrowok="t"/>
              <v:fill type="solid"/>
            </v:shape>
            <v:line style="position:absolute" from="2221,2112" to="2551,2112" stroked="true" strokeweight=".589983pt" strokecolor="#c0504d">
              <v:stroke dashstyle="solid"/>
            </v:line>
            <v:line style="position:absolute" from="3047,2124" to="3377,2124" stroked="true" strokeweight=".589983pt" strokecolor="#c0504d">
              <v:stroke dashstyle="solid"/>
            </v:line>
            <v:line style="position:absolute" from="3873,2148" to="4204,2148" stroked="true" strokeweight=".589983pt" strokecolor="#c0504d">
              <v:stroke dashstyle="solid"/>
            </v:line>
            <v:shape style="position:absolute;left:4687;top:2171;width:1157;height:48" coordorigin="4687,2171" coordsize="1157,48" path="m4687,2171l5018,2171m5514,2218l5844,2218e" filled="false" stroked="true" strokeweight=".589983pt" strokecolor="#c0504d">
              <v:path arrowok="t"/>
              <v:stroke dashstyle="solid"/>
            </v:shape>
            <v:shape style="position:absolute;left:6339;top:2194;width:1157;height:2" coordorigin="6340,2195" coordsize="1157,0" path="m6340,2195l6670,2195m7166,2195l7496,2195e" filled="false" stroked="true" strokeweight=".589983pt" strokecolor="#c0504d">
              <v:path arrowok="t"/>
              <v:stroke dashstyle="solid"/>
            </v:shape>
            <v:shape style="position:absolute;left:7992;top:2206;width:1972;height:12" coordorigin="7992,2207" coordsize="1972,12" path="m7992,2207l8323,2207m8818,2218l9149,2218m9633,2218l9963,2218e" filled="false" stroked="true" strokeweight=".589983pt" strokecolor="#c0504d">
              <v:path arrowok="t"/>
              <v:stroke dashstyle="solid"/>
            </v:shape>
            <v:shape style="position:absolute;left:2214;top:2100;width:7755;height:130" coordorigin="2215,2100" coordsize="7755,130" path="m2557,2100l2215,2100,2215,2124,2557,2124,2557,2100m3383,2112l3041,2112,3041,2136,3383,2136,3383,2112m4209,2136l3867,2136,3867,2159,4209,2159,4209,2136m5024,2159l4682,2159,4682,2183,5024,2183,5024,2159m5850,2207l5508,2207,5508,2230,5850,2230,5850,2207m6676,2183l6334,2183,6334,2207,6676,2207,6676,2183m7502,2183l7160,2183,7160,2207,7502,2207,7502,2183m8329,2195l7986,2195,7986,2218,8329,2218,8329,2195m9155,2207l8812,2207,8812,2230,9155,2230,9155,2207m9969,2207l9627,2207,9627,2230,9969,2230,9969,2207e" filled="true" fillcolor="#c0504d" stroked="false">
              <v:path arrowok="t"/>
              <v:fill type="solid"/>
            </v:shape>
            <v:shape style="position:absolute;left:2220;top:2059;width:7743;height:166" coordorigin="2221,2059" coordsize="7743,166" path="m2551,2059l2221,2059,2221,2118,2551,2118,2551,2059m3377,2083l3047,2083,3047,2130,3377,2130,3377,2083m4204,2095l3873,2095,3873,2142,4204,2142,4204,2095m5018,2142l4687,2142,4687,2177,5018,2177,5018,2142m5844,2177l5514,2177,5514,2213,5844,2213,5844,2177m6670,2165l6340,2165,6340,2201,6670,2201,6670,2165m7496,2154l7166,2154,7166,2201,7496,2201,7496,2154m8323,2165l7992,2165,7992,2201,8323,2201,8323,2165m9149,2177l8818,2177,8818,2213,9149,2213,9149,2177m9963,2177l9633,2177,9633,2224,9963,2224,9963,2177e" filled="true" fillcolor="#ecb8e7" stroked="false">
              <v:path arrowok="t"/>
              <v:fill type="solid"/>
            </v:shape>
            <v:shape style="position:absolute;left:19610;top:-147040;width:612589;height:13074" coordorigin="19610,-147040" coordsize="612589,13074" path="m2221,2059l2551,2059,2551,2118,2221,2118,2221,2059xm3047,2083l3377,2083,3377,2130,3047,2130,3047,2083xm3873,2095l4204,2095,4204,2142,3873,2142,3873,2095xm4687,2142l5018,2142,5018,2177,4687,2177,4687,2142xm5514,2177l5844,2177,5844,2213,5514,2213,5514,2177xm6340,2165l6670,2165,6670,2201,6340,2201,6340,2165xm7166,2154l7496,2154,7496,2201,7166,2201,7166,2154xm7992,2165l8323,2165,8323,2201,7992,2201,7992,2165xm8818,2177l9149,2177,9149,2213,8818,2213,8818,2177xm9633,2177l9963,2177,9963,2224,9633,2224,9633,2177xe" filled="false" stroked="true" strokeweight=".590053pt" strokecolor="#ecb8e7">
              <v:path arrowok="t"/>
              <v:stroke dashstyle="solid"/>
            </v:shape>
            <v:shape style="position:absolute;left:1972;top:1858;width:1075;height:2" coordorigin="1973,1859" coordsize="1075,0" path="m2551,1859l3047,1859m1973,1859l2221,1859e" filled="false" stroked="true" strokeweight=".589983pt" strokecolor="#d9d9d9">
              <v:path arrowok="t"/>
              <v:stroke dashstyle="solid"/>
            </v:shape>
            <v:rect style="position:absolute;left:2220;top:1870;width:331;height:189" filled="true" fillcolor="#938953" stroked="false">
              <v:fill type="solid"/>
            </v:rect>
            <v:line style="position:absolute" from="3377,1859" to="3873,1859" stroked="true" strokeweight=".589983pt" strokecolor="#d9d9d9">
              <v:stroke dashstyle="solid"/>
            </v:line>
            <v:rect style="position:absolute;left:3046;top:1882;width:331;height:201" filled="true" fillcolor="#938953" stroked="false">
              <v:fill type="solid"/>
            </v:rect>
            <v:line style="position:absolute" from="4204,1859" to="4687,1859" stroked="true" strokeweight=".589983pt" strokecolor="#d9d9d9">
              <v:stroke dashstyle="solid"/>
            </v:line>
            <v:rect style="position:absolute;left:3873;top:1893;width:331;height:201" filled="true" fillcolor="#938953" stroked="false">
              <v:fill type="solid"/>
            </v:rect>
            <v:line style="position:absolute" from="5018,1859" to="5514,1859" stroked="true" strokeweight=".589983pt" strokecolor="#d9d9d9">
              <v:stroke dashstyle="solid"/>
            </v:line>
            <v:rect style="position:absolute;left:4687;top:1917;width:331;height:225" filled="true" fillcolor="#938953" stroked="false">
              <v:fill type="solid"/>
            </v:rect>
            <v:line style="position:absolute" from="5844,1859" to="6340,1859" stroked="true" strokeweight=".589983pt" strokecolor="#d9d9d9">
              <v:stroke dashstyle="solid"/>
            </v:line>
            <v:shape style="position:absolute;left:5513;top:1870;width:1157;height:307" coordorigin="5514,1870" coordsize="1157,307" path="m5844,1870l5514,1870,5514,2177,5844,2177,5844,1870m6670,1965l6340,1965,6340,2165,6670,2165,6670,1965e" filled="true" fillcolor="#938953" stroked="false">
              <v:path arrowok="t"/>
              <v:fill type="solid"/>
            </v:shape>
            <v:shape style="position:absolute;left:6670;top:1858;width:1322;height:2" coordorigin="6670,1859" coordsize="1322,0" path="m7496,1859l7992,1859m6670,1859l7166,1859e" filled="false" stroked="true" strokeweight=".589983pt" strokecolor="#d9d9d9">
              <v:path arrowok="t"/>
              <v:stroke dashstyle="solid"/>
            </v:shape>
            <v:rect style="position:absolute;left:7166;top:1905;width:331;height:248" filled="true" fillcolor="#938953" stroked="false">
              <v:fill type="solid"/>
            </v:rect>
            <v:line style="position:absolute" from="8323,1859" to="8818,1859" stroked="true" strokeweight=".589983pt" strokecolor="#d9d9d9">
              <v:stroke dashstyle="solid"/>
            </v:line>
            <v:rect style="position:absolute;left:7992;top:1917;width:331;height:248" filled="true" fillcolor="#938953" stroked="false">
              <v:fill type="solid"/>
            </v:rect>
            <v:line style="position:absolute" from="9149,1859" to="9633,1859" stroked="true" strokeweight=".589983pt" strokecolor="#d9d9d9">
              <v:stroke dashstyle="solid"/>
            </v:line>
            <v:rect style="position:absolute;left:8818;top:1917;width:331;height:260" filled="true" fillcolor="#938953" stroked="false">
              <v:fill type="solid"/>
            </v:rect>
            <v:line style="position:absolute" from="9963,1859" to="10211,1859" stroked="true" strokeweight=".589983pt" strokecolor="#d9d9d9">
              <v:stroke dashstyle="solid"/>
            </v:line>
            <v:rect style="position:absolute;left:9632;top:1917;width:331;height:260" filled="true" fillcolor="#938953" stroked="false">
              <v:fill type="solid"/>
            </v:rect>
            <v:shape style="position:absolute;left:19706;top:-144082;width:615606;height:24400" coordorigin="19707,-144082" coordsize="615606,24400" path="m2221,1870l2551,1870,2551,2059,2221,2059,2221,1870xm3047,1882l3377,1882,3377,2083,3047,2083,3047,1882xm3873,1894l4204,1894,4204,2095,3873,2095,3873,1894xm4687,1918l5018,1918,5018,2142,4687,2142,4687,1918xm5514,1870l5844,1870,5844,2177,5514,2177,5514,1870xm6340,1965l6670,1965,6670,2165,6340,2165,6340,1965xm7166,1906l7496,1906,7496,2154,7166,2154,7166,1906xm7992,1918l8323,1918,8323,2165,7992,2165,7992,1918xm8818,1918l9149,1918,9149,2177,8818,2177,8818,1918xm9633,1918l9963,1918,9963,2177,9633,2177,9633,1918xe" filled="false" stroked="true" strokeweight=".590055pt" strokecolor="#938953">
              <v:path arrowok="t"/>
              <v:stroke dashstyle="solid"/>
            </v:shape>
            <v:shape style="position:absolute;left:1972;top:1020;width:1075;height:567" coordorigin="1973,1021" coordsize="1075,567" path="m2551,1587l3047,1587m1973,1587l2221,1587m2551,1304l3047,1304m1973,1304l2221,1304m1973,1021l3047,1021e" filled="false" stroked="true" strokeweight=".589983pt" strokecolor="#d9d9d9">
              <v:path arrowok="t"/>
              <v:stroke dashstyle="solid"/>
            </v:shape>
            <v:rect style="position:absolute;left:2220;top:1032;width:331;height:838" filled="true" fillcolor="#ffd600" stroked="false">
              <v:fill type="solid"/>
            </v:rect>
            <v:shape style="position:absolute;left:1972;top:737;width:1901;height:850" coordorigin="1973,738" coordsize="1901,850" path="m3377,1587l3873,1587m3377,1304l3873,1304m3377,1021l3873,1021m3377,738l3873,738m1973,738l3047,738e" filled="false" stroked="true" strokeweight=".589983pt" strokecolor="#d9d9d9">
              <v:path arrowok="t"/>
              <v:stroke dashstyle="solid"/>
            </v:shape>
            <v:rect style="position:absolute;left:3046;top:678;width:331;height:1204" filled="true" fillcolor="#ffd600" stroked="false">
              <v:fill type="solid"/>
            </v:rect>
            <v:shape style="position:absolute;left:4203;top:737;width:484;height:850" coordorigin="4204,738" coordsize="484,850" path="m4204,1587l4687,1587m4204,1304l4687,1304m4204,1021l4687,1021m4204,738l4687,738e" filled="false" stroked="true" strokeweight=".589983pt" strokecolor="#d9d9d9">
              <v:path arrowok="t"/>
              <v:stroke dashstyle="solid"/>
            </v:shape>
            <v:rect style="position:absolute;left:3873;top:666;width:331;height:1228" filled="true" fillcolor="#ffd600" stroked="false">
              <v:fill type="solid"/>
            </v:rect>
            <v:shape style="position:absolute;left:5017;top:737;width:496;height:850" coordorigin="5018,738" coordsize="496,850" path="m5018,1587l5514,1587m5018,1304l5514,1304m5018,1021l5514,1021m5018,738l5514,738e" filled="false" stroked="true" strokeweight=".589983pt" strokecolor="#d9d9d9">
              <v:path arrowok="t"/>
              <v:stroke dashstyle="solid"/>
            </v:shape>
            <v:rect style="position:absolute;left:4687;top:572;width:331;height:1346" filled="true" fillcolor="#ffd600" stroked="false">
              <v:fill type="solid"/>
            </v:rect>
            <v:shape style="position:absolute;left:5844;top:737;width:1322;height:850" coordorigin="5844,738" coordsize="1322,850" path="m5844,1587l6340,1587m5844,1304l6340,1304m5844,1021l6340,1021m5844,738l7166,738e" filled="false" stroked="true" strokeweight=".589983pt" strokecolor="#d9d9d9">
              <v:path arrowok="t"/>
              <v:stroke dashstyle="solid"/>
            </v:shape>
            <v:rect style="position:absolute;left:5513;top:619;width:331;height:1251" filled="true" fillcolor="#ffd600" stroked="false">
              <v:fill type="solid"/>
            </v:rect>
            <v:shape style="position:absolute;left:6670;top:1020;width:496;height:567" coordorigin="6670,1021" coordsize="496,567" path="m6670,1587l7166,1587m6670,1304l7166,1304m6670,1021l7166,1021e" filled="false" stroked="true" strokeweight=".589983pt" strokecolor="#d9d9d9">
              <v:path arrowok="t"/>
              <v:stroke dashstyle="solid"/>
            </v:shape>
            <v:rect style="position:absolute;left:6339;top:843;width:331;height:1121" filled="true" fillcolor="#ffd600" stroked="false">
              <v:fill type="solid"/>
            </v:rect>
            <v:shape style="position:absolute;left:7496;top:737;width:496;height:850" coordorigin="7496,738" coordsize="496,850" path="m7496,1587l7992,1587m7496,1304l7992,1304m7496,1021l7992,1021m7496,738l7992,738e" filled="false" stroked="true" strokeweight=".589983pt" strokecolor="#d9d9d9">
              <v:path arrowok="t"/>
              <v:stroke dashstyle="solid"/>
            </v:shape>
            <v:line style="position:absolute" from="1973,466" to="10211,466" stroked="true" strokeweight=".589983pt" strokecolor="#d9d9d9">
              <v:stroke dashstyle="solid"/>
            </v:line>
            <v:rect style="position:absolute;left:7165;top:478;width:331;height:1428" filled="true" fillcolor="#ffd600" stroked="false">
              <v:fill type="solid"/>
            </v:rect>
            <v:shape style="position:absolute;left:8322;top:737;width:496;height:850" coordorigin="8323,738" coordsize="496,850" path="m8323,1587l8818,1587m8323,1304l8818,1304m8323,1021l8818,1021m8323,738l8818,738e" filled="false" stroked="true" strokeweight=".589983pt" strokecolor="#d9d9d9">
              <v:path arrowok="t"/>
              <v:stroke dashstyle="solid"/>
            </v:shape>
            <v:rect style="position:absolute;left:7992;top:466;width:331;height:1452" filled="true" fillcolor="#ffd600" stroked="false">
              <v:fill type="solid"/>
            </v:rect>
            <v:shape style="position:absolute;left:9148;top:737;width:484;height:850" coordorigin="9149,738" coordsize="484,850" path="m9149,1587l9633,1587m9149,1304l9633,1304m9149,1021l9633,1021m9149,738l9633,738e" filled="false" stroked="true" strokeweight=".589983pt" strokecolor="#d9d9d9">
              <v:path arrowok="t"/>
              <v:stroke dashstyle="solid"/>
            </v:shape>
            <v:rect style="position:absolute;left:8818;top:478;width:331;height:1440" filled="true" fillcolor="#ffd600" stroked="false">
              <v:fill type="solid"/>
            </v:rect>
            <v:shape style="position:absolute;left:9963;top:737;width:248;height:850" coordorigin="9963,738" coordsize="248,850" path="m9963,1587l10211,1587m9963,1304l10211,1304m9963,1021l10211,1021m9963,738l10211,738e" filled="false" stroked="true" strokeweight=".589983pt" strokecolor="#d9d9d9">
              <v:path arrowok="t"/>
              <v:stroke dashstyle="solid"/>
            </v:shape>
            <v:rect style="position:absolute;left:9632;top:478;width:331;height:1440" filled="true" fillcolor="#ffd600" stroked="false">
              <v:fill type="solid"/>
            </v:rect>
            <v:shape style="position:absolute;left:19804;top:-127892;width:618654;height:119770" coordorigin="19804,-127892" coordsize="618654,119770" path="m2221,1033l2551,1033,2551,1870,2221,1870,2221,1033xm3047,679l3377,679,3377,1882,3047,1882,3047,679xm3873,667l4204,667,4204,1894,3873,1894,3873,667xm4687,572l5018,572,5018,1918,4687,1918,4687,572xm5514,620l5844,620,5844,1870,5514,1870,5514,620xm6340,844l6670,844,6670,1965,6340,1965,6340,844xm7166,478l7496,478,7496,1906,7166,1906,7166,478xm7992,466l8323,466,8323,1918,7992,1918,7992,466xm8818,478l9149,478,9149,1918,8818,1918,8818,478xm9633,478l9963,478,9963,1918,9633,1918,9633,478xe" filled="false" stroked="true" strokeweight=".590049pt" strokecolor="#ffd600">
              <v:path arrowok="t"/>
              <v:stroke dashstyle="solid"/>
            </v:shape>
            <v:line style="position:absolute" from="2221,1027" to="2551,1027" stroked="true" strokeweight=".589986pt" strokecolor="#000000">
              <v:stroke dashstyle="solid"/>
            </v:line>
            <v:shape style="position:absolute;left:3046;top:566;width:1972;height:107" coordorigin="3047,567" coordsize="1972,107" path="m3047,673l3377,673m3873,661l4204,661m4687,567l5018,567e" filled="false" stroked="true" strokeweight=".589986pt" strokecolor="#000000">
              <v:path arrowok="t"/>
              <v:stroke dashstyle="solid"/>
            </v:shape>
            <v:line style="position:absolute" from="5514,614" to="5844,614" stroked="true" strokeweight=".589986pt" strokecolor="#000000">
              <v:stroke dashstyle="solid"/>
            </v:line>
            <v:line style="position:absolute" from="6340,838" to="6670,838" stroked="true" strokeweight=".589986pt" strokecolor="#000000">
              <v:stroke dashstyle="solid"/>
            </v:line>
            <v:line style="position:absolute" from="7166,472" to="7496,472" stroked="true" strokeweight=".589986pt" strokecolor="#000000">
              <v:stroke dashstyle="solid"/>
            </v:line>
            <v:line style="position:absolute" from="7992,460" to="8323,460" stroked="true" strokeweight=".589986pt" strokecolor="#000000">
              <v:stroke dashstyle="solid"/>
            </v:line>
            <v:shape style="position:absolute;left:8818;top:472;width:1145;height:2" coordorigin="8818,472" coordsize="1145,0" path="m8818,472l9149,472m9633,472l9963,472e" filled="false" stroked="true" strokeweight=".589986pt" strokecolor="#000000">
              <v:path arrowok="t"/>
              <v:stroke dashstyle="solid"/>
            </v:shape>
            <v:line style="position:absolute" from="2215,1027" to="2557,1027" stroked="true" strokeweight="1.179973pt" strokecolor="#000000">
              <v:stroke dashstyle="solid"/>
            </v:line>
            <v:line style="position:absolute" from="3041,673" to="3383,673" stroked="true" strokeweight="1.179973pt" strokecolor="#000000">
              <v:stroke dashstyle="solid"/>
            </v:line>
            <v:shape style="position:absolute;left:3867;top:566;width:1157;height:95" coordorigin="3867,567" coordsize="1157,95" path="m3867,661l4209,661m4682,567l5024,567e" filled="false" stroked="true" strokeweight="1.179973pt" strokecolor="#000000">
              <v:path arrowok="t"/>
              <v:stroke dashstyle="solid"/>
            </v:shape>
            <v:shape style="position:absolute;left:5507;top:472;width:1995;height:366" coordorigin="5508,472" coordsize="1995,366" path="m5508,614l5850,614m6334,838l6676,838m7160,472l7502,472e" filled="false" stroked="true" strokeweight="1.179973pt" strokecolor="#000000">
              <v:path arrowok="t"/>
              <v:stroke dashstyle="solid"/>
            </v:shape>
            <v:line style="position:absolute" from="7986,460" to="8329,460" stroked="true" strokeweight="1.179973pt" strokecolor="#000000">
              <v:stroke dashstyle="solid"/>
            </v:line>
            <v:shape style="position:absolute;left:8812;top:472;width:1157;height:2" coordorigin="8812,472" coordsize="1157,0" path="m8812,472l9155,472m9627,472l9969,472e" filled="false" stroked="true" strokeweight="1.179973pt" strokecolor="#000000">
              <v:path arrowok="t"/>
              <v:stroke dashstyle="solid"/>
            </v:shape>
            <v:line style="position:absolute" from="1973,2425" to="10211,2425" stroked="true" strokeweight=".589985pt" strokecolor="#d9d9d9">
              <v:stroke dashstyle="solid"/>
            </v:line>
            <v:shape style="position:absolute;left:0;top:-10702;width:651809;height:25214" coordorigin="0,-10701" coordsize="651809,25214" path="m1973,2425l1973,2472m1973,2425l1973,2744m2799,2425l2799,2472m2799,2425l2799,2744m3625,2425l3625,2472m3625,2425l3625,2744m4440,2425l4440,2472m4440,2425l4440,2744m5266,2425l5266,2472m5266,2425l5266,2744m6092,2425l6092,2472m6092,2425l6092,2744m6918,2425l6918,2472m6918,2425l6918,2744m7744,2425l7744,2472m7744,2425l7744,2744m8570,2425l8570,2472m8570,2425l8570,2744m9385,2425l9385,2472m9385,2425l9385,2744m10211,2425l10211,2472m10211,2425l10211,2744e" filled="false" stroked="true" strokeweight=".590053pt" strokecolor="#d9d9d9">
              <v:path arrowok="t"/>
              <v:stroke dashstyle="solid"/>
            </v:shape>
            <v:shape style="position:absolute;left:0;top:-10702;width:651809;height:25214" coordorigin="0,-10701" coordsize="651809,25214" path="m1973,2744l1973,3062m6092,2744l6092,3062m10211,2744l10211,3062e" filled="false" stroked="true" strokeweight=".590053pt" strokecolor="#d9d9d9">
              <v:path arrowok="t"/>
              <v:stroke dashstyle="solid"/>
            </v:shape>
            <v:line style="position:absolute" from="1973,183" to="10211,183" stroked="true" strokeweight=".589983pt" strokecolor="#d9d9d9">
              <v:stroke dashstyle="solid"/>
            </v:line>
            <v:line style="position:absolute" from="6099,183" to="6092,2430" stroked="true" strokeweight=".590124pt" strokecolor="#a6a6a6">
              <v:stroke dashstyle="solid"/>
            </v:line>
            <v:shape style="position:absolute;left:2217;top:2559;width:351;height:166"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2014</w:t>
                    </w:r>
                  </w:p>
                </w:txbxContent>
              </v:textbox>
              <w10:wrap type="none"/>
            </v:shape>
            <v:shape style="position:absolute;left:3041;top:2559;width:351;height:166"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2015</w:t>
                    </w:r>
                  </w:p>
                </w:txbxContent>
              </v:textbox>
              <w10:wrap type="none"/>
            </v:shape>
            <v:shape style="position:absolute;left:3865;top:2559;width:351;height:166"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2016</w:t>
                    </w:r>
                  </w:p>
                </w:txbxContent>
              </v:textbox>
              <w10:wrap type="none"/>
            </v:shape>
            <v:shape style="position:absolute;left:4690;top:2559;width:351;height:166"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2017</w:t>
                    </w:r>
                  </w:p>
                </w:txbxContent>
              </v:textbox>
              <w10:wrap type="none"/>
            </v:shape>
            <v:shape style="position:absolute;left:5514;top:2559;width:351;height:166"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2018</w:t>
                    </w:r>
                  </w:p>
                </w:txbxContent>
              </v:textbox>
              <w10:wrap type="none"/>
            </v:shape>
            <v:shape style="position:absolute;left:6338;top:2559;width:351;height:166"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2019</w:t>
                    </w:r>
                  </w:p>
                </w:txbxContent>
              </v:textbox>
              <w10:wrap type="none"/>
            </v:shape>
            <v:shape style="position:absolute;left:7162;top:2559;width:351;height:166"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2020</w:t>
                    </w:r>
                  </w:p>
                </w:txbxContent>
              </v:textbox>
              <w10:wrap type="none"/>
            </v:shape>
            <v:shape style="position:absolute;left:7986;top:2559;width:351;height:166"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2021</w:t>
                    </w:r>
                  </w:p>
                </w:txbxContent>
              </v:textbox>
              <w10:wrap type="none"/>
            </v:shape>
            <v:shape style="position:absolute;left:8810;top:2559;width:351;height:166"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2022</w:t>
                    </w:r>
                  </w:p>
                </w:txbxContent>
              </v:textbox>
              <w10:wrap type="none"/>
            </v:shape>
            <v:shape style="position:absolute;left:9634;top:2559;width:351;height:166"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2023</w:t>
                    </w:r>
                  </w:p>
                </w:txbxContent>
              </v:textbox>
              <w10:wrap type="none"/>
            </v:shape>
            <v:shape style="position:absolute;left:3776;top:2877;width:4717;height:166" type="#_x0000_t202" filled="false" stroked="false">
              <v:textbox inset="0,0,0,0">
                <w:txbxContent>
                  <w:p>
                    <w:pPr>
                      <w:tabs>
                        <w:tab w:pos="4054" w:val="left" w:leader="none"/>
                      </w:tabs>
                      <w:spacing w:line="165" w:lineRule="exact" w:before="0"/>
                      <w:ind w:left="0" w:right="0" w:firstLine="0"/>
                      <w:jc w:val="left"/>
                      <w:rPr>
                        <w:rFonts w:ascii="Calibri"/>
                        <w:sz w:val="16"/>
                      </w:rPr>
                    </w:pPr>
                    <w:r>
                      <w:rPr>
                        <w:rFonts w:ascii="Calibri"/>
                        <w:color w:val="585858"/>
                        <w:w w:val="105"/>
                        <w:sz w:val="16"/>
                      </w:rPr>
                      <w:t>Historic</w:t>
                      <w:tab/>
                    </w:r>
                    <w:r>
                      <w:rPr>
                        <w:rFonts w:ascii="Calibri"/>
                        <w:color w:val="585858"/>
                        <w:sz w:val="16"/>
                      </w:rPr>
                      <w:t>Projected</w:t>
                    </w:r>
                  </w:p>
                </w:txbxContent>
              </v:textbox>
              <w10:wrap type="none"/>
            </v:shape>
            <w10:wrap type="none"/>
          </v:group>
        </w:pict>
      </w:r>
      <w:r>
        <w:rPr>
          <w:rFonts w:ascii="Calibri"/>
          <w:color w:val="585858"/>
          <w:spacing w:val="-2"/>
          <w:sz w:val="16"/>
        </w:rPr>
        <w:t>400,000</w:t>
      </w:r>
    </w:p>
    <w:p>
      <w:pPr>
        <w:spacing w:before="85"/>
        <w:ind w:left="0" w:right="10085" w:firstLine="0"/>
        <w:jc w:val="right"/>
        <w:rPr>
          <w:rFonts w:ascii="Calibri"/>
          <w:sz w:val="16"/>
        </w:rPr>
      </w:pPr>
      <w:r>
        <w:rPr>
          <w:rFonts w:ascii="Calibri"/>
          <w:color w:val="585858"/>
          <w:spacing w:val="-2"/>
          <w:sz w:val="16"/>
        </w:rPr>
        <w:t>350,000</w:t>
      </w:r>
    </w:p>
    <w:p>
      <w:pPr>
        <w:spacing w:before="85"/>
        <w:ind w:left="0" w:right="10085" w:firstLine="0"/>
        <w:jc w:val="right"/>
        <w:rPr>
          <w:rFonts w:ascii="Calibri"/>
          <w:sz w:val="16"/>
        </w:rPr>
      </w:pPr>
      <w:r>
        <w:rPr>
          <w:rFonts w:ascii="Calibri"/>
          <w:color w:val="585858"/>
          <w:spacing w:val="-2"/>
          <w:sz w:val="16"/>
        </w:rPr>
        <w:t>300,000</w:t>
      </w:r>
    </w:p>
    <w:p>
      <w:pPr>
        <w:spacing w:before="85"/>
        <w:ind w:left="0" w:right="10085" w:firstLine="0"/>
        <w:jc w:val="right"/>
        <w:rPr>
          <w:rFonts w:ascii="Calibri"/>
          <w:sz w:val="16"/>
        </w:rPr>
      </w:pPr>
      <w:r>
        <w:rPr>
          <w:rFonts w:ascii="Calibri"/>
          <w:color w:val="585858"/>
          <w:spacing w:val="-2"/>
          <w:sz w:val="16"/>
        </w:rPr>
        <w:t>250,000</w:t>
      </w:r>
    </w:p>
    <w:p>
      <w:pPr>
        <w:spacing w:before="85"/>
        <w:ind w:left="0" w:right="10085" w:firstLine="0"/>
        <w:jc w:val="right"/>
        <w:rPr>
          <w:rFonts w:ascii="Calibri"/>
          <w:sz w:val="16"/>
        </w:rPr>
      </w:pPr>
      <w:r>
        <w:rPr>
          <w:rFonts w:ascii="Calibri"/>
          <w:color w:val="585858"/>
          <w:spacing w:val="-2"/>
          <w:sz w:val="16"/>
        </w:rPr>
        <w:t>200,000</w:t>
      </w:r>
    </w:p>
    <w:p>
      <w:pPr>
        <w:spacing w:before="86"/>
        <w:ind w:left="0" w:right="10085" w:firstLine="0"/>
        <w:jc w:val="right"/>
        <w:rPr>
          <w:rFonts w:ascii="Calibri"/>
          <w:sz w:val="16"/>
        </w:rPr>
      </w:pPr>
      <w:r>
        <w:rPr>
          <w:rFonts w:ascii="Calibri"/>
          <w:color w:val="585858"/>
          <w:spacing w:val="-2"/>
          <w:sz w:val="16"/>
        </w:rPr>
        <w:t>150,000</w:t>
      </w:r>
    </w:p>
    <w:p>
      <w:pPr>
        <w:spacing w:before="85"/>
        <w:ind w:left="0" w:right="10085" w:firstLine="0"/>
        <w:jc w:val="right"/>
        <w:rPr>
          <w:rFonts w:ascii="Calibri"/>
          <w:sz w:val="16"/>
        </w:rPr>
      </w:pPr>
      <w:r>
        <w:rPr>
          <w:rFonts w:ascii="Calibri"/>
          <w:color w:val="585858"/>
          <w:spacing w:val="-2"/>
          <w:sz w:val="16"/>
        </w:rPr>
        <w:t>100,000</w:t>
      </w:r>
    </w:p>
    <w:p>
      <w:pPr>
        <w:spacing w:before="85"/>
        <w:ind w:left="0" w:right="10084" w:firstLine="0"/>
        <w:jc w:val="right"/>
        <w:rPr>
          <w:rFonts w:ascii="Calibri"/>
          <w:sz w:val="16"/>
        </w:rPr>
      </w:pPr>
      <w:r>
        <w:rPr>
          <w:rFonts w:ascii="Calibri"/>
          <w:color w:val="585858"/>
          <w:spacing w:val="-1"/>
          <w:sz w:val="16"/>
        </w:rPr>
        <w:t>50,000</w:t>
      </w:r>
    </w:p>
    <w:p>
      <w:pPr>
        <w:spacing w:before="85"/>
        <w:ind w:left="0" w:right="10084" w:firstLine="0"/>
        <w:jc w:val="right"/>
        <w:rPr>
          <w:rFonts w:ascii="Calibri"/>
          <w:sz w:val="16"/>
        </w:rPr>
      </w:pPr>
      <w:r>
        <w:rPr>
          <w:rFonts w:ascii="Calibri"/>
          <w:color w:val="585858"/>
          <w:w w:val="103"/>
          <w:sz w:val="16"/>
        </w:rPr>
        <w:t>0</w:t>
      </w:r>
    </w:p>
    <w:p>
      <w:pPr>
        <w:pStyle w:val="BodyText"/>
        <w:rPr>
          <w:rFonts w:ascii="Calibri"/>
        </w:rPr>
      </w:pPr>
    </w:p>
    <w:p>
      <w:pPr>
        <w:pStyle w:val="BodyText"/>
        <w:spacing w:before="6"/>
        <w:rPr>
          <w:rFonts w:ascii="Calibri"/>
          <w:sz w:val="26"/>
        </w:rPr>
      </w:pPr>
    </w:p>
    <w:p>
      <w:pPr>
        <w:spacing w:before="61"/>
        <w:ind w:left="1602" w:right="1416" w:firstLine="0"/>
        <w:jc w:val="center"/>
        <w:rPr>
          <w:rFonts w:ascii="Calibri"/>
          <w:b/>
          <w:sz w:val="19"/>
        </w:rPr>
      </w:pPr>
      <w:r>
        <w:rPr>
          <w:rFonts w:ascii="Calibri"/>
          <w:b/>
          <w:color w:val="585858"/>
          <w:sz w:val="19"/>
        </w:rPr>
        <w:t>Year Ending 30 June</w:t>
      </w:r>
    </w:p>
    <w:p>
      <w:pPr>
        <w:pStyle w:val="BodyText"/>
        <w:spacing w:before="8"/>
        <w:rPr>
          <w:rFonts w:ascii="Calibri"/>
          <w:b/>
          <w:sz w:val="8"/>
        </w:rPr>
      </w:pPr>
    </w:p>
    <w:p>
      <w:pPr>
        <w:spacing w:before="76"/>
        <w:ind w:left="1597" w:right="9672" w:firstLine="0"/>
        <w:jc w:val="center"/>
        <w:rPr>
          <w:rFonts w:ascii="Calibri"/>
          <w:sz w:val="12"/>
        </w:rPr>
      </w:pPr>
      <w:r>
        <w:rPr>
          <w:rFonts w:ascii="Calibri"/>
          <w:sz w:val="12"/>
        </w:rPr>
        <w:t>Class key:</w:t>
      </w:r>
    </w:p>
    <w:p>
      <w:pPr>
        <w:tabs>
          <w:tab w:pos="1445" w:val="left" w:leader="none"/>
          <w:tab w:pos="2891" w:val="left" w:leader="none"/>
          <w:tab w:pos="4337" w:val="left" w:leader="none"/>
          <w:tab w:pos="5782" w:val="left" w:leader="none"/>
          <w:tab w:pos="7228" w:val="left" w:leader="none"/>
        </w:tabs>
        <w:spacing w:before="46"/>
        <w:ind w:left="0" w:right="132" w:firstLine="0"/>
        <w:jc w:val="center"/>
        <w:rPr>
          <w:rFonts w:ascii="Calibri"/>
          <w:sz w:val="12"/>
        </w:rPr>
      </w:pPr>
      <w:r>
        <w:rPr/>
        <w:pict>
          <v:group style="position:absolute;margin-left:85.804085pt;margin-top:1.603449pt;width:10.95pt;height:18.850pt;mso-position-horizontal-relative:page;mso-position-vertical-relative:paragraph;z-index:252538880" coordorigin="1716,32" coordsize="219,377">
            <v:rect style="position:absolute;left:1716;top:32;width:219;height:169" filled="true" fillcolor="#1f487c" stroked="false">
              <v:fill type="solid"/>
            </v:rect>
            <v:rect style="position:absolute;left:1716;top:240;width:219;height:169" filled="true" fillcolor="#f8a763" stroked="false">
              <v:fill type="solid"/>
            </v:rect>
            <w10:wrap type="none"/>
          </v:group>
        </w:pict>
      </w:r>
      <w:r>
        <w:rPr/>
        <w:pict>
          <v:group style="position:absolute;margin-left:157.689728pt;margin-top:1.603449pt;width:11.35pt;height:18.850pt;mso-position-horizontal-relative:page;mso-position-vertical-relative:paragraph;z-index:-287363072" coordorigin="3154,32" coordsize="227,377">
            <v:rect style="position:absolute;left:3153;top:32;width:227;height:169" filled="true" fillcolor="#009544" stroked="false">
              <v:fill type="solid"/>
            </v:rect>
            <v:rect style="position:absolute;left:3153;top:240;width:227;height:169" filled="true" fillcolor="#ecb8e7" stroked="false">
              <v:fill type="solid"/>
            </v:rect>
            <w10:wrap type="none"/>
          </v:group>
        </w:pict>
      </w:r>
      <w:r>
        <w:rPr/>
        <w:pict>
          <v:group style="position:absolute;margin-left:229.97963pt;margin-top:1.603449pt;width:11.35pt;height:18.850pt;mso-position-horizontal-relative:page;mso-position-vertical-relative:paragraph;z-index:-287362048" coordorigin="4600,32" coordsize="227,377">
            <v:rect style="position:absolute;left:4599;top:32;width:227;height:169" filled="true" fillcolor="#e16b09" stroked="false">
              <v:fill type="solid"/>
            </v:rect>
            <v:rect style="position:absolute;left:4599;top:240;width:227;height:169" filled="true" fillcolor="#938953" stroked="false">
              <v:fill type="solid"/>
            </v:rect>
            <w10:wrap type="none"/>
          </v:group>
        </w:pict>
      </w:r>
      <w:r>
        <w:rPr/>
        <w:pict>
          <v:group style="position:absolute;margin-left:302.269928pt;margin-top:1.603449pt;width:11.35pt;height:18.850pt;mso-position-horizontal-relative:page;mso-position-vertical-relative:paragraph;z-index:-287361024" coordorigin="6045,32" coordsize="227,377">
            <v:rect style="position:absolute;left:6045;top:32;width:227;height:169" filled="true" fillcolor="#e08ad6" stroked="false">
              <v:fill type="solid"/>
            </v:rect>
            <v:rect style="position:absolute;left:6045;top:240;width:227;height:169" filled="true" fillcolor="#ffd600" stroked="false">
              <v:fill type="solid"/>
            </v:rect>
            <w10:wrap type="none"/>
          </v:group>
        </w:pict>
      </w:r>
      <w:r>
        <w:rPr/>
        <w:pict>
          <v:group style="position:absolute;margin-left:374.559845pt;margin-top:1.603449pt;width:11.35pt;height:18.850pt;mso-position-horizontal-relative:page;mso-position-vertical-relative:paragraph;z-index:-287360000" coordorigin="7491,32" coordsize="227,377">
            <v:rect style="position:absolute;left:7491;top:32;width:227;height:169" filled="true" fillcolor="#8063a1" stroked="false">
              <v:fill type="solid"/>
            </v:rect>
            <v:rect style="position:absolute;left:7491;top:240;width:227;height:169" filled="true" fillcolor="#000000" stroked="false">
              <v:fill type="solid"/>
            </v:rect>
            <w10:wrap type="none"/>
          </v:group>
        </w:pict>
      </w:r>
      <w:r>
        <w:rPr/>
        <w:pict>
          <v:group style="position:absolute;margin-left:446.849335pt;margin-top:1.603449pt;width:11.35pt;height:18.850pt;mso-position-horizontal-relative:page;mso-position-vertical-relative:paragraph;z-index:-287358976" coordorigin="8937,32" coordsize="227,377">
            <v:rect style="position:absolute;left:8936;top:32;width:227;height:169" filled="true" fillcolor="#c0504d" stroked="false">
              <v:fill type="solid"/>
            </v:rect>
            <v:rect style="position:absolute;left:8936;top:240;width:227;height:169" filled="true" fillcolor="#ffeb8f" stroked="false">
              <v:fill type="solid"/>
            </v:rect>
            <w10:wrap type="none"/>
          </v:group>
        </w:pict>
      </w:r>
      <w:r>
        <w:rPr>
          <w:rFonts w:ascii="Calibri"/>
          <w:sz w:val="12"/>
        </w:rPr>
        <w:t>1</w:t>
      </w:r>
      <w:r>
        <w:rPr>
          <w:rFonts w:ascii="Calibri"/>
          <w:spacing w:val="-7"/>
          <w:sz w:val="12"/>
        </w:rPr>
        <w:t> </w:t>
      </w:r>
      <w:r>
        <w:rPr>
          <w:rFonts w:ascii="Calibri"/>
          <w:sz w:val="12"/>
        </w:rPr>
        <w:t>-</w:t>
      </w:r>
      <w:r>
        <w:rPr>
          <w:rFonts w:ascii="Calibri"/>
          <w:spacing w:val="2"/>
          <w:sz w:val="12"/>
        </w:rPr>
        <w:t> </w:t>
      </w:r>
      <w:r>
        <w:rPr>
          <w:rFonts w:ascii="Calibri"/>
          <w:sz w:val="12"/>
        </w:rPr>
        <w:t>Studying</w:t>
        <w:tab/>
        <w:t>2 -</w:t>
      </w:r>
      <w:r>
        <w:rPr>
          <w:rFonts w:ascii="Calibri"/>
          <w:spacing w:val="-6"/>
          <w:sz w:val="12"/>
        </w:rPr>
        <w:t> </w:t>
      </w:r>
      <w:r>
        <w:rPr>
          <w:rFonts w:ascii="Calibri"/>
          <w:sz w:val="12"/>
        </w:rPr>
        <w:t>Working</w:t>
      </w:r>
      <w:r>
        <w:rPr>
          <w:rFonts w:ascii="Calibri"/>
          <w:spacing w:val="-3"/>
          <w:sz w:val="12"/>
        </w:rPr>
        <w:t> </w:t>
      </w:r>
      <w:r>
        <w:rPr>
          <w:rFonts w:ascii="Calibri"/>
          <w:sz w:val="12"/>
        </w:rPr>
        <w:t>Age</w:t>
        <w:tab/>
        <w:t>3</w:t>
      </w:r>
      <w:r>
        <w:rPr>
          <w:rFonts w:ascii="Calibri"/>
          <w:spacing w:val="-7"/>
          <w:sz w:val="12"/>
        </w:rPr>
        <w:t> </w:t>
      </w:r>
      <w:r>
        <w:rPr>
          <w:rFonts w:ascii="Calibri"/>
          <w:sz w:val="12"/>
        </w:rPr>
        <w:t>-</w:t>
      </w:r>
      <w:r>
        <w:rPr>
          <w:rFonts w:ascii="Calibri"/>
          <w:spacing w:val="1"/>
          <w:sz w:val="12"/>
        </w:rPr>
        <w:t> </w:t>
      </w:r>
      <w:r>
        <w:rPr>
          <w:rFonts w:ascii="Calibri"/>
          <w:sz w:val="12"/>
        </w:rPr>
        <w:t>Parents</w:t>
        <w:tab/>
        <w:t>4</w:t>
      </w:r>
      <w:r>
        <w:rPr>
          <w:rFonts w:ascii="Calibri"/>
          <w:spacing w:val="-8"/>
          <w:sz w:val="12"/>
        </w:rPr>
        <w:t> </w:t>
      </w:r>
      <w:r>
        <w:rPr>
          <w:rFonts w:ascii="Calibri"/>
          <w:sz w:val="12"/>
        </w:rPr>
        <w:t>- Carers</w:t>
        <w:tab/>
        <w:t>5 -</w:t>
      </w:r>
      <w:r>
        <w:rPr>
          <w:rFonts w:ascii="Calibri"/>
          <w:spacing w:val="-2"/>
          <w:sz w:val="12"/>
        </w:rPr>
        <w:t> </w:t>
      </w:r>
      <w:r>
        <w:rPr>
          <w:rFonts w:ascii="Calibri"/>
          <w:sz w:val="12"/>
        </w:rPr>
        <w:t>Disability</w:t>
      </w:r>
      <w:r>
        <w:rPr>
          <w:rFonts w:ascii="Calibri"/>
          <w:spacing w:val="1"/>
          <w:sz w:val="12"/>
        </w:rPr>
        <w:t> </w:t>
      </w:r>
      <w:r>
        <w:rPr>
          <w:rFonts w:ascii="Calibri"/>
          <w:sz w:val="12"/>
        </w:rPr>
        <w:t>Support</w:t>
        <w:tab/>
        <w:t>6 - Pension</w:t>
      </w:r>
      <w:r>
        <w:rPr>
          <w:rFonts w:ascii="Calibri"/>
          <w:spacing w:val="-10"/>
          <w:sz w:val="12"/>
        </w:rPr>
        <w:t> </w:t>
      </w:r>
      <w:r>
        <w:rPr>
          <w:rFonts w:ascii="Calibri"/>
          <w:sz w:val="12"/>
        </w:rPr>
        <w:t>Age</w:t>
      </w:r>
    </w:p>
    <w:p>
      <w:pPr>
        <w:spacing w:after="0"/>
        <w:jc w:val="center"/>
        <w:rPr>
          <w:rFonts w:ascii="Calibri"/>
          <w:sz w:val="12"/>
        </w:rPr>
        <w:sectPr>
          <w:pgSz w:w="11910" w:h="16850"/>
          <w:pgMar w:header="572" w:footer="581" w:top="780" w:bottom="780" w:left="120" w:right="0"/>
        </w:sectPr>
      </w:pPr>
    </w:p>
    <w:p>
      <w:pPr>
        <w:spacing w:before="61"/>
        <w:ind w:left="0" w:right="0" w:firstLine="0"/>
        <w:jc w:val="right"/>
        <w:rPr>
          <w:rFonts w:ascii="Calibri"/>
          <w:sz w:val="12"/>
        </w:rPr>
      </w:pPr>
      <w:r>
        <w:rPr>
          <w:rFonts w:ascii="Calibri"/>
          <w:sz w:val="12"/>
        </w:rPr>
        <w:t>7 - Non IS Family</w:t>
      </w:r>
    </w:p>
    <w:p>
      <w:pPr>
        <w:pStyle w:val="ListParagraph"/>
        <w:numPr>
          <w:ilvl w:val="0"/>
          <w:numId w:val="60"/>
        </w:numPr>
        <w:tabs>
          <w:tab w:pos="665" w:val="left" w:leader="none"/>
        </w:tabs>
        <w:spacing w:line="240" w:lineRule="auto" w:before="61" w:after="0"/>
        <w:ind w:left="664" w:right="0" w:hanging="82"/>
        <w:jc w:val="left"/>
        <w:rPr>
          <w:rFonts w:ascii="Calibri"/>
          <w:sz w:val="12"/>
        </w:rPr>
      </w:pPr>
      <w:r>
        <w:rPr>
          <w:rFonts w:ascii="Calibri"/>
          <w:w w:val="100"/>
          <w:sz w:val="12"/>
        </w:rPr>
        <w:br w:type="column"/>
      </w:r>
      <w:r>
        <w:rPr>
          <w:rFonts w:ascii="Calibri"/>
          <w:sz w:val="12"/>
        </w:rPr>
        <w:t>- Non IS</w:t>
      </w:r>
      <w:r>
        <w:rPr>
          <w:rFonts w:ascii="Calibri"/>
          <w:spacing w:val="2"/>
          <w:sz w:val="12"/>
        </w:rPr>
        <w:t> </w:t>
      </w:r>
      <w:r>
        <w:rPr>
          <w:rFonts w:ascii="Calibri"/>
          <w:spacing w:val="-3"/>
          <w:sz w:val="12"/>
        </w:rPr>
        <w:t>Carer</w:t>
      </w:r>
    </w:p>
    <w:p>
      <w:pPr>
        <w:pStyle w:val="ListParagraph"/>
        <w:numPr>
          <w:ilvl w:val="0"/>
          <w:numId w:val="60"/>
        </w:numPr>
        <w:tabs>
          <w:tab w:pos="726" w:val="left" w:leader="none"/>
        </w:tabs>
        <w:spacing w:line="240" w:lineRule="auto" w:before="61" w:after="0"/>
        <w:ind w:left="725" w:right="0" w:hanging="82"/>
        <w:jc w:val="left"/>
        <w:rPr>
          <w:rFonts w:ascii="Calibri"/>
          <w:sz w:val="12"/>
        </w:rPr>
      </w:pPr>
      <w:r>
        <w:rPr>
          <w:rFonts w:ascii="Calibri"/>
          <w:w w:val="100"/>
          <w:sz w:val="12"/>
        </w:rPr>
        <w:br w:type="column"/>
      </w:r>
      <w:r>
        <w:rPr>
          <w:rFonts w:ascii="Calibri"/>
          <w:sz w:val="12"/>
        </w:rPr>
        <w:t>- Non IS</w:t>
      </w:r>
      <w:r>
        <w:rPr>
          <w:rFonts w:ascii="Calibri"/>
          <w:spacing w:val="5"/>
          <w:sz w:val="12"/>
        </w:rPr>
        <w:t> </w:t>
      </w:r>
      <w:r>
        <w:rPr>
          <w:rFonts w:ascii="Calibri"/>
          <w:spacing w:val="-3"/>
          <w:sz w:val="12"/>
        </w:rPr>
        <w:t>Other</w:t>
      </w:r>
    </w:p>
    <w:p>
      <w:pPr>
        <w:pStyle w:val="ListParagraph"/>
        <w:numPr>
          <w:ilvl w:val="0"/>
          <w:numId w:val="60"/>
        </w:numPr>
        <w:tabs>
          <w:tab w:pos="759" w:val="left" w:leader="none"/>
        </w:tabs>
        <w:spacing w:line="261" w:lineRule="auto" w:before="61" w:after="0"/>
        <w:ind w:left="620" w:right="0" w:firstLine="0"/>
        <w:jc w:val="left"/>
        <w:rPr>
          <w:rFonts w:ascii="Calibri"/>
          <w:sz w:val="12"/>
        </w:rPr>
      </w:pPr>
      <w:r>
        <w:rPr>
          <w:rFonts w:ascii="Calibri"/>
          <w:w w:val="100"/>
          <w:sz w:val="12"/>
        </w:rPr>
        <w:br w:type="column"/>
      </w:r>
      <w:r>
        <w:rPr>
          <w:rFonts w:ascii="Calibri"/>
          <w:sz w:val="12"/>
        </w:rPr>
        <w:t>- Previous Welfare Recipient</w:t>
      </w:r>
    </w:p>
    <w:p>
      <w:pPr>
        <w:pStyle w:val="ListParagraph"/>
        <w:numPr>
          <w:ilvl w:val="0"/>
          <w:numId w:val="60"/>
        </w:numPr>
        <w:tabs>
          <w:tab w:pos="482" w:val="left" w:leader="none"/>
        </w:tabs>
        <w:spacing w:line="240" w:lineRule="auto" w:before="61" w:after="0"/>
        <w:ind w:left="481" w:right="0" w:hanging="139"/>
        <w:jc w:val="left"/>
        <w:rPr>
          <w:rFonts w:ascii="Calibri"/>
          <w:sz w:val="12"/>
        </w:rPr>
      </w:pPr>
      <w:r>
        <w:rPr>
          <w:rFonts w:ascii="Calibri"/>
          <w:w w:val="100"/>
          <w:sz w:val="12"/>
        </w:rPr>
        <w:br w:type="column"/>
      </w:r>
      <w:r>
        <w:rPr>
          <w:rFonts w:ascii="Calibri"/>
          <w:sz w:val="12"/>
        </w:rPr>
        <w:t>-</w:t>
      </w:r>
      <w:r>
        <w:rPr>
          <w:rFonts w:ascii="Calibri"/>
          <w:spacing w:val="3"/>
          <w:sz w:val="12"/>
        </w:rPr>
        <w:t> </w:t>
      </w:r>
      <w:r>
        <w:rPr>
          <w:rFonts w:ascii="Calibri"/>
          <w:spacing w:val="-5"/>
          <w:sz w:val="12"/>
        </w:rPr>
        <w:t>Dead</w:t>
      </w:r>
    </w:p>
    <w:p>
      <w:pPr>
        <w:pStyle w:val="ListParagraph"/>
        <w:numPr>
          <w:ilvl w:val="0"/>
          <w:numId w:val="60"/>
        </w:numPr>
        <w:tabs>
          <w:tab w:pos="1084" w:val="left" w:leader="none"/>
        </w:tabs>
        <w:spacing w:line="261" w:lineRule="auto" w:before="61" w:after="0"/>
        <w:ind w:left="946" w:right="1894" w:firstLine="0"/>
        <w:jc w:val="left"/>
        <w:rPr>
          <w:rFonts w:ascii="Calibri"/>
          <w:sz w:val="12"/>
        </w:rPr>
      </w:pPr>
      <w:r>
        <w:rPr>
          <w:rFonts w:ascii="Calibri"/>
          <w:w w:val="100"/>
          <w:sz w:val="12"/>
        </w:rPr>
        <w:br w:type="column"/>
      </w:r>
      <w:r>
        <w:rPr>
          <w:rFonts w:ascii="Calibri"/>
          <w:sz w:val="12"/>
        </w:rPr>
        <w:t>- Rest of Aust. Population</w:t>
      </w:r>
    </w:p>
    <w:p>
      <w:pPr>
        <w:spacing w:after="0" w:line="261" w:lineRule="auto"/>
        <w:jc w:val="left"/>
        <w:rPr>
          <w:rFonts w:ascii="Calibri"/>
          <w:sz w:val="12"/>
        </w:rPr>
        <w:sectPr>
          <w:type w:val="continuous"/>
          <w:pgSz w:w="11910" w:h="16850"/>
          <w:pgMar w:top="1600" w:bottom="280" w:left="120" w:right="0"/>
          <w:cols w:num="6" w:equalWidth="0">
            <w:col w:w="2653" w:space="40"/>
            <w:col w:w="1345" w:space="39"/>
            <w:col w:w="1430" w:space="40"/>
            <w:col w:w="1683" w:space="39"/>
            <w:col w:w="804" w:space="40"/>
            <w:col w:w="3677"/>
          </w:cols>
        </w:sectPr>
      </w:pPr>
    </w:p>
    <w:p>
      <w:pPr>
        <w:pStyle w:val="BodyText"/>
        <w:spacing w:before="3"/>
        <w:rPr>
          <w:rFonts w:ascii="Calibri"/>
          <w:sz w:val="13"/>
        </w:rPr>
      </w:pPr>
    </w:p>
    <w:p>
      <w:pPr>
        <w:pStyle w:val="BodyText"/>
        <w:spacing w:before="93"/>
        <w:ind w:left="899" w:right="1076"/>
      </w:pPr>
      <w:r>
        <w:rPr>
          <w:color w:val="404040"/>
        </w:rPr>
        <w:t>We can see that people predominately enter this class from class ‘9 Non IS Other’ and some enter from class ‘3 Parents’ or ‘2 Working Age’. We can also see that the majority of people who leave this class also leave the welfare system. Men who don’t leave the system tend to transition into class ‘2 Working Age’ or ‘9 Non IS Other’, while women who don’t leave tend to transition to ‘3 Parents’ (under age 40), ‘2 Working Age’ (over age 40), ‘9 Non IS Other’ (across ages 30 to 45). Some women also transition into ‘4 Carers’.</w:t>
      </w:r>
    </w:p>
    <w:p>
      <w:pPr>
        <w:pStyle w:val="BodyText"/>
        <w:spacing w:before="120"/>
        <w:ind w:left="899" w:right="1154"/>
      </w:pPr>
      <w:r>
        <w:rPr>
          <w:color w:val="404040"/>
        </w:rPr>
        <w:t>Both exits and entries from and to class ‘7 Non IS Family’ have stabilised since 2015 at a higher level than the preceding years. This partly reflects the age profile of the population and that the numbers of people in the income support classes has been reducing, so many of those people receiving family payments will be in this class.</w:t>
      </w:r>
    </w:p>
    <w:p>
      <w:pPr>
        <w:pStyle w:val="BodyText"/>
        <w:spacing w:before="122"/>
        <w:ind w:left="899" w:right="1165"/>
      </w:pPr>
      <w:r>
        <w:rPr>
          <w:color w:val="404040"/>
        </w:rPr>
        <w:t>There have been a number of policy changes to Family Tax Benefit over recent years, that have reduced both the coverage of Family Tax Benefit and the level of assistance available</w:t>
      </w:r>
    </w:p>
    <w:p>
      <w:pPr>
        <w:pStyle w:val="BodyText"/>
        <w:spacing w:before="119"/>
        <w:ind w:left="899" w:right="1332"/>
      </w:pPr>
      <w:r>
        <w:rPr>
          <w:color w:val="404040"/>
        </w:rPr>
        <w:t>Projected exits are low for 2019, and this is reflective of unusually high utilisation of family payments seen in the class 7 actual experience in 2018. This in turn is predictive of low exits.</w:t>
      </w:r>
    </w:p>
    <w:p>
      <w:pPr>
        <w:spacing w:after="0"/>
        <w:sectPr>
          <w:type w:val="continuous"/>
          <w:pgSz w:w="11910" w:h="16850"/>
          <w:pgMar w:top="1600" w:bottom="280" w:left="120" w:right="0"/>
        </w:sectPr>
      </w:pPr>
    </w:p>
    <w:p>
      <w:pPr>
        <w:pStyle w:val="BodyText"/>
      </w:pPr>
    </w:p>
    <w:p>
      <w:pPr>
        <w:pStyle w:val="BodyText"/>
      </w:pPr>
    </w:p>
    <w:p>
      <w:pPr>
        <w:pStyle w:val="BodyText"/>
        <w:spacing w:before="7"/>
        <w:rPr>
          <w:sz w:val="21"/>
        </w:rPr>
      </w:pPr>
    </w:p>
    <w:p>
      <w:pPr>
        <w:pStyle w:val="Heading6"/>
        <w:spacing w:before="94"/>
        <w:rPr>
          <w:i/>
        </w:rPr>
      </w:pPr>
      <w:r>
        <w:rPr>
          <w:i/>
          <w:color w:val="DF2F1E"/>
        </w:rPr>
        <w:t>Payments received</w:t>
      </w:r>
    </w:p>
    <w:p>
      <w:pPr>
        <w:pStyle w:val="BodyText"/>
        <w:spacing w:before="121"/>
        <w:ind w:left="900" w:right="1064"/>
      </w:pPr>
      <w:r>
        <w:rPr>
          <w:color w:val="404040"/>
        </w:rPr>
        <w:t>During 2017/18, people in this class received a total of $11.1 billion. This is 9.6% of the total payments made in 2017/18. The charts below show the average amount paid in a year to each person in this class, split by the categories of payments received.</w:t>
      </w:r>
    </w:p>
    <w:p>
      <w:pPr>
        <w:pStyle w:val="Heading9"/>
        <w:spacing w:before="176"/>
      </w:pPr>
      <w:r>
        <w:rPr>
          <w:color w:val="DF2F1E"/>
        </w:rPr>
        <w:t>Figure 81: Average payments per person in class 7 – Non IS Family (restated to 2017/18 $ values)</w:t>
      </w:r>
    </w:p>
    <w:p>
      <w:pPr>
        <w:pStyle w:val="BodyText"/>
        <w:spacing w:before="8"/>
        <w:rPr>
          <w:b/>
          <w:sz w:val="22"/>
        </w:rPr>
      </w:pPr>
    </w:p>
    <w:p>
      <w:pPr>
        <w:spacing w:before="71"/>
        <w:ind w:left="0" w:right="10231" w:firstLine="0"/>
        <w:jc w:val="right"/>
        <w:rPr>
          <w:rFonts w:ascii="Calibri"/>
          <w:sz w:val="15"/>
        </w:rPr>
      </w:pPr>
      <w:r>
        <w:rPr/>
        <w:pict>
          <v:group style="position:absolute;margin-left:88.370232pt;margin-top:7.987803pt;width:420.25pt;height:141.15pt;mso-position-horizontal-relative:page;mso-position-vertical-relative:paragraph;z-index:252564480" coordorigin="1767,160" coordsize="8405,2823">
            <v:shape style="position:absolute;left:1825;top:1275;width:8341;height:877" coordorigin="1826,1276" coordsize="8341,877" path="m9932,2152l10166,2152m9100,2152l9557,2152m8269,2152l8725,2152m7425,2152l7894,2152m6594,2152l7062,2152m5762,2152l6230,2152m4930,2152l5387,2152m4087,2152l4555,2152m3255,2152l3724,2152m2423,2152l2892,2152m1826,2152l2049,2152m2423,1930l2892,1930m1826,1930l2049,1930m2423,1708l2892,1708m1826,1708l2049,1708m2423,1498l2892,1498m1826,1498l2049,1498m2423,1276l3724,1276m1826,1276l2049,1276e" filled="false" stroked="true" strokeweight=".584348pt" strokecolor="#f1f1f1">
              <v:path arrowok="t"/>
              <v:stroke dashstyle="solid"/>
            </v:shape>
            <v:rect style="position:absolute;left:2048;top:1252;width:375;height:1122" filled="true" fillcolor="#f8a763" stroked="false">
              <v:fill type="solid"/>
            </v:rect>
            <v:shape style="position:absolute;left:3255;top:1497;width:469;height:433" coordorigin="3255,1498" coordsize="469,433" path="m3255,1930l3724,1930m3255,1708l3724,1708m3255,1498l3724,1498e" filled="false" stroked="true" strokeweight=".584348pt" strokecolor="#f1f1f1">
              <v:path arrowok="t"/>
              <v:stroke dashstyle="solid"/>
            </v:shape>
            <v:rect style="position:absolute;left:2891;top:1275;width:364;height:1099" filled="true" fillcolor="#f8a763" stroked="false">
              <v:fill type="solid"/>
            </v:rect>
            <v:shape style="position:absolute;left:4086;top:1497;width:469;height:433" coordorigin="4087,1498" coordsize="469,433" path="m4087,1930l4555,1930m4087,1708l4555,1708m4087,1498l4555,1498e" filled="false" stroked="true" strokeweight=".584348pt" strokecolor="#f1f1f1">
              <v:path arrowok="t"/>
              <v:stroke dashstyle="solid"/>
            </v:shape>
            <v:rect style="position:absolute;left:3723;top:1369;width:364;height:1006" filled="true" fillcolor="#f8a763" stroked="false">
              <v:fill type="solid"/>
            </v:rect>
            <v:shape style="position:absolute;left:4930;top:1497;width:457;height:433" coordorigin="4930,1498" coordsize="457,433" path="m4930,1930l5387,1930m4930,1708l5387,1708m4930,1498l5387,1498e" filled="false" stroked="true" strokeweight=".584348pt" strokecolor="#f1f1f1">
              <v:path arrowok="t"/>
              <v:stroke dashstyle="solid"/>
            </v:shape>
            <v:rect style="position:absolute;left:4555;top:1474;width:375;height:900" filled="true" fillcolor="#f8a763" stroked="false">
              <v:fill type="solid"/>
            </v:rect>
            <v:shape style="position:absolute;left:5761;top:1497;width:469;height:433" coordorigin="5762,1498" coordsize="469,433" path="m5762,1930l6230,1930m5762,1708l6230,1708m5762,1498l6230,1498e" filled="false" stroked="true" strokeweight=".584348pt" strokecolor="#f1f1f1">
              <v:path arrowok="t"/>
              <v:stroke dashstyle="solid"/>
            </v:shape>
            <v:rect style="position:absolute;left:5386;top:1568;width:375;height:807" filled="true" fillcolor="#f8a763" stroked="false">
              <v:fill type="solid"/>
            </v:rect>
            <v:shape style="position:absolute;left:6593;top:1497;width:469;height:433" coordorigin="6594,1498" coordsize="469,433" path="m6594,1930l7062,1930m6594,1708l7062,1708m6594,1498l7062,1498e" filled="false" stroked="true" strokeweight=".584348pt" strokecolor="#f1f1f1">
              <v:path arrowok="t"/>
              <v:stroke dashstyle="solid"/>
            </v:shape>
            <v:rect style="position:absolute;left:6230;top:1532;width:364;height:842" filled="true" fillcolor="#f8a763" stroked="false">
              <v:fill type="solid"/>
            </v:rect>
            <v:shape style="position:absolute;left:7425;top:1497;width:469;height:433" coordorigin="7425,1498" coordsize="469,433" path="m7425,1930l7894,1930m7425,1708l7894,1708m7425,1498l7894,1498e" filled="false" stroked="true" strokeweight=".584348pt" strokecolor="#f1f1f1">
              <v:path arrowok="t"/>
              <v:stroke dashstyle="solid"/>
            </v:shape>
            <v:rect style="position:absolute;left:7062;top:1568;width:364;height:807" filled="true" fillcolor="#f8a763" stroked="false">
              <v:fill type="solid"/>
            </v:rect>
            <v:shape style="position:absolute;left:8268;top:1708;width:457;height:223" coordorigin="8269,1708" coordsize="457,223" path="m8269,1930l8725,1930m8269,1708l8725,1708e" filled="false" stroked="true" strokeweight=".584348pt" strokecolor="#f1f1f1">
              <v:path arrowok="t"/>
              <v:stroke dashstyle="solid"/>
            </v:shape>
            <v:rect style="position:absolute;left:7893;top:1579;width:375;height:795" filled="true" fillcolor="#f8a763" stroked="false">
              <v:fill type="solid"/>
            </v:rect>
            <v:shape style="position:absolute;left:9100;top:1708;width:457;height:223" coordorigin="9100,1708" coordsize="457,223" path="m9100,1930l9557,1930m9100,1708l9557,1708e" filled="false" stroked="true" strokeweight=".584348pt" strokecolor="#f1f1f1">
              <v:path arrowok="t"/>
              <v:stroke dashstyle="solid"/>
            </v:shape>
            <v:rect style="position:absolute;left:8725;top:1591;width:375;height:784" filled="true" fillcolor="#f8a763" stroked="false">
              <v:fill type="solid"/>
            </v:rect>
            <v:shape style="position:absolute;left:9931;top:1708;width:235;height:223" coordorigin="9932,1708" coordsize="235,223" path="m9932,1930l10166,1930m9932,1708l10166,1708e" filled="false" stroked="true" strokeweight=".584348pt" strokecolor="#f1f1f1">
              <v:path arrowok="t"/>
              <v:stroke dashstyle="solid"/>
            </v:shape>
            <v:rect style="position:absolute;left:9557;top:1591;width:375;height:784" filled="true" fillcolor="#f8a763" stroked="false">
              <v:fill type="solid"/>
            </v:rect>
            <v:shape style="position:absolute;left:1825;top:609;width:1066;height:445" coordorigin="1826,610" coordsize="1066,445" path="m2423,1054l2892,1054m1826,1054l2049,1054m2423,832l2892,832m1826,832l2049,832m2423,610l2892,610m1826,610l2049,610e" filled="false" stroked="true" strokeweight=".584348pt" strokecolor="#f1f1f1">
              <v:path arrowok="t"/>
              <v:stroke dashstyle="solid"/>
            </v:shape>
            <v:rect style="position:absolute;left:2048;top:633;width:375;height:620" filled="true" fillcolor="#f9c090" stroked="false">
              <v:fill type="solid"/>
            </v:rect>
            <v:shape style="position:absolute;left:3255;top:609;width:469;height:445" coordorigin="3255,610" coordsize="469,445" path="m3255,1054l3724,1054m3255,832l3724,832m3255,610l3724,610e" filled="false" stroked="true" strokeweight=".584348pt" strokecolor="#f1f1f1">
              <v:path arrowok="t"/>
              <v:stroke dashstyle="solid"/>
            </v:shape>
            <v:rect style="position:absolute;left:2891;top:633;width:364;height:643" filled="true" fillcolor="#f9c090" stroked="false">
              <v:fill type="solid"/>
            </v:rect>
            <v:shape style="position:absolute;left:4086;top:831;width:469;height:445" coordorigin="4087,832" coordsize="469,445" path="m4087,1276l4555,1276m4087,1054l4555,1054m4087,832l4555,832e" filled="false" stroked="true" strokeweight=".584348pt" strokecolor="#f1f1f1">
              <v:path arrowok="t"/>
              <v:stroke dashstyle="solid"/>
            </v:shape>
            <v:rect style="position:absolute;left:3723;top:714;width:364;height:655" filled="true" fillcolor="#f9c090" stroked="false">
              <v:fill type="solid"/>
            </v:rect>
            <v:shape style="position:absolute;left:4930;top:831;width:457;height:445" coordorigin="4930,832" coordsize="457,445" path="m4930,1276l5387,1276m4930,1054l5387,1054m4930,832l5387,832e" filled="false" stroked="true" strokeweight=".584348pt" strokecolor="#f1f1f1">
              <v:path arrowok="t"/>
              <v:stroke dashstyle="solid"/>
            </v:shape>
            <v:rect style="position:absolute;left:4555;top:843;width:375;height:632" filled="true" fillcolor="#f9c090" stroked="false">
              <v:fill type="solid"/>
            </v:rect>
            <v:shape style="position:absolute;left:5761;top:1053;width:469;height:223" coordorigin="5762,1054" coordsize="469,223" path="m5762,1276l6230,1276m5762,1054l6230,1054e" filled="false" stroked="true" strokeweight=".584348pt" strokecolor="#f1f1f1">
              <v:path arrowok="t"/>
              <v:stroke dashstyle="solid"/>
            </v:shape>
            <v:rect style="position:absolute;left:5387;top:1018;width:375;height:550" filled="true" fillcolor="#f9c090" stroked="false">
              <v:fill type="solid"/>
            </v:rect>
            <v:shape style="position:absolute;left:5761;top:831;width:1301;height:445" coordorigin="5762,832" coordsize="1301,445" path="m6594,1276l7062,1276m6594,1054l7062,1054m6594,832l7062,832m5762,832l6230,832e" filled="false" stroked="true" strokeweight=".584348pt" strokecolor="#f1f1f1">
              <v:path arrowok="t"/>
              <v:stroke dashstyle="solid"/>
            </v:shape>
            <v:rect style="position:absolute;left:6230;top:796;width:364;height:737" filled="true" fillcolor="#f9c090" stroked="false">
              <v:fill type="solid"/>
            </v:rect>
            <v:shape style="position:absolute;left:7425;top:831;width:469;height:445" coordorigin="7425,832" coordsize="469,445" path="m7425,1276l7894,1276m7425,1054l7894,1054m7425,832l7894,832e" filled="false" stroked="true" strokeweight=".584348pt" strokecolor="#f1f1f1">
              <v:path arrowok="t"/>
              <v:stroke dashstyle="solid"/>
            </v:shape>
            <v:rect style="position:absolute;left:7062;top:808;width:364;height:760" filled="true" fillcolor="#f9c090" stroked="false">
              <v:fill type="solid"/>
            </v:rect>
            <v:shape style="position:absolute;left:8268;top:831;width:457;height:667" coordorigin="8269,832" coordsize="457,667" path="m8269,1498l8725,1498m8269,1276l8725,1276m8269,1054l8725,1054m8269,832l8725,832e" filled="false" stroked="true" strokeweight=".584348pt" strokecolor="#f1f1f1">
              <v:path arrowok="t"/>
              <v:stroke dashstyle="solid"/>
            </v:shape>
            <v:rect style="position:absolute;left:7893;top:820;width:375;height:760" filled="true" fillcolor="#f9c090" stroked="false">
              <v:fill type="solid"/>
            </v:rect>
            <v:shape style="position:absolute;left:9100;top:831;width:457;height:667" coordorigin="9100,832" coordsize="457,667" path="m9100,1498l9557,1498m9100,1276l9557,1276m9100,1054l9557,1054m9100,832l9557,832e" filled="false" stroked="true" strokeweight=".584348pt" strokecolor="#f1f1f1">
              <v:path arrowok="t"/>
              <v:stroke dashstyle="solid"/>
            </v:shape>
            <v:rect style="position:absolute;left:8725;top:820;width:375;height:772" filled="true" fillcolor="#f9c090" stroked="false">
              <v:fill type="solid"/>
            </v:rect>
            <v:shape style="position:absolute;left:9931;top:831;width:235;height:667" coordorigin="9932,832" coordsize="235,667" path="m9932,1498l10166,1498m9932,1276l10166,1276m9932,1054l10166,1054m9932,832l10166,832e" filled="false" stroked="true" strokeweight=".584348pt" strokecolor="#f1f1f1">
              <v:path arrowok="t"/>
              <v:stroke dashstyle="solid"/>
            </v:shape>
            <v:rect style="position:absolute;left:9557;top:820;width:375;height:772" filled="true" fillcolor="#f9c090" stroked="false">
              <v:fill type="solid"/>
            </v:rect>
            <v:shape style="position:absolute;left:2048;top:504;width:1207;height:129" coordorigin="2049,505" coordsize="1207,129" path="m2423,505l2049,505,2049,633,2423,633,2423,505m3255,505l2892,505,2892,633,3255,633,3255,505e" filled="true" fillcolor="#fbddc4" stroked="false">
              <v:path arrowok="t"/>
              <v:fill type="solid"/>
            </v:shape>
            <v:line style="position:absolute" from="4087,610" to="10166,610" stroked="true" strokeweight=".584348pt" strokecolor="#f1f1f1">
              <v:stroke dashstyle="solid"/>
            </v:line>
            <v:shape style="position:absolute;left:3723;top:574;width:3702;height:445" coordorigin="3724,575" coordsize="3702,445" path="m4087,575l3724,575,3724,715,4087,715,4087,575m4930,703l4555,703,4555,843,4930,843,4930,703m5762,879l5387,879,5387,1019,5762,1019,5762,879m6594,656l6230,656,6230,797,6594,797,6594,656m7425,668l7062,668,7062,808,7425,808,7425,668e" filled="true" fillcolor="#fbddc4" stroked="false">
              <v:path arrowok="t"/>
              <v:fill type="solid"/>
            </v:shape>
            <v:shape style="position:absolute;left:7893;top:691;width:2039;height:129" coordorigin="7894,692" coordsize="2039,129" path="m8269,692l7894,692,7894,820,8269,820,8269,692m9100,692l8725,692,8725,820,9100,820,9100,692m9932,692l9557,692,9557,820,9932,820,9932,692e" filled="true" fillcolor="#fbddc4" stroked="false">
              <v:path arrowok="t"/>
              <v:fill type="solid"/>
            </v:shape>
            <v:shape style="position:absolute;left:2048;top:498;width:1207;height:2" coordorigin="2049,499" coordsize="1207,0" path="m2049,499l2423,499m2892,499l3255,499e" filled="false" stroked="true" strokeweight=".584344pt" strokecolor="#938953">
              <v:path arrowok="t"/>
              <v:stroke dashstyle="solid"/>
            </v:shape>
            <v:line style="position:absolute" from="3724,569" to="4087,569" stroked="true" strokeweight=".584356pt" strokecolor="#938953">
              <v:stroke dashstyle="solid"/>
            </v:line>
            <v:shape style="position:absolute;left:4555;top:697;width:1207;height:176" coordorigin="4555,697" coordsize="1207,176" path="m4555,697l4930,697m5387,873l5762,873e" filled="false" stroked="true" strokeweight=".584344pt" strokecolor="#938953">
              <v:path arrowok="t"/>
              <v:stroke dashstyle="solid"/>
            </v:shape>
            <v:line style="position:absolute" from="6230,651" to="6594,651" stroked="true" strokeweight=".584344pt" strokecolor="#938953">
              <v:stroke dashstyle="solid"/>
            </v:line>
            <v:line style="position:absolute" from="7062,662" to="7425,662" stroked="true" strokeweight=".584344pt" strokecolor="#938953">
              <v:stroke dashstyle="solid"/>
            </v:line>
            <v:shape style="position:absolute;left:7893;top:685;width:2039;height:2" coordorigin="7894,686" coordsize="2039,0" path="m7894,686l8269,686m8725,686l9100,686m9557,686l9932,686e" filled="false" stroked="true" strokeweight=".584356pt" strokecolor="#938953">
              <v:path arrowok="t"/>
              <v:stroke dashstyle="solid"/>
            </v:shape>
            <v:shape style="position:absolute;left:2048;top:498;width:1207;height:2" coordorigin="2049,499" coordsize="1207,0" path="m2049,499l2423,499m2892,499l3255,499e" filled="false" stroked="true" strokeweight=".584344pt" strokecolor="#c4bc96">
              <v:path arrowok="t"/>
              <v:stroke dashstyle="solid"/>
            </v:shape>
            <v:line style="position:absolute" from="3724,569" to="4087,569" stroked="true" strokeweight=".584356pt" strokecolor="#c4bc96">
              <v:stroke dashstyle="solid"/>
            </v:line>
            <v:shape style="position:absolute;left:4555;top:697;width:1207;height:176" coordorigin="4555,697" coordsize="1207,176" path="m4555,697l4930,697m5387,873l5762,873e" filled="false" stroked="true" strokeweight=".584344pt" strokecolor="#c4bc96">
              <v:path arrowok="t"/>
              <v:stroke dashstyle="solid"/>
            </v:shape>
            <v:line style="position:absolute" from="6230,651" to="6594,651" stroked="true" strokeweight=".584344pt" strokecolor="#c4bc96">
              <v:stroke dashstyle="solid"/>
            </v:line>
            <v:line style="position:absolute" from="7062,662" to="7425,662" stroked="true" strokeweight=".584344pt" strokecolor="#c4bc96">
              <v:stroke dashstyle="solid"/>
            </v:line>
            <v:shape style="position:absolute;left:7893;top:685;width:2039;height:2" coordorigin="7894,686" coordsize="2039,0" path="m7894,686l8269,686m8725,686l9100,686m9557,686l9932,686e" filled="false" stroked="true" strokeweight=".584356pt" strokecolor="#c4bc96">
              <v:path arrowok="t"/>
              <v:stroke dashstyle="solid"/>
            </v:shape>
            <v:line style="position:absolute" from="2892,499" to="3255,499" stroked="true" strokeweight=".584344pt" strokecolor="#808080">
              <v:stroke dashstyle="solid"/>
            </v:line>
            <v:line style="position:absolute" from="3724,569" to="4087,569" stroked="true" strokeweight=".584356pt" strokecolor="#808080">
              <v:stroke dashstyle="solid"/>
            </v:line>
            <v:line style="position:absolute" from="4555,697" to="4930,697" stroked="true" strokeweight=".584344pt" strokecolor="#808080">
              <v:stroke dashstyle="solid"/>
            </v:line>
            <v:line style="position:absolute" from="6230,651" to="6594,651" stroked="true" strokeweight=".584344pt" strokecolor="#808080">
              <v:stroke dashstyle="solid"/>
            </v:line>
            <v:line style="position:absolute" from="9557,686" to="9932,686" stroked="true" strokeweight=".584356pt" strokecolor="#808080">
              <v:stroke dashstyle="solid"/>
            </v:line>
            <v:shape style="position:absolute;left:2048;top:481;width:1207;height:24" coordorigin="2049,481" coordsize="1207,24" path="m2423,481l2049,481,2049,505,2423,505,2423,481m3255,481l2892,481,2892,505,3255,505,3255,481e" filled="true" fillcolor="#a6a6a6" stroked="false">
              <v:path arrowok="t"/>
              <v:fill type="solid"/>
            </v:shape>
            <v:line style="position:absolute" from="3724,569" to="4087,569" stroked="true" strokeweight=".584356pt" strokecolor="#a6a6a6">
              <v:stroke dashstyle="solid"/>
            </v:line>
            <v:rect style="position:absolute;left:4555;top:679;width:375;height:24" filled="true" fillcolor="#a6a6a6" stroked="false">
              <v:fill type="solid"/>
            </v:rect>
            <v:line style="position:absolute" from="5387,873" to="5762,873" stroked="true" strokeweight=".584344pt" strokecolor="#a6a6a6">
              <v:stroke dashstyle="solid"/>
            </v:line>
            <v:line style="position:absolute" from="6230,651" to="6594,651" stroked="true" strokeweight=".584344pt" strokecolor="#a6a6a6">
              <v:stroke dashstyle="solid"/>
            </v:line>
            <v:line style="position:absolute" from="7062,662" to="7425,662" stroked="true" strokeweight=".584344pt" strokecolor="#a6a6a6">
              <v:stroke dashstyle="solid"/>
            </v:line>
            <v:shape style="position:absolute;left:7893;top:685;width:2039;height:2" coordorigin="7894,686" coordsize="2039,0" path="m7894,686l8269,686m8725,686l9100,686m9557,686l9932,686e" filled="false" stroked="true" strokeweight=".584356pt" strokecolor="#a6a6a6">
              <v:path arrowok="t"/>
              <v:stroke dashstyle="solid"/>
            </v:shape>
            <v:shape style="position:absolute;left:2048;top:475;width:1207;height:2" coordorigin="2049,475" coordsize="1207,0" path="m2049,475l2423,475m2892,475l3255,475e" filled="false" stroked="true" strokeweight=".584344pt" strokecolor="#d9d9d9">
              <v:path arrowok="t"/>
              <v:stroke dashstyle="solid"/>
            </v:shape>
            <v:line style="position:absolute" from="4555,674" to="4930,674" stroked="true" strokeweight=".584344pt" strokecolor="#d9d9d9">
              <v:stroke dashstyle="solid"/>
            </v:line>
            <v:shape style="position:absolute;left:6230;top:638;width:1195;height:24" coordorigin="6230,639" coordsize="1195,24" path="m6230,639l6594,639m7062,662l7425,662e" filled="false" stroked="true" strokeweight=".584344pt" strokecolor="#d9d9d9">
              <v:path arrowok="t"/>
              <v:stroke dashstyle="solid"/>
            </v:shape>
            <v:shape style="position:absolute;left:7893;top:673;width:1207;height:2" coordorigin="7894,674" coordsize="1207,0" path="m7894,674l8269,674m8725,674l9100,674e" filled="false" stroked="true" strokeweight=".584344pt" strokecolor="#d9d9d9">
              <v:path arrowok="t"/>
              <v:stroke dashstyle="solid"/>
            </v:shape>
            <v:line style="position:absolute" from="9557,686" to="9932,686" stroked="true" strokeweight=".584356pt" strokecolor="#d9d9d9">
              <v:stroke dashstyle="solid"/>
            </v:line>
            <v:line style="position:absolute" from="1826,388" to="10166,388" stroked="true" strokeweight=".584348pt" strokecolor="#f1f1f1">
              <v:stroke dashstyle="solid"/>
            </v:line>
            <v:shape style="position:absolute;left:2048;top:411;width:1207;height:71" coordorigin="2049,411" coordsize="1207,71" path="m2423,411l2049,411,2049,481,2423,481,2423,411m3255,411l2892,411,2892,481,3255,481,3255,411e" filled="true" fillcolor="#413c22" stroked="false">
              <v:path arrowok="t"/>
              <v:fill type="solid"/>
            </v:shape>
            <v:line style="position:absolute" from="3724,522" to="4087,522" stroked="true" strokeweight="4.090442pt" strokecolor="#413c22">
              <v:stroke dashstyle="solid"/>
            </v:line>
            <v:rect style="position:absolute;left:4555;top:609;width:375;height:71" filled="true" fillcolor="#413c22" stroked="false">
              <v:fill type="solid"/>
            </v:rect>
            <v:line style="position:absolute" from="5387,826" to="5762,826" stroked="true" strokeweight="4.090442pt" strokecolor="#413c22">
              <v:stroke dashstyle="solid"/>
            </v:line>
            <v:line style="position:absolute" from="6230,610" to="6594,610" stroked="true" strokeweight="3.506098pt" strokecolor="#413c22">
              <v:stroke dashstyle="solid"/>
            </v:line>
            <v:rect style="position:absolute;left:7062;top:598;width:364;height:71" filled="true" fillcolor="#413c22" stroked="false">
              <v:fill type="solid"/>
            </v:rect>
            <v:shape style="position:absolute;left:7893;top:650;width:1207;height:2" coordorigin="7894,651" coordsize="1207,0" path="m7894,651l8269,651m8725,651l9100,651e" filled="false" stroked="true" strokeweight="2.921743pt" strokecolor="#413c22">
              <v:path arrowok="t"/>
              <v:stroke dashstyle="solid"/>
            </v:shape>
            <v:rect style="position:absolute;left:9557;top:621;width:375;height:71" filled="true" fillcolor="#413c22" stroked="false">
              <v:fill type="solid"/>
            </v:rect>
            <v:line style="position:absolute" from="1826,166" to="10166,166" stroked="true" strokeweight=".584348pt" strokecolor="#f1f1f1">
              <v:stroke dashstyle="solid"/>
            </v:line>
            <v:line style="position:absolute" from="1826,2374" to="1826,166" stroked="true" strokeweight=".585702pt" strokecolor="#bebebe">
              <v:stroke dashstyle="solid"/>
            </v:line>
            <v:shape style="position:absolute;left:0;top:13522;width:17319;height:654628" coordorigin="0,13523" coordsize="17319,654628" path="m1767,2374l1826,2374m1767,2152l1826,2152m1767,1930l1826,1930m1767,1708l1826,1708m1767,1498l1826,1498m1767,1276l1826,1276m1767,1054l1826,1054m1767,832l1826,832m1767,610l1826,610m1767,388l1826,388m1767,166l1826,166e" filled="false" stroked="true" strokeweight=".585026pt" strokecolor="#bebebe">
              <v:path arrowok="t"/>
              <v:stroke dashstyle="solid"/>
            </v:shape>
            <v:line style="position:absolute" from="1826,2374" to="10166,2374" stroked="true" strokeweight=".584346pt" strokecolor="#bebebe">
              <v:stroke dashstyle="solid"/>
            </v:line>
            <v:shape style="position:absolute;left:0;top:-10290;width:652097;height:23813" coordorigin="0,-10290" coordsize="652097,23813" path="m1826,2374l1826,2421m1826,2374l1826,2678m2658,2374l2658,2421m2658,2374l2658,2678m3489,2374l3489,2421m3489,2374l3489,2678m4321,2374l4321,2421m4321,2374l4321,2678m5164,2374l5164,2421m5164,2374l5164,2678m5996,2374l5996,2421m5996,2374l5996,2678m6828,2374l6828,2421m6828,2374l6828,2678m7659,2374l7659,2421m7659,2374l7659,2678m8491,2374l8491,2421m8491,2374l8491,2678m9335,2374l9335,2421m9335,2374l9335,2678m10166,2374l10166,2421m10166,2374l10166,2678e" filled="false" stroked="true" strokeweight=".585017pt" strokecolor="#bebebe">
              <v:path arrowok="t"/>
              <v:stroke dashstyle="solid"/>
            </v:shape>
            <v:shape style="position:absolute;left:0;top:-10290;width:652097;height:23813" coordorigin="0,-10290" coordsize="652097,23813" path="m1826,2678l1826,2982m5996,2678l5996,2982m10166,2678l10166,2982e" filled="false" stroked="true" strokeweight=".585017pt" strokecolor="#bebebe">
              <v:path arrowok="t"/>
              <v:stroke dashstyle="solid"/>
            </v:shape>
            <v:line style="position:absolute" from="5996,2344" to="5996,224" stroked="true" strokeweight=".585698pt" strokecolor="#7e7e7e">
              <v:stroke dashstyle="solid"/>
            </v:line>
            <v:shape style="position:absolute;left:2080;top:2513;width:332;height:152" type="#_x0000_t202" filled="false" stroked="false">
              <v:textbox inset="0,0,0,0">
                <w:txbxContent>
                  <w:p>
                    <w:pPr>
                      <w:spacing w:line="152" w:lineRule="exact" w:before="0"/>
                      <w:ind w:left="0" w:right="0" w:firstLine="0"/>
                      <w:jc w:val="left"/>
                      <w:rPr>
                        <w:rFonts w:ascii="Calibri"/>
                        <w:sz w:val="15"/>
                      </w:rPr>
                    </w:pPr>
                    <w:r>
                      <w:rPr>
                        <w:rFonts w:ascii="Calibri"/>
                        <w:color w:val="585858"/>
                        <w:sz w:val="15"/>
                      </w:rPr>
                      <w:t>2014</w:t>
                    </w:r>
                  </w:p>
                </w:txbxContent>
              </v:textbox>
              <w10:wrap type="none"/>
            </v:shape>
            <v:shape style="position:absolute;left:2914;top:2513;width:332;height:152" type="#_x0000_t202" filled="false" stroked="false">
              <v:textbox inset="0,0,0,0">
                <w:txbxContent>
                  <w:p>
                    <w:pPr>
                      <w:spacing w:line="152" w:lineRule="exact" w:before="0"/>
                      <w:ind w:left="0" w:right="0" w:firstLine="0"/>
                      <w:jc w:val="left"/>
                      <w:rPr>
                        <w:rFonts w:ascii="Calibri"/>
                        <w:sz w:val="15"/>
                      </w:rPr>
                    </w:pPr>
                    <w:r>
                      <w:rPr>
                        <w:rFonts w:ascii="Calibri"/>
                        <w:color w:val="585858"/>
                        <w:sz w:val="15"/>
                      </w:rPr>
                      <w:t>2015</w:t>
                    </w:r>
                  </w:p>
                </w:txbxContent>
              </v:textbox>
              <w10:wrap type="none"/>
            </v:shape>
            <v:shape style="position:absolute;left:3748;top:2513;width:332;height:152" type="#_x0000_t202" filled="false" stroked="false">
              <v:textbox inset="0,0,0,0">
                <w:txbxContent>
                  <w:p>
                    <w:pPr>
                      <w:spacing w:line="152" w:lineRule="exact" w:before="0"/>
                      <w:ind w:left="0" w:right="0" w:firstLine="0"/>
                      <w:jc w:val="left"/>
                      <w:rPr>
                        <w:rFonts w:ascii="Calibri"/>
                        <w:sz w:val="15"/>
                      </w:rPr>
                    </w:pPr>
                    <w:r>
                      <w:rPr>
                        <w:rFonts w:ascii="Calibri"/>
                        <w:color w:val="585858"/>
                        <w:sz w:val="15"/>
                      </w:rPr>
                      <w:t>2016</w:t>
                    </w:r>
                  </w:p>
                </w:txbxContent>
              </v:textbox>
              <w10:wrap type="none"/>
            </v:shape>
            <v:shape style="position:absolute;left:4583;top:2513;width:332;height:152" type="#_x0000_t202" filled="false" stroked="false">
              <v:textbox inset="0,0,0,0">
                <w:txbxContent>
                  <w:p>
                    <w:pPr>
                      <w:spacing w:line="152" w:lineRule="exact" w:before="0"/>
                      <w:ind w:left="0" w:right="0" w:firstLine="0"/>
                      <w:jc w:val="left"/>
                      <w:rPr>
                        <w:rFonts w:ascii="Calibri"/>
                        <w:sz w:val="15"/>
                      </w:rPr>
                    </w:pPr>
                    <w:r>
                      <w:rPr>
                        <w:rFonts w:ascii="Calibri"/>
                        <w:color w:val="585858"/>
                        <w:sz w:val="15"/>
                      </w:rPr>
                      <w:t>2017</w:t>
                    </w:r>
                  </w:p>
                </w:txbxContent>
              </v:textbox>
              <w10:wrap type="none"/>
            </v:shape>
            <v:shape style="position:absolute;left:5417;top:2513;width:332;height:152" type="#_x0000_t202" filled="false" stroked="false">
              <v:textbox inset="0,0,0,0">
                <w:txbxContent>
                  <w:p>
                    <w:pPr>
                      <w:spacing w:line="152" w:lineRule="exact" w:before="0"/>
                      <w:ind w:left="0" w:right="0" w:firstLine="0"/>
                      <w:jc w:val="left"/>
                      <w:rPr>
                        <w:rFonts w:ascii="Calibri"/>
                        <w:sz w:val="15"/>
                      </w:rPr>
                    </w:pPr>
                    <w:r>
                      <w:rPr>
                        <w:rFonts w:ascii="Calibri"/>
                        <w:color w:val="585858"/>
                        <w:sz w:val="15"/>
                      </w:rPr>
                      <w:t>2018</w:t>
                    </w:r>
                  </w:p>
                </w:txbxContent>
              </v:textbox>
              <w10:wrap type="none"/>
            </v:shape>
            <v:shape style="position:absolute;left:6251;top:2513;width:332;height:152" type="#_x0000_t202" filled="false" stroked="false">
              <v:textbox inset="0,0,0,0">
                <w:txbxContent>
                  <w:p>
                    <w:pPr>
                      <w:spacing w:line="152" w:lineRule="exact" w:before="0"/>
                      <w:ind w:left="0" w:right="0" w:firstLine="0"/>
                      <w:jc w:val="left"/>
                      <w:rPr>
                        <w:rFonts w:ascii="Calibri"/>
                        <w:sz w:val="15"/>
                      </w:rPr>
                    </w:pPr>
                    <w:r>
                      <w:rPr>
                        <w:rFonts w:ascii="Calibri"/>
                        <w:color w:val="585858"/>
                        <w:sz w:val="15"/>
                      </w:rPr>
                      <w:t>2019</w:t>
                    </w:r>
                  </w:p>
                </w:txbxContent>
              </v:textbox>
              <w10:wrap type="none"/>
            </v:shape>
            <v:shape style="position:absolute;left:7085;top:2513;width:332;height:152" type="#_x0000_t202" filled="false" stroked="false">
              <v:textbox inset="0,0,0,0">
                <w:txbxContent>
                  <w:p>
                    <w:pPr>
                      <w:spacing w:line="152" w:lineRule="exact" w:before="0"/>
                      <w:ind w:left="0" w:right="0" w:firstLine="0"/>
                      <w:jc w:val="left"/>
                      <w:rPr>
                        <w:rFonts w:ascii="Calibri"/>
                        <w:sz w:val="15"/>
                      </w:rPr>
                    </w:pPr>
                    <w:r>
                      <w:rPr>
                        <w:rFonts w:ascii="Calibri"/>
                        <w:color w:val="585858"/>
                        <w:sz w:val="15"/>
                      </w:rPr>
                      <w:t>2020</w:t>
                    </w:r>
                  </w:p>
                </w:txbxContent>
              </v:textbox>
              <w10:wrap type="none"/>
            </v:shape>
            <v:shape style="position:absolute;left:7920;top:2513;width:332;height:152" type="#_x0000_t202" filled="false" stroked="false">
              <v:textbox inset="0,0,0,0">
                <w:txbxContent>
                  <w:p>
                    <w:pPr>
                      <w:spacing w:line="152" w:lineRule="exact" w:before="0"/>
                      <w:ind w:left="0" w:right="0" w:firstLine="0"/>
                      <w:jc w:val="left"/>
                      <w:rPr>
                        <w:rFonts w:ascii="Calibri"/>
                        <w:sz w:val="15"/>
                      </w:rPr>
                    </w:pPr>
                    <w:r>
                      <w:rPr>
                        <w:rFonts w:ascii="Calibri"/>
                        <w:color w:val="585858"/>
                        <w:sz w:val="15"/>
                      </w:rPr>
                      <w:t>2021</w:t>
                    </w:r>
                  </w:p>
                </w:txbxContent>
              </v:textbox>
              <w10:wrap type="none"/>
            </v:shape>
            <v:shape style="position:absolute;left:8754;top:2513;width:332;height:152" type="#_x0000_t202" filled="false" stroked="false">
              <v:textbox inset="0,0,0,0">
                <w:txbxContent>
                  <w:p>
                    <w:pPr>
                      <w:spacing w:line="152" w:lineRule="exact" w:before="0"/>
                      <w:ind w:left="0" w:right="0" w:firstLine="0"/>
                      <w:jc w:val="left"/>
                      <w:rPr>
                        <w:rFonts w:ascii="Calibri"/>
                        <w:sz w:val="15"/>
                      </w:rPr>
                    </w:pPr>
                    <w:r>
                      <w:rPr>
                        <w:rFonts w:ascii="Calibri"/>
                        <w:color w:val="585858"/>
                        <w:sz w:val="15"/>
                      </w:rPr>
                      <w:t>2022</w:t>
                    </w:r>
                  </w:p>
                </w:txbxContent>
              </v:textbox>
              <w10:wrap type="none"/>
            </v:shape>
            <v:shape style="position:absolute;left:9588;top:2513;width:332;height:152" type="#_x0000_t202" filled="false" stroked="false">
              <v:textbox inset="0,0,0,0">
                <w:txbxContent>
                  <w:p>
                    <w:pPr>
                      <w:spacing w:line="152" w:lineRule="exact" w:before="0"/>
                      <w:ind w:left="0" w:right="0" w:firstLine="0"/>
                      <w:jc w:val="left"/>
                      <w:rPr>
                        <w:rFonts w:ascii="Calibri"/>
                        <w:sz w:val="15"/>
                      </w:rPr>
                    </w:pPr>
                    <w:r>
                      <w:rPr>
                        <w:rFonts w:ascii="Calibri"/>
                        <w:color w:val="585858"/>
                        <w:sz w:val="15"/>
                      </w:rPr>
                      <w:t>2023</w:t>
                    </w:r>
                  </w:p>
                </w:txbxContent>
              </v:textbox>
              <w10:wrap type="none"/>
            </v:shape>
            <v:shape style="position:absolute;left:3664;top:2814;width:4736;height:152" type="#_x0000_t202" filled="false" stroked="false">
              <v:textbox inset="0,0,0,0">
                <w:txbxContent>
                  <w:p>
                    <w:pPr>
                      <w:tabs>
                        <w:tab w:pos="4108" w:val="left" w:leader="none"/>
                      </w:tabs>
                      <w:spacing w:line="152" w:lineRule="exact" w:before="0"/>
                      <w:ind w:left="0" w:right="0" w:firstLine="0"/>
                      <w:jc w:val="left"/>
                      <w:rPr>
                        <w:rFonts w:ascii="Calibri"/>
                        <w:sz w:val="15"/>
                      </w:rPr>
                    </w:pPr>
                    <w:r>
                      <w:rPr>
                        <w:rFonts w:ascii="Calibri"/>
                        <w:color w:val="585858"/>
                        <w:sz w:val="15"/>
                      </w:rPr>
                      <w:t>Historic</w:t>
                      <w:tab/>
                      <w:t>Projected</w:t>
                    </w:r>
                  </w:p>
                </w:txbxContent>
              </v:textbox>
              <w10:wrap type="none"/>
            </v:shape>
            <w10:wrap type="none"/>
          </v:group>
        </w:pict>
      </w:r>
      <w:r>
        <w:rPr>
          <w:rFonts w:ascii="Calibri"/>
          <w:color w:val="585858"/>
          <w:sz w:val="15"/>
        </w:rPr>
        <w:t>$10,000</w:t>
      </w:r>
    </w:p>
    <w:p>
      <w:pPr>
        <w:spacing w:before="39"/>
        <w:ind w:left="0" w:right="10234" w:firstLine="0"/>
        <w:jc w:val="right"/>
        <w:rPr>
          <w:rFonts w:ascii="Calibri"/>
          <w:sz w:val="15"/>
        </w:rPr>
      </w:pPr>
      <w:r>
        <w:rPr>
          <w:rFonts w:ascii="Calibri"/>
          <w:color w:val="585858"/>
          <w:sz w:val="15"/>
        </w:rPr>
        <w:t>$9,000</w:t>
      </w:r>
    </w:p>
    <w:p>
      <w:pPr>
        <w:spacing w:before="38"/>
        <w:ind w:left="0" w:right="10234" w:firstLine="0"/>
        <w:jc w:val="right"/>
        <w:rPr>
          <w:rFonts w:ascii="Calibri"/>
          <w:sz w:val="15"/>
        </w:rPr>
      </w:pPr>
      <w:r>
        <w:rPr>
          <w:rFonts w:ascii="Calibri"/>
          <w:color w:val="585858"/>
          <w:sz w:val="15"/>
        </w:rPr>
        <w:t>$8,000</w:t>
      </w:r>
    </w:p>
    <w:p>
      <w:pPr>
        <w:spacing w:before="38"/>
        <w:ind w:left="0" w:right="10234" w:firstLine="0"/>
        <w:jc w:val="right"/>
        <w:rPr>
          <w:rFonts w:ascii="Calibri"/>
          <w:sz w:val="15"/>
        </w:rPr>
      </w:pPr>
      <w:r>
        <w:rPr>
          <w:rFonts w:ascii="Calibri"/>
          <w:color w:val="585858"/>
          <w:sz w:val="15"/>
        </w:rPr>
        <w:t>$7,000</w:t>
      </w:r>
    </w:p>
    <w:p>
      <w:pPr>
        <w:spacing w:before="38"/>
        <w:ind w:left="0" w:right="10234" w:firstLine="0"/>
        <w:jc w:val="right"/>
        <w:rPr>
          <w:rFonts w:ascii="Calibri"/>
          <w:sz w:val="15"/>
        </w:rPr>
      </w:pPr>
      <w:r>
        <w:rPr>
          <w:rFonts w:ascii="Calibri"/>
          <w:color w:val="585858"/>
          <w:sz w:val="15"/>
        </w:rPr>
        <w:t>$6,000</w:t>
      </w:r>
    </w:p>
    <w:p>
      <w:pPr>
        <w:spacing w:before="38"/>
        <w:ind w:left="0" w:right="10234" w:firstLine="0"/>
        <w:jc w:val="right"/>
        <w:rPr>
          <w:rFonts w:ascii="Calibri"/>
          <w:sz w:val="15"/>
        </w:rPr>
      </w:pPr>
      <w:r>
        <w:rPr>
          <w:rFonts w:ascii="Calibri"/>
          <w:color w:val="585858"/>
          <w:sz w:val="15"/>
        </w:rPr>
        <w:t>$5,000</w:t>
      </w:r>
    </w:p>
    <w:p>
      <w:pPr>
        <w:spacing w:before="38"/>
        <w:ind w:left="0" w:right="10234" w:firstLine="0"/>
        <w:jc w:val="right"/>
        <w:rPr>
          <w:rFonts w:ascii="Calibri"/>
          <w:sz w:val="15"/>
        </w:rPr>
      </w:pPr>
      <w:r>
        <w:rPr>
          <w:rFonts w:ascii="Calibri"/>
          <w:color w:val="585858"/>
          <w:sz w:val="15"/>
        </w:rPr>
        <w:t>$4,000</w:t>
      </w:r>
    </w:p>
    <w:p>
      <w:pPr>
        <w:spacing w:before="38"/>
        <w:ind w:left="0" w:right="10234" w:firstLine="0"/>
        <w:jc w:val="right"/>
        <w:rPr>
          <w:rFonts w:ascii="Calibri"/>
          <w:sz w:val="15"/>
        </w:rPr>
      </w:pPr>
      <w:r>
        <w:rPr>
          <w:rFonts w:ascii="Calibri"/>
          <w:color w:val="585858"/>
          <w:sz w:val="15"/>
        </w:rPr>
        <w:t>$3,000</w:t>
      </w:r>
    </w:p>
    <w:p>
      <w:pPr>
        <w:spacing w:before="38"/>
        <w:ind w:left="0" w:right="10234" w:firstLine="0"/>
        <w:jc w:val="right"/>
        <w:rPr>
          <w:rFonts w:ascii="Calibri"/>
          <w:sz w:val="15"/>
        </w:rPr>
      </w:pPr>
      <w:r>
        <w:rPr>
          <w:rFonts w:ascii="Calibri"/>
          <w:color w:val="585858"/>
          <w:sz w:val="15"/>
        </w:rPr>
        <w:t>$2,000</w:t>
      </w:r>
    </w:p>
    <w:p>
      <w:pPr>
        <w:spacing w:before="38"/>
        <w:ind w:left="0" w:right="10234" w:firstLine="0"/>
        <w:jc w:val="right"/>
        <w:rPr>
          <w:rFonts w:ascii="Calibri"/>
          <w:sz w:val="15"/>
        </w:rPr>
      </w:pPr>
      <w:r>
        <w:rPr>
          <w:rFonts w:ascii="Calibri"/>
          <w:color w:val="585858"/>
          <w:sz w:val="15"/>
        </w:rPr>
        <w:t>$1,000</w:t>
      </w:r>
    </w:p>
    <w:p>
      <w:pPr>
        <w:spacing w:before="38"/>
        <w:ind w:left="0" w:right="10227" w:firstLine="0"/>
        <w:jc w:val="right"/>
        <w:rPr>
          <w:rFonts w:ascii="Calibri"/>
          <w:sz w:val="15"/>
        </w:rPr>
      </w:pPr>
      <w:r>
        <w:rPr>
          <w:rFonts w:ascii="Calibri"/>
          <w:color w:val="585858"/>
          <w:sz w:val="15"/>
        </w:rPr>
        <w:t>$0</w:t>
      </w:r>
    </w:p>
    <w:p>
      <w:pPr>
        <w:pStyle w:val="BodyText"/>
        <w:rPr>
          <w:rFonts w:ascii="Calibri"/>
        </w:rPr>
      </w:pPr>
    </w:p>
    <w:p>
      <w:pPr>
        <w:pStyle w:val="BodyText"/>
        <w:spacing w:before="10"/>
        <w:rPr>
          <w:rFonts w:ascii="Calibri"/>
          <w:sz w:val="18"/>
        </w:rPr>
      </w:pPr>
    </w:p>
    <w:p>
      <w:pPr>
        <w:spacing w:before="72"/>
        <w:ind w:left="1602" w:right="1653" w:firstLine="0"/>
        <w:jc w:val="center"/>
        <w:rPr>
          <w:rFonts w:ascii="Calibri"/>
          <w:b/>
          <w:sz w:val="15"/>
        </w:rPr>
      </w:pPr>
      <w:r>
        <w:rPr/>
        <w:pict>
          <v:group style="position:absolute;margin-left:92.775719pt;margin-top:28.421413pt;width:10.1pt;height:22.3pt;mso-position-horizontal-relative:page;mso-position-vertical-relative:paragraph;z-index:-287337472" coordorigin="1856,568" coordsize="202,446">
            <v:rect style="position:absolute;left:1855;top:568;width:202;height:136" filled="true" fillcolor="#1f487c" stroked="false">
              <v:fill type="solid"/>
            </v:rect>
            <v:rect style="position:absolute;left:1855;top:723;width:202;height:136" filled="true" fillcolor="#f8a763" stroked="false">
              <v:fill type="solid"/>
            </v:rect>
            <v:rect style="position:absolute;left:1855;top:878;width:202;height:136" filled="true" fillcolor="#808080" stroked="false">
              <v:fill type="solid"/>
            </v:rect>
            <w10:wrap type="none"/>
          </v:group>
        </w:pict>
      </w:r>
      <w:r>
        <w:rPr/>
        <w:pict>
          <v:rect style="position:absolute;margin-left:423.363892pt;margin-top:28.421047pt;width:10.412246pt;height:6.777943pt;mso-position-horizontal-relative:page;mso-position-vertical-relative:paragraph;z-index:-287336448" filled="true" fillcolor="#c9dba4" stroked="false">
            <v:fill type="solid"/>
            <w10:wrap type="none"/>
          </v:rect>
        </w:pict>
      </w:r>
      <w:r>
        <w:rPr>
          <w:rFonts w:ascii="Calibri"/>
          <w:b/>
          <w:color w:val="585858"/>
          <w:sz w:val="15"/>
        </w:rPr>
        <w:t>Year Ending  30 June</w:t>
      </w:r>
    </w:p>
    <w:p>
      <w:pPr>
        <w:pStyle w:val="BodyText"/>
        <w:spacing w:before="5" w:after="1"/>
        <w:rPr>
          <w:rFonts w:ascii="Calibri"/>
          <w:b/>
          <w:sz w:val="15"/>
        </w:rPr>
      </w:pPr>
    </w:p>
    <w:tbl>
      <w:tblPr>
        <w:tblW w:w="0" w:type="auto"/>
        <w:jc w:val="left"/>
        <w:tblInd w:w="16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72"/>
        <w:gridCol w:w="215"/>
        <w:gridCol w:w="822"/>
        <w:gridCol w:w="90"/>
        <w:gridCol w:w="209"/>
        <w:gridCol w:w="944"/>
        <w:gridCol w:w="60"/>
        <w:gridCol w:w="209"/>
        <w:gridCol w:w="1181"/>
        <w:gridCol w:w="57"/>
        <w:gridCol w:w="209"/>
        <w:gridCol w:w="704"/>
        <w:gridCol w:w="71"/>
        <w:gridCol w:w="208"/>
        <w:gridCol w:w="726"/>
        <w:gridCol w:w="835"/>
      </w:tblGrid>
      <w:tr>
        <w:trPr>
          <w:trHeight w:val="110" w:hRule="atLeast"/>
        </w:trPr>
        <w:tc>
          <w:tcPr>
            <w:tcW w:w="1072" w:type="dxa"/>
          </w:tcPr>
          <w:p>
            <w:pPr>
              <w:pStyle w:val="TableParagraph"/>
              <w:spacing w:line="91" w:lineRule="exact" w:before="0"/>
              <w:ind w:left="31" w:right="43"/>
              <w:jc w:val="center"/>
              <w:rPr>
                <w:rFonts w:ascii="Calibri"/>
                <w:b/>
                <w:sz w:val="9"/>
              </w:rPr>
            </w:pPr>
            <w:r>
              <w:rPr>
                <w:rFonts w:ascii="Calibri"/>
                <w:b/>
                <w:w w:val="110"/>
                <w:sz w:val="9"/>
              </w:rPr>
              <w:t>Payment Category Key:</w:t>
            </w:r>
          </w:p>
        </w:tc>
        <w:tc>
          <w:tcPr>
            <w:tcW w:w="6540" w:type="dxa"/>
            <w:gridSpan w:val="15"/>
          </w:tcPr>
          <w:p>
            <w:pPr>
              <w:pStyle w:val="TableParagraph"/>
              <w:spacing w:before="0"/>
              <w:rPr>
                <w:rFonts w:ascii="Times New Roman"/>
                <w:sz w:val="6"/>
              </w:rPr>
            </w:pPr>
          </w:p>
        </w:tc>
      </w:tr>
      <w:tr>
        <w:trPr>
          <w:trHeight w:val="168" w:hRule="atLeast"/>
        </w:trPr>
        <w:tc>
          <w:tcPr>
            <w:tcW w:w="1072" w:type="dxa"/>
          </w:tcPr>
          <w:p>
            <w:pPr>
              <w:pStyle w:val="TableParagraph"/>
              <w:spacing w:before="31"/>
              <w:ind w:left="31"/>
              <w:jc w:val="center"/>
              <w:rPr>
                <w:rFonts w:ascii="Calibri"/>
                <w:sz w:val="9"/>
              </w:rPr>
            </w:pPr>
            <w:r>
              <w:rPr>
                <w:rFonts w:ascii="Calibri"/>
                <w:w w:val="110"/>
                <w:sz w:val="9"/>
              </w:rPr>
              <w:t>A - IS Studying</w:t>
            </w:r>
          </w:p>
        </w:tc>
        <w:tc>
          <w:tcPr>
            <w:tcW w:w="215" w:type="dxa"/>
            <w:shd w:val="clear" w:color="auto" w:fill="009544"/>
          </w:tcPr>
          <w:p>
            <w:pPr>
              <w:pStyle w:val="TableParagraph"/>
              <w:spacing w:line="135" w:lineRule="exact" w:before="0"/>
              <w:ind w:left="-1" w:right="-58"/>
              <w:rPr>
                <w:rFonts w:ascii="Calibri"/>
                <w:sz w:val="13"/>
              </w:rPr>
            </w:pPr>
            <w:r>
              <w:rPr>
                <w:rFonts w:ascii="Calibri"/>
                <w:position w:val="-2"/>
                <w:sz w:val="13"/>
              </w:rPr>
              <w:pict>
                <v:group style="width:10.45pt;height:6.8pt;mso-position-horizontal-relative:char;mso-position-vertical-relative:line" coordorigin="0,0" coordsize="209,136">
                  <v:rect style="position:absolute;left:0;top:0;width:209;height:136" filled="true" fillcolor="#009544" stroked="false">
                    <v:fill type="solid"/>
                  </v:rect>
                </v:group>
              </w:pict>
            </w:r>
            <w:r>
              <w:rPr>
                <w:rFonts w:ascii="Calibri"/>
                <w:position w:val="-2"/>
                <w:sz w:val="13"/>
              </w:rPr>
            </w:r>
          </w:p>
        </w:tc>
        <w:tc>
          <w:tcPr>
            <w:tcW w:w="822" w:type="dxa"/>
          </w:tcPr>
          <w:p>
            <w:pPr>
              <w:pStyle w:val="TableParagraph"/>
              <w:spacing w:before="31"/>
              <w:ind w:left="5"/>
              <w:rPr>
                <w:rFonts w:ascii="Calibri"/>
                <w:sz w:val="9"/>
              </w:rPr>
            </w:pPr>
            <w:r>
              <w:rPr>
                <w:rFonts w:ascii="Calibri"/>
                <w:w w:val="110"/>
                <w:sz w:val="9"/>
              </w:rPr>
              <w:t>B - IS Working Age</w:t>
            </w:r>
          </w:p>
        </w:tc>
        <w:tc>
          <w:tcPr>
            <w:tcW w:w="90" w:type="dxa"/>
          </w:tcPr>
          <w:p>
            <w:pPr>
              <w:pStyle w:val="TableParagraph"/>
              <w:spacing w:before="0"/>
              <w:rPr>
                <w:rFonts w:ascii="Times New Roman"/>
                <w:sz w:val="10"/>
              </w:rPr>
            </w:pPr>
          </w:p>
        </w:tc>
        <w:tc>
          <w:tcPr>
            <w:tcW w:w="209" w:type="dxa"/>
            <w:shd w:val="clear" w:color="auto" w:fill="E16B09"/>
          </w:tcPr>
          <w:p>
            <w:pPr>
              <w:pStyle w:val="TableParagraph"/>
              <w:spacing w:line="135" w:lineRule="exact" w:before="0"/>
              <w:ind w:left="-2" w:right="-58"/>
              <w:rPr>
                <w:rFonts w:ascii="Calibri"/>
                <w:sz w:val="13"/>
              </w:rPr>
            </w:pPr>
            <w:r>
              <w:rPr>
                <w:rFonts w:ascii="Calibri"/>
                <w:position w:val="-2"/>
                <w:sz w:val="13"/>
              </w:rPr>
              <w:pict>
                <v:group style="width:10.45pt;height:6.8pt;mso-position-horizontal-relative:char;mso-position-vertical-relative:line" coordorigin="0,0" coordsize="209,136">
                  <v:rect style="position:absolute;left:0;top:0;width:209;height:136" filled="true" fillcolor="#e16b09" stroked="false">
                    <v:fill type="solid"/>
                  </v:rect>
                </v:group>
              </w:pict>
            </w:r>
            <w:r>
              <w:rPr>
                <w:rFonts w:ascii="Calibri"/>
                <w:position w:val="-2"/>
                <w:sz w:val="13"/>
              </w:rPr>
            </w:r>
          </w:p>
        </w:tc>
        <w:tc>
          <w:tcPr>
            <w:tcW w:w="944" w:type="dxa"/>
          </w:tcPr>
          <w:p>
            <w:pPr>
              <w:pStyle w:val="TableParagraph"/>
              <w:spacing w:before="31"/>
              <w:ind w:left="10"/>
              <w:rPr>
                <w:rFonts w:ascii="Calibri"/>
                <w:sz w:val="9"/>
              </w:rPr>
            </w:pPr>
            <w:r>
              <w:rPr>
                <w:rFonts w:ascii="Calibri"/>
                <w:w w:val="110"/>
                <w:sz w:val="9"/>
              </w:rPr>
              <w:t>C - IS Parents</w:t>
            </w:r>
          </w:p>
        </w:tc>
        <w:tc>
          <w:tcPr>
            <w:tcW w:w="60" w:type="dxa"/>
          </w:tcPr>
          <w:p>
            <w:pPr>
              <w:pStyle w:val="TableParagraph"/>
              <w:spacing w:before="0"/>
              <w:rPr>
                <w:rFonts w:ascii="Times New Roman"/>
                <w:sz w:val="10"/>
              </w:rPr>
            </w:pPr>
          </w:p>
        </w:tc>
        <w:tc>
          <w:tcPr>
            <w:tcW w:w="209" w:type="dxa"/>
            <w:shd w:val="clear" w:color="auto" w:fill="E08AD6"/>
          </w:tcPr>
          <w:p>
            <w:pPr>
              <w:pStyle w:val="TableParagraph"/>
              <w:spacing w:line="135" w:lineRule="exact" w:before="0"/>
              <w:ind w:left="-5" w:right="-58"/>
              <w:rPr>
                <w:rFonts w:ascii="Calibri"/>
                <w:sz w:val="13"/>
              </w:rPr>
            </w:pPr>
            <w:r>
              <w:rPr>
                <w:rFonts w:ascii="Calibri"/>
                <w:position w:val="-2"/>
                <w:sz w:val="13"/>
              </w:rPr>
              <w:pict>
                <v:group style="width:10.45pt;height:6.8pt;mso-position-horizontal-relative:char;mso-position-vertical-relative:line" coordorigin="0,0" coordsize="209,136">
                  <v:rect style="position:absolute;left:0;top:0;width:209;height:136" filled="true" fillcolor="#e08ad6" stroked="false">
                    <v:fill type="solid"/>
                  </v:rect>
                </v:group>
              </w:pict>
            </w:r>
            <w:r>
              <w:rPr>
                <w:rFonts w:ascii="Calibri"/>
                <w:position w:val="-2"/>
                <w:sz w:val="13"/>
              </w:rPr>
            </w:r>
          </w:p>
        </w:tc>
        <w:tc>
          <w:tcPr>
            <w:tcW w:w="1181" w:type="dxa"/>
          </w:tcPr>
          <w:p>
            <w:pPr>
              <w:pStyle w:val="TableParagraph"/>
              <w:spacing w:before="31"/>
              <w:ind w:left="8"/>
              <w:rPr>
                <w:rFonts w:ascii="Calibri"/>
                <w:sz w:val="9"/>
              </w:rPr>
            </w:pPr>
            <w:r>
              <w:rPr>
                <w:rFonts w:ascii="Calibri"/>
                <w:w w:val="110"/>
                <w:sz w:val="9"/>
              </w:rPr>
              <w:t>D - IS Carer</w:t>
            </w:r>
          </w:p>
        </w:tc>
        <w:tc>
          <w:tcPr>
            <w:tcW w:w="57" w:type="dxa"/>
          </w:tcPr>
          <w:p>
            <w:pPr>
              <w:pStyle w:val="TableParagraph"/>
              <w:spacing w:before="0"/>
              <w:rPr>
                <w:rFonts w:ascii="Times New Roman"/>
                <w:sz w:val="10"/>
              </w:rPr>
            </w:pPr>
          </w:p>
        </w:tc>
        <w:tc>
          <w:tcPr>
            <w:tcW w:w="209" w:type="dxa"/>
            <w:shd w:val="clear" w:color="auto" w:fill="8063A1"/>
          </w:tcPr>
          <w:p>
            <w:pPr>
              <w:pStyle w:val="TableParagraph"/>
              <w:spacing w:line="135" w:lineRule="exact" w:before="0"/>
              <w:ind w:left="-7" w:right="-58"/>
              <w:rPr>
                <w:rFonts w:ascii="Calibri"/>
                <w:sz w:val="13"/>
              </w:rPr>
            </w:pPr>
            <w:r>
              <w:rPr>
                <w:rFonts w:ascii="Calibri"/>
                <w:position w:val="-2"/>
                <w:sz w:val="13"/>
              </w:rPr>
              <w:pict>
                <v:group style="width:10.45pt;height:6.8pt;mso-position-horizontal-relative:char;mso-position-vertical-relative:line" coordorigin="0,0" coordsize="209,136">
                  <v:rect style="position:absolute;left:0;top:0;width:209;height:136" filled="true" fillcolor="#8063a1" stroked="false">
                    <v:fill type="solid"/>
                  </v:rect>
                </v:group>
              </w:pict>
            </w:r>
            <w:r>
              <w:rPr>
                <w:rFonts w:ascii="Calibri"/>
                <w:position w:val="-2"/>
                <w:sz w:val="13"/>
              </w:rPr>
            </w:r>
          </w:p>
        </w:tc>
        <w:tc>
          <w:tcPr>
            <w:tcW w:w="704" w:type="dxa"/>
          </w:tcPr>
          <w:p>
            <w:pPr>
              <w:pStyle w:val="TableParagraph"/>
              <w:spacing w:before="31"/>
              <w:ind w:left="5"/>
              <w:rPr>
                <w:rFonts w:ascii="Calibri"/>
                <w:sz w:val="9"/>
              </w:rPr>
            </w:pPr>
            <w:r>
              <w:rPr>
                <w:rFonts w:ascii="Calibri"/>
                <w:w w:val="110"/>
                <w:sz w:val="9"/>
              </w:rPr>
              <w:t>E - IS Disability</w:t>
            </w:r>
          </w:p>
        </w:tc>
        <w:tc>
          <w:tcPr>
            <w:tcW w:w="71" w:type="dxa"/>
          </w:tcPr>
          <w:p>
            <w:pPr>
              <w:pStyle w:val="TableParagraph"/>
              <w:spacing w:before="0"/>
              <w:rPr>
                <w:rFonts w:ascii="Times New Roman"/>
                <w:sz w:val="10"/>
              </w:rPr>
            </w:pPr>
          </w:p>
        </w:tc>
        <w:tc>
          <w:tcPr>
            <w:tcW w:w="208" w:type="dxa"/>
            <w:shd w:val="clear" w:color="auto" w:fill="C0504D"/>
          </w:tcPr>
          <w:p>
            <w:pPr>
              <w:pStyle w:val="TableParagraph"/>
              <w:spacing w:line="135" w:lineRule="exact" w:before="0"/>
              <w:ind w:left="-8" w:right="-58"/>
              <w:rPr>
                <w:rFonts w:ascii="Calibri"/>
                <w:sz w:val="13"/>
              </w:rPr>
            </w:pPr>
            <w:r>
              <w:rPr>
                <w:rFonts w:ascii="Calibri"/>
                <w:position w:val="-2"/>
                <w:sz w:val="13"/>
              </w:rPr>
              <w:pict>
                <v:group style="width:10.45pt;height:6.8pt;mso-position-horizontal-relative:char;mso-position-vertical-relative:line" coordorigin="0,0" coordsize="209,136">
                  <v:rect style="position:absolute;left:0;top:0;width:209;height:136" filled="true" fillcolor="#c0504d" stroked="false">
                    <v:fill type="solid"/>
                  </v:rect>
                </v:group>
              </w:pict>
            </w:r>
            <w:r>
              <w:rPr>
                <w:rFonts w:ascii="Calibri"/>
                <w:position w:val="-2"/>
                <w:sz w:val="13"/>
              </w:rPr>
            </w:r>
          </w:p>
        </w:tc>
        <w:tc>
          <w:tcPr>
            <w:tcW w:w="726" w:type="dxa"/>
          </w:tcPr>
          <w:p>
            <w:pPr>
              <w:pStyle w:val="TableParagraph"/>
              <w:spacing w:before="31"/>
              <w:ind w:left="5"/>
              <w:rPr>
                <w:rFonts w:ascii="Calibri"/>
                <w:sz w:val="9"/>
              </w:rPr>
            </w:pPr>
            <w:r>
              <w:rPr>
                <w:rFonts w:ascii="Calibri"/>
                <w:w w:val="110"/>
                <w:sz w:val="9"/>
              </w:rPr>
              <w:t>F - IS Age</w:t>
            </w:r>
          </w:p>
        </w:tc>
        <w:tc>
          <w:tcPr>
            <w:tcW w:w="835" w:type="dxa"/>
          </w:tcPr>
          <w:p>
            <w:pPr>
              <w:pStyle w:val="TableParagraph"/>
              <w:spacing w:before="31"/>
              <w:ind w:left="106"/>
              <w:rPr>
                <w:rFonts w:ascii="Calibri"/>
                <w:sz w:val="9"/>
              </w:rPr>
            </w:pPr>
            <w:r>
              <w:rPr>
                <w:rFonts w:ascii="Calibri"/>
                <w:w w:val="110"/>
                <w:sz w:val="9"/>
              </w:rPr>
              <w:t>G - IS Dependant</w:t>
            </w:r>
          </w:p>
        </w:tc>
      </w:tr>
      <w:tr>
        <w:trPr>
          <w:trHeight w:val="135" w:hRule="atLeast"/>
        </w:trPr>
        <w:tc>
          <w:tcPr>
            <w:tcW w:w="1072" w:type="dxa"/>
          </w:tcPr>
          <w:p>
            <w:pPr>
              <w:pStyle w:val="TableParagraph"/>
              <w:spacing w:line="98" w:lineRule="exact" w:before="17"/>
              <w:ind w:left="31" w:right="43"/>
              <w:jc w:val="center"/>
              <w:rPr>
                <w:rFonts w:ascii="Calibri"/>
                <w:sz w:val="9"/>
              </w:rPr>
            </w:pPr>
            <w:r>
              <w:rPr>
                <w:rFonts w:ascii="Calibri"/>
                <w:w w:val="110"/>
                <w:sz w:val="9"/>
              </w:rPr>
              <w:t>H - Other FTB</w:t>
            </w:r>
          </w:p>
        </w:tc>
        <w:tc>
          <w:tcPr>
            <w:tcW w:w="215" w:type="dxa"/>
            <w:shd w:val="clear" w:color="auto" w:fill="F9C090"/>
          </w:tcPr>
          <w:p>
            <w:pPr>
              <w:pStyle w:val="TableParagraph"/>
              <w:spacing w:before="0"/>
              <w:rPr>
                <w:rFonts w:ascii="Times New Roman"/>
                <w:sz w:val="8"/>
              </w:rPr>
            </w:pPr>
          </w:p>
        </w:tc>
        <w:tc>
          <w:tcPr>
            <w:tcW w:w="822" w:type="dxa"/>
          </w:tcPr>
          <w:p>
            <w:pPr>
              <w:pStyle w:val="TableParagraph"/>
              <w:spacing w:line="98" w:lineRule="exact" w:before="17"/>
              <w:ind w:left="5"/>
              <w:rPr>
                <w:rFonts w:ascii="Calibri"/>
                <w:sz w:val="9"/>
              </w:rPr>
            </w:pPr>
            <w:r>
              <w:rPr>
                <w:rFonts w:ascii="Calibri"/>
                <w:w w:val="110"/>
                <w:sz w:val="9"/>
              </w:rPr>
              <w:t>I - Other Family</w:t>
            </w:r>
          </w:p>
        </w:tc>
        <w:tc>
          <w:tcPr>
            <w:tcW w:w="90" w:type="dxa"/>
            <w:shd w:val="clear" w:color="auto" w:fill="FBDDC4"/>
          </w:tcPr>
          <w:p>
            <w:pPr>
              <w:pStyle w:val="TableParagraph"/>
              <w:spacing w:before="0"/>
              <w:rPr>
                <w:rFonts w:ascii="Times New Roman"/>
                <w:sz w:val="8"/>
              </w:rPr>
            </w:pPr>
          </w:p>
        </w:tc>
        <w:tc>
          <w:tcPr>
            <w:tcW w:w="209" w:type="dxa"/>
            <w:shd w:val="clear" w:color="auto" w:fill="FBDDC4"/>
          </w:tcPr>
          <w:p>
            <w:pPr>
              <w:pStyle w:val="TableParagraph"/>
              <w:spacing w:before="0"/>
              <w:rPr>
                <w:rFonts w:ascii="Times New Roman"/>
                <w:sz w:val="8"/>
              </w:rPr>
            </w:pPr>
          </w:p>
        </w:tc>
        <w:tc>
          <w:tcPr>
            <w:tcW w:w="944" w:type="dxa"/>
          </w:tcPr>
          <w:p>
            <w:pPr>
              <w:pStyle w:val="TableParagraph"/>
              <w:spacing w:line="98" w:lineRule="exact" w:before="17"/>
              <w:ind w:left="10"/>
              <w:rPr>
                <w:rFonts w:ascii="Calibri"/>
                <w:sz w:val="9"/>
              </w:rPr>
            </w:pPr>
            <w:r>
              <w:rPr>
                <w:rFonts w:ascii="Calibri"/>
                <w:w w:val="110"/>
                <w:sz w:val="9"/>
              </w:rPr>
              <w:t>J - Other New Parents</w:t>
            </w:r>
          </w:p>
        </w:tc>
        <w:tc>
          <w:tcPr>
            <w:tcW w:w="60" w:type="dxa"/>
            <w:shd w:val="clear" w:color="auto" w:fill="938953"/>
          </w:tcPr>
          <w:p>
            <w:pPr>
              <w:pStyle w:val="TableParagraph"/>
              <w:spacing w:before="0"/>
              <w:rPr>
                <w:rFonts w:ascii="Times New Roman"/>
                <w:sz w:val="8"/>
              </w:rPr>
            </w:pPr>
          </w:p>
        </w:tc>
        <w:tc>
          <w:tcPr>
            <w:tcW w:w="209" w:type="dxa"/>
            <w:shd w:val="clear" w:color="auto" w:fill="938953"/>
          </w:tcPr>
          <w:p>
            <w:pPr>
              <w:pStyle w:val="TableParagraph"/>
              <w:spacing w:before="0"/>
              <w:rPr>
                <w:rFonts w:ascii="Times New Roman"/>
                <w:sz w:val="8"/>
              </w:rPr>
            </w:pPr>
          </w:p>
        </w:tc>
        <w:tc>
          <w:tcPr>
            <w:tcW w:w="1181" w:type="dxa"/>
          </w:tcPr>
          <w:p>
            <w:pPr>
              <w:pStyle w:val="TableParagraph"/>
              <w:spacing w:line="98" w:lineRule="exact" w:before="17"/>
              <w:ind w:left="8"/>
              <w:rPr>
                <w:rFonts w:ascii="Calibri"/>
                <w:sz w:val="9"/>
              </w:rPr>
            </w:pPr>
            <w:r>
              <w:rPr>
                <w:rFonts w:ascii="Calibri"/>
                <w:w w:val="110"/>
                <w:sz w:val="9"/>
              </w:rPr>
              <w:t>L - Other Health &amp; Disability</w:t>
            </w:r>
          </w:p>
        </w:tc>
        <w:tc>
          <w:tcPr>
            <w:tcW w:w="57" w:type="dxa"/>
            <w:shd w:val="clear" w:color="auto" w:fill="ECB8E7"/>
          </w:tcPr>
          <w:p>
            <w:pPr>
              <w:pStyle w:val="TableParagraph"/>
              <w:spacing w:before="0"/>
              <w:rPr>
                <w:rFonts w:ascii="Times New Roman"/>
                <w:sz w:val="8"/>
              </w:rPr>
            </w:pPr>
          </w:p>
        </w:tc>
        <w:tc>
          <w:tcPr>
            <w:tcW w:w="209" w:type="dxa"/>
            <w:shd w:val="clear" w:color="auto" w:fill="ECB8E7"/>
          </w:tcPr>
          <w:p>
            <w:pPr>
              <w:pStyle w:val="TableParagraph"/>
              <w:spacing w:before="0"/>
              <w:rPr>
                <w:rFonts w:ascii="Times New Roman"/>
                <w:sz w:val="8"/>
              </w:rPr>
            </w:pPr>
          </w:p>
        </w:tc>
        <w:tc>
          <w:tcPr>
            <w:tcW w:w="704" w:type="dxa"/>
          </w:tcPr>
          <w:p>
            <w:pPr>
              <w:pStyle w:val="TableParagraph"/>
              <w:spacing w:line="98" w:lineRule="exact" w:before="17"/>
              <w:ind w:left="5"/>
              <w:rPr>
                <w:rFonts w:ascii="Calibri"/>
                <w:sz w:val="9"/>
              </w:rPr>
            </w:pPr>
            <w:r>
              <w:rPr>
                <w:rFonts w:ascii="Calibri"/>
                <w:w w:val="110"/>
                <w:sz w:val="9"/>
              </w:rPr>
              <w:t>M - Other Carer</w:t>
            </w:r>
          </w:p>
        </w:tc>
        <w:tc>
          <w:tcPr>
            <w:tcW w:w="71" w:type="dxa"/>
            <w:shd w:val="clear" w:color="auto" w:fill="C4BC96"/>
          </w:tcPr>
          <w:p>
            <w:pPr>
              <w:pStyle w:val="TableParagraph"/>
              <w:spacing w:before="0"/>
              <w:rPr>
                <w:rFonts w:ascii="Times New Roman"/>
                <w:sz w:val="8"/>
              </w:rPr>
            </w:pPr>
          </w:p>
        </w:tc>
        <w:tc>
          <w:tcPr>
            <w:tcW w:w="208" w:type="dxa"/>
            <w:shd w:val="clear" w:color="auto" w:fill="C4BC96"/>
          </w:tcPr>
          <w:p>
            <w:pPr>
              <w:pStyle w:val="TableParagraph"/>
              <w:spacing w:before="0"/>
              <w:rPr>
                <w:rFonts w:ascii="Times New Roman"/>
                <w:sz w:val="8"/>
              </w:rPr>
            </w:pPr>
          </w:p>
        </w:tc>
        <w:tc>
          <w:tcPr>
            <w:tcW w:w="726" w:type="dxa"/>
          </w:tcPr>
          <w:p>
            <w:pPr>
              <w:pStyle w:val="TableParagraph"/>
              <w:spacing w:line="98" w:lineRule="exact" w:before="17"/>
              <w:ind w:left="5"/>
              <w:rPr>
                <w:rFonts w:ascii="Calibri"/>
                <w:sz w:val="9"/>
              </w:rPr>
            </w:pPr>
            <w:r>
              <w:rPr>
                <w:rFonts w:ascii="Calibri"/>
                <w:w w:val="110"/>
                <w:sz w:val="9"/>
              </w:rPr>
              <w:t>N - Other Study &amp;</w:t>
            </w:r>
          </w:p>
        </w:tc>
        <w:tc>
          <w:tcPr>
            <w:tcW w:w="835" w:type="dxa"/>
          </w:tcPr>
          <w:p>
            <w:pPr>
              <w:pStyle w:val="TableParagraph"/>
              <w:spacing w:line="98" w:lineRule="exact" w:before="17"/>
              <w:ind w:left="1"/>
              <w:rPr>
                <w:rFonts w:ascii="Calibri"/>
                <w:sz w:val="9"/>
              </w:rPr>
            </w:pPr>
            <w:r>
              <w:rPr>
                <w:rFonts w:ascii="Calibri"/>
                <w:w w:val="110"/>
                <w:sz w:val="9"/>
              </w:rPr>
              <w:t>Skills</w:t>
            </w:r>
          </w:p>
        </w:tc>
      </w:tr>
      <w:tr>
        <w:trPr>
          <w:trHeight w:val="275" w:hRule="atLeast"/>
        </w:trPr>
        <w:tc>
          <w:tcPr>
            <w:tcW w:w="1072" w:type="dxa"/>
          </w:tcPr>
          <w:p>
            <w:pPr>
              <w:pStyle w:val="TableParagraph"/>
              <w:spacing w:line="130" w:lineRule="atLeast" w:before="17"/>
              <w:ind w:left="264" w:right="-17"/>
              <w:rPr>
                <w:rFonts w:ascii="Calibri"/>
                <w:sz w:val="9"/>
              </w:rPr>
            </w:pPr>
            <w:r>
              <w:rPr>
                <w:rFonts w:ascii="Calibri"/>
                <w:w w:val="110"/>
                <w:sz w:val="9"/>
              </w:rPr>
              <w:t>O - Other Remote &amp; Regional</w:t>
            </w:r>
          </w:p>
        </w:tc>
        <w:tc>
          <w:tcPr>
            <w:tcW w:w="215" w:type="dxa"/>
          </w:tcPr>
          <w:p>
            <w:pPr>
              <w:pStyle w:val="TableParagraph"/>
              <w:spacing w:line="135" w:lineRule="exact" w:before="0"/>
              <w:ind w:left="-1" w:right="-58"/>
              <w:rPr>
                <w:rFonts w:ascii="Calibri"/>
                <w:sz w:val="13"/>
              </w:rPr>
            </w:pPr>
            <w:r>
              <w:rPr>
                <w:rFonts w:ascii="Calibri"/>
                <w:position w:val="-2"/>
                <w:sz w:val="13"/>
              </w:rPr>
              <w:pict>
                <v:group style="width:10.45pt;height:6.8pt;mso-position-horizontal-relative:char;mso-position-vertical-relative:line" coordorigin="0,0" coordsize="209,136">
                  <v:rect style="position:absolute;left:0;top:0;width:209;height:136" filled="true" fillcolor="#a6a6a6" stroked="false">
                    <v:fill type="solid"/>
                  </v:rect>
                </v:group>
              </w:pict>
            </w:r>
            <w:r>
              <w:rPr>
                <w:rFonts w:ascii="Calibri"/>
                <w:position w:val="-2"/>
                <w:sz w:val="13"/>
              </w:rPr>
            </w:r>
          </w:p>
        </w:tc>
        <w:tc>
          <w:tcPr>
            <w:tcW w:w="822" w:type="dxa"/>
          </w:tcPr>
          <w:p>
            <w:pPr>
              <w:pStyle w:val="TableParagraph"/>
              <w:spacing w:line="130" w:lineRule="atLeast" w:before="17"/>
              <w:ind w:left="5"/>
              <w:rPr>
                <w:rFonts w:ascii="Calibri"/>
                <w:sz w:val="9"/>
              </w:rPr>
            </w:pPr>
            <w:r>
              <w:rPr>
                <w:rFonts w:ascii="Calibri"/>
                <w:w w:val="110"/>
                <w:sz w:val="9"/>
              </w:rPr>
              <w:t>P - Other General Allowances</w:t>
            </w:r>
          </w:p>
        </w:tc>
        <w:tc>
          <w:tcPr>
            <w:tcW w:w="90" w:type="dxa"/>
          </w:tcPr>
          <w:p>
            <w:pPr>
              <w:pStyle w:val="TableParagraph"/>
              <w:spacing w:before="0"/>
              <w:rPr>
                <w:rFonts w:ascii="Times New Roman"/>
                <w:sz w:val="18"/>
              </w:rPr>
            </w:pPr>
          </w:p>
        </w:tc>
        <w:tc>
          <w:tcPr>
            <w:tcW w:w="209" w:type="dxa"/>
          </w:tcPr>
          <w:p>
            <w:pPr>
              <w:pStyle w:val="TableParagraph"/>
              <w:spacing w:line="135" w:lineRule="exact" w:before="0"/>
              <w:ind w:left="-2" w:right="-58"/>
              <w:rPr>
                <w:rFonts w:ascii="Calibri"/>
                <w:sz w:val="13"/>
              </w:rPr>
            </w:pPr>
            <w:r>
              <w:rPr>
                <w:rFonts w:ascii="Calibri"/>
                <w:position w:val="-2"/>
                <w:sz w:val="13"/>
              </w:rPr>
              <w:pict>
                <v:group style="width:10.45pt;height:6.8pt;mso-position-horizontal-relative:char;mso-position-vertical-relative:line" coordorigin="0,0" coordsize="209,136">
                  <v:rect style="position:absolute;left:0;top:0;width:209;height:136" filled="true" fillcolor="#d9d9d9" stroked="false">
                    <v:fill type="solid"/>
                  </v:rect>
                </v:group>
              </w:pict>
            </w:r>
            <w:r>
              <w:rPr>
                <w:rFonts w:ascii="Calibri"/>
                <w:position w:val="-2"/>
                <w:sz w:val="13"/>
              </w:rPr>
            </w:r>
          </w:p>
        </w:tc>
        <w:tc>
          <w:tcPr>
            <w:tcW w:w="944" w:type="dxa"/>
          </w:tcPr>
          <w:p>
            <w:pPr>
              <w:pStyle w:val="TableParagraph"/>
              <w:ind w:left="10"/>
              <w:rPr>
                <w:rFonts w:ascii="Calibri"/>
                <w:sz w:val="9"/>
              </w:rPr>
            </w:pPr>
            <w:r>
              <w:rPr>
                <w:rFonts w:ascii="Calibri"/>
                <w:w w:val="110"/>
                <w:sz w:val="9"/>
              </w:rPr>
              <w:t>Q - All Other</w:t>
            </w:r>
          </w:p>
        </w:tc>
        <w:tc>
          <w:tcPr>
            <w:tcW w:w="60" w:type="dxa"/>
          </w:tcPr>
          <w:p>
            <w:pPr>
              <w:pStyle w:val="TableParagraph"/>
              <w:spacing w:before="0"/>
              <w:rPr>
                <w:rFonts w:ascii="Times New Roman"/>
                <w:sz w:val="18"/>
              </w:rPr>
            </w:pPr>
          </w:p>
        </w:tc>
        <w:tc>
          <w:tcPr>
            <w:tcW w:w="209" w:type="dxa"/>
          </w:tcPr>
          <w:p>
            <w:pPr>
              <w:pStyle w:val="TableParagraph"/>
              <w:spacing w:line="135" w:lineRule="exact" w:before="0"/>
              <w:ind w:left="-5" w:right="-58"/>
              <w:rPr>
                <w:rFonts w:ascii="Calibri"/>
                <w:sz w:val="13"/>
              </w:rPr>
            </w:pPr>
            <w:r>
              <w:rPr>
                <w:rFonts w:ascii="Calibri"/>
                <w:position w:val="-2"/>
                <w:sz w:val="13"/>
              </w:rPr>
              <w:pict>
                <v:group style="width:10.45pt;height:6.8pt;mso-position-horizontal-relative:char;mso-position-vertical-relative:line" coordorigin="0,0" coordsize="209,136">
                  <v:rect style="position:absolute;left:0;top:0;width:209;height:136" filled="true" fillcolor="#413c22" stroked="false">
                    <v:fill type="solid"/>
                  </v:rect>
                </v:group>
              </w:pict>
            </w:r>
            <w:r>
              <w:rPr>
                <w:rFonts w:ascii="Calibri"/>
                <w:position w:val="-2"/>
                <w:sz w:val="13"/>
              </w:rPr>
            </w:r>
          </w:p>
        </w:tc>
        <w:tc>
          <w:tcPr>
            <w:tcW w:w="1181" w:type="dxa"/>
          </w:tcPr>
          <w:p>
            <w:pPr>
              <w:pStyle w:val="TableParagraph"/>
              <w:ind w:left="8"/>
              <w:rPr>
                <w:rFonts w:ascii="Calibri"/>
                <w:sz w:val="9"/>
              </w:rPr>
            </w:pPr>
            <w:r>
              <w:rPr>
                <w:rFonts w:ascii="Calibri"/>
                <w:w w:val="110"/>
                <w:sz w:val="9"/>
              </w:rPr>
              <w:t>R - Rent Assistance</w:t>
            </w:r>
          </w:p>
        </w:tc>
        <w:tc>
          <w:tcPr>
            <w:tcW w:w="57" w:type="dxa"/>
          </w:tcPr>
          <w:p>
            <w:pPr>
              <w:pStyle w:val="TableParagraph"/>
              <w:spacing w:before="0"/>
              <w:rPr>
                <w:rFonts w:ascii="Times New Roman"/>
                <w:sz w:val="18"/>
              </w:rPr>
            </w:pPr>
          </w:p>
        </w:tc>
        <w:tc>
          <w:tcPr>
            <w:tcW w:w="209" w:type="dxa"/>
          </w:tcPr>
          <w:p>
            <w:pPr>
              <w:pStyle w:val="TableParagraph"/>
              <w:spacing w:before="0"/>
              <w:rPr>
                <w:rFonts w:ascii="Times New Roman"/>
                <w:sz w:val="18"/>
              </w:rPr>
            </w:pPr>
          </w:p>
        </w:tc>
        <w:tc>
          <w:tcPr>
            <w:tcW w:w="704" w:type="dxa"/>
          </w:tcPr>
          <w:p>
            <w:pPr>
              <w:pStyle w:val="TableParagraph"/>
              <w:spacing w:before="0"/>
              <w:rPr>
                <w:rFonts w:ascii="Times New Roman"/>
                <w:sz w:val="18"/>
              </w:rPr>
            </w:pPr>
          </w:p>
        </w:tc>
        <w:tc>
          <w:tcPr>
            <w:tcW w:w="71" w:type="dxa"/>
          </w:tcPr>
          <w:p>
            <w:pPr>
              <w:pStyle w:val="TableParagraph"/>
              <w:spacing w:before="0"/>
              <w:rPr>
                <w:rFonts w:ascii="Times New Roman"/>
                <w:sz w:val="18"/>
              </w:rPr>
            </w:pPr>
          </w:p>
        </w:tc>
        <w:tc>
          <w:tcPr>
            <w:tcW w:w="208" w:type="dxa"/>
          </w:tcPr>
          <w:p>
            <w:pPr>
              <w:pStyle w:val="TableParagraph"/>
              <w:spacing w:before="0"/>
              <w:rPr>
                <w:rFonts w:ascii="Times New Roman"/>
                <w:sz w:val="18"/>
              </w:rPr>
            </w:pPr>
          </w:p>
        </w:tc>
        <w:tc>
          <w:tcPr>
            <w:tcW w:w="726" w:type="dxa"/>
          </w:tcPr>
          <w:p>
            <w:pPr>
              <w:pStyle w:val="TableParagraph"/>
              <w:spacing w:before="0"/>
              <w:rPr>
                <w:rFonts w:ascii="Times New Roman"/>
                <w:sz w:val="18"/>
              </w:rPr>
            </w:pPr>
          </w:p>
        </w:tc>
        <w:tc>
          <w:tcPr>
            <w:tcW w:w="835" w:type="dxa"/>
          </w:tcPr>
          <w:p>
            <w:pPr>
              <w:pStyle w:val="TableParagraph"/>
              <w:spacing w:before="0"/>
              <w:rPr>
                <w:rFonts w:ascii="Times New Roman"/>
                <w:sz w:val="18"/>
              </w:rPr>
            </w:pPr>
          </w:p>
        </w:tc>
      </w:tr>
    </w:tbl>
    <w:p>
      <w:pPr>
        <w:pStyle w:val="BodyText"/>
        <w:rPr>
          <w:rFonts w:ascii="Calibri"/>
          <w:b/>
          <w:sz w:val="14"/>
        </w:rPr>
      </w:pPr>
    </w:p>
    <w:p>
      <w:pPr>
        <w:pStyle w:val="BodyText"/>
        <w:rPr>
          <w:rFonts w:ascii="Calibri"/>
          <w:b/>
          <w:sz w:val="14"/>
        </w:rPr>
      </w:pPr>
    </w:p>
    <w:p>
      <w:pPr>
        <w:pStyle w:val="BodyText"/>
        <w:spacing w:before="10"/>
        <w:rPr>
          <w:rFonts w:ascii="Calibri"/>
          <w:b/>
          <w:sz w:val="12"/>
        </w:rPr>
      </w:pPr>
    </w:p>
    <w:p>
      <w:pPr>
        <w:pStyle w:val="BodyText"/>
        <w:ind w:left="899" w:right="1065"/>
      </w:pPr>
      <w:r>
        <w:rPr>
          <w:color w:val="404040"/>
        </w:rPr>
        <w:t>As shown in the chart above, the average amount per person for 2017/18 is lower than prior years. This is due to the impact of the data maturity issue where Family Tax Benefit and child care payment information for the latest year is not fully known at 30 September 2018, when the data was extracted. Additional information collected after 30 September (predominately though income tax assessments) updates the data retrospectively and ‘corrects’ the understatement previously observed in past years.</w:t>
      </w:r>
    </w:p>
    <w:p>
      <w:pPr>
        <w:pStyle w:val="BodyText"/>
        <w:spacing w:before="120"/>
        <w:ind w:left="899"/>
      </w:pPr>
      <w:r>
        <w:rPr>
          <w:color w:val="404040"/>
        </w:rPr>
        <w:t>Average payment sizes have been decreasing in recent years, particularly for FTB and Other Family payments.</w:t>
      </w:r>
    </w:p>
    <w:p>
      <w:pPr>
        <w:pStyle w:val="BodyText"/>
        <w:spacing w:before="120"/>
        <w:ind w:left="899" w:right="1321"/>
      </w:pPr>
      <w:r>
        <w:rPr>
          <w:color w:val="404040"/>
        </w:rPr>
        <w:t>The average payment made in 2016/17 (noting the understating of 2017/18) was $8,000 (after inflating to 2017/18 values). Higher average payments being made to women ($8,500) than men ($5,900) as a result of women claiming higher amounts of child care payments and New Parents allowances. This average amount per person is much lower than that for people in the income support classes.</w:t>
      </w:r>
    </w:p>
    <w:p>
      <w:pPr>
        <w:pStyle w:val="BodyText"/>
        <w:spacing w:before="120"/>
        <w:ind w:left="899" w:right="1210"/>
      </w:pPr>
      <w:r>
        <w:rPr>
          <w:color w:val="404040"/>
        </w:rPr>
        <w:t>Over time we have seen a gradual reduction in the average size of FTB payments. We expect this to stabilise going forwards. Conversely we project the other family payments, which are predominantly child care payments, to increase as a result of the new child care arrangements.</w:t>
      </w:r>
    </w:p>
    <w:p>
      <w:pPr>
        <w:spacing w:after="0"/>
        <w:sectPr>
          <w:pgSz w:w="11910" w:h="16850"/>
          <w:pgMar w:header="572" w:footer="581" w:top="780" w:bottom="780" w:left="120" w:right="0"/>
        </w:sectPr>
      </w:pPr>
    </w:p>
    <w:p>
      <w:pPr>
        <w:pStyle w:val="BodyText"/>
      </w:pPr>
    </w:p>
    <w:p>
      <w:pPr>
        <w:pStyle w:val="BodyText"/>
      </w:pPr>
    </w:p>
    <w:p>
      <w:pPr>
        <w:pStyle w:val="BodyText"/>
        <w:spacing w:before="9"/>
        <w:rPr>
          <w:sz w:val="21"/>
        </w:rPr>
      </w:pPr>
    </w:p>
    <w:p>
      <w:pPr>
        <w:pStyle w:val="Heading4"/>
        <w:spacing w:before="92"/>
      </w:pPr>
      <w:bookmarkStart w:name="What does the model show for people curr" w:id="204"/>
      <w:bookmarkEnd w:id="204"/>
      <w:r>
        <w:rPr/>
      </w:r>
      <w:r>
        <w:rPr>
          <w:color w:val="DF2F28"/>
        </w:rPr>
        <w:t>What does the model show for people currently in the Non IS family class?</w:t>
      </w:r>
    </w:p>
    <w:p>
      <w:pPr>
        <w:pStyle w:val="BodyText"/>
        <w:spacing w:before="9"/>
      </w:pPr>
    </w:p>
    <w:p>
      <w:pPr>
        <w:pStyle w:val="Heading6"/>
        <w:spacing w:before="1"/>
        <w:rPr>
          <w:i/>
        </w:rPr>
      </w:pPr>
      <w:r>
        <w:rPr>
          <w:i/>
          <w:color w:val="DF2F1E"/>
        </w:rPr>
        <w:t>Lifetime costs</w:t>
      </w:r>
    </w:p>
    <w:p>
      <w:pPr>
        <w:pStyle w:val="BodyText"/>
        <w:spacing w:before="118"/>
        <w:ind w:left="899" w:right="1155"/>
      </w:pPr>
      <w:r>
        <w:rPr>
          <w:color w:val="404040"/>
        </w:rPr>
        <w:t>We estimated the lifetime cost for the people in this class to be </w:t>
      </w:r>
      <w:r>
        <w:rPr>
          <w:b/>
          <w:color w:val="404040"/>
        </w:rPr>
        <w:t>$354bn </w:t>
      </w:r>
      <w:r>
        <w:rPr>
          <w:color w:val="404040"/>
        </w:rPr>
        <w:t>(or </w:t>
      </w:r>
      <w:r>
        <w:rPr>
          <w:b/>
          <w:color w:val="404040"/>
        </w:rPr>
        <w:t>6.3% </w:t>
      </w:r>
      <w:r>
        <w:rPr>
          <w:color w:val="404040"/>
        </w:rPr>
        <w:t>of the total lifetime cost). The average lifetime cost for people in this class is </w:t>
      </w:r>
      <w:r>
        <w:rPr>
          <w:b/>
          <w:color w:val="404040"/>
        </w:rPr>
        <w:t>$230,000</w:t>
      </w:r>
      <w:r>
        <w:rPr>
          <w:color w:val="404040"/>
        </w:rPr>
        <w:t>, with the lifetime cost being higher for women (</w:t>
      </w:r>
      <w:r>
        <w:rPr>
          <w:b/>
          <w:color w:val="404040"/>
        </w:rPr>
        <w:t>$241,000</w:t>
      </w:r>
      <w:r>
        <w:rPr>
          <w:color w:val="404040"/>
        </w:rPr>
        <w:t>) than for men (</w:t>
      </w:r>
      <w:r>
        <w:rPr>
          <w:b/>
          <w:color w:val="404040"/>
        </w:rPr>
        <w:t>$188,000</w:t>
      </w:r>
      <w:r>
        <w:rPr>
          <w:color w:val="404040"/>
        </w:rPr>
        <w:t>). The variation by age and gender illustrated in the figure below.</w:t>
      </w:r>
    </w:p>
    <w:p>
      <w:pPr>
        <w:pStyle w:val="Heading9"/>
        <w:spacing w:before="179"/>
        <w:ind w:left="899"/>
      </w:pPr>
      <w:r>
        <w:rPr>
          <w:color w:val="DF2F1E"/>
        </w:rPr>
        <w:t>Figure 82: Average lifetime cost by age and gender (class 7)</w:t>
      </w:r>
    </w:p>
    <w:p>
      <w:pPr>
        <w:pStyle w:val="BodyText"/>
        <w:spacing w:before="11"/>
        <w:rPr>
          <w:b/>
          <w:sz w:val="12"/>
        </w:rPr>
      </w:pPr>
    </w:p>
    <w:p>
      <w:pPr>
        <w:spacing w:after="0"/>
        <w:rPr>
          <w:sz w:val="12"/>
        </w:rPr>
        <w:sectPr>
          <w:headerReference w:type="default" r:id="rId165"/>
          <w:footerReference w:type="default" r:id="rId166"/>
          <w:pgSz w:w="11910" w:h="16850"/>
          <w:pgMar w:header="572" w:footer="581" w:top="780" w:bottom="780" w:left="120" w:right="0"/>
        </w:sectPr>
      </w:pPr>
    </w:p>
    <w:p>
      <w:pPr>
        <w:spacing w:before="71"/>
        <w:ind w:left="1599" w:right="0" w:firstLine="0"/>
        <w:jc w:val="left"/>
        <w:rPr>
          <w:rFonts w:ascii="Calibri"/>
          <w:sz w:val="14"/>
        </w:rPr>
      </w:pPr>
      <w:r>
        <w:rPr/>
        <w:pict>
          <v:group style="position:absolute;margin-left:97.716461pt;margin-top:7.207223pt;width:239.3pt;height:128.75pt;mso-position-horizontal-relative:page;mso-position-vertical-relative:paragraph;z-index:252569600" coordorigin="1954,144" coordsize="4786,2575">
            <v:shape style="position:absolute;left:1954;top:144;width:4786;height:2575" type="#_x0000_t75" stroked="false">
              <v:imagedata r:id="rId167" o:title=""/>
            </v:shape>
            <v:shape style="position:absolute;left:3115;top:238;width:634;height:204" type="#_x0000_t202" filled="false" stroked="false">
              <v:textbox inset="0,0,0,0">
                <w:txbxContent>
                  <w:p>
                    <w:pPr>
                      <w:spacing w:line="204" w:lineRule="exact" w:before="0"/>
                      <w:ind w:left="0" w:right="0" w:firstLine="0"/>
                      <w:jc w:val="left"/>
                      <w:rPr>
                        <w:rFonts w:ascii="Calibri"/>
                        <w:sz w:val="20"/>
                      </w:rPr>
                    </w:pPr>
                    <w:r>
                      <w:rPr>
                        <w:rFonts w:ascii="Calibri"/>
                        <w:color w:val="BEBEBE"/>
                        <w:sz w:val="20"/>
                      </w:rPr>
                      <w:t>&lt;- Male</w:t>
                    </w:r>
                  </w:p>
                </w:txbxContent>
              </v:textbox>
              <w10:wrap type="none"/>
            </v:shape>
            <v:shape style="position:absolute;left:4990;top:238;width:831;height:204" type="#_x0000_t202" filled="false" stroked="false">
              <v:textbox inset="0,0,0,0">
                <w:txbxContent>
                  <w:p>
                    <w:pPr>
                      <w:spacing w:line="204" w:lineRule="exact" w:before="0"/>
                      <w:ind w:left="0" w:right="0" w:firstLine="0"/>
                      <w:jc w:val="left"/>
                      <w:rPr>
                        <w:rFonts w:ascii="Calibri"/>
                        <w:sz w:val="20"/>
                      </w:rPr>
                    </w:pPr>
                    <w:r>
                      <w:rPr>
                        <w:rFonts w:ascii="Calibri"/>
                        <w:color w:val="BEBEBE"/>
                        <w:sz w:val="20"/>
                      </w:rPr>
                      <w:t>Female -&gt;</w:t>
                    </w:r>
                  </w:p>
                </w:txbxContent>
              </v:textbox>
              <w10:wrap type="none"/>
            </v:shape>
            <w10:wrap type="none"/>
          </v:group>
        </w:pict>
      </w:r>
      <w:r>
        <w:rPr>
          <w:rFonts w:ascii="Calibri"/>
          <w:sz w:val="14"/>
        </w:rPr>
        <w:t>90</w:t>
      </w:r>
    </w:p>
    <w:p>
      <w:pPr>
        <w:spacing w:before="107"/>
        <w:ind w:left="1599" w:right="0" w:firstLine="0"/>
        <w:jc w:val="left"/>
        <w:rPr>
          <w:rFonts w:ascii="Calibri"/>
          <w:sz w:val="14"/>
        </w:rPr>
      </w:pPr>
      <w:r>
        <w:rPr>
          <w:rFonts w:ascii="Calibri"/>
          <w:sz w:val="14"/>
        </w:rPr>
        <w:t>80</w:t>
      </w:r>
    </w:p>
    <w:p>
      <w:pPr>
        <w:spacing w:before="107"/>
        <w:ind w:left="1599" w:right="0" w:firstLine="0"/>
        <w:jc w:val="left"/>
        <w:rPr>
          <w:rFonts w:ascii="Calibri"/>
          <w:sz w:val="14"/>
        </w:rPr>
      </w:pPr>
      <w:r>
        <w:rPr/>
        <w:pict>
          <v:shape style="position:absolute;margin-left:75.846222pt;margin-top:11.527406pt;width:9pt;height:66.7pt;mso-position-horizontal-relative:page;mso-position-vertical-relative:paragraph;z-index:252571648" type="#_x0000_t202" filled="false" stroked="false">
            <v:textbox inset="0,0,0,0" style="layout-flow:vertical;mso-layout-flow-alt:bottom-to-top">
              <w:txbxContent>
                <w:p>
                  <w:pPr>
                    <w:spacing w:line="162" w:lineRule="exact" w:before="0"/>
                    <w:ind w:left="20" w:right="0" w:firstLine="0"/>
                    <w:jc w:val="left"/>
                    <w:rPr>
                      <w:rFonts w:ascii="Calibri"/>
                      <w:b/>
                      <w:sz w:val="14"/>
                    </w:rPr>
                  </w:pPr>
                  <w:r>
                    <w:rPr>
                      <w:rFonts w:ascii="Calibri"/>
                      <w:b/>
                      <w:sz w:val="14"/>
                    </w:rPr>
                    <w:t>Age at Valuation Date</w:t>
                  </w:r>
                </w:p>
              </w:txbxContent>
            </v:textbox>
            <w10:wrap type="none"/>
          </v:shape>
        </w:pict>
      </w:r>
      <w:r>
        <w:rPr>
          <w:rFonts w:ascii="Calibri"/>
          <w:sz w:val="14"/>
        </w:rPr>
        <w:t>70</w:t>
      </w:r>
    </w:p>
    <w:p>
      <w:pPr>
        <w:spacing w:before="107"/>
        <w:ind w:left="1599" w:right="0" w:firstLine="0"/>
        <w:jc w:val="left"/>
        <w:rPr>
          <w:rFonts w:ascii="Calibri"/>
          <w:sz w:val="14"/>
        </w:rPr>
      </w:pPr>
      <w:r>
        <w:rPr>
          <w:rFonts w:ascii="Calibri"/>
          <w:sz w:val="14"/>
        </w:rPr>
        <w:t>60</w:t>
      </w:r>
    </w:p>
    <w:p>
      <w:pPr>
        <w:spacing w:before="107"/>
        <w:ind w:left="1599" w:right="0" w:firstLine="0"/>
        <w:jc w:val="left"/>
        <w:rPr>
          <w:rFonts w:ascii="Calibri"/>
          <w:sz w:val="14"/>
        </w:rPr>
      </w:pPr>
      <w:r>
        <w:rPr>
          <w:rFonts w:ascii="Calibri"/>
          <w:sz w:val="14"/>
        </w:rPr>
        <w:t>50</w:t>
      </w:r>
    </w:p>
    <w:p>
      <w:pPr>
        <w:spacing w:before="107"/>
        <w:ind w:left="1599" w:right="0" w:firstLine="0"/>
        <w:jc w:val="left"/>
        <w:rPr>
          <w:rFonts w:ascii="Calibri"/>
          <w:sz w:val="14"/>
        </w:rPr>
      </w:pPr>
      <w:r>
        <w:rPr>
          <w:rFonts w:ascii="Calibri"/>
          <w:sz w:val="14"/>
        </w:rPr>
        <w:t>40</w:t>
      </w:r>
    </w:p>
    <w:p>
      <w:pPr>
        <w:spacing w:before="107"/>
        <w:ind w:left="1599" w:right="0" w:firstLine="0"/>
        <w:jc w:val="left"/>
        <w:rPr>
          <w:rFonts w:ascii="Calibri"/>
          <w:sz w:val="14"/>
        </w:rPr>
      </w:pPr>
      <w:r>
        <w:rPr>
          <w:rFonts w:ascii="Calibri"/>
          <w:sz w:val="14"/>
        </w:rPr>
        <w:t>30</w:t>
      </w:r>
    </w:p>
    <w:p>
      <w:pPr>
        <w:spacing w:before="107"/>
        <w:ind w:left="1599" w:right="0" w:firstLine="0"/>
        <w:jc w:val="left"/>
        <w:rPr>
          <w:rFonts w:ascii="Calibri"/>
          <w:sz w:val="14"/>
        </w:rPr>
      </w:pPr>
      <w:r>
        <w:rPr>
          <w:rFonts w:ascii="Calibri"/>
          <w:sz w:val="14"/>
        </w:rPr>
        <w:t>20</w:t>
      </w:r>
    </w:p>
    <w:p>
      <w:pPr>
        <w:spacing w:before="107"/>
        <w:ind w:left="1599" w:right="0" w:firstLine="0"/>
        <w:jc w:val="left"/>
        <w:rPr>
          <w:rFonts w:ascii="Calibri"/>
          <w:sz w:val="14"/>
        </w:rPr>
      </w:pPr>
      <w:r>
        <w:rPr>
          <w:rFonts w:ascii="Calibri"/>
          <w:sz w:val="14"/>
        </w:rPr>
        <w:t>10</w:t>
      </w:r>
    </w:p>
    <w:p>
      <w:pPr>
        <w:spacing w:before="107"/>
        <w:ind w:left="1672" w:right="0" w:firstLine="0"/>
        <w:jc w:val="left"/>
        <w:rPr>
          <w:rFonts w:ascii="Calibri"/>
          <w:sz w:val="14"/>
        </w:rPr>
      </w:pPr>
      <w:r>
        <w:rPr>
          <w:rFonts w:ascii="Calibri"/>
          <w:w w:val="99"/>
          <w:sz w:val="14"/>
        </w:rPr>
        <w:t>0</w:t>
      </w:r>
    </w:p>
    <w:p>
      <w:pPr>
        <w:spacing w:before="28"/>
        <w:ind w:left="1768" w:right="0" w:firstLine="0"/>
        <w:jc w:val="left"/>
        <w:rPr>
          <w:rFonts w:ascii="Calibri"/>
          <w:sz w:val="14"/>
        </w:rPr>
      </w:pPr>
      <w:r>
        <w:rPr>
          <w:rFonts w:ascii="Calibri"/>
          <w:sz w:val="14"/>
        </w:rPr>
        <w:t>600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7"/>
        </w:rPr>
      </w:pPr>
    </w:p>
    <w:p>
      <w:pPr>
        <w:spacing w:before="0"/>
        <w:ind w:left="133" w:right="0" w:firstLine="0"/>
        <w:jc w:val="left"/>
        <w:rPr>
          <w:rFonts w:ascii="Calibri"/>
          <w:sz w:val="14"/>
        </w:rPr>
      </w:pPr>
      <w:r>
        <w:rPr>
          <w:rFonts w:ascii="Calibri"/>
          <w:sz w:val="14"/>
        </w:rPr>
        <w:t>500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7"/>
        </w:rPr>
      </w:pPr>
    </w:p>
    <w:p>
      <w:pPr>
        <w:spacing w:before="0"/>
        <w:ind w:left="133" w:right="0" w:firstLine="0"/>
        <w:jc w:val="left"/>
        <w:rPr>
          <w:rFonts w:ascii="Calibri"/>
          <w:sz w:val="14"/>
        </w:rPr>
      </w:pPr>
      <w:r>
        <w:rPr>
          <w:rFonts w:ascii="Calibri"/>
          <w:sz w:val="14"/>
        </w:rPr>
        <w:t>400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7"/>
        </w:rPr>
      </w:pPr>
    </w:p>
    <w:p>
      <w:pPr>
        <w:spacing w:before="0"/>
        <w:ind w:left="133" w:right="0" w:firstLine="0"/>
        <w:jc w:val="left"/>
        <w:rPr>
          <w:rFonts w:ascii="Calibri"/>
          <w:sz w:val="14"/>
        </w:rPr>
      </w:pPr>
      <w:r>
        <w:rPr>
          <w:rFonts w:ascii="Calibri"/>
          <w:sz w:val="14"/>
        </w:rPr>
        <w:t>300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7"/>
        </w:rPr>
      </w:pPr>
    </w:p>
    <w:p>
      <w:pPr>
        <w:spacing w:before="0"/>
        <w:ind w:left="133" w:right="0" w:firstLine="0"/>
        <w:jc w:val="left"/>
        <w:rPr>
          <w:rFonts w:ascii="Calibri"/>
          <w:sz w:val="14"/>
        </w:rPr>
      </w:pPr>
      <w:r>
        <w:rPr>
          <w:rFonts w:ascii="Calibri"/>
          <w:sz w:val="14"/>
        </w:rPr>
        <w:t>200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7"/>
        </w:rPr>
      </w:pPr>
    </w:p>
    <w:p>
      <w:pPr>
        <w:tabs>
          <w:tab w:pos="601" w:val="left" w:leader="none"/>
        </w:tabs>
        <w:spacing w:before="0"/>
        <w:ind w:left="133" w:right="0" w:firstLine="0"/>
        <w:jc w:val="left"/>
        <w:rPr>
          <w:rFonts w:ascii="Calibri"/>
          <w:sz w:val="14"/>
        </w:rPr>
      </w:pPr>
      <w:r>
        <w:rPr>
          <w:rFonts w:ascii="Calibri"/>
          <w:spacing w:val="2"/>
          <w:sz w:val="14"/>
        </w:rPr>
        <w:t>100</w:t>
        <w:tab/>
      </w:r>
      <w:r>
        <w:rPr>
          <w:rFonts w:ascii="Calibri"/>
          <w:spacing w:val="-20"/>
          <w:sz w:val="14"/>
        </w:rPr>
        <w:t>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7"/>
        </w:rPr>
      </w:pPr>
    </w:p>
    <w:p>
      <w:pPr>
        <w:spacing w:before="0"/>
        <w:ind w:left="211" w:right="0" w:firstLine="0"/>
        <w:jc w:val="left"/>
        <w:rPr>
          <w:rFonts w:ascii="Calibri"/>
          <w:sz w:val="14"/>
        </w:rPr>
      </w:pPr>
      <w:r>
        <w:rPr>
          <w:rFonts w:ascii="Calibri"/>
          <w:sz w:val="14"/>
        </w:rPr>
        <w:t>100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7"/>
        </w:rPr>
      </w:pPr>
    </w:p>
    <w:p>
      <w:pPr>
        <w:spacing w:before="0"/>
        <w:ind w:left="133" w:right="0" w:firstLine="0"/>
        <w:jc w:val="left"/>
        <w:rPr>
          <w:rFonts w:ascii="Calibri"/>
          <w:sz w:val="14"/>
        </w:rPr>
      </w:pPr>
      <w:r>
        <w:rPr>
          <w:rFonts w:ascii="Calibri"/>
          <w:sz w:val="14"/>
        </w:rPr>
        <w:t>200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7"/>
        </w:rPr>
      </w:pPr>
    </w:p>
    <w:p>
      <w:pPr>
        <w:spacing w:before="0"/>
        <w:ind w:left="133" w:right="0" w:firstLine="0"/>
        <w:jc w:val="left"/>
        <w:rPr>
          <w:rFonts w:ascii="Calibri"/>
          <w:sz w:val="14"/>
        </w:rPr>
      </w:pPr>
      <w:r>
        <w:rPr>
          <w:rFonts w:ascii="Calibri"/>
          <w:sz w:val="14"/>
        </w:rPr>
        <w:t>300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7"/>
        </w:rPr>
      </w:pPr>
    </w:p>
    <w:p>
      <w:pPr>
        <w:spacing w:before="0"/>
        <w:ind w:left="133" w:right="0" w:firstLine="0"/>
        <w:jc w:val="left"/>
        <w:rPr>
          <w:rFonts w:ascii="Calibri"/>
          <w:sz w:val="14"/>
        </w:rPr>
      </w:pPr>
      <w:r>
        <w:rPr>
          <w:rFonts w:ascii="Calibri"/>
          <w:sz w:val="14"/>
        </w:rPr>
        <w:t>400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7"/>
        </w:rPr>
      </w:pPr>
    </w:p>
    <w:p>
      <w:pPr>
        <w:spacing w:before="0"/>
        <w:ind w:left="133" w:right="0" w:firstLine="0"/>
        <w:jc w:val="left"/>
        <w:rPr>
          <w:rFonts w:ascii="Calibri"/>
          <w:sz w:val="14"/>
        </w:rPr>
      </w:pPr>
      <w:r>
        <w:rPr>
          <w:rFonts w:ascii="Calibri"/>
          <w:sz w:val="14"/>
        </w:rPr>
        <w:t>500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7"/>
        </w:rPr>
      </w:pPr>
    </w:p>
    <w:p>
      <w:pPr>
        <w:spacing w:before="0"/>
        <w:ind w:left="133" w:right="0" w:firstLine="0"/>
        <w:jc w:val="left"/>
        <w:rPr>
          <w:rFonts w:ascii="Calibri"/>
          <w:sz w:val="14"/>
        </w:rPr>
      </w:pPr>
      <w:r>
        <w:rPr>
          <w:rFonts w:ascii="Calibri"/>
          <w:sz w:val="14"/>
        </w:rPr>
        <w:t>600</w:t>
      </w:r>
    </w:p>
    <w:p>
      <w:pPr>
        <w:pStyle w:val="BodyText"/>
        <w:rPr>
          <w:rFonts w:ascii="Calibri"/>
          <w:sz w:val="10"/>
        </w:rPr>
      </w:pPr>
      <w:r>
        <w:rPr/>
        <w:br w:type="column"/>
      </w:r>
      <w:r>
        <w:rPr>
          <w:rFonts w:ascii="Calibri"/>
          <w:sz w:val="10"/>
        </w:rPr>
      </w:r>
    </w:p>
    <w:p>
      <w:pPr>
        <w:spacing w:before="67"/>
        <w:ind w:left="465" w:right="0" w:firstLine="0"/>
        <w:jc w:val="left"/>
        <w:rPr>
          <w:rFonts w:ascii="Calibri"/>
          <w:b/>
          <w:sz w:val="10"/>
        </w:rPr>
      </w:pPr>
      <w:r>
        <w:rPr>
          <w:rFonts w:ascii="Calibri"/>
          <w:b/>
          <w:w w:val="105"/>
          <w:sz w:val="10"/>
        </w:rPr>
        <w:t>Payment Category Key:</w:t>
      </w:r>
    </w:p>
    <w:p>
      <w:pPr>
        <w:spacing w:before="32"/>
        <w:ind w:left="681" w:right="0" w:firstLine="0"/>
        <w:jc w:val="left"/>
        <w:rPr>
          <w:rFonts w:ascii="Calibri"/>
          <w:sz w:val="10"/>
        </w:rPr>
      </w:pPr>
      <w:r>
        <w:rPr/>
        <w:drawing>
          <wp:anchor distT="0" distB="0" distL="0" distR="0" allowOverlap="1" layoutInCell="1" locked="0" behindDoc="0" simplePos="0" relativeHeight="252570624">
            <wp:simplePos x="0" y="0"/>
            <wp:positionH relativeFrom="page">
              <wp:posOffset>4663403</wp:posOffset>
            </wp:positionH>
            <wp:positionV relativeFrom="paragraph">
              <wp:posOffset>9947</wp:posOffset>
            </wp:positionV>
            <wp:extent cx="136993" cy="1508889"/>
            <wp:effectExtent l="0" t="0" r="0" b="0"/>
            <wp:wrapNone/>
            <wp:docPr id="265" name="image138.png"/>
            <wp:cNvGraphicFramePr>
              <a:graphicFrameLocks noChangeAspect="1"/>
            </wp:cNvGraphicFramePr>
            <a:graphic>
              <a:graphicData uri="http://schemas.openxmlformats.org/drawingml/2006/picture">
                <pic:pic>
                  <pic:nvPicPr>
                    <pic:cNvPr id="266" name="image138.png"/>
                    <pic:cNvPicPr/>
                  </pic:nvPicPr>
                  <pic:blipFill>
                    <a:blip r:embed="rId168" cstate="print"/>
                    <a:stretch>
                      <a:fillRect/>
                    </a:stretch>
                  </pic:blipFill>
                  <pic:spPr>
                    <a:xfrm>
                      <a:off x="0" y="0"/>
                      <a:ext cx="136993" cy="1508889"/>
                    </a:xfrm>
                    <a:prstGeom prst="rect">
                      <a:avLst/>
                    </a:prstGeom>
                  </pic:spPr>
                </pic:pic>
              </a:graphicData>
            </a:graphic>
          </wp:anchor>
        </w:drawing>
      </w:r>
      <w:r>
        <w:rPr>
          <w:rFonts w:ascii="Calibri"/>
          <w:w w:val="105"/>
          <w:sz w:val="10"/>
        </w:rPr>
        <w:t>A - IS Studying</w:t>
      </w:r>
    </w:p>
    <w:p>
      <w:pPr>
        <w:spacing w:line="273" w:lineRule="auto" w:before="17"/>
        <w:ind w:left="681" w:right="3517" w:firstLine="0"/>
        <w:jc w:val="left"/>
        <w:rPr>
          <w:rFonts w:ascii="Calibri"/>
          <w:sz w:val="10"/>
        </w:rPr>
      </w:pPr>
      <w:r>
        <w:rPr>
          <w:rFonts w:ascii="Calibri"/>
          <w:w w:val="105"/>
          <w:sz w:val="10"/>
        </w:rPr>
        <w:t>B - IS Working Age C - IS Parents</w:t>
      </w:r>
    </w:p>
    <w:p>
      <w:pPr>
        <w:spacing w:before="0"/>
        <w:ind w:left="681" w:right="0" w:firstLine="0"/>
        <w:jc w:val="left"/>
        <w:rPr>
          <w:rFonts w:ascii="Calibri"/>
          <w:sz w:val="10"/>
        </w:rPr>
      </w:pPr>
      <w:r>
        <w:rPr>
          <w:rFonts w:ascii="Calibri"/>
          <w:w w:val="105"/>
          <w:sz w:val="10"/>
        </w:rPr>
        <w:t>D - IS Carer</w:t>
      </w:r>
    </w:p>
    <w:p>
      <w:pPr>
        <w:spacing w:line="273" w:lineRule="auto" w:before="17"/>
        <w:ind w:left="681" w:right="3697" w:firstLine="0"/>
        <w:jc w:val="left"/>
        <w:rPr>
          <w:rFonts w:ascii="Calibri"/>
          <w:sz w:val="10"/>
        </w:rPr>
      </w:pPr>
      <w:r>
        <w:rPr>
          <w:rFonts w:ascii="Calibri"/>
          <w:w w:val="105"/>
          <w:sz w:val="10"/>
        </w:rPr>
        <w:t>E - IS Disability F - IS Age</w:t>
      </w:r>
    </w:p>
    <w:p>
      <w:pPr>
        <w:spacing w:line="273" w:lineRule="auto" w:before="1"/>
        <w:ind w:left="681" w:right="3597" w:firstLine="0"/>
        <w:jc w:val="left"/>
        <w:rPr>
          <w:rFonts w:ascii="Calibri"/>
          <w:sz w:val="10"/>
        </w:rPr>
      </w:pPr>
      <w:r>
        <w:rPr>
          <w:rFonts w:ascii="Calibri"/>
          <w:w w:val="105"/>
          <w:sz w:val="10"/>
        </w:rPr>
        <w:t>G - IS Dependant H - Other FTB</w:t>
      </w:r>
    </w:p>
    <w:p>
      <w:pPr>
        <w:spacing w:before="0"/>
        <w:ind w:left="681" w:right="0" w:firstLine="0"/>
        <w:jc w:val="left"/>
        <w:rPr>
          <w:rFonts w:ascii="Calibri"/>
          <w:sz w:val="10"/>
        </w:rPr>
      </w:pPr>
      <w:r>
        <w:rPr>
          <w:rFonts w:ascii="Calibri"/>
          <w:w w:val="105"/>
          <w:sz w:val="10"/>
        </w:rPr>
        <w:t>I - Other Family</w:t>
      </w:r>
    </w:p>
    <w:p>
      <w:pPr>
        <w:spacing w:before="17"/>
        <w:ind w:left="681" w:right="0" w:firstLine="0"/>
        <w:jc w:val="left"/>
        <w:rPr>
          <w:rFonts w:ascii="Calibri"/>
          <w:sz w:val="10"/>
        </w:rPr>
      </w:pPr>
      <w:r>
        <w:rPr>
          <w:rFonts w:ascii="Calibri"/>
          <w:w w:val="105"/>
          <w:sz w:val="10"/>
        </w:rPr>
        <w:t>J - Other New Parents</w:t>
      </w:r>
    </w:p>
    <w:p>
      <w:pPr>
        <w:spacing w:line="273" w:lineRule="auto" w:before="18"/>
        <w:ind w:left="681" w:right="3129" w:firstLine="0"/>
        <w:jc w:val="left"/>
        <w:rPr>
          <w:rFonts w:ascii="Calibri"/>
          <w:sz w:val="10"/>
        </w:rPr>
      </w:pPr>
      <w:r>
        <w:rPr>
          <w:rFonts w:ascii="Calibri"/>
          <w:w w:val="105"/>
          <w:sz w:val="10"/>
        </w:rPr>
        <w:t>L - Other Health &amp; Disability M - Other Carer</w:t>
      </w:r>
    </w:p>
    <w:p>
      <w:pPr>
        <w:spacing w:before="0"/>
        <w:ind w:left="681" w:right="0" w:firstLine="0"/>
        <w:jc w:val="left"/>
        <w:rPr>
          <w:rFonts w:ascii="Calibri"/>
          <w:sz w:val="10"/>
        </w:rPr>
      </w:pPr>
      <w:r>
        <w:rPr>
          <w:rFonts w:ascii="Calibri"/>
          <w:w w:val="105"/>
          <w:sz w:val="10"/>
        </w:rPr>
        <w:t>N - Other Study &amp; Skills</w:t>
      </w:r>
    </w:p>
    <w:p>
      <w:pPr>
        <w:spacing w:line="273" w:lineRule="auto" w:before="17"/>
        <w:ind w:left="681" w:right="3072" w:firstLine="0"/>
        <w:jc w:val="both"/>
        <w:rPr>
          <w:rFonts w:ascii="Calibri"/>
          <w:sz w:val="10"/>
        </w:rPr>
      </w:pPr>
      <w:r>
        <w:rPr>
          <w:rFonts w:ascii="Calibri"/>
          <w:w w:val="105"/>
          <w:sz w:val="10"/>
        </w:rPr>
        <w:t>O - Other Remote &amp; Regional P - Other General Allowances Q - All Other</w:t>
      </w:r>
    </w:p>
    <w:p>
      <w:pPr>
        <w:spacing w:before="1"/>
        <w:ind w:left="681" w:right="0" w:firstLine="0"/>
        <w:jc w:val="both"/>
        <w:rPr>
          <w:rFonts w:ascii="Calibri"/>
          <w:sz w:val="10"/>
        </w:rPr>
      </w:pPr>
      <w:r>
        <w:rPr>
          <w:rFonts w:ascii="Calibri"/>
          <w:w w:val="105"/>
          <w:sz w:val="10"/>
        </w:rPr>
        <w:t>R - Rent Assistance</w:t>
      </w:r>
    </w:p>
    <w:p>
      <w:pPr>
        <w:spacing w:after="0"/>
        <w:jc w:val="both"/>
        <w:rPr>
          <w:rFonts w:ascii="Calibri"/>
          <w:sz w:val="10"/>
        </w:rPr>
        <w:sectPr>
          <w:type w:val="continuous"/>
          <w:pgSz w:w="11910" w:h="16850"/>
          <w:pgMar w:top="1600" w:bottom="280" w:left="120" w:right="0"/>
          <w:cols w:num="13" w:equalWidth="0">
            <w:col w:w="1991" w:space="40"/>
            <w:col w:w="356" w:space="39"/>
            <w:col w:w="356" w:space="39"/>
            <w:col w:w="356" w:space="39"/>
            <w:col w:w="356" w:space="39"/>
            <w:col w:w="673" w:space="39"/>
            <w:col w:w="433" w:space="40"/>
            <w:col w:w="356" w:space="40"/>
            <w:col w:w="356" w:space="39"/>
            <w:col w:w="356" w:space="39"/>
            <w:col w:w="356" w:space="39"/>
            <w:col w:w="356" w:space="39"/>
            <w:col w:w="5018"/>
          </w:cols>
        </w:sectPr>
      </w:pPr>
    </w:p>
    <w:p>
      <w:pPr>
        <w:spacing w:before="47"/>
        <w:ind w:left="3361" w:right="0" w:firstLine="0"/>
        <w:jc w:val="left"/>
        <w:rPr>
          <w:rFonts w:ascii="Calibri"/>
          <w:b/>
          <w:sz w:val="14"/>
        </w:rPr>
      </w:pPr>
      <w:r>
        <w:rPr>
          <w:rFonts w:ascii="Calibri"/>
          <w:b/>
          <w:sz w:val="14"/>
        </w:rPr>
        <w:t>Average Lifetime Cost ($000s)</w:t>
      </w:r>
    </w:p>
    <w:p>
      <w:pPr>
        <w:pStyle w:val="BodyText"/>
        <w:spacing w:before="10"/>
        <w:rPr>
          <w:rFonts w:ascii="Calibri"/>
          <w:b/>
          <w:sz w:val="19"/>
        </w:rPr>
      </w:pPr>
    </w:p>
    <w:p>
      <w:pPr>
        <w:pStyle w:val="BodyText"/>
        <w:spacing w:before="93"/>
        <w:ind w:left="900" w:right="1042"/>
      </w:pPr>
      <w:r>
        <w:rPr>
          <w:color w:val="404040"/>
        </w:rPr>
        <w:t>The most substantial part of this average lifetime cost for both genders is for the Age Pension as there is a high chance of the people moving onto the Age Pension as they reach pension age. Above the age of 40 the average lifetime cost of men and women is similar. The driver of the higher average lifetime cost for women under the age of 40 is the significant contributions from FTB and other family payments, combined with Parenting payments. This difference is substantially higher for younger women, and the reduction in future cost by age reflects the lower expected future time in receipt of family related payments for older people.</w:t>
      </w:r>
    </w:p>
    <w:p>
      <w:pPr>
        <w:pStyle w:val="BodyText"/>
        <w:spacing w:before="120"/>
        <w:ind w:left="900" w:right="1053"/>
      </w:pPr>
      <w:r>
        <w:rPr>
          <w:color w:val="404040"/>
        </w:rPr>
        <w:t>The average lifetime cost pyramid shows a significant change at around age 65 with much lower costs for older people. To be above age 65.5 and still be in this class means that they cannot be receiving the Age Pension at present. This means they are far less likely to receive the Age Pension in future than a typical person in the population and hence have a lower average lifetime cost.</w:t>
      </w:r>
    </w:p>
    <w:p>
      <w:pPr>
        <w:pStyle w:val="BodyText"/>
        <w:spacing w:before="122"/>
        <w:ind w:left="900" w:right="1448"/>
      </w:pPr>
      <w:r>
        <w:rPr>
          <w:color w:val="404040"/>
        </w:rPr>
        <w:t>The table below outlines the average lifetime cost for 30 to 39 year olds currently receiving Non IS Family payments, split by key characteristics. We have selected a set age group to reduce the effect of age on the future lifetime cost. It is important to note that some characteristics serve as proxies for more fundamental socio-economic factors, and as such, they may not necessarily be the underlying cause of any differences observed in the average lifetime costs of individuals. Further, the variations and relativities to the average lifetime cost that have been shown may differ for other age bands.</w:t>
      </w:r>
    </w:p>
    <w:p>
      <w:pPr>
        <w:spacing w:after="0"/>
        <w:sectPr>
          <w:type w:val="continuous"/>
          <w:pgSz w:w="11910" w:h="16850"/>
          <w:pgMar w:top="1600" w:bottom="280" w:left="120" w:right="0"/>
        </w:sectPr>
      </w:pPr>
    </w:p>
    <w:p>
      <w:pPr>
        <w:pStyle w:val="BodyText"/>
      </w:pPr>
    </w:p>
    <w:p>
      <w:pPr>
        <w:pStyle w:val="BodyText"/>
      </w:pPr>
    </w:p>
    <w:p>
      <w:pPr>
        <w:pStyle w:val="BodyText"/>
        <w:spacing w:before="5"/>
        <w:rPr>
          <w:sz w:val="21"/>
        </w:rPr>
      </w:pPr>
    </w:p>
    <w:p>
      <w:pPr>
        <w:pStyle w:val="Heading9"/>
        <w:spacing w:after="44"/>
        <w:ind w:right="2467"/>
      </w:pPr>
      <w:r>
        <w:rPr>
          <w:color w:val="DF2F1E"/>
        </w:rPr>
        <w:t>Table 33: Average lifetime cost for 30 to 39 year old Non IS Family recipients split by key characteristics</w:t>
      </w:r>
    </w:p>
    <w:tbl>
      <w:tblPr>
        <w:tblW w:w="0" w:type="auto"/>
        <w:jc w:val="left"/>
        <w:tblInd w:w="1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62"/>
        <w:gridCol w:w="1380"/>
        <w:gridCol w:w="1658"/>
        <w:gridCol w:w="1574"/>
        <w:gridCol w:w="1608"/>
      </w:tblGrid>
      <w:tr>
        <w:trPr>
          <w:trHeight w:val="652" w:hRule="atLeast"/>
        </w:trPr>
        <w:tc>
          <w:tcPr>
            <w:tcW w:w="3562" w:type="dxa"/>
            <w:shd w:val="clear" w:color="auto" w:fill="DF2F1E"/>
          </w:tcPr>
          <w:p>
            <w:pPr>
              <w:pStyle w:val="TableParagraph"/>
              <w:spacing w:before="0"/>
              <w:rPr>
                <w:rFonts w:ascii="Times New Roman"/>
                <w:sz w:val="18"/>
              </w:rPr>
            </w:pPr>
          </w:p>
        </w:tc>
        <w:tc>
          <w:tcPr>
            <w:tcW w:w="1380" w:type="dxa"/>
            <w:shd w:val="clear" w:color="auto" w:fill="DF2F1E"/>
          </w:tcPr>
          <w:p>
            <w:pPr>
              <w:pStyle w:val="TableParagraph"/>
              <w:spacing w:before="44"/>
              <w:ind w:left="580" w:right="122" w:hanging="142"/>
              <w:rPr>
                <w:b/>
                <w:sz w:val="16"/>
              </w:rPr>
            </w:pPr>
            <w:r>
              <w:rPr>
                <w:b/>
                <w:color w:val="FFFFFF"/>
                <w:sz w:val="16"/>
              </w:rPr>
              <w:t>Number of people</w:t>
            </w:r>
          </w:p>
        </w:tc>
        <w:tc>
          <w:tcPr>
            <w:tcW w:w="1658" w:type="dxa"/>
            <w:shd w:val="clear" w:color="auto" w:fill="DF2F1E"/>
          </w:tcPr>
          <w:p>
            <w:pPr>
              <w:pStyle w:val="TableParagraph"/>
              <w:spacing w:before="44"/>
              <w:ind w:left="277" w:right="130" w:hanging="130"/>
              <w:rPr>
                <w:b/>
                <w:sz w:val="16"/>
              </w:rPr>
            </w:pPr>
            <w:r>
              <w:rPr>
                <w:b/>
                <w:color w:val="FFFFFF"/>
                <w:sz w:val="16"/>
              </w:rPr>
              <w:t>Number of people as % of cohort</w:t>
            </w:r>
          </w:p>
        </w:tc>
        <w:tc>
          <w:tcPr>
            <w:tcW w:w="1574" w:type="dxa"/>
            <w:shd w:val="clear" w:color="auto" w:fill="DF2F1E"/>
          </w:tcPr>
          <w:p>
            <w:pPr>
              <w:pStyle w:val="TableParagraph"/>
              <w:spacing w:before="44"/>
              <w:ind w:left="492" w:right="161" w:hanging="336"/>
              <w:rPr>
                <w:b/>
                <w:sz w:val="16"/>
              </w:rPr>
            </w:pPr>
            <w:r>
              <w:rPr>
                <w:b/>
                <w:color w:val="FFFFFF"/>
                <w:sz w:val="16"/>
              </w:rPr>
              <w:t>Average lifetime cost ($)</w:t>
            </w:r>
          </w:p>
        </w:tc>
        <w:tc>
          <w:tcPr>
            <w:tcW w:w="1608" w:type="dxa"/>
            <w:shd w:val="clear" w:color="auto" w:fill="DF2F1E"/>
          </w:tcPr>
          <w:p>
            <w:pPr>
              <w:pStyle w:val="TableParagraph"/>
              <w:spacing w:before="44"/>
              <w:ind w:left="190" w:right="177"/>
              <w:jc w:val="center"/>
              <w:rPr>
                <w:b/>
                <w:sz w:val="16"/>
              </w:rPr>
            </w:pPr>
            <w:r>
              <w:rPr>
                <w:b/>
                <w:color w:val="FFFFFF"/>
                <w:sz w:val="16"/>
              </w:rPr>
              <w:t>Average lifetime cost relative to cohort</w:t>
            </w:r>
          </w:p>
        </w:tc>
      </w:tr>
      <w:tr>
        <w:trPr>
          <w:trHeight w:val="263" w:hRule="atLeast"/>
        </w:trPr>
        <w:tc>
          <w:tcPr>
            <w:tcW w:w="3562" w:type="dxa"/>
            <w:tcBorders>
              <w:left w:val="single" w:sz="4" w:space="0" w:color="DF2F1E"/>
              <w:bottom w:val="single" w:sz="4" w:space="0" w:color="DF2F1E"/>
            </w:tcBorders>
            <w:shd w:val="clear" w:color="auto" w:fill="F7DCE0"/>
          </w:tcPr>
          <w:p>
            <w:pPr>
              <w:pStyle w:val="TableParagraph"/>
              <w:spacing w:before="34"/>
              <w:ind w:left="107"/>
              <w:rPr>
                <w:b/>
                <w:sz w:val="16"/>
              </w:rPr>
            </w:pPr>
            <w:r>
              <w:rPr>
                <w:b/>
                <w:color w:val="404040"/>
                <w:sz w:val="16"/>
              </w:rPr>
              <w:t>Total</w:t>
            </w:r>
          </w:p>
        </w:tc>
        <w:tc>
          <w:tcPr>
            <w:tcW w:w="1380" w:type="dxa"/>
            <w:tcBorders>
              <w:bottom w:val="single" w:sz="4" w:space="0" w:color="DF2F1E"/>
            </w:tcBorders>
            <w:shd w:val="clear" w:color="auto" w:fill="F7DCE0"/>
          </w:tcPr>
          <w:p>
            <w:pPr>
              <w:pStyle w:val="TableParagraph"/>
              <w:spacing w:before="34"/>
              <w:ind w:right="250"/>
              <w:jc w:val="right"/>
              <w:rPr>
                <w:b/>
                <w:sz w:val="16"/>
              </w:rPr>
            </w:pPr>
            <w:r>
              <w:rPr>
                <w:b/>
                <w:color w:val="404040"/>
                <w:sz w:val="16"/>
              </w:rPr>
              <w:t>710,000</w:t>
            </w:r>
          </w:p>
        </w:tc>
        <w:tc>
          <w:tcPr>
            <w:tcW w:w="1658" w:type="dxa"/>
            <w:tcBorders>
              <w:bottom w:val="single" w:sz="4" w:space="0" w:color="DF2F1E"/>
            </w:tcBorders>
            <w:shd w:val="clear" w:color="auto" w:fill="F7DCE0"/>
          </w:tcPr>
          <w:p>
            <w:pPr>
              <w:pStyle w:val="TableParagraph"/>
              <w:spacing w:before="34"/>
              <w:ind w:left="623"/>
              <w:rPr>
                <w:b/>
                <w:sz w:val="16"/>
              </w:rPr>
            </w:pPr>
            <w:r>
              <w:rPr>
                <w:b/>
                <w:color w:val="404040"/>
                <w:sz w:val="16"/>
              </w:rPr>
              <w:t>100%</w:t>
            </w:r>
          </w:p>
        </w:tc>
        <w:tc>
          <w:tcPr>
            <w:tcW w:w="1574" w:type="dxa"/>
            <w:tcBorders>
              <w:bottom w:val="single" w:sz="4" w:space="0" w:color="DF2F1E"/>
            </w:tcBorders>
            <w:shd w:val="clear" w:color="auto" w:fill="F7DCE0"/>
          </w:tcPr>
          <w:p>
            <w:pPr>
              <w:pStyle w:val="TableParagraph"/>
              <w:spacing w:before="34"/>
              <w:ind w:left="468" w:right="487"/>
              <w:jc w:val="center"/>
              <w:rPr>
                <w:b/>
                <w:sz w:val="16"/>
              </w:rPr>
            </w:pPr>
            <w:r>
              <w:rPr>
                <w:b/>
                <w:color w:val="404040"/>
                <w:sz w:val="16"/>
              </w:rPr>
              <w:t>237,000</w:t>
            </w:r>
          </w:p>
        </w:tc>
        <w:tc>
          <w:tcPr>
            <w:tcW w:w="1608" w:type="dxa"/>
            <w:tcBorders>
              <w:bottom w:val="single" w:sz="4" w:space="0" w:color="DF2F1E"/>
              <w:right w:val="single" w:sz="4" w:space="0" w:color="DF2F1E"/>
            </w:tcBorders>
            <w:shd w:val="clear" w:color="auto" w:fill="F7DCE0"/>
          </w:tcPr>
          <w:p>
            <w:pPr>
              <w:pStyle w:val="TableParagraph"/>
              <w:spacing w:before="34"/>
              <w:ind w:left="581" w:right="570"/>
              <w:jc w:val="center"/>
              <w:rPr>
                <w:b/>
                <w:sz w:val="16"/>
              </w:rPr>
            </w:pPr>
            <w:r>
              <w:rPr>
                <w:b/>
                <w:color w:val="404040"/>
                <w:sz w:val="16"/>
              </w:rPr>
              <w:t>100%</w:t>
            </w:r>
          </w:p>
        </w:tc>
      </w:tr>
      <w:tr>
        <w:trPr>
          <w:trHeight w:val="262" w:hRule="atLeast"/>
        </w:trPr>
        <w:tc>
          <w:tcPr>
            <w:tcW w:w="3562" w:type="dxa"/>
            <w:tcBorders>
              <w:top w:val="single" w:sz="4" w:space="0" w:color="DF2F1E"/>
              <w:left w:val="single" w:sz="4" w:space="0" w:color="DF2F1E"/>
            </w:tcBorders>
          </w:tcPr>
          <w:p>
            <w:pPr>
              <w:pStyle w:val="TableParagraph"/>
              <w:spacing w:before="34"/>
              <w:ind w:left="107"/>
              <w:rPr>
                <w:b/>
                <w:sz w:val="16"/>
              </w:rPr>
            </w:pPr>
            <w:r>
              <w:rPr>
                <w:b/>
                <w:color w:val="404040"/>
                <w:sz w:val="16"/>
              </w:rPr>
              <w:t>Number of children</w:t>
            </w:r>
          </w:p>
        </w:tc>
        <w:tc>
          <w:tcPr>
            <w:tcW w:w="1380" w:type="dxa"/>
            <w:tcBorders>
              <w:top w:val="single" w:sz="4" w:space="0" w:color="DF2F1E"/>
            </w:tcBorders>
          </w:tcPr>
          <w:p>
            <w:pPr>
              <w:pStyle w:val="TableParagraph"/>
              <w:spacing w:before="0"/>
              <w:rPr>
                <w:rFonts w:ascii="Times New Roman"/>
                <w:sz w:val="18"/>
              </w:rPr>
            </w:pPr>
          </w:p>
        </w:tc>
        <w:tc>
          <w:tcPr>
            <w:tcW w:w="1658" w:type="dxa"/>
            <w:tcBorders>
              <w:top w:val="single" w:sz="4" w:space="0" w:color="DF2F1E"/>
            </w:tcBorders>
          </w:tcPr>
          <w:p>
            <w:pPr>
              <w:pStyle w:val="TableParagraph"/>
              <w:spacing w:before="0"/>
              <w:rPr>
                <w:rFonts w:ascii="Times New Roman"/>
                <w:sz w:val="18"/>
              </w:rPr>
            </w:pPr>
          </w:p>
        </w:tc>
        <w:tc>
          <w:tcPr>
            <w:tcW w:w="1574" w:type="dxa"/>
            <w:tcBorders>
              <w:top w:val="single" w:sz="4" w:space="0" w:color="DF2F1E"/>
            </w:tcBorders>
          </w:tcPr>
          <w:p>
            <w:pPr>
              <w:pStyle w:val="TableParagraph"/>
              <w:spacing w:before="0"/>
              <w:rPr>
                <w:rFonts w:ascii="Times New Roman"/>
                <w:sz w:val="18"/>
              </w:rPr>
            </w:pPr>
          </w:p>
        </w:tc>
        <w:tc>
          <w:tcPr>
            <w:tcW w:w="1608" w:type="dxa"/>
            <w:tcBorders>
              <w:top w:val="single" w:sz="4" w:space="0" w:color="DF2F1E"/>
              <w:right w:val="single" w:sz="4" w:space="0" w:color="DF2F1E"/>
            </w:tcBorders>
          </w:tcPr>
          <w:p>
            <w:pPr>
              <w:pStyle w:val="TableParagraph"/>
              <w:spacing w:before="0"/>
              <w:rPr>
                <w:rFonts w:ascii="Times New Roman"/>
                <w:sz w:val="18"/>
              </w:rPr>
            </w:pPr>
          </w:p>
        </w:tc>
      </w:tr>
      <w:tr>
        <w:trPr>
          <w:trHeight w:val="265" w:hRule="atLeast"/>
        </w:trPr>
        <w:tc>
          <w:tcPr>
            <w:tcW w:w="3562" w:type="dxa"/>
            <w:tcBorders>
              <w:left w:val="single" w:sz="4" w:space="0" w:color="DF2F1E"/>
            </w:tcBorders>
          </w:tcPr>
          <w:p>
            <w:pPr>
              <w:pStyle w:val="TableParagraph"/>
              <w:spacing w:before="39"/>
              <w:ind w:left="287"/>
              <w:rPr>
                <w:b/>
                <w:i/>
                <w:sz w:val="16"/>
              </w:rPr>
            </w:pPr>
            <w:r>
              <w:rPr>
                <w:b/>
                <w:i/>
                <w:color w:val="404040"/>
                <w:sz w:val="16"/>
              </w:rPr>
              <w:t>- No children</w:t>
            </w:r>
          </w:p>
        </w:tc>
        <w:tc>
          <w:tcPr>
            <w:tcW w:w="1380" w:type="dxa"/>
          </w:tcPr>
          <w:p>
            <w:pPr>
              <w:pStyle w:val="TableParagraph"/>
              <w:spacing w:before="39"/>
              <w:ind w:right="293"/>
              <w:jc w:val="right"/>
              <w:rPr>
                <w:sz w:val="16"/>
              </w:rPr>
            </w:pPr>
            <w:r>
              <w:rPr>
                <w:color w:val="404040"/>
                <w:sz w:val="16"/>
              </w:rPr>
              <w:t>15,000</w:t>
            </w:r>
          </w:p>
        </w:tc>
        <w:tc>
          <w:tcPr>
            <w:tcW w:w="1658" w:type="dxa"/>
          </w:tcPr>
          <w:p>
            <w:pPr>
              <w:pStyle w:val="TableParagraph"/>
              <w:spacing w:before="39"/>
              <w:ind w:left="712"/>
              <w:rPr>
                <w:sz w:val="16"/>
              </w:rPr>
            </w:pPr>
            <w:r>
              <w:rPr>
                <w:color w:val="404040"/>
                <w:sz w:val="16"/>
              </w:rPr>
              <w:t>2%</w:t>
            </w:r>
          </w:p>
        </w:tc>
        <w:tc>
          <w:tcPr>
            <w:tcW w:w="1574" w:type="dxa"/>
          </w:tcPr>
          <w:p>
            <w:pPr>
              <w:pStyle w:val="TableParagraph"/>
              <w:spacing w:before="39"/>
              <w:ind w:left="468" w:right="487"/>
              <w:jc w:val="center"/>
              <w:rPr>
                <w:sz w:val="16"/>
              </w:rPr>
            </w:pPr>
            <w:r>
              <w:rPr>
                <w:color w:val="404040"/>
                <w:sz w:val="16"/>
              </w:rPr>
              <w:t>199,000</w:t>
            </w:r>
          </w:p>
        </w:tc>
        <w:tc>
          <w:tcPr>
            <w:tcW w:w="1608" w:type="dxa"/>
            <w:tcBorders>
              <w:right w:val="single" w:sz="4" w:space="0" w:color="DF2F1E"/>
            </w:tcBorders>
          </w:tcPr>
          <w:p>
            <w:pPr>
              <w:pStyle w:val="TableParagraph"/>
              <w:spacing w:before="39"/>
              <w:ind w:left="581" w:right="568"/>
              <w:jc w:val="center"/>
              <w:rPr>
                <w:sz w:val="16"/>
              </w:rPr>
            </w:pPr>
            <w:r>
              <w:rPr>
                <w:color w:val="404040"/>
                <w:sz w:val="16"/>
              </w:rPr>
              <w:t>84%</w:t>
            </w:r>
          </w:p>
        </w:tc>
      </w:tr>
      <w:tr>
        <w:trPr>
          <w:trHeight w:val="263" w:hRule="atLeast"/>
        </w:trPr>
        <w:tc>
          <w:tcPr>
            <w:tcW w:w="3562" w:type="dxa"/>
            <w:tcBorders>
              <w:left w:val="single" w:sz="4" w:space="0" w:color="DF2F1E"/>
            </w:tcBorders>
          </w:tcPr>
          <w:p>
            <w:pPr>
              <w:pStyle w:val="TableParagraph"/>
              <w:ind w:left="287"/>
              <w:rPr>
                <w:b/>
                <w:i/>
                <w:sz w:val="16"/>
              </w:rPr>
            </w:pPr>
            <w:r>
              <w:rPr>
                <w:b/>
                <w:i/>
                <w:color w:val="404040"/>
                <w:sz w:val="16"/>
              </w:rPr>
              <w:t>- 1 child</w:t>
            </w:r>
          </w:p>
        </w:tc>
        <w:tc>
          <w:tcPr>
            <w:tcW w:w="1380" w:type="dxa"/>
          </w:tcPr>
          <w:p>
            <w:pPr>
              <w:pStyle w:val="TableParagraph"/>
              <w:ind w:right="250"/>
              <w:jc w:val="right"/>
              <w:rPr>
                <w:sz w:val="16"/>
              </w:rPr>
            </w:pPr>
            <w:r>
              <w:rPr>
                <w:color w:val="404040"/>
                <w:sz w:val="16"/>
              </w:rPr>
              <w:t>228,000</w:t>
            </w:r>
          </w:p>
        </w:tc>
        <w:tc>
          <w:tcPr>
            <w:tcW w:w="1658" w:type="dxa"/>
          </w:tcPr>
          <w:p>
            <w:pPr>
              <w:pStyle w:val="TableParagraph"/>
              <w:ind w:left="669"/>
              <w:rPr>
                <w:sz w:val="16"/>
              </w:rPr>
            </w:pPr>
            <w:r>
              <w:rPr>
                <w:color w:val="404040"/>
                <w:sz w:val="16"/>
              </w:rPr>
              <w:t>32%</w:t>
            </w:r>
          </w:p>
        </w:tc>
        <w:tc>
          <w:tcPr>
            <w:tcW w:w="1574" w:type="dxa"/>
          </w:tcPr>
          <w:p>
            <w:pPr>
              <w:pStyle w:val="TableParagraph"/>
              <w:ind w:left="468" w:right="487"/>
              <w:jc w:val="center"/>
              <w:rPr>
                <w:sz w:val="16"/>
              </w:rPr>
            </w:pPr>
            <w:r>
              <w:rPr>
                <w:color w:val="404040"/>
                <w:sz w:val="16"/>
              </w:rPr>
              <w:t>230,000</w:t>
            </w:r>
          </w:p>
        </w:tc>
        <w:tc>
          <w:tcPr>
            <w:tcW w:w="1608" w:type="dxa"/>
            <w:tcBorders>
              <w:right w:val="single" w:sz="4" w:space="0" w:color="DF2F1E"/>
            </w:tcBorders>
          </w:tcPr>
          <w:p>
            <w:pPr>
              <w:pStyle w:val="TableParagraph"/>
              <w:ind w:left="581" w:right="568"/>
              <w:jc w:val="center"/>
              <w:rPr>
                <w:sz w:val="16"/>
              </w:rPr>
            </w:pPr>
            <w:r>
              <w:rPr>
                <w:color w:val="404040"/>
                <w:sz w:val="16"/>
              </w:rPr>
              <w:t>97%</w:t>
            </w:r>
          </w:p>
        </w:tc>
      </w:tr>
      <w:tr>
        <w:trPr>
          <w:trHeight w:val="264" w:hRule="atLeast"/>
        </w:trPr>
        <w:tc>
          <w:tcPr>
            <w:tcW w:w="3562" w:type="dxa"/>
            <w:tcBorders>
              <w:left w:val="single" w:sz="4" w:space="0" w:color="DF2F1E"/>
            </w:tcBorders>
          </w:tcPr>
          <w:p>
            <w:pPr>
              <w:pStyle w:val="TableParagraph"/>
              <w:ind w:left="287"/>
              <w:rPr>
                <w:b/>
                <w:i/>
                <w:sz w:val="16"/>
              </w:rPr>
            </w:pPr>
            <w:r>
              <w:rPr>
                <w:b/>
                <w:i/>
                <w:color w:val="404040"/>
                <w:sz w:val="16"/>
              </w:rPr>
              <w:t>- 2 children</w:t>
            </w:r>
          </w:p>
        </w:tc>
        <w:tc>
          <w:tcPr>
            <w:tcW w:w="1380" w:type="dxa"/>
          </w:tcPr>
          <w:p>
            <w:pPr>
              <w:pStyle w:val="TableParagraph"/>
              <w:ind w:right="250"/>
              <w:jc w:val="right"/>
              <w:rPr>
                <w:sz w:val="16"/>
              </w:rPr>
            </w:pPr>
            <w:r>
              <w:rPr>
                <w:color w:val="404040"/>
                <w:sz w:val="16"/>
              </w:rPr>
              <w:t>314,000</w:t>
            </w:r>
          </w:p>
        </w:tc>
        <w:tc>
          <w:tcPr>
            <w:tcW w:w="1658" w:type="dxa"/>
          </w:tcPr>
          <w:p>
            <w:pPr>
              <w:pStyle w:val="TableParagraph"/>
              <w:ind w:left="669"/>
              <w:rPr>
                <w:sz w:val="16"/>
              </w:rPr>
            </w:pPr>
            <w:r>
              <w:rPr>
                <w:color w:val="404040"/>
                <w:sz w:val="16"/>
              </w:rPr>
              <w:t>44%</w:t>
            </w:r>
          </w:p>
        </w:tc>
        <w:tc>
          <w:tcPr>
            <w:tcW w:w="1574" w:type="dxa"/>
          </w:tcPr>
          <w:p>
            <w:pPr>
              <w:pStyle w:val="TableParagraph"/>
              <w:ind w:left="468" w:right="487"/>
              <w:jc w:val="center"/>
              <w:rPr>
                <w:sz w:val="16"/>
              </w:rPr>
            </w:pPr>
            <w:r>
              <w:rPr>
                <w:color w:val="404040"/>
                <w:sz w:val="16"/>
              </w:rPr>
              <w:t>226,000</w:t>
            </w:r>
          </w:p>
        </w:tc>
        <w:tc>
          <w:tcPr>
            <w:tcW w:w="1608" w:type="dxa"/>
            <w:tcBorders>
              <w:right w:val="single" w:sz="4" w:space="0" w:color="DF2F1E"/>
            </w:tcBorders>
          </w:tcPr>
          <w:p>
            <w:pPr>
              <w:pStyle w:val="TableParagraph"/>
              <w:ind w:left="581" w:right="568"/>
              <w:jc w:val="center"/>
              <w:rPr>
                <w:sz w:val="16"/>
              </w:rPr>
            </w:pPr>
            <w:r>
              <w:rPr>
                <w:color w:val="404040"/>
                <w:sz w:val="16"/>
              </w:rPr>
              <w:t>95%</w:t>
            </w:r>
          </w:p>
        </w:tc>
      </w:tr>
      <w:tr>
        <w:trPr>
          <w:trHeight w:val="264" w:hRule="atLeast"/>
        </w:trPr>
        <w:tc>
          <w:tcPr>
            <w:tcW w:w="3562" w:type="dxa"/>
            <w:tcBorders>
              <w:left w:val="single" w:sz="4" w:space="0" w:color="DF2F1E"/>
              <w:bottom w:val="single" w:sz="4" w:space="0" w:color="DF2F1E"/>
            </w:tcBorders>
          </w:tcPr>
          <w:p>
            <w:pPr>
              <w:pStyle w:val="TableParagraph"/>
              <w:ind w:left="287"/>
              <w:rPr>
                <w:b/>
                <w:i/>
                <w:sz w:val="16"/>
              </w:rPr>
            </w:pPr>
            <w:r>
              <w:rPr>
                <w:b/>
                <w:i/>
                <w:color w:val="404040"/>
                <w:sz w:val="16"/>
              </w:rPr>
              <w:t>- 3+ children</w:t>
            </w:r>
          </w:p>
        </w:tc>
        <w:tc>
          <w:tcPr>
            <w:tcW w:w="1380" w:type="dxa"/>
            <w:tcBorders>
              <w:bottom w:val="single" w:sz="4" w:space="0" w:color="DF2F1E"/>
            </w:tcBorders>
          </w:tcPr>
          <w:p>
            <w:pPr>
              <w:pStyle w:val="TableParagraph"/>
              <w:ind w:right="250"/>
              <w:jc w:val="right"/>
              <w:rPr>
                <w:sz w:val="16"/>
              </w:rPr>
            </w:pPr>
            <w:r>
              <w:rPr>
                <w:color w:val="404040"/>
                <w:sz w:val="16"/>
              </w:rPr>
              <w:t>153,000</w:t>
            </w:r>
          </w:p>
        </w:tc>
        <w:tc>
          <w:tcPr>
            <w:tcW w:w="1658" w:type="dxa"/>
            <w:tcBorders>
              <w:bottom w:val="single" w:sz="4" w:space="0" w:color="DF2F1E"/>
            </w:tcBorders>
          </w:tcPr>
          <w:p>
            <w:pPr>
              <w:pStyle w:val="TableParagraph"/>
              <w:ind w:left="669"/>
              <w:rPr>
                <w:sz w:val="16"/>
              </w:rPr>
            </w:pPr>
            <w:r>
              <w:rPr>
                <w:color w:val="404040"/>
                <w:sz w:val="16"/>
              </w:rPr>
              <w:t>21%</w:t>
            </w:r>
          </w:p>
        </w:tc>
        <w:tc>
          <w:tcPr>
            <w:tcW w:w="1574" w:type="dxa"/>
            <w:tcBorders>
              <w:bottom w:val="single" w:sz="4" w:space="0" w:color="DF2F1E"/>
            </w:tcBorders>
          </w:tcPr>
          <w:p>
            <w:pPr>
              <w:pStyle w:val="TableParagraph"/>
              <w:ind w:left="468" w:right="487"/>
              <w:jc w:val="center"/>
              <w:rPr>
                <w:sz w:val="16"/>
              </w:rPr>
            </w:pPr>
            <w:r>
              <w:rPr>
                <w:color w:val="404040"/>
                <w:sz w:val="16"/>
              </w:rPr>
              <w:t>273,000</w:t>
            </w:r>
          </w:p>
        </w:tc>
        <w:tc>
          <w:tcPr>
            <w:tcW w:w="1608" w:type="dxa"/>
            <w:tcBorders>
              <w:bottom w:val="single" w:sz="4" w:space="0" w:color="DF2F1E"/>
              <w:right w:val="single" w:sz="4" w:space="0" w:color="DF2F1E"/>
            </w:tcBorders>
          </w:tcPr>
          <w:p>
            <w:pPr>
              <w:pStyle w:val="TableParagraph"/>
              <w:ind w:left="581" w:right="571"/>
              <w:jc w:val="center"/>
              <w:rPr>
                <w:sz w:val="16"/>
              </w:rPr>
            </w:pPr>
            <w:r>
              <w:rPr>
                <w:color w:val="404040"/>
                <w:sz w:val="16"/>
              </w:rPr>
              <w:t>115%</w:t>
            </w:r>
          </w:p>
        </w:tc>
      </w:tr>
      <w:tr>
        <w:trPr>
          <w:trHeight w:val="262" w:hRule="atLeast"/>
        </w:trPr>
        <w:tc>
          <w:tcPr>
            <w:tcW w:w="3562" w:type="dxa"/>
            <w:tcBorders>
              <w:top w:val="single" w:sz="4" w:space="0" w:color="DF2F1E"/>
              <w:left w:val="single" w:sz="4" w:space="0" w:color="DF2F1E"/>
            </w:tcBorders>
          </w:tcPr>
          <w:p>
            <w:pPr>
              <w:pStyle w:val="TableParagraph"/>
              <w:spacing w:before="34"/>
              <w:ind w:left="107"/>
              <w:rPr>
                <w:b/>
                <w:sz w:val="16"/>
              </w:rPr>
            </w:pPr>
            <w:r>
              <w:rPr>
                <w:b/>
                <w:color w:val="404040"/>
                <w:sz w:val="16"/>
              </w:rPr>
              <w:t>Age of youngest child</w:t>
            </w:r>
          </w:p>
        </w:tc>
        <w:tc>
          <w:tcPr>
            <w:tcW w:w="1380" w:type="dxa"/>
            <w:tcBorders>
              <w:top w:val="single" w:sz="4" w:space="0" w:color="DF2F1E"/>
            </w:tcBorders>
          </w:tcPr>
          <w:p>
            <w:pPr>
              <w:pStyle w:val="TableParagraph"/>
              <w:spacing w:before="0"/>
              <w:rPr>
                <w:rFonts w:ascii="Times New Roman"/>
                <w:sz w:val="18"/>
              </w:rPr>
            </w:pPr>
          </w:p>
        </w:tc>
        <w:tc>
          <w:tcPr>
            <w:tcW w:w="1658" w:type="dxa"/>
            <w:tcBorders>
              <w:top w:val="single" w:sz="4" w:space="0" w:color="DF2F1E"/>
            </w:tcBorders>
          </w:tcPr>
          <w:p>
            <w:pPr>
              <w:pStyle w:val="TableParagraph"/>
              <w:spacing w:before="0"/>
              <w:rPr>
                <w:rFonts w:ascii="Times New Roman"/>
                <w:sz w:val="18"/>
              </w:rPr>
            </w:pPr>
          </w:p>
        </w:tc>
        <w:tc>
          <w:tcPr>
            <w:tcW w:w="1574" w:type="dxa"/>
            <w:tcBorders>
              <w:top w:val="single" w:sz="4" w:space="0" w:color="DF2F1E"/>
            </w:tcBorders>
          </w:tcPr>
          <w:p>
            <w:pPr>
              <w:pStyle w:val="TableParagraph"/>
              <w:spacing w:before="0"/>
              <w:rPr>
                <w:rFonts w:ascii="Times New Roman"/>
                <w:sz w:val="18"/>
              </w:rPr>
            </w:pPr>
          </w:p>
        </w:tc>
        <w:tc>
          <w:tcPr>
            <w:tcW w:w="1608" w:type="dxa"/>
            <w:tcBorders>
              <w:top w:val="single" w:sz="4" w:space="0" w:color="DF2F1E"/>
              <w:right w:val="single" w:sz="4" w:space="0" w:color="DF2F1E"/>
            </w:tcBorders>
          </w:tcPr>
          <w:p>
            <w:pPr>
              <w:pStyle w:val="TableParagraph"/>
              <w:spacing w:before="0"/>
              <w:rPr>
                <w:rFonts w:ascii="Times New Roman"/>
                <w:sz w:val="18"/>
              </w:rPr>
            </w:pPr>
          </w:p>
        </w:tc>
      </w:tr>
      <w:tr>
        <w:trPr>
          <w:trHeight w:val="265" w:hRule="atLeast"/>
        </w:trPr>
        <w:tc>
          <w:tcPr>
            <w:tcW w:w="3562" w:type="dxa"/>
            <w:tcBorders>
              <w:left w:val="single" w:sz="4" w:space="0" w:color="DF2F1E"/>
            </w:tcBorders>
          </w:tcPr>
          <w:p>
            <w:pPr>
              <w:pStyle w:val="TableParagraph"/>
              <w:spacing w:before="39"/>
              <w:ind w:left="287"/>
              <w:rPr>
                <w:b/>
                <w:i/>
                <w:sz w:val="16"/>
              </w:rPr>
            </w:pPr>
            <w:r>
              <w:rPr>
                <w:b/>
                <w:i/>
                <w:color w:val="404040"/>
                <w:sz w:val="16"/>
              </w:rPr>
              <w:t>- No children</w:t>
            </w:r>
          </w:p>
        </w:tc>
        <w:tc>
          <w:tcPr>
            <w:tcW w:w="1380" w:type="dxa"/>
          </w:tcPr>
          <w:p>
            <w:pPr>
              <w:pStyle w:val="TableParagraph"/>
              <w:spacing w:before="39"/>
              <w:ind w:right="293"/>
              <w:jc w:val="right"/>
              <w:rPr>
                <w:sz w:val="16"/>
              </w:rPr>
            </w:pPr>
            <w:r>
              <w:rPr>
                <w:color w:val="404040"/>
                <w:sz w:val="16"/>
              </w:rPr>
              <w:t>15,000</w:t>
            </w:r>
          </w:p>
        </w:tc>
        <w:tc>
          <w:tcPr>
            <w:tcW w:w="1658" w:type="dxa"/>
          </w:tcPr>
          <w:p>
            <w:pPr>
              <w:pStyle w:val="TableParagraph"/>
              <w:spacing w:before="39"/>
              <w:ind w:left="712"/>
              <w:rPr>
                <w:sz w:val="16"/>
              </w:rPr>
            </w:pPr>
            <w:r>
              <w:rPr>
                <w:color w:val="404040"/>
                <w:sz w:val="16"/>
              </w:rPr>
              <w:t>2%</w:t>
            </w:r>
          </w:p>
        </w:tc>
        <w:tc>
          <w:tcPr>
            <w:tcW w:w="1574" w:type="dxa"/>
          </w:tcPr>
          <w:p>
            <w:pPr>
              <w:pStyle w:val="TableParagraph"/>
              <w:spacing w:before="39"/>
              <w:ind w:left="468" w:right="487"/>
              <w:jc w:val="center"/>
              <w:rPr>
                <w:sz w:val="16"/>
              </w:rPr>
            </w:pPr>
            <w:r>
              <w:rPr>
                <w:color w:val="404040"/>
                <w:sz w:val="16"/>
              </w:rPr>
              <w:t>199,000</w:t>
            </w:r>
          </w:p>
        </w:tc>
        <w:tc>
          <w:tcPr>
            <w:tcW w:w="1608" w:type="dxa"/>
            <w:tcBorders>
              <w:right w:val="single" w:sz="4" w:space="0" w:color="DF2F1E"/>
            </w:tcBorders>
          </w:tcPr>
          <w:p>
            <w:pPr>
              <w:pStyle w:val="TableParagraph"/>
              <w:spacing w:before="39"/>
              <w:ind w:left="581" w:right="568"/>
              <w:jc w:val="center"/>
              <w:rPr>
                <w:sz w:val="16"/>
              </w:rPr>
            </w:pPr>
            <w:r>
              <w:rPr>
                <w:color w:val="404040"/>
                <w:sz w:val="16"/>
              </w:rPr>
              <w:t>84%</w:t>
            </w:r>
          </w:p>
        </w:tc>
      </w:tr>
      <w:tr>
        <w:trPr>
          <w:trHeight w:val="264" w:hRule="atLeast"/>
        </w:trPr>
        <w:tc>
          <w:tcPr>
            <w:tcW w:w="3562" w:type="dxa"/>
            <w:tcBorders>
              <w:left w:val="single" w:sz="4" w:space="0" w:color="DF2F1E"/>
            </w:tcBorders>
          </w:tcPr>
          <w:p>
            <w:pPr>
              <w:pStyle w:val="TableParagraph"/>
              <w:ind w:left="287"/>
              <w:rPr>
                <w:b/>
                <w:i/>
                <w:sz w:val="16"/>
              </w:rPr>
            </w:pPr>
            <w:r>
              <w:rPr>
                <w:b/>
                <w:i/>
                <w:color w:val="404040"/>
                <w:sz w:val="16"/>
              </w:rPr>
              <w:t>- New born</w:t>
            </w:r>
          </w:p>
        </w:tc>
        <w:tc>
          <w:tcPr>
            <w:tcW w:w="1380" w:type="dxa"/>
          </w:tcPr>
          <w:p>
            <w:pPr>
              <w:pStyle w:val="TableParagraph"/>
              <w:ind w:right="293"/>
              <w:jc w:val="right"/>
              <w:rPr>
                <w:sz w:val="16"/>
              </w:rPr>
            </w:pPr>
            <w:r>
              <w:rPr>
                <w:color w:val="404040"/>
                <w:sz w:val="16"/>
              </w:rPr>
              <w:t>51,000</w:t>
            </w:r>
          </w:p>
        </w:tc>
        <w:tc>
          <w:tcPr>
            <w:tcW w:w="1658" w:type="dxa"/>
          </w:tcPr>
          <w:p>
            <w:pPr>
              <w:pStyle w:val="TableParagraph"/>
              <w:ind w:left="712"/>
              <w:rPr>
                <w:sz w:val="16"/>
              </w:rPr>
            </w:pPr>
            <w:r>
              <w:rPr>
                <w:color w:val="404040"/>
                <w:sz w:val="16"/>
              </w:rPr>
              <w:t>7%</w:t>
            </w:r>
          </w:p>
        </w:tc>
        <w:tc>
          <w:tcPr>
            <w:tcW w:w="1574" w:type="dxa"/>
          </w:tcPr>
          <w:p>
            <w:pPr>
              <w:pStyle w:val="TableParagraph"/>
              <w:ind w:left="468" w:right="487"/>
              <w:jc w:val="center"/>
              <w:rPr>
                <w:sz w:val="16"/>
              </w:rPr>
            </w:pPr>
            <w:r>
              <w:rPr>
                <w:color w:val="404040"/>
                <w:sz w:val="16"/>
              </w:rPr>
              <w:t>280,000</w:t>
            </w:r>
          </w:p>
        </w:tc>
        <w:tc>
          <w:tcPr>
            <w:tcW w:w="1608" w:type="dxa"/>
            <w:tcBorders>
              <w:right w:val="single" w:sz="4" w:space="0" w:color="DF2F1E"/>
            </w:tcBorders>
          </w:tcPr>
          <w:p>
            <w:pPr>
              <w:pStyle w:val="TableParagraph"/>
              <w:ind w:left="581" w:right="570"/>
              <w:jc w:val="center"/>
              <w:rPr>
                <w:sz w:val="16"/>
              </w:rPr>
            </w:pPr>
            <w:r>
              <w:rPr>
                <w:color w:val="404040"/>
                <w:sz w:val="16"/>
              </w:rPr>
              <w:t>118%</w:t>
            </w:r>
          </w:p>
        </w:tc>
      </w:tr>
      <w:tr>
        <w:trPr>
          <w:trHeight w:val="264" w:hRule="atLeast"/>
        </w:trPr>
        <w:tc>
          <w:tcPr>
            <w:tcW w:w="3562" w:type="dxa"/>
            <w:tcBorders>
              <w:left w:val="single" w:sz="4" w:space="0" w:color="DF2F1E"/>
            </w:tcBorders>
          </w:tcPr>
          <w:p>
            <w:pPr>
              <w:pStyle w:val="TableParagraph"/>
              <w:ind w:left="287"/>
              <w:rPr>
                <w:b/>
                <w:i/>
                <w:sz w:val="16"/>
              </w:rPr>
            </w:pPr>
            <w:r>
              <w:rPr>
                <w:b/>
                <w:i/>
                <w:color w:val="404040"/>
                <w:sz w:val="16"/>
              </w:rPr>
              <w:t>- 1-6 Years old</w:t>
            </w:r>
          </w:p>
        </w:tc>
        <w:tc>
          <w:tcPr>
            <w:tcW w:w="1380" w:type="dxa"/>
          </w:tcPr>
          <w:p>
            <w:pPr>
              <w:pStyle w:val="TableParagraph"/>
              <w:ind w:right="250"/>
              <w:jc w:val="right"/>
              <w:rPr>
                <w:sz w:val="16"/>
              </w:rPr>
            </w:pPr>
            <w:r>
              <w:rPr>
                <w:color w:val="404040"/>
                <w:sz w:val="16"/>
              </w:rPr>
              <w:t>532,000</w:t>
            </w:r>
          </w:p>
        </w:tc>
        <w:tc>
          <w:tcPr>
            <w:tcW w:w="1658" w:type="dxa"/>
          </w:tcPr>
          <w:p>
            <w:pPr>
              <w:pStyle w:val="TableParagraph"/>
              <w:ind w:left="669"/>
              <w:rPr>
                <w:sz w:val="16"/>
              </w:rPr>
            </w:pPr>
            <w:r>
              <w:rPr>
                <w:color w:val="404040"/>
                <w:sz w:val="16"/>
              </w:rPr>
              <w:t>75%</w:t>
            </w:r>
          </w:p>
        </w:tc>
        <w:tc>
          <w:tcPr>
            <w:tcW w:w="1574" w:type="dxa"/>
          </w:tcPr>
          <w:p>
            <w:pPr>
              <w:pStyle w:val="TableParagraph"/>
              <w:ind w:left="468" w:right="487"/>
              <w:jc w:val="center"/>
              <w:rPr>
                <w:sz w:val="16"/>
              </w:rPr>
            </w:pPr>
            <w:r>
              <w:rPr>
                <w:color w:val="404040"/>
                <w:sz w:val="16"/>
              </w:rPr>
              <w:t>234,000</w:t>
            </w:r>
          </w:p>
        </w:tc>
        <w:tc>
          <w:tcPr>
            <w:tcW w:w="1608" w:type="dxa"/>
            <w:tcBorders>
              <w:right w:val="single" w:sz="4" w:space="0" w:color="DF2F1E"/>
            </w:tcBorders>
          </w:tcPr>
          <w:p>
            <w:pPr>
              <w:pStyle w:val="TableParagraph"/>
              <w:ind w:left="581" w:right="568"/>
              <w:jc w:val="center"/>
              <w:rPr>
                <w:sz w:val="16"/>
              </w:rPr>
            </w:pPr>
            <w:r>
              <w:rPr>
                <w:color w:val="404040"/>
                <w:sz w:val="16"/>
              </w:rPr>
              <w:t>99%</w:t>
            </w:r>
          </w:p>
        </w:tc>
      </w:tr>
      <w:tr>
        <w:trPr>
          <w:trHeight w:val="264" w:hRule="atLeast"/>
        </w:trPr>
        <w:tc>
          <w:tcPr>
            <w:tcW w:w="3562" w:type="dxa"/>
            <w:tcBorders>
              <w:left w:val="single" w:sz="4" w:space="0" w:color="DF2F1E"/>
            </w:tcBorders>
          </w:tcPr>
          <w:p>
            <w:pPr>
              <w:pStyle w:val="TableParagraph"/>
              <w:ind w:left="287"/>
              <w:rPr>
                <w:b/>
                <w:i/>
                <w:sz w:val="16"/>
              </w:rPr>
            </w:pPr>
            <w:r>
              <w:rPr>
                <w:b/>
                <w:i/>
                <w:color w:val="404040"/>
                <w:sz w:val="16"/>
              </w:rPr>
              <w:t>- 7-8 Years old</w:t>
            </w:r>
          </w:p>
        </w:tc>
        <w:tc>
          <w:tcPr>
            <w:tcW w:w="1380" w:type="dxa"/>
          </w:tcPr>
          <w:p>
            <w:pPr>
              <w:pStyle w:val="TableParagraph"/>
              <w:ind w:right="293"/>
              <w:jc w:val="right"/>
              <w:rPr>
                <w:sz w:val="16"/>
              </w:rPr>
            </w:pPr>
            <w:r>
              <w:rPr>
                <w:color w:val="404040"/>
                <w:sz w:val="16"/>
              </w:rPr>
              <w:t>51,000</w:t>
            </w:r>
          </w:p>
        </w:tc>
        <w:tc>
          <w:tcPr>
            <w:tcW w:w="1658" w:type="dxa"/>
          </w:tcPr>
          <w:p>
            <w:pPr>
              <w:pStyle w:val="TableParagraph"/>
              <w:ind w:left="712"/>
              <w:rPr>
                <w:sz w:val="16"/>
              </w:rPr>
            </w:pPr>
            <w:r>
              <w:rPr>
                <w:color w:val="404040"/>
                <w:sz w:val="16"/>
              </w:rPr>
              <w:t>7%</w:t>
            </w:r>
          </w:p>
        </w:tc>
        <w:tc>
          <w:tcPr>
            <w:tcW w:w="1574" w:type="dxa"/>
          </w:tcPr>
          <w:p>
            <w:pPr>
              <w:pStyle w:val="TableParagraph"/>
              <w:ind w:left="468" w:right="487"/>
              <w:jc w:val="center"/>
              <w:rPr>
                <w:sz w:val="16"/>
              </w:rPr>
            </w:pPr>
            <w:r>
              <w:rPr>
                <w:color w:val="404040"/>
                <w:sz w:val="16"/>
              </w:rPr>
              <w:t>228,000</w:t>
            </w:r>
          </w:p>
        </w:tc>
        <w:tc>
          <w:tcPr>
            <w:tcW w:w="1608" w:type="dxa"/>
            <w:tcBorders>
              <w:right w:val="single" w:sz="4" w:space="0" w:color="DF2F1E"/>
            </w:tcBorders>
          </w:tcPr>
          <w:p>
            <w:pPr>
              <w:pStyle w:val="TableParagraph"/>
              <w:ind w:left="581" w:right="568"/>
              <w:jc w:val="center"/>
              <w:rPr>
                <w:sz w:val="16"/>
              </w:rPr>
            </w:pPr>
            <w:r>
              <w:rPr>
                <w:color w:val="404040"/>
                <w:sz w:val="16"/>
              </w:rPr>
              <w:t>96%</w:t>
            </w:r>
          </w:p>
        </w:tc>
      </w:tr>
      <w:tr>
        <w:trPr>
          <w:trHeight w:val="244" w:hRule="atLeast"/>
        </w:trPr>
        <w:tc>
          <w:tcPr>
            <w:tcW w:w="3562" w:type="dxa"/>
            <w:tcBorders>
              <w:left w:val="single" w:sz="4" w:space="0" w:color="DF2F1E"/>
            </w:tcBorders>
          </w:tcPr>
          <w:p>
            <w:pPr>
              <w:pStyle w:val="TableParagraph"/>
              <w:ind w:left="287"/>
              <w:rPr>
                <w:b/>
                <w:i/>
                <w:sz w:val="16"/>
              </w:rPr>
            </w:pPr>
            <w:r>
              <w:rPr>
                <w:b/>
                <w:i/>
                <w:color w:val="404040"/>
                <w:sz w:val="16"/>
              </w:rPr>
              <w:t>- 9-15 Years old</w:t>
            </w:r>
          </w:p>
        </w:tc>
        <w:tc>
          <w:tcPr>
            <w:tcW w:w="1380" w:type="dxa"/>
          </w:tcPr>
          <w:p>
            <w:pPr>
              <w:pStyle w:val="TableParagraph"/>
              <w:ind w:right="293"/>
              <w:jc w:val="right"/>
              <w:rPr>
                <w:sz w:val="16"/>
              </w:rPr>
            </w:pPr>
            <w:r>
              <w:rPr>
                <w:color w:val="404040"/>
                <w:sz w:val="16"/>
              </w:rPr>
              <w:t>57,000</w:t>
            </w:r>
          </w:p>
        </w:tc>
        <w:tc>
          <w:tcPr>
            <w:tcW w:w="1658" w:type="dxa"/>
          </w:tcPr>
          <w:p>
            <w:pPr>
              <w:pStyle w:val="TableParagraph"/>
              <w:ind w:left="712"/>
              <w:rPr>
                <w:sz w:val="16"/>
              </w:rPr>
            </w:pPr>
            <w:r>
              <w:rPr>
                <w:color w:val="404040"/>
                <w:sz w:val="16"/>
              </w:rPr>
              <w:t>8%</w:t>
            </w:r>
          </w:p>
        </w:tc>
        <w:tc>
          <w:tcPr>
            <w:tcW w:w="1574" w:type="dxa"/>
          </w:tcPr>
          <w:p>
            <w:pPr>
              <w:pStyle w:val="TableParagraph"/>
              <w:ind w:left="468" w:right="487"/>
              <w:jc w:val="center"/>
              <w:rPr>
                <w:sz w:val="16"/>
              </w:rPr>
            </w:pPr>
            <w:r>
              <w:rPr>
                <w:color w:val="404040"/>
                <w:sz w:val="16"/>
              </w:rPr>
              <w:t>245,000</w:t>
            </w:r>
          </w:p>
        </w:tc>
        <w:tc>
          <w:tcPr>
            <w:tcW w:w="1608" w:type="dxa"/>
            <w:tcBorders>
              <w:right w:val="single" w:sz="4" w:space="0" w:color="DF2F1E"/>
            </w:tcBorders>
          </w:tcPr>
          <w:p>
            <w:pPr>
              <w:pStyle w:val="TableParagraph"/>
              <w:ind w:left="581" w:right="570"/>
              <w:jc w:val="center"/>
              <w:rPr>
                <w:sz w:val="16"/>
              </w:rPr>
            </w:pPr>
            <w:r>
              <w:rPr>
                <w:color w:val="404040"/>
                <w:sz w:val="16"/>
              </w:rPr>
              <w:t>103%</w:t>
            </w:r>
          </w:p>
        </w:tc>
      </w:tr>
      <w:tr>
        <w:trPr>
          <w:trHeight w:val="283" w:hRule="atLeast"/>
        </w:trPr>
        <w:tc>
          <w:tcPr>
            <w:tcW w:w="3562" w:type="dxa"/>
            <w:tcBorders>
              <w:left w:val="single" w:sz="4" w:space="0" w:color="DF2F1E"/>
              <w:bottom w:val="single" w:sz="4" w:space="0" w:color="DF2F1E"/>
            </w:tcBorders>
          </w:tcPr>
          <w:p>
            <w:pPr>
              <w:pStyle w:val="TableParagraph"/>
              <w:spacing w:before="18"/>
              <w:ind w:left="287"/>
              <w:rPr>
                <w:b/>
                <w:i/>
                <w:sz w:val="16"/>
              </w:rPr>
            </w:pPr>
            <w:r>
              <w:rPr>
                <w:b/>
                <w:i/>
                <w:color w:val="404040"/>
                <w:sz w:val="16"/>
              </w:rPr>
              <w:t>- 16-18 Years old</w:t>
            </w:r>
          </w:p>
        </w:tc>
        <w:tc>
          <w:tcPr>
            <w:tcW w:w="1380" w:type="dxa"/>
            <w:tcBorders>
              <w:bottom w:val="single" w:sz="4" w:space="0" w:color="DF2F1E"/>
            </w:tcBorders>
          </w:tcPr>
          <w:p>
            <w:pPr>
              <w:pStyle w:val="TableParagraph"/>
              <w:spacing w:before="57"/>
              <w:ind w:right="339"/>
              <w:jc w:val="right"/>
              <w:rPr>
                <w:sz w:val="16"/>
              </w:rPr>
            </w:pPr>
            <w:r>
              <w:rPr>
                <w:color w:val="404040"/>
                <w:sz w:val="16"/>
              </w:rPr>
              <w:t>4,000</w:t>
            </w:r>
          </w:p>
        </w:tc>
        <w:tc>
          <w:tcPr>
            <w:tcW w:w="1658" w:type="dxa"/>
            <w:tcBorders>
              <w:bottom w:val="single" w:sz="4" w:space="0" w:color="DF2F1E"/>
            </w:tcBorders>
          </w:tcPr>
          <w:p>
            <w:pPr>
              <w:pStyle w:val="TableParagraph"/>
              <w:spacing w:before="57"/>
              <w:ind w:left="712"/>
              <w:rPr>
                <w:sz w:val="16"/>
              </w:rPr>
            </w:pPr>
            <w:r>
              <w:rPr>
                <w:color w:val="404040"/>
                <w:sz w:val="16"/>
              </w:rPr>
              <w:t>1%</w:t>
            </w:r>
          </w:p>
        </w:tc>
        <w:tc>
          <w:tcPr>
            <w:tcW w:w="1574" w:type="dxa"/>
            <w:tcBorders>
              <w:bottom w:val="single" w:sz="4" w:space="0" w:color="DF2F1E"/>
            </w:tcBorders>
          </w:tcPr>
          <w:p>
            <w:pPr>
              <w:pStyle w:val="TableParagraph"/>
              <w:spacing w:before="57"/>
              <w:ind w:left="468" w:right="487"/>
              <w:jc w:val="center"/>
              <w:rPr>
                <w:sz w:val="16"/>
              </w:rPr>
            </w:pPr>
            <w:r>
              <w:rPr>
                <w:color w:val="404040"/>
                <w:sz w:val="16"/>
              </w:rPr>
              <w:t>247,000</w:t>
            </w:r>
          </w:p>
        </w:tc>
        <w:tc>
          <w:tcPr>
            <w:tcW w:w="1608" w:type="dxa"/>
            <w:tcBorders>
              <w:bottom w:val="single" w:sz="4" w:space="0" w:color="DF2F1E"/>
              <w:right w:val="single" w:sz="4" w:space="0" w:color="DF2F1E"/>
            </w:tcBorders>
          </w:tcPr>
          <w:p>
            <w:pPr>
              <w:pStyle w:val="TableParagraph"/>
              <w:spacing w:before="57"/>
              <w:ind w:left="581" w:right="570"/>
              <w:jc w:val="center"/>
              <w:rPr>
                <w:sz w:val="16"/>
              </w:rPr>
            </w:pPr>
            <w:r>
              <w:rPr>
                <w:color w:val="404040"/>
                <w:sz w:val="16"/>
              </w:rPr>
              <w:t>104%</w:t>
            </w:r>
          </w:p>
        </w:tc>
      </w:tr>
      <w:tr>
        <w:trPr>
          <w:trHeight w:val="262" w:hRule="atLeast"/>
        </w:trPr>
        <w:tc>
          <w:tcPr>
            <w:tcW w:w="3562" w:type="dxa"/>
            <w:tcBorders>
              <w:top w:val="single" w:sz="4" w:space="0" w:color="DF2F1E"/>
              <w:left w:val="single" w:sz="4" w:space="0" w:color="DF2F1E"/>
            </w:tcBorders>
          </w:tcPr>
          <w:p>
            <w:pPr>
              <w:pStyle w:val="TableParagraph"/>
              <w:spacing w:before="34"/>
              <w:ind w:left="107"/>
              <w:rPr>
                <w:b/>
                <w:sz w:val="16"/>
              </w:rPr>
            </w:pPr>
            <w:r>
              <w:rPr>
                <w:b/>
                <w:color w:val="404040"/>
                <w:sz w:val="16"/>
              </w:rPr>
              <w:t>Marital status</w:t>
            </w:r>
          </w:p>
        </w:tc>
        <w:tc>
          <w:tcPr>
            <w:tcW w:w="1380" w:type="dxa"/>
            <w:tcBorders>
              <w:top w:val="single" w:sz="4" w:space="0" w:color="DF2F1E"/>
            </w:tcBorders>
          </w:tcPr>
          <w:p>
            <w:pPr>
              <w:pStyle w:val="TableParagraph"/>
              <w:spacing w:before="0"/>
              <w:rPr>
                <w:rFonts w:ascii="Times New Roman"/>
                <w:sz w:val="18"/>
              </w:rPr>
            </w:pPr>
          </w:p>
        </w:tc>
        <w:tc>
          <w:tcPr>
            <w:tcW w:w="1658" w:type="dxa"/>
            <w:tcBorders>
              <w:top w:val="single" w:sz="4" w:space="0" w:color="DF2F1E"/>
            </w:tcBorders>
          </w:tcPr>
          <w:p>
            <w:pPr>
              <w:pStyle w:val="TableParagraph"/>
              <w:spacing w:before="0"/>
              <w:rPr>
                <w:rFonts w:ascii="Times New Roman"/>
                <w:sz w:val="18"/>
              </w:rPr>
            </w:pPr>
          </w:p>
        </w:tc>
        <w:tc>
          <w:tcPr>
            <w:tcW w:w="1574" w:type="dxa"/>
            <w:tcBorders>
              <w:top w:val="single" w:sz="4" w:space="0" w:color="DF2F1E"/>
            </w:tcBorders>
          </w:tcPr>
          <w:p>
            <w:pPr>
              <w:pStyle w:val="TableParagraph"/>
              <w:spacing w:before="0"/>
              <w:rPr>
                <w:rFonts w:ascii="Times New Roman"/>
                <w:sz w:val="18"/>
              </w:rPr>
            </w:pPr>
          </w:p>
        </w:tc>
        <w:tc>
          <w:tcPr>
            <w:tcW w:w="1608" w:type="dxa"/>
            <w:tcBorders>
              <w:top w:val="single" w:sz="4" w:space="0" w:color="DF2F1E"/>
              <w:right w:val="single" w:sz="4" w:space="0" w:color="DF2F1E"/>
            </w:tcBorders>
          </w:tcPr>
          <w:p>
            <w:pPr>
              <w:pStyle w:val="TableParagraph"/>
              <w:spacing w:before="0"/>
              <w:rPr>
                <w:rFonts w:ascii="Times New Roman"/>
                <w:sz w:val="18"/>
              </w:rPr>
            </w:pPr>
          </w:p>
        </w:tc>
      </w:tr>
      <w:tr>
        <w:trPr>
          <w:trHeight w:val="265" w:hRule="atLeast"/>
        </w:trPr>
        <w:tc>
          <w:tcPr>
            <w:tcW w:w="3562" w:type="dxa"/>
            <w:tcBorders>
              <w:left w:val="single" w:sz="4" w:space="0" w:color="DF2F1E"/>
            </w:tcBorders>
          </w:tcPr>
          <w:p>
            <w:pPr>
              <w:pStyle w:val="TableParagraph"/>
              <w:spacing w:before="39"/>
              <w:ind w:left="287"/>
              <w:rPr>
                <w:b/>
                <w:i/>
                <w:sz w:val="16"/>
              </w:rPr>
            </w:pPr>
            <w:r>
              <w:rPr>
                <w:b/>
                <w:i/>
                <w:color w:val="404040"/>
                <w:sz w:val="16"/>
              </w:rPr>
              <w:t>- Single</w:t>
            </w:r>
          </w:p>
        </w:tc>
        <w:tc>
          <w:tcPr>
            <w:tcW w:w="1380" w:type="dxa"/>
          </w:tcPr>
          <w:p>
            <w:pPr>
              <w:pStyle w:val="TableParagraph"/>
              <w:spacing w:before="39"/>
              <w:ind w:right="293"/>
              <w:jc w:val="right"/>
              <w:rPr>
                <w:sz w:val="16"/>
              </w:rPr>
            </w:pPr>
            <w:r>
              <w:rPr>
                <w:color w:val="404040"/>
                <w:sz w:val="16"/>
              </w:rPr>
              <w:t>61,000</w:t>
            </w:r>
          </w:p>
        </w:tc>
        <w:tc>
          <w:tcPr>
            <w:tcW w:w="1658" w:type="dxa"/>
          </w:tcPr>
          <w:p>
            <w:pPr>
              <w:pStyle w:val="TableParagraph"/>
              <w:spacing w:before="39"/>
              <w:ind w:left="712"/>
              <w:rPr>
                <w:sz w:val="16"/>
              </w:rPr>
            </w:pPr>
            <w:r>
              <w:rPr>
                <w:color w:val="404040"/>
                <w:sz w:val="16"/>
              </w:rPr>
              <w:t>9%</w:t>
            </w:r>
          </w:p>
        </w:tc>
        <w:tc>
          <w:tcPr>
            <w:tcW w:w="1574" w:type="dxa"/>
          </w:tcPr>
          <w:p>
            <w:pPr>
              <w:pStyle w:val="TableParagraph"/>
              <w:spacing w:before="39"/>
              <w:ind w:left="468" w:right="487"/>
              <w:jc w:val="center"/>
              <w:rPr>
                <w:sz w:val="16"/>
              </w:rPr>
            </w:pPr>
            <w:r>
              <w:rPr>
                <w:color w:val="404040"/>
                <w:sz w:val="16"/>
              </w:rPr>
              <w:t>303,000</w:t>
            </w:r>
          </w:p>
        </w:tc>
        <w:tc>
          <w:tcPr>
            <w:tcW w:w="1608" w:type="dxa"/>
            <w:tcBorders>
              <w:right w:val="single" w:sz="4" w:space="0" w:color="DF2F1E"/>
            </w:tcBorders>
          </w:tcPr>
          <w:p>
            <w:pPr>
              <w:pStyle w:val="TableParagraph"/>
              <w:spacing w:before="39"/>
              <w:ind w:left="581" w:right="570"/>
              <w:jc w:val="center"/>
              <w:rPr>
                <w:sz w:val="16"/>
              </w:rPr>
            </w:pPr>
            <w:r>
              <w:rPr>
                <w:color w:val="404040"/>
                <w:sz w:val="16"/>
              </w:rPr>
              <w:t>128%</w:t>
            </w:r>
          </w:p>
        </w:tc>
      </w:tr>
      <w:tr>
        <w:trPr>
          <w:trHeight w:val="264" w:hRule="atLeast"/>
        </w:trPr>
        <w:tc>
          <w:tcPr>
            <w:tcW w:w="3562" w:type="dxa"/>
            <w:tcBorders>
              <w:left w:val="single" w:sz="4" w:space="0" w:color="DF2F1E"/>
              <w:bottom w:val="single" w:sz="4" w:space="0" w:color="DF2F1E"/>
            </w:tcBorders>
          </w:tcPr>
          <w:p>
            <w:pPr>
              <w:pStyle w:val="TableParagraph"/>
              <w:ind w:left="287"/>
              <w:rPr>
                <w:b/>
                <w:i/>
                <w:sz w:val="16"/>
              </w:rPr>
            </w:pPr>
            <w:r>
              <w:rPr>
                <w:b/>
                <w:i/>
                <w:color w:val="404040"/>
                <w:sz w:val="16"/>
              </w:rPr>
              <w:t>- Partnered</w:t>
            </w:r>
          </w:p>
        </w:tc>
        <w:tc>
          <w:tcPr>
            <w:tcW w:w="1380" w:type="dxa"/>
            <w:tcBorders>
              <w:bottom w:val="single" w:sz="4" w:space="0" w:color="DF2F1E"/>
            </w:tcBorders>
          </w:tcPr>
          <w:p>
            <w:pPr>
              <w:pStyle w:val="TableParagraph"/>
              <w:ind w:right="250"/>
              <w:jc w:val="right"/>
              <w:rPr>
                <w:sz w:val="16"/>
              </w:rPr>
            </w:pPr>
            <w:r>
              <w:rPr>
                <w:color w:val="404040"/>
                <w:sz w:val="16"/>
              </w:rPr>
              <w:t>649,000</w:t>
            </w:r>
          </w:p>
        </w:tc>
        <w:tc>
          <w:tcPr>
            <w:tcW w:w="1658" w:type="dxa"/>
            <w:tcBorders>
              <w:bottom w:val="single" w:sz="4" w:space="0" w:color="DF2F1E"/>
            </w:tcBorders>
          </w:tcPr>
          <w:p>
            <w:pPr>
              <w:pStyle w:val="TableParagraph"/>
              <w:ind w:left="669"/>
              <w:rPr>
                <w:sz w:val="16"/>
              </w:rPr>
            </w:pPr>
            <w:r>
              <w:rPr>
                <w:color w:val="404040"/>
                <w:sz w:val="16"/>
              </w:rPr>
              <w:t>91%</w:t>
            </w:r>
          </w:p>
        </w:tc>
        <w:tc>
          <w:tcPr>
            <w:tcW w:w="1574" w:type="dxa"/>
            <w:tcBorders>
              <w:bottom w:val="single" w:sz="4" w:space="0" w:color="DF2F1E"/>
            </w:tcBorders>
          </w:tcPr>
          <w:p>
            <w:pPr>
              <w:pStyle w:val="TableParagraph"/>
              <w:ind w:left="468" w:right="487"/>
              <w:jc w:val="center"/>
              <w:rPr>
                <w:sz w:val="16"/>
              </w:rPr>
            </w:pPr>
            <w:r>
              <w:rPr>
                <w:color w:val="404040"/>
                <w:sz w:val="16"/>
              </w:rPr>
              <w:t>231,000</w:t>
            </w:r>
          </w:p>
        </w:tc>
        <w:tc>
          <w:tcPr>
            <w:tcW w:w="1608" w:type="dxa"/>
            <w:tcBorders>
              <w:bottom w:val="single" w:sz="4" w:space="0" w:color="DF2F1E"/>
              <w:right w:val="single" w:sz="4" w:space="0" w:color="DF2F1E"/>
            </w:tcBorders>
          </w:tcPr>
          <w:p>
            <w:pPr>
              <w:pStyle w:val="TableParagraph"/>
              <w:ind w:left="581" w:right="568"/>
              <w:jc w:val="center"/>
              <w:rPr>
                <w:sz w:val="16"/>
              </w:rPr>
            </w:pPr>
            <w:r>
              <w:rPr>
                <w:color w:val="404040"/>
                <w:sz w:val="16"/>
              </w:rPr>
              <w:t>97%</w:t>
            </w:r>
          </w:p>
        </w:tc>
      </w:tr>
      <w:tr>
        <w:trPr>
          <w:trHeight w:val="262" w:hRule="atLeast"/>
        </w:trPr>
        <w:tc>
          <w:tcPr>
            <w:tcW w:w="3562" w:type="dxa"/>
            <w:tcBorders>
              <w:top w:val="single" w:sz="4" w:space="0" w:color="DF2F1E"/>
              <w:left w:val="single" w:sz="4" w:space="0" w:color="DF2F1E"/>
            </w:tcBorders>
          </w:tcPr>
          <w:p>
            <w:pPr>
              <w:pStyle w:val="TableParagraph"/>
              <w:spacing w:before="34"/>
              <w:ind w:left="107"/>
              <w:rPr>
                <w:b/>
                <w:sz w:val="16"/>
              </w:rPr>
            </w:pPr>
            <w:r>
              <w:rPr>
                <w:b/>
                <w:color w:val="404040"/>
                <w:sz w:val="16"/>
              </w:rPr>
              <w:t>Class before entering '7 Non IS Family'</w:t>
            </w:r>
          </w:p>
        </w:tc>
        <w:tc>
          <w:tcPr>
            <w:tcW w:w="1380" w:type="dxa"/>
            <w:tcBorders>
              <w:top w:val="single" w:sz="4" w:space="0" w:color="DF2F1E"/>
            </w:tcBorders>
          </w:tcPr>
          <w:p>
            <w:pPr>
              <w:pStyle w:val="TableParagraph"/>
              <w:spacing w:before="0"/>
              <w:rPr>
                <w:rFonts w:ascii="Times New Roman"/>
                <w:sz w:val="18"/>
              </w:rPr>
            </w:pPr>
          </w:p>
        </w:tc>
        <w:tc>
          <w:tcPr>
            <w:tcW w:w="1658" w:type="dxa"/>
            <w:tcBorders>
              <w:top w:val="single" w:sz="4" w:space="0" w:color="DF2F1E"/>
            </w:tcBorders>
          </w:tcPr>
          <w:p>
            <w:pPr>
              <w:pStyle w:val="TableParagraph"/>
              <w:spacing w:before="0"/>
              <w:rPr>
                <w:rFonts w:ascii="Times New Roman"/>
                <w:sz w:val="18"/>
              </w:rPr>
            </w:pPr>
          </w:p>
        </w:tc>
        <w:tc>
          <w:tcPr>
            <w:tcW w:w="1574" w:type="dxa"/>
            <w:tcBorders>
              <w:top w:val="single" w:sz="4" w:space="0" w:color="DF2F1E"/>
            </w:tcBorders>
          </w:tcPr>
          <w:p>
            <w:pPr>
              <w:pStyle w:val="TableParagraph"/>
              <w:spacing w:before="0"/>
              <w:rPr>
                <w:rFonts w:ascii="Times New Roman"/>
                <w:sz w:val="18"/>
              </w:rPr>
            </w:pPr>
          </w:p>
        </w:tc>
        <w:tc>
          <w:tcPr>
            <w:tcW w:w="1608" w:type="dxa"/>
            <w:tcBorders>
              <w:top w:val="single" w:sz="4" w:space="0" w:color="DF2F1E"/>
              <w:right w:val="single" w:sz="4" w:space="0" w:color="DF2F1E"/>
            </w:tcBorders>
          </w:tcPr>
          <w:p>
            <w:pPr>
              <w:pStyle w:val="TableParagraph"/>
              <w:spacing w:before="0"/>
              <w:rPr>
                <w:rFonts w:ascii="Times New Roman"/>
                <w:sz w:val="18"/>
              </w:rPr>
            </w:pPr>
          </w:p>
        </w:tc>
      </w:tr>
      <w:tr>
        <w:trPr>
          <w:trHeight w:val="265" w:hRule="atLeast"/>
        </w:trPr>
        <w:tc>
          <w:tcPr>
            <w:tcW w:w="3562" w:type="dxa"/>
            <w:tcBorders>
              <w:left w:val="single" w:sz="4" w:space="0" w:color="DF2F1E"/>
            </w:tcBorders>
          </w:tcPr>
          <w:p>
            <w:pPr>
              <w:pStyle w:val="TableParagraph"/>
              <w:spacing w:before="39"/>
              <w:ind w:left="287"/>
              <w:rPr>
                <w:b/>
                <w:i/>
                <w:sz w:val="16"/>
              </w:rPr>
            </w:pPr>
            <w:r>
              <w:rPr>
                <w:b/>
                <w:i/>
                <w:color w:val="404040"/>
                <w:sz w:val="16"/>
              </w:rPr>
              <w:t>- Income support</w:t>
            </w:r>
          </w:p>
        </w:tc>
        <w:tc>
          <w:tcPr>
            <w:tcW w:w="1380" w:type="dxa"/>
          </w:tcPr>
          <w:p>
            <w:pPr>
              <w:pStyle w:val="TableParagraph"/>
              <w:spacing w:before="39"/>
              <w:ind w:right="250"/>
              <w:jc w:val="right"/>
              <w:rPr>
                <w:sz w:val="16"/>
              </w:rPr>
            </w:pPr>
            <w:r>
              <w:rPr>
                <w:color w:val="404040"/>
                <w:sz w:val="16"/>
              </w:rPr>
              <w:t>125,000</w:t>
            </w:r>
          </w:p>
        </w:tc>
        <w:tc>
          <w:tcPr>
            <w:tcW w:w="1658" w:type="dxa"/>
          </w:tcPr>
          <w:p>
            <w:pPr>
              <w:pStyle w:val="TableParagraph"/>
              <w:spacing w:before="39"/>
              <w:ind w:left="669"/>
              <w:rPr>
                <w:sz w:val="16"/>
              </w:rPr>
            </w:pPr>
            <w:r>
              <w:rPr>
                <w:color w:val="404040"/>
                <w:sz w:val="16"/>
              </w:rPr>
              <w:t>18%</w:t>
            </w:r>
          </w:p>
        </w:tc>
        <w:tc>
          <w:tcPr>
            <w:tcW w:w="1574" w:type="dxa"/>
          </w:tcPr>
          <w:p>
            <w:pPr>
              <w:pStyle w:val="TableParagraph"/>
              <w:spacing w:before="39"/>
              <w:ind w:left="468" w:right="487"/>
              <w:jc w:val="center"/>
              <w:rPr>
                <w:sz w:val="16"/>
              </w:rPr>
            </w:pPr>
            <w:r>
              <w:rPr>
                <w:color w:val="404040"/>
                <w:sz w:val="16"/>
              </w:rPr>
              <w:t>300,000</w:t>
            </w:r>
          </w:p>
        </w:tc>
        <w:tc>
          <w:tcPr>
            <w:tcW w:w="1608" w:type="dxa"/>
            <w:tcBorders>
              <w:right w:val="single" w:sz="4" w:space="0" w:color="DF2F1E"/>
            </w:tcBorders>
          </w:tcPr>
          <w:p>
            <w:pPr>
              <w:pStyle w:val="TableParagraph"/>
              <w:spacing w:before="39"/>
              <w:ind w:left="581" w:right="571"/>
              <w:jc w:val="center"/>
              <w:rPr>
                <w:sz w:val="16"/>
              </w:rPr>
            </w:pPr>
            <w:r>
              <w:rPr>
                <w:color w:val="404040"/>
                <w:sz w:val="16"/>
              </w:rPr>
              <w:t>127%</w:t>
            </w:r>
          </w:p>
        </w:tc>
      </w:tr>
      <w:tr>
        <w:trPr>
          <w:trHeight w:val="264" w:hRule="atLeast"/>
        </w:trPr>
        <w:tc>
          <w:tcPr>
            <w:tcW w:w="3562" w:type="dxa"/>
            <w:tcBorders>
              <w:left w:val="single" w:sz="4" w:space="0" w:color="DF2F1E"/>
              <w:bottom w:val="single" w:sz="4" w:space="0" w:color="DF2F1E"/>
            </w:tcBorders>
          </w:tcPr>
          <w:p>
            <w:pPr>
              <w:pStyle w:val="TableParagraph"/>
              <w:ind w:left="287"/>
              <w:rPr>
                <w:b/>
                <w:i/>
                <w:sz w:val="16"/>
              </w:rPr>
            </w:pPr>
            <w:r>
              <w:rPr>
                <w:b/>
                <w:i/>
                <w:color w:val="404040"/>
                <w:sz w:val="16"/>
              </w:rPr>
              <w:t>- Non income support</w:t>
            </w:r>
          </w:p>
        </w:tc>
        <w:tc>
          <w:tcPr>
            <w:tcW w:w="1380" w:type="dxa"/>
            <w:tcBorders>
              <w:bottom w:val="single" w:sz="4" w:space="0" w:color="DF2F1E"/>
            </w:tcBorders>
          </w:tcPr>
          <w:p>
            <w:pPr>
              <w:pStyle w:val="TableParagraph"/>
              <w:ind w:right="250"/>
              <w:jc w:val="right"/>
              <w:rPr>
                <w:sz w:val="16"/>
              </w:rPr>
            </w:pPr>
            <w:r>
              <w:rPr>
                <w:color w:val="404040"/>
                <w:sz w:val="16"/>
              </w:rPr>
              <w:t>584,000</w:t>
            </w:r>
          </w:p>
        </w:tc>
        <w:tc>
          <w:tcPr>
            <w:tcW w:w="1658" w:type="dxa"/>
            <w:tcBorders>
              <w:bottom w:val="single" w:sz="4" w:space="0" w:color="DF2F1E"/>
            </w:tcBorders>
          </w:tcPr>
          <w:p>
            <w:pPr>
              <w:pStyle w:val="TableParagraph"/>
              <w:ind w:left="669"/>
              <w:rPr>
                <w:sz w:val="16"/>
              </w:rPr>
            </w:pPr>
            <w:r>
              <w:rPr>
                <w:color w:val="404040"/>
                <w:sz w:val="16"/>
              </w:rPr>
              <w:t>82%</w:t>
            </w:r>
          </w:p>
        </w:tc>
        <w:tc>
          <w:tcPr>
            <w:tcW w:w="1574" w:type="dxa"/>
            <w:tcBorders>
              <w:bottom w:val="single" w:sz="4" w:space="0" w:color="DF2F1E"/>
            </w:tcBorders>
          </w:tcPr>
          <w:p>
            <w:pPr>
              <w:pStyle w:val="TableParagraph"/>
              <w:ind w:left="468" w:right="487"/>
              <w:jc w:val="center"/>
              <w:rPr>
                <w:sz w:val="16"/>
              </w:rPr>
            </w:pPr>
            <w:r>
              <w:rPr>
                <w:color w:val="404040"/>
                <w:sz w:val="16"/>
              </w:rPr>
              <w:t>223,000</w:t>
            </w:r>
          </w:p>
        </w:tc>
        <w:tc>
          <w:tcPr>
            <w:tcW w:w="1608" w:type="dxa"/>
            <w:tcBorders>
              <w:bottom w:val="single" w:sz="4" w:space="0" w:color="DF2F1E"/>
              <w:right w:val="single" w:sz="4" w:space="0" w:color="DF2F1E"/>
            </w:tcBorders>
          </w:tcPr>
          <w:p>
            <w:pPr>
              <w:pStyle w:val="TableParagraph"/>
              <w:ind w:left="581" w:right="568"/>
              <w:jc w:val="center"/>
              <w:rPr>
                <w:sz w:val="16"/>
              </w:rPr>
            </w:pPr>
            <w:r>
              <w:rPr>
                <w:color w:val="404040"/>
                <w:sz w:val="16"/>
              </w:rPr>
              <w:t>94%</w:t>
            </w:r>
          </w:p>
        </w:tc>
      </w:tr>
      <w:tr>
        <w:trPr>
          <w:trHeight w:val="262" w:hRule="atLeast"/>
        </w:trPr>
        <w:tc>
          <w:tcPr>
            <w:tcW w:w="3562" w:type="dxa"/>
            <w:tcBorders>
              <w:top w:val="single" w:sz="4" w:space="0" w:color="DF2F1E"/>
              <w:left w:val="single" w:sz="4" w:space="0" w:color="DF2F1E"/>
            </w:tcBorders>
          </w:tcPr>
          <w:p>
            <w:pPr>
              <w:pStyle w:val="TableParagraph"/>
              <w:spacing w:before="34"/>
              <w:ind w:left="107"/>
              <w:rPr>
                <w:b/>
                <w:sz w:val="16"/>
              </w:rPr>
            </w:pPr>
            <w:r>
              <w:rPr>
                <w:b/>
                <w:color w:val="404040"/>
                <w:sz w:val="16"/>
              </w:rPr>
              <w:t>Geography – socio-economic area grouping</w:t>
            </w:r>
          </w:p>
        </w:tc>
        <w:tc>
          <w:tcPr>
            <w:tcW w:w="1380" w:type="dxa"/>
            <w:tcBorders>
              <w:top w:val="single" w:sz="4" w:space="0" w:color="DF2F1E"/>
            </w:tcBorders>
          </w:tcPr>
          <w:p>
            <w:pPr>
              <w:pStyle w:val="TableParagraph"/>
              <w:spacing w:before="0"/>
              <w:rPr>
                <w:rFonts w:ascii="Times New Roman"/>
                <w:sz w:val="18"/>
              </w:rPr>
            </w:pPr>
          </w:p>
        </w:tc>
        <w:tc>
          <w:tcPr>
            <w:tcW w:w="1658" w:type="dxa"/>
            <w:tcBorders>
              <w:top w:val="single" w:sz="4" w:space="0" w:color="DF2F1E"/>
            </w:tcBorders>
          </w:tcPr>
          <w:p>
            <w:pPr>
              <w:pStyle w:val="TableParagraph"/>
              <w:spacing w:before="0"/>
              <w:rPr>
                <w:rFonts w:ascii="Times New Roman"/>
                <w:sz w:val="18"/>
              </w:rPr>
            </w:pPr>
          </w:p>
        </w:tc>
        <w:tc>
          <w:tcPr>
            <w:tcW w:w="1574" w:type="dxa"/>
            <w:tcBorders>
              <w:top w:val="single" w:sz="4" w:space="0" w:color="DF2F1E"/>
            </w:tcBorders>
          </w:tcPr>
          <w:p>
            <w:pPr>
              <w:pStyle w:val="TableParagraph"/>
              <w:spacing w:before="0"/>
              <w:rPr>
                <w:rFonts w:ascii="Times New Roman"/>
                <w:sz w:val="18"/>
              </w:rPr>
            </w:pPr>
          </w:p>
        </w:tc>
        <w:tc>
          <w:tcPr>
            <w:tcW w:w="1608" w:type="dxa"/>
            <w:tcBorders>
              <w:top w:val="single" w:sz="4" w:space="0" w:color="DF2F1E"/>
              <w:right w:val="single" w:sz="4" w:space="0" w:color="DF2F1E"/>
            </w:tcBorders>
          </w:tcPr>
          <w:p>
            <w:pPr>
              <w:pStyle w:val="TableParagraph"/>
              <w:spacing w:before="0"/>
              <w:rPr>
                <w:rFonts w:ascii="Times New Roman"/>
                <w:sz w:val="18"/>
              </w:rPr>
            </w:pPr>
          </w:p>
        </w:tc>
      </w:tr>
      <w:tr>
        <w:trPr>
          <w:trHeight w:val="265" w:hRule="atLeast"/>
        </w:trPr>
        <w:tc>
          <w:tcPr>
            <w:tcW w:w="3562" w:type="dxa"/>
            <w:tcBorders>
              <w:left w:val="single" w:sz="4" w:space="0" w:color="DF2F1E"/>
            </w:tcBorders>
          </w:tcPr>
          <w:p>
            <w:pPr>
              <w:pStyle w:val="TableParagraph"/>
              <w:spacing w:before="39"/>
              <w:ind w:left="287"/>
              <w:rPr>
                <w:b/>
                <w:i/>
                <w:sz w:val="16"/>
              </w:rPr>
            </w:pPr>
            <w:r>
              <w:rPr>
                <w:b/>
                <w:i/>
                <w:color w:val="404040"/>
                <w:sz w:val="16"/>
              </w:rPr>
              <w:t>- Lowest 20% (most disadvantaged)</w:t>
            </w:r>
          </w:p>
        </w:tc>
        <w:tc>
          <w:tcPr>
            <w:tcW w:w="1380" w:type="dxa"/>
          </w:tcPr>
          <w:p>
            <w:pPr>
              <w:pStyle w:val="TableParagraph"/>
              <w:spacing w:before="39"/>
              <w:ind w:right="250"/>
              <w:jc w:val="right"/>
              <w:rPr>
                <w:sz w:val="16"/>
              </w:rPr>
            </w:pPr>
            <w:r>
              <w:rPr>
                <w:color w:val="404040"/>
                <w:sz w:val="16"/>
              </w:rPr>
              <w:t>111,000</w:t>
            </w:r>
          </w:p>
        </w:tc>
        <w:tc>
          <w:tcPr>
            <w:tcW w:w="1658" w:type="dxa"/>
          </w:tcPr>
          <w:p>
            <w:pPr>
              <w:pStyle w:val="TableParagraph"/>
              <w:spacing w:before="39"/>
              <w:ind w:left="669"/>
              <w:rPr>
                <w:sz w:val="16"/>
              </w:rPr>
            </w:pPr>
            <w:r>
              <w:rPr>
                <w:color w:val="404040"/>
                <w:sz w:val="16"/>
              </w:rPr>
              <w:t>16%</w:t>
            </w:r>
          </w:p>
        </w:tc>
        <w:tc>
          <w:tcPr>
            <w:tcW w:w="1574" w:type="dxa"/>
          </w:tcPr>
          <w:p>
            <w:pPr>
              <w:pStyle w:val="TableParagraph"/>
              <w:spacing w:before="39"/>
              <w:ind w:left="468" w:right="487"/>
              <w:jc w:val="center"/>
              <w:rPr>
                <w:sz w:val="16"/>
              </w:rPr>
            </w:pPr>
            <w:r>
              <w:rPr>
                <w:color w:val="404040"/>
                <w:sz w:val="16"/>
              </w:rPr>
              <w:t>287,000</w:t>
            </w:r>
          </w:p>
        </w:tc>
        <w:tc>
          <w:tcPr>
            <w:tcW w:w="1608" w:type="dxa"/>
            <w:tcBorders>
              <w:right w:val="single" w:sz="4" w:space="0" w:color="DF2F1E"/>
            </w:tcBorders>
          </w:tcPr>
          <w:p>
            <w:pPr>
              <w:pStyle w:val="TableParagraph"/>
              <w:spacing w:before="39"/>
              <w:ind w:left="581" w:right="571"/>
              <w:jc w:val="center"/>
              <w:rPr>
                <w:sz w:val="16"/>
              </w:rPr>
            </w:pPr>
            <w:r>
              <w:rPr>
                <w:color w:val="404040"/>
                <w:sz w:val="16"/>
              </w:rPr>
              <w:t>121%</w:t>
            </w:r>
          </w:p>
        </w:tc>
      </w:tr>
      <w:tr>
        <w:trPr>
          <w:trHeight w:val="263" w:hRule="atLeast"/>
        </w:trPr>
        <w:tc>
          <w:tcPr>
            <w:tcW w:w="3562" w:type="dxa"/>
            <w:tcBorders>
              <w:left w:val="single" w:sz="4" w:space="0" w:color="DF2F1E"/>
            </w:tcBorders>
          </w:tcPr>
          <w:p>
            <w:pPr>
              <w:pStyle w:val="TableParagraph"/>
              <w:ind w:left="287"/>
              <w:rPr>
                <w:b/>
                <w:i/>
                <w:sz w:val="16"/>
              </w:rPr>
            </w:pPr>
            <w:r>
              <w:rPr>
                <w:b/>
                <w:i/>
                <w:color w:val="404040"/>
                <w:sz w:val="16"/>
              </w:rPr>
              <w:t>- 20% to 40%</w:t>
            </w:r>
          </w:p>
        </w:tc>
        <w:tc>
          <w:tcPr>
            <w:tcW w:w="1380" w:type="dxa"/>
          </w:tcPr>
          <w:p>
            <w:pPr>
              <w:pStyle w:val="TableParagraph"/>
              <w:ind w:right="250"/>
              <w:jc w:val="right"/>
              <w:rPr>
                <w:sz w:val="16"/>
              </w:rPr>
            </w:pPr>
            <w:r>
              <w:rPr>
                <w:color w:val="404040"/>
                <w:sz w:val="16"/>
              </w:rPr>
              <w:t>137,000</w:t>
            </w:r>
          </w:p>
        </w:tc>
        <w:tc>
          <w:tcPr>
            <w:tcW w:w="1658" w:type="dxa"/>
          </w:tcPr>
          <w:p>
            <w:pPr>
              <w:pStyle w:val="TableParagraph"/>
              <w:ind w:left="669"/>
              <w:rPr>
                <w:sz w:val="16"/>
              </w:rPr>
            </w:pPr>
            <w:r>
              <w:rPr>
                <w:color w:val="404040"/>
                <w:sz w:val="16"/>
              </w:rPr>
              <w:t>19%</w:t>
            </w:r>
          </w:p>
        </w:tc>
        <w:tc>
          <w:tcPr>
            <w:tcW w:w="1574" w:type="dxa"/>
          </w:tcPr>
          <w:p>
            <w:pPr>
              <w:pStyle w:val="TableParagraph"/>
              <w:ind w:left="468" w:right="487"/>
              <w:jc w:val="center"/>
              <w:rPr>
                <w:sz w:val="16"/>
              </w:rPr>
            </w:pPr>
            <w:r>
              <w:rPr>
                <w:color w:val="404040"/>
                <w:sz w:val="16"/>
              </w:rPr>
              <w:t>261,000</w:t>
            </w:r>
          </w:p>
        </w:tc>
        <w:tc>
          <w:tcPr>
            <w:tcW w:w="1608" w:type="dxa"/>
            <w:tcBorders>
              <w:right w:val="single" w:sz="4" w:space="0" w:color="DF2F1E"/>
            </w:tcBorders>
          </w:tcPr>
          <w:p>
            <w:pPr>
              <w:pStyle w:val="TableParagraph"/>
              <w:ind w:left="581" w:right="571"/>
              <w:jc w:val="center"/>
              <w:rPr>
                <w:sz w:val="16"/>
              </w:rPr>
            </w:pPr>
            <w:r>
              <w:rPr>
                <w:color w:val="404040"/>
                <w:sz w:val="16"/>
              </w:rPr>
              <w:t>110%</w:t>
            </w:r>
          </w:p>
        </w:tc>
      </w:tr>
      <w:tr>
        <w:trPr>
          <w:trHeight w:val="263" w:hRule="atLeast"/>
        </w:trPr>
        <w:tc>
          <w:tcPr>
            <w:tcW w:w="3562" w:type="dxa"/>
            <w:tcBorders>
              <w:left w:val="single" w:sz="4" w:space="0" w:color="DF2F1E"/>
            </w:tcBorders>
          </w:tcPr>
          <w:p>
            <w:pPr>
              <w:pStyle w:val="TableParagraph"/>
              <w:ind w:left="287"/>
              <w:rPr>
                <w:b/>
                <w:i/>
                <w:sz w:val="16"/>
              </w:rPr>
            </w:pPr>
            <w:r>
              <w:rPr>
                <w:b/>
                <w:i/>
                <w:color w:val="404040"/>
                <w:sz w:val="16"/>
              </w:rPr>
              <w:t>- 40% to 60%</w:t>
            </w:r>
          </w:p>
        </w:tc>
        <w:tc>
          <w:tcPr>
            <w:tcW w:w="1380" w:type="dxa"/>
          </w:tcPr>
          <w:p>
            <w:pPr>
              <w:pStyle w:val="TableParagraph"/>
              <w:ind w:right="250"/>
              <w:jc w:val="right"/>
              <w:rPr>
                <w:sz w:val="16"/>
              </w:rPr>
            </w:pPr>
            <w:r>
              <w:rPr>
                <w:color w:val="404040"/>
                <w:sz w:val="16"/>
              </w:rPr>
              <w:t>164,000</w:t>
            </w:r>
          </w:p>
        </w:tc>
        <w:tc>
          <w:tcPr>
            <w:tcW w:w="1658" w:type="dxa"/>
          </w:tcPr>
          <w:p>
            <w:pPr>
              <w:pStyle w:val="TableParagraph"/>
              <w:ind w:left="669"/>
              <w:rPr>
                <w:sz w:val="16"/>
              </w:rPr>
            </w:pPr>
            <w:r>
              <w:rPr>
                <w:color w:val="404040"/>
                <w:sz w:val="16"/>
              </w:rPr>
              <w:t>23%</w:t>
            </w:r>
          </w:p>
        </w:tc>
        <w:tc>
          <w:tcPr>
            <w:tcW w:w="1574" w:type="dxa"/>
          </w:tcPr>
          <w:p>
            <w:pPr>
              <w:pStyle w:val="TableParagraph"/>
              <w:ind w:left="468" w:right="487"/>
              <w:jc w:val="center"/>
              <w:rPr>
                <w:sz w:val="16"/>
              </w:rPr>
            </w:pPr>
            <w:r>
              <w:rPr>
                <w:color w:val="404040"/>
                <w:sz w:val="16"/>
              </w:rPr>
              <w:t>239,000</w:t>
            </w:r>
          </w:p>
        </w:tc>
        <w:tc>
          <w:tcPr>
            <w:tcW w:w="1608" w:type="dxa"/>
            <w:tcBorders>
              <w:right w:val="single" w:sz="4" w:space="0" w:color="DF2F1E"/>
            </w:tcBorders>
          </w:tcPr>
          <w:p>
            <w:pPr>
              <w:pStyle w:val="TableParagraph"/>
              <w:ind w:left="581" w:right="571"/>
              <w:jc w:val="center"/>
              <w:rPr>
                <w:sz w:val="16"/>
              </w:rPr>
            </w:pPr>
            <w:r>
              <w:rPr>
                <w:color w:val="404040"/>
                <w:sz w:val="16"/>
              </w:rPr>
              <w:t>101%</w:t>
            </w:r>
          </w:p>
        </w:tc>
      </w:tr>
      <w:tr>
        <w:trPr>
          <w:trHeight w:val="264" w:hRule="atLeast"/>
        </w:trPr>
        <w:tc>
          <w:tcPr>
            <w:tcW w:w="3562" w:type="dxa"/>
            <w:tcBorders>
              <w:left w:val="single" w:sz="4" w:space="0" w:color="DF2F1E"/>
            </w:tcBorders>
          </w:tcPr>
          <w:p>
            <w:pPr>
              <w:pStyle w:val="TableParagraph"/>
              <w:ind w:left="287"/>
              <w:rPr>
                <w:b/>
                <w:i/>
                <w:sz w:val="16"/>
              </w:rPr>
            </w:pPr>
            <w:r>
              <w:rPr>
                <w:b/>
                <w:i/>
                <w:color w:val="404040"/>
                <w:sz w:val="16"/>
              </w:rPr>
              <w:t>- 60% to 80%</w:t>
            </w:r>
          </w:p>
        </w:tc>
        <w:tc>
          <w:tcPr>
            <w:tcW w:w="1380" w:type="dxa"/>
          </w:tcPr>
          <w:p>
            <w:pPr>
              <w:pStyle w:val="TableParagraph"/>
              <w:ind w:right="250"/>
              <w:jc w:val="right"/>
              <w:rPr>
                <w:sz w:val="16"/>
              </w:rPr>
            </w:pPr>
            <w:r>
              <w:rPr>
                <w:color w:val="404040"/>
                <w:sz w:val="16"/>
              </w:rPr>
              <w:t>162,000</w:t>
            </w:r>
          </w:p>
        </w:tc>
        <w:tc>
          <w:tcPr>
            <w:tcW w:w="1658" w:type="dxa"/>
          </w:tcPr>
          <w:p>
            <w:pPr>
              <w:pStyle w:val="TableParagraph"/>
              <w:ind w:left="669"/>
              <w:rPr>
                <w:sz w:val="16"/>
              </w:rPr>
            </w:pPr>
            <w:r>
              <w:rPr>
                <w:color w:val="404040"/>
                <w:sz w:val="16"/>
              </w:rPr>
              <w:t>23%</w:t>
            </w:r>
          </w:p>
        </w:tc>
        <w:tc>
          <w:tcPr>
            <w:tcW w:w="1574" w:type="dxa"/>
          </w:tcPr>
          <w:p>
            <w:pPr>
              <w:pStyle w:val="TableParagraph"/>
              <w:ind w:left="468" w:right="487"/>
              <w:jc w:val="center"/>
              <w:rPr>
                <w:sz w:val="16"/>
              </w:rPr>
            </w:pPr>
            <w:r>
              <w:rPr>
                <w:color w:val="404040"/>
                <w:sz w:val="16"/>
              </w:rPr>
              <w:t>217,000</w:t>
            </w:r>
          </w:p>
        </w:tc>
        <w:tc>
          <w:tcPr>
            <w:tcW w:w="1608" w:type="dxa"/>
            <w:tcBorders>
              <w:right w:val="single" w:sz="4" w:space="0" w:color="DF2F1E"/>
            </w:tcBorders>
          </w:tcPr>
          <w:p>
            <w:pPr>
              <w:pStyle w:val="TableParagraph"/>
              <w:ind w:left="581" w:right="568"/>
              <w:jc w:val="center"/>
              <w:rPr>
                <w:sz w:val="16"/>
              </w:rPr>
            </w:pPr>
            <w:r>
              <w:rPr>
                <w:color w:val="404040"/>
                <w:sz w:val="16"/>
              </w:rPr>
              <w:t>91%</w:t>
            </w:r>
          </w:p>
        </w:tc>
      </w:tr>
      <w:tr>
        <w:trPr>
          <w:trHeight w:val="264" w:hRule="atLeast"/>
        </w:trPr>
        <w:tc>
          <w:tcPr>
            <w:tcW w:w="3562" w:type="dxa"/>
            <w:tcBorders>
              <w:left w:val="single" w:sz="4" w:space="0" w:color="DF2F1E"/>
              <w:bottom w:val="single" w:sz="4" w:space="0" w:color="DF2F1E"/>
            </w:tcBorders>
          </w:tcPr>
          <w:p>
            <w:pPr>
              <w:pStyle w:val="TableParagraph"/>
              <w:ind w:left="287"/>
              <w:rPr>
                <w:b/>
                <w:i/>
                <w:sz w:val="16"/>
              </w:rPr>
            </w:pPr>
            <w:r>
              <w:rPr>
                <w:b/>
                <w:i/>
                <w:color w:val="404040"/>
                <w:sz w:val="16"/>
              </w:rPr>
              <w:t>- Highest 20% (least disadvantaged)</w:t>
            </w:r>
          </w:p>
        </w:tc>
        <w:tc>
          <w:tcPr>
            <w:tcW w:w="1380" w:type="dxa"/>
            <w:tcBorders>
              <w:bottom w:val="single" w:sz="4" w:space="0" w:color="DF2F1E"/>
            </w:tcBorders>
          </w:tcPr>
          <w:p>
            <w:pPr>
              <w:pStyle w:val="TableParagraph"/>
              <w:ind w:right="250"/>
              <w:jc w:val="right"/>
              <w:rPr>
                <w:sz w:val="16"/>
              </w:rPr>
            </w:pPr>
            <w:r>
              <w:rPr>
                <w:color w:val="404040"/>
                <w:sz w:val="16"/>
              </w:rPr>
              <w:t>135,000</w:t>
            </w:r>
          </w:p>
        </w:tc>
        <w:tc>
          <w:tcPr>
            <w:tcW w:w="1658" w:type="dxa"/>
            <w:tcBorders>
              <w:bottom w:val="single" w:sz="4" w:space="0" w:color="DF2F1E"/>
            </w:tcBorders>
          </w:tcPr>
          <w:p>
            <w:pPr>
              <w:pStyle w:val="TableParagraph"/>
              <w:ind w:left="669"/>
              <w:rPr>
                <w:sz w:val="16"/>
              </w:rPr>
            </w:pPr>
            <w:r>
              <w:rPr>
                <w:color w:val="404040"/>
                <w:sz w:val="16"/>
              </w:rPr>
              <w:t>19%</w:t>
            </w:r>
          </w:p>
        </w:tc>
        <w:tc>
          <w:tcPr>
            <w:tcW w:w="1574" w:type="dxa"/>
            <w:tcBorders>
              <w:bottom w:val="single" w:sz="4" w:space="0" w:color="DF2F1E"/>
            </w:tcBorders>
          </w:tcPr>
          <w:p>
            <w:pPr>
              <w:pStyle w:val="TableParagraph"/>
              <w:ind w:left="468" w:right="487"/>
              <w:jc w:val="center"/>
              <w:rPr>
                <w:sz w:val="16"/>
              </w:rPr>
            </w:pPr>
            <w:r>
              <w:rPr>
                <w:color w:val="404040"/>
                <w:sz w:val="16"/>
              </w:rPr>
              <w:t>194,000</w:t>
            </w:r>
          </w:p>
        </w:tc>
        <w:tc>
          <w:tcPr>
            <w:tcW w:w="1608" w:type="dxa"/>
            <w:tcBorders>
              <w:bottom w:val="single" w:sz="4" w:space="0" w:color="DF2F1E"/>
              <w:right w:val="single" w:sz="4" w:space="0" w:color="DF2F1E"/>
            </w:tcBorders>
          </w:tcPr>
          <w:p>
            <w:pPr>
              <w:pStyle w:val="TableParagraph"/>
              <w:ind w:left="581" w:right="568"/>
              <w:jc w:val="center"/>
              <w:rPr>
                <w:sz w:val="16"/>
              </w:rPr>
            </w:pPr>
            <w:r>
              <w:rPr>
                <w:color w:val="404040"/>
                <w:sz w:val="16"/>
              </w:rPr>
              <w:t>82%</w:t>
            </w:r>
          </w:p>
        </w:tc>
      </w:tr>
    </w:tbl>
    <w:p>
      <w:pPr>
        <w:spacing w:before="78"/>
        <w:ind w:left="900" w:right="0" w:firstLine="0"/>
        <w:jc w:val="left"/>
        <w:rPr>
          <w:sz w:val="16"/>
        </w:rPr>
      </w:pPr>
      <w:r>
        <w:rPr>
          <w:color w:val="DF2F1E"/>
          <w:sz w:val="16"/>
        </w:rPr>
        <w:t>Note: The class definition means that people can remain in this class for a year after they stop receiving family payments.</w:t>
      </w:r>
    </w:p>
    <w:p>
      <w:pPr>
        <w:pStyle w:val="BodyText"/>
        <w:spacing w:before="121"/>
        <w:ind w:left="900"/>
      </w:pPr>
      <w:r>
        <w:rPr>
          <w:color w:val="404040"/>
        </w:rPr>
        <w:t>From the table above we can see that for current Non IS Family recipients:</w:t>
      </w:r>
    </w:p>
    <w:p>
      <w:pPr>
        <w:pStyle w:val="ListParagraph"/>
        <w:numPr>
          <w:ilvl w:val="0"/>
          <w:numId w:val="62"/>
        </w:numPr>
        <w:tabs>
          <w:tab w:pos="1184" w:val="left" w:leader="none"/>
        </w:tabs>
        <w:spacing w:line="240" w:lineRule="auto" w:before="119" w:after="0"/>
        <w:ind w:left="1183" w:right="0" w:hanging="284"/>
        <w:jc w:val="left"/>
        <w:rPr>
          <w:rFonts w:ascii="Symbol" w:hAnsi="Symbol"/>
          <w:sz w:val="20"/>
        </w:rPr>
      </w:pPr>
      <w:r>
        <w:rPr>
          <w:color w:val="404040"/>
          <w:sz w:val="20"/>
        </w:rPr>
        <w:t>Those with more children have a higher average lifetime cost compared to those who have fewer</w:t>
      </w:r>
      <w:r>
        <w:rPr>
          <w:color w:val="404040"/>
          <w:spacing w:val="-21"/>
          <w:sz w:val="20"/>
        </w:rPr>
        <w:t> </w:t>
      </w:r>
      <w:r>
        <w:rPr>
          <w:color w:val="404040"/>
          <w:sz w:val="20"/>
        </w:rPr>
        <w:t>children.</w:t>
      </w:r>
    </w:p>
    <w:p>
      <w:pPr>
        <w:pStyle w:val="ListParagraph"/>
        <w:numPr>
          <w:ilvl w:val="0"/>
          <w:numId w:val="62"/>
        </w:numPr>
        <w:tabs>
          <w:tab w:pos="1184" w:val="left" w:leader="none"/>
        </w:tabs>
        <w:spacing w:line="240" w:lineRule="auto" w:before="120" w:after="0"/>
        <w:ind w:left="1183" w:right="0" w:hanging="284"/>
        <w:jc w:val="left"/>
        <w:rPr>
          <w:rFonts w:ascii="Symbol" w:hAnsi="Symbol"/>
          <w:sz w:val="20"/>
        </w:rPr>
      </w:pPr>
      <w:r>
        <w:rPr>
          <w:color w:val="404040"/>
          <w:sz w:val="20"/>
        </w:rPr>
        <w:t>Those with newborn children have a higher average lifetime</w:t>
      </w:r>
      <w:r>
        <w:rPr>
          <w:color w:val="404040"/>
          <w:spacing w:val="-7"/>
          <w:sz w:val="20"/>
        </w:rPr>
        <w:t> </w:t>
      </w:r>
      <w:r>
        <w:rPr>
          <w:color w:val="404040"/>
          <w:sz w:val="20"/>
        </w:rPr>
        <w:t>cost.</w:t>
      </w:r>
    </w:p>
    <w:p>
      <w:pPr>
        <w:pStyle w:val="ListParagraph"/>
        <w:numPr>
          <w:ilvl w:val="0"/>
          <w:numId w:val="62"/>
        </w:numPr>
        <w:tabs>
          <w:tab w:pos="1184" w:val="left" w:leader="none"/>
        </w:tabs>
        <w:spacing w:line="240" w:lineRule="auto" w:before="117" w:after="0"/>
        <w:ind w:left="1183" w:right="0" w:hanging="284"/>
        <w:jc w:val="left"/>
        <w:rPr>
          <w:rFonts w:ascii="Symbol" w:hAnsi="Symbol"/>
          <w:sz w:val="20"/>
        </w:rPr>
      </w:pPr>
      <w:r>
        <w:rPr>
          <w:color w:val="404040"/>
          <w:sz w:val="20"/>
        </w:rPr>
        <w:t>Single welfare recipients have a higher average lifetime cost compared to partnered welfare</w:t>
      </w:r>
      <w:r>
        <w:rPr>
          <w:color w:val="404040"/>
          <w:spacing w:val="-18"/>
          <w:sz w:val="20"/>
        </w:rPr>
        <w:t> </w:t>
      </w:r>
      <w:r>
        <w:rPr>
          <w:color w:val="404040"/>
          <w:sz w:val="20"/>
        </w:rPr>
        <w:t>recipients.</w:t>
      </w:r>
    </w:p>
    <w:p>
      <w:pPr>
        <w:pStyle w:val="ListParagraph"/>
        <w:numPr>
          <w:ilvl w:val="0"/>
          <w:numId w:val="62"/>
        </w:numPr>
        <w:tabs>
          <w:tab w:pos="1184" w:val="left" w:leader="none"/>
        </w:tabs>
        <w:spacing w:line="240" w:lineRule="auto" w:before="120" w:after="0"/>
        <w:ind w:left="1183" w:right="1539" w:hanging="284"/>
        <w:jc w:val="left"/>
        <w:rPr>
          <w:rFonts w:ascii="Symbol" w:hAnsi="Symbol"/>
          <w:sz w:val="20"/>
        </w:rPr>
      </w:pPr>
      <w:r>
        <w:rPr>
          <w:color w:val="404040"/>
          <w:sz w:val="20"/>
        </w:rPr>
        <w:t>Those who were previously receiving income support welfare payments have a higher average lifetime compared to those who were previously receiving non income support</w:t>
      </w:r>
      <w:r>
        <w:rPr>
          <w:color w:val="404040"/>
          <w:spacing w:val="-10"/>
          <w:sz w:val="20"/>
        </w:rPr>
        <w:t> </w:t>
      </w:r>
      <w:r>
        <w:rPr>
          <w:color w:val="404040"/>
          <w:sz w:val="20"/>
        </w:rPr>
        <w:t>payments.</w:t>
      </w:r>
    </w:p>
    <w:p>
      <w:pPr>
        <w:pStyle w:val="BodyText"/>
        <w:spacing w:before="7"/>
      </w:pPr>
    </w:p>
    <w:p>
      <w:pPr>
        <w:pStyle w:val="Heading6"/>
        <w:spacing w:before="1"/>
        <w:rPr>
          <w:i/>
        </w:rPr>
      </w:pPr>
      <w:r>
        <w:rPr>
          <w:i/>
          <w:color w:val="DF2F1E"/>
        </w:rPr>
        <w:t>Change in lifetime costs since the 2017 valuation</w:t>
      </w:r>
    </w:p>
    <w:p>
      <w:pPr>
        <w:pStyle w:val="BodyText"/>
        <w:spacing w:before="121"/>
        <w:ind w:left="900" w:right="1408"/>
      </w:pPr>
      <w:r>
        <w:rPr>
          <w:color w:val="404040"/>
        </w:rPr>
        <w:t>The lifetime cost for the people in this class is $354bn, a decrease of $49bn compared to the rebased 2017 valuation. This was driven by a decrease in the average cost (as opposed to a change in population in this class):</w:t>
      </w:r>
    </w:p>
    <w:p>
      <w:pPr>
        <w:pStyle w:val="ListParagraph"/>
        <w:numPr>
          <w:ilvl w:val="0"/>
          <w:numId w:val="62"/>
        </w:numPr>
        <w:tabs>
          <w:tab w:pos="1184" w:val="left" w:leader="none"/>
        </w:tabs>
        <w:spacing w:line="240" w:lineRule="auto" w:before="119" w:after="0"/>
        <w:ind w:left="1183" w:right="1585" w:hanging="284"/>
        <w:jc w:val="left"/>
        <w:rPr>
          <w:rFonts w:ascii="Symbol" w:hAnsi="Symbol"/>
          <w:sz w:val="20"/>
        </w:rPr>
      </w:pPr>
      <w:r>
        <w:rPr>
          <w:color w:val="404040"/>
          <w:sz w:val="20"/>
        </w:rPr>
        <w:t>The average cost has decreased by $31,000 (11.8%) since the previous valuation. The following table provides a breakdown of the change in average lifetime cost by payment</w:t>
      </w:r>
      <w:r>
        <w:rPr>
          <w:color w:val="404040"/>
          <w:spacing w:val="-12"/>
          <w:sz w:val="20"/>
        </w:rPr>
        <w:t> </w:t>
      </w:r>
      <w:r>
        <w:rPr>
          <w:color w:val="404040"/>
          <w:sz w:val="20"/>
        </w:rPr>
        <w:t>category.</w:t>
      </w:r>
    </w:p>
    <w:p>
      <w:pPr>
        <w:spacing w:after="0" w:line="240" w:lineRule="auto"/>
        <w:jc w:val="left"/>
        <w:rPr>
          <w:rFonts w:ascii="Symbol" w:hAnsi="Symbol"/>
          <w:sz w:val="20"/>
        </w:rPr>
        <w:sectPr>
          <w:headerReference w:type="default" r:id="rId169"/>
          <w:footerReference w:type="default" r:id="rId170"/>
          <w:pgSz w:w="11910" w:h="16850"/>
          <w:pgMar w:header="572" w:footer="581" w:top="780" w:bottom="780" w:left="120" w:right="0"/>
          <w:pgNumType w:start="121"/>
        </w:sectPr>
      </w:pPr>
    </w:p>
    <w:p>
      <w:pPr>
        <w:pStyle w:val="BodyText"/>
      </w:pPr>
    </w:p>
    <w:p>
      <w:pPr>
        <w:pStyle w:val="BodyText"/>
      </w:pPr>
    </w:p>
    <w:p>
      <w:pPr>
        <w:pStyle w:val="BodyText"/>
        <w:spacing w:before="5"/>
        <w:rPr>
          <w:sz w:val="21"/>
        </w:rPr>
      </w:pPr>
    </w:p>
    <w:p>
      <w:pPr>
        <w:pStyle w:val="Heading9"/>
        <w:spacing w:after="54"/>
      </w:pPr>
      <w:r>
        <w:rPr>
          <w:color w:val="DF2F1E"/>
        </w:rPr>
        <w:t>Table 34: Breakdown of change in average lifetime cost for class 7 by payment category</w:t>
      </w:r>
    </w:p>
    <w:tbl>
      <w:tblPr>
        <w:tblW w:w="0" w:type="auto"/>
        <w:jc w:val="left"/>
        <w:tblInd w:w="1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20"/>
        <w:gridCol w:w="1270"/>
        <w:gridCol w:w="1248"/>
        <w:gridCol w:w="1238"/>
        <w:gridCol w:w="1312"/>
        <w:gridCol w:w="1311"/>
      </w:tblGrid>
      <w:tr>
        <w:trPr>
          <w:trHeight w:val="268" w:hRule="atLeast"/>
        </w:trPr>
        <w:tc>
          <w:tcPr>
            <w:tcW w:w="3120" w:type="dxa"/>
            <w:shd w:val="clear" w:color="auto" w:fill="DF2F1E"/>
          </w:tcPr>
          <w:p>
            <w:pPr>
              <w:pStyle w:val="TableParagraph"/>
              <w:spacing w:before="0"/>
              <w:rPr>
                <w:rFonts w:ascii="Times New Roman"/>
                <w:sz w:val="16"/>
              </w:rPr>
            </w:pPr>
          </w:p>
        </w:tc>
        <w:tc>
          <w:tcPr>
            <w:tcW w:w="1270" w:type="dxa"/>
            <w:shd w:val="clear" w:color="auto" w:fill="DF2F1E"/>
          </w:tcPr>
          <w:p>
            <w:pPr>
              <w:pStyle w:val="TableParagraph"/>
              <w:spacing w:before="0"/>
              <w:rPr>
                <w:rFonts w:ascii="Times New Roman"/>
                <w:sz w:val="16"/>
              </w:rPr>
            </w:pPr>
          </w:p>
        </w:tc>
        <w:tc>
          <w:tcPr>
            <w:tcW w:w="1248" w:type="dxa"/>
            <w:shd w:val="clear" w:color="auto" w:fill="DF2F1E"/>
          </w:tcPr>
          <w:p>
            <w:pPr>
              <w:pStyle w:val="TableParagraph"/>
              <w:spacing w:before="34"/>
              <w:ind w:left="635"/>
              <w:rPr>
                <w:b/>
                <w:sz w:val="16"/>
              </w:rPr>
            </w:pPr>
            <w:r>
              <w:rPr>
                <w:b/>
                <w:color w:val="FFFFFF"/>
                <w:sz w:val="16"/>
              </w:rPr>
              <w:t>Income</w:t>
            </w:r>
          </w:p>
        </w:tc>
        <w:tc>
          <w:tcPr>
            <w:tcW w:w="1238" w:type="dxa"/>
            <w:shd w:val="clear" w:color="auto" w:fill="DF2F1E"/>
          </w:tcPr>
          <w:p>
            <w:pPr>
              <w:pStyle w:val="TableParagraph"/>
              <w:spacing w:before="34"/>
              <w:ind w:left="59"/>
              <w:rPr>
                <w:b/>
                <w:sz w:val="16"/>
              </w:rPr>
            </w:pPr>
            <w:r>
              <w:rPr>
                <w:b/>
                <w:color w:val="FFFFFF"/>
                <w:sz w:val="16"/>
              </w:rPr>
              <w:t>Support</w:t>
            </w:r>
          </w:p>
        </w:tc>
        <w:tc>
          <w:tcPr>
            <w:tcW w:w="1312" w:type="dxa"/>
            <w:shd w:val="clear" w:color="auto" w:fill="DF2F1E"/>
          </w:tcPr>
          <w:p>
            <w:pPr>
              <w:pStyle w:val="TableParagraph"/>
              <w:spacing w:before="34"/>
              <w:ind w:left="343"/>
              <w:rPr>
                <w:b/>
                <w:sz w:val="16"/>
              </w:rPr>
            </w:pPr>
            <w:r>
              <w:rPr>
                <w:b/>
                <w:color w:val="FFFFFF"/>
                <w:sz w:val="16"/>
              </w:rPr>
              <w:t>Non Income</w:t>
            </w:r>
          </w:p>
        </w:tc>
        <w:tc>
          <w:tcPr>
            <w:tcW w:w="1311" w:type="dxa"/>
            <w:shd w:val="clear" w:color="auto" w:fill="DF2F1E"/>
          </w:tcPr>
          <w:p>
            <w:pPr>
              <w:pStyle w:val="TableParagraph"/>
              <w:spacing w:before="31"/>
              <w:ind w:left="60"/>
              <w:rPr>
                <w:b/>
                <w:sz w:val="10"/>
              </w:rPr>
            </w:pPr>
            <w:r>
              <w:rPr>
                <w:b/>
                <w:color w:val="FFFFFF"/>
                <w:sz w:val="16"/>
              </w:rPr>
              <w:t>Support</w:t>
            </w:r>
            <w:r>
              <w:rPr>
                <w:b/>
                <w:color w:val="FFFFFF"/>
                <w:position w:val="6"/>
                <w:sz w:val="10"/>
              </w:rPr>
              <w:t>1</w:t>
            </w:r>
          </w:p>
        </w:tc>
      </w:tr>
      <w:tr>
        <w:trPr>
          <w:trHeight w:val="458" w:hRule="atLeast"/>
        </w:trPr>
        <w:tc>
          <w:tcPr>
            <w:tcW w:w="3120" w:type="dxa"/>
            <w:shd w:val="clear" w:color="auto" w:fill="DF2F1E"/>
          </w:tcPr>
          <w:p>
            <w:pPr>
              <w:pStyle w:val="TableParagraph"/>
              <w:spacing w:before="0"/>
              <w:rPr>
                <w:rFonts w:ascii="Times New Roman"/>
                <w:sz w:val="16"/>
              </w:rPr>
            </w:pPr>
          </w:p>
        </w:tc>
        <w:tc>
          <w:tcPr>
            <w:tcW w:w="1270" w:type="dxa"/>
            <w:shd w:val="clear" w:color="auto" w:fill="DF2F1E"/>
          </w:tcPr>
          <w:p>
            <w:pPr>
              <w:pStyle w:val="TableParagraph"/>
              <w:spacing w:before="39"/>
              <w:ind w:left="430" w:right="417"/>
              <w:jc w:val="center"/>
              <w:rPr>
                <w:b/>
                <w:sz w:val="16"/>
              </w:rPr>
            </w:pPr>
            <w:r>
              <w:rPr>
                <w:b/>
                <w:color w:val="FFFFFF"/>
                <w:sz w:val="16"/>
              </w:rPr>
              <w:t>Total</w:t>
            </w:r>
          </w:p>
        </w:tc>
        <w:tc>
          <w:tcPr>
            <w:tcW w:w="1248" w:type="dxa"/>
            <w:shd w:val="clear" w:color="auto" w:fill="DF2F1E"/>
          </w:tcPr>
          <w:p>
            <w:pPr>
              <w:pStyle w:val="TableParagraph"/>
              <w:spacing w:before="39"/>
              <w:ind w:left="321" w:right="266" w:hanging="17"/>
              <w:rPr>
                <w:b/>
                <w:sz w:val="16"/>
              </w:rPr>
            </w:pPr>
            <w:r>
              <w:rPr>
                <w:b/>
                <w:color w:val="FFFFFF"/>
                <w:sz w:val="16"/>
              </w:rPr>
              <w:t>Non Age Pension</w:t>
            </w:r>
          </w:p>
        </w:tc>
        <w:tc>
          <w:tcPr>
            <w:tcW w:w="1238" w:type="dxa"/>
            <w:shd w:val="clear" w:color="auto" w:fill="DF2F1E"/>
          </w:tcPr>
          <w:p>
            <w:pPr>
              <w:pStyle w:val="TableParagraph"/>
              <w:spacing w:before="39"/>
              <w:ind w:left="136"/>
              <w:rPr>
                <w:b/>
                <w:sz w:val="16"/>
              </w:rPr>
            </w:pPr>
            <w:r>
              <w:rPr>
                <w:b/>
                <w:color w:val="FFFFFF"/>
                <w:sz w:val="16"/>
              </w:rPr>
              <w:t>Age Pension</w:t>
            </w:r>
          </w:p>
        </w:tc>
        <w:tc>
          <w:tcPr>
            <w:tcW w:w="1312" w:type="dxa"/>
            <w:shd w:val="clear" w:color="auto" w:fill="DF2F1E"/>
          </w:tcPr>
          <w:p>
            <w:pPr>
              <w:pStyle w:val="TableParagraph"/>
              <w:spacing w:before="39"/>
              <w:ind w:left="158" w:right="129" w:firstLine="249"/>
              <w:rPr>
                <w:b/>
                <w:sz w:val="16"/>
              </w:rPr>
            </w:pPr>
            <w:r>
              <w:rPr>
                <w:b/>
                <w:color w:val="FFFFFF"/>
                <w:sz w:val="16"/>
              </w:rPr>
              <w:t>Family Supplements</w:t>
            </w:r>
          </w:p>
        </w:tc>
        <w:tc>
          <w:tcPr>
            <w:tcW w:w="1311" w:type="dxa"/>
            <w:shd w:val="clear" w:color="auto" w:fill="DF2F1E"/>
          </w:tcPr>
          <w:p>
            <w:pPr>
              <w:pStyle w:val="TableParagraph"/>
              <w:spacing w:before="39"/>
              <w:ind w:left="156" w:right="130" w:firstLine="288"/>
              <w:rPr>
                <w:b/>
                <w:sz w:val="16"/>
              </w:rPr>
            </w:pPr>
            <w:r>
              <w:rPr>
                <w:b/>
                <w:color w:val="FFFFFF"/>
                <w:sz w:val="16"/>
              </w:rPr>
              <w:t>Other Supplements</w:t>
            </w:r>
          </w:p>
        </w:tc>
      </w:tr>
      <w:tr>
        <w:trPr>
          <w:trHeight w:val="258" w:hRule="atLeast"/>
        </w:trPr>
        <w:tc>
          <w:tcPr>
            <w:tcW w:w="3120" w:type="dxa"/>
            <w:tcBorders>
              <w:top w:val="single" w:sz="4" w:space="0" w:color="DF2F1E"/>
              <w:left w:val="single" w:sz="4" w:space="0" w:color="DF2F1E"/>
              <w:bottom w:val="single" w:sz="4" w:space="0" w:color="DF2F1E"/>
              <w:right w:val="single" w:sz="4" w:space="0" w:color="DF2F1E"/>
            </w:tcBorders>
          </w:tcPr>
          <w:p>
            <w:pPr>
              <w:pStyle w:val="TableParagraph"/>
              <w:spacing w:before="29"/>
              <w:ind w:left="57"/>
              <w:rPr>
                <w:b/>
                <w:sz w:val="16"/>
              </w:rPr>
            </w:pPr>
            <w:r>
              <w:rPr>
                <w:b/>
                <w:color w:val="404040"/>
                <w:sz w:val="16"/>
              </w:rPr>
              <w:t>Jun-17 Total Lifetime Cost</w:t>
            </w:r>
          </w:p>
        </w:tc>
        <w:tc>
          <w:tcPr>
            <w:tcW w:w="1270" w:type="dxa"/>
            <w:tcBorders>
              <w:top w:val="single" w:sz="4" w:space="0" w:color="DF2F1E"/>
              <w:left w:val="single" w:sz="4" w:space="0" w:color="DF2F1E"/>
              <w:bottom w:val="single" w:sz="4" w:space="0" w:color="DF2F1E"/>
              <w:right w:val="single" w:sz="4" w:space="0" w:color="DF2F1E"/>
            </w:tcBorders>
          </w:tcPr>
          <w:p>
            <w:pPr>
              <w:pStyle w:val="TableParagraph"/>
              <w:spacing w:before="32"/>
              <w:ind w:left="88" w:right="72"/>
              <w:jc w:val="center"/>
              <w:rPr>
                <w:sz w:val="16"/>
              </w:rPr>
            </w:pPr>
            <w:r>
              <w:rPr>
                <w:color w:val="404040"/>
                <w:sz w:val="16"/>
              </w:rPr>
              <w:t>$303bn</w:t>
            </w:r>
          </w:p>
        </w:tc>
        <w:tc>
          <w:tcPr>
            <w:tcW w:w="5109" w:type="dxa"/>
            <w:gridSpan w:val="4"/>
            <w:vMerge w:val="restart"/>
            <w:tcBorders>
              <w:top w:val="single" w:sz="4" w:space="0" w:color="DF2F1E"/>
              <w:left w:val="single" w:sz="4" w:space="0" w:color="DF2F1E"/>
              <w:bottom w:val="single" w:sz="4" w:space="0" w:color="DF2F1E"/>
              <w:right w:val="single" w:sz="4" w:space="0" w:color="DF2F1E"/>
            </w:tcBorders>
            <w:shd w:val="clear" w:color="auto" w:fill="D9D9D9"/>
          </w:tcPr>
          <w:p>
            <w:pPr>
              <w:pStyle w:val="TableParagraph"/>
              <w:spacing w:before="0"/>
              <w:rPr>
                <w:rFonts w:ascii="Times New Roman"/>
                <w:sz w:val="16"/>
              </w:rPr>
            </w:pPr>
          </w:p>
        </w:tc>
      </w:tr>
      <w:tr>
        <w:trPr>
          <w:trHeight w:val="257" w:hRule="atLeast"/>
        </w:trPr>
        <w:tc>
          <w:tcPr>
            <w:tcW w:w="3120" w:type="dxa"/>
            <w:tcBorders>
              <w:top w:val="single" w:sz="4" w:space="0" w:color="DF2F1E"/>
              <w:left w:val="single" w:sz="4" w:space="0" w:color="DF2F1E"/>
              <w:right w:val="single" w:sz="4" w:space="0" w:color="DF2F1E"/>
            </w:tcBorders>
          </w:tcPr>
          <w:p>
            <w:pPr>
              <w:pStyle w:val="TableParagraph"/>
              <w:spacing w:before="31"/>
              <w:ind w:left="57"/>
              <w:rPr>
                <w:b/>
                <w:sz w:val="10"/>
              </w:rPr>
            </w:pPr>
            <w:r>
              <w:rPr>
                <w:b/>
                <w:color w:val="404040"/>
                <w:sz w:val="16"/>
              </w:rPr>
              <w:t>Jun-17 Total Lifetime Cost – rebased</w:t>
            </w:r>
            <w:r>
              <w:rPr>
                <w:b/>
                <w:color w:val="404040"/>
                <w:position w:val="6"/>
                <w:sz w:val="10"/>
              </w:rPr>
              <w:t>2</w:t>
            </w:r>
          </w:p>
        </w:tc>
        <w:tc>
          <w:tcPr>
            <w:tcW w:w="1270" w:type="dxa"/>
            <w:tcBorders>
              <w:top w:val="single" w:sz="4" w:space="0" w:color="DF2F1E"/>
              <w:left w:val="single" w:sz="4" w:space="0" w:color="DF2F1E"/>
              <w:right w:val="single" w:sz="4" w:space="0" w:color="DF2F1E"/>
            </w:tcBorders>
          </w:tcPr>
          <w:p>
            <w:pPr>
              <w:pStyle w:val="TableParagraph"/>
              <w:ind w:left="88" w:right="72"/>
              <w:jc w:val="center"/>
              <w:rPr>
                <w:sz w:val="16"/>
              </w:rPr>
            </w:pPr>
            <w:r>
              <w:rPr>
                <w:color w:val="404040"/>
                <w:sz w:val="16"/>
              </w:rPr>
              <w:t>$403bn</w:t>
            </w:r>
          </w:p>
        </w:tc>
        <w:tc>
          <w:tcPr>
            <w:tcW w:w="5109" w:type="dxa"/>
            <w:gridSpan w:val="4"/>
            <w:vMerge/>
            <w:tcBorders>
              <w:top w:val="nil"/>
              <w:left w:val="single" w:sz="4" w:space="0" w:color="DF2F1E"/>
              <w:bottom w:val="single" w:sz="4" w:space="0" w:color="DF2F1E"/>
              <w:right w:val="single" w:sz="4" w:space="0" w:color="DF2F1E"/>
            </w:tcBorders>
            <w:shd w:val="clear" w:color="auto" w:fill="D9D9D9"/>
          </w:tcPr>
          <w:p>
            <w:pPr>
              <w:rPr>
                <w:sz w:val="2"/>
                <w:szCs w:val="2"/>
              </w:rPr>
            </w:pPr>
          </w:p>
        </w:tc>
      </w:tr>
      <w:tr>
        <w:trPr>
          <w:trHeight w:val="260" w:hRule="atLeast"/>
        </w:trPr>
        <w:tc>
          <w:tcPr>
            <w:tcW w:w="3120" w:type="dxa"/>
            <w:tcBorders>
              <w:left w:val="single" w:sz="4" w:space="0" w:color="DF2F1E"/>
              <w:bottom w:val="single" w:sz="4" w:space="0" w:color="DF2F1E"/>
              <w:right w:val="single" w:sz="4" w:space="0" w:color="DF2F1E"/>
            </w:tcBorders>
          </w:tcPr>
          <w:p>
            <w:pPr>
              <w:pStyle w:val="TableParagraph"/>
              <w:spacing w:before="31"/>
              <w:ind w:left="57"/>
              <w:rPr>
                <w:b/>
                <w:sz w:val="16"/>
              </w:rPr>
            </w:pPr>
            <w:r>
              <w:rPr>
                <w:b/>
                <w:color w:val="404040"/>
                <w:sz w:val="16"/>
              </w:rPr>
              <w:t>Jun-18 Total Lifetime Cost</w:t>
            </w:r>
          </w:p>
        </w:tc>
        <w:tc>
          <w:tcPr>
            <w:tcW w:w="1270" w:type="dxa"/>
            <w:tcBorders>
              <w:left w:val="single" w:sz="4" w:space="0" w:color="DF2F1E"/>
              <w:bottom w:val="single" w:sz="4" w:space="0" w:color="DF2F1E"/>
              <w:right w:val="single" w:sz="4" w:space="0" w:color="DF2F1E"/>
            </w:tcBorders>
          </w:tcPr>
          <w:p>
            <w:pPr>
              <w:pStyle w:val="TableParagraph"/>
              <w:spacing w:before="34"/>
              <w:ind w:left="88" w:right="72"/>
              <w:jc w:val="center"/>
              <w:rPr>
                <w:sz w:val="16"/>
              </w:rPr>
            </w:pPr>
            <w:r>
              <w:rPr>
                <w:color w:val="404040"/>
                <w:sz w:val="16"/>
              </w:rPr>
              <w:t>$354bn</w:t>
            </w:r>
          </w:p>
        </w:tc>
        <w:tc>
          <w:tcPr>
            <w:tcW w:w="5109" w:type="dxa"/>
            <w:gridSpan w:val="4"/>
            <w:vMerge/>
            <w:tcBorders>
              <w:top w:val="nil"/>
              <w:left w:val="single" w:sz="4" w:space="0" w:color="DF2F1E"/>
              <w:bottom w:val="single" w:sz="4" w:space="0" w:color="DF2F1E"/>
              <w:right w:val="single" w:sz="4" w:space="0" w:color="DF2F1E"/>
            </w:tcBorders>
            <w:shd w:val="clear" w:color="auto" w:fill="D9D9D9"/>
          </w:tcPr>
          <w:p>
            <w:pPr>
              <w:rPr>
                <w:sz w:val="2"/>
                <w:szCs w:val="2"/>
              </w:rPr>
            </w:pPr>
          </w:p>
        </w:tc>
      </w:tr>
      <w:tr>
        <w:trPr>
          <w:trHeight w:val="266" w:hRule="atLeast"/>
        </w:trPr>
        <w:tc>
          <w:tcPr>
            <w:tcW w:w="3120" w:type="dxa"/>
            <w:tcBorders>
              <w:top w:val="single" w:sz="4" w:space="0" w:color="DF2F1E"/>
              <w:left w:val="single" w:sz="4" w:space="0" w:color="DF2F1E"/>
              <w:bottom w:val="single" w:sz="4" w:space="0" w:color="DF2F1E"/>
              <w:right w:val="single" w:sz="4" w:space="0" w:color="DF2F1E"/>
            </w:tcBorders>
          </w:tcPr>
          <w:p>
            <w:pPr>
              <w:pStyle w:val="TableParagraph"/>
              <w:spacing w:before="33"/>
              <w:ind w:left="57"/>
              <w:rPr>
                <w:b/>
                <w:sz w:val="10"/>
              </w:rPr>
            </w:pPr>
            <w:r>
              <w:rPr>
                <w:b/>
                <w:color w:val="404040"/>
                <w:sz w:val="16"/>
              </w:rPr>
              <w:t>Change in Total Lifetime Cost</w:t>
            </w:r>
            <w:r>
              <w:rPr>
                <w:b/>
                <w:color w:val="404040"/>
                <w:position w:val="6"/>
                <w:sz w:val="10"/>
              </w:rPr>
              <w:t>2</w:t>
            </w:r>
          </w:p>
        </w:tc>
        <w:tc>
          <w:tcPr>
            <w:tcW w:w="1270" w:type="dxa"/>
            <w:tcBorders>
              <w:top w:val="single" w:sz="4" w:space="0" w:color="DF2F1E"/>
              <w:left w:val="single" w:sz="4" w:space="0" w:color="DF2F1E"/>
              <w:bottom w:val="single" w:sz="4" w:space="0" w:color="DF2F1E"/>
              <w:right w:val="single" w:sz="4" w:space="0" w:color="DF2F1E"/>
            </w:tcBorders>
          </w:tcPr>
          <w:p>
            <w:pPr>
              <w:pStyle w:val="TableParagraph"/>
              <w:spacing w:before="39"/>
              <w:ind w:left="39" w:right="23"/>
              <w:jc w:val="center"/>
              <w:rPr>
                <w:sz w:val="16"/>
              </w:rPr>
            </w:pPr>
            <w:r>
              <w:rPr>
                <w:color w:val="404040"/>
                <w:sz w:val="16"/>
              </w:rPr>
              <w:t>-$49bn (-12.1%)</w:t>
            </w:r>
          </w:p>
        </w:tc>
        <w:tc>
          <w:tcPr>
            <w:tcW w:w="5109" w:type="dxa"/>
            <w:gridSpan w:val="4"/>
            <w:vMerge/>
            <w:tcBorders>
              <w:top w:val="nil"/>
              <w:left w:val="single" w:sz="4" w:space="0" w:color="DF2F1E"/>
              <w:bottom w:val="single" w:sz="4" w:space="0" w:color="DF2F1E"/>
              <w:right w:val="single" w:sz="4" w:space="0" w:color="DF2F1E"/>
            </w:tcBorders>
            <w:shd w:val="clear" w:color="auto" w:fill="D9D9D9"/>
          </w:tcPr>
          <w:p>
            <w:pPr>
              <w:rPr>
                <w:sz w:val="2"/>
                <w:szCs w:val="2"/>
              </w:rPr>
            </w:pPr>
          </w:p>
        </w:tc>
      </w:tr>
      <w:tr>
        <w:trPr>
          <w:trHeight w:val="263" w:hRule="atLeast"/>
        </w:trPr>
        <w:tc>
          <w:tcPr>
            <w:tcW w:w="3120" w:type="dxa"/>
            <w:tcBorders>
              <w:top w:val="single" w:sz="4" w:space="0" w:color="DF2F1E"/>
              <w:left w:val="single" w:sz="4" w:space="0" w:color="DF2F1E"/>
              <w:bottom w:val="single" w:sz="4" w:space="0" w:color="DF2F1E"/>
              <w:right w:val="single" w:sz="4" w:space="0" w:color="DF2F1E"/>
            </w:tcBorders>
          </w:tcPr>
          <w:p>
            <w:pPr>
              <w:pStyle w:val="TableParagraph"/>
              <w:spacing w:before="34"/>
              <w:ind w:left="57"/>
              <w:rPr>
                <w:b/>
                <w:sz w:val="16"/>
              </w:rPr>
            </w:pPr>
            <w:r>
              <w:rPr>
                <w:b/>
                <w:color w:val="404040"/>
                <w:sz w:val="16"/>
              </w:rPr>
              <w:t>Change due to People in Class</w:t>
            </w:r>
          </w:p>
        </w:tc>
        <w:tc>
          <w:tcPr>
            <w:tcW w:w="1270" w:type="dxa"/>
            <w:tcBorders>
              <w:top w:val="single" w:sz="4" w:space="0" w:color="DF2F1E"/>
              <w:left w:val="single" w:sz="4" w:space="0" w:color="DF2F1E"/>
              <w:bottom w:val="single" w:sz="4" w:space="0" w:color="DF2F1E"/>
              <w:right w:val="single" w:sz="4" w:space="0" w:color="DF2F1E"/>
            </w:tcBorders>
          </w:tcPr>
          <w:p>
            <w:pPr>
              <w:pStyle w:val="TableParagraph"/>
              <w:ind w:left="88" w:right="72"/>
              <w:jc w:val="center"/>
              <w:rPr>
                <w:sz w:val="16"/>
              </w:rPr>
            </w:pPr>
            <w:r>
              <w:rPr>
                <w:color w:val="404040"/>
                <w:sz w:val="16"/>
              </w:rPr>
              <w:t>-0.3%</w:t>
            </w:r>
          </w:p>
        </w:tc>
        <w:tc>
          <w:tcPr>
            <w:tcW w:w="5109" w:type="dxa"/>
            <w:gridSpan w:val="4"/>
            <w:vMerge/>
            <w:tcBorders>
              <w:top w:val="nil"/>
              <w:left w:val="single" w:sz="4" w:space="0" w:color="DF2F1E"/>
              <w:bottom w:val="single" w:sz="4" w:space="0" w:color="DF2F1E"/>
              <w:right w:val="single" w:sz="4" w:space="0" w:color="DF2F1E"/>
            </w:tcBorders>
            <w:shd w:val="clear" w:color="auto" w:fill="D9D9D9"/>
          </w:tcPr>
          <w:p>
            <w:pPr>
              <w:rPr>
                <w:sz w:val="2"/>
                <w:szCs w:val="2"/>
              </w:rPr>
            </w:pPr>
          </w:p>
        </w:tc>
      </w:tr>
      <w:tr>
        <w:trPr>
          <w:trHeight w:val="262" w:hRule="atLeast"/>
        </w:trPr>
        <w:tc>
          <w:tcPr>
            <w:tcW w:w="3120" w:type="dxa"/>
            <w:tcBorders>
              <w:top w:val="single" w:sz="4" w:space="0" w:color="DF2F1E"/>
              <w:left w:val="single" w:sz="4" w:space="0" w:color="DF2F1E"/>
              <w:right w:val="single" w:sz="4" w:space="0" w:color="DF2F1E"/>
            </w:tcBorders>
          </w:tcPr>
          <w:p>
            <w:pPr>
              <w:pStyle w:val="TableParagraph"/>
              <w:spacing w:before="31"/>
              <w:ind w:left="57"/>
              <w:rPr>
                <w:b/>
                <w:sz w:val="10"/>
              </w:rPr>
            </w:pPr>
            <w:r>
              <w:rPr>
                <w:b/>
                <w:color w:val="404040"/>
                <w:sz w:val="16"/>
              </w:rPr>
              <w:t>Change due to Average Lifetime Cost</w:t>
            </w:r>
            <w:r>
              <w:rPr>
                <w:b/>
                <w:color w:val="404040"/>
                <w:position w:val="6"/>
                <w:sz w:val="10"/>
              </w:rPr>
              <w:t>2</w:t>
            </w:r>
          </w:p>
        </w:tc>
        <w:tc>
          <w:tcPr>
            <w:tcW w:w="1270" w:type="dxa"/>
            <w:tcBorders>
              <w:top w:val="single" w:sz="4" w:space="0" w:color="DF2F1E"/>
              <w:left w:val="single" w:sz="4" w:space="0" w:color="DF2F1E"/>
              <w:right w:val="single" w:sz="4" w:space="0" w:color="DF2F1E"/>
            </w:tcBorders>
          </w:tcPr>
          <w:p>
            <w:pPr>
              <w:pStyle w:val="TableParagraph"/>
              <w:ind w:left="39" w:right="23"/>
              <w:jc w:val="center"/>
              <w:rPr>
                <w:sz w:val="16"/>
              </w:rPr>
            </w:pPr>
            <w:r>
              <w:rPr>
                <w:color w:val="404040"/>
                <w:sz w:val="16"/>
              </w:rPr>
              <w:t>-$31k (-11.8%)</w:t>
            </w:r>
          </w:p>
        </w:tc>
        <w:tc>
          <w:tcPr>
            <w:tcW w:w="1248" w:type="dxa"/>
            <w:tcBorders>
              <w:top w:val="single" w:sz="4" w:space="0" w:color="DF2F1E"/>
              <w:left w:val="single" w:sz="4" w:space="0" w:color="DF2F1E"/>
            </w:tcBorders>
          </w:tcPr>
          <w:p>
            <w:pPr>
              <w:pStyle w:val="TableParagraph"/>
              <w:ind w:left="469"/>
              <w:rPr>
                <w:sz w:val="16"/>
              </w:rPr>
            </w:pPr>
            <w:r>
              <w:rPr>
                <w:color w:val="404040"/>
                <w:sz w:val="16"/>
              </w:rPr>
              <w:t>-$7k</w:t>
            </w:r>
          </w:p>
        </w:tc>
        <w:tc>
          <w:tcPr>
            <w:tcW w:w="1238" w:type="dxa"/>
            <w:tcBorders>
              <w:top w:val="single" w:sz="4" w:space="0" w:color="DF2F1E"/>
              <w:right w:val="dashSmallGap" w:sz="4" w:space="0" w:color="DF2F1E"/>
            </w:tcBorders>
          </w:tcPr>
          <w:p>
            <w:pPr>
              <w:pStyle w:val="TableParagraph"/>
              <w:ind w:left="400" w:right="391"/>
              <w:jc w:val="center"/>
              <w:rPr>
                <w:sz w:val="16"/>
              </w:rPr>
            </w:pPr>
            <w:r>
              <w:rPr>
                <w:color w:val="404040"/>
                <w:sz w:val="16"/>
              </w:rPr>
              <w:t>-$21k</w:t>
            </w:r>
          </w:p>
        </w:tc>
        <w:tc>
          <w:tcPr>
            <w:tcW w:w="1312" w:type="dxa"/>
            <w:tcBorders>
              <w:top w:val="single" w:sz="4" w:space="0" w:color="DF2F1E"/>
              <w:left w:val="dashSmallGap" w:sz="4" w:space="0" w:color="DF2F1E"/>
            </w:tcBorders>
          </w:tcPr>
          <w:p>
            <w:pPr>
              <w:pStyle w:val="TableParagraph"/>
              <w:ind w:left="458" w:right="456"/>
              <w:jc w:val="center"/>
              <w:rPr>
                <w:sz w:val="16"/>
              </w:rPr>
            </w:pPr>
            <w:r>
              <w:rPr>
                <w:color w:val="A6A6A6"/>
                <w:sz w:val="16"/>
              </w:rPr>
              <w:t>&lt;$1k</w:t>
            </w:r>
          </w:p>
        </w:tc>
        <w:tc>
          <w:tcPr>
            <w:tcW w:w="1311" w:type="dxa"/>
            <w:tcBorders>
              <w:top w:val="single" w:sz="4" w:space="0" w:color="DF2F1E"/>
              <w:right w:val="single" w:sz="4" w:space="0" w:color="DF2F1E"/>
            </w:tcBorders>
          </w:tcPr>
          <w:p>
            <w:pPr>
              <w:pStyle w:val="TableParagraph"/>
              <w:ind w:right="491"/>
              <w:jc w:val="right"/>
              <w:rPr>
                <w:sz w:val="16"/>
              </w:rPr>
            </w:pPr>
            <w:r>
              <w:rPr>
                <w:color w:val="404040"/>
                <w:sz w:val="16"/>
              </w:rPr>
              <w:t>-$3k</w:t>
            </w:r>
          </w:p>
        </w:tc>
      </w:tr>
      <w:tr>
        <w:trPr>
          <w:trHeight w:val="263" w:hRule="atLeast"/>
        </w:trPr>
        <w:tc>
          <w:tcPr>
            <w:tcW w:w="3120" w:type="dxa"/>
            <w:tcBorders>
              <w:left w:val="single" w:sz="4" w:space="0" w:color="DF2F1E"/>
              <w:right w:val="single" w:sz="4" w:space="0" w:color="DF2F1E"/>
            </w:tcBorders>
          </w:tcPr>
          <w:p>
            <w:pPr>
              <w:pStyle w:val="TableParagraph"/>
              <w:spacing w:before="36"/>
              <w:ind w:left="57"/>
              <w:rPr>
                <w:b/>
                <w:sz w:val="16"/>
              </w:rPr>
            </w:pPr>
            <w:r>
              <w:rPr>
                <w:b/>
                <w:color w:val="404040"/>
                <w:sz w:val="16"/>
              </w:rPr>
              <w:t>- Impact of change in inflation</w:t>
            </w:r>
          </w:p>
        </w:tc>
        <w:tc>
          <w:tcPr>
            <w:tcW w:w="1270" w:type="dxa"/>
            <w:tcBorders>
              <w:left w:val="single" w:sz="4" w:space="0" w:color="DF2F1E"/>
              <w:right w:val="single" w:sz="4" w:space="0" w:color="DF2F1E"/>
            </w:tcBorders>
          </w:tcPr>
          <w:p>
            <w:pPr>
              <w:pStyle w:val="TableParagraph"/>
              <w:spacing w:before="39"/>
              <w:ind w:left="88" w:right="72"/>
              <w:jc w:val="center"/>
              <w:rPr>
                <w:sz w:val="16"/>
              </w:rPr>
            </w:pPr>
            <w:r>
              <w:rPr>
                <w:color w:val="404040"/>
                <w:sz w:val="16"/>
              </w:rPr>
              <w:t>+$6k</w:t>
            </w:r>
          </w:p>
        </w:tc>
        <w:tc>
          <w:tcPr>
            <w:tcW w:w="1248" w:type="dxa"/>
            <w:tcBorders>
              <w:left w:val="single" w:sz="4" w:space="0" w:color="DF2F1E"/>
            </w:tcBorders>
          </w:tcPr>
          <w:p>
            <w:pPr>
              <w:pStyle w:val="TableParagraph"/>
              <w:spacing w:before="39"/>
              <w:ind w:left="450"/>
              <w:rPr>
                <w:sz w:val="16"/>
              </w:rPr>
            </w:pPr>
            <w:r>
              <w:rPr>
                <w:color w:val="A6A6A6"/>
                <w:sz w:val="16"/>
              </w:rPr>
              <w:t>&lt;$1k</w:t>
            </w:r>
          </w:p>
        </w:tc>
        <w:tc>
          <w:tcPr>
            <w:tcW w:w="1238" w:type="dxa"/>
            <w:tcBorders>
              <w:right w:val="dashSmallGap" w:sz="4" w:space="0" w:color="DF2F1E"/>
            </w:tcBorders>
          </w:tcPr>
          <w:p>
            <w:pPr>
              <w:pStyle w:val="TableParagraph"/>
              <w:spacing w:before="39"/>
              <w:ind w:left="400" w:right="391"/>
              <w:jc w:val="center"/>
              <w:rPr>
                <w:sz w:val="16"/>
              </w:rPr>
            </w:pPr>
            <w:r>
              <w:rPr>
                <w:color w:val="404040"/>
                <w:sz w:val="16"/>
              </w:rPr>
              <w:t>+$3k</w:t>
            </w:r>
          </w:p>
        </w:tc>
        <w:tc>
          <w:tcPr>
            <w:tcW w:w="1312" w:type="dxa"/>
            <w:tcBorders>
              <w:left w:val="dashSmallGap" w:sz="4" w:space="0" w:color="DF2F1E"/>
            </w:tcBorders>
          </w:tcPr>
          <w:p>
            <w:pPr>
              <w:pStyle w:val="TableParagraph"/>
              <w:spacing w:before="39"/>
              <w:ind w:left="458" w:right="455"/>
              <w:jc w:val="center"/>
              <w:rPr>
                <w:sz w:val="16"/>
              </w:rPr>
            </w:pPr>
            <w:r>
              <w:rPr>
                <w:color w:val="404040"/>
                <w:sz w:val="16"/>
              </w:rPr>
              <w:t>+$1k</w:t>
            </w:r>
          </w:p>
        </w:tc>
        <w:tc>
          <w:tcPr>
            <w:tcW w:w="1311" w:type="dxa"/>
            <w:tcBorders>
              <w:right w:val="single" w:sz="4" w:space="0" w:color="DF2F1E"/>
            </w:tcBorders>
          </w:tcPr>
          <w:p>
            <w:pPr>
              <w:pStyle w:val="TableParagraph"/>
              <w:spacing w:before="39"/>
              <w:ind w:right="470"/>
              <w:jc w:val="right"/>
              <w:rPr>
                <w:sz w:val="16"/>
              </w:rPr>
            </w:pPr>
            <w:r>
              <w:rPr>
                <w:color w:val="A6A6A6"/>
                <w:sz w:val="16"/>
              </w:rPr>
              <w:t>&lt;$1k</w:t>
            </w:r>
          </w:p>
        </w:tc>
      </w:tr>
      <w:tr>
        <w:trPr>
          <w:trHeight w:val="264" w:hRule="atLeast"/>
        </w:trPr>
        <w:tc>
          <w:tcPr>
            <w:tcW w:w="3120" w:type="dxa"/>
            <w:tcBorders>
              <w:left w:val="single" w:sz="4" w:space="0" w:color="DF2F1E"/>
              <w:right w:val="single" w:sz="4" w:space="0" w:color="DF2F1E"/>
            </w:tcBorders>
          </w:tcPr>
          <w:p>
            <w:pPr>
              <w:pStyle w:val="TableParagraph"/>
              <w:spacing w:before="36"/>
              <w:ind w:left="57"/>
              <w:rPr>
                <w:b/>
                <w:sz w:val="16"/>
              </w:rPr>
            </w:pPr>
            <w:r>
              <w:rPr>
                <w:b/>
                <w:color w:val="404040"/>
                <w:sz w:val="16"/>
              </w:rPr>
              <w:t>- Impact of Age Pension forecast</w:t>
            </w:r>
          </w:p>
        </w:tc>
        <w:tc>
          <w:tcPr>
            <w:tcW w:w="1270" w:type="dxa"/>
            <w:tcBorders>
              <w:left w:val="single" w:sz="4" w:space="0" w:color="DF2F1E"/>
              <w:right w:val="single" w:sz="4" w:space="0" w:color="DF2F1E"/>
            </w:tcBorders>
          </w:tcPr>
          <w:p>
            <w:pPr>
              <w:pStyle w:val="TableParagraph"/>
              <w:spacing w:before="39"/>
              <w:ind w:left="88" w:right="74"/>
              <w:jc w:val="center"/>
              <w:rPr>
                <w:sz w:val="16"/>
              </w:rPr>
            </w:pPr>
            <w:r>
              <w:rPr>
                <w:color w:val="404040"/>
                <w:sz w:val="16"/>
              </w:rPr>
              <w:t>-$7k</w:t>
            </w:r>
          </w:p>
        </w:tc>
        <w:tc>
          <w:tcPr>
            <w:tcW w:w="1248" w:type="dxa"/>
            <w:tcBorders>
              <w:left w:val="single" w:sz="4" w:space="0" w:color="DF2F1E"/>
            </w:tcBorders>
          </w:tcPr>
          <w:p>
            <w:pPr>
              <w:pStyle w:val="TableParagraph"/>
              <w:spacing w:before="39"/>
              <w:ind w:left="450"/>
              <w:rPr>
                <w:sz w:val="16"/>
              </w:rPr>
            </w:pPr>
            <w:r>
              <w:rPr>
                <w:color w:val="A6A6A6"/>
                <w:sz w:val="16"/>
              </w:rPr>
              <w:t>&lt;$1k</w:t>
            </w:r>
          </w:p>
        </w:tc>
        <w:tc>
          <w:tcPr>
            <w:tcW w:w="1238" w:type="dxa"/>
            <w:tcBorders>
              <w:right w:val="dashSmallGap" w:sz="4" w:space="0" w:color="DF2F1E"/>
            </w:tcBorders>
          </w:tcPr>
          <w:p>
            <w:pPr>
              <w:pStyle w:val="TableParagraph"/>
              <w:spacing w:before="39"/>
              <w:ind w:left="398" w:right="391"/>
              <w:jc w:val="center"/>
              <w:rPr>
                <w:sz w:val="16"/>
              </w:rPr>
            </w:pPr>
            <w:r>
              <w:rPr>
                <w:color w:val="404040"/>
                <w:sz w:val="16"/>
              </w:rPr>
              <w:t>-$6k</w:t>
            </w:r>
          </w:p>
        </w:tc>
        <w:tc>
          <w:tcPr>
            <w:tcW w:w="1312" w:type="dxa"/>
            <w:tcBorders>
              <w:left w:val="dashSmallGap" w:sz="4" w:space="0" w:color="DF2F1E"/>
            </w:tcBorders>
          </w:tcPr>
          <w:p>
            <w:pPr>
              <w:pStyle w:val="TableParagraph"/>
              <w:spacing w:before="39"/>
              <w:ind w:left="458" w:right="455"/>
              <w:jc w:val="center"/>
              <w:rPr>
                <w:sz w:val="16"/>
              </w:rPr>
            </w:pPr>
            <w:r>
              <w:rPr>
                <w:color w:val="A6A6A6"/>
                <w:sz w:val="16"/>
              </w:rPr>
              <w:t>&lt;$1k</w:t>
            </w:r>
          </w:p>
        </w:tc>
        <w:tc>
          <w:tcPr>
            <w:tcW w:w="1311" w:type="dxa"/>
            <w:tcBorders>
              <w:right w:val="single" w:sz="4" w:space="0" w:color="DF2F1E"/>
            </w:tcBorders>
          </w:tcPr>
          <w:p>
            <w:pPr>
              <w:pStyle w:val="TableParagraph"/>
              <w:spacing w:before="39"/>
              <w:ind w:right="470"/>
              <w:jc w:val="right"/>
              <w:rPr>
                <w:sz w:val="16"/>
              </w:rPr>
            </w:pPr>
            <w:r>
              <w:rPr>
                <w:color w:val="A6A6A6"/>
                <w:sz w:val="16"/>
              </w:rPr>
              <w:t>&lt;$1k</w:t>
            </w:r>
          </w:p>
        </w:tc>
      </w:tr>
      <w:tr>
        <w:trPr>
          <w:trHeight w:val="265" w:hRule="atLeast"/>
        </w:trPr>
        <w:tc>
          <w:tcPr>
            <w:tcW w:w="3120" w:type="dxa"/>
            <w:tcBorders>
              <w:left w:val="single" w:sz="4" w:space="0" w:color="DF2F1E"/>
              <w:bottom w:val="single" w:sz="4" w:space="0" w:color="DF2F1E"/>
              <w:right w:val="single" w:sz="4" w:space="0" w:color="DF2F1E"/>
            </w:tcBorders>
          </w:tcPr>
          <w:p>
            <w:pPr>
              <w:pStyle w:val="TableParagraph"/>
              <w:spacing w:before="36"/>
              <w:ind w:left="57"/>
              <w:rPr>
                <w:b/>
                <w:sz w:val="16"/>
              </w:rPr>
            </w:pPr>
            <w:r>
              <w:rPr>
                <w:b/>
                <w:color w:val="404040"/>
                <w:sz w:val="16"/>
              </w:rPr>
              <w:t>- Impact of other changes</w:t>
            </w:r>
          </w:p>
        </w:tc>
        <w:tc>
          <w:tcPr>
            <w:tcW w:w="1270" w:type="dxa"/>
            <w:tcBorders>
              <w:left w:val="single" w:sz="4" w:space="0" w:color="DF2F1E"/>
              <w:bottom w:val="single" w:sz="4" w:space="0" w:color="DF2F1E"/>
              <w:right w:val="single" w:sz="4" w:space="0" w:color="DF2F1E"/>
            </w:tcBorders>
          </w:tcPr>
          <w:p>
            <w:pPr>
              <w:pStyle w:val="TableParagraph"/>
              <w:spacing w:before="39"/>
              <w:ind w:left="88" w:right="77"/>
              <w:jc w:val="center"/>
              <w:rPr>
                <w:sz w:val="16"/>
              </w:rPr>
            </w:pPr>
            <w:r>
              <w:rPr>
                <w:color w:val="404040"/>
                <w:sz w:val="16"/>
              </w:rPr>
              <w:t>-$30k</w:t>
            </w:r>
          </w:p>
        </w:tc>
        <w:tc>
          <w:tcPr>
            <w:tcW w:w="1248" w:type="dxa"/>
            <w:tcBorders>
              <w:left w:val="single" w:sz="4" w:space="0" w:color="DF2F1E"/>
              <w:bottom w:val="single" w:sz="4" w:space="0" w:color="DF2F1E"/>
            </w:tcBorders>
          </w:tcPr>
          <w:p>
            <w:pPr>
              <w:pStyle w:val="TableParagraph"/>
              <w:spacing w:before="39"/>
              <w:ind w:left="469"/>
              <w:rPr>
                <w:sz w:val="16"/>
              </w:rPr>
            </w:pPr>
            <w:r>
              <w:rPr>
                <w:color w:val="404040"/>
                <w:sz w:val="16"/>
              </w:rPr>
              <w:t>-$8k</w:t>
            </w:r>
          </w:p>
        </w:tc>
        <w:tc>
          <w:tcPr>
            <w:tcW w:w="1238" w:type="dxa"/>
            <w:tcBorders>
              <w:bottom w:val="single" w:sz="4" w:space="0" w:color="DF2F1E"/>
              <w:right w:val="dashSmallGap" w:sz="4" w:space="0" w:color="DF2F1E"/>
            </w:tcBorders>
          </w:tcPr>
          <w:p>
            <w:pPr>
              <w:pStyle w:val="TableParagraph"/>
              <w:spacing w:before="39"/>
              <w:ind w:left="400" w:right="391"/>
              <w:jc w:val="center"/>
              <w:rPr>
                <w:sz w:val="16"/>
              </w:rPr>
            </w:pPr>
            <w:r>
              <w:rPr>
                <w:color w:val="404040"/>
                <w:sz w:val="16"/>
              </w:rPr>
              <w:t>-$19k</w:t>
            </w:r>
          </w:p>
        </w:tc>
        <w:tc>
          <w:tcPr>
            <w:tcW w:w="1312" w:type="dxa"/>
            <w:tcBorders>
              <w:left w:val="dashSmallGap" w:sz="4" w:space="0" w:color="DF2F1E"/>
              <w:bottom w:val="single" w:sz="4" w:space="0" w:color="DF2F1E"/>
            </w:tcBorders>
          </w:tcPr>
          <w:p>
            <w:pPr>
              <w:pStyle w:val="TableParagraph"/>
              <w:spacing w:before="39"/>
              <w:ind w:left="458" w:right="455"/>
              <w:jc w:val="center"/>
              <w:rPr>
                <w:sz w:val="16"/>
              </w:rPr>
            </w:pPr>
            <w:r>
              <w:rPr>
                <w:color w:val="A6A6A6"/>
                <w:sz w:val="16"/>
              </w:rPr>
              <w:t>&lt;$1k</w:t>
            </w:r>
          </w:p>
        </w:tc>
        <w:tc>
          <w:tcPr>
            <w:tcW w:w="1311" w:type="dxa"/>
            <w:tcBorders>
              <w:bottom w:val="single" w:sz="4" w:space="0" w:color="DF2F1E"/>
              <w:right w:val="single" w:sz="4" w:space="0" w:color="DF2F1E"/>
            </w:tcBorders>
          </w:tcPr>
          <w:p>
            <w:pPr>
              <w:pStyle w:val="TableParagraph"/>
              <w:spacing w:before="39"/>
              <w:ind w:right="491"/>
              <w:jc w:val="right"/>
              <w:rPr>
                <w:sz w:val="16"/>
              </w:rPr>
            </w:pPr>
            <w:r>
              <w:rPr>
                <w:color w:val="404040"/>
                <w:sz w:val="16"/>
              </w:rPr>
              <w:t>-$3k</w:t>
            </w:r>
          </w:p>
        </w:tc>
      </w:tr>
    </w:tbl>
    <w:p>
      <w:pPr>
        <w:spacing w:before="78"/>
        <w:ind w:left="900" w:right="0" w:firstLine="0"/>
        <w:jc w:val="left"/>
        <w:rPr>
          <w:sz w:val="16"/>
        </w:rPr>
      </w:pPr>
      <w:r>
        <w:rPr>
          <w:color w:val="DF2F1E"/>
          <w:sz w:val="16"/>
        </w:rPr>
        <w:t>Notes:</w:t>
      </w:r>
    </w:p>
    <w:p>
      <w:pPr>
        <w:pStyle w:val="ListParagraph"/>
        <w:numPr>
          <w:ilvl w:val="0"/>
          <w:numId w:val="63"/>
        </w:numPr>
        <w:tabs>
          <w:tab w:pos="1619" w:val="left" w:leader="none"/>
          <w:tab w:pos="1621" w:val="left" w:leader="none"/>
        </w:tabs>
        <w:spacing w:line="240" w:lineRule="auto" w:before="80" w:after="0"/>
        <w:ind w:left="1620" w:right="1555" w:hanging="361"/>
        <w:jc w:val="left"/>
        <w:rPr>
          <w:sz w:val="16"/>
        </w:rPr>
      </w:pPr>
      <w:r>
        <w:rPr>
          <w:color w:val="DF2F1E"/>
          <w:sz w:val="16"/>
        </w:rPr>
        <w:t>Note that payment categories H, I and J have been included in family supplements and the remaining non income support payment categories in other</w:t>
      </w:r>
      <w:r>
        <w:rPr>
          <w:color w:val="DF2F1E"/>
          <w:spacing w:val="-3"/>
          <w:sz w:val="16"/>
        </w:rPr>
        <w:t> </w:t>
      </w:r>
      <w:r>
        <w:rPr>
          <w:color w:val="DF2F1E"/>
          <w:sz w:val="16"/>
        </w:rPr>
        <w:t>supplements.</w:t>
      </w:r>
    </w:p>
    <w:p>
      <w:pPr>
        <w:pStyle w:val="ListParagraph"/>
        <w:numPr>
          <w:ilvl w:val="0"/>
          <w:numId w:val="63"/>
        </w:numPr>
        <w:tabs>
          <w:tab w:pos="1620" w:val="left" w:leader="none"/>
          <w:tab w:pos="1621" w:val="left" w:leader="none"/>
        </w:tabs>
        <w:spacing w:line="240" w:lineRule="auto" w:before="80" w:after="0"/>
        <w:ind w:left="1620" w:right="1484" w:hanging="361"/>
        <w:jc w:val="left"/>
        <w:rPr>
          <w:sz w:val="16"/>
        </w:rPr>
      </w:pPr>
      <w:r>
        <w:rPr>
          <w:color w:val="DF2F1E"/>
          <w:sz w:val="16"/>
        </w:rPr>
        <w:t>The June 2017 rebased Lifetime Cost represents a recalculation of the June 2017 lifetime cost, but using a discount rate of 5% p.a. for consistency with the June 2018 results. All changes are shown relative to this rebased lifetime</w:t>
      </w:r>
      <w:r>
        <w:rPr>
          <w:color w:val="DF2F1E"/>
          <w:spacing w:val="-33"/>
          <w:sz w:val="16"/>
        </w:rPr>
        <w:t> </w:t>
      </w:r>
      <w:r>
        <w:rPr>
          <w:color w:val="DF2F1E"/>
          <w:sz w:val="16"/>
        </w:rPr>
        <w:t>cost.</w:t>
      </w:r>
    </w:p>
    <w:p>
      <w:pPr>
        <w:pStyle w:val="BodyText"/>
        <w:spacing w:before="121"/>
        <w:ind w:left="900"/>
      </w:pPr>
      <w:r>
        <w:rPr>
          <w:color w:val="404040"/>
        </w:rPr>
        <w:t>The decrease in average cost is driven by:</w:t>
      </w:r>
    </w:p>
    <w:p>
      <w:pPr>
        <w:pStyle w:val="ListParagraph"/>
        <w:numPr>
          <w:ilvl w:val="0"/>
          <w:numId w:val="62"/>
        </w:numPr>
        <w:tabs>
          <w:tab w:pos="1184" w:val="left" w:leader="none"/>
        </w:tabs>
        <w:spacing w:line="240" w:lineRule="auto" w:before="118" w:after="0"/>
        <w:ind w:left="1183" w:right="0" w:hanging="284"/>
        <w:jc w:val="left"/>
        <w:rPr>
          <w:rFonts w:ascii="Symbol" w:hAnsi="Symbol"/>
          <w:sz w:val="20"/>
        </w:rPr>
      </w:pPr>
      <w:r>
        <w:rPr>
          <w:color w:val="404040"/>
          <w:sz w:val="20"/>
        </w:rPr>
        <w:t>a decrease of the projected use of pre-retirement income</w:t>
      </w:r>
      <w:r>
        <w:rPr>
          <w:color w:val="404040"/>
          <w:spacing w:val="-2"/>
          <w:sz w:val="20"/>
        </w:rPr>
        <w:t> </w:t>
      </w:r>
      <w:r>
        <w:rPr>
          <w:color w:val="404040"/>
          <w:sz w:val="20"/>
        </w:rPr>
        <w:t>support;</w:t>
      </w:r>
    </w:p>
    <w:p>
      <w:pPr>
        <w:pStyle w:val="ListParagraph"/>
        <w:numPr>
          <w:ilvl w:val="0"/>
          <w:numId w:val="62"/>
        </w:numPr>
        <w:tabs>
          <w:tab w:pos="1184" w:val="left" w:leader="none"/>
        </w:tabs>
        <w:spacing w:line="240" w:lineRule="auto" w:before="120" w:after="0"/>
        <w:ind w:left="1183" w:right="1557" w:hanging="284"/>
        <w:jc w:val="left"/>
        <w:rPr>
          <w:rFonts w:ascii="Symbol" w:hAnsi="Symbol"/>
          <w:sz w:val="20"/>
        </w:rPr>
      </w:pPr>
      <w:r>
        <w:rPr>
          <w:color w:val="404040"/>
          <w:sz w:val="20"/>
        </w:rPr>
        <w:t>a</w:t>
      </w:r>
      <w:r>
        <w:rPr>
          <w:color w:val="404040"/>
          <w:spacing w:val="-5"/>
          <w:sz w:val="20"/>
        </w:rPr>
        <w:t> </w:t>
      </w:r>
      <w:r>
        <w:rPr>
          <w:color w:val="404040"/>
          <w:sz w:val="20"/>
        </w:rPr>
        <w:t>flow</w:t>
      </w:r>
      <w:r>
        <w:rPr>
          <w:color w:val="404040"/>
          <w:spacing w:val="-6"/>
          <w:sz w:val="20"/>
        </w:rPr>
        <w:t> </w:t>
      </w:r>
      <w:r>
        <w:rPr>
          <w:color w:val="404040"/>
          <w:sz w:val="20"/>
        </w:rPr>
        <w:t>on</w:t>
      </w:r>
      <w:r>
        <w:rPr>
          <w:color w:val="404040"/>
          <w:spacing w:val="-4"/>
          <w:sz w:val="20"/>
        </w:rPr>
        <w:t> </w:t>
      </w:r>
      <w:r>
        <w:rPr>
          <w:color w:val="404040"/>
          <w:sz w:val="20"/>
        </w:rPr>
        <w:t>decrease</w:t>
      </w:r>
      <w:r>
        <w:rPr>
          <w:color w:val="404040"/>
          <w:spacing w:val="-4"/>
          <w:sz w:val="20"/>
        </w:rPr>
        <w:t> </w:t>
      </w:r>
      <w:r>
        <w:rPr>
          <w:color w:val="404040"/>
          <w:sz w:val="20"/>
        </w:rPr>
        <w:t>to</w:t>
      </w:r>
      <w:r>
        <w:rPr>
          <w:color w:val="404040"/>
          <w:spacing w:val="-3"/>
          <w:sz w:val="20"/>
        </w:rPr>
        <w:t> </w:t>
      </w:r>
      <w:r>
        <w:rPr>
          <w:color w:val="404040"/>
          <w:sz w:val="20"/>
        </w:rPr>
        <w:t>the</w:t>
      </w:r>
      <w:r>
        <w:rPr>
          <w:color w:val="404040"/>
          <w:spacing w:val="-2"/>
          <w:sz w:val="20"/>
        </w:rPr>
        <w:t> </w:t>
      </w:r>
      <w:r>
        <w:rPr>
          <w:color w:val="404040"/>
          <w:sz w:val="20"/>
        </w:rPr>
        <w:t>likelihood</w:t>
      </w:r>
      <w:r>
        <w:rPr>
          <w:color w:val="404040"/>
          <w:spacing w:val="-3"/>
          <w:sz w:val="20"/>
        </w:rPr>
        <w:t> </w:t>
      </w:r>
      <w:r>
        <w:rPr>
          <w:color w:val="404040"/>
          <w:sz w:val="20"/>
        </w:rPr>
        <w:t>of</w:t>
      </w:r>
      <w:r>
        <w:rPr>
          <w:color w:val="404040"/>
          <w:spacing w:val="-2"/>
          <w:sz w:val="20"/>
        </w:rPr>
        <w:t> </w:t>
      </w:r>
      <w:r>
        <w:rPr>
          <w:color w:val="404040"/>
          <w:sz w:val="20"/>
        </w:rPr>
        <w:t>subsequently</w:t>
      </w:r>
      <w:r>
        <w:rPr>
          <w:color w:val="404040"/>
          <w:spacing w:val="-5"/>
          <w:sz w:val="20"/>
        </w:rPr>
        <w:t> </w:t>
      </w:r>
      <w:r>
        <w:rPr>
          <w:color w:val="404040"/>
          <w:sz w:val="20"/>
        </w:rPr>
        <w:t>transitioning</w:t>
      </w:r>
      <w:r>
        <w:rPr>
          <w:color w:val="404040"/>
          <w:spacing w:val="-2"/>
          <w:sz w:val="20"/>
        </w:rPr>
        <w:t> </w:t>
      </w:r>
      <w:r>
        <w:rPr>
          <w:color w:val="404040"/>
          <w:sz w:val="20"/>
        </w:rPr>
        <w:t>to</w:t>
      </w:r>
      <w:r>
        <w:rPr>
          <w:color w:val="404040"/>
          <w:spacing w:val="-1"/>
          <w:sz w:val="20"/>
        </w:rPr>
        <w:t> </w:t>
      </w:r>
      <w:r>
        <w:rPr>
          <w:color w:val="404040"/>
          <w:sz w:val="20"/>
        </w:rPr>
        <w:t>Age</w:t>
      </w:r>
      <w:r>
        <w:rPr>
          <w:color w:val="404040"/>
          <w:spacing w:val="-4"/>
          <w:sz w:val="20"/>
        </w:rPr>
        <w:t> </w:t>
      </w:r>
      <w:r>
        <w:rPr>
          <w:color w:val="404040"/>
          <w:sz w:val="20"/>
        </w:rPr>
        <w:t>Pension,</w:t>
      </w:r>
      <w:r>
        <w:rPr>
          <w:color w:val="404040"/>
          <w:spacing w:val="-3"/>
          <w:sz w:val="20"/>
        </w:rPr>
        <w:t> </w:t>
      </w:r>
      <w:r>
        <w:rPr>
          <w:color w:val="404040"/>
          <w:sz w:val="20"/>
        </w:rPr>
        <w:t>combined</w:t>
      </w:r>
      <w:r>
        <w:rPr>
          <w:color w:val="404040"/>
          <w:spacing w:val="-2"/>
          <w:sz w:val="20"/>
        </w:rPr>
        <w:t> </w:t>
      </w:r>
      <w:r>
        <w:rPr>
          <w:color w:val="404040"/>
          <w:sz w:val="20"/>
        </w:rPr>
        <w:t>with</w:t>
      </w:r>
      <w:r>
        <w:rPr>
          <w:color w:val="404040"/>
          <w:spacing w:val="-2"/>
          <w:sz w:val="20"/>
        </w:rPr>
        <w:t> </w:t>
      </w:r>
      <w:r>
        <w:rPr>
          <w:color w:val="404040"/>
          <w:sz w:val="20"/>
        </w:rPr>
        <w:t>lower assumptions for direct entry into Age</w:t>
      </w:r>
      <w:r>
        <w:rPr>
          <w:color w:val="404040"/>
          <w:spacing w:val="-2"/>
          <w:sz w:val="20"/>
        </w:rPr>
        <w:t> </w:t>
      </w:r>
      <w:r>
        <w:rPr>
          <w:color w:val="404040"/>
          <w:sz w:val="20"/>
        </w:rPr>
        <w:t>Pension;</w:t>
      </w:r>
    </w:p>
    <w:p>
      <w:pPr>
        <w:pStyle w:val="ListParagraph"/>
        <w:numPr>
          <w:ilvl w:val="0"/>
          <w:numId w:val="62"/>
        </w:numPr>
        <w:tabs>
          <w:tab w:pos="1184" w:val="left" w:leader="none"/>
        </w:tabs>
        <w:spacing w:line="240" w:lineRule="auto" w:before="118" w:after="0"/>
        <w:ind w:left="1183" w:right="0" w:hanging="284"/>
        <w:jc w:val="left"/>
        <w:rPr>
          <w:rFonts w:ascii="Symbol" w:hAnsi="Symbol"/>
          <w:sz w:val="20"/>
        </w:rPr>
      </w:pPr>
      <w:r>
        <w:rPr>
          <w:color w:val="404040"/>
          <w:sz w:val="20"/>
        </w:rPr>
        <w:t>a further decrease in projected Age Pension use as a result of the change to the Age Pension forecast;</w:t>
      </w:r>
      <w:r>
        <w:rPr>
          <w:color w:val="404040"/>
          <w:spacing w:val="-19"/>
          <w:sz w:val="20"/>
        </w:rPr>
        <w:t> </w:t>
      </w:r>
      <w:r>
        <w:rPr>
          <w:color w:val="404040"/>
          <w:sz w:val="20"/>
        </w:rPr>
        <w:t>and</w:t>
      </w:r>
    </w:p>
    <w:p>
      <w:pPr>
        <w:pStyle w:val="ListParagraph"/>
        <w:numPr>
          <w:ilvl w:val="0"/>
          <w:numId w:val="62"/>
        </w:numPr>
        <w:tabs>
          <w:tab w:pos="1185" w:val="left" w:leader="none"/>
        </w:tabs>
        <w:spacing w:line="240" w:lineRule="auto" w:before="117" w:after="0"/>
        <w:ind w:left="1184" w:right="1374" w:hanging="284"/>
        <w:jc w:val="left"/>
        <w:rPr>
          <w:rFonts w:ascii="Symbol" w:hAnsi="Symbol"/>
          <w:sz w:val="20"/>
        </w:rPr>
      </w:pPr>
      <w:r>
        <w:rPr>
          <w:color w:val="404040"/>
          <w:sz w:val="20"/>
        </w:rPr>
        <w:t>a decrease in the expected amount of supplements received, primarily as a consequence of the reduced projected use of income support</w:t>
      </w:r>
      <w:r>
        <w:rPr>
          <w:color w:val="404040"/>
          <w:spacing w:val="-2"/>
          <w:sz w:val="20"/>
        </w:rPr>
        <w:t> </w:t>
      </w:r>
      <w:r>
        <w:rPr>
          <w:color w:val="404040"/>
          <w:sz w:val="20"/>
        </w:rPr>
        <w:t>payments.</w:t>
      </w:r>
    </w:p>
    <w:p>
      <w:pPr>
        <w:pStyle w:val="BodyText"/>
        <w:spacing w:before="122"/>
        <w:ind w:left="901"/>
      </w:pPr>
      <w:r>
        <w:rPr>
          <w:color w:val="404040"/>
        </w:rPr>
        <w:t>These decreases have been partially offset by an increase in the cost of future payments as a result of inflation.</w:t>
      </w:r>
    </w:p>
    <w:p>
      <w:pPr>
        <w:pStyle w:val="BodyText"/>
        <w:spacing w:before="118"/>
        <w:ind w:left="900" w:right="1265"/>
      </w:pPr>
      <w:r>
        <w:rPr>
          <w:color w:val="404040"/>
        </w:rPr>
        <w:t>The decrease in lifetime cost is particularly large for this class, as we are now modelling geographical factors which show that people in this class are more likely than average to live in higher SEIFA (more advantaged) locations – section </w:t>
      </w:r>
      <w:hyperlink w:history="true" w:anchor="_bookmark13">
        <w:r>
          <w:rPr>
            <w:color w:val="404040"/>
          </w:rPr>
          <w:t>2.2 </w:t>
        </w:r>
      </w:hyperlink>
      <w:r>
        <w:rPr>
          <w:color w:val="404040"/>
        </w:rPr>
        <w:t>(and this is in contrast to most of the other active classes). This in turn acts to reduce the likelihood of future income support use.</w:t>
      </w:r>
    </w:p>
    <w:p>
      <w:pPr>
        <w:pStyle w:val="BodyText"/>
        <w:spacing w:before="10"/>
      </w:pPr>
    </w:p>
    <w:p>
      <w:pPr>
        <w:pStyle w:val="Heading6"/>
        <w:rPr>
          <w:i/>
        </w:rPr>
      </w:pPr>
      <w:r>
        <w:rPr>
          <w:i/>
          <w:color w:val="DF2F1E"/>
        </w:rPr>
        <w:t>Future outcomes</w:t>
      </w:r>
    </w:p>
    <w:p>
      <w:pPr>
        <w:pStyle w:val="BodyText"/>
        <w:spacing w:before="121"/>
        <w:ind w:left="900" w:right="1275"/>
      </w:pPr>
      <w:r>
        <w:rPr>
          <w:color w:val="404040"/>
        </w:rPr>
        <w:t>In developing the valuation results, the projection model produces information on the expected transitions for people out of each class, as shown below.</w:t>
      </w:r>
    </w:p>
    <w:p>
      <w:pPr>
        <w:pStyle w:val="Heading9"/>
        <w:spacing w:before="176"/>
      </w:pPr>
      <w:r>
        <w:rPr>
          <w:color w:val="DF2F1E"/>
        </w:rPr>
        <w:t>Figure 83: Expected future trajectory for people in class 7</w:t>
      </w:r>
    </w:p>
    <w:p>
      <w:pPr>
        <w:spacing w:after="0"/>
        <w:sectPr>
          <w:pgSz w:w="11910" w:h="16850"/>
          <w:pgMar w:header="572" w:footer="581" w:top="780" w:bottom="780" w:left="120" w:right="0"/>
        </w:sectPr>
      </w:pPr>
    </w:p>
    <w:p>
      <w:pPr>
        <w:pStyle w:val="BodyText"/>
        <w:spacing w:before="2"/>
        <w:rPr>
          <w:b/>
          <w:sz w:val="14"/>
        </w:rPr>
      </w:pPr>
    </w:p>
    <w:p>
      <w:pPr>
        <w:spacing w:before="0"/>
        <w:ind w:left="0" w:right="980" w:firstLine="0"/>
        <w:jc w:val="right"/>
        <w:rPr>
          <w:rFonts w:ascii="Calibri"/>
          <w:sz w:val="15"/>
        </w:rPr>
      </w:pPr>
      <w:r>
        <w:rPr/>
        <w:pict>
          <v:group style="position:absolute;margin-left:108.353798pt;margin-top:4.393004pt;width:246.4pt;height:119.4pt;mso-position-horizontal-relative:page;mso-position-vertical-relative:paragraph;z-index:252572672" coordorigin="2167,88" coordsize="4928,2388">
            <v:shape style="position:absolute;left:2214;top:93;width:4542;height:2323" coordorigin="2215,94" coordsize="4542,2323" path="m6756,2416l2215,2416,2215,94,2381,532,2547,805,2702,1018,2868,1208,3035,1374,3189,1516,3356,1646,3510,1765,3843,1954,3998,2037,4331,2156,4485,2203,4652,2239,4806,2262,4973,2298,5139,2322,5294,2334,5460,2357,5947,2393,6114,2393,6268,2405,6589,2405,6756,2416xe" filled="true" fillcolor="#f8a763" stroked="false">
              <v:path arrowok="t"/>
              <v:fill type="solid"/>
            </v:shape>
            <v:shape style="position:absolute;left:2214;top:93;width:4863;height:2323" coordorigin="2215,94" coordsize="4863,2323" path="m2215,94l2381,532,2547,805,2702,1018,2868,1208,3035,1374,3189,1516,3356,1646,3510,1765,3677,1860,3843,1954,3998,2037,4164,2097,4331,2156,4485,2203,4652,2239,4806,2262,4973,2298,5139,2322,5294,2334,5460,2357,5626,2369,5781,2381,5947,2393,6114,2393,6268,2405,6435,2405,6589,2405,6756,2416,6922,2416,7077,2416,6922,2416,6756,2416,2215,2416,2215,94xe" filled="false" stroked="true" strokeweight=".592871pt" strokecolor="#f8a763">
              <v:path arrowok="t"/>
              <v:stroke dashstyle="solid"/>
            </v:shape>
            <v:shape style="position:absolute;left:2868;top:1207;width:4054;height:1209" coordorigin="2868,1208" coordsize="4054,1209" path="m3189,1516l3035,1374,2868,1208,3035,1362,3189,1516xm3843,1954l3510,1765,3356,1646,3510,1753,3677,1860,3843,1954xm4164,2097l3998,2037,3843,1954,3998,2025,4164,2097xm4806,2262l4652,2239,4485,2203,4331,2156,4485,2191,4652,2227,4806,2262xm5294,2334l5139,2322,4973,2298,4806,2262,5139,2310,5294,2334xm6114,2393l5947,2393,5781,2381,5947,2381,6114,2393xm6922,2416l6756,2416,6589,2405,6756,2405,6922,2416xe" filled="true" fillcolor="#1f487c" stroked="false">
              <v:path arrowok="t"/>
              <v:fill type="solid"/>
            </v:shape>
            <v:shape style="position:absolute;left:2208;top:87;width:4874;height:2335" type="#_x0000_t75" stroked="false">
              <v:imagedata r:id="rId171" o:title=""/>
            </v:shape>
            <v:shape style="position:absolute;left:2868;top:93;width:4209;height:131" coordorigin="2868,94" coordsize="4209,131" path="m7077,224l6756,200,6589,200,6114,165,5947,165,5781,153,5626,153,5460,141,5139,141,4973,129,4652,129,4485,117,3998,117,3843,106,3035,106,2868,94,7077,94,7077,224xe" filled="true" fillcolor="#000000" stroked="false">
              <v:path arrowok="t"/>
              <v:fill type="solid"/>
            </v:shape>
            <v:shape style="position:absolute;left:2214;top:93;width:4862;height:131" coordorigin="2215,94" coordsize="4862,131" path="m2215,94l2215,94,7077,94,7077,224,6922,212,6756,200,6589,200,6435,189,6268,177,6114,165,5947,165,5781,153,5626,153,5460,141,5293,141,5139,141,4973,129,4806,129,4652,129,4485,117,4331,117,4164,117,3998,117,3843,106,3035,106,2868,94,2702,94,2547,94,2381,94,2215,94xe" filled="false" stroked="true" strokeweight=".592528pt" strokecolor="#000000">
              <v:path arrowok="t"/>
              <v:stroke dashstyle="solid"/>
            </v:shape>
            <v:line style="position:absolute" from="2209,94" to="7083,94" stroked="true" strokeweight=".592527pt" strokecolor="#000000">
              <v:stroke dashstyle="solid"/>
            </v:line>
            <v:line style="position:absolute" from="2215,2417" to="2215,94" stroked="true" strokeweight=".594376pt" strokecolor="#858585">
              <v:stroke dashstyle="solid"/>
            </v:line>
            <v:shape style="position:absolute;left:0;top:5360;width:13369;height:655053" coordorigin="0,5360" coordsize="13369,655053" path="m2167,2416l2215,2416m2167,2191l2215,2191m2167,1954l2215,1954m2167,1729l2215,1729m2167,1492l2215,1492m2167,1255l2215,1255m2167,1030l2215,1030m2167,793l2215,793m2167,556l2215,556m2167,331l2215,331m2167,94l2215,94e" filled="false" stroked="true" strokeweight=".593448pt" strokecolor="#858585">
              <v:path arrowok="t"/>
              <v:stroke dashstyle="solid"/>
            </v:shape>
            <v:shape style="position:absolute;left:0;top:-2644;width:654744;height:8005" coordorigin="0,-2644" coordsize="654744,8005" path="m2215,2417l7077,2417m2215,2417l2215,2476m2381,2417l2381,2476m2547,2417l2547,2476m2702,2417l2702,2476m2868,2417l2868,2476m3035,2417l3035,2476m3189,2417l3189,2476m3356,2417l3356,2476m3510,2417l3510,2476m3677,2417l3677,2476m3843,2417l3843,2476m3998,2417l3998,2476m4164,2417l4164,2476m4331,2417l4331,2476m4485,2417l4485,2476m4652,2417l4652,2476m4806,2417l4806,2476m4973,2417l4973,2476m5139,2417l5139,2476m5293,2417l5293,2476m5460,2417l5460,2476m5626,2417l5626,2476m5781,2417l5781,2476m5947,2417l5947,2476m6114,2417l6114,2476m6268,2417l6268,2476m6435,2417l6435,2476m6589,2417l6589,2476m6756,2417l6756,2476m6922,2417l6922,2476m7077,2417l7077,2476e" filled="false" stroked="true" strokeweight=".593451pt" strokecolor="#858585">
              <v:path arrowok="t"/>
              <v:stroke dashstyle="solid"/>
            </v:shape>
            <v:shape style="position:absolute;left:2220;top:99;width:4863;height:1754" coordorigin="2221,100" coordsize="4863,1754" path="m2221,100l2387,396,2542,609,2708,799,2863,953,3029,1107,3195,1237,3350,1356,3516,1451,3683,1545,3837,1628,4004,1688,4158,1747,4325,1783,4491,1818,4646,1830,4812,1842,4979,1854,5133,1842,5299,1830,5454,1818,5620,1783,5787,1759,5941,1711,6108,1676,6274,1628,6429,1581,6595,1522,6762,1474,6916,1427,7083,1368e" filled="false" stroked="true" strokeweight="1.185487pt" strokecolor="#ffffff">
              <v:path arrowok="t"/>
              <v:stroke dashstyle="longdash"/>
            </v:shape>
            <w10:wrap type="none"/>
          </v:group>
        </w:pict>
      </w:r>
      <w:r>
        <w:rPr>
          <w:rFonts w:ascii="Calibri"/>
          <w:sz w:val="15"/>
        </w:rPr>
        <w:t>100%</w:t>
      </w:r>
    </w:p>
    <w:p>
      <w:pPr>
        <w:spacing w:before="49"/>
        <w:ind w:left="0" w:right="971" w:firstLine="0"/>
        <w:jc w:val="right"/>
        <w:rPr>
          <w:rFonts w:ascii="Calibri"/>
          <w:sz w:val="15"/>
        </w:rPr>
      </w:pPr>
      <w:r>
        <w:rPr/>
        <w:pict>
          <v:shape style="position:absolute;margin-left:74.805725pt;margin-top:8.102308pt;width:9.75pt;height:91.05pt;mso-position-horizontal-relative:page;mso-position-vertical-relative:paragraph;z-index:252575744" type="#_x0000_t202" filled="false" stroked="false">
            <v:textbox inset="0,0,0,0" style="layout-flow:vertical;mso-layout-flow-alt:bottom-to-top">
              <w:txbxContent>
                <w:p>
                  <w:pPr>
                    <w:spacing w:line="176" w:lineRule="exact" w:before="0"/>
                    <w:ind w:left="20" w:right="0" w:firstLine="0"/>
                    <w:jc w:val="left"/>
                    <w:rPr>
                      <w:rFonts w:ascii="Calibri"/>
                      <w:b/>
                      <w:sz w:val="15"/>
                    </w:rPr>
                  </w:pPr>
                  <w:r>
                    <w:rPr>
                      <w:rFonts w:ascii="Calibri"/>
                      <w:b/>
                      <w:w w:val="105"/>
                      <w:sz w:val="15"/>
                    </w:rPr>
                    <w:t>Proportion In Welfare Class</w:t>
                  </w:r>
                </w:p>
              </w:txbxContent>
            </v:textbox>
            <w10:wrap type="none"/>
          </v:shape>
        </w:pict>
      </w:r>
      <w:r>
        <w:rPr>
          <w:rFonts w:ascii="Calibri"/>
          <w:spacing w:val="2"/>
          <w:sz w:val="15"/>
        </w:rPr>
        <w:t>90%</w:t>
      </w:r>
    </w:p>
    <w:p>
      <w:pPr>
        <w:spacing w:before="50"/>
        <w:ind w:left="0" w:right="971" w:firstLine="0"/>
        <w:jc w:val="right"/>
        <w:rPr>
          <w:rFonts w:ascii="Calibri"/>
          <w:sz w:val="15"/>
        </w:rPr>
      </w:pPr>
      <w:r>
        <w:rPr>
          <w:rFonts w:ascii="Calibri"/>
          <w:spacing w:val="2"/>
          <w:sz w:val="15"/>
        </w:rPr>
        <w:t>80%</w:t>
      </w:r>
    </w:p>
    <w:p>
      <w:pPr>
        <w:spacing w:before="50"/>
        <w:ind w:left="0" w:right="971" w:firstLine="0"/>
        <w:jc w:val="right"/>
        <w:rPr>
          <w:rFonts w:ascii="Calibri"/>
          <w:sz w:val="15"/>
        </w:rPr>
      </w:pPr>
      <w:r>
        <w:rPr>
          <w:rFonts w:ascii="Calibri"/>
          <w:spacing w:val="2"/>
          <w:sz w:val="15"/>
        </w:rPr>
        <w:t>70%</w:t>
      </w:r>
    </w:p>
    <w:p>
      <w:pPr>
        <w:spacing w:before="50"/>
        <w:ind w:left="0" w:right="971" w:firstLine="0"/>
        <w:jc w:val="right"/>
        <w:rPr>
          <w:rFonts w:ascii="Calibri"/>
          <w:sz w:val="15"/>
        </w:rPr>
      </w:pPr>
      <w:r>
        <w:rPr>
          <w:rFonts w:ascii="Calibri"/>
          <w:spacing w:val="2"/>
          <w:sz w:val="15"/>
        </w:rPr>
        <w:t>60%</w:t>
      </w:r>
    </w:p>
    <w:p>
      <w:pPr>
        <w:spacing w:before="49"/>
        <w:ind w:left="0" w:right="971" w:firstLine="0"/>
        <w:jc w:val="right"/>
        <w:rPr>
          <w:rFonts w:ascii="Calibri"/>
          <w:sz w:val="15"/>
        </w:rPr>
      </w:pPr>
      <w:r>
        <w:rPr>
          <w:rFonts w:ascii="Calibri"/>
          <w:spacing w:val="2"/>
          <w:sz w:val="15"/>
        </w:rPr>
        <w:t>50%</w:t>
      </w:r>
    </w:p>
    <w:p>
      <w:pPr>
        <w:spacing w:before="50"/>
        <w:ind w:left="0" w:right="971" w:firstLine="0"/>
        <w:jc w:val="right"/>
        <w:rPr>
          <w:rFonts w:ascii="Calibri"/>
          <w:sz w:val="15"/>
        </w:rPr>
      </w:pPr>
      <w:r>
        <w:rPr>
          <w:rFonts w:ascii="Calibri"/>
          <w:spacing w:val="2"/>
          <w:sz w:val="15"/>
        </w:rPr>
        <w:t>40%</w:t>
      </w:r>
    </w:p>
    <w:p>
      <w:pPr>
        <w:spacing w:before="50"/>
        <w:ind w:left="0" w:right="971" w:firstLine="0"/>
        <w:jc w:val="right"/>
        <w:rPr>
          <w:rFonts w:ascii="Calibri"/>
          <w:sz w:val="15"/>
        </w:rPr>
      </w:pPr>
      <w:r>
        <w:rPr>
          <w:rFonts w:ascii="Calibri"/>
          <w:spacing w:val="2"/>
          <w:sz w:val="15"/>
        </w:rPr>
        <w:t>30%</w:t>
      </w:r>
    </w:p>
    <w:p>
      <w:pPr>
        <w:spacing w:before="50"/>
        <w:ind w:left="0" w:right="971" w:firstLine="0"/>
        <w:jc w:val="right"/>
        <w:rPr>
          <w:rFonts w:ascii="Calibri"/>
          <w:sz w:val="15"/>
        </w:rPr>
      </w:pPr>
      <w:r>
        <w:rPr>
          <w:rFonts w:ascii="Calibri"/>
          <w:spacing w:val="2"/>
          <w:sz w:val="15"/>
        </w:rPr>
        <w:t>20%</w:t>
      </w:r>
    </w:p>
    <w:p>
      <w:pPr>
        <w:spacing w:before="49"/>
        <w:ind w:left="0" w:right="971" w:firstLine="0"/>
        <w:jc w:val="right"/>
        <w:rPr>
          <w:rFonts w:ascii="Calibri"/>
          <w:sz w:val="15"/>
        </w:rPr>
      </w:pPr>
      <w:r>
        <w:rPr>
          <w:rFonts w:ascii="Calibri"/>
          <w:spacing w:val="2"/>
          <w:sz w:val="15"/>
        </w:rPr>
        <w:t>10%</w:t>
      </w:r>
    </w:p>
    <w:p>
      <w:pPr>
        <w:spacing w:before="50"/>
        <w:ind w:left="0" w:right="974" w:firstLine="0"/>
        <w:jc w:val="right"/>
        <w:rPr>
          <w:rFonts w:ascii="Calibri"/>
          <w:sz w:val="15"/>
        </w:rPr>
      </w:pPr>
      <w:r>
        <w:rPr>
          <w:rFonts w:ascii="Calibri"/>
          <w:w w:val="105"/>
          <w:sz w:val="15"/>
        </w:rPr>
        <w:t>0%</w:t>
      </w:r>
    </w:p>
    <w:p>
      <w:pPr>
        <w:pStyle w:val="BodyText"/>
        <w:spacing w:before="9"/>
        <w:rPr>
          <w:rFonts w:ascii="Calibri"/>
          <w:sz w:val="5"/>
        </w:rPr>
      </w:pPr>
    </w:p>
    <w:p>
      <w:pPr>
        <w:pStyle w:val="BodyText"/>
        <w:tabs>
          <w:tab w:pos="2667" w:val="left" w:leader="none"/>
        </w:tabs>
        <w:ind w:left="1857" w:right="-44"/>
        <w:rPr>
          <w:rFonts w:ascii="Calibri"/>
        </w:rPr>
      </w:pPr>
      <w:r>
        <w:rPr>
          <w:rFonts w:ascii="Calibri"/>
        </w:rPr>
        <w:drawing>
          <wp:inline distT="0" distB="0" distL="0" distR="0">
            <wp:extent cx="169020" cy="171450"/>
            <wp:effectExtent l="0" t="0" r="0" b="0"/>
            <wp:docPr id="267" name="image140.png"/>
            <wp:cNvGraphicFramePr>
              <a:graphicFrameLocks noChangeAspect="1"/>
            </wp:cNvGraphicFramePr>
            <a:graphic>
              <a:graphicData uri="http://schemas.openxmlformats.org/drawingml/2006/picture">
                <pic:pic>
                  <pic:nvPicPr>
                    <pic:cNvPr id="268" name="image140.png"/>
                    <pic:cNvPicPr/>
                  </pic:nvPicPr>
                  <pic:blipFill>
                    <a:blip r:embed="rId172" cstate="print"/>
                    <a:stretch>
                      <a:fillRect/>
                    </a:stretch>
                  </pic:blipFill>
                  <pic:spPr>
                    <a:xfrm>
                      <a:off x="0" y="0"/>
                      <a:ext cx="169020" cy="171450"/>
                    </a:xfrm>
                    <a:prstGeom prst="rect">
                      <a:avLst/>
                    </a:prstGeom>
                  </pic:spPr>
                </pic:pic>
              </a:graphicData>
            </a:graphic>
          </wp:inline>
        </w:drawing>
      </w:r>
      <w:r>
        <w:rPr>
          <w:rFonts w:ascii="Calibri"/>
        </w:rPr>
      </w:r>
      <w:r>
        <w:rPr>
          <w:rFonts w:ascii="Calibri"/>
        </w:rPr>
        <w:tab/>
      </w:r>
      <w:r>
        <w:rPr>
          <w:rFonts w:ascii="Calibri"/>
        </w:rPr>
        <w:drawing>
          <wp:inline distT="0" distB="0" distL="0" distR="0">
            <wp:extent cx="167405" cy="170021"/>
            <wp:effectExtent l="0" t="0" r="0" b="0"/>
            <wp:docPr id="269" name="image131.png"/>
            <wp:cNvGraphicFramePr>
              <a:graphicFrameLocks noChangeAspect="1"/>
            </wp:cNvGraphicFramePr>
            <a:graphic>
              <a:graphicData uri="http://schemas.openxmlformats.org/drawingml/2006/picture">
                <pic:pic>
                  <pic:nvPicPr>
                    <pic:cNvPr id="270" name="image131.png"/>
                    <pic:cNvPicPr/>
                  </pic:nvPicPr>
                  <pic:blipFill>
                    <a:blip r:embed="rId157" cstate="print"/>
                    <a:stretch>
                      <a:fillRect/>
                    </a:stretch>
                  </pic:blipFill>
                  <pic:spPr>
                    <a:xfrm>
                      <a:off x="0" y="0"/>
                      <a:ext cx="167405" cy="170021"/>
                    </a:xfrm>
                    <a:prstGeom prst="rect">
                      <a:avLst/>
                    </a:prstGeom>
                  </pic:spPr>
                </pic:pic>
              </a:graphicData>
            </a:graphic>
          </wp:inline>
        </w:drawing>
      </w:r>
      <w:r>
        <w:rPr>
          <w:rFonts w:ascii="Calibri"/>
        </w:rPr>
      </w:r>
    </w:p>
    <w:p>
      <w:pPr>
        <w:pStyle w:val="BodyText"/>
        <w:rPr>
          <w:rFonts w:ascii="Calibri"/>
        </w:rPr>
      </w:pPr>
      <w:r>
        <w:rPr/>
        <w:br w:type="column"/>
      </w:r>
      <w:r>
        <w:rPr>
          <w:rFonts w:ascii="Calibri"/>
        </w:rPr>
      </w: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spacing w:before="10"/>
        <w:rPr>
          <w:rFonts w:ascii="Calibri"/>
          <w:sz w:val="24"/>
        </w:rPr>
      </w:pPr>
    </w:p>
    <w:p>
      <w:pPr>
        <w:pStyle w:val="BodyText"/>
        <w:tabs>
          <w:tab w:pos="1318" w:val="left" w:leader="none"/>
          <w:tab w:pos="2128" w:val="left" w:leader="none"/>
          <w:tab w:pos="2938" w:val="left" w:leader="none"/>
        </w:tabs>
        <w:ind w:left="508" w:right="-44"/>
        <w:rPr>
          <w:rFonts w:ascii="Calibri"/>
        </w:rPr>
      </w:pPr>
      <w:r>
        <w:rPr>
          <w:rFonts w:ascii="Calibri"/>
        </w:rPr>
        <w:drawing>
          <wp:inline distT="0" distB="0" distL="0" distR="0">
            <wp:extent cx="169020" cy="171450"/>
            <wp:effectExtent l="0" t="0" r="0" b="0"/>
            <wp:docPr id="271" name="image141.png"/>
            <wp:cNvGraphicFramePr>
              <a:graphicFrameLocks noChangeAspect="1"/>
            </wp:cNvGraphicFramePr>
            <a:graphic>
              <a:graphicData uri="http://schemas.openxmlformats.org/drawingml/2006/picture">
                <pic:pic>
                  <pic:nvPicPr>
                    <pic:cNvPr id="272" name="image141.png"/>
                    <pic:cNvPicPr/>
                  </pic:nvPicPr>
                  <pic:blipFill>
                    <a:blip r:embed="rId173" cstate="print"/>
                    <a:stretch>
                      <a:fillRect/>
                    </a:stretch>
                  </pic:blipFill>
                  <pic:spPr>
                    <a:xfrm>
                      <a:off x="0" y="0"/>
                      <a:ext cx="169020" cy="171450"/>
                    </a:xfrm>
                    <a:prstGeom prst="rect">
                      <a:avLst/>
                    </a:prstGeom>
                  </pic:spPr>
                </pic:pic>
              </a:graphicData>
            </a:graphic>
          </wp:inline>
        </w:drawing>
      </w:r>
      <w:r>
        <w:rPr>
          <w:rFonts w:ascii="Calibri"/>
        </w:rPr>
      </w:r>
      <w:r>
        <w:rPr>
          <w:rFonts w:ascii="Calibri"/>
        </w:rPr>
        <w:tab/>
      </w:r>
      <w:r>
        <w:rPr>
          <w:rFonts w:ascii="Calibri"/>
        </w:rPr>
        <w:drawing>
          <wp:inline distT="0" distB="0" distL="0" distR="0">
            <wp:extent cx="167405" cy="170021"/>
            <wp:effectExtent l="0" t="0" r="0" b="0"/>
            <wp:docPr id="273" name="image142.png"/>
            <wp:cNvGraphicFramePr>
              <a:graphicFrameLocks noChangeAspect="1"/>
            </wp:cNvGraphicFramePr>
            <a:graphic>
              <a:graphicData uri="http://schemas.openxmlformats.org/drawingml/2006/picture">
                <pic:pic>
                  <pic:nvPicPr>
                    <pic:cNvPr id="274" name="image142.png"/>
                    <pic:cNvPicPr/>
                  </pic:nvPicPr>
                  <pic:blipFill>
                    <a:blip r:embed="rId174" cstate="print"/>
                    <a:stretch>
                      <a:fillRect/>
                    </a:stretch>
                  </pic:blipFill>
                  <pic:spPr>
                    <a:xfrm>
                      <a:off x="0" y="0"/>
                      <a:ext cx="167405" cy="170021"/>
                    </a:xfrm>
                    <a:prstGeom prst="rect">
                      <a:avLst/>
                    </a:prstGeom>
                  </pic:spPr>
                </pic:pic>
              </a:graphicData>
            </a:graphic>
          </wp:inline>
        </w:drawing>
      </w:r>
      <w:r>
        <w:rPr>
          <w:rFonts w:ascii="Calibri"/>
        </w:rPr>
      </w:r>
      <w:r>
        <w:rPr>
          <w:rFonts w:ascii="Calibri"/>
        </w:rPr>
        <w:tab/>
      </w:r>
      <w:r>
        <w:rPr>
          <w:rFonts w:ascii="Calibri"/>
        </w:rPr>
        <w:drawing>
          <wp:inline distT="0" distB="0" distL="0" distR="0">
            <wp:extent cx="169020" cy="171450"/>
            <wp:effectExtent l="0" t="0" r="0" b="0"/>
            <wp:docPr id="275" name="image143.png"/>
            <wp:cNvGraphicFramePr>
              <a:graphicFrameLocks noChangeAspect="1"/>
            </wp:cNvGraphicFramePr>
            <a:graphic>
              <a:graphicData uri="http://schemas.openxmlformats.org/drawingml/2006/picture">
                <pic:pic>
                  <pic:nvPicPr>
                    <pic:cNvPr id="276" name="image143.png"/>
                    <pic:cNvPicPr/>
                  </pic:nvPicPr>
                  <pic:blipFill>
                    <a:blip r:embed="rId175" cstate="print"/>
                    <a:stretch>
                      <a:fillRect/>
                    </a:stretch>
                  </pic:blipFill>
                  <pic:spPr>
                    <a:xfrm>
                      <a:off x="0" y="0"/>
                      <a:ext cx="169020" cy="171450"/>
                    </a:xfrm>
                    <a:prstGeom prst="rect">
                      <a:avLst/>
                    </a:prstGeom>
                  </pic:spPr>
                </pic:pic>
              </a:graphicData>
            </a:graphic>
          </wp:inline>
        </w:drawing>
      </w:r>
      <w:r>
        <w:rPr>
          <w:rFonts w:ascii="Calibri"/>
        </w:rPr>
      </w:r>
      <w:r>
        <w:rPr>
          <w:rFonts w:ascii="Calibri"/>
        </w:rPr>
        <w:tab/>
      </w:r>
      <w:r>
        <w:rPr>
          <w:rFonts w:ascii="Calibri"/>
        </w:rPr>
        <w:drawing>
          <wp:inline distT="0" distB="0" distL="0" distR="0">
            <wp:extent cx="167405" cy="170021"/>
            <wp:effectExtent l="0" t="0" r="0" b="0"/>
            <wp:docPr id="277" name="image135.png"/>
            <wp:cNvGraphicFramePr>
              <a:graphicFrameLocks noChangeAspect="1"/>
            </wp:cNvGraphicFramePr>
            <a:graphic>
              <a:graphicData uri="http://schemas.openxmlformats.org/drawingml/2006/picture">
                <pic:pic>
                  <pic:nvPicPr>
                    <pic:cNvPr id="278" name="image135.png"/>
                    <pic:cNvPicPr/>
                  </pic:nvPicPr>
                  <pic:blipFill>
                    <a:blip r:embed="rId161" cstate="print"/>
                    <a:stretch>
                      <a:fillRect/>
                    </a:stretch>
                  </pic:blipFill>
                  <pic:spPr>
                    <a:xfrm>
                      <a:off x="0" y="0"/>
                      <a:ext cx="167405" cy="170021"/>
                    </a:xfrm>
                    <a:prstGeom prst="rect">
                      <a:avLst/>
                    </a:prstGeom>
                  </pic:spPr>
                </pic:pic>
              </a:graphicData>
            </a:graphic>
          </wp:inline>
        </w:drawing>
      </w:r>
      <w:r>
        <w:rPr>
          <w:rFonts w:ascii="Calibri"/>
        </w:rPr>
      </w:r>
    </w:p>
    <w:p>
      <w:pPr>
        <w:spacing w:before="91"/>
        <w:ind w:left="1390" w:right="1475" w:firstLine="0"/>
        <w:jc w:val="center"/>
        <w:rPr>
          <w:rFonts w:ascii="Calibri"/>
          <w:b/>
          <w:sz w:val="15"/>
        </w:rPr>
      </w:pPr>
      <w:r>
        <w:rPr>
          <w:rFonts w:ascii="Calibri"/>
          <w:b/>
          <w:w w:val="105"/>
          <w:sz w:val="15"/>
        </w:rPr>
        <w:t>Year</w:t>
      </w:r>
    </w:p>
    <w:p>
      <w:pPr>
        <w:pStyle w:val="BodyText"/>
        <w:rPr>
          <w:rFonts w:ascii="Calibri"/>
          <w:b/>
          <w:sz w:val="14"/>
        </w:rPr>
      </w:pPr>
      <w:r>
        <w:rPr/>
        <w:br w:type="column"/>
      </w:r>
      <w:r>
        <w:rPr>
          <w:rFonts w:ascii="Calibri"/>
          <w:b/>
          <w:sz w:val="14"/>
        </w:rPr>
      </w:r>
    </w:p>
    <w:p>
      <w:pPr>
        <w:pStyle w:val="BodyText"/>
        <w:spacing w:before="5"/>
        <w:rPr>
          <w:rFonts w:ascii="Calibri"/>
          <w:b/>
          <w:sz w:val="12"/>
        </w:rPr>
      </w:pPr>
    </w:p>
    <w:p>
      <w:pPr>
        <w:spacing w:before="0"/>
        <w:ind w:left="1313" w:right="0" w:firstLine="0"/>
        <w:jc w:val="left"/>
        <w:rPr>
          <w:rFonts w:ascii="Calibri"/>
          <w:sz w:val="14"/>
        </w:rPr>
      </w:pPr>
      <w:r>
        <w:rPr>
          <w:rFonts w:ascii="Calibri"/>
          <w:sz w:val="14"/>
        </w:rPr>
        <w:t>Class key:</w:t>
      </w:r>
    </w:p>
    <w:p>
      <w:pPr>
        <w:pStyle w:val="ListParagraph"/>
        <w:numPr>
          <w:ilvl w:val="1"/>
          <w:numId w:val="63"/>
        </w:numPr>
        <w:tabs>
          <w:tab w:pos="1770" w:val="left" w:leader="none"/>
        </w:tabs>
        <w:spacing w:line="240" w:lineRule="auto" w:before="15" w:after="0"/>
        <w:ind w:left="1769" w:right="0" w:hanging="104"/>
        <w:jc w:val="left"/>
        <w:rPr>
          <w:rFonts w:ascii="Calibri"/>
          <w:sz w:val="14"/>
        </w:rPr>
      </w:pPr>
      <w:r>
        <w:rPr/>
        <w:pict>
          <v:group style="position:absolute;margin-left:381.010468pt;margin-top:.043894pt;width:17.9pt;height:130.5pt;mso-position-horizontal-relative:page;mso-position-vertical-relative:paragraph;z-index:252574720" coordorigin="7620,1" coordsize="358,2610">
            <v:rect style="position:absolute;left:7623;top:0;width:354;height:186" filled="true" fillcolor="#1f487c" stroked="false">
              <v:fill type="solid"/>
            </v:rect>
            <v:rect style="position:absolute;left:7623;top:186;width:354;height:186" filled="true" fillcolor="#009544" stroked="false">
              <v:fill type="solid"/>
            </v:rect>
            <v:rect style="position:absolute;left:7623;top:372;width:354;height:186" filled="true" fillcolor="#e16b09" stroked="false">
              <v:fill type="solid"/>
            </v:rect>
            <v:rect style="position:absolute;left:7623;top:558;width:354;height:186" filled="true" fillcolor="#e08ad6" stroked="false">
              <v:fill type="solid"/>
            </v:rect>
            <v:rect style="position:absolute;left:7623;top:744;width:354;height:186" filled="true" fillcolor="#8063a1" stroked="false">
              <v:fill type="solid"/>
            </v:rect>
            <v:rect style="position:absolute;left:7623;top:930;width:354;height:186" filled="true" fillcolor="#c0504d" stroked="false">
              <v:fill type="solid"/>
            </v:rect>
            <v:rect style="position:absolute;left:7623;top:1116;width:354;height:186" filled="true" fillcolor="#f8a763" stroked="false">
              <v:fill type="solid"/>
            </v:rect>
            <v:rect style="position:absolute;left:7623;top:1302;width:354;height:186" filled="true" fillcolor="#ecb8e7" stroked="false">
              <v:fill type="solid"/>
            </v:rect>
            <v:rect style="position:absolute;left:7623;top:1488;width:354;height:186" filled="true" fillcolor="#938953" stroked="false">
              <v:fill type="solid"/>
            </v:rect>
            <v:rect style="position:absolute;left:7623;top:1674;width:354;height:186" filled="true" fillcolor="#ffd600" stroked="false">
              <v:fill type="solid"/>
            </v:rect>
            <v:rect style="position:absolute;left:7623;top:1859;width:354;height:186" filled="true" fillcolor="#000000" stroked="false">
              <v:fill type="solid"/>
            </v:rect>
            <v:rect style="position:absolute;left:7623;top:2045;width:354;height:186" filled="true" fillcolor="#ffeb8f" stroked="false">
              <v:fill type="solid"/>
            </v:rect>
            <v:rect style="position:absolute;left:7623;top:2231;width:354;height:379" filled="true" fillcolor="#a6a6a6" stroked="false">
              <v:fill type="solid"/>
            </v:rect>
            <v:line style="position:absolute" from="7970,7" to="7970,2610" stroked="true" strokeweight="0pt" strokecolor="#ffffff">
              <v:stroke dashstyle="solid"/>
            </v:line>
            <v:line style="position:absolute" from="7973,7" to="7973,2610" stroked="true" strokeweight=".321105pt" strokecolor="#ffffff">
              <v:stroke dashstyle="solid"/>
            </v:line>
            <v:line style="position:absolute" from="7623,4" to="7977,4" stroked="true" strokeweight=".320535pt" strokecolor="#ffffff">
              <v:stroke dashstyle="solid"/>
            </v:line>
            <v:line style="position:absolute" from="7623,187" to="7977,187" stroked="true" strokeweight="0pt" strokecolor="#ffffff">
              <v:stroke dashstyle="solid"/>
            </v:line>
            <v:line style="position:absolute" from="7623,190" to="7977,190" stroked="true" strokeweight=".320535pt" strokecolor="#ffffff">
              <v:stroke dashstyle="solid"/>
            </v:line>
            <v:line style="position:absolute" from="7623,373" to="7977,373" stroked="true" strokeweight="0pt" strokecolor="#ffffff">
              <v:stroke dashstyle="solid"/>
            </v:line>
            <v:line style="position:absolute" from="7623,376" to="7977,376" stroked="true" strokeweight=".320535pt" strokecolor="#ffffff">
              <v:stroke dashstyle="solid"/>
            </v:line>
            <v:line style="position:absolute" from="7623,559" to="7977,559" stroked="true" strokeweight="0pt" strokecolor="#ffffff">
              <v:stroke dashstyle="solid"/>
            </v:line>
            <v:line style="position:absolute" from="7623,562" to="7977,562" stroked="true" strokeweight=".320535pt" strokecolor="#ffffff">
              <v:stroke dashstyle="solid"/>
            </v:line>
            <v:line style="position:absolute" from="7623,745" to="7977,745" stroked="true" strokeweight="0pt" strokecolor="#ffffff">
              <v:stroke dashstyle="solid"/>
            </v:line>
            <v:line style="position:absolute" from="7623,748" to="7977,748" stroked="true" strokeweight=".320535pt" strokecolor="#ffffff">
              <v:stroke dashstyle="solid"/>
            </v:line>
            <v:line style="position:absolute" from="7623,930" to="7977,930" stroked="true" strokeweight="0pt" strokecolor="#ffffff">
              <v:stroke dashstyle="solid"/>
            </v:line>
            <v:line style="position:absolute" from="7623,934" to="7977,934" stroked="true" strokeweight=".320535pt" strokecolor="#ffffff">
              <v:stroke dashstyle="solid"/>
            </v:line>
            <v:line style="position:absolute" from="7623,1116" to="7977,1116" stroked="true" strokeweight="0pt" strokecolor="#ffffff">
              <v:stroke dashstyle="solid"/>
            </v:line>
            <v:line style="position:absolute" from="7623,1120" to="7977,1120" stroked="true" strokeweight=".320535pt" strokecolor="#ffffff">
              <v:stroke dashstyle="solid"/>
            </v:line>
            <v:line style="position:absolute" from="7623,1302" to="7977,1302" stroked="true" strokeweight="0pt" strokecolor="#ffffff">
              <v:stroke dashstyle="solid"/>
            </v:line>
            <v:line style="position:absolute" from="7623,1305" to="7977,1305" stroked="true" strokeweight=".320535pt" strokecolor="#ffffff">
              <v:stroke dashstyle="solid"/>
            </v:line>
            <v:line style="position:absolute" from="7623,1488" to="7977,1488" stroked="true" strokeweight="0pt" strokecolor="#ffffff">
              <v:stroke dashstyle="solid"/>
            </v:line>
            <v:line style="position:absolute" from="7623,1491" to="7977,1491" stroked="true" strokeweight=".320856pt" strokecolor="#ffffff">
              <v:stroke dashstyle="solid"/>
            </v:line>
            <v:line style="position:absolute" from="7623,1674" to="7977,1674" stroked="true" strokeweight="0pt" strokecolor="#ffffff">
              <v:stroke dashstyle="solid"/>
            </v:line>
            <v:line style="position:absolute" from="7623,1677" to="7977,1677" stroked="true" strokeweight=".320535pt" strokecolor="#ffffff">
              <v:stroke dashstyle="solid"/>
            </v:line>
            <v:line style="position:absolute" from="7623,1860" to="7977,1860" stroked="true" strokeweight="0pt" strokecolor="#ffffff">
              <v:stroke dashstyle="solid"/>
            </v:line>
            <v:line style="position:absolute" from="7623,1863" to="7977,1863" stroked="true" strokeweight=".320535pt" strokecolor="#ffffff">
              <v:stroke dashstyle="solid"/>
            </v:line>
            <v:line style="position:absolute" from="7623,2046" to="7977,2046" stroked="true" strokeweight="0pt" strokecolor="#ffffff">
              <v:stroke dashstyle="solid"/>
            </v:line>
            <v:line style="position:absolute" from="7623,2049" to="7977,2049" stroked="true" strokeweight=".320535pt" strokecolor="#ffffff">
              <v:stroke dashstyle="solid"/>
            </v:line>
            <v:line style="position:absolute" from="7623,2232" to="7977,2232" stroked="true" strokeweight="0pt" strokecolor="#ffffff">
              <v:stroke dashstyle="solid"/>
            </v:line>
            <v:line style="position:absolute" from="7623,2235" to="7977,2235" stroked="true" strokeweight=".320535pt" strokecolor="#ffffff">
              <v:stroke dashstyle="solid"/>
            </v:line>
            <v:line style="position:absolute" from="7623,2418" to="7977,2418" stroked="true" strokeweight="0pt" strokecolor="#ffffff">
              <v:stroke dashstyle="solid"/>
            </v:line>
            <v:line style="position:absolute" from="7623,2421" to="7977,2421" stroked="true" strokeweight=".320535pt" strokecolor="#ffffff">
              <v:stroke dashstyle="solid"/>
            </v:line>
            <v:line style="position:absolute" from="7623,2604" to="7977,2604" stroked="true" strokeweight="0pt" strokecolor="#ffffff">
              <v:stroke dashstyle="solid"/>
            </v:line>
            <v:line style="position:absolute" from="7623,2607" to="7977,2607" stroked="true" strokeweight=".319894pt" strokecolor="#ffffff">
              <v:stroke dashstyle="solid"/>
            </v:line>
            <v:line style="position:absolute" from="7620,2344" to="7978,2344" stroked="true" strokeweight=".961678pt" strokecolor="#ffffff">
              <v:stroke dashstyle="solid"/>
            </v:line>
            <v:line style="position:absolute" from="7620,2517" to="7978,2517" stroked="true" strokeweight=".961678pt" strokecolor="#ffffff">
              <v:stroke dashstyle="solid"/>
            </v:line>
            <w10:wrap type="none"/>
          </v:group>
        </w:pict>
      </w:r>
      <w:r>
        <w:rPr>
          <w:rFonts w:ascii="Calibri"/>
          <w:sz w:val="14"/>
        </w:rPr>
        <w:t>Studying</w:t>
      </w:r>
    </w:p>
    <w:p>
      <w:pPr>
        <w:pStyle w:val="ListParagraph"/>
        <w:numPr>
          <w:ilvl w:val="1"/>
          <w:numId w:val="63"/>
        </w:numPr>
        <w:tabs>
          <w:tab w:pos="1770" w:val="left" w:leader="none"/>
        </w:tabs>
        <w:spacing w:line="240" w:lineRule="auto" w:before="15" w:after="0"/>
        <w:ind w:left="1769" w:right="0" w:hanging="104"/>
        <w:jc w:val="left"/>
        <w:rPr>
          <w:rFonts w:ascii="Calibri"/>
          <w:sz w:val="14"/>
        </w:rPr>
      </w:pPr>
      <w:r>
        <w:rPr>
          <w:rFonts w:ascii="Calibri"/>
          <w:sz w:val="14"/>
        </w:rPr>
        <w:t>Working</w:t>
      </w:r>
      <w:r>
        <w:rPr>
          <w:rFonts w:ascii="Calibri"/>
          <w:spacing w:val="-2"/>
          <w:sz w:val="14"/>
        </w:rPr>
        <w:t> </w:t>
      </w:r>
      <w:r>
        <w:rPr>
          <w:rFonts w:ascii="Calibri"/>
          <w:sz w:val="14"/>
        </w:rPr>
        <w:t>Age</w:t>
      </w:r>
    </w:p>
    <w:p>
      <w:pPr>
        <w:pStyle w:val="ListParagraph"/>
        <w:numPr>
          <w:ilvl w:val="1"/>
          <w:numId w:val="63"/>
        </w:numPr>
        <w:tabs>
          <w:tab w:pos="1770" w:val="left" w:leader="none"/>
        </w:tabs>
        <w:spacing w:line="240" w:lineRule="auto" w:before="15" w:after="0"/>
        <w:ind w:left="1769" w:right="0" w:hanging="104"/>
        <w:jc w:val="left"/>
        <w:rPr>
          <w:rFonts w:ascii="Calibri"/>
          <w:sz w:val="14"/>
        </w:rPr>
      </w:pPr>
      <w:r>
        <w:rPr>
          <w:rFonts w:ascii="Calibri"/>
          <w:sz w:val="14"/>
        </w:rPr>
        <w:t>Parents</w:t>
      </w:r>
    </w:p>
    <w:p>
      <w:pPr>
        <w:pStyle w:val="ListParagraph"/>
        <w:numPr>
          <w:ilvl w:val="1"/>
          <w:numId w:val="63"/>
        </w:numPr>
        <w:tabs>
          <w:tab w:pos="1770" w:val="left" w:leader="none"/>
        </w:tabs>
        <w:spacing w:line="240" w:lineRule="auto" w:before="15" w:after="0"/>
        <w:ind w:left="1769" w:right="0" w:hanging="104"/>
        <w:jc w:val="left"/>
        <w:rPr>
          <w:rFonts w:ascii="Calibri"/>
          <w:sz w:val="14"/>
        </w:rPr>
      </w:pPr>
      <w:r>
        <w:rPr>
          <w:rFonts w:ascii="Calibri"/>
          <w:sz w:val="14"/>
        </w:rPr>
        <w:t>Carers</w:t>
      </w:r>
    </w:p>
    <w:p>
      <w:pPr>
        <w:pStyle w:val="ListParagraph"/>
        <w:numPr>
          <w:ilvl w:val="1"/>
          <w:numId w:val="63"/>
        </w:numPr>
        <w:tabs>
          <w:tab w:pos="1770" w:val="left" w:leader="none"/>
        </w:tabs>
        <w:spacing w:line="240" w:lineRule="auto" w:before="15" w:after="0"/>
        <w:ind w:left="1769" w:right="0" w:hanging="104"/>
        <w:jc w:val="left"/>
        <w:rPr>
          <w:rFonts w:ascii="Calibri"/>
          <w:sz w:val="14"/>
        </w:rPr>
      </w:pPr>
      <w:r>
        <w:rPr>
          <w:rFonts w:ascii="Calibri"/>
          <w:sz w:val="14"/>
        </w:rPr>
        <w:t>Disability Support</w:t>
      </w:r>
    </w:p>
    <w:p>
      <w:pPr>
        <w:pStyle w:val="ListParagraph"/>
        <w:numPr>
          <w:ilvl w:val="1"/>
          <w:numId w:val="63"/>
        </w:numPr>
        <w:tabs>
          <w:tab w:pos="1770" w:val="left" w:leader="none"/>
        </w:tabs>
        <w:spacing w:line="261" w:lineRule="auto" w:before="15" w:after="0"/>
        <w:ind w:left="1666" w:right="3016" w:firstLine="0"/>
        <w:jc w:val="left"/>
        <w:rPr>
          <w:rFonts w:ascii="Calibri"/>
          <w:sz w:val="14"/>
        </w:rPr>
      </w:pPr>
      <w:r>
        <w:rPr>
          <w:rFonts w:ascii="Calibri"/>
          <w:sz w:val="14"/>
        </w:rPr>
        <w:t>Pension Age 7 Non IS Family 8 Non IS Carer 9 Non IS</w:t>
      </w:r>
      <w:r>
        <w:rPr>
          <w:rFonts w:ascii="Calibri"/>
          <w:spacing w:val="7"/>
          <w:sz w:val="14"/>
        </w:rPr>
        <w:t> </w:t>
      </w:r>
      <w:r>
        <w:rPr>
          <w:rFonts w:ascii="Calibri"/>
          <w:sz w:val="14"/>
        </w:rPr>
        <w:t>Other</w:t>
      </w:r>
    </w:p>
    <w:p>
      <w:pPr>
        <w:spacing w:line="261" w:lineRule="auto" w:before="0"/>
        <w:ind w:left="1666" w:right="2080" w:firstLine="0"/>
        <w:jc w:val="left"/>
        <w:rPr>
          <w:rFonts w:ascii="Calibri"/>
          <w:sz w:val="14"/>
        </w:rPr>
      </w:pPr>
      <w:r>
        <w:rPr>
          <w:rFonts w:ascii="Calibri"/>
          <w:sz w:val="14"/>
        </w:rPr>
        <w:t>10 Previous Welfare Recipient 11 Dead</w:t>
      </w:r>
    </w:p>
    <w:p>
      <w:pPr>
        <w:spacing w:line="261" w:lineRule="auto" w:before="0"/>
        <w:ind w:left="1666" w:right="2203" w:firstLine="0"/>
        <w:jc w:val="left"/>
        <w:rPr>
          <w:rFonts w:ascii="Calibri"/>
          <w:sz w:val="14"/>
        </w:rPr>
      </w:pPr>
      <w:r>
        <w:rPr/>
        <w:drawing>
          <wp:anchor distT="0" distB="0" distL="0" distR="0" allowOverlap="1" layoutInCell="1" locked="0" behindDoc="0" simplePos="0" relativeHeight="252573696">
            <wp:simplePos x="0" y="0"/>
            <wp:positionH relativeFrom="page">
              <wp:posOffset>4341958</wp:posOffset>
            </wp:positionH>
            <wp:positionV relativeFrom="paragraph">
              <wp:posOffset>121242</wp:posOffset>
            </wp:positionV>
            <wp:extent cx="168307" cy="170726"/>
            <wp:effectExtent l="0" t="0" r="0" b="0"/>
            <wp:wrapNone/>
            <wp:docPr id="279" name="image144.png"/>
            <wp:cNvGraphicFramePr>
              <a:graphicFrameLocks noChangeAspect="1"/>
            </wp:cNvGraphicFramePr>
            <a:graphic>
              <a:graphicData uri="http://schemas.openxmlformats.org/drawingml/2006/picture">
                <pic:pic>
                  <pic:nvPicPr>
                    <pic:cNvPr id="280" name="image144.png"/>
                    <pic:cNvPicPr/>
                  </pic:nvPicPr>
                  <pic:blipFill>
                    <a:blip r:embed="rId176" cstate="print"/>
                    <a:stretch>
                      <a:fillRect/>
                    </a:stretch>
                  </pic:blipFill>
                  <pic:spPr>
                    <a:xfrm>
                      <a:off x="0" y="0"/>
                      <a:ext cx="168307" cy="170726"/>
                    </a:xfrm>
                    <a:prstGeom prst="rect">
                      <a:avLst/>
                    </a:prstGeom>
                  </pic:spPr>
                </pic:pic>
              </a:graphicData>
            </a:graphic>
          </wp:anchor>
        </w:drawing>
      </w:r>
      <w:r>
        <w:rPr>
          <w:rFonts w:ascii="Calibri"/>
          <w:sz w:val="14"/>
        </w:rPr>
        <w:t>12 Rest of Aust. Population Prior valuation - all active Prior valuation - current class</w:t>
      </w:r>
    </w:p>
    <w:p>
      <w:pPr>
        <w:spacing w:after="0" w:line="261" w:lineRule="auto"/>
        <w:jc w:val="left"/>
        <w:rPr>
          <w:rFonts w:ascii="Calibri"/>
          <w:sz w:val="14"/>
        </w:rPr>
        <w:sectPr>
          <w:type w:val="continuous"/>
          <w:pgSz w:w="11910" w:h="16850"/>
          <w:pgMar w:top="1600" w:bottom="280" w:left="120" w:right="0"/>
          <w:cols w:num="3" w:equalWidth="0">
            <w:col w:w="2930" w:space="40"/>
            <w:col w:w="3200" w:space="39"/>
            <w:col w:w="5581"/>
          </w:cols>
        </w:sectPr>
      </w:pPr>
    </w:p>
    <w:p>
      <w:pPr>
        <w:pStyle w:val="BodyText"/>
        <w:rPr>
          <w:rFonts w:ascii="Calibri"/>
        </w:rPr>
      </w:pPr>
    </w:p>
    <w:p>
      <w:pPr>
        <w:pStyle w:val="BodyText"/>
        <w:rPr>
          <w:rFonts w:ascii="Calibri"/>
        </w:rPr>
      </w:pPr>
    </w:p>
    <w:p>
      <w:pPr>
        <w:pStyle w:val="BodyText"/>
        <w:spacing w:before="3"/>
        <w:rPr>
          <w:rFonts w:ascii="Calibri"/>
          <w:sz w:val="18"/>
        </w:rPr>
      </w:pPr>
    </w:p>
    <w:p>
      <w:pPr>
        <w:pStyle w:val="BodyText"/>
        <w:spacing w:before="93"/>
        <w:ind w:left="900"/>
      </w:pPr>
      <w:r>
        <w:rPr>
          <w:color w:val="404040"/>
        </w:rPr>
        <w:t>We can see that:</w:t>
      </w:r>
    </w:p>
    <w:p>
      <w:pPr>
        <w:pStyle w:val="ListParagraph"/>
        <w:numPr>
          <w:ilvl w:val="0"/>
          <w:numId w:val="62"/>
        </w:numPr>
        <w:tabs>
          <w:tab w:pos="1184" w:val="left" w:leader="none"/>
        </w:tabs>
        <w:spacing w:line="240" w:lineRule="auto" w:before="116" w:after="0"/>
        <w:ind w:left="1182" w:right="1145" w:hanging="283"/>
        <w:jc w:val="left"/>
        <w:rPr>
          <w:rFonts w:ascii="Symbol" w:hAnsi="Symbol"/>
          <w:color w:val="404040"/>
          <w:sz w:val="20"/>
        </w:rPr>
      </w:pPr>
      <w:r>
        <w:rPr>
          <w:color w:val="404040"/>
          <w:sz w:val="20"/>
        </w:rPr>
        <w:t>In</w:t>
      </w:r>
      <w:r>
        <w:rPr>
          <w:color w:val="404040"/>
          <w:spacing w:val="-4"/>
          <w:sz w:val="20"/>
        </w:rPr>
        <w:t> </w:t>
      </w:r>
      <w:r>
        <w:rPr>
          <w:color w:val="404040"/>
          <w:sz w:val="20"/>
        </w:rPr>
        <w:t>five</w:t>
      </w:r>
      <w:r>
        <w:rPr>
          <w:color w:val="404040"/>
          <w:spacing w:val="1"/>
          <w:sz w:val="20"/>
        </w:rPr>
        <w:t> </w:t>
      </w:r>
      <w:r>
        <w:rPr>
          <w:color w:val="404040"/>
          <w:sz w:val="20"/>
        </w:rPr>
        <w:t>years,</w:t>
      </w:r>
      <w:r>
        <w:rPr>
          <w:color w:val="404040"/>
          <w:spacing w:val="-3"/>
          <w:sz w:val="20"/>
        </w:rPr>
        <w:t> </w:t>
      </w:r>
      <w:r>
        <w:rPr>
          <w:color w:val="404040"/>
          <w:sz w:val="20"/>
        </w:rPr>
        <w:t>45%</w:t>
      </w:r>
      <w:r>
        <w:rPr>
          <w:color w:val="404040"/>
          <w:spacing w:val="-1"/>
          <w:sz w:val="20"/>
        </w:rPr>
        <w:t> </w:t>
      </w:r>
      <w:r>
        <w:rPr>
          <w:color w:val="404040"/>
          <w:sz w:val="20"/>
        </w:rPr>
        <w:t>of</w:t>
      </w:r>
      <w:r>
        <w:rPr>
          <w:color w:val="404040"/>
          <w:spacing w:val="-1"/>
          <w:sz w:val="20"/>
        </w:rPr>
        <w:t> </w:t>
      </w:r>
      <w:r>
        <w:rPr>
          <w:color w:val="404040"/>
          <w:sz w:val="20"/>
        </w:rPr>
        <w:t>the</w:t>
      </w:r>
      <w:r>
        <w:rPr>
          <w:color w:val="404040"/>
          <w:spacing w:val="-3"/>
          <w:sz w:val="20"/>
        </w:rPr>
        <w:t> </w:t>
      </w:r>
      <w:r>
        <w:rPr>
          <w:color w:val="404040"/>
          <w:sz w:val="20"/>
        </w:rPr>
        <w:t>current</w:t>
      </w:r>
      <w:r>
        <w:rPr>
          <w:color w:val="404040"/>
          <w:spacing w:val="-3"/>
          <w:sz w:val="20"/>
        </w:rPr>
        <w:t> </w:t>
      </w:r>
      <w:r>
        <w:rPr>
          <w:color w:val="404040"/>
          <w:sz w:val="20"/>
        </w:rPr>
        <w:t>class</w:t>
      </w:r>
      <w:r>
        <w:rPr>
          <w:color w:val="404040"/>
          <w:spacing w:val="-3"/>
          <w:sz w:val="20"/>
        </w:rPr>
        <w:t> </w:t>
      </w:r>
      <w:r>
        <w:rPr>
          <w:color w:val="404040"/>
          <w:sz w:val="20"/>
        </w:rPr>
        <w:t>7</w:t>
      </w:r>
      <w:r>
        <w:rPr>
          <w:color w:val="404040"/>
          <w:spacing w:val="-3"/>
          <w:sz w:val="20"/>
        </w:rPr>
        <w:t> </w:t>
      </w:r>
      <w:r>
        <w:rPr>
          <w:color w:val="404040"/>
          <w:sz w:val="20"/>
        </w:rPr>
        <w:t>group</w:t>
      </w:r>
      <w:r>
        <w:rPr>
          <w:color w:val="404040"/>
          <w:spacing w:val="-1"/>
          <w:sz w:val="20"/>
        </w:rPr>
        <w:t> </w:t>
      </w:r>
      <w:r>
        <w:rPr>
          <w:color w:val="404040"/>
          <w:sz w:val="20"/>
        </w:rPr>
        <w:t>are</w:t>
      </w:r>
      <w:r>
        <w:rPr>
          <w:color w:val="404040"/>
          <w:spacing w:val="-3"/>
          <w:sz w:val="20"/>
        </w:rPr>
        <w:t> </w:t>
      </w:r>
      <w:r>
        <w:rPr>
          <w:color w:val="404040"/>
          <w:sz w:val="20"/>
        </w:rPr>
        <w:t>projected</w:t>
      </w:r>
      <w:r>
        <w:rPr>
          <w:color w:val="404040"/>
          <w:spacing w:val="-3"/>
          <w:sz w:val="20"/>
        </w:rPr>
        <w:t> </w:t>
      </w:r>
      <w:r>
        <w:rPr>
          <w:color w:val="404040"/>
          <w:sz w:val="20"/>
        </w:rPr>
        <w:t>to</w:t>
      </w:r>
      <w:r>
        <w:rPr>
          <w:color w:val="404040"/>
          <w:spacing w:val="-4"/>
          <w:sz w:val="20"/>
        </w:rPr>
        <w:t> </w:t>
      </w:r>
      <w:r>
        <w:rPr>
          <w:color w:val="404040"/>
          <w:sz w:val="20"/>
        </w:rPr>
        <w:t>be</w:t>
      </w:r>
      <w:r>
        <w:rPr>
          <w:color w:val="404040"/>
          <w:spacing w:val="-1"/>
          <w:sz w:val="20"/>
        </w:rPr>
        <w:t> </w:t>
      </w:r>
      <w:r>
        <w:rPr>
          <w:color w:val="404040"/>
          <w:sz w:val="20"/>
        </w:rPr>
        <w:t>in</w:t>
      </w:r>
      <w:r>
        <w:rPr>
          <w:color w:val="404040"/>
          <w:spacing w:val="-1"/>
          <w:sz w:val="20"/>
        </w:rPr>
        <w:t> </w:t>
      </w:r>
      <w:r>
        <w:rPr>
          <w:color w:val="404040"/>
          <w:sz w:val="20"/>
        </w:rPr>
        <w:t>class</w:t>
      </w:r>
      <w:r>
        <w:rPr>
          <w:color w:val="404040"/>
          <w:spacing w:val="-2"/>
          <w:sz w:val="20"/>
        </w:rPr>
        <w:t> </w:t>
      </w:r>
      <w:r>
        <w:rPr>
          <w:color w:val="404040"/>
          <w:sz w:val="20"/>
        </w:rPr>
        <w:t>7</w:t>
      </w:r>
      <w:r>
        <w:rPr>
          <w:color w:val="404040"/>
          <w:spacing w:val="-4"/>
          <w:sz w:val="20"/>
        </w:rPr>
        <w:t> </w:t>
      </w:r>
      <w:r>
        <w:rPr>
          <w:color w:val="404040"/>
          <w:sz w:val="20"/>
        </w:rPr>
        <w:t>(having</w:t>
      </w:r>
      <w:r>
        <w:rPr>
          <w:color w:val="404040"/>
          <w:spacing w:val="-3"/>
          <w:sz w:val="20"/>
        </w:rPr>
        <w:t> </w:t>
      </w:r>
      <w:r>
        <w:rPr>
          <w:color w:val="404040"/>
          <w:sz w:val="20"/>
        </w:rPr>
        <w:t>either</w:t>
      </w:r>
      <w:r>
        <w:rPr>
          <w:color w:val="404040"/>
          <w:spacing w:val="-2"/>
          <w:sz w:val="20"/>
        </w:rPr>
        <w:t> </w:t>
      </w:r>
      <w:r>
        <w:rPr>
          <w:color w:val="404040"/>
          <w:sz w:val="20"/>
        </w:rPr>
        <w:t>remained</w:t>
      </w:r>
      <w:r>
        <w:rPr>
          <w:color w:val="404040"/>
          <w:spacing w:val="-3"/>
          <w:sz w:val="20"/>
        </w:rPr>
        <w:t> </w:t>
      </w:r>
      <w:r>
        <w:rPr>
          <w:color w:val="404040"/>
          <w:sz w:val="20"/>
        </w:rPr>
        <w:t>for</w:t>
      </w:r>
      <w:r>
        <w:rPr>
          <w:color w:val="404040"/>
          <w:spacing w:val="-3"/>
          <w:sz w:val="20"/>
        </w:rPr>
        <w:t> </w:t>
      </w:r>
      <w:r>
        <w:rPr>
          <w:color w:val="404040"/>
          <w:sz w:val="20"/>
        </w:rPr>
        <w:t>the full period, or having exited the class and returned by this point). In 10 years 20% are projected to be in class 7. This pattern of behaviour is likely to be determined by the eligibility criteria for Family Tax Benefit (linked to child ages) and Child Care Benefits as these are the main payment types which cause people to be in this</w:t>
      </w:r>
      <w:r>
        <w:rPr>
          <w:color w:val="404040"/>
          <w:spacing w:val="-3"/>
          <w:sz w:val="20"/>
        </w:rPr>
        <w:t> </w:t>
      </w:r>
      <w:r>
        <w:rPr>
          <w:color w:val="404040"/>
          <w:sz w:val="20"/>
        </w:rPr>
        <w:t>class.</w:t>
      </w:r>
    </w:p>
    <w:p>
      <w:pPr>
        <w:pStyle w:val="ListParagraph"/>
        <w:numPr>
          <w:ilvl w:val="0"/>
          <w:numId w:val="62"/>
        </w:numPr>
        <w:tabs>
          <w:tab w:pos="1183" w:val="left" w:leader="none"/>
        </w:tabs>
        <w:spacing w:line="240" w:lineRule="auto" w:before="122" w:after="0"/>
        <w:ind w:left="1182" w:right="0" w:hanging="284"/>
        <w:jc w:val="left"/>
        <w:rPr>
          <w:rFonts w:ascii="Symbol" w:hAnsi="Symbol"/>
          <w:color w:val="404040"/>
          <w:sz w:val="20"/>
        </w:rPr>
      </w:pPr>
      <w:r>
        <w:rPr>
          <w:color w:val="404040"/>
          <w:sz w:val="20"/>
        </w:rPr>
        <w:t>The majority of the people who are projected to exit this class exit the payment system</w:t>
      </w:r>
      <w:r>
        <w:rPr>
          <w:color w:val="404040"/>
          <w:spacing w:val="-18"/>
          <w:sz w:val="20"/>
        </w:rPr>
        <w:t> </w:t>
      </w:r>
      <w:r>
        <w:rPr>
          <w:color w:val="404040"/>
          <w:sz w:val="20"/>
        </w:rPr>
        <w:t>completely.</w:t>
      </w:r>
    </w:p>
    <w:p>
      <w:pPr>
        <w:pStyle w:val="ListParagraph"/>
        <w:numPr>
          <w:ilvl w:val="0"/>
          <w:numId w:val="62"/>
        </w:numPr>
        <w:tabs>
          <w:tab w:pos="1184" w:val="left" w:leader="none"/>
        </w:tabs>
        <w:spacing w:line="240" w:lineRule="auto" w:before="117" w:after="0"/>
        <w:ind w:left="1183" w:right="1110" w:hanging="284"/>
        <w:jc w:val="both"/>
        <w:rPr>
          <w:rFonts w:ascii="Symbol" w:hAnsi="Symbol"/>
          <w:color w:val="404040"/>
          <w:sz w:val="20"/>
        </w:rPr>
      </w:pPr>
      <w:r>
        <w:rPr>
          <w:color w:val="404040"/>
          <w:sz w:val="20"/>
        </w:rPr>
        <w:t>A small proportion of people are projected to move onto a different payment at the point they exit this class, with the most common destinations first being Working Age payments, then the two carer classes, and then later being the Age Pension.</w:t>
      </w:r>
    </w:p>
    <w:p>
      <w:pPr>
        <w:pStyle w:val="ListParagraph"/>
        <w:numPr>
          <w:ilvl w:val="0"/>
          <w:numId w:val="62"/>
        </w:numPr>
        <w:tabs>
          <w:tab w:pos="1184" w:val="left" w:leader="none"/>
        </w:tabs>
        <w:spacing w:line="240" w:lineRule="auto" w:before="119" w:after="0"/>
        <w:ind w:left="1183" w:right="1330" w:hanging="284"/>
        <w:jc w:val="both"/>
        <w:rPr>
          <w:rFonts w:ascii="Symbol" w:hAnsi="Symbol"/>
          <w:color w:val="404040"/>
          <w:sz w:val="20"/>
        </w:rPr>
      </w:pPr>
      <w:r>
        <w:rPr>
          <w:color w:val="404040"/>
          <w:sz w:val="20"/>
        </w:rPr>
        <w:t>The model refinements and assumption updates made at this valuation have lowered our expectations of the proportion of people in this class who will receive income support in</w:t>
      </w:r>
      <w:r>
        <w:rPr>
          <w:color w:val="404040"/>
          <w:spacing w:val="-5"/>
          <w:sz w:val="20"/>
        </w:rPr>
        <w:t> </w:t>
      </w:r>
      <w:r>
        <w:rPr>
          <w:color w:val="404040"/>
          <w:sz w:val="20"/>
        </w:rPr>
        <w:t>future.</w:t>
      </w:r>
    </w:p>
    <w:p>
      <w:pPr>
        <w:pStyle w:val="BodyText"/>
        <w:spacing w:before="7"/>
      </w:pPr>
    </w:p>
    <w:p>
      <w:pPr>
        <w:pStyle w:val="Heading6"/>
        <w:rPr>
          <w:i/>
        </w:rPr>
      </w:pPr>
      <w:r>
        <w:rPr>
          <w:i/>
          <w:color w:val="DF2F1E"/>
        </w:rPr>
        <w:t>Duration</w:t>
      </w:r>
    </w:p>
    <w:p>
      <w:pPr>
        <w:pStyle w:val="BodyText"/>
        <w:spacing w:line="242" w:lineRule="auto" w:before="118"/>
        <w:ind w:left="900" w:right="1209"/>
      </w:pPr>
      <w:r>
        <w:rPr>
          <w:color w:val="404040"/>
        </w:rPr>
        <w:t>The average future life expectancy for the Non IS Family class is </w:t>
      </w:r>
      <w:r>
        <w:rPr>
          <w:b/>
          <w:color w:val="404040"/>
        </w:rPr>
        <w:t>51 </w:t>
      </w:r>
      <w:r>
        <w:rPr>
          <w:color w:val="404040"/>
        </w:rPr>
        <w:t>years. This reflects that the age profile of this class is well distributed across the ages 25 to 55.</w:t>
      </w:r>
    </w:p>
    <w:p>
      <w:pPr>
        <w:pStyle w:val="BodyText"/>
        <w:spacing w:before="119"/>
        <w:ind w:left="900" w:right="1371" w:hanging="1"/>
        <w:jc w:val="both"/>
      </w:pPr>
      <w:r>
        <w:rPr>
          <w:color w:val="404040"/>
        </w:rPr>
        <w:t>The table below provides a summary of the average expected welfare system use of people currently in this class over this time. This has been developed by considering which classes people move into as they move through the welfare system over their lives.</w:t>
      </w:r>
    </w:p>
    <w:p>
      <w:pPr>
        <w:pStyle w:val="Heading9"/>
        <w:spacing w:before="177" w:after="44"/>
        <w:jc w:val="both"/>
      </w:pPr>
      <w:r>
        <w:rPr>
          <w:color w:val="DF2F1E"/>
        </w:rPr>
        <w:t>Table 35: Average expected durations in welfare system for people currently in class 7</w:t>
      </w:r>
    </w:p>
    <w:tbl>
      <w:tblPr>
        <w:tblW w:w="0" w:type="auto"/>
        <w:jc w:val="left"/>
        <w:tblInd w:w="1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30"/>
        <w:gridCol w:w="1765"/>
        <w:gridCol w:w="2773"/>
      </w:tblGrid>
      <w:tr>
        <w:trPr>
          <w:trHeight w:val="283" w:hRule="atLeast"/>
        </w:trPr>
        <w:tc>
          <w:tcPr>
            <w:tcW w:w="4330" w:type="dxa"/>
            <w:shd w:val="clear" w:color="auto" w:fill="DF2F1E"/>
          </w:tcPr>
          <w:p>
            <w:pPr>
              <w:pStyle w:val="TableParagraph"/>
              <w:spacing w:before="0"/>
              <w:rPr>
                <w:rFonts w:ascii="Times New Roman"/>
                <w:sz w:val="18"/>
              </w:rPr>
            </w:pPr>
          </w:p>
        </w:tc>
        <w:tc>
          <w:tcPr>
            <w:tcW w:w="1765" w:type="dxa"/>
            <w:shd w:val="clear" w:color="auto" w:fill="DF2F1E"/>
          </w:tcPr>
          <w:p>
            <w:pPr>
              <w:pStyle w:val="TableParagraph"/>
              <w:spacing w:before="44"/>
              <w:ind w:left="149" w:right="383"/>
              <w:jc w:val="center"/>
              <w:rPr>
                <w:b/>
                <w:sz w:val="16"/>
              </w:rPr>
            </w:pPr>
            <w:r>
              <w:rPr>
                <w:b/>
                <w:color w:val="FFFFFF"/>
                <w:sz w:val="16"/>
              </w:rPr>
              <w:t>Expected Years</w:t>
            </w:r>
          </w:p>
        </w:tc>
        <w:tc>
          <w:tcPr>
            <w:tcW w:w="2773" w:type="dxa"/>
            <w:shd w:val="clear" w:color="auto" w:fill="DF2F1E"/>
          </w:tcPr>
          <w:p>
            <w:pPr>
              <w:pStyle w:val="TableParagraph"/>
              <w:spacing w:before="44"/>
              <w:ind w:left="394" w:right="124"/>
              <w:jc w:val="center"/>
              <w:rPr>
                <w:b/>
                <w:sz w:val="16"/>
              </w:rPr>
            </w:pPr>
            <w:r>
              <w:rPr>
                <w:b/>
                <w:color w:val="FFFFFF"/>
                <w:sz w:val="16"/>
              </w:rPr>
              <w:t>Proportion of Future Lifetime</w:t>
            </w:r>
          </w:p>
        </w:tc>
      </w:tr>
      <w:tr>
        <w:trPr>
          <w:trHeight w:val="261" w:hRule="atLeast"/>
        </w:trPr>
        <w:tc>
          <w:tcPr>
            <w:tcW w:w="4330" w:type="dxa"/>
            <w:tcBorders>
              <w:left w:val="single" w:sz="4" w:space="0" w:color="DF2F1E"/>
            </w:tcBorders>
          </w:tcPr>
          <w:p>
            <w:pPr>
              <w:pStyle w:val="TableParagraph"/>
              <w:spacing w:before="34"/>
              <w:ind w:left="107"/>
              <w:rPr>
                <w:b/>
                <w:sz w:val="16"/>
              </w:rPr>
            </w:pPr>
            <w:r>
              <w:rPr>
                <w:b/>
                <w:color w:val="404040"/>
                <w:sz w:val="16"/>
              </w:rPr>
              <w:t>Years with some income support payments:</w:t>
            </w:r>
          </w:p>
        </w:tc>
        <w:tc>
          <w:tcPr>
            <w:tcW w:w="1765" w:type="dxa"/>
          </w:tcPr>
          <w:p>
            <w:pPr>
              <w:pStyle w:val="TableParagraph"/>
              <w:spacing w:before="0"/>
              <w:rPr>
                <w:rFonts w:ascii="Times New Roman"/>
                <w:sz w:val="18"/>
              </w:rPr>
            </w:pPr>
          </w:p>
        </w:tc>
        <w:tc>
          <w:tcPr>
            <w:tcW w:w="2773" w:type="dxa"/>
            <w:tcBorders>
              <w:right w:val="single" w:sz="4" w:space="0" w:color="DF2F1E"/>
            </w:tcBorders>
          </w:tcPr>
          <w:p>
            <w:pPr>
              <w:pStyle w:val="TableParagraph"/>
              <w:spacing w:before="0"/>
              <w:rPr>
                <w:rFonts w:ascii="Times New Roman"/>
                <w:sz w:val="18"/>
              </w:rPr>
            </w:pPr>
          </w:p>
        </w:tc>
      </w:tr>
      <w:tr>
        <w:trPr>
          <w:trHeight w:val="265" w:hRule="atLeast"/>
        </w:trPr>
        <w:tc>
          <w:tcPr>
            <w:tcW w:w="4330" w:type="dxa"/>
            <w:tcBorders>
              <w:left w:val="single" w:sz="4" w:space="0" w:color="DF2F1E"/>
            </w:tcBorders>
          </w:tcPr>
          <w:p>
            <w:pPr>
              <w:pStyle w:val="TableParagraph"/>
              <w:tabs>
                <w:tab w:pos="513" w:val="left" w:leader="none"/>
              </w:tabs>
              <w:ind w:left="153"/>
              <w:rPr>
                <w:b/>
                <w:sz w:val="16"/>
              </w:rPr>
            </w:pPr>
            <w:r>
              <w:rPr>
                <w:color w:val="404040"/>
                <w:sz w:val="16"/>
              </w:rPr>
              <w:t>-</w:t>
              <w:tab/>
            </w:r>
            <w:r>
              <w:rPr>
                <w:b/>
                <w:color w:val="404040"/>
                <w:sz w:val="16"/>
              </w:rPr>
              <w:t>Not </w:t>
            </w:r>
            <w:r>
              <w:rPr>
                <w:b/>
                <w:color w:val="404040"/>
                <w:spacing w:val="-3"/>
                <w:sz w:val="16"/>
              </w:rPr>
              <w:t>Age </w:t>
            </w:r>
            <w:r>
              <w:rPr>
                <w:b/>
                <w:color w:val="404040"/>
                <w:sz w:val="16"/>
              </w:rPr>
              <w:t>Pension (classes</w:t>
            </w:r>
            <w:r>
              <w:rPr>
                <w:b/>
                <w:color w:val="404040"/>
                <w:spacing w:val="5"/>
                <w:sz w:val="16"/>
              </w:rPr>
              <w:t> </w:t>
            </w:r>
            <w:r>
              <w:rPr>
                <w:b/>
                <w:color w:val="404040"/>
                <w:sz w:val="16"/>
              </w:rPr>
              <w:t>1-5)</w:t>
            </w:r>
          </w:p>
        </w:tc>
        <w:tc>
          <w:tcPr>
            <w:tcW w:w="1765" w:type="dxa"/>
          </w:tcPr>
          <w:p>
            <w:pPr>
              <w:pStyle w:val="TableParagraph"/>
              <w:spacing w:before="40"/>
              <w:ind w:right="234"/>
              <w:jc w:val="center"/>
              <w:rPr>
                <w:sz w:val="16"/>
              </w:rPr>
            </w:pPr>
            <w:r>
              <w:rPr>
                <w:color w:val="404040"/>
                <w:w w:val="100"/>
                <w:sz w:val="16"/>
              </w:rPr>
              <w:t>3</w:t>
            </w:r>
          </w:p>
        </w:tc>
        <w:tc>
          <w:tcPr>
            <w:tcW w:w="2773" w:type="dxa"/>
            <w:tcBorders>
              <w:right w:val="single" w:sz="4" w:space="0" w:color="DF2F1E"/>
            </w:tcBorders>
          </w:tcPr>
          <w:p>
            <w:pPr>
              <w:pStyle w:val="TableParagraph"/>
              <w:spacing w:before="40"/>
              <w:ind w:left="1293" w:right="1020"/>
              <w:jc w:val="center"/>
              <w:rPr>
                <w:sz w:val="16"/>
              </w:rPr>
            </w:pPr>
            <w:r>
              <w:rPr>
                <w:color w:val="404040"/>
                <w:sz w:val="16"/>
              </w:rPr>
              <w:t>6%</w:t>
            </w:r>
          </w:p>
        </w:tc>
      </w:tr>
      <w:tr>
        <w:trPr>
          <w:trHeight w:val="265" w:hRule="atLeast"/>
        </w:trPr>
        <w:tc>
          <w:tcPr>
            <w:tcW w:w="4330" w:type="dxa"/>
            <w:tcBorders>
              <w:left w:val="single" w:sz="4" w:space="0" w:color="DF2F1E"/>
              <w:bottom w:val="single" w:sz="4" w:space="0" w:color="DF2F1E"/>
            </w:tcBorders>
          </w:tcPr>
          <w:p>
            <w:pPr>
              <w:pStyle w:val="TableParagraph"/>
              <w:tabs>
                <w:tab w:pos="513" w:val="left" w:leader="none"/>
              </w:tabs>
              <w:spacing w:before="36"/>
              <w:ind w:left="153"/>
              <w:rPr>
                <w:b/>
                <w:sz w:val="16"/>
              </w:rPr>
            </w:pPr>
            <w:r>
              <w:rPr>
                <w:color w:val="404040"/>
                <w:sz w:val="16"/>
              </w:rPr>
              <w:t>-</w:t>
              <w:tab/>
            </w:r>
            <w:r>
              <w:rPr>
                <w:b/>
                <w:color w:val="404040"/>
                <w:sz w:val="16"/>
              </w:rPr>
              <w:t>Age Pension (class</w:t>
            </w:r>
            <w:r>
              <w:rPr>
                <w:b/>
                <w:color w:val="404040"/>
                <w:spacing w:val="-3"/>
                <w:sz w:val="16"/>
              </w:rPr>
              <w:t> </w:t>
            </w:r>
            <w:r>
              <w:rPr>
                <w:b/>
                <w:color w:val="404040"/>
                <w:sz w:val="16"/>
              </w:rPr>
              <w:t>6)</w:t>
            </w:r>
          </w:p>
        </w:tc>
        <w:tc>
          <w:tcPr>
            <w:tcW w:w="1765" w:type="dxa"/>
            <w:tcBorders>
              <w:bottom w:val="single" w:sz="4" w:space="0" w:color="DF2F1E"/>
            </w:tcBorders>
          </w:tcPr>
          <w:p>
            <w:pPr>
              <w:pStyle w:val="TableParagraph"/>
              <w:spacing w:before="39"/>
              <w:ind w:left="149" w:right="381"/>
              <w:jc w:val="center"/>
              <w:rPr>
                <w:sz w:val="16"/>
              </w:rPr>
            </w:pPr>
            <w:r>
              <w:rPr>
                <w:color w:val="404040"/>
                <w:sz w:val="16"/>
              </w:rPr>
              <w:t>14</w:t>
            </w:r>
          </w:p>
        </w:tc>
        <w:tc>
          <w:tcPr>
            <w:tcW w:w="2773" w:type="dxa"/>
            <w:tcBorders>
              <w:bottom w:val="single" w:sz="4" w:space="0" w:color="DF2F1E"/>
              <w:right w:val="single" w:sz="4" w:space="0" w:color="DF2F1E"/>
            </w:tcBorders>
          </w:tcPr>
          <w:p>
            <w:pPr>
              <w:pStyle w:val="TableParagraph"/>
              <w:spacing w:before="39"/>
              <w:ind w:left="1293" w:right="1023"/>
              <w:jc w:val="center"/>
              <w:rPr>
                <w:sz w:val="16"/>
              </w:rPr>
            </w:pPr>
            <w:r>
              <w:rPr>
                <w:color w:val="404040"/>
                <w:sz w:val="16"/>
              </w:rPr>
              <w:t>27%</w:t>
            </w:r>
          </w:p>
        </w:tc>
      </w:tr>
      <w:tr>
        <w:trPr>
          <w:trHeight w:val="266" w:hRule="atLeast"/>
        </w:trPr>
        <w:tc>
          <w:tcPr>
            <w:tcW w:w="4330" w:type="dxa"/>
            <w:tcBorders>
              <w:top w:val="single" w:sz="4" w:space="0" w:color="DF2F1E"/>
              <w:left w:val="single" w:sz="4" w:space="0" w:color="DF2F1E"/>
              <w:bottom w:val="single" w:sz="4" w:space="0" w:color="DF2F1E"/>
            </w:tcBorders>
          </w:tcPr>
          <w:p>
            <w:pPr>
              <w:pStyle w:val="TableParagraph"/>
              <w:ind w:left="107"/>
              <w:rPr>
                <w:b/>
                <w:sz w:val="16"/>
              </w:rPr>
            </w:pPr>
            <w:r>
              <w:rPr>
                <w:b/>
                <w:color w:val="404040"/>
                <w:sz w:val="16"/>
              </w:rPr>
              <w:t>Years with non income support payments only</w:t>
            </w:r>
          </w:p>
        </w:tc>
        <w:tc>
          <w:tcPr>
            <w:tcW w:w="1765" w:type="dxa"/>
            <w:tcBorders>
              <w:top w:val="single" w:sz="4" w:space="0" w:color="DF2F1E"/>
              <w:bottom w:val="single" w:sz="4" w:space="0" w:color="DF2F1E"/>
            </w:tcBorders>
          </w:tcPr>
          <w:p>
            <w:pPr>
              <w:pStyle w:val="TableParagraph"/>
              <w:spacing w:before="39"/>
              <w:ind w:right="234"/>
              <w:jc w:val="center"/>
              <w:rPr>
                <w:sz w:val="16"/>
              </w:rPr>
            </w:pPr>
            <w:r>
              <w:rPr>
                <w:color w:val="404040"/>
                <w:w w:val="100"/>
                <w:sz w:val="16"/>
              </w:rPr>
              <w:t>7</w:t>
            </w:r>
          </w:p>
        </w:tc>
        <w:tc>
          <w:tcPr>
            <w:tcW w:w="2773" w:type="dxa"/>
            <w:tcBorders>
              <w:top w:val="single" w:sz="4" w:space="0" w:color="DF2F1E"/>
              <w:bottom w:val="single" w:sz="4" w:space="0" w:color="DF2F1E"/>
              <w:right w:val="single" w:sz="4" w:space="0" w:color="DF2F1E"/>
            </w:tcBorders>
          </w:tcPr>
          <w:p>
            <w:pPr>
              <w:pStyle w:val="TableParagraph"/>
              <w:spacing w:before="39"/>
              <w:ind w:left="1293" w:right="1023"/>
              <w:jc w:val="center"/>
              <w:rPr>
                <w:sz w:val="16"/>
              </w:rPr>
            </w:pPr>
            <w:r>
              <w:rPr>
                <w:color w:val="404040"/>
                <w:sz w:val="16"/>
              </w:rPr>
              <w:t>13%</w:t>
            </w:r>
          </w:p>
        </w:tc>
      </w:tr>
      <w:tr>
        <w:trPr>
          <w:trHeight w:val="263" w:hRule="atLeast"/>
        </w:trPr>
        <w:tc>
          <w:tcPr>
            <w:tcW w:w="4330" w:type="dxa"/>
            <w:tcBorders>
              <w:top w:val="single" w:sz="4" w:space="0" w:color="DF2F1E"/>
              <w:left w:val="single" w:sz="4" w:space="0" w:color="DF2F1E"/>
              <w:bottom w:val="single" w:sz="4" w:space="0" w:color="DF2F1E"/>
            </w:tcBorders>
          </w:tcPr>
          <w:p>
            <w:pPr>
              <w:pStyle w:val="TableParagraph"/>
              <w:spacing w:before="34"/>
              <w:ind w:left="107"/>
              <w:rPr>
                <w:b/>
                <w:sz w:val="16"/>
              </w:rPr>
            </w:pPr>
            <w:r>
              <w:rPr>
                <w:b/>
                <w:color w:val="404040"/>
                <w:sz w:val="16"/>
              </w:rPr>
              <w:t>Years not receiving any welfare payments</w:t>
            </w:r>
          </w:p>
        </w:tc>
        <w:tc>
          <w:tcPr>
            <w:tcW w:w="1765" w:type="dxa"/>
            <w:tcBorders>
              <w:top w:val="single" w:sz="4" w:space="0" w:color="DF2F1E"/>
              <w:bottom w:val="single" w:sz="4" w:space="0" w:color="DF2F1E"/>
            </w:tcBorders>
          </w:tcPr>
          <w:p>
            <w:pPr>
              <w:pStyle w:val="TableParagraph"/>
              <w:ind w:left="149" w:right="381"/>
              <w:jc w:val="center"/>
              <w:rPr>
                <w:sz w:val="16"/>
              </w:rPr>
            </w:pPr>
            <w:r>
              <w:rPr>
                <w:color w:val="404040"/>
                <w:sz w:val="16"/>
              </w:rPr>
              <w:t>28</w:t>
            </w:r>
          </w:p>
        </w:tc>
        <w:tc>
          <w:tcPr>
            <w:tcW w:w="2773" w:type="dxa"/>
            <w:tcBorders>
              <w:top w:val="single" w:sz="4" w:space="0" w:color="DF2F1E"/>
              <w:bottom w:val="single" w:sz="4" w:space="0" w:color="DF2F1E"/>
              <w:right w:val="single" w:sz="4" w:space="0" w:color="DF2F1E"/>
            </w:tcBorders>
          </w:tcPr>
          <w:p>
            <w:pPr>
              <w:pStyle w:val="TableParagraph"/>
              <w:ind w:left="1293" w:right="1023"/>
              <w:jc w:val="center"/>
              <w:rPr>
                <w:sz w:val="16"/>
              </w:rPr>
            </w:pPr>
            <w:r>
              <w:rPr>
                <w:color w:val="404040"/>
                <w:sz w:val="16"/>
              </w:rPr>
              <w:t>55%</w:t>
            </w:r>
          </w:p>
        </w:tc>
      </w:tr>
      <w:tr>
        <w:trPr>
          <w:trHeight w:val="263" w:hRule="atLeast"/>
        </w:trPr>
        <w:tc>
          <w:tcPr>
            <w:tcW w:w="4330" w:type="dxa"/>
            <w:tcBorders>
              <w:top w:val="single" w:sz="4" w:space="0" w:color="DF2F1E"/>
              <w:left w:val="single" w:sz="4" w:space="0" w:color="DF2F1E"/>
              <w:bottom w:val="single" w:sz="4" w:space="0" w:color="DF2F1E"/>
            </w:tcBorders>
          </w:tcPr>
          <w:p>
            <w:pPr>
              <w:pStyle w:val="TableParagraph"/>
              <w:spacing w:before="34"/>
              <w:ind w:left="107"/>
              <w:rPr>
                <w:b/>
                <w:sz w:val="16"/>
              </w:rPr>
            </w:pPr>
            <w:r>
              <w:rPr>
                <w:b/>
                <w:color w:val="404040"/>
                <w:sz w:val="16"/>
              </w:rPr>
              <w:t>Total</w:t>
            </w:r>
          </w:p>
        </w:tc>
        <w:tc>
          <w:tcPr>
            <w:tcW w:w="1765" w:type="dxa"/>
            <w:tcBorders>
              <w:top w:val="single" w:sz="4" w:space="0" w:color="DF2F1E"/>
              <w:bottom w:val="single" w:sz="4" w:space="0" w:color="DF2F1E"/>
            </w:tcBorders>
          </w:tcPr>
          <w:p>
            <w:pPr>
              <w:pStyle w:val="TableParagraph"/>
              <w:ind w:left="149" w:right="381"/>
              <w:jc w:val="center"/>
              <w:rPr>
                <w:sz w:val="16"/>
              </w:rPr>
            </w:pPr>
            <w:r>
              <w:rPr>
                <w:color w:val="404040"/>
                <w:sz w:val="16"/>
              </w:rPr>
              <w:t>51</w:t>
            </w:r>
          </w:p>
        </w:tc>
        <w:tc>
          <w:tcPr>
            <w:tcW w:w="2773" w:type="dxa"/>
            <w:tcBorders>
              <w:top w:val="single" w:sz="4" w:space="0" w:color="DF2F1E"/>
              <w:bottom w:val="single" w:sz="4" w:space="0" w:color="DF2F1E"/>
              <w:right w:val="single" w:sz="4" w:space="0" w:color="DF2F1E"/>
            </w:tcBorders>
          </w:tcPr>
          <w:p>
            <w:pPr>
              <w:pStyle w:val="TableParagraph"/>
              <w:ind w:left="1293" w:right="1025"/>
              <w:jc w:val="center"/>
              <w:rPr>
                <w:sz w:val="16"/>
              </w:rPr>
            </w:pPr>
            <w:r>
              <w:rPr>
                <w:color w:val="404040"/>
                <w:sz w:val="16"/>
              </w:rPr>
              <w:t>100%</w:t>
            </w:r>
          </w:p>
        </w:tc>
      </w:tr>
    </w:tbl>
    <w:p>
      <w:pPr>
        <w:spacing w:after="0"/>
        <w:jc w:val="center"/>
        <w:rPr>
          <w:sz w:val="16"/>
        </w:rPr>
        <w:sectPr>
          <w:pgSz w:w="11910" w:h="16850"/>
          <w:pgMar w:header="572" w:footer="581" w:top="780" w:bottom="780" w:left="120" w:right="0"/>
        </w:sectPr>
      </w:pPr>
    </w:p>
    <w:p>
      <w:pPr>
        <w:pStyle w:val="BodyText"/>
        <w:rPr>
          <w:b/>
        </w:rPr>
      </w:pPr>
    </w:p>
    <w:p>
      <w:pPr>
        <w:pStyle w:val="BodyText"/>
        <w:rPr>
          <w:b/>
        </w:rPr>
      </w:pPr>
    </w:p>
    <w:p>
      <w:pPr>
        <w:pStyle w:val="BodyText"/>
        <w:spacing w:before="8"/>
        <w:rPr>
          <w:b/>
          <w:sz w:val="21"/>
        </w:rPr>
      </w:pPr>
    </w:p>
    <w:p>
      <w:pPr>
        <w:tabs>
          <w:tab w:pos="1752" w:val="left" w:leader="none"/>
        </w:tabs>
        <w:spacing w:before="91"/>
        <w:ind w:left="900" w:right="0" w:firstLine="0"/>
        <w:jc w:val="left"/>
        <w:rPr>
          <w:sz w:val="28"/>
        </w:rPr>
      </w:pPr>
      <w:bookmarkStart w:name="7.2 Non income support – Carer" w:id="205"/>
      <w:bookmarkEnd w:id="205"/>
      <w:r>
        <w:rPr/>
      </w:r>
      <w:bookmarkStart w:name="_bookmark49" w:id="206"/>
      <w:bookmarkEnd w:id="206"/>
      <w:r>
        <w:rPr/>
      </w:r>
      <w:r>
        <w:rPr>
          <w:color w:val="DF2F28"/>
          <w:sz w:val="28"/>
        </w:rPr>
        <w:t>7.2</w:t>
        <w:tab/>
        <w:t>Non income support –</w:t>
      </w:r>
      <w:r>
        <w:rPr>
          <w:color w:val="DF2F28"/>
          <w:spacing w:val="-1"/>
          <w:sz w:val="28"/>
        </w:rPr>
        <w:t> </w:t>
      </w:r>
      <w:r>
        <w:rPr>
          <w:color w:val="DF2F28"/>
          <w:sz w:val="28"/>
        </w:rPr>
        <w:t>Carer</w:t>
      </w:r>
    </w:p>
    <w:p>
      <w:pPr>
        <w:pStyle w:val="BodyText"/>
        <w:spacing w:before="123"/>
        <w:ind w:left="900" w:right="1226"/>
        <w:jc w:val="both"/>
      </w:pPr>
      <w:r>
        <w:rPr/>
        <w:pict>
          <v:shape style="position:absolute;margin-left:51pt;margin-top:46.608856pt;width:493.35pt;height:162.65pt;mso-position-horizontal-relative:page;mso-position-vertical-relative:paragraph;z-index:-250739712;mso-wrap-distance-left:0;mso-wrap-distance-right:0" type="#_x0000_t202" filled="true" fillcolor="#f3aba3" stroked="false">
            <v:textbox inset="0,0,0,0">
              <w:txbxContent>
                <w:p>
                  <w:pPr>
                    <w:spacing w:before="117"/>
                    <w:ind w:left="107" w:right="0" w:firstLine="0"/>
                    <w:jc w:val="left"/>
                    <w:rPr>
                      <w:b/>
                      <w:sz w:val="20"/>
                    </w:rPr>
                  </w:pPr>
                  <w:r>
                    <w:rPr>
                      <w:b/>
                      <w:color w:val="404040"/>
                      <w:sz w:val="20"/>
                    </w:rPr>
                    <w:t>Key points</w:t>
                  </w:r>
                </w:p>
                <w:p>
                  <w:pPr>
                    <w:pStyle w:val="BodyText"/>
                    <w:spacing w:before="123"/>
                    <w:ind w:left="107" w:right="390"/>
                  </w:pPr>
                  <w:r>
                    <w:rPr>
                      <w:color w:val="404040"/>
                    </w:rPr>
                    <w:t>There were 218,000 people in the Non IS Carer class in 2018. Over 80% of this class are women who are mostly aged from their early-thirties upwards.</w:t>
                  </w:r>
                </w:p>
                <w:p>
                  <w:pPr>
                    <w:pStyle w:val="BodyText"/>
                    <w:numPr>
                      <w:ilvl w:val="0"/>
                      <w:numId w:val="64"/>
                    </w:numPr>
                    <w:tabs>
                      <w:tab w:pos="392" w:val="left" w:leader="none"/>
                    </w:tabs>
                    <w:spacing w:line="240" w:lineRule="auto" w:before="119" w:after="0"/>
                    <w:ind w:left="391" w:right="429" w:hanging="284"/>
                    <w:jc w:val="left"/>
                  </w:pPr>
                  <w:r>
                    <w:rPr>
                      <w:color w:val="404040"/>
                    </w:rPr>
                    <w:t>Younger</w:t>
                  </w:r>
                  <w:r>
                    <w:rPr>
                      <w:color w:val="404040"/>
                      <w:spacing w:val="-3"/>
                    </w:rPr>
                    <w:t> </w:t>
                  </w:r>
                  <w:r>
                    <w:rPr>
                      <w:color w:val="404040"/>
                    </w:rPr>
                    <w:t>carers</w:t>
                  </w:r>
                  <w:r>
                    <w:rPr>
                      <w:color w:val="404040"/>
                      <w:spacing w:val="-3"/>
                    </w:rPr>
                    <w:t> </w:t>
                  </w:r>
                  <w:r>
                    <w:rPr>
                      <w:color w:val="404040"/>
                    </w:rPr>
                    <w:t>leaving</w:t>
                  </w:r>
                  <w:r>
                    <w:rPr>
                      <w:color w:val="404040"/>
                      <w:spacing w:val="-3"/>
                    </w:rPr>
                    <w:t> </w:t>
                  </w:r>
                  <w:r>
                    <w:rPr>
                      <w:color w:val="404040"/>
                    </w:rPr>
                    <w:t>the</w:t>
                  </w:r>
                  <w:r>
                    <w:rPr>
                      <w:color w:val="404040"/>
                      <w:spacing w:val="-2"/>
                    </w:rPr>
                    <w:t> </w:t>
                  </w:r>
                  <w:r>
                    <w:rPr>
                      <w:color w:val="404040"/>
                    </w:rPr>
                    <w:t>class</w:t>
                  </w:r>
                  <w:r>
                    <w:rPr>
                      <w:color w:val="404040"/>
                      <w:spacing w:val="-2"/>
                    </w:rPr>
                    <w:t> </w:t>
                  </w:r>
                  <w:r>
                    <w:rPr>
                      <w:color w:val="404040"/>
                    </w:rPr>
                    <w:t>are</w:t>
                  </w:r>
                  <w:r>
                    <w:rPr>
                      <w:color w:val="404040"/>
                      <w:spacing w:val="-4"/>
                    </w:rPr>
                    <w:t> </w:t>
                  </w:r>
                  <w:r>
                    <w:rPr>
                      <w:color w:val="404040"/>
                    </w:rPr>
                    <w:t>most</w:t>
                  </w:r>
                  <w:r>
                    <w:rPr>
                      <w:color w:val="404040"/>
                      <w:spacing w:val="-3"/>
                    </w:rPr>
                    <w:t> </w:t>
                  </w:r>
                  <w:r>
                    <w:rPr>
                      <w:color w:val="404040"/>
                    </w:rPr>
                    <w:t>likely</w:t>
                  </w:r>
                  <w:r>
                    <w:rPr>
                      <w:color w:val="404040"/>
                      <w:spacing w:val="-7"/>
                    </w:rPr>
                    <w:t> </w:t>
                  </w:r>
                  <w:r>
                    <w:rPr>
                      <w:color w:val="404040"/>
                    </w:rPr>
                    <w:t>to</w:t>
                  </w:r>
                  <w:r>
                    <w:rPr>
                      <w:color w:val="404040"/>
                      <w:spacing w:val="-1"/>
                    </w:rPr>
                    <w:t> </w:t>
                  </w:r>
                  <w:r>
                    <w:rPr>
                      <w:color w:val="404040"/>
                    </w:rPr>
                    <w:t>transition</w:t>
                  </w:r>
                  <w:r>
                    <w:rPr>
                      <w:color w:val="404040"/>
                      <w:spacing w:val="-4"/>
                    </w:rPr>
                    <w:t> </w:t>
                  </w:r>
                  <w:r>
                    <w:rPr>
                      <w:color w:val="404040"/>
                    </w:rPr>
                    <w:t>back to</w:t>
                  </w:r>
                  <w:r>
                    <w:rPr>
                      <w:color w:val="404040"/>
                      <w:spacing w:val="-3"/>
                    </w:rPr>
                    <w:t> </w:t>
                  </w:r>
                  <w:r>
                    <w:rPr>
                      <w:color w:val="404040"/>
                    </w:rPr>
                    <w:t>the</w:t>
                  </w:r>
                  <w:r>
                    <w:rPr>
                      <w:color w:val="404040"/>
                      <w:spacing w:val="-2"/>
                    </w:rPr>
                    <w:t> </w:t>
                  </w:r>
                  <w:r>
                    <w:rPr>
                      <w:color w:val="404040"/>
                    </w:rPr>
                    <w:t>last</w:t>
                  </w:r>
                  <w:r>
                    <w:rPr>
                      <w:color w:val="404040"/>
                      <w:spacing w:val="-3"/>
                    </w:rPr>
                    <w:t> </w:t>
                  </w:r>
                  <w:r>
                    <w:rPr>
                      <w:color w:val="404040"/>
                    </w:rPr>
                    <w:t>class</w:t>
                  </w:r>
                  <w:r>
                    <w:rPr>
                      <w:color w:val="404040"/>
                      <w:spacing w:val="-3"/>
                    </w:rPr>
                    <w:t> </w:t>
                  </w:r>
                  <w:r>
                    <w:rPr>
                      <w:color w:val="404040"/>
                    </w:rPr>
                    <w:t>they</w:t>
                  </w:r>
                  <w:r>
                    <w:rPr>
                      <w:color w:val="404040"/>
                      <w:spacing w:val="-4"/>
                    </w:rPr>
                    <w:t> </w:t>
                  </w:r>
                  <w:r>
                    <w:rPr>
                      <w:color w:val="404040"/>
                    </w:rPr>
                    <w:t>were</w:t>
                  </w:r>
                  <w:r>
                    <w:rPr>
                      <w:color w:val="404040"/>
                      <w:spacing w:val="-2"/>
                    </w:rPr>
                    <w:t> </w:t>
                  </w:r>
                  <w:r>
                    <w:rPr>
                      <w:color w:val="404040"/>
                    </w:rPr>
                    <w:t>in</w:t>
                  </w:r>
                  <w:r>
                    <w:rPr>
                      <w:color w:val="404040"/>
                      <w:spacing w:val="-1"/>
                    </w:rPr>
                    <w:t> </w:t>
                  </w:r>
                  <w:r>
                    <w:rPr>
                      <w:color w:val="404040"/>
                    </w:rPr>
                    <w:t>prior</w:t>
                  </w:r>
                  <w:r>
                    <w:rPr>
                      <w:color w:val="404040"/>
                      <w:spacing w:val="-1"/>
                    </w:rPr>
                    <w:t> </w:t>
                  </w:r>
                  <w:r>
                    <w:rPr>
                      <w:color w:val="404040"/>
                    </w:rPr>
                    <w:t>to entering class 8, suggesting they were temporary carers who returned to their previous</w:t>
                  </w:r>
                  <w:r>
                    <w:rPr>
                      <w:color w:val="404040"/>
                      <w:spacing w:val="-32"/>
                    </w:rPr>
                    <w:t> </w:t>
                  </w:r>
                  <w:r>
                    <w:rPr>
                      <w:color w:val="404040"/>
                    </w:rPr>
                    <w:t>situation.</w:t>
                  </w:r>
                </w:p>
                <w:p>
                  <w:pPr>
                    <w:pStyle w:val="BodyText"/>
                    <w:numPr>
                      <w:ilvl w:val="0"/>
                      <w:numId w:val="64"/>
                    </w:numPr>
                    <w:tabs>
                      <w:tab w:pos="392" w:val="left" w:leader="none"/>
                    </w:tabs>
                    <w:spacing w:line="240" w:lineRule="auto" w:before="118" w:after="0"/>
                    <w:ind w:left="391" w:right="135" w:hanging="284"/>
                    <w:jc w:val="left"/>
                  </w:pPr>
                  <w:r>
                    <w:rPr>
                      <w:color w:val="404040"/>
                    </w:rPr>
                    <w:t>The average rate of Carer Allowance and Carer Supplement to people in this class has been stable, while Family Tax Benefits have</w:t>
                  </w:r>
                  <w:r>
                    <w:rPr>
                      <w:color w:val="404040"/>
                      <w:spacing w:val="-7"/>
                    </w:rPr>
                    <w:t> </w:t>
                  </w:r>
                  <w:r>
                    <w:rPr>
                      <w:color w:val="404040"/>
                    </w:rPr>
                    <w:t>decreased.</w:t>
                  </w:r>
                </w:p>
                <w:p>
                  <w:pPr>
                    <w:pStyle w:val="BodyText"/>
                    <w:numPr>
                      <w:ilvl w:val="0"/>
                      <w:numId w:val="64"/>
                    </w:numPr>
                    <w:tabs>
                      <w:tab w:pos="392" w:val="left" w:leader="none"/>
                    </w:tabs>
                    <w:spacing w:line="240" w:lineRule="auto" w:before="120" w:after="0"/>
                    <w:ind w:left="391" w:right="349" w:hanging="284"/>
                    <w:jc w:val="left"/>
                  </w:pPr>
                  <w:r>
                    <w:rPr>
                      <w:color w:val="404040"/>
                    </w:rPr>
                    <w:t>The lifetime cost for this class is $51bn, which is $1bn below the rebased 2017 lifetime cost. The reduction</w:t>
                  </w:r>
                  <w:r>
                    <w:rPr>
                      <w:color w:val="404040"/>
                      <w:spacing w:val="-2"/>
                    </w:rPr>
                    <w:t> </w:t>
                  </w:r>
                  <w:r>
                    <w:rPr>
                      <w:color w:val="404040"/>
                    </w:rPr>
                    <w:t>is</w:t>
                  </w:r>
                  <w:r>
                    <w:rPr>
                      <w:color w:val="404040"/>
                      <w:spacing w:val="-3"/>
                    </w:rPr>
                    <w:t> </w:t>
                  </w:r>
                  <w:r>
                    <w:rPr>
                      <w:color w:val="404040"/>
                    </w:rPr>
                    <w:t>driven</w:t>
                  </w:r>
                  <w:r>
                    <w:rPr>
                      <w:color w:val="404040"/>
                      <w:spacing w:val="-2"/>
                    </w:rPr>
                    <w:t> </w:t>
                  </w:r>
                  <w:r>
                    <w:rPr>
                      <w:color w:val="404040"/>
                    </w:rPr>
                    <w:t>by</w:t>
                  </w:r>
                  <w:r>
                    <w:rPr>
                      <w:color w:val="404040"/>
                      <w:spacing w:val="-5"/>
                    </w:rPr>
                    <w:t> </w:t>
                  </w:r>
                  <w:r>
                    <w:rPr>
                      <w:color w:val="404040"/>
                    </w:rPr>
                    <w:t>decreased</w:t>
                  </w:r>
                  <w:r>
                    <w:rPr>
                      <w:color w:val="404040"/>
                      <w:spacing w:val="-3"/>
                    </w:rPr>
                    <w:t> </w:t>
                  </w:r>
                  <w:r>
                    <w:rPr>
                      <w:color w:val="404040"/>
                    </w:rPr>
                    <w:t>assumed</w:t>
                  </w:r>
                  <w:r>
                    <w:rPr>
                      <w:color w:val="404040"/>
                      <w:spacing w:val="-4"/>
                    </w:rPr>
                    <w:t> </w:t>
                  </w:r>
                  <w:r>
                    <w:rPr>
                      <w:color w:val="404040"/>
                    </w:rPr>
                    <w:t>future</w:t>
                  </w:r>
                  <w:r>
                    <w:rPr>
                      <w:color w:val="404040"/>
                      <w:spacing w:val="-4"/>
                    </w:rPr>
                    <w:t> </w:t>
                  </w:r>
                  <w:r>
                    <w:rPr>
                      <w:color w:val="404040"/>
                    </w:rPr>
                    <w:t>payment</w:t>
                  </w:r>
                  <w:r>
                    <w:rPr>
                      <w:color w:val="404040"/>
                      <w:spacing w:val="-4"/>
                    </w:rPr>
                    <w:t> </w:t>
                  </w:r>
                  <w:r>
                    <w:rPr>
                      <w:color w:val="404040"/>
                    </w:rPr>
                    <w:t>utilisation</w:t>
                  </w:r>
                  <w:r>
                    <w:rPr>
                      <w:color w:val="404040"/>
                      <w:spacing w:val="-2"/>
                    </w:rPr>
                    <w:t> </w:t>
                  </w:r>
                  <w:r>
                    <w:rPr>
                      <w:color w:val="404040"/>
                    </w:rPr>
                    <w:t>in</w:t>
                  </w:r>
                  <w:r>
                    <w:rPr>
                      <w:color w:val="404040"/>
                      <w:spacing w:val="-1"/>
                    </w:rPr>
                    <w:t> </w:t>
                  </w:r>
                  <w:r>
                    <w:rPr>
                      <w:color w:val="404040"/>
                    </w:rPr>
                    <w:t>light</w:t>
                  </w:r>
                  <w:r>
                    <w:rPr>
                      <w:color w:val="404040"/>
                      <w:spacing w:val="-4"/>
                    </w:rPr>
                    <w:t> </w:t>
                  </w:r>
                  <w:r>
                    <w:rPr>
                      <w:color w:val="404040"/>
                    </w:rPr>
                    <w:t>of</w:t>
                  </w:r>
                  <w:r>
                    <w:rPr>
                      <w:color w:val="404040"/>
                      <w:spacing w:val="-2"/>
                    </w:rPr>
                    <w:t> </w:t>
                  </w:r>
                  <w:r>
                    <w:rPr>
                      <w:color w:val="404040"/>
                    </w:rPr>
                    <w:t>recent</w:t>
                  </w:r>
                  <w:r>
                    <w:rPr>
                      <w:color w:val="404040"/>
                      <w:spacing w:val="-4"/>
                    </w:rPr>
                    <w:t> </w:t>
                  </w:r>
                  <w:r>
                    <w:rPr>
                      <w:color w:val="404040"/>
                    </w:rPr>
                    <w:t>decreases</w:t>
                  </w:r>
                  <w:r>
                    <w:rPr>
                      <w:color w:val="404040"/>
                      <w:spacing w:val="-3"/>
                    </w:rPr>
                    <w:t> </w:t>
                  </w:r>
                  <w:r>
                    <w:rPr>
                      <w:color w:val="404040"/>
                    </w:rPr>
                    <w:t>in</w:t>
                  </w:r>
                  <w:r>
                    <w:rPr>
                      <w:color w:val="404040"/>
                      <w:spacing w:val="-3"/>
                    </w:rPr>
                    <w:t> </w:t>
                  </w:r>
                  <w:r>
                    <w:rPr>
                      <w:color w:val="404040"/>
                    </w:rPr>
                    <w:t>both entries into income support and persistency on payments once in receipt of income support. This is partially offset by an increase in the number of people in the</w:t>
                  </w:r>
                  <w:r>
                    <w:rPr>
                      <w:color w:val="404040"/>
                      <w:spacing w:val="-11"/>
                    </w:rPr>
                    <w:t> </w:t>
                  </w:r>
                  <w:r>
                    <w:rPr>
                      <w:color w:val="404040"/>
                    </w:rPr>
                    <w:t>class.</w:t>
                  </w:r>
                </w:p>
              </w:txbxContent>
            </v:textbox>
            <v:fill type="solid"/>
            <w10:wrap type="topAndBottom"/>
          </v:shape>
        </w:pict>
      </w:r>
      <w:r>
        <w:rPr>
          <w:color w:val="404040"/>
        </w:rPr>
        <w:t>As noted previously, this class includes those people receiving Carer Allowance, who do not also receive any Carer Payment or any other income support payment. People receiving the Carer Payment are in class 4 and have been discussed in section </w:t>
      </w:r>
      <w:hyperlink w:history="true" w:anchor="_bookmark44">
        <w:r>
          <w:rPr>
            <w:color w:val="404040"/>
          </w:rPr>
          <w:t>6.4.</w:t>
        </w:r>
      </w:hyperlink>
    </w:p>
    <w:p>
      <w:pPr>
        <w:pStyle w:val="BodyText"/>
        <w:spacing w:before="4"/>
        <w:rPr>
          <w:sz w:val="11"/>
        </w:rPr>
      </w:pPr>
    </w:p>
    <w:p>
      <w:pPr>
        <w:pStyle w:val="Heading4"/>
        <w:spacing w:before="92"/>
      </w:pPr>
      <w:bookmarkStart w:name="Recent and projected trends for the Non " w:id="207"/>
      <w:bookmarkEnd w:id="207"/>
      <w:r>
        <w:rPr/>
      </w:r>
      <w:r>
        <w:rPr>
          <w:color w:val="DF2F28"/>
        </w:rPr>
        <w:t>Recent and projected trends for the Non IS Carer class</w:t>
      </w:r>
    </w:p>
    <w:p>
      <w:pPr>
        <w:pStyle w:val="BodyText"/>
        <w:spacing w:before="119"/>
        <w:ind w:left="899" w:right="1298"/>
      </w:pPr>
      <w:r>
        <w:rPr>
          <w:color w:val="404040"/>
        </w:rPr>
        <w:t>There were 218,000 people in the Non IS Carer class in the 2018 model population. This represents 0.9% of the population of Australia which is unchanged from the previous valuation, and 2.7% of current welfare recipients; it is the smallest of all the classes.</w:t>
      </w:r>
    </w:p>
    <w:p>
      <w:pPr>
        <w:pStyle w:val="BodyText"/>
        <w:spacing w:before="122"/>
        <w:ind w:left="900"/>
      </w:pPr>
      <w:r>
        <w:rPr>
          <w:color w:val="404040"/>
        </w:rPr>
        <w:t>The following chart shows a breakdown of the number of people in the Non IS Carer class by age and gender.</w:t>
      </w:r>
    </w:p>
    <w:p>
      <w:pPr>
        <w:pStyle w:val="Heading9"/>
        <w:spacing w:before="175"/>
      </w:pPr>
      <w:r>
        <w:rPr>
          <w:color w:val="DF2F1E"/>
        </w:rPr>
        <w:t>Figure 84: 2018 profile of people in class 8 – Non IS Carer (age / gender)</w:t>
      </w:r>
    </w:p>
    <w:p>
      <w:pPr>
        <w:pStyle w:val="BodyText"/>
        <w:rPr>
          <w:b/>
          <w:sz w:val="12"/>
        </w:rPr>
      </w:pPr>
    </w:p>
    <w:p>
      <w:pPr>
        <w:tabs>
          <w:tab w:pos="4051" w:val="left" w:leader="none"/>
        </w:tabs>
        <w:spacing w:before="72"/>
        <w:ind w:left="3529" w:right="0" w:firstLine="0"/>
        <w:jc w:val="left"/>
        <w:rPr>
          <w:rFonts w:ascii="Calibri"/>
          <w:sz w:val="14"/>
        </w:rPr>
      </w:pPr>
      <w:r>
        <w:rPr/>
        <w:pict>
          <v:group style="position:absolute;margin-left:176.65921pt;margin-top:5.95886pt;width:4.350pt;height:4.350pt;mso-position-horizontal-relative:page;mso-position-vertical-relative:paragraph;z-index:252578816" coordorigin="3533,119" coordsize="87,87">
            <v:rect style="position:absolute;left:3538;top:124;width:76;height:76" filled="true" fillcolor="#94b3d6" stroked="false">
              <v:fill type="solid"/>
            </v:rect>
            <v:rect style="position:absolute;left:3538;top:124;width:76;height:76" filled="false" stroked="true" strokeweight=".538321pt" strokecolor="#94b3d6">
              <v:stroke dashstyle="solid"/>
            </v:rect>
            <w10:wrap type="none"/>
          </v:group>
        </w:pict>
      </w:r>
      <w:r>
        <w:rPr/>
        <w:pict>
          <v:group style="position:absolute;margin-left:202.500549pt;margin-top:5.958889pt;width:4.850pt;height:4.350pt;mso-position-horizontal-relative:page;mso-position-vertical-relative:paragraph;z-index:-287323136" coordorigin="4050,119" coordsize="97,87">
            <v:rect style="position:absolute;left:4055;top:124;width:87;height:76" filled="true" fillcolor="#ffa7e1" stroked="false">
              <v:fill type="solid"/>
            </v:rect>
            <v:rect style="position:absolute;left:4055;top:124;width:87;height:76" filled="false" stroked="true" strokeweight=".538266pt" strokecolor="#ffa7e1">
              <v:stroke dashstyle="solid"/>
            </v:rect>
            <w10:wrap type="none"/>
          </v:group>
        </w:pict>
      </w:r>
      <w:r>
        <w:rPr>
          <w:rFonts w:ascii="Calibri"/>
          <w:sz w:val="14"/>
        </w:rPr>
        <w:t>Male</w:t>
        <w:tab/>
        <w:t>Female</w:t>
      </w:r>
    </w:p>
    <w:p>
      <w:pPr>
        <w:spacing w:after="0"/>
        <w:jc w:val="left"/>
        <w:rPr>
          <w:rFonts w:ascii="Calibri"/>
          <w:sz w:val="14"/>
        </w:rPr>
        <w:sectPr>
          <w:pgSz w:w="11910" w:h="16850"/>
          <w:pgMar w:header="572" w:footer="581" w:top="780" w:bottom="780" w:left="120" w:right="0"/>
        </w:sectPr>
      </w:pPr>
    </w:p>
    <w:p>
      <w:pPr>
        <w:spacing w:before="129"/>
        <w:ind w:left="0" w:right="329" w:firstLine="0"/>
        <w:jc w:val="right"/>
        <w:rPr>
          <w:rFonts w:ascii="Calibri"/>
          <w:sz w:val="16"/>
        </w:rPr>
      </w:pPr>
      <w:r>
        <w:rPr/>
        <w:pict>
          <v:group style="position:absolute;margin-left:98.327682pt;margin-top:11.324684pt;width:222.65pt;height:108.2pt;mso-position-horizontal-relative:page;mso-position-vertical-relative:paragraph;z-index:252577792" coordorigin="1967,226" coordsize="4453,2164">
            <v:shape style="position:absolute;left:-294410;top:-273132;width:294410;height:281421" coordorigin="-294409,-273131" coordsize="294410,281421" path="m6413,237l6413,2336m5681,237l5681,2336m4949,237l4949,2336m4217,237l4217,2336e" filled="false" stroked="true" strokeweight=".538245pt" strokecolor="#f1f1f1">
              <v:path arrowok="t"/>
              <v:stroke dashstyle="solid"/>
            </v:shape>
            <v:rect style="position:absolute;left:4184;top:1862;width:33;height:22" filled="true" fillcolor="#94b3d6" stroked="false">
              <v:fill type="solid"/>
            </v:rect>
            <v:shape style="position:absolute;left:4211;top:1884;width:2;height:216" coordorigin="4212,1884" coordsize="0,216" path="m4212,1884l4212,2099,4212,1884xe" filled="true" fillcolor="#94b3d6" stroked="false">
              <v:path arrowok="t"/>
              <v:fill type="solid"/>
            </v:shape>
            <v:shape style="position:absolute;left:4098;top:1507;width:119;height:355" coordorigin="4098,1507" coordsize="119,355" path="m4217,1647l4152,1647,4152,1669,4163,1669,4163,1722,4163,1723,4163,1744,4174,1744,4174,1786,4185,1786,4185,1820,4185,1840,4195,1840,4195,1862,4217,1862,4217,1840,4217,1820,4217,1786,4217,1744,4217,1723,4217,1722,4217,1669,4217,1647m4217,1507l4098,1507,4098,1529,4109,1529,4109,1583,4131,1583,4131,1604,4142,1604,4142,1626,4163,1626,4163,1646,4217,1646,4217,1626,4217,1604,4217,1583,4217,1582,4217,1529,4217,1507e" filled="true" fillcolor="#94b3d6" stroked="false">
              <v:path arrowok="t"/>
              <v:fill type="solid"/>
            </v:shape>
            <v:line style="position:absolute" from="4045,1464" to="4217,1464" stroked="true" strokeweight="2.199551pt" strokecolor="#94b3d6">
              <v:stroke dashstyle="solid"/>
            </v:line>
            <v:shape style="position:absolute;left:3947;top:1302;width:270;height:206" coordorigin="3948,1302" coordsize="270,206" path="m4217,1486l4077,1486,4077,1508,4217,1508,4217,1486m4217,1302l3948,1302,3948,1346,3991,1346,3991,1368,4002,1368,4002,1389,4012,1389,4012,1420,4023,1420,4023,1442,4217,1442,4217,1420,4217,1389,4217,1388,4217,1368,4217,1367,4217,1346,4217,1302e" filled="true" fillcolor="#94b3d6" stroked="false">
              <v:path arrowok="t"/>
              <v:fill type="solid"/>
            </v:shape>
            <v:line style="position:absolute" from="3926,1265" to="4217,1265" stroked="true" strokeweight="1.614414pt" strokecolor="#94b3d6">
              <v:stroke dashstyle="solid"/>
            </v:line>
            <v:shape style="position:absolute;left:3904;top:1227;width:313;height:76" coordorigin="3905,1227" coordsize="313,76" path="m4217,1281l3958,1281,3958,1303,4217,1303,4217,1281m4217,1227l3905,1227,3905,1249,4217,1249,4217,1227e" filled="true" fillcolor="#94b3d6" stroked="false">
              <v:path arrowok="t"/>
              <v:fill type="solid"/>
            </v:shape>
            <v:line style="position:absolute" from="3948,1173" to="4217,1173" stroked="true" strokeweight="1.099775pt" strokecolor="#94b3d6">
              <v:stroke dashstyle="solid"/>
            </v:line>
            <v:shape style="position:absolute;left:3915;top:1108;width:302;height:120" coordorigin="3915,1108" coordsize="302,120" path="m4217,1184l3926,1184,3926,1206,3915,1206,3915,1228,4217,1228,4217,1206,4217,1184m4217,1108l3937,1108,3937,1142,3926,1142,3926,1162,4217,1162,4217,1142,4217,1108e" filled="true" fillcolor="#94b3d6" stroked="false">
              <v:path arrowok="t"/>
              <v:fill type="solid"/>
            </v:shape>
            <v:line style="position:absolute" from="3958,1098" to="4217,1098" stroked="true" strokeweight="1.076277pt" strokecolor="#94b3d6">
              <v:stroke dashstyle="solid"/>
            </v:line>
            <v:shape style="position:absolute;left:3915;top:990;width:302;height:98" coordorigin="3915,991" coordsize="302,98" path="m4217,991l3915,991,3915,1023,3926,1023,3926,1044,3915,1044,3915,1088,4217,1088,4217,1044,4217,1023,4217,1022,4217,991e" filled="true" fillcolor="#94b3d6" stroked="false">
              <v:path arrowok="t"/>
              <v:fill type="solid"/>
            </v:shape>
            <v:line style="position:absolute" from="3969,877" to="4217,877" stroked="true" strokeweight="2.699449pt" strokecolor="#94b3d6">
              <v:stroke dashstyle="solid"/>
            </v:line>
            <v:shape style="position:absolute;left:3936;top:904;width:280;height:86" coordorigin="3937,904" coordsize="280,86" path="m4217,904l3948,904,3948,948,3937,948,3937,990,4217,990,4217,948,4217,904e" filled="true" fillcolor="#94b3d6" stroked="false">
              <v:path arrowok="t"/>
              <v:fill type="solid"/>
            </v:shape>
            <v:line style="position:absolute" from="4023,818" to="4217,818" stroked="true" strokeweight=".999796pt" strokecolor="#94b3d6">
              <v:stroke dashstyle="solid"/>
            </v:line>
            <v:line style="position:absolute" from="3991,839" to="4217,839" stroked="true" strokeweight="1.099775pt" strokecolor="#94b3d6">
              <v:stroke dashstyle="solid"/>
            </v:line>
            <v:shape style="position:absolute;left:4055;top:710;width:162;height:98" coordorigin="4055,711" coordsize="162,98" path="m4217,711l4077,711,4077,742,4077,743,4077,764,4055,764,4055,786,4066,786,4066,808,4217,808,4217,786,4217,764,4217,743,4217,742,4217,711e" filled="true" fillcolor="#94b3d6" stroked="false">
              <v:path arrowok="t"/>
              <v:fill type="solid"/>
            </v:shape>
            <v:line style="position:absolute" from="4055,678" to="4217,678" stroked="true" strokeweight=".999796pt" strokecolor="#94b3d6">
              <v:stroke dashstyle="solid"/>
            </v:line>
            <v:shape style="position:absolute;left:4087;top:231;width:130;height:479" coordorigin="4088,232" coordsize="130,479" path="m4217,688l4088,688,4088,710,4217,710,4217,688m4217,571l4131,571,4131,603,4120,603,4120,625,4098,625,4098,668,4217,668,4217,625,4217,603,4217,571m4217,271l4174,271,4174,344,4163,344,4163,366,4152,366,4152,410,4142,410,4142,452,4152,452,4152,484,4131,484,4131,548,4142,548,4142,570,4217,570,4217,548,4217,484,4217,452,4217,410,4217,366,4217,344,4217,271m4217,232l4185,232,4185,270,4217,270,4217,232e" filled="true" fillcolor="#94b3d6" stroked="false">
              <v:path arrowok="t"/>
              <v:fill type="solid"/>
            </v:shape>
            <v:shape style="position:absolute;left:471365;top:-416673;width:26866;height:134327" coordorigin="471365,-416672" coordsize="26866,134327" path="m4206,2099l4217,2099,4217,2067,4206,2067,4206,2099m4206,2067l4217,2067,4217,2045,4206,2045,4206,2067m4206,2045l4217,2045,4217,2024,4206,2024,4206,2045m4206,2024l4217,2024,4217,2002,4206,2002,4206,2024m4206,2002l4217,2002,4217,1981,4206,1981,4206,2002m4206,1981l4217,1981,4217,1959,4206,1959,4206,1981m4206,1959l4217,1959,4217,1927,4206,1927,4206,1959m4206,1927l4217,1927,4217,1905,4206,1905,4206,1927m4206,1905l4217,1905,4217,1884,4206,1884,4206,1905m4185,1884l4217,1884,4217,1862,4185,1862,4185,1884m4195,1862l4217,1862,4217,1841,4195,1841,4195,1862m4185,1841l4217,1841,4217,1819,4185,1819,4185,1841m4185,1819l4217,1819,4217,1787,4185,1787,4185,1819m4174,1787l4217,1787,4217,1766,4174,1766,4174,1787m4174,1766l4217,1766,4217,1744,4174,1744,4174,1766m4163,1744l4217,1744,4217,1723,4163,1723,4163,1744m4163,1723l4217,1723,4217,1701,4163,1701,4163,1723m4163,1701l4217,1701,4217,1669,4163,1669,4163,1701m4152,1669l4217,1669,4217,1647,4152,1647,4152,1669m4163,1647l4217,1647,4217,1626,4163,1626,4163,1647m4142,1626l4217,1626,4217,1604,4142,1604,4142,1626m4131,1604l4217,1604,4217,1583,4131,1583,4131,1604m4109,1583l4217,1583,4217,1561,4109,1561,4109,1583m4109,1561l4217,1561,4217,1529,4109,1529,4109,1561m4098,1529l4217,1529,4217,1507,4098,1507,4098,1529e" filled="false" stroked="true" strokeweight=".538246pt" strokecolor="#94b3d6">
              <v:path arrowok="t"/>
              <v:stroke dashstyle="solid"/>
            </v:shape>
            <v:line style="position:absolute" from="4072,1497" to="4222,1497" stroked="true" strokeweight="1.614409pt" strokecolor="#94b3d6">
              <v:stroke dashstyle="solid"/>
            </v:line>
            <v:shape style="position:absolute;left:4039;top:1437;width:184;height:54" coordorigin="4039,1437" coordsize="184,54" path="m4222,1437l4039,1437,4039,1459,4039,1470,4039,1491,4222,1491,4222,1470,4222,1459,4222,1437e" filled="true" fillcolor="#94b3d6" stroked="false">
              <v:path arrowok="t"/>
              <v:fill type="solid"/>
            </v:shape>
            <v:line style="position:absolute" from="4018,1432" to="4222,1432" stroked="true" strokeweight="1.614409pt" strokecolor="#94b3d6">
              <v:stroke dashstyle="solid"/>
            </v:line>
            <v:rect style="position:absolute;left:4012;top:1388;width:205;height:33" filled="false" stroked="true" strokeweight=".538142pt" strokecolor="#94b3d6">
              <v:stroke dashstyle="solid"/>
            </v:rect>
            <v:shape style="position:absolute;left:3942;top:1275;width:280;height:119" coordorigin="3942,1276" coordsize="280,119" path="m4222,1276l3953,1276,3953,1297,3942,1297,3942,1319,3942,1330,3942,1351,3985,1351,3985,1373,3996,1373,3996,1394,4222,1394,4222,1373,4222,1362,4222,1297,4222,1276e" filled="true" fillcolor="#94b3d6" stroked="false">
              <v:path arrowok="t"/>
              <v:fill type="solid"/>
            </v:shape>
            <v:rect style="position:absolute;left:3926;top:1248;width:291;height:33" filled="false" stroked="true" strokeweight=".538139pt" strokecolor="#94b3d6">
              <v:stroke dashstyle="solid"/>
            </v:rect>
            <v:shape style="position:absolute;left:3899;top:1157;width:324;height:97" coordorigin="3899,1157" coordsize="324,97" path="m4222,1157l3942,1157,3942,1179,3921,1179,3921,1201,3910,1201,3910,1222,3899,1222,3899,1254,4222,1254,4222,1233,4222,1222,4222,1211,4222,1201,4222,1190,4222,1179,4222,1157e" filled="true" fillcolor="#94b3d6" stroked="false">
              <v:path arrowok="t"/>
              <v:fill type="solid"/>
            </v:shape>
            <v:line style="position:absolute" from="3921,1152" to="4222,1152" stroked="true" strokeweight="1.614409pt" strokecolor="#94b3d6">
              <v:stroke dashstyle="solid"/>
            </v:line>
            <v:rect style="position:absolute;left:3936;top:1109;width:280;height:33" filled="false" stroked="true" strokeweight=".538139pt" strokecolor="#94b3d6">
              <v:stroke dashstyle="solid"/>
            </v:rect>
            <v:line style="position:absolute" from="3953,1098" to="4222,1098" stroked="true" strokeweight="1.614414pt" strokecolor="#94b3d6">
              <v:stroke dashstyle="solid"/>
            </v:line>
            <v:shape style="position:absolute;left:3910;top:1017;width:313;height:76" coordorigin="3910,1018" coordsize="313,76" path="m4222,1018l3921,1018,3921,1039,3910,1039,3910,1061,3910,1071,3910,1093,4222,1093,4222,1071,4222,1061,4222,1050,4222,1039,4222,1018e" filled="true" fillcolor="#94b3d6" stroked="false">
              <v:path arrowok="t"/>
              <v:fill type="solid"/>
            </v:shape>
            <v:rect style="position:absolute;left:3915;top:990;width:302;height:33" filled="false" stroked="true" strokeweight=".538139pt" strokecolor="#94b3d6">
              <v:stroke dashstyle="solid"/>
            </v:rect>
            <v:shape style="position:absolute;left:3931;top:899;width:291;height:97" coordorigin="3932,899" coordsize="291,97" path="m4222,899l3942,899,3942,921,3942,931,3942,942,3932,942,3932,964,3932,975,3932,996,4222,996,4222,921,4222,899e" filled="true" fillcolor="#94b3d6" stroked="false">
              <v:path arrowok="t"/>
              <v:fill type="solid"/>
            </v:shape>
            <v:line style="position:absolute" from="3964,894" to="4222,894" stroked="true" strokeweight="1.614409pt" strokecolor="#94b3d6">
              <v:stroke dashstyle="solid"/>
            </v:line>
            <v:rect style="position:absolute;left:3969;top:850;width:248;height:33" filled="false" stroked="true" strokeweight=".538140pt" strokecolor="#94b3d6">
              <v:stroke dashstyle="solid"/>
            </v:rect>
            <v:line style="position:absolute" from="3985,840" to="4222,840" stroked="true" strokeweight="1.614414pt" strokecolor="#94b3d6">
              <v:stroke dashstyle="solid"/>
            </v:line>
            <v:line style="position:absolute" from="4018,818" to="4222,818" stroked="true" strokeweight="1.614409pt" strokecolor="#94b3d6">
              <v:stroke dashstyle="solid"/>
            </v:line>
            <v:shape style="position:absolute;left:4049;top:759;width:173;height:54" coordorigin="4050,759" coordsize="173,54" path="m4222,759l4050,759,4050,792,4061,792,4061,813,4222,813,4222,792,4222,781,4222,759e" filled="true" fillcolor="#94b3d6" stroked="false">
              <v:path arrowok="t"/>
              <v:fill type="solid"/>
            </v:shape>
            <v:line style="position:absolute" from="4072,754" to="4222,754" stroked="true" strokeweight="1.614409pt" strokecolor="#94b3d6">
              <v:stroke dashstyle="solid"/>
            </v:line>
            <v:rect style="position:absolute;left:4076;top:710;width:140;height:33" filled="false" stroked="true" strokeweight=".538147pt" strokecolor="#94b3d6">
              <v:stroke dashstyle="solid"/>
            </v:rect>
            <v:line style="position:absolute" from="4082,700" to="4222,700" stroked="true" strokeweight="1.614414pt" strokecolor="#94b3d6">
              <v:stroke dashstyle="solid"/>
            </v:line>
            <v:line style="position:absolute" from="4050,679" to="4222,679" stroked="true" strokeweight="1.614409pt" strokecolor="#94b3d6">
              <v:stroke dashstyle="solid"/>
            </v:line>
            <v:shape style="position:absolute;left:471365;top:-91846;width:26866;height:98918" coordorigin="471365,-91845" coordsize="26866,98918" path="m4098,668l4217,668,4217,646,4098,646,4098,668m4098,646l4217,646,4217,625,4098,625,4098,646m4120,625l4217,625,4217,603,4120,603,4120,625m4131,603l4217,603,4217,571,4131,571,4131,603m4142,571l4217,571,4217,549,4142,549,4142,571m4131,549l4217,549,4217,528,4131,528,4131,549m4131,528l4217,528,4217,506,4131,506,4131,528m4131,506l4217,506,4217,485,4131,485,4131,506m4152,485l4217,485,4217,453,4152,453,4152,485m4142,453l4217,453,4217,431,4142,431,4142,453m4142,431l4217,431,4217,409,4142,409,4142,431m4152,409l4217,409,4217,388,4152,388,4152,409m4152,388l4217,388,4217,366,4152,366,4152,388m4163,366l4217,366,4217,345,4163,345,4163,366m4174,345l4217,345,4217,313,4174,313,4174,345m4174,313l4217,313,4217,291,4174,291,4174,313m4174,291l4217,291,4217,270,4174,270,4174,291m4185,270l4217,270,4217,248,4185,248,4185,270m4185,248l4217,248,4217,232e" filled="false" stroked="true" strokeweight=".538246pt" strokecolor="#94b3d6">
              <v:path arrowok="t"/>
              <v:stroke dashstyle="solid"/>
            </v:shape>
            <v:line style="position:absolute" from="4179,240" to="4190,240" stroked="true" strokeweight=".808144pt" strokecolor="#94b3d6">
              <v:stroke dashstyle="solid"/>
            </v:line>
            <v:shape style="position:absolute;left:4222;top:1883;width:2;height:183" coordorigin="4222,1884" coordsize="0,183" path="m4222,1884l4222,2067,4222,1884xe" filled="true" fillcolor="#ffa7e1" stroked="false">
              <v:path arrowok="t"/>
              <v:fill type="solid"/>
            </v:shape>
            <v:shape style="position:absolute;left:4216;top:1722;width:130;height:162" coordorigin="4217,1723" coordsize="130,162" path="m4325,1744l4217,1744,4217,1766,4217,1786,4217,1819,4217,1820,4217,1862,4217,1884,4238,1884,4238,1862,4249,1862,4249,1820,4282,1820,4282,1786,4292,1786,4292,1766,4325,1766,4325,1744m4346,1723l4217,1723,4217,1744,4346,1744,4346,1723e" filled="true" fillcolor="#ffa7e1" stroked="false">
              <v:path arrowok="t"/>
              <v:fill type="solid"/>
            </v:shape>
            <v:line style="position:absolute" from="4217,1712" to="4411,1712" stroked="true" strokeweight="1.076257pt" strokecolor="#ffa7e1">
              <v:stroke dashstyle="solid"/>
            </v:line>
            <v:line style="position:absolute" from="4217,1657" to="4540,1657" stroked="true" strokeweight="1.099766pt" strokecolor="#ffa7e1">
              <v:stroke dashstyle="solid"/>
            </v:line>
            <v:line style="position:absolute" from="4217,1685" to="4465,1685" stroked="true" strokeweight="1.614403pt" strokecolor="#ffa7e1">
              <v:stroke dashstyle="solid"/>
            </v:line>
            <v:shape style="position:absolute;left:4464;top:1668;width:76;height:2" coordorigin="4465,1669" coordsize="76,0" path="m4540,1669l4465,1669,4540,1669xe" filled="true" fillcolor="#ffa7e1" stroked="false">
              <v:path arrowok="t"/>
              <v:fill type="solid"/>
            </v:shape>
            <v:line style="position:absolute" from="4217,1593" to="4852,1593" stroked="true" strokeweight="1.099766pt" strokecolor="#ffa7e1">
              <v:stroke dashstyle="solid"/>
            </v:line>
            <v:line style="position:absolute" from="4217,1615" to="4744,1615" stroked="true" strokeweight="1.099766pt" strokecolor="#ffa7e1">
              <v:stroke dashstyle="solid"/>
            </v:line>
            <v:line style="position:absolute" from="4217,1636" to="4626,1636" stroked="true" strokeweight="1.076264pt" strokecolor="#ffa7e1">
              <v:stroke dashstyle="solid"/>
            </v:line>
            <v:line style="position:absolute" from="4217,1572" to="5014,1572" stroked="true" strokeweight="1.076264pt" strokecolor="#ffa7e1">
              <v:stroke dashstyle="solid"/>
            </v:line>
            <v:line style="position:absolute" from="4217,1518" to="5347,1518" stroked="true" strokeweight=".999788pt" strokecolor="#ffa7e1">
              <v:stroke dashstyle="solid"/>
            </v:line>
            <v:line style="position:absolute" from="4217,1544" to="5175,1544" stroked="true" strokeweight="1.59966pt" strokecolor="#ffa7e1">
              <v:stroke dashstyle="solid"/>
            </v:line>
            <v:shape style="position:absolute;left:4216;top:1431;width:1594;height:65" coordorigin="4217,1432" coordsize="1594,65" path="m4217,1497l5466,1497m4217,1432l5810,1432e" filled="false" stroked="true" strokeweight="1.076257pt" strokecolor="#ffa7e1">
              <v:path arrowok="t"/>
              <v:stroke dashstyle="solid"/>
            </v:shape>
            <v:line style="position:absolute" from="4217,1453" to="5660,1453" stroked="true" strokeweight="1.099766pt" strokecolor="#ffa7e1">
              <v:stroke dashstyle="solid"/>
            </v:line>
            <v:line style="position:absolute" from="4217,1475" to="5563,1475" stroked="true" strokeweight="1.099766pt" strokecolor="#ffa7e1">
              <v:stroke dashstyle="solid"/>
            </v:line>
            <v:line style="position:absolute" from="4217,1378" to="5961,1378" stroked="true" strokeweight=".999788pt" strokecolor="#ffa7e1">
              <v:stroke dashstyle="solid"/>
            </v:line>
            <v:line style="position:absolute" from="4217,1405" to="5864,1405" stroked="true" strokeweight="1.614403pt" strokecolor="#ffa7e1">
              <v:stroke dashstyle="solid"/>
            </v:line>
            <v:shape style="position:absolute;left:5864;top:1388;width:97;height:2" coordorigin="5864,1389" coordsize="97,0" path="m5961,1389l5864,1389,5961,1389xe" filled="true" fillcolor="#ffa7e1" stroked="false">
              <v:path arrowok="t"/>
              <v:fill type="solid"/>
            </v:shape>
            <v:shape style="position:absolute;left:4216;top:1324;width:1809;height:44" coordorigin="4217,1324" coordsize="1809,44" path="m6026,1324l4217,1324,4217,1346,4217,1367,6015,1367,6015,1346,6026,1346,6026,1324e" filled="true" fillcolor="#ffa7e1" stroked="false">
              <v:path arrowok="t"/>
              <v:fill type="solid"/>
            </v:shape>
            <v:line style="position:absolute" from="4217,1217" to="5918,1217" stroked="true" strokeweight="1.076264pt" strokecolor="#ffa7e1">
              <v:stroke dashstyle="solid"/>
            </v:line>
            <v:line style="position:absolute" from="4217,1238" to="6112,1238" stroked="true" strokeweight="1.076264pt" strokecolor="#ffa7e1">
              <v:stroke dashstyle="solid"/>
            </v:line>
            <v:line style="position:absolute" from="4217,1265" to="6241,1265" stroked="true" strokeweight="1.614396pt" strokecolor="#ffa7e1">
              <v:stroke dashstyle="solid"/>
            </v:line>
            <v:line style="position:absolute" from="4217,1291" to="6144,1291" stroked="true" strokeweight="1.099766pt" strokecolor="#ffa7e1">
              <v:stroke dashstyle="solid"/>
            </v:line>
            <v:line style="position:absolute" from="4217,1313" to="6101,1313" stroked="true" strokeweight="1.099766pt" strokecolor="#ffa7e1">
              <v:stroke dashstyle="solid"/>
            </v:line>
            <v:line style="position:absolute" from="4217,1173" to="5660,1173" stroked="true" strokeweight="1.099766pt" strokecolor="#ffa7e1">
              <v:stroke dashstyle="solid"/>
            </v:line>
            <v:line style="position:absolute" from="4217,1195" to="5854,1195" stroked="true" strokeweight="1.099766pt" strokecolor="#ffa7e1">
              <v:stroke dashstyle="solid"/>
            </v:line>
            <v:line style="position:absolute" from="4217,1055" to="5401,1055" stroked="true" strokeweight="1.099766pt" strokecolor="#ffa7e1">
              <v:stroke dashstyle="solid"/>
            </v:line>
            <v:shape style="position:absolute;left:4216;top:1066;width:1228;height:43" coordorigin="4217,1066" coordsize="1228,43" path="m5444,1066l4217,1066,4217,1088,4217,1088,4217,1109,5434,1109,5434,1088,5444,1088,5444,1066e" filled="true" fillcolor="#ffa7e1" stroked="false">
              <v:path arrowok="t"/>
              <v:fill type="solid"/>
            </v:shape>
            <v:line style="position:absolute" from="4217,1125" to="5531,1125" stroked="true" strokeweight="1.699639pt" strokecolor="#ffa7e1">
              <v:stroke dashstyle="solid"/>
            </v:line>
            <v:shape style="position:absolute;left:4216;top:958;width:1336;height:194" coordorigin="4217,958" coordsize="1336,194" path="m4217,1152l5552,1152m4217,958l5186,958e" filled="false" stroked="true" strokeweight=".999788pt" strokecolor="#ffa7e1">
              <v:path arrowok="t"/>
              <v:stroke dashstyle="solid"/>
            </v:shape>
            <v:line style="position:absolute" from="4217,979" to="5251,979" stroked="true" strokeweight="1.099766pt" strokecolor="#ffa7e1">
              <v:stroke dashstyle="solid"/>
            </v:line>
            <v:line style="position:absolute" from="4217,1006" to="5304,1006" stroked="true" strokeweight="1.59966pt" strokecolor="#ffa7e1">
              <v:stroke dashstyle="solid"/>
            </v:line>
            <v:line style="position:absolute" from="4217,1033" to="5369,1033" stroked="true" strokeweight="1.099766pt" strokecolor="#ffa7e1">
              <v:stroke dashstyle="solid"/>
            </v:line>
            <v:rect style="position:absolute;left:4216;top:882;width:819;height:22" filled="true" fillcolor="#ffa7e1" stroked="false">
              <v:fill type="solid"/>
            </v:rect>
            <v:line style="position:absolute" from="4217,915" to="5089,915" stroked="true" strokeweight="1.099766pt" strokecolor="#ffa7e1">
              <v:stroke dashstyle="solid"/>
            </v:line>
            <v:line style="position:absolute" from="4217,937" to="5143,937" stroked="true" strokeweight="1.099766pt" strokecolor="#ffa7e1">
              <v:stroke dashstyle="solid"/>
            </v:line>
            <v:line style="position:absolute" from="4217,839" to="4960,839" stroked="true" strokeweight="1.099766pt" strokecolor="#ffa7e1">
              <v:stroke dashstyle="solid"/>
            </v:line>
            <v:rect style="position:absolute;left:4216;top:850;width:819;height:32" filled="true" fillcolor="#ffa7e1" stroked="false">
              <v:fill type="solid"/>
            </v:rect>
            <v:shape style="position:absolute;left:4216;top:290;width:130;height:162" coordorigin="4217,291" coordsize="130,162" path="m4303,366l4292,366,4292,344,4271,344,4271,312,4282,312,4282,291,4217,291,4217,312,4217,344,4217,366,4217,366,4217,388,4303,388,4303,366m4346,430l4325,430,4325,388,4217,388,4217,430,4217,452,4346,452,4346,430e" filled="true" fillcolor="#ffa7e1" stroked="false">
              <v:path arrowok="t"/>
              <v:fill type="solid"/>
            </v:shape>
            <v:rect style="position:absolute;left:4216;top:452;width:140;height:33" filled="true" fillcolor="#ffa7e1" stroked="false">
              <v:fill type="solid"/>
            </v:rect>
            <v:line style="position:absolute" from="4217,495" to="4378,495" stroked="true" strokeweight="1.099766pt" strokecolor="#ffa7e1">
              <v:stroke dashstyle="solid"/>
            </v:line>
            <v:line style="position:absolute" from="4217,527" to="4400,527" stroked="true" strokeweight="2.099554pt" strokecolor="#ffa7e1">
              <v:stroke dashstyle="solid"/>
            </v:line>
            <v:shape style="position:absolute;left:4216;top:548;width:237;height:54" coordorigin="4217,548" coordsize="237,54" path="m4454,548l4217,548,4217,570,4217,602,4443,602,4443,570,4454,570,4454,548e" filled="true" fillcolor="#ffa7e1" stroked="false">
              <v:path arrowok="t"/>
              <v:fill type="solid"/>
            </v:shape>
            <v:shape style="position:absolute;left:4216;top:613;width:377;height:44" coordorigin="4217,613" coordsize="377,44" path="m4217,613l4497,613m4217,635l4540,635m4217,657l4594,657e" filled="false" stroked="true" strokeweight="1.099766pt" strokecolor="#ffa7e1">
              <v:path arrowok="t"/>
              <v:stroke dashstyle="solid"/>
            </v:shape>
            <v:line style="position:absolute" from="4217,678" to="4777,678" stroked="true" strokeweight=".999788pt" strokecolor="#ffa7e1">
              <v:stroke dashstyle="solid"/>
            </v:line>
            <v:line style="position:absolute" from="4217,699" to="4798,699" stroked="true" strokeweight="1.099766pt" strokecolor="#ffa7e1">
              <v:stroke dashstyle="solid"/>
            </v:line>
            <v:line style="position:absolute" from="4217,726" to="4820,726" stroked="true" strokeweight="1.59966pt" strokecolor="#ffa7e1">
              <v:stroke dashstyle="solid"/>
            </v:line>
            <v:line style="position:absolute" from="4217,754" to="4841,754" stroked="true" strokeweight="1.076264pt" strokecolor="#ffa7e1">
              <v:stroke dashstyle="solid"/>
            </v:line>
            <v:shape style="position:absolute;left:4216;top:764;width:657;height:44" coordorigin="4217,764" coordsize="657,44" path="m4874,764l4217,764,4217,786,4217,808,4863,808,4863,786,4874,786,4874,764e" filled="true" fillcolor="#ffa7e1" stroked="false">
              <v:path arrowok="t"/>
              <v:fill type="solid"/>
            </v:shape>
            <v:line style="position:absolute" from="4217,818" to="4917,818" stroked="true" strokeweight=".999788pt" strokecolor="#ffa7e1">
              <v:stroke dashstyle="solid"/>
            </v:line>
            <v:shape style="position:absolute;left:4216;top:231;width:54;height:59" coordorigin="4217,232" coordsize="54,59" path="m4249,232l4217,232,4217,248,4249,248,4249,232m4271,271l4260,271,4260,249,4217,249,4217,271,4217,291,4271,291,4271,271e" filled="true" fillcolor="#ffa7e1" stroked="false">
              <v:path arrowok="t"/>
              <v:fill type="solid"/>
            </v:shape>
            <v:shape style="position:absolute;left:310895;top:-252315;width:15241;height:45720" coordorigin="310896,-252315" coordsize="15241,45720" path="m4217,2067l4228,2067,4228,2045,4217,2045,4217,2067m4217,2045l4228,2045,4228,2024,4217,2024,4217,2045m4217,2024l4228,2024,4228,2002,4217,2002,4217,2024m4217,2002l4228,2002,4228,1981,4217,1981,4217,2002m4217,1981l4228,1981,4228,1959,4217,1959,4217,1981m4228,1959l4217,1959,4217,1927,4228,1927,4228,1959m4228,1927l4217,1927,4217,1905,4228,1905,4228,1927m4228,1905l4217,1905,4217,1884,4228,1884,4228,1905m4238,1884l4217,1884,4217,1862,4238,1862,4238,1884m4249,1862l4217,1862,4217,1841,4249,1841,4249,1862m4249,1841l4217,1841,4217,1819,4249,1819,4249,1841m4282,1819l4217,1819,4217,1787,4282,1787,4282,1819m4292,1787l4217,1787,4217,1766,4292,1766,4292,1787m4325,1766l4217,1766,4217,1744,4325,1744,4325,1766e" filled="false" stroked="true" strokeweight=".538246pt" strokecolor="#ffa7e1">
              <v:path arrowok="t"/>
              <v:stroke dashstyle="solid"/>
            </v:shape>
            <v:line style="position:absolute" from="4212,1733" to="4351,1733" stroked="true" strokeweight="1.614396pt" strokecolor="#ffa7e1">
              <v:stroke dashstyle="solid"/>
            </v:line>
            <v:line style="position:absolute" from="4212,1712" to="4416,1712" stroked="true" strokeweight="1.614389pt" strokecolor="#ffa7e1">
              <v:stroke dashstyle="solid"/>
            </v:line>
            <v:rect style="position:absolute;left:4216;top:1668;width:248;height:33" filled="false" stroked="true" strokeweight=".538136pt" strokecolor="#ffa7e1">
              <v:stroke dashstyle="solid"/>
            </v:rect>
            <v:line style="position:absolute" from="4212,1658" to="4545,1658" stroked="true" strokeweight="1.614389pt" strokecolor="#ffa7e1">
              <v:stroke dashstyle="solid"/>
            </v:line>
            <v:shape style="position:absolute;left:4211;top:1614;width:539;height:22" coordorigin="4212,1615" coordsize="539,22" path="m4212,1636l4631,1636m4212,1615l4750,1615e" filled="false" stroked="true" strokeweight="1.614396pt" strokecolor="#ffa7e1">
              <v:path arrowok="t"/>
              <v:stroke dashstyle="solid"/>
            </v:shape>
            <v:line style="position:absolute" from="4212,1593" to="4858,1593" stroked="true" strokeweight="1.614389pt" strokecolor="#ffa7e1">
              <v:stroke dashstyle="solid"/>
            </v:line>
            <v:line style="position:absolute" from="4212,1572" to="5019,1572" stroked="true" strokeweight="1.614396pt" strokecolor="#ffa7e1">
              <v:stroke dashstyle="solid"/>
            </v:line>
            <v:rect style="position:absolute;left:4216;top:1528;width:959;height:33" filled="false" stroked="true" strokeweight=".538132pt" strokecolor="#ffa7e1">
              <v:stroke dashstyle="solid"/>
            </v:rect>
            <v:line style="position:absolute" from="4212,1518" to="5353,1518" stroked="true" strokeweight="1.614396pt" strokecolor="#ffa7e1">
              <v:stroke dashstyle="solid"/>
            </v:line>
            <v:line style="position:absolute" from="4212,1497" to="5471,1497" stroked="true" strokeweight="1.614389pt" strokecolor="#ffa7e1">
              <v:stroke dashstyle="solid"/>
            </v:line>
            <v:shape style="position:absolute;left:4211;top:1453;width:1454;height:22" coordorigin="4212,1453" coordsize="1454,22" path="m4212,1475l5568,1475m4212,1453l5665,1453e" filled="false" stroked="true" strokeweight="1.614396pt" strokecolor="#ffa7e1">
              <v:path arrowok="t"/>
              <v:stroke dashstyle="solid"/>
            </v:shape>
            <v:line style="position:absolute" from="4212,1432" to="5816,1432" stroked="true" strokeweight="1.614389pt" strokecolor="#ffa7e1">
              <v:stroke dashstyle="solid"/>
            </v:line>
            <v:rect style="position:absolute;left:4216;top:1388;width:1648;height:33" filled="false" stroked="true" strokeweight=".538132pt" strokecolor="#ffa7e1">
              <v:stroke dashstyle="solid"/>
            </v:rect>
            <v:line style="position:absolute" from="4212,1378" to="5967,1378" stroked="true" strokeweight="1.614389pt" strokecolor="#ffa7e1">
              <v:stroke dashstyle="solid"/>
            </v:line>
            <v:shape style="position:absolute;left:4211;top:1318;width:1820;height:54" coordorigin="4212,1319" coordsize="1820,54" path="m6031,1319l4212,1319,4212,1340,4212,1351,4212,1373,6020,1373,6020,1351,6031,1351,6031,1319e" filled="true" fillcolor="#ffa7e1" stroked="false">
              <v:path arrowok="t"/>
              <v:fill type="solid"/>
            </v:shape>
            <v:shape style="position:absolute;left:4211;top:1292;width:1939;height:22" coordorigin="4212,1292" coordsize="1939,22" path="m4212,1314l6107,1314m4212,1292l6150,1292e" filled="false" stroked="true" strokeweight="1.614396pt" strokecolor="#ffa7e1">
              <v:path arrowok="t"/>
              <v:stroke dashstyle="solid"/>
            </v:shape>
            <v:rect style="position:absolute;left:4216;top:1248;width:2025;height:33" filled="false" stroked="true" strokeweight=".538132pt" strokecolor="#ffa7e1">
              <v:stroke dashstyle="solid"/>
            </v:rect>
            <v:shape style="position:absolute;left:4211;top:1216;width:1906;height:22" coordorigin="4212,1217" coordsize="1906,22" path="m4212,1238l6117,1238m4212,1217l5924,1217e" filled="false" stroked="true" strokeweight="1.614396pt" strokecolor="#ffa7e1">
              <v:path arrowok="t"/>
              <v:stroke dashstyle="solid"/>
            </v:shape>
            <v:line style="position:absolute" from="4212,1195" to="5859,1195" stroked="true" strokeweight="1.614396pt" strokecolor="#ffa7e1">
              <v:stroke dashstyle="solid"/>
            </v:line>
            <v:shape style="position:absolute;left:4211;top:1152;width:1454;height:22" coordorigin="4212,1152" coordsize="1454,22" path="m4212,1174l5665,1174m4212,1152l5557,1152e" filled="false" stroked="true" strokeweight="1.614396pt" strokecolor="#ffa7e1">
              <v:path arrowok="t"/>
              <v:stroke dashstyle="solid"/>
            </v:shape>
            <v:rect style="position:absolute;left:4216;top:1109;width:1314;height:33" filled="false" stroked="true" strokeweight=".538132pt" strokecolor="#ffa7e1">
              <v:stroke dashstyle="solid"/>
            </v:rect>
            <v:shape style="position:absolute;left:4211;top:1060;width:1239;height:54" coordorigin="4212,1061" coordsize="1239,54" path="m5450,1061l4212,1061,4212,1082,4212,1093,4212,1114,5439,1114,5439,1093,5450,1093,5450,1061e" filled="true" fillcolor="#ffa7e1" stroked="false">
              <v:path arrowok="t"/>
              <v:fill type="solid"/>
            </v:shape>
            <v:line style="position:absolute" from="4212,1055" to="5407,1055" stroked="true" strokeweight="1.614396pt" strokecolor="#ffa7e1">
              <v:stroke dashstyle="solid"/>
            </v:line>
            <v:line style="position:absolute" from="4212,1034" to="5374,1034" stroked="true" strokeweight="1.614396pt" strokecolor="#ffa7e1">
              <v:stroke dashstyle="solid"/>
            </v:line>
            <v:rect style="position:absolute;left:4216;top:990;width:1088;height:33" filled="false" stroked="true" strokeweight=".538132pt" strokecolor="#ffa7e1">
              <v:stroke dashstyle="solid"/>
            </v:rect>
            <v:line style="position:absolute" from="4212,980" to="5256,980" stroked="true" strokeweight="1.614396pt" strokecolor="#ffa7e1">
              <v:stroke dashstyle="solid"/>
            </v:line>
            <v:shape style="position:absolute;left:4211;top:915;width:980;height:44" coordorigin="4212,915" coordsize="980,44" path="m4212,958l5191,958m4212,937l5148,937m4212,915l5094,915e" filled="false" stroked="true" strokeweight="1.614396pt" strokecolor="#ffa7e1">
              <v:path arrowok="t"/>
              <v:stroke dashstyle="solid"/>
            </v:shape>
            <v:rect style="position:absolute;left:4211;top:877;width:830;height:33" filled="true" fillcolor="#ffa7e1" stroked="false">
              <v:fill type="solid"/>
            </v:rect>
            <v:rect style="position:absolute;left:4216;top:850;width:819;height:33" filled="false" stroked="true" strokeweight=".538132pt" strokecolor="#ffa7e1">
              <v:stroke dashstyle="solid"/>
            </v:rect>
            <v:line style="position:absolute" from="4212,840" to="4965,840" stroked="true" strokeweight="1.614396pt" strokecolor="#ffa7e1">
              <v:stroke dashstyle="solid"/>
            </v:line>
            <v:line style="position:absolute" from="4212,818" to="4922,818" stroked="true" strokeweight="1.614396pt" strokecolor="#ffa7e1">
              <v:stroke dashstyle="solid"/>
            </v:line>
            <v:shape style="position:absolute;left:4211;top:759;width:668;height:54" coordorigin="4212,759" coordsize="668,54" path="m4879,759l4212,759,4212,781,4212,792,4212,813,4868,813,4868,792,4879,792,4879,759e" filled="true" fillcolor="#ffa7e1" stroked="false">
              <v:path arrowok="t"/>
              <v:fill type="solid"/>
            </v:shape>
            <v:line style="position:absolute" from="4212,754" to="4847,754" stroked="true" strokeweight="1.614396pt" strokecolor="#ffa7e1">
              <v:stroke dashstyle="solid"/>
            </v:line>
            <v:rect style="position:absolute;left:4216;top:710;width:603;height:33" filled="false" stroked="true" strokeweight=".538133pt" strokecolor="#ffa7e1">
              <v:stroke dashstyle="solid"/>
            </v:rect>
            <v:shape style="position:absolute;left:4211;top:678;width:593;height:22" coordorigin="4212,679" coordsize="593,22" path="m4212,700l4804,700m4212,679l4782,679e" filled="false" stroked="true" strokeweight="1.614396pt" strokecolor="#ffa7e1">
              <v:path arrowok="t"/>
              <v:stroke dashstyle="solid"/>
            </v:shape>
            <v:line style="position:absolute" from="4212,657" to="4599,657" stroked="true" strokeweight="1.614396pt" strokecolor="#ffa7e1">
              <v:stroke dashstyle="solid"/>
            </v:line>
            <v:shape style="position:absolute;left:4211;top:613;width:334;height:22" coordorigin="4212,614" coordsize="334,22" path="m4212,635l4545,635m4212,614l4502,614e" filled="false" stroked="true" strokeweight="1.614396pt" strokecolor="#ffa7e1">
              <v:path arrowok="t"/>
              <v:stroke dashstyle="solid"/>
            </v:shape>
            <v:rect style="position:absolute;left:4216;top:570;width:227;height:33" filled="false" stroked="true" strokeweight=".538137pt" strokecolor="#ffa7e1">
              <v:stroke dashstyle="solid"/>
            </v:rect>
            <v:line style="position:absolute" from="4212,560" to="4459,560" stroked="true" strokeweight="1.614396pt" strokecolor="#ffa7e1">
              <v:stroke dashstyle="solid"/>
            </v:line>
            <v:shape style="position:absolute;left:4211;top:500;width:194;height:54" coordorigin="4212,501" coordsize="194,54" path="m4405,501l4212,501,4212,522,4212,533,4212,555,4405,555,4405,533,4405,522,4405,501e" filled="true" fillcolor="#ffa7e1" stroked="false">
              <v:path arrowok="t"/>
              <v:fill type="solid"/>
            </v:shape>
            <v:line style="position:absolute" from="4212,496" to="4384,496" stroked="true" strokeweight="1.614396pt" strokecolor="#ffa7e1">
              <v:stroke dashstyle="solid"/>
            </v:line>
            <v:rect style="position:absolute;left:4216;top:452;width:140;height:33" filled="false" stroked="true" strokeweight=".538144pt" strokecolor="#ffa7e1">
              <v:stroke dashstyle="solid"/>
            </v:rect>
            <v:line style="position:absolute" from="4212,442" to="4351,442" stroked="true" strokeweight="1.614396pt" strokecolor="#ffa7e1">
              <v:stroke dashstyle="solid"/>
            </v:line>
            <v:shape style="position:absolute;left:310895;top:-20667;width:15241;height:28197" coordorigin="310896,-20667" coordsize="15241,28197" path="m4325,431l4217,431,4217,409,4325,409,4325,431m4325,409l4217,409,4217,388,4325,388,4325,409m4303,388l4217,388,4217,366,4303,366,4303,388m4292,366l4217,366,4217,345,4292,345,4292,366m4271,345l4217,345,4217,313,4271,313,4271,345m4282,313l4217,313,4217,291,4282,291,4282,313m4271,291l4217,291,4217,270,4271,270,4271,291m4260,270l4217,270,4217,248,4260,248,4260,270m4249,248l4217,248,4217,232e" filled="false" stroked="true" strokeweight=".538246pt" strokecolor="#ffa7e1">
              <v:path arrowok="t"/>
              <v:stroke dashstyle="solid"/>
            </v:shape>
            <v:line style="position:absolute" from="4244,240" to="4255,240" stroked="true" strokeweight=".808122pt" strokecolor="#ffa7e1">
              <v:stroke dashstyle="solid"/>
            </v:line>
            <v:shape style="position:absolute;left:-490682;top:-273132;width:98137;height:281421" coordorigin="-490682,-273131" coordsize="98137,281421" path="m3485,237l3485,2336m2753,237l2753,2336e" filled="false" stroked="true" strokeweight=".538245pt" strokecolor="#f1f1f1">
              <v:path arrowok="t"/>
              <v:stroke dashstyle="solid"/>
            </v:shape>
            <v:line style="position:absolute" from="6413,2336" to="2020,2336" stroked="true" strokeweight=".53813pt" strokecolor="#bebebe">
              <v:stroke dashstyle="solid"/>
            </v:line>
            <v:shape style="position:absolute;left:-653143;top:285;width:653143;height:8005" coordorigin="-653143,285" coordsize="653143,8005" path="m6413,2336l6413,2390m5681,2336l5681,2390m4949,2336l4949,2390m4217,2336l4217,2390m3485,2336l3485,2390m2753,2336l2753,2390m2020,2336l2020,2390e" filled="false" stroked="true" strokeweight=".538246pt" strokecolor="#bebebe">
              <v:path arrowok="t"/>
              <v:stroke dashstyle="solid"/>
            </v:shape>
            <v:line style="position:absolute" from="2020,2336" to="2020,237" stroked="true" strokeweight=".538362pt" strokecolor="#bebebe">
              <v:stroke dashstyle="solid"/>
            </v:line>
            <v:shape style="position:absolute;left:0;top:8289;width:16711;height:651711" coordorigin="0,8289" coordsize="16711,651711" path="m1967,2336l2020,2336m1967,2110l2020,2110m1967,1873l2020,1873m1967,1636l2020,1636m1967,1400l2020,1400m1967,1174l2020,1174m1967,937l2020,937m1967,700l2020,700m1967,474l2020,474m1967,237l2020,237e" filled="false" stroked="true" strokeweight=".538245pt" strokecolor="#bebebe">
              <v:path arrowok="t"/>
              <v:stroke dashstyle="solid"/>
            </v:shape>
            <w10:wrap type="none"/>
          </v:group>
        </w:pict>
      </w:r>
      <w:r>
        <w:rPr>
          <w:rFonts w:ascii="Calibri"/>
          <w:spacing w:val="-8"/>
          <w:sz w:val="16"/>
        </w:rPr>
        <w:t>90</w:t>
      </w:r>
    </w:p>
    <w:p>
      <w:pPr>
        <w:spacing w:before="38"/>
        <w:ind w:left="0" w:right="329" w:firstLine="0"/>
        <w:jc w:val="right"/>
        <w:rPr>
          <w:rFonts w:ascii="Calibri"/>
          <w:sz w:val="16"/>
        </w:rPr>
      </w:pPr>
      <w:r>
        <w:rPr>
          <w:rFonts w:ascii="Calibri"/>
          <w:spacing w:val="-8"/>
          <w:sz w:val="16"/>
        </w:rPr>
        <w:t>80</w:t>
      </w:r>
    </w:p>
    <w:p>
      <w:pPr>
        <w:spacing w:before="39"/>
        <w:ind w:left="0" w:right="329" w:firstLine="0"/>
        <w:jc w:val="right"/>
        <w:rPr>
          <w:rFonts w:ascii="Calibri"/>
          <w:sz w:val="16"/>
        </w:rPr>
      </w:pPr>
      <w:r>
        <w:rPr>
          <w:rFonts w:ascii="Calibri"/>
          <w:spacing w:val="-8"/>
          <w:sz w:val="16"/>
        </w:rPr>
        <w:t>70</w:t>
      </w:r>
    </w:p>
    <w:p>
      <w:pPr>
        <w:spacing w:before="38"/>
        <w:ind w:left="0" w:right="329" w:firstLine="0"/>
        <w:jc w:val="right"/>
        <w:rPr>
          <w:rFonts w:ascii="Calibri"/>
          <w:sz w:val="16"/>
        </w:rPr>
      </w:pPr>
      <w:r>
        <w:rPr>
          <w:rFonts w:ascii="Calibri"/>
          <w:spacing w:val="-8"/>
          <w:sz w:val="16"/>
        </w:rPr>
        <w:t>60</w:t>
      </w:r>
    </w:p>
    <w:p>
      <w:pPr>
        <w:spacing w:before="39"/>
        <w:ind w:left="0" w:right="329" w:firstLine="0"/>
        <w:jc w:val="right"/>
        <w:rPr>
          <w:rFonts w:ascii="Calibri"/>
          <w:sz w:val="16"/>
        </w:rPr>
      </w:pPr>
      <w:r>
        <w:rPr/>
        <w:pict>
          <v:shape style="position:absolute;margin-left:75.292877pt;margin-top:6.813717pt;width:9pt;height:12.5pt;mso-position-horizontal-relative:page;mso-position-vertical-relative:paragraph;z-index:252580864" type="#_x0000_t202" filled="false" stroked="false">
            <v:textbox inset="0,0,0,0" style="layout-flow:vertical;mso-layout-flow-alt:bottom-to-top">
              <w:txbxContent>
                <w:p>
                  <w:pPr>
                    <w:spacing w:line="163" w:lineRule="exact" w:before="0"/>
                    <w:ind w:left="20" w:right="0" w:firstLine="0"/>
                    <w:jc w:val="left"/>
                    <w:rPr>
                      <w:rFonts w:ascii="Calibri"/>
                      <w:sz w:val="14"/>
                    </w:rPr>
                  </w:pPr>
                  <w:r>
                    <w:rPr>
                      <w:rFonts w:ascii="Calibri"/>
                      <w:color w:val="A6A6A6"/>
                      <w:sz w:val="14"/>
                    </w:rPr>
                    <w:t>Age</w:t>
                  </w:r>
                </w:p>
              </w:txbxContent>
            </v:textbox>
            <w10:wrap type="none"/>
          </v:shape>
        </w:pict>
      </w:r>
      <w:r>
        <w:rPr>
          <w:rFonts w:ascii="Calibri"/>
          <w:spacing w:val="-8"/>
          <w:sz w:val="16"/>
        </w:rPr>
        <w:t>50</w:t>
      </w:r>
    </w:p>
    <w:p>
      <w:pPr>
        <w:spacing w:before="38"/>
        <w:ind w:left="0" w:right="329" w:firstLine="0"/>
        <w:jc w:val="right"/>
        <w:rPr>
          <w:rFonts w:ascii="Calibri"/>
          <w:sz w:val="16"/>
        </w:rPr>
      </w:pPr>
      <w:r>
        <w:rPr>
          <w:rFonts w:ascii="Calibri"/>
          <w:spacing w:val="-8"/>
          <w:sz w:val="16"/>
        </w:rPr>
        <w:t>40</w:t>
      </w:r>
    </w:p>
    <w:p>
      <w:pPr>
        <w:spacing w:before="39"/>
        <w:ind w:left="0" w:right="329" w:firstLine="0"/>
        <w:jc w:val="right"/>
        <w:rPr>
          <w:rFonts w:ascii="Calibri"/>
          <w:sz w:val="16"/>
        </w:rPr>
      </w:pPr>
      <w:r>
        <w:rPr>
          <w:rFonts w:ascii="Calibri"/>
          <w:spacing w:val="-8"/>
          <w:sz w:val="16"/>
        </w:rPr>
        <w:t>30</w:t>
      </w:r>
    </w:p>
    <w:p>
      <w:pPr>
        <w:spacing w:before="38"/>
        <w:ind w:left="0" w:right="329" w:firstLine="0"/>
        <w:jc w:val="right"/>
        <w:rPr>
          <w:rFonts w:ascii="Calibri"/>
          <w:sz w:val="16"/>
        </w:rPr>
      </w:pPr>
      <w:r>
        <w:rPr>
          <w:rFonts w:ascii="Calibri"/>
          <w:spacing w:val="-8"/>
          <w:sz w:val="16"/>
        </w:rPr>
        <w:t>20</w:t>
      </w:r>
    </w:p>
    <w:p>
      <w:pPr>
        <w:spacing w:before="39"/>
        <w:ind w:left="0" w:right="329" w:firstLine="0"/>
        <w:jc w:val="right"/>
        <w:rPr>
          <w:rFonts w:ascii="Calibri"/>
          <w:sz w:val="16"/>
        </w:rPr>
      </w:pPr>
      <w:r>
        <w:rPr>
          <w:rFonts w:ascii="Calibri"/>
          <w:spacing w:val="-8"/>
          <w:sz w:val="16"/>
        </w:rPr>
        <w:t>10</w:t>
      </w:r>
    </w:p>
    <w:p>
      <w:pPr>
        <w:spacing w:before="38"/>
        <w:ind w:left="0" w:right="318" w:firstLine="0"/>
        <w:jc w:val="right"/>
        <w:rPr>
          <w:rFonts w:ascii="Calibri"/>
          <w:sz w:val="16"/>
        </w:rPr>
      </w:pPr>
      <w:r>
        <w:rPr>
          <w:rFonts w:ascii="Calibri"/>
          <w:w w:val="100"/>
          <w:sz w:val="16"/>
        </w:rPr>
        <w:t>0</w:t>
      </w:r>
    </w:p>
    <w:p>
      <w:pPr>
        <w:spacing w:before="10"/>
        <w:ind w:left="0" w:right="0" w:firstLine="0"/>
        <w:jc w:val="right"/>
        <w:rPr>
          <w:rFonts w:ascii="Calibri"/>
          <w:sz w:val="16"/>
        </w:rPr>
      </w:pPr>
      <w:r>
        <w:rPr>
          <w:rFonts w:ascii="Calibri"/>
          <w:sz w:val="16"/>
        </w:rPr>
        <w:t>7,500</w:t>
      </w:r>
    </w:p>
    <w:p>
      <w:pPr>
        <w:pStyle w:val="BodyText"/>
        <w:rPr>
          <w:rFonts w:ascii="Calibri"/>
          <w:sz w:val="16"/>
        </w:rPr>
      </w:pPr>
      <w:r>
        <w:rPr/>
        <w:br w:type="column"/>
      </w:r>
      <w:r>
        <w:rPr>
          <w:rFonts w:ascii="Calibri"/>
          <w:sz w:val="16"/>
        </w:rPr>
      </w: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spacing w:before="9"/>
        <w:rPr>
          <w:rFonts w:ascii="Calibri"/>
          <w:sz w:val="23"/>
        </w:rPr>
      </w:pPr>
    </w:p>
    <w:p>
      <w:pPr>
        <w:spacing w:before="0"/>
        <w:ind w:left="338" w:right="0" w:firstLine="0"/>
        <w:jc w:val="left"/>
        <w:rPr>
          <w:rFonts w:ascii="Calibri"/>
          <w:sz w:val="16"/>
        </w:rPr>
      </w:pPr>
      <w:r>
        <w:rPr>
          <w:rFonts w:ascii="Calibri"/>
          <w:spacing w:val="-3"/>
          <w:sz w:val="16"/>
        </w:rPr>
        <w:t>5,000</w:t>
      </w:r>
    </w:p>
    <w:p>
      <w:pPr>
        <w:pStyle w:val="BodyText"/>
        <w:rPr>
          <w:rFonts w:ascii="Calibri"/>
          <w:sz w:val="16"/>
        </w:rPr>
      </w:pPr>
      <w:r>
        <w:rPr/>
        <w:br w:type="column"/>
      </w:r>
      <w:r>
        <w:rPr>
          <w:rFonts w:ascii="Calibri"/>
          <w:sz w:val="16"/>
        </w:rPr>
      </w: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spacing w:before="9"/>
        <w:rPr>
          <w:rFonts w:ascii="Calibri"/>
          <w:sz w:val="23"/>
        </w:rPr>
      </w:pPr>
    </w:p>
    <w:p>
      <w:pPr>
        <w:spacing w:before="0"/>
        <w:ind w:left="338" w:right="0" w:firstLine="0"/>
        <w:jc w:val="left"/>
        <w:rPr>
          <w:rFonts w:ascii="Calibri"/>
          <w:sz w:val="16"/>
        </w:rPr>
      </w:pPr>
      <w:r>
        <w:rPr>
          <w:rFonts w:ascii="Calibri"/>
          <w:spacing w:val="-3"/>
          <w:sz w:val="16"/>
        </w:rPr>
        <w:t>2,500</w:t>
      </w:r>
    </w:p>
    <w:p>
      <w:pPr>
        <w:pStyle w:val="BodyText"/>
        <w:rPr>
          <w:rFonts w:ascii="Calibri"/>
          <w:sz w:val="16"/>
        </w:rPr>
      </w:pPr>
      <w:r>
        <w:rPr/>
        <w:br w:type="column"/>
      </w:r>
      <w:r>
        <w:rPr>
          <w:rFonts w:ascii="Calibri"/>
          <w:sz w:val="16"/>
        </w:rPr>
      </w: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spacing w:before="9"/>
        <w:rPr>
          <w:rFonts w:ascii="Calibri"/>
          <w:sz w:val="23"/>
        </w:rPr>
      </w:pPr>
    </w:p>
    <w:p>
      <w:pPr>
        <w:tabs>
          <w:tab w:pos="1071" w:val="left" w:leader="none"/>
        </w:tabs>
        <w:spacing w:before="0"/>
        <w:ind w:left="477" w:right="0" w:firstLine="0"/>
        <w:jc w:val="left"/>
        <w:rPr>
          <w:rFonts w:ascii="Calibri"/>
          <w:sz w:val="16"/>
        </w:rPr>
      </w:pPr>
      <w:r>
        <w:rPr>
          <w:rFonts w:ascii="Calibri"/>
          <w:sz w:val="16"/>
        </w:rPr>
        <w:t>0</w:t>
        <w:tab/>
      </w:r>
      <w:r>
        <w:rPr>
          <w:rFonts w:ascii="Calibri"/>
          <w:spacing w:val="-7"/>
          <w:sz w:val="16"/>
        </w:rPr>
        <w:t>2,500</w:t>
      </w:r>
    </w:p>
    <w:p>
      <w:pPr>
        <w:pStyle w:val="BodyText"/>
        <w:rPr>
          <w:rFonts w:ascii="Calibri"/>
          <w:sz w:val="16"/>
        </w:rPr>
      </w:pPr>
      <w:r>
        <w:rPr/>
        <w:br w:type="column"/>
      </w:r>
      <w:r>
        <w:rPr>
          <w:rFonts w:ascii="Calibri"/>
          <w:sz w:val="16"/>
        </w:rPr>
      </w: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spacing w:before="9"/>
        <w:rPr>
          <w:rFonts w:ascii="Calibri"/>
          <w:sz w:val="23"/>
        </w:rPr>
      </w:pPr>
    </w:p>
    <w:p>
      <w:pPr>
        <w:spacing w:before="0"/>
        <w:ind w:left="338" w:right="0" w:firstLine="0"/>
        <w:jc w:val="left"/>
        <w:rPr>
          <w:rFonts w:ascii="Calibri"/>
          <w:sz w:val="16"/>
        </w:rPr>
      </w:pPr>
      <w:r>
        <w:rPr>
          <w:rFonts w:ascii="Calibri"/>
          <w:spacing w:val="-3"/>
          <w:sz w:val="16"/>
        </w:rPr>
        <w:t>5,000</w:t>
      </w:r>
    </w:p>
    <w:p>
      <w:pPr>
        <w:pStyle w:val="BodyText"/>
        <w:rPr>
          <w:rFonts w:ascii="Calibri"/>
          <w:sz w:val="16"/>
        </w:rPr>
      </w:pPr>
      <w:r>
        <w:rPr/>
        <w:br w:type="column"/>
      </w:r>
      <w:r>
        <w:rPr>
          <w:rFonts w:ascii="Calibri"/>
          <w:sz w:val="16"/>
        </w:rPr>
      </w: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spacing w:before="9"/>
        <w:rPr>
          <w:rFonts w:ascii="Calibri"/>
          <w:sz w:val="23"/>
        </w:rPr>
      </w:pPr>
    </w:p>
    <w:p>
      <w:pPr>
        <w:spacing w:before="0"/>
        <w:ind w:left="338" w:right="0" w:firstLine="0"/>
        <w:jc w:val="left"/>
        <w:rPr>
          <w:rFonts w:ascii="Calibri"/>
          <w:sz w:val="16"/>
        </w:rPr>
      </w:pPr>
      <w:r>
        <w:rPr>
          <w:rFonts w:ascii="Calibri"/>
          <w:sz w:val="16"/>
        </w:rPr>
        <w:t>7,500</w:t>
      </w:r>
    </w:p>
    <w:p>
      <w:pPr>
        <w:spacing w:after="0"/>
        <w:jc w:val="left"/>
        <w:rPr>
          <w:rFonts w:ascii="Calibri"/>
          <w:sz w:val="16"/>
        </w:rPr>
        <w:sectPr>
          <w:type w:val="continuous"/>
          <w:pgSz w:w="11910" w:h="16850"/>
          <w:pgMar w:top="1600" w:bottom="280" w:left="120" w:right="0"/>
          <w:cols w:num="6" w:equalWidth="0">
            <w:col w:w="2072" w:space="40"/>
            <w:col w:w="694" w:space="39"/>
            <w:col w:w="694" w:space="40"/>
            <w:col w:w="1428" w:space="39"/>
            <w:col w:w="694" w:space="39"/>
            <w:col w:w="6011"/>
          </w:cols>
        </w:sectPr>
      </w:pPr>
    </w:p>
    <w:p>
      <w:pPr>
        <w:spacing w:before="41"/>
        <w:ind w:left="3486" w:right="0" w:firstLine="0"/>
        <w:jc w:val="left"/>
        <w:rPr>
          <w:rFonts w:ascii="Calibri"/>
          <w:sz w:val="16"/>
        </w:rPr>
      </w:pPr>
      <w:r>
        <w:rPr>
          <w:rFonts w:ascii="Calibri"/>
          <w:color w:val="A6A6A6"/>
          <w:sz w:val="16"/>
        </w:rPr>
        <w:t>Number of People</w:t>
      </w:r>
    </w:p>
    <w:p>
      <w:pPr>
        <w:pStyle w:val="BodyText"/>
        <w:spacing w:before="10"/>
        <w:rPr>
          <w:rFonts w:ascii="Calibri"/>
          <w:sz w:val="24"/>
        </w:rPr>
      </w:pPr>
    </w:p>
    <w:p>
      <w:pPr>
        <w:pStyle w:val="BodyText"/>
        <w:spacing w:before="93"/>
        <w:ind w:left="900" w:right="1098"/>
      </w:pPr>
      <w:r>
        <w:rPr>
          <w:color w:val="404040"/>
        </w:rPr>
        <w:t>From the chart, we can see that there are a mix of both men and women, albeit with substantially more women at all ages. The people in this class are mostly aged 30 to 65, with class numbers peaking in the mid-forties. A material number of people stay in the class after retirement age and the numbers above retirement age have been increasing.</w:t>
      </w:r>
    </w:p>
    <w:p>
      <w:pPr>
        <w:pStyle w:val="BodyText"/>
        <w:spacing w:before="7"/>
      </w:pPr>
    </w:p>
    <w:p>
      <w:pPr>
        <w:pStyle w:val="Heading6"/>
        <w:rPr>
          <w:i/>
        </w:rPr>
      </w:pPr>
      <w:r>
        <w:rPr>
          <w:i/>
          <w:color w:val="DF2F1E"/>
        </w:rPr>
        <w:t>Movements into and out of this class</w:t>
      </w:r>
    </w:p>
    <w:p>
      <w:pPr>
        <w:pStyle w:val="BodyText"/>
        <w:spacing w:before="121"/>
        <w:ind w:left="900" w:right="1052"/>
      </w:pPr>
      <w:r>
        <w:rPr>
          <w:color w:val="404040"/>
        </w:rPr>
        <w:t>Over the last three years, an average of 33,500 people (around 15.8% of the people in this class) per annum entered this class from another welfare class or from outside the welfare system. Over the last three years, an average of 29,500 people (around 13.9% of people in this class) per annum have transitioned out of the Non IS Carer class.</w:t>
      </w:r>
    </w:p>
    <w:p>
      <w:pPr>
        <w:spacing w:after="0"/>
        <w:sectPr>
          <w:type w:val="continuous"/>
          <w:pgSz w:w="11910" w:h="16850"/>
          <w:pgMar w:top="1600" w:bottom="280" w:left="120" w:right="0"/>
        </w:sectPr>
      </w:pPr>
    </w:p>
    <w:p>
      <w:pPr>
        <w:pStyle w:val="BodyText"/>
      </w:pPr>
    </w:p>
    <w:p>
      <w:pPr>
        <w:pStyle w:val="BodyText"/>
      </w:pPr>
    </w:p>
    <w:p>
      <w:pPr>
        <w:pStyle w:val="BodyText"/>
        <w:spacing w:before="7"/>
        <w:rPr>
          <w:sz w:val="21"/>
        </w:rPr>
      </w:pPr>
    </w:p>
    <w:p>
      <w:pPr>
        <w:pStyle w:val="BodyText"/>
        <w:spacing w:before="93"/>
        <w:ind w:left="900" w:right="1687"/>
      </w:pPr>
      <w:r>
        <w:rPr>
          <w:color w:val="404040"/>
        </w:rPr>
        <w:t>The following chart shows the breakdown of these transitions by previous / destination class and year of transition.</w:t>
      </w:r>
    </w:p>
    <w:p>
      <w:pPr>
        <w:pStyle w:val="Heading9"/>
        <w:spacing w:before="176"/>
        <w:ind w:left="899"/>
      </w:pPr>
      <w:r>
        <w:rPr>
          <w:color w:val="DF2F1E"/>
        </w:rPr>
        <w:t>Figure 85: Number of people entering class 8 – Non IS Carer (by class entered from)</w:t>
      </w:r>
    </w:p>
    <w:p>
      <w:pPr>
        <w:spacing w:before="64"/>
        <w:ind w:left="0" w:right="10082" w:firstLine="0"/>
        <w:jc w:val="right"/>
        <w:rPr>
          <w:rFonts w:ascii="Calibri"/>
          <w:sz w:val="16"/>
        </w:rPr>
      </w:pPr>
      <w:r>
        <w:rPr/>
        <w:pict>
          <v:group style="position:absolute;margin-left:98.294128pt;margin-top:8.210628pt;width:412.55pt;height:144.050pt;mso-position-horizontal-relative:page;mso-position-vertical-relative:paragraph;z-index:252593152" coordorigin="1966,164" coordsize="8251,2881">
            <v:shape style="position:absolute;left:1971;top:2137;width:8240;height:2" coordorigin="1972,2138" coordsize="8240,0" path="m9963,2138l10211,2138m9138,2138l9633,2138m8313,2138l8808,2138m7488,2138l7983,2138m6663,2138l7158,2138m5838,2138l6333,2138m5025,2138l5520,2138m4200,2138l4695,2138m3374,2138l3869,2138m2549,2138l3044,2138m1972,2138l2219,2138e" filled="false" stroked="true" strokeweight=".589103pt" strokecolor="#d9d9d9">
              <v:path arrowok="t"/>
              <v:stroke dashstyle="solid"/>
            </v:shape>
            <v:line style="position:absolute" from="2219,2403" to="2549,2403" stroked="true" strokeweight=".589112pt" strokecolor="#1f487c">
              <v:stroke dashstyle="solid"/>
            </v:line>
            <v:rect style="position:absolute;left:2219;top:2255;width:331;height:142" filled="true" fillcolor="#009544" stroked="false">
              <v:fill type="solid"/>
            </v:rect>
            <v:rect style="position:absolute;left:2219;top:2114;width:331;height:142" filled="true" fillcolor="#e16b09" stroked="false">
              <v:fill type="solid"/>
            </v:rect>
            <v:line style="position:absolute" from="3044,2403" to="3374,2403" stroked="true" strokeweight=".589112pt" strokecolor="#1f487c">
              <v:stroke dashstyle="solid"/>
            </v:line>
            <v:rect style="position:absolute;left:3044;top:2255;width:331;height:142" filled="true" fillcolor="#009544" stroked="false">
              <v:fill type="solid"/>
            </v:rect>
            <v:rect style="position:absolute;left:3044;top:2149;width:331;height:107" filled="true" fillcolor="#e16b09" stroked="false">
              <v:fill type="solid"/>
            </v:rect>
            <v:line style="position:absolute" from="3870,2403" to="4200,2403" stroked="true" strokeweight=".589112pt" strokecolor="#1f487c">
              <v:stroke dashstyle="solid"/>
            </v:line>
            <v:rect style="position:absolute;left:3869;top:2255;width:331;height:142" filled="true" fillcolor="#009544" stroked="false">
              <v:fill type="solid"/>
            </v:rect>
            <v:rect style="position:absolute;left:3869;top:2149;width:331;height:107" filled="true" fillcolor="#e16b09" stroked="false">
              <v:fill type="solid"/>
            </v:rect>
            <v:line style="position:absolute" from="4695,2403" to="5025,2403" stroked="true" strokeweight=".589112pt" strokecolor="#1f487c">
              <v:stroke dashstyle="solid"/>
            </v:line>
            <v:rect style="position:absolute;left:4694;top:2231;width:331;height:165" filled="true" fillcolor="#009544" stroked="false">
              <v:fill type="solid"/>
            </v:rect>
            <v:rect style="position:absolute;left:4694;top:2114;width:331;height:118" filled="true" fillcolor="#e16b09" stroked="false">
              <v:fill type="solid"/>
            </v:rect>
            <v:line style="position:absolute" from="5520,2403" to="5838,2403" stroked="true" strokeweight=".589112pt" strokecolor="#1f487c">
              <v:stroke dashstyle="solid"/>
            </v:line>
            <v:rect style="position:absolute;left:5519;top:2231;width:319;height:165" filled="true" fillcolor="#009544" stroked="false">
              <v:fill type="solid"/>
            </v:rect>
            <v:rect style="position:absolute;left:5519;top:2114;width:319;height:118" filled="true" fillcolor="#e16b09" stroked="false">
              <v:fill type="solid"/>
            </v:rect>
            <v:line style="position:absolute" from="6333,2403" to="6663,2403" stroked="true" strokeweight=".589112pt" strokecolor="#1f487c">
              <v:stroke dashstyle="solid"/>
            </v:line>
            <v:rect style="position:absolute;left:6333;top:2255;width:331;height:142" filled="true" fillcolor="#009544" stroked="false">
              <v:fill type="solid"/>
            </v:rect>
            <v:rect style="position:absolute;left:6333;top:2149;width:331;height:107" filled="true" fillcolor="#e16b09" stroked="false">
              <v:fill type="solid"/>
            </v:rect>
            <v:line style="position:absolute" from="7158,2403" to="7488,2403" stroked="true" strokeweight=".589112pt" strokecolor="#1f487c">
              <v:stroke dashstyle="solid"/>
            </v:line>
            <v:rect style="position:absolute;left:7158;top:2267;width:331;height:130" filled="true" fillcolor="#009544" stroked="false">
              <v:fill type="solid"/>
            </v:rect>
            <v:rect style="position:absolute;left:7158;top:2161;width:331;height:107" filled="true" fillcolor="#e16b09" stroked="false">
              <v:fill type="solid"/>
            </v:rect>
            <v:line style="position:absolute" from="7983,2403" to="8313,2403" stroked="true" strokeweight=".589112pt" strokecolor="#1f487c">
              <v:stroke dashstyle="solid"/>
            </v:line>
            <v:rect style="position:absolute;left:7983;top:2267;width:331;height:130" filled="true" fillcolor="#009544" stroked="false">
              <v:fill type="solid"/>
            </v:rect>
            <v:rect style="position:absolute;left:7983;top:2161;width:331;height:107" filled="true" fillcolor="#e16b09" stroked="false">
              <v:fill type="solid"/>
            </v:rect>
            <v:line style="position:absolute" from="8808,2403" to="9138,2403" stroked="true" strokeweight=".589112pt" strokecolor="#1f487c">
              <v:stroke dashstyle="solid"/>
            </v:line>
            <v:rect style="position:absolute;left:8808;top:2255;width:331;height:142" filled="true" fillcolor="#009544" stroked="false">
              <v:fill type="solid"/>
            </v:rect>
            <v:rect style="position:absolute;left:8808;top:2161;width:331;height:95" filled="true" fillcolor="#e16b09" stroked="false">
              <v:fill type="solid"/>
            </v:rect>
            <v:line style="position:absolute" from="9633,2403" to="9963,2403" stroked="true" strokeweight=".589112pt" strokecolor="#1f487c">
              <v:stroke dashstyle="solid"/>
            </v:line>
            <v:rect style="position:absolute;left:9633;top:2267;width:331;height:130" filled="true" fillcolor="#009544" stroked="false">
              <v:fill type="solid"/>
            </v:rect>
            <v:rect style="position:absolute;left:9633;top:2173;width:331;height:95" filled="true" fillcolor="#e16b09" stroked="false">
              <v:fill type="solid"/>
            </v:rect>
            <v:shape style="position:absolute;left:2219;top:1961;width:1981;height:189" coordorigin="2219,1961" coordsize="1981,189" path="m2549,1961l2219,1961,2219,2114,2549,2114,2549,1961m3374,1985l3044,1985,3044,2150,3374,2150,3374,1985m4200,1985l3869,1985,3869,2150,4200,2150,4200,1985e" filled="true" fillcolor="#e08ad6" stroked="false">
              <v:path arrowok="t"/>
              <v:fill type="solid"/>
            </v:shape>
            <v:shape style="position:absolute;left:4199;top:1854;width:1321;height:2" coordorigin="4200,1855" coordsize="1321,0" path="m5025,1855l5520,1855m4200,1855l4695,1855e" filled="false" stroked="true" strokeweight=".589103pt" strokecolor="#d9d9d9">
              <v:path arrowok="t"/>
              <v:stroke dashstyle="solid"/>
            </v:shape>
            <v:rect style="position:absolute;left:4694;top:1925;width:331;height:189" filled="true" fillcolor="#e08ad6" stroked="false">
              <v:fill type="solid"/>
            </v:rect>
            <v:line style="position:absolute" from="5838,1855" to="6333,1855" stroked="true" strokeweight=".589103pt" strokecolor="#d9d9d9">
              <v:stroke dashstyle="solid"/>
            </v:line>
            <v:rect style="position:absolute;left:5519;top:1843;width:319;height:271" filled="true" fillcolor="#e08ad6" stroked="false">
              <v:fill type="solid"/>
            </v:rect>
            <v:line style="position:absolute" from="6663,1855" to="7158,1855" stroked="true" strokeweight=".589103pt" strokecolor="#d9d9d9">
              <v:stroke dashstyle="solid"/>
            </v:line>
            <v:shape style="position:absolute;left:6333;top:1925;width:1981;height:236" coordorigin="6333,1926" coordsize="1981,236" path="m6663,1926l6333,1926,6333,2150,6663,2150,6663,1926m7488,1949l7158,1949,7158,2161,7488,2161,7488,1949m8313,1949l7983,1949,7983,2161,8313,2161,8313,1949e" filled="true" fillcolor="#e08ad6" stroked="false">
              <v:path arrowok="t"/>
              <v:fill type="solid"/>
            </v:shape>
            <v:shape style="position:absolute;left:8313;top:1854;width:1321;height:2" coordorigin="8313,1855" coordsize="1321,0" path="m9138,1855l9633,1855m8313,1855l8808,1855e" filled="false" stroked="true" strokeweight=".589103pt" strokecolor="#d9d9d9">
              <v:path arrowok="t"/>
              <v:stroke dashstyle="solid"/>
            </v:shape>
            <v:shape style="position:absolute;left:8808;top:1925;width:1156;height:248" coordorigin="8808,1926" coordsize="1156,248" path="m9138,1926l8808,1926,8808,2161,9138,2161,9138,1926m9963,1937l9633,1937,9633,2173,9963,2173,9963,1937e" filled="true" fillcolor="#e08ad6" stroked="false">
              <v:path arrowok="t"/>
              <v:fill type="solid"/>
            </v:shape>
            <v:shape style="position:absolute;left:2219;top:1837;width:6920;height:142" coordorigin="2219,1837" coordsize="6920,142" path="m2219,1955l2549,1955m3044,1979l3374,1979m3869,1979l4200,1979m4695,1920l5025,1920m5520,1837l5838,1837m6333,1920l6663,1920m7158,1943l7488,1943m7983,1943l8313,1943m8808,1920l9138,1920e" filled="false" stroked="true" strokeweight=".589103pt" strokecolor="#8063a1">
              <v:path arrowok="t"/>
              <v:stroke dashstyle="solid"/>
            </v:shape>
            <v:line style="position:absolute" from="9963,1855" to="10211,1855" stroked="true" strokeweight=".589103pt" strokecolor="#d9d9d9">
              <v:stroke dashstyle="solid"/>
            </v:line>
            <v:line style="position:absolute" from="9633,1932" to="9963,1932" stroked="true" strokeweight=".589103pt" strokecolor="#8063a1">
              <v:stroke dashstyle="solid"/>
            </v:line>
            <v:shape style="position:absolute;left:2219;top:1943;width:1981;height:24" coordorigin="2219,1943" coordsize="1981,24" path="m2219,1943l2549,1943m3044,1967l3374,1967m3869,1967l4200,1967e" filled="false" stroked="true" strokeweight=".589103pt" strokecolor="#c0504d">
              <v:path arrowok="t"/>
              <v:stroke dashstyle="solid"/>
            </v:shape>
            <v:rect style="position:absolute;left:4694;top:1890;width:331;height:24" filled="true" fillcolor="#c0504d" stroked="false">
              <v:fill type="solid"/>
            </v:rect>
            <v:rect style="position:absolute;left:5519;top:1678;width:319;height:154" filled="true" fillcolor="#c0504d" stroked="false">
              <v:fill type="solid"/>
            </v:rect>
            <v:rect style="position:absolute;left:6333;top:1902;width:331;height:24" filled="true" fillcolor="#c0504d" stroked="false">
              <v:fill type="solid"/>
            </v:rect>
            <v:line style="position:absolute" from="7488,1855" to="7983,1855" stroked="true" strokeweight=".589103pt" strokecolor="#d9d9d9">
              <v:stroke dashstyle="solid"/>
            </v:line>
            <v:shape style="position:absolute;left:7158;top:1902;width:2806;height:48" coordorigin="7158,1902" coordsize="2806,48" path="m7488,1926l7158,1926,7158,1949,7488,1949,7488,1926m8313,1914l7983,1914,7983,1937,8313,1937,8313,1914m9138,1902l8808,1902,8808,1926,9138,1926,9138,1902m9963,1914l9633,1914,9633,1937,9963,1937,9963,1914e" filled="true" fillcolor="#c0504d" stroked="false">
              <v:path arrowok="t"/>
              <v:fill type="solid"/>
            </v:shape>
            <v:shape style="position:absolute;left:1971;top:1572;width:1073;height:283" coordorigin="1972,1572" coordsize="1073,283" path="m2549,1855l3044,1855m1972,1855l2219,1855m2549,1572l3044,1572m1972,1572l2219,1572e" filled="false" stroked="true" strokeweight=".589103pt" strokecolor="#d9d9d9">
              <v:path arrowok="t"/>
              <v:stroke dashstyle="solid"/>
            </v:shape>
            <v:rect style="position:absolute;left:2219;top:1442;width:331;height:495" filled="true" fillcolor="#f8a763" stroked="false">
              <v:fill type="solid"/>
            </v:rect>
            <v:shape style="position:absolute;left:3374;top:1572;width:496;height:283" coordorigin="3374,1572" coordsize="496,283" path="m3374,1855l3869,1855m3374,1572l3869,1572e" filled="false" stroked="true" strokeweight=".589103pt" strokecolor="#d9d9d9">
              <v:path arrowok="t"/>
              <v:stroke dashstyle="solid"/>
            </v:shape>
            <v:rect style="position:absolute;left:3044;top:1454;width:331;height:507" filled="true" fillcolor="#f8a763" stroked="false">
              <v:fill type="solid"/>
            </v:rect>
            <v:line style="position:absolute" from="4200,1572" to="4695,1572" stroked="true" strokeweight=".589103pt" strokecolor="#d9d9d9">
              <v:stroke dashstyle="solid"/>
            </v:line>
            <v:rect style="position:absolute;left:3869;top:1466;width:331;height:495" filled="true" fillcolor="#f8a763" stroked="false">
              <v:fill type="solid"/>
            </v:rect>
            <v:line style="position:absolute" from="5025,1572" to="5520,1572" stroked="true" strokeweight=".589103pt" strokecolor="#d9d9d9">
              <v:stroke dashstyle="solid"/>
            </v:line>
            <v:rect style="position:absolute;left:4694;top:1501;width:331;height:389" filled="true" fillcolor="#f8a763" stroked="false">
              <v:fill type="solid"/>
            </v:rect>
            <v:shape style="position:absolute;left:5024;top:1289;width:1309;height:283" coordorigin="5025,1289" coordsize="1309,283" path="m5838,1572l6333,1572m5838,1289l6333,1289m5025,1289l5520,1289e" filled="false" stroked="true" strokeweight=".589103pt" strokecolor="#d9d9d9">
              <v:path arrowok="t"/>
              <v:stroke dashstyle="solid"/>
            </v:shape>
            <v:rect style="position:absolute;left:5519;top:1218;width:319;height:460" filled="true" fillcolor="#f8a763" stroked="false">
              <v:fill type="solid"/>
            </v:rect>
            <v:line style="position:absolute" from="6663,1572" to="7158,1572" stroked="true" strokeweight=".589103pt" strokecolor="#d9d9d9">
              <v:stroke dashstyle="solid"/>
            </v:line>
            <v:rect style="position:absolute;left:6332;top:1489;width:331;height:413" filled="true" fillcolor="#f8a763" stroked="false">
              <v:fill type="solid"/>
            </v:rect>
            <v:line style="position:absolute" from="7488,1572" to="7983,1572" stroked="true" strokeweight=".589103pt" strokecolor="#d9d9d9">
              <v:stroke dashstyle="solid"/>
            </v:line>
            <v:rect style="position:absolute;left:7158;top:1513;width:331;height:413" filled="true" fillcolor="#f8a763" stroked="false">
              <v:fill type="solid"/>
            </v:rect>
            <v:line style="position:absolute" from="8313,1572" to="8808,1572" stroked="true" strokeweight=".589103pt" strokecolor="#d9d9d9">
              <v:stroke dashstyle="solid"/>
            </v:line>
            <v:rect style="position:absolute;left:7983;top:1513;width:331;height:401" filled="true" fillcolor="#f8a763" stroked="false">
              <v:fill type="solid"/>
            </v:rect>
            <v:line style="position:absolute" from="9138,1572" to="9633,1572" stroked="true" strokeweight=".589103pt" strokecolor="#d9d9d9">
              <v:stroke dashstyle="solid"/>
            </v:line>
            <v:rect style="position:absolute;left:8808;top:1501;width:331;height:401" filled="true" fillcolor="#f8a763" stroked="false">
              <v:fill type="solid"/>
            </v:rect>
            <v:line style="position:absolute" from="9963,1572" to="10211,1572" stroked="true" strokeweight=".589103pt" strokecolor="#d9d9d9">
              <v:stroke dashstyle="solid"/>
            </v:line>
            <v:rect style="position:absolute;left:9633;top:1513;width:331;height:401" filled="true" fillcolor="#f8a763" stroked="false">
              <v:fill type="solid"/>
            </v:rect>
            <v:shape style="position:absolute;left:1971;top:1289;width:1073;height:2" coordorigin="1972,1289" coordsize="1073,0" path="m2549,1289l3044,1289m1972,1289l2219,1289e" filled="false" stroked="true" strokeweight=".589103pt" strokecolor="#d9d9d9">
              <v:path arrowok="t"/>
              <v:stroke dashstyle="solid"/>
            </v:shape>
            <v:rect style="position:absolute;left:2219;top:1324;width:331;height:118" filled="true" fillcolor="#938953" stroked="false">
              <v:fill type="solid"/>
            </v:rect>
            <v:line style="position:absolute" from="3374,1289" to="3869,1289" stroked="true" strokeweight=".589103pt" strokecolor="#d9d9d9">
              <v:stroke dashstyle="solid"/>
            </v:line>
            <v:rect style="position:absolute;left:3044;top:1348;width:331;height:107" filled="true" fillcolor="#938953" stroked="false">
              <v:fill type="solid"/>
            </v:rect>
            <v:line style="position:absolute" from="4200,1289" to="4695,1289" stroked="true" strokeweight=".589103pt" strokecolor="#d9d9d9">
              <v:stroke dashstyle="solid"/>
            </v:line>
            <v:shape style="position:absolute;left:3869;top:1112;width:1969;height:389" coordorigin="3869,1113" coordsize="1969,389" path="m4200,1348l3869,1348,3869,1466,4200,1466,4200,1348m5025,1407l4695,1407,4695,1501,5025,1501,5025,1407m5838,1113l5520,1113,5520,1219,5838,1219,5838,1113e" filled="true" fillcolor="#938953" stroked="false">
              <v:path arrowok="t"/>
              <v:fill type="solid"/>
            </v:shape>
            <v:line style="position:absolute" from="6663,1289" to="7158,1289" stroked="true" strokeweight=".589103pt" strokecolor="#d9d9d9">
              <v:stroke dashstyle="solid"/>
            </v:line>
            <v:shape style="position:absolute;left:6333;top:1360;width:3631;height:154" coordorigin="6333,1360" coordsize="3631,154" path="m6663,1360l6333,1360,6333,1490,6663,1490,6663,1360m7488,1395l7158,1395,7158,1513,7488,1513,7488,1395m8313,1395l7983,1395,7983,1513,8313,1513,8313,1395m9138,1384l8808,1384,8808,1501,9138,1501,9138,1384m9963,1395l9633,1395,9633,1513,9963,1513,9963,1395e" filled="true" fillcolor="#938953" stroked="false">
              <v:path arrowok="t"/>
              <v:fill type="solid"/>
            </v:shape>
            <v:shape style="position:absolute;left:1971;top:1018;width:1073;height:2" coordorigin="1972,1018" coordsize="1073,0" path="m2549,1018l3044,1018m1972,1018l2219,1018e" filled="false" stroked="true" strokeweight=".589103pt" strokecolor="#d9d9d9">
              <v:path arrowok="t"/>
              <v:stroke dashstyle="solid"/>
            </v:shape>
            <v:rect style="position:absolute;left:2219;top:959;width:331;height:366" filled="true" fillcolor="#ffd600" stroked="false">
              <v:fill type="solid"/>
            </v:rect>
            <v:line style="position:absolute" from="3374,1018" to="3869,1018" stroked="true" strokeweight=".589103pt" strokecolor="#d9d9d9">
              <v:stroke dashstyle="solid"/>
            </v:line>
            <v:rect style="position:absolute;left:3044;top:983;width:331;height:366" filled="true" fillcolor="#ffd600" stroked="false">
              <v:fill type="solid"/>
            </v:rect>
            <v:line style="position:absolute" from="4200,1018" to="4695,1018" stroked="true" strokeweight=".589103pt" strokecolor="#d9d9d9">
              <v:stroke dashstyle="solid"/>
            </v:line>
            <v:rect style="position:absolute;left:3869;top:959;width:331;height:389" filled="true" fillcolor="#ffd600" stroked="false">
              <v:fill type="solid"/>
            </v:rect>
            <v:line style="position:absolute" from="5025,1018" to="5520,1018" stroked="true" strokeweight=".589103pt" strokecolor="#d9d9d9">
              <v:stroke dashstyle="solid"/>
            </v:line>
            <v:rect style="position:absolute;left:4694;top:1053;width:331;height:354" filled="true" fillcolor="#ffd600" stroked="false">
              <v:fill type="solid"/>
            </v:rect>
            <v:shape style="position:absolute;left:5024;top:735;width:1309;height:283" coordorigin="5025,736" coordsize="1309,283" path="m5838,1018l6333,1018m5025,736l6333,736e" filled="false" stroked="true" strokeweight=".589103pt" strokecolor="#d9d9d9">
              <v:path arrowok="t"/>
              <v:stroke dashstyle="solid"/>
            </v:shape>
            <v:rect style="position:absolute;left:5519;top:735;width:319;height:378" filled="true" fillcolor="#ffd600" stroked="false">
              <v:fill type="solid"/>
            </v:rect>
            <v:line style="position:absolute" from="6663,1018" to="7158,1018" stroked="true" strokeweight=".589103pt" strokecolor="#d9d9d9">
              <v:stroke dashstyle="solid"/>
            </v:line>
            <v:rect style="position:absolute;left:6333;top:900;width:331;height:460" filled="true" fillcolor="#ffd600" stroked="false">
              <v:fill type="solid"/>
            </v:rect>
            <v:shape style="position:absolute;left:7488;top:1018;width:496;height:271" coordorigin="7488,1018" coordsize="496,271" path="m7488,1289l7983,1289m7488,1018l7983,1018e" filled="false" stroked="true" strokeweight=".589103pt" strokecolor="#d9d9d9">
              <v:path arrowok="t"/>
              <v:stroke dashstyle="solid"/>
            </v:shape>
            <v:rect style="position:absolute;left:7158;top:912;width:331;height:484" filled="true" fillcolor="#ffd600" stroked="false">
              <v:fill type="solid"/>
            </v:rect>
            <v:shape style="position:absolute;left:8313;top:1018;width:496;height:271" coordorigin="8313,1018" coordsize="496,271" path="m8313,1289l8808,1289m8313,1018l8808,1018e" filled="false" stroked="true" strokeweight=".589103pt" strokecolor="#d9d9d9">
              <v:path arrowok="t"/>
              <v:stroke dashstyle="solid"/>
            </v:shape>
            <v:rect style="position:absolute;left:7983;top:877;width:331;height:519" filled="true" fillcolor="#ffd600" stroked="false">
              <v:fill type="solid"/>
            </v:rect>
            <v:shape style="position:absolute;left:9138;top:1018;width:496;height:271" coordorigin="9138,1018" coordsize="496,271" path="m9138,1289l9633,1289m9138,1018l9633,1018e" filled="false" stroked="true" strokeweight=".589103pt" strokecolor="#d9d9d9">
              <v:path arrowok="t"/>
              <v:stroke dashstyle="solid"/>
            </v:shape>
            <v:rect style="position:absolute;left:8808;top:829;width:331;height:554" filled="true" fillcolor="#ffd600" stroked="false">
              <v:fill type="solid"/>
            </v:rect>
            <v:shape style="position:absolute;left:9963;top:1018;width:248;height:271" coordorigin="9963,1018" coordsize="248,271" path="m9963,1289l10211,1289m9963,1018l10211,1018e" filled="false" stroked="true" strokeweight=".589103pt" strokecolor="#d9d9d9">
              <v:path arrowok="t"/>
              <v:stroke dashstyle="solid"/>
            </v:shape>
            <v:rect style="position:absolute;left:9633;top:818;width:331;height:578" filled="true" fillcolor="#ffd600" stroked="false">
              <v:fill type="solid"/>
            </v:rect>
            <v:shape style="position:absolute;left:1971;top:452;width:3548;height:283" coordorigin="1972,453" coordsize="3548,283" path="m2549,736l3044,736m1972,736l2219,736m1972,453l5520,453e" filled="false" stroked="true" strokeweight=".589103pt" strokecolor="#d9d9d9">
              <v:path arrowok="t"/>
              <v:stroke dashstyle="solid"/>
            </v:shape>
            <v:rect style="position:absolute;left:2219;top:452;width:331;height:507" filled="true" fillcolor="#ffeb8f" stroked="false">
              <v:fill type="solid"/>
            </v:rect>
            <v:line style="position:absolute" from="3374,736" to="3869,736" stroked="true" strokeweight=".589103pt" strokecolor="#d9d9d9">
              <v:stroke dashstyle="solid"/>
            </v:line>
            <v:rect style="position:absolute;left:3044;top:523;width:331;height:460" filled="true" fillcolor="#ffeb8f" stroked="false">
              <v:fill type="solid"/>
            </v:rect>
            <v:line style="position:absolute" from="4200,736" to="4695,736" stroked="true" strokeweight=".589103pt" strokecolor="#d9d9d9">
              <v:stroke dashstyle="solid"/>
            </v:line>
            <v:shape style="position:absolute;left:3869;top:535;width:1156;height:519" coordorigin="3869,535" coordsize="1156,519" path="m4200,535l3869,535,3869,960,4200,960,4200,535m5025,700l4695,700,4695,1054,5025,1054,5025,700e" filled="true" fillcolor="#ffeb8f" stroked="false">
              <v:path arrowok="t"/>
              <v:fill type="solid"/>
            </v:shape>
            <v:line style="position:absolute" from="5838,453" to="9633,453" stroked="true" strokeweight=".589103pt" strokecolor="#d9d9d9">
              <v:stroke dashstyle="solid"/>
            </v:line>
            <v:rect style="position:absolute;left:5519;top:382;width:319;height:354" filled="true" fillcolor="#ffeb8f" stroked="false">
              <v:fill type="solid"/>
            </v:rect>
            <v:line style="position:absolute" from="6663,736" to="7158,736" stroked="true" strokeweight=".589103pt" strokecolor="#d9d9d9">
              <v:stroke dashstyle="solid"/>
            </v:line>
            <v:rect style="position:absolute;left:6333;top:511;width:331;height:389" filled="true" fillcolor="#ffeb8f" stroked="false">
              <v:fill type="solid"/>
            </v:rect>
            <v:line style="position:absolute" from="7488,736" to="7983,736" stroked="true" strokeweight=".589103pt" strokecolor="#d9d9d9">
              <v:stroke dashstyle="solid"/>
            </v:line>
            <v:rect style="position:absolute;left:7158;top:523;width:331;height:389" filled="true" fillcolor="#ffeb8f" stroked="false">
              <v:fill type="solid"/>
            </v:rect>
            <v:line style="position:absolute" from="8313,736" to="8808,736" stroked="true" strokeweight=".589103pt" strokecolor="#d9d9d9">
              <v:stroke dashstyle="solid"/>
            </v:line>
            <v:rect style="position:absolute;left:7983;top:488;width:331;height:389" filled="true" fillcolor="#ffeb8f" stroked="false">
              <v:fill type="solid"/>
            </v:rect>
            <v:line style="position:absolute" from="9138,736" to="9633,736" stroked="true" strokeweight=".589103pt" strokecolor="#d9d9d9">
              <v:stroke dashstyle="solid"/>
            </v:line>
            <v:rect style="position:absolute;left:8808;top:452;width:331;height:378" filled="true" fillcolor="#ffeb8f" stroked="false">
              <v:fill type="solid"/>
            </v:rect>
            <v:shape style="position:absolute;left:9963;top:452;width:248;height:283" coordorigin="9963,453" coordsize="248,283" path="m9963,736l10211,736m9963,453l10211,453e" filled="false" stroked="true" strokeweight=".589103pt" strokecolor="#d9d9d9">
              <v:path arrowok="t"/>
              <v:stroke dashstyle="solid"/>
            </v:shape>
            <v:rect style="position:absolute;left:9633;top:429;width:331;height:389" filled="true" fillcolor="#ffeb8f" stroked="false">
              <v:fill type="solid"/>
            </v:rect>
            <v:shape style="position:absolute;left:0;top:-10824;width:652743;height:25214" coordorigin="0,-10824" coordsize="652743,25214" path="m1972,2409l10211,2409m1972,2409l1972,2468m1972,2409l1972,2727m2797,2409l2797,2468m2797,2409l2797,2727m3622,2409l3622,2468m3622,2409l3622,2727m4447,2409l4447,2468m4447,2409l4447,2727m5272,2409l5272,2468m5272,2409l5272,2727m6085,2409l6085,2468m6085,2409l6085,2727m6911,2409l6911,2468m6911,2409l6911,2727m7736,2409l7736,2468m7736,2409l7736,2727m8561,2409l8561,2468m8561,2409l8561,2727m9386,2409l9386,2468m9386,2409l9386,2727m10211,2409l10211,2468m10211,2409l10211,2727e" filled="false" stroked="true" strokeweight=".589229pt" strokecolor="#d9d9d9">
              <v:path arrowok="t"/>
              <v:stroke dashstyle="solid"/>
            </v:shape>
            <v:shape style="position:absolute;left:0;top:-10824;width:652743;height:25214" coordorigin="0,-10824" coordsize="652743,25214" path="m1972,2727l1972,3045m6085,2727l6085,3045m10211,2727l10211,3045e" filled="false" stroked="true" strokeweight=".589229pt" strokecolor="#d9d9d9">
              <v:path arrowok="t"/>
              <v:stroke dashstyle="solid"/>
            </v:shape>
            <v:line style="position:absolute" from="1972,170" to="10211,170" stroked="true" strokeweight=".589103pt" strokecolor="#d9d9d9">
              <v:stroke dashstyle="solid"/>
            </v:line>
            <v:line style="position:absolute" from="6104,182" to="6097,2425" stroked="true" strokeweight=".589358pt" strokecolor="#a6a6a6">
              <v:stroke dashstyle="solid"/>
            </v:line>
            <v:shape style="position:absolute;left:2219;top:2548;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2014</w:t>
                    </w:r>
                  </w:p>
                </w:txbxContent>
              </v:textbox>
              <w10:wrap type="none"/>
            </v:shape>
            <v:shape style="position:absolute;left:3042;top:2548;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2015</w:t>
                    </w:r>
                  </w:p>
                </w:txbxContent>
              </v:textbox>
              <w10:wrap type="none"/>
            </v:shape>
            <v:shape style="position:absolute;left:3865;top:2548;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2016</w:t>
                    </w:r>
                  </w:p>
                </w:txbxContent>
              </v:textbox>
              <w10:wrap type="none"/>
            </v:shape>
            <v:shape style="position:absolute;left:4688;top:2548;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2017</w:t>
                    </w:r>
                  </w:p>
                </w:txbxContent>
              </v:textbox>
              <w10:wrap type="none"/>
            </v:shape>
            <v:shape style="position:absolute;left:5511;top:2548;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2018</w:t>
                    </w:r>
                  </w:p>
                </w:txbxContent>
              </v:textbox>
              <w10:wrap type="none"/>
            </v:shape>
            <v:shape style="position:absolute;left:6334;top:2548;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2019</w:t>
                    </w:r>
                  </w:p>
                </w:txbxContent>
              </v:textbox>
              <w10:wrap type="none"/>
            </v:shape>
            <v:shape style="position:absolute;left:7157;top:2548;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2020</w:t>
                    </w:r>
                  </w:p>
                </w:txbxContent>
              </v:textbox>
              <w10:wrap type="none"/>
            </v:shape>
            <v:shape style="position:absolute;left:7980;top:2548;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2021</w:t>
                    </w:r>
                  </w:p>
                </w:txbxContent>
              </v:textbox>
              <w10:wrap type="none"/>
            </v:shape>
            <v:shape style="position:absolute;left:8803;top:2548;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2022</w:t>
                    </w:r>
                  </w:p>
                </w:txbxContent>
              </v:textbox>
              <w10:wrap type="none"/>
            </v:shape>
            <v:shape style="position:absolute;left:9626;top:2548;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2023</w:t>
                    </w:r>
                  </w:p>
                </w:txbxContent>
              </v:textbox>
              <w10:wrap type="none"/>
            </v:shape>
            <v:shape style="position:absolute;left:3776;top:2865;width:4711;height:165" type="#_x0000_t202" filled="false" stroked="false">
              <v:textbox inset="0,0,0,0">
                <w:txbxContent>
                  <w:p>
                    <w:pPr>
                      <w:tabs>
                        <w:tab w:pos="4049" w:val="left" w:leader="none"/>
                      </w:tabs>
                      <w:spacing w:line="165" w:lineRule="exact" w:before="0"/>
                      <w:ind w:left="0" w:right="0" w:firstLine="0"/>
                      <w:jc w:val="left"/>
                      <w:rPr>
                        <w:rFonts w:ascii="Calibri"/>
                        <w:sz w:val="16"/>
                      </w:rPr>
                    </w:pPr>
                    <w:r>
                      <w:rPr>
                        <w:rFonts w:ascii="Calibri"/>
                        <w:color w:val="585858"/>
                        <w:w w:val="105"/>
                        <w:sz w:val="16"/>
                      </w:rPr>
                      <w:t>Historic</w:t>
                      <w:tab/>
                    </w:r>
                    <w:r>
                      <w:rPr>
                        <w:rFonts w:ascii="Calibri"/>
                        <w:color w:val="585858"/>
                        <w:sz w:val="16"/>
                      </w:rPr>
                      <w:t>Projected</w:t>
                    </w:r>
                  </w:p>
                </w:txbxContent>
              </v:textbox>
              <w10:wrap type="none"/>
            </v:shape>
            <w10:wrap type="none"/>
          </v:group>
        </w:pict>
      </w:r>
      <w:r>
        <w:rPr>
          <w:rFonts w:ascii="Calibri"/>
          <w:color w:val="585858"/>
          <w:spacing w:val="-1"/>
          <w:sz w:val="16"/>
        </w:rPr>
        <w:t>40,000</w:t>
      </w:r>
    </w:p>
    <w:p>
      <w:pPr>
        <w:spacing w:before="84"/>
        <w:ind w:left="0" w:right="10082" w:firstLine="0"/>
        <w:jc w:val="right"/>
        <w:rPr>
          <w:rFonts w:ascii="Calibri"/>
          <w:sz w:val="16"/>
        </w:rPr>
      </w:pPr>
      <w:r>
        <w:rPr>
          <w:rFonts w:ascii="Calibri"/>
          <w:color w:val="585858"/>
          <w:spacing w:val="-1"/>
          <w:sz w:val="16"/>
        </w:rPr>
        <w:t>35,000</w:t>
      </w:r>
    </w:p>
    <w:p>
      <w:pPr>
        <w:spacing w:before="85"/>
        <w:ind w:left="0" w:right="10082" w:firstLine="0"/>
        <w:jc w:val="right"/>
        <w:rPr>
          <w:rFonts w:ascii="Calibri"/>
          <w:sz w:val="16"/>
        </w:rPr>
      </w:pPr>
      <w:r>
        <w:rPr>
          <w:rFonts w:ascii="Calibri"/>
          <w:color w:val="585858"/>
          <w:spacing w:val="-1"/>
          <w:sz w:val="16"/>
        </w:rPr>
        <w:t>30,000</w:t>
      </w:r>
    </w:p>
    <w:p>
      <w:pPr>
        <w:spacing w:before="85"/>
        <w:ind w:left="0" w:right="10082" w:firstLine="0"/>
        <w:jc w:val="right"/>
        <w:rPr>
          <w:rFonts w:ascii="Calibri"/>
          <w:sz w:val="16"/>
        </w:rPr>
      </w:pPr>
      <w:r>
        <w:rPr>
          <w:rFonts w:ascii="Calibri"/>
          <w:color w:val="585858"/>
          <w:spacing w:val="-1"/>
          <w:sz w:val="16"/>
        </w:rPr>
        <w:t>25,000</w:t>
      </w:r>
    </w:p>
    <w:p>
      <w:pPr>
        <w:spacing w:before="85"/>
        <w:ind w:left="0" w:right="10082" w:firstLine="0"/>
        <w:jc w:val="right"/>
        <w:rPr>
          <w:rFonts w:ascii="Calibri"/>
          <w:sz w:val="16"/>
        </w:rPr>
      </w:pPr>
      <w:r>
        <w:rPr>
          <w:rFonts w:ascii="Calibri"/>
          <w:color w:val="585858"/>
          <w:spacing w:val="-1"/>
          <w:sz w:val="16"/>
        </w:rPr>
        <w:t>20,000</w:t>
      </w:r>
    </w:p>
    <w:p>
      <w:pPr>
        <w:spacing w:before="85"/>
        <w:ind w:left="0" w:right="10082" w:firstLine="0"/>
        <w:jc w:val="right"/>
        <w:rPr>
          <w:rFonts w:ascii="Calibri"/>
          <w:sz w:val="16"/>
        </w:rPr>
      </w:pPr>
      <w:r>
        <w:rPr>
          <w:rFonts w:ascii="Calibri"/>
          <w:color w:val="585858"/>
          <w:spacing w:val="-1"/>
          <w:sz w:val="16"/>
        </w:rPr>
        <w:t>15,000</w:t>
      </w:r>
    </w:p>
    <w:p>
      <w:pPr>
        <w:spacing w:before="84"/>
        <w:ind w:left="0" w:right="10082" w:firstLine="0"/>
        <w:jc w:val="right"/>
        <w:rPr>
          <w:rFonts w:ascii="Calibri"/>
          <w:sz w:val="16"/>
        </w:rPr>
      </w:pPr>
      <w:r>
        <w:rPr>
          <w:rFonts w:ascii="Calibri"/>
          <w:color w:val="585858"/>
          <w:spacing w:val="-1"/>
          <w:sz w:val="16"/>
        </w:rPr>
        <w:t>10,000</w:t>
      </w:r>
    </w:p>
    <w:p>
      <w:pPr>
        <w:spacing w:before="85"/>
        <w:ind w:left="0" w:right="10081" w:firstLine="0"/>
        <w:jc w:val="right"/>
        <w:rPr>
          <w:rFonts w:ascii="Calibri"/>
          <w:sz w:val="16"/>
        </w:rPr>
      </w:pPr>
      <w:r>
        <w:rPr>
          <w:rFonts w:ascii="Calibri"/>
          <w:color w:val="585858"/>
          <w:spacing w:val="-1"/>
          <w:sz w:val="16"/>
        </w:rPr>
        <w:t>5,000</w:t>
      </w:r>
    </w:p>
    <w:p>
      <w:pPr>
        <w:spacing w:before="85"/>
        <w:ind w:left="0" w:right="10082" w:firstLine="0"/>
        <w:jc w:val="right"/>
        <w:rPr>
          <w:rFonts w:ascii="Calibri"/>
          <w:sz w:val="16"/>
        </w:rPr>
      </w:pPr>
      <w:r>
        <w:rPr>
          <w:rFonts w:ascii="Calibri"/>
          <w:color w:val="585858"/>
          <w:w w:val="103"/>
          <w:sz w:val="16"/>
        </w:rPr>
        <w:t>0</w:t>
      </w:r>
    </w:p>
    <w:p>
      <w:pPr>
        <w:pStyle w:val="BodyText"/>
        <w:rPr>
          <w:rFonts w:ascii="Calibri"/>
        </w:rPr>
      </w:pPr>
    </w:p>
    <w:p>
      <w:pPr>
        <w:pStyle w:val="BodyText"/>
        <w:spacing w:before="5"/>
        <w:rPr>
          <w:rFonts w:ascii="Calibri"/>
          <w:sz w:val="26"/>
        </w:rPr>
      </w:pPr>
    </w:p>
    <w:p>
      <w:pPr>
        <w:spacing w:before="60"/>
        <w:ind w:left="1602" w:right="1423" w:firstLine="0"/>
        <w:jc w:val="center"/>
        <w:rPr>
          <w:rFonts w:ascii="Calibri"/>
          <w:b/>
          <w:sz w:val="19"/>
        </w:rPr>
      </w:pPr>
      <w:r>
        <w:rPr>
          <w:rFonts w:ascii="Calibri"/>
          <w:b/>
          <w:color w:val="585858"/>
          <w:sz w:val="19"/>
        </w:rPr>
        <w:t>Year Ending 30 June</w:t>
      </w:r>
    </w:p>
    <w:p>
      <w:pPr>
        <w:pStyle w:val="BodyText"/>
        <w:spacing w:before="8"/>
        <w:rPr>
          <w:rFonts w:ascii="Calibri"/>
          <w:b/>
          <w:sz w:val="10"/>
        </w:rPr>
      </w:pPr>
    </w:p>
    <w:p>
      <w:pPr>
        <w:pStyle w:val="Heading9"/>
      </w:pPr>
      <w:r>
        <w:rPr>
          <w:color w:val="DF2F1E"/>
        </w:rPr>
        <w:t>Figure 86: Number of people exiting class 8 – Non IS Carer (by class exited to)</w:t>
      </w:r>
    </w:p>
    <w:p>
      <w:pPr>
        <w:pStyle w:val="BodyText"/>
        <w:spacing w:before="2"/>
        <w:rPr>
          <w:b/>
          <w:sz w:val="9"/>
        </w:rPr>
      </w:pPr>
    </w:p>
    <w:p>
      <w:pPr>
        <w:spacing w:before="72"/>
        <w:ind w:left="0" w:right="10084" w:firstLine="0"/>
        <w:jc w:val="right"/>
        <w:rPr>
          <w:rFonts w:ascii="Calibri"/>
          <w:sz w:val="16"/>
        </w:rPr>
      </w:pPr>
      <w:r>
        <w:rPr/>
        <w:pict>
          <v:group style="position:absolute;margin-left:98.348862pt;margin-top:8.855781pt;width:412.5pt;height:144.3pt;mso-position-horizontal-relative:page;mso-position-vertical-relative:paragraph;z-index:252605440" coordorigin="1967,177" coordsize="8250,2886">
            <v:shape style="position:absolute;left:5844;top:2141;width:4367;height:2" coordorigin="5844,2142" coordsize="4367,0" path="m9963,2142l10211,2142m9149,2142l9633,2142m8323,2142l8818,2142m7496,2142l7992,2142m6670,2142l7166,2142m5844,2142l6340,2142e" filled="false" stroked="true" strokeweight=".589983pt" strokecolor="#d9d9d9">
              <v:path arrowok="t"/>
              <v:stroke dashstyle="solid"/>
            </v:shape>
            <v:line style="position:absolute" from="6340,2419" to="6670,2419" stroked="true" strokeweight=".589995pt" strokecolor="#1f487c">
              <v:stroke dashstyle="solid"/>
            </v:line>
            <v:rect style="position:absolute;left:6333;top:2407;width:343;height:24" filled="true" fillcolor="#1f487c" stroked="false">
              <v:fill type="solid"/>
            </v:rect>
            <v:rect style="position:absolute;left:6339;top:2271;width:331;height:142" filled="true" fillcolor="#009544" stroked="false">
              <v:fill type="solid"/>
            </v:rect>
            <v:rect style="position:absolute;left:6339;top:2271;width:331;height:142" filled="false" stroked="true" strokeweight=".590004pt" strokecolor="#009544">
              <v:stroke dashstyle="solid"/>
            </v:rect>
            <v:rect style="position:absolute;left:6339;top:2200;width:331;height:71" filled="true" fillcolor="#e16b09" stroked="false">
              <v:fill type="solid"/>
            </v:rect>
            <v:line style="position:absolute" from="7166,2419" to="7496,2419" stroked="true" strokeweight=".589995pt" strokecolor="#1f487c">
              <v:stroke dashstyle="solid"/>
            </v:line>
            <v:rect style="position:absolute;left:7160;top:2407;width:343;height:24" filled="true" fillcolor="#1f487c" stroked="false">
              <v:fill type="solid"/>
            </v:rect>
            <v:rect style="position:absolute;left:7166;top:2259;width:331;height:154" filled="true" fillcolor="#009544" stroked="false">
              <v:fill type="solid"/>
            </v:rect>
            <v:rect style="position:absolute;left:7166;top:2259;width:331;height:154" filled="false" stroked="true" strokeweight=".590007pt" strokecolor="#009544">
              <v:stroke dashstyle="solid"/>
            </v:rect>
            <v:rect style="position:absolute;left:7165;top:2188;width:331;height:71" filled="true" fillcolor="#e16b09" stroked="false">
              <v:fill type="solid"/>
            </v:rect>
            <v:line style="position:absolute" from="7992,2419" to="8323,2419" stroked="true" strokeweight=".589995pt" strokecolor="#1f487c">
              <v:stroke dashstyle="solid"/>
            </v:line>
            <v:rect style="position:absolute;left:7986;top:2407;width:343;height:24" filled="true" fillcolor="#1f487c" stroked="false">
              <v:fill type="solid"/>
            </v:rect>
            <v:rect style="position:absolute;left:7992;top:2271;width:331;height:142" filled="true" fillcolor="#009544" stroked="false">
              <v:fill type="solid"/>
            </v:rect>
            <v:rect style="position:absolute;left:7992;top:2271;width:331;height:142" filled="false" stroked="true" strokeweight=".590004pt" strokecolor="#009544">
              <v:stroke dashstyle="solid"/>
            </v:rect>
            <v:rect style="position:absolute;left:7992;top:2200;width:331;height:71" filled="true" fillcolor="#e16b09" stroked="false">
              <v:fill type="solid"/>
            </v:rect>
            <v:line style="position:absolute" from="8818,2419" to="9149,2419" stroked="true" strokeweight=".589995pt" strokecolor="#1f487c">
              <v:stroke dashstyle="solid"/>
            </v:line>
            <v:rect style="position:absolute;left:8812;top:2407;width:343;height:24" filled="true" fillcolor="#1f487c" stroked="false">
              <v:fill type="solid"/>
            </v:rect>
            <v:rect style="position:absolute;left:8818;top:2259;width:331;height:154" filled="true" fillcolor="#009544" stroked="false">
              <v:fill type="solid"/>
            </v:rect>
            <v:rect style="position:absolute;left:8818;top:2259;width:331;height:154" filled="false" stroked="true" strokeweight=".590007pt" strokecolor="#009544">
              <v:stroke dashstyle="solid"/>
            </v:rect>
            <v:rect style="position:absolute;left:8818;top:2188;width:331;height:71" filled="true" fillcolor="#e16b09" stroked="false">
              <v:fill type="solid"/>
            </v:rect>
            <v:line style="position:absolute" from="9633,2419" to="9963,2419" stroked="true" strokeweight=".589995pt" strokecolor="#1f487c">
              <v:stroke dashstyle="solid"/>
            </v:line>
            <v:rect style="position:absolute;left:9626;top:2407;width:343;height:24" filled="true" fillcolor="#1f487c" stroked="false">
              <v:fill type="solid"/>
            </v:rect>
            <v:rect style="position:absolute;left:9632;top:2271;width:331;height:142" filled="true" fillcolor="#009544" stroked="false">
              <v:fill type="solid"/>
            </v:rect>
            <v:rect style="position:absolute;left:9632;top:2271;width:331;height:142" filled="false" stroked="true" strokeweight=".590004pt" strokecolor="#009544">
              <v:stroke dashstyle="solid"/>
            </v:rect>
            <v:rect style="position:absolute;left:9632;top:2200;width:331;height:71" filled="true" fillcolor="#e16b09" stroked="false">
              <v:fill type="solid"/>
            </v:rect>
            <v:shape style="position:absolute;left:1972;top:2141;width:3541;height:2" coordorigin="1973,2142" coordsize="3541,0" path="m5018,2142l5514,2142m4204,2142l4687,2142m3377,2142l3873,2142m2551,2142l3047,2142m1973,2142l2221,2142e" filled="false" stroked="true" strokeweight=".589983pt" strokecolor="#d9d9d9">
              <v:path arrowok="t"/>
              <v:stroke dashstyle="solid"/>
            </v:shape>
            <v:line style="position:absolute" from="2221,2419" to="2551,2419" stroked="true" strokeweight=".589995pt" strokecolor="#1f487c">
              <v:stroke dashstyle="solid"/>
            </v:line>
            <v:rect style="position:absolute;left:2214;top:2407;width:343;height:24" filled="true" fillcolor="#1f487c" stroked="false">
              <v:fill type="solid"/>
            </v:rect>
            <v:rect style="position:absolute;left:2220;top:2259;width:331;height:154" filled="true" fillcolor="#009544" stroked="false">
              <v:fill type="solid"/>
            </v:rect>
            <v:rect style="position:absolute;left:2220;top:2259;width:331;height:154" filled="false" stroked="true" strokeweight=".590007pt" strokecolor="#009544">
              <v:stroke dashstyle="solid"/>
            </v:rect>
            <v:rect style="position:absolute;left:2220;top:2165;width:331;height:95" filled="true" fillcolor="#e16b09" stroked="false">
              <v:fill type="solid"/>
            </v:rect>
            <v:line style="position:absolute" from="3047,2419" to="3377,2419" stroked="true" strokeweight=".589995pt" strokecolor="#1f487c">
              <v:stroke dashstyle="solid"/>
            </v:line>
            <v:rect style="position:absolute;left:3041;top:2407;width:343;height:24" filled="true" fillcolor="#1f487c" stroked="false">
              <v:fill type="solid"/>
            </v:rect>
            <v:rect style="position:absolute;left:3046;top:2259;width:331;height:154" filled="true" fillcolor="#009544" stroked="false">
              <v:fill type="solid"/>
            </v:rect>
            <v:rect style="position:absolute;left:3046;top:2259;width:331;height:154" filled="false" stroked="true" strokeweight=".590007pt" strokecolor="#009544">
              <v:stroke dashstyle="solid"/>
            </v:rect>
            <v:rect style="position:absolute;left:3046;top:2177;width:331;height:83" filled="true" fillcolor="#e16b09" stroked="false">
              <v:fill type="solid"/>
            </v:rect>
            <v:line style="position:absolute" from="3873,2419" to="4204,2419" stroked="true" strokeweight=".589995pt" strokecolor="#1f487c">
              <v:stroke dashstyle="solid"/>
            </v:line>
            <v:rect style="position:absolute;left:3867;top:2407;width:343;height:24" filled="true" fillcolor="#1f487c" stroked="false">
              <v:fill type="solid"/>
            </v:rect>
            <v:rect style="position:absolute;left:3873;top:2259;width:331;height:154" filled="true" fillcolor="#009544" stroked="false">
              <v:fill type="solid"/>
            </v:rect>
            <v:rect style="position:absolute;left:3873;top:2259;width:331;height:154" filled="false" stroked="true" strokeweight=".590007pt" strokecolor="#009544">
              <v:stroke dashstyle="solid"/>
            </v:rect>
            <v:rect style="position:absolute;left:3873;top:2177;width:331;height:83" filled="true" fillcolor="#e16b09" stroked="false">
              <v:fill type="solid"/>
            </v:rect>
            <v:line style="position:absolute" from="4687,2419" to="5018,2419" stroked="true" strokeweight=".589995pt" strokecolor="#1f487c">
              <v:stroke dashstyle="solid"/>
            </v:line>
            <v:rect style="position:absolute;left:4681;top:2407;width:343;height:24" filled="true" fillcolor="#1f487c" stroked="false">
              <v:fill type="solid"/>
            </v:rect>
            <v:rect style="position:absolute;left:4687;top:2271;width:331;height:142" filled="true" fillcolor="#009544" stroked="false">
              <v:fill type="solid"/>
            </v:rect>
            <v:rect style="position:absolute;left:4687;top:2271;width:331;height:142" filled="false" stroked="true" strokeweight=".590004pt" strokecolor="#009544">
              <v:stroke dashstyle="solid"/>
            </v:rect>
            <v:rect style="position:absolute;left:4687;top:2200;width:331;height:71" filled="true" fillcolor="#e16b09" stroked="false">
              <v:fill type="solid"/>
            </v:rect>
            <v:line style="position:absolute" from="5514,2419" to="5844,2419" stroked="true" strokeweight=".589995pt" strokecolor="#1f487c">
              <v:stroke dashstyle="solid"/>
            </v:line>
            <v:rect style="position:absolute;left:5507;top:2407;width:343;height:24" filled="true" fillcolor="#1f487c" stroked="false">
              <v:fill type="solid"/>
            </v:rect>
            <v:rect style="position:absolute;left:5513;top:2295;width:331;height:118" filled="true" fillcolor="#009544" stroked="false">
              <v:fill type="solid"/>
            </v:rect>
            <v:rect style="position:absolute;left:5513;top:2295;width:331;height:118" filled="false" stroked="true" strokeweight=".589998pt" strokecolor="#009544">
              <v:stroke dashstyle="solid"/>
            </v:rect>
            <v:rect style="position:absolute;left:5513;top:2236;width:331;height:59" filled="true" fillcolor="#e16b09" stroked="false">
              <v:fill type="solid"/>
            </v:rect>
            <v:shape style="position:absolute;left:19610;top:-156683;width:612589;height:10273" coordorigin="19610,-156682" coordsize="612589,10273" path="m2221,2165l2551,2165,2551,2260,2221,2260,2221,2165xm3047,2177l3377,2177,3377,2260,3047,2260,3047,2177xm3873,2177l4204,2177,4204,2260,3873,2260,3873,2177xm4687,2201l5018,2201,5018,2272,4687,2272,4687,2201xm5514,2236l5844,2236,5844,2295,5514,2295,5514,2236xm6340,2201l6670,2201,6670,2272,6340,2272,6340,2201xm7166,2189l7496,2189,7496,2260,7166,2260,7166,2189xm7992,2201l8323,2201,8323,2272,7992,2272,7992,2201xm8818,2189l9149,2189,9149,2260,8818,2260,8818,2189xm9633,2201l9963,2201,9963,2272,9633,2272,9633,2201xe" filled="false" stroked="true" strokeweight=".590053pt" strokecolor="#e16b09">
              <v:path arrowok="t"/>
              <v:stroke dashstyle="solid"/>
            </v:shape>
            <v:line style="position:absolute" from="1973,1859" to="3047,1859" stroked="true" strokeweight=".589983pt" strokecolor="#d9d9d9">
              <v:stroke dashstyle="solid"/>
            </v:line>
            <v:rect style="position:absolute;left:2220;top:1858;width:331;height:307" filled="true" fillcolor="#e08ad6" stroked="false">
              <v:fill type="solid"/>
            </v:rect>
            <v:line style="position:absolute" from="3377,1859" to="3873,1859" stroked="true" strokeweight=".589983pt" strokecolor="#d9d9d9">
              <v:stroke dashstyle="solid"/>
            </v:line>
            <v:rect style="position:absolute;left:3046;top:1893;width:331;height:284" filled="true" fillcolor="#e08ad6" stroked="false">
              <v:fill type="solid"/>
            </v:rect>
            <v:line style="position:absolute" from="4204,1859" to="4687,1859" stroked="true" strokeweight=".589983pt" strokecolor="#d9d9d9">
              <v:stroke dashstyle="solid"/>
            </v:line>
            <v:shape style="position:absolute;left:3873;top:1905;width:2798;height:331" coordorigin="3873,1906" coordsize="2798,331" path="m4204,1906l3873,1906,3873,2177,4204,2177,4204,1906m5018,1953l4687,1953,4687,2201,5018,2201,5018,1953m5844,2024l5514,2024,5514,2236,5844,2236,5844,2024m6670,1941l6340,1941,6340,2201,6670,2201,6670,1941e" filled="true" fillcolor="#e08ad6" stroked="false">
              <v:path arrowok="t"/>
              <v:fill type="solid"/>
            </v:shape>
            <v:shape style="position:absolute;left:6670;top:1858;width:1322;height:2" coordorigin="6670,1859" coordsize="1322,0" path="m7496,1859l7992,1859m6670,1859l7166,1859e" filled="false" stroked="true" strokeweight=".589983pt" strokecolor="#d9d9d9">
              <v:path arrowok="t"/>
              <v:stroke dashstyle="solid"/>
            </v:shape>
            <v:rect style="position:absolute;left:7165;top:1929;width:331;height:260" filled="true" fillcolor="#e08ad6" stroked="false">
              <v:fill type="solid"/>
            </v:rect>
            <v:line style="position:absolute" from="8323,1859" to="8818,1859" stroked="true" strokeweight=".589983pt" strokecolor="#d9d9d9">
              <v:stroke dashstyle="solid"/>
            </v:line>
            <v:rect style="position:absolute;left:7992;top:1929;width:331;height:272" filled="true" fillcolor="#e08ad6" stroked="false">
              <v:fill type="solid"/>
            </v:rect>
            <v:line style="position:absolute" from="9149,1859" to="9633,1859" stroked="true" strokeweight=".589983pt" strokecolor="#d9d9d9">
              <v:stroke dashstyle="solid"/>
            </v:line>
            <v:rect style="position:absolute;left:8818;top:1917;width:331;height:272" filled="true" fillcolor="#e08ad6" stroked="false">
              <v:fill type="solid"/>
            </v:rect>
            <v:line style="position:absolute" from="9963,1859" to="10211,1859" stroked="true" strokeweight=".589983pt" strokecolor="#d9d9d9">
              <v:stroke dashstyle="solid"/>
            </v:line>
            <v:rect style="position:absolute;left:9632;top:1929;width:331;height:272" filled="true" fillcolor="#e08ad6" stroked="false">
              <v:fill type="solid"/>
            </v:rect>
            <v:shape style="position:absolute;left:19610;top:-152014;width:612589;height:29883" coordorigin="19610,-152013" coordsize="612589,29883" path="m2221,1859l2551,1859,2551,2165,2221,2165,2221,1859xm3047,1894l3377,1894,3377,2177,3047,2177,3047,1894xm3873,1906l4204,1906,4204,2177,3873,2177,3873,1906xm4687,1953l5018,1953,5018,2201,4687,2201,4687,1953xm5514,2024l5844,2024,5844,2236,5514,2236,5514,2024xm6340,1941l6670,1941,6670,2201,6340,2201,6340,1941xm7166,1929l7496,1929,7496,2189,7166,2189,7166,1929xm7992,1929l8323,1929,8323,2201,7992,2201,7992,1929xm8818,1918l9149,1918,9149,2189,8818,2189,8818,1918xm9633,1929l9963,1929,9963,2201,9633,2201,9633,1929xe" filled="false" stroked="true" strokeweight=".590053pt" strokecolor="#e08ad6">
              <v:path arrowok="t"/>
              <v:stroke dashstyle="solid"/>
            </v:shape>
            <v:shape style="position:absolute;left:2220;top:1834;width:1983;height:71" coordorigin="2221,1835" coordsize="1983,71" path="m2551,1835l2221,1835,2221,1859,2551,1859,2551,1835m3377,1870l3047,1870,3047,1894,3377,1894,3377,1870m4204,1882l3873,1882,3873,1906,4204,1906,4204,1882e" filled="true" fillcolor="#8063a1" stroked="false">
              <v:path arrowok="t"/>
              <v:fill type="solid"/>
            </v:shape>
            <v:line style="position:absolute" from="4687,1947" to="5018,1947" stroked="true" strokeweight=".589991pt" strokecolor="#8063a1">
              <v:stroke dashstyle="solid"/>
            </v:line>
            <v:line style="position:absolute" from="5514,2018" to="5844,2018" stroked="true" strokeweight=".589978pt" strokecolor="#8063a1">
              <v:stroke dashstyle="solid"/>
            </v:line>
            <v:line style="position:absolute" from="5844,1859" to="6340,1859" stroked="true" strokeweight=".589983pt" strokecolor="#d9d9d9">
              <v:stroke dashstyle="solid"/>
            </v:line>
            <v:line style="position:absolute" from="6340,1935" to="6670,1935" stroked="true" strokeweight=".589978pt" strokecolor="#8063a1">
              <v:stroke dashstyle="solid"/>
            </v:line>
            <v:shape style="position:absolute;left:7165;top:1923;width:1157;height:2" coordorigin="7166,1923" coordsize="1157,0" path="m7166,1923l7496,1923m7992,1923l8323,1923e" filled="false" stroked="true" strokeweight=".589978pt" strokecolor="#8063a1">
              <v:path arrowok="t"/>
              <v:stroke dashstyle="solid"/>
            </v:shape>
            <v:line style="position:absolute" from="8818,1912" to="9149,1912" stroked="true" strokeweight=".589991pt" strokecolor="#8063a1">
              <v:stroke dashstyle="solid"/>
            </v:line>
            <v:line style="position:absolute" from="9633,1923" to="9963,1923" stroked="true" strokeweight=".589978pt" strokecolor="#8063a1">
              <v:stroke dashstyle="solid"/>
            </v:line>
            <v:shape style="position:absolute;left:2214;top:1829;width:7755;height:201" coordorigin="2215,1829" coordsize="7755,201" path="m2557,1829l2215,1829,2215,1864,2557,1864,2557,1829m3383,1864l3041,1864,3041,1900,3383,1900,3383,1864m4209,1876l3867,1876,3867,1912,4209,1912,4209,1876m5024,1935l4682,1935,4682,1959,5024,1959,5024,1935m5850,2006l5508,2006,5508,2030,5850,2030,5850,2006m6676,1923l6334,1923,6334,1947,6676,1947,6676,1923m7502,1912l7160,1912,7160,1935,7502,1935,7502,1912m8329,1912l7986,1912,7986,1935,8329,1935,8329,1912m9155,1900l8812,1900,8812,1923,9155,1923,9155,1900m9969,1912l9627,1912,9627,1935,9969,1935,9969,1912e" filled="true" fillcolor="#8063a1" stroked="false">
              <v:path arrowok="t"/>
              <v:fill type="solid"/>
            </v:shape>
            <v:shape style="position:absolute;left:2220;top:1740;width:1983;height:142" coordorigin="2221,1741" coordsize="1983,142" path="m2551,1741l2221,1741,2221,1835,2551,1835,2551,1741m3377,1752l3047,1752,3047,1870,3377,1870,3377,1752m4204,1776l3873,1776,3873,1882,4204,1882,4204,1776e" filled="true" fillcolor="#c0504d" stroked="false">
              <v:path arrowok="t"/>
              <v:fill type="solid"/>
            </v:shape>
            <v:line style="position:absolute" from="5018,1859" to="5514,1859" stroked="true" strokeweight=".589983pt" strokecolor="#d9d9d9">
              <v:stroke dashstyle="solid"/>
            </v:line>
            <v:shape style="position:absolute;left:4687;top:1811;width:5276;height:213" coordorigin="4687,1811" coordsize="5276,213" path="m5018,1847l4687,1847,4687,1941,5018,1941,5018,1847m5844,1965l5514,1965,5514,2024,5844,2024,5844,1965m6670,1835l6340,1835,6340,1929,6670,1929,6670,1835m7496,1835l7166,1835,7166,1918,7496,1918,7496,1835m8323,1823l7992,1823,7992,1918,8323,1918,8323,1823m9149,1811l8818,1811,8818,1906,9149,1906,9149,1811m9963,1811l9633,1811,9633,1918,9963,1918,9963,1811e" filled="true" fillcolor="#c0504d" stroked="false">
              <v:path arrowok="t"/>
              <v:fill type="solid"/>
            </v:shape>
            <v:shape style="position:absolute;left:19804;top:-136647;width:618654;height:22634" coordorigin="19804,-136647" coordsize="618654,22634" path="m2221,1741l2551,1741,2551,1835,2221,1835,2221,1741xm3047,1752l3377,1752,3377,1870,3047,1870,3047,1752xm3873,1776l4204,1776,4204,1882,3873,1882,3873,1776xm4687,1847l5018,1847,5018,1941,4687,1941,4687,1847xm5514,1965l5844,1965,5844,2024,5514,2024,5514,1965xm6340,1835l6670,1835,6670,1929,6340,1929,6340,1835xm7166,1835l7496,1835,7496,1918,7166,1918,7166,1835xm7992,1823l8323,1823,8323,1918,7992,1918,7992,1823xm8818,1811l9149,1811,9149,1906,8818,1906,8818,1811xm9633,1811l9963,1811,9963,1918,9633,1918,9633,1811xe" filled="false" stroked="true" strokeweight=".590049pt" strokecolor="#c0504d">
              <v:path arrowok="t"/>
              <v:stroke dashstyle="solid"/>
            </v:shape>
            <v:shape style="position:absolute;left:1972;top:1587;width:1075;height:2" coordorigin="1973,1587" coordsize="1075,0" path="m2551,1587l3047,1587m1973,1587l2221,1587e" filled="false" stroked="true" strokeweight=".589983pt" strokecolor="#d9d9d9">
              <v:path arrowok="t"/>
              <v:stroke dashstyle="solid"/>
            </v:shape>
            <v:rect style="position:absolute;left:2220;top:1421;width:331;height:319" filled="true" fillcolor="#f8a763" stroked="false">
              <v:fill type="solid"/>
            </v:rect>
            <v:line style="position:absolute" from="3377,1587" to="3873,1587" stroked="true" strokeweight=".589983pt" strokecolor="#d9d9d9">
              <v:stroke dashstyle="solid"/>
            </v:line>
            <v:rect style="position:absolute;left:3046;top:1480;width:331;height:272" filled="true" fillcolor="#f8a763" stroked="false">
              <v:fill type="solid"/>
            </v:rect>
            <v:line style="position:absolute" from="4204,1587" to="5514,1587" stroked="true" strokeweight=".589983pt" strokecolor="#d9d9d9">
              <v:stroke dashstyle="solid"/>
            </v:line>
            <v:shape style="position:absolute;left:3873;top:1516;width:1972;height:449" coordorigin="3873,1516" coordsize="1972,449" path="m4204,1516l3873,1516,3873,1776,4204,1776,4204,1516m5018,1599l4687,1599,4687,1847,5018,1847,5018,1599m5844,1752l5514,1752,5514,1965,5844,1965,5844,1752e" filled="true" fillcolor="#f8a763" stroked="false">
              <v:path arrowok="t"/>
              <v:fill type="solid"/>
            </v:shape>
            <v:line style="position:absolute" from="5844,1587" to="7992,1587" stroked="true" strokeweight=".589983pt" strokecolor="#d9d9d9">
              <v:stroke dashstyle="solid"/>
            </v:line>
            <v:shape style="position:absolute;left:6339;top:1598;width:1157;height:236" coordorigin="6340,1599" coordsize="1157,236" path="m6670,1599l6340,1599,6340,1835,6670,1835,6670,1599m7496,1599l7166,1599,7166,1835,7496,1835,7496,1599e" filled="true" fillcolor="#f8a763" stroked="false">
              <v:path arrowok="t"/>
              <v:fill type="solid"/>
            </v:shape>
            <v:line style="position:absolute" from="8323,1587" to="8818,1587" stroked="true" strokeweight=".589983pt" strokecolor="#d9d9d9">
              <v:stroke dashstyle="solid"/>
            </v:line>
            <v:rect style="position:absolute;left:7992;top:1575;width:331;height:248" filled="true" fillcolor="#f8a763" stroked="false">
              <v:fill type="solid"/>
            </v:rect>
            <v:line style="position:absolute" from="9149,1587" to="9633,1587" stroked="true" strokeweight=".589983pt" strokecolor="#d9d9d9">
              <v:stroke dashstyle="solid"/>
            </v:line>
            <v:rect style="position:absolute;left:8818;top:1563;width:331;height:248" filled="true" fillcolor="#f8a763" stroked="false">
              <v:fill type="solid"/>
            </v:rect>
            <v:line style="position:absolute" from="9963,1587" to="10211,1587" stroked="true" strokeweight=".589983pt" strokecolor="#d9d9d9">
              <v:stroke dashstyle="solid"/>
            </v:line>
            <v:rect style="position:absolute;left:9632;top:1563;width:331;height:248" filled="true" fillcolor="#f8a763" stroked="false">
              <v:fill type="solid"/>
            </v:rect>
            <v:shape style="position:absolute;left:19804;top:-131932;width:618654;height:43382" coordorigin="19804,-131931" coordsize="618654,43382" path="m2221,1422l2551,1422,2551,1741,2221,1741,2221,1422xm3047,1481l3377,1481,3377,1752,3047,1752,3047,1481xm3873,1516l4204,1516,4204,1776,3873,1776,3873,1516xm4687,1599l5018,1599,5018,1847,4687,1847,4687,1599xm5514,1752l5844,1752,5844,1965,5514,1965,5514,1752xm6340,1599l6670,1599,6670,1835,6340,1835,6340,1599xm7166,1599l7496,1599,7496,1835,7166,1835,7166,1599xm7992,1575l8323,1575,8323,1823,7992,1823,7992,1575xm8818,1564l9149,1564,9149,1811,8818,1811,8818,1564xm9633,1564l9963,1564,9963,1811,9633,1811,9633,1564xe" filled="false" stroked="true" strokeweight=".590049pt" strokecolor="#f8a763">
              <v:path arrowok="t"/>
              <v:stroke dashstyle="solid"/>
            </v:shape>
            <v:shape style="position:absolute;left:1972;top:1303;width:1075;height:2" coordorigin="1973,1304" coordsize="1075,0" path="m2551,1304l3047,1304m1973,1304l2221,1304e" filled="false" stroked="true" strokeweight=".589983pt" strokecolor="#d9d9d9">
              <v:path arrowok="t"/>
              <v:stroke dashstyle="solid"/>
            </v:shape>
            <v:shape style="position:absolute;left:2220;top:1339;width:7743;height:413" coordorigin="2221,1339" coordsize="7743,413" path="m2551,1339l2221,1339,2221,1422,2551,1422,2551,1339m3377,1387l3047,1387,3047,1481,3377,1481,3377,1387m4204,1446l3873,1446,3873,1516,4204,1516,4204,1446m5018,1528l4687,1528,4687,1599,5018,1599,5018,1528m5844,1670l5514,1670,5514,1752,5844,1752,5844,1670m6670,1575l6340,1575,6340,1599,6670,1599,6670,1575m7496,1575l7166,1575,7166,1599,7496,1599,7496,1575m8323,1552l7992,1552,7992,1575,8323,1575,8323,1552m9149,1540l8818,1540,8818,1564,9149,1564,9149,1540m9963,1540l9633,1540,9633,1564,9963,1564,9963,1540e" filled="true" fillcolor="#938953" stroked="false">
              <v:path arrowok="t"/>
              <v:fill type="solid"/>
            </v:shape>
            <v:shape style="position:absolute;left:19902;top:-115581;width:290963;height:33172" coordorigin="19903,-115580" coordsize="290963,33172" path="m2221,1339l2551,1339,2551,1422,2221,1422,2221,1339xm3047,1387l3377,1387,3377,1481,3047,1481,3047,1387xm3873,1446l4204,1446,4204,1516,3873,1516,3873,1446xm4687,1528l5018,1528,5018,1599,4687,1599,4687,1528xm5514,1670l5844,1670,5844,1752,5514,1752,5514,1670xe" filled="false" stroked="true" strokeweight=".590054pt" strokecolor="#938953">
              <v:path arrowok="t"/>
              <v:stroke dashstyle="solid"/>
            </v:shape>
            <v:shape style="position:absolute;left:6333;top:1534;width:3636;height:71" coordorigin="6334,1534" coordsize="3636,71" path="m6676,1569l6334,1569,6334,1605,6676,1605,6676,1569m7502,1569l7160,1569,7160,1605,7502,1605,7502,1569m8329,1546l7986,1546,7986,1581,8329,1581,8329,1546m9155,1534l8812,1534,8812,1569,9155,1569,9155,1534m9969,1534l9627,1534,9627,1569,9969,1569,9969,1534e" filled="true" fillcolor="#938953" stroked="false">
              <v:path arrowok="t"/>
              <v:fill type="solid"/>
            </v:shape>
            <v:shape style="position:absolute;left:1972;top:737;width:1075;height:284" coordorigin="1973,738" coordsize="1075,284" path="m2551,1021l3047,1021m1973,1021l2221,1021m2551,738l3047,738m1973,738l2221,738e" filled="false" stroked="true" strokeweight=".589983pt" strokecolor="#d9d9d9">
              <v:path arrowok="t"/>
              <v:stroke dashstyle="solid"/>
            </v:shape>
            <v:rect style="position:absolute;left:2220;top:548;width:331;height:791" filled="true" fillcolor="#ffd600" stroked="false">
              <v:fill type="solid"/>
            </v:rect>
            <v:shape style="position:absolute;left:3377;top:737;width:496;height:567" coordorigin="3377,738" coordsize="496,567" path="m3377,1304l3873,1304m3377,1021l3873,1021m3377,738l3873,738e" filled="false" stroked="true" strokeweight=".589983pt" strokecolor="#d9d9d9">
              <v:path arrowok="t"/>
              <v:stroke dashstyle="solid"/>
            </v:shape>
            <v:rect style="position:absolute;left:3046;top:619;width:331;height:767" filled="true" fillcolor="#ffd600" stroked="false">
              <v:fill type="solid"/>
            </v:rect>
            <v:shape style="position:absolute;left:4203;top:737;width:2963;height:567" coordorigin="4204,738" coordsize="2963,567" path="m4204,1304l4687,1304m4204,1021l4687,1021m4204,738l7166,738e" filled="false" stroked="true" strokeweight=".589983pt" strokecolor="#d9d9d9">
              <v:path arrowok="t"/>
              <v:stroke dashstyle="solid"/>
            </v:shape>
            <v:rect style="position:absolute;left:3873;top:725;width:331;height:720" filled="true" fillcolor="#ffd600" stroked="false">
              <v:fill type="solid"/>
            </v:rect>
            <v:shape style="position:absolute;left:5017;top:1020;width:496;height:284" coordorigin="5018,1021" coordsize="496,284" path="m5018,1304l5514,1304m5018,1021l5514,1021e" filled="false" stroked="true" strokeweight=".589983pt" strokecolor="#d9d9d9">
              <v:path arrowok="t"/>
              <v:stroke dashstyle="solid"/>
            </v:shape>
            <v:rect style="position:absolute;left:4687;top:749;width:331;height:779" filled="true" fillcolor="#ffd600" stroked="false">
              <v:fill type="solid"/>
            </v:rect>
            <v:shape style="position:absolute;left:5844;top:1020;width:496;height:284" coordorigin="5844,1021" coordsize="496,284" path="m5844,1304l6340,1304m5844,1021l6340,1021e" filled="false" stroked="true" strokeweight=".589983pt" strokecolor="#d9d9d9">
              <v:path arrowok="t"/>
              <v:stroke dashstyle="solid"/>
            </v:shape>
            <v:rect style="position:absolute;left:5513;top:914;width:331;height:756" filled="true" fillcolor="#ffd600" stroked="false">
              <v:fill type="solid"/>
            </v:rect>
            <v:shape style="position:absolute;left:6670;top:1020;width:496;height:284" coordorigin="6670,1021" coordsize="496,284" path="m6670,1304l7166,1304m6670,1021l7166,1021e" filled="false" stroked="true" strokeweight=".589983pt" strokecolor="#d9d9d9">
              <v:path arrowok="t"/>
              <v:stroke dashstyle="solid"/>
            </v:shape>
            <v:rect style="position:absolute;left:6339;top:749;width:331;height:826" filled="true" fillcolor="#ffd600" stroked="false">
              <v:fill type="solid"/>
            </v:rect>
            <v:shape style="position:absolute;left:7496;top:737;width:496;height:567" coordorigin="7496,738" coordsize="496,567" path="m7496,1304l7992,1304m7496,1021l7992,1021m7496,738l7992,738e" filled="false" stroked="true" strokeweight=".589983pt" strokecolor="#d9d9d9">
              <v:path arrowok="t"/>
              <v:stroke dashstyle="solid"/>
            </v:shape>
            <v:rect style="position:absolute;left:7165;top:714;width:331;height:862" filled="true" fillcolor="#ffd600" stroked="false">
              <v:fill type="solid"/>
            </v:rect>
            <v:shape style="position:absolute;left:8322;top:737;width:496;height:567" coordorigin="8323,738" coordsize="496,567" path="m8323,1304l8818,1304m8323,1021l8818,1021m8323,738l8818,738e" filled="false" stroked="true" strokeweight=".589983pt" strokecolor="#d9d9d9">
              <v:path arrowok="t"/>
              <v:stroke dashstyle="solid"/>
            </v:shape>
            <v:rect style="position:absolute;left:7992;top:643;width:331;height:909" filled="true" fillcolor="#ffd600" stroked="false">
              <v:fill type="solid"/>
            </v:rect>
            <v:shape style="position:absolute;left:9148;top:737;width:484;height:567" coordorigin="9149,738" coordsize="484,567" path="m9149,1304l9633,1304m9149,1021l9633,1021m9149,738l9633,738e" filled="false" stroked="true" strokeweight=".589983pt" strokecolor="#d9d9d9">
              <v:path arrowok="t"/>
              <v:stroke dashstyle="solid"/>
            </v:shape>
            <v:rect style="position:absolute;left:8818;top:619;width:331;height:921" filled="true" fillcolor="#ffd600" stroked="false">
              <v:fill type="solid"/>
            </v:rect>
            <v:shape style="position:absolute;left:9963;top:737;width:248;height:567" coordorigin="9963,738" coordsize="248,567" path="m9963,1304l10211,1304m9963,1021l10211,1021m9963,738l10211,738e" filled="false" stroked="true" strokeweight=".589983pt" strokecolor="#d9d9d9">
              <v:path arrowok="t"/>
              <v:stroke dashstyle="solid"/>
            </v:shape>
            <v:rect style="position:absolute;left:9632;top:596;width:331;height:944" filled="true" fillcolor="#ffd600" stroked="false">
              <v:fill type="solid"/>
            </v:rect>
            <v:shape style="position:absolute;left:19902;top:-108946;width:621732;height:90038" coordorigin="19903,-108946" coordsize="621732,90038" path="m2221,549l2551,549,2551,1339,2221,1339,2221,549xm3047,620l3377,620,3377,1387,3047,1387,3047,620xm3873,726l4204,726,4204,1446,3873,1446,3873,726xm4687,749l5018,749,5018,1528,4687,1528,4687,749xm5514,915l5844,915,5844,1670,5514,1670,5514,915xm6340,749l6670,749,6670,1575,6340,1575,6340,749xm7166,714l7496,714,7496,1575,7166,1575,7166,714xm7992,643l8323,643,8323,1552,7992,1552,7992,643xm8818,620l9149,620,9149,1540,8818,1540,8818,620xm9633,596l9963,596,9963,1540,9633,1540,9633,596xe" filled="false" stroked="true" strokeweight=".590054pt" strokecolor="#ffd600">
              <v:path arrowok="t"/>
              <v:stroke dashstyle="solid"/>
            </v:shape>
            <v:line style="position:absolute" from="1973,466" to="10211,466" stroked="true" strokeweight=".589983pt" strokecolor="#d9d9d9">
              <v:stroke dashstyle="solid"/>
            </v:line>
            <v:shape style="position:absolute;left:2220;top:525;width:7743;height:390" coordorigin="2221,525" coordsize="7743,390" path="m2551,525l2221,525,2221,549,2551,549,2551,525m3377,596l3047,596,3047,620,3377,620,3377,596m4204,690l3873,690,3873,726,4204,726,4204,690m5018,726l4687,726,4687,749,5018,749,5018,726m5844,891l5514,891,5514,915,5844,915,5844,891m6670,726l6340,726,6340,749,6670,749,6670,726m7496,667l7166,667,7166,714,7496,714,7496,667m8323,596l7992,596,7992,643,8323,643,8323,596m9149,561l8818,561,8818,620,9149,620,9149,561m9963,549l9633,549,9633,596,9963,596,9963,549e" filled="true" fillcolor="#000000" stroked="false">
              <v:path arrowok="t"/>
              <v:fill type="solid"/>
            </v:shape>
            <v:shape style="position:absolute;left:2214;top:519;width:1169;height:107" coordorigin="2215,519" coordsize="1169,107" path="m2557,519l2215,519,2215,555,2557,555,2557,519m3383,590l3041,590,3041,626,3383,626,3383,590e" filled="true" fillcolor="#000000" stroked="false">
              <v:path arrowok="t"/>
              <v:fill type="solid"/>
            </v:shape>
            <v:rect style="position:absolute;left:3873;top:690;width:331;height:36" filled="false" stroked="true" strokeweight=".589988pt" strokecolor="#000000">
              <v:stroke dashstyle="solid"/>
            </v:rect>
            <v:shape style="position:absolute;left:4681;top:719;width:1995;height:201" coordorigin="4682,720" coordsize="1995,201" path="m5024,720l4682,720,4682,755,5024,755,5024,720m5850,885l5508,885,5508,921,5850,921,5850,885m6676,720l6334,720,6334,755,6676,755,6676,720e" filled="true" fillcolor="#000000" stroked="false">
              <v:path arrowok="t"/>
              <v:fill type="solid"/>
            </v:shape>
            <v:shape style="position:absolute;left:423333;top:-32824;width:228023;height:13470" coordorigin="423333,-32823" coordsize="228023,13470" path="m7166,667l7496,667,7496,714,7166,714,7166,667xm7992,596l8323,596,8323,643,7992,643,7992,596xm8818,561l9149,561,9149,620,8818,620,8818,561xm9633,549l9963,549,9963,596,9633,596,9633,549xe" filled="false" stroked="true" strokeweight=".590056pt" strokecolor="#000000">
              <v:path arrowok="t"/>
              <v:stroke dashstyle="solid"/>
            </v:shape>
            <v:line style="position:absolute" from="1973,2425" to="10211,2425" stroked="true" strokeweight=".589985pt" strokecolor="#d9d9d9">
              <v:stroke dashstyle="solid"/>
            </v:line>
            <v:shape style="position:absolute;left:0;top:-14742;width:651809;height:25214" coordorigin="0,-14741" coordsize="651809,25214" path="m1973,2425l1973,2472m1973,2425l1973,2744m2799,2425l2799,2472m2799,2425l2799,2744m3625,2425l3625,2472m3625,2425l3625,2744m4440,2425l4440,2472m4440,2425l4440,2744m5266,2425l5266,2472m5266,2425l5266,2744m6092,2425l6092,2472m6092,2425l6092,2744m6918,2425l6918,2472m6918,2425l6918,2744m7744,2425l7744,2472m7744,2425l7744,2744m8570,2425l8570,2472m8570,2425l8570,2744m9385,2425l9385,2472m9385,2425l9385,2744m10211,2425l10211,2472m10211,2425l10211,2744e" filled="false" stroked="true" strokeweight=".590053pt" strokecolor="#d9d9d9">
              <v:path arrowok="t"/>
              <v:stroke dashstyle="solid"/>
            </v:shape>
            <v:shape style="position:absolute;left:0;top:-14742;width:651809;height:25214" coordorigin="0,-14741" coordsize="651809,25214" path="m1973,2744l1973,3062m6092,2744l6092,3062m10211,2744l10211,3062e" filled="false" stroked="true" strokeweight=".590053pt" strokecolor="#d9d9d9">
              <v:path arrowok="t"/>
              <v:stroke dashstyle="solid"/>
            </v:shape>
            <v:line style="position:absolute" from="1973,183" to="10211,183" stroked="true" strokeweight=".589983pt" strokecolor="#d9d9d9">
              <v:stroke dashstyle="solid"/>
            </v:line>
            <v:line style="position:absolute" from="6099,183" to="6092,2430" stroked="true" strokeweight=".590124pt" strokecolor="#a6a6a6">
              <v:stroke dashstyle="solid"/>
            </v:line>
            <v:shape style="position:absolute;left:2217;top:2559;width:351;height:166"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2014</w:t>
                    </w:r>
                  </w:p>
                </w:txbxContent>
              </v:textbox>
              <w10:wrap type="none"/>
            </v:shape>
            <v:shape style="position:absolute;left:3041;top:2559;width:351;height:166"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2015</w:t>
                    </w:r>
                  </w:p>
                </w:txbxContent>
              </v:textbox>
              <w10:wrap type="none"/>
            </v:shape>
            <v:shape style="position:absolute;left:3865;top:2559;width:351;height:166"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2016</w:t>
                    </w:r>
                  </w:p>
                </w:txbxContent>
              </v:textbox>
              <w10:wrap type="none"/>
            </v:shape>
            <v:shape style="position:absolute;left:4690;top:2559;width:351;height:166"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2017</w:t>
                    </w:r>
                  </w:p>
                </w:txbxContent>
              </v:textbox>
              <w10:wrap type="none"/>
            </v:shape>
            <v:shape style="position:absolute;left:5514;top:2559;width:351;height:166"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2018</w:t>
                    </w:r>
                  </w:p>
                </w:txbxContent>
              </v:textbox>
              <w10:wrap type="none"/>
            </v:shape>
            <v:shape style="position:absolute;left:6338;top:2559;width:351;height:166"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2019</w:t>
                    </w:r>
                  </w:p>
                </w:txbxContent>
              </v:textbox>
              <w10:wrap type="none"/>
            </v:shape>
            <v:shape style="position:absolute;left:7162;top:2559;width:351;height:166"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2020</w:t>
                    </w:r>
                  </w:p>
                </w:txbxContent>
              </v:textbox>
              <w10:wrap type="none"/>
            </v:shape>
            <v:shape style="position:absolute;left:7986;top:2559;width:351;height:166"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2021</w:t>
                    </w:r>
                  </w:p>
                </w:txbxContent>
              </v:textbox>
              <w10:wrap type="none"/>
            </v:shape>
            <v:shape style="position:absolute;left:8810;top:2559;width:351;height:166"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2022</w:t>
                    </w:r>
                  </w:p>
                </w:txbxContent>
              </v:textbox>
              <w10:wrap type="none"/>
            </v:shape>
            <v:shape style="position:absolute;left:9634;top:2559;width:351;height:166"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2023</w:t>
                    </w:r>
                  </w:p>
                </w:txbxContent>
              </v:textbox>
              <w10:wrap type="none"/>
            </v:shape>
            <v:shape style="position:absolute;left:3776;top:2877;width:4717;height:166" type="#_x0000_t202" filled="false" stroked="false">
              <v:textbox inset="0,0,0,0">
                <w:txbxContent>
                  <w:p>
                    <w:pPr>
                      <w:tabs>
                        <w:tab w:pos="4054" w:val="left" w:leader="none"/>
                      </w:tabs>
                      <w:spacing w:line="165" w:lineRule="exact" w:before="0"/>
                      <w:ind w:left="0" w:right="0" w:firstLine="0"/>
                      <w:jc w:val="left"/>
                      <w:rPr>
                        <w:rFonts w:ascii="Calibri"/>
                        <w:sz w:val="16"/>
                      </w:rPr>
                    </w:pPr>
                    <w:r>
                      <w:rPr>
                        <w:rFonts w:ascii="Calibri"/>
                        <w:color w:val="585858"/>
                        <w:w w:val="105"/>
                        <w:sz w:val="16"/>
                      </w:rPr>
                      <w:t>Historic</w:t>
                      <w:tab/>
                    </w:r>
                    <w:r>
                      <w:rPr>
                        <w:rFonts w:ascii="Calibri"/>
                        <w:color w:val="585858"/>
                        <w:sz w:val="16"/>
                      </w:rPr>
                      <w:t>Projected</w:t>
                    </w:r>
                  </w:p>
                </w:txbxContent>
              </v:textbox>
              <w10:wrap type="none"/>
            </v:shape>
            <w10:wrap type="none"/>
          </v:group>
        </w:pict>
      </w:r>
      <w:r>
        <w:rPr>
          <w:rFonts w:ascii="Calibri"/>
          <w:color w:val="585858"/>
          <w:spacing w:val="-1"/>
          <w:sz w:val="16"/>
        </w:rPr>
        <w:t>40,000</w:t>
      </w:r>
    </w:p>
    <w:p>
      <w:pPr>
        <w:spacing w:before="85"/>
        <w:ind w:left="0" w:right="10084" w:firstLine="0"/>
        <w:jc w:val="right"/>
        <w:rPr>
          <w:rFonts w:ascii="Calibri"/>
          <w:sz w:val="16"/>
        </w:rPr>
      </w:pPr>
      <w:r>
        <w:rPr>
          <w:rFonts w:ascii="Calibri"/>
          <w:color w:val="585858"/>
          <w:spacing w:val="-1"/>
          <w:sz w:val="16"/>
        </w:rPr>
        <w:t>35,000</w:t>
      </w:r>
    </w:p>
    <w:p>
      <w:pPr>
        <w:spacing w:before="86"/>
        <w:ind w:left="0" w:right="10084" w:firstLine="0"/>
        <w:jc w:val="right"/>
        <w:rPr>
          <w:rFonts w:ascii="Calibri"/>
          <w:sz w:val="16"/>
        </w:rPr>
      </w:pPr>
      <w:r>
        <w:rPr>
          <w:rFonts w:ascii="Calibri"/>
          <w:color w:val="585858"/>
          <w:spacing w:val="-1"/>
          <w:sz w:val="16"/>
        </w:rPr>
        <w:t>30,000</w:t>
      </w:r>
    </w:p>
    <w:p>
      <w:pPr>
        <w:spacing w:before="85"/>
        <w:ind w:left="0" w:right="10084" w:firstLine="0"/>
        <w:jc w:val="right"/>
        <w:rPr>
          <w:rFonts w:ascii="Calibri"/>
          <w:sz w:val="16"/>
        </w:rPr>
      </w:pPr>
      <w:r>
        <w:rPr>
          <w:rFonts w:ascii="Calibri"/>
          <w:color w:val="585858"/>
          <w:spacing w:val="-1"/>
          <w:sz w:val="16"/>
        </w:rPr>
        <w:t>25,000</w:t>
      </w:r>
    </w:p>
    <w:p>
      <w:pPr>
        <w:spacing w:before="85"/>
        <w:ind w:left="0" w:right="10084" w:firstLine="0"/>
        <w:jc w:val="right"/>
        <w:rPr>
          <w:rFonts w:ascii="Calibri"/>
          <w:sz w:val="16"/>
        </w:rPr>
      </w:pPr>
      <w:r>
        <w:rPr>
          <w:rFonts w:ascii="Calibri"/>
          <w:color w:val="585858"/>
          <w:spacing w:val="-1"/>
          <w:sz w:val="16"/>
        </w:rPr>
        <w:t>20,000</w:t>
      </w:r>
    </w:p>
    <w:p>
      <w:pPr>
        <w:spacing w:before="85"/>
        <w:ind w:left="0" w:right="10084" w:firstLine="0"/>
        <w:jc w:val="right"/>
        <w:rPr>
          <w:rFonts w:ascii="Calibri"/>
          <w:sz w:val="16"/>
        </w:rPr>
      </w:pPr>
      <w:r>
        <w:rPr>
          <w:rFonts w:ascii="Calibri"/>
          <w:color w:val="585858"/>
          <w:spacing w:val="-1"/>
          <w:sz w:val="16"/>
        </w:rPr>
        <w:t>15,000</w:t>
      </w:r>
    </w:p>
    <w:p>
      <w:pPr>
        <w:spacing w:before="85"/>
        <w:ind w:left="0" w:right="10084" w:firstLine="0"/>
        <w:jc w:val="right"/>
        <w:rPr>
          <w:rFonts w:ascii="Calibri"/>
          <w:sz w:val="16"/>
        </w:rPr>
      </w:pPr>
      <w:r>
        <w:rPr>
          <w:rFonts w:ascii="Calibri"/>
          <w:color w:val="585858"/>
          <w:spacing w:val="-1"/>
          <w:sz w:val="16"/>
        </w:rPr>
        <w:t>10,000</w:t>
      </w:r>
    </w:p>
    <w:p>
      <w:pPr>
        <w:spacing w:before="86"/>
        <w:ind w:left="0" w:right="10083" w:firstLine="0"/>
        <w:jc w:val="right"/>
        <w:rPr>
          <w:rFonts w:ascii="Calibri"/>
          <w:sz w:val="16"/>
        </w:rPr>
      </w:pPr>
      <w:r>
        <w:rPr>
          <w:rFonts w:ascii="Calibri"/>
          <w:color w:val="585858"/>
          <w:spacing w:val="-1"/>
          <w:sz w:val="16"/>
        </w:rPr>
        <w:t>5,000</w:t>
      </w:r>
    </w:p>
    <w:p>
      <w:pPr>
        <w:spacing w:before="85"/>
        <w:ind w:left="0" w:right="10084" w:firstLine="0"/>
        <w:jc w:val="right"/>
        <w:rPr>
          <w:rFonts w:ascii="Calibri"/>
          <w:sz w:val="16"/>
        </w:rPr>
      </w:pPr>
      <w:r>
        <w:rPr>
          <w:rFonts w:ascii="Calibri"/>
          <w:color w:val="585858"/>
          <w:w w:val="103"/>
          <w:sz w:val="16"/>
        </w:rPr>
        <w:t>0</w:t>
      </w:r>
    </w:p>
    <w:p>
      <w:pPr>
        <w:pStyle w:val="BodyText"/>
        <w:rPr>
          <w:rFonts w:ascii="Calibri"/>
        </w:rPr>
      </w:pPr>
    </w:p>
    <w:p>
      <w:pPr>
        <w:pStyle w:val="BodyText"/>
        <w:spacing w:before="5"/>
        <w:rPr>
          <w:rFonts w:ascii="Calibri"/>
          <w:sz w:val="26"/>
        </w:rPr>
      </w:pPr>
    </w:p>
    <w:p>
      <w:pPr>
        <w:spacing w:before="61"/>
        <w:ind w:left="1602" w:right="1416" w:firstLine="0"/>
        <w:jc w:val="center"/>
        <w:rPr>
          <w:rFonts w:ascii="Calibri"/>
          <w:b/>
          <w:sz w:val="19"/>
        </w:rPr>
      </w:pPr>
      <w:r>
        <w:rPr>
          <w:rFonts w:ascii="Calibri"/>
          <w:b/>
          <w:color w:val="585858"/>
          <w:sz w:val="19"/>
        </w:rPr>
        <w:t>Year Ending 30 June</w:t>
      </w:r>
    </w:p>
    <w:p>
      <w:pPr>
        <w:pStyle w:val="BodyText"/>
        <w:spacing w:before="8"/>
        <w:rPr>
          <w:rFonts w:ascii="Calibri"/>
          <w:b/>
          <w:sz w:val="8"/>
        </w:rPr>
      </w:pPr>
    </w:p>
    <w:p>
      <w:pPr>
        <w:spacing w:before="76"/>
        <w:ind w:left="1597" w:right="9672" w:firstLine="0"/>
        <w:jc w:val="center"/>
        <w:rPr>
          <w:rFonts w:ascii="Calibri"/>
          <w:sz w:val="12"/>
        </w:rPr>
      </w:pPr>
      <w:r>
        <w:rPr>
          <w:rFonts w:ascii="Calibri"/>
          <w:sz w:val="12"/>
        </w:rPr>
        <w:t>Class key:</w:t>
      </w:r>
    </w:p>
    <w:p>
      <w:pPr>
        <w:tabs>
          <w:tab w:pos="1445" w:val="left" w:leader="none"/>
          <w:tab w:pos="2891" w:val="left" w:leader="none"/>
          <w:tab w:pos="4337" w:val="left" w:leader="none"/>
          <w:tab w:pos="5782" w:val="left" w:leader="none"/>
          <w:tab w:pos="7228" w:val="left" w:leader="none"/>
        </w:tabs>
        <w:spacing w:before="46"/>
        <w:ind w:left="0" w:right="132" w:firstLine="0"/>
        <w:jc w:val="center"/>
        <w:rPr>
          <w:rFonts w:ascii="Calibri"/>
          <w:sz w:val="12"/>
        </w:rPr>
      </w:pPr>
      <w:r>
        <w:rPr/>
        <w:pict>
          <v:group style="position:absolute;margin-left:85.804085pt;margin-top:1.603266pt;width:10.95pt;height:18.850pt;mso-position-horizontal-relative:page;mso-position-vertical-relative:paragraph;z-index:252606464" coordorigin="1716,32" coordsize="219,377">
            <v:rect style="position:absolute;left:1716;top:32;width:219;height:169" filled="true" fillcolor="#1f487c" stroked="false">
              <v:fill type="solid"/>
            </v:rect>
            <v:rect style="position:absolute;left:1716;top:240;width:219;height:169" filled="true" fillcolor="#f8a763" stroked="false">
              <v:fill type="solid"/>
            </v:rect>
            <w10:wrap type="none"/>
          </v:group>
        </w:pict>
      </w:r>
      <w:r>
        <w:rPr/>
        <w:pict>
          <v:group style="position:absolute;margin-left:157.689728pt;margin-top:1.603266pt;width:11.35pt;height:18.850pt;mso-position-horizontal-relative:page;mso-position-vertical-relative:paragraph;z-index:-287295488" coordorigin="3154,32" coordsize="227,377">
            <v:rect style="position:absolute;left:3153;top:32;width:227;height:169" filled="true" fillcolor="#009544" stroked="false">
              <v:fill type="solid"/>
            </v:rect>
            <v:rect style="position:absolute;left:3153;top:240;width:227;height:169" filled="true" fillcolor="#ecb8e7" stroked="false">
              <v:fill type="solid"/>
            </v:rect>
            <w10:wrap type="none"/>
          </v:group>
        </w:pict>
      </w:r>
      <w:r>
        <w:rPr/>
        <w:pict>
          <v:group style="position:absolute;margin-left:229.97963pt;margin-top:1.603266pt;width:11.35pt;height:18.850pt;mso-position-horizontal-relative:page;mso-position-vertical-relative:paragraph;z-index:-287294464" coordorigin="4600,32" coordsize="227,377">
            <v:rect style="position:absolute;left:4599;top:32;width:227;height:169" filled="true" fillcolor="#e16b09" stroked="false">
              <v:fill type="solid"/>
            </v:rect>
            <v:rect style="position:absolute;left:4599;top:240;width:227;height:169" filled="true" fillcolor="#938953" stroked="false">
              <v:fill type="solid"/>
            </v:rect>
            <w10:wrap type="none"/>
          </v:group>
        </w:pict>
      </w:r>
      <w:r>
        <w:rPr/>
        <w:pict>
          <v:group style="position:absolute;margin-left:302.269928pt;margin-top:1.603266pt;width:11.35pt;height:18.850pt;mso-position-horizontal-relative:page;mso-position-vertical-relative:paragraph;z-index:-287293440" coordorigin="6045,32" coordsize="227,377">
            <v:rect style="position:absolute;left:6045;top:32;width:227;height:169" filled="true" fillcolor="#e08ad6" stroked="false">
              <v:fill type="solid"/>
            </v:rect>
            <v:rect style="position:absolute;left:6045;top:240;width:227;height:169" filled="true" fillcolor="#ffd600" stroked="false">
              <v:fill type="solid"/>
            </v:rect>
            <w10:wrap type="none"/>
          </v:group>
        </w:pict>
      </w:r>
      <w:r>
        <w:rPr/>
        <w:pict>
          <v:group style="position:absolute;margin-left:374.559845pt;margin-top:1.603266pt;width:11.35pt;height:18.850pt;mso-position-horizontal-relative:page;mso-position-vertical-relative:paragraph;z-index:-287292416" coordorigin="7491,32" coordsize="227,377">
            <v:rect style="position:absolute;left:7491;top:32;width:227;height:169" filled="true" fillcolor="#8063a1" stroked="false">
              <v:fill type="solid"/>
            </v:rect>
            <v:rect style="position:absolute;left:7491;top:240;width:227;height:169" filled="true" fillcolor="#000000" stroked="false">
              <v:fill type="solid"/>
            </v:rect>
            <w10:wrap type="none"/>
          </v:group>
        </w:pict>
      </w:r>
      <w:r>
        <w:rPr/>
        <w:pict>
          <v:group style="position:absolute;margin-left:446.849335pt;margin-top:1.603266pt;width:11.35pt;height:18.850pt;mso-position-horizontal-relative:page;mso-position-vertical-relative:paragraph;z-index:-287291392" coordorigin="8937,32" coordsize="227,377">
            <v:rect style="position:absolute;left:8936;top:32;width:227;height:169" filled="true" fillcolor="#c0504d" stroked="false">
              <v:fill type="solid"/>
            </v:rect>
            <v:rect style="position:absolute;left:8936;top:240;width:227;height:169" filled="true" fillcolor="#ffeb8f" stroked="false">
              <v:fill type="solid"/>
            </v:rect>
            <w10:wrap type="none"/>
          </v:group>
        </w:pict>
      </w:r>
      <w:r>
        <w:rPr>
          <w:rFonts w:ascii="Calibri"/>
          <w:sz w:val="12"/>
        </w:rPr>
        <w:t>1</w:t>
      </w:r>
      <w:r>
        <w:rPr>
          <w:rFonts w:ascii="Calibri"/>
          <w:spacing w:val="-7"/>
          <w:sz w:val="12"/>
        </w:rPr>
        <w:t> </w:t>
      </w:r>
      <w:r>
        <w:rPr>
          <w:rFonts w:ascii="Calibri"/>
          <w:sz w:val="12"/>
        </w:rPr>
        <w:t>-</w:t>
      </w:r>
      <w:r>
        <w:rPr>
          <w:rFonts w:ascii="Calibri"/>
          <w:spacing w:val="2"/>
          <w:sz w:val="12"/>
        </w:rPr>
        <w:t> </w:t>
      </w:r>
      <w:r>
        <w:rPr>
          <w:rFonts w:ascii="Calibri"/>
          <w:sz w:val="12"/>
        </w:rPr>
        <w:t>Studying</w:t>
        <w:tab/>
        <w:t>2 -</w:t>
      </w:r>
      <w:r>
        <w:rPr>
          <w:rFonts w:ascii="Calibri"/>
          <w:spacing w:val="-6"/>
          <w:sz w:val="12"/>
        </w:rPr>
        <w:t> </w:t>
      </w:r>
      <w:r>
        <w:rPr>
          <w:rFonts w:ascii="Calibri"/>
          <w:sz w:val="12"/>
        </w:rPr>
        <w:t>Working</w:t>
      </w:r>
      <w:r>
        <w:rPr>
          <w:rFonts w:ascii="Calibri"/>
          <w:spacing w:val="-3"/>
          <w:sz w:val="12"/>
        </w:rPr>
        <w:t> </w:t>
      </w:r>
      <w:r>
        <w:rPr>
          <w:rFonts w:ascii="Calibri"/>
          <w:sz w:val="12"/>
        </w:rPr>
        <w:t>Age</w:t>
        <w:tab/>
        <w:t>3</w:t>
      </w:r>
      <w:r>
        <w:rPr>
          <w:rFonts w:ascii="Calibri"/>
          <w:spacing w:val="-7"/>
          <w:sz w:val="12"/>
        </w:rPr>
        <w:t> </w:t>
      </w:r>
      <w:r>
        <w:rPr>
          <w:rFonts w:ascii="Calibri"/>
          <w:sz w:val="12"/>
        </w:rPr>
        <w:t>-</w:t>
      </w:r>
      <w:r>
        <w:rPr>
          <w:rFonts w:ascii="Calibri"/>
          <w:spacing w:val="1"/>
          <w:sz w:val="12"/>
        </w:rPr>
        <w:t> </w:t>
      </w:r>
      <w:r>
        <w:rPr>
          <w:rFonts w:ascii="Calibri"/>
          <w:sz w:val="12"/>
        </w:rPr>
        <w:t>Parents</w:t>
        <w:tab/>
        <w:t>4</w:t>
      </w:r>
      <w:r>
        <w:rPr>
          <w:rFonts w:ascii="Calibri"/>
          <w:spacing w:val="-8"/>
          <w:sz w:val="12"/>
        </w:rPr>
        <w:t> </w:t>
      </w:r>
      <w:r>
        <w:rPr>
          <w:rFonts w:ascii="Calibri"/>
          <w:sz w:val="12"/>
        </w:rPr>
        <w:t>- Carers</w:t>
        <w:tab/>
        <w:t>5 -</w:t>
      </w:r>
      <w:r>
        <w:rPr>
          <w:rFonts w:ascii="Calibri"/>
          <w:spacing w:val="-2"/>
          <w:sz w:val="12"/>
        </w:rPr>
        <w:t> </w:t>
      </w:r>
      <w:r>
        <w:rPr>
          <w:rFonts w:ascii="Calibri"/>
          <w:sz w:val="12"/>
        </w:rPr>
        <w:t>Disability</w:t>
      </w:r>
      <w:r>
        <w:rPr>
          <w:rFonts w:ascii="Calibri"/>
          <w:spacing w:val="1"/>
          <w:sz w:val="12"/>
        </w:rPr>
        <w:t> </w:t>
      </w:r>
      <w:r>
        <w:rPr>
          <w:rFonts w:ascii="Calibri"/>
          <w:sz w:val="12"/>
        </w:rPr>
        <w:t>Support</w:t>
        <w:tab/>
        <w:t>6 - Pension</w:t>
      </w:r>
      <w:r>
        <w:rPr>
          <w:rFonts w:ascii="Calibri"/>
          <w:spacing w:val="-10"/>
          <w:sz w:val="12"/>
        </w:rPr>
        <w:t> </w:t>
      </w:r>
      <w:r>
        <w:rPr>
          <w:rFonts w:ascii="Calibri"/>
          <w:sz w:val="12"/>
        </w:rPr>
        <w:t>Age</w:t>
      </w:r>
    </w:p>
    <w:p>
      <w:pPr>
        <w:spacing w:after="0"/>
        <w:jc w:val="center"/>
        <w:rPr>
          <w:rFonts w:ascii="Calibri"/>
          <w:sz w:val="12"/>
        </w:rPr>
        <w:sectPr>
          <w:pgSz w:w="11910" w:h="16850"/>
          <w:pgMar w:header="572" w:footer="581" w:top="780" w:bottom="780" w:left="120" w:right="0"/>
        </w:sectPr>
      </w:pPr>
    </w:p>
    <w:p>
      <w:pPr>
        <w:spacing w:before="62"/>
        <w:ind w:left="0" w:right="0" w:firstLine="0"/>
        <w:jc w:val="right"/>
        <w:rPr>
          <w:rFonts w:ascii="Calibri"/>
          <w:sz w:val="12"/>
        </w:rPr>
      </w:pPr>
      <w:r>
        <w:rPr>
          <w:rFonts w:ascii="Calibri"/>
          <w:sz w:val="12"/>
        </w:rPr>
        <w:t>7 - Non IS Family</w:t>
      </w:r>
    </w:p>
    <w:p>
      <w:pPr>
        <w:pStyle w:val="ListParagraph"/>
        <w:numPr>
          <w:ilvl w:val="0"/>
          <w:numId w:val="65"/>
        </w:numPr>
        <w:tabs>
          <w:tab w:pos="665" w:val="left" w:leader="none"/>
        </w:tabs>
        <w:spacing w:line="240" w:lineRule="auto" w:before="62" w:after="0"/>
        <w:ind w:left="664" w:right="0" w:hanging="82"/>
        <w:jc w:val="left"/>
        <w:rPr>
          <w:rFonts w:ascii="Calibri"/>
          <w:sz w:val="12"/>
        </w:rPr>
      </w:pPr>
      <w:r>
        <w:rPr>
          <w:rFonts w:ascii="Calibri"/>
          <w:w w:val="100"/>
          <w:sz w:val="12"/>
        </w:rPr>
        <w:br w:type="column"/>
      </w:r>
      <w:r>
        <w:rPr>
          <w:rFonts w:ascii="Calibri"/>
          <w:sz w:val="12"/>
        </w:rPr>
        <w:t>- Non IS</w:t>
      </w:r>
      <w:r>
        <w:rPr>
          <w:rFonts w:ascii="Calibri"/>
          <w:spacing w:val="2"/>
          <w:sz w:val="12"/>
        </w:rPr>
        <w:t> </w:t>
      </w:r>
      <w:r>
        <w:rPr>
          <w:rFonts w:ascii="Calibri"/>
          <w:spacing w:val="-3"/>
          <w:sz w:val="12"/>
        </w:rPr>
        <w:t>Carer</w:t>
      </w:r>
    </w:p>
    <w:p>
      <w:pPr>
        <w:pStyle w:val="ListParagraph"/>
        <w:numPr>
          <w:ilvl w:val="0"/>
          <w:numId w:val="65"/>
        </w:numPr>
        <w:tabs>
          <w:tab w:pos="726" w:val="left" w:leader="none"/>
        </w:tabs>
        <w:spacing w:line="240" w:lineRule="auto" w:before="62" w:after="0"/>
        <w:ind w:left="725" w:right="0" w:hanging="82"/>
        <w:jc w:val="left"/>
        <w:rPr>
          <w:rFonts w:ascii="Calibri"/>
          <w:sz w:val="12"/>
        </w:rPr>
      </w:pPr>
      <w:r>
        <w:rPr>
          <w:rFonts w:ascii="Calibri"/>
          <w:w w:val="100"/>
          <w:sz w:val="12"/>
        </w:rPr>
        <w:br w:type="column"/>
      </w:r>
      <w:r>
        <w:rPr>
          <w:rFonts w:ascii="Calibri"/>
          <w:sz w:val="12"/>
        </w:rPr>
        <w:t>- Non IS</w:t>
      </w:r>
      <w:r>
        <w:rPr>
          <w:rFonts w:ascii="Calibri"/>
          <w:spacing w:val="5"/>
          <w:sz w:val="12"/>
        </w:rPr>
        <w:t> </w:t>
      </w:r>
      <w:r>
        <w:rPr>
          <w:rFonts w:ascii="Calibri"/>
          <w:spacing w:val="-3"/>
          <w:sz w:val="12"/>
        </w:rPr>
        <w:t>Other</w:t>
      </w:r>
    </w:p>
    <w:p>
      <w:pPr>
        <w:pStyle w:val="ListParagraph"/>
        <w:numPr>
          <w:ilvl w:val="0"/>
          <w:numId w:val="65"/>
        </w:numPr>
        <w:tabs>
          <w:tab w:pos="759" w:val="left" w:leader="none"/>
        </w:tabs>
        <w:spacing w:line="261" w:lineRule="auto" w:before="62" w:after="0"/>
        <w:ind w:left="620" w:right="0" w:firstLine="0"/>
        <w:jc w:val="left"/>
        <w:rPr>
          <w:rFonts w:ascii="Calibri"/>
          <w:sz w:val="12"/>
        </w:rPr>
      </w:pPr>
      <w:r>
        <w:rPr>
          <w:rFonts w:ascii="Calibri"/>
          <w:w w:val="100"/>
          <w:sz w:val="12"/>
        </w:rPr>
        <w:br w:type="column"/>
      </w:r>
      <w:r>
        <w:rPr>
          <w:rFonts w:ascii="Calibri"/>
          <w:sz w:val="12"/>
        </w:rPr>
        <w:t>- Previous Welfare Recipient</w:t>
      </w:r>
    </w:p>
    <w:p>
      <w:pPr>
        <w:pStyle w:val="ListParagraph"/>
        <w:numPr>
          <w:ilvl w:val="0"/>
          <w:numId w:val="65"/>
        </w:numPr>
        <w:tabs>
          <w:tab w:pos="482" w:val="left" w:leader="none"/>
        </w:tabs>
        <w:spacing w:line="240" w:lineRule="auto" w:before="62" w:after="0"/>
        <w:ind w:left="481" w:right="0" w:hanging="139"/>
        <w:jc w:val="left"/>
        <w:rPr>
          <w:rFonts w:ascii="Calibri"/>
          <w:sz w:val="12"/>
        </w:rPr>
      </w:pPr>
      <w:r>
        <w:rPr>
          <w:rFonts w:ascii="Calibri"/>
          <w:w w:val="100"/>
          <w:sz w:val="12"/>
        </w:rPr>
        <w:br w:type="column"/>
      </w:r>
      <w:r>
        <w:rPr>
          <w:rFonts w:ascii="Calibri"/>
          <w:sz w:val="12"/>
        </w:rPr>
        <w:t>-</w:t>
      </w:r>
      <w:r>
        <w:rPr>
          <w:rFonts w:ascii="Calibri"/>
          <w:spacing w:val="3"/>
          <w:sz w:val="12"/>
        </w:rPr>
        <w:t> </w:t>
      </w:r>
      <w:r>
        <w:rPr>
          <w:rFonts w:ascii="Calibri"/>
          <w:spacing w:val="-5"/>
          <w:sz w:val="12"/>
        </w:rPr>
        <w:t>Dead</w:t>
      </w:r>
    </w:p>
    <w:p>
      <w:pPr>
        <w:pStyle w:val="ListParagraph"/>
        <w:numPr>
          <w:ilvl w:val="0"/>
          <w:numId w:val="65"/>
        </w:numPr>
        <w:tabs>
          <w:tab w:pos="1084" w:val="left" w:leader="none"/>
        </w:tabs>
        <w:spacing w:line="261" w:lineRule="auto" w:before="62" w:after="0"/>
        <w:ind w:left="946" w:right="1894" w:firstLine="0"/>
        <w:jc w:val="left"/>
        <w:rPr>
          <w:rFonts w:ascii="Calibri"/>
          <w:sz w:val="12"/>
        </w:rPr>
      </w:pPr>
      <w:r>
        <w:rPr>
          <w:rFonts w:ascii="Calibri"/>
          <w:w w:val="100"/>
          <w:sz w:val="12"/>
        </w:rPr>
        <w:br w:type="column"/>
      </w:r>
      <w:r>
        <w:rPr>
          <w:rFonts w:ascii="Calibri"/>
          <w:sz w:val="12"/>
        </w:rPr>
        <w:t>- Rest of Aust. Population</w:t>
      </w:r>
    </w:p>
    <w:p>
      <w:pPr>
        <w:spacing w:after="0" w:line="261" w:lineRule="auto"/>
        <w:jc w:val="left"/>
        <w:rPr>
          <w:rFonts w:ascii="Calibri"/>
          <w:sz w:val="12"/>
        </w:rPr>
        <w:sectPr>
          <w:type w:val="continuous"/>
          <w:pgSz w:w="11910" w:h="16850"/>
          <w:pgMar w:top="1600" w:bottom="280" w:left="120" w:right="0"/>
          <w:cols w:num="6" w:equalWidth="0">
            <w:col w:w="2653" w:space="40"/>
            <w:col w:w="1345" w:space="39"/>
            <w:col w:w="1430" w:space="40"/>
            <w:col w:w="1683" w:space="39"/>
            <w:col w:w="804" w:space="40"/>
            <w:col w:w="3677"/>
          </w:cols>
        </w:sectPr>
      </w:pPr>
    </w:p>
    <w:p>
      <w:pPr>
        <w:pStyle w:val="BodyText"/>
        <w:spacing w:before="5"/>
        <w:rPr>
          <w:rFonts w:ascii="Calibri"/>
          <w:sz w:val="13"/>
        </w:rPr>
      </w:pPr>
    </w:p>
    <w:p>
      <w:pPr>
        <w:pStyle w:val="BodyText"/>
        <w:spacing w:before="92"/>
        <w:ind w:left="899" w:right="1066"/>
      </w:pPr>
      <w:r>
        <w:rPr>
          <w:color w:val="404040"/>
        </w:rPr>
        <w:t>We can see that people enter this class from a variety of classes. People predominantly enter from non income support classes or from outside of the welfare system. Of those who entered from an income support class, their previous class was generally Working Age, Parents or Carers.</w:t>
      </w:r>
    </w:p>
    <w:p>
      <w:pPr>
        <w:pStyle w:val="BodyText"/>
        <w:spacing w:before="119"/>
        <w:ind w:left="899" w:right="1132" w:hanging="1"/>
      </w:pPr>
      <w:r>
        <w:rPr>
          <w:color w:val="404040"/>
        </w:rPr>
        <w:t>Women entering this class under age 50 have primarily come from class ‘7 Non IS Family’, but with material numbers also coming from Working Age, Parents and Carers (income support) as well. Women entering aged 50 to retirement age have primarily come from outside the system, and those aged above retirement age have come from class ‘9 Non IS Other’. Men entering this class aged 35 and above are increasingly more likely to have entered from outside the welfare system as they get older.</w:t>
      </w:r>
    </w:p>
    <w:p>
      <w:pPr>
        <w:pStyle w:val="BodyText"/>
        <w:spacing w:before="120"/>
        <w:ind w:left="899" w:right="1033"/>
      </w:pPr>
      <w:r>
        <w:rPr>
          <w:color w:val="404040"/>
        </w:rPr>
        <w:t>Around half of the people leaving this class also leave the welfare system, while the others generally transition to the Working Age, Carer (Income Support) or Non IS Family classes. However, this varies significantly by age</w:t>
      </w:r>
    </w:p>
    <w:p>
      <w:pPr>
        <w:pStyle w:val="BodyText"/>
        <w:spacing w:before="1"/>
        <w:ind w:left="899" w:right="1442"/>
      </w:pPr>
      <w:r>
        <w:rPr>
          <w:color w:val="404040"/>
        </w:rPr>
        <w:t>– those exiting the welfare system are generally those aged above 40, while those younger than 40 tend to remain within the system on exiting this class.</w:t>
      </w:r>
    </w:p>
    <w:p>
      <w:pPr>
        <w:pStyle w:val="BodyText"/>
        <w:spacing w:before="121"/>
        <w:ind w:left="899" w:right="1299"/>
      </w:pPr>
      <w:r>
        <w:rPr>
          <w:color w:val="404040"/>
        </w:rPr>
        <w:t>In 2017 there were significantly higher numbers of new entrants, with particular increases in those entering from Age Pension and Carers. This is the result of the change in the assets test which tightened eligibility for these payments. There were also fewer exits in 2018, in part because of the change in the retirement age to</w:t>
      </w:r>
    </w:p>
    <w:p>
      <w:pPr>
        <w:pStyle w:val="BodyText"/>
        <w:spacing w:line="229" w:lineRule="exact"/>
        <w:ind w:left="899"/>
      </w:pPr>
      <w:r>
        <w:rPr>
          <w:color w:val="404040"/>
        </w:rPr>
        <w:t>65.5 which meant fewer people moving into the Age Pension.</w:t>
      </w:r>
    </w:p>
    <w:p>
      <w:pPr>
        <w:spacing w:after="0" w:line="229" w:lineRule="exact"/>
        <w:sectPr>
          <w:type w:val="continuous"/>
          <w:pgSz w:w="11910" w:h="16850"/>
          <w:pgMar w:top="1600" w:bottom="280" w:left="120" w:right="0"/>
        </w:sectPr>
      </w:pPr>
    </w:p>
    <w:p>
      <w:pPr>
        <w:pStyle w:val="BodyText"/>
      </w:pPr>
    </w:p>
    <w:p>
      <w:pPr>
        <w:pStyle w:val="BodyText"/>
      </w:pPr>
    </w:p>
    <w:p>
      <w:pPr>
        <w:pStyle w:val="BodyText"/>
        <w:spacing w:before="7"/>
        <w:rPr>
          <w:sz w:val="21"/>
        </w:rPr>
      </w:pPr>
    </w:p>
    <w:p>
      <w:pPr>
        <w:pStyle w:val="Heading6"/>
        <w:spacing w:before="94"/>
        <w:rPr>
          <w:i/>
        </w:rPr>
      </w:pPr>
      <w:r>
        <w:rPr>
          <w:i/>
          <w:color w:val="DF2F1E"/>
        </w:rPr>
        <w:t>Payments received</w:t>
      </w:r>
    </w:p>
    <w:p>
      <w:pPr>
        <w:pStyle w:val="BodyText"/>
        <w:spacing w:before="121"/>
        <w:ind w:left="900" w:right="1175"/>
      </w:pPr>
      <w:r>
        <w:rPr>
          <w:color w:val="404040"/>
        </w:rPr>
        <w:t>During 2017/18, people in this class received a total of $1.6 billion. This is 1.3% of the total payments made in 2017/18. The charts below show the average amount paid in a year to each person in this class, split by the categories of payments received.</w:t>
      </w:r>
    </w:p>
    <w:p>
      <w:pPr>
        <w:pStyle w:val="Heading9"/>
        <w:spacing w:before="176"/>
      </w:pPr>
      <w:r>
        <w:rPr>
          <w:color w:val="DF2F1E"/>
        </w:rPr>
        <w:t>Figure 87: Average payments per person in class 8 – Non IS Carer (restated to 2017/18 $ values)</w:t>
      </w:r>
    </w:p>
    <w:p>
      <w:pPr>
        <w:pStyle w:val="BodyText"/>
        <w:spacing w:before="8"/>
        <w:rPr>
          <w:b/>
          <w:sz w:val="22"/>
        </w:rPr>
      </w:pPr>
    </w:p>
    <w:p>
      <w:pPr>
        <w:spacing w:before="71"/>
        <w:ind w:left="0" w:right="10282" w:firstLine="0"/>
        <w:jc w:val="right"/>
        <w:rPr>
          <w:rFonts w:ascii="Calibri"/>
          <w:sz w:val="15"/>
        </w:rPr>
      </w:pPr>
      <w:r>
        <w:rPr/>
        <w:pict>
          <v:group style="position:absolute;margin-left:86.027458pt;margin-top:7.987803pt;width:420.25pt;height:141.15pt;mso-position-horizontal-relative:page;mso-position-vertical-relative:paragraph;z-index:252632064" coordorigin="1721,160" coordsize="8405,2823">
            <v:shape style="position:absolute;left:1779;top:1638;width:8341;height:491" coordorigin="1779,1638" coordsize="8341,491" path="m9885,2129l10119,2129m9053,2129l9510,2129m8222,2129l8679,2129m7378,2129l7847,2129m6547,2129l7015,2129m5715,2129l6184,2129m4883,2129l5340,2129m4040,2129l4508,2129m3208,2129l3677,2129m2377,2129l2845,2129m1779,2129l2002,2129m2377,1884l2845,1884m1779,1884l2002,1884m2377,1638l2845,1638m1779,1638l2002,1638e" filled="false" stroked="true" strokeweight=".584348pt" strokecolor="#f1f1f1">
              <v:path arrowok="t"/>
              <v:stroke dashstyle="solid"/>
            </v:shape>
            <v:rect style="position:absolute;left:2001;top:1673;width:375;height:702" filled="true" fillcolor="#f8a763" stroked="false">
              <v:fill type="solid"/>
            </v:rect>
            <v:shape style="position:absolute;left:3208;top:1638;width:469;height:246" coordorigin="3208,1638" coordsize="469,246" path="m3208,1884l3677,1884m3208,1638l3677,1638e" filled="false" stroked="true" strokeweight=".584348pt" strokecolor="#f1f1f1">
              <v:path arrowok="t"/>
              <v:stroke dashstyle="solid"/>
            </v:shape>
            <v:rect style="position:absolute;left:2845;top:1696;width:364;height:678" filled="true" fillcolor="#f8a763" stroked="false">
              <v:fill type="solid"/>
            </v:rect>
            <v:line style="position:absolute" from="4040,1884" to="4508,1884" stroked="true" strokeweight=".584348pt" strokecolor="#f1f1f1">
              <v:stroke dashstyle="solid"/>
            </v:line>
            <v:rect style="position:absolute;left:3676;top:1766;width:364;height:608" filled="true" fillcolor="#f8a763" stroked="false">
              <v:fill type="solid"/>
            </v:rect>
            <v:line style="position:absolute" from="4883,1884" to="5340,1884" stroked="true" strokeweight=".584348pt" strokecolor="#f1f1f1">
              <v:stroke dashstyle="solid"/>
            </v:line>
            <v:rect style="position:absolute;left:4508;top:1848;width:375;height:526" filled="true" fillcolor="#f8a763" stroked="false">
              <v:fill type="solid"/>
            </v:rect>
            <v:line style="position:absolute" from="5715,1884" to="6184,1884" stroked="true" strokeweight=".584348pt" strokecolor="#f1f1f1">
              <v:stroke dashstyle="solid"/>
            </v:line>
            <v:rect style="position:absolute;left:5340;top:1918;width:375;height:456" filled="true" fillcolor="#f8a763" stroked="false">
              <v:fill type="solid"/>
            </v:rect>
            <v:line style="position:absolute" from="6547,1884" to="7015,1884" stroked="true" strokeweight=".584348pt" strokecolor="#f1f1f1">
              <v:stroke dashstyle="solid"/>
            </v:line>
            <v:rect style="position:absolute;left:6183;top:1848;width:364;height:526" filled="true" fillcolor="#f8a763" stroked="false">
              <v:fill type="solid"/>
            </v:rect>
            <v:line style="position:absolute" from="7378,1884" to="7847,1884" stroked="true" strokeweight=".584348pt" strokecolor="#f1f1f1">
              <v:stroke dashstyle="solid"/>
            </v:line>
            <v:rect style="position:absolute;left:7015;top:1860;width:364;height:515" filled="true" fillcolor="#f8a763" stroked="false">
              <v:fill type="solid"/>
            </v:rect>
            <v:line style="position:absolute" from="8222,1884" to="10119,1884" stroked="true" strokeweight=".584348pt" strokecolor="#f1f1f1">
              <v:stroke dashstyle="solid"/>
            </v:line>
            <v:shape style="position:absolute;left:7846;top:1871;width:2039;height:503" coordorigin="7847,1872" coordsize="2039,503" path="m8222,1872l7847,1872,7847,2374,8222,2374,8222,1872m9053,1884l8679,1884,8679,2374,9053,2374,9053,1884m9885,1884l9510,1884,9510,2374,9885,2374,9885,1884e" filled="true" fillcolor="#f8a763" stroked="false">
              <v:path arrowok="t"/>
              <v:fill type="solid"/>
            </v:shape>
            <v:line style="position:absolute" from="1779,1393" to="3677,1393" stroked="true" strokeweight=".584348pt" strokecolor="#f1f1f1">
              <v:stroke dashstyle="solid"/>
            </v:line>
            <v:shape style="position:absolute;left:2001;top:1404;width:1207;height:293" coordorigin="2002,1404" coordsize="1207,293" path="m2377,1404l2002,1404,2002,1673,2377,1673,2377,1404m3208,1428l2845,1428,2845,1697,3208,1697,3208,1428e" filled="true" fillcolor="#f9c090" stroked="false">
              <v:path arrowok="t"/>
              <v:fill type="solid"/>
            </v:shape>
            <v:line style="position:absolute" from="4040,1638" to="5340,1638" stroked="true" strokeweight=".584348pt" strokecolor="#f1f1f1">
              <v:stroke dashstyle="solid"/>
            </v:line>
            <v:shape style="position:absolute;left:3676;top:1497;width:2039;height:421" coordorigin="3677,1498" coordsize="2039,421" path="m4040,1498l3677,1498,3677,1767,4040,1767,4040,1498m4883,1638l4508,1638,4508,1849,4883,1849,4883,1638m5715,1732l5340,1732,5340,1919,5715,1919,5715,1732e" filled="true" fillcolor="#f9c090" stroked="false">
              <v:path arrowok="t"/>
              <v:fill type="solid"/>
            </v:shape>
            <v:shape style="position:absolute;left:5714;top:1638;width:3796;height:2" coordorigin="5715,1638" coordsize="3796,0" path="m6547,1638l9510,1638m5715,1638l6184,1638e" filled="false" stroked="true" strokeweight=".584348pt" strokecolor="#f1f1f1">
              <v:path arrowok="t"/>
              <v:stroke dashstyle="solid"/>
            </v:shape>
            <v:shape style="position:absolute;left:6183;top:1614;width:2870;height:269" coordorigin="6184,1615" coordsize="2870,269" path="m6547,1615l6184,1615,6184,1849,6547,1849,6547,1615m7378,1638l7015,1638,7015,1860,7378,1860,7378,1638m8222,1650l7847,1650,7847,1872,8222,1872,8222,1650m9053,1662l8679,1662,8679,1884,9053,1884,9053,1662e" filled="true" fillcolor="#f9c090" stroked="false">
              <v:path arrowok="t"/>
              <v:fill type="solid"/>
            </v:shape>
            <v:line style="position:absolute" from="9885,1638" to="10119,1638" stroked="true" strokeweight=".584348pt" strokecolor="#f1f1f1">
              <v:stroke dashstyle="solid"/>
            </v:line>
            <v:rect style="position:absolute;left:9510;top:1673;width:375;height:211" filled="true" fillcolor="#f9c090" stroked="false">
              <v:fill type="solid"/>
            </v:rect>
            <v:shape style="position:absolute;left:2001;top:1369;width:1207;height:59" coordorigin="2002,1369" coordsize="1207,59" path="m2377,1369l2002,1369,2002,1404,2377,1404,2377,1369m3208,1393l2845,1393,2845,1428,3208,1428,3208,1393e" filled="true" fillcolor="#fbddc4" stroked="false">
              <v:path arrowok="t"/>
              <v:fill type="solid"/>
            </v:shape>
            <v:line style="position:absolute" from="4040,1393" to="4508,1393" stroked="true" strokeweight=".584348pt" strokecolor="#f1f1f1">
              <v:stroke dashstyle="solid"/>
            </v:line>
            <v:shape style="position:absolute;left:3676;top:1462;width:6209;height:269" coordorigin="3677,1463" coordsize="6209,269" path="m4040,1463l3677,1463,3677,1498,4040,1498,4040,1463m4883,1603l4508,1603,4508,1638,4883,1638,4883,1603m5715,1708l5340,1708,5340,1732,5715,1732,5715,1708m6547,1591l6184,1591,6184,1615,6547,1615,6547,1591m7378,1603l7015,1603,7015,1638,7378,1638,7378,1603m8222,1615l7847,1615,7847,1650,8222,1650,8222,1615m9053,1626l8679,1626,8679,1662,9053,1662,9053,1626m9885,1650l9510,1650,9510,1673,9885,1673,9885,1650e" filled="true" fillcolor="#fbddc4" stroked="false">
              <v:path arrowok="t"/>
              <v:fill type="solid"/>
            </v:shape>
            <v:line style="position:absolute" from="2002,1364" to="2377,1364" stroked="true" strokeweight=".584359pt" strokecolor="#938953">
              <v:stroke dashstyle="solid"/>
            </v:line>
            <v:shape style="position:absolute;left:1779;top:411;width:1066;height:737" coordorigin="1779,411" coordsize="1066,737" path="m2377,1147l2845,1147m1779,1147l2002,1147m2377,902l2845,902m1779,902l2002,902m2377,656l2845,656m1779,656l2002,656m2377,411l2845,411m1779,411l2002,411e" filled="false" stroked="true" strokeweight=".584348pt" strokecolor="#f1f1f1">
              <v:path arrowok="t"/>
              <v:stroke dashstyle="solid"/>
            </v:shape>
            <v:rect style="position:absolute;left:2001;top:352;width:375;height:1006" filled="true" fillcolor="#ecb8e7" stroked="false">
              <v:fill type="solid"/>
            </v:rect>
            <v:shape style="position:absolute;left:3208;top:411;width:6912;height:737" coordorigin="3208,411" coordsize="6912,737" path="m3208,1147l3677,1147m3208,902l3677,902m3208,656l3677,656m3208,411l10119,411e" filled="false" stroked="true" strokeweight=".584348pt" strokecolor="#f1f1f1">
              <v:path arrowok="t"/>
              <v:stroke dashstyle="solid"/>
            </v:shape>
            <v:rect style="position:absolute;left:2845;top:375;width:364;height:1017" filled="true" fillcolor="#ecb8e7" stroked="false">
              <v:fill type="solid"/>
            </v:rect>
            <v:shape style="position:absolute;left:4039;top:656;width:469;height:491" coordorigin="4040,656" coordsize="469,491" path="m4040,1147l4508,1147m4040,902l4508,902m4040,656l4508,656e" filled="false" stroked="true" strokeweight=".584348pt" strokecolor="#f1f1f1">
              <v:path arrowok="t"/>
              <v:stroke dashstyle="solid"/>
            </v:shape>
            <v:rect style="position:absolute;left:3676;top:446;width:364;height:1017" filled="true" fillcolor="#ecb8e7" stroked="false">
              <v:fill type="solid"/>
            </v:rect>
            <v:shape style="position:absolute;left:4883;top:656;width:1301;height:737" coordorigin="4883,656" coordsize="1301,737" path="m4883,1393l5340,1393m4883,1147l5340,1147m4883,902l5340,902m4883,656l6184,656e" filled="false" stroked="true" strokeweight=".584348pt" strokecolor="#f1f1f1">
              <v:path arrowok="t"/>
              <v:stroke dashstyle="solid"/>
            </v:shape>
            <v:rect style="position:absolute;left:4508;top:574;width:375;height:1029" filled="true" fillcolor="#ecb8e7" stroked="false">
              <v:fill type="solid"/>
            </v:rect>
            <v:shape style="position:absolute;left:5714;top:901;width:469;height:491" coordorigin="5715,902" coordsize="469,491" path="m5715,1393l6184,1393m5715,1147l6184,1147m5715,902l6184,902e" filled="false" stroked="true" strokeweight=".584348pt" strokecolor="#f1f1f1">
              <v:path arrowok="t"/>
              <v:stroke dashstyle="solid"/>
            </v:shape>
            <v:rect style="position:absolute;left:5340;top:668;width:375;height:1041" filled="true" fillcolor="#ecb8e7" stroked="false">
              <v:fill type="solid"/>
            </v:rect>
            <v:shape style="position:absolute;left:6546;top:656;width:469;height:737" coordorigin="6547,656" coordsize="469,737" path="m6547,1393l7015,1393m6547,1147l7015,1147m6547,902l7015,902m6547,656l7015,656e" filled="false" stroked="true" strokeweight=".584348pt" strokecolor="#f1f1f1">
              <v:path arrowok="t"/>
              <v:stroke dashstyle="solid"/>
            </v:shape>
            <v:rect style="position:absolute;left:6183;top:562;width:364;height:1029" filled="true" fillcolor="#ecb8e7" stroked="false">
              <v:fill type="solid"/>
            </v:rect>
            <v:shape style="position:absolute;left:7378;top:656;width:469;height:737" coordorigin="7378,656" coordsize="469,737" path="m7378,1393l7847,1393m7378,1147l7847,1147m7378,902l7847,902m7378,656l7847,656e" filled="false" stroked="true" strokeweight=".584348pt" strokecolor="#f1f1f1">
              <v:path arrowok="t"/>
              <v:stroke dashstyle="solid"/>
            </v:shape>
            <v:rect style="position:absolute;left:7015;top:586;width:364;height:1017" filled="true" fillcolor="#ecb8e7" stroked="false">
              <v:fill type="solid"/>
            </v:rect>
            <v:shape style="position:absolute;left:8221;top:656;width:457;height:737" coordorigin="8222,656" coordsize="457,737" path="m8222,1393l8679,1393m8222,1147l8679,1147m8222,902l8679,902m8222,656l8679,656e" filled="false" stroked="true" strokeweight=".584348pt" strokecolor="#f1f1f1">
              <v:path arrowok="t"/>
              <v:stroke dashstyle="solid"/>
            </v:shape>
            <v:rect style="position:absolute;left:7846;top:598;width:375;height:1017" filled="true" fillcolor="#ecb8e7" stroked="false">
              <v:fill type="solid"/>
            </v:rect>
            <v:shape style="position:absolute;left:9053;top:656;width:457;height:737" coordorigin="9053,656" coordsize="457,737" path="m9053,1393l9510,1393m9053,1147l9510,1147m9053,902l9510,902m9053,656l9510,656e" filled="false" stroked="true" strokeweight=".584348pt" strokecolor="#f1f1f1">
              <v:path arrowok="t"/>
              <v:stroke dashstyle="solid"/>
            </v:shape>
            <v:rect style="position:absolute;left:8678;top:609;width:375;height:1017" filled="true" fillcolor="#ecb8e7" stroked="false">
              <v:fill type="solid"/>
            </v:rect>
            <v:shape style="position:absolute;left:9885;top:656;width:235;height:737" coordorigin="9885,656" coordsize="235,737" path="m9885,1393l10119,1393m9885,1147l10119,1147m9885,902l10119,902m9885,656l10119,656e" filled="false" stroked="true" strokeweight=".584348pt" strokecolor="#f1f1f1">
              <v:path arrowok="t"/>
              <v:stroke dashstyle="solid"/>
            </v:shape>
            <v:rect style="position:absolute;left:9510;top:633;width:375;height:1017" filled="true" fillcolor="#ecb8e7" stroked="false">
              <v:fill type="solid"/>
            </v:rect>
            <v:line style="position:absolute" from="2002,347" to="2377,347" stroked="true" strokeweight=".584344pt" strokecolor="#c4bc96">
              <v:stroke dashstyle="solid"/>
            </v:line>
            <v:line style="position:absolute" from="2845,370" to="3208,370" stroked="true" strokeweight=".584356pt" strokecolor="#c4bc96">
              <v:stroke dashstyle="solid"/>
            </v:line>
            <v:shape style="position:absolute;left:3676;top:440;width:1207;height:129" coordorigin="3677,440" coordsize="1207,129" path="m3677,440l4040,440m4508,569l4883,569e" filled="false" stroked="true" strokeweight=".584356pt" strokecolor="#c4bc96">
              <v:path arrowok="t"/>
              <v:stroke dashstyle="solid"/>
            </v:shape>
            <v:shape style="position:absolute;left:5340;top:557;width:1207;height:106" coordorigin="5340,557" coordsize="1207,106" path="m5340,662l5715,662m6184,557l6547,557e" filled="false" stroked="true" strokeweight=".584344pt" strokecolor="#c4bc96">
              <v:path arrowok="t"/>
              <v:stroke dashstyle="solid"/>
            </v:shape>
            <v:line style="position:absolute" from="7015,580" to="7378,580" stroked="true" strokeweight=".584344pt" strokecolor="#c4bc96">
              <v:stroke dashstyle="solid"/>
            </v:line>
            <v:shape style="position:absolute;left:7846;top:592;width:1207;height:12" coordorigin="7847,592" coordsize="1207,12" path="m7847,592l8222,592m8679,604l9053,604e" filled="false" stroked="true" strokeweight=".584344pt" strokecolor="#c4bc96">
              <v:path arrowok="t"/>
              <v:stroke dashstyle="solid"/>
            </v:shape>
            <v:line style="position:absolute" from="9510,627" to="9885,627" stroked="true" strokeweight=".584356pt" strokecolor="#c4bc96">
              <v:stroke dashstyle="solid"/>
            </v:line>
            <v:line style="position:absolute" from="2002,347" to="2377,347" stroked="true" strokeweight=".584344pt" strokecolor="#808080">
              <v:stroke dashstyle="solid"/>
            </v:line>
            <v:line style="position:absolute" from="2845,370" to="3208,370" stroked="true" strokeweight=".584356pt" strokecolor="#808080">
              <v:stroke dashstyle="solid"/>
            </v:line>
            <v:shape style="position:absolute;left:3676;top:440;width:1207;height:129" coordorigin="3677,440" coordsize="1207,129" path="m3677,440l4040,440m4508,569l4883,569e" filled="false" stroked="true" strokeweight=".584356pt" strokecolor="#808080">
              <v:path arrowok="t"/>
              <v:stroke dashstyle="solid"/>
            </v:shape>
            <v:shape style="position:absolute;left:5340;top:557;width:1207;height:106" coordorigin="5340,557" coordsize="1207,106" path="m5340,662l5715,662m6184,557l6547,557e" filled="false" stroked="true" strokeweight=".584344pt" strokecolor="#808080">
              <v:path arrowok="t"/>
              <v:stroke dashstyle="solid"/>
            </v:shape>
            <v:line style="position:absolute" from="7015,580" to="7378,580" stroked="true" strokeweight=".584344pt" strokecolor="#808080">
              <v:stroke dashstyle="solid"/>
            </v:line>
            <v:shape style="position:absolute;left:7846;top:592;width:1207;height:12" coordorigin="7847,592" coordsize="1207,12" path="m7847,592l8222,592m8679,604l9053,604e" filled="false" stroked="true" strokeweight=".584344pt" strokecolor="#808080">
              <v:path arrowok="t"/>
              <v:stroke dashstyle="solid"/>
            </v:shape>
            <v:line style="position:absolute" from="9510,627" to="9885,627" stroked="true" strokeweight=".584356pt" strokecolor="#808080">
              <v:stroke dashstyle="solid"/>
            </v:line>
            <v:shape style="position:absolute;left:2001;top:329;width:1207;height:47" coordorigin="2002,329" coordsize="1207,47" path="m2377,329l2002,329,2002,353,2377,353,2377,329m3208,353l2845,353,2845,376,3208,376,3208,353e" filled="true" fillcolor="#a6a6a6" stroked="false">
              <v:path arrowok="t"/>
              <v:fill type="solid"/>
            </v:shape>
            <v:line style="position:absolute" from="3677,440" to="4040,440" stroked="true" strokeweight=".584356pt" strokecolor="#a6a6a6">
              <v:stroke dashstyle="solid"/>
            </v:line>
            <v:rect style="position:absolute;left:4508;top:551;width:375;height:24" filled="true" fillcolor="#a6a6a6" stroked="false">
              <v:fill type="solid"/>
            </v:rect>
            <v:shape style="position:absolute;left:5340;top:557;width:1207;height:106" coordorigin="5340,557" coordsize="1207,106" path="m5340,662l5715,662m6184,557l6547,557e" filled="false" stroked="true" strokeweight=".584344pt" strokecolor="#a6a6a6">
              <v:path arrowok="t"/>
              <v:stroke dashstyle="solid"/>
            </v:shape>
            <v:line style="position:absolute" from="7015,580" to="7378,580" stroked="true" strokeweight=".584344pt" strokecolor="#a6a6a6">
              <v:stroke dashstyle="solid"/>
            </v:line>
            <v:shape style="position:absolute;left:7846;top:592;width:1207;height:12" coordorigin="7847,592" coordsize="1207,12" path="m7847,592l8222,592m8679,604l9053,604e" filled="false" stroked="true" strokeweight=".584344pt" strokecolor="#a6a6a6">
              <v:path arrowok="t"/>
              <v:stroke dashstyle="solid"/>
            </v:shape>
            <v:line style="position:absolute" from="9510,627" to="9885,627" stroked="true" strokeweight=".584356pt" strokecolor="#a6a6a6">
              <v:stroke dashstyle="solid"/>
            </v:line>
            <v:shape style="position:absolute;left:2001;top:323;width:1207;height:24" coordorigin="2002,323" coordsize="1207,24" path="m2002,323l2377,323m2845,347l3208,347e" filled="false" stroked="true" strokeweight=".584344pt" strokecolor="#d9d9d9">
              <v:path arrowok="t"/>
              <v:stroke dashstyle="solid"/>
            </v:shape>
            <v:shape style="position:absolute;left:3676;top:428;width:2870;height:223" coordorigin="3677,429" coordsize="2870,223" path="m3677,429l4040,429m4508,545l4883,545m5340,651l5715,651m6184,545l6547,545e" filled="false" stroked="true" strokeweight=".584344pt" strokecolor="#d9d9d9">
              <v:path arrowok="t"/>
              <v:stroke dashstyle="solid"/>
            </v:shape>
            <v:line style="position:absolute" from="7015,569" to="7378,569" stroked="true" strokeweight=".584356pt" strokecolor="#d9d9d9">
              <v:stroke dashstyle="solid"/>
            </v:line>
            <v:line style="position:absolute" from="7847,580" to="8222,580" stroked="true" strokeweight=".584344pt" strokecolor="#d9d9d9">
              <v:stroke dashstyle="solid"/>
            </v:line>
            <v:line style="position:absolute" from="8679,604" to="9053,604" stroked="true" strokeweight=".584344pt" strokecolor="#d9d9d9">
              <v:stroke dashstyle="solid"/>
            </v:line>
            <v:line style="position:absolute" from="9510,616" to="9885,616" stroked="true" strokeweight=".584344pt" strokecolor="#d9d9d9">
              <v:stroke dashstyle="solid"/>
            </v:line>
            <v:shape style="position:absolute;left:2001;top:294;width:1207;height:59" coordorigin="2002,294" coordsize="1207,59" path="m2377,294l2002,294,2002,329,2377,329,2377,294m3208,318l2845,318,2845,353,3208,353,3208,318e" filled="true" fillcolor="#413c22" stroked="false">
              <v:path arrowok="t"/>
              <v:fill type="solid"/>
            </v:shape>
            <v:line style="position:absolute" from="3677,417" to="4040,417" stroked="true" strokeweight="1.753043pt" strokecolor="#413c22">
              <v:stroke dashstyle="solid"/>
            </v:line>
            <v:rect style="position:absolute;left:4508;top:527;width:375;height:24" filled="true" fillcolor="#413c22" stroked="false">
              <v:fill type="solid"/>
            </v:rect>
            <v:line style="position:absolute" from="5340,639" to="5715,639" stroked="true" strokeweight="1.753043pt" strokecolor="#413c22">
              <v:stroke dashstyle="solid"/>
            </v:line>
            <v:line style="position:absolute" from="6184,534" to="6547,534" stroked="true" strokeweight="1.753043pt" strokecolor="#413c22">
              <v:stroke dashstyle="solid"/>
            </v:line>
            <v:shape style="position:absolute;left:7015;top:557;width:1207;height:12" coordorigin="7015,557" coordsize="1207,12" path="m7015,557l7378,557m7847,569l8222,569e" filled="false" stroked="true" strokeweight="1.753043pt" strokecolor="#413c22">
              <v:path arrowok="t"/>
              <v:stroke dashstyle="solid"/>
            </v:shape>
            <v:line style="position:absolute" from="8679,586" to="9053,586" stroked="true" strokeweight="1.168699pt" strokecolor="#413c22">
              <v:stroke dashstyle="solid"/>
            </v:line>
            <v:line style="position:absolute" from="9510,604" to="9885,604" stroked="true" strokeweight="1.753043pt" strokecolor="#413c22">
              <v:stroke dashstyle="solid"/>
            </v:line>
            <v:line style="position:absolute" from="1779,166" to="10119,166" stroked="true" strokeweight=".584348pt" strokecolor="#f1f1f1">
              <v:stroke dashstyle="solid"/>
            </v:line>
            <v:line style="position:absolute" from="1779,2374" to="1779,166" stroked="true" strokeweight=".585702pt" strokecolor="#bebebe">
              <v:stroke dashstyle="solid"/>
            </v:line>
            <v:shape style="position:absolute;left:0;top:13522;width:17319;height:654628" coordorigin="0,13523" coordsize="17319,654628" path="m1721,2374l1779,2374m1721,2129l1779,2129m1721,1884l1779,1884m1721,1638l1779,1638m1721,1393l1779,1393m1721,1147l1779,1147m1721,902l1779,902m1721,656l1779,656m1721,411l1779,411m1721,166l1779,166e" filled="false" stroked="true" strokeweight=".585026pt" strokecolor="#bebebe">
              <v:path arrowok="t"/>
              <v:stroke dashstyle="solid"/>
            </v:shape>
            <v:line style="position:absolute" from="1779,2374" to="10119,2374" stroked="true" strokeweight=".584346pt" strokecolor="#bebebe">
              <v:stroke dashstyle="solid"/>
            </v:line>
            <v:shape style="position:absolute;left:0;top:-10290;width:652097;height:23813" coordorigin="0,-10290" coordsize="652097,23813" path="m1779,2374l1779,2421m1779,2374l1779,2678m2611,2374l2611,2421m2611,2374l2611,2678m3442,2374l3442,2421m3442,2374l3442,2678m4274,2374l4274,2421m4274,2374l4274,2678m5118,2374l5118,2421m5118,2374l5118,2678m5949,2374l5949,2421m5949,2374l5949,2678m6781,2374l6781,2421m6781,2374l6781,2678m7613,2374l7613,2421m7613,2374l7613,2678m8444,2374l8444,2421m8444,2374l8444,2678m9288,2374l9288,2421m9288,2374l9288,2678m10119,2374l10119,2421m10119,2374l10119,2678e" filled="false" stroked="true" strokeweight=".585017pt" strokecolor="#bebebe">
              <v:path arrowok="t"/>
              <v:stroke dashstyle="solid"/>
            </v:shape>
            <v:shape style="position:absolute;left:0;top:-10290;width:652097;height:23813" coordorigin="0,-10290" coordsize="652097,23813" path="m1779,2678l1779,2982m5949,2678l5949,2982m10119,2678l10119,2982e" filled="false" stroked="true" strokeweight=".585017pt" strokecolor="#bebebe">
              <v:path arrowok="t"/>
              <v:stroke dashstyle="solid"/>
            </v:shape>
            <v:line style="position:absolute" from="5996,2344" to="5996,224" stroked="true" strokeweight=".585698pt" strokecolor="#7e7e7e">
              <v:stroke dashstyle="solid"/>
            </v:line>
            <v:shape style="position:absolute;left:2033;top:2513;width:332;height:152" type="#_x0000_t202" filled="false" stroked="false">
              <v:textbox inset="0,0,0,0">
                <w:txbxContent>
                  <w:p>
                    <w:pPr>
                      <w:spacing w:line="152" w:lineRule="exact" w:before="0"/>
                      <w:ind w:left="0" w:right="0" w:firstLine="0"/>
                      <w:jc w:val="left"/>
                      <w:rPr>
                        <w:rFonts w:ascii="Calibri"/>
                        <w:sz w:val="15"/>
                      </w:rPr>
                    </w:pPr>
                    <w:r>
                      <w:rPr>
                        <w:rFonts w:ascii="Calibri"/>
                        <w:color w:val="585858"/>
                        <w:sz w:val="15"/>
                      </w:rPr>
                      <w:t>2014</w:t>
                    </w:r>
                  </w:p>
                </w:txbxContent>
              </v:textbox>
              <w10:wrap type="none"/>
            </v:shape>
            <v:shape style="position:absolute;left:2867;top:2513;width:332;height:152" type="#_x0000_t202" filled="false" stroked="false">
              <v:textbox inset="0,0,0,0">
                <w:txbxContent>
                  <w:p>
                    <w:pPr>
                      <w:spacing w:line="152" w:lineRule="exact" w:before="0"/>
                      <w:ind w:left="0" w:right="0" w:firstLine="0"/>
                      <w:jc w:val="left"/>
                      <w:rPr>
                        <w:rFonts w:ascii="Calibri"/>
                        <w:sz w:val="15"/>
                      </w:rPr>
                    </w:pPr>
                    <w:r>
                      <w:rPr>
                        <w:rFonts w:ascii="Calibri"/>
                        <w:color w:val="585858"/>
                        <w:sz w:val="15"/>
                      </w:rPr>
                      <w:t>2015</w:t>
                    </w:r>
                  </w:p>
                </w:txbxContent>
              </v:textbox>
              <w10:wrap type="none"/>
            </v:shape>
            <v:shape style="position:absolute;left:3701;top:2513;width:332;height:152" type="#_x0000_t202" filled="false" stroked="false">
              <v:textbox inset="0,0,0,0">
                <w:txbxContent>
                  <w:p>
                    <w:pPr>
                      <w:spacing w:line="152" w:lineRule="exact" w:before="0"/>
                      <w:ind w:left="0" w:right="0" w:firstLine="0"/>
                      <w:jc w:val="left"/>
                      <w:rPr>
                        <w:rFonts w:ascii="Calibri"/>
                        <w:sz w:val="15"/>
                      </w:rPr>
                    </w:pPr>
                    <w:r>
                      <w:rPr>
                        <w:rFonts w:ascii="Calibri"/>
                        <w:color w:val="585858"/>
                        <w:sz w:val="15"/>
                      </w:rPr>
                      <w:t>2016</w:t>
                    </w:r>
                  </w:p>
                </w:txbxContent>
              </v:textbox>
              <w10:wrap type="none"/>
            </v:shape>
            <v:shape style="position:absolute;left:4536;top:2513;width:332;height:152" type="#_x0000_t202" filled="false" stroked="false">
              <v:textbox inset="0,0,0,0">
                <w:txbxContent>
                  <w:p>
                    <w:pPr>
                      <w:spacing w:line="152" w:lineRule="exact" w:before="0"/>
                      <w:ind w:left="0" w:right="0" w:firstLine="0"/>
                      <w:jc w:val="left"/>
                      <w:rPr>
                        <w:rFonts w:ascii="Calibri"/>
                        <w:sz w:val="15"/>
                      </w:rPr>
                    </w:pPr>
                    <w:r>
                      <w:rPr>
                        <w:rFonts w:ascii="Calibri"/>
                        <w:color w:val="585858"/>
                        <w:sz w:val="15"/>
                      </w:rPr>
                      <w:t>2017</w:t>
                    </w:r>
                  </w:p>
                </w:txbxContent>
              </v:textbox>
              <w10:wrap type="none"/>
            </v:shape>
            <v:shape style="position:absolute;left:5370;top:2513;width:332;height:152" type="#_x0000_t202" filled="false" stroked="false">
              <v:textbox inset="0,0,0,0">
                <w:txbxContent>
                  <w:p>
                    <w:pPr>
                      <w:spacing w:line="152" w:lineRule="exact" w:before="0"/>
                      <w:ind w:left="0" w:right="0" w:firstLine="0"/>
                      <w:jc w:val="left"/>
                      <w:rPr>
                        <w:rFonts w:ascii="Calibri"/>
                        <w:sz w:val="15"/>
                      </w:rPr>
                    </w:pPr>
                    <w:r>
                      <w:rPr>
                        <w:rFonts w:ascii="Calibri"/>
                        <w:color w:val="585858"/>
                        <w:sz w:val="15"/>
                      </w:rPr>
                      <w:t>2018</w:t>
                    </w:r>
                  </w:p>
                </w:txbxContent>
              </v:textbox>
              <w10:wrap type="none"/>
            </v:shape>
            <v:shape style="position:absolute;left:6204;top:2513;width:332;height:152" type="#_x0000_t202" filled="false" stroked="false">
              <v:textbox inset="0,0,0,0">
                <w:txbxContent>
                  <w:p>
                    <w:pPr>
                      <w:spacing w:line="152" w:lineRule="exact" w:before="0"/>
                      <w:ind w:left="0" w:right="0" w:firstLine="0"/>
                      <w:jc w:val="left"/>
                      <w:rPr>
                        <w:rFonts w:ascii="Calibri"/>
                        <w:sz w:val="15"/>
                      </w:rPr>
                    </w:pPr>
                    <w:r>
                      <w:rPr>
                        <w:rFonts w:ascii="Calibri"/>
                        <w:color w:val="585858"/>
                        <w:sz w:val="15"/>
                      </w:rPr>
                      <w:t>2019</w:t>
                    </w:r>
                  </w:p>
                </w:txbxContent>
              </v:textbox>
              <w10:wrap type="none"/>
            </v:shape>
            <v:shape style="position:absolute;left:7039;top:2513;width:332;height:152" type="#_x0000_t202" filled="false" stroked="false">
              <v:textbox inset="0,0,0,0">
                <w:txbxContent>
                  <w:p>
                    <w:pPr>
                      <w:spacing w:line="152" w:lineRule="exact" w:before="0"/>
                      <w:ind w:left="0" w:right="0" w:firstLine="0"/>
                      <w:jc w:val="left"/>
                      <w:rPr>
                        <w:rFonts w:ascii="Calibri"/>
                        <w:sz w:val="15"/>
                      </w:rPr>
                    </w:pPr>
                    <w:r>
                      <w:rPr>
                        <w:rFonts w:ascii="Calibri"/>
                        <w:color w:val="585858"/>
                        <w:sz w:val="15"/>
                      </w:rPr>
                      <w:t>2020</w:t>
                    </w:r>
                  </w:p>
                </w:txbxContent>
              </v:textbox>
              <w10:wrap type="none"/>
            </v:shape>
            <v:shape style="position:absolute;left:7873;top:2513;width:332;height:152" type="#_x0000_t202" filled="false" stroked="false">
              <v:textbox inset="0,0,0,0">
                <w:txbxContent>
                  <w:p>
                    <w:pPr>
                      <w:spacing w:line="152" w:lineRule="exact" w:before="0"/>
                      <w:ind w:left="0" w:right="0" w:firstLine="0"/>
                      <w:jc w:val="left"/>
                      <w:rPr>
                        <w:rFonts w:ascii="Calibri"/>
                        <w:sz w:val="15"/>
                      </w:rPr>
                    </w:pPr>
                    <w:r>
                      <w:rPr>
                        <w:rFonts w:ascii="Calibri"/>
                        <w:color w:val="585858"/>
                        <w:sz w:val="15"/>
                      </w:rPr>
                      <w:t>2021</w:t>
                    </w:r>
                  </w:p>
                </w:txbxContent>
              </v:textbox>
              <w10:wrap type="none"/>
            </v:shape>
            <v:shape style="position:absolute;left:8707;top:2513;width:332;height:152" type="#_x0000_t202" filled="false" stroked="false">
              <v:textbox inset="0,0,0,0">
                <w:txbxContent>
                  <w:p>
                    <w:pPr>
                      <w:spacing w:line="152" w:lineRule="exact" w:before="0"/>
                      <w:ind w:left="0" w:right="0" w:firstLine="0"/>
                      <w:jc w:val="left"/>
                      <w:rPr>
                        <w:rFonts w:ascii="Calibri"/>
                        <w:sz w:val="15"/>
                      </w:rPr>
                    </w:pPr>
                    <w:r>
                      <w:rPr>
                        <w:rFonts w:ascii="Calibri"/>
                        <w:color w:val="585858"/>
                        <w:sz w:val="15"/>
                      </w:rPr>
                      <w:t>2022</w:t>
                    </w:r>
                  </w:p>
                </w:txbxContent>
              </v:textbox>
              <w10:wrap type="none"/>
            </v:shape>
            <v:shape style="position:absolute;left:9542;top:2513;width:332;height:152" type="#_x0000_t202" filled="false" stroked="false">
              <v:textbox inset="0,0,0,0">
                <w:txbxContent>
                  <w:p>
                    <w:pPr>
                      <w:spacing w:line="152" w:lineRule="exact" w:before="0"/>
                      <w:ind w:left="0" w:right="0" w:firstLine="0"/>
                      <w:jc w:val="left"/>
                      <w:rPr>
                        <w:rFonts w:ascii="Calibri"/>
                        <w:sz w:val="15"/>
                      </w:rPr>
                    </w:pPr>
                    <w:r>
                      <w:rPr>
                        <w:rFonts w:ascii="Calibri"/>
                        <w:color w:val="585858"/>
                        <w:sz w:val="15"/>
                      </w:rPr>
                      <w:t>2023</w:t>
                    </w:r>
                  </w:p>
                </w:txbxContent>
              </v:textbox>
              <w10:wrap type="none"/>
            </v:shape>
            <v:shape style="position:absolute;left:3617;top:2814;width:4736;height:152" type="#_x0000_t202" filled="false" stroked="false">
              <v:textbox inset="0,0,0,0">
                <w:txbxContent>
                  <w:p>
                    <w:pPr>
                      <w:tabs>
                        <w:tab w:pos="4108" w:val="left" w:leader="none"/>
                      </w:tabs>
                      <w:spacing w:line="152" w:lineRule="exact" w:before="0"/>
                      <w:ind w:left="0" w:right="0" w:firstLine="0"/>
                      <w:jc w:val="left"/>
                      <w:rPr>
                        <w:rFonts w:ascii="Calibri"/>
                        <w:sz w:val="15"/>
                      </w:rPr>
                    </w:pPr>
                    <w:r>
                      <w:rPr>
                        <w:rFonts w:ascii="Calibri"/>
                        <w:color w:val="585858"/>
                        <w:sz w:val="15"/>
                      </w:rPr>
                      <w:t>Historic</w:t>
                      <w:tab/>
                      <w:t>Projected</w:t>
                    </w:r>
                  </w:p>
                </w:txbxContent>
              </v:textbox>
              <w10:wrap type="none"/>
            </v:shape>
            <w10:wrap type="none"/>
          </v:group>
        </w:pict>
      </w:r>
      <w:r>
        <w:rPr>
          <w:rFonts w:ascii="Calibri"/>
          <w:color w:val="585858"/>
          <w:sz w:val="15"/>
        </w:rPr>
        <w:t>$9,000</w:t>
      </w:r>
    </w:p>
    <w:p>
      <w:pPr>
        <w:spacing w:before="63"/>
        <w:ind w:left="0" w:right="10282" w:firstLine="0"/>
        <w:jc w:val="right"/>
        <w:rPr>
          <w:rFonts w:ascii="Calibri"/>
          <w:sz w:val="15"/>
        </w:rPr>
      </w:pPr>
      <w:r>
        <w:rPr>
          <w:rFonts w:ascii="Calibri"/>
          <w:color w:val="585858"/>
          <w:sz w:val="15"/>
        </w:rPr>
        <w:t>$8,000</w:t>
      </w:r>
    </w:p>
    <w:p>
      <w:pPr>
        <w:spacing w:before="63"/>
        <w:ind w:left="0" w:right="10282" w:firstLine="0"/>
        <w:jc w:val="right"/>
        <w:rPr>
          <w:rFonts w:ascii="Calibri"/>
          <w:sz w:val="15"/>
        </w:rPr>
      </w:pPr>
      <w:r>
        <w:rPr>
          <w:rFonts w:ascii="Calibri"/>
          <w:color w:val="585858"/>
          <w:sz w:val="15"/>
        </w:rPr>
        <w:t>$7,000</w:t>
      </w:r>
    </w:p>
    <w:p>
      <w:pPr>
        <w:spacing w:before="62"/>
        <w:ind w:left="0" w:right="10282" w:firstLine="0"/>
        <w:jc w:val="right"/>
        <w:rPr>
          <w:rFonts w:ascii="Calibri"/>
          <w:sz w:val="15"/>
        </w:rPr>
      </w:pPr>
      <w:r>
        <w:rPr>
          <w:rFonts w:ascii="Calibri"/>
          <w:color w:val="585858"/>
          <w:sz w:val="15"/>
        </w:rPr>
        <w:t>$6,000</w:t>
      </w:r>
    </w:p>
    <w:p>
      <w:pPr>
        <w:spacing w:before="63"/>
        <w:ind w:left="0" w:right="10282" w:firstLine="0"/>
        <w:jc w:val="right"/>
        <w:rPr>
          <w:rFonts w:ascii="Calibri"/>
          <w:sz w:val="15"/>
        </w:rPr>
      </w:pPr>
      <w:r>
        <w:rPr>
          <w:rFonts w:ascii="Calibri"/>
          <w:color w:val="585858"/>
          <w:sz w:val="15"/>
        </w:rPr>
        <w:t>$5,000</w:t>
      </w:r>
    </w:p>
    <w:p>
      <w:pPr>
        <w:spacing w:before="63"/>
        <w:ind w:left="0" w:right="10282" w:firstLine="0"/>
        <w:jc w:val="right"/>
        <w:rPr>
          <w:rFonts w:ascii="Calibri"/>
          <w:sz w:val="15"/>
        </w:rPr>
      </w:pPr>
      <w:r>
        <w:rPr>
          <w:rFonts w:ascii="Calibri"/>
          <w:color w:val="585858"/>
          <w:sz w:val="15"/>
        </w:rPr>
        <w:t>$4,000</w:t>
      </w:r>
    </w:p>
    <w:p>
      <w:pPr>
        <w:spacing w:before="62"/>
        <w:ind w:left="0" w:right="10282" w:firstLine="0"/>
        <w:jc w:val="right"/>
        <w:rPr>
          <w:rFonts w:ascii="Calibri"/>
          <w:sz w:val="15"/>
        </w:rPr>
      </w:pPr>
      <w:r>
        <w:rPr>
          <w:rFonts w:ascii="Calibri"/>
          <w:color w:val="585858"/>
          <w:sz w:val="15"/>
        </w:rPr>
        <w:t>$3,000</w:t>
      </w:r>
    </w:p>
    <w:p>
      <w:pPr>
        <w:spacing w:before="63"/>
        <w:ind w:left="0" w:right="10282" w:firstLine="0"/>
        <w:jc w:val="right"/>
        <w:rPr>
          <w:rFonts w:ascii="Calibri"/>
          <w:sz w:val="15"/>
        </w:rPr>
      </w:pPr>
      <w:r>
        <w:rPr>
          <w:rFonts w:ascii="Calibri"/>
          <w:color w:val="585858"/>
          <w:sz w:val="15"/>
        </w:rPr>
        <w:t>$2,000</w:t>
      </w:r>
    </w:p>
    <w:p>
      <w:pPr>
        <w:spacing w:before="62"/>
        <w:ind w:left="0" w:right="10282" w:firstLine="0"/>
        <w:jc w:val="right"/>
        <w:rPr>
          <w:rFonts w:ascii="Calibri"/>
          <w:sz w:val="15"/>
        </w:rPr>
      </w:pPr>
      <w:r>
        <w:rPr>
          <w:rFonts w:ascii="Calibri"/>
          <w:color w:val="585858"/>
          <w:sz w:val="15"/>
        </w:rPr>
        <w:t>$1,000</w:t>
      </w:r>
    </w:p>
    <w:p>
      <w:pPr>
        <w:spacing w:before="63"/>
        <w:ind w:left="0" w:right="10273" w:firstLine="0"/>
        <w:jc w:val="right"/>
        <w:rPr>
          <w:rFonts w:ascii="Calibri"/>
          <w:sz w:val="15"/>
        </w:rPr>
      </w:pPr>
      <w:r>
        <w:rPr>
          <w:rFonts w:ascii="Calibri"/>
          <w:color w:val="585858"/>
          <w:sz w:val="15"/>
        </w:rPr>
        <w:t>$0</w:t>
      </w:r>
    </w:p>
    <w:p>
      <w:pPr>
        <w:pStyle w:val="BodyText"/>
        <w:rPr>
          <w:rFonts w:ascii="Calibri"/>
        </w:rPr>
      </w:pPr>
    </w:p>
    <w:p>
      <w:pPr>
        <w:pStyle w:val="BodyText"/>
        <w:spacing w:before="10"/>
        <w:rPr>
          <w:rFonts w:ascii="Calibri"/>
          <w:sz w:val="18"/>
        </w:rPr>
      </w:pPr>
    </w:p>
    <w:p>
      <w:pPr>
        <w:spacing w:before="72"/>
        <w:ind w:left="1602" w:right="1747" w:firstLine="0"/>
        <w:jc w:val="center"/>
        <w:rPr>
          <w:rFonts w:ascii="Calibri"/>
          <w:b/>
          <w:sz w:val="15"/>
        </w:rPr>
      </w:pPr>
      <w:r>
        <w:rPr/>
        <w:pict>
          <v:group style="position:absolute;margin-left:92.775719pt;margin-top:28.421413pt;width:10.1pt;height:22.3pt;mso-position-horizontal-relative:page;mso-position-vertical-relative:paragraph;z-index:-287269888" coordorigin="1856,568" coordsize="202,446">
            <v:rect style="position:absolute;left:1855;top:568;width:202;height:136" filled="true" fillcolor="#1f487c" stroked="false">
              <v:fill type="solid"/>
            </v:rect>
            <v:rect style="position:absolute;left:1855;top:723;width:202;height:136" filled="true" fillcolor="#f8a763" stroked="false">
              <v:fill type="solid"/>
            </v:rect>
            <v:rect style="position:absolute;left:1855;top:878;width:202;height:136" filled="true" fillcolor="#808080" stroked="false">
              <v:fill type="solid"/>
            </v:rect>
            <w10:wrap type="none"/>
          </v:group>
        </w:pict>
      </w:r>
      <w:r>
        <w:rPr/>
        <w:pict>
          <v:rect style="position:absolute;margin-left:423.363892pt;margin-top:28.421047pt;width:10.412246pt;height:6.777943pt;mso-position-horizontal-relative:page;mso-position-vertical-relative:paragraph;z-index:-287268864" filled="true" fillcolor="#c9dba4" stroked="false">
            <v:fill type="solid"/>
            <w10:wrap type="none"/>
          </v:rect>
        </w:pict>
      </w:r>
      <w:r>
        <w:rPr>
          <w:rFonts w:ascii="Calibri"/>
          <w:b/>
          <w:color w:val="585858"/>
          <w:sz w:val="15"/>
        </w:rPr>
        <w:t>Year Ending  30 June</w:t>
      </w:r>
    </w:p>
    <w:p>
      <w:pPr>
        <w:pStyle w:val="BodyText"/>
        <w:spacing w:before="5" w:after="1"/>
        <w:rPr>
          <w:rFonts w:ascii="Calibri"/>
          <w:b/>
          <w:sz w:val="15"/>
        </w:rPr>
      </w:pPr>
    </w:p>
    <w:tbl>
      <w:tblPr>
        <w:tblW w:w="0" w:type="auto"/>
        <w:jc w:val="left"/>
        <w:tblInd w:w="16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72"/>
        <w:gridCol w:w="215"/>
        <w:gridCol w:w="822"/>
        <w:gridCol w:w="90"/>
        <w:gridCol w:w="209"/>
        <w:gridCol w:w="944"/>
        <w:gridCol w:w="60"/>
        <w:gridCol w:w="209"/>
        <w:gridCol w:w="1181"/>
        <w:gridCol w:w="57"/>
        <w:gridCol w:w="209"/>
        <w:gridCol w:w="704"/>
        <w:gridCol w:w="71"/>
        <w:gridCol w:w="208"/>
        <w:gridCol w:w="726"/>
        <w:gridCol w:w="835"/>
      </w:tblGrid>
      <w:tr>
        <w:trPr>
          <w:trHeight w:val="110" w:hRule="atLeast"/>
        </w:trPr>
        <w:tc>
          <w:tcPr>
            <w:tcW w:w="1072" w:type="dxa"/>
          </w:tcPr>
          <w:p>
            <w:pPr>
              <w:pStyle w:val="TableParagraph"/>
              <w:spacing w:line="91" w:lineRule="exact" w:before="0"/>
              <w:ind w:left="31" w:right="43"/>
              <w:jc w:val="center"/>
              <w:rPr>
                <w:rFonts w:ascii="Calibri"/>
                <w:b/>
                <w:sz w:val="9"/>
              </w:rPr>
            </w:pPr>
            <w:r>
              <w:rPr>
                <w:rFonts w:ascii="Calibri"/>
                <w:b/>
                <w:w w:val="110"/>
                <w:sz w:val="9"/>
              </w:rPr>
              <w:t>Payment Category Key:</w:t>
            </w:r>
          </w:p>
        </w:tc>
        <w:tc>
          <w:tcPr>
            <w:tcW w:w="6540" w:type="dxa"/>
            <w:gridSpan w:val="15"/>
          </w:tcPr>
          <w:p>
            <w:pPr>
              <w:pStyle w:val="TableParagraph"/>
              <w:spacing w:before="0"/>
              <w:rPr>
                <w:rFonts w:ascii="Times New Roman"/>
                <w:sz w:val="6"/>
              </w:rPr>
            </w:pPr>
          </w:p>
        </w:tc>
      </w:tr>
      <w:tr>
        <w:trPr>
          <w:trHeight w:val="168" w:hRule="atLeast"/>
        </w:trPr>
        <w:tc>
          <w:tcPr>
            <w:tcW w:w="1072" w:type="dxa"/>
          </w:tcPr>
          <w:p>
            <w:pPr>
              <w:pStyle w:val="TableParagraph"/>
              <w:spacing w:before="31"/>
              <w:ind w:left="31"/>
              <w:jc w:val="center"/>
              <w:rPr>
                <w:rFonts w:ascii="Calibri"/>
                <w:sz w:val="9"/>
              </w:rPr>
            </w:pPr>
            <w:r>
              <w:rPr>
                <w:rFonts w:ascii="Calibri"/>
                <w:w w:val="110"/>
                <w:sz w:val="9"/>
              </w:rPr>
              <w:t>A - IS Studying</w:t>
            </w:r>
          </w:p>
        </w:tc>
        <w:tc>
          <w:tcPr>
            <w:tcW w:w="215" w:type="dxa"/>
            <w:shd w:val="clear" w:color="auto" w:fill="009544"/>
          </w:tcPr>
          <w:p>
            <w:pPr>
              <w:pStyle w:val="TableParagraph"/>
              <w:spacing w:line="135" w:lineRule="exact" w:before="0"/>
              <w:ind w:left="-1" w:right="-58"/>
              <w:rPr>
                <w:rFonts w:ascii="Calibri"/>
                <w:sz w:val="13"/>
              </w:rPr>
            </w:pPr>
            <w:r>
              <w:rPr>
                <w:rFonts w:ascii="Calibri"/>
                <w:position w:val="-2"/>
                <w:sz w:val="13"/>
              </w:rPr>
              <w:pict>
                <v:group style="width:10.45pt;height:6.8pt;mso-position-horizontal-relative:char;mso-position-vertical-relative:line" coordorigin="0,0" coordsize="209,136">
                  <v:rect style="position:absolute;left:0;top:0;width:209;height:136" filled="true" fillcolor="#009544" stroked="false">
                    <v:fill type="solid"/>
                  </v:rect>
                </v:group>
              </w:pict>
            </w:r>
            <w:r>
              <w:rPr>
                <w:rFonts w:ascii="Calibri"/>
                <w:position w:val="-2"/>
                <w:sz w:val="13"/>
              </w:rPr>
            </w:r>
          </w:p>
        </w:tc>
        <w:tc>
          <w:tcPr>
            <w:tcW w:w="822" w:type="dxa"/>
          </w:tcPr>
          <w:p>
            <w:pPr>
              <w:pStyle w:val="TableParagraph"/>
              <w:spacing w:before="31"/>
              <w:ind w:left="5"/>
              <w:rPr>
                <w:rFonts w:ascii="Calibri"/>
                <w:sz w:val="9"/>
              </w:rPr>
            </w:pPr>
            <w:r>
              <w:rPr>
                <w:rFonts w:ascii="Calibri"/>
                <w:w w:val="110"/>
                <w:sz w:val="9"/>
              </w:rPr>
              <w:t>B - IS Working Age</w:t>
            </w:r>
          </w:p>
        </w:tc>
        <w:tc>
          <w:tcPr>
            <w:tcW w:w="90" w:type="dxa"/>
          </w:tcPr>
          <w:p>
            <w:pPr>
              <w:pStyle w:val="TableParagraph"/>
              <w:spacing w:before="0"/>
              <w:rPr>
                <w:rFonts w:ascii="Times New Roman"/>
                <w:sz w:val="10"/>
              </w:rPr>
            </w:pPr>
          </w:p>
        </w:tc>
        <w:tc>
          <w:tcPr>
            <w:tcW w:w="209" w:type="dxa"/>
            <w:shd w:val="clear" w:color="auto" w:fill="E16B09"/>
          </w:tcPr>
          <w:p>
            <w:pPr>
              <w:pStyle w:val="TableParagraph"/>
              <w:spacing w:line="135" w:lineRule="exact" w:before="0"/>
              <w:ind w:left="-2" w:right="-58"/>
              <w:rPr>
                <w:rFonts w:ascii="Calibri"/>
                <w:sz w:val="13"/>
              </w:rPr>
            </w:pPr>
            <w:r>
              <w:rPr>
                <w:rFonts w:ascii="Calibri"/>
                <w:position w:val="-2"/>
                <w:sz w:val="13"/>
              </w:rPr>
              <w:pict>
                <v:group style="width:10.45pt;height:6.8pt;mso-position-horizontal-relative:char;mso-position-vertical-relative:line" coordorigin="0,0" coordsize="209,136">
                  <v:rect style="position:absolute;left:0;top:0;width:209;height:136" filled="true" fillcolor="#e16b09" stroked="false">
                    <v:fill type="solid"/>
                  </v:rect>
                </v:group>
              </w:pict>
            </w:r>
            <w:r>
              <w:rPr>
                <w:rFonts w:ascii="Calibri"/>
                <w:position w:val="-2"/>
                <w:sz w:val="13"/>
              </w:rPr>
            </w:r>
          </w:p>
        </w:tc>
        <w:tc>
          <w:tcPr>
            <w:tcW w:w="944" w:type="dxa"/>
          </w:tcPr>
          <w:p>
            <w:pPr>
              <w:pStyle w:val="TableParagraph"/>
              <w:spacing w:before="31"/>
              <w:ind w:left="10"/>
              <w:rPr>
                <w:rFonts w:ascii="Calibri"/>
                <w:sz w:val="9"/>
              </w:rPr>
            </w:pPr>
            <w:r>
              <w:rPr>
                <w:rFonts w:ascii="Calibri"/>
                <w:w w:val="110"/>
                <w:sz w:val="9"/>
              </w:rPr>
              <w:t>C - IS Parents</w:t>
            </w:r>
          </w:p>
        </w:tc>
        <w:tc>
          <w:tcPr>
            <w:tcW w:w="60" w:type="dxa"/>
          </w:tcPr>
          <w:p>
            <w:pPr>
              <w:pStyle w:val="TableParagraph"/>
              <w:spacing w:before="0"/>
              <w:rPr>
                <w:rFonts w:ascii="Times New Roman"/>
                <w:sz w:val="10"/>
              </w:rPr>
            </w:pPr>
          </w:p>
        </w:tc>
        <w:tc>
          <w:tcPr>
            <w:tcW w:w="209" w:type="dxa"/>
            <w:shd w:val="clear" w:color="auto" w:fill="E08AD6"/>
          </w:tcPr>
          <w:p>
            <w:pPr>
              <w:pStyle w:val="TableParagraph"/>
              <w:spacing w:line="135" w:lineRule="exact" w:before="0"/>
              <w:ind w:left="-5" w:right="-58"/>
              <w:rPr>
                <w:rFonts w:ascii="Calibri"/>
                <w:sz w:val="13"/>
              </w:rPr>
            </w:pPr>
            <w:r>
              <w:rPr>
                <w:rFonts w:ascii="Calibri"/>
                <w:position w:val="-2"/>
                <w:sz w:val="13"/>
              </w:rPr>
              <w:pict>
                <v:group style="width:10.45pt;height:6.8pt;mso-position-horizontal-relative:char;mso-position-vertical-relative:line" coordorigin="0,0" coordsize="209,136">
                  <v:rect style="position:absolute;left:0;top:0;width:209;height:136" filled="true" fillcolor="#e08ad6" stroked="false">
                    <v:fill type="solid"/>
                  </v:rect>
                </v:group>
              </w:pict>
            </w:r>
            <w:r>
              <w:rPr>
                <w:rFonts w:ascii="Calibri"/>
                <w:position w:val="-2"/>
                <w:sz w:val="13"/>
              </w:rPr>
            </w:r>
          </w:p>
        </w:tc>
        <w:tc>
          <w:tcPr>
            <w:tcW w:w="1181" w:type="dxa"/>
          </w:tcPr>
          <w:p>
            <w:pPr>
              <w:pStyle w:val="TableParagraph"/>
              <w:spacing w:before="31"/>
              <w:ind w:left="8"/>
              <w:rPr>
                <w:rFonts w:ascii="Calibri"/>
                <w:sz w:val="9"/>
              </w:rPr>
            </w:pPr>
            <w:r>
              <w:rPr>
                <w:rFonts w:ascii="Calibri"/>
                <w:w w:val="110"/>
                <w:sz w:val="9"/>
              </w:rPr>
              <w:t>D - IS Carer</w:t>
            </w:r>
          </w:p>
        </w:tc>
        <w:tc>
          <w:tcPr>
            <w:tcW w:w="57" w:type="dxa"/>
          </w:tcPr>
          <w:p>
            <w:pPr>
              <w:pStyle w:val="TableParagraph"/>
              <w:spacing w:before="0"/>
              <w:rPr>
                <w:rFonts w:ascii="Times New Roman"/>
                <w:sz w:val="10"/>
              </w:rPr>
            </w:pPr>
          </w:p>
        </w:tc>
        <w:tc>
          <w:tcPr>
            <w:tcW w:w="209" w:type="dxa"/>
            <w:shd w:val="clear" w:color="auto" w:fill="8063A1"/>
          </w:tcPr>
          <w:p>
            <w:pPr>
              <w:pStyle w:val="TableParagraph"/>
              <w:spacing w:line="135" w:lineRule="exact" w:before="0"/>
              <w:ind w:left="-7" w:right="-58"/>
              <w:rPr>
                <w:rFonts w:ascii="Calibri"/>
                <w:sz w:val="13"/>
              </w:rPr>
            </w:pPr>
            <w:r>
              <w:rPr>
                <w:rFonts w:ascii="Calibri"/>
                <w:position w:val="-2"/>
                <w:sz w:val="13"/>
              </w:rPr>
              <w:pict>
                <v:group style="width:10.45pt;height:6.8pt;mso-position-horizontal-relative:char;mso-position-vertical-relative:line" coordorigin="0,0" coordsize="209,136">
                  <v:rect style="position:absolute;left:0;top:0;width:209;height:136" filled="true" fillcolor="#8063a1" stroked="false">
                    <v:fill type="solid"/>
                  </v:rect>
                </v:group>
              </w:pict>
            </w:r>
            <w:r>
              <w:rPr>
                <w:rFonts w:ascii="Calibri"/>
                <w:position w:val="-2"/>
                <w:sz w:val="13"/>
              </w:rPr>
            </w:r>
          </w:p>
        </w:tc>
        <w:tc>
          <w:tcPr>
            <w:tcW w:w="704" w:type="dxa"/>
          </w:tcPr>
          <w:p>
            <w:pPr>
              <w:pStyle w:val="TableParagraph"/>
              <w:spacing w:before="31"/>
              <w:ind w:left="5"/>
              <w:rPr>
                <w:rFonts w:ascii="Calibri"/>
                <w:sz w:val="9"/>
              </w:rPr>
            </w:pPr>
            <w:r>
              <w:rPr>
                <w:rFonts w:ascii="Calibri"/>
                <w:w w:val="110"/>
                <w:sz w:val="9"/>
              </w:rPr>
              <w:t>E - IS Disability</w:t>
            </w:r>
          </w:p>
        </w:tc>
        <w:tc>
          <w:tcPr>
            <w:tcW w:w="71" w:type="dxa"/>
          </w:tcPr>
          <w:p>
            <w:pPr>
              <w:pStyle w:val="TableParagraph"/>
              <w:spacing w:before="0"/>
              <w:rPr>
                <w:rFonts w:ascii="Times New Roman"/>
                <w:sz w:val="10"/>
              </w:rPr>
            </w:pPr>
          </w:p>
        </w:tc>
        <w:tc>
          <w:tcPr>
            <w:tcW w:w="208" w:type="dxa"/>
            <w:shd w:val="clear" w:color="auto" w:fill="C0504D"/>
          </w:tcPr>
          <w:p>
            <w:pPr>
              <w:pStyle w:val="TableParagraph"/>
              <w:spacing w:line="135" w:lineRule="exact" w:before="0"/>
              <w:ind w:left="-8" w:right="-58"/>
              <w:rPr>
                <w:rFonts w:ascii="Calibri"/>
                <w:sz w:val="13"/>
              </w:rPr>
            </w:pPr>
            <w:r>
              <w:rPr>
                <w:rFonts w:ascii="Calibri"/>
                <w:position w:val="-2"/>
                <w:sz w:val="13"/>
              </w:rPr>
              <w:pict>
                <v:group style="width:10.45pt;height:6.8pt;mso-position-horizontal-relative:char;mso-position-vertical-relative:line" coordorigin="0,0" coordsize="209,136">
                  <v:rect style="position:absolute;left:0;top:0;width:209;height:136" filled="true" fillcolor="#c0504d" stroked="false">
                    <v:fill type="solid"/>
                  </v:rect>
                </v:group>
              </w:pict>
            </w:r>
            <w:r>
              <w:rPr>
                <w:rFonts w:ascii="Calibri"/>
                <w:position w:val="-2"/>
                <w:sz w:val="13"/>
              </w:rPr>
            </w:r>
          </w:p>
        </w:tc>
        <w:tc>
          <w:tcPr>
            <w:tcW w:w="726" w:type="dxa"/>
          </w:tcPr>
          <w:p>
            <w:pPr>
              <w:pStyle w:val="TableParagraph"/>
              <w:spacing w:before="31"/>
              <w:ind w:left="5"/>
              <w:rPr>
                <w:rFonts w:ascii="Calibri"/>
                <w:sz w:val="9"/>
              </w:rPr>
            </w:pPr>
            <w:r>
              <w:rPr>
                <w:rFonts w:ascii="Calibri"/>
                <w:w w:val="110"/>
                <w:sz w:val="9"/>
              </w:rPr>
              <w:t>F - IS Age</w:t>
            </w:r>
          </w:p>
        </w:tc>
        <w:tc>
          <w:tcPr>
            <w:tcW w:w="835" w:type="dxa"/>
          </w:tcPr>
          <w:p>
            <w:pPr>
              <w:pStyle w:val="TableParagraph"/>
              <w:spacing w:before="31"/>
              <w:ind w:left="106"/>
              <w:rPr>
                <w:rFonts w:ascii="Calibri"/>
                <w:sz w:val="9"/>
              </w:rPr>
            </w:pPr>
            <w:r>
              <w:rPr>
                <w:rFonts w:ascii="Calibri"/>
                <w:w w:val="110"/>
                <w:sz w:val="9"/>
              </w:rPr>
              <w:t>G - IS Dependant</w:t>
            </w:r>
          </w:p>
        </w:tc>
      </w:tr>
      <w:tr>
        <w:trPr>
          <w:trHeight w:val="135" w:hRule="atLeast"/>
        </w:trPr>
        <w:tc>
          <w:tcPr>
            <w:tcW w:w="1072" w:type="dxa"/>
          </w:tcPr>
          <w:p>
            <w:pPr>
              <w:pStyle w:val="TableParagraph"/>
              <w:spacing w:line="98" w:lineRule="exact" w:before="17"/>
              <w:ind w:left="31" w:right="43"/>
              <w:jc w:val="center"/>
              <w:rPr>
                <w:rFonts w:ascii="Calibri"/>
                <w:sz w:val="9"/>
              </w:rPr>
            </w:pPr>
            <w:r>
              <w:rPr>
                <w:rFonts w:ascii="Calibri"/>
                <w:w w:val="110"/>
                <w:sz w:val="9"/>
              </w:rPr>
              <w:t>H - Other FTB</w:t>
            </w:r>
          </w:p>
        </w:tc>
        <w:tc>
          <w:tcPr>
            <w:tcW w:w="215" w:type="dxa"/>
            <w:shd w:val="clear" w:color="auto" w:fill="F9C090"/>
          </w:tcPr>
          <w:p>
            <w:pPr>
              <w:pStyle w:val="TableParagraph"/>
              <w:spacing w:before="0"/>
              <w:rPr>
                <w:rFonts w:ascii="Times New Roman"/>
                <w:sz w:val="8"/>
              </w:rPr>
            </w:pPr>
          </w:p>
        </w:tc>
        <w:tc>
          <w:tcPr>
            <w:tcW w:w="822" w:type="dxa"/>
          </w:tcPr>
          <w:p>
            <w:pPr>
              <w:pStyle w:val="TableParagraph"/>
              <w:spacing w:line="98" w:lineRule="exact" w:before="17"/>
              <w:ind w:left="5"/>
              <w:rPr>
                <w:rFonts w:ascii="Calibri"/>
                <w:sz w:val="9"/>
              </w:rPr>
            </w:pPr>
            <w:r>
              <w:rPr>
                <w:rFonts w:ascii="Calibri"/>
                <w:w w:val="110"/>
                <w:sz w:val="9"/>
              </w:rPr>
              <w:t>I - Other Family</w:t>
            </w:r>
          </w:p>
        </w:tc>
        <w:tc>
          <w:tcPr>
            <w:tcW w:w="90" w:type="dxa"/>
            <w:shd w:val="clear" w:color="auto" w:fill="FBDDC4"/>
          </w:tcPr>
          <w:p>
            <w:pPr>
              <w:pStyle w:val="TableParagraph"/>
              <w:spacing w:before="0"/>
              <w:rPr>
                <w:rFonts w:ascii="Times New Roman"/>
                <w:sz w:val="8"/>
              </w:rPr>
            </w:pPr>
          </w:p>
        </w:tc>
        <w:tc>
          <w:tcPr>
            <w:tcW w:w="209" w:type="dxa"/>
            <w:shd w:val="clear" w:color="auto" w:fill="FBDDC4"/>
          </w:tcPr>
          <w:p>
            <w:pPr>
              <w:pStyle w:val="TableParagraph"/>
              <w:spacing w:before="0"/>
              <w:rPr>
                <w:rFonts w:ascii="Times New Roman"/>
                <w:sz w:val="8"/>
              </w:rPr>
            </w:pPr>
          </w:p>
        </w:tc>
        <w:tc>
          <w:tcPr>
            <w:tcW w:w="944" w:type="dxa"/>
          </w:tcPr>
          <w:p>
            <w:pPr>
              <w:pStyle w:val="TableParagraph"/>
              <w:spacing w:line="98" w:lineRule="exact" w:before="17"/>
              <w:ind w:left="10"/>
              <w:rPr>
                <w:rFonts w:ascii="Calibri"/>
                <w:sz w:val="9"/>
              </w:rPr>
            </w:pPr>
            <w:r>
              <w:rPr>
                <w:rFonts w:ascii="Calibri"/>
                <w:w w:val="110"/>
                <w:sz w:val="9"/>
              </w:rPr>
              <w:t>J - Other New Parents</w:t>
            </w:r>
          </w:p>
        </w:tc>
        <w:tc>
          <w:tcPr>
            <w:tcW w:w="60" w:type="dxa"/>
            <w:shd w:val="clear" w:color="auto" w:fill="938953"/>
          </w:tcPr>
          <w:p>
            <w:pPr>
              <w:pStyle w:val="TableParagraph"/>
              <w:spacing w:before="0"/>
              <w:rPr>
                <w:rFonts w:ascii="Times New Roman"/>
                <w:sz w:val="8"/>
              </w:rPr>
            </w:pPr>
          </w:p>
        </w:tc>
        <w:tc>
          <w:tcPr>
            <w:tcW w:w="209" w:type="dxa"/>
            <w:shd w:val="clear" w:color="auto" w:fill="938953"/>
          </w:tcPr>
          <w:p>
            <w:pPr>
              <w:pStyle w:val="TableParagraph"/>
              <w:spacing w:before="0"/>
              <w:rPr>
                <w:rFonts w:ascii="Times New Roman"/>
                <w:sz w:val="8"/>
              </w:rPr>
            </w:pPr>
          </w:p>
        </w:tc>
        <w:tc>
          <w:tcPr>
            <w:tcW w:w="1181" w:type="dxa"/>
          </w:tcPr>
          <w:p>
            <w:pPr>
              <w:pStyle w:val="TableParagraph"/>
              <w:spacing w:line="98" w:lineRule="exact" w:before="17"/>
              <w:ind w:left="8"/>
              <w:rPr>
                <w:rFonts w:ascii="Calibri"/>
                <w:sz w:val="9"/>
              </w:rPr>
            </w:pPr>
            <w:r>
              <w:rPr>
                <w:rFonts w:ascii="Calibri"/>
                <w:w w:val="110"/>
                <w:sz w:val="9"/>
              </w:rPr>
              <w:t>L - Other Health &amp; Disability</w:t>
            </w:r>
          </w:p>
        </w:tc>
        <w:tc>
          <w:tcPr>
            <w:tcW w:w="57" w:type="dxa"/>
            <w:shd w:val="clear" w:color="auto" w:fill="ECB8E7"/>
          </w:tcPr>
          <w:p>
            <w:pPr>
              <w:pStyle w:val="TableParagraph"/>
              <w:spacing w:before="0"/>
              <w:rPr>
                <w:rFonts w:ascii="Times New Roman"/>
                <w:sz w:val="8"/>
              </w:rPr>
            </w:pPr>
          </w:p>
        </w:tc>
        <w:tc>
          <w:tcPr>
            <w:tcW w:w="209" w:type="dxa"/>
            <w:shd w:val="clear" w:color="auto" w:fill="ECB8E7"/>
          </w:tcPr>
          <w:p>
            <w:pPr>
              <w:pStyle w:val="TableParagraph"/>
              <w:spacing w:before="0"/>
              <w:rPr>
                <w:rFonts w:ascii="Times New Roman"/>
                <w:sz w:val="8"/>
              </w:rPr>
            </w:pPr>
          </w:p>
        </w:tc>
        <w:tc>
          <w:tcPr>
            <w:tcW w:w="704" w:type="dxa"/>
          </w:tcPr>
          <w:p>
            <w:pPr>
              <w:pStyle w:val="TableParagraph"/>
              <w:spacing w:line="98" w:lineRule="exact" w:before="17"/>
              <w:ind w:left="5"/>
              <w:rPr>
                <w:rFonts w:ascii="Calibri"/>
                <w:sz w:val="9"/>
              </w:rPr>
            </w:pPr>
            <w:r>
              <w:rPr>
                <w:rFonts w:ascii="Calibri"/>
                <w:w w:val="110"/>
                <w:sz w:val="9"/>
              </w:rPr>
              <w:t>M - Other Carer</w:t>
            </w:r>
          </w:p>
        </w:tc>
        <w:tc>
          <w:tcPr>
            <w:tcW w:w="71" w:type="dxa"/>
            <w:shd w:val="clear" w:color="auto" w:fill="C4BC96"/>
          </w:tcPr>
          <w:p>
            <w:pPr>
              <w:pStyle w:val="TableParagraph"/>
              <w:spacing w:before="0"/>
              <w:rPr>
                <w:rFonts w:ascii="Times New Roman"/>
                <w:sz w:val="8"/>
              </w:rPr>
            </w:pPr>
          </w:p>
        </w:tc>
        <w:tc>
          <w:tcPr>
            <w:tcW w:w="208" w:type="dxa"/>
            <w:shd w:val="clear" w:color="auto" w:fill="C4BC96"/>
          </w:tcPr>
          <w:p>
            <w:pPr>
              <w:pStyle w:val="TableParagraph"/>
              <w:spacing w:before="0"/>
              <w:rPr>
                <w:rFonts w:ascii="Times New Roman"/>
                <w:sz w:val="8"/>
              </w:rPr>
            </w:pPr>
          </w:p>
        </w:tc>
        <w:tc>
          <w:tcPr>
            <w:tcW w:w="726" w:type="dxa"/>
          </w:tcPr>
          <w:p>
            <w:pPr>
              <w:pStyle w:val="TableParagraph"/>
              <w:spacing w:line="98" w:lineRule="exact" w:before="17"/>
              <w:ind w:left="5"/>
              <w:rPr>
                <w:rFonts w:ascii="Calibri"/>
                <w:sz w:val="9"/>
              </w:rPr>
            </w:pPr>
            <w:r>
              <w:rPr>
                <w:rFonts w:ascii="Calibri"/>
                <w:w w:val="110"/>
                <w:sz w:val="9"/>
              </w:rPr>
              <w:t>N - Other Study &amp;</w:t>
            </w:r>
          </w:p>
        </w:tc>
        <w:tc>
          <w:tcPr>
            <w:tcW w:w="835" w:type="dxa"/>
          </w:tcPr>
          <w:p>
            <w:pPr>
              <w:pStyle w:val="TableParagraph"/>
              <w:spacing w:line="98" w:lineRule="exact" w:before="17"/>
              <w:ind w:left="1"/>
              <w:rPr>
                <w:rFonts w:ascii="Calibri"/>
                <w:sz w:val="9"/>
              </w:rPr>
            </w:pPr>
            <w:r>
              <w:rPr>
                <w:rFonts w:ascii="Calibri"/>
                <w:w w:val="110"/>
                <w:sz w:val="9"/>
              </w:rPr>
              <w:t>Skills</w:t>
            </w:r>
          </w:p>
        </w:tc>
      </w:tr>
      <w:tr>
        <w:trPr>
          <w:trHeight w:val="275" w:hRule="atLeast"/>
        </w:trPr>
        <w:tc>
          <w:tcPr>
            <w:tcW w:w="1072" w:type="dxa"/>
          </w:tcPr>
          <w:p>
            <w:pPr>
              <w:pStyle w:val="TableParagraph"/>
              <w:spacing w:line="130" w:lineRule="atLeast" w:before="17"/>
              <w:ind w:left="264" w:right="-17"/>
              <w:rPr>
                <w:rFonts w:ascii="Calibri"/>
                <w:sz w:val="9"/>
              </w:rPr>
            </w:pPr>
            <w:r>
              <w:rPr>
                <w:rFonts w:ascii="Calibri"/>
                <w:w w:val="110"/>
                <w:sz w:val="9"/>
              </w:rPr>
              <w:t>O - Other Remote &amp; Regional</w:t>
            </w:r>
          </w:p>
        </w:tc>
        <w:tc>
          <w:tcPr>
            <w:tcW w:w="215" w:type="dxa"/>
          </w:tcPr>
          <w:p>
            <w:pPr>
              <w:pStyle w:val="TableParagraph"/>
              <w:spacing w:line="135" w:lineRule="exact" w:before="0"/>
              <w:ind w:left="-1" w:right="-58"/>
              <w:rPr>
                <w:rFonts w:ascii="Calibri"/>
                <w:sz w:val="13"/>
              </w:rPr>
            </w:pPr>
            <w:r>
              <w:rPr>
                <w:rFonts w:ascii="Calibri"/>
                <w:position w:val="-2"/>
                <w:sz w:val="13"/>
              </w:rPr>
              <w:pict>
                <v:group style="width:10.45pt;height:6.8pt;mso-position-horizontal-relative:char;mso-position-vertical-relative:line" coordorigin="0,0" coordsize="209,136">
                  <v:rect style="position:absolute;left:0;top:0;width:209;height:136" filled="true" fillcolor="#a6a6a6" stroked="false">
                    <v:fill type="solid"/>
                  </v:rect>
                </v:group>
              </w:pict>
            </w:r>
            <w:r>
              <w:rPr>
                <w:rFonts w:ascii="Calibri"/>
                <w:position w:val="-2"/>
                <w:sz w:val="13"/>
              </w:rPr>
            </w:r>
          </w:p>
        </w:tc>
        <w:tc>
          <w:tcPr>
            <w:tcW w:w="822" w:type="dxa"/>
          </w:tcPr>
          <w:p>
            <w:pPr>
              <w:pStyle w:val="TableParagraph"/>
              <w:spacing w:line="130" w:lineRule="atLeast" w:before="17"/>
              <w:ind w:left="5"/>
              <w:rPr>
                <w:rFonts w:ascii="Calibri"/>
                <w:sz w:val="9"/>
              </w:rPr>
            </w:pPr>
            <w:r>
              <w:rPr>
                <w:rFonts w:ascii="Calibri"/>
                <w:w w:val="110"/>
                <w:sz w:val="9"/>
              </w:rPr>
              <w:t>P - Other General Allowances</w:t>
            </w:r>
          </w:p>
        </w:tc>
        <w:tc>
          <w:tcPr>
            <w:tcW w:w="90" w:type="dxa"/>
          </w:tcPr>
          <w:p>
            <w:pPr>
              <w:pStyle w:val="TableParagraph"/>
              <w:spacing w:before="0"/>
              <w:rPr>
                <w:rFonts w:ascii="Times New Roman"/>
                <w:sz w:val="16"/>
              </w:rPr>
            </w:pPr>
          </w:p>
        </w:tc>
        <w:tc>
          <w:tcPr>
            <w:tcW w:w="209" w:type="dxa"/>
          </w:tcPr>
          <w:p>
            <w:pPr>
              <w:pStyle w:val="TableParagraph"/>
              <w:spacing w:line="135" w:lineRule="exact" w:before="0"/>
              <w:ind w:left="-2" w:right="-58"/>
              <w:rPr>
                <w:rFonts w:ascii="Calibri"/>
                <w:sz w:val="13"/>
              </w:rPr>
            </w:pPr>
            <w:r>
              <w:rPr>
                <w:rFonts w:ascii="Calibri"/>
                <w:position w:val="-2"/>
                <w:sz w:val="13"/>
              </w:rPr>
              <w:pict>
                <v:group style="width:10.45pt;height:6.8pt;mso-position-horizontal-relative:char;mso-position-vertical-relative:line" coordorigin="0,0" coordsize="209,136">
                  <v:rect style="position:absolute;left:0;top:0;width:209;height:136" filled="true" fillcolor="#d9d9d9" stroked="false">
                    <v:fill type="solid"/>
                  </v:rect>
                </v:group>
              </w:pict>
            </w:r>
            <w:r>
              <w:rPr>
                <w:rFonts w:ascii="Calibri"/>
                <w:position w:val="-2"/>
                <w:sz w:val="13"/>
              </w:rPr>
            </w:r>
          </w:p>
        </w:tc>
        <w:tc>
          <w:tcPr>
            <w:tcW w:w="944" w:type="dxa"/>
          </w:tcPr>
          <w:p>
            <w:pPr>
              <w:pStyle w:val="TableParagraph"/>
              <w:ind w:left="10"/>
              <w:rPr>
                <w:rFonts w:ascii="Calibri"/>
                <w:sz w:val="9"/>
              </w:rPr>
            </w:pPr>
            <w:r>
              <w:rPr>
                <w:rFonts w:ascii="Calibri"/>
                <w:w w:val="110"/>
                <w:sz w:val="9"/>
              </w:rPr>
              <w:t>Q - All Other</w:t>
            </w:r>
          </w:p>
        </w:tc>
        <w:tc>
          <w:tcPr>
            <w:tcW w:w="60" w:type="dxa"/>
          </w:tcPr>
          <w:p>
            <w:pPr>
              <w:pStyle w:val="TableParagraph"/>
              <w:spacing w:before="0"/>
              <w:rPr>
                <w:rFonts w:ascii="Times New Roman"/>
                <w:sz w:val="16"/>
              </w:rPr>
            </w:pPr>
          </w:p>
        </w:tc>
        <w:tc>
          <w:tcPr>
            <w:tcW w:w="209" w:type="dxa"/>
          </w:tcPr>
          <w:p>
            <w:pPr>
              <w:pStyle w:val="TableParagraph"/>
              <w:spacing w:line="135" w:lineRule="exact" w:before="0"/>
              <w:ind w:left="-5" w:right="-58"/>
              <w:rPr>
                <w:rFonts w:ascii="Calibri"/>
                <w:sz w:val="13"/>
              </w:rPr>
            </w:pPr>
            <w:r>
              <w:rPr>
                <w:rFonts w:ascii="Calibri"/>
                <w:position w:val="-2"/>
                <w:sz w:val="13"/>
              </w:rPr>
              <w:pict>
                <v:group style="width:10.45pt;height:6.8pt;mso-position-horizontal-relative:char;mso-position-vertical-relative:line" coordorigin="0,0" coordsize="209,136">
                  <v:rect style="position:absolute;left:0;top:0;width:209;height:136" filled="true" fillcolor="#413c22" stroked="false">
                    <v:fill type="solid"/>
                  </v:rect>
                </v:group>
              </w:pict>
            </w:r>
            <w:r>
              <w:rPr>
                <w:rFonts w:ascii="Calibri"/>
                <w:position w:val="-2"/>
                <w:sz w:val="13"/>
              </w:rPr>
            </w:r>
          </w:p>
        </w:tc>
        <w:tc>
          <w:tcPr>
            <w:tcW w:w="1181" w:type="dxa"/>
          </w:tcPr>
          <w:p>
            <w:pPr>
              <w:pStyle w:val="TableParagraph"/>
              <w:ind w:left="8"/>
              <w:rPr>
                <w:rFonts w:ascii="Calibri"/>
                <w:sz w:val="9"/>
              </w:rPr>
            </w:pPr>
            <w:r>
              <w:rPr>
                <w:rFonts w:ascii="Calibri"/>
                <w:w w:val="110"/>
                <w:sz w:val="9"/>
              </w:rPr>
              <w:t>R - Rent Assistance</w:t>
            </w:r>
          </w:p>
        </w:tc>
        <w:tc>
          <w:tcPr>
            <w:tcW w:w="57" w:type="dxa"/>
          </w:tcPr>
          <w:p>
            <w:pPr>
              <w:pStyle w:val="TableParagraph"/>
              <w:spacing w:before="0"/>
              <w:rPr>
                <w:rFonts w:ascii="Times New Roman"/>
                <w:sz w:val="16"/>
              </w:rPr>
            </w:pPr>
          </w:p>
        </w:tc>
        <w:tc>
          <w:tcPr>
            <w:tcW w:w="209" w:type="dxa"/>
          </w:tcPr>
          <w:p>
            <w:pPr>
              <w:pStyle w:val="TableParagraph"/>
              <w:spacing w:before="0"/>
              <w:rPr>
                <w:rFonts w:ascii="Times New Roman"/>
                <w:sz w:val="16"/>
              </w:rPr>
            </w:pPr>
          </w:p>
        </w:tc>
        <w:tc>
          <w:tcPr>
            <w:tcW w:w="704" w:type="dxa"/>
          </w:tcPr>
          <w:p>
            <w:pPr>
              <w:pStyle w:val="TableParagraph"/>
              <w:spacing w:before="0"/>
              <w:rPr>
                <w:rFonts w:ascii="Times New Roman"/>
                <w:sz w:val="16"/>
              </w:rPr>
            </w:pPr>
          </w:p>
        </w:tc>
        <w:tc>
          <w:tcPr>
            <w:tcW w:w="71" w:type="dxa"/>
          </w:tcPr>
          <w:p>
            <w:pPr>
              <w:pStyle w:val="TableParagraph"/>
              <w:spacing w:before="0"/>
              <w:rPr>
                <w:rFonts w:ascii="Times New Roman"/>
                <w:sz w:val="16"/>
              </w:rPr>
            </w:pPr>
          </w:p>
        </w:tc>
        <w:tc>
          <w:tcPr>
            <w:tcW w:w="208" w:type="dxa"/>
          </w:tcPr>
          <w:p>
            <w:pPr>
              <w:pStyle w:val="TableParagraph"/>
              <w:spacing w:before="0"/>
              <w:rPr>
                <w:rFonts w:ascii="Times New Roman"/>
                <w:sz w:val="16"/>
              </w:rPr>
            </w:pPr>
          </w:p>
        </w:tc>
        <w:tc>
          <w:tcPr>
            <w:tcW w:w="726" w:type="dxa"/>
          </w:tcPr>
          <w:p>
            <w:pPr>
              <w:pStyle w:val="TableParagraph"/>
              <w:spacing w:before="0"/>
              <w:rPr>
                <w:rFonts w:ascii="Times New Roman"/>
                <w:sz w:val="16"/>
              </w:rPr>
            </w:pPr>
          </w:p>
        </w:tc>
        <w:tc>
          <w:tcPr>
            <w:tcW w:w="835" w:type="dxa"/>
          </w:tcPr>
          <w:p>
            <w:pPr>
              <w:pStyle w:val="TableParagraph"/>
              <w:spacing w:before="0"/>
              <w:rPr>
                <w:rFonts w:ascii="Times New Roman"/>
                <w:sz w:val="16"/>
              </w:rPr>
            </w:pPr>
          </w:p>
        </w:tc>
      </w:tr>
    </w:tbl>
    <w:p>
      <w:pPr>
        <w:pStyle w:val="BodyText"/>
        <w:rPr>
          <w:rFonts w:ascii="Calibri"/>
          <w:b/>
          <w:sz w:val="14"/>
        </w:rPr>
      </w:pPr>
    </w:p>
    <w:p>
      <w:pPr>
        <w:pStyle w:val="BodyText"/>
        <w:spacing w:before="97"/>
        <w:ind w:left="899" w:right="1009"/>
      </w:pPr>
      <w:r>
        <w:rPr>
          <w:color w:val="404040"/>
        </w:rPr>
        <w:t>It is worth noting that the average payment for 2017/18 is somewhat understated as a result of the impact of the data maturity issue discussed earlier.</w:t>
      </w:r>
    </w:p>
    <w:p>
      <w:pPr>
        <w:pStyle w:val="BodyText"/>
        <w:spacing w:before="121"/>
        <w:ind w:left="899" w:right="922"/>
      </w:pPr>
      <w:r>
        <w:rPr>
          <w:color w:val="404040"/>
        </w:rPr>
        <w:t>The average payment made in 2016/17 (noting the understating of 2017/18) was $7,500 with higher average payments being made to women ($8,100) than men ($5,000) as a result of them being more likely to also be claiming FTB and other family payments. This average amount per person is much lower than that for people in the income support classes.</w:t>
      </w:r>
    </w:p>
    <w:p>
      <w:pPr>
        <w:pStyle w:val="BodyText"/>
        <w:spacing w:before="7"/>
      </w:pPr>
    </w:p>
    <w:p>
      <w:pPr>
        <w:pStyle w:val="Heading4"/>
        <w:spacing w:before="1"/>
      </w:pPr>
      <w:bookmarkStart w:name="What does the model show for current Non" w:id="208"/>
      <w:bookmarkEnd w:id="208"/>
      <w:r>
        <w:rPr/>
      </w:r>
      <w:r>
        <w:rPr>
          <w:color w:val="DF2F28"/>
        </w:rPr>
        <w:t>What does the model show for current Non IS Carer?</w:t>
      </w:r>
    </w:p>
    <w:p>
      <w:pPr>
        <w:pStyle w:val="BodyText"/>
        <w:spacing w:before="9"/>
      </w:pPr>
    </w:p>
    <w:p>
      <w:pPr>
        <w:pStyle w:val="Heading6"/>
        <w:rPr>
          <w:i/>
        </w:rPr>
      </w:pPr>
      <w:r>
        <w:rPr>
          <w:i/>
          <w:color w:val="DF2F1E"/>
        </w:rPr>
        <w:t>Lifetime costs</w:t>
      </w:r>
    </w:p>
    <w:p>
      <w:pPr>
        <w:pStyle w:val="BodyText"/>
        <w:spacing w:line="242" w:lineRule="auto" w:before="119"/>
        <w:ind w:left="899" w:right="1266"/>
      </w:pPr>
      <w:r>
        <w:rPr>
          <w:color w:val="404040"/>
        </w:rPr>
        <w:t>We estimated the lifetime cost for the people in this class to be </w:t>
      </w:r>
      <w:r>
        <w:rPr>
          <w:b/>
          <w:color w:val="404040"/>
        </w:rPr>
        <w:t>$51bn </w:t>
      </w:r>
      <w:r>
        <w:rPr>
          <w:color w:val="404040"/>
        </w:rPr>
        <w:t>(or </w:t>
      </w:r>
      <w:r>
        <w:rPr>
          <w:b/>
          <w:color w:val="404040"/>
        </w:rPr>
        <w:t>0.9% </w:t>
      </w:r>
      <w:r>
        <w:rPr>
          <w:color w:val="404040"/>
        </w:rPr>
        <w:t>of the total lifetime cost). The average lifetime cost for people in this class is </w:t>
      </w:r>
      <w:r>
        <w:rPr>
          <w:b/>
          <w:color w:val="404040"/>
        </w:rPr>
        <w:t>$235,000</w:t>
      </w:r>
      <w:r>
        <w:rPr>
          <w:color w:val="404040"/>
        </w:rPr>
        <w:t>. The variation in average lifetime cost by age and gender is illustrated in the figure below.</w:t>
      </w:r>
    </w:p>
    <w:p>
      <w:pPr>
        <w:spacing w:after="0" w:line="242" w:lineRule="auto"/>
        <w:sectPr>
          <w:pgSz w:w="11910" w:h="16850"/>
          <w:pgMar w:header="572" w:footer="581" w:top="780" w:bottom="780" w:left="120" w:right="0"/>
        </w:sectPr>
      </w:pPr>
    </w:p>
    <w:p>
      <w:pPr>
        <w:pStyle w:val="BodyText"/>
      </w:pPr>
    </w:p>
    <w:p>
      <w:pPr>
        <w:pStyle w:val="BodyText"/>
      </w:pPr>
    </w:p>
    <w:p>
      <w:pPr>
        <w:pStyle w:val="BodyText"/>
        <w:spacing w:before="5"/>
        <w:rPr>
          <w:sz w:val="21"/>
        </w:rPr>
      </w:pPr>
    </w:p>
    <w:p>
      <w:pPr>
        <w:pStyle w:val="Heading9"/>
      </w:pPr>
      <w:r>
        <w:rPr>
          <w:color w:val="DF2F1E"/>
        </w:rPr>
        <w:t>Figure 88: Average lifetime cost by age and gender (class 8)</w:t>
      </w:r>
    </w:p>
    <w:p>
      <w:pPr>
        <w:pStyle w:val="BodyText"/>
        <w:spacing w:before="11"/>
        <w:rPr>
          <w:b/>
          <w:sz w:val="12"/>
        </w:rPr>
      </w:pPr>
    </w:p>
    <w:p>
      <w:pPr>
        <w:spacing w:after="0"/>
        <w:rPr>
          <w:sz w:val="12"/>
        </w:rPr>
        <w:sectPr>
          <w:pgSz w:w="11910" w:h="16850"/>
          <w:pgMar w:header="572" w:footer="581" w:top="780" w:bottom="780" w:left="120" w:right="0"/>
        </w:sectPr>
      </w:pPr>
    </w:p>
    <w:p>
      <w:pPr>
        <w:spacing w:before="71"/>
        <w:ind w:left="1513" w:right="0" w:firstLine="0"/>
        <w:jc w:val="left"/>
        <w:rPr>
          <w:rFonts w:ascii="Calibri"/>
          <w:sz w:val="14"/>
        </w:rPr>
      </w:pPr>
      <w:r>
        <w:rPr/>
        <w:pict>
          <v:group style="position:absolute;margin-left:93.249222pt;margin-top:7.208002pt;width:239.7pt;height:128.75pt;mso-position-horizontal-relative:page;mso-position-vertical-relative:paragraph;z-index:252637184" coordorigin="1865,144" coordsize="4794,2575">
            <v:shape style="position:absolute;left:1864;top:144;width:4794;height:2575" type="#_x0000_t75" stroked="false">
              <v:imagedata r:id="rId177" o:title=""/>
            </v:shape>
            <v:shape style="position:absolute;left:3031;top:238;width:633;height:204" type="#_x0000_t202" filled="false" stroked="false">
              <v:textbox inset="0,0,0,0">
                <w:txbxContent>
                  <w:p>
                    <w:pPr>
                      <w:spacing w:line="204" w:lineRule="exact" w:before="0"/>
                      <w:ind w:left="0" w:right="0" w:firstLine="0"/>
                      <w:jc w:val="left"/>
                      <w:rPr>
                        <w:rFonts w:ascii="Calibri"/>
                        <w:sz w:val="20"/>
                      </w:rPr>
                    </w:pPr>
                    <w:r>
                      <w:rPr>
                        <w:rFonts w:ascii="Calibri"/>
                        <w:color w:val="BEBEBE"/>
                        <w:sz w:val="20"/>
                      </w:rPr>
                      <w:t>&lt;- Male</w:t>
                    </w:r>
                  </w:p>
                </w:txbxContent>
              </v:textbox>
              <w10:wrap type="none"/>
            </v:shape>
            <v:shape style="position:absolute;left:4905;top:238;width:831;height:204" type="#_x0000_t202" filled="false" stroked="false">
              <v:textbox inset="0,0,0,0">
                <w:txbxContent>
                  <w:p>
                    <w:pPr>
                      <w:spacing w:line="204" w:lineRule="exact" w:before="0"/>
                      <w:ind w:left="0" w:right="0" w:firstLine="0"/>
                      <w:jc w:val="left"/>
                      <w:rPr>
                        <w:rFonts w:ascii="Calibri"/>
                        <w:sz w:val="20"/>
                      </w:rPr>
                    </w:pPr>
                    <w:r>
                      <w:rPr>
                        <w:rFonts w:ascii="Calibri"/>
                        <w:color w:val="BEBEBE"/>
                        <w:sz w:val="20"/>
                      </w:rPr>
                      <w:t>Female -&gt;</w:t>
                    </w:r>
                  </w:p>
                </w:txbxContent>
              </v:textbox>
              <w10:wrap type="none"/>
            </v:shape>
            <w10:wrap type="none"/>
          </v:group>
        </w:pict>
      </w:r>
      <w:r>
        <w:rPr>
          <w:rFonts w:ascii="Calibri"/>
          <w:sz w:val="14"/>
        </w:rPr>
        <w:t>90</w:t>
      </w:r>
    </w:p>
    <w:p>
      <w:pPr>
        <w:spacing w:before="107"/>
        <w:ind w:left="1513" w:right="0" w:firstLine="0"/>
        <w:jc w:val="left"/>
        <w:rPr>
          <w:rFonts w:ascii="Calibri"/>
          <w:sz w:val="14"/>
        </w:rPr>
      </w:pPr>
      <w:r>
        <w:rPr>
          <w:rFonts w:ascii="Calibri"/>
          <w:sz w:val="14"/>
        </w:rPr>
        <w:t>80</w:t>
      </w:r>
    </w:p>
    <w:p>
      <w:pPr>
        <w:spacing w:before="107"/>
        <w:ind w:left="1513" w:right="0" w:firstLine="0"/>
        <w:jc w:val="left"/>
        <w:rPr>
          <w:rFonts w:ascii="Calibri"/>
          <w:sz w:val="14"/>
        </w:rPr>
      </w:pPr>
      <w:r>
        <w:rPr/>
        <w:pict>
          <v:shape style="position:absolute;margin-left:71.540001pt;margin-top:11.52764pt;width:9pt;height:66.7pt;mso-position-horizontal-relative:page;mso-position-vertical-relative:paragraph;z-index:252639232" type="#_x0000_t202" filled="false" stroked="false">
            <v:textbox inset="0,0,0,0" style="layout-flow:vertical;mso-layout-flow-alt:bottom-to-top">
              <w:txbxContent>
                <w:p>
                  <w:pPr>
                    <w:spacing w:line="162" w:lineRule="exact" w:before="0"/>
                    <w:ind w:left="20" w:right="0" w:firstLine="0"/>
                    <w:jc w:val="left"/>
                    <w:rPr>
                      <w:rFonts w:ascii="Calibri"/>
                      <w:b/>
                      <w:sz w:val="14"/>
                    </w:rPr>
                  </w:pPr>
                  <w:r>
                    <w:rPr>
                      <w:rFonts w:ascii="Calibri"/>
                      <w:b/>
                      <w:sz w:val="14"/>
                    </w:rPr>
                    <w:t>Age at Valuation Date</w:t>
                  </w:r>
                </w:p>
              </w:txbxContent>
            </v:textbox>
            <w10:wrap type="none"/>
          </v:shape>
        </w:pict>
      </w:r>
      <w:r>
        <w:rPr>
          <w:rFonts w:ascii="Calibri"/>
          <w:sz w:val="14"/>
        </w:rPr>
        <w:t>70</w:t>
      </w:r>
    </w:p>
    <w:p>
      <w:pPr>
        <w:spacing w:before="107"/>
        <w:ind w:left="1513" w:right="0" w:firstLine="0"/>
        <w:jc w:val="left"/>
        <w:rPr>
          <w:rFonts w:ascii="Calibri"/>
          <w:sz w:val="14"/>
        </w:rPr>
      </w:pPr>
      <w:r>
        <w:rPr>
          <w:rFonts w:ascii="Calibri"/>
          <w:sz w:val="14"/>
        </w:rPr>
        <w:t>60</w:t>
      </w:r>
    </w:p>
    <w:p>
      <w:pPr>
        <w:spacing w:before="107"/>
        <w:ind w:left="1513" w:right="0" w:firstLine="0"/>
        <w:jc w:val="left"/>
        <w:rPr>
          <w:rFonts w:ascii="Calibri"/>
          <w:sz w:val="14"/>
        </w:rPr>
      </w:pPr>
      <w:r>
        <w:rPr>
          <w:rFonts w:ascii="Calibri"/>
          <w:sz w:val="14"/>
        </w:rPr>
        <w:t>50</w:t>
      </w:r>
    </w:p>
    <w:p>
      <w:pPr>
        <w:spacing w:before="107"/>
        <w:ind w:left="1513" w:right="0" w:firstLine="0"/>
        <w:jc w:val="left"/>
        <w:rPr>
          <w:rFonts w:ascii="Calibri"/>
          <w:sz w:val="14"/>
        </w:rPr>
      </w:pPr>
      <w:r>
        <w:rPr>
          <w:rFonts w:ascii="Calibri"/>
          <w:sz w:val="14"/>
        </w:rPr>
        <w:t>40</w:t>
      </w:r>
    </w:p>
    <w:p>
      <w:pPr>
        <w:spacing w:before="107"/>
        <w:ind w:left="1513" w:right="0" w:firstLine="0"/>
        <w:jc w:val="left"/>
        <w:rPr>
          <w:rFonts w:ascii="Calibri"/>
          <w:sz w:val="14"/>
        </w:rPr>
      </w:pPr>
      <w:r>
        <w:rPr>
          <w:rFonts w:ascii="Calibri"/>
          <w:sz w:val="14"/>
        </w:rPr>
        <w:t>30</w:t>
      </w:r>
    </w:p>
    <w:p>
      <w:pPr>
        <w:spacing w:before="107"/>
        <w:ind w:left="1513" w:right="0" w:firstLine="0"/>
        <w:jc w:val="left"/>
        <w:rPr>
          <w:rFonts w:ascii="Calibri"/>
          <w:sz w:val="14"/>
        </w:rPr>
      </w:pPr>
      <w:r>
        <w:rPr>
          <w:rFonts w:ascii="Calibri"/>
          <w:sz w:val="14"/>
        </w:rPr>
        <w:t>20</w:t>
      </w:r>
    </w:p>
    <w:p>
      <w:pPr>
        <w:spacing w:before="107"/>
        <w:ind w:left="1513" w:right="0" w:firstLine="0"/>
        <w:jc w:val="left"/>
        <w:rPr>
          <w:rFonts w:ascii="Calibri"/>
          <w:sz w:val="14"/>
        </w:rPr>
      </w:pPr>
      <w:r>
        <w:rPr>
          <w:rFonts w:ascii="Calibri"/>
          <w:sz w:val="14"/>
        </w:rPr>
        <w:t>10</w:t>
      </w:r>
    </w:p>
    <w:p>
      <w:pPr>
        <w:spacing w:before="107"/>
        <w:ind w:left="1586" w:right="0" w:firstLine="0"/>
        <w:jc w:val="left"/>
        <w:rPr>
          <w:rFonts w:ascii="Calibri"/>
          <w:sz w:val="14"/>
        </w:rPr>
      </w:pPr>
      <w:r>
        <w:rPr>
          <w:rFonts w:ascii="Calibri"/>
          <w:w w:val="99"/>
          <w:sz w:val="14"/>
        </w:rPr>
        <w:t>0</w:t>
      </w:r>
    </w:p>
    <w:p>
      <w:pPr>
        <w:spacing w:before="28"/>
        <w:ind w:left="1682" w:right="0" w:firstLine="0"/>
        <w:jc w:val="left"/>
        <w:rPr>
          <w:rFonts w:ascii="Calibri"/>
          <w:sz w:val="14"/>
        </w:rPr>
      </w:pPr>
      <w:r>
        <w:rPr>
          <w:rFonts w:ascii="Calibri"/>
          <w:sz w:val="14"/>
        </w:rPr>
        <w:t>600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7"/>
        </w:rPr>
      </w:pPr>
    </w:p>
    <w:p>
      <w:pPr>
        <w:spacing w:before="0"/>
        <w:ind w:left="134" w:right="0" w:firstLine="0"/>
        <w:jc w:val="left"/>
        <w:rPr>
          <w:rFonts w:ascii="Calibri"/>
          <w:sz w:val="14"/>
        </w:rPr>
      </w:pPr>
      <w:r>
        <w:rPr>
          <w:rFonts w:ascii="Calibri"/>
          <w:sz w:val="14"/>
        </w:rPr>
        <w:t>500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7"/>
        </w:rPr>
      </w:pPr>
    </w:p>
    <w:p>
      <w:pPr>
        <w:spacing w:before="0"/>
        <w:ind w:left="134" w:right="0" w:firstLine="0"/>
        <w:jc w:val="left"/>
        <w:rPr>
          <w:rFonts w:ascii="Calibri"/>
          <w:sz w:val="14"/>
        </w:rPr>
      </w:pPr>
      <w:r>
        <w:rPr>
          <w:rFonts w:ascii="Calibri"/>
          <w:sz w:val="14"/>
        </w:rPr>
        <w:t>400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7"/>
        </w:rPr>
      </w:pPr>
    </w:p>
    <w:p>
      <w:pPr>
        <w:spacing w:before="0"/>
        <w:ind w:left="134" w:right="0" w:firstLine="0"/>
        <w:jc w:val="left"/>
        <w:rPr>
          <w:rFonts w:ascii="Calibri"/>
          <w:sz w:val="14"/>
        </w:rPr>
      </w:pPr>
      <w:r>
        <w:rPr>
          <w:rFonts w:ascii="Calibri"/>
          <w:sz w:val="14"/>
        </w:rPr>
        <w:t>300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7"/>
        </w:rPr>
      </w:pPr>
    </w:p>
    <w:p>
      <w:pPr>
        <w:spacing w:before="0"/>
        <w:ind w:left="134" w:right="0" w:firstLine="0"/>
        <w:jc w:val="left"/>
        <w:rPr>
          <w:rFonts w:ascii="Calibri"/>
          <w:sz w:val="14"/>
        </w:rPr>
      </w:pPr>
      <w:r>
        <w:rPr>
          <w:rFonts w:ascii="Calibri"/>
          <w:sz w:val="14"/>
        </w:rPr>
        <w:t>200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7"/>
        </w:rPr>
      </w:pPr>
    </w:p>
    <w:p>
      <w:pPr>
        <w:tabs>
          <w:tab w:pos="601" w:val="left" w:leader="none"/>
        </w:tabs>
        <w:spacing w:before="0"/>
        <w:ind w:left="134" w:right="0" w:firstLine="0"/>
        <w:jc w:val="left"/>
        <w:rPr>
          <w:rFonts w:ascii="Calibri"/>
          <w:sz w:val="14"/>
        </w:rPr>
      </w:pPr>
      <w:r>
        <w:rPr>
          <w:rFonts w:ascii="Calibri"/>
          <w:spacing w:val="2"/>
          <w:sz w:val="14"/>
        </w:rPr>
        <w:t>100</w:t>
        <w:tab/>
      </w:r>
      <w:r>
        <w:rPr>
          <w:rFonts w:ascii="Calibri"/>
          <w:spacing w:val="-20"/>
          <w:sz w:val="14"/>
        </w:rPr>
        <w:t>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7"/>
        </w:rPr>
      </w:pPr>
    </w:p>
    <w:p>
      <w:pPr>
        <w:spacing w:before="0"/>
        <w:ind w:left="211" w:right="0" w:firstLine="0"/>
        <w:jc w:val="left"/>
        <w:rPr>
          <w:rFonts w:ascii="Calibri"/>
          <w:sz w:val="14"/>
        </w:rPr>
      </w:pPr>
      <w:r>
        <w:rPr>
          <w:rFonts w:ascii="Calibri"/>
          <w:sz w:val="14"/>
        </w:rPr>
        <w:t>100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7"/>
        </w:rPr>
      </w:pPr>
    </w:p>
    <w:p>
      <w:pPr>
        <w:spacing w:before="0"/>
        <w:ind w:left="134" w:right="0" w:firstLine="0"/>
        <w:jc w:val="left"/>
        <w:rPr>
          <w:rFonts w:ascii="Calibri"/>
          <w:sz w:val="14"/>
        </w:rPr>
      </w:pPr>
      <w:r>
        <w:rPr>
          <w:rFonts w:ascii="Calibri"/>
          <w:sz w:val="14"/>
        </w:rPr>
        <w:t>200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7"/>
        </w:rPr>
      </w:pPr>
    </w:p>
    <w:p>
      <w:pPr>
        <w:spacing w:before="0"/>
        <w:ind w:left="134" w:right="0" w:firstLine="0"/>
        <w:jc w:val="left"/>
        <w:rPr>
          <w:rFonts w:ascii="Calibri"/>
          <w:sz w:val="14"/>
        </w:rPr>
      </w:pPr>
      <w:r>
        <w:rPr>
          <w:rFonts w:ascii="Calibri"/>
          <w:sz w:val="14"/>
        </w:rPr>
        <w:t>300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7"/>
        </w:rPr>
      </w:pPr>
    </w:p>
    <w:p>
      <w:pPr>
        <w:spacing w:before="0"/>
        <w:ind w:left="134" w:right="0" w:firstLine="0"/>
        <w:jc w:val="left"/>
        <w:rPr>
          <w:rFonts w:ascii="Calibri"/>
          <w:sz w:val="14"/>
        </w:rPr>
      </w:pPr>
      <w:r>
        <w:rPr>
          <w:rFonts w:ascii="Calibri"/>
          <w:sz w:val="14"/>
        </w:rPr>
        <w:t>400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7"/>
        </w:rPr>
      </w:pPr>
    </w:p>
    <w:p>
      <w:pPr>
        <w:spacing w:before="0"/>
        <w:ind w:left="134" w:right="0" w:firstLine="0"/>
        <w:jc w:val="left"/>
        <w:rPr>
          <w:rFonts w:ascii="Calibri"/>
          <w:sz w:val="14"/>
        </w:rPr>
      </w:pPr>
      <w:r>
        <w:rPr>
          <w:rFonts w:ascii="Calibri"/>
          <w:sz w:val="14"/>
        </w:rPr>
        <w:t>500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7"/>
        </w:rPr>
      </w:pPr>
    </w:p>
    <w:p>
      <w:pPr>
        <w:spacing w:before="0"/>
        <w:ind w:left="134" w:right="0" w:firstLine="0"/>
        <w:jc w:val="left"/>
        <w:rPr>
          <w:rFonts w:ascii="Calibri"/>
          <w:sz w:val="14"/>
        </w:rPr>
      </w:pPr>
      <w:r>
        <w:rPr>
          <w:rFonts w:ascii="Calibri"/>
          <w:sz w:val="14"/>
        </w:rPr>
        <w:t>600</w:t>
      </w:r>
    </w:p>
    <w:p>
      <w:pPr>
        <w:pStyle w:val="BodyText"/>
        <w:rPr>
          <w:rFonts w:ascii="Calibri"/>
          <w:sz w:val="10"/>
        </w:rPr>
      </w:pPr>
      <w:r>
        <w:rPr/>
        <w:br w:type="column"/>
      </w:r>
      <w:r>
        <w:rPr>
          <w:rFonts w:ascii="Calibri"/>
          <w:sz w:val="10"/>
        </w:rPr>
      </w:r>
    </w:p>
    <w:p>
      <w:pPr>
        <w:spacing w:before="67"/>
        <w:ind w:left="552" w:right="0" w:firstLine="0"/>
        <w:jc w:val="left"/>
        <w:rPr>
          <w:rFonts w:ascii="Calibri"/>
          <w:b/>
          <w:sz w:val="10"/>
        </w:rPr>
      </w:pPr>
      <w:r>
        <w:rPr>
          <w:rFonts w:ascii="Calibri"/>
          <w:b/>
          <w:w w:val="105"/>
          <w:sz w:val="10"/>
        </w:rPr>
        <w:t>Payment Category Key:</w:t>
      </w:r>
    </w:p>
    <w:p>
      <w:pPr>
        <w:spacing w:before="32"/>
        <w:ind w:left="768" w:right="0" w:firstLine="0"/>
        <w:jc w:val="left"/>
        <w:rPr>
          <w:rFonts w:ascii="Calibri"/>
          <w:sz w:val="10"/>
        </w:rPr>
      </w:pPr>
      <w:r>
        <w:rPr/>
        <w:drawing>
          <wp:anchor distT="0" distB="0" distL="0" distR="0" allowOverlap="1" layoutInCell="1" locked="0" behindDoc="0" simplePos="0" relativeHeight="252638208">
            <wp:simplePos x="0" y="0"/>
            <wp:positionH relativeFrom="page">
              <wp:posOffset>4663403</wp:posOffset>
            </wp:positionH>
            <wp:positionV relativeFrom="paragraph">
              <wp:posOffset>9945</wp:posOffset>
            </wp:positionV>
            <wp:extent cx="136993" cy="1508880"/>
            <wp:effectExtent l="0" t="0" r="0" b="0"/>
            <wp:wrapNone/>
            <wp:docPr id="281" name="image121.png"/>
            <wp:cNvGraphicFramePr>
              <a:graphicFrameLocks noChangeAspect="1"/>
            </wp:cNvGraphicFramePr>
            <a:graphic>
              <a:graphicData uri="http://schemas.openxmlformats.org/drawingml/2006/picture">
                <pic:pic>
                  <pic:nvPicPr>
                    <pic:cNvPr id="282" name="image121.png"/>
                    <pic:cNvPicPr/>
                  </pic:nvPicPr>
                  <pic:blipFill>
                    <a:blip r:embed="rId143" cstate="print"/>
                    <a:stretch>
                      <a:fillRect/>
                    </a:stretch>
                  </pic:blipFill>
                  <pic:spPr>
                    <a:xfrm>
                      <a:off x="0" y="0"/>
                      <a:ext cx="136993" cy="1508880"/>
                    </a:xfrm>
                    <a:prstGeom prst="rect">
                      <a:avLst/>
                    </a:prstGeom>
                  </pic:spPr>
                </pic:pic>
              </a:graphicData>
            </a:graphic>
          </wp:anchor>
        </w:drawing>
      </w:r>
      <w:r>
        <w:rPr>
          <w:rFonts w:ascii="Calibri"/>
          <w:w w:val="105"/>
          <w:sz w:val="10"/>
        </w:rPr>
        <w:t>A - IS Studying</w:t>
      </w:r>
    </w:p>
    <w:p>
      <w:pPr>
        <w:spacing w:line="273" w:lineRule="auto" w:before="17"/>
        <w:ind w:left="768" w:right="3516" w:firstLine="0"/>
        <w:jc w:val="left"/>
        <w:rPr>
          <w:rFonts w:ascii="Calibri"/>
          <w:sz w:val="10"/>
        </w:rPr>
      </w:pPr>
      <w:r>
        <w:rPr>
          <w:rFonts w:ascii="Calibri"/>
          <w:w w:val="105"/>
          <w:sz w:val="10"/>
        </w:rPr>
        <w:t>B - IS Working Age C - IS Parents</w:t>
      </w:r>
    </w:p>
    <w:p>
      <w:pPr>
        <w:spacing w:before="0"/>
        <w:ind w:left="768" w:right="0" w:firstLine="0"/>
        <w:jc w:val="left"/>
        <w:rPr>
          <w:rFonts w:ascii="Calibri"/>
          <w:sz w:val="10"/>
        </w:rPr>
      </w:pPr>
      <w:r>
        <w:rPr>
          <w:rFonts w:ascii="Calibri"/>
          <w:w w:val="105"/>
          <w:sz w:val="10"/>
        </w:rPr>
        <w:t>D - IS Carer</w:t>
      </w:r>
    </w:p>
    <w:p>
      <w:pPr>
        <w:spacing w:line="273" w:lineRule="auto" w:before="17"/>
        <w:ind w:left="768" w:right="3696" w:firstLine="0"/>
        <w:jc w:val="left"/>
        <w:rPr>
          <w:rFonts w:ascii="Calibri"/>
          <w:sz w:val="10"/>
        </w:rPr>
      </w:pPr>
      <w:r>
        <w:rPr>
          <w:rFonts w:ascii="Calibri"/>
          <w:w w:val="105"/>
          <w:sz w:val="10"/>
        </w:rPr>
        <w:t>E - IS Disability F - IS Age</w:t>
      </w:r>
    </w:p>
    <w:p>
      <w:pPr>
        <w:spacing w:line="273" w:lineRule="auto" w:before="1"/>
        <w:ind w:left="768" w:right="3596" w:firstLine="0"/>
        <w:jc w:val="left"/>
        <w:rPr>
          <w:rFonts w:ascii="Calibri"/>
          <w:sz w:val="10"/>
        </w:rPr>
      </w:pPr>
      <w:r>
        <w:rPr>
          <w:rFonts w:ascii="Calibri"/>
          <w:w w:val="105"/>
          <w:sz w:val="10"/>
        </w:rPr>
        <w:t>G - IS Dependant H - Other FTB</w:t>
      </w:r>
    </w:p>
    <w:p>
      <w:pPr>
        <w:spacing w:before="0"/>
        <w:ind w:left="768" w:right="0" w:firstLine="0"/>
        <w:jc w:val="left"/>
        <w:rPr>
          <w:rFonts w:ascii="Calibri"/>
          <w:sz w:val="10"/>
        </w:rPr>
      </w:pPr>
      <w:r>
        <w:rPr>
          <w:rFonts w:ascii="Calibri"/>
          <w:w w:val="105"/>
          <w:sz w:val="10"/>
        </w:rPr>
        <w:t>I - Other Family</w:t>
      </w:r>
    </w:p>
    <w:p>
      <w:pPr>
        <w:spacing w:before="17"/>
        <w:ind w:left="768" w:right="0" w:firstLine="0"/>
        <w:jc w:val="left"/>
        <w:rPr>
          <w:rFonts w:ascii="Calibri"/>
          <w:sz w:val="10"/>
        </w:rPr>
      </w:pPr>
      <w:r>
        <w:rPr>
          <w:rFonts w:ascii="Calibri"/>
          <w:w w:val="105"/>
          <w:sz w:val="10"/>
        </w:rPr>
        <w:t>J - Other New Parents</w:t>
      </w:r>
    </w:p>
    <w:p>
      <w:pPr>
        <w:spacing w:line="273" w:lineRule="auto" w:before="18"/>
        <w:ind w:left="768" w:right="3128" w:firstLine="0"/>
        <w:jc w:val="left"/>
        <w:rPr>
          <w:rFonts w:ascii="Calibri"/>
          <w:sz w:val="10"/>
        </w:rPr>
      </w:pPr>
      <w:r>
        <w:rPr>
          <w:rFonts w:ascii="Calibri"/>
          <w:w w:val="105"/>
          <w:sz w:val="10"/>
        </w:rPr>
        <w:t>L - Other Health &amp; Disability M - Other Carer</w:t>
      </w:r>
    </w:p>
    <w:p>
      <w:pPr>
        <w:spacing w:before="0"/>
        <w:ind w:left="768" w:right="0" w:firstLine="0"/>
        <w:jc w:val="left"/>
        <w:rPr>
          <w:rFonts w:ascii="Calibri"/>
          <w:sz w:val="10"/>
        </w:rPr>
      </w:pPr>
      <w:r>
        <w:rPr>
          <w:rFonts w:ascii="Calibri"/>
          <w:w w:val="105"/>
          <w:sz w:val="10"/>
        </w:rPr>
        <w:t>N - Other Study &amp; Skills</w:t>
      </w:r>
    </w:p>
    <w:p>
      <w:pPr>
        <w:spacing w:line="273" w:lineRule="auto" w:before="17"/>
        <w:ind w:left="768" w:right="3072" w:firstLine="0"/>
        <w:jc w:val="both"/>
        <w:rPr>
          <w:rFonts w:ascii="Calibri"/>
          <w:sz w:val="10"/>
        </w:rPr>
      </w:pPr>
      <w:r>
        <w:rPr>
          <w:rFonts w:ascii="Calibri"/>
          <w:w w:val="105"/>
          <w:sz w:val="10"/>
        </w:rPr>
        <w:t>O - Other Remote &amp; Regional P - Other General Allowances Q - All Other</w:t>
      </w:r>
    </w:p>
    <w:p>
      <w:pPr>
        <w:spacing w:before="1"/>
        <w:ind w:left="768" w:right="0" w:firstLine="0"/>
        <w:jc w:val="both"/>
        <w:rPr>
          <w:rFonts w:ascii="Calibri"/>
          <w:sz w:val="10"/>
        </w:rPr>
      </w:pPr>
      <w:r>
        <w:rPr>
          <w:rFonts w:ascii="Calibri"/>
          <w:w w:val="105"/>
          <w:sz w:val="10"/>
        </w:rPr>
        <w:t>R - Rent Assistance</w:t>
      </w:r>
    </w:p>
    <w:p>
      <w:pPr>
        <w:spacing w:after="0"/>
        <w:jc w:val="both"/>
        <w:rPr>
          <w:rFonts w:ascii="Calibri"/>
          <w:sz w:val="10"/>
        </w:rPr>
        <w:sectPr>
          <w:type w:val="continuous"/>
          <w:pgSz w:w="11910" w:h="16850"/>
          <w:pgMar w:top="1600" w:bottom="280" w:left="120" w:right="0"/>
          <w:cols w:num="13" w:equalWidth="0">
            <w:col w:w="1904" w:space="40"/>
            <w:col w:w="356" w:space="39"/>
            <w:col w:w="356" w:space="39"/>
            <w:col w:w="356" w:space="39"/>
            <w:col w:w="356" w:space="40"/>
            <w:col w:w="673" w:space="39"/>
            <w:col w:w="433" w:space="39"/>
            <w:col w:w="356" w:space="40"/>
            <w:col w:w="356" w:space="39"/>
            <w:col w:w="356" w:space="39"/>
            <w:col w:w="356" w:space="40"/>
            <w:col w:w="356" w:space="39"/>
            <w:col w:w="5104"/>
          </w:cols>
        </w:sectPr>
      </w:pPr>
    </w:p>
    <w:p>
      <w:pPr>
        <w:spacing w:before="47"/>
        <w:ind w:left="3274" w:right="0" w:firstLine="0"/>
        <w:jc w:val="left"/>
        <w:rPr>
          <w:rFonts w:ascii="Calibri"/>
          <w:b/>
          <w:sz w:val="14"/>
        </w:rPr>
      </w:pPr>
      <w:r>
        <w:rPr>
          <w:rFonts w:ascii="Calibri"/>
          <w:b/>
          <w:sz w:val="14"/>
        </w:rPr>
        <w:t>Average Lifetime Cost ($000s)</w:t>
      </w:r>
    </w:p>
    <w:p>
      <w:pPr>
        <w:pStyle w:val="BodyText"/>
        <w:spacing w:before="10"/>
        <w:rPr>
          <w:rFonts w:ascii="Calibri"/>
          <w:b/>
          <w:sz w:val="19"/>
        </w:rPr>
      </w:pPr>
    </w:p>
    <w:p>
      <w:pPr>
        <w:pStyle w:val="BodyText"/>
        <w:spacing w:before="93"/>
        <w:ind w:left="900" w:right="1209" w:hanging="1"/>
      </w:pPr>
      <w:r>
        <w:rPr>
          <w:color w:val="404040"/>
        </w:rPr>
        <w:t>The costs differ between genders with around $199,000 for men and $243,000 for women. We can see that a major part of the difference is for women under the age of 40 and arises from their increased propensity to receive FTB and other family payments.</w:t>
      </w:r>
    </w:p>
    <w:p>
      <w:pPr>
        <w:pStyle w:val="BodyText"/>
        <w:spacing w:before="121"/>
        <w:ind w:left="900" w:right="1431"/>
      </w:pPr>
      <w:r>
        <w:rPr>
          <w:color w:val="404040"/>
        </w:rPr>
        <w:t>The general shape of this pyramid is similar to that for the previous class (Non IS Family) for those below retirement age. Above retirement age there are significant reductions in average lifetime costs once people pass pension age, reflecting that these people are not currently in receipt of Age Pension.</w:t>
      </w:r>
    </w:p>
    <w:p>
      <w:pPr>
        <w:pStyle w:val="BodyText"/>
        <w:spacing w:before="119"/>
        <w:ind w:left="900" w:right="1120"/>
      </w:pPr>
      <w:r>
        <w:rPr>
          <w:color w:val="404040"/>
        </w:rPr>
        <w:t>At the younger ages there are a myriad of contributions to the assessed average lifetime cost from Working Age, Disability Support, Carer and Parenting income support payments. This may indicate that some people in this class are quite close to becoming income support recipients and have material likelihoods of transitioning to these classes in future.</w:t>
      </w:r>
    </w:p>
    <w:p>
      <w:pPr>
        <w:pStyle w:val="BodyText"/>
        <w:spacing w:before="122"/>
        <w:ind w:left="900" w:right="1448"/>
      </w:pPr>
      <w:r>
        <w:rPr>
          <w:color w:val="404040"/>
        </w:rPr>
        <w:t>The table below outlines the average lifetime cost for 40 to 49 year olds currently receiving Non IS Carer payments, split by key characteristics. We have selected a set age group to reduce the effect of age on the future lifetime cost. It is important to note that some characteristics serve as proxies for more fundamental socio-economic factors, and as such, they may not necessarily be the underlying cause of any differences observed in the average lifetime costs of individuals. Further, the variations and relativities to the average lifetime cost that have been shown may differ for other age bands.</w:t>
      </w:r>
    </w:p>
    <w:p>
      <w:pPr>
        <w:spacing w:after="0"/>
        <w:sectPr>
          <w:type w:val="continuous"/>
          <w:pgSz w:w="11910" w:h="16850"/>
          <w:pgMar w:top="1600" w:bottom="280" w:left="120" w:right="0"/>
        </w:sectPr>
      </w:pPr>
    </w:p>
    <w:p>
      <w:pPr>
        <w:pStyle w:val="BodyText"/>
      </w:pPr>
    </w:p>
    <w:p>
      <w:pPr>
        <w:pStyle w:val="BodyText"/>
      </w:pPr>
    </w:p>
    <w:p>
      <w:pPr>
        <w:pStyle w:val="BodyText"/>
        <w:spacing w:before="5"/>
        <w:rPr>
          <w:sz w:val="21"/>
        </w:rPr>
      </w:pPr>
    </w:p>
    <w:p>
      <w:pPr>
        <w:pStyle w:val="Heading9"/>
        <w:spacing w:after="49"/>
      </w:pPr>
      <w:r>
        <w:rPr>
          <w:color w:val="DF2F1E"/>
        </w:rPr>
        <w:t>Table 36: Average lifetime cost for 40 to 49 year old Non IS Carer recipients split by key characteristics</w:t>
      </w:r>
    </w:p>
    <w:tbl>
      <w:tblPr>
        <w:tblW w:w="0" w:type="auto"/>
        <w:jc w:val="left"/>
        <w:tblInd w:w="1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85"/>
        <w:gridCol w:w="1358"/>
        <w:gridCol w:w="1659"/>
        <w:gridCol w:w="1575"/>
        <w:gridCol w:w="1609"/>
      </w:tblGrid>
      <w:tr>
        <w:trPr>
          <w:trHeight w:val="648" w:hRule="atLeast"/>
        </w:trPr>
        <w:tc>
          <w:tcPr>
            <w:tcW w:w="3585" w:type="dxa"/>
            <w:shd w:val="clear" w:color="auto" w:fill="DF2F1E"/>
          </w:tcPr>
          <w:p>
            <w:pPr>
              <w:pStyle w:val="TableParagraph"/>
              <w:spacing w:before="0"/>
              <w:rPr>
                <w:rFonts w:ascii="Times New Roman"/>
                <w:sz w:val="18"/>
              </w:rPr>
            </w:pPr>
          </w:p>
        </w:tc>
        <w:tc>
          <w:tcPr>
            <w:tcW w:w="1358" w:type="dxa"/>
            <w:shd w:val="clear" w:color="auto" w:fill="DF2F1E"/>
          </w:tcPr>
          <w:p>
            <w:pPr>
              <w:pStyle w:val="TableParagraph"/>
              <w:spacing w:before="39"/>
              <w:ind w:left="557" w:right="123" w:hanging="142"/>
              <w:rPr>
                <w:b/>
                <w:sz w:val="16"/>
              </w:rPr>
            </w:pPr>
            <w:r>
              <w:rPr>
                <w:b/>
                <w:color w:val="FFFFFF"/>
                <w:sz w:val="16"/>
              </w:rPr>
              <w:t>Number of people</w:t>
            </w:r>
          </w:p>
        </w:tc>
        <w:tc>
          <w:tcPr>
            <w:tcW w:w="1659" w:type="dxa"/>
            <w:shd w:val="clear" w:color="auto" w:fill="DF2F1E"/>
          </w:tcPr>
          <w:p>
            <w:pPr>
              <w:pStyle w:val="TableParagraph"/>
              <w:spacing w:before="39"/>
              <w:ind w:left="276" w:right="132" w:hanging="130"/>
              <w:rPr>
                <w:b/>
                <w:sz w:val="16"/>
              </w:rPr>
            </w:pPr>
            <w:r>
              <w:rPr>
                <w:b/>
                <w:color w:val="FFFFFF"/>
                <w:sz w:val="16"/>
              </w:rPr>
              <w:t>Number of people as % of cohort</w:t>
            </w:r>
          </w:p>
        </w:tc>
        <w:tc>
          <w:tcPr>
            <w:tcW w:w="1575" w:type="dxa"/>
            <w:shd w:val="clear" w:color="auto" w:fill="DF2F1E"/>
          </w:tcPr>
          <w:p>
            <w:pPr>
              <w:pStyle w:val="TableParagraph"/>
              <w:spacing w:before="39"/>
              <w:ind w:left="490" w:right="164" w:hanging="336"/>
              <w:rPr>
                <w:b/>
                <w:sz w:val="16"/>
              </w:rPr>
            </w:pPr>
            <w:r>
              <w:rPr>
                <w:b/>
                <w:color w:val="FFFFFF"/>
                <w:sz w:val="16"/>
              </w:rPr>
              <w:t>Average lifetime cost ($)</w:t>
            </w:r>
          </w:p>
        </w:tc>
        <w:tc>
          <w:tcPr>
            <w:tcW w:w="1609" w:type="dxa"/>
            <w:shd w:val="clear" w:color="auto" w:fill="DF2F1E"/>
          </w:tcPr>
          <w:p>
            <w:pPr>
              <w:pStyle w:val="TableParagraph"/>
              <w:spacing w:before="39"/>
              <w:ind w:left="187" w:right="181"/>
              <w:jc w:val="center"/>
              <w:rPr>
                <w:b/>
                <w:sz w:val="16"/>
              </w:rPr>
            </w:pPr>
            <w:r>
              <w:rPr>
                <w:b/>
                <w:color w:val="FFFFFF"/>
                <w:sz w:val="16"/>
              </w:rPr>
              <w:t>Average lifetime cost relative to cohort</w:t>
            </w:r>
          </w:p>
        </w:tc>
      </w:tr>
      <w:tr>
        <w:trPr>
          <w:trHeight w:val="263" w:hRule="atLeast"/>
        </w:trPr>
        <w:tc>
          <w:tcPr>
            <w:tcW w:w="3585" w:type="dxa"/>
            <w:tcBorders>
              <w:left w:val="single" w:sz="4" w:space="0" w:color="DF2F1E"/>
              <w:bottom w:val="single" w:sz="4" w:space="0" w:color="DF2F1E"/>
            </w:tcBorders>
            <w:shd w:val="clear" w:color="auto" w:fill="F7DCE0"/>
          </w:tcPr>
          <w:p>
            <w:pPr>
              <w:pStyle w:val="TableParagraph"/>
              <w:spacing w:before="34"/>
              <w:ind w:left="107"/>
              <w:rPr>
                <w:b/>
                <w:sz w:val="16"/>
              </w:rPr>
            </w:pPr>
            <w:r>
              <w:rPr>
                <w:b/>
                <w:color w:val="404040"/>
                <w:sz w:val="16"/>
              </w:rPr>
              <w:t>Total</w:t>
            </w:r>
          </w:p>
        </w:tc>
        <w:tc>
          <w:tcPr>
            <w:tcW w:w="1358" w:type="dxa"/>
            <w:tcBorders>
              <w:bottom w:val="single" w:sz="4" w:space="0" w:color="DF2F1E"/>
            </w:tcBorders>
            <w:shd w:val="clear" w:color="auto" w:fill="F7DCE0"/>
          </w:tcPr>
          <w:p>
            <w:pPr>
              <w:pStyle w:val="TableParagraph"/>
              <w:spacing w:before="34"/>
              <w:ind w:right="294"/>
              <w:jc w:val="right"/>
              <w:rPr>
                <w:b/>
                <w:sz w:val="16"/>
              </w:rPr>
            </w:pPr>
            <w:r>
              <w:rPr>
                <w:b/>
                <w:color w:val="404040"/>
                <w:sz w:val="16"/>
              </w:rPr>
              <w:t>71,000</w:t>
            </w:r>
          </w:p>
        </w:tc>
        <w:tc>
          <w:tcPr>
            <w:tcW w:w="1659" w:type="dxa"/>
            <w:tcBorders>
              <w:bottom w:val="single" w:sz="4" w:space="0" w:color="DF2F1E"/>
            </w:tcBorders>
            <w:shd w:val="clear" w:color="auto" w:fill="F7DCE0"/>
          </w:tcPr>
          <w:p>
            <w:pPr>
              <w:pStyle w:val="TableParagraph"/>
              <w:spacing w:before="34"/>
              <w:ind w:left="622"/>
              <w:rPr>
                <w:b/>
                <w:sz w:val="16"/>
              </w:rPr>
            </w:pPr>
            <w:r>
              <w:rPr>
                <w:b/>
                <w:color w:val="404040"/>
                <w:sz w:val="16"/>
              </w:rPr>
              <w:t>100%</w:t>
            </w:r>
          </w:p>
        </w:tc>
        <w:tc>
          <w:tcPr>
            <w:tcW w:w="1575" w:type="dxa"/>
            <w:tcBorders>
              <w:bottom w:val="single" w:sz="4" w:space="0" w:color="DF2F1E"/>
            </w:tcBorders>
            <w:shd w:val="clear" w:color="auto" w:fill="F7DCE0"/>
          </w:tcPr>
          <w:p>
            <w:pPr>
              <w:pStyle w:val="TableParagraph"/>
              <w:spacing w:before="34"/>
              <w:ind w:left="464" w:right="488"/>
              <w:jc w:val="center"/>
              <w:rPr>
                <w:b/>
                <w:sz w:val="16"/>
              </w:rPr>
            </w:pPr>
            <w:r>
              <w:rPr>
                <w:b/>
                <w:color w:val="404040"/>
                <w:sz w:val="16"/>
              </w:rPr>
              <w:t>265,000</w:t>
            </w:r>
          </w:p>
        </w:tc>
        <w:tc>
          <w:tcPr>
            <w:tcW w:w="1609" w:type="dxa"/>
            <w:tcBorders>
              <w:bottom w:val="single" w:sz="4" w:space="0" w:color="DF2F1E"/>
              <w:right w:val="single" w:sz="4" w:space="0" w:color="DF2F1E"/>
            </w:tcBorders>
            <w:shd w:val="clear" w:color="auto" w:fill="F7DCE0"/>
          </w:tcPr>
          <w:p>
            <w:pPr>
              <w:pStyle w:val="TableParagraph"/>
              <w:spacing w:before="34"/>
              <w:ind w:left="578" w:right="574"/>
              <w:jc w:val="center"/>
              <w:rPr>
                <w:b/>
                <w:sz w:val="16"/>
              </w:rPr>
            </w:pPr>
            <w:r>
              <w:rPr>
                <w:b/>
                <w:color w:val="404040"/>
                <w:sz w:val="16"/>
              </w:rPr>
              <w:t>100%</w:t>
            </w:r>
          </w:p>
        </w:tc>
      </w:tr>
      <w:tr>
        <w:trPr>
          <w:trHeight w:val="262" w:hRule="atLeast"/>
        </w:trPr>
        <w:tc>
          <w:tcPr>
            <w:tcW w:w="3585" w:type="dxa"/>
            <w:tcBorders>
              <w:top w:val="single" w:sz="4" w:space="0" w:color="DF2F1E"/>
              <w:left w:val="single" w:sz="4" w:space="0" w:color="DF2F1E"/>
            </w:tcBorders>
          </w:tcPr>
          <w:p>
            <w:pPr>
              <w:pStyle w:val="TableParagraph"/>
              <w:spacing w:before="34"/>
              <w:ind w:left="107"/>
              <w:rPr>
                <w:b/>
                <w:sz w:val="16"/>
              </w:rPr>
            </w:pPr>
            <w:r>
              <w:rPr>
                <w:b/>
                <w:color w:val="404040"/>
                <w:sz w:val="16"/>
              </w:rPr>
              <w:t>Number of adult / child carees</w:t>
            </w:r>
          </w:p>
        </w:tc>
        <w:tc>
          <w:tcPr>
            <w:tcW w:w="1358" w:type="dxa"/>
            <w:tcBorders>
              <w:top w:val="single" w:sz="4" w:space="0" w:color="DF2F1E"/>
            </w:tcBorders>
          </w:tcPr>
          <w:p>
            <w:pPr>
              <w:pStyle w:val="TableParagraph"/>
              <w:spacing w:before="0"/>
              <w:rPr>
                <w:rFonts w:ascii="Times New Roman"/>
                <w:sz w:val="18"/>
              </w:rPr>
            </w:pPr>
          </w:p>
        </w:tc>
        <w:tc>
          <w:tcPr>
            <w:tcW w:w="1659" w:type="dxa"/>
            <w:tcBorders>
              <w:top w:val="single" w:sz="4" w:space="0" w:color="DF2F1E"/>
            </w:tcBorders>
          </w:tcPr>
          <w:p>
            <w:pPr>
              <w:pStyle w:val="TableParagraph"/>
              <w:spacing w:before="0"/>
              <w:rPr>
                <w:rFonts w:ascii="Times New Roman"/>
                <w:sz w:val="18"/>
              </w:rPr>
            </w:pPr>
          </w:p>
        </w:tc>
        <w:tc>
          <w:tcPr>
            <w:tcW w:w="1575" w:type="dxa"/>
            <w:tcBorders>
              <w:top w:val="single" w:sz="4" w:space="0" w:color="DF2F1E"/>
            </w:tcBorders>
          </w:tcPr>
          <w:p>
            <w:pPr>
              <w:pStyle w:val="TableParagraph"/>
              <w:spacing w:before="0"/>
              <w:rPr>
                <w:rFonts w:ascii="Times New Roman"/>
                <w:sz w:val="18"/>
              </w:rPr>
            </w:pPr>
          </w:p>
        </w:tc>
        <w:tc>
          <w:tcPr>
            <w:tcW w:w="1609" w:type="dxa"/>
            <w:tcBorders>
              <w:top w:val="single" w:sz="4" w:space="0" w:color="DF2F1E"/>
              <w:right w:val="single" w:sz="4" w:space="0" w:color="DF2F1E"/>
            </w:tcBorders>
          </w:tcPr>
          <w:p>
            <w:pPr>
              <w:pStyle w:val="TableParagraph"/>
              <w:spacing w:before="0"/>
              <w:rPr>
                <w:rFonts w:ascii="Times New Roman"/>
                <w:sz w:val="18"/>
              </w:rPr>
            </w:pPr>
          </w:p>
        </w:tc>
      </w:tr>
      <w:tr>
        <w:trPr>
          <w:trHeight w:val="265" w:hRule="atLeast"/>
        </w:trPr>
        <w:tc>
          <w:tcPr>
            <w:tcW w:w="3585" w:type="dxa"/>
            <w:tcBorders>
              <w:left w:val="single" w:sz="4" w:space="0" w:color="DF2F1E"/>
            </w:tcBorders>
          </w:tcPr>
          <w:p>
            <w:pPr>
              <w:pStyle w:val="TableParagraph"/>
              <w:spacing w:before="39"/>
              <w:ind w:left="287"/>
              <w:rPr>
                <w:b/>
                <w:i/>
                <w:sz w:val="16"/>
              </w:rPr>
            </w:pPr>
            <w:r>
              <w:rPr>
                <w:b/>
                <w:i/>
                <w:color w:val="404040"/>
                <w:sz w:val="16"/>
              </w:rPr>
              <w:t>- 1 adult caree only</w:t>
            </w:r>
          </w:p>
        </w:tc>
        <w:tc>
          <w:tcPr>
            <w:tcW w:w="1358" w:type="dxa"/>
          </w:tcPr>
          <w:p>
            <w:pPr>
              <w:pStyle w:val="TableParagraph"/>
              <w:spacing w:before="39"/>
              <w:ind w:right="294"/>
              <w:jc w:val="right"/>
              <w:rPr>
                <w:sz w:val="16"/>
              </w:rPr>
            </w:pPr>
            <w:r>
              <w:rPr>
                <w:color w:val="404040"/>
                <w:sz w:val="16"/>
              </w:rPr>
              <w:t>41,000</w:t>
            </w:r>
          </w:p>
        </w:tc>
        <w:tc>
          <w:tcPr>
            <w:tcW w:w="1659" w:type="dxa"/>
          </w:tcPr>
          <w:p>
            <w:pPr>
              <w:pStyle w:val="TableParagraph"/>
              <w:spacing w:before="39"/>
              <w:ind w:left="668"/>
              <w:rPr>
                <w:sz w:val="16"/>
              </w:rPr>
            </w:pPr>
            <w:r>
              <w:rPr>
                <w:color w:val="404040"/>
                <w:sz w:val="16"/>
              </w:rPr>
              <w:t>58%</w:t>
            </w:r>
          </w:p>
        </w:tc>
        <w:tc>
          <w:tcPr>
            <w:tcW w:w="1575" w:type="dxa"/>
          </w:tcPr>
          <w:p>
            <w:pPr>
              <w:pStyle w:val="TableParagraph"/>
              <w:spacing w:before="39"/>
              <w:ind w:left="464" w:right="488"/>
              <w:jc w:val="center"/>
              <w:rPr>
                <w:sz w:val="16"/>
              </w:rPr>
            </w:pPr>
            <w:r>
              <w:rPr>
                <w:color w:val="404040"/>
                <w:sz w:val="16"/>
              </w:rPr>
              <w:t>252,000</w:t>
            </w:r>
          </w:p>
        </w:tc>
        <w:tc>
          <w:tcPr>
            <w:tcW w:w="1609" w:type="dxa"/>
            <w:tcBorders>
              <w:right w:val="single" w:sz="4" w:space="0" w:color="DF2F1E"/>
            </w:tcBorders>
          </w:tcPr>
          <w:p>
            <w:pPr>
              <w:pStyle w:val="TableParagraph"/>
              <w:spacing w:before="39"/>
              <w:ind w:left="578" w:right="572"/>
              <w:jc w:val="center"/>
              <w:rPr>
                <w:sz w:val="16"/>
              </w:rPr>
            </w:pPr>
            <w:r>
              <w:rPr>
                <w:color w:val="404040"/>
                <w:sz w:val="16"/>
              </w:rPr>
              <w:t>95%</w:t>
            </w:r>
          </w:p>
        </w:tc>
      </w:tr>
      <w:tr>
        <w:trPr>
          <w:trHeight w:val="264" w:hRule="atLeast"/>
        </w:trPr>
        <w:tc>
          <w:tcPr>
            <w:tcW w:w="3585" w:type="dxa"/>
            <w:tcBorders>
              <w:left w:val="single" w:sz="4" w:space="0" w:color="DF2F1E"/>
            </w:tcBorders>
          </w:tcPr>
          <w:p>
            <w:pPr>
              <w:pStyle w:val="TableParagraph"/>
              <w:ind w:left="287"/>
              <w:rPr>
                <w:b/>
                <w:i/>
                <w:sz w:val="16"/>
              </w:rPr>
            </w:pPr>
            <w:r>
              <w:rPr>
                <w:b/>
                <w:i/>
                <w:color w:val="404040"/>
                <w:sz w:val="16"/>
              </w:rPr>
              <w:t>- 1 child caree only</w:t>
            </w:r>
          </w:p>
        </w:tc>
        <w:tc>
          <w:tcPr>
            <w:tcW w:w="1358" w:type="dxa"/>
          </w:tcPr>
          <w:p>
            <w:pPr>
              <w:pStyle w:val="TableParagraph"/>
              <w:ind w:right="294"/>
              <w:jc w:val="right"/>
              <w:rPr>
                <w:sz w:val="16"/>
              </w:rPr>
            </w:pPr>
            <w:r>
              <w:rPr>
                <w:color w:val="404040"/>
                <w:sz w:val="16"/>
              </w:rPr>
              <w:t>20,000</w:t>
            </w:r>
          </w:p>
        </w:tc>
        <w:tc>
          <w:tcPr>
            <w:tcW w:w="1659" w:type="dxa"/>
          </w:tcPr>
          <w:p>
            <w:pPr>
              <w:pStyle w:val="TableParagraph"/>
              <w:ind w:left="668"/>
              <w:rPr>
                <w:sz w:val="16"/>
              </w:rPr>
            </w:pPr>
            <w:r>
              <w:rPr>
                <w:color w:val="404040"/>
                <w:sz w:val="16"/>
              </w:rPr>
              <w:t>29%</w:t>
            </w:r>
          </w:p>
        </w:tc>
        <w:tc>
          <w:tcPr>
            <w:tcW w:w="1575" w:type="dxa"/>
          </w:tcPr>
          <w:p>
            <w:pPr>
              <w:pStyle w:val="TableParagraph"/>
              <w:ind w:left="464" w:right="488"/>
              <w:jc w:val="center"/>
              <w:rPr>
                <w:sz w:val="16"/>
              </w:rPr>
            </w:pPr>
            <w:r>
              <w:rPr>
                <w:color w:val="404040"/>
                <w:sz w:val="16"/>
              </w:rPr>
              <w:t>282,000</w:t>
            </w:r>
          </w:p>
        </w:tc>
        <w:tc>
          <w:tcPr>
            <w:tcW w:w="1609" w:type="dxa"/>
            <w:tcBorders>
              <w:right w:val="single" w:sz="4" w:space="0" w:color="DF2F1E"/>
            </w:tcBorders>
          </w:tcPr>
          <w:p>
            <w:pPr>
              <w:pStyle w:val="TableParagraph"/>
              <w:ind w:left="578" w:right="574"/>
              <w:jc w:val="center"/>
              <w:rPr>
                <w:sz w:val="16"/>
              </w:rPr>
            </w:pPr>
            <w:r>
              <w:rPr>
                <w:color w:val="404040"/>
                <w:sz w:val="16"/>
              </w:rPr>
              <w:t>107%</w:t>
            </w:r>
          </w:p>
        </w:tc>
      </w:tr>
      <w:tr>
        <w:trPr>
          <w:trHeight w:val="264" w:hRule="atLeast"/>
        </w:trPr>
        <w:tc>
          <w:tcPr>
            <w:tcW w:w="3585" w:type="dxa"/>
            <w:tcBorders>
              <w:left w:val="single" w:sz="4" w:space="0" w:color="DF2F1E"/>
            </w:tcBorders>
          </w:tcPr>
          <w:p>
            <w:pPr>
              <w:pStyle w:val="TableParagraph"/>
              <w:ind w:left="287"/>
              <w:rPr>
                <w:b/>
                <w:i/>
                <w:sz w:val="16"/>
              </w:rPr>
            </w:pPr>
            <w:r>
              <w:rPr>
                <w:b/>
                <w:i/>
                <w:color w:val="404040"/>
                <w:sz w:val="16"/>
              </w:rPr>
              <w:t>- 2+ adult carees only</w:t>
            </w:r>
          </w:p>
        </w:tc>
        <w:tc>
          <w:tcPr>
            <w:tcW w:w="1358" w:type="dxa"/>
          </w:tcPr>
          <w:p>
            <w:pPr>
              <w:pStyle w:val="TableParagraph"/>
              <w:ind w:right="340"/>
              <w:jc w:val="right"/>
              <w:rPr>
                <w:sz w:val="16"/>
              </w:rPr>
            </w:pPr>
            <w:r>
              <w:rPr>
                <w:color w:val="404040"/>
                <w:sz w:val="16"/>
              </w:rPr>
              <w:t>5,000</w:t>
            </w:r>
          </w:p>
        </w:tc>
        <w:tc>
          <w:tcPr>
            <w:tcW w:w="1659" w:type="dxa"/>
          </w:tcPr>
          <w:p>
            <w:pPr>
              <w:pStyle w:val="TableParagraph"/>
              <w:ind w:left="711"/>
              <w:rPr>
                <w:sz w:val="16"/>
              </w:rPr>
            </w:pPr>
            <w:r>
              <w:rPr>
                <w:color w:val="404040"/>
                <w:sz w:val="16"/>
              </w:rPr>
              <w:t>7%</w:t>
            </w:r>
          </w:p>
        </w:tc>
        <w:tc>
          <w:tcPr>
            <w:tcW w:w="1575" w:type="dxa"/>
          </w:tcPr>
          <w:p>
            <w:pPr>
              <w:pStyle w:val="TableParagraph"/>
              <w:ind w:left="464" w:right="488"/>
              <w:jc w:val="center"/>
              <w:rPr>
                <w:sz w:val="16"/>
              </w:rPr>
            </w:pPr>
            <w:r>
              <w:rPr>
                <w:color w:val="404040"/>
                <w:sz w:val="16"/>
              </w:rPr>
              <w:t>274,000</w:t>
            </w:r>
          </w:p>
        </w:tc>
        <w:tc>
          <w:tcPr>
            <w:tcW w:w="1609" w:type="dxa"/>
            <w:tcBorders>
              <w:right w:val="single" w:sz="4" w:space="0" w:color="DF2F1E"/>
            </w:tcBorders>
          </w:tcPr>
          <w:p>
            <w:pPr>
              <w:pStyle w:val="TableParagraph"/>
              <w:ind w:left="578" w:right="574"/>
              <w:jc w:val="center"/>
              <w:rPr>
                <w:sz w:val="16"/>
              </w:rPr>
            </w:pPr>
            <w:r>
              <w:rPr>
                <w:color w:val="404040"/>
                <w:sz w:val="16"/>
              </w:rPr>
              <w:t>104%</w:t>
            </w:r>
          </w:p>
        </w:tc>
      </w:tr>
      <w:tr>
        <w:trPr>
          <w:trHeight w:val="264" w:hRule="atLeast"/>
        </w:trPr>
        <w:tc>
          <w:tcPr>
            <w:tcW w:w="3585" w:type="dxa"/>
            <w:tcBorders>
              <w:left w:val="single" w:sz="4" w:space="0" w:color="DF2F1E"/>
            </w:tcBorders>
          </w:tcPr>
          <w:p>
            <w:pPr>
              <w:pStyle w:val="TableParagraph"/>
              <w:ind w:left="287"/>
              <w:rPr>
                <w:b/>
                <w:i/>
                <w:sz w:val="16"/>
              </w:rPr>
            </w:pPr>
            <w:r>
              <w:rPr>
                <w:b/>
                <w:i/>
                <w:color w:val="404040"/>
                <w:sz w:val="16"/>
              </w:rPr>
              <w:t>- 2+ child carees only</w:t>
            </w:r>
          </w:p>
        </w:tc>
        <w:tc>
          <w:tcPr>
            <w:tcW w:w="1358" w:type="dxa"/>
          </w:tcPr>
          <w:p>
            <w:pPr>
              <w:pStyle w:val="TableParagraph"/>
              <w:ind w:right="340"/>
              <w:jc w:val="right"/>
              <w:rPr>
                <w:sz w:val="16"/>
              </w:rPr>
            </w:pPr>
            <w:r>
              <w:rPr>
                <w:color w:val="404040"/>
                <w:sz w:val="16"/>
              </w:rPr>
              <w:t>1,000</w:t>
            </w:r>
          </w:p>
        </w:tc>
        <w:tc>
          <w:tcPr>
            <w:tcW w:w="1659" w:type="dxa"/>
          </w:tcPr>
          <w:p>
            <w:pPr>
              <w:pStyle w:val="TableParagraph"/>
              <w:ind w:left="711"/>
              <w:rPr>
                <w:sz w:val="16"/>
              </w:rPr>
            </w:pPr>
            <w:r>
              <w:rPr>
                <w:color w:val="404040"/>
                <w:sz w:val="16"/>
              </w:rPr>
              <w:t>2%</w:t>
            </w:r>
          </w:p>
        </w:tc>
        <w:tc>
          <w:tcPr>
            <w:tcW w:w="1575" w:type="dxa"/>
          </w:tcPr>
          <w:p>
            <w:pPr>
              <w:pStyle w:val="TableParagraph"/>
              <w:ind w:left="464" w:right="488"/>
              <w:jc w:val="center"/>
              <w:rPr>
                <w:sz w:val="16"/>
              </w:rPr>
            </w:pPr>
            <w:r>
              <w:rPr>
                <w:color w:val="404040"/>
                <w:sz w:val="16"/>
              </w:rPr>
              <w:t>303,000</w:t>
            </w:r>
          </w:p>
        </w:tc>
        <w:tc>
          <w:tcPr>
            <w:tcW w:w="1609" w:type="dxa"/>
            <w:tcBorders>
              <w:right w:val="single" w:sz="4" w:space="0" w:color="DF2F1E"/>
            </w:tcBorders>
          </w:tcPr>
          <w:p>
            <w:pPr>
              <w:pStyle w:val="TableParagraph"/>
              <w:ind w:left="578" w:right="574"/>
              <w:jc w:val="center"/>
              <w:rPr>
                <w:sz w:val="16"/>
              </w:rPr>
            </w:pPr>
            <w:r>
              <w:rPr>
                <w:color w:val="404040"/>
                <w:sz w:val="16"/>
              </w:rPr>
              <w:t>115%</w:t>
            </w:r>
          </w:p>
        </w:tc>
      </w:tr>
      <w:tr>
        <w:trPr>
          <w:trHeight w:val="264" w:hRule="atLeast"/>
        </w:trPr>
        <w:tc>
          <w:tcPr>
            <w:tcW w:w="3585" w:type="dxa"/>
            <w:tcBorders>
              <w:left w:val="single" w:sz="4" w:space="0" w:color="DF2F1E"/>
              <w:bottom w:val="single" w:sz="4" w:space="0" w:color="DF2F1E"/>
            </w:tcBorders>
          </w:tcPr>
          <w:p>
            <w:pPr>
              <w:pStyle w:val="TableParagraph"/>
              <w:ind w:left="287"/>
              <w:rPr>
                <w:b/>
                <w:i/>
                <w:sz w:val="16"/>
              </w:rPr>
            </w:pPr>
            <w:r>
              <w:rPr>
                <w:b/>
                <w:i/>
                <w:color w:val="404040"/>
                <w:sz w:val="16"/>
              </w:rPr>
              <w:t>- Other</w:t>
            </w:r>
          </w:p>
        </w:tc>
        <w:tc>
          <w:tcPr>
            <w:tcW w:w="1358" w:type="dxa"/>
            <w:tcBorders>
              <w:bottom w:val="single" w:sz="4" w:space="0" w:color="DF2F1E"/>
            </w:tcBorders>
          </w:tcPr>
          <w:p>
            <w:pPr>
              <w:pStyle w:val="TableParagraph"/>
              <w:ind w:right="340"/>
              <w:jc w:val="right"/>
              <w:rPr>
                <w:sz w:val="16"/>
              </w:rPr>
            </w:pPr>
            <w:r>
              <w:rPr>
                <w:color w:val="404040"/>
                <w:sz w:val="16"/>
              </w:rPr>
              <w:t>3,000</w:t>
            </w:r>
          </w:p>
        </w:tc>
        <w:tc>
          <w:tcPr>
            <w:tcW w:w="1659" w:type="dxa"/>
            <w:tcBorders>
              <w:bottom w:val="single" w:sz="4" w:space="0" w:color="DF2F1E"/>
            </w:tcBorders>
          </w:tcPr>
          <w:p>
            <w:pPr>
              <w:pStyle w:val="TableParagraph"/>
              <w:ind w:left="711"/>
              <w:rPr>
                <w:sz w:val="16"/>
              </w:rPr>
            </w:pPr>
            <w:r>
              <w:rPr>
                <w:color w:val="404040"/>
                <w:sz w:val="16"/>
              </w:rPr>
              <w:t>4%</w:t>
            </w:r>
          </w:p>
        </w:tc>
        <w:tc>
          <w:tcPr>
            <w:tcW w:w="1575" w:type="dxa"/>
            <w:tcBorders>
              <w:bottom w:val="single" w:sz="4" w:space="0" w:color="DF2F1E"/>
            </w:tcBorders>
          </w:tcPr>
          <w:p>
            <w:pPr>
              <w:pStyle w:val="TableParagraph"/>
              <w:ind w:left="464" w:right="488"/>
              <w:jc w:val="center"/>
              <w:rPr>
                <w:sz w:val="16"/>
              </w:rPr>
            </w:pPr>
            <w:r>
              <w:rPr>
                <w:color w:val="404040"/>
                <w:sz w:val="16"/>
              </w:rPr>
              <w:t>294,000</w:t>
            </w:r>
          </w:p>
        </w:tc>
        <w:tc>
          <w:tcPr>
            <w:tcW w:w="1609" w:type="dxa"/>
            <w:tcBorders>
              <w:bottom w:val="single" w:sz="4" w:space="0" w:color="DF2F1E"/>
              <w:right w:val="single" w:sz="4" w:space="0" w:color="DF2F1E"/>
            </w:tcBorders>
          </w:tcPr>
          <w:p>
            <w:pPr>
              <w:pStyle w:val="TableParagraph"/>
              <w:ind w:left="578" w:right="574"/>
              <w:jc w:val="center"/>
              <w:rPr>
                <w:sz w:val="16"/>
              </w:rPr>
            </w:pPr>
            <w:r>
              <w:rPr>
                <w:color w:val="404040"/>
                <w:sz w:val="16"/>
              </w:rPr>
              <w:t>111%</w:t>
            </w:r>
          </w:p>
        </w:tc>
      </w:tr>
      <w:tr>
        <w:trPr>
          <w:trHeight w:val="262" w:hRule="atLeast"/>
        </w:trPr>
        <w:tc>
          <w:tcPr>
            <w:tcW w:w="3585" w:type="dxa"/>
            <w:tcBorders>
              <w:top w:val="single" w:sz="4" w:space="0" w:color="DF2F1E"/>
              <w:left w:val="single" w:sz="4" w:space="0" w:color="DF2F1E"/>
            </w:tcBorders>
          </w:tcPr>
          <w:p>
            <w:pPr>
              <w:pStyle w:val="TableParagraph"/>
              <w:spacing w:before="34"/>
              <w:ind w:left="107"/>
              <w:rPr>
                <w:b/>
                <w:sz w:val="16"/>
              </w:rPr>
            </w:pPr>
            <w:r>
              <w:rPr>
                <w:b/>
                <w:color w:val="404040"/>
                <w:sz w:val="16"/>
              </w:rPr>
              <w:t>Age of youngest child</w:t>
            </w:r>
          </w:p>
        </w:tc>
        <w:tc>
          <w:tcPr>
            <w:tcW w:w="1358" w:type="dxa"/>
            <w:tcBorders>
              <w:top w:val="single" w:sz="4" w:space="0" w:color="DF2F1E"/>
            </w:tcBorders>
          </w:tcPr>
          <w:p>
            <w:pPr>
              <w:pStyle w:val="TableParagraph"/>
              <w:spacing w:before="0"/>
              <w:rPr>
                <w:rFonts w:ascii="Times New Roman"/>
                <w:sz w:val="18"/>
              </w:rPr>
            </w:pPr>
          </w:p>
        </w:tc>
        <w:tc>
          <w:tcPr>
            <w:tcW w:w="1659" w:type="dxa"/>
            <w:tcBorders>
              <w:top w:val="single" w:sz="4" w:space="0" w:color="DF2F1E"/>
            </w:tcBorders>
          </w:tcPr>
          <w:p>
            <w:pPr>
              <w:pStyle w:val="TableParagraph"/>
              <w:spacing w:before="0"/>
              <w:rPr>
                <w:rFonts w:ascii="Times New Roman"/>
                <w:sz w:val="18"/>
              </w:rPr>
            </w:pPr>
          </w:p>
        </w:tc>
        <w:tc>
          <w:tcPr>
            <w:tcW w:w="1575" w:type="dxa"/>
            <w:tcBorders>
              <w:top w:val="single" w:sz="4" w:space="0" w:color="DF2F1E"/>
            </w:tcBorders>
          </w:tcPr>
          <w:p>
            <w:pPr>
              <w:pStyle w:val="TableParagraph"/>
              <w:spacing w:before="0"/>
              <w:rPr>
                <w:rFonts w:ascii="Times New Roman"/>
                <w:sz w:val="18"/>
              </w:rPr>
            </w:pPr>
          </w:p>
        </w:tc>
        <w:tc>
          <w:tcPr>
            <w:tcW w:w="1609" w:type="dxa"/>
            <w:tcBorders>
              <w:top w:val="single" w:sz="4" w:space="0" w:color="DF2F1E"/>
              <w:right w:val="single" w:sz="4" w:space="0" w:color="DF2F1E"/>
            </w:tcBorders>
          </w:tcPr>
          <w:p>
            <w:pPr>
              <w:pStyle w:val="TableParagraph"/>
              <w:spacing w:before="0"/>
              <w:rPr>
                <w:rFonts w:ascii="Times New Roman"/>
                <w:sz w:val="18"/>
              </w:rPr>
            </w:pPr>
          </w:p>
        </w:tc>
      </w:tr>
      <w:tr>
        <w:trPr>
          <w:trHeight w:val="265" w:hRule="atLeast"/>
        </w:trPr>
        <w:tc>
          <w:tcPr>
            <w:tcW w:w="3585" w:type="dxa"/>
            <w:tcBorders>
              <w:left w:val="single" w:sz="4" w:space="0" w:color="DF2F1E"/>
            </w:tcBorders>
          </w:tcPr>
          <w:p>
            <w:pPr>
              <w:pStyle w:val="TableParagraph"/>
              <w:spacing w:before="39"/>
              <w:ind w:left="287"/>
              <w:rPr>
                <w:b/>
                <w:i/>
                <w:sz w:val="16"/>
              </w:rPr>
            </w:pPr>
            <w:r>
              <w:rPr>
                <w:b/>
                <w:i/>
                <w:color w:val="404040"/>
                <w:sz w:val="16"/>
              </w:rPr>
              <w:t>- No children</w:t>
            </w:r>
          </w:p>
        </w:tc>
        <w:tc>
          <w:tcPr>
            <w:tcW w:w="1358" w:type="dxa"/>
          </w:tcPr>
          <w:p>
            <w:pPr>
              <w:pStyle w:val="TableParagraph"/>
              <w:spacing w:before="39"/>
              <w:ind w:right="340"/>
              <w:jc w:val="right"/>
              <w:rPr>
                <w:sz w:val="16"/>
              </w:rPr>
            </w:pPr>
            <w:r>
              <w:rPr>
                <w:color w:val="404040"/>
                <w:sz w:val="16"/>
              </w:rPr>
              <w:t>9,000</w:t>
            </w:r>
          </w:p>
        </w:tc>
        <w:tc>
          <w:tcPr>
            <w:tcW w:w="1659" w:type="dxa"/>
          </w:tcPr>
          <w:p>
            <w:pPr>
              <w:pStyle w:val="TableParagraph"/>
              <w:spacing w:before="39"/>
              <w:ind w:left="668"/>
              <w:rPr>
                <w:sz w:val="16"/>
              </w:rPr>
            </w:pPr>
            <w:r>
              <w:rPr>
                <w:color w:val="404040"/>
                <w:sz w:val="16"/>
              </w:rPr>
              <w:t>12%</w:t>
            </w:r>
          </w:p>
        </w:tc>
        <w:tc>
          <w:tcPr>
            <w:tcW w:w="1575" w:type="dxa"/>
          </w:tcPr>
          <w:p>
            <w:pPr>
              <w:pStyle w:val="TableParagraph"/>
              <w:spacing w:before="39"/>
              <w:ind w:left="464" w:right="488"/>
              <w:jc w:val="center"/>
              <w:rPr>
                <w:sz w:val="16"/>
              </w:rPr>
            </w:pPr>
            <w:r>
              <w:rPr>
                <w:color w:val="404040"/>
                <w:sz w:val="16"/>
              </w:rPr>
              <w:t>296,000</w:t>
            </w:r>
          </w:p>
        </w:tc>
        <w:tc>
          <w:tcPr>
            <w:tcW w:w="1609" w:type="dxa"/>
            <w:tcBorders>
              <w:right w:val="single" w:sz="4" w:space="0" w:color="DF2F1E"/>
            </w:tcBorders>
          </w:tcPr>
          <w:p>
            <w:pPr>
              <w:pStyle w:val="TableParagraph"/>
              <w:spacing w:before="39"/>
              <w:ind w:left="578" w:right="575"/>
              <w:jc w:val="center"/>
              <w:rPr>
                <w:sz w:val="16"/>
              </w:rPr>
            </w:pPr>
            <w:r>
              <w:rPr>
                <w:color w:val="404040"/>
                <w:sz w:val="16"/>
              </w:rPr>
              <w:t>112%</w:t>
            </w:r>
          </w:p>
        </w:tc>
      </w:tr>
      <w:tr>
        <w:trPr>
          <w:trHeight w:val="264" w:hRule="atLeast"/>
        </w:trPr>
        <w:tc>
          <w:tcPr>
            <w:tcW w:w="3585" w:type="dxa"/>
            <w:tcBorders>
              <w:left w:val="single" w:sz="4" w:space="0" w:color="DF2F1E"/>
            </w:tcBorders>
          </w:tcPr>
          <w:p>
            <w:pPr>
              <w:pStyle w:val="TableParagraph"/>
              <w:ind w:left="287"/>
              <w:rPr>
                <w:b/>
                <w:i/>
                <w:sz w:val="16"/>
              </w:rPr>
            </w:pPr>
            <w:r>
              <w:rPr>
                <w:b/>
                <w:i/>
                <w:color w:val="404040"/>
                <w:sz w:val="16"/>
              </w:rPr>
              <w:t>- 0-1 Years old</w:t>
            </w:r>
          </w:p>
        </w:tc>
        <w:tc>
          <w:tcPr>
            <w:tcW w:w="1358" w:type="dxa"/>
          </w:tcPr>
          <w:p>
            <w:pPr>
              <w:pStyle w:val="TableParagraph"/>
              <w:ind w:right="340"/>
              <w:jc w:val="right"/>
              <w:rPr>
                <w:sz w:val="16"/>
              </w:rPr>
            </w:pPr>
            <w:r>
              <w:rPr>
                <w:color w:val="404040"/>
                <w:sz w:val="16"/>
              </w:rPr>
              <w:t>1,000</w:t>
            </w:r>
          </w:p>
        </w:tc>
        <w:tc>
          <w:tcPr>
            <w:tcW w:w="1659" w:type="dxa"/>
          </w:tcPr>
          <w:p>
            <w:pPr>
              <w:pStyle w:val="TableParagraph"/>
              <w:ind w:left="711"/>
              <w:rPr>
                <w:sz w:val="16"/>
              </w:rPr>
            </w:pPr>
            <w:r>
              <w:rPr>
                <w:color w:val="404040"/>
                <w:sz w:val="16"/>
              </w:rPr>
              <w:t>2%</w:t>
            </w:r>
          </w:p>
        </w:tc>
        <w:tc>
          <w:tcPr>
            <w:tcW w:w="1575" w:type="dxa"/>
          </w:tcPr>
          <w:p>
            <w:pPr>
              <w:pStyle w:val="TableParagraph"/>
              <w:ind w:left="464" w:right="488"/>
              <w:jc w:val="center"/>
              <w:rPr>
                <w:sz w:val="16"/>
              </w:rPr>
            </w:pPr>
            <w:r>
              <w:rPr>
                <w:color w:val="404040"/>
                <w:sz w:val="16"/>
              </w:rPr>
              <w:t>307,000</w:t>
            </w:r>
          </w:p>
        </w:tc>
        <w:tc>
          <w:tcPr>
            <w:tcW w:w="1609" w:type="dxa"/>
            <w:tcBorders>
              <w:right w:val="single" w:sz="4" w:space="0" w:color="DF2F1E"/>
            </w:tcBorders>
          </w:tcPr>
          <w:p>
            <w:pPr>
              <w:pStyle w:val="TableParagraph"/>
              <w:ind w:left="578" w:right="574"/>
              <w:jc w:val="center"/>
              <w:rPr>
                <w:sz w:val="16"/>
              </w:rPr>
            </w:pPr>
            <w:r>
              <w:rPr>
                <w:color w:val="404040"/>
                <w:sz w:val="16"/>
              </w:rPr>
              <w:t>116%</w:t>
            </w:r>
          </w:p>
        </w:tc>
      </w:tr>
      <w:tr>
        <w:trPr>
          <w:trHeight w:val="263" w:hRule="atLeast"/>
        </w:trPr>
        <w:tc>
          <w:tcPr>
            <w:tcW w:w="3585" w:type="dxa"/>
            <w:tcBorders>
              <w:left w:val="single" w:sz="4" w:space="0" w:color="DF2F1E"/>
            </w:tcBorders>
          </w:tcPr>
          <w:p>
            <w:pPr>
              <w:pStyle w:val="TableParagraph"/>
              <w:ind w:left="287"/>
              <w:rPr>
                <w:b/>
                <w:i/>
                <w:sz w:val="16"/>
              </w:rPr>
            </w:pPr>
            <w:r>
              <w:rPr>
                <w:b/>
                <w:i/>
                <w:color w:val="404040"/>
                <w:sz w:val="16"/>
              </w:rPr>
              <w:t>- 2-6 Years old</w:t>
            </w:r>
          </w:p>
        </w:tc>
        <w:tc>
          <w:tcPr>
            <w:tcW w:w="1358" w:type="dxa"/>
          </w:tcPr>
          <w:p>
            <w:pPr>
              <w:pStyle w:val="TableParagraph"/>
              <w:ind w:right="294"/>
              <w:jc w:val="right"/>
              <w:rPr>
                <w:sz w:val="16"/>
              </w:rPr>
            </w:pPr>
            <w:r>
              <w:rPr>
                <w:color w:val="404040"/>
                <w:sz w:val="16"/>
              </w:rPr>
              <w:t>12,000</w:t>
            </w:r>
          </w:p>
        </w:tc>
        <w:tc>
          <w:tcPr>
            <w:tcW w:w="1659" w:type="dxa"/>
          </w:tcPr>
          <w:p>
            <w:pPr>
              <w:pStyle w:val="TableParagraph"/>
              <w:ind w:left="668"/>
              <w:rPr>
                <w:sz w:val="16"/>
              </w:rPr>
            </w:pPr>
            <w:r>
              <w:rPr>
                <w:color w:val="404040"/>
                <w:sz w:val="16"/>
              </w:rPr>
              <w:t>18%</w:t>
            </w:r>
          </w:p>
        </w:tc>
        <w:tc>
          <w:tcPr>
            <w:tcW w:w="1575" w:type="dxa"/>
          </w:tcPr>
          <w:p>
            <w:pPr>
              <w:pStyle w:val="TableParagraph"/>
              <w:ind w:left="464" w:right="488"/>
              <w:jc w:val="center"/>
              <w:rPr>
                <w:sz w:val="16"/>
              </w:rPr>
            </w:pPr>
            <w:r>
              <w:rPr>
                <w:color w:val="404040"/>
                <w:sz w:val="16"/>
              </w:rPr>
              <w:t>275,000</w:t>
            </w:r>
          </w:p>
        </w:tc>
        <w:tc>
          <w:tcPr>
            <w:tcW w:w="1609" w:type="dxa"/>
            <w:tcBorders>
              <w:right w:val="single" w:sz="4" w:space="0" w:color="DF2F1E"/>
            </w:tcBorders>
          </w:tcPr>
          <w:p>
            <w:pPr>
              <w:pStyle w:val="TableParagraph"/>
              <w:ind w:left="578" w:right="574"/>
              <w:jc w:val="center"/>
              <w:rPr>
                <w:sz w:val="16"/>
              </w:rPr>
            </w:pPr>
            <w:r>
              <w:rPr>
                <w:color w:val="404040"/>
                <w:sz w:val="16"/>
              </w:rPr>
              <w:t>104%</w:t>
            </w:r>
          </w:p>
        </w:tc>
      </w:tr>
      <w:tr>
        <w:trPr>
          <w:trHeight w:val="264" w:hRule="atLeast"/>
        </w:trPr>
        <w:tc>
          <w:tcPr>
            <w:tcW w:w="3585" w:type="dxa"/>
            <w:tcBorders>
              <w:left w:val="single" w:sz="4" w:space="0" w:color="DF2F1E"/>
            </w:tcBorders>
          </w:tcPr>
          <w:p>
            <w:pPr>
              <w:pStyle w:val="TableParagraph"/>
              <w:ind w:left="287"/>
              <w:rPr>
                <w:b/>
                <w:i/>
                <w:sz w:val="16"/>
              </w:rPr>
            </w:pPr>
            <w:r>
              <w:rPr>
                <w:b/>
                <w:i/>
                <w:color w:val="404040"/>
                <w:sz w:val="16"/>
              </w:rPr>
              <w:t>- 7-8 Years old</w:t>
            </w:r>
          </w:p>
        </w:tc>
        <w:tc>
          <w:tcPr>
            <w:tcW w:w="1358" w:type="dxa"/>
          </w:tcPr>
          <w:p>
            <w:pPr>
              <w:pStyle w:val="TableParagraph"/>
              <w:ind w:right="294"/>
              <w:jc w:val="right"/>
              <w:rPr>
                <w:sz w:val="16"/>
              </w:rPr>
            </w:pPr>
            <w:r>
              <w:rPr>
                <w:color w:val="404040"/>
                <w:sz w:val="16"/>
              </w:rPr>
              <w:t>10,000</w:t>
            </w:r>
          </w:p>
        </w:tc>
        <w:tc>
          <w:tcPr>
            <w:tcW w:w="1659" w:type="dxa"/>
          </w:tcPr>
          <w:p>
            <w:pPr>
              <w:pStyle w:val="TableParagraph"/>
              <w:ind w:left="668"/>
              <w:rPr>
                <w:sz w:val="16"/>
              </w:rPr>
            </w:pPr>
            <w:r>
              <w:rPr>
                <w:color w:val="404040"/>
                <w:sz w:val="16"/>
              </w:rPr>
              <w:t>15%</w:t>
            </w:r>
          </w:p>
        </w:tc>
        <w:tc>
          <w:tcPr>
            <w:tcW w:w="1575" w:type="dxa"/>
          </w:tcPr>
          <w:p>
            <w:pPr>
              <w:pStyle w:val="TableParagraph"/>
              <w:ind w:left="464" w:right="488"/>
              <w:jc w:val="center"/>
              <w:rPr>
                <w:sz w:val="16"/>
              </w:rPr>
            </w:pPr>
            <w:r>
              <w:rPr>
                <w:color w:val="404040"/>
                <w:sz w:val="16"/>
              </w:rPr>
              <w:t>259,000</w:t>
            </w:r>
          </w:p>
        </w:tc>
        <w:tc>
          <w:tcPr>
            <w:tcW w:w="1609" w:type="dxa"/>
            <w:tcBorders>
              <w:right w:val="single" w:sz="4" w:space="0" w:color="DF2F1E"/>
            </w:tcBorders>
          </w:tcPr>
          <w:p>
            <w:pPr>
              <w:pStyle w:val="TableParagraph"/>
              <w:ind w:left="578" w:right="572"/>
              <w:jc w:val="center"/>
              <w:rPr>
                <w:sz w:val="16"/>
              </w:rPr>
            </w:pPr>
            <w:r>
              <w:rPr>
                <w:color w:val="404040"/>
                <w:sz w:val="16"/>
              </w:rPr>
              <w:t>98%</w:t>
            </w:r>
          </w:p>
        </w:tc>
      </w:tr>
      <w:tr>
        <w:trPr>
          <w:trHeight w:val="263" w:hRule="atLeast"/>
        </w:trPr>
        <w:tc>
          <w:tcPr>
            <w:tcW w:w="3585" w:type="dxa"/>
            <w:tcBorders>
              <w:left w:val="single" w:sz="4" w:space="0" w:color="DF2F1E"/>
            </w:tcBorders>
          </w:tcPr>
          <w:p>
            <w:pPr>
              <w:pStyle w:val="TableParagraph"/>
              <w:ind w:left="287"/>
              <w:rPr>
                <w:b/>
                <w:i/>
                <w:sz w:val="16"/>
              </w:rPr>
            </w:pPr>
            <w:r>
              <w:rPr>
                <w:b/>
                <w:i/>
                <w:color w:val="404040"/>
                <w:sz w:val="16"/>
              </w:rPr>
              <w:t>- 9-15 Years old</w:t>
            </w:r>
          </w:p>
        </w:tc>
        <w:tc>
          <w:tcPr>
            <w:tcW w:w="1358" w:type="dxa"/>
          </w:tcPr>
          <w:p>
            <w:pPr>
              <w:pStyle w:val="TableParagraph"/>
              <w:ind w:right="294"/>
              <w:jc w:val="right"/>
              <w:rPr>
                <w:sz w:val="16"/>
              </w:rPr>
            </w:pPr>
            <w:r>
              <w:rPr>
                <w:color w:val="404040"/>
                <w:sz w:val="16"/>
              </w:rPr>
              <w:t>33,000</w:t>
            </w:r>
          </w:p>
        </w:tc>
        <w:tc>
          <w:tcPr>
            <w:tcW w:w="1659" w:type="dxa"/>
          </w:tcPr>
          <w:p>
            <w:pPr>
              <w:pStyle w:val="TableParagraph"/>
              <w:ind w:left="668"/>
              <w:rPr>
                <w:sz w:val="16"/>
              </w:rPr>
            </w:pPr>
            <w:r>
              <w:rPr>
                <w:color w:val="404040"/>
                <w:sz w:val="16"/>
              </w:rPr>
              <w:t>50%</w:t>
            </w:r>
          </w:p>
        </w:tc>
        <w:tc>
          <w:tcPr>
            <w:tcW w:w="1575" w:type="dxa"/>
          </w:tcPr>
          <w:p>
            <w:pPr>
              <w:pStyle w:val="TableParagraph"/>
              <w:ind w:left="464" w:right="488"/>
              <w:jc w:val="center"/>
              <w:rPr>
                <w:sz w:val="16"/>
              </w:rPr>
            </w:pPr>
            <w:r>
              <w:rPr>
                <w:color w:val="404040"/>
                <w:sz w:val="16"/>
              </w:rPr>
              <w:t>252,000</w:t>
            </w:r>
          </w:p>
        </w:tc>
        <w:tc>
          <w:tcPr>
            <w:tcW w:w="1609" w:type="dxa"/>
            <w:tcBorders>
              <w:right w:val="single" w:sz="4" w:space="0" w:color="DF2F1E"/>
            </w:tcBorders>
          </w:tcPr>
          <w:p>
            <w:pPr>
              <w:pStyle w:val="TableParagraph"/>
              <w:ind w:left="578" w:right="572"/>
              <w:jc w:val="center"/>
              <w:rPr>
                <w:sz w:val="16"/>
              </w:rPr>
            </w:pPr>
            <w:r>
              <w:rPr>
                <w:color w:val="404040"/>
                <w:sz w:val="16"/>
              </w:rPr>
              <w:t>95%</w:t>
            </w:r>
          </w:p>
        </w:tc>
      </w:tr>
      <w:tr>
        <w:trPr>
          <w:trHeight w:val="264" w:hRule="atLeast"/>
        </w:trPr>
        <w:tc>
          <w:tcPr>
            <w:tcW w:w="3585" w:type="dxa"/>
            <w:tcBorders>
              <w:left w:val="single" w:sz="4" w:space="0" w:color="DF2F1E"/>
              <w:bottom w:val="single" w:sz="4" w:space="0" w:color="DF2F1E"/>
            </w:tcBorders>
          </w:tcPr>
          <w:p>
            <w:pPr>
              <w:pStyle w:val="TableParagraph"/>
              <w:ind w:left="287"/>
              <w:rPr>
                <w:b/>
                <w:i/>
                <w:sz w:val="16"/>
              </w:rPr>
            </w:pPr>
            <w:r>
              <w:rPr>
                <w:b/>
                <w:i/>
                <w:color w:val="404040"/>
                <w:sz w:val="16"/>
              </w:rPr>
              <w:t>- 16-18 Years old</w:t>
            </w:r>
          </w:p>
        </w:tc>
        <w:tc>
          <w:tcPr>
            <w:tcW w:w="1358" w:type="dxa"/>
            <w:tcBorders>
              <w:bottom w:val="single" w:sz="4" w:space="0" w:color="DF2F1E"/>
            </w:tcBorders>
          </w:tcPr>
          <w:p>
            <w:pPr>
              <w:pStyle w:val="TableParagraph"/>
              <w:ind w:right="340"/>
              <w:jc w:val="right"/>
              <w:rPr>
                <w:sz w:val="16"/>
              </w:rPr>
            </w:pPr>
            <w:r>
              <w:rPr>
                <w:color w:val="404040"/>
                <w:sz w:val="16"/>
              </w:rPr>
              <w:t>6,000</w:t>
            </w:r>
          </w:p>
        </w:tc>
        <w:tc>
          <w:tcPr>
            <w:tcW w:w="1659" w:type="dxa"/>
            <w:tcBorders>
              <w:bottom w:val="single" w:sz="4" w:space="0" w:color="DF2F1E"/>
            </w:tcBorders>
          </w:tcPr>
          <w:p>
            <w:pPr>
              <w:pStyle w:val="TableParagraph"/>
              <w:ind w:left="711"/>
              <w:rPr>
                <w:sz w:val="16"/>
              </w:rPr>
            </w:pPr>
            <w:r>
              <w:rPr>
                <w:color w:val="404040"/>
                <w:sz w:val="16"/>
              </w:rPr>
              <w:t>9%</w:t>
            </w:r>
          </w:p>
        </w:tc>
        <w:tc>
          <w:tcPr>
            <w:tcW w:w="1575" w:type="dxa"/>
            <w:tcBorders>
              <w:bottom w:val="single" w:sz="4" w:space="0" w:color="DF2F1E"/>
            </w:tcBorders>
          </w:tcPr>
          <w:p>
            <w:pPr>
              <w:pStyle w:val="TableParagraph"/>
              <w:ind w:left="464" w:right="488"/>
              <w:jc w:val="center"/>
              <w:rPr>
                <w:sz w:val="16"/>
              </w:rPr>
            </w:pPr>
            <w:r>
              <w:rPr>
                <w:color w:val="404040"/>
                <w:sz w:val="16"/>
              </w:rPr>
              <w:t>270,000</w:t>
            </w:r>
          </w:p>
        </w:tc>
        <w:tc>
          <w:tcPr>
            <w:tcW w:w="1609" w:type="dxa"/>
            <w:tcBorders>
              <w:bottom w:val="single" w:sz="4" w:space="0" w:color="DF2F1E"/>
              <w:right w:val="single" w:sz="4" w:space="0" w:color="DF2F1E"/>
            </w:tcBorders>
          </w:tcPr>
          <w:p>
            <w:pPr>
              <w:pStyle w:val="TableParagraph"/>
              <w:ind w:left="578" w:right="574"/>
              <w:jc w:val="center"/>
              <w:rPr>
                <w:sz w:val="16"/>
              </w:rPr>
            </w:pPr>
            <w:r>
              <w:rPr>
                <w:color w:val="404040"/>
                <w:sz w:val="16"/>
              </w:rPr>
              <w:t>102%</w:t>
            </w:r>
          </w:p>
        </w:tc>
      </w:tr>
      <w:tr>
        <w:trPr>
          <w:trHeight w:val="262" w:hRule="atLeast"/>
        </w:trPr>
        <w:tc>
          <w:tcPr>
            <w:tcW w:w="3585" w:type="dxa"/>
            <w:tcBorders>
              <w:top w:val="single" w:sz="4" w:space="0" w:color="DF2F1E"/>
              <w:left w:val="single" w:sz="4" w:space="0" w:color="DF2F1E"/>
            </w:tcBorders>
          </w:tcPr>
          <w:p>
            <w:pPr>
              <w:pStyle w:val="TableParagraph"/>
              <w:spacing w:before="34"/>
              <w:ind w:left="107"/>
              <w:rPr>
                <w:b/>
                <w:sz w:val="16"/>
              </w:rPr>
            </w:pPr>
            <w:r>
              <w:rPr>
                <w:b/>
                <w:color w:val="404040"/>
                <w:sz w:val="16"/>
              </w:rPr>
              <w:t>Marital status</w:t>
            </w:r>
          </w:p>
        </w:tc>
        <w:tc>
          <w:tcPr>
            <w:tcW w:w="1358" w:type="dxa"/>
            <w:tcBorders>
              <w:top w:val="single" w:sz="4" w:space="0" w:color="DF2F1E"/>
            </w:tcBorders>
          </w:tcPr>
          <w:p>
            <w:pPr>
              <w:pStyle w:val="TableParagraph"/>
              <w:spacing w:before="0"/>
              <w:rPr>
                <w:rFonts w:ascii="Times New Roman"/>
                <w:sz w:val="18"/>
              </w:rPr>
            </w:pPr>
          </w:p>
        </w:tc>
        <w:tc>
          <w:tcPr>
            <w:tcW w:w="1659" w:type="dxa"/>
            <w:tcBorders>
              <w:top w:val="single" w:sz="4" w:space="0" w:color="DF2F1E"/>
            </w:tcBorders>
          </w:tcPr>
          <w:p>
            <w:pPr>
              <w:pStyle w:val="TableParagraph"/>
              <w:spacing w:before="0"/>
              <w:rPr>
                <w:rFonts w:ascii="Times New Roman"/>
                <w:sz w:val="18"/>
              </w:rPr>
            </w:pPr>
          </w:p>
        </w:tc>
        <w:tc>
          <w:tcPr>
            <w:tcW w:w="1575" w:type="dxa"/>
            <w:tcBorders>
              <w:top w:val="single" w:sz="4" w:space="0" w:color="DF2F1E"/>
            </w:tcBorders>
          </w:tcPr>
          <w:p>
            <w:pPr>
              <w:pStyle w:val="TableParagraph"/>
              <w:spacing w:before="0"/>
              <w:rPr>
                <w:rFonts w:ascii="Times New Roman"/>
                <w:sz w:val="18"/>
              </w:rPr>
            </w:pPr>
          </w:p>
        </w:tc>
        <w:tc>
          <w:tcPr>
            <w:tcW w:w="1609" w:type="dxa"/>
            <w:tcBorders>
              <w:top w:val="single" w:sz="4" w:space="0" w:color="DF2F1E"/>
              <w:right w:val="single" w:sz="4" w:space="0" w:color="DF2F1E"/>
            </w:tcBorders>
          </w:tcPr>
          <w:p>
            <w:pPr>
              <w:pStyle w:val="TableParagraph"/>
              <w:spacing w:before="0"/>
              <w:rPr>
                <w:rFonts w:ascii="Times New Roman"/>
                <w:sz w:val="18"/>
              </w:rPr>
            </w:pPr>
          </w:p>
        </w:tc>
      </w:tr>
      <w:tr>
        <w:trPr>
          <w:trHeight w:val="265" w:hRule="atLeast"/>
        </w:trPr>
        <w:tc>
          <w:tcPr>
            <w:tcW w:w="3585" w:type="dxa"/>
            <w:tcBorders>
              <w:left w:val="single" w:sz="4" w:space="0" w:color="DF2F1E"/>
            </w:tcBorders>
          </w:tcPr>
          <w:p>
            <w:pPr>
              <w:pStyle w:val="TableParagraph"/>
              <w:spacing w:before="39"/>
              <w:ind w:left="287"/>
              <w:rPr>
                <w:b/>
                <w:i/>
                <w:sz w:val="16"/>
              </w:rPr>
            </w:pPr>
            <w:r>
              <w:rPr>
                <w:b/>
                <w:i/>
                <w:color w:val="404040"/>
                <w:sz w:val="16"/>
              </w:rPr>
              <w:t>- Single</w:t>
            </w:r>
          </w:p>
        </w:tc>
        <w:tc>
          <w:tcPr>
            <w:tcW w:w="1358" w:type="dxa"/>
          </w:tcPr>
          <w:p>
            <w:pPr>
              <w:pStyle w:val="TableParagraph"/>
              <w:spacing w:before="39"/>
              <w:ind w:right="294"/>
              <w:jc w:val="right"/>
              <w:rPr>
                <w:sz w:val="16"/>
              </w:rPr>
            </w:pPr>
            <w:r>
              <w:rPr>
                <w:color w:val="404040"/>
                <w:sz w:val="16"/>
              </w:rPr>
              <w:t>13,000</w:t>
            </w:r>
          </w:p>
        </w:tc>
        <w:tc>
          <w:tcPr>
            <w:tcW w:w="1659" w:type="dxa"/>
          </w:tcPr>
          <w:p>
            <w:pPr>
              <w:pStyle w:val="TableParagraph"/>
              <w:spacing w:before="39"/>
              <w:ind w:left="668"/>
              <w:rPr>
                <w:sz w:val="16"/>
              </w:rPr>
            </w:pPr>
            <w:r>
              <w:rPr>
                <w:color w:val="404040"/>
                <w:sz w:val="16"/>
              </w:rPr>
              <w:t>18%</w:t>
            </w:r>
          </w:p>
        </w:tc>
        <w:tc>
          <w:tcPr>
            <w:tcW w:w="1575" w:type="dxa"/>
          </w:tcPr>
          <w:p>
            <w:pPr>
              <w:pStyle w:val="TableParagraph"/>
              <w:spacing w:before="39"/>
              <w:ind w:left="464" w:right="488"/>
              <w:jc w:val="center"/>
              <w:rPr>
                <w:sz w:val="16"/>
              </w:rPr>
            </w:pPr>
            <w:r>
              <w:rPr>
                <w:color w:val="404040"/>
                <w:sz w:val="16"/>
              </w:rPr>
              <w:t>334,000</w:t>
            </w:r>
          </w:p>
        </w:tc>
        <w:tc>
          <w:tcPr>
            <w:tcW w:w="1609" w:type="dxa"/>
            <w:tcBorders>
              <w:right w:val="single" w:sz="4" w:space="0" w:color="DF2F1E"/>
            </w:tcBorders>
          </w:tcPr>
          <w:p>
            <w:pPr>
              <w:pStyle w:val="TableParagraph"/>
              <w:spacing w:before="39"/>
              <w:ind w:left="578" w:right="574"/>
              <w:jc w:val="center"/>
              <w:rPr>
                <w:sz w:val="16"/>
              </w:rPr>
            </w:pPr>
            <w:r>
              <w:rPr>
                <w:color w:val="404040"/>
                <w:sz w:val="16"/>
              </w:rPr>
              <w:t>126%</w:t>
            </w:r>
          </w:p>
        </w:tc>
      </w:tr>
      <w:tr>
        <w:trPr>
          <w:trHeight w:val="264" w:hRule="atLeast"/>
        </w:trPr>
        <w:tc>
          <w:tcPr>
            <w:tcW w:w="3585" w:type="dxa"/>
            <w:tcBorders>
              <w:left w:val="single" w:sz="4" w:space="0" w:color="DF2F1E"/>
              <w:bottom w:val="single" w:sz="4" w:space="0" w:color="DF2F1E"/>
            </w:tcBorders>
          </w:tcPr>
          <w:p>
            <w:pPr>
              <w:pStyle w:val="TableParagraph"/>
              <w:ind w:left="287"/>
              <w:rPr>
                <w:b/>
                <w:i/>
                <w:sz w:val="16"/>
              </w:rPr>
            </w:pPr>
            <w:r>
              <w:rPr>
                <w:b/>
                <w:i/>
                <w:color w:val="404040"/>
                <w:sz w:val="16"/>
              </w:rPr>
              <w:t>- Partnered</w:t>
            </w:r>
          </w:p>
        </w:tc>
        <w:tc>
          <w:tcPr>
            <w:tcW w:w="1358" w:type="dxa"/>
            <w:tcBorders>
              <w:bottom w:val="single" w:sz="4" w:space="0" w:color="DF2F1E"/>
            </w:tcBorders>
          </w:tcPr>
          <w:p>
            <w:pPr>
              <w:pStyle w:val="TableParagraph"/>
              <w:ind w:right="294"/>
              <w:jc w:val="right"/>
              <w:rPr>
                <w:sz w:val="16"/>
              </w:rPr>
            </w:pPr>
            <w:r>
              <w:rPr>
                <w:color w:val="404040"/>
                <w:sz w:val="16"/>
              </w:rPr>
              <w:t>58,000</w:t>
            </w:r>
          </w:p>
        </w:tc>
        <w:tc>
          <w:tcPr>
            <w:tcW w:w="1659" w:type="dxa"/>
            <w:tcBorders>
              <w:bottom w:val="single" w:sz="4" w:space="0" w:color="DF2F1E"/>
            </w:tcBorders>
          </w:tcPr>
          <w:p>
            <w:pPr>
              <w:pStyle w:val="TableParagraph"/>
              <w:ind w:left="668"/>
              <w:rPr>
                <w:sz w:val="16"/>
              </w:rPr>
            </w:pPr>
            <w:r>
              <w:rPr>
                <w:color w:val="404040"/>
                <w:sz w:val="16"/>
              </w:rPr>
              <w:t>82%</w:t>
            </w:r>
          </w:p>
        </w:tc>
        <w:tc>
          <w:tcPr>
            <w:tcW w:w="1575" w:type="dxa"/>
            <w:tcBorders>
              <w:bottom w:val="single" w:sz="4" w:space="0" w:color="DF2F1E"/>
            </w:tcBorders>
          </w:tcPr>
          <w:p>
            <w:pPr>
              <w:pStyle w:val="TableParagraph"/>
              <w:ind w:left="464" w:right="488"/>
              <w:jc w:val="center"/>
              <w:rPr>
                <w:sz w:val="16"/>
              </w:rPr>
            </w:pPr>
            <w:r>
              <w:rPr>
                <w:color w:val="404040"/>
                <w:sz w:val="16"/>
              </w:rPr>
              <w:t>250,000</w:t>
            </w:r>
          </w:p>
        </w:tc>
        <w:tc>
          <w:tcPr>
            <w:tcW w:w="1609" w:type="dxa"/>
            <w:tcBorders>
              <w:bottom w:val="single" w:sz="4" w:space="0" w:color="DF2F1E"/>
              <w:right w:val="single" w:sz="4" w:space="0" w:color="DF2F1E"/>
            </w:tcBorders>
          </w:tcPr>
          <w:p>
            <w:pPr>
              <w:pStyle w:val="TableParagraph"/>
              <w:ind w:left="578" w:right="572"/>
              <w:jc w:val="center"/>
              <w:rPr>
                <w:sz w:val="16"/>
              </w:rPr>
            </w:pPr>
            <w:r>
              <w:rPr>
                <w:color w:val="404040"/>
                <w:sz w:val="16"/>
              </w:rPr>
              <w:t>94%</w:t>
            </w:r>
          </w:p>
        </w:tc>
      </w:tr>
      <w:tr>
        <w:trPr>
          <w:trHeight w:val="262" w:hRule="atLeast"/>
        </w:trPr>
        <w:tc>
          <w:tcPr>
            <w:tcW w:w="3585" w:type="dxa"/>
            <w:tcBorders>
              <w:top w:val="single" w:sz="4" w:space="0" w:color="DF2F1E"/>
              <w:left w:val="single" w:sz="4" w:space="0" w:color="DF2F1E"/>
            </w:tcBorders>
          </w:tcPr>
          <w:p>
            <w:pPr>
              <w:pStyle w:val="TableParagraph"/>
              <w:spacing w:before="34"/>
              <w:ind w:left="107"/>
              <w:rPr>
                <w:b/>
                <w:sz w:val="16"/>
              </w:rPr>
            </w:pPr>
            <w:r>
              <w:rPr>
                <w:b/>
                <w:color w:val="404040"/>
                <w:sz w:val="16"/>
              </w:rPr>
              <w:t>Class before entering '8 Non IS Carer'</w:t>
            </w:r>
          </w:p>
        </w:tc>
        <w:tc>
          <w:tcPr>
            <w:tcW w:w="1358" w:type="dxa"/>
            <w:tcBorders>
              <w:top w:val="single" w:sz="4" w:space="0" w:color="DF2F1E"/>
            </w:tcBorders>
          </w:tcPr>
          <w:p>
            <w:pPr>
              <w:pStyle w:val="TableParagraph"/>
              <w:spacing w:before="0"/>
              <w:rPr>
                <w:rFonts w:ascii="Times New Roman"/>
                <w:sz w:val="18"/>
              </w:rPr>
            </w:pPr>
          </w:p>
        </w:tc>
        <w:tc>
          <w:tcPr>
            <w:tcW w:w="1659" w:type="dxa"/>
            <w:tcBorders>
              <w:top w:val="single" w:sz="4" w:space="0" w:color="DF2F1E"/>
            </w:tcBorders>
          </w:tcPr>
          <w:p>
            <w:pPr>
              <w:pStyle w:val="TableParagraph"/>
              <w:spacing w:before="0"/>
              <w:rPr>
                <w:rFonts w:ascii="Times New Roman"/>
                <w:sz w:val="18"/>
              </w:rPr>
            </w:pPr>
          </w:p>
        </w:tc>
        <w:tc>
          <w:tcPr>
            <w:tcW w:w="1575" w:type="dxa"/>
            <w:tcBorders>
              <w:top w:val="single" w:sz="4" w:space="0" w:color="DF2F1E"/>
            </w:tcBorders>
          </w:tcPr>
          <w:p>
            <w:pPr>
              <w:pStyle w:val="TableParagraph"/>
              <w:spacing w:before="0"/>
              <w:rPr>
                <w:rFonts w:ascii="Times New Roman"/>
                <w:sz w:val="18"/>
              </w:rPr>
            </w:pPr>
          </w:p>
        </w:tc>
        <w:tc>
          <w:tcPr>
            <w:tcW w:w="1609" w:type="dxa"/>
            <w:tcBorders>
              <w:top w:val="single" w:sz="4" w:space="0" w:color="DF2F1E"/>
              <w:right w:val="single" w:sz="4" w:space="0" w:color="000000"/>
            </w:tcBorders>
          </w:tcPr>
          <w:p>
            <w:pPr>
              <w:pStyle w:val="TableParagraph"/>
              <w:spacing w:before="0"/>
              <w:rPr>
                <w:rFonts w:ascii="Times New Roman"/>
                <w:sz w:val="18"/>
              </w:rPr>
            </w:pPr>
          </w:p>
        </w:tc>
      </w:tr>
      <w:tr>
        <w:trPr>
          <w:trHeight w:val="265" w:hRule="atLeast"/>
        </w:trPr>
        <w:tc>
          <w:tcPr>
            <w:tcW w:w="3585" w:type="dxa"/>
            <w:tcBorders>
              <w:left w:val="single" w:sz="4" w:space="0" w:color="DF2F1E"/>
            </w:tcBorders>
          </w:tcPr>
          <w:p>
            <w:pPr>
              <w:pStyle w:val="TableParagraph"/>
              <w:spacing w:before="39"/>
              <w:ind w:left="287"/>
              <w:rPr>
                <w:b/>
                <w:i/>
                <w:sz w:val="16"/>
              </w:rPr>
            </w:pPr>
            <w:r>
              <w:rPr>
                <w:b/>
                <w:i/>
                <w:color w:val="404040"/>
                <w:sz w:val="16"/>
              </w:rPr>
              <w:t>- Income support</w:t>
            </w:r>
          </w:p>
        </w:tc>
        <w:tc>
          <w:tcPr>
            <w:tcW w:w="1358" w:type="dxa"/>
          </w:tcPr>
          <w:p>
            <w:pPr>
              <w:pStyle w:val="TableParagraph"/>
              <w:spacing w:before="39"/>
              <w:ind w:right="294"/>
              <w:jc w:val="right"/>
              <w:rPr>
                <w:sz w:val="16"/>
              </w:rPr>
            </w:pPr>
            <w:r>
              <w:rPr>
                <w:color w:val="404040"/>
                <w:sz w:val="16"/>
              </w:rPr>
              <w:t>16,000</w:t>
            </w:r>
          </w:p>
        </w:tc>
        <w:tc>
          <w:tcPr>
            <w:tcW w:w="1659" w:type="dxa"/>
          </w:tcPr>
          <w:p>
            <w:pPr>
              <w:pStyle w:val="TableParagraph"/>
              <w:spacing w:before="39"/>
              <w:ind w:left="668"/>
              <w:rPr>
                <w:sz w:val="16"/>
              </w:rPr>
            </w:pPr>
            <w:r>
              <w:rPr>
                <w:color w:val="404040"/>
                <w:sz w:val="16"/>
              </w:rPr>
              <w:t>23%</w:t>
            </w:r>
          </w:p>
        </w:tc>
        <w:tc>
          <w:tcPr>
            <w:tcW w:w="1575" w:type="dxa"/>
          </w:tcPr>
          <w:p>
            <w:pPr>
              <w:pStyle w:val="TableParagraph"/>
              <w:spacing w:before="39"/>
              <w:ind w:left="464" w:right="488"/>
              <w:jc w:val="center"/>
              <w:rPr>
                <w:sz w:val="16"/>
              </w:rPr>
            </w:pPr>
            <w:r>
              <w:rPr>
                <w:color w:val="404040"/>
                <w:sz w:val="16"/>
              </w:rPr>
              <w:t>307,000</w:t>
            </w:r>
          </w:p>
        </w:tc>
        <w:tc>
          <w:tcPr>
            <w:tcW w:w="1609" w:type="dxa"/>
            <w:tcBorders>
              <w:right w:val="single" w:sz="4" w:space="0" w:color="000000"/>
            </w:tcBorders>
          </w:tcPr>
          <w:p>
            <w:pPr>
              <w:pStyle w:val="TableParagraph"/>
              <w:spacing w:before="39"/>
              <w:ind w:left="578" w:right="574"/>
              <w:jc w:val="center"/>
              <w:rPr>
                <w:sz w:val="16"/>
              </w:rPr>
            </w:pPr>
            <w:r>
              <w:rPr>
                <w:color w:val="404040"/>
                <w:sz w:val="16"/>
              </w:rPr>
              <w:t>116%</w:t>
            </w:r>
          </w:p>
        </w:tc>
      </w:tr>
      <w:tr>
        <w:trPr>
          <w:trHeight w:val="263" w:hRule="atLeast"/>
        </w:trPr>
        <w:tc>
          <w:tcPr>
            <w:tcW w:w="3585" w:type="dxa"/>
            <w:tcBorders>
              <w:left w:val="single" w:sz="4" w:space="0" w:color="DF2F1E"/>
            </w:tcBorders>
          </w:tcPr>
          <w:p>
            <w:pPr>
              <w:pStyle w:val="TableParagraph"/>
              <w:ind w:left="287"/>
              <w:rPr>
                <w:b/>
                <w:i/>
                <w:sz w:val="16"/>
              </w:rPr>
            </w:pPr>
            <w:r>
              <w:rPr>
                <w:b/>
                <w:i/>
                <w:color w:val="404040"/>
                <w:sz w:val="16"/>
              </w:rPr>
              <w:t>- Non income support</w:t>
            </w:r>
          </w:p>
        </w:tc>
        <w:tc>
          <w:tcPr>
            <w:tcW w:w="1358" w:type="dxa"/>
          </w:tcPr>
          <w:p>
            <w:pPr>
              <w:pStyle w:val="TableParagraph"/>
              <w:ind w:right="294"/>
              <w:jc w:val="right"/>
              <w:rPr>
                <w:sz w:val="16"/>
              </w:rPr>
            </w:pPr>
            <w:r>
              <w:rPr>
                <w:color w:val="404040"/>
                <w:sz w:val="16"/>
              </w:rPr>
              <w:t>36,000</w:t>
            </w:r>
          </w:p>
        </w:tc>
        <w:tc>
          <w:tcPr>
            <w:tcW w:w="1659" w:type="dxa"/>
          </w:tcPr>
          <w:p>
            <w:pPr>
              <w:pStyle w:val="TableParagraph"/>
              <w:ind w:left="668"/>
              <w:rPr>
                <w:sz w:val="16"/>
              </w:rPr>
            </w:pPr>
            <w:r>
              <w:rPr>
                <w:color w:val="404040"/>
                <w:sz w:val="16"/>
              </w:rPr>
              <w:t>51%</w:t>
            </w:r>
          </w:p>
        </w:tc>
        <w:tc>
          <w:tcPr>
            <w:tcW w:w="1575" w:type="dxa"/>
          </w:tcPr>
          <w:p>
            <w:pPr>
              <w:pStyle w:val="TableParagraph"/>
              <w:ind w:left="464" w:right="488"/>
              <w:jc w:val="center"/>
              <w:rPr>
                <w:sz w:val="16"/>
              </w:rPr>
            </w:pPr>
            <w:r>
              <w:rPr>
                <w:color w:val="404040"/>
                <w:sz w:val="16"/>
              </w:rPr>
              <w:t>251,000</w:t>
            </w:r>
          </w:p>
        </w:tc>
        <w:tc>
          <w:tcPr>
            <w:tcW w:w="1609" w:type="dxa"/>
            <w:tcBorders>
              <w:right w:val="single" w:sz="4" w:space="0" w:color="000000"/>
            </w:tcBorders>
          </w:tcPr>
          <w:p>
            <w:pPr>
              <w:pStyle w:val="TableParagraph"/>
              <w:ind w:left="578" w:right="572"/>
              <w:jc w:val="center"/>
              <w:rPr>
                <w:sz w:val="16"/>
              </w:rPr>
            </w:pPr>
            <w:r>
              <w:rPr>
                <w:color w:val="404040"/>
                <w:sz w:val="16"/>
              </w:rPr>
              <w:t>95%</w:t>
            </w:r>
          </w:p>
        </w:tc>
      </w:tr>
      <w:tr>
        <w:trPr>
          <w:trHeight w:val="262" w:hRule="atLeast"/>
        </w:trPr>
        <w:tc>
          <w:tcPr>
            <w:tcW w:w="3585" w:type="dxa"/>
            <w:tcBorders>
              <w:left w:val="single" w:sz="4" w:space="0" w:color="DF2F1E"/>
            </w:tcBorders>
          </w:tcPr>
          <w:p>
            <w:pPr>
              <w:pStyle w:val="TableParagraph"/>
              <w:ind w:left="287"/>
              <w:rPr>
                <w:b/>
                <w:i/>
                <w:sz w:val="16"/>
              </w:rPr>
            </w:pPr>
            <w:r>
              <w:rPr>
                <w:b/>
                <w:i/>
                <w:color w:val="404040"/>
                <w:sz w:val="16"/>
              </w:rPr>
              <w:t>- Previous client / non client</w:t>
            </w:r>
          </w:p>
        </w:tc>
        <w:tc>
          <w:tcPr>
            <w:tcW w:w="1358" w:type="dxa"/>
          </w:tcPr>
          <w:p>
            <w:pPr>
              <w:pStyle w:val="TableParagraph"/>
              <w:ind w:right="294"/>
              <w:jc w:val="right"/>
              <w:rPr>
                <w:sz w:val="16"/>
              </w:rPr>
            </w:pPr>
            <w:r>
              <w:rPr>
                <w:color w:val="404040"/>
                <w:sz w:val="16"/>
              </w:rPr>
              <w:t>18,000</w:t>
            </w:r>
          </w:p>
        </w:tc>
        <w:tc>
          <w:tcPr>
            <w:tcW w:w="1659" w:type="dxa"/>
          </w:tcPr>
          <w:p>
            <w:pPr>
              <w:pStyle w:val="TableParagraph"/>
              <w:ind w:left="668"/>
              <w:rPr>
                <w:sz w:val="16"/>
              </w:rPr>
            </w:pPr>
            <w:r>
              <w:rPr>
                <w:color w:val="404040"/>
                <w:sz w:val="16"/>
              </w:rPr>
              <w:t>26%</w:t>
            </w:r>
          </w:p>
        </w:tc>
        <w:tc>
          <w:tcPr>
            <w:tcW w:w="1575" w:type="dxa"/>
          </w:tcPr>
          <w:p>
            <w:pPr>
              <w:pStyle w:val="TableParagraph"/>
              <w:ind w:left="464" w:right="488"/>
              <w:jc w:val="center"/>
              <w:rPr>
                <w:sz w:val="16"/>
              </w:rPr>
            </w:pPr>
            <w:r>
              <w:rPr>
                <w:color w:val="404040"/>
                <w:sz w:val="16"/>
              </w:rPr>
              <w:t>256,000</w:t>
            </w:r>
          </w:p>
        </w:tc>
        <w:tc>
          <w:tcPr>
            <w:tcW w:w="1609" w:type="dxa"/>
            <w:tcBorders>
              <w:right w:val="single" w:sz="4" w:space="0" w:color="000000"/>
            </w:tcBorders>
          </w:tcPr>
          <w:p>
            <w:pPr>
              <w:pStyle w:val="TableParagraph"/>
              <w:ind w:left="578" w:right="572"/>
              <w:jc w:val="center"/>
              <w:rPr>
                <w:sz w:val="16"/>
              </w:rPr>
            </w:pPr>
            <w:r>
              <w:rPr>
                <w:color w:val="404040"/>
                <w:sz w:val="16"/>
              </w:rPr>
              <w:t>97%</w:t>
            </w:r>
          </w:p>
        </w:tc>
      </w:tr>
      <w:tr>
        <w:trPr>
          <w:trHeight w:val="264" w:hRule="atLeast"/>
        </w:trPr>
        <w:tc>
          <w:tcPr>
            <w:tcW w:w="3585" w:type="dxa"/>
            <w:tcBorders>
              <w:left w:val="single" w:sz="4" w:space="0" w:color="DF2F1E"/>
            </w:tcBorders>
          </w:tcPr>
          <w:p>
            <w:pPr>
              <w:pStyle w:val="TableParagraph"/>
              <w:spacing w:before="36"/>
              <w:ind w:left="107"/>
              <w:rPr>
                <w:b/>
                <w:sz w:val="16"/>
              </w:rPr>
            </w:pPr>
            <w:r>
              <w:rPr>
                <w:b/>
                <w:color w:val="404040"/>
                <w:sz w:val="16"/>
              </w:rPr>
              <w:t>Geography – socio-economic area grouping</w:t>
            </w:r>
          </w:p>
        </w:tc>
        <w:tc>
          <w:tcPr>
            <w:tcW w:w="1358" w:type="dxa"/>
          </w:tcPr>
          <w:p>
            <w:pPr>
              <w:pStyle w:val="TableParagraph"/>
              <w:spacing w:before="0"/>
              <w:rPr>
                <w:rFonts w:ascii="Times New Roman"/>
                <w:sz w:val="18"/>
              </w:rPr>
            </w:pPr>
          </w:p>
        </w:tc>
        <w:tc>
          <w:tcPr>
            <w:tcW w:w="1659" w:type="dxa"/>
          </w:tcPr>
          <w:p>
            <w:pPr>
              <w:pStyle w:val="TableParagraph"/>
              <w:spacing w:before="0"/>
              <w:rPr>
                <w:rFonts w:ascii="Times New Roman"/>
                <w:sz w:val="18"/>
              </w:rPr>
            </w:pPr>
          </w:p>
        </w:tc>
        <w:tc>
          <w:tcPr>
            <w:tcW w:w="1575" w:type="dxa"/>
          </w:tcPr>
          <w:p>
            <w:pPr>
              <w:pStyle w:val="TableParagraph"/>
              <w:spacing w:before="0"/>
              <w:rPr>
                <w:rFonts w:ascii="Times New Roman"/>
                <w:sz w:val="18"/>
              </w:rPr>
            </w:pPr>
          </w:p>
        </w:tc>
        <w:tc>
          <w:tcPr>
            <w:tcW w:w="1609" w:type="dxa"/>
            <w:tcBorders>
              <w:right w:val="single" w:sz="4" w:space="0" w:color="000000"/>
            </w:tcBorders>
          </w:tcPr>
          <w:p>
            <w:pPr>
              <w:pStyle w:val="TableParagraph"/>
              <w:spacing w:before="0"/>
              <w:rPr>
                <w:rFonts w:ascii="Times New Roman"/>
                <w:sz w:val="18"/>
              </w:rPr>
            </w:pPr>
          </w:p>
        </w:tc>
      </w:tr>
      <w:tr>
        <w:trPr>
          <w:trHeight w:val="265" w:hRule="atLeast"/>
        </w:trPr>
        <w:tc>
          <w:tcPr>
            <w:tcW w:w="3585" w:type="dxa"/>
            <w:tcBorders>
              <w:left w:val="single" w:sz="4" w:space="0" w:color="DF2F1E"/>
            </w:tcBorders>
          </w:tcPr>
          <w:p>
            <w:pPr>
              <w:pStyle w:val="TableParagraph"/>
              <w:spacing w:before="39"/>
              <w:ind w:left="287"/>
              <w:rPr>
                <w:b/>
                <w:i/>
                <w:sz w:val="16"/>
              </w:rPr>
            </w:pPr>
            <w:r>
              <w:rPr>
                <w:b/>
                <w:i/>
                <w:color w:val="404040"/>
                <w:sz w:val="16"/>
              </w:rPr>
              <w:t>- Lowest 20% (most disadvantaged)</w:t>
            </w:r>
          </w:p>
        </w:tc>
        <w:tc>
          <w:tcPr>
            <w:tcW w:w="1358" w:type="dxa"/>
          </w:tcPr>
          <w:p>
            <w:pPr>
              <w:pStyle w:val="TableParagraph"/>
              <w:spacing w:before="39"/>
              <w:ind w:right="294"/>
              <w:jc w:val="right"/>
              <w:rPr>
                <w:sz w:val="16"/>
              </w:rPr>
            </w:pPr>
            <w:r>
              <w:rPr>
                <w:color w:val="404040"/>
                <w:sz w:val="16"/>
              </w:rPr>
              <w:t>12,000</w:t>
            </w:r>
          </w:p>
        </w:tc>
        <w:tc>
          <w:tcPr>
            <w:tcW w:w="1659" w:type="dxa"/>
          </w:tcPr>
          <w:p>
            <w:pPr>
              <w:pStyle w:val="TableParagraph"/>
              <w:spacing w:before="39"/>
              <w:ind w:left="668"/>
              <w:rPr>
                <w:sz w:val="16"/>
              </w:rPr>
            </w:pPr>
            <w:r>
              <w:rPr>
                <w:color w:val="404040"/>
                <w:sz w:val="16"/>
              </w:rPr>
              <w:t>17%</w:t>
            </w:r>
          </w:p>
        </w:tc>
        <w:tc>
          <w:tcPr>
            <w:tcW w:w="1575" w:type="dxa"/>
          </w:tcPr>
          <w:p>
            <w:pPr>
              <w:pStyle w:val="TableParagraph"/>
              <w:spacing w:before="39"/>
              <w:ind w:left="464" w:right="488"/>
              <w:jc w:val="center"/>
              <w:rPr>
                <w:sz w:val="16"/>
              </w:rPr>
            </w:pPr>
            <w:r>
              <w:rPr>
                <w:color w:val="404040"/>
                <w:sz w:val="16"/>
              </w:rPr>
              <w:t>319,000</w:t>
            </w:r>
          </w:p>
        </w:tc>
        <w:tc>
          <w:tcPr>
            <w:tcW w:w="1609" w:type="dxa"/>
            <w:tcBorders>
              <w:right w:val="single" w:sz="4" w:space="0" w:color="000000"/>
            </w:tcBorders>
          </w:tcPr>
          <w:p>
            <w:pPr>
              <w:pStyle w:val="TableParagraph"/>
              <w:spacing w:before="39"/>
              <w:ind w:left="578" w:right="574"/>
              <w:jc w:val="center"/>
              <w:rPr>
                <w:sz w:val="16"/>
              </w:rPr>
            </w:pPr>
            <w:r>
              <w:rPr>
                <w:color w:val="404040"/>
                <w:sz w:val="16"/>
              </w:rPr>
              <w:t>120%</w:t>
            </w:r>
          </w:p>
        </w:tc>
      </w:tr>
      <w:tr>
        <w:trPr>
          <w:trHeight w:val="264" w:hRule="atLeast"/>
        </w:trPr>
        <w:tc>
          <w:tcPr>
            <w:tcW w:w="3585" w:type="dxa"/>
            <w:tcBorders>
              <w:left w:val="single" w:sz="4" w:space="0" w:color="DF2F1E"/>
            </w:tcBorders>
          </w:tcPr>
          <w:p>
            <w:pPr>
              <w:pStyle w:val="TableParagraph"/>
              <w:ind w:left="287"/>
              <w:rPr>
                <w:b/>
                <w:i/>
                <w:sz w:val="16"/>
              </w:rPr>
            </w:pPr>
            <w:r>
              <w:rPr>
                <w:b/>
                <w:i/>
                <w:color w:val="404040"/>
                <w:sz w:val="16"/>
              </w:rPr>
              <w:t>- 20% to 40%</w:t>
            </w:r>
          </w:p>
        </w:tc>
        <w:tc>
          <w:tcPr>
            <w:tcW w:w="1358" w:type="dxa"/>
          </w:tcPr>
          <w:p>
            <w:pPr>
              <w:pStyle w:val="TableParagraph"/>
              <w:ind w:right="294"/>
              <w:jc w:val="right"/>
              <w:rPr>
                <w:sz w:val="16"/>
              </w:rPr>
            </w:pPr>
            <w:r>
              <w:rPr>
                <w:color w:val="404040"/>
                <w:sz w:val="16"/>
              </w:rPr>
              <w:t>14,000</w:t>
            </w:r>
          </w:p>
        </w:tc>
        <w:tc>
          <w:tcPr>
            <w:tcW w:w="1659" w:type="dxa"/>
          </w:tcPr>
          <w:p>
            <w:pPr>
              <w:pStyle w:val="TableParagraph"/>
              <w:ind w:left="668"/>
              <w:rPr>
                <w:sz w:val="16"/>
              </w:rPr>
            </w:pPr>
            <w:r>
              <w:rPr>
                <w:color w:val="404040"/>
                <w:sz w:val="16"/>
              </w:rPr>
              <w:t>20%</w:t>
            </w:r>
          </w:p>
        </w:tc>
        <w:tc>
          <w:tcPr>
            <w:tcW w:w="1575" w:type="dxa"/>
          </w:tcPr>
          <w:p>
            <w:pPr>
              <w:pStyle w:val="TableParagraph"/>
              <w:ind w:left="464" w:right="488"/>
              <w:jc w:val="center"/>
              <w:rPr>
                <w:sz w:val="16"/>
              </w:rPr>
            </w:pPr>
            <w:r>
              <w:rPr>
                <w:color w:val="404040"/>
                <w:sz w:val="16"/>
              </w:rPr>
              <w:t>291,000</w:t>
            </w:r>
          </w:p>
        </w:tc>
        <w:tc>
          <w:tcPr>
            <w:tcW w:w="1609" w:type="dxa"/>
            <w:tcBorders>
              <w:right w:val="single" w:sz="4" w:space="0" w:color="000000"/>
            </w:tcBorders>
          </w:tcPr>
          <w:p>
            <w:pPr>
              <w:pStyle w:val="TableParagraph"/>
              <w:ind w:left="578" w:right="574"/>
              <w:jc w:val="center"/>
              <w:rPr>
                <w:sz w:val="16"/>
              </w:rPr>
            </w:pPr>
            <w:r>
              <w:rPr>
                <w:color w:val="404040"/>
                <w:sz w:val="16"/>
              </w:rPr>
              <w:t>110%</w:t>
            </w:r>
          </w:p>
        </w:tc>
      </w:tr>
      <w:tr>
        <w:trPr>
          <w:trHeight w:val="263" w:hRule="atLeast"/>
        </w:trPr>
        <w:tc>
          <w:tcPr>
            <w:tcW w:w="3585" w:type="dxa"/>
            <w:tcBorders>
              <w:left w:val="single" w:sz="4" w:space="0" w:color="DF2F1E"/>
            </w:tcBorders>
          </w:tcPr>
          <w:p>
            <w:pPr>
              <w:pStyle w:val="TableParagraph"/>
              <w:ind w:left="287"/>
              <w:rPr>
                <w:b/>
                <w:i/>
                <w:sz w:val="16"/>
              </w:rPr>
            </w:pPr>
            <w:r>
              <w:rPr>
                <w:b/>
                <w:i/>
                <w:color w:val="404040"/>
                <w:sz w:val="16"/>
              </w:rPr>
              <w:t>- 40% to 60%</w:t>
            </w:r>
          </w:p>
        </w:tc>
        <w:tc>
          <w:tcPr>
            <w:tcW w:w="1358" w:type="dxa"/>
          </w:tcPr>
          <w:p>
            <w:pPr>
              <w:pStyle w:val="TableParagraph"/>
              <w:ind w:right="294"/>
              <w:jc w:val="right"/>
              <w:rPr>
                <w:sz w:val="16"/>
              </w:rPr>
            </w:pPr>
            <w:r>
              <w:rPr>
                <w:color w:val="404040"/>
                <w:sz w:val="16"/>
              </w:rPr>
              <w:t>16,000</w:t>
            </w:r>
          </w:p>
        </w:tc>
        <w:tc>
          <w:tcPr>
            <w:tcW w:w="1659" w:type="dxa"/>
          </w:tcPr>
          <w:p>
            <w:pPr>
              <w:pStyle w:val="TableParagraph"/>
              <w:ind w:left="668"/>
              <w:rPr>
                <w:sz w:val="16"/>
              </w:rPr>
            </w:pPr>
            <w:r>
              <w:rPr>
                <w:color w:val="404040"/>
                <w:sz w:val="16"/>
              </w:rPr>
              <w:t>22%</w:t>
            </w:r>
          </w:p>
        </w:tc>
        <w:tc>
          <w:tcPr>
            <w:tcW w:w="1575" w:type="dxa"/>
          </w:tcPr>
          <w:p>
            <w:pPr>
              <w:pStyle w:val="TableParagraph"/>
              <w:ind w:left="464" w:right="488"/>
              <w:jc w:val="center"/>
              <w:rPr>
                <w:sz w:val="16"/>
              </w:rPr>
            </w:pPr>
            <w:r>
              <w:rPr>
                <w:color w:val="404040"/>
                <w:sz w:val="16"/>
              </w:rPr>
              <w:t>268,000</w:t>
            </w:r>
          </w:p>
        </w:tc>
        <w:tc>
          <w:tcPr>
            <w:tcW w:w="1609" w:type="dxa"/>
            <w:tcBorders>
              <w:right w:val="single" w:sz="4" w:space="0" w:color="000000"/>
            </w:tcBorders>
          </w:tcPr>
          <w:p>
            <w:pPr>
              <w:pStyle w:val="TableParagraph"/>
              <w:ind w:left="578" w:right="574"/>
              <w:jc w:val="center"/>
              <w:rPr>
                <w:sz w:val="16"/>
              </w:rPr>
            </w:pPr>
            <w:r>
              <w:rPr>
                <w:color w:val="404040"/>
                <w:sz w:val="16"/>
              </w:rPr>
              <w:t>101%</w:t>
            </w:r>
          </w:p>
        </w:tc>
      </w:tr>
      <w:tr>
        <w:trPr>
          <w:trHeight w:val="264" w:hRule="atLeast"/>
        </w:trPr>
        <w:tc>
          <w:tcPr>
            <w:tcW w:w="3585" w:type="dxa"/>
            <w:tcBorders>
              <w:left w:val="single" w:sz="4" w:space="0" w:color="DF2F1E"/>
            </w:tcBorders>
          </w:tcPr>
          <w:p>
            <w:pPr>
              <w:pStyle w:val="TableParagraph"/>
              <w:ind w:left="287"/>
              <w:rPr>
                <w:b/>
                <w:i/>
                <w:sz w:val="16"/>
              </w:rPr>
            </w:pPr>
            <w:r>
              <w:rPr>
                <w:b/>
                <w:i/>
                <w:color w:val="404040"/>
                <w:sz w:val="16"/>
              </w:rPr>
              <w:t>- 60% to 80%</w:t>
            </w:r>
          </w:p>
        </w:tc>
        <w:tc>
          <w:tcPr>
            <w:tcW w:w="1358" w:type="dxa"/>
          </w:tcPr>
          <w:p>
            <w:pPr>
              <w:pStyle w:val="TableParagraph"/>
              <w:ind w:right="294"/>
              <w:jc w:val="right"/>
              <w:rPr>
                <w:sz w:val="16"/>
              </w:rPr>
            </w:pPr>
            <w:r>
              <w:rPr>
                <w:color w:val="404040"/>
                <w:sz w:val="16"/>
              </w:rPr>
              <w:t>16,000</w:t>
            </w:r>
          </w:p>
        </w:tc>
        <w:tc>
          <w:tcPr>
            <w:tcW w:w="1659" w:type="dxa"/>
          </w:tcPr>
          <w:p>
            <w:pPr>
              <w:pStyle w:val="TableParagraph"/>
              <w:ind w:left="668"/>
              <w:rPr>
                <w:sz w:val="16"/>
              </w:rPr>
            </w:pPr>
            <w:r>
              <w:rPr>
                <w:color w:val="404040"/>
                <w:sz w:val="16"/>
              </w:rPr>
              <w:t>23%</w:t>
            </w:r>
          </w:p>
        </w:tc>
        <w:tc>
          <w:tcPr>
            <w:tcW w:w="1575" w:type="dxa"/>
          </w:tcPr>
          <w:p>
            <w:pPr>
              <w:pStyle w:val="TableParagraph"/>
              <w:ind w:left="464" w:right="488"/>
              <w:jc w:val="center"/>
              <w:rPr>
                <w:sz w:val="16"/>
              </w:rPr>
            </w:pPr>
            <w:r>
              <w:rPr>
                <w:color w:val="404040"/>
                <w:sz w:val="16"/>
              </w:rPr>
              <w:t>241,000</w:t>
            </w:r>
          </w:p>
        </w:tc>
        <w:tc>
          <w:tcPr>
            <w:tcW w:w="1609" w:type="dxa"/>
            <w:tcBorders>
              <w:right w:val="single" w:sz="4" w:space="0" w:color="000000"/>
            </w:tcBorders>
          </w:tcPr>
          <w:p>
            <w:pPr>
              <w:pStyle w:val="TableParagraph"/>
              <w:ind w:left="578" w:right="572"/>
              <w:jc w:val="center"/>
              <w:rPr>
                <w:sz w:val="16"/>
              </w:rPr>
            </w:pPr>
            <w:r>
              <w:rPr>
                <w:color w:val="404040"/>
                <w:sz w:val="16"/>
              </w:rPr>
              <w:t>91%</w:t>
            </w:r>
          </w:p>
        </w:tc>
      </w:tr>
      <w:tr>
        <w:trPr>
          <w:trHeight w:val="264" w:hRule="atLeast"/>
        </w:trPr>
        <w:tc>
          <w:tcPr>
            <w:tcW w:w="3585" w:type="dxa"/>
            <w:tcBorders>
              <w:left w:val="single" w:sz="4" w:space="0" w:color="DF2F1E"/>
              <w:bottom w:val="single" w:sz="4" w:space="0" w:color="DF2F1E"/>
            </w:tcBorders>
          </w:tcPr>
          <w:p>
            <w:pPr>
              <w:pStyle w:val="TableParagraph"/>
              <w:ind w:left="287"/>
              <w:rPr>
                <w:b/>
                <w:i/>
                <w:sz w:val="16"/>
              </w:rPr>
            </w:pPr>
            <w:r>
              <w:rPr>
                <w:b/>
                <w:i/>
                <w:color w:val="404040"/>
                <w:sz w:val="16"/>
              </w:rPr>
              <w:t>- Highest 20% (least disadvantaged)</w:t>
            </w:r>
          </w:p>
        </w:tc>
        <w:tc>
          <w:tcPr>
            <w:tcW w:w="1358" w:type="dxa"/>
            <w:tcBorders>
              <w:bottom w:val="single" w:sz="4" w:space="0" w:color="DF2F1E"/>
            </w:tcBorders>
          </w:tcPr>
          <w:p>
            <w:pPr>
              <w:pStyle w:val="TableParagraph"/>
              <w:ind w:right="294"/>
              <w:jc w:val="right"/>
              <w:rPr>
                <w:sz w:val="16"/>
              </w:rPr>
            </w:pPr>
            <w:r>
              <w:rPr>
                <w:color w:val="404040"/>
                <w:sz w:val="16"/>
              </w:rPr>
              <w:t>13,000</w:t>
            </w:r>
          </w:p>
        </w:tc>
        <w:tc>
          <w:tcPr>
            <w:tcW w:w="1659" w:type="dxa"/>
            <w:tcBorders>
              <w:bottom w:val="single" w:sz="4" w:space="0" w:color="DF2F1E"/>
            </w:tcBorders>
          </w:tcPr>
          <w:p>
            <w:pPr>
              <w:pStyle w:val="TableParagraph"/>
              <w:ind w:left="668"/>
              <w:rPr>
                <w:sz w:val="16"/>
              </w:rPr>
            </w:pPr>
            <w:r>
              <w:rPr>
                <w:color w:val="404040"/>
                <w:sz w:val="16"/>
              </w:rPr>
              <w:t>18%</w:t>
            </w:r>
          </w:p>
        </w:tc>
        <w:tc>
          <w:tcPr>
            <w:tcW w:w="1575" w:type="dxa"/>
            <w:tcBorders>
              <w:bottom w:val="single" w:sz="4" w:space="0" w:color="DF2F1E"/>
            </w:tcBorders>
          </w:tcPr>
          <w:p>
            <w:pPr>
              <w:pStyle w:val="TableParagraph"/>
              <w:ind w:left="464" w:right="488"/>
              <w:jc w:val="center"/>
              <w:rPr>
                <w:sz w:val="16"/>
              </w:rPr>
            </w:pPr>
            <w:r>
              <w:rPr>
                <w:color w:val="404040"/>
                <w:sz w:val="16"/>
              </w:rPr>
              <w:t>214,000</w:t>
            </w:r>
          </w:p>
        </w:tc>
        <w:tc>
          <w:tcPr>
            <w:tcW w:w="1609" w:type="dxa"/>
            <w:tcBorders>
              <w:bottom w:val="single" w:sz="4" w:space="0" w:color="DF2F1E"/>
              <w:right w:val="single" w:sz="4" w:space="0" w:color="DF2F1E"/>
            </w:tcBorders>
          </w:tcPr>
          <w:p>
            <w:pPr>
              <w:pStyle w:val="TableParagraph"/>
              <w:ind w:left="578" w:right="572"/>
              <w:jc w:val="center"/>
              <w:rPr>
                <w:sz w:val="16"/>
              </w:rPr>
            </w:pPr>
            <w:r>
              <w:rPr>
                <w:color w:val="404040"/>
                <w:sz w:val="16"/>
              </w:rPr>
              <w:t>81%</w:t>
            </w:r>
          </w:p>
        </w:tc>
      </w:tr>
    </w:tbl>
    <w:p>
      <w:pPr>
        <w:pStyle w:val="BodyText"/>
        <w:spacing w:before="119"/>
        <w:ind w:left="900"/>
      </w:pPr>
      <w:r>
        <w:rPr>
          <w:color w:val="404040"/>
        </w:rPr>
        <w:t>From the table above we can see that for current Non IS Carer recipients:</w:t>
      </w:r>
    </w:p>
    <w:p>
      <w:pPr>
        <w:pStyle w:val="ListParagraph"/>
        <w:numPr>
          <w:ilvl w:val="0"/>
          <w:numId w:val="66"/>
        </w:numPr>
        <w:tabs>
          <w:tab w:pos="1184" w:val="left" w:leader="none"/>
        </w:tabs>
        <w:spacing w:line="240" w:lineRule="auto" w:before="119" w:after="0"/>
        <w:ind w:left="1183" w:right="0" w:hanging="284"/>
        <w:jc w:val="left"/>
        <w:rPr>
          <w:rFonts w:ascii="Symbol" w:hAnsi="Symbol"/>
          <w:sz w:val="20"/>
        </w:rPr>
      </w:pPr>
      <w:r>
        <w:rPr>
          <w:color w:val="404040"/>
          <w:sz w:val="20"/>
        </w:rPr>
        <w:t>Those with adult carees have a higher average lifetime cost compared to carers with child</w:t>
      </w:r>
      <w:r>
        <w:rPr>
          <w:color w:val="404040"/>
          <w:spacing w:val="-15"/>
          <w:sz w:val="20"/>
        </w:rPr>
        <w:t> </w:t>
      </w:r>
      <w:r>
        <w:rPr>
          <w:color w:val="404040"/>
          <w:sz w:val="20"/>
        </w:rPr>
        <w:t>carees.</w:t>
      </w:r>
    </w:p>
    <w:p>
      <w:pPr>
        <w:pStyle w:val="ListParagraph"/>
        <w:numPr>
          <w:ilvl w:val="0"/>
          <w:numId w:val="66"/>
        </w:numPr>
        <w:tabs>
          <w:tab w:pos="1184" w:val="left" w:leader="none"/>
        </w:tabs>
        <w:spacing w:line="240" w:lineRule="auto" w:before="120" w:after="0"/>
        <w:ind w:left="1183" w:right="0" w:hanging="284"/>
        <w:jc w:val="left"/>
        <w:rPr>
          <w:rFonts w:ascii="Symbol" w:hAnsi="Symbol"/>
          <w:sz w:val="20"/>
        </w:rPr>
      </w:pPr>
      <w:r>
        <w:rPr>
          <w:color w:val="404040"/>
          <w:sz w:val="20"/>
        </w:rPr>
        <w:t>In general, those with younger children have a higher average lifetime</w:t>
      </w:r>
      <w:r>
        <w:rPr>
          <w:color w:val="404040"/>
          <w:spacing w:val="2"/>
          <w:sz w:val="20"/>
        </w:rPr>
        <w:t> </w:t>
      </w:r>
      <w:r>
        <w:rPr>
          <w:color w:val="404040"/>
          <w:sz w:val="20"/>
        </w:rPr>
        <w:t>cost.</w:t>
      </w:r>
    </w:p>
    <w:p>
      <w:pPr>
        <w:pStyle w:val="ListParagraph"/>
        <w:numPr>
          <w:ilvl w:val="0"/>
          <w:numId w:val="66"/>
        </w:numPr>
        <w:tabs>
          <w:tab w:pos="1184" w:val="left" w:leader="none"/>
        </w:tabs>
        <w:spacing w:line="240" w:lineRule="auto" w:before="117" w:after="0"/>
        <w:ind w:left="1183" w:right="0" w:hanging="284"/>
        <w:jc w:val="left"/>
        <w:rPr>
          <w:rFonts w:ascii="Symbol" w:hAnsi="Symbol"/>
          <w:sz w:val="20"/>
        </w:rPr>
      </w:pPr>
      <w:r>
        <w:rPr>
          <w:color w:val="404040"/>
          <w:sz w:val="20"/>
        </w:rPr>
        <w:t>Single welfare recipients have a higher average lifetime cost compared to partnered welfare</w:t>
      </w:r>
      <w:r>
        <w:rPr>
          <w:color w:val="404040"/>
          <w:spacing w:val="-18"/>
          <w:sz w:val="20"/>
        </w:rPr>
        <w:t> </w:t>
      </w:r>
      <w:r>
        <w:rPr>
          <w:color w:val="404040"/>
          <w:sz w:val="20"/>
        </w:rPr>
        <w:t>recipients.</w:t>
      </w:r>
    </w:p>
    <w:p>
      <w:pPr>
        <w:pStyle w:val="ListParagraph"/>
        <w:numPr>
          <w:ilvl w:val="0"/>
          <w:numId w:val="66"/>
        </w:numPr>
        <w:tabs>
          <w:tab w:pos="1184" w:val="left" w:leader="none"/>
        </w:tabs>
        <w:spacing w:line="240" w:lineRule="auto" w:before="120" w:after="0"/>
        <w:ind w:left="1183" w:right="1497" w:hanging="284"/>
        <w:jc w:val="left"/>
        <w:rPr>
          <w:rFonts w:ascii="Symbol" w:hAnsi="Symbol"/>
          <w:sz w:val="20"/>
        </w:rPr>
      </w:pPr>
      <w:r>
        <w:rPr>
          <w:color w:val="404040"/>
          <w:sz w:val="20"/>
        </w:rPr>
        <w:t>Those who were previously receiving income support payments have a higher average lifetime cost compared to those were receiving non income support welfare payments, or were not receiving welfare payments.</w:t>
      </w:r>
    </w:p>
    <w:p>
      <w:pPr>
        <w:pStyle w:val="BodyText"/>
        <w:spacing w:before="8"/>
      </w:pPr>
    </w:p>
    <w:p>
      <w:pPr>
        <w:pStyle w:val="Heading6"/>
        <w:rPr>
          <w:i/>
        </w:rPr>
      </w:pPr>
      <w:r>
        <w:rPr>
          <w:i/>
          <w:color w:val="DF2F1E"/>
        </w:rPr>
        <w:t>Change in lifetime costs since the 2017 valuation</w:t>
      </w:r>
    </w:p>
    <w:p>
      <w:pPr>
        <w:pStyle w:val="BodyText"/>
        <w:spacing w:before="121"/>
        <w:ind w:left="900"/>
      </w:pPr>
      <w:r>
        <w:rPr>
          <w:color w:val="404040"/>
        </w:rPr>
        <w:t>The lifetime cost for the people in this class is $51bn, a decrease of $1bn compared to the rebased</w:t>
      </w:r>
    </w:p>
    <w:p>
      <w:pPr>
        <w:pStyle w:val="BodyText"/>
        <w:ind w:left="899" w:right="1032"/>
      </w:pPr>
      <w:r>
        <w:rPr>
          <w:color w:val="404040"/>
        </w:rPr>
        <w:t>2017 valuation. This was driven by a decrease in the average cost, partially offset by an increase in the number of people in this class:</w:t>
      </w:r>
    </w:p>
    <w:p>
      <w:pPr>
        <w:pStyle w:val="ListParagraph"/>
        <w:numPr>
          <w:ilvl w:val="0"/>
          <w:numId w:val="66"/>
        </w:numPr>
        <w:tabs>
          <w:tab w:pos="1184" w:val="left" w:leader="none"/>
        </w:tabs>
        <w:spacing w:line="240" w:lineRule="auto" w:before="120" w:after="0"/>
        <w:ind w:left="1183" w:right="0" w:hanging="285"/>
        <w:jc w:val="left"/>
        <w:rPr>
          <w:rFonts w:ascii="Symbol" w:hAnsi="Symbol"/>
          <w:sz w:val="20"/>
        </w:rPr>
      </w:pPr>
      <w:r>
        <w:rPr>
          <w:color w:val="404040"/>
          <w:sz w:val="20"/>
        </w:rPr>
        <w:t>The number of people in this class has increased (7.5% higher) since the previous</w:t>
      </w:r>
      <w:r>
        <w:rPr>
          <w:color w:val="404040"/>
          <w:spacing w:val="-8"/>
          <w:sz w:val="20"/>
        </w:rPr>
        <w:t> </w:t>
      </w:r>
      <w:r>
        <w:rPr>
          <w:color w:val="404040"/>
          <w:sz w:val="20"/>
        </w:rPr>
        <w:t>valuation.</w:t>
      </w:r>
    </w:p>
    <w:p>
      <w:pPr>
        <w:pStyle w:val="ListParagraph"/>
        <w:numPr>
          <w:ilvl w:val="0"/>
          <w:numId w:val="66"/>
        </w:numPr>
        <w:tabs>
          <w:tab w:pos="1184" w:val="left" w:leader="none"/>
        </w:tabs>
        <w:spacing w:line="240" w:lineRule="auto" w:before="117" w:after="0"/>
        <w:ind w:left="1183" w:right="1585" w:hanging="284"/>
        <w:jc w:val="left"/>
        <w:rPr>
          <w:rFonts w:ascii="Symbol" w:hAnsi="Symbol"/>
          <w:sz w:val="20"/>
        </w:rPr>
      </w:pPr>
      <w:r>
        <w:rPr>
          <w:color w:val="404040"/>
          <w:sz w:val="20"/>
        </w:rPr>
        <w:t>The average cost has decreased by $24,000 (10.1%) since the previous valuation. The following table provides a breakdown of the change in average lifetime cost by payment</w:t>
      </w:r>
      <w:r>
        <w:rPr>
          <w:color w:val="404040"/>
          <w:spacing w:val="-12"/>
          <w:sz w:val="20"/>
        </w:rPr>
        <w:t> </w:t>
      </w:r>
      <w:r>
        <w:rPr>
          <w:color w:val="404040"/>
          <w:sz w:val="20"/>
        </w:rPr>
        <w:t>category.</w:t>
      </w:r>
    </w:p>
    <w:p>
      <w:pPr>
        <w:spacing w:after="0" w:line="240" w:lineRule="auto"/>
        <w:jc w:val="left"/>
        <w:rPr>
          <w:rFonts w:ascii="Symbol" w:hAnsi="Symbol"/>
          <w:sz w:val="20"/>
        </w:rPr>
        <w:sectPr>
          <w:pgSz w:w="11910" w:h="16850"/>
          <w:pgMar w:header="572" w:footer="581" w:top="780" w:bottom="780" w:left="120" w:right="0"/>
        </w:sectPr>
      </w:pPr>
    </w:p>
    <w:p>
      <w:pPr>
        <w:pStyle w:val="BodyText"/>
      </w:pPr>
    </w:p>
    <w:p>
      <w:pPr>
        <w:pStyle w:val="BodyText"/>
      </w:pPr>
    </w:p>
    <w:p>
      <w:pPr>
        <w:pStyle w:val="BodyText"/>
        <w:spacing w:before="5"/>
        <w:rPr>
          <w:sz w:val="21"/>
        </w:rPr>
      </w:pPr>
    </w:p>
    <w:p>
      <w:pPr>
        <w:pStyle w:val="Heading9"/>
        <w:spacing w:after="44"/>
      </w:pPr>
      <w:r>
        <w:rPr>
          <w:color w:val="DF2F1E"/>
        </w:rPr>
        <w:t>Table 37: Breakdown of change in average lifetime cost for class 8 by payment category</w:t>
      </w:r>
    </w:p>
    <w:tbl>
      <w:tblPr>
        <w:tblW w:w="0" w:type="auto"/>
        <w:jc w:val="left"/>
        <w:tblInd w:w="1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20"/>
        <w:gridCol w:w="1271"/>
        <w:gridCol w:w="1247"/>
        <w:gridCol w:w="1237"/>
        <w:gridCol w:w="1311"/>
        <w:gridCol w:w="1310"/>
      </w:tblGrid>
      <w:tr>
        <w:trPr>
          <w:trHeight w:val="278" w:hRule="atLeast"/>
        </w:trPr>
        <w:tc>
          <w:tcPr>
            <w:tcW w:w="3120" w:type="dxa"/>
            <w:shd w:val="clear" w:color="auto" w:fill="DF2F1E"/>
          </w:tcPr>
          <w:p>
            <w:pPr>
              <w:pStyle w:val="TableParagraph"/>
              <w:spacing w:before="0"/>
              <w:rPr>
                <w:rFonts w:ascii="Times New Roman"/>
                <w:sz w:val="16"/>
              </w:rPr>
            </w:pPr>
          </w:p>
        </w:tc>
        <w:tc>
          <w:tcPr>
            <w:tcW w:w="1271" w:type="dxa"/>
            <w:shd w:val="clear" w:color="auto" w:fill="DF2F1E"/>
          </w:tcPr>
          <w:p>
            <w:pPr>
              <w:pStyle w:val="TableParagraph"/>
              <w:spacing w:before="0"/>
              <w:rPr>
                <w:rFonts w:ascii="Times New Roman"/>
                <w:sz w:val="16"/>
              </w:rPr>
            </w:pPr>
          </w:p>
        </w:tc>
        <w:tc>
          <w:tcPr>
            <w:tcW w:w="1247" w:type="dxa"/>
            <w:shd w:val="clear" w:color="auto" w:fill="DF2F1E"/>
          </w:tcPr>
          <w:p>
            <w:pPr>
              <w:pStyle w:val="TableParagraph"/>
              <w:spacing w:before="44"/>
              <w:ind w:left="634"/>
              <w:rPr>
                <w:b/>
                <w:sz w:val="16"/>
              </w:rPr>
            </w:pPr>
            <w:r>
              <w:rPr>
                <w:b/>
                <w:color w:val="FFFFFF"/>
                <w:sz w:val="16"/>
              </w:rPr>
              <w:t>Income</w:t>
            </w:r>
          </w:p>
        </w:tc>
        <w:tc>
          <w:tcPr>
            <w:tcW w:w="1237" w:type="dxa"/>
            <w:shd w:val="clear" w:color="auto" w:fill="DF2F1E"/>
          </w:tcPr>
          <w:p>
            <w:pPr>
              <w:pStyle w:val="TableParagraph"/>
              <w:spacing w:before="44"/>
              <w:ind w:left="59"/>
              <w:rPr>
                <w:b/>
                <w:sz w:val="16"/>
              </w:rPr>
            </w:pPr>
            <w:r>
              <w:rPr>
                <w:b/>
                <w:color w:val="FFFFFF"/>
                <w:sz w:val="16"/>
              </w:rPr>
              <w:t>Support</w:t>
            </w:r>
          </w:p>
        </w:tc>
        <w:tc>
          <w:tcPr>
            <w:tcW w:w="1311" w:type="dxa"/>
            <w:shd w:val="clear" w:color="auto" w:fill="DF2F1E"/>
          </w:tcPr>
          <w:p>
            <w:pPr>
              <w:pStyle w:val="TableParagraph"/>
              <w:spacing w:before="44"/>
              <w:ind w:left="344"/>
              <w:rPr>
                <w:b/>
                <w:sz w:val="16"/>
              </w:rPr>
            </w:pPr>
            <w:r>
              <w:rPr>
                <w:b/>
                <w:color w:val="FFFFFF"/>
                <w:sz w:val="16"/>
              </w:rPr>
              <w:t>Non Income</w:t>
            </w:r>
          </w:p>
        </w:tc>
        <w:tc>
          <w:tcPr>
            <w:tcW w:w="1310" w:type="dxa"/>
            <w:shd w:val="clear" w:color="auto" w:fill="DF2F1E"/>
          </w:tcPr>
          <w:p>
            <w:pPr>
              <w:pStyle w:val="TableParagraph"/>
              <w:spacing w:before="40"/>
              <w:ind w:left="62"/>
              <w:rPr>
                <w:b/>
                <w:sz w:val="10"/>
              </w:rPr>
            </w:pPr>
            <w:r>
              <w:rPr>
                <w:b/>
                <w:color w:val="FFFFFF"/>
                <w:sz w:val="16"/>
              </w:rPr>
              <w:t>Support</w:t>
            </w:r>
            <w:r>
              <w:rPr>
                <w:b/>
                <w:color w:val="FFFFFF"/>
                <w:position w:val="6"/>
                <w:sz w:val="10"/>
              </w:rPr>
              <w:t>1</w:t>
            </w:r>
          </w:p>
        </w:tc>
      </w:tr>
      <w:tr>
        <w:trPr>
          <w:trHeight w:val="453" w:hRule="atLeast"/>
        </w:trPr>
        <w:tc>
          <w:tcPr>
            <w:tcW w:w="3120" w:type="dxa"/>
            <w:tcBorders>
              <w:bottom w:val="single" w:sz="4" w:space="0" w:color="FFFFFF"/>
            </w:tcBorders>
            <w:shd w:val="clear" w:color="auto" w:fill="DF2F1E"/>
          </w:tcPr>
          <w:p>
            <w:pPr>
              <w:pStyle w:val="TableParagraph"/>
              <w:spacing w:before="0"/>
              <w:rPr>
                <w:rFonts w:ascii="Times New Roman"/>
                <w:sz w:val="16"/>
              </w:rPr>
            </w:pPr>
          </w:p>
        </w:tc>
        <w:tc>
          <w:tcPr>
            <w:tcW w:w="1271" w:type="dxa"/>
            <w:tcBorders>
              <w:bottom w:val="single" w:sz="4" w:space="0" w:color="FFFFFF"/>
            </w:tcBorders>
            <w:shd w:val="clear" w:color="auto" w:fill="DF2F1E"/>
          </w:tcPr>
          <w:p>
            <w:pPr>
              <w:pStyle w:val="TableParagraph"/>
              <w:spacing w:before="39"/>
              <w:ind w:left="430" w:right="418"/>
              <w:jc w:val="center"/>
              <w:rPr>
                <w:b/>
                <w:sz w:val="16"/>
              </w:rPr>
            </w:pPr>
            <w:r>
              <w:rPr>
                <w:b/>
                <w:color w:val="FFFFFF"/>
                <w:sz w:val="16"/>
              </w:rPr>
              <w:t>Total</w:t>
            </w:r>
          </w:p>
        </w:tc>
        <w:tc>
          <w:tcPr>
            <w:tcW w:w="1247" w:type="dxa"/>
            <w:tcBorders>
              <w:bottom w:val="single" w:sz="4" w:space="0" w:color="FFFFFF"/>
            </w:tcBorders>
            <w:shd w:val="clear" w:color="auto" w:fill="DF2F1E"/>
          </w:tcPr>
          <w:p>
            <w:pPr>
              <w:pStyle w:val="TableParagraph"/>
              <w:spacing w:before="39"/>
              <w:ind w:left="320" w:right="266" w:hanging="17"/>
              <w:rPr>
                <w:b/>
                <w:sz w:val="16"/>
              </w:rPr>
            </w:pPr>
            <w:r>
              <w:rPr>
                <w:b/>
                <w:color w:val="FFFFFF"/>
                <w:sz w:val="16"/>
              </w:rPr>
              <w:t>Non Age Pension</w:t>
            </w:r>
          </w:p>
        </w:tc>
        <w:tc>
          <w:tcPr>
            <w:tcW w:w="1237" w:type="dxa"/>
            <w:tcBorders>
              <w:bottom w:val="single" w:sz="4" w:space="0" w:color="FFFFFF"/>
            </w:tcBorders>
            <w:shd w:val="clear" w:color="auto" w:fill="DF2F1E"/>
          </w:tcPr>
          <w:p>
            <w:pPr>
              <w:pStyle w:val="TableParagraph"/>
              <w:spacing w:before="39"/>
              <w:ind w:left="136"/>
              <w:rPr>
                <w:b/>
                <w:sz w:val="16"/>
              </w:rPr>
            </w:pPr>
            <w:r>
              <w:rPr>
                <w:b/>
                <w:color w:val="FFFFFF"/>
                <w:sz w:val="16"/>
              </w:rPr>
              <w:t>Age Pension</w:t>
            </w:r>
          </w:p>
        </w:tc>
        <w:tc>
          <w:tcPr>
            <w:tcW w:w="1311" w:type="dxa"/>
            <w:tcBorders>
              <w:bottom w:val="single" w:sz="4" w:space="0" w:color="FFFFFF"/>
            </w:tcBorders>
            <w:shd w:val="clear" w:color="auto" w:fill="DF2F1E"/>
          </w:tcPr>
          <w:p>
            <w:pPr>
              <w:pStyle w:val="TableParagraph"/>
              <w:spacing w:before="39"/>
              <w:ind w:left="159" w:right="127" w:firstLine="249"/>
              <w:rPr>
                <w:b/>
                <w:sz w:val="16"/>
              </w:rPr>
            </w:pPr>
            <w:r>
              <w:rPr>
                <w:b/>
                <w:color w:val="FFFFFF"/>
                <w:sz w:val="16"/>
              </w:rPr>
              <w:t>Family Supplements</w:t>
            </w:r>
          </w:p>
        </w:tc>
        <w:tc>
          <w:tcPr>
            <w:tcW w:w="1310" w:type="dxa"/>
            <w:tcBorders>
              <w:bottom w:val="single" w:sz="4" w:space="0" w:color="FFFFFF"/>
            </w:tcBorders>
            <w:shd w:val="clear" w:color="auto" w:fill="DF2F1E"/>
          </w:tcPr>
          <w:p>
            <w:pPr>
              <w:pStyle w:val="TableParagraph"/>
              <w:spacing w:before="39"/>
              <w:ind w:left="158" w:right="127" w:firstLine="288"/>
              <w:rPr>
                <w:b/>
                <w:sz w:val="16"/>
              </w:rPr>
            </w:pPr>
            <w:r>
              <w:rPr>
                <w:b/>
                <w:color w:val="FFFFFF"/>
                <w:sz w:val="16"/>
              </w:rPr>
              <w:t>Other Supplements</w:t>
            </w:r>
          </w:p>
        </w:tc>
      </w:tr>
      <w:tr>
        <w:trPr>
          <w:trHeight w:val="254" w:hRule="atLeast"/>
        </w:trPr>
        <w:tc>
          <w:tcPr>
            <w:tcW w:w="3120" w:type="dxa"/>
            <w:tcBorders>
              <w:top w:val="single" w:sz="4" w:space="0" w:color="FFFFFF"/>
              <w:left w:val="single" w:sz="4" w:space="0" w:color="DF2F1E"/>
              <w:right w:val="single" w:sz="4" w:space="0" w:color="DF2F1E"/>
            </w:tcBorders>
          </w:tcPr>
          <w:p>
            <w:pPr>
              <w:pStyle w:val="TableParagraph"/>
              <w:spacing w:before="34"/>
              <w:ind w:left="57"/>
              <w:rPr>
                <w:b/>
                <w:sz w:val="16"/>
              </w:rPr>
            </w:pPr>
            <w:r>
              <w:rPr>
                <w:b/>
                <w:color w:val="404040"/>
                <w:sz w:val="16"/>
              </w:rPr>
              <w:t>Jun-17 Total Lifetime Cost</w:t>
            </w:r>
          </w:p>
        </w:tc>
        <w:tc>
          <w:tcPr>
            <w:tcW w:w="1271" w:type="dxa"/>
            <w:tcBorders>
              <w:top w:val="single" w:sz="4" w:space="0" w:color="FFFFFF"/>
              <w:left w:val="single" w:sz="4" w:space="0" w:color="DF2F1E"/>
              <w:right w:val="single" w:sz="4" w:space="0" w:color="DF2F1E"/>
            </w:tcBorders>
          </w:tcPr>
          <w:p>
            <w:pPr>
              <w:pStyle w:val="TableParagraph"/>
              <w:ind w:left="12"/>
              <w:jc w:val="center"/>
              <w:rPr>
                <w:sz w:val="16"/>
              </w:rPr>
            </w:pPr>
            <w:r>
              <w:rPr>
                <w:color w:val="404040"/>
                <w:sz w:val="16"/>
              </w:rPr>
              <w:t>$42bn</w:t>
            </w:r>
          </w:p>
        </w:tc>
        <w:tc>
          <w:tcPr>
            <w:tcW w:w="5105" w:type="dxa"/>
            <w:gridSpan w:val="4"/>
            <w:vMerge w:val="restart"/>
            <w:tcBorders>
              <w:top w:val="single" w:sz="4" w:space="0" w:color="FFFFFF"/>
              <w:left w:val="single" w:sz="4" w:space="0" w:color="DF2F1E"/>
              <w:bottom w:val="single" w:sz="4" w:space="0" w:color="DF2F1E"/>
              <w:right w:val="single" w:sz="4" w:space="0" w:color="DF2F1E"/>
            </w:tcBorders>
            <w:shd w:val="clear" w:color="auto" w:fill="D9D9D9"/>
          </w:tcPr>
          <w:p>
            <w:pPr>
              <w:pStyle w:val="TableParagraph"/>
              <w:spacing w:before="0"/>
              <w:rPr>
                <w:rFonts w:ascii="Times New Roman"/>
                <w:sz w:val="16"/>
              </w:rPr>
            </w:pPr>
          </w:p>
        </w:tc>
      </w:tr>
      <w:tr>
        <w:trPr>
          <w:trHeight w:val="256" w:hRule="atLeast"/>
        </w:trPr>
        <w:tc>
          <w:tcPr>
            <w:tcW w:w="3120" w:type="dxa"/>
            <w:tcBorders>
              <w:left w:val="single" w:sz="4" w:space="0" w:color="DF2F1E"/>
              <w:right w:val="single" w:sz="4" w:space="0" w:color="DF2F1E"/>
            </w:tcBorders>
          </w:tcPr>
          <w:p>
            <w:pPr>
              <w:pStyle w:val="TableParagraph"/>
              <w:spacing w:before="30"/>
              <w:ind w:left="57"/>
              <w:rPr>
                <w:b/>
                <w:sz w:val="10"/>
              </w:rPr>
            </w:pPr>
            <w:r>
              <w:rPr>
                <w:b/>
                <w:color w:val="404040"/>
                <w:sz w:val="16"/>
              </w:rPr>
              <w:t>Jun-17 Total Lifetime Cost – rebased</w:t>
            </w:r>
            <w:r>
              <w:rPr>
                <w:b/>
                <w:color w:val="404040"/>
                <w:position w:val="6"/>
                <w:sz w:val="10"/>
              </w:rPr>
              <w:t>2</w:t>
            </w:r>
          </w:p>
        </w:tc>
        <w:tc>
          <w:tcPr>
            <w:tcW w:w="1271" w:type="dxa"/>
            <w:tcBorders>
              <w:left w:val="single" w:sz="4" w:space="0" w:color="DF2F1E"/>
              <w:right w:val="single" w:sz="4" w:space="0" w:color="DF2F1E"/>
            </w:tcBorders>
          </w:tcPr>
          <w:p>
            <w:pPr>
              <w:pStyle w:val="TableParagraph"/>
              <w:spacing w:before="36"/>
              <w:ind w:left="12"/>
              <w:jc w:val="center"/>
              <w:rPr>
                <w:sz w:val="16"/>
              </w:rPr>
            </w:pPr>
            <w:r>
              <w:rPr>
                <w:color w:val="404040"/>
                <w:sz w:val="16"/>
              </w:rPr>
              <w:t>$53bn</w:t>
            </w:r>
          </w:p>
        </w:tc>
        <w:tc>
          <w:tcPr>
            <w:tcW w:w="5105" w:type="dxa"/>
            <w:gridSpan w:val="4"/>
            <w:vMerge/>
            <w:tcBorders>
              <w:top w:val="nil"/>
              <w:left w:val="single" w:sz="4" w:space="0" w:color="DF2F1E"/>
              <w:bottom w:val="single" w:sz="4" w:space="0" w:color="DF2F1E"/>
              <w:right w:val="single" w:sz="4" w:space="0" w:color="DF2F1E"/>
            </w:tcBorders>
            <w:shd w:val="clear" w:color="auto" w:fill="D9D9D9"/>
          </w:tcPr>
          <w:p>
            <w:pPr>
              <w:rPr>
                <w:sz w:val="2"/>
                <w:szCs w:val="2"/>
              </w:rPr>
            </w:pPr>
          </w:p>
        </w:tc>
      </w:tr>
      <w:tr>
        <w:trPr>
          <w:trHeight w:val="260" w:hRule="atLeast"/>
        </w:trPr>
        <w:tc>
          <w:tcPr>
            <w:tcW w:w="3120" w:type="dxa"/>
            <w:tcBorders>
              <w:left w:val="single" w:sz="4" w:space="0" w:color="DF2F1E"/>
              <w:bottom w:val="single" w:sz="4" w:space="0" w:color="DF2F1E"/>
              <w:right w:val="single" w:sz="4" w:space="0" w:color="DF2F1E"/>
            </w:tcBorders>
          </w:tcPr>
          <w:p>
            <w:pPr>
              <w:pStyle w:val="TableParagraph"/>
              <w:spacing w:before="31"/>
              <w:ind w:left="57"/>
              <w:rPr>
                <w:b/>
                <w:sz w:val="16"/>
              </w:rPr>
            </w:pPr>
            <w:r>
              <w:rPr>
                <w:b/>
                <w:color w:val="404040"/>
                <w:sz w:val="16"/>
              </w:rPr>
              <w:t>Jun-18 Total Lifetime Cost</w:t>
            </w:r>
          </w:p>
        </w:tc>
        <w:tc>
          <w:tcPr>
            <w:tcW w:w="1271" w:type="dxa"/>
            <w:tcBorders>
              <w:left w:val="single" w:sz="4" w:space="0" w:color="DF2F1E"/>
              <w:bottom w:val="single" w:sz="4" w:space="0" w:color="DF2F1E"/>
              <w:right w:val="single" w:sz="4" w:space="0" w:color="DF2F1E"/>
            </w:tcBorders>
          </w:tcPr>
          <w:p>
            <w:pPr>
              <w:pStyle w:val="TableParagraph"/>
              <w:spacing w:before="34"/>
              <w:ind w:left="12"/>
              <w:jc w:val="center"/>
              <w:rPr>
                <w:sz w:val="16"/>
              </w:rPr>
            </w:pPr>
            <w:r>
              <w:rPr>
                <w:color w:val="404040"/>
                <w:sz w:val="16"/>
              </w:rPr>
              <w:t>$51bn</w:t>
            </w:r>
          </w:p>
        </w:tc>
        <w:tc>
          <w:tcPr>
            <w:tcW w:w="5105" w:type="dxa"/>
            <w:gridSpan w:val="4"/>
            <w:vMerge/>
            <w:tcBorders>
              <w:top w:val="nil"/>
              <w:left w:val="single" w:sz="4" w:space="0" w:color="DF2F1E"/>
              <w:bottom w:val="single" w:sz="4" w:space="0" w:color="DF2F1E"/>
              <w:right w:val="single" w:sz="4" w:space="0" w:color="DF2F1E"/>
            </w:tcBorders>
            <w:shd w:val="clear" w:color="auto" w:fill="D9D9D9"/>
          </w:tcPr>
          <w:p>
            <w:pPr>
              <w:rPr>
                <w:sz w:val="2"/>
                <w:szCs w:val="2"/>
              </w:rPr>
            </w:pPr>
          </w:p>
        </w:tc>
      </w:tr>
      <w:tr>
        <w:trPr>
          <w:trHeight w:val="263" w:hRule="atLeast"/>
        </w:trPr>
        <w:tc>
          <w:tcPr>
            <w:tcW w:w="3120" w:type="dxa"/>
            <w:tcBorders>
              <w:top w:val="single" w:sz="4" w:space="0" w:color="DF2F1E"/>
              <w:left w:val="single" w:sz="4" w:space="0" w:color="DF2F1E"/>
              <w:bottom w:val="single" w:sz="4" w:space="0" w:color="DF2F1E"/>
              <w:right w:val="single" w:sz="4" w:space="0" w:color="DF2F1E"/>
            </w:tcBorders>
          </w:tcPr>
          <w:p>
            <w:pPr>
              <w:pStyle w:val="TableParagraph"/>
              <w:spacing w:before="31"/>
              <w:ind w:left="57"/>
              <w:rPr>
                <w:b/>
                <w:sz w:val="10"/>
              </w:rPr>
            </w:pPr>
            <w:r>
              <w:rPr>
                <w:b/>
                <w:color w:val="404040"/>
                <w:sz w:val="16"/>
              </w:rPr>
              <w:t>Change in Total Lifetime Cost</w:t>
            </w:r>
            <w:r>
              <w:rPr>
                <w:b/>
                <w:color w:val="404040"/>
                <w:position w:val="6"/>
                <w:sz w:val="10"/>
              </w:rPr>
              <w:t>2</w:t>
            </w:r>
          </w:p>
        </w:tc>
        <w:tc>
          <w:tcPr>
            <w:tcW w:w="1271" w:type="dxa"/>
            <w:tcBorders>
              <w:top w:val="single" w:sz="4" w:space="0" w:color="DF2F1E"/>
              <w:left w:val="single" w:sz="4" w:space="0" w:color="DF2F1E"/>
              <w:bottom w:val="single" w:sz="4" w:space="0" w:color="DF2F1E"/>
              <w:right w:val="single" w:sz="4" w:space="0" w:color="DF2F1E"/>
            </w:tcBorders>
          </w:tcPr>
          <w:p>
            <w:pPr>
              <w:pStyle w:val="TableParagraph"/>
              <w:ind w:left="15"/>
              <w:jc w:val="center"/>
              <w:rPr>
                <w:sz w:val="16"/>
              </w:rPr>
            </w:pPr>
            <w:r>
              <w:rPr>
                <w:color w:val="404040"/>
                <w:sz w:val="16"/>
              </w:rPr>
              <w:t>-$1bn (-2.6%)</w:t>
            </w:r>
          </w:p>
        </w:tc>
        <w:tc>
          <w:tcPr>
            <w:tcW w:w="5105" w:type="dxa"/>
            <w:gridSpan w:val="4"/>
            <w:vMerge/>
            <w:tcBorders>
              <w:top w:val="nil"/>
              <w:left w:val="single" w:sz="4" w:space="0" w:color="DF2F1E"/>
              <w:bottom w:val="single" w:sz="4" w:space="0" w:color="DF2F1E"/>
              <w:right w:val="single" w:sz="4" w:space="0" w:color="DF2F1E"/>
            </w:tcBorders>
            <w:shd w:val="clear" w:color="auto" w:fill="D9D9D9"/>
          </w:tcPr>
          <w:p>
            <w:pPr>
              <w:rPr>
                <w:sz w:val="2"/>
                <w:szCs w:val="2"/>
              </w:rPr>
            </w:pPr>
          </w:p>
        </w:tc>
      </w:tr>
      <w:tr>
        <w:trPr>
          <w:trHeight w:val="265" w:hRule="atLeast"/>
        </w:trPr>
        <w:tc>
          <w:tcPr>
            <w:tcW w:w="3120" w:type="dxa"/>
            <w:tcBorders>
              <w:top w:val="single" w:sz="4" w:space="0" w:color="DF2F1E"/>
              <w:left w:val="single" w:sz="4" w:space="0" w:color="DF2F1E"/>
              <w:bottom w:val="single" w:sz="4" w:space="0" w:color="DF2F1E"/>
              <w:right w:val="single" w:sz="4" w:space="0" w:color="DF2F1E"/>
            </w:tcBorders>
          </w:tcPr>
          <w:p>
            <w:pPr>
              <w:pStyle w:val="TableParagraph"/>
              <w:ind w:left="57"/>
              <w:rPr>
                <w:b/>
                <w:sz w:val="16"/>
              </w:rPr>
            </w:pPr>
            <w:r>
              <w:rPr>
                <w:b/>
                <w:color w:val="404040"/>
                <w:sz w:val="16"/>
              </w:rPr>
              <w:t>Change due to People in Class</w:t>
            </w:r>
          </w:p>
        </w:tc>
        <w:tc>
          <w:tcPr>
            <w:tcW w:w="1271" w:type="dxa"/>
            <w:tcBorders>
              <w:top w:val="single" w:sz="4" w:space="0" w:color="DF2F1E"/>
              <w:left w:val="single" w:sz="4" w:space="0" w:color="DF2F1E"/>
              <w:bottom w:val="single" w:sz="4" w:space="0" w:color="DF2F1E"/>
              <w:right w:val="single" w:sz="4" w:space="0" w:color="DF2F1E"/>
            </w:tcBorders>
          </w:tcPr>
          <w:p>
            <w:pPr>
              <w:pStyle w:val="TableParagraph"/>
              <w:spacing w:before="39"/>
              <w:ind w:left="13"/>
              <w:jc w:val="center"/>
              <w:rPr>
                <w:sz w:val="16"/>
              </w:rPr>
            </w:pPr>
            <w:r>
              <w:rPr>
                <w:color w:val="404040"/>
                <w:sz w:val="16"/>
              </w:rPr>
              <w:t>+7.5%</w:t>
            </w:r>
          </w:p>
        </w:tc>
        <w:tc>
          <w:tcPr>
            <w:tcW w:w="5105" w:type="dxa"/>
            <w:gridSpan w:val="4"/>
            <w:vMerge/>
            <w:tcBorders>
              <w:top w:val="nil"/>
              <w:left w:val="single" w:sz="4" w:space="0" w:color="DF2F1E"/>
              <w:bottom w:val="single" w:sz="4" w:space="0" w:color="DF2F1E"/>
              <w:right w:val="single" w:sz="4" w:space="0" w:color="DF2F1E"/>
            </w:tcBorders>
            <w:shd w:val="clear" w:color="auto" w:fill="D9D9D9"/>
          </w:tcPr>
          <w:p>
            <w:pPr>
              <w:rPr>
                <w:sz w:val="2"/>
                <w:szCs w:val="2"/>
              </w:rPr>
            </w:pPr>
          </w:p>
        </w:tc>
      </w:tr>
      <w:tr>
        <w:trPr>
          <w:trHeight w:val="262" w:hRule="atLeast"/>
        </w:trPr>
        <w:tc>
          <w:tcPr>
            <w:tcW w:w="3120" w:type="dxa"/>
            <w:tcBorders>
              <w:top w:val="single" w:sz="4" w:space="0" w:color="DF2F1E"/>
              <w:left w:val="single" w:sz="4" w:space="0" w:color="DF2F1E"/>
              <w:right w:val="single" w:sz="4" w:space="0" w:color="DF2F1E"/>
            </w:tcBorders>
          </w:tcPr>
          <w:p>
            <w:pPr>
              <w:pStyle w:val="TableParagraph"/>
              <w:spacing w:before="31"/>
              <w:ind w:left="57"/>
              <w:rPr>
                <w:b/>
                <w:sz w:val="10"/>
              </w:rPr>
            </w:pPr>
            <w:r>
              <w:rPr>
                <w:b/>
                <w:color w:val="404040"/>
                <w:sz w:val="16"/>
              </w:rPr>
              <w:t>Change due to Average Lifetime Cost</w:t>
            </w:r>
            <w:r>
              <w:rPr>
                <w:b/>
                <w:color w:val="404040"/>
                <w:position w:val="6"/>
                <w:sz w:val="10"/>
              </w:rPr>
              <w:t>2</w:t>
            </w:r>
          </w:p>
        </w:tc>
        <w:tc>
          <w:tcPr>
            <w:tcW w:w="1271" w:type="dxa"/>
            <w:tcBorders>
              <w:top w:val="single" w:sz="4" w:space="0" w:color="DF2F1E"/>
              <w:left w:val="single" w:sz="4" w:space="0" w:color="DF2F1E"/>
              <w:right w:val="single" w:sz="4" w:space="0" w:color="DF2F1E"/>
            </w:tcBorders>
          </w:tcPr>
          <w:p>
            <w:pPr>
              <w:pStyle w:val="TableParagraph"/>
              <w:ind w:left="15"/>
              <w:jc w:val="center"/>
              <w:rPr>
                <w:sz w:val="16"/>
              </w:rPr>
            </w:pPr>
            <w:r>
              <w:rPr>
                <w:color w:val="404040"/>
                <w:sz w:val="16"/>
              </w:rPr>
              <w:t>-$24k (-10.1%)</w:t>
            </w:r>
          </w:p>
        </w:tc>
        <w:tc>
          <w:tcPr>
            <w:tcW w:w="1247" w:type="dxa"/>
            <w:tcBorders>
              <w:top w:val="single" w:sz="4" w:space="0" w:color="DF2F1E"/>
              <w:left w:val="single" w:sz="4" w:space="0" w:color="DF2F1E"/>
            </w:tcBorders>
          </w:tcPr>
          <w:p>
            <w:pPr>
              <w:pStyle w:val="TableParagraph"/>
              <w:ind w:left="468"/>
              <w:rPr>
                <w:sz w:val="16"/>
              </w:rPr>
            </w:pPr>
            <w:r>
              <w:rPr>
                <w:color w:val="404040"/>
                <w:sz w:val="16"/>
              </w:rPr>
              <w:t>-$9k</w:t>
            </w:r>
          </w:p>
        </w:tc>
        <w:tc>
          <w:tcPr>
            <w:tcW w:w="1237" w:type="dxa"/>
            <w:tcBorders>
              <w:top w:val="single" w:sz="4" w:space="0" w:color="DF2F1E"/>
              <w:right w:val="dashSmallGap" w:sz="4" w:space="0" w:color="DF2F1E"/>
            </w:tcBorders>
          </w:tcPr>
          <w:p>
            <w:pPr>
              <w:pStyle w:val="TableParagraph"/>
              <w:ind w:left="400" w:right="390"/>
              <w:jc w:val="center"/>
              <w:rPr>
                <w:sz w:val="16"/>
              </w:rPr>
            </w:pPr>
            <w:r>
              <w:rPr>
                <w:color w:val="404040"/>
                <w:sz w:val="16"/>
              </w:rPr>
              <w:t>-$13k</w:t>
            </w:r>
          </w:p>
        </w:tc>
        <w:tc>
          <w:tcPr>
            <w:tcW w:w="1311" w:type="dxa"/>
            <w:tcBorders>
              <w:top w:val="single" w:sz="4" w:space="0" w:color="DF2F1E"/>
              <w:left w:val="dashSmallGap" w:sz="4" w:space="0" w:color="DF2F1E"/>
            </w:tcBorders>
          </w:tcPr>
          <w:p>
            <w:pPr>
              <w:pStyle w:val="TableParagraph"/>
              <w:ind w:left="459" w:right="454"/>
              <w:jc w:val="center"/>
              <w:rPr>
                <w:sz w:val="16"/>
              </w:rPr>
            </w:pPr>
            <w:r>
              <w:rPr>
                <w:color w:val="A6A6A6"/>
                <w:sz w:val="16"/>
              </w:rPr>
              <w:t>&lt;$1k</w:t>
            </w:r>
          </w:p>
        </w:tc>
        <w:tc>
          <w:tcPr>
            <w:tcW w:w="1310" w:type="dxa"/>
            <w:tcBorders>
              <w:top w:val="single" w:sz="4" w:space="0" w:color="DF2F1E"/>
              <w:right w:val="single" w:sz="4" w:space="0" w:color="DF2F1E"/>
            </w:tcBorders>
          </w:tcPr>
          <w:p>
            <w:pPr>
              <w:pStyle w:val="TableParagraph"/>
              <w:ind w:right="488"/>
              <w:jc w:val="right"/>
              <w:rPr>
                <w:sz w:val="16"/>
              </w:rPr>
            </w:pPr>
            <w:r>
              <w:rPr>
                <w:color w:val="404040"/>
                <w:sz w:val="16"/>
              </w:rPr>
              <w:t>-$2k</w:t>
            </w:r>
          </w:p>
        </w:tc>
      </w:tr>
      <w:tr>
        <w:trPr>
          <w:trHeight w:val="263" w:hRule="atLeast"/>
        </w:trPr>
        <w:tc>
          <w:tcPr>
            <w:tcW w:w="3120" w:type="dxa"/>
            <w:tcBorders>
              <w:left w:val="single" w:sz="4" w:space="0" w:color="DF2F1E"/>
              <w:right w:val="single" w:sz="4" w:space="0" w:color="DF2F1E"/>
            </w:tcBorders>
          </w:tcPr>
          <w:p>
            <w:pPr>
              <w:pStyle w:val="TableParagraph"/>
              <w:spacing w:before="36"/>
              <w:ind w:left="57"/>
              <w:rPr>
                <w:b/>
                <w:sz w:val="16"/>
              </w:rPr>
            </w:pPr>
            <w:r>
              <w:rPr>
                <w:b/>
                <w:color w:val="404040"/>
                <w:sz w:val="16"/>
              </w:rPr>
              <w:t>- Impact of change in inflation</w:t>
            </w:r>
          </w:p>
        </w:tc>
        <w:tc>
          <w:tcPr>
            <w:tcW w:w="1271" w:type="dxa"/>
            <w:tcBorders>
              <w:left w:val="single" w:sz="4" w:space="0" w:color="DF2F1E"/>
              <w:right w:val="single" w:sz="4" w:space="0" w:color="DF2F1E"/>
            </w:tcBorders>
          </w:tcPr>
          <w:p>
            <w:pPr>
              <w:pStyle w:val="TableParagraph"/>
              <w:spacing w:before="39"/>
              <w:ind w:left="15"/>
              <w:jc w:val="center"/>
              <w:rPr>
                <w:sz w:val="16"/>
              </w:rPr>
            </w:pPr>
            <w:r>
              <w:rPr>
                <w:color w:val="404040"/>
                <w:sz w:val="16"/>
              </w:rPr>
              <w:t>+$5k</w:t>
            </w:r>
          </w:p>
        </w:tc>
        <w:tc>
          <w:tcPr>
            <w:tcW w:w="1247" w:type="dxa"/>
            <w:tcBorders>
              <w:left w:val="single" w:sz="4" w:space="0" w:color="DF2F1E"/>
            </w:tcBorders>
          </w:tcPr>
          <w:p>
            <w:pPr>
              <w:pStyle w:val="TableParagraph"/>
              <w:spacing w:before="39"/>
              <w:ind w:left="449"/>
              <w:rPr>
                <w:sz w:val="16"/>
              </w:rPr>
            </w:pPr>
            <w:r>
              <w:rPr>
                <w:color w:val="404040"/>
                <w:sz w:val="16"/>
              </w:rPr>
              <w:t>+$1k</w:t>
            </w:r>
          </w:p>
        </w:tc>
        <w:tc>
          <w:tcPr>
            <w:tcW w:w="1237" w:type="dxa"/>
            <w:tcBorders>
              <w:right w:val="dashSmallGap" w:sz="4" w:space="0" w:color="DF2F1E"/>
            </w:tcBorders>
          </w:tcPr>
          <w:p>
            <w:pPr>
              <w:pStyle w:val="TableParagraph"/>
              <w:spacing w:before="39"/>
              <w:ind w:left="400" w:right="390"/>
              <w:jc w:val="center"/>
              <w:rPr>
                <w:sz w:val="16"/>
              </w:rPr>
            </w:pPr>
            <w:r>
              <w:rPr>
                <w:color w:val="404040"/>
                <w:sz w:val="16"/>
              </w:rPr>
              <w:t>+$3k</w:t>
            </w:r>
          </w:p>
        </w:tc>
        <w:tc>
          <w:tcPr>
            <w:tcW w:w="1311" w:type="dxa"/>
            <w:tcBorders>
              <w:left w:val="dashSmallGap" w:sz="4" w:space="0" w:color="DF2F1E"/>
            </w:tcBorders>
          </w:tcPr>
          <w:p>
            <w:pPr>
              <w:pStyle w:val="TableParagraph"/>
              <w:spacing w:before="39"/>
              <w:ind w:left="459" w:right="453"/>
              <w:jc w:val="center"/>
              <w:rPr>
                <w:sz w:val="16"/>
              </w:rPr>
            </w:pPr>
            <w:r>
              <w:rPr>
                <w:color w:val="A6A6A6"/>
                <w:sz w:val="16"/>
              </w:rPr>
              <w:t>&lt;$1k</w:t>
            </w:r>
          </w:p>
        </w:tc>
        <w:tc>
          <w:tcPr>
            <w:tcW w:w="1310" w:type="dxa"/>
            <w:tcBorders>
              <w:right w:val="single" w:sz="4" w:space="0" w:color="DF2F1E"/>
            </w:tcBorders>
          </w:tcPr>
          <w:p>
            <w:pPr>
              <w:pStyle w:val="TableParagraph"/>
              <w:spacing w:before="39"/>
              <w:ind w:right="467"/>
              <w:jc w:val="right"/>
              <w:rPr>
                <w:sz w:val="16"/>
              </w:rPr>
            </w:pPr>
            <w:r>
              <w:rPr>
                <w:color w:val="A6A6A6"/>
                <w:sz w:val="16"/>
              </w:rPr>
              <w:t>&lt;$1k</w:t>
            </w:r>
          </w:p>
        </w:tc>
      </w:tr>
      <w:tr>
        <w:trPr>
          <w:trHeight w:val="264" w:hRule="atLeast"/>
        </w:trPr>
        <w:tc>
          <w:tcPr>
            <w:tcW w:w="3120" w:type="dxa"/>
            <w:tcBorders>
              <w:left w:val="single" w:sz="4" w:space="0" w:color="DF2F1E"/>
              <w:right w:val="single" w:sz="4" w:space="0" w:color="DF2F1E"/>
            </w:tcBorders>
          </w:tcPr>
          <w:p>
            <w:pPr>
              <w:pStyle w:val="TableParagraph"/>
              <w:spacing w:before="36"/>
              <w:ind w:left="57"/>
              <w:rPr>
                <w:b/>
                <w:sz w:val="16"/>
              </w:rPr>
            </w:pPr>
            <w:r>
              <w:rPr>
                <w:b/>
                <w:color w:val="404040"/>
                <w:sz w:val="16"/>
              </w:rPr>
              <w:t>- Impact of policy changes</w:t>
            </w:r>
          </w:p>
        </w:tc>
        <w:tc>
          <w:tcPr>
            <w:tcW w:w="1271" w:type="dxa"/>
            <w:tcBorders>
              <w:left w:val="single" w:sz="4" w:space="0" w:color="DF2F1E"/>
              <w:right w:val="single" w:sz="4" w:space="0" w:color="DF2F1E"/>
            </w:tcBorders>
          </w:tcPr>
          <w:p>
            <w:pPr>
              <w:pStyle w:val="TableParagraph"/>
              <w:spacing w:before="39"/>
              <w:ind w:left="13"/>
              <w:jc w:val="center"/>
              <w:rPr>
                <w:sz w:val="16"/>
              </w:rPr>
            </w:pPr>
            <w:r>
              <w:rPr>
                <w:color w:val="404040"/>
                <w:sz w:val="16"/>
              </w:rPr>
              <w:t>-$5k</w:t>
            </w:r>
          </w:p>
        </w:tc>
        <w:tc>
          <w:tcPr>
            <w:tcW w:w="1247" w:type="dxa"/>
            <w:tcBorders>
              <w:left w:val="single" w:sz="4" w:space="0" w:color="DF2F1E"/>
            </w:tcBorders>
          </w:tcPr>
          <w:p>
            <w:pPr>
              <w:pStyle w:val="TableParagraph"/>
              <w:spacing w:before="39"/>
              <w:ind w:left="449"/>
              <w:rPr>
                <w:sz w:val="16"/>
              </w:rPr>
            </w:pPr>
            <w:r>
              <w:rPr>
                <w:color w:val="A6A6A6"/>
                <w:sz w:val="16"/>
              </w:rPr>
              <w:t>&lt;$1k</w:t>
            </w:r>
          </w:p>
        </w:tc>
        <w:tc>
          <w:tcPr>
            <w:tcW w:w="1237" w:type="dxa"/>
            <w:tcBorders>
              <w:right w:val="dashSmallGap" w:sz="4" w:space="0" w:color="DF2F1E"/>
            </w:tcBorders>
          </w:tcPr>
          <w:p>
            <w:pPr>
              <w:pStyle w:val="TableParagraph"/>
              <w:spacing w:before="39"/>
              <w:ind w:left="398" w:right="390"/>
              <w:jc w:val="center"/>
              <w:rPr>
                <w:sz w:val="16"/>
              </w:rPr>
            </w:pPr>
            <w:r>
              <w:rPr>
                <w:color w:val="404040"/>
                <w:sz w:val="16"/>
              </w:rPr>
              <w:t>-$5k</w:t>
            </w:r>
          </w:p>
        </w:tc>
        <w:tc>
          <w:tcPr>
            <w:tcW w:w="1311" w:type="dxa"/>
            <w:tcBorders>
              <w:left w:val="dashSmallGap" w:sz="4" w:space="0" w:color="DF2F1E"/>
            </w:tcBorders>
          </w:tcPr>
          <w:p>
            <w:pPr>
              <w:pStyle w:val="TableParagraph"/>
              <w:spacing w:before="39"/>
              <w:ind w:left="459" w:right="453"/>
              <w:jc w:val="center"/>
              <w:rPr>
                <w:sz w:val="16"/>
              </w:rPr>
            </w:pPr>
            <w:r>
              <w:rPr>
                <w:color w:val="A6A6A6"/>
                <w:sz w:val="16"/>
              </w:rPr>
              <w:t>&lt;$1k</w:t>
            </w:r>
          </w:p>
        </w:tc>
        <w:tc>
          <w:tcPr>
            <w:tcW w:w="1310" w:type="dxa"/>
            <w:tcBorders>
              <w:right w:val="single" w:sz="4" w:space="0" w:color="DF2F1E"/>
            </w:tcBorders>
          </w:tcPr>
          <w:p>
            <w:pPr>
              <w:pStyle w:val="TableParagraph"/>
              <w:spacing w:before="39"/>
              <w:ind w:right="467"/>
              <w:jc w:val="right"/>
              <w:rPr>
                <w:sz w:val="16"/>
              </w:rPr>
            </w:pPr>
            <w:r>
              <w:rPr>
                <w:color w:val="A6A6A6"/>
                <w:sz w:val="16"/>
              </w:rPr>
              <w:t>&lt;$1k</w:t>
            </w:r>
          </w:p>
        </w:tc>
      </w:tr>
      <w:tr>
        <w:trPr>
          <w:trHeight w:val="265" w:hRule="atLeast"/>
        </w:trPr>
        <w:tc>
          <w:tcPr>
            <w:tcW w:w="3120" w:type="dxa"/>
            <w:tcBorders>
              <w:left w:val="single" w:sz="4" w:space="0" w:color="DF2F1E"/>
              <w:bottom w:val="single" w:sz="4" w:space="0" w:color="DF2F1E"/>
              <w:right w:val="single" w:sz="4" w:space="0" w:color="DF2F1E"/>
            </w:tcBorders>
          </w:tcPr>
          <w:p>
            <w:pPr>
              <w:pStyle w:val="TableParagraph"/>
              <w:spacing w:before="36"/>
              <w:ind w:left="57"/>
              <w:rPr>
                <w:b/>
                <w:sz w:val="16"/>
              </w:rPr>
            </w:pPr>
            <w:r>
              <w:rPr>
                <w:b/>
                <w:color w:val="404040"/>
                <w:sz w:val="16"/>
              </w:rPr>
              <w:t>- Impact of other changes</w:t>
            </w:r>
          </w:p>
        </w:tc>
        <w:tc>
          <w:tcPr>
            <w:tcW w:w="1271" w:type="dxa"/>
            <w:tcBorders>
              <w:left w:val="single" w:sz="4" w:space="0" w:color="DF2F1E"/>
              <w:bottom w:val="single" w:sz="4" w:space="0" w:color="DF2F1E"/>
              <w:right w:val="single" w:sz="4" w:space="0" w:color="DF2F1E"/>
            </w:tcBorders>
          </w:tcPr>
          <w:p>
            <w:pPr>
              <w:pStyle w:val="TableParagraph"/>
              <w:spacing w:before="39"/>
              <w:ind w:left="10"/>
              <w:jc w:val="center"/>
              <w:rPr>
                <w:sz w:val="16"/>
              </w:rPr>
            </w:pPr>
            <w:r>
              <w:rPr>
                <w:color w:val="404040"/>
                <w:sz w:val="16"/>
              </w:rPr>
              <w:t>-$25k</w:t>
            </w:r>
          </w:p>
        </w:tc>
        <w:tc>
          <w:tcPr>
            <w:tcW w:w="1247" w:type="dxa"/>
            <w:tcBorders>
              <w:left w:val="single" w:sz="4" w:space="0" w:color="DF2F1E"/>
              <w:bottom w:val="single" w:sz="4" w:space="0" w:color="DF2F1E"/>
            </w:tcBorders>
          </w:tcPr>
          <w:p>
            <w:pPr>
              <w:pStyle w:val="TableParagraph"/>
              <w:spacing w:before="39"/>
              <w:ind w:left="425"/>
              <w:rPr>
                <w:sz w:val="16"/>
              </w:rPr>
            </w:pPr>
            <w:r>
              <w:rPr>
                <w:color w:val="404040"/>
                <w:sz w:val="16"/>
              </w:rPr>
              <w:t>-$10k</w:t>
            </w:r>
          </w:p>
        </w:tc>
        <w:tc>
          <w:tcPr>
            <w:tcW w:w="1237" w:type="dxa"/>
            <w:tcBorders>
              <w:bottom w:val="single" w:sz="4" w:space="0" w:color="DF2F1E"/>
              <w:right w:val="dashSmallGap" w:sz="4" w:space="0" w:color="DF2F1E"/>
            </w:tcBorders>
          </w:tcPr>
          <w:p>
            <w:pPr>
              <w:pStyle w:val="TableParagraph"/>
              <w:spacing w:before="39"/>
              <w:ind w:left="400" w:right="390"/>
              <w:jc w:val="center"/>
              <w:rPr>
                <w:sz w:val="16"/>
              </w:rPr>
            </w:pPr>
            <w:r>
              <w:rPr>
                <w:color w:val="404040"/>
                <w:sz w:val="16"/>
              </w:rPr>
              <w:t>-$11k</w:t>
            </w:r>
          </w:p>
        </w:tc>
        <w:tc>
          <w:tcPr>
            <w:tcW w:w="1311" w:type="dxa"/>
            <w:tcBorders>
              <w:left w:val="dashSmallGap" w:sz="4" w:space="0" w:color="DF2F1E"/>
              <w:bottom w:val="single" w:sz="4" w:space="0" w:color="DF2F1E"/>
            </w:tcBorders>
          </w:tcPr>
          <w:p>
            <w:pPr>
              <w:pStyle w:val="TableParagraph"/>
              <w:spacing w:before="39"/>
              <w:ind w:left="457" w:right="454"/>
              <w:jc w:val="center"/>
              <w:rPr>
                <w:sz w:val="16"/>
              </w:rPr>
            </w:pPr>
            <w:r>
              <w:rPr>
                <w:color w:val="404040"/>
                <w:sz w:val="16"/>
              </w:rPr>
              <w:t>-$2k</w:t>
            </w:r>
          </w:p>
        </w:tc>
        <w:tc>
          <w:tcPr>
            <w:tcW w:w="1310" w:type="dxa"/>
            <w:tcBorders>
              <w:bottom w:val="single" w:sz="4" w:space="0" w:color="DF2F1E"/>
              <w:right w:val="single" w:sz="4" w:space="0" w:color="DF2F1E"/>
            </w:tcBorders>
          </w:tcPr>
          <w:p>
            <w:pPr>
              <w:pStyle w:val="TableParagraph"/>
              <w:spacing w:before="39"/>
              <w:ind w:right="489"/>
              <w:jc w:val="right"/>
              <w:rPr>
                <w:sz w:val="16"/>
              </w:rPr>
            </w:pPr>
            <w:r>
              <w:rPr>
                <w:color w:val="404040"/>
                <w:sz w:val="16"/>
              </w:rPr>
              <w:t>-$2k</w:t>
            </w:r>
          </w:p>
        </w:tc>
      </w:tr>
    </w:tbl>
    <w:p>
      <w:pPr>
        <w:spacing w:before="78"/>
        <w:ind w:left="900" w:right="0" w:firstLine="0"/>
        <w:jc w:val="left"/>
        <w:rPr>
          <w:sz w:val="16"/>
        </w:rPr>
      </w:pPr>
      <w:r>
        <w:rPr>
          <w:color w:val="DF2F1E"/>
          <w:sz w:val="16"/>
        </w:rPr>
        <w:t>Notes:</w:t>
      </w:r>
    </w:p>
    <w:p>
      <w:pPr>
        <w:pStyle w:val="ListParagraph"/>
        <w:numPr>
          <w:ilvl w:val="0"/>
          <w:numId w:val="67"/>
        </w:numPr>
        <w:tabs>
          <w:tab w:pos="1619" w:val="left" w:leader="none"/>
          <w:tab w:pos="1621" w:val="left" w:leader="none"/>
        </w:tabs>
        <w:spacing w:line="240" w:lineRule="auto" w:before="80" w:after="0"/>
        <w:ind w:left="1620" w:right="1555" w:hanging="361"/>
        <w:jc w:val="left"/>
        <w:rPr>
          <w:sz w:val="16"/>
        </w:rPr>
      </w:pPr>
      <w:r>
        <w:rPr>
          <w:color w:val="DF2F1E"/>
          <w:sz w:val="16"/>
        </w:rPr>
        <w:t>Note that payment categories H, I and J have been included in family supplements and the remaining non income support payment categories in other</w:t>
      </w:r>
      <w:r>
        <w:rPr>
          <w:color w:val="DF2F1E"/>
          <w:spacing w:val="-3"/>
          <w:sz w:val="16"/>
        </w:rPr>
        <w:t> </w:t>
      </w:r>
      <w:r>
        <w:rPr>
          <w:color w:val="DF2F1E"/>
          <w:sz w:val="16"/>
        </w:rPr>
        <w:t>supplements.</w:t>
      </w:r>
    </w:p>
    <w:p>
      <w:pPr>
        <w:pStyle w:val="ListParagraph"/>
        <w:numPr>
          <w:ilvl w:val="0"/>
          <w:numId w:val="67"/>
        </w:numPr>
        <w:tabs>
          <w:tab w:pos="1620" w:val="left" w:leader="none"/>
          <w:tab w:pos="1621" w:val="left" w:leader="none"/>
        </w:tabs>
        <w:spacing w:line="240" w:lineRule="auto" w:before="80" w:after="0"/>
        <w:ind w:left="1620" w:right="1484" w:hanging="361"/>
        <w:jc w:val="left"/>
        <w:rPr>
          <w:sz w:val="16"/>
        </w:rPr>
      </w:pPr>
      <w:r>
        <w:rPr>
          <w:color w:val="DF2F1E"/>
          <w:sz w:val="16"/>
        </w:rPr>
        <w:t>The June 2017 rebased Lifetime Cost represents a recalculation of the June 2017 lifetime cost, but using a discount rate of 5% p.a. for consistency with the June 2018 results. All changes are shown relative to this rebased lifetime</w:t>
      </w:r>
      <w:r>
        <w:rPr>
          <w:color w:val="DF2F1E"/>
          <w:spacing w:val="-33"/>
          <w:sz w:val="16"/>
        </w:rPr>
        <w:t> </w:t>
      </w:r>
      <w:r>
        <w:rPr>
          <w:color w:val="DF2F1E"/>
          <w:sz w:val="16"/>
        </w:rPr>
        <w:t>cost.</w:t>
      </w:r>
    </w:p>
    <w:p>
      <w:pPr>
        <w:pStyle w:val="BodyText"/>
        <w:spacing w:before="121"/>
        <w:ind w:left="900"/>
      </w:pPr>
      <w:r>
        <w:rPr>
          <w:color w:val="404040"/>
        </w:rPr>
        <w:t>The decrease in average cost is driven by:</w:t>
      </w:r>
    </w:p>
    <w:p>
      <w:pPr>
        <w:pStyle w:val="ListParagraph"/>
        <w:numPr>
          <w:ilvl w:val="0"/>
          <w:numId w:val="66"/>
        </w:numPr>
        <w:tabs>
          <w:tab w:pos="1184" w:val="left" w:leader="none"/>
        </w:tabs>
        <w:spacing w:line="240" w:lineRule="auto" w:before="118" w:after="0"/>
        <w:ind w:left="1183" w:right="1719" w:hanging="284"/>
        <w:jc w:val="left"/>
        <w:rPr>
          <w:rFonts w:ascii="Symbol" w:hAnsi="Symbol"/>
          <w:sz w:val="20"/>
        </w:rPr>
      </w:pPr>
      <w:r>
        <w:rPr>
          <w:color w:val="404040"/>
          <w:sz w:val="20"/>
        </w:rPr>
        <w:t>a decrease of the projected use of pre-retirement income support with the updated assumptions now reflecting the SEIFA profile and lower recent experience;</w:t>
      </w:r>
    </w:p>
    <w:p>
      <w:pPr>
        <w:pStyle w:val="ListParagraph"/>
        <w:numPr>
          <w:ilvl w:val="0"/>
          <w:numId w:val="66"/>
        </w:numPr>
        <w:tabs>
          <w:tab w:pos="1184" w:val="left" w:leader="none"/>
        </w:tabs>
        <w:spacing w:line="240" w:lineRule="auto" w:before="118" w:after="0"/>
        <w:ind w:left="1183" w:right="0" w:hanging="285"/>
        <w:jc w:val="left"/>
        <w:rPr>
          <w:rFonts w:ascii="Symbol" w:hAnsi="Symbol"/>
          <w:sz w:val="20"/>
        </w:rPr>
      </w:pPr>
      <w:r>
        <w:rPr>
          <w:color w:val="404040"/>
          <w:sz w:val="20"/>
        </w:rPr>
        <w:t>a flow on decrease to the likelihood of subsequently transitioning to Age</w:t>
      </w:r>
      <w:r>
        <w:rPr>
          <w:color w:val="404040"/>
          <w:spacing w:val="-8"/>
          <w:sz w:val="20"/>
        </w:rPr>
        <w:t> </w:t>
      </w:r>
      <w:r>
        <w:rPr>
          <w:color w:val="404040"/>
          <w:sz w:val="20"/>
        </w:rPr>
        <w:t>Pension;</w:t>
      </w:r>
    </w:p>
    <w:p>
      <w:pPr>
        <w:pStyle w:val="ListParagraph"/>
        <w:numPr>
          <w:ilvl w:val="0"/>
          <w:numId w:val="66"/>
        </w:numPr>
        <w:tabs>
          <w:tab w:pos="1184" w:val="left" w:leader="none"/>
        </w:tabs>
        <w:spacing w:line="240" w:lineRule="auto" w:before="120" w:after="0"/>
        <w:ind w:left="1183" w:right="0" w:hanging="284"/>
        <w:jc w:val="left"/>
        <w:rPr>
          <w:rFonts w:ascii="Symbol" w:hAnsi="Symbol"/>
          <w:sz w:val="20"/>
        </w:rPr>
      </w:pPr>
      <w:r>
        <w:rPr>
          <w:color w:val="404040"/>
          <w:sz w:val="20"/>
        </w:rPr>
        <w:t>a further decrease in projected Age Pension use as a result of the change to the Age Pension</w:t>
      </w:r>
      <w:r>
        <w:rPr>
          <w:color w:val="404040"/>
          <w:spacing w:val="-14"/>
          <w:sz w:val="20"/>
        </w:rPr>
        <w:t> </w:t>
      </w:r>
      <w:r>
        <w:rPr>
          <w:color w:val="404040"/>
          <w:sz w:val="20"/>
        </w:rPr>
        <w:t>forecast;</w:t>
      </w:r>
    </w:p>
    <w:p>
      <w:pPr>
        <w:pStyle w:val="ListParagraph"/>
        <w:numPr>
          <w:ilvl w:val="0"/>
          <w:numId w:val="66"/>
        </w:numPr>
        <w:tabs>
          <w:tab w:pos="1185" w:val="left" w:leader="none"/>
        </w:tabs>
        <w:spacing w:line="240" w:lineRule="auto" w:before="117" w:after="0"/>
        <w:ind w:left="1184" w:right="0" w:hanging="285"/>
        <w:jc w:val="left"/>
        <w:rPr>
          <w:rFonts w:ascii="Symbol" w:hAnsi="Symbol"/>
          <w:sz w:val="20"/>
        </w:rPr>
      </w:pPr>
      <w:r>
        <w:rPr>
          <w:color w:val="404040"/>
          <w:sz w:val="20"/>
        </w:rPr>
        <w:t>a decrease in the projected utilisation of family supplements;</w:t>
      </w:r>
      <w:r>
        <w:rPr>
          <w:color w:val="404040"/>
          <w:spacing w:val="-5"/>
          <w:sz w:val="20"/>
        </w:rPr>
        <w:t> </w:t>
      </w:r>
      <w:r>
        <w:rPr>
          <w:color w:val="404040"/>
          <w:sz w:val="20"/>
        </w:rPr>
        <w:t>and</w:t>
      </w:r>
    </w:p>
    <w:p>
      <w:pPr>
        <w:pStyle w:val="ListParagraph"/>
        <w:numPr>
          <w:ilvl w:val="0"/>
          <w:numId w:val="66"/>
        </w:numPr>
        <w:tabs>
          <w:tab w:pos="1185" w:val="left" w:leader="none"/>
        </w:tabs>
        <w:spacing w:line="240" w:lineRule="auto" w:before="120" w:after="0"/>
        <w:ind w:left="1184" w:right="1646" w:hanging="284"/>
        <w:jc w:val="left"/>
        <w:rPr>
          <w:rFonts w:ascii="Symbol" w:hAnsi="Symbol"/>
          <w:sz w:val="20"/>
        </w:rPr>
      </w:pPr>
      <w:r>
        <w:rPr>
          <w:color w:val="404040"/>
          <w:sz w:val="20"/>
        </w:rPr>
        <w:t>a</w:t>
      </w:r>
      <w:r>
        <w:rPr>
          <w:color w:val="404040"/>
          <w:spacing w:val="-5"/>
          <w:sz w:val="20"/>
        </w:rPr>
        <w:t> </w:t>
      </w:r>
      <w:r>
        <w:rPr>
          <w:color w:val="404040"/>
          <w:sz w:val="20"/>
        </w:rPr>
        <w:t>decrease</w:t>
      </w:r>
      <w:r>
        <w:rPr>
          <w:color w:val="404040"/>
          <w:spacing w:val="-2"/>
          <w:sz w:val="20"/>
        </w:rPr>
        <w:t> </w:t>
      </w:r>
      <w:r>
        <w:rPr>
          <w:color w:val="404040"/>
          <w:sz w:val="20"/>
        </w:rPr>
        <w:t>in</w:t>
      </w:r>
      <w:r>
        <w:rPr>
          <w:color w:val="404040"/>
          <w:spacing w:val="-3"/>
          <w:sz w:val="20"/>
        </w:rPr>
        <w:t> </w:t>
      </w:r>
      <w:r>
        <w:rPr>
          <w:color w:val="404040"/>
          <w:sz w:val="20"/>
        </w:rPr>
        <w:t>the</w:t>
      </w:r>
      <w:r>
        <w:rPr>
          <w:color w:val="404040"/>
          <w:spacing w:val="-2"/>
          <w:sz w:val="20"/>
        </w:rPr>
        <w:t> </w:t>
      </w:r>
      <w:r>
        <w:rPr>
          <w:color w:val="404040"/>
          <w:sz w:val="20"/>
        </w:rPr>
        <w:t>expected</w:t>
      </w:r>
      <w:r>
        <w:rPr>
          <w:color w:val="404040"/>
          <w:spacing w:val="-3"/>
          <w:sz w:val="20"/>
        </w:rPr>
        <w:t> </w:t>
      </w:r>
      <w:r>
        <w:rPr>
          <w:color w:val="404040"/>
          <w:sz w:val="20"/>
        </w:rPr>
        <w:t>amount</w:t>
      </w:r>
      <w:r>
        <w:rPr>
          <w:color w:val="404040"/>
          <w:spacing w:val="-4"/>
          <w:sz w:val="20"/>
        </w:rPr>
        <w:t> </w:t>
      </w:r>
      <w:r>
        <w:rPr>
          <w:color w:val="404040"/>
          <w:sz w:val="20"/>
        </w:rPr>
        <w:t>of</w:t>
      </w:r>
      <w:r>
        <w:rPr>
          <w:color w:val="404040"/>
          <w:spacing w:val="-3"/>
          <w:sz w:val="20"/>
        </w:rPr>
        <w:t> </w:t>
      </w:r>
      <w:r>
        <w:rPr>
          <w:color w:val="404040"/>
          <w:sz w:val="20"/>
        </w:rPr>
        <w:t>other</w:t>
      </w:r>
      <w:r>
        <w:rPr>
          <w:color w:val="404040"/>
          <w:spacing w:val="-3"/>
          <w:sz w:val="20"/>
        </w:rPr>
        <w:t> </w:t>
      </w:r>
      <w:r>
        <w:rPr>
          <w:color w:val="404040"/>
          <w:sz w:val="20"/>
        </w:rPr>
        <w:t>supplements</w:t>
      </w:r>
      <w:r>
        <w:rPr>
          <w:color w:val="404040"/>
          <w:spacing w:val="-3"/>
          <w:sz w:val="20"/>
        </w:rPr>
        <w:t> </w:t>
      </w:r>
      <w:r>
        <w:rPr>
          <w:color w:val="404040"/>
          <w:sz w:val="20"/>
        </w:rPr>
        <w:t>received,</w:t>
      </w:r>
      <w:r>
        <w:rPr>
          <w:color w:val="404040"/>
          <w:spacing w:val="-3"/>
          <w:sz w:val="20"/>
        </w:rPr>
        <w:t> </w:t>
      </w:r>
      <w:r>
        <w:rPr>
          <w:color w:val="404040"/>
          <w:sz w:val="20"/>
        </w:rPr>
        <w:t>primarily</w:t>
      </w:r>
      <w:r>
        <w:rPr>
          <w:color w:val="404040"/>
          <w:spacing w:val="-5"/>
          <w:sz w:val="20"/>
        </w:rPr>
        <w:t> </w:t>
      </w:r>
      <w:r>
        <w:rPr>
          <w:color w:val="404040"/>
          <w:sz w:val="20"/>
        </w:rPr>
        <w:t>as</w:t>
      </w:r>
      <w:r>
        <w:rPr>
          <w:color w:val="404040"/>
          <w:spacing w:val="-4"/>
          <w:sz w:val="20"/>
        </w:rPr>
        <w:t> </w:t>
      </w:r>
      <w:r>
        <w:rPr>
          <w:color w:val="404040"/>
          <w:sz w:val="20"/>
        </w:rPr>
        <w:t>a</w:t>
      </w:r>
      <w:r>
        <w:rPr>
          <w:color w:val="404040"/>
          <w:spacing w:val="-2"/>
          <w:sz w:val="20"/>
        </w:rPr>
        <w:t> </w:t>
      </w:r>
      <w:r>
        <w:rPr>
          <w:color w:val="404040"/>
          <w:sz w:val="20"/>
        </w:rPr>
        <w:t>consequence</w:t>
      </w:r>
      <w:r>
        <w:rPr>
          <w:color w:val="404040"/>
          <w:spacing w:val="-4"/>
          <w:sz w:val="20"/>
        </w:rPr>
        <w:t> </w:t>
      </w:r>
      <w:r>
        <w:rPr>
          <w:color w:val="404040"/>
          <w:sz w:val="20"/>
        </w:rPr>
        <w:t>of</w:t>
      </w:r>
      <w:r>
        <w:rPr>
          <w:color w:val="404040"/>
          <w:spacing w:val="-3"/>
          <w:sz w:val="20"/>
        </w:rPr>
        <w:t> </w:t>
      </w:r>
      <w:r>
        <w:rPr>
          <w:color w:val="404040"/>
          <w:sz w:val="20"/>
        </w:rPr>
        <w:t>the reduced projected use of income support</w:t>
      </w:r>
      <w:r>
        <w:rPr>
          <w:color w:val="404040"/>
          <w:spacing w:val="-2"/>
          <w:sz w:val="20"/>
        </w:rPr>
        <w:t> </w:t>
      </w:r>
      <w:r>
        <w:rPr>
          <w:color w:val="404040"/>
          <w:sz w:val="20"/>
        </w:rPr>
        <w:t>payments.</w:t>
      </w:r>
    </w:p>
    <w:p>
      <w:pPr>
        <w:pStyle w:val="BodyText"/>
        <w:spacing w:before="119"/>
        <w:ind w:left="900"/>
      </w:pPr>
      <w:r>
        <w:rPr>
          <w:color w:val="404040"/>
        </w:rPr>
        <w:t>These decreases have been slightly offset by an increase in the cost of future payments as a result of inflation.</w:t>
      </w:r>
    </w:p>
    <w:p>
      <w:pPr>
        <w:pStyle w:val="BodyText"/>
        <w:spacing w:before="121"/>
        <w:ind w:left="900" w:right="1097"/>
      </w:pPr>
      <w:r>
        <w:rPr>
          <w:color w:val="404040"/>
        </w:rPr>
        <w:t>While we expect this class to be growing, there has been an unusually large increase in 2018 as a result of the combined impact of the pension assets test and change in retirement age to 65.5.</w:t>
      </w:r>
    </w:p>
    <w:p>
      <w:pPr>
        <w:pStyle w:val="BodyText"/>
        <w:spacing w:before="6"/>
      </w:pPr>
    </w:p>
    <w:p>
      <w:pPr>
        <w:pStyle w:val="Heading6"/>
        <w:rPr>
          <w:i/>
        </w:rPr>
      </w:pPr>
      <w:r>
        <w:rPr>
          <w:i/>
          <w:color w:val="DF2F1E"/>
        </w:rPr>
        <w:t>Future outcomes</w:t>
      </w:r>
    </w:p>
    <w:p>
      <w:pPr>
        <w:pStyle w:val="BodyText"/>
        <w:spacing w:before="124"/>
        <w:ind w:left="900" w:right="1330"/>
      </w:pPr>
      <w:r>
        <w:rPr>
          <w:color w:val="404040"/>
        </w:rPr>
        <w:t>In developing the valuation results the projection model produces information on the expected transitions for people out of each class, as shown below.</w:t>
      </w:r>
    </w:p>
    <w:p>
      <w:pPr>
        <w:pStyle w:val="Heading9"/>
        <w:spacing w:before="174"/>
      </w:pPr>
      <w:r>
        <w:rPr>
          <w:color w:val="DF2F1E"/>
        </w:rPr>
        <w:t>Figure 89: Expected future trajectory for people in class 8</w:t>
      </w:r>
    </w:p>
    <w:p>
      <w:pPr>
        <w:pStyle w:val="BodyText"/>
        <w:spacing w:before="10"/>
        <w:rPr>
          <w:b/>
          <w:sz w:val="21"/>
        </w:rPr>
      </w:pPr>
    </w:p>
    <w:p>
      <w:pPr>
        <w:spacing w:after="0"/>
        <w:rPr>
          <w:sz w:val="21"/>
        </w:rPr>
        <w:sectPr>
          <w:pgSz w:w="11910" w:h="16850"/>
          <w:pgMar w:header="572" w:footer="581" w:top="780" w:bottom="780" w:left="120" w:right="0"/>
        </w:sectPr>
      </w:pPr>
    </w:p>
    <w:p>
      <w:pPr>
        <w:spacing w:before="96"/>
        <w:ind w:left="0" w:right="981" w:firstLine="0"/>
        <w:jc w:val="right"/>
        <w:rPr>
          <w:rFonts w:ascii="Calibri"/>
          <w:sz w:val="15"/>
        </w:rPr>
      </w:pPr>
      <w:r>
        <w:rPr/>
        <w:pict>
          <v:group style="position:absolute;margin-left:106.131119pt;margin-top:9.19286pt;width:246.4pt;height:119.4pt;mso-position-horizontal-relative:page;mso-position-vertical-relative:paragraph;z-index:252644352" coordorigin="2123,184" coordsize="4928,2388">
            <v:shape style="position:absolute;left:2164;top:183;width:4874;height:2335" type="#_x0000_t75" stroked="false">
              <v:imagedata r:id="rId178" o:title=""/>
            </v:shape>
            <v:line style="position:absolute" from="2164,190" to="7038,190" stroked="true" strokeweight=".592527pt" strokecolor="#000000">
              <v:stroke dashstyle="solid"/>
            </v:line>
            <v:line style="position:absolute" from="2170,2513" to="2170,190" stroked="true" strokeweight=".594376pt" strokecolor="#858585">
              <v:stroke dashstyle="solid"/>
            </v:line>
            <v:shape style="position:absolute;left:0;top:5378;width:13369;height:655053" coordorigin="0,5379" coordsize="13369,655053" path="m2123,2512l2170,2512m2123,2287l2170,2287m2123,2050l2170,2050m2123,1825l2170,1825m2123,1588l2170,1588m2123,1351l2170,1351m2123,1126l2170,1126m2123,889l2170,889m2123,652l2170,652m2123,427l2170,427m2123,190l2170,190e" filled="false" stroked="true" strokeweight=".593448pt" strokecolor="#858585">
              <v:path arrowok="t"/>
              <v:stroke dashstyle="solid"/>
            </v:shape>
            <v:shape style="position:absolute;left:0;top:-2626;width:654744;height:8005" coordorigin="0,-2625" coordsize="654744,8005" path="m2170,2513l7032,2513m2170,2513l2170,2572m2337,2513l2337,2572m2503,2513l2503,2572m2658,2513l2658,2572m2824,2513l2824,2572m2990,2513l2990,2572m3145,2513l3145,2572m3311,2513l3311,2572m3466,2513l3466,2572m3632,2513l3632,2572m3799,2513l3799,2572m3953,2513l3953,2572m4120,2513l4120,2572m4286,2513l4286,2572m4441,2513l4441,2572m4607,2513l4607,2572m4774,2513l4774,2572m4928,2513l4928,2572m5095,2513l5095,2572m5249,2513l5249,2572m5415,2513l5415,2572m5582,2513l5582,2572m5736,2513l5736,2572m5903,2513l5903,2572m6069,2513l6069,2572m6224,2513l6224,2572m6390,2513l6390,2572m6557,2513l6557,2572m6711,2513l6711,2572m6878,2513l6878,2572m7032,2513l7032,2572e" filled="false" stroked="true" strokeweight=".593451pt" strokecolor="#858585">
              <v:path arrowok="t"/>
              <v:stroke dashstyle="solid"/>
            </v:shape>
            <v:shape style="position:absolute;left:2176;top:195;width:4863;height:2264" coordorigin="2176,196" coordsize="4863,2264" path="m2176,196l2331,528,2497,788,2664,1002,2818,1179,2984,1322,3151,1452,3305,1559,3472,1665,3638,1748,3793,1831,3959,1914,4114,1973,4280,2033,4447,2092,4601,2139,4768,2175,4934,2222,5089,2246,5255,2281,5421,2305,5576,2329,5742,2353,5897,2364,6063,2388,6230,2400,6384,2412,6551,2424,6717,2435,6872,2447,7038,2459e" filled="false" stroked="true" strokeweight="1.185714pt" strokecolor="#ffffff">
              <v:path arrowok="t"/>
              <v:stroke dashstyle="dot"/>
            </v:shape>
            <v:shape style="position:absolute;left:2176;top:195;width:4862;height:1269" coordorigin="2176,196" coordsize="4862,1269" path="m2176,196l2331,338,2497,480,2664,599,2818,705,2984,800,3151,895,3305,978,3472,1049,3638,1120,3793,1191,3959,1239,4114,1298,4280,1333,4447,1369,4601,1404,4768,1428,4934,1440,5089,1452,5255,1464,5421,1464,5576,1452,5742,1452,5897,1440,6063,1428,6230,1428,6384,1416,6551,1416,6717,1404,6872,1404,7038,1404e" filled="false" stroked="true" strokeweight="1.185299pt" strokecolor="#ffffff">
              <v:path arrowok="t"/>
              <v:stroke dashstyle="longdash"/>
            </v:shape>
            <w10:wrap type="none"/>
          </v:group>
        </w:pict>
      </w:r>
      <w:r>
        <w:rPr>
          <w:rFonts w:ascii="Calibri"/>
          <w:sz w:val="15"/>
        </w:rPr>
        <w:t>100%</w:t>
      </w:r>
    </w:p>
    <w:p>
      <w:pPr>
        <w:spacing w:before="50"/>
        <w:ind w:left="0" w:right="972" w:firstLine="0"/>
        <w:jc w:val="right"/>
        <w:rPr>
          <w:rFonts w:ascii="Calibri"/>
          <w:sz w:val="15"/>
        </w:rPr>
      </w:pPr>
      <w:r>
        <w:rPr/>
        <w:pict>
          <v:shape style="position:absolute;margin-left:72.513123pt;margin-top:8.1525pt;width:9.75pt;height:91.05pt;mso-position-horizontal-relative:page;mso-position-vertical-relative:paragraph;z-index:252647424" type="#_x0000_t202" filled="false" stroked="false">
            <v:textbox inset="0,0,0,0" style="layout-flow:vertical;mso-layout-flow-alt:bottom-to-top">
              <w:txbxContent>
                <w:p>
                  <w:pPr>
                    <w:spacing w:line="176" w:lineRule="exact" w:before="0"/>
                    <w:ind w:left="20" w:right="0" w:firstLine="0"/>
                    <w:jc w:val="left"/>
                    <w:rPr>
                      <w:rFonts w:ascii="Calibri"/>
                      <w:b/>
                      <w:sz w:val="15"/>
                    </w:rPr>
                  </w:pPr>
                  <w:r>
                    <w:rPr>
                      <w:rFonts w:ascii="Calibri"/>
                      <w:b/>
                      <w:w w:val="105"/>
                      <w:sz w:val="15"/>
                    </w:rPr>
                    <w:t>Proportion In Welfare Class</w:t>
                  </w:r>
                </w:p>
              </w:txbxContent>
            </v:textbox>
            <w10:wrap type="none"/>
          </v:shape>
        </w:pict>
      </w:r>
      <w:r>
        <w:rPr>
          <w:rFonts w:ascii="Calibri"/>
          <w:spacing w:val="2"/>
          <w:sz w:val="15"/>
        </w:rPr>
        <w:t>90%</w:t>
      </w:r>
    </w:p>
    <w:p>
      <w:pPr>
        <w:spacing w:before="50"/>
        <w:ind w:left="0" w:right="972" w:firstLine="0"/>
        <w:jc w:val="right"/>
        <w:rPr>
          <w:rFonts w:ascii="Calibri"/>
          <w:sz w:val="15"/>
        </w:rPr>
      </w:pPr>
      <w:r>
        <w:rPr>
          <w:rFonts w:ascii="Calibri"/>
          <w:spacing w:val="2"/>
          <w:sz w:val="15"/>
        </w:rPr>
        <w:t>80%</w:t>
      </w:r>
    </w:p>
    <w:p>
      <w:pPr>
        <w:spacing w:before="49"/>
        <w:ind w:left="0" w:right="972" w:firstLine="0"/>
        <w:jc w:val="right"/>
        <w:rPr>
          <w:rFonts w:ascii="Calibri"/>
          <w:sz w:val="15"/>
        </w:rPr>
      </w:pPr>
      <w:r>
        <w:rPr>
          <w:rFonts w:ascii="Calibri"/>
          <w:spacing w:val="2"/>
          <w:sz w:val="15"/>
        </w:rPr>
        <w:t>70%</w:t>
      </w:r>
    </w:p>
    <w:p>
      <w:pPr>
        <w:spacing w:before="50"/>
        <w:ind w:left="0" w:right="972" w:firstLine="0"/>
        <w:jc w:val="right"/>
        <w:rPr>
          <w:rFonts w:ascii="Calibri"/>
          <w:sz w:val="15"/>
        </w:rPr>
      </w:pPr>
      <w:r>
        <w:rPr>
          <w:rFonts w:ascii="Calibri"/>
          <w:spacing w:val="2"/>
          <w:sz w:val="15"/>
        </w:rPr>
        <w:t>60%</w:t>
      </w:r>
    </w:p>
    <w:p>
      <w:pPr>
        <w:spacing w:before="50"/>
        <w:ind w:left="0" w:right="972" w:firstLine="0"/>
        <w:jc w:val="right"/>
        <w:rPr>
          <w:rFonts w:ascii="Calibri"/>
          <w:sz w:val="15"/>
        </w:rPr>
      </w:pPr>
      <w:r>
        <w:rPr>
          <w:rFonts w:ascii="Calibri"/>
          <w:spacing w:val="2"/>
          <w:sz w:val="15"/>
        </w:rPr>
        <w:t>50%</w:t>
      </w:r>
    </w:p>
    <w:p>
      <w:pPr>
        <w:spacing w:before="50"/>
        <w:ind w:left="0" w:right="972" w:firstLine="0"/>
        <w:jc w:val="right"/>
        <w:rPr>
          <w:rFonts w:ascii="Calibri"/>
          <w:sz w:val="15"/>
        </w:rPr>
      </w:pPr>
      <w:r>
        <w:rPr>
          <w:rFonts w:ascii="Calibri"/>
          <w:spacing w:val="2"/>
          <w:sz w:val="15"/>
        </w:rPr>
        <w:t>40%</w:t>
      </w:r>
    </w:p>
    <w:p>
      <w:pPr>
        <w:spacing w:before="49"/>
        <w:ind w:left="0" w:right="972" w:firstLine="0"/>
        <w:jc w:val="right"/>
        <w:rPr>
          <w:rFonts w:ascii="Calibri"/>
          <w:sz w:val="15"/>
        </w:rPr>
      </w:pPr>
      <w:r>
        <w:rPr>
          <w:rFonts w:ascii="Calibri"/>
          <w:spacing w:val="2"/>
          <w:sz w:val="15"/>
        </w:rPr>
        <w:t>30%</w:t>
      </w:r>
    </w:p>
    <w:p>
      <w:pPr>
        <w:spacing w:before="50"/>
        <w:ind w:left="0" w:right="972" w:firstLine="0"/>
        <w:jc w:val="right"/>
        <w:rPr>
          <w:rFonts w:ascii="Calibri"/>
          <w:sz w:val="15"/>
        </w:rPr>
      </w:pPr>
      <w:r>
        <w:rPr>
          <w:rFonts w:ascii="Calibri"/>
          <w:spacing w:val="2"/>
          <w:sz w:val="15"/>
        </w:rPr>
        <w:t>20%</w:t>
      </w:r>
    </w:p>
    <w:p>
      <w:pPr>
        <w:spacing w:before="50"/>
        <w:ind w:left="0" w:right="972" w:firstLine="0"/>
        <w:jc w:val="right"/>
        <w:rPr>
          <w:rFonts w:ascii="Calibri"/>
          <w:sz w:val="15"/>
        </w:rPr>
      </w:pPr>
      <w:r>
        <w:rPr>
          <w:rFonts w:ascii="Calibri"/>
          <w:spacing w:val="2"/>
          <w:sz w:val="15"/>
        </w:rPr>
        <w:t>10%</w:t>
      </w:r>
    </w:p>
    <w:p>
      <w:pPr>
        <w:spacing w:before="50"/>
        <w:ind w:left="0" w:right="975" w:firstLine="0"/>
        <w:jc w:val="right"/>
        <w:rPr>
          <w:rFonts w:ascii="Calibri"/>
          <w:sz w:val="15"/>
        </w:rPr>
      </w:pPr>
      <w:r>
        <w:rPr>
          <w:rFonts w:ascii="Calibri"/>
          <w:w w:val="105"/>
          <w:sz w:val="15"/>
        </w:rPr>
        <w:t>0%</w:t>
      </w:r>
    </w:p>
    <w:p>
      <w:pPr>
        <w:pStyle w:val="BodyText"/>
        <w:spacing w:before="9"/>
        <w:rPr>
          <w:rFonts w:ascii="Calibri"/>
          <w:sz w:val="5"/>
        </w:rPr>
      </w:pPr>
    </w:p>
    <w:p>
      <w:pPr>
        <w:pStyle w:val="BodyText"/>
        <w:tabs>
          <w:tab w:pos="2622" w:val="left" w:leader="none"/>
        </w:tabs>
        <w:ind w:left="1811" w:right="-44"/>
        <w:rPr>
          <w:rFonts w:ascii="Calibri"/>
        </w:rPr>
      </w:pPr>
      <w:r>
        <w:rPr>
          <w:rFonts w:ascii="Calibri"/>
        </w:rPr>
        <w:drawing>
          <wp:inline distT="0" distB="0" distL="0" distR="0">
            <wp:extent cx="169020" cy="171450"/>
            <wp:effectExtent l="0" t="0" r="0" b="0"/>
            <wp:docPr id="283" name="image140.png"/>
            <wp:cNvGraphicFramePr>
              <a:graphicFrameLocks noChangeAspect="1"/>
            </wp:cNvGraphicFramePr>
            <a:graphic>
              <a:graphicData uri="http://schemas.openxmlformats.org/drawingml/2006/picture">
                <pic:pic>
                  <pic:nvPicPr>
                    <pic:cNvPr id="284" name="image140.png"/>
                    <pic:cNvPicPr/>
                  </pic:nvPicPr>
                  <pic:blipFill>
                    <a:blip r:embed="rId172" cstate="print"/>
                    <a:stretch>
                      <a:fillRect/>
                    </a:stretch>
                  </pic:blipFill>
                  <pic:spPr>
                    <a:xfrm>
                      <a:off x="0" y="0"/>
                      <a:ext cx="169020" cy="171450"/>
                    </a:xfrm>
                    <a:prstGeom prst="rect">
                      <a:avLst/>
                    </a:prstGeom>
                  </pic:spPr>
                </pic:pic>
              </a:graphicData>
            </a:graphic>
          </wp:inline>
        </w:drawing>
      </w:r>
      <w:r>
        <w:rPr>
          <w:rFonts w:ascii="Calibri"/>
        </w:rPr>
      </w:r>
      <w:r>
        <w:rPr>
          <w:rFonts w:ascii="Calibri"/>
        </w:rPr>
        <w:tab/>
      </w:r>
      <w:r>
        <w:rPr>
          <w:rFonts w:ascii="Calibri"/>
        </w:rPr>
        <w:drawing>
          <wp:inline distT="0" distB="0" distL="0" distR="0">
            <wp:extent cx="165435" cy="168021"/>
            <wp:effectExtent l="0" t="0" r="0" b="0"/>
            <wp:docPr id="285" name="image123.png"/>
            <wp:cNvGraphicFramePr>
              <a:graphicFrameLocks noChangeAspect="1"/>
            </wp:cNvGraphicFramePr>
            <a:graphic>
              <a:graphicData uri="http://schemas.openxmlformats.org/drawingml/2006/picture">
                <pic:pic>
                  <pic:nvPicPr>
                    <pic:cNvPr id="286" name="image123.png"/>
                    <pic:cNvPicPr/>
                  </pic:nvPicPr>
                  <pic:blipFill>
                    <a:blip r:embed="rId145" cstate="print"/>
                    <a:stretch>
                      <a:fillRect/>
                    </a:stretch>
                  </pic:blipFill>
                  <pic:spPr>
                    <a:xfrm>
                      <a:off x="0" y="0"/>
                      <a:ext cx="165435" cy="168021"/>
                    </a:xfrm>
                    <a:prstGeom prst="rect">
                      <a:avLst/>
                    </a:prstGeom>
                  </pic:spPr>
                </pic:pic>
              </a:graphicData>
            </a:graphic>
          </wp:inline>
        </w:drawing>
      </w:r>
      <w:r>
        <w:rPr>
          <w:rFonts w:ascii="Calibri"/>
        </w:rPr>
      </w:r>
    </w:p>
    <w:p>
      <w:pPr>
        <w:pStyle w:val="BodyText"/>
        <w:rPr>
          <w:rFonts w:ascii="Calibri"/>
        </w:rPr>
      </w:pPr>
      <w:r>
        <w:rPr/>
        <w:br w:type="column"/>
      </w:r>
      <w:r>
        <w:rPr>
          <w:rFonts w:ascii="Calibri"/>
        </w:rPr>
      </w: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spacing w:before="2"/>
        <w:rPr>
          <w:rFonts w:ascii="Calibri"/>
          <w:sz w:val="16"/>
        </w:rPr>
      </w:pPr>
      <w:r>
        <w:rPr/>
        <w:drawing>
          <wp:anchor distT="0" distB="0" distL="0" distR="0" allowOverlap="1" layoutInCell="1" locked="0" behindDoc="0" simplePos="0" relativeHeight="959">
            <wp:simplePos x="0" y="0"/>
            <wp:positionH relativeFrom="page">
              <wp:posOffset>2256242</wp:posOffset>
            </wp:positionH>
            <wp:positionV relativeFrom="paragraph">
              <wp:posOffset>150360</wp:posOffset>
            </wp:positionV>
            <wp:extent cx="169020" cy="171450"/>
            <wp:effectExtent l="0" t="0" r="0" b="0"/>
            <wp:wrapTopAndBottom/>
            <wp:docPr id="287" name="image147.png"/>
            <wp:cNvGraphicFramePr>
              <a:graphicFrameLocks noChangeAspect="1"/>
            </wp:cNvGraphicFramePr>
            <a:graphic>
              <a:graphicData uri="http://schemas.openxmlformats.org/drawingml/2006/picture">
                <pic:pic>
                  <pic:nvPicPr>
                    <pic:cNvPr id="288" name="image147.png"/>
                    <pic:cNvPicPr/>
                  </pic:nvPicPr>
                  <pic:blipFill>
                    <a:blip r:embed="rId179" cstate="print"/>
                    <a:stretch>
                      <a:fillRect/>
                    </a:stretch>
                  </pic:blipFill>
                  <pic:spPr>
                    <a:xfrm>
                      <a:off x="0" y="0"/>
                      <a:ext cx="169020" cy="171450"/>
                    </a:xfrm>
                    <a:prstGeom prst="rect">
                      <a:avLst/>
                    </a:prstGeom>
                  </pic:spPr>
                </pic:pic>
              </a:graphicData>
            </a:graphic>
          </wp:anchor>
        </w:drawing>
      </w:r>
      <w:r>
        <w:rPr/>
        <w:drawing>
          <wp:anchor distT="0" distB="0" distL="0" distR="0" allowOverlap="1" layoutInCell="1" locked="0" behindDoc="0" simplePos="0" relativeHeight="960">
            <wp:simplePos x="0" y="0"/>
            <wp:positionH relativeFrom="page">
              <wp:posOffset>2770964</wp:posOffset>
            </wp:positionH>
            <wp:positionV relativeFrom="paragraph">
              <wp:posOffset>152263</wp:posOffset>
            </wp:positionV>
            <wp:extent cx="165435" cy="168021"/>
            <wp:effectExtent l="0" t="0" r="0" b="0"/>
            <wp:wrapTopAndBottom/>
            <wp:docPr id="289" name="image125.png"/>
            <wp:cNvGraphicFramePr>
              <a:graphicFrameLocks noChangeAspect="1"/>
            </wp:cNvGraphicFramePr>
            <a:graphic>
              <a:graphicData uri="http://schemas.openxmlformats.org/drawingml/2006/picture">
                <pic:pic>
                  <pic:nvPicPr>
                    <pic:cNvPr id="290" name="image125.png"/>
                    <pic:cNvPicPr/>
                  </pic:nvPicPr>
                  <pic:blipFill>
                    <a:blip r:embed="rId147" cstate="print"/>
                    <a:stretch>
                      <a:fillRect/>
                    </a:stretch>
                  </pic:blipFill>
                  <pic:spPr>
                    <a:xfrm>
                      <a:off x="0" y="0"/>
                      <a:ext cx="165435" cy="168021"/>
                    </a:xfrm>
                    <a:prstGeom prst="rect">
                      <a:avLst/>
                    </a:prstGeom>
                  </pic:spPr>
                </pic:pic>
              </a:graphicData>
            </a:graphic>
          </wp:anchor>
        </w:drawing>
      </w:r>
      <w:r>
        <w:rPr/>
        <w:drawing>
          <wp:anchor distT="0" distB="0" distL="0" distR="0" allowOverlap="1" layoutInCell="1" locked="0" behindDoc="0" simplePos="0" relativeHeight="961">
            <wp:simplePos x="0" y="0"/>
            <wp:positionH relativeFrom="page">
              <wp:posOffset>3285685</wp:posOffset>
            </wp:positionH>
            <wp:positionV relativeFrom="paragraph">
              <wp:posOffset>150360</wp:posOffset>
            </wp:positionV>
            <wp:extent cx="169020" cy="171450"/>
            <wp:effectExtent l="0" t="0" r="0" b="0"/>
            <wp:wrapTopAndBottom/>
            <wp:docPr id="291" name="image148.png"/>
            <wp:cNvGraphicFramePr>
              <a:graphicFrameLocks noChangeAspect="1"/>
            </wp:cNvGraphicFramePr>
            <a:graphic>
              <a:graphicData uri="http://schemas.openxmlformats.org/drawingml/2006/picture">
                <pic:pic>
                  <pic:nvPicPr>
                    <pic:cNvPr id="292" name="image148.png"/>
                    <pic:cNvPicPr/>
                  </pic:nvPicPr>
                  <pic:blipFill>
                    <a:blip r:embed="rId180" cstate="print"/>
                    <a:stretch>
                      <a:fillRect/>
                    </a:stretch>
                  </pic:blipFill>
                  <pic:spPr>
                    <a:xfrm>
                      <a:off x="0" y="0"/>
                      <a:ext cx="169020" cy="171450"/>
                    </a:xfrm>
                    <a:prstGeom prst="rect">
                      <a:avLst/>
                    </a:prstGeom>
                  </pic:spPr>
                </pic:pic>
              </a:graphicData>
            </a:graphic>
          </wp:anchor>
        </w:drawing>
      </w:r>
      <w:r>
        <w:rPr/>
        <w:drawing>
          <wp:anchor distT="0" distB="0" distL="0" distR="0" allowOverlap="1" layoutInCell="1" locked="0" behindDoc="0" simplePos="0" relativeHeight="962">
            <wp:simplePos x="0" y="0"/>
            <wp:positionH relativeFrom="page">
              <wp:posOffset>3800407</wp:posOffset>
            </wp:positionH>
            <wp:positionV relativeFrom="paragraph">
              <wp:posOffset>152263</wp:posOffset>
            </wp:positionV>
            <wp:extent cx="165435" cy="168021"/>
            <wp:effectExtent l="0" t="0" r="0" b="0"/>
            <wp:wrapTopAndBottom/>
            <wp:docPr id="293" name="image149.png"/>
            <wp:cNvGraphicFramePr>
              <a:graphicFrameLocks noChangeAspect="1"/>
            </wp:cNvGraphicFramePr>
            <a:graphic>
              <a:graphicData uri="http://schemas.openxmlformats.org/drawingml/2006/picture">
                <pic:pic>
                  <pic:nvPicPr>
                    <pic:cNvPr id="294" name="image149.png"/>
                    <pic:cNvPicPr/>
                  </pic:nvPicPr>
                  <pic:blipFill>
                    <a:blip r:embed="rId181" cstate="print"/>
                    <a:stretch>
                      <a:fillRect/>
                    </a:stretch>
                  </pic:blipFill>
                  <pic:spPr>
                    <a:xfrm>
                      <a:off x="0" y="0"/>
                      <a:ext cx="165435" cy="168021"/>
                    </a:xfrm>
                    <a:prstGeom prst="rect">
                      <a:avLst/>
                    </a:prstGeom>
                  </pic:spPr>
                </pic:pic>
              </a:graphicData>
            </a:graphic>
          </wp:anchor>
        </w:drawing>
      </w:r>
    </w:p>
    <w:p>
      <w:pPr>
        <w:spacing w:before="63"/>
        <w:ind w:left="1390" w:right="1478" w:firstLine="0"/>
        <w:jc w:val="center"/>
        <w:rPr>
          <w:rFonts w:ascii="Calibri"/>
          <w:b/>
          <w:sz w:val="15"/>
        </w:rPr>
      </w:pPr>
      <w:r>
        <w:rPr>
          <w:rFonts w:ascii="Calibri"/>
          <w:b/>
          <w:w w:val="105"/>
          <w:sz w:val="15"/>
        </w:rPr>
        <w:t>Year</w:t>
      </w:r>
    </w:p>
    <w:p>
      <w:pPr>
        <w:spacing w:before="72"/>
        <w:ind w:left="1275" w:right="0" w:firstLine="0"/>
        <w:jc w:val="left"/>
        <w:rPr>
          <w:rFonts w:ascii="Calibri"/>
          <w:sz w:val="14"/>
        </w:rPr>
      </w:pPr>
      <w:r>
        <w:rPr/>
        <w:br w:type="column"/>
      </w:r>
      <w:r>
        <w:rPr>
          <w:rFonts w:ascii="Calibri"/>
          <w:sz w:val="14"/>
        </w:rPr>
        <w:t>Class key:</w:t>
      </w:r>
    </w:p>
    <w:p>
      <w:pPr>
        <w:pStyle w:val="ListParagraph"/>
        <w:numPr>
          <w:ilvl w:val="1"/>
          <w:numId w:val="67"/>
        </w:numPr>
        <w:tabs>
          <w:tab w:pos="1731" w:val="left" w:leader="none"/>
        </w:tabs>
        <w:spacing w:line="240" w:lineRule="auto" w:before="15" w:after="0"/>
        <w:ind w:left="1730" w:right="0" w:hanging="103"/>
        <w:jc w:val="left"/>
        <w:rPr>
          <w:rFonts w:ascii="Calibri"/>
          <w:sz w:val="14"/>
        </w:rPr>
      </w:pPr>
      <w:r>
        <w:rPr/>
        <w:pict>
          <v:group style="position:absolute;margin-left:376.960632pt;margin-top:.043826pt;width:17.9pt;height:130.5pt;mso-position-horizontal-relative:page;mso-position-vertical-relative:paragraph;z-index:252646400" coordorigin="7539,1" coordsize="358,2610">
            <v:rect style="position:absolute;left:7542;top:0;width:354;height:186" filled="true" fillcolor="#1f487c" stroked="false">
              <v:fill type="solid"/>
            </v:rect>
            <v:rect style="position:absolute;left:7542;top:186;width:354;height:186" filled="true" fillcolor="#009544" stroked="false">
              <v:fill type="solid"/>
            </v:rect>
            <v:rect style="position:absolute;left:7542;top:372;width:354;height:186" filled="true" fillcolor="#e16b09" stroked="false">
              <v:fill type="solid"/>
            </v:rect>
            <v:rect style="position:absolute;left:7542;top:558;width:354;height:186" filled="true" fillcolor="#e08ad6" stroked="false">
              <v:fill type="solid"/>
            </v:rect>
            <v:rect style="position:absolute;left:7542;top:744;width:354;height:186" filled="true" fillcolor="#8063a1" stroked="false">
              <v:fill type="solid"/>
            </v:rect>
            <v:rect style="position:absolute;left:7542;top:930;width:354;height:186" filled="true" fillcolor="#c0504d" stroked="false">
              <v:fill type="solid"/>
            </v:rect>
            <v:rect style="position:absolute;left:7542;top:1116;width:354;height:186" filled="true" fillcolor="#f8a763" stroked="false">
              <v:fill type="solid"/>
            </v:rect>
            <v:rect style="position:absolute;left:7542;top:1302;width:354;height:186" filled="true" fillcolor="#ecb8e7" stroked="false">
              <v:fill type="solid"/>
            </v:rect>
            <v:rect style="position:absolute;left:7542;top:1488;width:354;height:186" filled="true" fillcolor="#938953" stroked="false">
              <v:fill type="solid"/>
            </v:rect>
            <v:rect style="position:absolute;left:7542;top:1674;width:354;height:186" filled="true" fillcolor="#ffd600" stroked="false">
              <v:fill type="solid"/>
            </v:rect>
            <v:rect style="position:absolute;left:7542;top:1859;width:354;height:186" filled="true" fillcolor="#000000" stroked="false">
              <v:fill type="solid"/>
            </v:rect>
            <v:rect style="position:absolute;left:7542;top:2045;width:354;height:186" filled="true" fillcolor="#ffeb8f" stroked="false">
              <v:fill type="solid"/>
            </v:rect>
            <v:rect style="position:absolute;left:7542;top:2231;width:354;height:379" filled="true" fillcolor="#a6a6a6" stroked="false">
              <v:fill type="solid"/>
            </v:rect>
            <v:line style="position:absolute" from="7889,7" to="7889,2610" stroked="true" strokeweight="0pt" strokecolor="#ffffff">
              <v:stroke dashstyle="solid"/>
            </v:line>
            <v:line style="position:absolute" from="7892,7" to="7892,2610" stroked="true" strokeweight=".321105pt" strokecolor="#ffffff">
              <v:stroke dashstyle="solid"/>
            </v:line>
            <v:line style="position:absolute" from="7542,4" to="7896,4" stroked="true" strokeweight=".320535pt" strokecolor="#ffffff">
              <v:stroke dashstyle="solid"/>
            </v:line>
            <v:line style="position:absolute" from="7542,187" to="7896,187" stroked="true" strokeweight="0pt" strokecolor="#ffffff">
              <v:stroke dashstyle="solid"/>
            </v:line>
            <v:line style="position:absolute" from="7542,190" to="7896,190" stroked="true" strokeweight=".320535pt" strokecolor="#ffffff">
              <v:stroke dashstyle="solid"/>
            </v:line>
            <v:line style="position:absolute" from="7542,373" to="7896,373" stroked="true" strokeweight="0pt" strokecolor="#ffffff">
              <v:stroke dashstyle="solid"/>
            </v:line>
            <v:line style="position:absolute" from="7542,376" to="7896,376" stroked="true" strokeweight=".320856pt" strokecolor="#ffffff">
              <v:stroke dashstyle="solid"/>
            </v:line>
            <v:line style="position:absolute" from="7542,559" to="7896,559" stroked="true" strokeweight="0pt" strokecolor="#ffffff">
              <v:stroke dashstyle="solid"/>
            </v:line>
            <v:line style="position:absolute" from="7542,562" to="7896,562" stroked="true" strokeweight=".320535pt" strokecolor="#ffffff">
              <v:stroke dashstyle="solid"/>
            </v:line>
            <v:line style="position:absolute" from="7542,745" to="7896,745" stroked="true" strokeweight="0pt" strokecolor="#ffffff">
              <v:stroke dashstyle="solid"/>
            </v:line>
            <v:line style="position:absolute" from="7542,748" to="7896,748" stroked="true" strokeweight=".320535pt" strokecolor="#ffffff">
              <v:stroke dashstyle="solid"/>
            </v:line>
            <v:line style="position:absolute" from="7542,930" to="7896,930" stroked="true" strokeweight="0pt" strokecolor="#ffffff">
              <v:stroke dashstyle="solid"/>
            </v:line>
            <v:line style="position:absolute" from="7542,934" to="7896,934" stroked="true" strokeweight=".320535pt" strokecolor="#ffffff">
              <v:stroke dashstyle="solid"/>
            </v:line>
            <v:line style="position:absolute" from="7542,1116" to="7896,1116" stroked="true" strokeweight="0pt" strokecolor="#ffffff">
              <v:stroke dashstyle="solid"/>
            </v:line>
            <v:line style="position:absolute" from="7542,1120" to="7896,1120" stroked="true" strokeweight=".320535pt" strokecolor="#ffffff">
              <v:stroke dashstyle="solid"/>
            </v:line>
            <v:line style="position:absolute" from="7542,1302" to="7896,1302" stroked="true" strokeweight="0pt" strokecolor="#ffffff">
              <v:stroke dashstyle="solid"/>
            </v:line>
            <v:line style="position:absolute" from="7542,1305" to="7896,1305" stroked="true" strokeweight=".320535pt" strokecolor="#ffffff">
              <v:stroke dashstyle="solid"/>
            </v:line>
            <v:line style="position:absolute" from="7542,1488" to="7896,1488" stroked="true" strokeweight="0pt" strokecolor="#ffffff">
              <v:stroke dashstyle="solid"/>
            </v:line>
            <v:line style="position:absolute" from="7542,1491" to="7896,1491" stroked="true" strokeweight=".320535pt" strokecolor="#ffffff">
              <v:stroke dashstyle="solid"/>
            </v:line>
            <v:line style="position:absolute" from="7542,1674" to="7896,1674" stroked="true" strokeweight="0pt" strokecolor="#ffffff">
              <v:stroke dashstyle="solid"/>
            </v:line>
            <v:line style="position:absolute" from="7542,1677" to="7896,1677" stroked="true" strokeweight=".320535pt" strokecolor="#ffffff">
              <v:stroke dashstyle="solid"/>
            </v:line>
            <v:line style="position:absolute" from="7542,1860" to="7896,1860" stroked="true" strokeweight="0pt" strokecolor="#ffffff">
              <v:stroke dashstyle="solid"/>
            </v:line>
            <v:line style="position:absolute" from="7542,1863" to="7896,1863" stroked="true" strokeweight=".320535pt" strokecolor="#ffffff">
              <v:stroke dashstyle="solid"/>
            </v:line>
            <v:line style="position:absolute" from="7542,2046" to="7896,2046" stroked="true" strokeweight="0pt" strokecolor="#ffffff">
              <v:stroke dashstyle="solid"/>
            </v:line>
            <v:line style="position:absolute" from="7542,2049" to="7896,2049" stroked="true" strokeweight=".320856pt" strokecolor="#ffffff">
              <v:stroke dashstyle="solid"/>
            </v:line>
            <v:line style="position:absolute" from="7542,2232" to="7896,2232" stroked="true" strokeweight="0pt" strokecolor="#ffffff">
              <v:stroke dashstyle="solid"/>
            </v:line>
            <v:line style="position:absolute" from="7542,2235" to="7896,2235" stroked="true" strokeweight=".320535pt" strokecolor="#ffffff">
              <v:stroke dashstyle="solid"/>
            </v:line>
            <v:line style="position:absolute" from="7542,2418" to="7896,2418" stroked="true" strokeweight="0pt" strokecolor="#ffffff">
              <v:stroke dashstyle="solid"/>
            </v:line>
            <v:line style="position:absolute" from="7542,2421" to="7896,2421" stroked="true" strokeweight=".320535pt" strokecolor="#ffffff">
              <v:stroke dashstyle="solid"/>
            </v:line>
            <v:line style="position:absolute" from="7542,2604" to="7896,2604" stroked="true" strokeweight="0pt" strokecolor="#ffffff">
              <v:stroke dashstyle="solid"/>
            </v:line>
            <v:line style="position:absolute" from="7542,2607" to="7896,2607" stroked="true" strokeweight=".320535pt" strokecolor="#ffffff">
              <v:stroke dashstyle="solid"/>
            </v:line>
            <v:line style="position:absolute" from="7539,2344" to="7897,2344" stroked="true" strokeweight=".961678pt" strokecolor="#ffffff">
              <v:stroke dashstyle="solid"/>
            </v:line>
            <v:line style="position:absolute" from="7539,2517" to="7897,2517" stroked="true" strokeweight=".961678pt" strokecolor="#ffffff">
              <v:stroke dashstyle="solid"/>
            </v:line>
            <w10:wrap type="none"/>
          </v:group>
        </w:pict>
      </w:r>
      <w:r>
        <w:rPr>
          <w:rFonts w:ascii="Calibri"/>
          <w:sz w:val="14"/>
        </w:rPr>
        <w:t>Studying</w:t>
      </w:r>
    </w:p>
    <w:p>
      <w:pPr>
        <w:pStyle w:val="ListParagraph"/>
        <w:numPr>
          <w:ilvl w:val="1"/>
          <w:numId w:val="67"/>
        </w:numPr>
        <w:tabs>
          <w:tab w:pos="1731" w:val="left" w:leader="none"/>
        </w:tabs>
        <w:spacing w:line="240" w:lineRule="auto" w:before="15" w:after="0"/>
        <w:ind w:left="1730" w:right="0" w:hanging="103"/>
        <w:jc w:val="left"/>
        <w:rPr>
          <w:rFonts w:ascii="Calibri"/>
          <w:sz w:val="14"/>
        </w:rPr>
      </w:pPr>
      <w:r>
        <w:rPr>
          <w:rFonts w:ascii="Calibri"/>
          <w:sz w:val="14"/>
        </w:rPr>
        <w:t>Working</w:t>
      </w:r>
      <w:r>
        <w:rPr>
          <w:rFonts w:ascii="Calibri"/>
          <w:spacing w:val="-2"/>
          <w:sz w:val="14"/>
        </w:rPr>
        <w:t> </w:t>
      </w:r>
      <w:r>
        <w:rPr>
          <w:rFonts w:ascii="Calibri"/>
          <w:sz w:val="14"/>
        </w:rPr>
        <w:t>Age</w:t>
      </w:r>
    </w:p>
    <w:p>
      <w:pPr>
        <w:pStyle w:val="ListParagraph"/>
        <w:numPr>
          <w:ilvl w:val="1"/>
          <w:numId w:val="67"/>
        </w:numPr>
        <w:tabs>
          <w:tab w:pos="1731" w:val="left" w:leader="none"/>
        </w:tabs>
        <w:spacing w:line="240" w:lineRule="auto" w:before="15" w:after="0"/>
        <w:ind w:left="1730" w:right="0" w:hanging="103"/>
        <w:jc w:val="left"/>
        <w:rPr>
          <w:rFonts w:ascii="Calibri"/>
          <w:sz w:val="14"/>
        </w:rPr>
      </w:pPr>
      <w:r>
        <w:rPr>
          <w:rFonts w:ascii="Calibri"/>
          <w:sz w:val="14"/>
        </w:rPr>
        <w:t>Parents</w:t>
      </w:r>
    </w:p>
    <w:p>
      <w:pPr>
        <w:pStyle w:val="ListParagraph"/>
        <w:numPr>
          <w:ilvl w:val="1"/>
          <w:numId w:val="67"/>
        </w:numPr>
        <w:tabs>
          <w:tab w:pos="1731" w:val="left" w:leader="none"/>
        </w:tabs>
        <w:spacing w:line="240" w:lineRule="auto" w:before="15" w:after="0"/>
        <w:ind w:left="1730" w:right="0" w:hanging="103"/>
        <w:jc w:val="left"/>
        <w:rPr>
          <w:rFonts w:ascii="Calibri"/>
          <w:sz w:val="14"/>
        </w:rPr>
      </w:pPr>
      <w:r>
        <w:rPr>
          <w:rFonts w:ascii="Calibri"/>
          <w:sz w:val="14"/>
        </w:rPr>
        <w:t>Carers</w:t>
      </w:r>
    </w:p>
    <w:p>
      <w:pPr>
        <w:pStyle w:val="ListParagraph"/>
        <w:numPr>
          <w:ilvl w:val="1"/>
          <w:numId w:val="67"/>
        </w:numPr>
        <w:tabs>
          <w:tab w:pos="1731" w:val="left" w:leader="none"/>
        </w:tabs>
        <w:spacing w:line="240" w:lineRule="auto" w:before="15" w:after="0"/>
        <w:ind w:left="1730" w:right="0" w:hanging="103"/>
        <w:jc w:val="left"/>
        <w:rPr>
          <w:rFonts w:ascii="Calibri"/>
          <w:sz w:val="14"/>
        </w:rPr>
      </w:pPr>
      <w:r>
        <w:rPr>
          <w:rFonts w:ascii="Calibri"/>
          <w:sz w:val="14"/>
        </w:rPr>
        <w:t>Disability Support</w:t>
      </w:r>
    </w:p>
    <w:p>
      <w:pPr>
        <w:pStyle w:val="ListParagraph"/>
        <w:numPr>
          <w:ilvl w:val="1"/>
          <w:numId w:val="67"/>
        </w:numPr>
        <w:tabs>
          <w:tab w:pos="1731" w:val="left" w:leader="none"/>
        </w:tabs>
        <w:spacing w:line="261" w:lineRule="auto" w:before="15" w:after="0"/>
        <w:ind w:left="1628" w:right="3097" w:firstLine="0"/>
        <w:jc w:val="left"/>
        <w:rPr>
          <w:rFonts w:ascii="Calibri"/>
          <w:sz w:val="14"/>
        </w:rPr>
      </w:pPr>
      <w:r>
        <w:rPr>
          <w:rFonts w:ascii="Calibri"/>
          <w:sz w:val="14"/>
        </w:rPr>
        <w:t>Pension Age 7 Non IS Family 8 Non IS Carer 9 Non IS</w:t>
      </w:r>
      <w:r>
        <w:rPr>
          <w:rFonts w:ascii="Calibri"/>
          <w:spacing w:val="7"/>
          <w:sz w:val="14"/>
        </w:rPr>
        <w:t> </w:t>
      </w:r>
      <w:r>
        <w:rPr>
          <w:rFonts w:ascii="Calibri"/>
          <w:sz w:val="14"/>
        </w:rPr>
        <w:t>Other</w:t>
      </w:r>
    </w:p>
    <w:p>
      <w:pPr>
        <w:spacing w:line="261" w:lineRule="auto" w:before="0"/>
        <w:ind w:left="1628" w:right="2160" w:firstLine="0"/>
        <w:jc w:val="left"/>
        <w:rPr>
          <w:rFonts w:ascii="Calibri"/>
          <w:sz w:val="14"/>
        </w:rPr>
      </w:pPr>
      <w:r>
        <w:rPr>
          <w:rFonts w:ascii="Calibri"/>
          <w:sz w:val="14"/>
        </w:rPr>
        <w:t>10 Previous Welfare Recipient 11 Dead</w:t>
      </w:r>
    </w:p>
    <w:p>
      <w:pPr>
        <w:spacing w:line="261" w:lineRule="auto" w:before="0"/>
        <w:ind w:left="1628" w:right="2284" w:firstLine="0"/>
        <w:jc w:val="left"/>
        <w:rPr>
          <w:rFonts w:ascii="Calibri"/>
          <w:sz w:val="14"/>
        </w:rPr>
      </w:pPr>
      <w:r>
        <w:rPr/>
        <w:drawing>
          <wp:anchor distT="0" distB="0" distL="0" distR="0" allowOverlap="1" layoutInCell="1" locked="0" behindDoc="0" simplePos="0" relativeHeight="252645376">
            <wp:simplePos x="0" y="0"/>
            <wp:positionH relativeFrom="page">
              <wp:posOffset>4315129</wp:posOffset>
            </wp:positionH>
            <wp:positionV relativeFrom="paragraph">
              <wp:posOffset>238074</wp:posOffset>
            </wp:positionV>
            <wp:extent cx="168307" cy="170726"/>
            <wp:effectExtent l="0" t="0" r="0" b="0"/>
            <wp:wrapNone/>
            <wp:docPr id="295" name="image150.png"/>
            <wp:cNvGraphicFramePr>
              <a:graphicFrameLocks noChangeAspect="1"/>
            </wp:cNvGraphicFramePr>
            <a:graphic>
              <a:graphicData uri="http://schemas.openxmlformats.org/drawingml/2006/picture">
                <pic:pic>
                  <pic:nvPicPr>
                    <pic:cNvPr id="296" name="image150.png"/>
                    <pic:cNvPicPr/>
                  </pic:nvPicPr>
                  <pic:blipFill>
                    <a:blip r:embed="rId182" cstate="print"/>
                    <a:stretch>
                      <a:fillRect/>
                    </a:stretch>
                  </pic:blipFill>
                  <pic:spPr>
                    <a:xfrm>
                      <a:off x="0" y="0"/>
                      <a:ext cx="168307" cy="170726"/>
                    </a:xfrm>
                    <a:prstGeom prst="rect">
                      <a:avLst/>
                    </a:prstGeom>
                  </pic:spPr>
                </pic:pic>
              </a:graphicData>
            </a:graphic>
          </wp:anchor>
        </w:drawing>
      </w:r>
      <w:r>
        <w:rPr>
          <w:rFonts w:ascii="Calibri"/>
          <w:sz w:val="14"/>
        </w:rPr>
        <w:t>12 Rest of Aust. Population Prior valuation - all active Prior valuation - current class</w:t>
      </w:r>
    </w:p>
    <w:p>
      <w:pPr>
        <w:spacing w:after="0" w:line="261" w:lineRule="auto"/>
        <w:jc w:val="left"/>
        <w:rPr>
          <w:rFonts w:ascii="Calibri"/>
          <w:sz w:val="14"/>
        </w:rPr>
        <w:sectPr>
          <w:type w:val="continuous"/>
          <w:pgSz w:w="11910" w:h="16850"/>
          <w:pgMar w:top="1600" w:bottom="280" w:left="120" w:right="0"/>
          <w:cols w:num="3" w:equalWidth="0">
            <w:col w:w="2885" w:space="40"/>
            <w:col w:w="3203" w:space="39"/>
            <w:col w:w="5623"/>
          </w:cols>
        </w:sectPr>
      </w:pPr>
    </w:p>
    <w:p>
      <w:pPr>
        <w:pStyle w:val="BodyText"/>
        <w:spacing w:before="6"/>
        <w:rPr>
          <w:rFonts w:ascii="Calibri"/>
          <w:sz w:val="21"/>
        </w:rPr>
      </w:pPr>
    </w:p>
    <w:p>
      <w:pPr>
        <w:pStyle w:val="BodyText"/>
        <w:spacing w:before="93"/>
        <w:ind w:left="900"/>
      </w:pPr>
      <w:r>
        <w:rPr>
          <w:color w:val="404040"/>
        </w:rPr>
        <w:t>We can see that:</w:t>
      </w:r>
    </w:p>
    <w:p>
      <w:pPr>
        <w:spacing w:after="0"/>
        <w:sectPr>
          <w:type w:val="continuous"/>
          <w:pgSz w:w="11910" w:h="16850"/>
          <w:pgMar w:top="1600" w:bottom="280" w:left="120" w:right="0"/>
        </w:sectPr>
      </w:pPr>
    </w:p>
    <w:p>
      <w:pPr>
        <w:pStyle w:val="BodyText"/>
      </w:pPr>
    </w:p>
    <w:p>
      <w:pPr>
        <w:pStyle w:val="BodyText"/>
      </w:pPr>
    </w:p>
    <w:p>
      <w:pPr>
        <w:pStyle w:val="BodyText"/>
        <w:spacing w:before="4"/>
        <w:rPr>
          <w:sz w:val="21"/>
        </w:rPr>
      </w:pPr>
    </w:p>
    <w:p>
      <w:pPr>
        <w:pStyle w:val="ListParagraph"/>
        <w:numPr>
          <w:ilvl w:val="0"/>
          <w:numId w:val="66"/>
        </w:numPr>
        <w:tabs>
          <w:tab w:pos="1184" w:val="left" w:leader="none"/>
        </w:tabs>
        <w:spacing w:line="240" w:lineRule="auto" w:before="99" w:after="0"/>
        <w:ind w:left="1183" w:right="0" w:hanging="284"/>
        <w:jc w:val="left"/>
        <w:rPr>
          <w:rFonts w:ascii="Symbol" w:hAnsi="Symbol"/>
          <w:color w:val="404040"/>
          <w:sz w:val="20"/>
        </w:rPr>
      </w:pPr>
      <w:r>
        <w:rPr>
          <w:color w:val="404040"/>
          <w:sz w:val="20"/>
        </w:rPr>
        <w:t>Around 70% of people are projected to exit the class over the next 10 years:</w:t>
      </w:r>
    </w:p>
    <w:p>
      <w:pPr>
        <w:pStyle w:val="ListParagraph"/>
        <w:numPr>
          <w:ilvl w:val="1"/>
          <w:numId w:val="66"/>
        </w:numPr>
        <w:tabs>
          <w:tab w:pos="1467" w:val="left" w:leader="none"/>
        </w:tabs>
        <w:spacing w:line="242" w:lineRule="auto" w:before="114" w:after="0"/>
        <w:ind w:left="1468" w:right="1117" w:hanging="286"/>
        <w:jc w:val="left"/>
        <w:rPr>
          <w:sz w:val="20"/>
        </w:rPr>
      </w:pPr>
      <w:r>
        <w:rPr>
          <w:color w:val="404040"/>
          <w:sz w:val="20"/>
        </w:rPr>
        <w:t>Around</w:t>
      </w:r>
      <w:r>
        <w:rPr>
          <w:color w:val="404040"/>
          <w:spacing w:val="-5"/>
          <w:sz w:val="20"/>
        </w:rPr>
        <w:t> </w:t>
      </w:r>
      <w:r>
        <w:rPr>
          <w:color w:val="404040"/>
          <w:sz w:val="20"/>
        </w:rPr>
        <w:t>46%</w:t>
      </w:r>
      <w:r>
        <w:rPr>
          <w:color w:val="404040"/>
          <w:spacing w:val="-3"/>
          <w:sz w:val="20"/>
        </w:rPr>
        <w:t> </w:t>
      </w:r>
      <w:r>
        <w:rPr>
          <w:color w:val="404040"/>
          <w:sz w:val="20"/>
        </w:rPr>
        <w:t>of</w:t>
      </w:r>
      <w:r>
        <w:rPr>
          <w:color w:val="404040"/>
          <w:spacing w:val="-2"/>
          <w:sz w:val="20"/>
        </w:rPr>
        <w:t> </w:t>
      </w:r>
      <w:r>
        <w:rPr>
          <w:color w:val="404040"/>
          <w:sz w:val="20"/>
        </w:rPr>
        <w:t>the</w:t>
      </w:r>
      <w:r>
        <w:rPr>
          <w:color w:val="404040"/>
          <w:spacing w:val="-2"/>
          <w:sz w:val="20"/>
        </w:rPr>
        <w:t> </w:t>
      </w:r>
      <w:r>
        <w:rPr>
          <w:color w:val="404040"/>
          <w:sz w:val="20"/>
        </w:rPr>
        <w:t>starting</w:t>
      </w:r>
      <w:r>
        <w:rPr>
          <w:color w:val="404040"/>
          <w:spacing w:val="-3"/>
          <w:sz w:val="20"/>
        </w:rPr>
        <w:t> </w:t>
      </w:r>
      <w:r>
        <w:rPr>
          <w:color w:val="404040"/>
          <w:sz w:val="20"/>
        </w:rPr>
        <w:t>population</w:t>
      </w:r>
      <w:r>
        <w:rPr>
          <w:color w:val="404040"/>
          <w:spacing w:val="-4"/>
          <w:sz w:val="20"/>
        </w:rPr>
        <w:t> </w:t>
      </w:r>
      <w:r>
        <w:rPr>
          <w:color w:val="404040"/>
          <w:sz w:val="20"/>
        </w:rPr>
        <w:t>are</w:t>
      </w:r>
      <w:r>
        <w:rPr>
          <w:color w:val="404040"/>
          <w:spacing w:val="-2"/>
          <w:sz w:val="20"/>
        </w:rPr>
        <w:t> </w:t>
      </w:r>
      <w:r>
        <w:rPr>
          <w:color w:val="404040"/>
          <w:sz w:val="20"/>
        </w:rPr>
        <w:t>projected</w:t>
      </w:r>
      <w:r>
        <w:rPr>
          <w:color w:val="404040"/>
          <w:spacing w:val="-3"/>
          <w:sz w:val="20"/>
        </w:rPr>
        <w:t> </w:t>
      </w:r>
      <w:r>
        <w:rPr>
          <w:color w:val="404040"/>
          <w:sz w:val="20"/>
        </w:rPr>
        <w:t>to</w:t>
      </w:r>
      <w:r>
        <w:rPr>
          <w:color w:val="404040"/>
          <w:spacing w:val="-2"/>
          <w:sz w:val="20"/>
        </w:rPr>
        <w:t> </w:t>
      </w:r>
      <w:r>
        <w:rPr>
          <w:color w:val="404040"/>
          <w:sz w:val="20"/>
        </w:rPr>
        <w:t>either</w:t>
      </w:r>
      <w:r>
        <w:rPr>
          <w:color w:val="404040"/>
          <w:spacing w:val="-3"/>
          <w:sz w:val="20"/>
        </w:rPr>
        <w:t> </w:t>
      </w:r>
      <w:r>
        <w:rPr>
          <w:color w:val="404040"/>
          <w:sz w:val="20"/>
        </w:rPr>
        <w:t>exit</w:t>
      </w:r>
      <w:r>
        <w:rPr>
          <w:color w:val="404040"/>
          <w:spacing w:val="-2"/>
          <w:sz w:val="20"/>
        </w:rPr>
        <w:t> </w:t>
      </w:r>
      <w:r>
        <w:rPr>
          <w:color w:val="404040"/>
          <w:sz w:val="20"/>
        </w:rPr>
        <w:t>the</w:t>
      </w:r>
      <w:r>
        <w:rPr>
          <w:color w:val="404040"/>
          <w:spacing w:val="-2"/>
          <w:sz w:val="20"/>
        </w:rPr>
        <w:t> </w:t>
      </w:r>
      <w:r>
        <w:rPr>
          <w:color w:val="404040"/>
          <w:sz w:val="20"/>
        </w:rPr>
        <w:t>payment</w:t>
      </w:r>
      <w:r>
        <w:rPr>
          <w:color w:val="404040"/>
          <w:spacing w:val="-4"/>
          <w:sz w:val="20"/>
        </w:rPr>
        <w:t> </w:t>
      </w:r>
      <w:r>
        <w:rPr>
          <w:color w:val="404040"/>
          <w:sz w:val="20"/>
        </w:rPr>
        <w:t>system</w:t>
      </w:r>
      <w:r>
        <w:rPr>
          <w:color w:val="404040"/>
          <w:spacing w:val="1"/>
          <w:sz w:val="20"/>
        </w:rPr>
        <w:t> </w:t>
      </w:r>
      <w:r>
        <w:rPr>
          <w:color w:val="404040"/>
          <w:sz w:val="20"/>
        </w:rPr>
        <w:t>or</w:t>
      </w:r>
      <w:r>
        <w:rPr>
          <w:color w:val="404040"/>
          <w:spacing w:val="-4"/>
          <w:sz w:val="20"/>
        </w:rPr>
        <w:t> </w:t>
      </w:r>
      <w:r>
        <w:rPr>
          <w:color w:val="404040"/>
          <w:sz w:val="20"/>
        </w:rPr>
        <w:t>die</w:t>
      </w:r>
      <w:r>
        <w:rPr>
          <w:color w:val="404040"/>
          <w:spacing w:val="-4"/>
          <w:sz w:val="20"/>
        </w:rPr>
        <w:t> </w:t>
      </w:r>
      <w:r>
        <w:rPr>
          <w:color w:val="404040"/>
          <w:sz w:val="20"/>
        </w:rPr>
        <w:t>over</w:t>
      </w:r>
      <w:r>
        <w:rPr>
          <w:color w:val="404040"/>
          <w:spacing w:val="-3"/>
          <w:sz w:val="20"/>
        </w:rPr>
        <w:t> </w:t>
      </w:r>
      <w:r>
        <w:rPr>
          <w:color w:val="404040"/>
          <w:sz w:val="20"/>
        </w:rPr>
        <w:t>this</w:t>
      </w:r>
      <w:r>
        <w:rPr>
          <w:color w:val="404040"/>
          <w:spacing w:val="-3"/>
          <w:sz w:val="20"/>
        </w:rPr>
        <w:t> </w:t>
      </w:r>
      <w:r>
        <w:rPr>
          <w:color w:val="404040"/>
          <w:sz w:val="20"/>
        </w:rPr>
        <w:t>10 year</w:t>
      </w:r>
      <w:r>
        <w:rPr>
          <w:color w:val="404040"/>
          <w:spacing w:val="1"/>
          <w:sz w:val="20"/>
        </w:rPr>
        <w:t> </w:t>
      </w:r>
      <w:r>
        <w:rPr>
          <w:color w:val="404040"/>
          <w:sz w:val="20"/>
        </w:rPr>
        <w:t>period</w:t>
      </w:r>
    </w:p>
    <w:p>
      <w:pPr>
        <w:pStyle w:val="ListParagraph"/>
        <w:numPr>
          <w:ilvl w:val="1"/>
          <w:numId w:val="66"/>
        </w:numPr>
        <w:tabs>
          <w:tab w:pos="1466" w:val="left" w:leader="none"/>
        </w:tabs>
        <w:spacing w:line="242" w:lineRule="auto" w:before="117" w:after="0"/>
        <w:ind w:left="1468" w:right="1260" w:hanging="286"/>
        <w:jc w:val="left"/>
        <w:rPr>
          <w:sz w:val="20"/>
        </w:rPr>
      </w:pPr>
      <w:r>
        <w:rPr>
          <w:color w:val="404040"/>
          <w:sz w:val="20"/>
        </w:rPr>
        <w:t>Around 11% of the stating population are projected to move into a pre-retirement income support class over this 10 year period, with Working Age and Carer being the most</w:t>
      </w:r>
      <w:r>
        <w:rPr>
          <w:color w:val="404040"/>
          <w:spacing w:val="-11"/>
          <w:sz w:val="20"/>
        </w:rPr>
        <w:t> </w:t>
      </w:r>
      <w:r>
        <w:rPr>
          <w:color w:val="404040"/>
          <w:sz w:val="20"/>
        </w:rPr>
        <w:t>common.</w:t>
      </w:r>
    </w:p>
    <w:p>
      <w:pPr>
        <w:pStyle w:val="ListParagraph"/>
        <w:numPr>
          <w:ilvl w:val="1"/>
          <w:numId w:val="66"/>
        </w:numPr>
        <w:tabs>
          <w:tab w:pos="1466" w:val="left" w:leader="none"/>
        </w:tabs>
        <w:spacing w:line="240" w:lineRule="auto" w:before="118" w:after="0"/>
        <w:ind w:left="1465" w:right="0" w:hanging="284"/>
        <w:jc w:val="left"/>
        <w:rPr>
          <w:sz w:val="20"/>
        </w:rPr>
      </w:pPr>
      <w:r>
        <w:rPr>
          <w:color w:val="404040"/>
          <w:sz w:val="20"/>
        </w:rPr>
        <w:t>A similar proportion are projected to move into the Age Pension, non IS family or non IS Other</w:t>
      </w:r>
      <w:r>
        <w:rPr>
          <w:color w:val="404040"/>
          <w:spacing w:val="-27"/>
          <w:sz w:val="20"/>
        </w:rPr>
        <w:t> </w:t>
      </w:r>
      <w:r>
        <w:rPr>
          <w:color w:val="404040"/>
          <w:sz w:val="20"/>
        </w:rPr>
        <w:t>classes</w:t>
      </w:r>
    </w:p>
    <w:p>
      <w:pPr>
        <w:pStyle w:val="BodyText"/>
        <w:spacing w:before="119"/>
        <w:ind w:left="899" w:right="1176"/>
      </w:pPr>
      <w:r>
        <w:rPr>
          <w:color w:val="404040"/>
        </w:rPr>
        <w:t>The proportion of people expected to transition into income support payments has reduced since our previous assessment. This reflects both the changing experience and model refinements, which allow us to better differentiate the expected future experience of people in this class.</w:t>
      </w:r>
    </w:p>
    <w:p>
      <w:pPr>
        <w:pStyle w:val="BodyText"/>
        <w:spacing w:before="8"/>
      </w:pPr>
    </w:p>
    <w:p>
      <w:pPr>
        <w:pStyle w:val="Heading6"/>
        <w:spacing w:before="1"/>
        <w:rPr>
          <w:i/>
        </w:rPr>
      </w:pPr>
      <w:r>
        <w:rPr>
          <w:i/>
          <w:color w:val="DF2F1E"/>
        </w:rPr>
        <w:t>Duration</w:t>
      </w:r>
    </w:p>
    <w:p>
      <w:pPr>
        <w:pStyle w:val="BodyText"/>
        <w:spacing w:line="242" w:lineRule="auto" w:before="118"/>
        <w:ind w:left="900" w:right="1298"/>
      </w:pPr>
      <w:r>
        <w:rPr>
          <w:color w:val="404040"/>
        </w:rPr>
        <w:t>The average future life expectancy for the Non IS Carer class is </w:t>
      </w:r>
      <w:r>
        <w:rPr>
          <w:b/>
          <w:color w:val="404040"/>
        </w:rPr>
        <w:t>39 </w:t>
      </w:r>
      <w:r>
        <w:rPr>
          <w:color w:val="404040"/>
        </w:rPr>
        <w:t>years. This reflects that the age profile of this class is well distributed across most pre-retirement ages.</w:t>
      </w:r>
    </w:p>
    <w:p>
      <w:pPr>
        <w:pStyle w:val="BodyText"/>
        <w:spacing w:before="119"/>
        <w:ind w:left="900" w:right="1155"/>
      </w:pPr>
      <w:r>
        <w:rPr>
          <w:color w:val="404040"/>
        </w:rPr>
        <w:t>The table below provides a summary of the expected welfare system use of people currently in this class over this time. This has been developed by considering which classes people move into as they move through the welfare system over their lives.</w:t>
      </w:r>
    </w:p>
    <w:p>
      <w:pPr>
        <w:pStyle w:val="Heading9"/>
        <w:spacing w:before="174" w:after="47"/>
      </w:pPr>
      <w:r>
        <w:rPr>
          <w:color w:val="DF2F1E"/>
        </w:rPr>
        <w:t>Table 38: Average expected durations in welfare system for people currently in class 8</w:t>
      </w:r>
    </w:p>
    <w:tbl>
      <w:tblPr>
        <w:tblW w:w="0" w:type="auto"/>
        <w:jc w:val="left"/>
        <w:tblInd w:w="1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30"/>
        <w:gridCol w:w="1765"/>
        <w:gridCol w:w="2773"/>
      </w:tblGrid>
      <w:tr>
        <w:trPr>
          <w:trHeight w:val="283" w:hRule="atLeast"/>
        </w:trPr>
        <w:tc>
          <w:tcPr>
            <w:tcW w:w="4330" w:type="dxa"/>
            <w:shd w:val="clear" w:color="auto" w:fill="DF2F1E"/>
          </w:tcPr>
          <w:p>
            <w:pPr>
              <w:pStyle w:val="TableParagraph"/>
              <w:spacing w:before="0"/>
              <w:rPr>
                <w:rFonts w:ascii="Times New Roman"/>
                <w:sz w:val="18"/>
              </w:rPr>
            </w:pPr>
          </w:p>
        </w:tc>
        <w:tc>
          <w:tcPr>
            <w:tcW w:w="1765" w:type="dxa"/>
            <w:shd w:val="clear" w:color="auto" w:fill="DF2F1E"/>
          </w:tcPr>
          <w:p>
            <w:pPr>
              <w:pStyle w:val="TableParagraph"/>
              <w:spacing w:before="44"/>
              <w:ind w:left="149" w:right="383"/>
              <w:jc w:val="center"/>
              <w:rPr>
                <w:b/>
                <w:sz w:val="16"/>
              </w:rPr>
            </w:pPr>
            <w:r>
              <w:rPr>
                <w:b/>
                <w:color w:val="FFFFFF"/>
                <w:sz w:val="16"/>
              </w:rPr>
              <w:t>Expected Years</w:t>
            </w:r>
          </w:p>
        </w:tc>
        <w:tc>
          <w:tcPr>
            <w:tcW w:w="2773" w:type="dxa"/>
            <w:shd w:val="clear" w:color="auto" w:fill="DF2F1E"/>
          </w:tcPr>
          <w:p>
            <w:pPr>
              <w:pStyle w:val="TableParagraph"/>
              <w:spacing w:before="44"/>
              <w:ind w:left="394" w:right="124"/>
              <w:jc w:val="center"/>
              <w:rPr>
                <w:b/>
                <w:sz w:val="16"/>
              </w:rPr>
            </w:pPr>
            <w:r>
              <w:rPr>
                <w:b/>
                <w:color w:val="FFFFFF"/>
                <w:sz w:val="16"/>
              </w:rPr>
              <w:t>Proportion of Future Lifetime</w:t>
            </w:r>
          </w:p>
        </w:tc>
      </w:tr>
      <w:tr>
        <w:trPr>
          <w:trHeight w:val="261" w:hRule="atLeast"/>
        </w:trPr>
        <w:tc>
          <w:tcPr>
            <w:tcW w:w="4330" w:type="dxa"/>
            <w:tcBorders>
              <w:left w:val="single" w:sz="4" w:space="0" w:color="DF2F1E"/>
            </w:tcBorders>
          </w:tcPr>
          <w:p>
            <w:pPr>
              <w:pStyle w:val="TableParagraph"/>
              <w:spacing w:before="34"/>
              <w:ind w:left="107"/>
              <w:rPr>
                <w:b/>
                <w:sz w:val="16"/>
              </w:rPr>
            </w:pPr>
            <w:r>
              <w:rPr>
                <w:b/>
                <w:color w:val="404040"/>
                <w:sz w:val="16"/>
              </w:rPr>
              <w:t>Years with some income support payments:</w:t>
            </w:r>
          </w:p>
        </w:tc>
        <w:tc>
          <w:tcPr>
            <w:tcW w:w="1765" w:type="dxa"/>
          </w:tcPr>
          <w:p>
            <w:pPr>
              <w:pStyle w:val="TableParagraph"/>
              <w:spacing w:before="0"/>
              <w:rPr>
                <w:rFonts w:ascii="Times New Roman"/>
                <w:sz w:val="18"/>
              </w:rPr>
            </w:pPr>
          </w:p>
        </w:tc>
        <w:tc>
          <w:tcPr>
            <w:tcW w:w="2773" w:type="dxa"/>
            <w:tcBorders>
              <w:right w:val="single" w:sz="4" w:space="0" w:color="DF2F1E"/>
            </w:tcBorders>
          </w:tcPr>
          <w:p>
            <w:pPr>
              <w:pStyle w:val="TableParagraph"/>
              <w:spacing w:before="0"/>
              <w:rPr>
                <w:rFonts w:ascii="Times New Roman"/>
                <w:sz w:val="18"/>
              </w:rPr>
            </w:pPr>
          </w:p>
        </w:tc>
      </w:tr>
      <w:tr>
        <w:trPr>
          <w:trHeight w:val="265" w:hRule="atLeast"/>
        </w:trPr>
        <w:tc>
          <w:tcPr>
            <w:tcW w:w="4330" w:type="dxa"/>
            <w:tcBorders>
              <w:left w:val="single" w:sz="4" w:space="0" w:color="DF2F1E"/>
            </w:tcBorders>
          </w:tcPr>
          <w:p>
            <w:pPr>
              <w:pStyle w:val="TableParagraph"/>
              <w:tabs>
                <w:tab w:pos="513" w:val="left" w:leader="none"/>
              </w:tabs>
              <w:ind w:left="153"/>
              <w:rPr>
                <w:b/>
                <w:sz w:val="16"/>
              </w:rPr>
            </w:pPr>
            <w:r>
              <w:rPr>
                <w:color w:val="404040"/>
                <w:sz w:val="16"/>
              </w:rPr>
              <w:t>-</w:t>
              <w:tab/>
            </w:r>
            <w:r>
              <w:rPr>
                <w:b/>
                <w:color w:val="404040"/>
                <w:sz w:val="16"/>
              </w:rPr>
              <w:t>Not </w:t>
            </w:r>
            <w:r>
              <w:rPr>
                <w:b/>
                <w:color w:val="404040"/>
                <w:spacing w:val="-3"/>
                <w:sz w:val="16"/>
              </w:rPr>
              <w:t>Age </w:t>
            </w:r>
            <w:r>
              <w:rPr>
                <w:b/>
                <w:color w:val="404040"/>
                <w:sz w:val="16"/>
              </w:rPr>
              <w:t>Pension (classes</w:t>
            </w:r>
            <w:r>
              <w:rPr>
                <w:b/>
                <w:color w:val="404040"/>
                <w:spacing w:val="5"/>
                <w:sz w:val="16"/>
              </w:rPr>
              <w:t> </w:t>
            </w:r>
            <w:r>
              <w:rPr>
                <w:b/>
                <w:color w:val="404040"/>
                <w:sz w:val="16"/>
              </w:rPr>
              <w:t>1-5)</w:t>
            </w:r>
          </w:p>
        </w:tc>
        <w:tc>
          <w:tcPr>
            <w:tcW w:w="1765" w:type="dxa"/>
          </w:tcPr>
          <w:p>
            <w:pPr>
              <w:pStyle w:val="TableParagraph"/>
              <w:spacing w:before="40"/>
              <w:ind w:right="234"/>
              <w:jc w:val="center"/>
              <w:rPr>
                <w:sz w:val="16"/>
              </w:rPr>
            </w:pPr>
            <w:r>
              <w:rPr>
                <w:color w:val="404040"/>
                <w:w w:val="100"/>
                <w:sz w:val="16"/>
              </w:rPr>
              <w:t>3</w:t>
            </w:r>
          </w:p>
        </w:tc>
        <w:tc>
          <w:tcPr>
            <w:tcW w:w="2773" w:type="dxa"/>
            <w:tcBorders>
              <w:right w:val="single" w:sz="4" w:space="0" w:color="DF2F1E"/>
            </w:tcBorders>
          </w:tcPr>
          <w:p>
            <w:pPr>
              <w:pStyle w:val="TableParagraph"/>
              <w:spacing w:before="40"/>
              <w:ind w:left="1293" w:right="1020"/>
              <w:jc w:val="center"/>
              <w:rPr>
                <w:sz w:val="16"/>
              </w:rPr>
            </w:pPr>
            <w:r>
              <w:rPr>
                <w:color w:val="404040"/>
                <w:sz w:val="16"/>
              </w:rPr>
              <w:t>8%</w:t>
            </w:r>
          </w:p>
        </w:tc>
      </w:tr>
      <w:tr>
        <w:trPr>
          <w:trHeight w:val="265" w:hRule="atLeast"/>
        </w:trPr>
        <w:tc>
          <w:tcPr>
            <w:tcW w:w="4330" w:type="dxa"/>
            <w:tcBorders>
              <w:left w:val="single" w:sz="4" w:space="0" w:color="DF2F1E"/>
              <w:bottom w:val="single" w:sz="4" w:space="0" w:color="DF2F1E"/>
            </w:tcBorders>
          </w:tcPr>
          <w:p>
            <w:pPr>
              <w:pStyle w:val="TableParagraph"/>
              <w:tabs>
                <w:tab w:pos="513" w:val="left" w:leader="none"/>
              </w:tabs>
              <w:spacing w:before="36"/>
              <w:ind w:left="153"/>
              <w:rPr>
                <w:b/>
                <w:sz w:val="16"/>
              </w:rPr>
            </w:pPr>
            <w:r>
              <w:rPr>
                <w:color w:val="404040"/>
                <w:sz w:val="16"/>
              </w:rPr>
              <w:t>-</w:t>
              <w:tab/>
            </w:r>
            <w:r>
              <w:rPr>
                <w:b/>
                <w:color w:val="404040"/>
                <w:sz w:val="16"/>
              </w:rPr>
              <w:t>Age Pension (class</w:t>
            </w:r>
            <w:r>
              <w:rPr>
                <w:b/>
                <w:color w:val="404040"/>
                <w:spacing w:val="-3"/>
                <w:sz w:val="16"/>
              </w:rPr>
              <w:t> </w:t>
            </w:r>
            <w:r>
              <w:rPr>
                <w:b/>
                <w:color w:val="404040"/>
                <w:sz w:val="16"/>
              </w:rPr>
              <w:t>6)</w:t>
            </w:r>
          </w:p>
        </w:tc>
        <w:tc>
          <w:tcPr>
            <w:tcW w:w="1765" w:type="dxa"/>
            <w:tcBorders>
              <w:bottom w:val="single" w:sz="4" w:space="0" w:color="DF2F1E"/>
            </w:tcBorders>
          </w:tcPr>
          <w:p>
            <w:pPr>
              <w:pStyle w:val="TableParagraph"/>
              <w:spacing w:before="39"/>
              <w:ind w:left="149" w:right="381"/>
              <w:jc w:val="center"/>
              <w:rPr>
                <w:sz w:val="16"/>
              </w:rPr>
            </w:pPr>
            <w:r>
              <w:rPr>
                <w:color w:val="404040"/>
                <w:sz w:val="16"/>
              </w:rPr>
              <w:t>12</w:t>
            </w:r>
          </w:p>
        </w:tc>
        <w:tc>
          <w:tcPr>
            <w:tcW w:w="2773" w:type="dxa"/>
            <w:tcBorders>
              <w:bottom w:val="single" w:sz="4" w:space="0" w:color="DF2F1E"/>
              <w:right w:val="single" w:sz="4" w:space="0" w:color="DF2F1E"/>
            </w:tcBorders>
          </w:tcPr>
          <w:p>
            <w:pPr>
              <w:pStyle w:val="TableParagraph"/>
              <w:spacing w:before="39"/>
              <w:ind w:left="1293" w:right="1023"/>
              <w:jc w:val="center"/>
              <w:rPr>
                <w:sz w:val="16"/>
              </w:rPr>
            </w:pPr>
            <w:r>
              <w:rPr>
                <w:color w:val="404040"/>
                <w:sz w:val="16"/>
              </w:rPr>
              <w:t>30%</w:t>
            </w:r>
          </w:p>
        </w:tc>
      </w:tr>
      <w:tr>
        <w:trPr>
          <w:trHeight w:val="263" w:hRule="atLeast"/>
        </w:trPr>
        <w:tc>
          <w:tcPr>
            <w:tcW w:w="4330" w:type="dxa"/>
            <w:tcBorders>
              <w:top w:val="single" w:sz="4" w:space="0" w:color="DF2F1E"/>
              <w:left w:val="single" w:sz="4" w:space="0" w:color="DF2F1E"/>
              <w:bottom w:val="single" w:sz="4" w:space="0" w:color="DF2F1E"/>
            </w:tcBorders>
          </w:tcPr>
          <w:p>
            <w:pPr>
              <w:pStyle w:val="TableParagraph"/>
              <w:spacing w:before="34"/>
              <w:ind w:left="107"/>
              <w:rPr>
                <w:b/>
                <w:sz w:val="16"/>
              </w:rPr>
            </w:pPr>
            <w:r>
              <w:rPr>
                <w:b/>
                <w:color w:val="404040"/>
                <w:sz w:val="16"/>
              </w:rPr>
              <w:t>Years with non income support payments only</w:t>
            </w:r>
          </w:p>
        </w:tc>
        <w:tc>
          <w:tcPr>
            <w:tcW w:w="1765" w:type="dxa"/>
            <w:tcBorders>
              <w:top w:val="single" w:sz="4" w:space="0" w:color="DF2F1E"/>
              <w:bottom w:val="single" w:sz="4" w:space="0" w:color="DF2F1E"/>
            </w:tcBorders>
          </w:tcPr>
          <w:p>
            <w:pPr>
              <w:pStyle w:val="TableParagraph"/>
              <w:ind w:right="234"/>
              <w:jc w:val="center"/>
              <w:rPr>
                <w:sz w:val="16"/>
              </w:rPr>
            </w:pPr>
            <w:r>
              <w:rPr>
                <w:color w:val="404040"/>
                <w:w w:val="100"/>
                <w:sz w:val="16"/>
              </w:rPr>
              <w:t>9</w:t>
            </w:r>
          </w:p>
        </w:tc>
        <w:tc>
          <w:tcPr>
            <w:tcW w:w="2773" w:type="dxa"/>
            <w:tcBorders>
              <w:top w:val="single" w:sz="4" w:space="0" w:color="DF2F1E"/>
              <w:bottom w:val="single" w:sz="4" w:space="0" w:color="DF2F1E"/>
              <w:right w:val="single" w:sz="4" w:space="0" w:color="DF2F1E"/>
            </w:tcBorders>
          </w:tcPr>
          <w:p>
            <w:pPr>
              <w:pStyle w:val="TableParagraph"/>
              <w:ind w:left="1293" w:right="1023"/>
              <w:jc w:val="center"/>
              <w:rPr>
                <w:sz w:val="16"/>
              </w:rPr>
            </w:pPr>
            <w:r>
              <w:rPr>
                <w:color w:val="404040"/>
                <w:sz w:val="16"/>
              </w:rPr>
              <w:t>22%</w:t>
            </w:r>
          </w:p>
        </w:tc>
      </w:tr>
      <w:tr>
        <w:trPr>
          <w:trHeight w:val="263" w:hRule="atLeast"/>
        </w:trPr>
        <w:tc>
          <w:tcPr>
            <w:tcW w:w="4330" w:type="dxa"/>
            <w:tcBorders>
              <w:top w:val="single" w:sz="4" w:space="0" w:color="DF2F1E"/>
              <w:left w:val="single" w:sz="4" w:space="0" w:color="DF2F1E"/>
              <w:bottom w:val="single" w:sz="4" w:space="0" w:color="DF2F1E"/>
            </w:tcBorders>
          </w:tcPr>
          <w:p>
            <w:pPr>
              <w:pStyle w:val="TableParagraph"/>
              <w:spacing w:before="34"/>
              <w:ind w:left="107"/>
              <w:rPr>
                <w:b/>
                <w:sz w:val="16"/>
              </w:rPr>
            </w:pPr>
            <w:r>
              <w:rPr>
                <w:b/>
                <w:color w:val="404040"/>
                <w:sz w:val="16"/>
              </w:rPr>
              <w:t>Years not receiving any welfare payments</w:t>
            </w:r>
          </w:p>
        </w:tc>
        <w:tc>
          <w:tcPr>
            <w:tcW w:w="1765" w:type="dxa"/>
            <w:tcBorders>
              <w:top w:val="single" w:sz="4" w:space="0" w:color="DF2F1E"/>
              <w:bottom w:val="single" w:sz="4" w:space="0" w:color="DF2F1E"/>
            </w:tcBorders>
          </w:tcPr>
          <w:p>
            <w:pPr>
              <w:pStyle w:val="TableParagraph"/>
              <w:ind w:left="149" w:right="381"/>
              <w:jc w:val="center"/>
              <w:rPr>
                <w:sz w:val="16"/>
              </w:rPr>
            </w:pPr>
            <w:r>
              <w:rPr>
                <w:color w:val="404040"/>
                <w:sz w:val="16"/>
              </w:rPr>
              <w:t>16</w:t>
            </w:r>
          </w:p>
        </w:tc>
        <w:tc>
          <w:tcPr>
            <w:tcW w:w="2773" w:type="dxa"/>
            <w:tcBorders>
              <w:top w:val="single" w:sz="4" w:space="0" w:color="DF2F1E"/>
              <w:bottom w:val="single" w:sz="4" w:space="0" w:color="DF2F1E"/>
              <w:right w:val="single" w:sz="4" w:space="0" w:color="DF2F1E"/>
            </w:tcBorders>
          </w:tcPr>
          <w:p>
            <w:pPr>
              <w:pStyle w:val="TableParagraph"/>
              <w:ind w:left="1293" w:right="1023"/>
              <w:jc w:val="center"/>
              <w:rPr>
                <w:sz w:val="16"/>
              </w:rPr>
            </w:pPr>
            <w:r>
              <w:rPr>
                <w:color w:val="404040"/>
                <w:sz w:val="16"/>
              </w:rPr>
              <w:t>41%</w:t>
            </w:r>
          </w:p>
        </w:tc>
      </w:tr>
      <w:tr>
        <w:trPr>
          <w:trHeight w:val="265" w:hRule="atLeast"/>
        </w:trPr>
        <w:tc>
          <w:tcPr>
            <w:tcW w:w="4330" w:type="dxa"/>
            <w:tcBorders>
              <w:top w:val="single" w:sz="4" w:space="0" w:color="DF2F1E"/>
              <w:left w:val="single" w:sz="4" w:space="0" w:color="DF2F1E"/>
              <w:bottom w:val="single" w:sz="4" w:space="0" w:color="DF2F1E"/>
            </w:tcBorders>
          </w:tcPr>
          <w:p>
            <w:pPr>
              <w:pStyle w:val="TableParagraph"/>
              <w:ind w:left="107"/>
              <w:rPr>
                <w:b/>
                <w:sz w:val="16"/>
              </w:rPr>
            </w:pPr>
            <w:r>
              <w:rPr>
                <w:b/>
                <w:color w:val="404040"/>
                <w:sz w:val="16"/>
              </w:rPr>
              <w:t>Total</w:t>
            </w:r>
          </w:p>
        </w:tc>
        <w:tc>
          <w:tcPr>
            <w:tcW w:w="1765" w:type="dxa"/>
            <w:tcBorders>
              <w:top w:val="single" w:sz="4" w:space="0" w:color="DF2F1E"/>
              <w:bottom w:val="single" w:sz="4" w:space="0" w:color="DF2F1E"/>
            </w:tcBorders>
          </w:tcPr>
          <w:p>
            <w:pPr>
              <w:pStyle w:val="TableParagraph"/>
              <w:spacing w:before="39"/>
              <w:ind w:left="149" w:right="381"/>
              <w:jc w:val="center"/>
              <w:rPr>
                <w:sz w:val="16"/>
              </w:rPr>
            </w:pPr>
            <w:r>
              <w:rPr>
                <w:color w:val="404040"/>
                <w:sz w:val="16"/>
              </w:rPr>
              <w:t>39</w:t>
            </w:r>
          </w:p>
        </w:tc>
        <w:tc>
          <w:tcPr>
            <w:tcW w:w="2773" w:type="dxa"/>
            <w:tcBorders>
              <w:top w:val="single" w:sz="4" w:space="0" w:color="DF2F1E"/>
              <w:bottom w:val="single" w:sz="4" w:space="0" w:color="DF2F1E"/>
              <w:right w:val="single" w:sz="4" w:space="0" w:color="DF2F1E"/>
            </w:tcBorders>
          </w:tcPr>
          <w:p>
            <w:pPr>
              <w:pStyle w:val="TableParagraph"/>
              <w:spacing w:before="39"/>
              <w:ind w:left="1293" w:right="1025"/>
              <w:jc w:val="center"/>
              <w:rPr>
                <w:sz w:val="16"/>
              </w:rPr>
            </w:pPr>
            <w:r>
              <w:rPr>
                <w:color w:val="404040"/>
                <w:sz w:val="16"/>
              </w:rPr>
              <w:t>100%</w:t>
            </w:r>
          </w:p>
        </w:tc>
      </w:tr>
    </w:tbl>
    <w:p>
      <w:pPr>
        <w:spacing w:after="0"/>
        <w:jc w:val="center"/>
        <w:rPr>
          <w:sz w:val="16"/>
        </w:rPr>
        <w:sectPr>
          <w:headerReference w:type="default" r:id="rId183"/>
          <w:footerReference w:type="default" r:id="rId184"/>
          <w:pgSz w:w="11910" w:h="16850"/>
          <w:pgMar w:header="572" w:footer="581" w:top="780" w:bottom="780" w:left="120" w:right="0"/>
        </w:sectPr>
      </w:pPr>
    </w:p>
    <w:p>
      <w:pPr>
        <w:pStyle w:val="BodyText"/>
        <w:rPr>
          <w:b/>
        </w:rPr>
      </w:pPr>
    </w:p>
    <w:p>
      <w:pPr>
        <w:pStyle w:val="BodyText"/>
        <w:rPr>
          <w:b/>
        </w:rPr>
      </w:pPr>
    </w:p>
    <w:p>
      <w:pPr>
        <w:pStyle w:val="BodyText"/>
        <w:spacing w:before="8"/>
        <w:rPr>
          <w:b/>
          <w:sz w:val="21"/>
        </w:rPr>
      </w:pPr>
    </w:p>
    <w:p>
      <w:pPr>
        <w:tabs>
          <w:tab w:pos="1752" w:val="left" w:leader="none"/>
        </w:tabs>
        <w:spacing w:before="91"/>
        <w:ind w:left="900" w:right="0" w:firstLine="0"/>
        <w:jc w:val="left"/>
        <w:rPr>
          <w:sz w:val="28"/>
        </w:rPr>
      </w:pPr>
      <w:r>
        <w:rPr/>
        <w:pict>
          <v:shape style="position:absolute;margin-left:51pt;margin-top:26.801851pt;width:493.35pt;height:272.650pt;mso-position-horizontal-relative:page;mso-position-vertical-relative:paragraph;z-index:-250668032;mso-wrap-distance-left:0;mso-wrap-distance-right:0" type="#_x0000_t202" filled="true" fillcolor="#f3aba3" stroked="false">
            <v:textbox inset="0,0,0,0">
              <w:txbxContent>
                <w:p>
                  <w:pPr>
                    <w:spacing w:before="117"/>
                    <w:ind w:left="107" w:right="0" w:firstLine="0"/>
                    <w:jc w:val="left"/>
                    <w:rPr>
                      <w:b/>
                      <w:sz w:val="20"/>
                    </w:rPr>
                  </w:pPr>
                  <w:r>
                    <w:rPr>
                      <w:b/>
                      <w:color w:val="404040"/>
                      <w:sz w:val="20"/>
                    </w:rPr>
                    <w:t>Key points</w:t>
                  </w:r>
                </w:p>
                <w:p>
                  <w:pPr>
                    <w:pStyle w:val="BodyText"/>
                    <w:spacing w:before="120"/>
                    <w:ind w:left="107" w:right="190"/>
                  </w:pPr>
                  <w:r>
                    <w:rPr>
                      <w:color w:val="404040"/>
                    </w:rPr>
                    <w:t>There were 652,000 people in the Non IS Other class in 2018. This is a significant increase compared to the June 2017 valuation. There are three distinct groups in this class being; young people receiving school related payments, parents in their first year of family payments, and post age pension age people receiving supplements.</w:t>
                  </w:r>
                </w:p>
                <w:p>
                  <w:pPr>
                    <w:pStyle w:val="BodyText"/>
                    <w:numPr>
                      <w:ilvl w:val="0"/>
                      <w:numId w:val="68"/>
                    </w:numPr>
                    <w:tabs>
                      <w:tab w:pos="392" w:val="left" w:leader="none"/>
                    </w:tabs>
                    <w:spacing w:line="240" w:lineRule="auto" w:before="121" w:after="0"/>
                    <w:ind w:left="391" w:right="270" w:hanging="284"/>
                    <w:jc w:val="left"/>
                  </w:pPr>
                  <w:r>
                    <w:rPr>
                      <w:color w:val="404040"/>
                    </w:rPr>
                    <w:t>The increase in the number of people in this class is a result of a one-off increase in entrants, following the</w:t>
                  </w:r>
                  <w:r>
                    <w:rPr>
                      <w:color w:val="404040"/>
                      <w:spacing w:val="-2"/>
                    </w:rPr>
                    <w:t> </w:t>
                  </w:r>
                  <w:r>
                    <w:rPr>
                      <w:color w:val="404040"/>
                    </w:rPr>
                    <w:t>introduction</w:t>
                  </w:r>
                  <w:r>
                    <w:rPr>
                      <w:color w:val="404040"/>
                      <w:spacing w:val="-4"/>
                    </w:rPr>
                    <w:t> </w:t>
                  </w:r>
                  <w:r>
                    <w:rPr>
                      <w:color w:val="404040"/>
                    </w:rPr>
                    <w:t>of</w:t>
                  </w:r>
                  <w:r>
                    <w:rPr>
                      <w:color w:val="404040"/>
                      <w:spacing w:val="-1"/>
                    </w:rPr>
                    <w:t> </w:t>
                  </w:r>
                  <w:r>
                    <w:rPr>
                      <w:color w:val="404040"/>
                    </w:rPr>
                    <w:t>the</w:t>
                  </w:r>
                  <w:r>
                    <w:rPr>
                      <w:color w:val="404040"/>
                      <w:spacing w:val="-4"/>
                    </w:rPr>
                    <w:t> </w:t>
                  </w:r>
                  <w:r>
                    <w:rPr>
                      <w:color w:val="404040"/>
                    </w:rPr>
                    <w:t>pension</w:t>
                  </w:r>
                  <w:r>
                    <w:rPr>
                      <w:color w:val="404040"/>
                      <w:spacing w:val="-2"/>
                    </w:rPr>
                    <w:t> </w:t>
                  </w:r>
                  <w:r>
                    <w:rPr>
                      <w:color w:val="404040"/>
                    </w:rPr>
                    <w:t>assets</w:t>
                  </w:r>
                  <w:r>
                    <w:rPr>
                      <w:color w:val="404040"/>
                      <w:spacing w:val="-2"/>
                    </w:rPr>
                    <w:t> </w:t>
                  </w:r>
                  <w:r>
                    <w:rPr>
                      <w:color w:val="404040"/>
                    </w:rPr>
                    <w:t>test.</w:t>
                  </w:r>
                  <w:r>
                    <w:rPr>
                      <w:color w:val="404040"/>
                      <w:spacing w:val="-4"/>
                    </w:rPr>
                    <w:t> </w:t>
                  </w:r>
                  <w:r>
                    <w:rPr>
                      <w:color w:val="404040"/>
                    </w:rPr>
                    <w:t>This</w:t>
                  </w:r>
                  <w:r>
                    <w:rPr>
                      <w:color w:val="404040"/>
                      <w:spacing w:val="-3"/>
                    </w:rPr>
                    <w:t> </w:t>
                  </w:r>
                  <w:r>
                    <w:rPr>
                      <w:color w:val="404040"/>
                    </w:rPr>
                    <w:t>is</w:t>
                  </w:r>
                  <w:r>
                    <w:rPr>
                      <w:color w:val="404040"/>
                      <w:spacing w:val="-2"/>
                    </w:rPr>
                    <w:t> </w:t>
                  </w:r>
                  <w:r>
                    <w:rPr>
                      <w:color w:val="404040"/>
                    </w:rPr>
                    <w:t>because</w:t>
                  </w:r>
                  <w:r>
                    <w:rPr>
                      <w:color w:val="404040"/>
                      <w:spacing w:val="-4"/>
                    </w:rPr>
                    <w:t> </w:t>
                  </w:r>
                  <w:r>
                    <w:rPr>
                      <w:color w:val="404040"/>
                    </w:rPr>
                    <w:t>some</w:t>
                  </w:r>
                  <w:r>
                    <w:rPr>
                      <w:color w:val="404040"/>
                      <w:spacing w:val="-3"/>
                    </w:rPr>
                    <w:t> </w:t>
                  </w:r>
                  <w:r>
                    <w:rPr>
                      <w:color w:val="404040"/>
                    </w:rPr>
                    <w:t>previous</w:t>
                  </w:r>
                  <w:r>
                    <w:rPr>
                      <w:color w:val="404040"/>
                      <w:spacing w:val="-3"/>
                    </w:rPr>
                    <w:t> </w:t>
                  </w:r>
                  <w:r>
                    <w:rPr>
                      <w:color w:val="404040"/>
                    </w:rPr>
                    <w:t>age</w:t>
                  </w:r>
                  <w:r>
                    <w:rPr>
                      <w:color w:val="404040"/>
                      <w:spacing w:val="-2"/>
                    </w:rPr>
                    <w:t> </w:t>
                  </w:r>
                  <w:r>
                    <w:rPr>
                      <w:color w:val="404040"/>
                    </w:rPr>
                    <w:t>pensioners</w:t>
                  </w:r>
                  <w:r>
                    <w:rPr>
                      <w:color w:val="404040"/>
                      <w:spacing w:val="-2"/>
                    </w:rPr>
                    <w:t> </w:t>
                  </w:r>
                  <w:r>
                    <w:rPr>
                      <w:color w:val="404040"/>
                    </w:rPr>
                    <w:t>are</w:t>
                  </w:r>
                  <w:r>
                    <w:rPr>
                      <w:color w:val="404040"/>
                      <w:spacing w:val="-4"/>
                    </w:rPr>
                    <w:t> </w:t>
                  </w:r>
                  <w:r>
                    <w:rPr>
                      <w:color w:val="404040"/>
                    </w:rPr>
                    <w:t>no</w:t>
                  </w:r>
                  <w:r>
                    <w:rPr>
                      <w:color w:val="404040"/>
                      <w:spacing w:val="-3"/>
                    </w:rPr>
                    <w:t> </w:t>
                  </w:r>
                  <w:r>
                    <w:rPr>
                      <w:color w:val="404040"/>
                    </w:rPr>
                    <w:t>longer eligible for the pension but continue to receive some supplements, and hence have transitioned to this class.</w:t>
                  </w:r>
                </w:p>
                <w:p>
                  <w:pPr>
                    <w:pStyle w:val="BodyText"/>
                    <w:numPr>
                      <w:ilvl w:val="0"/>
                      <w:numId w:val="68"/>
                    </w:numPr>
                    <w:tabs>
                      <w:tab w:pos="392" w:val="left" w:leader="none"/>
                    </w:tabs>
                    <w:spacing w:line="240" w:lineRule="auto" w:before="118" w:after="0"/>
                    <w:ind w:left="391" w:right="616" w:hanging="284"/>
                    <w:jc w:val="left"/>
                  </w:pPr>
                  <w:r>
                    <w:rPr>
                      <w:color w:val="404040"/>
                    </w:rPr>
                    <w:t>The recent policy changes which affect family payments have also impacted this class as people receiving</w:t>
                  </w:r>
                  <w:r>
                    <w:rPr>
                      <w:color w:val="404040"/>
                      <w:spacing w:val="-3"/>
                    </w:rPr>
                    <w:t> </w:t>
                  </w:r>
                  <w:r>
                    <w:rPr>
                      <w:color w:val="404040"/>
                    </w:rPr>
                    <w:t>family</w:t>
                  </w:r>
                  <w:r>
                    <w:rPr>
                      <w:color w:val="404040"/>
                      <w:spacing w:val="-9"/>
                    </w:rPr>
                    <w:t> </w:t>
                  </w:r>
                  <w:r>
                    <w:rPr>
                      <w:color w:val="404040"/>
                    </w:rPr>
                    <w:t>supplements</w:t>
                  </w:r>
                  <w:r>
                    <w:rPr>
                      <w:color w:val="404040"/>
                      <w:spacing w:val="-2"/>
                    </w:rPr>
                    <w:t> </w:t>
                  </w:r>
                  <w:r>
                    <w:rPr>
                      <w:color w:val="404040"/>
                    </w:rPr>
                    <w:t>for</w:t>
                  </w:r>
                  <w:r>
                    <w:rPr>
                      <w:color w:val="404040"/>
                      <w:spacing w:val="-2"/>
                    </w:rPr>
                    <w:t> </w:t>
                  </w:r>
                  <w:r>
                    <w:rPr>
                      <w:color w:val="404040"/>
                    </w:rPr>
                    <w:t>the</w:t>
                  </w:r>
                  <w:r>
                    <w:rPr>
                      <w:color w:val="404040"/>
                      <w:spacing w:val="-3"/>
                    </w:rPr>
                    <w:t> </w:t>
                  </w:r>
                  <w:r>
                    <w:rPr>
                      <w:color w:val="404040"/>
                    </w:rPr>
                    <w:t>first</w:t>
                  </w:r>
                  <w:r>
                    <w:rPr>
                      <w:color w:val="404040"/>
                      <w:spacing w:val="-3"/>
                    </w:rPr>
                    <w:t> </w:t>
                  </w:r>
                  <w:r>
                    <w:rPr>
                      <w:color w:val="404040"/>
                    </w:rPr>
                    <w:t>time</w:t>
                  </w:r>
                  <w:r>
                    <w:rPr>
                      <w:color w:val="404040"/>
                      <w:spacing w:val="-2"/>
                    </w:rPr>
                    <w:t> </w:t>
                  </w:r>
                  <w:r>
                    <w:rPr>
                      <w:color w:val="404040"/>
                    </w:rPr>
                    <w:t>generally</w:t>
                  </w:r>
                  <w:r>
                    <w:rPr>
                      <w:color w:val="404040"/>
                      <w:spacing w:val="-4"/>
                    </w:rPr>
                    <w:t> </w:t>
                  </w:r>
                  <w:r>
                    <w:rPr>
                      <w:color w:val="404040"/>
                    </w:rPr>
                    <w:t>enter</w:t>
                  </w:r>
                  <w:r>
                    <w:rPr>
                      <w:color w:val="404040"/>
                      <w:spacing w:val="-2"/>
                    </w:rPr>
                    <w:t> </w:t>
                  </w:r>
                  <w:r>
                    <w:rPr>
                      <w:color w:val="404040"/>
                    </w:rPr>
                    <w:t>the</w:t>
                  </w:r>
                  <w:r>
                    <w:rPr>
                      <w:color w:val="404040"/>
                      <w:spacing w:val="-3"/>
                    </w:rPr>
                    <w:t> </w:t>
                  </w:r>
                  <w:r>
                    <w:rPr>
                      <w:color w:val="404040"/>
                    </w:rPr>
                    <w:t>system</w:t>
                  </w:r>
                  <w:r>
                    <w:rPr>
                      <w:color w:val="404040"/>
                      <w:spacing w:val="2"/>
                    </w:rPr>
                    <w:t> </w:t>
                  </w:r>
                  <w:r>
                    <w:rPr>
                      <w:color w:val="404040"/>
                    </w:rPr>
                    <w:t>through</w:t>
                  </w:r>
                  <w:r>
                    <w:rPr>
                      <w:color w:val="404040"/>
                      <w:spacing w:val="-1"/>
                    </w:rPr>
                    <w:t> </w:t>
                  </w:r>
                  <w:r>
                    <w:rPr>
                      <w:color w:val="404040"/>
                    </w:rPr>
                    <w:t>the</w:t>
                  </w:r>
                  <w:r>
                    <w:rPr>
                      <w:color w:val="404040"/>
                      <w:spacing w:val="-3"/>
                    </w:rPr>
                    <w:t> </w:t>
                  </w:r>
                  <w:r>
                    <w:rPr>
                      <w:color w:val="404040"/>
                    </w:rPr>
                    <w:t>Non</w:t>
                  </w:r>
                  <w:r>
                    <w:rPr>
                      <w:color w:val="404040"/>
                      <w:spacing w:val="-3"/>
                    </w:rPr>
                    <w:t> </w:t>
                  </w:r>
                  <w:r>
                    <w:rPr>
                      <w:color w:val="404040"/>
                    </w:rPr>
                    <w:t>IS</w:t>
                  </w:r>
                  <w:r>
                    <w:rPr>
                      <w:color w:val="404040"/>
                      <w:spacing w:val="-3"/>
                    </w:rPr>
                    <w:t> </w:t>
                  </w:r>
                  <w:r>
                    <w:rPr>
                      <w:color w:val="404040"/>
                    </w:rPr>
                    <w:t>–</w:t>
                  </w:r>
                  <w:r>
                    <w:rPr>
                      <w:color w:val="404040"/>
                      <w:spacing w:val="-3"/>
                    </w:rPr>
                    <w:t> </w:t>
                  </w:r>
                  <w:r>
                    <w:rPr>
                      <w:color w:val="404040"/>
                    </w:rPr>
                    <w:t>Other class. This has contributed toward reduced entries into this class seen over the last four</w:t>
                  </w:r>
                  <w:r>
                    <w:rPr>
                      <w:color w:val="404040"/>
                      <w:spacing w:val="-27"/>
                    </w:rPr>
                    <w:t> </w:t>
                  </w:r>
                  <w:r>
                    <w:rPr>
                      <w:color w:val="404040"/>
                    </w:rPr>
                    <w:t>years.</w:t>
                  </w:r>
                </w:p>
                <w:p>
                  <w:pPr>
                    <w:pStyle w:val="BodyText"/>
                    <w:numPr>
                      <w:ilvl w:val="0"/>
                      <w:numId w:val="68"/>
                    </w:numPr>
                    <w:tabs>
                      <w:tab w:pos="392" w:val="left" w:leader="none"/>
                    </w:tabs>
                    <w:spacing w:line="240" w:lineRule="auto" w:before="118" w:after="0"/>
                    <w:ind w:left="391" w:right="273" w:hanging="284"/>
                    <w:jc w:val="left"/>
                  </w:pPr>
                  <w:r>
                    <w:rPr>
                      <w:color w:val="404040"/>
                    </w:rPr>
                    <w:t>With the closure of Carbon Tax compensation (the Energy Supplement) to new recipients of the Seniors Health Card, the main historical source of entrants into this class above retirement age will disappear going</w:t>
                  </w:r>
                  <w:r>
                    <w:rPr>
                      <w:color w:val="404040"/>
                      <w:spacing w:val="-4"/>
                    </w:rPr>
                    <w:t> </w:t>
                  </w:r>
                  <w:r>
                    <w:rPr>
                      <w:color w:val="404040"/>
                    </w:rPr>
                    <w:t>forward.</w:t>
                  </w:r>
                  <w:r>
                    <w:rPr>
                      <w:color w:val="404040"/>
                      <w:spacing w:val="-3"/>
                    </w:rPr>
                    <w:t> </w:t>
                  </w:r>
                  <w:r>
                    <w:rPr>
                      <w:color w:val="404040"/>
                    </w:rPr>
                    <w:t>This</w:t>
                  </w:r>
                  <w:r>
                    <w:rPr>
                      <w:color w:val="404040"/>
                      <w:spacing w:val="-3"/>
                    </w:rPr>
                    <w:t> </w:t>
                  </w:r>
                  <w:r>
                    <w:rPr>
                      <w:color w:val="404040"/>
                    </w:rPr>
                    <w:t>is</w:t>
                  </w:r>
                  <w:r>
                    <w:rPr>
                      <w:color w:val="404040"/>
                      <w:spacing w:val="1"/>
                    </w:rPr>
                    <w:t> </w:t>
                  </w:r>
                  <w:r>
                    <w:rPr>
                      <w:color w:val="404040"/>
                    </w:rPr>
                    <w:t>expected</w:t>
                  </w:r>
                  <w:r>
                    <w:rPr>
                      <w:color w:val="404040"/>
                      <w:spacing w:val="-3"/>
                    </w:rPr>
                    <w:t> </w:t>
                  </w:r>
                  <w:r>
                    <w:rPr>
                      <w:color w:val="404040"/>
                    </w:rPr>
                    <w:t>to</w:t>
                  </w:r>
                  <w:r>
                    <w:rPr>
                      <w:color w:val="404040"/>
                      <w:spacing w:val="-4"/>
                    </w:rPr>
                    <w:t> </w:t>
                  </w:r>
                  <w:r>
                    <w:rPr>
                      <w:color w:val="404040"/>
                    </w:rPr>
                    <w:t>substantially</w:t>
                  </w:r>
                  <w:r>
                    <w:rPr>
                      <w:color w:val="404040"/>
                      <w:spacing w:val="-6"/>
                    </w:rPr>
                    <w:t> </w:t>
                  </w:r>
                  <w:r>
                    <w:rPr>
                      <w:color w:val="404040"/>
                    </w:rPr>
                    <w:t>change</w:t>
                  </w:r>
                  <w:r>
                    <w:rPr>
                      <w:color w:val="404040"/>
                      <w:spacing w:val="-3"/>
                    </w:rPr>
                    <w:t> </w:t>
                  </w:r>
                  <w:r>
                    <w:rPr>
                      <w:color w:val="404040"/>
                    </w:rPr>
                    <w:t>the</w:t>
                  </w:r>
                  <w:r>
                    <w:rPr>
                      <w:color w:val="404040"/>
                      <w:spacing w:val="-2"/>
                    </w:rPr>
                    <w:t> </w:t>
                  </w:r>
                  <w:r>
                    <w:rPr>
                      <w:color w:val="404040"/>
                    </w:rPr>
                    <w:t>profile</w:t>
                  </w:r>
                  <w:r>
                    <w:rPr>
                      <w:color w:val="404040"/>
                      <w:spacing w:val="-1"/>
                    </w:rPr>
                    <w:t> </w:t>
                  </w:r>
                  <w:r>
                    <w:rPr>
                      <w:color w:val="404040"/>
                    </w:rPr>
                    <w:t>of</w:t>
                  </w:r>
                  <w:r>
                    <w:rPr>
                      <w:color w:val="404040"/>
                      <w:spacing w:val="-1"/>
                    </w:rPr>
                    <w:t> </w:t>
                  </w:r>
                  <w:r>
                    <w:rPr>
                      <w:color w:val="404040"/>
                    </w:rPr>
                    <w:t>new</w:t>
                  </w:r>
                  <w:r>
                    <w:rPr>
                      <w:color w:val="404040"/>
                      <w:spacing w:val="-4"/>
                    </w:rPr>
                    <w:t> </w:t>
                  </w:r>
                  <w:r>
                    <w:rPr>
                      <w:color w:val="404040"/>
                    </w:rPr>
                    <w:t>entrants</w:t>
                  </w:r>
                  <w:r>
                    <w:rPr>
                      <w:color w:val="404040"/>
                      <w:spacing w:val="-2"/>
                    </w:rPr>
                    <w:t> </w:t>
                  </w:r>
                  <w:r>
                    <w:rPr>
                      <w:color w:val="404040"/>
                    </w:rPr>
                    <w:t>to</w:t>
                  </w:r>
                  <w:r>
                    <w:rPr>
                      <w:color w:val="404040"/>
                      <w:spacing w:val="-3"/>
                    </w:rPr>
                    <w:t> </w:t>
                  </w:r>
                  <w:r>
                    <w:rPr>
                      <w:color w:val="404040"/>
                    </w:rPr>
                    <w:t>this</w:t>
                  </w:r>
                  <w:r>
                    <w:rPr>
                      <w:color w:val="404040"/>
                      <w:spacing w:val="-3"/>
                    </w:rPr>
                    <w:t> </w:t>
                  </w:r>
                  <w:r>
                    <w:rPr>
                      <w:color w:val="404040"/>
                    </w:rPr>
                    <w:t>class,</w:t>
                  </w:r>
                  <w:r>
                    <w:rPr>
                      <w:color w:val="404040"/>
                      <w:spacing w:val="-3"/>
                    </w:rPr>
                    <w:t> </w:t>
                  </w:r>
                  <w:r>
                    <w:rPr>
                      <w:color w:val="404040"/>
                    </w:rPr>
                    <w:t>and</w:t>
                  </w:r>
                  <w:r>
                    <w:rPr>
                      <w:color w:val="404040"/>
                      <w:spacing w:val="-4"/>
                    </w:rPr>
                    <w:t> </w:t>
                  </w:r>
                  <w:r>
                    <w:rPr>
                      <w:color w:val="404040"/>
                    </w:rPr>
                    <w:t>over time, change the profile of the</w:t>
                  </w:r>
                  <w:r>
                    <w:rPr>
                      <w:color w:val="404040"/>
                      <w:spacing w:val="-2"/>
                    </w:rPr>
                    <w:t> </w:t>
                  </w:r>
                  <w:r>
                    <w:rPr>
                      <w:color w:val="404040"/>
                    </w:rPr>
                    <w:t>class.</w:t>
                  </w:r>
                </w:p>
                <w:p>
                  <w:pPr>
                    <w:pStyle w:val="BodyText"/>
                    <w:numPr>
                      <w:ilvl w:val="0"/>
                      <w:numId w:val="68"/>
                    </w:numPr>
                    <w:tabs>
                      <w:tab w:pos="392" w:val="left" w:leader="none"/>
                    </w:tabs>
                    <w:spacing w:line="240" w:lineRule="auto" w:before="119" w:after="0"/>
                    <w:ind w:left="391" w:right="128" w:hanging="284"/>
                    <w:jc w:val="left"/>
                  </w:pPr>
                  <w:r>
                    <w:rPr>
                      <w:color w:val="404040"/>
                    </w:rPr>
                    <w:t>The</w:t>
                  </w:r>
                  <w:r>
                    <w:rPr>
                      <w:color w:val="404040"/>
                      <w:spacing w:val="-4"/>
                    </w:rPr>
                    <w:t> </w:t>
                  </w:r>
                  <w:r>
                    <w:rPr>
                      <w:color w:val="404040"/>
                    </w:rPr>
                    <w:t>lifetime</w:t>
                  </w:r>
                  <w:r>
                    <w:rPr>
                      <w:color w:val="404040"/>
                      <w:spacing w:val="-3"/>
                    </w:rPr>
                    <w:t> </w:t>
                  </w:r>
                  <w:r>
                    <w:rPr>
                      <w:color w:val="404040"/>
                    </w:rPr>
                    <w:t>cost</w:t>
                  </w:r>
                  <w:r>
                    <w:rPr>
                      <w:color w:val="404040"/>
                      <w:spacing w:val="-4"/>
                    </w:rPr>
                    <w:t> </w:t>
                  </w:r>
                  <w:r>
                    <w:rPr>
                      <w:color w:val="404040"/>
                    </w:rPr>
                    <w:t>for</w:t>
                  </w:r>
                  <w:r>
                    <w:rPr>
                      <w:color w:val="404040"/>
                      <w:spacing w:val="-2"/>
                    </w:rPr>
                    <w:t> </w:t>
                  </w:r>
                  <w:r>
                    <w:rPr>
                      <w:color w:val="404040"/>
                    </w:rPr>
                    <w:t>this</w:t>
                  </w:r>
                  <w:r>
                    <w:rPr>
                      <w:color w:val="404040"/>
                      <w:spacing w:val="-3"/>
                    </w:rPr>
                    <w:t> </w:t>
                  </w:r>
                  <w:r>
                    <w:rPr>
                      <w:color w:val="404040"/>
                    </w:rPr>
                    <w:t>class</w:t>
                  </w:r>
                  <w:r>
                    <w:rPr>
                      <w:color w:val="404040"/>
                      <w:spacing w:val="-2"/>
                    </w:rPr>
                    <w:t> </w:t>
                  </w:r>
                  <w:r>
                    <w:rPr>
                      <w:color w:val="404040"/>
                    </w:rPr>
                    <w:t>is</w:t>
                  </w:r>
                  <w:r>
                    <w:rPr>
                      <w:color w:val="404040"/>
                      <w:spacing w:val="-3"/>
                    </w:rPr>
                    <w:t> </w:t>
                  </w:r>
                  <w:r>
                    <w:rPr>
                      <w:color w:val="404040"/>
                    </w:rPr>
                    <w:t>$98bn,</w:t>
                  </w:r>
                  <w:r>
                    <w:rPr>
                      <w:color w:val="404040"/>
                      <w:spacing w:val="-2"/>
                    </w:rPr>
                    <w:t> </w:t>
                  </w:r>
                  <w:r>
                    <w:rPr>
                      <w:color w:val="404040"/>
                    </w:rPr>
                    <w:t>which</w:t>
                  </w:r>
                  <w:r>
                    <w:rPr>
                      <w:color w:val="404040"/>
                      <w:spacing w:val="-1"/>
                    </w:rPr>
                    <w:t> </w:t>
                  </w:r>
                  <w:r>
                    <w:rPr>
                      <w:color w:val="404040"/>
                    </w:rPr>
                    <w:t>is</w:t>
                  </w:r>
                  <w:r>
                    <w:rPr>
                      <w:color w:val="404040"/>
                      <w:spacing w:val="-3"/>
                    </w:rPr>
                    <w:t> </w:t>
                  </w:r>
                  <w:r>
                    <w:rPr>
                      <w:color w:val="404040"/>
                    </w:rPr>
                    <w:t>$3bn</w:t>
                  </w:r>
                  <w:r>
                    <w:rPr>
                      <w:color w:val="404040"/>
                      <w:spacing w:val="-1"/>
                    </w:rPr>
                    <w:t> </w:t>
                  </w:r>
                  <w:r>
                    <w:rPr>
                      <w:color w:val="404040"/>
                    </w:rPr>
                    <w:t>above</w:t>
                  </w:r>
                  <w:r>
                    <w:rPr>
                      <w:color w:val="404040"/>
                      <w:spacing w:val="-4"/>
                    </w:rPr>
                    <w:t> </w:t>
                  </w:r>
                  <w:r>
                    <w:rPr>
                      <w:color w:val="404040"/>
                    </w:rPr>
                    <w:t>the</w:t>
                  </w:r>
                  <w:r>
                    <w:rPr>
                      <w:color w:val="404040"/>
                      <w:spacing w:val="-3"/>
                    </w:rPr>
                    <w:t> </w:t>
                  </w:r>
                  <w:r>
                    <w:rPr>
                      <w:color w:val="404040"/>
                    </w:rPr>
                    <w:t>rebased</w:t>
                  </w:r>
                  <w:r>
                    <w:rPr>
                      <w:color w:val="404040"/>
                      <w:spacing w:val="-2"/>
                    </w:rPr>
                    <w:t> </w:t>
                  </w:r>
                  <w:r>
                    <w:rPr>
                      <w:color w:val="404040"/>
                    </w:rPr>
                    <w:t>2017</w:t>
                  </w:r>
                  <w:r>
                    <w:rPr>
                      <w:color w:val="404040"/>
                      <w:spacing w:val="-1"/>
                    </w:rPr>
                    <w:t> </w:t>
                  </w:r>
                  <w:r>
                    <w:rPr>
                      <w:color w:val="404040"/>
                    </w:rPr>
                    <w:t>lifetime</w:t>
                  </w:r>
                  <w:r>
                    <w:rPr>
                      <w:color w:val="404040"/>
                      <w:spacing w:val="-4"/>
                    </w:rPr>
                    <w:t> </w:t>
                  </w:r>
                  <w:r>
                    <w:rPr>
                      <w:color w:val="404040"/>
                    </w:rPr>
                    <w:t>cost.</w:t>
                  </w:r>
                  <w:r>
                    <w:rPr>
                      <w:color w:val="404040"/>
                      <w:spacing w:val="-3"/>
                    </w:rPr>
                    <w:t> </w:t>
                  </w:r>
                  <w:r>
                    <w:rPr>
                      <w:color w:val="404040"/>
                    </w:rPr>
                    <w:t>The</w:t>
                  </w:r>
                  <w:r>
                    <w:rPr>
                      <w:color w:val="404040"/>
                      <w:spacing w:val="-4"/>
                    </w:rPr>
                    <w:t> </w:t>
                  </w:r>
                  <w:r>
                    <w:rPr>
                      <w:color w:val="404040"/>
                    </w:rPr>
                    <w:t>changes here are largely driven by a large change in the population following the one-off increase in entrants above. Reductions in average lifetime cost relating to income support can also be seen, as for the other classes.</w:t>
                  </w:r>
                </w:p>
              </w:txbxContent>
            </v:textbox>
            <v:fill type="solid"/>
            <w10:wrap type="topAndBottom"/>
          </v:shape>
        </w:pict>
      </w:r>
      <w:bookmarkStart w:name="7.3 Non income support – Other" w:id="209"/>
      <w:bookmarkEnd w:id="209"/>
      <w:r>
        <w:rPr/>
      </w:r>
      <w:bookmarkStart w:name="_bookmark50" w:id="210"/>
      <w:bookmarkEnd w:id="210"/>
      <w:r>
        <w:rPr/>
      </w:r>
      <w:r>
        <w:rPr>
          <w:color w:val="DF2F28"/>
          <w:sz w:val="28"/>
        </w:rPr>
        <w:t>7.3</w:t>
        <w:tab/>
        <w:t>Non income support –</w:t>
      </w:r>
      <w:r>
        <w:rPr>
          <w:color w:val="DF2F28"/>
          <w:spacing w:val="-11"/>
          <w:sz w:val="28"/>
        </w:rPr>
        <w:t> </w:t>
      </w:r>
      <w:r>
        <w:rPr>
          <w:color w:val="DF2F28"/>
          <w:sz w:val="28"/>
        </w:rPr>
        <w:t>Other</w:t>
      </w:r>
    </w:p>
    <w:p>
      <w:pPr>
        <w:pStyle w:val="BodyText"/>
        <w:spacing w:before="4"/>
        <w:rPr>
          <w:sz w:val="11"/>
        </w:rPr>
      </w:pPr>
    </w:p>
    <w:p>
      <w:pPr>
        <w:pStyle w:val="Heading4"/>
        <w:spacing w:before="92"/>
      </w:pPr>
      <w:bookmarkStart w:name="Recent and projected trends for this cla" w:id="211"/>
      <w:bookmarkEnd w:id="211"/>
      <w:r>
        <w:rPr/>
      </w:r>
      <w:r>
        <w:rPr>
          <w:color w:val="DF2F28"/>
        </w:rPr>
        <w:t>Recent and projected trends for this</w:t>
      </w:r>
      <w:r>
        <w:rPr>
          <w:color w:val="DF2F28"/>
          <w:spacing w:val="-18"/>
        </w:rPr>
        <w:t> </w:t>
      </w:r>
      <w:r>
        <w:rPr>
          <w:color w:val="DF2F28"/>
        </w:rPr>
        <w:t>class</w:t>
      </w:r>
    </w:p>
    <w:p>
      <w:pPr>
        <w:pStyle w:val="BodyText"/>
        <w:spacing w:before="122"/>
        <w:ind w:left="899" w:right="1298"/>
      </w:pPr>
      <w:r>
        <w:rPr>
          <w:color w:val="404040"/>
        </w:rPr>
        <w:t>There were 652,000 people in the Non IS Other class in the 2018 model population. This represents 2.6% of the population of Australia which is an increase from 2.3% at the previous valuation, and 8.2% of current welfare recipients.</w:t>
      </w:r>
    </w:p>
    <w:p>
      <w:pPr>
        <w:pStyle w:val="BodyText"/>
        <w:spacing w:before="121"/>
        <w:ind w:left="899"/>
      </w:pPr>
      <w:r>
        <w:rPr>
          <w:color w:val="404040"/>
        </w:rPr>
        <w:t>The following chart shows a breakdown of the number of people in the Non IS Other class by age and gender.</w:t>
      </w:r>
    </w:p>
    <w:p>
      <w:pPr>
        <w:pStyle w:val="Heading9"/>
        <w:spacing w:before="173"/>
      </w:pPr>
      <w:r>
        <w:rPr>
          <w:color w:val="DF2F1E"/>
        </w:rPr>
        <w:t>Figure 90: 2018 profile of people in class 9 – Non IS Other (age / gender)</w:t>
      </w:r>
    </w:p>
    <w:p>
      <w:pPr>
        <w:pStyle w:val="BodyText"/>
        <w:spacing w:before="8"/>
        <w:rPr>
          <w:b/>
          <w:sz w:val="12"/>
        </w:rPr>
      </w:pPr>
    </w:p>
    <w:p>
      <w:pPr>
        <w:tabs>
          <w:tab w:pos="4030" w:val="left" w:leader="none"/>
        </w:tabs>
        <w:spacing w:before="71"/>
        <w:ind w:left="3508" w:right="0" w:firstLine="0"/>
        <w:jc w:val="left"/>
        <w:rPr>
          <w:rFonts w:ascii="Calibri"/>
          <w:sz w:val="14"/>
        </w:rPr>
      </w:pPr>
      <w:r>
        <w:rPr/>
        <w:pict>
          <v:group style="position:absolute;margin-left:175.791443pt;margin-top:5.594843pt;width:4.3pt;height:4.850pt;mso-position-horizontal-relative:page;mso-position-vertical-relative:paragraph;z-index:252650496" coordorigin="3516,112" coordsize="86,97">
            <v:rect style="position:absolute;left:3521;top:117;width:76;height:86" filled="true" fillcolor="#94b3d6" stroked="false">
              <v:fill type="solid"/>
            </v:rect>
            <v:rect style="position:absolute;left:3521;top:117;width:76;height:86" filled="false" stroked="true" strokeweight=".5369pt" strokecolor="#94b3d6">
              <v:stroke dashstyle="solid"/>
            </v:rect>
            <w10:wrap type="none"/>
          </v:group>
        </w:pict>
      </w:r>
      <w:r>
        <w:rPr/>
        <w:pict>
          <v:group style="position:absolute;margin-left:201.572693pt;margin-top:5.594843pt;width:4.3pt;height:4.850pt;mso-position-horizontal-relative:page;mso-position-vertical-relative:paragraph;z-index:-287251456" coordorigin="4031,112" coordsize="86,97">
            <v:rect style="position:absolute;left:4036;top:117;width:76;height:86" filled="true" fillcolor="#ffa7e1" stroked="false">
              <v:fill type="solid"/>
            </v:rect>
            <v:rect style="position:absolute;left:4036;top:117;width:76;height:86" filled="false" stroked="true" strokeweight=".5369pt" strokecolor="#ffa7e1">
              <v:stroke dashstyle="solid"/>
            </v:rect>
            <w10:wrap type="none"/>
          </v:group>
        </w:pict>
      </w:r>
      <w:r>
        <w:rPr>
          <w:rFonts w:ascii="Calibri"/>
          <w:sz w:val="14"/>
        </w:rPr>
        <w:t>Male</w:t>
        <w:tab/>
        <w:t>Female</w:t>
      </w:r>
    </w:p>
    <w:p>
      <w:pPr>
        <w:spacing w:after="0"/>
        <w:jc w:val="left"/>
        <w:rPr>
          <w:rFonts w:ascii="Calibri"/>
          <w:sz w:val="14"/>
        </w:rPr>
        <w:sectPr>
          <w:headerReference w:type="default" r:id="rId185"/>
          <w:footerReference w:type="default" r:id="rId186"/>
          <w:pgSz w:w="11910" w:h="16850"/>
          <w:pgMar w:header="572" w:footer="581" w:top="780" w:bottom="780" w:left="120" w:right="0"/>
          <w:pgNumType w:start="131"/>
        </w:sectPr>
      </w:pPr>
    </w:p>
    <w:p>
      <w:pPr>
        <w:spacing w:before="128"/>
        <w:ind w:left="1569" w:right="0" w:firstLine="0"/>
        <w:jc w:val="left"/>
        <w:rPr>
          <w:rFonts w:ascii="Calibri"/>
          <w:sz w:val="16"/>
        </w:rPr>
      </w:pPr>
      <w:r>
        <w:rPr/>
        <w:pict>
          <v:group style="position:absolute;margin-left:97.104782pt;margin-top:10.956343pt;width:221.6pt;height:108.4pt;mso-position-horizontal-relative:page;mso-position-vertical-relative:paragraph;z-index:252649472" coordorigin="1942,219" coordsize="4432,2168">
            <v:shape style="position:absolute;left:-334819;top:-275974;width:334819;height:282864" coordorigin="-334818,-275973" coordsize="334819,282864" path="m6368,230l6368,2333m5745,230l5745,2333m5122,230l5122,2333m4499,230l4499,2333m3876,230l3876,2333e" filled="false" stroked="true" strokeweight=".53678pt" strokecolor="#f1f1f1">
              <v:path arrowok="t"/>
              <v:stroke dashstyle="solid"/>
            </v:shape>
            <v:line style="position:absolute" from="3693,235" to="3876,235" stroked="true" strokeweight=".999385pt" strokecolor="#94b3d6">
              <v:stroke dashstyle="solid"/>
            </v:line>
            <v:line style="position:absolute" from="3661,255" to="3876,255" stroked="true" strokeweight=".999385pt" strokecolor="#94b3d6">
              <v:stroke dashstyle="solid"/>
            </v:line>
            <v:line style="position:absolute" from="3629,275" to="3876,275" stroked="true" strokeweight=".999385pt" strokecolor="#94b3d6">
              <v:stroke dashstyle="solid"/>
            </v:line>
            <v:line style="position:absolute" from="3575,295" to="3876,295" stroked="true" strokeweight=".999385pt" strokecolor="#94b3d6">
              <v:stroke dashstyle="solid"/>
            </v:line>
            <v:line style="position:absolute" from="3543,315" to="3876,315" stroked="true" strokeweight=".999385pt" strokecolor="#94b3d6">
              <v:stroke dashstyle="solid"/>
            </v:line>
            <v:line style="position:absolute" from="3489,335" to="3876,335" stroked="true" strokeweight=".999385pt" strokecolor="#94b3d6">
              <v:stroke dashstyle="solid"/>
            </v:line>
            <v:line style="position:absolute" from="3446,365" to="3876,365" stroked="true" strokeweight="1.99877pt" strokecolor="#94b3d6">
              <v:stroke dashstyle="solid"/>
            </v:line>
            <v:line style="position:absolute" from="3371,395" to="3876,395" stroked="true" strokeweight=".999385pt" strokecolor="#94b3d6">
              <v:stroke dashstyle="solid"/>
            </v:line>
            <v:line style="position:absolute" from="3242,230" to="3242,2333" stroked="true" strokeweight=".537108pt" strokecolor="#f1f1f1">
              <v:stroke dashstyle="solid"/>
            </v:line>
            <v:line style="position:absolute" from="3285,415" to="3876,415" stroked="true" strokeweight=".999385pt" strokecolor="#94b3d6">
              <v:stroke dashstyle="solid"/>
            </v:line>
            <v:line style="position:absolute" from="3188,435" to="3876,435" stroked="true" strokeweight=".999385pt" strokecolor="#94b3d6">
              <v:stroke dashstyle="solid"/>
            </v:line>
            <v:line style="position:absolute" from="3124,455" to="3876,455" stroked="true" strokeweight=".999385pt" strokecolor="#94b3d6">
              <v:stroke dashstyle="solid"/>
            </v:line>
            <v:line style="position:absolute" from="3027,475" to="3876,475" stroked="true" strokeweight=".999385pt" strokecolor="#94b3d6">
              <v:stroke dashstyle="solid"/>
            </v:line>
            <v:line style="position:absolute" from="2941,505" to="3876,505" stroked="true" strokeweight="1.99877pt" strokecolor="#94b3d6">
              <v:stroke dashstyle="solid"/>
            </v:line>
            <v:line style="position:absolute" from="2855,535" to="3876,535" stroked="true" strokeweight=".999385pt" strokecolor="#94b3d6">
              <v:stroke dashstyle="solid"/>
            </v:line>
            <v:rect style="position:absolute;left:2704;top:544;width:1171;height:20" filled="true" fillcolor="#94b3d6" stroked="false">
              <v:fill type="solid"/>
            </v:rect>
            <v:line style="position:absolute" from="2619,230" to="2619,2333" stroked="true" strokeweight=".537108pt" strokecolor="#f1f1f1">
              <v:stroke dashstyle="solid"/>
            </v:line>
            <v:rect style="position:absolute;left:2694;top:564;width:1182;height:20" filled="true" fillcolor="#94b3d6" stroked="false">
              <v:fill type="solid"/>
            </v:rect>
            <v:line style="position:absolute" from="2501,595" to="3876,595" stroked="true" strokeweight=".999385pt" strokecolor="#94b3d6">
              <v:stroke dashstyle="solid"/>
            </v:line>
            <v:line style="position:absolute" from="2533,615" to="3876,615" stroked="true" strokeweight=".999385pt" strokecolor="#94b3d6">
              <v:stroke dashstyle="solid"/>
            </v:line>
            <v:line style="position:absolute" from="2554,645" to="3876,645" stroked="true" strokeweight="1.99877pt" strokecolor="#94b3d6">
              <v:stroke dashstyle="solid"/>
            </v:line>
            <v:line style="position:absolute" from="2340,675" to="3876,675" stroked="true" strokeweight=".999385pt" strokecolor="#94b3d6">
              <v:stroke dashstyle="solid"/>
            </v:line>
            <v:line style="position:absolute" from="2544,695" to="3876,695" stroked="true" strokeweight=".999385pt" strokecolor="#94b3d6">
              <v:stroke dashstyle="solid"/>
            </v:line>
            <v:shape style="position:absolute;left:2715;top:714;width:1161;height:20" coordorigin="2716,715" coordsize="1161,20" path="m2716,715l3876,715m2995,735l3876,735e" filled="false" stroked="true" strokeweight=".999385pt" strokecolor="#94b3d6">
              <v:path arrowok="t"/>
              <v:stroke dashstyle="solid"/>
            </v:shape>
            <v:line style="position:absolute" from="3296,765" to="3876,765" stroked="true" strokeweight="1.99877pt" strokecolor="#94b3d6">
              <v:stroke dashstyle="solid"/>
            </v:line>
            <v:rect style="position:absolute;left:3671;top:784;width:205;height:20" filled="true" fillcolor="#94b3d6" stroked="false">
              <v:fill type="solid"/>
            </v:rect>
            <v:shape style="position:absolute;left:3746;top:804;width:129;height:360" coordorigin="3747,805" coordsize="129,360" path="m3876,805l3811,805,3811,825,3822,825,3822,945,3833,945,3833,965,3822,965,3822,1005,3811,1005,3811,1025,3800,1025,3800,1085,3779,1085,3779,1105,3790,1105,3790,1125,3768,1125,3768,1145,3747,1145,3747,1165,3876,1165,3876,1145,3876,1125,3876,825,3876,805e" filled="true" fillcolor="#94b3d6" stroked="false">
              <v:path arrowok="t"/>
              <v:fill type="solid"/>
            </v:shape>
            <v:line style="position:absolute" from="3725,1195" to="3876,1195" stroked="true" strokeweight="2.998155pt" strokecolor="#94b3d6">
              <v:stroke dashstyle="solid"/>
            </v:line>
            <v:shape style="position:absolute;left:3660;top:1234;width:215;height:20" coordorigin="3661,1235" coordsize="215,20" path="m3682,1235l3876,1235m3661,1254l3876,1254e" filled="false" stroked="true" strokeweight=".999385pt" strokecolor="#94b3d6">
              <v:path arrowok="t"/>
              <v:stroke dashstyle="solid"/>
            </v:shape>
            <v:shape style="position:absolute;left:3607;top:1274;width:269;height:20" coordorigin="3607,1274" coordsize="269,20" path="m3639,1274l3876,1274m3607,1294l3876,1294e" filled="false" stroked="true" strokeweight=".999385pt" strokecolor="#94b3d6">
              <v:path arrowok="t"/>
              <v:stroke dashstyle="solid"/>
            </v:shape>
            <v:line style="position:absolute" from="3575,1324" to="3876,1324" stroked="true" strokeweight="1.99877pt" strokecolor="#94b3d6">
              <v:stroke dashstyle="solid"/>
            </v:line>
            <v:line style="position:absolute" from="3521,1354" to="3876,1354" stroked="true" strokeweight=".999385pt" strokecolor="#94b3d6">
              <v:stroke dashstyle="solid"/>
            </v:line>
            <v:line style="position:absolute" from="3467,1374" to="3876,1374" stroked="true" strokeweight=".999385pt" strokecolor="#94b3d6">
              <v:stroke dashstyle="solid"/>
            </v:line>
            <v:line style="position:absolute" from="3414,1394" to="3876,1394" stroked="true" strokeweight=".999385pt" strokecolor="#94b3d6">
              <v:stroke dashstyle="solid"/>
            </v:line>
            <v:line style="position:absolute" from="3339,1414" to="3876,1414" stroked="true" strokeweight=".999385pt" strokecolor="#94b3d6">
              <v:stroke dashstyle="solid"/>
            </v:line>
            <v:line style="position:absolute" from="3253,1434" to="3876,1434" stroked="true" strokeweight=".999385pt" strokecolor="#94b3d6">
              <v:stroke dashstyle="solid"/>
            </v:line>
            <v:line style="position:absolute" from="3177,1464" to="3876,1464" stroked="true" strokeweight="1.99877pt" strokecolor="#94b3d6">
              <v:stroke dashstyle="solid"/>
            </v:line>
            <v:shape style="position:absolute;left:2984;top:1494;width:892;height:20" coordorigin="2984,1494" coordsize="892,20" path="m3070,1494l3876,1494m2984,1514l3876,1514e" filled="false" stroked="true" strokeweight=".999385pt" strokecolor="#94b3d6">
              <v:path arrowok="t"/>
              <v:stroke dashstyle="solid"/>
            </v:shape>
            <v:shape style="position:absolute;left:2919;top:1534;width:957;height:20" coordorigin="2920,1534" coordsize="957,20" path="m2941,1534l3876,1534m2920,1554l3876,1554e" filled="false" stroked="true" strokeweight=".999385pt" strokecolor="#94b3d6">
              <v:path arrowok="t"/>
              <v:stroke dashstyle="solid"/>
            </v:shape>
            <v:line style="position:absolute" from="2952,1574" to="3876,1574" stroked="true" strokeweight=".999385pt" strokecolor="#94b3d6">
              <v:stroke dashstyle="solid"/>
            </v:line>
            <v:line style="position:absolute" from="3038,1604" to="3876,1604" stroked="true" strokeweight="1.99877pt" strokecolor="#94b3d6">
              <v:stroke dashstyle="solid"/>
            </v:line>
            <v:line style="position:absolute" from="3167,1634" to="3876,1634" stroked="true" strokeweight=".999385pt" strokecolor="#94b3d6">
              <v:stroke dashstyle="solid"/>
            </v:line>
            <v:line style="position:absolute" from="3263,1654" to="3876,1654" stroked="true" strokeweight=".999385pt" strokecolor="#94b3d6">
              <v:stroke dashstyle="solid"/>
            </v:line>
            <v:shape style="position:absolute;left:3381;top:1674;width:495;height:20" coordorigin="3382,1674" coordsize="495,20" path="m3382,1674l3876,1674m3489,1694l3876,1694e" filled="false" stroked="true" strokeweight=".999385pt" strokecolor="#94b3d6">
              <v:path arrowok="t"/>
              <v:stroke dashstyle="solid"/>
            </v:shape>
            <v:shape style="position:absolute;left:3596;top:1714;width:280;height:20" coordorigin="3596,1714" coordsize="280,20" path="m3596,1714l3876,1714m3650,1734l3876,1734e" filled="false" stroked="true" strokeweight=".999385pt" strokecolor="#94b3d6">
              <v:path arrowok="t"/>
              <v:stroke dashstyle="solid"/>
            </v:shape>
            <v:line style="position:absolute" from="3704,1764" to="3876,1764" stroked="true" strokeweight="1.99877pt" strokecolor="#94b3d6">
              <v:stroke dashstyle="solid"/>
            </v:line>
            <v:shape style="position:absolute;left:3746;top:1784;width:129;height:140" coordorigin="3747,1784" coordsize="129,140" path="m3876,1784l3747,1784,3747,1804,3779,1804,3779,1824,3790,1824,3790,1844,3811,1844,3811,1884,3758,1884,3758,1924,3876,1924,3876,1884,3876,1844,3876,1824,3876,1804,3876,1784e" filled="true" fillcolor="#94b3d6" stroked="false">
              <v:path arrowok="t"/>
              <v:fill type="solid"/>
            </v:shape>
            <v:line style="position:absolute" from="3725,1934" to="3876,1934" stroked="true" strokeweight=".999385pt" strokecolor="#94b3d6">
              <v:stroke dashstyle="solid"/>
            </v:line>
            <v:line style="position:absolute" from="3478,1954" to="3876,1954" stroked="true" strokeweight=".999385pt" strokecolor="#94b3d6">
              <v:stroke dashstyle="solid"/>
            </v:line>
            <v:line style="position:absolute" from="3382,1974" to="3876,1974" stroked="true" strokeweight=".999385pt" strokecolor="#94b3d6">
              <v:stroke dashstyle="solid"/>
            </v:line>
            <v:shape style="position:absolute;left:3413;top:1994;width:462;height:20" coordorigin="3414,1994" coordsize="462,20" path="m3414,1994l3876,1994m3435,2014l3876,2014e" filled="false" stroked="true" strokeweight=".999385pt" strokecolor="#94b3d6">
              <v:path arrowok="t"/>
              <v:stroke dashstyle="solid"/>
            </v:shape>
            <v:rect style="position:absolute;left:3553;top:2024;width:323;height:40" filled="true" fillcolor="#94b3d6" stroked="false">
              <v:fill type="solid"/>
            </v:rect>
            <v:shape style="position:absolute;left:3821;top:2064;width:54;height:160" coordorigin="3822,2064" coordsize="54,160" path="m3876,2064l3822,2064,3822,2124,3833,2124,3833,2144,3843,2144,3843,2184,3865,2184,3865,2224,3876,2224,3876,2184,3876,2144,3876,2124,3876,2064e" filled="true" fillcolor="#94b3d6" stroked="false">
              <v:path arrowok="t"/>
              <v:fill type="solid"/>
            </v:shape>
            <v:shape style="position:absolute;left:431799;top:-468090;width:12700;height:38100" coordorigin="431800,-468090" coordsize="12700,38100" path="m3865,2225l3876,2225,3876,2204,3865,2204,3865,2225m3843,2204l3876,2204,3876,2183,3843,2183,3843,2204m3843,2183l3876,2183,3876,2161,3843,2161,3843,2183m3833,2161l3876,2161,3876,2140,3833,2140,3833,2161m3822,2140l3876,2140,3876,2107,3822,2107,3822,2140m3822,2107l3876,2107,3876,2086,3822,2086,3822,2107m3822,2086l3876,2086,3876,2065,3822,2065,3822,2086e" filled="false" stroked="true" strokeweight=".536778pt" strokecolor="#94b3d6">
              <v:path arrowok="t"/>
              <v:stroke dashstyle="solid"/>
            </v:shape>
            <v:rect style="position:absolute;left:3548;top:2037;width:333;height:33" filled="true" fillcolor="#94b3d6" stroked="false">
              <v:fill type="solid"/>
            </v:rect>
            <v:line style="position:absolute" from="3430,2032" to="3881,2032" stroked="true" strokeweight="1.609344pt" strokecolor="#94b3d6">
              <v:stroke dashstyle="solid"/>
            </v:line>
            <v:rect style="position:absolute;left:3413;top:1989;width:462;height:33" filled="false" stroked="true" strokeweight=".536451pt" strokecolor="#94b3d6">
              <v:stroke dashstyle="solid"/>
            </v:rect>
            <v:shape style="position:absolute;left:3376;top:1935;width:505;height:43" coordorigin="3376,1936" coordsize="505,43" path="m3376,1979l3881,1979m3473,1957l3881,1957m3720,1936l3881,1936e" filled="false" stroked="true" strokeweight="1.609344pt" strokecolor="#94b3d6">
              <v:path arrowok="t"/>
              <v:stroke dashstyle="solid"/>
            </v:shape>
            <v:shape style="position:absolute;left:416559;top:-396970;width:27940;height:27940" coordorigin="416560,-396970" coordsize="27940,27940" path="m3758,1925l3876,1925,3876,1904,3758,1904,3758,1925m3811,1904l3876,1904,3876,1882,3811,1882,3811,1904m3811,1882l3876,1882,3876,1850,3811,1850,3811,1882m3790,1850l3876,1850,3876,1828,3790,1828,3790,1850m3779,1828l3876,1828,3876,1807,3779,1807,3779,1828e" filled="false" stroked="true" strokeweight=".536778pt" strokecolor="#94b3d6">
              <v:path arrowok="t"/>
              <v:stroke dashstyle="solid"/>
            </v:shape>
            <v:rect style="position:absolute;left:3741;top:1780;width:140;height:33" filled="true" fillcolor="#94b3d6" stroked="false">
              <v:fill type="solid"/>
            </v:rect>
            <v:shape style="position:absolute;left:3644;top:1753;width:237;height:22" coordorigin="3645,1753" coordsize="237,22" path="m3698,1775l3881,1775m3645,1753l3881,1753e" filled="false" stroked="true" strokeweight="1.609344pt" strokecolor="#94b3d6">
              <v:path arrowok="t"/>
              <v:stroke dashstyle="solid"/>
            </v:shape>
            <v:rect style="position:absolute;left:3596;top:1710;width:280;height:33" filled="false" stroked="true" strokeweight=".536457pt" strokecolor="#94b3d6">
              <v:stroke dashstyle="solid"/>
            </v:rect>
            <v:shape style="position:absolute;left:3032;top:1613;width:849;height:86" coordorigin="3032,1614" coordsize="849,86" path="m3484,1700l3881,1700m3376,1678l3881,1678m3258,1657l3881,1657m3161,1635l3881,1635m3032,1614l3881,1614e" filled="false" stroked="true" strokeweight="1.609344pt" strokecolor="#94b3d6">
              <v:path arrowok="t"/>
              <v:stroke dashstyle="solid"/>
            </v:shape>
            <v:rect style="position:absolute;left:2951;top:1570;width:924;height:33" filled="false" stroked="true" strokeweight=".536449pt" strokecolor="#94b3d6">
              <v:stroke dashstyle="solid"/>
            </v:rect>
            <v:shape style="position:absolute;left:2914;top:1474;width:967;height:86" coordorigin="2914,1474" coordsize="967,86" path="m2914,1560l3881,1560m2936,1539l3881,1539m2979,1517l3881,1517m3065,1496l3881,1496m3172,1474l3881,1474e" filled="false" stroked="true" strokeweight="1.609344pt" strokecolor="#94b3d6">
              <v:path arrowok="t"/>
              <v:stroke dashstyle="solid"/>
            </v:shape>
            <v:rect style="position:absolute;left:3252;top:1431;width:624;height:33" filled="false" stroked="true" strokeweight=".53645pt" strokecolor="#94b3d6">
              <v:stroke dashstyle="solid"/>
            </v:rect>
            <v:shape style="position:absolute;left:3333;top:1356;width:548;height:65" coordorigin="3333,1356" coordsize="548,65" path="m3333,1421l3881,1421m3408,1399l3881,1399m3462,1378l3881,1378m3516,1356l3881,1356e" filled="false" stroked="true" strokeweight="1.609344pt" strokecolor="#94b3d6">
              <v:path arrowok="t"/>
              <v:stroke dashstyle="solid"/>
            </v:shape>
            <v:rect style="position:absolute;left:3574;top:1313;width:301;height:33" filled="false" stroked="true" strokeweight=".536455pt" strokecolor="#94b3d6">
              <v:stroke dashstyle="solid"/>
            </v:rect>
            <v:shape style="position:absolute;left:3601;top:1216;width:280;height:86" coordorigin="3602,1217" coordsize="280,86" path="m3602,1303l3881,1303m3634,1281l3881,1281m3655,1260l3881,1260m3677,1238l3881,1238m3720,1217l3881,1217e" filled="false" stroked="true" strokeweight="1.609344pt" strokecolor="#94b3d6">
              <v:path arrowok="t"/>
              <v:stroke dashstyle="solid"/>
            </v:shape>
            <v:rect style="position:absolute;left:3725;top:1174;width:151;height:33" filled="false" stroked="true" strokeweight=".536477pt" strokecolor="#94b3d6">
              <v:stroke dashstyle="solid"/>
            </v:rect>
            <v:line style="position:absolute" from="3741,1163" to="3881,1163" stroked="true" strokeweight="1.609344pt" strokecolor="#94b3d6">
              <v:stroke dashstyle="solid"/>
            </v:line>
            <v:shape style="position:absolute;left:419099;top:-214090;width:25400;height:81280" coordorigin="419100,-214090" coordsize="25400,81280" path="m3768,1153l3876,1153,3876,1131,3768,1131,3768,1153m3790,1131l3876,1131,3876,1110,3790,1110,3790,1131m3779,1110l3876,1110,3876,1088,3779,1088,3779,1110m3800,1088l3876,1088,3876,1067,3800,1067,3800,1088m3800,1067l3876,1067,3876,1035,3800,1035,3800,1067m3811,1035l3876,1035,3876,1013,3811,1013,3811,1035m3822,1013l3876,1013,3876,992,3822,992,3822,1013m3822,992l3876,992,3876,970,3822,970,3822,992m3833,970l3876,970,3876,949,3833,949,3833,970m3822,949l3876,949,3876,927,3822,927,3822,949m3822,927l3876,927,3876,895,3822,895,3822,927m3822,895l3876,895,3876,874,3822,874,3822,895m3822,874l3876,874,3876,852,3822,852,3822,874m3822,852l3876,852,3876,831,3822,831,3822,852m3811,831l3876,831,3876,809,3811,809,3811,831e" filled="false" stroked="true" strokeweight=".536778pt" strokecolor="#94b3d6">
              <v:path arrowok="t"/>
              <v:stroke dashstyle="solid"/>
            </v:shape>
            <v:rect style="position:absolute;left:3666;top:782;width:215;height:33" filled="true" fillcolor="#94b3d6" stroked="false">
              <v:fill type="solid"/>
            </v:rect>
            <v:rect style="position:absolute;left:3295;top:755;width:581;height:33" filled="false" stroked="true" strokeweight=".53645pt" strokecolor="#94b3d6">
              <v:stroke dashstyle="solid"/>
            </v:rect>
            <v:shape style="position:absolute;left:2334;top:680;width:1547;height:65" coordorigin="2334,680" coordsize="1547,65" path="m2989,745l3881,745m2710,723l3881,723m2538,702l3881,702m2334,680l3881,680e" filled="false" stroked="true" strokeweight="1.609344pt" strokecolor="#94b3d6">
              <v:path arrowok="t"/>
              <v:stroke dashstyle="solid"/>
            </v:shape>
            <v:rect style="position:absolute;left:2554;top:637;width:1322;height:33" filled="false" stroked="true" strokeweight=".536448pt" strokecolor="#94b3d6">
              <v:stroke dashstyle="solid"/>
            </v:rect>
            <v:shape style="position:absolute;left:2495;top:605;width:1386;height:22" coordorigin="2495,605" coordsize="1386,22" path="m2528,627l3881,627m2495,605l3881,605e" filled="false" stroked="true" strokeweight="1.609344pt" strokecolor="#94b3d6">
              <v:path arrowok="t"/>
              <v:stroke dashstyle="solid"/>
            </v:shape>
            <v:shape style="position:absolute;left:2688;top:546;width:1193;height:54" coordorigin="2689,546" coordsize="1193,54" path="m3881,546l2699,546,2699,568,2689,568,2689,600,3881,600,3881,579,3881,568,3881,546e" filled="true" fillcolor="#94b3d6" stroked="false">
              <v:path arrowok="t"/>
              <v:fill type="solid"/>
            </v:shape>
            <v:line style="position:absolute" from="2850,541" to="3881,541" stroked="true" strokeweight="1.609344pt" strokecolor="#94b3d6">
              <v:stroke dashstyle="solid"/>
            </v:line>
            <v:rect style="position:absolute;left:2941;top:498;width:935;height:33" filled="false" stroked="true" strokeweight=".536449pt" strokecolor="#94b3d6">
              <v:stroke dashstyle="solid"/>
            </v:rect>
            <v:shape style="position:absolute;left:3021;top:401;width:860;height:86" coordorigin="3022,402" coordsize="860,86" path="m3022,487l3881,487m3118,466l3881,466m3183,444l3881,444m3279,423l3881,423m3365,402l3881,402e" filled="false" stroked="true" strokeweight="1.609344pt" strokecolor="#94b3d6">
              <v:path arrowok="t"/>
              <v:stroke dashstyle="solid"/>
            </v:shape>
            <v:rect style="position:absolute;left:3446;top:358;width:430;height:33" filled="false" stroked="true" strokeweight=".536452pt" strokecolor="#94b3d6">
              <v:stroke dashstyle="solid"/>
            </v:rect>
            <v:shape style="position:absolute;left:3483;top:262;width:398;height:86" coordorigin="3484,262" coordsize="398,86" path="m3484,348l3881,348m3537,326l3881,326m3570,305l3881,305m3623,284l3881,284m3655,262l3881,262e" filled="false" stroked="true" strokeweight="1.609344pt" strokecolor="#94b3d6">
              <v:path arrowok="t"/>
              <v:stroke dashstyle="solid"/>
            </v:shape>
            <v:shape style="position:absolute;left:401319;top:-730;width:43180;height:6353" coordorigin="401320,-730" coordsize="43180,6353" path="m3693,251l3876,251,3876,224m3693,224l3693,251e" filled="false" stroked="true" strokeweight=".536778pt" strokecolor="#94b3d6">
              <v:path arrowok="t"/>
              <v:stroke dashstyle="solid"/>
            </v:shape>
            <v:shape style="position:absolute;left:3875;top:2086;width:33;height:237" coordorigin="3876,2086" coordsize="33,237" path="m3886,2279l3876,2279,3876,2301,3876,2322,3886,2322,3886,2301,3886,2279m3886,2204l3876,2204,3876,2247,3886,2247,3886,2204m3908,2086l3876,2086,3876,2140,3876,2162,3876,2182,3876,2204,3886,2204,3886,2182,3897,2182,3897,2162,3897,2140,3908,2140,3908,2086e" filled="true" fillcolor="#ffa7e1" stroked="false">
              <v:path arrowok="t"/>
              <v:fill type="solid"/>
            </v:shape>
            <v:rect style="position:absolute;left:3875;top:2044;width:323;height:20" filled="true" fillcolor="#ffa7e1" stroked="false">
              <v:fill type="solid"/>
            </v:rect>
            <v:rect style="position:absolute;left:3875;top:2064;width:43;height:22" filled="true" fillcolor="#ffa7e1" stroked="false">
              <v:fill type="solid"/>
            </v:rect>
            <v:line style="position:absolute" from="3876,2016" to="4305,2016" stroked="true" strokeweight="2.682241pt" strokecolor="#ffa7e1">
              <v:stroke dashstyle="solid"/>
            </v:line>
            <v:line style="position:absolute" from="3876,1979" to="4327,1979" stroked="true" strokeweight="1.072898pt" strokecolor="#ffa7e1">
              <v:stroke dashstyle="solid"/>
            </v:line>
            <v:rect style="position:absolute;left:3875;top:1924;width:140;height:22" filled="true" fillcolor="#ffa7e1" stroked="false">
              <v:fill type="solid"/>
            </v:rect>
            <v:line style="position:absolute" from="3876,1957" to="4230,1957" stroked="true" strokeweight="1.099324pt" strokecolor="#ffa7e1">
              <v:stroke dashstyle="solid"/>
            </v:line>
            <v:shape style="position:absolute;left:3875;top:1882;width:129;height:42" coordorigin="3876,1882" coordsize="129,42" path="m4005,1904l3972,1904,3972,1882,3876,1882,3876,1904,3876,1924,4005,1924,4005,1904e" filled="true" fillcolor="#ffa7e1" stroked="false">
              <v:path arrowok="t"/>
              <v:fill type="solid"/>
            </v:shape>
            <v:line style="position:absolute" from="3876,1818" to="4101,1818" stroked="true" strokeweight="1.072898pt" strokecolor="#ffa7e1">
              <v:stroke dashstyle="solid"/>
            </v:line>
            <v:line style="position:absolute" from="3876,1839" to="4058,1839" stroked="true" strokeweight="1.072898pt" strokecolor="#ffa7e1">
              <v:stroke dashstyle="solid"/>
            </v:line>
            <v:rect style="position:absolute;left:3875;top:1849;width:119;height:33" filled="true" fillcolor="#ffa7e1" stroked="false">
              <v:fill type="solid"/>
            </v:rect>
            <v:line style="position:absolute" from="3876,1796" to="4155,1796" stroked="true" strokeweight="1.072891pt" strokecolor="#ffa7e1">
              <v:stroke dashstyle="solid"/>
            </v:line>
            <v:line style="position:absolute" from="3876,1775" to="4241,1775" stroked="true" strokeweight="1.072898pt" strokecolor="#ffa7e1">
              <v:stroke dashstyle="solid"/>
            </v:line>
            <v:line style="position:absolute" from="3876,1726" to="4477,1726" stroked="true" strokeweight="1.599016pt" strokecolor="#ffa7e1">
              <v:stroke dashstyle="solid"/>
            </v:line>
            <v:line style="position:absolute" from="3876,1753" to="4338,1753" stroked="true" strokeweight="1.099324pt" strokecolor="#ffa7e1">
              <v:stroke dashstyle="solid"/>
            </v:line>
            <v:line style="position:absolute" from="3876,1700" to="4649,1700" stroked="true" strokeweight="1.072891pt" strokecolor="#ffa7e1">
              <v:stroke dashstyle="solid"/>
            </v:line>
            <v:line style="position:absolute" from="3876,1678" to="4821,1678" stroked="true" strokeweight="1.072898pt" strokecolor="#ffa7e1">
              <v:stroke dashstyle="solid"/>
            </v:line>
            <v:shape style="position:absolute;left:3875;top:1613;width:1365;height:22" coordorigin="3876,1613" coordsize="1365,22" path="m3876,1613l5240,1613m3876,1635l5143,1635e" filled="false" stroked="true" strokeweight="1.099324pt" strokecolor="#ffa7e1">
              <v:path arrowok="t"/>
              <v:stroke dashstyle="solid"/>
            </v:shape>
            <v:line style="position:absolute" from="3876,1657" to="4993,1657" stroked="true" strokeweight="1.099324pt" strokecolor="#ffa7e1">
              <v:stroke dashstyle="solid"/>
            </v:line>
            <v:line style="position:absolute" from="3876,1587" to="5283,1587" stroked="true" strokeweight="1.609343pt" strokecolor="#ffa7e1">
              <v:stroke dashstyle="solid"/>
            </v:line>
            <v:line style="position:absolute" from="3876,1560" to="5229,1560" stroked="true" strokeweight="1.072898pt" strokecolor="#ffa7e1">
              <v:stroke dashstyle="solid"/>
            </v:line>
            <v:line style="position:absolute" from="3876,1517" to="5025,1517" stroked="true" strokeweight="1.099324pt" strokecolor="#ffa7e1">
              <v:stroke dashstyle="solid"/>
            </v:line>
            <v:line style="position:absolute" from="3876,1539" to="5122,1539" stroked="true" strokeweight="1.099324pt" strokecolor="#ffa7e1">
              <v:stroke dashstyle="solid"/>
            </v:line>
            <v:line style="position:absolute" from="3876,1496" to="4907,1496" stroked="true" strokeweight="1.072891pt" strokecolor="#ffa7e1">
              <v:stroke dashstyle="solid"/>
            </v:line>
            <v:line style="position:absolute" from="3876,1474" to="4767,1474" stroked="true" strokeweight="1.072898pt" strokecolor="#ffa7e1">
              <v:stroke dashstyle="solid"/>
            </v:line>
            <v:line style="position:absolute" from="3876,1399" to="4477,1399" stroked="true" strokeweight="1.099324pt" strokecolor="#ffa7e1">
              <v:stroke dashstyle="solid"/>
            </v:line>
            <v:line style="position:absolute" from="3876,1421" to="4552,1421" stroked="true" strokeweight="1.099324pt" strokecolor="#ffa7e1">
              <v:stroke dashstyle="solid"/>
            </v:line>
            <v:line style="position:absolute" from="3876,1448" to="4660,1448" stroked="true" strokeweight="1.599016pt" strokecolor="#ffa7e1">
              <v:stroke dashstyle="solid"/>
            </v:line>
            <v:line style="position:absolute" from="3876,1356" to="4359,1356" stroked="true" strokeweight=".999385pt" strokecolor="#ffa7e1">
              <v:stroke dashstyle="solid"/>
            </v:line>
            <v:line style="position:absolute" from="3876,1377" to="4424,1377" stroked="true" strokeweight="1.099324pt" strokecolor="#ffa7e1">
              <v:stroke dashstyle="solid"/>
            </v:line>
            <v:line style="position:absolute" from="3876,1270" to="4252,1270" stroked="true" strokeweight="2.198647pt" strokecolor="#ffa7e1">
              <v:stroke dashstyle="solid"/>
            </v:line>
            <v:line style="position:absolute" from="3876,1303" to="4284,1303" stroked="true" strokeweight="1.099324pt" strokecolor="#ffa7e1">
              <v:stroke dashstyle="solid"/>
            </v:line>
            <v:line style="position:absolute" from="3876,1330" to="4327,1330" stroked="true" strokeweight="1.599016pt" strokecolor="#ffa7e1">
              <v:stroke dashstyle="solid"/>
            </v:line>
            <v:shape style="position:absolute;left:3875;top:1216;width:344;height:22" coordorigin="3876,1217" coordsize="344,22" path="m3876,1238l4219,1238m3876,1217l4166,1217e" filled="false" stroked="true" strokeweight="1.072898pt" strokecolor="#ffa7e1">
              <v:path arrowok="t"/>
              <v:stroke dashstyle="solid"/>
            </v:shape>
            <v:line style="position:absolute" from="3876,1164" to="4091,1164" stroked="true" strokeweight="1.099324pt" strokecolor="#ffa7e1">
              <v:stroke dashstyle="solid"/>
            </v:line>
            <v:line style="position:absolute" from="3876,1191" to="4134,1191" stroked="true" strokeweight="1.599016pt" strokecolor="#ffa7e1">
              <v:stroke dashstyle="solid"/>
            </v:line>
            <v:rect style="position:absolute;left:3875;top:1110;width:140;height:20" filled="true" fillcolor="#ffa7e1" stroked="false">
              <v:fill type="solid"/>
            </v:rect>
            <v:line style="position:absolute" from="3876,1142" to="4048,1142" stroked="true" strokeweight="1.099324pt" strokecolor="#ffa7e1">
              <v:stroke dashstyle="solid"/>
            </v:line>
            <v:shape style="position:absolute;left:3875;top:852;width:129;height:258" coordorigin="3876,852" coordsize="129,258" path="m4005,1088l3983,1088,3983,1067,3972,1067,3972,1035,3951,1035,3951,1013,3940,1013,3940,991,3929,991,3929,970,3929,949,3919,949,3919,874,3919,852,3876,852,3876,1110,4005,1110,4005,1088e" filled="true" fillcolor="#ffa7e1" stroked="false">
              <v:path arrowok="t"/>
              <v:fill type="solid"/>
            </v:shape>
            <v:rect style="position:absolute;left:3875;top:786;width:291;height:22" filled="true" fillcolor="#ffa7e1" stroked="false">
              <v:fill type="solid"/>
            </v:rect>
            <v:shape style="position:absolute;left:3875;top:808;width:65;height:44" coordorigin="3876,809" coordsize="65,44" path="m3940,809l3876,809,3876,831,3876,853,3908,853,3908,831,3940,831,3940,809e" filled="true" fillcolor="#ffa7e1" stroked="false">
              <v:path arrowok="t"/>
              <v:fill type="solid"/>
            </v:shape>
            <v:line style="position:absolute" from="3876,772" to="4746,772" stroked="true" strokeweight="1.60935pt" strokecolor="#ffa7e1">
              <v:stroke dashstyle="solid"/>
            </v:line>
            <v:line style="position:absolute" from="3876,745" to="5079,745" stroked="true" strokeweight="1.072898pt" strokecolor="#ffa7e1">
              <v:stroke dashstyle="solid"/>
            </v:line>
            <v:shape style="position:absolute;left:3875;top:679;width:1741;height:22" coordorigin="3876,680" coordsize="1741,22" path="m3876,680l5616,680m3876,702l5401,702e" filled="false" stroked="true" strokeweight="1.099324pt" strokecolor="#ffa7e1">
              <v:path arrowok="t"/>
              <v:stroke dashstyle="solid"/>
            </v:shape>
            <v:line style="position:absolute" from="3876,723" to="5283,723" stroked="true" strokeweight="1.072898pt" strokecolor="#ffa7e1">
              <v:stroke dashstyle="solid"/>
            </v:line>
            <v:shape style="position:absolute;left:3875;top:616;width:1418;height:52" coordorigin="3876,617" coordsize="1418,52" path="m5294,637l5283,637,5283,617,3876,617,3876,637,3876,669,5294,669,5294,637e" filled="true" fillcolor="#ffa7e1" stroked="false">
              <v:path arrowok="t"/>
              <v:fill type="solid"/>
            </v:shape>
            <v:line style="position:absolute" from="3876,541" to="4810,541" stroked="true" strokeweight=".999385pt" strokecolor="#ffa7e1">
              <v:stroke dashstyle="solid"/>
            </v:line>
            <v:line style="position:absolute" from="3876,562" to="4950,562" stroked="true" strokeweight="1.099324pt" strokecolor="#ffa7e1">
              <v:stroke dashstyle="solid"/>
            </v:line>
            <v:line style="position:absolute" from="3876,584" to="5014,584" stroked="true" strokeweight="1.099324pt" strokecolor="#ffa7e1">
              <v:stroke dashstyle="solid"/>
            </v:line>
            <v:line style="position:absolute" from="3876,606" to="5197,606" stroked="true" strokeweight="1.099324pt" strokecolor="#ffa7e1">
              <v:stroke dashstyle="solid"/>
            </v:line>
            <v:line style="position:absolute" from="3876,423" to="4413,423" stroked="true" strokeweight=".999385pt" strokecolor="#ffa7e1">
              <v:stroke dashstyle="solid"/>
            </v:line>
            <v:shape style="position:absolute;left:3875;top:444;width:699;height:22" coordorigin="3876,444" coordsize="699,22" path="m3876,444l4509,444m3876,466l4574,466e" filled="false" stroked="true" strokeweight="1.099324pt" strokecolor="#ffa7e1">
              <v:path arrowok="t"/>
              <v:stroke dashstyle="solid"/>
            </v:shape>
            <v:line style="position:absolute" from="3876,487" to="4671,487" stroked="true" strokeweight="1.072898pt" strokecolor="#ffa7e1">
              <v:stroke dashstyle="solid"/>
            </v:line>
            <v:line style="position:absolute" from="3876,514" to="4714,514" stroked="true" strokeweight="1.60935pt" strokecolor="#ffa7e1">
              <v:stroke dashstyle="solid"/>
            </v:line>
            <v:line style="position:absolute" from="3876,375" to="4295,375" stroked="true" strokeweight="1.599016pt" strokecolor="#ffa7e1">
              <v:stroke dashstyle="solid"/>
            </v:line>
            <v:line style="position:absolute" from="3876,402" to="4370,402" stroked="true" strokeweight="1.099324pt" strokecolor="#ffa7e1">
              <v:stroke dashstyle="solid"/>
            </v:line>
            <v:line style="position:absolute" from="3876,305" to="4176,305" stroked="true" strokeweight=".999385pt" strokecolor="#ffa7e1">
              <v:stroke dashstyle="solid"/>
            </v:line>
            <v:shape style="position:absolute;left:3875;top:326;width:366;height:22" coordorigin="3876,326" coordsize="366,22" path="m3876,326l4209,326m3876,348l4241,348e" filled="false" stroked="true" strokeweight="1.099324pt" strokecolor="#ffa7e1">
              <v:path arrowok="t"/>
              <v:stroke dashstyle="solid"/>
            </v:shape>
            <v:line style="position:absolute" from="3876,284" to="4144,284" stroked="true" strokeweight="1.072898pt" strokecolor="#ffa7e1">
              <v:stroke dashstyle="solid"/>
            </v:line>
            <v:line style="position:absolute" from="3876,238" to="4058,238" stroked="true" strokeweight="1.341635pt" strokecolor="#ffa7e1">
              <v:stroke dashstyle="solid"/>
            </v:line>
            <v:line style="position:absolute" from="3876,262" to="4101,262" stroked="true" strokeweight="1.072898pt" strokecolor="#ffa7e1">
              <v:stroke dashstyle="solid"/>
            </v:line>
            <v:shape style="position:absolute;left:292434;top:-320637;width:6685;height:40106" coordorigin="292434,-320636" coordsize="6685,40106" path="m3876,2322l3886,2322,3886,2301,3876,2301,3876,2322m3876,2301l3886,2301,3886,2279,3876,2279,3876,2301m3876,2247l3886,2247,3886,2225,3876,2225,3876,2247m3886,2225l3876,2225,3876,2204,3886,2204,3886,2225m3886,2204l3876,2204,3876,2183,3886,2183,3886,2204m3897,2183l3876,2183,3876,2161,3897,2161,3897,2183m3897,2161l3876,2161,3876,2140,3897,2140,3897,2161m3908,2140l3876,2140,3876,2107,3908,2107,3908,2140m3908,2107l3876,2107,3876,2086,3908,2086,3908,2107m3919,2086l3876,2086,3876,2065,3919,2065,3919,2086e" filled="false" stroked="true" strokeweight=".536782pt" strokecolor="#ffa7e1">
              <v:path arrowok="t"/>
              <v:stroke dashstyle="solid"/>
            </v:shape>
            <v:rect style="position:absolute;left:3870;top:2037;width:333;height:33" filled="true" fillcolor="#ffa7e1" stroked="false">
              <v:fill type="solid"/>
            </v:rect>
            <v:line style="position:absolute" from="3870,2032" to="4311,2032" stroked="true" strokeweight="1.60935pt" strokecolor="#ffa7e1">
              <v:stroke dashstyle="solid"/>
            </v:line>
            <v:rect style="position:absolute;left:3875;top:1989;width:430;height:33" filled="false" stroked="true" strokeweight=".536456pt" strokecolor="#ffa7e1">
              <v:stroke dashstyle="solid"/>
            </v:rect>
            <v:shape style="position:absolute;left:3870;top:1957;width:462;height:22" coordorigin="3870,1957" coordsize="462,22" path="m3870,1979l4332,1979m3870,1957l4236,1957e" filled="false" stroked="true" strokeweight="1.60935pt" strokecolor="#ffa7e1">
              <v:path arrowok="t"/>
              <v:stroke dashstyle="solid"/>
            </v:shape>
            <v:shape style="position:absolute;left:3870;top:1898;width:151;height:54" coordorigin="3870,1898" coordsize="151,54" path="m4021,1920l4010,1920,4010,1898,3870,1898,3870,1920,3870,1930,3870,1952,4021,1952,4021,1920e" filled="true" fillcolor="#ffa7e1" stroked="false">
              <v:path arrowok="t"/>
              <v:fill type="solid"/>
            </v:shape>
            <v:shape style="position:absolute;left:292434;top:-255466;width:18382;height:8356" coordorigin="292434,-255465" coordsize="18382,8356" path="m3972,1904l3876,1904,3876,1882,3972,1882,3972,1904m3994,1882l3876,1882,3876,1850,3994,1850,3994,1882e" filled="false" stroked="true" strokeweight=".536782pt" strokecolor="#ffa7e1">
              <v:path arrowok="t"/>
              <v:stroke dashstyle="solid"/>
            </v:shape>
            <v:shape style="position:absolute;left:3870;top:1817;width:237;height:22" coordorigin="3870,1818" coordsize="237,22" path="m3870,1839l4064,1839m3870,1818l4107,1818e" filled="false" stroked="true" strokeweight="1.60935pt" strokecolor="#ffa7e1">
              <v:path arrowok="t"/>
              <v:stroke dashstyle="solid"/>
            </v:shape>
            <v:line style="position:absolute" from="3870,1796" to="4160,1796" stroked="true" strokeweight="1.609343pt" strokecolor="#ffa7e1">
              <v:stroke dashstyle="solid"/>
            </v:line>
            <v:shape style="position:absolute;left:3870;top:1753;width:473;height:22" coordorigin="3870,1753" coordsize="473,22" path="m3870,1775l4246,1775m3870,1753l4343,1753e" filled="false" stroked="true" strokeweight="1.60935pt" strokecolor="#ffa7e1">
              <v:path arrowok="t"/>
              <v:stroke dashstyle="solid"/>
            </v:shape>
            <v:rect style="position:absolute;left:3875;top:1710;width:602;height:33" filled="false" stroked="true" strokeweight=".536454pt" strokecolor="#ffa7e1">
              <v:stroke dashstyle="solid"/>
            </v:rect>
            <v:line style="position:absolute" from="3870,1700" to="4654,1700" stroked="true" strokeweight="1.609343pt" strokecolor="#ffa7e1">
              <v:stroke dashstyle="solid"/>
            </v:line>
            <v:line style="position:absolute" from="3870,1678" to="4826,1678" stroked="true" strokeweight="1.60935pt" strokecolor="#ffa7e1">
              <v:stroke dashstyle="solid"/>
            </v:line>
            <v:shape style="position:absolute;left:3870;top:1613;width:1375;height:43" coordorigin="3870,1614" coordsize="1375,43" path="m3870,1657l4998,1657m3870,1635l5149,1635m3870,1614l5245,1614e" filled="false" stroked="true" strokeweight="1.60935pt" strokecolor="#ffa7e1">
              <v:path arrowok="t"/>
              <v:stroke dashstyle="solid"/>
            </v:shape>
            <v:rect style="position:absolute;left:3875;top:1570;width:1408;height:33" filled="false" stroked="true" strokeweight=".536452pt" strokecolor="#ffa7e1">
              <v:stroke dashstyle="solid"/>
            </v:rect>
            <v:shape style="position:absolute;left:3870;top:1517;width:1365;height:43" coordorigin="3870,1517" coordsize="1365,43" path="m3870,1560l5235,1560m3870,1539l5127,1539m3870,1517l5030,1517e" filled="false" stroked="true" strokeweight="1.60935pt" strokecolor="#ffa7e1">
              <v:path arrowok="t"/>
              <v:stroke dashstyle="solid"/>
            </v:shape>
            <v:line style="position:absolute" from="3870,1496" to="4912,1496" stroked="true" strokeweight="1.609343pt" strokecolor="#ffa7e1">
              <v:stroke dashstyle="solid"/>
            </v:line>
            <v:line style="position:absolute" from="3870,1474" to="4773,1474" stroked="true" strokeweight="1.60935pt" strokecolor="#ffa7e1">
              <v:stroke dashstyle="solid"/>
            </v:line>
            <v:rect style="position:absolute;left:3875;top:1431;width:785;height:33" filled="false" stroked="true" strokeweight=".536453pt" strokecolor="#ffa7e1">
              <v:stroke dashstyle="solid"/>
            </v:rect>
            <v:line style="position:absolute" from="3870,1421" to="4558,1421" stroked="true" strokeweight="1.60935pt" strokecolor="#ffa7e1">
              <v:stroke dashstyle="solid"/>
            </v:line>
            <v:line style="position:absolute" from="3870,1399" to="4483,1399" stroked="true" strokeweight="1.609343pt" strokecolor="#ffa7e1">
              <v:stroke dashstyle="solid"/>
            </v:line>
            <v:shape style="position:absolute;left:3870;top:1356;width:559;height:22" coordorigin="3870,1356" coordsize="559,22" path="m3870,1378l4429,1378m3870,1356l4364,1356e" filled="false" stroked="true" strokeweight="1.60935pt" strokecolor="#ffa7e1">
              <v:path arrowok="t"/>
              <v:stroke dashstyle="solid"/>
            </v:shape>
            <v:rect style="position:absolute;left:3875;top:1313;width:452;height:33" filled="false" stroked="true" strokeweight=".536455pt" strokecolor="#ffa7e1">
              <v:stroke dashstyle="solid"/>
            </v:rect>
            <v:line style="position:absolute" from="3870,1303" to="4289,1303" stroked="true" strokeweight="1.60935pt" strokecolor="#ffa7e1">
              <v:stroke dashstyle="solid"/>
            </v:line>
            <v:shape style="position:absolute;left:3870;top:1243;width:387;height:54" coordorigin="3870,1244" coordsize="387,54" path="m4257,1244l3870,1244,3870,1265,3870,1276,3870,1297,4257,1297,4257,1276,4257,1265,4257,1244e" filled="true" fillcolor="#ffa7e1" stroked="false">
              <v:path arrowok="t"/>
              <v:fill type="solid"/>
            </v:shape>
            <v:shape style="position:absolute;left:3870;top:1216;width:355;height:22" coordorigin="3870,1217" coordsize="355,22" path="m3870,1238l4225,1238m3870,1217l4171,1217e" filled="false" stroked="true" strokeweight="1.60935pt" strokecolor="#ffa7e1">
              <v:path arrowok="t"/>
              <v:stroke dashstyle="solid"/>
            </v:shape>
            <v:rect style="position:absolute;left:3875;top:1174;width:258;height:33" filled="false" stroked="true" strokeweight=".536462pt" strokecolor="#ffa7e1">
              <v:stroke dashstyle="solid"/>
            </v:rect>
            <v:line style="position:absolute" from="3870,1163" to="4096,1163" stroked="true" strokeweight="1.60935pt" strokecolor="#ffa7e1">
              <v:stroke dashstyle="solid"/>
            </v:line>
            <v:line style="position:absolute" from="3870,1142" to="4053,1142" stroked="true" strokeweight="1.60935pt" strokecolor="#ffa7e1">
              <v:stroke dashstyle="solid"/>
            </v:line>
            <v:shape style="position:absolute;left:3870;top:1082;width:151;height:54" coordorigin="3870,1083" coordsize="151,54" path="m4021,1104l4010,1104,4010,1083,3870,1083,3870,1104,3870,1115,3870,1136,4021,1136,4021,1104e" filled="true" fillcolor="#ffa7e1" stroked="false">
              <v:path arrowok="t"/>
              <v:fill type="solid"/>
            </v:shape>
            <v:shape style="position:absolute;left:292434;top:-128466;width:16711;height:43448" coordorigin="292434,-128465" coordsize="16711,43448" path="m3983,1088l3876,1088,3876,1067,3983,1067,3983,1088m3972,1067l3876,1067,3876,1035,3972,1035,3972,1067m3951,1035l3876,1035,3876,1013,3951,1013,3951,1035m3940,1013l3876,1013,3876,992,3940,992,3940,1013m3929,992l3876,992,3876,970,3929,970,3929,992m3929,970l3876,970,3876,949,3929,949,3929,970m3919,949l3876,949,3876,927,3919,927,3919,949m3919,927l3876,927,3876,895,3919,895,3919,927m3919,895l3876,895,3876,874,3919,874,3919,895m3919,874l3876,874,3876,852,3919,852,3919,874m3908,852l3876,852,3876,831,3908,831,3908,852m3940,831l3876,831,3876,809,3940,809,3940,831e" filled="false" stroked="true" strokeweight=".536782pt" strokecolor="#ffa7e1">
              <v:path arrowok="t"/>
              <v:stroke dashstyle="solid"/>
            </v:shape>
            <v:rect style="position:absolute;left:3870;top:782;width:301;height:33" filled="true" fillcolor="#ffa7e1" stroked="false">
              <v:fill type="solid"/>
            </v:rect>
            <v:rect style="position:absolute;left:3875;top:755;width:871;height:33" filled="false" stroked="true" strokeweight=".536453pt" strokecolor="#ffa7e1">
              <v:stroke dashstyle="solid"/>
            </v:rect>
            <v:shape style="position:absolute;left:3870;top:701;width:1537;height:43" coordorigin="3870,702" coordsize="1537,43" path="m3870,745l5084,745m3870,723l5288,723m3870,702l5406,702e" filled="false" stroked="true" strokeweight="1.60935pt" strokecolor="#ffa7e1">
              <v:path arrowok="t"/>
              <v:stroke dashstyle="solid"/>
            </v:shape>
            <v:line style="position:absolute" from="3870,680" to="5621,680" stroked="true" strokeweight="1.60935pt" strokecolor="#ffa7e1">
              <v:stroke dashstyle="solid"/>
            </v:line>
            <v:rect style="position:absolute;left:3875;top:637;width:1418;height:33" filled="false" stroked="true" strokeweight=".536452pt" strokecolor="#ffa7e1">
              <v:stroke dashstyle="solid"/>
            </v:rect>
            <v:shape style="position:absolute;left:3870;top:541;width:1418;height:86" coordorigin="3870,541" coordsize="1418,86" path="m3870,627l5288,627m3870,605l5202,605m3870,584l5020,584m3870,562l4955,562m3870,541l4816,541e" filled="false" stroked="true" strokeweight="1.60935pt" strokecolor="#ffa7e1">
              <v:path arrowok="t"/>
              <v:stroke dashstyle="solid"/>
            </v:shape>
            <v:rect style="position:absolute;left:3875;top:498;width:838;height:33" filled="false" stroked="true" strokeweight=".536453pt" strokecolor="#ffa7e1">
              <v:stroke dashstyle="solid"/>
            </v:rect>
            <v:shape style="position:absolute;left:3870;top:401;width:806;height:86" coordorigin="3870,402" coordsize="806,86" path="m3870,487l4676,487m3870,466l4579,466m3870,444l4515,444m3870,423l4418,423m3870,402l4375,402e" filled="false" stroked="true" strokeweight="1.60935pt" strokecolor="#ffa7e1">
              <v:path arrowok="t"/>
              <v:stroke dashstyle="solid"/>
            </v:shape>
            <v:rect style="position:absolute;left:3875;top:358;width:419;height:33" filled="false" stroked="true" strokeweight=".536456pt" strokecolor="#ffa7e1">
              <v:stroke dashstyle="solid"/>
            </v:rect>
            <v:shape style="position:absolute;left:3870;top:262;width:376;height:86" coordorigin="3870,262" coordsize="376,86" path="m3870,348l4246,348m3870,326l4214,326m3870,305l4182,305m3870,284l4150,284m3870,262l4107,262e" filled="false" stroked="true" strokeweight="1.60935pt" strokecolor="#ffa7e1">
              <v:path arrowok="t"/>
              <v:stroke dashstyle="solid"/>
            </v:shape>
            <v:shape style="position:absolute;left:292434;top:1877;width:28408;height:4180" coordorigin="292434,1877" coordsize="28408,4180" path="m4058,251l3876,251,3876,224m4058,224l4058,251e" filled="false" stroked="true" strokeweight=".536782pt" strokecolor="#ffa7e1">
              <v:path arrowok="t"/>
              <v:stroke dashstyle="solid"/>
            </v:shape>
            <v:line style="position:absolute" from="6368,2333" to="1996,2333" stroked="true" strokeweight=".536449pt" strokecolor="#bebebe">
              <v:stroke dashstyle="solid"/>
            </v:line>
            <v:shape style="position:absolute;left:-651543;top:-1114;width:651543;height:8005" coordorigin="-651542,-1114" coordsize="651543,8005" path="m6368,2333l6368,2386m5745,2333l5745,2386m5122,2333l5122,2386m4499,2333l4499,2386m3876,2333l3876,2386m3242,2333l3242,2386m2619,2333l2619,2386m1996,2333l1996,2386e" filled="false" stroked="true" strokeweight=".536778pt" strokecolor="#bebebe">
              <v:path arrowok="t"/>
              <v:stroke dashstyle="solid"/>
            </v:shape>
            <v:line style="position:absolute" from="1996,2333" to="1996,230" stroked="true" strokeweight=".537109pt" strokecolor="#bebebe">
              <v:stroke dashstyle="solid"/>
            </v:line>
            <v:shape style="position:absolute;left:0;top:6890;width:16711;height:655053" coordorigin="0,6890" coordsize="16711,655053" path="m1942,2333l1996,2333m1942,2097l1996,2097m1942,1871l1996,1871m1942,1635l1996,1635m1942,1399l1996,1399m1942,1163l1996,1163m1942,938l1996,938m1942,702l1996,702m1942,466l1996,466m1942,230l1996,230e" filled="false" stroked="true" strokeweight=".536783pt" strokecolor="#bebebe">
              <v:path arrowok="t"/>
              <v:stroke dashstyle="solid"/>
            </v:shape>
            <w10:wrap type="none"/>
          </v:group>
        </w:pict>
      </w:r>
      <w:r>
        <w:rPr>
          <w:rFonts w:ascii="Calibri"/>
          <w:spacing w:val="-7"/>
          <w:sz w:val="16"/>
        </w:rPr>
        <w:t>90</w:t>
      </w:r>
    </w:p>
    <w:p>
      <w:pPr>
        <w:spacing w:before="38"/>
        <w:ind w:left="1569" w:right="0" w:firstLine="0"/>
        <w:jc w:val="left"/>
        <w:rPr>
          <w:rFonts w:ascii="Calibri"/>
          <w:sz w:val="16"/>
        </w:rPr>
      </w:pPr>
      <w:r>
        <w:rPr>
          <w:rFonts w:ascii="Calibri"/>
          <w:spacing w:val="-7"/>
          <w:sz w:val="16"/>
        </w:rPr>
        <w:t>80</w:t>
      </w:r>
    </w:p>
    <w:p>
      <w:pPr>
        <w:spacing w:before="37"/>
        <w:ind w:left="1569" w:right="0" w:firstLine="0"/>
        <w:jc w:val="left"/>
        <w:rPr>
          <w:rFonts w:ascii="Calibri"/>
          <w:sz w:val="16"/>
        </w:rPr>
      </w:pPr>
      <w:r>
        <w:rPr>
          <w:rFonts w:ascii="Calibri"/>
          <w:spacing w:val="-7"/>
          <w:sz w:val="16"/>
        </w:rPr>
        <w:t>70</w:t>
      </w:r>
    </w:p>
    <w:p>
      <w:pPr>
        <w:spacing w:before="38"/>
        <w:ind w:left="1569" w:right="0" w:firstLine="0"/>
        <w:jc w:val="left"/>
        <w:rPr>
          <w:rFonts w:ascii="Calibri"/>
          <w:sz w:val="16"/>
        </w:rPr>
      </w:pPr>
      <w:r>
        <w:rPr>
          <w:rFonts w:ascii="Calibri"/>
          <w:spacing w:val="-7"/>
          <w:sz w:val="16"/>
        </w:rPr>
        <w:t>60</w:t>
      </w:r>
    </w:p>
    <w:p>
      <w:pPr>
        <w:spacing w:before="38"/>
        <w:ind w:left="1569" w:right="0" w:firstLine="0"/>
        <w:jc w:val="left"/>
        <w:rPr>
          <w:rFonts w:ascii="Calibri"/>
          <w:sz w:val="16"/>
        </w:rPr>
      </w:pPr>
      <w:r>
        <w:rPr/>
        <w:pict>
          <v:shape style="position:absolute;margin-left:74.328003pt;margin-top:6.769078pt;width:9pt;height:12.45pt;mso-position-horizontal-relative:page;mso-position-vertical-relative:paragraph;z-index:252652544" type="#_x0000_t202" filled="false" stroked="false">
            <v:textbox inset="0,0,0,0" style="layout-flow:vertical;mso-layout-flow-alt:bottom-to-top">
              <w:txbxContent>
                <w:p>
                  <w:pPr>
                    <w:spacing w:line="162" w:lineRule="exact" w:before="0"/>
                    <w:ind w:left="20" w:right="0" w:firstLine="0"/>
                    <w:jc w:val="left"/>
                    <w:rPr>
                      <w:rFonts w:ascii="Calibri"/>
                      <w:sz w:val="14"/>
                    </w:rPr>
                  </w:pPr>
                  <w:r>
                    <w:rPr>
                      <w:rFonts w:ascii="Calibri"/>
                      <w:color w:val="A6A6A6"/>
                      <w:sz w:val="14"/>
                    </w:rPr>
                    <w:t>Age</w:t>
                  </w:r>
                </w:p>
              </w:txbxContent>
            </v:textbox>
            <w10:wrap type="none"/>
          </v:shape>
        </w:pict>
      </w:r>
      <w:r>
        <w:rPr>
          <w:rFonts w:ascii="Calibri"/>
          <w:spacing w:val="-7"/>
          <w:sz w:val="16"/>
        </w:rPr>
        <w:t>50</w:t>
      </w:r>
    </w:p>
    <w:p>
      <w:pPr>
        <w:spacing w:before="38"/>
        <w:ind w:left="1569" w:right="0" w:firstLine="0"/>
        <w:jc w:val="left"/>
        <w:rPr>
          <w:rFonts w:ascii="Calibri"/>
          <w:sz w:val="16"/>
        </w:rPr>
      </w:pPr>
      <w:r>
        <w:rPr>
          <w:rFonts w:ascii="Calibri"/>
          <w:spacing w:val="-7"/>
          <w:sz w:val="16"/>
        </w:rPr>
        <w:t>40</w:t>
      </w:r>
    </w:p>
    <w:p>
      <w:pPr>
        <w:spacing w:before="38"/>
        <w:ind w:left="1569" w:right="0" w:firstLine="0"/>
        <w:jc w:val="left"/>
        <w:rPr>
          <w:rFonts w:ascii="Calibri"/>
          <w:sz w:val="16"/>
        </w:rPr>
      </w:pPr>
      <w:r>
        <w:rPr>
          <w:rFonts w:ascii="Calibri"/>
          <w:spacing w:val="-7"/>
          <w:sz w:val="16"/>
        </w:rPr>
        <w:t>30</w:t>
      </w:r>
    </w:p>
    <w:p>
      <w:pPr>
        <w:spacing w:before="37"/>
        <w:ind w:left="1569" w:right="0" w:firstLine="0"/>
        <w:jc w:val="left"/>
        <w:rPr>
          <w:rFonts w:ascii="Calibri"/>
          <w:sz w:val="16"/>
        </w:rPr>
      </w:pPr>
      <w:r>
        <w:rPr>
          <w:rFonts w:ascii="Calibri"/>
          <w:spacing w:val="-7"/>
          <w:sz w:val="16"/>
        </w:rPr>
        <w:t>20</w:t>
      </w:r>
    </w:p>
    <w:p>
      <w:pPr>
        <w:spacing w:before="38"/>
        <w:ind w:left="1569" w:right="0" w:firstLine="0"/>
        <w:jc w:val="left"/>
        <w:rPr>
          <w:rFonts w:ascii="Calibri"/>
          <w:sz w:val="16"/>
        </w:rPr>
      </w:pPr>
      <w:r>
        <w:rPr>
          <w:rFonts w:ascii="Calibri"/>
          <w:spacing w:val="-7"/>
          <w:sz w:val="16"/>
        </w:rPr>
        <w:t>10</w:t>
      </w:r>
    </w:p>
    <w:p>
      <w:pPr>
        <w:spacing w:before="38"/>
        <w:ind w:left="1649" w:right="0" w:firstLine="0"/>
        <w:jc w:val="left"/>
        <w:rPr>
          <w:rFonts w:ascii="Calibri"/>
          <w:sz w:val="16"/>
        </w:rPr>
      </w:pPr>
      <w:r>
        <w:rPr>
          <w:rFonts w:ascii="Calibri"/>
          <w:w w:val="100"/>
          <w:sz w:val="16"/>
        </w:rPr>
        <w:t>0</w:t>
      </w:r>
    </w:p>
    <w:p>
      <w:pPr>
        <w:spacing w:before="9"/>
        <w:ind w:left="1656" w:right="0" w:firstLine="0"/>
        <w:jc w:val="left"/>
        <w:rPr>
          <w:rFonts w:ascii="Calibri"/>
          <w:sz w:val="16"/>
        </w:rPr>
      </w:pPr>
      <w:r>
        <w:rPr>
          <w:rFonts w:ascii="Calibri"/>
          <w:spacing w:val="-4"/>
          <w:sz w:val="16"/>
        </w:rPr>
        <w:t>15,000</w:t>
      </w:r>
    </w:p>
    <w:p>
      <w:pPr>
        <w:pStyle w:val="BodyText"/>
        <w:rPr>
          <w:rFonts w:ascii="Calibri"/>
          <w:sz w:val="16"/>
        </w:rPr>
      </w:pPr>
      <w:r>
        <w:rPr/>
        <w:br w:type="column"/>
      </w:r>
      <w:r>
        <w:rPr>
          <w:rFonts w:ascii="Calibri"/>
          <w:sz w:val="16"/>
        </w:rPr>
      </w: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spacing w:before="1"/>
        <w:rPr>
          <w:rFonts w:ascii="Calibri"/>
          <w:sz w:val="23"/>
        </w:rPr>
      </w:pPr>
    </w:p>
    <w:p>
      <w:pPr>
        <w:spacing w:before="0"/>
        <w:ind w:left="155" w:right="0" w:firstLine="0"/>
        <w:jc w:val="left"/>
        <w:rPr>
          <w:rFonts w:ascii="Calibri"/>
          <w:sz w:val="16"/>
        </w:rPr>
      </w:pPr>
      <w:r>
        <w:rPr>
          <w:rFonts w:ascii="Calibri"/>
          <w:spacing w:val="-4"/>
          <w:sz w:val="16"/>
        </w:rPr>
        <w:t>10,000</w:t>
      </w:r>
    </w:p>
    <w:p>
      <w:pPr>
        <w:pStyle w:val="BodyText"/>
        <w:rPr>
          <w:rFonts w:ascii="Calibri"/>
          <w:sz w:val="16"/>
        </w:rPr>
      </w:pPr>
      <w:r>
        <w:rPr/>
        <w:br w:type="column"/>
      </w:r>
      <w:r>
        <w:rPr>
          <w:rFonts w:ascii="Calibri"/>
          <w:sz w:val="16"/>
        </w:rPr>
      </w: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spacing w:before="1"/>
        <w:rPr>
          <w:rFonts w:ascii="Calibri"/>
          <w:sz w:val="23"/>
        </w:rPr>
      </w:pPr>
    </w:p>
    <w:p>
      <w:pPr>
        <w:spacing w:before="0"/>
        <w:ind w:left="195" w:right="0" w:firstLine="0"/>
        <w:jc w:val="left"/>
        <w:rPr>
          <w:rFonts w:ascii="Calibri"/>
          <w:sz w:val="16"/>
        </w:rPr>
      </w:pPr>
      <w:r>
        <w:rPr>
          <w:rFonts w:ascii="Calibri"/>
          <w:spacing w:val="-3"/>
          <w:sz w:val="16"/>
        </w:rPr>
        <w:t>5,000</w:t>
      </w:r>
    </w:p>
    <w:p>
      <w:pPr>
        <w:pStyle w:val="BodyText"/>
        <w:rPr>
          <w:rFonts w:ascii="Calibri"/>
          <w:sz w:val="16"/>
        </w:rPr>
      </w:pPr>
      <w:r>
        <w:rPr/>
        <w:br w:type="column"/>
      </w:r>
      <w:r>
        <w:rPr>
          <w:rFonts w:ascii="Calibri"/>
          <w:sz w:val="16"/>
        </w:rPr>
      </w: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spacing w:before="1"/>
        <w:rPr>
          <w:rFonts w:ascii="Calibri"/>
          <w:sz w:val="23"/>
        </w:rPr>
      </w:pPr>
    </w:p>
    <w:p>
      <w:pPr>
        <w:tabs>
          <w:tab w:pos="855" w:val="left" w:leader="none"/>
        </w:tabs>
        <w:spacing w:before="0"/>
        <w:ind w:left="370" w:right="0" w:firstLine="0"/>
        <w:jc w:val="left"/>
        <w:rPr>
          <w:rFonts w:ascii="Calibri"/>
          <w:sz w:val="16"/>
        </w:rPr>
      </w:pPr>
      <w:r>
        <w:rPr>
          <w:rFonts w:ascii="Calibri"/>
          <w:sz w:val="16"/>
        </w:rPr>
        <w:t>0</w:t>
        <w:tab/>
      </w:r>
      <w:r>
        <w:rPr>
          <w:rFonts w:ascii="Calibri"/>
          <w:spacing w:val="-7"/>
          <w:sz w:val="16"/>
        </w:rPr>
        <w:t>5,000</w:t>
      </w:r>
    </w:p>
    <w:p>
      <w:pPr>
        <w:pStyle w:val="BodyText"/>
        <w:rPr>
          <w:rFonts w:ascii="Calibri"/>
          <w:sz w:val="16"/>
        </w:rPr>
      </w:pPr>
      <w:r>
        <w:rPr/>
        <w:br w:type="column"/>
      </w:r>
      <w:r>
        <w:rPr>
          <w:rFonts w:ascii="Calibri"/>
          <w:sz w:val="16"/>
        </w:rPr>
      </w: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spacing w:before="1"/>
        <w:rPr>
          <w:rFonts w:ascii="Calibri"/>
          <w:sz w:val="23"/>
        </w:rPr>
      </w:pPr>
    </w:p>
    <w:p>
      <w:pPr>
        <w:spacing w:before="0"/>
        <w:ind w:left="190" w:right="0" w:firstLine="0"/>
        <w:jc w:val="left"/>
        <w:rPr>
          <w:rFonts w:ascii="Calibri"/>
          <w:sz w:val="16"/>
        </w:rPr>
      </w:pPr>
      <w:r>
        <w:rPr>
          <w:rFonts w:ascii="Calibri"/>
          <w:spacing w:val="-4"/>
          <w:sz w:val="16"/>
        </w:rPr>
        <w:t>10,000</w:t>
      </w:r>
    </w:p>
    <w:p>
      <w:pPr>
        <w:pStyle w:val="BodyText"/>
        <w:rPr>
          <w:rFonts w:ascii="Calibri"/>
          <w:sz w:val="16"/>
        </w:rPr>
      </w:pPr>
      <w:r>
        <w:rPr/>
        <w:br w:type="column"/>
      </w:r>
      <w:r>
        <w:rPr>
          <w:rFonts w:ascii="Calibri"/>
          <w:sz w:val="16"/>
        </w:rPr>
      </w: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spacing w:before="1"/>
        <w:rPr>
          <w:rFonts w:ascii="Calibri"/>
          <w:sz w:val="23"/>
        </w:rPr>
      </w:pPr>
    </w:p>
    <w:p>
      <w:pPr>
        <w:spacing w:before="0"/>
        <w:ind w:left="155" w:right="0" w:firstLine="0"/>
        <w:jc w:val="left"/>
        <w:rPr>
          <w:rFonts w:ascii="Calibri"/>
          <w:sz w:val="16"/>
        </w:rPr>
      </w:pPr>
      <w:r>
        <w:rPr>
          <w:rFonts w:ascii="Calibri"/>
          <w:spacing w:val="-4"/>
          <w:sz w:val="16"/>
        </w:rPr>
        <w:t>15,000</w:t>
      </w:r>
    </w:p>
    <w:p>
      <w:pPr>
        <w:pStyle w:val="BodyText"/>
        <w:rPr>
          <w:rFonts w:ascii="Calibri"/>
          <w:sz w:val="16"/>
        </w:rPr>
      </w:pPr>
      <w:r>
        <w:rPr/>
        <w:br w:type="column"/>
      </w:r>
      <w:r>
        <w:rPr>
          <w:rFonts w:ascii="Calibri"/>
          <w:sz w:val="16"/>
        </w:rPr>
      </w: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spacing w:before="1"/>
        <w:rPr>
          <w:rFonts w:ascii="Calibri"/>
          <w:sz w:val="23"/>
        </w:rPr>
      </w:pPr>
    </w:p>
    <w:p>
      <w:pPr>
        <w:spacing w:before="0"/>
        <w:ind w:left="155" w:right="0" w:firstLine="0"/>
        <w:jc w:val="left"/>
        <w:rPr>
          <w:rFonts w:ascii="Calibri"/>
          <w:sz w:val="16"/>
        </w:rPr>
      </w:pPr>
      <w:r>
        <w:rPr>
          <w:rFonts w:ascii="Calibri"/>
          <w:sz w:val="16"/>
        </w:rPr>
        <w:t>20,000</w:t>
      </w:r>
    </w:p>
    <w:p>
      <w:pPr>
        <w:spacing w:after="0"/>
        <w:jc w:val="left"/>
        <w:rPr>
          <w:rFonts w:ascii="Calibri"/>
          <w:sz w:val="16"/>
        </w:rPr>
        <w:sectPr>
          <w:type w:val="continuous"/>
          <w:pgSz w:w="11910" w:h="16850"/>
          <w:pgMar w:top="1600" w:bottom="280" w:left="120" w:right="0"/>
          <w:cols w:num="7" w:equalWidth="0">
            <w:col w:w="2086" w:space="40"/>
            <w:col w:w="586" w:space="39"/>
            <w:col w:w="550" w:space="40"/>
            <w:col w:w="1211" w:space="40"/>
            <w:col w:w="621" w:space="39"/>
            <w:col w:w="586" w:space="40"/>
            <w:col w:w="5912"/>
          </w:cols>
        </w:sectPr>
      </w:pPr>
    </w:p>
    <w:p>
      <w:pPr>
        <w:spacing w:before="40"/>
        <w:ind w:left="3456" w:right="0" w:firstLine="0"/>
        <w:jc w:val="left"/>
        <w:rPr>
          <w:rFonts w:ascii="Calibri"/>
          <w:sz w:val="16"/>
        </w:rPr>
      </w:pPr>
      <w:r>
        <w:rPr>
          <w:rFonts w:ascii="Calibri"/>
          <w:color w:val="A6A6A6"/>
          <w:sz w:val="16"/>
        </w:rPr>
        <w:t>Number of People</w:t>
      </w:r>
    </w:p>
    <w:p>
      <w:pPr>
        <w:pStyle w:val="BodyText"/>
        <w:rPr>
          <w:rFonts w:ascii="Calibri"/>
          <w:sz w:val="25"/>
        </w:rPr>
      </w:pPr>
    </w:p>
    <w:p>
      <w:pPr>
        <w:pStyle w:val="BodyText"/>
        <w:spacing w:before="92"/>
        <w:ind w:left="900"/>
      </w:pPr>
      <w:r>
        <w:rPr>
          <w:color w:val="404040"/>
        </w:rPr>
        <w:t>From the graph, we can see there are three distinct groups within the class:</w:t>
      </w:r>
    </w:p>
    <w:p>
      <w:pPr>
        <w:pStyle w:val="ListParagraph"/>
        <w:numPr>
          <w:ilvl w:val="0"/>
          <w:numId w:val="66"/>
        </w:numPr>
        <w:tabs>
          <w:tab w:pos="1184" w:val="left" w:leader="none"/>
        </w:tabs>
        <w:spacing w:line="240" w:lineRule="auto" w:before="119" w:after="0"/>
        <w:ind w:left="1183" w:right="1442" w:hanging="284"/>
        <w:jc w:val="left"/>
        <w:rPr>
          <w:rFonts w:ascii="Symbol" w:hAnsi="Symbol"/>
          <w:sz w:val="20"/>
        </w:rPr>
      </w:pPr>
      <w:r>
        <w:rPr>
          <w:color w:val="404040"/>
          <w:sz w:val="20"/>
        </w:rPr>
        <w:t>a group receiving payments such as school fees allowance or assistance for isolated children payments during their</w:t>
      </w:r>
      <w:r>
        <w:rPr>
          <w:color w:val="404040"/>
          <w:spacing w:val="3"/>
          <w:sz w:val="20"/>
        </w:rPr>
        <w:t> </w:t>
      </w:r>
      <w:r>
        <w:rPr>
          <w:color w:val="404040"/>
          <w:sz w:val="20"/>
        </w:rPr>
        <w:t>youth;</w:t>
      </w:r>
    </w:p>
    <w:p>
      <w:pPr>
        <w:pStyle w:val="ListParagraph"/>
        <w:numPr>
          <w:ilvl w:val="0"/>
          <w:numId w:val="66"/>
        </w:numPr>
        <w:tabs>
          <w:tab w:pos="1184" w:val="left" w:leader="none"/>
        </w:tabs>
        <w:spacing w:line="240" w:lineRule="auto" w:before="118" w:after="0"/>
        <w:ind w:left="1183" w:right="1299" w:hanging="284"/>
        <w:jc w:val="left"/>
        <w:rPr>
          <w:rFonts w:ascii="Symbol" w:hAnsi="Symbol"/>
          <w:sz w:val="20"/>
        </w:rPr>
      </w:pPr>
      <w:r>
        <w:rPr>
          <w:color w:val="404040"/>
          <w:sz w:val="20"/>
        </w:rPr>
        <w:t>a group of Parenting age people who are receiving FTB, family or new parent payments for their first year (and who subsequently move on to class 7);</w:t>
      </w:r>
      <w:r>
        <w:rPr>
          <w:color w:val="404040"/>
          <w:spacing w:val="-6"/>
          <w:sz w:val="20"/>
        </w:rPr>
        <w:t> </w:t>
      </w:r>
      <w:r>
        <w:rPr>
          <w:color w:val="404040"/>
          <w:sz w:val="20"/>
        </w:rPr>
        <w:t>and</w:t>
      </w:r>
    </w:p>
    <w:p>
      <w:pPr>
        <w:pStyle w:val="ListParagraph"/>
        <w:numPr>
          <w:ilvl w:val="0"/>
          <w:numId w:val="66"/>
        </w:numPr>
        <w:tabs>
          <w:tab w:pos="1184" w:val="left" w:leader="none"/>
        </w:tabs>
        <w:spacing w:line="240" w:lineRule="auto" w:before="120" w:after="0"/>
        <w:ind w:left="1183" w:right="0" w:hanging="284"/>
        <w:jc w:val="left"/>
        <w:rPr>
          <w:rFonts w:ascii="Symbol" w:hAnsi="Symbol"/>
          <w:sz w:val="20"/>
        </w:rPr>
      </w:pPr>
      <w:r>
        <w:rPr>
          <w:color w:val="404040"/>
          <w:sz w:val="20"/>
        </w:rPr>
        <w:t>a group of people above age pension age who are typically receiving Energy</w:t>
      </w:r>
      <w:r>
        <w:rPr>
          <w:color w:val="404040"/>
          <w:spacing w:val="-14"/>
          <w:sz w:val="20"/>
        </w:rPr>
        <w:t> </w:t>
      </w:r>
      <w:r>
        <w:rPr>
          <w:color w:val="404040"/>
          <w:sz w:val="20"/>
        </w:rPr>
        <w:t>Supplements.</w:t>
      </w:r>
    </w:p>
    <w:p>
      <w:pPr>
        <w:spacing w:after="0" w:line="240" w:lineRule="auto"/>
        <w:jc w:val="left"/>
        <w:rPr>
          <w:rFonts w:ascii="Symbol" w:hAnsi="Symbol"/>
          <w:sz w:val="20"/>
        </w:rPr>
        <w:sectPr>
          <w:type w:val="continuous"/>
          <w:pgSz w:w="11910" w:h="16850"/>
          <w:pgMar w:top="1600" w:bottom="280" w:left="120" w:right="0"/>
        </w:sectPr>
      </w:pPr>
    </w:p>
    <w:p>
      <w:pPr>
        <w:pStyle w:val="BodyText"/>
      </w:pPr>
    </w:p>
    <w:p>
      <w:pPr>
        <w:pStyle w:val="BodyText"/>
      </w:pPr>
    </w:p>
    <w:p>
      <w:pPr>
        <w:pStyle w:val="BodyText"/>
        <w:spacing w:before="7"/>
        <w:rPr>
          <w:sz w:val="21"/>
        </w:rPr>
      </w:pPr>
    </w:p>
    <w:p>
      <w:pPr>
        <w:pStyle w:val="Heading6"/>
        <w:spacing w:before="94"/>
        <w:rPr>
          <w:i/>
        </w:rPr>
      </w:pPr>
      <w:r>
        <w:rPr>
          <w:i/>
          <w:color w:val="DF2F1E"/>
        </w:rPr>
        <w:t>Movements into and out of this class</w:t>
      </w:r>
    </w:p>
    <w:p>
      <w:pPr>
        <w:pStyle w:val="BodyText"/>
        <w:spacing w:line="242" w:lineRule="auto" w:before="114"/>
        <w:ind w:left="899" w:right="1021"/>
      </w:pPr>
      <w:r>
        <w:rPr>
          <w:color w:val="404040"/>
        </w:rPr>
        <w:t>Over the two years to 2017, an average of 302,600</w:t>
      </w:r>
      <w:hyperlink w:history="true" w:anchor="_bookmark51">
        <w:r>
          <w:rPr>
            <w:color w:val="404040"/>
            <w:position w:val="7"/>
            <w:sz w:val="14"/>
          </w:rPr>
          <w:t>7 </w:t>
        </w:r>
      </w:hyperlink>
      <w:r>
        <w:rPr>
          <w:color w:val="404040"/>
        </w:rPr>
        <w:t>people (around 50.6% of the people in this class) per annum entered this class from another welfare class or from outside the welfare system. Over the last three years, an average of 309,300 people (around 50.0% of people in this class) per annum have transitioned out of the Non IS Other class.</w:t>
      </w:r>
    </w:p>
    <w:p>
      <w:pPr>
        <w:pStyle w:val="BodyText"/>
        <w:spacing w:before="115"/>
        <w:ind w:left="899" w:right="1688"/>
      </w:pPr>
      <w:r>
        <w:rPr>
          <w:color w:val="404040"/>
        </w:rPr>
        <w:t>The following chart shows the breakdown of these transitions by previous / destination class and year of transition.</w:t>
      </w:r>
    </w:p>
    <w:p>
      <w:pPr>
        <w:pStyle w:val="Heading9"/>
        <w:spacing w:before="176"/>
        <w:ind w:left="899"/>
      </w:pPr>
      <w:r>
        <w:rPr>
          <w:color w:val="DF2F1E"/>
        </w:rPr>
        <w:t>Figure 91: Number of people entering class 9 – Non IS Other (by class entered from)</w:t>
      </w:r>
    </w:p>
    <w:p>
      <w:pPr>
        <w:spacing w:before="62"/>
        <w:ind w:left="0" w:right="10083" w:firstLine="0"/>
        <w:jc w:val="right"/>
        <w:rPr>
          <w:rFonts w:ascii="Calibri"/>
          <w:sz w:val="16"/>
        </w:rPr>
      </w:pPr>
      <w:r>
        <w:rPr/>
        <w:pict>
          <v:group style="position:absolute;margin-left:98.294128pt;margin-top:8.110627pt;width:412.55pt;height:144.050pt;mso-position-horizontal-relative:page;mso-position-vertical-relative:paragraph;z-index:252665856" coordorigin="1966,162" coordsize="8251,2881">
            <v:shape style="position:absolute;left:5024;top:1852;width:5187;height:283" coordorigin="5025,1853" coordsize="5187,283" path="m9963,2136l10211,2136m9138,2136l9633,2136m8313,2136l8808,2136m7488,2136l7983,2136m5838,2136l7158,2136m5025,2136l5520,2136m5838,1853l6333,1853m5025,1853l5520,1853e" filled="false" stroked="true" strokeweight=".589103pt" strokecolor="#d9d9d9">
              <v:path arrowok="t"/>
              <v:stroke dashstyle="solid"/>
            </v:shape>
            <v:line style="position:absolute" from="5520,2401" to="5838,2401" stroked="true" strokeweight=".589112pt" strokecolor="#1f487c">
              <v:stroke dashstyle="solid"/>
            </v:line>
            <v:line style="position:absolute" from="5520,2371" to="5838,2371" stroked="true" strokeweight="3.534624pt" strokecolor="#009544">
              <v:stroke dashstyle="solid"/>
            </v:line>
            <v:line style="position:absolute" from="5520,2330" to="5838,2330" stroked="true" strokeweight=".589112pt" strokecolor="#e16b09">
              <v:stroke dashstyle="solid"/>
            </v:line>
            <v:line style="position:absolute" from="5520,2330" to="5838,2330" stroked="true" strokeweight=".589112pt" strokecolor="#e08ad6">
              <v:stroke dashstyle="solid"/>
            </v:line>
            <v:line style="position:absolute" from="5520,2330" to="5838,2330" stroked="true" strokeweight=".589112pt" strokecolor="#8063a1">
              <v:stroke dashstyle="solid"/>
            </v:line>
            <v:rect style="position:absolute;left:5519;top:1864;width:319;height:460" filled="true" fillcolor="#c0504d" stroked="false">
              <v:fill type="solid"/>
            </v:rect>
            <v:line style="position:absolute" from="6333,2401" to="6663,2401" stroked="true" strokeweight=".589112pt" strokecolor="#1f487c">
              <v:stroke dashstyle="solid"/>
            </v:line>
            <v:line style="position:absolute" from="6333,2377" to="6663,2377" stroked="true" strokeweight="2.945524pt" strokecolor="#009544">
              <v:stroke dashstyle="solid"/>
            </v:line>
            <v:line style="position:absolute" from="6333,2342" to="6663,2342" stroked="true" strokeweight=".5891pt" strokecolor="#e16b09">
              <v:stroke dashstyle="solid"/>
            </v:line>
            <v:line style="position:absolute" from="6333,2342" to="6663,2342" stroked="true" strokeweight=".5891pt" strokecolor="#e08ad6">
              <v:stroke dashstyle="solid"/>
            </v:line>
            <v:line style="position:absolute" from="6333,2342" to="6663,2342" stroked="true" strokeweight=".5891pt" strokecolor="#8063a1">
              <v:stroke dashstyle="solid"/>
            </v:line>
            <v:line style="position:absolute" from="6333,2342" to="6663,2342" stroked="true" strokeweight=".5891pt" strokecolor="#c0504d">
              <v:stroke dashstyle="solid"/>
            </v:line>
            <v:line style="position:absolute" from="7158,2401" to="7488,2401" stroked="true" strokeweight=".589112pt" strokecolor="#1f487c">
              <v:stroke dashstyle="solid"/>
            </v:line>
            <v:line style="position:absolute" from="7158,2377" to="7488,2377" stroked="true" strokeweight="2.945524pt" strokecolor="#009544">
              <v:stroke dashstyle="solid"/>
            </v:line>
            <v:line style="position:absolute" from="7158,2342" to="7488,2342" stroked="true" strokeweight=".5891pt" strokecolor="#e16b09">
              <v:stroke dashstyle="solid"/>
            </v:line>
            <v:line style="position:absolute" from="7158,2342" to="7488,2342" stroked="true" strokeweight=".5891pt" strokecolor="#e08ad6">
              <v:stroke dashstyle="solid"/>
            </v:line>
            <v:line style="position:absolute" from="7158,2342" to="7488,2342" stroked="true" strokeweight=".5891pt" strokecolor="#8063a1">
              <v:stroke dashstyle="solid"/>
            </v:line>
            <v:line style="position:absolute" from="7158,2342" to="7488,2342" stroked="true" strokeweight=".5891pt" strokecolor="#c0504d">
              <v:stroke dashstyle="solid"/>
            </v:line>
            <v:shape style="position:absolute;left:1971;top:2135;width:2723;height:2" coordorigin="1972,2136" coordsize="2723,0" path="m4200,2136l4695,2136m3374,2136l3870,2136m2549,2136l3044,2136m1972,2136l2219,2136e" filled="false" stroked="true" strokeweight=".589103pt" strokecolor="#d9d9d9">
              <v:path arrowok="t"/>
              <v:stroke dashstyle="solid"/>
            </v:shape>
            <v:line style="position:absolute" from="2219,2401" to="2549,2401" stroked="true" strokeweight=".589112pt" strokecolor="#1f487c">
              <v:stroke dashstyle="solid"/>
            </v:line>
            <v:line style="position:absolute" from="2219,2360" to="2549,2360" stroked="true" strokeweight="3.534624pt" strokecolor="#009544">
              <v:stroke dashstyle="solid"/>
            </v:line>
            <v:line style="position:absolute" from="2219,2318" to="2549,2318" stroked="true" strokeweight=".5891pt" strokecolor="#e16b09">
              <v:stroke dashstyle="solid"/>
            </v:line>
            <v:line style="position:absolute" from="2219,2318" to="2549,2318" stroked="true" strokeweight=".5891pt" strokecolor="#e08ad6">
              <v:stroke dashstyle="solid"/>
            </v:line>
            <v:line style="position:absolute" from="2219,2318" to="2549,2318" stroked="true" strokeweight=".5891pt" strokecolor="#8063a1">
              <v:stroke dashstyle="solid"/>
            </v:line>
            <v:rect style="position:absolute;left:2219;top:2288;width:331;height:36" filled="true" fillcolor="#c0504d" stroked="false">
              <v:fill type="solid"/>
            </v:rect>
            <v:rect style="position:absolute;left:2219;top:2100;width:331;height:189" filled="true" fillcolor="#f8a763" stroked="false">
              <v:fill type="solid"/>
            </v:rect>
            <v:line style="position:absolute" from="3044,2401" to="3374,2401" stroked="true" strokeweight=".589112pt" strokecolor="#1f487c">
              <v:stroke dashstyle="solid"/>
            </v:line>
            <v:line style="position:absolute" from="3044,2377" to="3374,2377" stroked="true" strokeweight="2.945524pt" strokecolor="#009544">
              <v:stroke dashstyle="solid"/>
            </v:line>
            <v:line style="position:absolute" from="3044,2342" to="3374,2342" stroked="true" strokeweight=".5891pt" strokecolor="#e16b09">
              <v:stroke dashstyle="solid"/>
            </v:line>
            <v:line style="position:absolute" from="3044,2342" to="3374,2342" stroked="true" strokeweight=".5891pt" strokecolor="#e08ad6">
              <v:stroke dashstyle="solid"/>
            </v:line>
            <v:line style="position:absolute" from="3044,2342" to="3374,2342" stroked="true" strokeweight=".5891pt" strokecolor="#8063a1">
              <v:stroke dashstyle="solid"/>
            </v:line>
            <v:rect style="position:absolute;left:3044;top:2312;width:331;height:24" filled="true" fillcolor="#c0504d" stroked="false">
              <v:fill type="solid"/>
            </v:rect>
            <v:rect style="position:absolute;left:3044;top:2112;width:331;height:201" filled="true" fillcolor="#f8a763" stroked="false">
              <v:fill type="solid"/>
            </v:rect>
            <v:line style="position:absolute" from="3870,2401" to="4200,2401" stroked="true" strokeweight=".589112pt" strokecolor="#1f487c">
              <v:stroke dashstyle="solid"/>
            </v:line>
            <v:line style="position:absolute" from="3870,2377" to="4200,2377" stroked="true" strokeweight="2.945524pt" strokecolor="#009544">
              <v:stroke dashstyle="solid"/>
            </v:line>
            <v:line style="position:absolute" from="3870,2342" to="4200,2342" stroked="true" strokeweight=".5891pt" strokecolor="#e16b09">
              <v:stroke dashstyle="solid"/>
            </v:line>
            <v:line style="position:absolute" from="3870,2342" to="4200,2342" stroked="true" strokeweight=".5891pt" strokecolor="#e08ad6">
              <v:stroke dashstyle="solid"/>
            </v:line>
            <v:line style="position:absolute" from="3870,2330" to="4200,2330" stroked="true" strokeweight=".589112pt" strokecolor="#8063a1">
              <v:stroke dashstyle="solid"/>
            </v:line>
            <v:rect style="position:absolute;left:3869;top:2312;width:331;height:24" filled="true" fillcolor="#c0504d" stroked="false">
              <v:fill type="solid"/>
            </v:rect>
            <v:rect style="position:absolute;left:3869;top:2112;width:331;height:201" filled="true" fillcolor="#f8a763" stroked="false">
              <v:fill type="solid"/>
            </v:rect>
            <v:line style="position:absolute" from="4695,2401" to="5025,2401" stroked="true" strokeweight=".589112pt" strokecolor="#1f487c">
              <v:stroke dashstyle="solid"/>
            </v:line>
            <v:line style="position:absolute" from="4695,2371" to="5025,2371" stroked="true" strokeweight="3.534624pt" strokecolor="#009544">
              <v:stroke dashstyle="solid"/>
            </v:line>
            <v:line style="position:absolute" from="4695,2330" to="5025,2330" stroked="true" strokeweight=".589112pt" strokecolor="#e16b09">
              <v:stroke dashstyle="solid"/>
            </v:line>
            <v:line style="position:absolute" from="4695,2330" to="5025,2330" stroked="true" strokeweight=".589112pt" strokecolor="#e08ad6">
              <v:stroke dashstyle="solid"/>
            </v:line>
            <v:line style="position:absolute" from="4695,2330" to="5025,2330" stroked="true" strokeweight=".589112pt" strokecolor="#8063a1">
              <v:stroke dashstyle="solid"/>
            </v:line>
            <v:rect style="position:absolute;left:4694;top:2288;width:331;height:48" filled="true" fillcolor="#c0504d" stroked="false">
              <v:fill type="solid"/>
            </v:rect>
            <v:rect style="position:absolute;left:4694;top:2065;width:331;height:224" filled="true" fillcolor="#f8a763" stroked="false">
              <v:fill type="solid"/>
            </v:rect>
            <v:line style="position:absolute" from="5025,1570" to="6333,1570" stroked="true" strokeweight=".589103pt" strokecolor="#d9d9d9">
              <v:stroke dashstyle="solid"/>
            </v:line>
            <v:shape style="position:absolute;left:5519;top:1570;width:1969;height:766" coordorigin="5520,1570" coordsize="1969,766" path="m5838,1570l5520,1570,5520,1865,5838,1865,5838,1570m6663,2136l6333,2136,6333,2336,6663,2336,6663,2136m7488,2089l7158,2089,7158,2336,7488,2336,7488,2089e" filled="true" fillcolor="#f8a763" stroked="false">
              <v:path arrowok="t"/>
              <v:fill type="solid"/>
            </v:shape>
            <v:line style="position:absolute" from="7983,2401" to="8313,2401" stroked="true" strokeweight=".589112pt" strokecolor="#1f487c">
              <v:stroke dashstyle="solid"/>
            </v:line>
            <v:line style="position:absolute" from="7983,2377" to="8313,2377" stroked="true" strokeweight="2.945524pt" strokecolor="#009544">
              <v:stroke dashstyle="solid"/>
            </v:line>
            <v:line style="position:absolute" from="7983,2342" to="8313,2342" stroked="true" strokeweight=".5891pt" strokecolor="#e16b09">
              <v:stroke dashstyle="solid"/>
            </v:line>
            <v:line style="position:absolute" from="7983,2342" to="8313,2342" stroked="true" strokeweight=".5891pt" strokecolor="#e08ad6">
              <v:stroke dashstyle="solid"/>
            </v:line>
            <v:line style="position:absolute" from="7983,2342" to="8313,2342" stroked="true" strokeweight=".5891pt" strokecolor="#8063a1">
              <v:stroke dashstyle="solid"/>
            </v:line>
            <v:line style="position:absolute" from="7983,2342" to="8313,2342" stroked="true" strokeweight=".5891pt" strokecolor="#c0504d">
              <v:stroke dashstyle="solid"/>
            </v:line>
            <v:rect style="position:absolute;left:7983;top:2088;width:331;height:248" filled="true" fillcolor="#f8a763" stroked="false">
              <v:fill type="solid"/>
            </v:rect>
            <v:line style="position:absolute" from="8808,2401" to="9138,2401" stroked="true" strokeweight=".589112pt" strokecolor="#1f487c">
              <v:stroke dashstyle="solid"/>
            </v:line>
            <v:line style="position:absolute" from="8808,2377" to="9138,2377" stroked="true" strokeweight="2.945524pt" strokecolor="#009544">
              <v:stroke dashstyle="solid"/>
            </v:line>
            <v:line style="position:absolute" from="8808,2342" to="9138,2342" stroked="true" strokeweight=".5891pt" strokecolor="#e16b09">
              <v:stroke dashstyle="solid"/>
            </v:line>
            <v:line style="position:absolute" from="8808,2342" to="9138,2342" stroked="true" strokeweight=".5891pt" strokecolor="#e08ad6">
              <v:stroke dashstyle="solid"/>
            </v:line>
            <v:line style="position:absolute" from="8808,2342" to="9138,2342" stroked="true" strokeweight=".5891pt" strokecolor="#8063a1">
              <v:stroke dashstyle="solid"/>
            </v:line>
            <v:line style="position:absolute" from="8808,2342" to="9138,2342" stroked="true" strokeweight=".5891pt" strokecolor="#c0504d">
              <v:stroke dashstyle="solid"/>
            </v:line>
            <v:rect style="position:absolute;left:8808;top:2076;width:331;height:260" filled="true" fillcolor="#f8a763" stroked="false">
              <v:fill type="solid"/>
            </v:rect>
            <v:line style="position:absolute" from="9633,2401" to="9963,2401" stroked="true" strokeweight=".589112pt" strokecolor="#1f487c">
              <v:stroke dashstyle="solid"/>
            </v:line>
            <v:line style="position:absolute" from="9633,2377" to="9963,2377" stroked="true" strokeweight="2.945524pt" strokecolor="#009544">
              <v:stroke dashstyle="solid"/>
            </v:line>
            <v:line style="position:absolute" from="9633,2342" to="9963,2342" stroked="true" strokeweight=".5891pt" strokecolor="#e16b09">
              <v:stroke dashstyle="solid"/>
            </v:line>
            <v:line style="position:absolute" from="9633,2342" to="9963,2342" stroked="true" strokeweight=".5891pt" strokecolor="#e08ad6">
              <v:stroke dashstyle="solid"/>
            </v:line>
            <v:line style="position:absolute" from="9633,2342" to="9963,2342" stroked="true" strokeweight=".5891pt" strokecolor="#8063a1">
              <v:stroke dashstyle="solid"/>
            </v:line>
            <v:line style="position:absolute" from="9633,2342" to="9963,2342" stroked="true" strokeweight=".5891pt" strokecolor="#c0504d">
              <v:stroke dashstyle="solid"/>
            </v:line>
            <v:rect style="position:absolute;left:9633;top:2076;width:331;height:260" filled="true" fillcolor="#f8a763" stroked="false">
              <v:fill type="solid"/>
            </v:rect>
            <v:shape style="position:absolute;left:2219;top:2059;width:2806;height:48" coordorigin="2219,2059" coordsize="2806,48" path="m2219,2094l2549,2094m3044,2106l3374,2106m3869,2106l4200,2106m4695,2059l5025,2059e" filled="false" stroked="true" strokeweight=".589103pt" strokecolor="#ecb8e7">
              <v:path arrowok="t"/>
              <v:stroke dashstyle="solid"/>
            </v:shape>
            <v:line style="position:absolute" from="5520,1564" to="5838,1564" stroked="true" strokeweight=".589103pt" strokecolor="#ecb8e7">
              <v:stroke dashstyle="solid"/>
            </v:line>
            <v:shape style="position:absolute;left:1971;top:1570;width:1073;height:283" coordorigin="1972,1570" coordsize="1073,283" path="m2549,1853l3044,1853m1972,1853l2219,1853m2549,1570l3044,1570m1972,1570l2219,1570e" filled="false" stroked="true" strokeweight=".589103pt" strokecolor="#d9d9d9">
              <v:path arrowok="t"/>
              <v:stroke dashstyle="solid"/>
            </v:shape>
            <v:rect style="position:absolute;left:2219;top:1617;width:331;height:472" filled="true" fillcolor="#ffd600" stroked="false">
              <v:fill type="solid"/>
            </v:rect>
            <v:shape style="position:absolute;left:3374;top:1570;width:496;height:283" coordorigin="3374,1570" coordsize="496,283" path="m3374,1853l3869,1853m3374,1570l3870,1570e" filled="false" stroked="true" strokeweight=".589103pt" strokecolor="#d9d9d9">
              <v:path arrowok="t"/>
              <v:stroke dashstyle="solid"/>
            </v:shape>
            <v:rect style="position:absolute;left:3044;top:1605;width:331;height:495" filled="true" fillcolor="#ffd600" stroked="false">
              <v:fill type="solid"/>
            </v:rect>
            <v:shape style="position:absolute;left:4199;top:1570;width:496;height:283" coordorigin="4200,1570" coordsize="496,283" path="m4200,1853l4695,1853m4200,1570l4695,1570e" filled="false" stroked="true" strokeweight=".589103pt" strokecolor="#d9d9d9">
              <v:path arrowok="t"/>
              <v:stroke dashstyle="solid"/>
            </v:shape>
            <v:shape style="position:absolute;left:3869;top:1511;width:1156;height:590" coordorigin="3869,1511" coordsize="1156,590" path="m4200,1594l3869,1594,3869,2100,4200,2100,4200,1594m5025,1511l4695,1511,4695,2053,5025,2053,5025,1511e" filled="true" fillcolor="#ffd600" stroked="false">
              <v:path arrowok="t"/>
              <v:fill type="solid"/>
            </v:shape>
            <v:shape style="position:absolute;left:5024;top:1016;width:1309;height:271" coordorigin="5025,1016" coordsize="1309,271" path="m5838,1287l6333,1287m5025,1287l5520,1287m5025,1016l6333,1016e" filled="false" stroked="true" strokeweight=".589103pt" strokecolor="#d9d9d9">
              <v:path arrowok="t"/>
              <v:stroke dashstyle="solid"/>
            </v:shape>
            <v:rect style="position:absolute;left:5519;top:1016;width:319;height:542" filled="true" fillcolor="#ffd600" stroked="false">
              <v:fill type="solid"/>
            </v:rect>
            <v:shape style="position:absolute;left:6663;top:1570;width:496;height:283" coordorigin="6663,1570" coordsize="496,283" path="m6663,1853l7158,1853m6663,1570l7158,1570e" filled="false" stroked="true" strokeweight=".589103pt" strokecolor="#d9d9d9">
              <v:path arrowok="t"/>
              <v:stroke dashstyle="solid"/>
            </v:shape>
            <v:rect style="position:absolute;left:6333;top:1452;width:331;height:684" filled="true" fillcolor="#ffd600" stroked="false">
              <v:fill type="solid"/>
            </v:rect>
            <v:shape style="position:absolute;left:7488;top:1570;width:496;height:283" coordorigin="7488,1570" coordsize="496,283" path="m7488,1853l7983,1853m7488,1570l7983,1570e" filled="false" stroked="true" strokeweight=".589103pt" strokecolor="#d9d9d9">
              <v:path arrowok="t"/>
              <v:stroke dashstyle="solid"/>
            </v:shape>
            <v:rect style="position:absolute;left:7158;top:1440;width:331;height:649" filled="true" fillcolor="#ffd600" stroked="false">
              <v:fill type="solid"/>
            </v:rect>
            <v:shape style="position:absolute;left:8313;top:1570;width:496;height:283" coordorigin="8313,1570" coordsize="496,283" path="m8313,1853l8808,1853m8313,1570l8808,1570e" filled="false" stroked="true" strokeweight=".589103pt" strokecolor="#d9d9d9">
              <v:path arrowok="t"/>
              <v:stroke dashstyle="solid"/>
            </v:shape>
            <v:rect style="position:absolute;left:7983;top:1405;width:331;height:684" filled="true" fillcolor="#ffd600" stroked="false">
              <v:fill type="solid"/>
            </v:rect>
            <v:shape style="position:absolute;left:9138;top:1570;width:496;height:283" coordorigin="9138,1570" coordsize="496,283" path="m9138,1853l9633,1853m9138,1570l9633,1570e" filled="false" stroked="true" strokeweight=".589103pt" strokecolor="#d9d9d9">
              <v:path arrowok="t"/>
              <v:stroke dashstyle="solid"/>
            </v:shape>
            <v:rect style="position:absolute;left:8808;top:1369;width:331;height:707" filled="true" fillcolor="#ffd600" stroked="false">
              <v:fill type="solid"/>
            </v:rect>
            <v:shape style="position:absolute;left:9138;top:1287;width:1073;height:566" coordorigin="9138,1287" coordsize="1073,566" path="m9963,1853l10211,1853m9963,1570l10211,1570m9963,1287l10211,1287m9138,1287l9633,1287e" filled="false" stroked="true" strokeweight=".589103pt" strokecolor="#d9d9d9">
              <v:path arrowok="t"/>
              <v:stroke dashstyle="solid"/>
            </v:shape>
            <v:rect style="position:absolute;left:9633;top:1334;width:331;height:743" filled="true" fillcolor="#ffd600" stroked="false">
              <v:fill type="solid"/>
            </v:rect>
            <v:shape style="position:absolute;left:1971;top:733;width:1073;height:554" coordorigin="1972,734" coordsize="1073,554" path="m2549,1287l3044,1287m1972,1287l2219,1287m2549,1016l3044,1016m1972,1016l2219,1016m2549,734l3044,734m1972,734l2219,734e" filled="false" stroked="true" strokeweight=".589103pt" strokecolor="#d9d9d9">
              <v:path arrowok="t"/>
              <v:stroke dashstyle="solid"/>
            </v:shape>
            <v:rect style="position:absolute;left:2219;top:604;width:331;height:1014" filled="true" fillcolor="#ffeb8f" stroked="false">
              <v:fill type="solid"/>
            </v:rect>
            <v:shape style="position:absolute;left:3374;top:733;width:1321;height:554" coordorigin="3374,734" coordsize="1321,554" path="m3374,1287l3870,1287m3374,1016l3870,1016m3374,734l4695,734e" filled="false" stroked="true" strokeweight=".589103pt" strokecolor="#d9d9d9">
              <v:path arrowok="t"/>
              <v:stroke dashstyle="solid"/>
            </v:shape>
            <v:rect style="position:absolute;left:3044;top:639;width:331;height:967" filled="true" fillcolor="#ffeb8f" stroked="false">
              <v:fill type="solid"/>
            </v:rect>
            <v:shape style="position:absolute;left:4199;top:1016;width:496;height:271" coordorigin="4200,1016" coordsize="496,271" path="m4200,1287l4695,1287m4200,1016l4695,1016e" filled="false" stroked="true" strokeweight=".589103pt" strokecolor="#d9d9d9">
              <v:path arrowok="t"/>
              <v:stroke dashstyle="solid"/>
            </v:shape>
            <v:rect style="position:absolute;left:3869;top:745;width:331;height:849" filled="true" fillcolor="#ffeb8f" stroked="false">
              <v:fill type="solid"/>
            </v:rect>
            <v:line style="position:absolute" from="5025,734" to="5520,734" stroked="true" strokeweight=".589103pt" strokecolor="#d9d9d9">
              <v:stroke dashstyle="solid"/>
            </v:line>
            <v:rect style="position:absolute;left:4694;top:686;width:331;height:825" filled="true" fillcolor="#ffeb8f" stroked="false">
              <v:fill type="solid"/>
            </v:rect>
            <v:shape style="position:absolute;left:1971;top:450;width:8240;height:283" coordorigin="1972,451" coordsize="8240,283" path="m5838,734l6333,734m5838,451l10211,451m1972,451l5520,451e" filled="false" stroked="true" strokeweight=".589103pt" strokecolor="#d9d9d9">
              <v:path arrowok="t"/>
              <v:stroke dashstyle="solid"/>
            </v:shape>
            <v:rect style="position:absolute;left:5519;top:321;width:319;height:696" filled="true" fillcolor="#ffeb8f" stroked="false">
              <v:fill type="solid"/>
            </v:rect>
            <v:shape style="position:absolute;left:6663;top:733;width:496;height:554" coordorigin="6663,734" coordsize="496,554" path="m6663,1287l7158,1287m6663,1016l7158,1016m6663,734l7158,734e" filled="false" stroked="true" strokeweight=".589103pt" strokecolor="#d9d9d9">
              <v:path arrowok="t"/>
              <v:stroke dashstyle="solid"/>
            </v:shape>
            <v:rect style="position:absolute;left:6333;top:651;width:331;height:802" filled="true" fillcolor="#ffeb8f" stroked="false">
              <v:fill type="solid"/>
            </v:rect>
            <v:shape style="position:absolute;left:7488;top:733;width:496;height:554" coordorigin="7488,734" coordsize="496,554" path="m7488,1287l7983,1287m7488,1016l7983,1016m7488,734l7983,734e" filled="false" stroked="true" strokeweight=".589103pt" strokecolor="#d9d9d9">
              <v:path arrowok="t"/>
              <v:stroke dashstyle="solid"/>
            </v:shape>
            <v:rect style="position:absolute;left:7158;top:686;width:331;height:755" filled="true" fillcolor="#ffeb8f" stroked="false">
              <v:fill type="solid"/>
            </v:rect>
            <v:shape style="position:absolute;left:8313;top:733;width:496;height:554" coordorigin="8313,734" coordsize="496,554" path="m8313,1287l8808,1287m8313,1016l8808,1016m8313,734l8808,734e" filled="false" stroked="true" strokeweight=".589103pt" strokecolor="#d9d9d9">
              <v:path arrowok="t"/>
              <v:stroke dashstyle="solid"/>
            </v:shape>
            <v:rect style="position:absolute;left:7983;top:662;width:331;height:743" filled="true" fillcolor="#ffeb8f" stroked="false">
              <v:fill type="solid"/>
            </v:rect>
            <v:shape style="position:absolute;left:9138;top:733;width:496;height:283" coordorigin="9138,734" coordsize="496,283" path="m9138,1016l9633,1016m9138,734l9633,734e" filled="false" stroked="true" strokeweight=".589103pt" strokecolor="#d9d9d9">
              <v:path arrowok="t"/>
              <v:stroke dashstyle="solid"/>
            </v:shape>
            <v:rect style="position:absolute;left:8808;top:639;width:331;height:731" filled="true" fillcolor="#ffeb8f" stroked="false">
              <v:fill type="solid"/>
            </v:rect>
            <v:shape style="position:absolute;left:9963;top:733;width:248;height:283" coordorigin="9963,734" coordsize="248,283" path="m9963,1016l10211,1016m9963,734l10211,734e" filled="false" stroked="true" strokeweight=".589103pt" strokecolor="#d9d9d9">
              <v:path arrowok="t"/>
              <v:stroke dashstyle="solid"/>
            </v:shape>
            <v:rect style="position:absolute;left:9633;top:627;width:331;height:707" filled="true" fillcolor="#ffeb8f" stroked="false">
              <v:fill type="solid"/>
            </v:rect>
            <v:shape style="position:absolute;left:0;top:-12251;width:652743;height:25214" coordorigin="0,-12250" coordsize="652743,25214" path="m1972,2407l10211,2407m1972,2407l1972,2466m1972,2407l1972,2725m2797,2407l2797,2466m2797,2407l2797,2725m3622,2407l3622,2466m3622,2407l3622,2725m4447,2407l4447,2466m4447,2407l4447,2725m5272,2407l5272,2466m5272,2407l5272,2725m6085,2407l6085,2466m6085,2407l6085,2725m6911,2407l6911,2466m6911,2407l6911,2725m7736,2407l7736,2466m7736,2407l7736,2725m8561,2407l8561,2466m8561,2407l8561,2725m9386,2407l9386,2466m9386,2407l9386,2725m10211,2407l10211,2466m10211,2407l10211,2725e" filled="false" stroked="true" strokeweight=".589229pt" strokecolor="#d9d9d9">
              <v:path arrowok="t"/>
              <v:stroke dashstyle="solid"/>
            </v:shape>
            <v:shape style="position:absolute;left:0;top:-12251;width:652743;height:25214" coordorigin="0,-12250" coordsize="652743,25214" path="m1972,2725l1972,3043m6085,2725l6085,3043m10211,2725l10211,3043e" filled="false" stroked="true" strokeweight=".589229pt" strokecolor="#d9d9d9">
              <v:path arrowok="t"/>
              <v:stroke dashstyle="solid"/>
            </v:shape>
            <v:line style="position:absolute" from="1972,168" to="10211,168" stroked="true" strokeweight=".589103pt" strokecolor="#d9d9d9">
              <v:stroke dashstyle="solid"/>
            </v:line>
            <v:line style="position:absolute" from="6104,180" to="6097,2423" stroked="true" strokeweight=".589358pt" strokecolor="#a6a6a6">
              <v:stroke dashstyle="solid"/>
            </v:line>
            <v:shape style="position:absolute;left:2219;top:2546;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2014</w:t>
                    </w:r>
                  </w:p>
                </w:txbxContent>
              </v:textbox>
              <w10:wrap type="none"/>
            </v:shape>
            <v:shape style="position:absolute;left:3042;top:2546;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2015</w:t>
                    </w:r>
                  </w:p>
                </w:txbxContent>
              </v:textbox>
              <w10:wrap type="none"/>
            </v:shape>
            <v:shape style="position:absolute;left:3865;top:2546;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2016</w:t>
                    </w:r>
                  </w:p>
                </w:txbxContent>
              </v:textbox>
              <w10:wrap type="none"/>
            </v:shape>
            <v:shape style="position:absolute;left:4688;top:2546;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2017</w:t>
                    </w:r>
                  </w:p>
                </w:txbxContent>
              </v:textbox>
              <w10:wrap type="none"/>
            </v:shape>
            <v:shape style="position:absolute;left:5511;top:2546;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2018</w:t>
                    </w:r>
                  </w:p>
                </w:txbxContent>
              </v:textbox>
              <w10:wrap type="none"/>
            </v:shape>
            <v:shape style="position:absolute;left:6334;top:2546;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2019</w:t>
                    </w:r>
                  </w:p>
                </w:txbxContent>
              </v:textbox>
              <w10:wrap type="none"/>
            </v:shape>
            <v:shape style="position:absolute;left:7157;top:2546;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2020</w:t>
                    </w:r>
                  </w:p>
                </w:txbxContent>
              </v:textbox>
              <w10:wrap type="none"/>
            </v:shape>
            <v:shape style="position:absolute;left:7980;top:2546;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2021</w:t>
                    </w:r>
                  </w:p>
                </w:txbxContent>
              </v:textbox>
              <w10:wrap type="none"/>
            </v:shape>
            <v:shape style="position:absolute;left:8803;top:2546;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2022</w:t>
                    </w:r>
                  </w:p>
                </w:txbxContent>
              </v:textbox>
              <w10:wrap type="none"/>
            </v:shape>
            <v:shape style="position:absolute;left:9626;top:2546;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2023</w:t>
                    </w:r>
                  </w:p>
                </w:txbxContent>
              </v:textbox>
              <w10:wrap type="none"/>
            </v:shape>
            <v:shape style="position:absolute;left:3776;top:2863;width:4711;height:165" type="#_x0000_t202" filled="false" stroked="false">
              <v:textbox inset="0,0,0,0">
                <w:txbxContent>
                  <w:p>
                    <w:pPr>
                      <w:tabs>
                        <w:tab w:pos="4049" w:val="left" w:leader="none"/>
                      </w:tabs>
                      <w:spacing w:line="165" w:lineRule="exact" w:before="0"/>
                      <w:ind w:left="0" w:right="0" w:firstLine="0"/>
                      <w:jc w:val="left"/>
                      <w:rPr>
                        <w:rFonts w:ascii="Calibri"/>
                        <w:sz w:val="16"/>
                      </w:rPr>
                    </w:pPr>
                    <w:r>
                      <w:rPr>
                        <w:rFonts w:ascii="Calibri"/>
                        <w:color w:val="585858"/>
                        <w:w w:val="105"/>
                        <w:sz w:val="16"/>
                      </w:rPr>
                      <w:t>Historic</w:t>
                      <w:tab/>
                    </w:r>
                    <w:r>
                      <w:rPr>
                        <w:rFonts w:ascii="Calibri"/>
                        <w:color w:val="585858"/>
                        <w:sz w:val="16"/>
                      </w:rPr>
                      <w:t>Projected</w:t>
                    </w:r>
                  </w:p>
                </w:txbxContent>
              </v:textbox>
              <w10:wrap type="none"/>
            </v:shape>
            <w10:wrap type="none"/>
          </v:group>
        </w:pict>
      </w:r>
      <w:r>
        <w:rPr>
          <w:rFonts w:ascii="Calibri"/>
          <w:color w:val="585858"/>
          <w:spacing w:val="-2"/>
          <w:sz w:val="16"/>
        </w:rPr>
        <w:t>400,000</w:t>
      </w:r>
    </w:p>
    <w:p>
      <w:pPr>
        <w:spacing w:before="85"/>
        <w:ind w:left="0" w:right="10083" w:firstLine="0"/>
        <w:jc w:val="right"/>
        <w:rPr>
          <w:rFonts w:ascii="Calibri"/>
          <w:sz w:val="16"/>
        </w:rPr>
      </w:pPr>
      <w:r>
        <w:rPr>
          <w:rFonts w:ascii="Calibri"/>
          <w:color w:val="585858"/>
          <w:spacing w:val="-2"/>
          <w:sz w:val="16"/>
        </w:rPr>
        <w:t>350,000</w:t>
      </w:r>
    </w:p>
    <w:p>
      <w:pPr>
        <w:spacing w:before="85"/>
        <w:ind w:left="0" w:right="10083" w:firstLine="0"/>
        <w:jc w:val="right"/>
        <w:rPr>
          <w:rFonts w:ascii="Calibri"/>
          <w:sz w:val="16"/>
        </w:rPr>
      </w:pPr>
      <w:r>
        <w:rPr>
          <w:rFonts w:ascii="Calibri"/>
          <w:color w:val="585858"/>
          <w:spacing w:val="-2"/>
          <w:sz w:val="16"/>
        </w:rPr>
        <w:t>300,000</w:t>
      </w:r>
    </w:p>
    <w:p>
      <w:pPr>
        <w:spacing w:before="85"/>
        <w:ind w:left="0" w:right="10083" w:firstLine="0"/>
        <w:jc w:val="right"/>
        <w:rPr>
          <w:rFonts w:ascii="Calibri"/>
          <w:sz w:val="16"/>
        </w:rPr>
      </w:pPr>
      <w:r>
        <w:rPr>
          <w:rFonts w:ascii="Calibri"/>
          <w:color w:val="585858"/>
          <w:spacing w:val="-2"/>
          <w:sz w:val="16"/>
        </w:rPr>
        <w:t>250,000</w:t>
      </w:r>
    </w:p>
    <w:p>
      <w:pPr>
        <w:spacing w:before="84"/>
        <w:ind w:left="0" w:right="10083" w:firstLine="0"/>
        <w:jc w:val="right"/>
        <w:rPr>
          <w:rFonts w:ascii="Calibri"/>
          <w:sz w:val="16"/>
        </w:rPr>
      </w:pPr>
      <w:r>
        <w:rPr>
          <w:rFonts w:ascii="Calibri"/>
          <w:color w:val="585858"/>
          <w:spacing w:val="-2"/>
          <w:sz w:val="16"/>
        </w:rPr>
        <w:t>200,000</w:t>
      </w:r>
    </w:p>
    <w:p>
      <w:pPr>
        <w:spacing w:before="85"/>
        <w:ind w:left="0" w:right="10083" w:firstLine="0"/>
        <w:jc w:val="right"/>
        <w:rPr>
          <w:rFonts w:ascii="Calibri"/>
          <w:sz w:val="16"/>
        </w:rPr>
      </w:pPr>
      <w:r>
        <w:rPr>
          <w:rFonts w:ascii="Calibri"/>
          <w:color w:val="585858"/>
          <w:spacing w:val="-2"/>
          <w:sz w:val="16"/>
        </w:rPr>
        <w:t>150,000</w:t>
      </w:r>
    </w:p>
    <w:p>
      <w:pPr>
        <w:spacing w:before="85"/>
        <w:ind w:left="0" w:right="10083" w:firstLine="0"/>
        <w:jc w:val="right"/>
        <w:rPr>
          <w:rFonts w:ascii="Calibri"/>
          <w:sz w:val="16"/>
        </w:rPr>
      </w:pPr>
      <w:r>
        <w:rPr>
          <w:rFonts w:ascii="Calibri"/>
          <w:color w:val="585858"/>
          <w:spacing w:val="-2"/>
          <w:sz w:val="16"/>
        </w:rPr>
        <w:t>100,000</w:t>
      </w:r>
    </w:p>
    <w:p>
      <w:pPr>
        <w:spacing w:before="85"/>
        <w:ind w:left="0" w:right="10082" w:firstLine="0"/>
        <w:jc w:val="right"/>
        <w:rPr>
          <w:rFonts w:ascii="Calibri"/>
          <w:sz w:val="16"/>
        </w:rPr>
      </w:pPr>
      <w:r>
        <w:rPr>
          <w:rFonts w:ascii="Calibri"/>
          <w:color w:val="585858"/>
          <w:spacing w:val="-1"/>
          <w:sz w:val="16"/>
        </w:rPr>
        <w:t>50,000</w:t>
      </w:r>
    </w:p>
    <w:p>
      <w:pPr>
        <w:spacing w:before="85"/>
        <w:ind w:left="0" w:right="10082" w:firstLine="0"/>
        <w:jc w:val="right"/>
        <w:rPr>
          <w:rFonts w:ascii="Calibri"/>
          <w:sz w:val="16"/>
        </w:rPr>
      </w:pPr>
      <w:r>
        <w:rPr>
          <w:rFonts w:ascii="Calibri"/>
          <w:color w:val="585858"/>
          <w:w w:val="103"/>
          <w:sz w:val="16"/>
        </w:rPr>
        <w:t>0</w:t>
      </w:r>
    </w:p>
    <w:p>
      <w:pPr>
        <w:pStyle w:val="BodyText"/>
        <w:rPr>
          <w:rFonts w:ascii="Calibri"/>
        </w:rPr>
      </w:pPr>
    </w:p>
    <w:p>
      <w:pPr>
        <w:pStyle w:val="BodyText"/>
        <w:spacing w:before="4"/>
        <w:rPr>
          <w:rFonts w:ascii="Calibri"/>
          <w:sz w:val="26"/>
        </w:rPr>
      </w:pPr>
    </w:p>
    <w:p>
      <w:pPr>
        <w:spacing w:before="61"/>
        <w:ind w:left="1602" w:right="1423" w:firstLine="0"/>
        <w:jc w:val="center"/>
        <w:rPr>
          <w:rFonts w:ascii="Calibri"/>
          <w:b/>
          <w:sz w:val="19"/>
        </w:rPr>
      </w:pPr>
      <w:r>
        <w:rPr>
          <w:rFonts w:ascii="Calibri"/>
          <w:b/>
          <w:color w:val="585858"/>
          <w:sz w:val="19"/>
        </w:rPr>
        <w:t>Year Ending 30 June</w:t>
      </w:r>
    </w:p>
    <w:p>
      <w:pPr>
        <w:pStyle w:val="BodyText"/>
        <w:spacing w:before="3"/>
        <w:rPr>
          <w:rFonts w:ascii="Calibri"/>
          <w:b/>
          <w:sz w:val="21"/>
        </w:rPr>
      </w:pPr>
    </w:p>
    <w:p>
      <w:pPr>
        <w:spacing w:before="96"/>
        <w:ind w:left="900" w:right="1033" w:firstLine="0"/>
        <w:jc w:val="left"/>
        <w:rPr>
          <w:sz w:val="16"/>
        </w:rPr>
      </w:pPr>
      <w:r>
        <w:rPr>
          <w:color w:val="DF2F1E"/>
          <w:sz w:val="16"/>
        </w:rPr>
        <w:t>Notes the entries into class 9 in 2017/18 are impacted by data maturity and are likely understated. An adjustment has been carried out in order to increase the entries in the 2018/19 year of the projection, in order to make an allowance for this. Entries into class 9 in 2017/18 are also impacted by the pension assets test changes.</w:t>
      </w:r>
    </w:p>
    <w:p>
      <w:pPr>
        <w:pStyle w:val="BodyText"/>
        <w:spacing w:before="5"/>
        <w:rPr>
          <w:sz w:val="15"/>
        </w:rPr>
      </w:pPr>
    </w:p>
    <w:p>
      <w:pPr>
        <w:pStyle w:val="Heading9"/>
        <w:spacing w:before="1"/>
      </w:pPr>
      <w:r>
        <w:rPr>
          <w:color w:val="DF2F1E"/>
        </w:rPr>
        <w:t>Figure 92: Number of people exiting class 9 – Non IS Other (by class exited to)</w:t>
      </w:r>
    </w:p>
    <w:p>
      <w:pPr>
        <w:pStyle w:val="BodyText"/>
        <w:spacing w:before="1"/>
        <w:rPr>
          <w:b/>
          <w:sz w:val="9"/>
        </w:rPr>
      </w:pPr>
    </w:p>
    <w:p>
      <w:pPr>
        <w:spacing w:before="72"/>
        <w:ind w:left="0" w:right="10085" w:firstLine="0"/>
        <w:jc w:val="right"/>
        <w:rPr>
          <w:rFonts w:ascii="Calibri"/>
          <w:sz w:val="16"/>
        </w:rPr>
      </w:pPr>
      <w:r>
        <w:rPr/>
        <w:pict>
          <v:group style="position:absolute;margin-left:98.348862pt;margin-top:8.855659pt;width:412.5pt;height:144.3pt;mso-position-horizontal-relative:page;mso-position-vertical-relative:paragraph;z-index:252678144" coordorigin="1967,177" coordsize="8250,2886">
            <v:shape style="position:absolute;left:1972;top:2141;width:8239;height:2" coordorigin="1973,2142" coordsize="8239,0" path="m9963,2142l10211,2142m9149,2142l9633,2142m8323,2142l8818,2142m7496,2142l7992,2142m6670,2142l7166,2142m5844,2142l6340,2142m5018,2142l5514,2142m4204,2142l4687,2142m3377,2142l3873,2142m2551,2142l3047,2142m1973,2142l2221,2142e" filled="false" stroked="true" strokeweight=".589983pt" strokecolor="#d9d9d9">
              <v:path arrowok="t"/>
              <v:stroke dashstyle="solid"/>
            </v:shape>
            <v:line style="position:absolute" from="2221,2419" to="2551,2419" stroked="true" strokeweight=".589995pt" strokecolor="#1f487c">
              <v:stroke dashstyle="solid"/>
            </v:line>
            <v:rect style="position:absolute;left:2214;top:2407;width:343;height:24" filled="true" fillcolor="#1f487c" stroked="false">
              <v:fill type="solid"/>
            </v:rect>
            <v:rect style="position:absolute;left:2220;top:2365;width:331;height:48" filled="true" fillcolor="#009544" stroked="false">
              <v:fill type="solid"/>
            </v:rect>
            <v:rect style="position:absolute;left:2220;top:2365;width:331;height:48" filled="false" stroked="true" strokeweight=".589985pt" strokecolor="#009544">
              <v:stroke dashstyle="solid"/>
            </v:rect>
            <v:rect style="position:absolute;left:2220;top:2330;width:331;height:36" filled="true" fillcolor="#e16b09" stroked="false">
              <v:fill type="solid"/>
            </v:rect>
            <v:rect style="position:absolute;left:2220;top:2330;width:331;height:36" filled="false" stroked="true" strokeweight=".589984pt" strokecolor="#e16b09">
              <v:stroke dashstyle="solid"/>
            </v:rect>
            <v:line style="position:absolute" from="2221,2325" to="2551,2325" stroked="true" strokeweight=".589983pt" strokecolor="#e08ad6">
              <v:stroke dashstyle="solid"/>
            </v:line>
            <v:rect style="position:absolute;left:2214;top:2312;width:343;height:24" filled="true" fillcolor="#e08ad6" stroked="false">
              <v:fill type="solid"/>
            </v:rect>
            <v:rect style="position:absolute;left:2214;top:2301;width:343;height:24" filled="true" fillcolor="#8063a1" stroked="false">
              <v:fill type="solid"/>
            </v:rect>
            <v:rect style="position:absolute;left:2220;top:2188;width:331;height:130" filled="true" fillcolor="#c0504d" stroked="false">
              <v:fill type="solid"/>
            </v:rect>
            <v:line style="position:absolute" from="3047,2419" to="3377,2419" stroked="true" strokeweight=".589995pt" strokecolor="#1f487c">
              <v:stroke dashstyle="solid"/>
            </v:line>
            <v:rect style="position:absolute;left:3041;top:2407;width:343;height:24" filled="true" fillcolor="#1f487c" stroked="false">
              <v:fill type="solid"/>
            </v:rect>
            <v:rect style="position:absolute;left:3046;top:2354;width:331;height:59" filled="true" fillcolor="#009544" stroked="false">
              <v:fill type="solid"/>
            </v:rect>
            <v:rect style="position:absolute;left:3046;top:2354;width:331;height:59" filled="false" stroked="true" strokeweight=".589987pt" strokecolor="#009544">
              <v:stroke dashstyle="solid"/>
            </v:rect>
            <v:rect style="position:absolute;left:3046;top:2318;width:331;height:36" filled="true" fillcolor="#e16b09" stroked="false">
              <v:fill type="solid"/>
            </v:rect>
            <v:rect style="position:absolute;left:3046;top:2318;width:331;height:36" filled="false" stroked="true" strokeweight=".589984pt" strokecolor="#e16b09">
              <v:stroke dashstyle="solid"/>
            </v:rect>
            <v:line style="position:absolute" from="3047,2313" to="3377,2313" stroked="true" strokeweight=".58997pt" strokecolor="#e08ad6">
              <v:stroke dashstyle="solid"/>
            </v:line>
            <v:rect style="position:absolute;left:3041;top:2301;width:343;height:24" filled="true" fillcolor="#e08ad6" stroked="false">
              <v:fill type="solid"/>
            </v:rect>
            <v:rect style="position:absolute;left:3041;top:2289;width:343;height:24" filled="true" fillcolor="#8063a1" stroked="false">
              <v:fill type="solid"/>
            </v:rect>
            <v:rect style="position:absolute;left:3046;top:2188;width:331;height:118" filled="true" fillcolor="#c0504d" stroked="false">
              <v:fill type="solid"/>
            </v:rect>
            <v:line style="position:absolute" from="3873,2419" to="4204,2419" stroked="true" strokeweight=".589995pt" strokecolor="#1f487c">
              <v:stroke dashstyle="solid"/>
            </v:line>
            <v:rect style="position:absolute;left:3867;top:2407;width:343;height:24" filled="true" fillcolor="#1f487c" stroked="false">
              <v:fill type="solid"/>
            </v:rect>
            <v:rect style="position:absolute;left:3873;top:2365;width:331;height:48" filled="true" fillcolor="#009544" stroked="false">
              <v:fill type="solid"/>
            </v:rect>
            <v:rect style="position:absolute;left:3873;top:2365;width:331;height:48" filled="false" stroked="true" strokeweight=".589985pt" strokecolor="#009544">
              <v:stroke dashstyle="solid"/>
            </v:rect>
            <v:rect style="position:absolute;left:3873;top:2330;width:331;height:36" filled="true" fillcolor="#e16b09" stroked="false">
              <v:fill type="solid"/>
            </v:rect>
            <v:rect style="position:absolute;left:3873;top:2330;width:331;height:36" filled="false" stroked="true" strokeweight=".589984pt" strokecolor="#e16b09">
              <v:stroke dashstyle="solid"/>
            </v:rect>
            <v:line style="position:absolute" from="3873,2325" to="4204,2325" stroked="true" strokeweight=".589983pt" strokecolor="#e08ad6">
              <v:stroke dashstyle="solid"/>
            </v:line>
            <v:rect style="position:absolute;left:3867;top:2312;width:343;height:24" filled="true" fillcolor="#e08ad6" stroked="false">
              <v:fill type="solid"/>
            </v:rect>
            <v:line style="position:absolute" from="3873,2325" to="4204,2325" stroked="true" strokeweight=".589983pt" strokecolor="#8063a1">
              <v:stroke dashstyle="solid"/>
            </v:line>
            <v:rect style="position:absolute;left:3867;top:2312;width:343;height:24" filled="true" fillcolor="#8063a1" stroked="false">
              <v:fill type="solid"/>
            </v:rect>
            <v:rect style="position:absolute;left:3873;top:2224;width:331;height:95" filled="true" fillcolor="#c0504d" stroked="false">
              <v:fill type="solid"/>
            </v:rect>
            <v:shape style="position:absolute;left:19610;top:-160837;width:156883;height:10273" coordorigin="19610,-160836" coordsize="156883,10273" path="m2221,2189l2551,2189,2551,2319,2221,2319,2221,2189xm3047,2189l3377,2189,3377,2307,3047,2307,3047,2189xm3873,2224l4204,2224,4204,2319,3873,2319,3873,2224xe" filled="false" stroked="true" strokeweight=".590053pt" strokecolor="#c0504d">
              <v:path arrowok="t"/>
              <v:stroke dashstyle="solid"/>
            </v:shape>
            <v:shape style="position:absolute;left:1972;top:1020;width:1075;height:838" coordorigin="1973,1021" coordsize="1075,838" path="m2551,1859l3047,1859m1973,1859l2221,1859m2551,1587l3047,1587m1973,1587l2221,1587m2551,1304l3047,1304m1973,1304l2221,1304m2551,1021l3047,1021m1973,1021l2221,1021e" filled="false" stroked="true" strokeweight=".589983pt" strokecolor="#d9d9d9">
              <v:path arrowok="t"/>
              <v:stroke dashstyle="solid"/>
            </v:shape>
            <v:rect style="position:absolute;left:2220;top:1091;width:331;height:1098" filled="true" fillcolor="#f8a763" stroked="false">
              <v:fill type="solid"/>
            </v:rect>
            <v:shape style="position:absolute;left:3377;top:1020;width:496;height:838" coordorigin="3377,1021" coordsize="496,838" path="m3377,1859l3873,1859m3377,1587l3873,1587m3377,1304l3873,1304m3377,1021l3873,1021e" filled="false" stroked="true" strokeweight=".589983pt" strokecolor="#d9d9d9">
              <v:path arrowok="t"/>
              <v:stroke dashstyle="solid"/>
            </v:shape>
            <v:rect style="position:absolute;left:3046;top:820;width:331;height:1369" filled="true" fillcolor="#f8a763" stroked="false">
              <v:fill type="solid"/>
            </v:rect>
            <v:shape style="position:absolute;left:4203;top:1020;width:484;height:838" coordorigin="4204,1021" coordsize="484,838" path="m4204,1859l4687,1859m4204,1587l4687,1587m4204,1304l4687,1304m4204,1021l4687,1021e" filled="false" stroked="true" strokeweight=".589983pt" strokecolor="#d9d9d9">
              <v:path arrowok="t"/>
              <v:stroke dashstyle="solid"/>
            </v:shape>
            <v:rect style="position:absolute;left:3873;top:879;width:331;height:1346" filled="true" fillcolor="#f8a763" stroked="false">
              <v:fill type="solid"/>
            </v:rect>
            <v:shape style="position:absolute;left:5017;top:1020;width:496;height:838" coordorigin="5018,1021" coordsize="496,838" path="m5018,1859l5514,1859m5018,1587l5514,1587m5018,1304l5514,1304m5018,1021l5514,1021e" filled="false" stroked="true" strokeweight=".589983pt" strokecolor="#d9d9d9">
              <v:path arrowok="t"/>
              <v:stroke dashstyle="solid"/>
            </v:shape>
            <v:line style="position:absolute" from="4687,2419" to="5018,2419" stroked="true" strokeweight=".589995pt" strokecolor="#1f487c">
              <v:stroke dashstyle="solid"/>
            </v:line>
            <v:rect style="position:absolute;left:4681;top:2407;width:343;height:24" filled="true" fillcolor="#1f487c" stroked="false">
              <v:fill type="solid"/>
            </v:rect>
            <v:rect style="position:absolute;left:4687;top:2377;width:331;height:36" filled="true" fillcolor="#009544" stroked="false">
              <v:fill type="solid"/>
            </v:rect>
            <v:rect style="position:absolute;left:4687;top:2377;width:331;height:36" filled="false" stroked="true" strokeweight=".589984pt" strokecolor="#009544">
              <v:stroke dashstyle="solid"/>
            </v:rect>
            <v:rect style="position:absolute;left:4687;top:2342;width:331;height:36" filled="true" fillcolor="#e16b09" stroked="false">
              <v:fill type="solid"/>
            </v:rect>
            <v:rect style="position:absolute;left:4687;top:2342;width:331;height:36" filled="false" stroked="true" strokeweight=".589984pt" strokecolor="#e16b09">
              <v:stroke dashstyle="solid"/>
            </v:rect>
            <v:line style="position:absolute" from="4687,2336" to="5018,2336" stroked="true" strokeweight=".589983pt" strokecolor="#e08ad6">
              <v:stroke dashstyle="solid"/>
            </v:line>
            <v:rect style="position:absolute;left:4681;top:2324;width:343;height:24" filled="true" fillcolor="#e08ad6" stroked="false">
              <v:fill type="solid"/>
            </v:rect>
            <v:line style="position:absolute" from="4687,2336" to="5018,2336" stroked="true" strokeweight=".589983pt" strokecolor="#8063a1">
              <v:stroke dashstyle="solid"/>
            </v:line>
            <v:rect style="position:absolute;left:4681;top:2324;width:343;height:24" filled="true" fillcolor="#8063a1" stroked="false">
              <v:fill type="solid"/>
            </v:rect>
            <v:rect style="position:absolute;left:4687;top:2271;width:331;height:59" filled="true" fillcolor="#c0504d" stroked="false">
              <v:fill type="solid"/>
            </v:rect>
            <v:rect style="position:absolute;left:4687;top:2271;width:331;height:59" filled="false" stroked="true" strokeweight=".589987pt" strokecolor="#c0504d">
              <v:stroke dashstyle="solid"/>
            </v:rect>
            <v:rect style="position:absolute;left:4687;top:938;width:331;height:1334" filled="true" fillcolor="#f8a763" stroked="false">
              <v:fill type="solid"/>
            </v:rect>
            <v:shape style="position:absolute;left:5844;top:1020;width:496;height:838" coordorigin="5844,1021" coordsize="496,838" path="m5844,1859l6340,1859m5844,1587l6340,1587m5844,1304l6340,1304m5844,1021l6340,1021e" filled="false" stroked="true" strokeweight=".589983pt" strokecolor="#d9d9d9">
              <v:path arrowok="t"/>
              <v:stroke dashstyle="solid"/>
            </v:shape>
            <v:line style="position:absolute" from="5514,2419" to="5844,2419" stroked="true" strokeweight=".589995pt" strokecolor="#1f487c">
              <v:stroke dashstyle="solid"/>
            </v:line>
            <v:rect style="position:absolute;left:5507;top:2407;width:343;height:24" filled="true" fillcolor="#1f487c" stroked="false">
              <v:fill type="solid"/>
            </v:rect>
            <v:rect style="position:absolute;left:5513;top:2377;width:331;height:36" filled="true" fillcolor="#009544" stroked="false">
              <v:fill type="solid"/>
            </v:rect>
            <v:rect style="position:absolute;left:5513;top:2377;width:331;height:36" filled="false" stroked="true" strokeweight=".589984pt" strokecolor="#009544">
              <v:stroke dashstyle="solid"/>
            </v:rect>
            <v:rect style="position:absolute;left:5513;top:2354;width:331;height:24" filled="true" fillcolor="#e16b09" stroked="false">
              <v:fill type="solid"/>
            </v:rect>
            <v:rect style="position:absolute;left:5507;top:2348;width:343;height:36" filled="true" fillcolor="#e16b09" stroked="false">
              <v:fill type="solid"/>
            </v:rect>
            <v:line style="position:absolute" from="5514,2348" to="5844,2348" stroked="true" strokeweight=".589983pt" strokecolor="#e08ad6">
              <v:stroke dashstyle="solid"/>
            </v:line>
            <v:rect style="position:absolute;left:5507;top:2336;width:343;height:24" filled="true" fillcolor="#e08ad6" stroked="false">
              <v:fill type="solid"/>
            </v:rect>
            <v:line style="position:absolute" from="5514,2336" to="5844,2336" stroked="true" strokeweight=".589983pt" strokecolor="#8063a1">
              <v:stroke dashstyle="solid"/>
            </v:line>
            <v:rect style="position:absolute;left:5507;top:2324;width:343;height:24" filled="true" fillcolor="#8063a1" stroked="false">
              <v:fill type="solid"/>
            </v:rect>
            <v:rect style="position:absolute;left:5513;top:2306;width:331;height:36" filled="true" fillcolor="#c0504d" stroked="false">
              <v:fill type="solid"/>
            </v:rect>
            <v:rect style="position:absolute;left:5513;top:2306;width:331;height:36" filled="false" stroked="true" strokeweight=".589984pt" strokecolor="#c0504d">
              <v:stroke dashstyle="solid"/>
            </v:rect>
            <v:rect style="position:absolute;left:5513;top:902;width:331;height:1405" filled="true" fillcolor="#f8a763" stroked="false">
              <v:fill type="solid"/>
            </v:rect>
            <v:shape style="position:absolute;left:5844;top:737;width:1322;height:1121" coordorigin="5844,738" coordsize="1322,1121" path="m6670,1859l7166,1859m6670,1587l7166,1587m6670,1304l7166,1304m6670,1021l7166,1021m6670,738l7166,738m5844,738l6340,738e" filled="false" stroked="true" strokeweight=".589983pt" strokecolor="#d9d9d9">
              <v:path arrowok="t"/>
              <v:stroke dashstyle="solid"/>
            </v:shape>
            <v:line style="position:absolute" from="6340,2419" to="6670,2419" stroked="true" strokeweight=".589995pt" strokecolor="#1f487c">
              <v:stroke dashstyle="solid"/>
            </v:line>
            <v:rect style="position:absolute;left:6333;top:2407;width:343;height:24" filled="true" fillcolor="#1f487c" stroked="false">
              <v:fill type="solid"/>
            </v:rect>
            <v:rect style="position:absolute;left:6339;top:2365;width:331;height:48" filled="true" fillcolor="#009544" stroked="false">
              <v:fill type="solid"/>
            </v:rect>
            <v:rect style="position:absolute;left:6339;top:2365;width:331;height:48" filled="false" stroked="true" strokeweight=".589985pt" strokecolor="#009544">
              <v:stroke dashstyle="solid"/>
            </v:rect>
            <v:rect style="position:absolute;left:6339;top:2330;width:331;height:36" filled="true" fillcolor="#e16b09" stroked="false">
              <v:fill type="solid"/>
            </v:rect>
            <v:rect style="position:absolute;left:6339;top:2330;width:331;height:36" filled="false" stroked="true" strokeweight=".589984pt" strokecolor="#e16b09">
              <v:stroke dashstyle="solid"/>
            </v:rect>
            <v:line style="position:absolute" from="6340,2325" to="6670,2325" stroked="true" strokeweight=".589983pt" strokecolor="#e08ad6">
              <v:stroke dashstyle="solid"/>
            </v:line>
            <v:rect style="position:absolute;left:6333;top:2312;width:343;height:24" filled="true" fillcolor="#e08ad6" stroked="false">
              <v:fill type="solid"/>
            </v:rect>
            <v:line style="position:absolute" from="6340,2325" to="6670,2325" stroked="true" strokeweight=".589983pt" strokecolor="#8063a1">
              <v:stroke dashstyle="solid"/>
            </v:line>
            <v:rect style="position:absolute;left:6333;top:2312;width:343;height:24" filled="true" fillcolor="#8063a1" stroked="false">
              <v:fill type="solid"/>
            </v:rect>
            <v:rect style="position:absolute;left:6339;top:2259;width:331;height:71" filled="true" fillcolor="#c0504d" stroked="false">
              <v:fill type="solid"/>
            </v:rect>
            <v:rect style="position:absolute;left:6339;top:2259;width:331;height:71" filled="false" stroked="true" strokeweight=".589989pt" strokecolor="#c0504d">
              <v:stroke dashstyle="solid"/>
            </v:rect>
            <v:rect style="position:absolute;left:6339;top:796;width:331;height:1464" filled="true" fillcolor="#f8a763" stroked="false">
              <v:fill type="solid"/>
            </v:rect>
            <v:shape style="position:absolute;left:7496;top:737;width:496;height:1121" coordorigin="7496,738" coordsize="496,1121" path="m7496,1859l7992,1859m7496,1587l7992,1587m7496,1304l7992,1304m7496,1021l7992,1021m7496,738l7992,738e" filled="false" stroked="true" strokeweight=".589983pt" strokecolor="#d9d9d9">
              <v:path arrowok="t"/>
              <v:stroke dashstyle="solid"/>
            </v:shape>
            <v:line style="position:absolute" from="7166,2419" to="7496,2419" stroked="true" strokeweight=".589995pt" strokecolor="#1f487c">
              <v:stroke dashstyle="solid"/>
            </v:line>
            <v:rect style="position:absolute;left:7160;top:2407;width:343;height:24" filled="true" fillcolor="#1f487c" stroked="false">
              <v:fill type="solid"/>
            </v:rect>
            <v:rect style="position:absolute;left:7166;top:2365;width:331;height:48" filled="true" fillcolor="#009544" stroked="false">
              <v:fill type="solid"/>
            </v:rect>
            <v:rect style="position:absolute;left:7166;top:2365;width:331;height:48" filled="false" stroked="true" strokeweight=".589985pt" strokecolor="#009544">
              <v:stroke dashstyle="solid"/>
            </v:rect>
            <v:rect style="position:absolute;left:7166;top:2342;width:331;height:24" filled="true" fillcolor="#e16b09" stroked="false">
              <v:fill type="solid"/>
            </v:rect>
            <v:rect style="position:absolute;left:7160;top:2336;width:343;height:36" filled="true" fillcolor="#e16b09" stroked="false">
              <v:fill type="solid"/>
            </v:rect>
            <v:line style="position:absolute" from="7166,2336" to="7496,2336" stroked="true" strokeweight=".589983pt" strokecolor="#e08ad6">
              <v:stroke dashstyle="solid"/>
            </v:line>
            <v:rect style="position:absolute;left:7160;top:2324;width:343;height:24" filled="true" fillcolor="#e08ad6" stroked="false">
              <v:fill type="solid"/>
            </v:rect>
            <v:line style="position:absolute" from="7166,2336" to="7496,2336" stroked="true" strokeweight=".589983pt" strokecolor="#8063a1">
              <v:stroke dashstyle="solid"/>
            </v:line>
            <v:rect style="position:absolute;left:7160;top:2324;width:343;height:24" filled="true" fillcolor="#8063a1" stroked="false">
              <v:fill type="solid"/>
            </v:rect>
            <v:rect style="position:absolute;left:7165;top:2283;width:331;height:59" filled="true" fillcolor="#c0504d" stroked="false">
              <v:fill type="solid"/>
            </v:rect>
            <v:rect style="position:absolute;left:7165;top:2283;width:331;height:59" filled="false" stroked="true" strokeweight=".589987pt" strokecolor="#c0504d">
              <v:stroke dashstyle="solid"/>
            </v:rect>
            <v:rect style="position:absolute;left:7165;top:773;width:331;height:1511" filled="true" fillcolor="#f8a763" stroked="false">
              <v:fill type="solid"/>
            </v:rect>
            <v:shape style="position:absolute;left:8322;top:737;width:496;height:1121" coordorigin="8323,738" coordsize="496,1121" path="m8323,1859l8818,1859m8323,1587l8818,1587m8323,1304l8818,1304m8323,1021l8818,1021m8323,738l8818,738e" filled="false" stroked="true" strokeweight=".589983pt" strokecolor="#d9d9d9">
              <v:path arrowok="t"/>
              <v:stroke dashstyle="solid"/>
            </v:shape>
            <v:line style="position:absolute" from="7992,2419" to="8323,2419" stroked="true" strokeweight=".589995pt" strokecolor="#1f487c">
              <v:stroke dashstyle="solid"/>
            </v:line>
            <v:rect style="position:absolute;left:7986;top:2407;width:343;height:24" filled="true" fillcolor="#1f487c" stroked="false">
              <v:fill type="solid"/>
            </v:rect>
            <v:rect style="position:absolute;left:7992;top:2365;width:331;height:48" filled="true" fillcolor="#009544" stroked="false">
              <v:fill type="solid"/>
            </v:rect>
            <v:rect style="position:absolute;left:7992;top:2365;width:331;height:48" filled="false" stroked="true" strokeweight=".589985pt" strokecolor="#009544">
              <v:stroke dashstyle="solid"/>
            </v:rect>
            <v:rect style="position:absolute;left:7992;top:2342;width:331;height:24" filled="true" fillcolor="#e16b09" stroked="false">
              <v:fill type="solid"/>
            </v:rect>
            <v:rect style="position:absolute;left:7986;top:2336;width:343;height:36" filled="true" fillcolor="#e16b09" stroked="false">
              <v:fill type="solid"/>
            </v:rect>
            <v:line style="position:absolute" from="7992,2336" to="8323,2336" stroked="true" strokeweight=".589983pt" strokecolor="#e08ad6">
              <v:stroke dashstyle="solid"/>
            </v:line>
            <v:rect style="position:absolute;left:7986;top:2324;width:343;height:24" filled="true" fillcolor="#e08ad6" stroked="false">
              <v:fill type="solid"/>
            </v:rect>
            <v:line style="position:absolute" from="7992,2336" to="8323,2336" stroked="true" strokeweight=".589983pt" strokecolor="#8063a1">
              <v:stroke dashstyle="solid"/>
            </v:line>
            <v:rect style="position:absolute;left:7986;top:2324;width:343;height:24" filled="true" fillcolor="#8063a1" stroked="false">
              <v:fill type="solid"/>
            </v:rect>
            <v:rect style="position:absolute;left:7992;top:2283;width:331;height:59" filled="true" fillcolor="#c0504d" stroked="false">
              <v:fill type="solid"/>
            </v:rect>
            <v:rect style="position:absolute;left:7992;top:2283;width:331;height:59" filled="false" stroked="true" strokeweight=".589987pt" strokecolor="#c0504d">
              <v:stroke dashstyle="solid"/>
            </v:rect>
            <v:rect style="position:absolute;left:7992;top:808;width:331;height:1475" filled="true" fillcolor="#f8a763" stroked="false">
              <v:fill type="solid"/>
            </v:rect>
            <v:shape style="position:absolute;left:9148;top:737;width:484;height:1121" coordorigin="9149,738" coordsize="484,1121" path="m9149,1859l9633,1859m9149,1587l9633,1587m9149,1304l9633,1304m9149,1021l9633,1021m9149,738l9633,738e" filled="false" stroked="true" strokeweight=".589983pt" strokecolor="#d9d9d9">
              <v:path arrowok="t"/>
              <v:stroke dashstyle="solid"/>
            </v:shape>
            <v:line style="position:absolute" from="8818,2419" to="9149,2419" stroked="true" strokeweight=".589995pt" strokecolor="#1f487c">
              <v:stroke dashstyle="solid"/>
            </v:line>
            <v:rect style="position:absolute;left:8812;top:2407;width:343;height:24" filled="true" fillcolor="#1f487c" stroked="false">
              <v:fill type="solid"/>
            </v:rect>
            <v:rect style="position:absolute;left:8818;top:2365;width:331;height:48" filled="true" fillcolor="#009544" stroked="false">
              <v:fill type="solid"/>
            </v:rect>
            <v:rect style="position:absolute;left:8818;top:2365;width:331;height:48" filled="false" stroked="true" strokeweight=".589985pt" strokecolor="#009544">
              <v:stroke dashstyle="solid"/>
            </v:rect>
            <v:rect style="position:absolute;left:8818;top:2342;width:331;height:24" filled="true" fillcolor="#e16b09" stroked="false">
              <v:fill type="solid"/>
            </v:rect>
            <v:rect style="position:absolute;left:8812;top:2336;width:343;height:36" filled="true" fillcolor="#e16b09" stroked="false">
              <v:fill type="solid"/>
            </v:rect>
            <v:line style="position:absolute" from="8818,2336" to="9149,2336" stroked="true" strokeweight=".589983pt" strokecolor="#e08ad6">
              <v:stroke dashstyle="solid"/>
            </v:line>
            <v:rect style="position:absolute;left:8812;top:2324;width:343;height:24" filled="true" fillcolor="#e08ad6" stroked="false">
              <v:fill type="solid"/>
            </v:rect>
            <v:line style="position:absolute" from="8818,2336" to="9149,2336" stroked="true" strokeweight=".589983pt" strokecolor="#8063a1">
              <v:stroke dashstyle="solid"/>
            </v:line>
            <v:rect style="position:absolute;left:8812;top:2324;width:343;height:24" filled="true" fillcolor="#8063a1" stroked="false">
              <v:fill type="solid"/>
            </v:rect>
            <v:rect style="position:absolute;left:8818;top:2295;width:331;height:48" filled="true" fillcolor="#c0504d" stroked="false">
              <v:fill type="solid"/>
            </v:rect>
            <v:rect style="position:absolute;left:8818;top:2295;width:331;height:48" filled="false" stroked="true" strokeweight=".589986pt" strokecolor="#c0504d">
              <v:stroke dashstyle="solid"/>
            </v:rect>
            <v:rect style="position:absolute;left:8818;top:784;width:331;height:1511" filled="true" fillcolor="#f8a763" stroked="false">
              <v:fill type="solid"/>
            </v:rect>
            <v:shape style="position:absolute;left:9963;top:737;width:248;height:1121" coordorigin="9963,738" coordsize="248,1121" path="m9963,1859l10211,1859m9963,1587l10211,1587m9963,1304l10211,1304m9963,1021l10211,1021m9963,738l10211,738e" filled="false" stroked="true" strokeweight=".589983pt" strokecolor="#d9d9d9">
              <v:path arrowok="t"/>
              <v:stroke dashstyle="solid"/>
            </v:shape>
            <v:line style="position:absolute" from="9633,2419" to="9963,2419" stroked="true" strokeweight=".589995pt" strokecolor="#1f487c">
              <v:stroke dashstyle="solid"/>
            </v:line>
            <v:rect style="position:absolute;left:9626;top:2407;width:343;height:24" filled="true" fillcolor="#1f487c" stroked="false">
              <v:fill type="solid"/>
            </v:rect>
            <v:rect style="position:absolute;left:9632;top:2365;width:331;height:48" filled="true" fillcolor="#009544" stroked="false">
              <v:fill type="solid"/>
            </v:rect>
            <v:rect style="position:absolute;left:9632;top:2365;width:331;height:48" filled="false" stroked="true" strokeweight=".589985pt" strokecolor="#009544">
              <v:stroke dashstyle="solid"/>
            </v:rect>
            <v:rect style="position:absolute;left:9632;top:2342;width:331;height:24" filled="true" fillcolor="#e16b09" stroked="false">
              <v:fill type="solid"/>
            </v:rect>
            <v:rect style="position:absolute;left:9626;top:2336;width:343;height:36" filled="true" fillcolor="#e16b09" stroked="false">
              <v:fill type="solid"/>
            </v:rect>
            <v:line style="position:absolute" from="9633,2336" to="9963,2336" stroked="true" strokeweight=".589983pt" strokecolor="#e08ad6">
              <v:stroke dashstyle="solid"/>
            </v:line>
            <v:rect style="position:absolute;left:9626;top:2324;width:343;height:24" filled="true" fillcolor="#e08ad6" stroked="false">
              <v:fill type="solid"/>
            </v:rect>
            <v:line style="position:absolute" from="9633,2336" to="9963,2336" stroked="true" strokeweight=".589983pt" strokecolor="#8063a1">
              <v:stroke dashstyle="solid"/>
            </v:line>
            <v:rect style="position:absolute;left:9626;top:2324;width:343;height:24" filled="true" fillcolor="#8063a1" stroked="false">
              <v:fill type="solid"/>
            </v:rect>
            <v:rect style="position:absolute;left:9632;top:2295;width:331;height:48" filled="true" fillcolor="#c0504d" stroked="false">
              <v:fill type="solid"/>
            </v:rect>
            <v:rect style="position:absolute;left:9632;top:2295;width:331;height:48" filled="false" stroked="true" strokeweight=".589986pt" strokecolor="#c0504d">
              <v:stroke dashstyle="solid"/>
            </v:rect>
            <v:rect style="position:absolute;left:9632;top:761;width:331;height:1534" filled="true" fillcolor="#f8a763" stroked="false">
              <v:fill type="solid"/>
            </v:rect>
            <v:shape style="position:absolute;left:19610;top:-159903;width:612589;height:122331" coordorigin="19610,-159903" coordsize="612589,122331" path="m2221,1092l2551,1092,2551,2189,2221,2189,2221,1092xm3047,820l3377,820,3377,2189,3047,2189,3047,820xm3873,879l4204,879,4204,2224,3873,2224,3873,879xm4687,938l5018,938,5018,2272,4687,2272,4687,938xm5514,903l5844,903,5844,2307,5514,2307,5514,903xm6340,797l6670,797,6670,2260,6340,2260,6340,797xm7166,773l7496,773,7496,2283,7166,2283,7166,773xm7992,808l8323,808,8323,2283,7992,2283,7992,808xm8818,785l9149,785,9149,2295,8818,2295,8818,785xm9633,761l9963,761,9963,2295,9633,2295,9633,761xe" filled="false" stroked="true" strokeweight=".590053pt" strokecolor="#f8a763">
              <v:path arrowok="t"/>
              <v:stroke dashstyle="solid"/>
            </v:shape>
            <v:line style="position:absolute" from="2221,1086" to="2551,1086" stroked="true" strokeweight=".589981pt" strokecolor="#ecb8e7">
              <v:stroke dashstyle="solid"/>
            </v:line>
            <v:shape style="position:absolute;left:1972;top:737;width:1901;height:2" coordorigin="1973,738" coordsize="1901,0" path="m3377,738l3873,738m1973,738l3047,738e" filled="false" stroked="true" strokeweight=".589983pt" strokecolor="#d9d9d9">
              <v:path arrowok="t"/>
              <v:stroke dashstyle="solid"/>
            </v:shape>
            <v:shape style="position:absolute;left:3046;top:814;width:1157;height:59" coordorigin="3047,814" coordsize="1157,59" path="m3047,814l3377,814m3873,873l4204,873e" filled="false" stroked="true" strokeweight=".589981pt" strokecolor="#ecb8e7">
              <v:path arrowok="t"/>
              <v:stroke dashstyle="solid"/>
            </v:shape>
            <v:line style="position:absolute" from="4687,932" to="5018,932" stroked="true" strokeweight=".589994pt" strokecolor="#ecb8e7">
              <v:stroke dashstyle="solid"/>
            </v:line>
            <v:line style="position:absolute" from="5514,897" to="5844,897" stroked="true" strokeweight=".589981pt" strokecolor="#ecb8e7">
              <v:stroke dashstyle="solid"/>
            </v:line>
            <v:line style="position:absolute" from="6340,791" to="6670,791" stroked="true" strokeweight=".589994pt" strokecolor="#ecb8e7">
              <v:stroke dashstyle="solid"/>
            </v:line>
            <v:line style="position:absolute" from="7166,767" to="7496,767" stroked="true" strokeweight=".589981pt" strokecolor="#ecb8e7">
              <v:stroke dashstyle="solid"/>
            </v:line>
            <v:shape style="position:absolute;left:7992;top:778;width:1157;height:24" coordorigin="7992,779" coordsize="1157,24" path="m7992,802l8323,802m8818,779l9149,779e" filled="false" stroked="true" strokeweight=".589981pt" strokecolor="#ecb8e7">
              <v:path arrowok="t"/>
              <v:stroke dashstyle="solid"/>
            </v:shape>
            <v:line style="position:absolute" from="9633,755" to="9963,755" stroked="true" strokeweight=".589981pt" strokecolor="#ecb8e7">
              <v:stroke dashstyle="solid"/>
            </v:line>
            <v:shape style="position:absolute;left:2214;top:743;width:7755;height:354" coordorigin="2215,744" coordsize="7755,354" path="m2557,1074l2215,1074,2215,1098,2557,1098,2557,1074m3383,803l3041,803,3041,826,3383,826,3383,803m4209,862l3867,862,3867,885,4209,885,4209,862m5024,921l4682,921,4682,944,5024,944,5024,921m5850,885l5508,885,5508,909,5850,909,5850,885m6676,779l6334,779,6334,803,6676,803,6676,779m7502,755l7160,755,7160,779,7502,779,7502,755m8329,791l7986,791,7986,814,8329,814,8329,791m9155,767l8812,767,8812,791,9155,791,9155,767m9969,744l9627,744,9627,767,9969,767,9969,744e" filled="true" fillcolor="#ecb8e7" stroked="false">
              <v:path arrowok="t"/>
              <v:fill type="solid"/>
            </v:shape>
            <v:shape style="position:absolute;left:2220;top:655;width:1157;height:425" coordorigin="2221,655" coordsize="1157,425" path="m2551,926l2221,926,2221,1080,2551,1080,2551,926m3377,655l3047,655,3047,808,3377,808,3377,655e" filled="true" fillcolor="#ffd600" stroked="false">
              <v:path arrowok="t"/>
              <v:fill type="solid"/>
            </v:shape>
            <v:line style="position:absolute" from="4204,738" to="5514,738" stroked="true" strokeweight=".589983pt" strokecolor="#d9d9d9">
              <v:stroke dashstyle="solid"/>
            </v:line>
            <v:shape style="position:absolute;left:3873;top:584;width:6091;height:343" coordorigin="3873,584" coordsize="6091,343" path="m4204,690l3873,690,3873,867,4204,867,4204,690m5018,785l4687,785,4687,926,5018,926,5018,785m5844,690l5514,690,5514,891,5844,891,5844,690m6670,631l6340,631,6340,785,6670,785,6670,631m7496,584l7166,584,7166,761,7496,761,7496,584m8323,620l7992,620,7992,797,8323,797,8323,620m9149,608l8818,608,8818,773,9149,773,9149,608m9963,584l9633,584,9633,749,9963,749,9963,584e" filled="true" fillcolor="#ffd600" stroked="false">
              <v:path arrowok="t"/>
              <v:fill type="solid"/>
            </v:shape>
            <v:shape style="position:absolute;left:20103;top:-64569;width:627980;height:40207" coordorigin="20103,-64568" coordsize="627980,40207" path="m2221,926l2551,926,2551,1080,2221,1080,2221,926xm3047,655l3377,655,3377,808,3047,808,3047,655xm3873,690l4204,690,4204,867,3873,867,3873,690xm4687,785l5018,785,5018,926,4687,926,4687,785xm5514,690l5844,690,5844,891,5514,891,5514,690xm6340,631l6670,631,6670,785,6340,785,6340,631xm7166,584l7496,584,7496,761,7166,761,7166,584xm7992,620l8323,620,8323,797,7992,797,7992,620xm8818,608l9149,608,9149,773,8818,773,8818,608xm9633,584l9963,584,9963,749,9633,749,9633,584xe" filled="false" stroked="true" strokeweight=".590051pt" strokecolor="#ffd600">
              <v:path arrowok="t"/>
              <v:stroke dashstyle="solid"/>
            </v:shape>
            <v:shape style="position:absolute;left:2220;top:584;width:4450;height:343" coordorigin="2221,584" coordsize="4450,343" path="m2551,891l2221,891,2221,926,2551,926,2551,891m3377,620l3047,620,3047,655,3377,655,3377,620m4204,655l3873,655,3873,690,4204,690,4204,655m5018,749l4687,749,4687,785,5018,785,5018,749m5844,655l5514,655,5514,690,5844,690,5844,655m6670,584l6340,584,6340,631,6670,631,6670,584e" filled="true" fillcolor="#000000" stroked="false">
              <v:path arrowok="t"/>
              <v:fill type="solid"/>
            </v:shape>
            <v:line style="position:absolute" from="1973,466" to="10211,466" stroked="true" strokeweight=".589983pt" strokecolor="#d9d9d9">
              <v:stroke dashstyle="solid"/>
            </v:line>
            <v:shape style="position:absolute;left:7165;top:537;width:2798;height:83" coordorigin="7166,537" coordsize="2798,83" path="m7496,537l7166,537,7166,584,7496,584,7496,537m8323,561l7992,561,7992,620,8323,620,8323,561m9149,549l8818,549,8818,608,9149,608,9149,549m9963,537l9633,537,9633,584,9963,584,9963,537e" filled="true" fillcolor="#000000" stroked="false">
              <v:path arrowok="t"/>
              <v:fill type="solid"/>
            </v:shape>
            <v:shape style="position:absolute;left:20204;top:-52428;width:631152;height:31750" coordorigin="20205,-52428" coordsize="631152,31750" path="m2221,891l2551,891,2551,926,2221,926,2221,891xm3047,620l3377,620,3377,655,3047,655,3047,620xm3873,655l4204,655,4204,690,3873,690,3873,655xm4687,749l5018,749,5018,785,4687,785,4687,749xm5514,655l5844,655,5844,690,5514,690,5514,655xm6340,584l6670,584,6670,631,6340,631,6340,584xm7166,537l7496,537,7496,584,7166,584,7166,537xm7992,561l8323,561,8323,620,7992,620,7992,561xm8818,549l9149,549,9149,608,8818,608,8818,549xm9633,537l9963,537,9963,584,9633,584,9633,537xe" filled="false" stroked="true" strokeweight=".590056pt" strokecolor="#000000">
              <v:path arrowok="t"/>
              <v:stroke dashstyle="solid"/>
            </v:shape>
            <v:line style="position:absolute" from="1973,2425" to="10211,2425" stroked="true" strokeweight=".589985pt" strokecolor="#d9d9d9">
              <v:stroke dashstyle="solid"/>
            </v:line>
            <v:shape style="position:absolute;left:0;top:-17028;width:651809;height:25214" coordorigin="0,-17028" coordsize="651809,25214" path="m1973,2425l1973,2472m1973,2425l1973,2744m2799,2425l2799,2472m2799,2425l2799,2744m3625,2425l3625,2472m3625,2425l3625,2744m4440,2425l4440,2472m4440,2425l4440,2744m5266,2425l5266,2472m5266,2425l5266,2744m6092,2425l6092,2472m6092,2425l6092,2744m6918,2425l6918,2472m6918,2425l6918,2744m7744,2425l7744,2472m7744,2425l7744,2744m8570,2425l8570,2472m8570,2425l8570,2744m9385,2425l9385,2472m9385,2425l9385,2744m10211,2425l10211,2472m10211,2425l10211,2744e" filled="false" stroked="true" strokeweight=".590053pt" strokecolor="#d9d9d9">
              <v:path arrowok="t"/>
              <v:stroke dashstyle="solid"/>
            </v:shape>
            <v:shape style="position:absolute;left:0;top:-17028;width:651809;height:25214" coordorigin="0,-17028" coordsize="651809,25214" path="m1973,2744l1973,3062m6092,2744l6092,3062m10211,2744l10211,3062e" filled="false" stroked="true" strokeweight=".590053pt" strokecolor="#d9d9d9">
              <v:path arrowok="t"/>
              <v:stroke dashstyle="solid"/>
            </v:shape>
            <v:line style="position:absolute" from="1973,183" to="10211,183" stroked="true" strokeweight=".589983pt" strokecolor="#d9d9d9">
              <v:stroke dashstyle="solid"/>
            </v:line>
            <v:line style="position:absolute" from="6099,183" to="6092,2430" stroked="true" strokeweight=".590124pt" strokecolor="#a6a6a6">
              <v:stroke dashstyle="solid"/>
            </v:line>
            <v:shape style="position:absolute;left:2217;top:2559;width:351;height:166"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2014</w:t>
                    </w:r>
                  </w:p>
                </w:txbxContent>
              </v:textbox>
              <w10:wrap type="none"/>
            </v:shape>
            <v:shape style="position:absolute;left:3041;top:2559;width:351;height:166"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2015</w:t>
                    </w:r>
                  </w:p>
                </w:txbxContent>
              </v:textbox>
              <w10:wrap type="none"/>
            </v:shape>
            <v:shape style="position:absolute;left:3865;top:2559;width:351;height:166"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2016</w:t>
                    </w:r>
                  </w:p>
                </w:txbxContent>
              </v:textbox>
              <w10:wrap type="none"/>
            </v:shape>
            <v:shape style="position:absolute;left:4690;top:2559;width:351;height:166"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2017</w:t>
                    </w:r>
                  </w:p>
                </w:txbxContent>
              </v:textbox>
              <w10:wrap type="none"/>
            </v:shape>
            <v:shape style="position:absolute;left:5514;top:2559;width:351;height:166"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2018</w:t>
                    </w:r>
                  </w:p>
                </w:txbxContent>
              </v:textbox>
              <w10:wrap type="none"/>
            </v:shape>
            <v:shape style="position:absolute;left:6338;top:2559;width:351;height:166"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2019</w:t>
                    </w:r>
                  </w:p>
                </w:txbxContent>
              </v:textbox>
              <w10:wrap type="none"/>
            </v:shape>
            <v:shape style="position:absolute;left:7162;top:2559;width:351;height:166"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2020</w:t>
                    </w:r>
                  </w:p>
                </w:txbxContent>
              </v:textbox>
              <w10:wrap type="none"/>
            </v:shape>
            <v:shape style="position:absolute;left:7986;top:2559;width:351;height:166"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2021</w:t>
                    </w:r>
                  </w:p>
                </w:txbxContent>
              </v:textbox>
              <w10:wrap type="none"/>
            </v:shape>
            <v:shape style="position:absolute;left:8810;top:2559;width:351;height:166"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2022</w:t>
                    </w:r>
                  </w:p>
                </w:txbxContent>
              </v:textbox>
              <w10:wrap type="none"/>
            </v:shape>
            <v:shape style="position:absolute;left:9634;top:2559;width:351;height:166"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2023</w:t>
                    </w:r>
                  </w:p>
                </w:txbxContent>
              </v:textbox>
              <w10:wrap type="none"/>
            </v:shape>
            <v:shape style="position:absolute;left:3776;top:2877;width:4717;height:166" type="#_x0000_t202" filled="false" stroked="false">
              <v:textbox inset="0,0,0,0">
                <w:txbxContent>
                  <w:p>
                    <w:pPr>
                      <w:tabs>
                        <w:tab w:pos="4054" w:val="left" w:leader="none"/>
                      </w:tabs>
                      <w:spacing w:line="165" w:lineRule="exact" w:before="0"/>
                      <w:ind w:left="0" w:right="0" w:firstLine="0"/>
                      <w:jc w:val="left"/>
                      <w:rPr>
                        <w:rFonts w:ascii="Calibri"/>
                        <w:sz w:val="16"/>
                      </w:rPr>
                    </w:pPr>
                    <w:r>
                      <w:rPr>
                        <w:rFonts w:ascii="Calibri"/>
                        <w:color w:val="585858"/>
                        <w:w w:val="105"/>
                        <w:sz w:val="16"/>
                      </w:rPr>
                      <w:t>Historic</w:t>
                      <w:tab/>
                    </w:r>
                    <w:r>
                      <w:rPr>
                        <w:rFonts w:ascii="Calibri"/>
                        <w:color w:val="585858"/>
                        <w:sz w:val="16"/>
                      </w:rPr>
                      <w:t>Projected</w:t>
                    </w:r>
                  </w:p>
                </w:txbxContent>
              </v:textbox>
              <w10:wrap type="none"/>
            </v:shape>
            <w10:wrap type="none"/>
          </v:group>
        </w:pict>
      </w:r>
      <w:r>
        <w:rPr>
          <w:rFonts w:ascii="Calibri"/>
          <w:color w:val="585858"/>
          <w:spacing w:val="-2"/>
          <w:sz w:val="16"/>
        </w:rPr>
        <w:t>400,000</w:t>
      </w:r>
    </w:p>
    <w:p>
      <w:pPr>
        <w:spacing w:before="85"/>
        <w:ind w:left="0" w:right="10085" w:firstLine="0"/>
        <w:jc w:val="right"/>
        <w:rPr>
          <w:rFonts w:ascii="Calibri"/>
          <w:sz w:val="16"/>
        </w:rPr>
      </w:pPr>
      <w:r>
        <w:rPr>
          <w:rFonts w:ascii="Calibri"/>
          <w:color w:val="585858"/>
          <w:spacing w:val="-2"/>
          <w:sz w:val="16"/>
        </w:rPr>
        <w:t>350,000</w:t>
      </w:r>
    </w:p>
    <w:p>
      <w:pPr>
        <w:spacing w:before="85"/>
        <w:ind w:left="0" w:right="10085" w:firstLine="0"/>
        <w:jc w:val="right"/>
        <w:rPr>
          <w:rFonts w:ascii="Calibri"/>
          <w:sz w:val="16"/>
        </w:rPr>
      </w:pPr>
      <w:r>
        <w:rPr>
          <w:rFonts w:ascii="Calibri"/>
          <w:color w:val="585858"/>
          <w:spacing w:val="-2"/>
          <w:sz w:val="16"/>
        </w:rPr>
        <w:t>300,000</w:t>
      </w:r>
    </w:p>
    <w:p>
      <w:pPr>
        <w:spacing w:before="86"/>
        <w:ind w:left="0" w:right="10085" w:firstLine="0"/>
        <w:jc w:val="right"/>
        <w:rPr>
          <w:rFonts w:ascii="Calibri"/>
          <w:sz w:val="16"/>
        </w:rPr>
      </w:pPr>
      <w:r>
        <w:rPr>
          <w:rFonts w:ascii="Calibri"/>
          <w:color w:val="585858"/>
          <w:spacing w:val="-2"/>
          <w:sz w:val="16"/>
        </w:rPr>
        <w:t>250,000</w:t>
      </w:r>
    </w:p>
    <w:p>
      <w:pPr>
        <w:spacing w:before="85"/>
        <w:ind w:left="0" w:right="10085" w:firstLine="0"/>
        <w:jc w:val="right"/>
        <w:rPr>
          <w:rFonts w:ascii="Calibri"/>
          <w:sz w:val="16"/>
        </w:rPr>
      </w:pPr>
      <w:r>
        <w:rPr>
          <w:rFonts w:ascii="Calibri"/>
          <w:color w:val="585858"/>
          <w:spacing w:val="-2"/>
          <w:sz w:val="16"/>
        </w:rPr>
        <w:t>200,000</w:t>
      </w:r>
    </w:p>
    <w:p>
      <w:pPr>
        <w:spacing w:before="85"/>
        <w:ind w:left="0" w:right="10085" w:firstLine="0"/>
        <w:jc w:val="right"/>
        <w:rPr>
          <w:rFonts w:ascii="Calibri"/>
          <w:sz w:val="16"/>
        </w:rPr>
      </w:pPr>
      <w:r>
        <w:rPr>
          <w:rFonts w:ascii="Calibri"/>
          <w:color w:val="585858"/>
          <w:spacing w:val="-2"/>
          <w:sz w:val="16"/>
        </w:rPr>
        <w:t>150,000</w:t>
      </w:r>
    </w:p>
    <w:p>
      <w:pPr>
        <w:spacing w:before="85"/>
        <w:ind w:left="0" w:right="10085" w:firstLine="0"/>
        <w:jc w:val="right"/>
        <w:rPr>
          <w:rFonts w:ascii="Calibri"/>
          <w:sz w:val="16"/>
        </w:rPr>
      </w:pPr>
      <w:r>
        <w:rPr>
          <w:rFonts w:ascii="Calibri"/>
          <w:color w:val="585858"/>
          <w:spacing w:val="-2"/>
          <w:sz w:val="16"/>
        </w:rPr>
        <w:t>100,000</w:t>
      </w:r>
    </w:p>
    <w:p>
      <w:pPr>
        <w:spacing w:before="85"/>
        <w:ind w:left="0" w:right="10084" w:firstLine="0"/>
        <w:jc w:val="right"/>
        <w:rPr>
          <w:rFonts w:ascii="Calibri"/>
          <w:sz w:val="16"/>
        </w:rPr>
      </w:pPr>
      <w:r>
        <w:rPr>
          <w:rFonts w:ascii="Calibri"/>
          <w:color w:val="585858"/>
          <w:spacing w:val="-1"/>
          <w:sz w:val="16"/>
        </w:rPr>
        <w:t>50,000</w:t>
      </w:r>
    </w:p>
    <w:p>
      <w:pPr>
        <w:spacing w:before="86"/>
        <w:ind w:left="0" w:right="10084" w:firstLine="0"/>
        <w:jc w:val="right"/>
        <w:rPr>
          <w:rFonts w:ascii="Calibri"/>
          <w:sz w:val="16"/>
        </w:rPr>
      </w:pPr>
      <w:r>
        <w:rPr>
          <w:rFonts w:ascii="Calibri"/>
          <w:color w:val="585858"/>
          <w:w w:val="103"/>
          <w:sz w:val="16"/>
        </w:rPr>
        <w:t>0</w:t>
      </w:r>
    </w:p>
    <w:p>
      <w:pPr>
        <w:pStyle w:val="BodyText"/>
        <w:rPr>
          <w:rFonts w:ascii="Calibri"/>
        </w:rPr>
      </w:pPr>
    </w:p>
    <w:p>
      <w:pPr>
        <w:pStyle w:val="BodyText"/>
        <w:spacing w:before="5"/>
        <w:rPr>
          <w:rFonts w:ascii="Calibri"/>
          <w:sz w:val="26"/>
        </w:rPr>
      </w:pPr>
    </w:p>
    <w:p>
      <w:pPr>
        <w:spacing w:before="61"/>
        <w:ind w:left="1602" w:right="1416" w:firstLine="0"/>
        <w:jc w:val="center"/>
        <w:rPr>
          <w:rFonts w:ascii="Calibri"/>
          <w:b/>
          <w:sz w:val="19"/>
        </w:rPr>
      </w:pPr>
      <w:r>
        <w:rPr>
          <w:rFonts w:ascii="Calibri"/>
          <w:b/>
          <w:color w:val="585858"/>
          <w:sz w:val="19"/>
        </w:rPr>
        <w:t>Year Ending 30 June</w:t>
      </w:r>
    </w:p>
    <w:p>
      <w:pPr>
        <w:pStyle w:val="BodyText"/>
        <w:spacing w:before="8"/>
        <w:rPr>
          <w:rFonts w:ascii="Calibri"/>
          <w:b/>
          <w:sz w:val="8"/>
        </w:rPr>
      </w:pPr>
    </w:p>
    <w:p>
      <w:pPr>
        <w:spacing w:before="76"/>
        <w:ind w:left="1597" w:right="9672" w:firstLine="0"/>
        <w:jc w:val="center"/>
        <w:rPr>
          <w:rFonts w:ascii="Calibri"/>
          <w:sz w:val="12"/>
        </w:rPr>
      </w:pPr>
      <w:r>
        <w:rPr>
          <w:rFonts w:ascii="Calibri"/>
          <w:sz w:val="12"/>
        </w:rPr>
        <w:t>Class key:</w:t>
      </w:r>
    </w:p>
    <w:p>
      <w:pPr>
        <w:tabs>
          <w:tab w:pos="1445" w:val="left" w:leader="none"/>
          <w:tab w:pos="2891" w:val="left" w:leader="none"/>
          <w:tab w:pos="4337" w:val="left" w:leader="none"/>
          <w:tab w:pos="5782" w:val="left" w:leader="none"/>
          <w:tab w:pos="7228" w:val="left" w:leader="none"/>
        </w:tabs>
        <w:spacing w:before="46"/>
        <w:ind w:left="0" w:right="132" w:firstLine="0"/>
        <w:jc w:val="center"/>
        <w:rPr>
          <w:rFonts w:ascii="Calibri"/>
          <w:sz w:val="12"/>
        </w:rPr>
      </w:pPr>
      <w:r>
        <w:rPr/>
        <w:pict>
          <v:group style="position:absolute;margin-left:85.804085pt;margin-top:1.603564pt;width:10.95pt;height:18.850pt;mso-position-horizontal-relative:page;mso-position-vertical-relative:paragraph;z-index:252679168" coordorigin="1716,32" coordsize="219,377">
            <v:rect style="position:absolute;left:1716;top:32;width:219;height:169" filled="true" fillcolor="#1f487c" stroked="false">
              <v:fill type="solid"/>
            </v:rect>
            <v:rect style="position:absolute;left:1716;top:240;width:219;height:169" filled="true" fillcolor="#f8a763" stroked="false">
              <v:fill type="solid"/>
            </v:rect>
            <w10:wrap type="none"/>
          </v:group>
        </w:pict>
      </w:r>
      <w:r>
        <w:rPr/>
        <w:pict>
          <v:group style="position:absolute;margin-left:157.689728pt;margin-top:1.603549pt;width:11.35pt;height:18.850pt;mso-position-horizontal-relative:page;mso-position-vertical-relative:paragraph;z-index:-287222784" coordorigin="3154,32" coordsize="227,377">
            <v:rect style="position:absolute;left:3153;top:32;width:227;height:169" filled="true" fillcolor="#009544" stroked="false">
              <v:fill type="solid"/>
            </v:rect>
            <v:rect style="position:absolute;left:3153;top:240;width:227;height:169" filled="true" fillcolor="#ecb8e7" stroked="false">
              <v:fill type="solid"/>
            </v:rect>
            <w10:wrap type="none"/>
          </v:group>
        </w:pict>
      </w:r>
      <w:r>
        <w:rPr/>
        <w:pict>
          <v:group style="position:absolute;margin-left:229.97963pt;margin-top:1.603534pt;width:11.35pt;height:18.850pt;mso-position-horizontal-relative:page;mso-position-vertical-relative:paragraph;z-index:-287221760" coordorigin="4600,32" coordsize="227,377">
            <v:rect style="position:absolute;left:4599;top:32;width:227;height:169" filled="true" fillcolor="#e16b09" stroked="false">
              <v:fill type="solid"/>
            </v:rect>
            <v:rect style="position:absolute;left:4599;top:240;width:227;height:169" filled="true" fillcolor="#938953" stroked="false">
              <v:fill type="solid"/>
            </v:rect>
            <w10:wrap type="none"/>
          </v:group>
        </w:pict>
      </w:r>
      <w:r>
        <w:rPr/>
        <w:pict>
          <v:group style="position:absolute;margin-left:302.269928pt;margin-top:1.603518pt;width:11.35pt;height:18.850pt;mso-position-horizontal-relative:page;mso-position-vertical-relative:paragraph;z-index:-287220736" coordorigin="6045,32" coordsize="227,377">
            <v:rect style="position:absolute;left:6045;top:32;width:227;height:169" filled="true" fillcolor="#e08ad6" stroked="false">
              <v:fill type="solid"/>
            </v:rect>
            <v:rect style="position:absolute;left:6045;top:240;width:227;height:169" filled="true" fillcolor="#ffd600" stroked="false">
              <v:fill type="solid"/>
            </v:rect>
            <w10:wrap type="none"/>
          </v:group>
        </w:pict>
      </w:r>
      <w:r>
        <w:rPr/>
        <w:pict>
          <v:group style="position:absolute;margin-left:374.559845pt;margin-top:1.603503pt;width:11.35pt;height:18.850pt;mso-position-horizontal-relative:page;mso-position-vertical-relative:paragraph;z-index:-287219712" coordorigin="7491,32" coordsize="227,377">
            <v:rect style="position:absolute;left:7491;top:32;width:227;height:169" filled="true" fillcolor="#8063a1" stroked="false">
              <v:fill type="solid"/>
            </v:rect>
            <v:rect style="position:absolute;left:7491;top:240;width:227;height:169" filled="true" fillcolor="#000000" stroked="false">
              <v:fill type="solid"/>
            </v:rect>
            <w10:wrap type="none"/>
          </v:group>
        </w:pict>
      </w:r>
      <w:r>
        <w:rPr/>
        <w:pict>
          <v:group style="position:absolute;margin-left:446.849335pt;margin-top:1.603488pt;width:11.35pt;height:18.850pt;mso-position-horizontal-relative:page;mso-position-vertical-relative:paragraph;z-index:-287218688" coordorigin="8937,32" coordsize="227,377">
            <v:rect style="position:absolute;left:8936;top:32;width:227;height:169" filled="true" fillcolor="#c0504d" stroked="false">
              <v:fill type="solid"/>
            </v:rect>
            <v:rect style="position:absolute;left:8936;top:240;width:227;height:169" filled="true" fillcolor="#ffeb8f" stroked="false">
              <v:fill type="solid"/>
            </v:rect>
            <w10:wrap type="none"/>
          </v:group>
        </w:pict>
      </w:r>
      <w:r>
        <w:rPr>
          <w:rFonts w:ascii="Calibri"/>
          <w:sz w:val="12"/>
        </w:rPr>
        <w:t>1</w:t>
      </w:r>
      <w:r>
        <w:rPr>
          <w:rFonts w:ascii="Calibri"/>
          <w:spacing w:val="-7"/>
          <w:sz w:val="12"/>
        </w:rPr>
        <w:t> </w:t>
      </w:r>
      <w:r>
        <w:rPr>
          <w:rFonts w:ascii="Calibri"/>
          <w:sz w:val="12"/>
        </w:rPr>
        <w:t>-</w:t>
      </w:r>
      <w:r>
        <w:rPr>
          <w:rFonts w:ascii="Calibri"/>
          <w:spacing w:val="2"/>
          <w:sz w:val="12"/>
        </w:rPr>
        <w:t> </w:t>
      </w:r>
      <w:r>
        <w:rPr>
          <w:rFonts w:ascii="Calibri"/>
          <w:sz w:val="12"/>
        </w:rPr>
        <w:t>Studying</w:t>
        <w:tab/>
        <w:t>2 -</w:t>
      </w:r>
      <w:r>
        <w:rPr>
          <w:rFonts w:ascii="Calibri"/>
          <w:spacing w:val="-6"/>
          <w:sz w:val="12"/>
        </w:rPr>
        <w:t> </w:t>
      </w:r>
      <w:r>
        <w:rPr>
          <w:rFonts w:ascii="Calibri"/>
          <w:sz w:val="12"/>
        </w:rPr>
        <w:t>Working</w:t>
      </w:r>
      <w:r>
        <w:rPr>
          <w:rFonts w:ascii="Calibri"/>
          <w:spacing w:val="-3"/>
          <w:sz w:val="12"/>
        </w:rPr>
        <w:t> </w:t>
      </w:r>
      <w:r>
        <w:rPr>
          <w:rFonts w:ascii="Calibri"/>
          <w:sz w:val="12"/>
        </w:rPr>
        <w:t>Age</w:t>
        <w:tab/>
        <w:t>3</w:t>
      </w:r>
      <w:r>
        <w:rPr>
          <w:rFonts w:ascii="Calibri"/>
          <w:spacing w:val="-7"/>
          <w:sz w:val="12"/>
        </w:rPr>
        <w:t> </w:t>
      </w:r>
      <w:r>
        <w:rPr>
          <w:rFonts w:ascii="Calibri"/>
          <w:sz w:val="12"/>
        </w:rPr>
        <w:t>-</w:t>
      </w:r>
      <w:r>
        <w:rPr>
          <w:rFonts w:ascii="Calibri"/>
          <w:spacing w:val="1"/>
          <w:sz w:val="12"/>
        </w:rPr>
        <w:t> </w:t>
      </w:r>
      <w:r>
        <w:rPr>
          <w:rFonts w:ascii="Calibri"/>
          <w:sz w:val="12"/>
        </w:rPr>
        <w:t>Parents</w:t>
        <w:tab/>
        <w:t>4</w:t>
      </w:r>
      <w:r>
        <w:rPr>
          <w:rFonts w:ascii="Calibri"/>
          <w:spacing w:val="-8"/>
          <w:sz w:val="12"/>
        </w:rPr>
        <w:t> </w:t>
      </w:r>
      <w:r>
        <w:rPr>
          <w:rFonts w:ascii="Calibri"/>
          <w:sz w:val="12"/>
        </w:rPr>
        <w:t>- Carers</w:t>
        <w:tab/>
        <w:t>5 -</w:t>
      </w:r>
      <w:r>
        <w:rPr>
          <w:rFonts w:ascii="Calibri"/>
          <w:spacing w:val="-2"/>
          <w:sz w:val="12"/>
        </w:rPr>
        <w:t> </w:t>
      </w:r>
      <w:r>
        <w:rPr>
          <w:rFonts w:ascii="Calibri"/>
          <w:sz w:val="12"/>
        </w:rPr>
        <w:t>Disability</w:t>
      </w:r>
      <w:r>
        <w:rPr>
          <w:rFonts w:ascii="Calibri"/>
          <w:spacing w:val="1"/>
          <w:sz w:val="12"/>
        </w:rPr>
        <w:t> </w:t>
      </w:r>
      <w:r>
        <w:rPr>
          <w:rFonts w:ascii="Calibri"/>
          <w:sz w:val="12"/>
        </w:rPr>
        <w:t>Support</w:t>
        <w:tab/>
        <w:t>6 - Pension</w:t>
      </w:r>
      <w:r>
        <w:rPr>
          <w:rFonts w:ascii="Calibri"/>
          <w:spacing w:val="-10"/>
          <w:sz w:val="12"/>
        </w:rPr>
        <w:t> </w:t>
      </w:r>
      <w:r>
        <w:rPr>
          <w:rFonts w:ascii="Calibri"/>
          <w:sz w:val="12"/>
        </w:rPr>
        <w:t>Age</w:t>
      </w:r>
    </w:p>
    <w:p>
      <w:pPr>
        <w:spacing w:after="0"/>
        <w:jc w:val="center"/>
        <w:rPr>
          <w:rFonts w:ascii="Calibri"/>
          <w:sz w:val="12"/>
        </w:rPr>
        <w:sectPr>
          <w:pgSz w:w="11910" w:h="16850"/>
          <w:pgMar w:header="572" w:footer="581" w:top="780" w:bottom="780" w:left="120" w:right="0"/>
        </w:sectPr>
      </w:pPr>
    </w:p>
    <w:p>
      <w:pPr>
        <w:spacing w:before="62"/>
        <w:ind w:left="0" w:right="0" w:firstLine="0"/>
        <w:jc w:val="right"/>
        <w:rPr>
          <w:rFonts w:ascii="Calibri"/>
          <w:sz w:val="12"/>
        </w:rPr>
      </w:pPr>
      <w:r>
        <w:rPr>
          <w:rFonts w:ascii="Calibri"/>
          <w:sz w:val="12"/>
        </w:rPr>
        <w:t>7 - Non IS Family</w:t>
      </w:r>
    </w:p>
    <w:p>
      <w:pPr>
        <w:pStyle w:val="ListParagraph"/>
        <w:numPr>
          <w:ilvl w:val="0"/>
          <w:numId w:val="69"/>
        </w:numPr>
        <w:tabs>
          <w:tab w:pos="665" w:val="left" w:leader="none"/>
        </w:tabs>
        <w:spacing w:line="240" w:lineRule="auto" w:before="62" w:after="0"/>
        <w:ind w:left="664" w:right="0" w:hanging="82"/>
        <w:jc w:val="left"/>
        <w:rPr>
          <w:rFonts w:ascii="Calibri"/>
          <w:sz w:val="12"/>
        </w:rPr>
      </w:pPr>
      <w:r>
        <w:rPr>
          <w:rFonts w:ascii="Calibri"/>
          <w:w w:val="100"/>
          <w:sz w:val="12"/>
        </w:rPr>
        <w:br w:type="column"/>
      </w:r>
      <w:r>
        <w:rPr>
          <w:rFonts w:ascii="Calibri"/>
          <w:sz w:val="12"/>
        </w:rPr>
        <w:t>- Non IS</w:t>
      </w:r>
      <w:r>
        <w:rPr>
          <w:rFonts w:ascii="Calibri"/>
          <w:spacing w:val="2"/>
          <w:sz w:val="12"/>
        </w:rPr>
        <w:t> </w:t>
      </w:r>
      <w:r>
        <w:rPr>
          <w:rFonts w:ascii="Calibri"/>
          <w:spacing w:val="-3"/>
          <w:sz w:val="12"/>
        </w:rPr>
        <w:t>Carer</w:t>
      </w:r>
    </w:p>
    <w:p>
      <w:pPr>
        <w:pStyle w:val="ListParagraph"/>
        <w:numPr>
          <w:ilvl w:val="0"/>
          <w:numId w:val="69"/>
        </w:numPr>
        <w:tabs>
          <w:tab w:pos="726" w:val="left" w:leader="none"/>
        </w:tabs>
        <w:spacing w:line="240" w:lineRule="auto" w:before="62" w:after="0"/>
        <w:ind w:left="725" w:right="0" w:hanging="82"/>
        <w:jc w:val="left"/>
        <w:rPr>
          <w:rFonts w:ascii="Calibri"/>
          <w:sz w:val="12"/>
        </w:rPr>
      </w:pPr>
      <w:r>
        <w:rPr>
          <w:rFonts w:ascii="Calibri"/>
          <w:w w:val="100"/>
          <w:sz w:val="12"/>
        </w:rPr>
        <w:br w:type="column"/>
      </w:r>
      <w:r>
        <w:rPr>
          <w:rFonts w:ascii="Calibri"/>
          <w:sz w:val="12"/>
        </w:rPr>
        <w:t>- Non IS</w:t>
      </w:r>
      <w:r>
        <w:rPr>
          <w:rFonts w:ascii="Calibri"/>
          <w:spacing w:val="5"/>
          <w:sz w:val="12"/>
        </w:rPr>
        <w:t> </w:t>
      </w:r>
      <w:r>
        <w:rPr>
          <w:rFonts w:ascii="Calibri"/>
          <w:spacing w:val="-3"/>
          <w:sz w:val="12"/>
        </w:rPr>
        <w:t>Other</w:t>
      </w:r>
    </w:p>
    <w:p>
      <w:pPr>
        <w:pStyle w:val="ListParagraph"/>
        <w:numPr>
          <w:ilvl w:val="0"/>
          <w:numId w:val="69"/>
        </w:numPr>
        <w:tabs>
          <w:tab w:pos="759" w:val="left" w:leader="none"/>
        </w:tabs>
        <w:spacing w:line="261" w:lineRule="auto" w:before="62" w:after="0"/>
        <w:ind w:left="620" w:right="0" w:firstLine="0"/>
        <w:jc w:val="left"/>
        <w:rPr>
          <w:rFonts w:ascii="Calibri"/>
          <w:sz w:val="12"/>
        </w:rPr>
      </w:pPr>
      <w:r>
        <w:rPr>
          <w:rFonts w:ascii="Calibri"/>
          <w:w w:val="100"/>
          <w:sz w:val="12"/>
        </w:rPr>
        <w:br w:type="column"/>
      </w:r>
      <w:r>
        <w:rPr>
          <w:rFonts w:ascii="Calibri"/>
          <w:sz w:val="12"/>
        </w:rPr>
        <w:t>- Previous Welfare Recipient</w:t>
      </w:r>
    </w:p>
    <w:p>
      <w:pPr>
        <w:pStyle w:val="ListParagraph"/>
        <w:numPr>
          <w:ilvl w:val="0"/>
          <w:numId w:val="69"/>
        </w:numPr>
        <w:tabs>
          <w:tab w:pos="482" w:val="left" w:leader="none"/>
        </w:tabs>
        <w:spacing w:line="240" w:lineRule="auto" w:before="62" w:after="0"/>
        <w:ind w:left="481" w:right="0" w:hanging="139"/>
        <w:jc w:val="left"/>
        <w:rPr>
          <w:rFonts w:ascii="Calibri"/>
          <w:sz w:val="12"/>
        </w:rPr>
      </w:pPr>
      <w:r>
        <w:rPr>
          <w:rFonts w:ascii="Calibri"/>
          <w:w w:val="100"/>
          <w:sz w:val="12"/>
        </w:rPr>
        <w:br w:type="column"/>
      </w:r>
      <w:r>
        <w:rPr>
          <w:rFonts w:ascii="Calibri"/>
          <w:sz w:val="12"/>
        </w:rPr>
        <w:t>-</w:t>
      </w:r>
      <w:r>
        <w:rPr>
          <w:rFonts w:ascii="Calibri"/>
          <w:spacing w:val="3"/>
          <w:sz w:val="12"/>
        </w:rPr>
        <w:t> </w:t>
      </w:r>
      <w:r>
        <w:rPr>
          <w:rFonts w:ascii="Calibri"/>
          <w:spacing w:val="-5"/>
          <w:sz w:val="12"/>
        </w:rPr>
        <w:t>Dead</w:t>
      </w:r>
    </w:p>
    <w:p>
      <w:pPr>
        <w:pStyle w:val="ListParagraph"/>
        <w:numPr>
          <w:ilvl w:val="0"/>
          <w:numId w:val="69"/>
        </w:numPr>
        <w:tabs>
          <w:tab w:pos="1084" w:val="left" w:leader="none"/>
        </w:tabs>
        <w:spacing w:line="261" w:lineRule="auto" w:before="62" w:after="0"/>
        <w:ind w:left="946" w:right="1894" w:firstLine="0"/>
        <w:jc w:val="left"/>
        <w:rPr>
          <w:rFonts w:ascii="Calibri"/>
          <w:sz w:val="12"/>
        </w:rPr>
      </w:pPr>
      <w:r>
        <w:rPr>
          <w:rFonts w:ascii="Calibri"/>
          <w:w w:val="100"/>
          <w:sz w:val="12"/>
        </w:rPr>
        <w:br w:type="column"/>
      </w:r>
      <w:r>
        <w:rPr>
          <w:rFonts w:ascii="Calibri"/>
          <w:sz w:val="12"/>
        </w:rPr>
        <w:t>- Rest of Aust. Population</w:t>
      </w:r>
    </w:p>
    <w:p>
      <w:pPr>
        <w:spacing w:after="0" w:line="261" w:lineRule="auto"/>
        <w:jc w:val="left"/>
        <w:rPr>
          <w:rFonts w:ascii="Calibri"/>
          <w:sz w:val="12"/>
        </w:rPr>
        <w:sectPr>
          <w:type w:val="continuous"/>
          <w:pgSz w:w="11910" w:h="16850"/>
          <w:pgMar w:top="1600" w:bottom="280" w:left="120" w:right="0"/>
          <w:cols w:num="6" w:equalWidth="0">
            <w:col w:w="2653" w:space="40"/>
            <w:col w:w="1345" w:space="39"/>
            <w:col w:w="1430" w:space="40"/>
            <w:col w:w="1683" w:space="39"/>
            <w:col w:w="804" w:space="40"/>
            <w:col w:w="3677"/>
          </w:cols>
        </w:sectPr>
      </w:pPr>
    </w:p>
    <w:p>
      <w:pPr>
        <w:pStyle w:val="BodyText"/>
        <w:spacing w:before="3"/>
        <w:rPr>
          <w:rFonts w:ascii="Calibri"/>
          <w:sz w:val="13"/>
        </w:rPr>
      </w:pPr>
    </w:p>
    <w:p>
      <w:pPr>
        <w:pStyle w:val="BodyText"/>
        <w:spacing w:before="93"/>
        <w:ind w:left="899" w:right="1074"/>
      </w:pPr>
      <w:r>
        <w:rPr>
          <w:color w:val="404040"/>
        </w:rPr>
        <w:t>We can see that people predominately enter this class directly from outside the welfare system, and around half of entrants to this class have not received a welfare payment in the 16 years of data available (and therefore enter from the rest of population class). People above pension age have predominately entered due to an entitlement to the Energy Supplement through their Seniors Health Card. The people who enter this class</w:t>
      </w:r>
    </w:p>
    <w:p>
      <w:pPr>
        <w:pStyle w:val="BodyText"/>
      </w:pPr>
    </w:p>
    <w:p>
      <w:pPr>
        <w:pStyle w:val="BodyText"/>
        <w:spacing w:before="2"/>
        <w:rPr>
          <w:sz w:val="26"/>
        </w:rPr>
      </w:pPr>
      <w:r>
        <w:rPr/>
        <w:pict>
          <v:shape style="position:absolute;margin-left:51pt;margin-top:17.22337pt;width:144pt;height:.1pt;mso-position-horizontal-relative:page;mso-position-vertical-relative:paragraph;z-index:-250662912;mso-wrap-distance-left:0;mso-wrap-distance-right:0" coordorigin="1020,344" coordsize="2880,0" path="m1020,344l3900,344e" filled="false" stroked="true" strokeweight=".36pt" strokecolor="#404040">
            <v:path arrowok="t"/>
            <v:stroke dashstyle="solid"/>
            <w10:wrap type="topAndBottom"/>
          </v:shape>
        </w:pict>
      </w:r>
    </w:p>
    <w:p>
      <w:pPr>
        <w:pStyle w:val="BodyText"/>
        <w:spacing w:before="1"/>
        <w:rPr>
          <w:sz w:val="25"/>
        </w:rPr>
      </w:pPr>
    </w:p>
    <w:p>
      <w:pPr>
        <w:spacing w:before="95"/>
        <w:ind w:left="900" w:right="0" w:firstLine="0"/>
        <w:jc w:val="left"/>
        <w:rPr>
          <w:sz w:val="16"/>
        </w:rPr>
      </w:pPr>
      <w:bookmarkStart w:name="_bookmark51" w:id="212"/>
      <w:bookmarkEnd w:id="212"/>
      <w:r>
        <w:rPr/>
      </w:r>
      <w:r>
        <w:rPr>
          <w:color w:val="404040"/>
          <w:position w:val="7"/>
          <w:sz w:val="14"/>
        </w:rPr>
        <w:t>7 </w:t>
      </w:r>
      <w:r>
        <w:rPr>
          <w:color w:val="404040"/>
          <w:sz w:val="16"/>
        </w:rPr>
        <w:t>This figure excludes the experience of the 2018 year which is significantly impacted by data maturity and the pension assets test.</w:t>
      </w:r>
    </w:p>
    <w:p>
      <w:pPr>
        <w:spacing w:after="0"/>
        <w:jc w:val="left"/>
        <w:rPr>
          <w:sz w:val="16"/>
        </w:rPr>
        <w:sectPr>
          <w:type w:val="continuous"/>
          <w:pgSz w:w="11910" w:h="16850"/>
          <w:pgMar w:top="1600" w:bottom="280" w:left="120" w:right="0"/>
        </w:sectPr>
      </w:pPr>
    </w:p>
    <w:p>
      <w:pPr>
        <w:pStyle w:val="BodyText"/>
      </w:pPr>
    </w:p>
    <w:p>
      <w:pPr>
        <w:pStyle w:val="BodyText"/>
      </w:pPr>
    </w:p>
    <w:p>
      <w:pPr>
        <w:pStyle w:val="BodyText"/>
        <w:spacing w:before="7"/>
        <w:rPr>
          <w:sz w:val="21"/>
        </w:rPr>
      </w:pPr>
    </w:p>
    <w:p>
      <w:pPr>
        <w:pStyle w:val="BodyText"/>
        <w:spacing w:before="93"/>
        <w:ind w:left="900" w:right="1041"/>
      </w:pPr>
      <w:r>
        <w:rPr>
          <w:color w:val="404040"/>
        </w:rPr>
        <w:t>from other active classes typically do so from the Non IS Family class. There are a large number of transitions from Age Pension into this class in 2017/18 as a consequence of the changes to the pension assets test, which meant that around 100,000 were no longer eligible for the Age Pension.</w:t>
      </w:r>
    </w:p>
    <w:p>
      <w:pPr>
        <w:pStyle w:val="BodyText"/>
        <w:spacing w:before="121"/>
        <w:ind w:left="900" w:right="1142"/>
      </w:pPr>
      <w:r>
        <w:rPr>
          <w:color w:val="404040"/>
        </w:rPr>
        <w:t>The entries and exits above mainly relate to the group below retirement age. Most people who leave this class transition into class ‘7 Non IS Family’. This is due to the one year timing lag (explained in section </w:t>
      </w:r>
      <w:hyperlink w:history="true" w:anchor="_bookmark48">
        <w:r>
          <w:rPr>
            <w:color w:val="404040"/>
          </w:rPr>
          <w:t>7.1)</w:t>
        </w:r>
      </w:hyperlink>
      <w:r>
        <w:rPr>
          <w:color w:val="404040"/>
        </w:rPr>
        <w:t>, which leads this class to be a gateway into class 7 for people aged 20 to 60. Above retirement age, most people leaving this class transition into class ‘6 Age Pension’.</w:t>
      </w:r>
    </w:p>
    <w:p>
      <w:pPr>
        <w:pStyle w:val="BodyText"/>
        <w:spacing w:before="7"/>
      </w:pPr>
    </w:p>
    <w:p>
      <w:pPr>
        <w:pStyle w:val="Heading6"/>
        <w:spacing w:before="1"/>
        <w:rPr>
          <w:i/>
        </w:rPr>
      </w:pPr>
      <w:r>
        <w:rPr>
          <w:i/>
          <w:color w:val="DF2F1E"/>
        </w:rPr>
        <w:t>Payments received</w:t>
      </w:r>
    </w:p>
    <w:p>
      <w:pPr>
        <w:pStyle w:val="BodyText"/>
        <w:spacing w:before="123"/>
        <w:ind w:left="899" w:right="1176"/>
      </w:pPr>
      <w:r>
        <w:rPr>
          <w:color w:val="404040"/>
        </w:rPr>
        <w:t>During 2017/18, people in this class received a total of $1.9 billion. This is 1.7% of the total payments made in 2017/18. The charts below show the average amount paid in a year to each person in this class, split by the categories of payments received.</w:t>
      </w:r>
    </w:p>
    <w:p>
      <w:pPr>
        <w:pStyle w:val="Heading9"/>
        <w:spacing w:before="174"/>
        <w:ind w:left="899"/>
      </w:pPr>
      <w:r>
        <w:rPr>
          <w:color w:val="DF2F1E"/>
        </w:rPr>
        <w:t>Figure 93: Average payments per person in class 9 – Non IS Other (restated to 2017/18 $ values)</w:t>
      </w:r>
    </w:p>
    <w:p>
      <w:pPr>
        <w:pStyle w:val="BodyText"/>
        <w:spacing w:before="10"/>
        <w:rPr>
          <w:b/>
          <w:sz w:val="22"/>
        </w:rPr>
      </w:pPr>
    </w:p>
    <w:p>
      <w:pPr>
        <w:spacing w:before="71"/>
        <w:ind w:left="0" w:right="10282" w:firstLine="0"/>
        <w:jc w:val="right"/>
        <w:rPr>
          <w:rFonts w:ascii="Calibri"/>
          <w:sz w:val="15"/>
        </w:rPr>
      </w:pPr>
      <w:r>
        <w:rPr/>
        <w:pict>
          <v:group style="position:absolute;margin-left:86.027458pt;margin-top:7.987742pt;width:420.25pt;height:141.15pt;mso-position-horizontal-relative:page;mso-position-vertical-relative:paragraph;z-index:252704768" coordorigin="1721,160" coordsize="8405,2823">
            <v:shape style="position:absolute;left:1779;top:2105;width:8341;height:2" coordorigin="1779,2106" coordsize="8341,0" path="m9885,2106l10119,2106m9053,2106l9510,2106m8222,2106l8679,2106m7378,2106l7847,2106m5715,2106l7015,2106m4883,2106l5340,2106m4040,2106l4508,2106m3208,2106l3677,2106m2377,2106l2845,2106m1779,2106l2002,2106e" filled="false" stroked="true" strokeweight=".584348pt" strokecolor="#f1f1f1">
              <v:path arrowok="t"/>
              <v:stroke dashstyle="solid"/>
            </v:shape>
            <v:shape style="position:absolute;left:2001;top:1988;width:7884;height:386" coordorigin="2002,1989" coordsize="7884,386" path="m2377,2000l2002,2000,2002,2374,2377,2374,2377,2000m3208,1989l2845,1989,2845,2374,3208,2374,3208,1989m4040,2024l3677,2024,3677,2374,4040,2374,4040,2024m4883,2047l4508,2047,4508,2374,4883,2374,4883,2047m5715,2000l5340,2000,5340,2374,5715,2374,5715,2000m6547,2106l6184,2106,6184,2374,6547,2374,6547,2106m7378,2082l7015,2082,7015,2374,7378,2374,7378,2082m8222,2071l7847,2071,7847,2374,8222,2374,8222,2071m9053,2047l8679,2047,8679,2374,9053,2374,9053,2047m9885,2036l9510,2036,9510,2374,9885,2374,9885,2036e" filled="true" fillcolor="#f8a763" stroked="false">
              <v:path arrowok="t"/>
              <v:fill type="solid"/>
            </v:shape>
            <v:shape style="position:absolute;left:1779;top:1825;width:1066;height:2" coordorigin="1779,1825" coordsize="1066,0" path="m2377,1825l2845,1825m1779,1825l2002,1825e" filled="false" stroked="true" strokeweight=".584348pt" strokecolor="#f1f1f1">
              <v:path arrowok="t"/>
              <v:stroke dashstyle="solid"/>
            </v:shape>
            <v:rect style="position:absolute;left:2001;top:1860;width:375;height:141" filled="true" fillcolor="#f9c090" stroked="false">
              <v:fill type="solid"/>
            </v:rect>
            <v:line style="position:absolute" from="3208,1825" to="3677,1825" stroked="true" strokeweight=".584348pt" strokecolor="#f1f1f1">
              <v:stroke dashstyle="solid"/>
            </v:line>
            <v:rect style="position:absolute;left:2845;top:1860;width:364;height:129" filled="true" fillcolor="#f9c090" stroked="false">
              <v:fill type="solid"/>
            </v:rect>
            <v:line style="position:absolute" from="4040,1825" to="4508,1825" stroked="true" strokeweight=".584348pt" strokecolor="#f1f1f1">
              <v:stroke dashstyle="solid"/>
            </v:line>
            <v:rect style="position:absolute;left:3676;top:1883;width:364;height:141" filled="true" fillcolor="#f9c090" stroked="false">
              <v:fill type="solid"/>
            </v:rect>
            <v:shape style="position:absolute;left:4508;top:1906;width:1207;height:141" coordorigin="4508,1907" coordsize="1207,141" path="m4883,1919l4508,1919,4508,2047,4883,2047,4883,1919m5715,1907l5340,1907,5340,2000,5715,2000,5715,1907e" filled="true" fillcolor="#f9c090" stroked="false">
              <v:path arrowok="t"/>
              <v:fill type="solid"/>
            </v:shape>
            <v:shape style="position:absolute;left:6183;top:1906;width:2039;height:199" coordorigin="6184,1907" coordsize="2039,199" path="m6547,1954l6184,1954,6184,2106,6547,2106,6547,1954m7378,1930l7015,1930,7015,2082,7378,2082,7378,1930m8222,1907l7847,1907,7847,2071,8222,2071,8222,1907e" filled="true" fillcolor="#f9c090" stroked="false">
              <v:path arrowok="t"/>
              <v:fill type="solid"/>
            </v:shape>
            <v:shape style="position:absolute;left:8221;top:1825;width:1289;height:2" coordorigin="8222,1825" coordsize="1289,0" path="m9053,1825l9510,1825m8222,1825l8679,1825e" filled="false" stroked="true" strokeweight=".584348pt" strokecolor="#f1f1f1">
              <v:path arrowok="t"/>
              <v:stroke dashstyle="solid"/>
            </v:shape>
            <v:rect style="position:absolute;left:8678;top:1871;width:375;height:176" filled="true" fillcolor="#f9c090" stroked="false">
              <v:fill type="solid"/>
            </v:rect>
            <v:line style="position:absolute" from="9885,1825" to="10119,1825" stroked="true" strokeweight=".584348pt" strokecolor="#f1f1f1">
              <v:stroke dashstyle="solid"/>
            </v:line>
            <v:rect style="position:absolute;left:9510;top:1848;width:375;height:187" filled="true" fillcolor="#f9c090" stroked="false">
              <v:fill type="solid"/>
            </v:rect>
            <v:shape style="position:absolute;left:1779;top:995;width:1066;height:550" coordorigin="1779,995" coordsize="1066,550" path="m2377,1545l2845,1545m1779,1545l2002,1545m2377,1276l2845,1276m1779,1276l2002,1276m2377,995l2845,995m1779,995l2002,995e" filled="false" stroked="true" strokeweight=".584348pt" strokecolor="#f1f1f1">
              <v:path arrowok="t"/>
              <v:stroke dashstyle="solid"/>
            </v:shape>
            <v:rect style="position:absolute;left:2001;top:913;width:375;height:947" filled="true" fillcolor="#fbddc4" stroked="false">
              <v:fill type="solid"/>
            </v:rect>
            <v:shape style="position:absolute;left:3208;top:995;width:469;height:550" coordorigin="3208,995" coordsize="469,550" path="m3208,1545l3677,1545m3208,1276l3677,1276m3208,995l3677,995e" filled="false" stroked="true" strokeweight=".584348pt" strokecolor="#f1f1f1">
              <v:path arrowok="t"/>
              <v:stroke dashstyle="solid"/>
            </v:shape>
            <v:rect style="position:absolute;left:2845;top:913;width:364;height:947" filled="true" fillcolor="#fbddc4" stroked="false">
              <v:fill type="solid"/>
            </v:rect>
            <v:shape style="position:absolute;left:4039;top:995;width:469;height:550" coordorigin="4040,995" coordsize="469,550" path="m4040,1545l4508,1545m4040,1276l4508,1276m4040,995l4508,995e" filled="false" stroked="true" strokeweight=".584348pt" strokecolor="#f1f1f1">
              <v:path arrowok="t"/>
              <v:stroke dashstyle="solid"/>
            </v:shape>
            <v:rect style="position:absolute;left:3676;top:901;width:364;height:982" filled="true" fillcolor="#fbddc4" stroked="false">
              <v:fill type="solid"/>
            </v:rect>
            <v:shape style="position:absolute;left:4883;top:995;width:2132;height:830" coordorigin="4883,995" coordsize="2132,830" path="m4883,1825l5340,1825m4883,1545l5340,1545m4883,1276l5340,1276m4883,995l7015,995e" filled="false" stroked="true" strokeweight=".584348pt" strokecolor="#f1f1f1">
              <v:path arrowok="t"/>
              <v:stroke dashstyle="solid"/>
            </v:shape>
            <v:rect style="position:absolute;left:4508;top:936;width:375;height:982" filled="true" fillcolor="#fbddc4" stroked="false">
              <v:fill type="solid"/>
            </v:rect>
            <v:shape style="position:absolute;left:5714;top:1275;width:469;height:550" coordorigin="5715,1276" coordsize="469,550" path="m5715,1825l6184,1825m5715,1545l6184,1545m5715,1276l6184,1276e" filled="false" stroked="true" strokeweight=".584348pt" strokecolor="#f1f1f1">
              <v:path arrowok="t"/>
              <v:stroke dashstyle="solid"/>
            </v:shape>
            <v:rect style="position:absolute;left:5340;top:1018;width:375;height:889" filled="true" fillcolor="#fbddc4" stroked="false">
              <v:fill type="solid"/>
            </v:rect>
            <v:shape style="position:absolute;left:6546;top:1275;width:469;height:550" coordorigin="6547,1276" coordsize="469,550" path="m6547,1825l7015,1825m6547,1545l7015,1545m6547,1276l7015,1276e" filled="false" stroked="true" strokeweight=".584348pt" strokecolor="#f1f1f1">
              <v:path arrowok="t"/>
              <v:stroke dashstyle="solid"/>
            </v:shape>
            <v:rect style="position:absolute;left:6183;top:995;width:364;height:959" filled="true" fillcolor="#fbddc4" stroked="false">
              <v:fill type="solid"/>
            </v:rect>
            <v:shape style="position:absolute;left:7378;top:995;width:469;height:830" coordorigin="7378,995" coordsize="469,830" path="m7378,1825l7847,1825m7378,1545l7847,1545m7378,1276l7847,1276m7378,995l7847,995e" filled="false" stroked="true" strokeweight=".584348pt" strokecolor="#f1f1f1">
              <v:path arrowok="t"/>
              <v:stroke dashstyle="solid"/>
            </v:shape>
            <v:rect style="position:absolute;left:7015;top:972;width:364;height:959" filled="true" fillcolor="#fbddc4" stroked="false">
              <v:fill type="solid"/>
            </v:rect>
            <v:shape style="position:absolute;left:8221;top:995;width:457;height:550" coordorigin="8222,995" coordsize="457,550" path="m8222,1545l8679,1545m8222,1276l8679,1276m8222,995l8679,995e" filled="false" stroked="true" strokeweight=".584348pt" strokecolor="#f1f1f1">
              <v:path arrowok="t"/>
              <v:stroke dashstyle="solid"/>
            </v:shape>
            <v:rect style="position:absolute;left:7846;top:901;width:375;height:1006" filled="true" fillcolor="#fbddc4" stroked="false">
              <v:fill type="solid"/>
            </v:rect>
            <v:shape style="position:absolute;left:9053;top:995;width:457;height:550" coordorigin="9053,995" coordsize="457,550" path="m9053,1545l9510,1545m9053,1276l9510,1276m9053,995l9510,995e" filled="false" stroked="true" strokeweight=".584348pt" strokecolor="#f1f1f1">
              <v:path arrowok="t"/>
              <v:stroke dashstyle="solid"/>
            </v:shape>
            <v:rect style="position:absolute;left:8678;top:820;width:375;height:1052" filled="true" fillcolor="#fbddc4" stroked="false">
              <v:fill type="solid"/>
            </v:rect>
            <v:shape style="position:absolute;left:9053;top:714;width:1066;height:830" coordorigin="9053,715" coordsize="1066,830" path="m9885,1545l10119,1545m9885,1276l10119,1276m9885,995l10119,995m9053,715l10119,715e" filled="false" stroked="true" strokeweight=".584348pt" strokecolor="#f1f1f1">
              <v:path arrowok="t"/>
              <v:stroke dashstyle="solid"/>
            </v:shape>
            <v:rect style="position:absolute;left:9510;top:749;width:375;height:1099" filled="true" fillcolor="#fbddc4" stroked="false">
              <v:fill type="solid"/>
            </v:rect>
            <v:shape style="position:absolute;left:2001;top:907;width:1207;height:2" coordorigin="2002,908" coordsize="1207,0" path="m2002,908l2377,908m2845,908l3208,908e" filled="false" stroked="true" strokeweight=".584349pt" strokecolor="#938953">
              <v:path arrowok="t"/>
              <v:stroke dashstyle="solid"/>
            </v:shape>
            <v:line style="position:absolute" from="3677,896" to="4040,896" stroked="true" strokeweight=".584349pt" strokecolor="#938953">
              <v:stroke dashstyle="solid"/>
            </v:line>
            <v:rect style="position:absolute;left:4508;top:913;width:375;height:24" filled="true" fillcolor="#938953" stroked="false">
              <v:fill type="solid"/>
            </v:rect>
            <v:line style="position:absolute" from="5340,1013" to="5715,1013" stroked="true" strokeweight=".584349pt" strokecolor="#938953">
              <v:stroke dashstyle="solid"/>
            </v:line>
            <v:shape style="position:absolute;left:6183;top:866;width:2039;height:129" coordorigin="6184,867" coordsize="2039,129" path="m6547,960l6184,960,6184,995,6547,995,6547,960m7378,937l7015,937,7015,972,7378,972,7378,937m8222,867l7847,867,7847,902,8222,902,8222,867e" filled="true" fillcolor="#938953" stroked="false">
              <v:path arrowok="t"/>
              <v:fill type="solid"/>
            </v:shape>
            <v:line style="position:absolute" from="8222,715" to="8679,715" stroked="true" strokeweight=".584348pt" strokecolor="#f1f1f1">
              <v:stroke dashstyle="solid"/>
            </v:line>
            <v:shape style="position:absolute;left:8678;top:714;width:1207;height:106" coordorigin="8679,715" coordsize="1207,106" path="m9053,785l8679,785,8679,820,9053,820,9053,785m9885,715l9510,715,9510,750,9885,750,9885,715e" filled="true" fillcolor="#938953" stroked="false">
              <v:path arrowok="t"/>
              <v:fill type="solid"/>
            </v:shape>
            <v:shape style="position:absolute;left:2001;top:691;width:7884;height:328" coordorigin="2002,692" coordsize="7884,328" path="m2377,867l2002,867,2002,902,2377,902,2377,867m3208,867l2845,867,2845,902,3208,902,3208,867m4040,843l3677,843,3677,890,4040,890,4040,843m4883,879l4508,879,4508,914,4883,914,4883,879m5715,972l5340,972,5340,1019,5715,1019,5715,972m6547,925l6184,925,6184,960,6547,960,6547,925m7378,902l7015,902,7015,937,7378,937,7378,902m8222,832l7847,832,7847,867,8222,867,8222,832m9053,762l8679,762,8679,785,9053,785,9053,762m9885,692l9510,692,9510,715,9885,715,9885,692e" filled="true" fillcolor="#c4bc96" stroked="false">
              <v:path arrowok="t"/>
              <v:fill type="solid"/>
            </v:shape>
            <v:shape style="position:absolute;left:2001;top:808;width:1207;height:59" coordorigin="2002,808" coordsize="1207,59" path="m2377,808l2002,808,2002,867,2377,867,2377,808m3208,808l2845,808,2845,867,3208,867,3208,808e" filled="true" fillcolor="#808080" stroked="false">
              <v:path arrowok="t"/>
              <v:fill type="solid"/>
            </v:shape>
            <v:shape style="position:absolute;left:3208;top:714;width:1301;height:2" coordorigin="3208,715" coordsize="1301,0" path="m4040,715l4508,715m3208,715l3677,715e" filled="false" stroked="true" strokeweight=".584348pt" strokecolor="#f1f1f1">
              <v:path arrowok="t"/>
              <v:stroke dashstyle="solid"/>
            </v:shape>
            <v:shape style="position:absolute;left:3676;top:785;width:3702;height:187" coordorigin="3677,785" coordsize="3702,187" path="m4040,785l3677,785,3677,843,4040,843,4040,785m4883,808l4508,808,4508,879,4883,879,4883,808m5715,914l5340,914,5340,972,5715,972,5715,914m6547,855l6184,855,6184,925,6547,925,6547,855m7378,832l7015,832,7015,902,7378,902,7378,832e" filled="true" fillcolor="#808080" stroked="false">
              <v:path arrowok="t"/>
              <v:fill type="solid"/>
            </v:shape>
            <v:line style="position:absolute" from="7378,715" to="7847,715" stroked="true" strokeweight=".584348pt" strokecolor="#f1f1f1">
              <v:stroke dashstyle="solid"/>
            </v:line>
            <v:shape style="position:absolute;left:7846;top:598;width:2039;height:234" coordorigin="7847,598" coordsize="2039,234" path="m8222,750l7847,750,7847,832,8222,832,8222,750m9053,668l8679,668,8679,762,9053,762,9053,668m9885,598l9510,598,9510,692,9885,692,9885,598e" filled="true" fillcolor="#808080" stroked="false">
              <v:path arrowok="t"/>
              <v:fill type="solid"/>
            </v:shape>
            <v:shape style="position:absolute;left:1779;top:714;width:1066;height:2" coordorigin="1779,715" coordsize="1066,0" path="m2377,715l2845,715m1779,715l2002,715e" filled="false" stroked="true" strokeweight=".584348pt" strokecolor="#f1f1f1">
              <v:path arrowok="t"/>
              <v:stroke dashstyle="solid"/>
            </v:shape>
            <v:rect style="position:absolute;left:2001;top:527;width:375;height:281" filled="true" fillcolor="#a6a6a6" stroked="false">
              <v:fill type="solid"/>
            </v:rect>
            <v:line style="position:absolute" from="1779,446" to="8679,446" stroked="true" strokeweight=".584348pt" strokecolor="#f1f1f1">
              <v:stroke dashstyle="solid"/>
            </v:line>
            <v:rect style="position:absolute;left:2845;top:516;width:364;height:293" filled="true" fillcolor="#a6a6a6" stroked="false">
              <v:fill type="solid"/>
            </v:rect>
            <v:rect style="position:absolute;left:3676;top:668;width:364;height:117" filled="true" fillcolor="#a6a6a6" stroked="false">
              <v:fill type="solid"/>
            </v:rect>
            <v:line style="position:absolute" from="4883,715" to="6184,715" stroked="true" strokeweight=".584348pt" strokecolor="#f1f1f1">
              <v:stroke dashstyle="solid"/>
            </v:line>
            <v:shape style="position:absolute;left:4508;top:703;width:1207;height:211" coordorigin="4508,703" coordsize="1207,211" path="m4883,703l4508,703,4508,808,4883,808,4883,703m5715,808l5340,808,5340,914,5715,914,5715,808e" filled="true" fillcolor="#a6a6a6" stroked="false">
              <v:path arrowok="t"/>
              <v:fill type="solid"/>
            </v:shape>
            <v:line style="position:absolute" from="6547,715" to="7015,715" stroked="true" strokeweight=".584348pt" strokecolor="#f1f1f1">
              <v:stroke dashstyle="solid"/>
            </v:line>
            <v:shape style="position:absolute;left:6183;top:481;width:2039;height:374" coordorigin="6184,481" coordsize="2039,374" path="m6547,551l6184,551,6184,855,6547,855,6547,551m7378,540l7015,540,7015,832,7378,832,7378,540m8222,481l7847,481,7847,750,8222,750,8222,481e" filled="true" fillcolor="#a6a6a6" stroked="false">
              <v:path arrowok="t"/>
              <v:fill type="solid"/>
            </v:shape>
            <v:line style="position:absolute" from="9053,446" to="9510,446" stroked="true" strokeweight=".584348pt" strokecolor="#f1f1f1">
              <v:stroke dashstyle="solid"/>
            </v:line>
            <v:rect style="position:absolute;left:8678;top:411;width:375;height:258" filled="true" fillcolor="#a6a6a6" stroked="false">
              <v:fill type="solid"/>
            </v:rect>
            <v:line style="position:absolute" from="9885,446" to="10119,446" stroked="true" strokeweight=".584348pt" strokecolor="#f1f1f1">
              <v:stroke dashstyle="solid"/>
            </v:line>
            <v:rect style="position:absolute;left:9510;top:352;width:375;height:246" filled="true" fillcolor="#a6a6a6" stroked="false">
              <v:fill type="solid"/>
            </v:rect>
            <v:line style="position:absolute" from="2002,522" to="2377,522" stroked="true" strokeweight=".584344pt" strokecolor="#d9d9d9">
              <v:stroke dashstyle="solid"/>
            </v:line>
            <v:line style="position:absolute" from="2845,510" to="3208,510" stroked="true" strokeweight=".584356pt" strokecolor="#d9d9d9">
              <v:stroke dashstyle="solid"/>
            </v:line>
            <v:shape style="position:absolute;left:3676;top:662;width:1207;height:36" coordorigin="3677,662" coordsize="1207,36" path="m3677,662l4040,662m4508,697l4883,697e" filled="false" stroked="true" strokeweight=".584344pt" strokecolor="#d9d9d9">
              <v:path arrowok="t"/>
              <v:stroke dashstyle="solid"/>
            </v:shape>
            <v:line style="position:absolute" from="5340,803" to="5715,803" stroked="true" strokeweight=".584356pt" strokecolor="#d9d9d9">
              <v:stroke dashstyle="solid"/>
            </v:line>
            <v:line style="position:absolute" from="6184,545" to="6547,545" stroked="true" strokeweight=".584344pt" strokecolor="#d9d9d9">
              <v:stroke dashstyle="solid"/>
            </v:line>
            <v:shape style="position:absolute;left:7015;top:346;width:2870;height:187" coordorigin="7015,347" coordsize="2870,187" path="m7015,534l7378,534m7847,475l8222,475m8679,405l9053,405m9510,347l9885,347e" filled="false" stroked="true" strokeweight=".584344pt" strokecolor="#d9d9d9">
              <v:path arrowok="t"/>
              <v:stroke dashstyle="solid"/>
            </v:shape>
            <v:shape style="position:absolute;left:2001;top:411;width:6221;height:398" coordorigin="2002,411" coordsize="6221,398" path="m2377,481l2002,481,2002,528,2377,528,2377,481m3208,469l2845,469,2845,516,3208,516,3208,469m4040,621l3677,621,3677,668,4040,668,4040,621m4883,656l4508,656,4508,703,4883,703,4883,656m5715,750l5340,750,5340,808,5715,808,5715,750m6547,481l6184,481,6184,551,6547,551,6547,481m7378,469l7015,469,7015,540,7378,540,7378,469m8222,411l7847,411,7847,481,8222,481,8222,411e" filled="true" fillcolor="#413c22" stroked="false">
              <v:path arrowok="t"/>
              <v:fill type="solid"/>
            </v:shape>
            <v:line style="position:absolute" from="8679,370" to="9053,370" stroked="true" strokeweight="2.921743pt" strokecolor="#413c22">
              <v:stroke dashstyle="solid"/>
            </v:line>
            <v:rect style="position:absolute;left:9510;top:282;width:375;height:71" filled="true" fillcolor="#413c22" stroked="false">
              <v:fill type="solid"/>
            </v:rect>
            <v:line style="position:absolute" from="1779,166" to="10119,166" stroked="true" strokeweight=".584348pt" strokecolor="#f1f1f1">
              <v:stroke dashstyle="solid"/>
            </v:line>
            <v:line style="position:absolute" from="1779,2374" to="1779,166" stroked="true" strokeweight=".585702pt" strokecolor="#bebebe">
              <v:stroke dashstyle="solid"/>
            </v:line>
            <v:shape style="position:absolute;left:0;top:11552;width:17319;height:654628" coordorigin="0,11553" coordsize="17319,654628" path="m1721,2374l1779,2374m1721,2106l1779,2106m1721,1825l1779,1825m1721,1545l1779,1545m1721,1276l1779,1276m1721,995l1779,995m1721,715l1779,715m1721,446l1779,446m1721,166l1779,166e" filled="false" stroked="true" strokeweight=".585026pt" strokecolor="#bebebe">
              <v:path arrowok="t"/>
              <v:stroke dashstyle="solid"/>
            </v:shape>
            <v:line style="position:absolute" from="1779,2374" to="10119,2374" stroked="true" strokeweight=".584346pt" strokecolor="#bebebe">
              <v:stroke dashstyle="solid"/>
            </v:line>
            <v:shape style="position:absolute;left:0;top:-12260;width:652097;height:23813" coordorigin="0,-12260" coordsize="652097,23813" path="m1779,2374l1779,2421m1779,2374l1779,2678m2611,2374l2611,2421m2611,2374l2611,2678m3442,2374l3442,2421m3442,2374l3442,2678m4274,2374l4274,2421m4274,2374l4274,2678m5118,2374l5118,2421m5118,2374l5118,2678m5949,2374l5949,2421m5949,2374l5949,2678m6781,2374l6781,2421m6781,2374l6781,2678m7613,2374l7613,2421m7613,2374l7613,2678m8444,2374l8444,2421m8444,2374l8444,2678m9288,2374l9288,2421m9288,2374l9288,2678m10119,2374l10119,2421m10119,2374l10119,2678e" filled="false" stroked="true" strokeweight=".585017pt" strokecolor="#bebebe">
              <v:path arrowok="t"/>
              <v:stroke dashstyle="solid"/>
            </v:shape>
            <v:shape style="position:absolute;left:0;top:-12260;width:652097;height:23813" coordorigin="0,-12260" coordsize="652097,23813" path="m1779,2678l1779,2982m5949,2678l5949,2982m10119,2678l10119,2982e" filled="false" stroked="true" strokeweight=".585017pt" strokecolor="#bebebe">
              <v:path arrowok="t"/>
              <v:stroke dashstyle="solid"/>
            </v:shape>
            <v:line style="position:absolute" from="5996,2344" to="5996,224" stroked="true" strokeweight=".585698pt" strokecolor="#7e7e7e">
              <v:stroke dashstyle="solid"/>
            </v:line>
            <v:shape style="position:absolute;left:2033;top:2513;width:332;height:152" type="#_x0000_t202" filled="false" stroked="false">
              <v:textbox inset="0,0,0,0">
                <w:txbxContent>
                  <w:p>
                    <w:pPr>
                      <w:spacing w:line="152" w:lineRule="exact" w:before="0"/>
                      <w:ind w:left="0" w:right="0" w:firstLine="0"/>
                      <w:jc w:val="left"/>
                      <w:rPr>
                        <w:rFonts w:ascii="Calibri"/>
                        <w:sz w:val="15"/>
                      </w:rPr>
                    </w:pPr>
                    <w:r>
                      <w:rPr>
                        <w:rFonts w:ascii="Calibri"/>
                        <w:color w:val="585858"/>
                        <w:sz w:val="15"/>
                      </w:rPr>
                      <w:t>2014</w:t>
                    </w:r>
                  </w:p>
                </w:txbxContent>
              </v:textbox>
              <w10:wrap type="none"/>
            </v:shape>
            <v:shape style="position:absolute;left:2867;top:2513;width:332;height:152" type="#_x0000_t202" filled="false" stroked="false">
              <v:textbox inset="0,0,0,0">
                <w:txbxContent>
                  <w:p>
                    <w:pPr>
                      <w:spacing w:line="152" w:lineRule="exact" w:before="0"/>
                      <w:ind w:left="0" w:right="0" w:firstLine="0"/>
                      <w:jc w:val="left"/>
                      <w:rPr>
                        <w:rFonts w:ascii="Calibri"/>
                        <w:sz w:val="15"/>
                      </w:rPr>
                    </w:pPr>
                    <w:r>
                      <w:rPr>
                        <w:rFonts w:ascii="Calibri"/>
                        <w:color w:val="585858"/>
                        <w:sz w:val="15"/>
                      </w:rPr>
                      <w:t>2015</w:t>
                    </w:r>
                  </w:p>
                </w:txbxContent>
              </v:textbox>
              <w10:wrap type="none"/>
            </v:shape>
            <v:shape style="position:absolute;left:3701;top:2513;width:332;height:152" type="#_x0000_t202" filled="false" stroked="false">
              <v:textbox inset="0,0,0,0">
                <w:txbxContent>
                  <w:p>
                    <w:pPr>
                      <w:spacing w:line="152" w:lineRule="exact" w:before="0"/>
                      <w:ind w:left="0" w:right="0" w:firstLine="0"/>
                      <w:jc w:val="left"/>
                      <w:rPr>
                        <w:rFonts w:ascii="Calibri"/>
                        <w:sz w:val="15"/>
                      </w:rPr>
                    </w:pPr>
                    <w:r>
                      <w:rPr>
                        <w:rFonts w:ascii="Calibri"/>
                        <w:color w:val="585858"/>
                        <w:sz w:val="15"/>
                      </w:rPr>
                      <w:t>2016</w:t>
                    </w:r>
                  </w:p>
                </w:txbxContent>
              </v:textbox>
              <w10:wrap type="none"/>
            </v:shape>
            <v:shape style="position:absolute;left:4536;top:2513;width:332;height:152" type="#_x0000_t202" filled="false" stroked="false">
              <v:textbox inset="0,0,0,0">
                <w:txbxContent>
                  <w:p>
                    <w:pPr>
                      <w:spacing w:line="152" w:lineRule="exact" w:before="0"/>
                      <w:ind w:left="0" w:right="0" w:firstLine="0"/>
                      <w:jc w:val="left"/>
                      <w:rPr>
                        <w:rFonts w:ascii="Calibri"/>
                        <w:sz w:val="15"/>
                      </w:rPr>
                    </w:pPr>
                    <w:r>
                      <w:rPr>
                        <w:rFonts w:ascii="Calibri"/>
                        <w:color w:val="585858"/>
                        <w:sz w:val="15"/>
                      </w:rPr>
                      <w:t>2017</w:t>
                    </w:r>
                  </w:p>
                </w:txbxContent>
              </v:textbox>
              <w10:wrap type="none"/>
            </v:shape>
            <v:shape style="position:absolute;left:5370;top:2513;width:332;height:152" type="#_x0000_t202" filled="false" stroked="false">
              <v:textbox inset="0,0,0,0">
                <w:txbxContent>
                  <w:p>
                    <w:pPr>
                      <w:spacing w:line="152" w:lineRule="exact" w:before="0"/>
                      <w:ind w:left="0" w:right="0" w:firstLine="0"/>
                      <w:jc w:val="left"/>
                      <w:rPr>
                        <w:rFonts w:ascii="Calibri"/>
                        <w:sz w:val="15"/>
                      </w:rPr>
                    </w:pPr>
                    <w:r>
                      <w:rPr>
                        <w:rFonts w:ascii="Calibri"/>
                        <w:color w:val="585858"/>
                        <w:sz w:val="15"/>
                      </w:rPr>
                      <w:t>2018</w:t>
                    </w:r>
                  </w:p>
                </w:txbxContent>
              </v:textbox>
              <w10:wrap type="none"/>
            </v:shape>
            <v:shape style="position:absolute;left:6204;top:2513;width:332;height:152" type="#_x0000_t202" filled="false" stroked="false">
              <v:textbox inset="0,0,0,0">
                <w:txbxContent>
                  <w:p>
                    <w:pPr>
                      <w:spacing w:line="152" w:lineRule="exact" w:before="0"/>
                      <w:ind w:left="0" w:right="0" w:firstLine="0"/>
                      <w:jc w:val="left"/>
                      <w:rPr>
                        <w:rFonts w:ascii="Calibri"/>
                        <w:sz w:val="15"/>
                      </w:rPr>
                    </w:pPr>
                    <w:r>
                      <w:rPr>
                        <w:rFonts w:ascii="Calibri"/>
                        <w:color w:val="585858"/>
                        <w:sz w:val="15"/>
                      </w:rPr>
                      <w:t>2019</w:t>
                    </w:r>
                  </w:p>
                </w:txbxContent>
              </v:textbox>
              <w10:wrap type="none"/>
            </v:shape>
            <v:shape style="position:absolute;left:7039;top:2513;width:332;height:152" type="#_x0000_t202" filled="false" stroked="false">
              <v:textbox inset="0,0,0,0">
                <w:txbxContent>
                  <w:p>
                    <w:pPr>
                      <w:spacing w:line="152" w:lineRule="exact" w:before="0"/>
                      <w:ind w:left="0" w:right="0" w:firstLine="0"/>
                      <w:jc w:val="left"/>
                      <w:rPr>
                        <w:rFonts w:ascii="Calibri"/>
                        <w:sz w:val="15"/>
                      </w:rPr>
                    </w:pPr>
                    <w:r>
                      <w:rPr>
                        <w:rFonts w:ascii="Calibri"/>
                        <w:color w:val="585858"/>
                        <w:sz w:val="15"/>
                      </w:rPr>
                      <w:t>2020</w:t>
                    </w:r>
                  </w:p>
                </w:txbxContent>
              </v:textbox>
              <w10:wrap type="none"/>
            </v:shape>
            <v:shape style="position:absolute;left:7873;top:2513;width:332;height:152" type="#_x0000_t202" filled="false" stroked="false">
              <v:textbox inset="0,0,0,0">
                <w:txbxContent>
                  <w:p>
                    <w:pPr>
                      <w:spacing w:line="152" w:lineRule="exact" w:before="0"/>
                      <w:ind w:left="0" w:right="0" w:firstLine="0"/>
                      <w:jc w:val="left"/>
                      <w:rPr>
                        <w:rFonts w:ascii="Calibri"/>
                        <w:sz w:val="15"/>
                      </w:rPr>
                    </w:pPr>
                    <w:r>
                      <w:rPr>
                        <w:rFonts w:ascii="Calibri"/>
                        <w:color w:val="585858"/>
                        <w:sz w:val="15"/>
                      </w:rPr>
                      <w:t>2021</w:t>
                    </w:r>
                  </w:p>
                </w:txbxContent>
              </v:textbox>
              <w10:wrap type="none"/>
            </v:shape>
            <v:shape style="position:absolute;left:8707;top:2513;width:332;height:152" type="#_x0000_t202" filled="false" stroked="false">
              <v:textbox inset="0,0,0,0">
                <w:txbxContent>
                  <w:p>
                    <w:pPr>
                      <w:spacing w:line="152" w:lineRule="exact" w:before="0"/>
                      <w:ind w:left="0" w:right="0" w:firstLine="0"/>
                      <w:jc w:val="left"/>
                      <w:rPr>
                        <w:rFonts w:ascii="Calibri"/>
                        <w:sz w:val="15"/>
                      </w:rPr>
                    </w:pPr>
                    <w:r>
                      <w:rPr>
                        <w:rFonts w:ascii="Calibri"/>
                        <w:color w:val="585858"/>
                        <w:sz w:val="15"/>
                      </w:rPr>
                      <w:t>2022</w:t>
                    </w:r>
                  </w:p>
                </w:txbxContent>
              </v:textbox>
              <w10:wrap type="none"/>
            </v:shape>
            <v:shape style="position:absolute;left:9542;top:2513;width:332;height:152" type="#_x0000_t202" filled="false" stroked="false">
              <v:textbox inset="0,0,0,0">
                <w:txbxContent>
                  <w:p>
                    <w:pPr>
                      <w:spacing w:line="152" w:lineRule="exact" w:before="0"/>
                      <w:ind w:left="0" w:right="0" w:firstLine="0"/>
                      <w:jc w:val="left"/>
                      <w:rPr>
                        <w:rFonts w:ascii="Calibri"/>
                        <w:sz w:val="15"/>
                      </w:rPr>
                    </w:pPr>
                    <w:r>
                      <w:rPr>
                        <w:rFonts w:ascii="Calibri"/>
                        <w:color w:val="585858"/>
                        <w:sz w:val="15"/>
                      </w:rPr>
                      <w:t>2023</w:t>
                    </w:r>
                  </w:p>
                </w:txbxContent>
              </v:textbox>
              <w10:wrap type="none"/>
            </v:shape>
            <v:shape style="position:absolute;left:3617;top:2814;width:4736;height:152" type="#_x0000_t202" filled="false" stroked="false">
              <v:textbox inset="0,0,0,0">
                <w:txbxContent>
                  <w:p>
                    <w:pPr>
                      <w:tabs>
                        <w:tab w:pos="4108" w:val="left" w:leader="none"/>
                      </w:tabs>
                      <w:spacing w:line="152" w:lineRule="exact" w:before="0"/>
                      <w:ind w:left="0" w:right="0" w:firstLine="0"/>
                      <w:jc w:val="left"/>
                      <w:rPr>
                        <w:rFonts w:ascii="Calibri"/>
                        <w:sz w:val="15"/>
                      </w:rPr>
                    </w:pPr>
                    <w:r>
                      <w:rPr>
                        <w:rFonts w:ascii="Calibri"/>
                        <w:color w:val="585858"/>
                        <w:sz w:val="15"/>
                      </w:rPr>
                      <w:t>Historic</w:t>
                      <w:tab/>
                      <w:t>Projected</w:t>
                    </w:r>
                  </w:p>
                </w:txbxContent>
              </v:textbox>
              <w10:wrap type="none"/>
            </v:shape>
            <w10:wrap type="none"/>
          </v:group>
        </w:pict>
      </w:r>
      <w:r>
        <w:rPr>
          <w:rFonts w:ascii="Calibri"/>
          <w:color w:val="585858"/>
          <w:sz w:val="15"/>
        </w:rPr>
        <w:t>$4,000</w:t>
      </w:r>
    </w:p>
    <w:p>
      <w:pPr>
        <w:spacing w:before="94"/>
        <w:ind w:left="0" w:right="10282" w:firstLine="0"/>
        <w:jc w:val="right"/>
        <w:rPr>
          <w:rFonts w:ascii="Calibri"/>
          <w:sz w:val="15"/>
        </w:rPr>
      </w:pPr>
      <w:r>
        <w:rPr>
          <w:rFonts w:ascii="Calibri"/>
          <w:color w:val="585858"/>
          <w:sz w:val="15"/>
        </w:rPr>
        <w:t>$3,500</w:t>
      </w:r>
    </w:p>
    <w:p>
      <w:pPr>
        <w:spacing w:before="93"/>
        <w:ind w:left="0" w:right="10282" w:firstLine="0"/>
        <w:jc w:val="right"/>
        <w:rPr>
          <w:rFonts w:ascii="Calibri"/>
          <w:sz w:val="15"/>
        </w:rPr>
      </w:pPr>
      <w:r>
        <w:rPr>
          <w:rFonts w:ascii="Calibri"/>
          <w:color w:val="585858"/>
          <w:sz w:val="15"/>
        </w:rPr>
        <w:t>$3,000</w:t>
      </w:r>
    </w:p>
    <w:p>
      <w:pPr>
        <w:spacing w:before="93"/>
        <w:ind w:left="0" w:right="10282" w:firstLine="0"/>
        <w:jc w:val="right"/>
        <w:rPr>
          <w:rFonts w:ascii="Calibri"/>
          <w:sz w:val="15"/>
        </w:rPr>
      </w:pPr>
      <w:r>
        <w:rPr>
          <w:rFonts w:ascii="Calibri"/>
          <w:color w:val="585858"/>
          <w:sz w:val="15"/>
        </w:rPr>
        <w:t>$2,500</w:t>
      </w:r>
    </w:p>
    <w:p>
      <w:pPr>
        <w:spacing w:before="94"/>
        <w:ind w:left="0" w:right="10282" w:firstLine="0"/>
        <w:jc w:val="right"/>
        <w:rPr>
          <w:rFonts w:ascii="Calibri"/>
          <w:sz w:val="15"/>
        </w:rPr>
      </w:pPr>
      <w:r>
        <w:rPr>
          <w:rFonts w:ascii="Calibri"/>
          <w:color w:val="585858"/>
          <w:sz w:val="15"/>
        </w:rPr>
        <w:t>$2,000</w:t>
      </w:r>
    </w:p>
    <w:p>
      <w:pPr>
        <w:spacing w:before="93"/>
        <w:ind w:left="0" w:right="10282" w:firstLine="0"/>
        <w:jc w:val="right"/>
        <w:rPr>
          <w:rFonts w:ascii="Calibri"/>
          <w:sz w:val="15"/>
        </w:rPr>
      </w:pPr>
      <w:r>
        <w:rPr>
          <w:rFonts w:ascii="Calibri"/>
          <w:color w:val="585858"/>
          <w:sz w:val="15"/>
        </w:rPr>
        <w:t>$1,500</w:t>
      </w:r>
    </w:p>
    <w:p>
      <w:pPr>
        <w:spacing w:before="93"/>
        <w:ind w:left="0" w:right="10282" w:firstLine="0"/>
        <w:jc w:val="right"/>
        <w:rPr>
          <w:rFonts w:ascii="Calibri"/>
          <w:sz w:val="15"/>
        </w:rPr>
      </w:pPr>
      <w:r>
        <w:rPr>
          <w:rFonts w:ascii="Calibri"/>
          <w:color w:val="585858"/>
          <w:sz w:val="15"/>
        </w:rPr>
        <w:t>$1,000</w:t>
      </w:r>
    </w:p>
    <w:p>
      <w:pPr>
        <w:spacing w:before="94"/>
        <w:ind w:left="0" w:right="10279" w:firstLine="0"/>
        <w:jc w:val="right"/>
        <w:rPr>
          <w:rFonts w:ascii="Calibri"/>
          <w:sz w:val="15"/>
        </w:rPr>
      </w:pPr>
      <w:r>
        <w:rPr>
          <w:rFonts w:ascii="Calibri"/>
          <w:color w:val="585858"/>
          <w:sz w:val="15"/>
        </w:rPr>
        <w:t>$500</w:t>
      </w:r>
    </w:p>
    <w:p>
      <w:pPr>
        <w:spacing w:before="93"/>
        <w:ind w:left="0" w:right="10273" w:firstLine="0"/>
        <w:jc w:val="right"/>
        <w:rPr>
          <w:rFonts w:ascii="Calibri"/>
          <w:sz w:val="15"/>
        </w:rPr>
      </w:pPr>
      <w:r>
        <w:rPr>
          <w:rFonts w:ascii="Calibri"/>
          <w:color w:val="585858"/>
          <w:sz w:val="15"/>
        </w:rPr>
        <w:t>$0</w:t>
      </w:r>
    </w:p>
    <w:p>
      <w:pPr>
        <w:pStyle w:val="BodyText"/>
        <w:rPr>
          <w:rFonts w:ascii="Calibri"/>
        </w:rPr>
      </w:pPr>
    </w:p>
    <w:p>
      <w:pPr>
        <w:pStyle w:val="BodyText"/>
        <w:spacing w:before="10"/>
        <w:rPr>
          <w:rFonts w:ascii="Calibri"/>
          <w:sz w:val="18"/>
        </w:rPr>
      </w:pPr>
    </w:p>
    <w:p>
      <w:pPr>
        <w:spacing w:before="72"/>
        <w:ind w:left="1602" w:right="1747" w:firstLine="0"/>
        <w:jc w:val="center"/>
        <w:rPr>
          <w:rFonts w:ascii="Calibri"/>
          <w:b/>
          <w:sz w:val="15"/>
        </w:rPr>
      </w:pPr>
      <w:r>
        <w:rPr/>
        <w:pict>
          <v:group style="position:absolute;margin-left:92.775719pt;margin-top:28.421249pt;width:10.1pt;height:22.3pt;mso-position-horizontal-relative:page;mso-position-vertical-relative:paragraph;z-index:-287197184" coordorigin="1856,568" coordsize="202,446">
            <v:rect style="position:absolute;left:1855;top:568;width:202;height:136" filled="true" fillcolor="#1f487c" stroked="false">
              <v:fill type="solid"/>
            </v:rect>
            <v:rect style="position:absolute;left:1855;top:723;width:202;height:136" filled="true" fillcolor="#f8a763" stroked="false">
              <v:fill type="solid"/>
            </v:rect>
            <v:rect style="position:absolute;left:1855;top:878;width:202;height:136" filled="true" fillcolor="#808080" stroked="false">
              <v:fill type="solid"/>
            </v:rect>
            <w10:wrap type="none"/>
          </v:group>
        </w:pict>
      </w:r>
      <w:r>
        <w:rPr/>
        <w:pict>
          <v:rect style="position:absolute;margin-left:423.363892pt;margin-top:28.421249pt;width:10.412246pt;height:6.778266pt;mso-position-horizontal-relative:page;mso-position-vertical-relative:paragraph;z-index:-287196160" filled="true" fillcolor="#c9dba4" stroked="false">
            <v:fill type="solid"/>
            <w10:wrap type="none"/>
          </v:rect>
        </w:pict>
      </w:r>
      <w:r>
        <w:rPr>
          <w:rFonts w:ascii="Calibri"/>
          <w:b/>
          <w:color w:val="585858"/>
          <w:sz w:val="15"/>
        </w:rPr>
        <w:t>Year Ending  30 June</w:t>
      </w:r>
    </w:p>
    <w:p>
      <w:pPr>
        <w:pStyle w:val="BodyText"/>
        <w:spacing w:before="6"/>
        <w:rPr>
          <w:rFonts w:ascii="Calibri"/>
          <w:b/>
          <w:sz w:val="15"/>
        </w:rPr>
      </w:pPr>
    </w:p>
    <w:tbl>
      <w:tblPr>
        <w:tblW w:w="0" w:type="auto"/>
        <w:jc w:val="left"/>
        <w:tblInd w:w="16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72"/>
        <w:gridCol w:w="215"/>
        <w:gridCol w:w="822"/>
        <w:gridCol w:w="90"/>
        <w:gridCol w:w="209"/>
        <w:gridCol w:w="944"/>
        <w:gridCol w:w="60"/>
        <w:gridCol w:w="209"/>
        <w:gridCol w:w="1181"/>
        <w:gridCol w:w="57"/>
        <w:gridCol w:w="209"/>
        <w:gridCol w:w="704"/>
        <w:gridCol w:w="71"/>
        <w:gridCol w:w="208"/>
        <w:gridCol w:w="726"/>
        <w:gridCol w:w="835"/>
      </w:tblGrid>
      <w:tr>
        <w:trPr>
          <w:trHeight w:val="110" w:hRule="atLeast"/>
        </w:trPr>
        <w:tc>
          <w:tcPr>
            <w:tcW w:w="1072" w:type="dxa"/>
          </w:tcPr>
          <w:p>
            <w:pPr>
              <w:pStyle w:val="TableParagraph"/>
              <w:spacing w:line="91" w:lineRule="exact" w:before="0"/>
              <w:ind w:left="31" w:right="43"/>
              <w:jc w:val="center"/>
              <w:rPr>
                <w:rFonts w:ascii="Calibri"/>
                <w:b/>
                <w:sz w:val="9"/>
              </w:rPr>
            </w:pPr>
            <w:r>
              <w:rPr>
                <w:rFonts w:ascii="Calibri"/>
                <w:b/>
                <w:w w:val="110"/>
                <w:sz w:val="9"/>
              </w:rPr>
              <w:t>Payment Category Key:</w:t>
            </w:r>
          </w:p>
        </w:tc>
        <w:tc>
          <w:tcPr>
            <w:tcW w:w="6540" w:type="dxa"/>
            <w:gridSpan w:val="15"/>
          </w:tcPr>
          <w:p>
            <w:pPr>
              <w:pStyle w:val="TableParagraph"/>
              <w:spacing w:before="0"/>
              <w:rPr>
                <w:rFonts w:ascii="Times New Roman"/>
                <w:sz w:val="6"/>
              </w:rPr>
            </w:pPr>
          </w:p>
        </w:tc>
      </w:tr>
      <w:tr>
        <w:trPr>
          <w:trHeight w:val="168" w:hRule="atLeast"/>
        </w:trPr>
        <w:tc>
          <w:tcPr>
            <w:tcW w:w="1072" w:type="dxa"/>
          </w:tcPr>
          <w:p>
            <w:pPr>
              <w:pStyle w:val="TableParagraph"/>
              <w:spacing w:before="31"/>
              <w:ind w:left="31"/>
              <w:jc w:val="center"/>
              <w:rPr>
                <w:rFonts w:ascii="Calibri"/>
                <w:sz w:val="9"/>
              </w:rPr>
            </w:pPr>
            <w:r>
              <w:rPr>
                <w:rFonts w:ascii="Calibri"/>
                <w:w w:val="110"/>
                <w:sz w:val="9"/>
              </w:rPr>
              <w:t>A - IS Studying</w:t>
            </w:r>
          </w:p>
        </w:tc>
        <w:tc>
          <w:tcPr>
            <w:tcW w:w="215" w:type="dxa"/>
            <w:shd w:val="clear" w:color="auto" w:fill="009544"/>
          </w:tcPr>
          <w:p>
            <w:pPr>
              <w:pStyle w:val="TableParagraph"/>
              <w:spacing w:line="135" w:lineRule="exact" w:before="0"/>
              <w:ind w:left="-1" w:right="-58"/>
              <w:rPr>
                <w:rFonts w:ascii="Calibri"/>
                <w:sz w:val="13"/>
              </w:rPr>
            </w:pPr>
            <w:r>
              <w:rPr>
                <w:rFonts w:ascii="Calibri"/>
                <w:position w:val="-2"/>
                <w:sz w:val="13"/>
              </w:rPr>
              <w:pict>
                <v:group style="width:10.45pt;height:6.8pt;mso-position-horizontal-relative:char;mso-position-vertical-relative:line" coordorigin="0,0" coordsize="209,136">
                  <v:rect style="position:absolute;left:0;top:0;width:209;height:136" filled="true" fillcolor="#009544" stroked="false">
                    <v:fill type="solid"/>
                  </v:rect>
                </v:group>
              </w:pict>
            </w:r>
            <w:r>
              <w:rPr>
                <w:rFonts w:ascii="Calibri"/>
                <w:position w:val="-2"/>
                <w:sz w:val="13"/>
              </w:rPr>
            </w:r>
          </w:p>
        </w:tc>
        <w:tc>
          <w:tcPr>
            <w:tcW w:w="822" w:type="dxa"/>
          </w:tcPr>
          <w:p>
            <w:pPr>
              <w:pStyle w:val="TableParagraph"/>
              <w:spacing w:before="31"/>
              <w:ind w:left="5"/>
              <w:rPr>
                <w:rFonts w:ascii="Calibri"/>
                <w:sz w:val="9"/>
              </w:rPr>
            </w:pPr>
            <w:r>
              <w:rPr>
                <w:rFonts w:ascii="Calibri"/>
                <w:w w:val="110"/>
                <w:sz w:val="9"/>
              </w:rPr>
              <w:t>B - IS Working Age</w:t>
            </w:r>
          </w:p>
        </w:tc>
        <w:tc>
          <w:tcPr>
            <w:tcW w:w="90" w:type="dxa"/>
          </w:tcPr>
          <w:p>
            <w:pPr>
              <w:pStyle w:val="TableParagraph"/>
              <w:spacing w:before="0"/>
              <w:rPr>
                <w:rFonts w:ascii="Times New Roman"/>
                <w:sz w:val="10"/>
              </w:rPr>
            </w:pPr>
          </w:p>
        </w:tc>
        <w:tc>
          <w:tcPr>
            <w:tcW w:w="209" w:type="dxa"/>
            <w:shd w:val="clear" w:color="auto" w:fill="E16B09"/>
          </w:tcPr>
          <w:p>
            <w:pPr>
              <w:pStyle w:val="TableParagraph"/>
              <w:spacing w:line="135" w:lineRule="exact" w:before="0"/>
              <w:ind w:left="-2" w:right="-58"/>
              <w:rPr>
                <w:rFonts w:ascii="Calibri"/>
                <w:sz w:val="13"/>
              </w:rPr>
            </w:pPr>
            <w:r>
              <w:rPr>
                <w:rFonts w:ascii="Calibri"/>
                <w:position w:val="-2"/>
                <w:sz w:val="13"/>
              </w:rPr>
              <w:pict>
                <v:group style="width:10.45pt;height:6.8pt;mso-position-horizontal-relative:char;mso-position-vertical-relative:line" coordorigin="0,0" coordsize="209,136">
                  <v:rect style="position:absolute;left:0;top:0;width:209;height:136" filled="true" fillcolor="#e16b09" stroked="false">
                    <v:fill type="solid"/>
                  </v:rect>
                </v:group>
              </w:pict>
            </w:r>
            <w:r>
              <w:rPr>
                <w:rFonts w:ascii="Calibri"/>
                <w:position w:val="-2"/>
                <w:sz w:val="13"/>
              </w:rPr>
            </w:r>
          </w:p>
        </w:tc>
        <w:tc>
          <w:tcPr>
            <w:tcW w:w="944" w:type="dxa"/>
          </w:tcPr>
          <w:p>
            <w:pPr>
              <w:pStyle w:val="TableParagraph"/>
              <w:spacing w:before="31"/>
              <w:ind w:left="10"/>
              <w:rPr>
                <w:rFonts w:ascii="Calibri"/>
                <w:sz w:val="9"/>
              </w:rPr>
            </w:pPr>
            <w:r>
              <w:rPr>
                <w:rFonts w:ascii="Calibri"/>
                <w:w w:val="110"/>
                <w:sz w:val="9"/>
              </w:rPr>
              <w:t>C - IS Parents</w:t>
            </w:r>
          </w:p>
        </w:tc>
        <w:tc>
          <w:tcPr>
            <w:tcW w:w="60" w:type="dxa"/>
          </w:tcPr>
          <w:p>
            <w:pPr>
              <w:pStyle w:val="TableParagraph"/>
              <w:spacing w:before="0"/>
              <w:rPr>
                <w:rFonts w:ascii="Times New Roman"/>
                <w:sz w:val="10"/>
              </w:rPr>
            </w:pPr>
          </w:p>
        </w:tc>
        <w:tc>
          <w:tcPr>
            <w:tcW w:w="209" w:type="dxa"/>
            <w:shd w:val="clear" w:color="auto" w:fill="E08AD6"/>
          </w:tcPr>
          <w:p>
            <w:pPr>
              <w:pStyle w:val="TableParagraph"/>
              <w:spacing w:line="135" w:lineRule="exact" w:before="0"/>
              <w:ind w:left="-5" w:right="-58"/>
              <w:rPr>
                <w:rFonts w:ascii="Calibri"/>
                <w:sz w:val="13"/>
              </w:rPr>
            </w:pPr>
            <w:r>
              <w:rPr>
                <w:rFonts w:ascii="Calibri"/>
                <w:position w:val="-2"/>
                <w:sz w:val="13"/>
              </w:rPr>
              <w:pict>
                <v:group style="width:10.45pt;height:6.8pt;mso-position-horizontal-relative:char;mso-position-vertical-relative:line" coordorigin="0,0" coordsize="209,136">
                  <v:rect style="position:absolute;left:0;top:0;width:209;height:136" filled="true" fillcolor="#e08ad6" stroked="false">
                    <v:fill type="solid"/>
                  </v:rect>
                </v:group>
              </w:pict>
            </w:r>
            <w:r>
              <w:rPr>
                <w:rFonts w:ascii="Calibri"/>
                <w:position w:val="-2"/>
                <w:sz w:val="13"/>
              </w:rPr>
            </w:r>
          </w:p>
        </w:tc>
        <w:tc>
          <w:tcPr>
            <w:tcW w:w="1181" w:type="dxa"/>
          </w:tcPr>
          <w:p>
            <w:pPr>
              <w:pStyle w:val="TableParagraph"/>
              <w:spacing w:before="31"/>
              <w:ind w:left="8"/>
              <w:rPr>
                <w:rFonts w:ascii="Calibri"/>
                <w:sz w:val="9"/>
              </w:rPr>
            </w:pPr>
            <w:r>
              <w:rPr>
                <w:rFonts w:ascii="Calibri"/>
                <w:w w:val="110"/>
                <w:sz w:val="9"/>
              </w:rPr>
              <w:t>D - IS Carer</w:t>
            </w:r>
          </w:p>
        </w:tc>
        <w:tc>
          <w:tcPr>
            <w:tcW w:w="57" w:type="dxa"/>
          </w:tcPr>
          <w:p>
            <w:pPr>
              <w:pStyle w:val="TableParagraph"/>
              <w:spacing w:before="0"/>
              <w:rPr>
                <w:rFonts w:ascii="Times New Roman"/>
                <w:sz w:val="10"/>
              </w:rPr>
            </w:pPr>
          </w:p>
        </w:tc>
        <w:tc>
          <w:tcPr>
            <w:tcW w:w="209" w:type="dxa"/>
            <w:shd w:val="clear" w:color="auto" w:fill="8063A1"/>
          </w:tcPr>
          <w:p>
            <w:pPr>
              <w:pStyle w:val="TableParagraph"/>
              <w:spacing w:line="135" w:lineRule="exact" w:before="0"/>
              <w:ind w:left="-7" w:right="-58"/>
              <w:rPr>
                <w:rFonts w:ascii="Calibri"/>
                <w:sz w:val="13"/>
              </w:rPr>
            </w:pPr>
            <w:r>
              <w:rPr>
                <w:rFonts w:ascii="Calibri"/>
                <w:position w:val="-2"/>
                <w:sz w:val="13"/>
              </w:rPr>
              <w:pict>
                <v:group style="width:10.45pt;height:6.8pt;mso-position-horizontal-relative:char;mso-position-vertical-relative:line" coordorigin="0,0" coordsize="209,136">
                  <v:rect style="position:absolute;left:0;top:0;width:209;height:136" filled="true" fillcolor="#8063a1" stroked="false">
                    <v:fill type="solid"/>
                  </v:rect>
                </v:group>
              </w:pict>
            </w:r>
            <w:r>
              <w:rPr>
                <w:rFonts w:ascii="Calibri"/>
                <w:position w:val="-2"/>
                <w:sz w:val="13"/>
              </w:rPr>
            </w:r>
          </w:p>
        </w:tc>
        <w:tc>
          <w:tcPr>
            <w:tcW w:w="704" w:type="dxa"/>
          </w:tcPr>
          <w:p>
            <w:pPr>
              <w:pStyle w:val="TableParagraph"/>
              <w:spacing w:before="31"/>
              <w:ind w:left="5"/>
              <w:rPr>
                <w:rFonts w:ascii="Calibri"/>
                <w:sz w:val="9"/>
              </w:rPr>
            </w:pPr>
            <w:r>
              <w:rPr>
                <w:rFonts w:ascii="Calibri"/>
                <w:w w:val="110"/>
                <w:sz w:val="9"/>
              </w:rPr>
              <w:t>E - IS Disability</w:t>
            </w:r>
          </w:p>
        </w:tc>
        <w:tc>
          <w:tcPr>
            <w:tcW w:w="71" w:type="dxa"/>
          </w:tcPr>
          <w:p>
            <w:pPr>
              <w:pStyle w:val="TableParagraph"/>
              <w:spacing w:before="0"/>
              <w:rPr>
                <w:rFonts w:ascii="Times New Roman"/>
                <w:sz w:val="10"/>
              </w:rPr>
            </w:pPr>
          </w:p>
        </w:tc>
        <w:tc>
          <w:tcPr>
            <w:tcW w:w="208" w:type="dxa"/>
            <w:shd w:val="clear" w:color="auto" w:fill="C0504D"/>
          </w:tcPr>
          <w:p>
            <w:pPr>
              <w:pStyle w:val="TableParagraph"/>
              <w:spacing w:line="135" w:lineRule="exact" w:before="0"/>
              <w:ind w:left="-8" w:right="-58"/>
              <w:rPr>
                <w:rFonts w:ascii="Calibri"/>
                <w:sz w:val="13"/>
              </w:rPr>
            </w:pPr>
            <w:r>
              <w:rPr>
                <w:rFonts w:ascii="Calibri"/>
                <w:position w:val="-2"/>
                <w:sz w:val="13"/>
              </w:rPr>
              <w:pict>
                <v:group style="width:10.45pt;height:6.8pt;mso-position-horizontal-relative:char;mso-position-vertical-relative:line" coordorigin="0,0" coordsize="209,136">
                  <v:rect style="position:absolute;left:0;top:0;width:209;height:136" filled="true" fillcolor="#c0504d" stroked="false">
                    <v:fill type="solid"/>
                  </v:rect>
                </v:group>
              </w:pict>
            </w:r>
            <w:r>
              <w:rPr>
                <w:rFonts w:ascii="Calibri"/>
                <w:position w:val="-2"/>
                <w:sz w:val="13"/>
              </w:rPr>
            </w:r>
          </w:p>
        </w:tc>
        <w:tc>
          <w:tcPr>
            <w:tcW w:w="726" w:type="dxa"/>
          </w:tcPr>
          <w:p>
            <w:pPr>
              <w:pStyle w:val="TableParagraph"/>
              <w:spacing w:before="31"/>
              <w:ind w:left="5"/>
              <w:rPr>
                <w:rFonts w:ascii="Calibri"/>
                <w:sz w:val="9"/>
              </w:rPr>
            </w:pPr>
            <w:r>
              <w:rPr>
                <w:rFonts w:ascii="Calibri"/>
                <w:w w:val="110"/>
                <w:sz w:val="9"/>
              </w:rPr>
              <w:t>F - IS Age</w:t>
            </w:r>
          </w:p>
        </w:tc>
        <w:tc>
          <w:tcPr>
            <w:tcW w:w="835" w:type="dxa"/>
          </w:tcPr>
          <w:p>
            <w:pPr>
              <w:pStyle w:val="TableParagraph"/>
              <w:spacing w:before="31"/>
              <w:ind w:left="106"/>
              <w:rPr>
                <w:rFonts w:ascii="Calibri"/>
                <w:sz w:val="9"/>
              </w:rPr>
            </w:pPr>
            <w:r>
              <w:rPr>
                <w:rFonts w:ascii="Calibri"/>
                <w:w w:val="110"/>
                <w:sz w:val="9"/>
              </w:rPr>
              <w:t>G - IS Dependant</w:t>
            </w:r>
          </w:p>
        </w:tc>
      </w:tr>
      <w:tr>
        <w:trPr>
          <w:trHeight w:val="135" w:hRule="atLeast"/>
        </w:trPr>
        <w:tc>
          <w:tcPr>
            <w:tcW w:w="1072" w:type="dxa"/>
          </w:tcPr>
          <w:p>
            <w:pPr>
              <w:pStyle w:val="TableParagraph"/>
              <w:spacing w:line="98" w:lineRule="exact" w:before="17"/>
              <w:ind w:left="31" w:right="43"/>
              <w:jc w:val="center"/>
              <w:rPr>
                <w:rFonts w:ascii="Calibri"/>
                <w:sz w:val="9"/>
              </w:rPr>
            </w:pPr>
            <w:r>
              <w:rPr>
                <w:rFonts w:ascii="Calibri"/>
                <w:w w:val="110"/>
                <w:sz w:val="9"/>
              </w:rPr>
              <w:t>H - Other FTB</w:t>
            </w:r>
          </w:p>
        </w:tc>
        <w:tc>
          <w:tcPr>
            <w:tcW w:w="215" w:type="dxa"/>
            <w:shd w:val="clear" w:color="auto" w:fill="F9C090"/>
          </w:tcPr>
          <w:p>
            <w:pPr>
              <w:pStyle w:val="TableParagraph"/>
              <w:spacing w:before="0"/>
              <w:rPr>
                <w:rFonts w:ascii="Times New Roman"/>
                <w:sz w:val="8"/>
              </w:rPr>
            </w:pPr>
          </w:p>
        </w:tc>
        <w:tc>
          <w:tcPr>
            <w:tcW w:w="822" w:type="dxa"/>
          </w:tcPr>
          <w:p>
            <w:pPr>
              <w:pStyle w:val="TableParagraph"/>
              <w:spacing w:line="98" w:lineRule="exact" w:before="17"/>
              <w:ind w:left="5"/>
              <w:rPr>
                <w:rFonts w:ascii="Calibri"/>
                <w:sz w:val="9"/>
              </w:rPr>
            </w:pPr>
            <w:r>
              <w:rPr>
                <w:rFonts w:ascii="Calibri"/>
                <w:w w:val="110"/>
                <w:sz w:val="9"/>
              </w:rPr>
              <w:t>I - Other Family</w:t>
            </w:r>
          </w:p>
        </w:tc>
        <w:tc>
          <w:tcPr>
            <w:tcW w:w="90" w:type="dxa"/>
            <w:shd w:val="clear" w:color="auto" w:fill="FBDDC4"/>
          </w:tcPr>
          <w:p>
            <w:pPr>
              <w:pStyle w:val="TableParagraph"/>
              <w:spacing w:before="0"/>
              <w:rPr>
                <w:rFonts w:ascii="Times New Roman"/>
                <w:sz w:val="8"/>
              </w:rPr>
            </w:pPr>
          </w:p>
        </w:tc>
        <w:tc>
          <w:tcPr>
            <w:tcW w:w="209" w:type="dxa"/>
            <w:shd w:val="clear" w:color="auto" w:fill="FBDDC4"/>
          </w:tcPr>
          <w:p>
            <w:pPr>
              <w:pStyle w:val="TableParagraph"/>
              <w:spacing w:before="0"/>
              <w:rPr>
                <w:rFonts w:ascii="Times New Roman"/>
                <w:sz w:val="8"/>
              </w:rPr>
            </w:pPr>
          </w:p>
        </w:tc>
        <w:tc>
          <w:tcPr>
            <w:tcW w:w="944" w:type="dxa"/>
          </w:tcPr>
          <w:p>
            <w:pPr>
              <w:pStyle w:val="TableParagraph"/>
              <w:spacing w:line="98" w:lineRule="exact" w:before="17"/>
              <w:ind w:left="10"/>
              <w:rPr>
                <w:rFonts w:ascii="Calibri"/>
                <w:sz w:val="9"/>
              </w:rPr>
            </w:pPr>
            <w:r>
              <w:rPr>
                <w:rFonts w:ascii="Calibri"/>
                <w:w w:val="110"/>
                <w:sz w:val="9"/>
              </w:rPr>
              <w:t>J - Other New Parents</w:t>
            </w:r>
          </w:p>
        </w:tc>
        <w:tc>
          <w:tcPr>
            <w:tcW w:w="60" w:type="dxa"/>
            <w:shd w:val="clear" w:color="auto" w:fill="938953"/>
          </w:tcPr>
          <w:p>
            <w:pPr>
              <w:pStyle w:val="TableParagraph"/>
              <w:spacing w:before="0"/>
              <w:rPr>
                <w:rFonts w:ascii="Times New Roman"/>
                <w:sz w:val="8"/>
              </w:rPr>
            </w:pPr>
          </w:p>
        </w:tc>
        <w:tc>
          <w:tcPr>
            <w:tcW w:w="209" w:type="dxa"/>
            <w:shd w:val="clear" w:color="auto" w:fill="938953"/>
          </w:tcPr>
          <w:p>
            <w:pPr>
              <w:pStyle w:val="TableParagraph"/>
              <w:spacing w:before="0"/>
              <w:rPr>
                <w:rFonts w:ascii="Times New Roman"/>
                <w:sz w:val="8"/>
              </w:rPr>
            </w:pPr>
          </w:p>
        </w:tc>
        <w:tc>
          <w:tcPr>
            <w:tcW w:w="1181" w:type="dxa"/>
          </w:tcPr>
          <w:p>
            <w:pPr>
              <w:pStyle w:val="TableParagraph"/>
              <w:spacing w:line="98" w:lineRule="exact" w:before="17"/>
              <w:ind w:left="8"/>
              <w:rPr>
                <w:rFonts w:ascii="Calibri"/>
                <w:sz w:val="9"/>
              </w:rPr>
            </w:pPr>
            <w:r>
              <w:rPr>
                <w:rFonts w:ascii="Calibri"/>
                <w:w w:val="110"/>
                <w:sz w:val="9"/>
              </w:rPr>
              <w:t>L - Other Health &amp; Disability</w:t>
            </w:r>
          </w:p>
        </w:tc>
        <w:tc>
          <w:tcPr>
            <w:tcW w:w="57" w:type="dxa"/>
            <w:shd w:val="clear" w:color="auto" w:fill="ECB8E7"/>
          </w:tcPr>
          <w:p>
            <w:pPr>
              <w:pStyle w:val="TableParagraph"/>
              <w:spacing w:before="0"/>
              <w:rPr>
                <w:rFonts w:ascii="Times New Roman"/>
                <w:sz w:val="8"/>
              </w:rPr>
            </w:pPr>
          </w:p>
        </w:tc>
        <w:tc>
          <w:tcPr>
            <w:tcW w:w="209" w:type="dxa"/>
            <w:shd w:val="clear" w:color="auto" w:fill="ECB8E7"/>
          </w:tcPr>
          <w:p>
            <w:pPr>
              <w:pStyle w:val="TableParagraph"/>
              <w:spacing w:before="0"/>
              <w:rPr>
                <w:rFonts w:ascii="Times New Roman"/>
                <w:sz w:val="8"/>
              </w:rPr>
            </w:pPr>
          </w:p>
        </w:tc>
        <w:tc>
          <w:tcPr>
            <w:tcW w:w="704" w:type="dxa"/>
          </w:tcPr>
          <w:p>
            <w:pPr>
              <w:pStyle w:val="TableParagraph"/>
              <w:spacing w:line="98" w:lineRule="exact" w:before="17"/>
              <w:ind w:left="5"/>
              <w:rPr>
                <w:rFonts w:ascii="Calibri"/>
                <w:sz w:val="9"/>
              </w:rPr>
            </w:pPr>
            <w:r>
              <w:rPr>
                <w:rFonts w:ascii="Calibri"/>
                <w:w w:val="110"/>
                <w:sz w:val="9"/>
              </w:rPr>
              <w:t>M - Other Carer</w:t>
            </w:r>
          </w:p>
        </w:tc>
        <w:tc>
          <w:tcPr>
            <w:tcW w:w="71" w:type="dxa"/>
            <w:shd w:val="clear" w:color="auto" w:fill="C4BC96"/>
          </w:tcPr>
          <w:p>
            <w:pPr>
              <w:pStyle w:val="TableParagraph"/>
              <w:spacing w:before="0"/>
              <w:rPr>
                <w:rFonts w:ascii="Times New Roman"/>
                <w:sz w:val="8"/>
              </w:rPr>
            </w:pPr>
          </w:p>
        </w:tc>
        <w:tc>
          <w:tcPr>
            <w:tcW w:w="208" w:type="dxa"/>
            <w:shd w:val="clear" w:color="auto" w:fill="C4BC96"/>
          </w:tcPr>
          <w:p>
            <w:pPr>
              <w:pStyle w:val="TableParagraph"/>
              <w:spacing w:before="0"/>
              <w:rPr>
                <w:rFonts w:ascii="Times New Roman"/>
                <w:sz w:val="8"/>
              </w:rPr>
            </w:pPr>
          </w:p>
        </w:tc>
        <w:tc>
          <w:tcPr>
            <w:tcW w:w="726" w:type="dxa"/>
          </w:tcPr>
          <w:p>
            <w:pPr>
              <w:pStyle w:val="TableParagraph"/>
              <w:spacing w:line="98" w:lineRule="exact" w:before="17"/>
              <w:ind w:left="5"/>
              <w:rPr>
                <w:rFonts w:ascii="Calibri"/>
                <w:sz w:val="9"/>
              </w:rPr>
            </w:pPr>
            <w:r>
              <w:rPr>
                <w:rFonts w:ascii="Calibri"/>
                <w:w w:val="110"/>
                <w:sz w:val="9"/>
              </w:rPr>
              <w:t>N - Other Study &amp;</w:t>
            </w:r>
          </w:p>
        </w:tc>
        <w:tc>
          <w:tcPr>
            <w:tcW w:w="835" w:type="dxa"/>
          </w:tcPr>
          <w:p>
            <w:pPr>
              <w:pStyle w:val="TableParagraph"/>
              <w:spacing w:line="98" w:lineRule="exact" w:before="17"/>
              <w:ind w:left="1"/>
              <w:rPr>
                <w:rFonts w:ascii="Calibri"/>
                <w:sz w:val="9"/>
              </w:rPr>
            </w:pPr>
            <w:r>
              <w:rPr>
                <w:rFonts w:ascii="Calibri"/>
                <w:w w:val="110"/>
                <w:sz w:val="9"/>
              </w:rPr>
              <w:t>Skills</w:t>
            </w:r>
          </w:p>
        </w:tc>
      </w:tr>
      <w:tr>
        <w:trPr>
          <w:trHeight w:val="275" w:hRule="atLeast"/>
        </w:trPr>
        <w:tc>
          <w:tcPr>
            <w:tcW w:w="1072" w:type="dxa"/>
          </w:tcPr>
          <w:p>
            <w:pPr>
              <w:pStyle w:val="TableParagraph"/>
              <w:spacing w:line="130" w:lineRule="atLeast" w:before="17"/>
              <w:ind w:left="264" w:right="-17"/>
              <w:rPr>
                <w:rFonts w:ascii="Calibri"/>
                <w:sz w:val="9"/>
              </w:rPr>
            </w:pPr>
            <w:r>
              <w:rPr>
                <w:rFonts w:ascii="Calibri"/>
                <w:w w:val="110"/>
                <w:sz w:val="9"/>
              </w:rPr>
              <w:t>O - Other Remote &amp; Regional</w:t>
            </w:r>
          </w:p>
        </w:tc>
        <w:tc>
          <w:tcPr>
            <w:tcW w:w="215" w:type="dxa"/>
          </w:tcPr>
          <w:p>
            <w:pPr>
              <w:pStyle w:val="TableParagraph"/>
              <w:spacing w:line="135" w:lineRule="exact" w:before="0"/>
              <w:ind w:left="-1" w:right="-58"/>
              <w:rPr>
                <w:rFonts w:ascii="Calibri"/>
                <w:sz w:val="13"/>
              </w:rPr>
            </w:pPr>
            <w:r>
              <w:rPr>
                <w:rFonts w:ascii="Calibri"/>
                <w:position w:val="-2"/>
                <w:sz w:val="13"/>
              </w:rPr>
              <w:pict>
                <v:group style="width:10.45pt;height:6.8pt;mso-position-horizontal-relative:char;mso-position-vertical-relative:line" coordorigin="0,0" coordsize="209,136">
                  <v:rect style="position:absolute;left:0;top:0;width:209;height:136" filled="true" fillcolor="#a6a6a6" stroked="false">
                    <v:fill type="solid"/>
                  </v:rect>
                </v:group>
              </w:pict>
            </w:r>
            <w:r>
              <w:rPr>
                <w:rFonts w:ascii="Calibri"/>
                <w:position w:val="-2"/>
                <w:sz w:val="13"/>
              </w:rPr>
            </w:r>
          </w:p>
        </w:tc>
        <w:tc>
          <w:tcPr>
            <w:tcW w:w="822" w:type="dxa"/>
          </w:tcPr>
          <w:p>
            <w:pPr>
              <w:pStyle w:val="TableParagraph"/>
              <w:spacing w:line="130" w:lineRule="atLeast" w:before="17"/>
              <w:ind w:left="5"/>
              <w:rPr>
                <w:rFonts w:ascii="Calibri"/>
                <w:sz w:val="9"/>
              </w:rPr>
            </w:pPr>
            <w:r>
              <w:rPr>
                <w:rFonts w:ascii="Calibri"/>
                <w:w w:val="110"/>
                <w:sz w:val="9"/>
              </w:rPr>
              <w:t>P - Other General Allowances</w:t>
            </w:r>
          </w:p>
        </w:tc>
        <w:tc>
          <w:tcPr>
            <w:tcW w:w="90" w:type="dxa"/>
          </w:tcPr>
          <w:p>
            <w:pPr>
              <w:pStyle w:val="TableParagraph"/>
              <w:spacing w:before="0"/>
              <w:rPr>
                <w:rFonts w:ascii="Times New Roman"/>
                <w:sz w:val="18"/>
              </w:rPr>
            </w:pPr>
          </w:p>
        </w:tc>
        <w:tc>
          <w:tcPr>
            <w:tcW w:w="209" w:type="dxa"/>
          </w:tcPr>
          <w:p>
            <w:pPr>
              <w:pStyle w:val="TableParagraph"/>
              <w:spacing w:line="135" w:lineRule="exact" w:before="0"/>
              <w:ind w:left="-2" w:right="-58"/>
              <w:rPr>
                <w:rFonts w:ascii="Calibri"/>
                <w:sz w:val="13"/>
              </w:rPr>
            </w:pPr>
            <w:r>
              <w:rPr>
                <w:rFonts w:ascii="Calibri"/>
                <w:position w:val="-2"/>
                <w:sz w:val="13"/>
              </w:rPr>
              <w:pict>
                <v:group style="width:10.45pt;height:6.8pt;mso-position-horizontal-relative:char;mso-position-vertical-relative:line" coordorigin="0,0" coordsize="209,136">
                  <v:rect style="position:absolute;left:0;top:0;width:209;height:136" filled="true" fillcolor="#d9d9d9" stroked="false">
                    <v:fill type="solid"/>
                  </v:rect>
                </v:group>
              </w:pict>
            </w:r>
            <w:r>
              <w:rPr>
                <w:rFonts w:ascii="Calibri"/>
                <w:position w:val="-2"/>
                <w:sz w:val="13"/>
              </w:rPr>
            </w:r>
          </w:p>
        </w:tc>
        <w:tc>
          <w:tcPr>
            <w:tcW w:w="944" w:type="dxa"/>
          </w:tcPr>
          <w:p>
            <w:pPr>
              <w:pStyle w:val="TableParagraph"/>
              <w:ind w:left="10"/>
              <w:rPr>
                <w:rFonts w:ascii="Calibri"/>
                <w:sz w:val="9"/>
              </w:rPr>
            </w:pPr>
            <w:r>
              <w:rPr>
                <w:rFonts w:ascii="Calibri"/>
                <w:w w:val="110"/>
                <w:sz w:val="9"/>
              </w:rPr>
              <w:t>Q - All Other</w:t>
            </w:r>
          </w:p>
        </w:tc>
        <w:tc>
          <w:tcPr>
            <w:tcW w:w="60" w:type="dxa"/>
          </w:tcPr>
          <w:p>
            <w:pPr>
              <w:pStyle w:val="TableParagraph"/>
              <w:spacing w:before="0"/>
              <w:rPr>
                <w:rFonts w:ascii="Times New Roman"/>
                <w:sz w:val="18"/>
              </w:rPr>
            </w:pPr>
          </w:p>
        </w:tc>
        <w:tc>
          <w:tcPr>
            <w:tcW w:w="209" w:type="dxa"/>
          </w:tcPr>
          <w:p>
            <w:pPr>
              <w:pStyle w:val="TableParagraph"/>
              <w:spacing w:line="135" w:lineRule="exact" w:before="0"/>
              <w:ind w:left="-5" w:right="-58"/>
              <w:rPr>
                <w:rFonts w:ascii="Calibri"/>
                <w:sz w:val="13"/>
              </w:rPr>
            </w:pPr>
            <w:r>
              <w:rPr>
                <w:rFonts w:ascii="Calibri"/>
                <w:position w:val="-2"/>
                <w:sz w:val="13"/>
              </w:rPr>
              <w:pict>
                <v:group style="width:10.45pt;height:6.8pt;mso-position-horizontal-relative:char;mso-position-vertical-relative:line" coordorigin="0,0" coordsize="209,136">
                  <v:rect style="position:absolute;left:0;top:0;width:209;height:136" filled="true" fillcolor="#413c22" stroked="false">
                    <v:fill type="solid"/>
                  </v:rect>
                </v:group>
              </w:pict>
            </w:r>
            <w:r>
              <w:rPr>
                <w:rFonts w:ascii="Calibri"/>
                <w:position w:val="-2"/>
                <w:sz w:val="13"/>
              </w:rPr>
            </w:r>
          </w:p>
        </w:tc>
        <w:tc>
          <w:tcPr>
            <w:tcW w:w="1181" w:type="dxa"/>
          </w:tcPr>
          <w:p>
            <w:pPr>
              <w:pStyle w:val="TableParagraph"/>
              <w:ind w:left="8"/>
              <w:rPr>
                <w:rFonts w:ascii="Calibri"/>
                <w:sz w:val="9"/>
              </w:rPr>
            </w:pPr>
            <w:r>
              <w:rPr>
                <w:rFonts w:ascii="Calibri"/>
                <w:w w:val="110"/>
                <w:sz w:val="9"/>
              </w:rPr>
              <w:t>R - Rent Assistance</w:t>
            </w:r>
          </w:p>
        </w:tc>
        <w:tc>
          <w:tcPr>
            <w:tcW w:w="57" w:type="dxa"/>
          </w:tcPr>
          <w:p>
            <w:pPr>
              <w:pStyle w:val="TableParagraph"/>
              <w:spacing w:before="0"/>
              <w:rPr>
                <w:rFonts w:ascii="Times New Roman"/>
                <w:sz w:val="18"/>
              </w:rPr>
            </w:pPr>
          </w:p>
        </w:tc>
        <w:tc>
          <w:tcPr>
            <w:tcW w:w="209" w:type="dxa"/>
          </w:tcPr>
          <w:p>
            <w:pPr>
              <w:pStyle w:val="TableParagraph"/>
              <w:spacing w:before="0"/>
              <w:rPr>
                <w:rFonts w:ascii="Times New Roman"/>
                <w:sz w:val="18"/>
              </w:rPr>
            </w:pPr>
          </w:p>
        </w:tc>
        <w:tc>
          <w:tcPr>
            <w:tcW w:w="704" w:type="dxa"/>
          </w:tcPr>
          <w:p>
            <w:pPr>
              <w:pStyle w:val="TableParagraph"/>
              <w:spacing w:before="0"/>
              <w:rPr>
                <w:rFonts w:ascii="Times New Roman"/>
                <w:sz w:val="18"/>
              </w:rPr>
            </w:pPr>
          </w:p>
        </w:tc>
        <w:tc>
          <w:tcPr>
            <w:tcW w:w="71" w:type="dxa"/>
          </w:tcPr>
          <w:p>
            <w:pPr>
              <w:pStyle w:val="TableParagraph"/>
              <w:spacing w:before="0"/>
              <w:rPr>
                <w:rFonts w:ascii="Times New Roman"/>
                <w:sz w:val="18"/>
              </w:rPr>
            </w:pPr>
          </w:p>
        </w:tc>
        <w:tc>
          <w:tcPr>
            <w:tcW w:w="208" w:type="dxa"/>
          </w:tcPr>
          <w:p>
            <w:pPr>
              <w:pStyle w:val="TableParagraph"/>
              <w:spacing w:before="0"/>
              <w:rPr>
                <w:rFonts w:ascii="Times New Roman"/>
                <w:sz w:val="18"/>
              </w:rPr>
            </w:pPr>
          </w:p>
        </w:tc>
        <w:tc>
          <w:tcPr>
            <w:tcW w:w="726" w:type="dxa"/>
          </w:tcPr>
          <w:p>
            <w:pPr>
              <w:pStyle w:val="TableParagraph"/>
              <w:spacing w:before="0"/>
              <w:rPr>
                <w:rFonts w:ascii="Times New Roman"/>
                <w:sz w:val="18"/>
              </w:rPr>
            </w:pPr>
          </w:p>
        </w:tc>
        <w:tc>
          <w:tcPr>
            <w:tcW w:w="835" w:type="dxa"/>
          </w:tcPr>
          <w:p>
            <w:pPr>
              <w:pStyle w:val="TableParagraph"/>
              <w:spacing w:before="0"/>
              <w:rPr>
                <w:rFonts w:ascii="Times New Roman"/>
                <w:sz w:val="18"/>
              </w:rPr>
            </w:pPr>
          </w:p>
        </w:tc>
      </w:tr>
    </w:tbl>
    <w:p>
      <w:pPr>
        <w:pStyle w:val="BodyText"/>
        <w:rPr>
          <w:rFonts w:ascii="Calibri"/>
          <w:b/>
          <w:sz w:val="14"/>
        </w:rPr>
      </w:pPr>
    </w:p>
    <w:p>
      <w:pPr>
        <w:pStyle w:val="BodyText"/>
        <w:spacing w:before="98"/>
        <w:ind w:left="899" w:right="1243"/>
      </w:pPr>
      <w:r>
        <w:rPr>
          <w:color w:val="404040"/>
        </w:rPr>
        <w:t>It is worth noting that the average payment for 2017/18 is somewhat understated. This is due to the impact of the data maturity issue discussed earlier.</w:t>
      </w:r>
    </w:p>
    <w:p>
      <w:pPr>
        <w:pStyle w:val="BodyText"/>
        <w:spacing w:before="118"/>
        <w:ind w:left="899" w:right="1276"/>
      </w:pPr>
      <w:r>
        <w:rPr>
          <w:color w:val="404040"/>
        </w:rPr>
        <w:t>The average payment made in 2016/17 (noting the understating of 2017/18) was $3,100 with a notable contribution from new parents payments, as people typically enter this class when they first have children. There are higher average payments being made to women ($4,500) than men ($1,500) as a result of women claiming more new parents, FTB and other family payments.</w:t>
      </w:r>
    </w:p>
    <w:p>
      <w:pPr>
        <w:pStyle w:val="BodyText"/>
        <w:spacing w:before="122"/>
        <w:ind w:left="899" w:right="1254"/>
      </w:pPr>
      <w:r>
        <w:rPr>
          <w:color w:val="404040"/>
        </w:rPr>
        <w:t>Changes in the average payment profile can be seen over the first few years of the projection. The increased use of supplements largely reflects the changing profile of this class due to the circa 100,000 people entered this class from Age Pension following the pension assets test change; as well as a changing profile of older recipients due to the closing of the carbon tax compensation from 2017.</w:t>
      </w:r>
    </w:p>
    <w:p>
      <w:pPr>
        <w:pStyle w:val="BodyText"/>
        <w:spacing w:before="7"/>
      </w:pPr>
    </w:p>
    <w:p>
      <w:pPr>
        <w:pStyle w:val="Heading4"/>
      </w:pPr>
      <w:bookmarkStart w:name="What does the model show for current peo" w:id="213"/>
      <w:bookmarkEnd w:id="213"/>
      <w:r>
        <w:rPr/>
      </w:r>
      <w:r>
        <w:rPr>
          <w:color w:val="DF2F28"/>
        </w:rPr>
        <w:t>What does the model show for current people in the Non IS other class?</w:t>
      </w:r>
    </w:p>
    <w:p>
      <w:pPr>
        <w:pStyle w:val="BodyText"/>
        <w:spacing w:before="10"/>
      </w:pPr>
    </w:p>
    <w:p>
      <w:pPr>
        <w:pStyle w:val="Heading6"/>
        <w:rPr>
          <w:i/>
        </w:rPr>
      </w:pPr>
      <w:r>
        <w:rPr>
          <w:i/>
          <w:color w:val="DF2F1E"/>
        </w:rPr>
        <w:t>Lifetime costs</w:t>
      </w:r>
    </w:p>
    <w:p>
      <w:pPr>
        <w:pStyle w:val="BodyText"/>
        <w:spacing w:line="242" w:lineRule="auto" w:before="119"/>
        <w:ind w:left="900" w:right="1266" w:hanging="1"/>
      </w:pPr>
      <w:r>
        <w:rPr>
          <w:color w:val="404040"/>
        </w:rPr>
        <w:t>We estimated the lifetime cost for the people in this class to be </w:t>
      </w:r>
      <w:r>
        <w:rPr>
          <w:b/>
          <w:color w:val="404040"/>
        </w:rPr>
        <w:t>$98bn </w:t>
      </w:r>
      <w:r>
        <w:rPr>
          <w:color w:val="404040"/>
        </w:rPr>
        <w:t>(or </w:t>
      </w:r>
      <w:r>
        <w:rPr>
          <w:b/>
          <w:color w:val="404040"/>
        </w:rPr>
        <w:t>1.7% </w:t>
      </w:r>
      <w:r>
        <w:rPr>
          <w:color w:val="404040"/>
        </w:rPr>
        <w:t>of the total lifetime cost). The average lifetime cost for people in this class is </w:t>
      </w:r>
      <w:r>
        <w:rPr>
          <w:b/>
          <w:color w:val="404040"/>
        </w:rPr>
        <w:t>$151,000</w:t>
      </w:r>
      <w:r>
        <w:rPr>
          <w:color w:val="404040"/>
        </w:rPr>
        <w:t>. This is the lowest of all the active classes. The variation in average lifetime cost by age and gender is illustrated in the figure below.</w:t>
      </w:r>
    </w:p>
    <w:p>
      <w:pPr>
        <w:spacing w:after="0" w:line="242" w:lineRule="auto"/>
        <w:sectPr>
          <w:pgSz w:w="11910" w:h="16850"/>
          <w:pgMar w:header="572" w:footer="581" w:top="780" w:bottom="780" w:left="120" w:right="0"/>
        </w:sectPr>
      </w:pPr>
    </w:p>
    <w:p>
      <w:pPr>
        <w:pStyle w:val="BodyText"/>
      </w:pPr>
    </w:p>
    <w:p>
      <w:pPr>
        <w:pStyle w:val="BodyText"/>
      </w:pPr>
    </w:p>
    <w:p>
      <w:pPr>
        <w:pStyle w:val="BodyText"/>
        <w:spacing w:before="5"/>
        <w:rPr>
          <w:sz w:val="21"/>
        </w:rPr>
      </w:pPr>
    </w:p>
    <w:p>
      <w:pPr>
        <w:pStyle w:val="Heading9"/>
      </w:pPr>
      <w:r>
        <w:rPr>
          <w:color w:val="DF2F1E"/>
        </w:rPr>
        <w:t>Figure 94: Average lifetime cost by age and gender (class 9)</w:t>
      </w:r>
    </w:p>
    <w:p>
      <w:pPr>
        <w:pStyle w:val="BodyText"/>
        <w:spacing w:before="11"/>
        <w:rPr>
          <w:b/>
          <w:sz w:val="12"/>
        </w:rPr>
      </w:pPr>
    </w:p>
    <w:p>
      <w:pPr>
        <w:spacing w:after="0"/>
        <w:rPr>
          <w:sz w:val="12"/>
        </w:rPr>
        <w:sectPr>
          <w:pgSz w:w="11910" w:h="16850"/>
          <w:pgMar w:header="572" w:footer="581" w:top="780" w:bottom="780" w:left="120" w:right="0"/>
        </w:sectPr>
      </w:pPr>
    </w:p>
    <w:p>
      <w:pPr>
        <w:spacing w:before="71"/>
        <w:ind w:left="1553" w:right="0" w:firstLine="0"/>
        <w:jc w:val="left"/>
        <w:rPr>
          <w:rFonts w:ascii="Calibri"/>
          <w:sz w:val="14"/>
        </w:rPr>
      </w:pPr>
      <w:r>
        <w:rPr/>
        <w:drawing>
          <wp:anchor distT="0" distB="0" distL="0" distR="0" allowOverlap="1" layoutInCell="1" locked="0" behindDoc="0" simplePos="0" relativeHeight="252707840">
            <wp:simplePos x="0" y="0"/>
            <wp:positionH relativeFrom="page">
              <wp:posOffset>1212855</wp:posOffset>
            </wp:positionH>
            <wp:positionV relativeFrom="paragraph">
              <wp:posOffset>91541</wp:posOffset>
            </wp:positionV>
            <wp:extent cx="3046401" cy="1635107"/>
            <wp:effectExtent l="0" t="0" r="0" b="0"/>
            <wp:wrapNone/>
            <wp:docPr id="297" name="image151.png"/>
            <wp:cNvGraphicFramePr>
              <a:graphicFrameLocks noChangeAspect="1"/>
            </wp:cNvGraphicFramePr>
            <a:graphic>
              <a:graphicData uri="http://schemas.openxmlformats.org/drawingml/2006/picture">
                <pic:pic>
                  <pic:nvPicPr>
                    <pic:cNvPr id="298" name="image151.png"/>
                    <pic:cNvPicPr/>
                  </pic:nvPicPr>
                  <pic:blipFill>
                    <a:blip r:embed="rId187" cstate="print"/>
                    <a:stretch>
                      <a:fillRect/>
                    </a:stretch>
                  </pic:blipFill>
                  <pic:spPr>
                    <a:xfrm>
                      <a:off x="0" y="0"/>
                      <a:ext cx="3046401" cy="1635107"/>
                    </a:xfrm>
                    <a:prstGeom prst="rect">
                      <a:avLst/>
                    </a:prstGeom>
                  </pic:spPr>
                </pic:pic>
              </a:graphicData>
            </a:graphic>
          </wp:anchor>
        </w:drawing>
      </w:r>
      <w:r>
        <w:rPr>
          <w:rFonts w:ascii="Calibri"/>
          <w:sz w:val="14"/>
        </w:rPr>
        <w:t>90</w:t>
      </w:r>
    </w:p>
    <w:p>
      <w:pPr>
        <w:spacing w:before="107"/>
        <w:ind w:left="1553" w:right="0" w:firstLine="0"/>
        <w:jc w:val="left"/>
        <w:rPr>
          <w:rFonts w:ascii="Calibri"/>
          <w:sz w:val="14"/>
        </w:rPr>
      </w:pPr>
      <w:r>
        <w:rPr>
          <w:rFonts w:ascii="Calibri"/>
          <w:sz w:val="14"/>
        </w:rPr>
        <w:t>80</w:t>
      </w:r>
    </w:p>
    <w:p>
      <w:pPr>
        <w:spacing w:before="107"/>
        <w:ind w:left="1553" w:right="0" w:firstLine="0"/>
        <w:jc w:val="left"/>
        <w:rPr>
          <w:rFonts w:ascii="Calibri"/>
          <w:sz w:val="14"/>
        </w:rPr>
      </w:pPr>
      <w:r>
        <w:rPr/>
        <w:pict>
          <v:shape style="position:absolute;margin-left:73.542099pt;margin-top:11.52774pt;width:9pt;height:66.7pt;mso-position-horizontal-relative:page;mso-position-vertical-relative:paragraph;z-index:252709888" type="#_x0000_t202" filled="false" stroked="false">
            <v:textbox inset="0,0,0,0" style="layout-flow:vertical;mso-layout-flow-alt:bottom-to-top">
              <w:txbxContent>
                <w:p>
                  <w:pPr>
                    <w:spacing w:line="162" w:lineRule="exact" w:before="0"/>
                    <w:ind w:left="20" w:right="0" w:firstLine="0"/>
                    <w:jc w:val="left"/>
                    <w:rPr>
                      <w:rFonts w:ascii="Calibri"/>
                      <w:b/>
                      <w:sz w:val="14"/>
                    </w:rPr>
                  </w:pPr>
                  <w:r>
                    <w:rPr>
                      <w:rFonts w:ascii="Calibri"/>
                      <w:b/>
                      <w:sz w:val="14"/>
                    </w:rPr>
                    <w:t>Age at Valuation Date</w:t>
                  </w:r>
                </w:p>
              </w:txbxContent>
            </v:textbox>
            <w10:wrap type="none"/>
          </v:shape>
        </w:pict>
      </w:r>
      <w:r>
        <w:rPr>
          <w:rFonts w:ascii="Calibri"/>
          <w:sz w:val="14"/>
        </w:rPr>
        <w:t>70</w:t>
      </w:r>
    </w:p>
    <w:p>
      <w:pPr>
        <w:spacing w:before="107"/>
        <w:ind w:left="1553" w:right="0" w:firstLine="0"/>
        <w:jc w:val="left"/>
        <w:rPr>
          <w:rFonts w:ascii="Calibri"/>
          <w:sz w:val="14"/>
        </w:rPr>
      </w:pPr>
      <w:r>
        <w:rPr>
          <w:rFonts w:ascii="Calibri"/>
          <w:sz w:val="14"/>
        </w:rPr>
        <w:t>60</w:t>
      </w:r>
    </w:p>
    <w:p>
      <w:pPr>
        <w:spacing w:before="107"/>
        <w:ind w:left="1553" w:right="0" w:firstLine="0"/>
        <w:jc w:val="left"/>
        <w:rPr>
          <w:rFonts w:ascii="Calibri"/>
          <w:sz w:val="14"/>
        </w:rPr>
      </w:pPr>
      <w:r>
        <w:rPr>
          <w:rFonts w:ascii="Calibri"/>
          <w:sz w:val="14"/>
        </w:rPr>
        <w:t>50</w:t>
      </w:r>
    </w:p>
    <w:p>
      <w:pPr>
        <w:spacing w:before="107"/>
        <w:ind w:left="1553" w:right="0" w:firstLine="0"/>
        <w:jc w:val="left"/>
        <w:rPr>
          <w:rFonts w:ascii="Calibri"/>
          <w:sz w:val="14"/>
        </w:rPr>
      </w:pPr>
      <w:r>
        <w:rPr>
          <w:rFonts w:ascii="Calibri"/>
          <w:sz w:val="14"/>
        </w:rPr>
        <w:t>40</w:t>
      </w:r>
    </w:p>
    <w:p>
      <w:pPr>
        <w:spacing w:before="107"/>
        <w:ind w:left="1553" w:right="0" w:firstLine="0"/>
        <w:jc w:val="left"/>
        <w:rPr>
          <w:rFonts w:ascii="Calibri"/>
          <w:sz w:val="14"/>
        </w:rPr>
      </w:pPr>
      <w:r>
        <w:rPr>
          <w:rFonts w:ascii="Calibri"/>
          <w:sz w:val="14"/>
        </w:rPr>
        <w:t>30</w:t>
      </w:r>
    </w:p>
    <w:p>
      <w:pPr>
        <w:spacing w:before="107"/>
        <w:ind w:left="1553" w:right="0" w:firstLine="0"/>
        <w:jc w:val="left"/>
        <w:rPr>
          <w:rFonts w:ascii="Calibri"/>
          <w:sz w:val="14"/>
        </w:rPr>
      </w:pPr>
      <w:r>
        <w:rPr>
          <w:rFonts w:ascii="Calibri"/>
          <w:sz w:val="14"/>
        </w:rPr>
        <w:t>20</w:t>
      </w:r>
    </w:p>
    <w:p>
      <w:pPr>
        <w:spacing w:before="107"/>
        <w:ind w:left="1553" w:right="0" w:firstLine="0"/>
        <w:jc w:val="left"/>
        <w:rPr>
          <w:rFonts w:ascii="Calibri"/>
          <w:sz w:val="14"/>
        </w:rPr>
      </w:pPr>
      <w:r>
        <w:rPr>
          <w:rFonts w:ascii="Calibri"/>
          <w:sz w:val="14"/>
        </w:rPr>
        <w:t>10</w:t>
      </w:r>
    </w:p>
    <w:p>
      <w:pPr>
        <w:spacing w:before="107"/>
        <w:ind w:left="1626" w:right="0" w:firstLine="0"/>
        <w:jc w:val="left"/>
        <w:rPr>
          <w:rFonts w:ascii="Calibri"/>
          <w:sz w:val="14"/>
        </w:rPr>
      </w:pPr>
      <w:r>
        <w:rPr>
          <w:rFonts w:ascii="Calibri"/>
          <w:w w:val="99"/>
          <w:sz w:val="14"/>
        </w:rPr>
        <w:t>0</w:t>
      </w:r>
    </w:p>
    <w:p>
      <w:pPr>
        <w:spacing w:before="28"/>
        <w:ind w:left="1722" w:right="0" w:firstLine="0"/>
        <w:jc w:val="left"/>
        <w:rPr>
          <w:rFonts w:ascii="Calibri"/>
          <w:sz w:val="14"/>
        </w:rPr>
      </w:pPr>
      <w:r>
        <w:rPr>
          <w:rFonts w:ascii="Calibri"/>
          <w:sz w:val="14"/>
        </w:rPr>
        <w:t>600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7"/>
        </w:rPr>
      </w:pPr>
    </w:p>
    <w:p>
      <w:pPr>
        <w:spacing w:before="0"/>
        <w:ind w:left="134" w:right="0" w:firstLine="0"/>
        <w:jc w:val="left"/>
        <w:rPr>
          <w:rFonts w:ascii="Calibri"/>
          <w:sz w:val="14"/>
        </w:rPr>
      </w:pPr>
      <w:r>
        <w:rPr>
          <w:rFonts w:ascii="Calibri"/>
          <w:sz w:val="14"/>
        </w:rPr>
        <w:t>500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7"/>
        </w:rPr>
      </w:pPr>
    </w:p>
    <w:p>
      <w:pPr>
        <w:spacing w:before="0"/>
        <w:ind w:left="134" w:right="0" w:firstLine="0"/>
        <w:jc w:val="left"/>
        <w:rPr>
          <w:rFonts w:ascii="Calibri"/>
          <w:sz w:val="14"/>
        </w:rPr>
      </w:pPr>
      <w:r>
        <w:rPr>
          <w:rFonts w:ascii="Calibri"/>
          <w:sz w:val="14"/>
        </w:rPr>
        <w:t>400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7"/>
        </w:rPr>
      </w:pPr>
    </w:p>
    <w:p>
      <w:pPr>
        <w:spacing w:before="0"/>
        <w:ind w:left="134" w:right="0" w:firstLine="0"/>
        <w:jc w:val="left"/>
        <w:rPr>
          <w:rFonts w:ascii="Calibri"/>
          <w:sz w:val="14"/>
        </w:rPr>
      </w:pPr>
      <w:r>
        <w:rPr>
          <w:rFonts w:ascii="Calibri"/>
          <w:sz w:val="14"/>
        </w:rPr>
        <w:t>300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7"/>
        </w:rPr>
      </w:pPr>
    </w:p>
    <w:p>
      <w:pPr>
        <w:spacing w:before="0"/>
        <w:ind w:left="134" w:right="0" w:firstLine="0"/>
        <w:jc w:val="left"/>
        <w:rPr>
          <w:rFonts w:ascii="Calibri"/>
          <w:sz w:val="14"/>
        </w:rPr>
      </w:pPr>
      <w:r>
        <w:rPr>
          <w:rFonts w:ascii="Calibri"/>
          <w:sz w:val="14"/>
        </w:rPr>
        <w:t>200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7"/>
        </w:rPr>
      </w:pPr>
    </w:p>
    <w:p>
      <w:pPr>
        <w:tabs>
          <w:tab w:pos="602" w:val="left" w:leader="none"/>
        </w:tabs>
        <w:spacing w:before="0"/>
        <w:ind w:left="134" w:right="0" w:firstLine="0"/>
        <w:jc w:val="left"/>
        <w:rPr>
          <w:rFonts w:ascii="Calibri"/>
          <w:sz w:val="14"/>
        </w:rPr>
      </w:pPr>
      <w:r>
        <w:rPr>
          <w:rFonts w:ascii="Calibri"/>
          <w:spacing w:val="2"/>
          <w:sz w:val="14"/>
        </w:rPr>
        <w:t>100</w:t>
        <w:tab/>
      </w:r>
      <w:r>
        <w:rPr>
          <w:rFonts w:ascii="Calibri"/>
          <w:spacing w:val="-20"/>
          <w:sz w:val="14"/>
        </w:rPr>
        <w:t>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7"/>
        </w:rPr>
      </w:pPr>
    </w:p>
    <w:p>
      <w:pPr>
        <w:spacing w:before="0"/>
        <w:ind w:left="212" w:right="0" w:firstLine="0"/>
        <w:jc w:val="left"/>
        <w:rPr>
          <w:rFonts w:ascii="Calibri"/>
          <w:sz w:val="14"/>
        </w:rPr>
      </w:pPr>
      <w:r>
        <w:rPr>
          <w:rFonts w:ascii="Calibri"/>
          <w:sz w:val="14"/>
        </w:rPr>
        <w:t>100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7"/>
        </w:rPr>
      </w:pPr>
    </w:p>
    <w:p>
      <w:pPr>
        <w:spacing w:before="0"/>
        <w:ind w:left="134" w:right="0" w:firstLine="0"/>
        <w:jc w:val="left"/>
        <w:rPr>
          <w:rFonts w:ascii="Calibri"/>
          <w:sz w:val="14"/>
        </w:rPr>
      </w:pPr>
      <w:r>
        <w:rPr>
          <w:rFonts w:ascii="Calibri"/>
          <w:sz w:val="14"/>
        </w:rPr>
        <w:t>200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7"/>
        </w:rPr>
      </w:pPr>
    </w:p>
    <w:p>
      <w:pPr>
        <w:spacing w:before="0"/>
        <w:ind w:left="134" w:right="0" w:firstLine="0"/>
        <w:jc w:val="left"/>
        <w:rPr>
          <w:rFonts w:ascii="Calibri"/>
          <w:sz w:val="14"/>
        </w:rPr>
      </w:pPr>
      <w:r>
        <w:rPr>
          <w:rFonts w:ascii="Calibri"/>
          <w:sz w:val="14"/>
        </w:rPr>
        <w:t>300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7"/>
        </w:rPr>
      </w:pPr>
    </w:p>
    <w:p>
      <w:pPr>
        <w:spacing w:before="0"/>
        <w:ind w:left="134" w:right="0" w:firstLine="0"/>
        <w:jc w:val="left"/>
        <w:rPr>
          <w:rFonts w:ascii="Calibri"/>
          <w:sz w:val="14"/>
        </w:rPr>
      </w:pPr>
      <w:r>
        <w:rPr>
          <w:rFonts w:ascii="Calibri"/>
          <w:sz w:val="14"/>
        </w:rPr>
        <w:t>400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7"/>
        </w:rPr>
      </w:pPr>
    </w:p>
    <w:p>
      <w:pPr>
        <w:spacing w:before="0"/>
        <w:ind w:left="134" w:right="0" w:firstLine="0"/>
        <w:jc w:val="left"/>
        <w:rPr>
          <w:rFonts w:ascii="Calibri"/>
          <w:sz w:val="14"/>
        </w:rPr>
      </w:pPr>
      <w:r>
        <w:rPr>
          <w:rFonts w:ascii="Calibri"/>
          <w:sz w:val="14"/>
        </w:rPr>
        <w:t>500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7"/>
        </w:rPr>
      </w:pPr>
    </w:p>
    <w:p>
      <w:pPr>
        <w:spacing w:before="0"/>
        <w:ind w:left="134" w:right="0" w:firstLine="0"/>
        <w:jc w:val="left"/>
        <w:rPr>
          <w:rFonts w:ascii="Calibri"/>
          <w:sz w:val="14"/>
        </w:rPr>
      </w:pPr>
      <w:r>
        <w:rPr>
          <w:rFonts w:ascii="Calibri"/>
          <w:sz w:val="14"/>
        </w:rPr>
        <w:t>600</w:t>
      </w:r>
    </w:p>
    <w:p>
      <w:pPr>
        <w:pStyle w:val="BodyText"/>
        <w:rPr>
          <w:rFonts w:ascii="Calibri"/>
          <w:sz w:val="10"/>
        </w:rPr>
      </w:pPr>
      <w:r>
        <w:rPr/>
        <w:br w:type="column"/>
      </w:r>
      <w:r>
        <w:rPr>
          <w:rFonts w:ascii="Calibri"/>
          <w:sz w:val="10"/>
        </w:rPr>
      </w:r>
    </w:p>
    <w:p>
      <w:pPr>
        <w:spacing w:before="67"/>
        <w:ind w:left="507" w:right="0" w:firstLine="0"/>
        <w:jc w:val="left"/>
        <w:rPr>
          <w:rFonts w:ascii="Calibri"/>
          <w:b/>
          <w:sz w:val="10"/>
        </w:rPr>
      </w:pPr>
      <w:r>
        <w:rPr>
          <w:rFonts w:ascii="Calibri"/>
          <w:b/>
          <w:w w:val="105"/>
          <w:sz w:val="10"/>
        </w:rPr>
        <w:t>Payment Category Key:</w:t>
      </w:r>
    </w:p>
    <w:p>
      <w:pPr>
        <w:spacing w:before="32"/>
        <w:ind w:left="723" w:right="0" w:firstLine="0"/>
        <w:jc w:val="left"/>
        <w:rPr>
          <w:rFonts w:ascii="Calibri"/>
          <w:sz w:val="10"/>
        </w:rPr>
      </w:pPr>
      <w:r>
        <w:rPr/>
        <w:drawing>
          <wp:anchor distT="0" distB="0" distL="0" distR="0" allowOverlap="1" layoutInCell="1" locked="0" behindDoc="0" simplePos="0" relativeHeight="252708864">
            <wp:simplePos x="0" y="0"/>
            <wp:positionH relativeFrom="page">
              <wp:posOffset>4663403</wp:posOffset>
            </wp:positionH>
            <wp:positionV relativeFrom="paragraph">
              <wp:posOffset>9945</wp:posOffset>
            </wp:positionV>
            <wp:extent cx="136993" cy="1508880"/>
            <wp:effectExtent l="0" t="0" r="0" b="0"/>
            <wp:wrapNone/>
            <wp:docPr id="299" name="image121.png"/>
            <wp:cNvGraphicFramePr>
              <a:graphicFrameLocks noChangeAspect="1"/>
            </wp:cNvGraphicFramePr>
            <a:graphic>
              <a:graphicData uri="http://schemas.openxmlformats.org/drawingml/2006/picture">
                <pic:pic>
                  <pic:nvPicPr>
                    <pic:cNvPr id="300" name="image121.png"/>
                    <pic:cNvPicPr/>
                  </pic:nvPicPr>
                  <pic:blipFill>
                    <a:blip r:embed="rId143" cstate="print"/>
                    <a:stretch>
                      <a:fillRect/>
                    </a:stretch>
                  </pic:blipFill>
                  <pic:spPr>
                    <a:xfrm>
                      <a:off x="0" y="0"/>
                      <a:ext cx="136993" cy="1508880"/>
                    </a:xfrm>
                    <a:prstGeom prst="rect">
                      <a:avLst/>
                    </a:prstGeom>
                  </pic:spPr>
                </pic:pic>
              </a:graphicData>
            </a:graphic>
          </wp:anchor>
        </w:drawing>
      </w:r>
      <w:r>
        <w:rPr>
          <w:rFonts w:ascii="Calibri"/>
          <w:w w:val="105"/>
          <w:sz w:val="10"/>
        </w:rPr>
        <w:t>A - IS Studying</w:t>
      </w:r>
    </w:p>
    <w:p>
      <w:pPr>
        <w:spacing w:line="273" w:lineRule="auto" w:before="17"/>
        <w:ind w:left="723" w:right="3517" w:firstLine="0"/>
        <w:jc w:val="left"/>
        <w:rPr>
          <w:rFonts w:ascii="Calibri"/>
          <w:sz w:val="10"/>
        </w:rPr>
      </w:pPr>
      <w:r>
        <w:rPr>
          <w:rFonts w:ascii="Calibri"/>
          <w:w w:val="105"/>
          <w:sz w:val="10"/>
        </w:rPr>
        <w:t>B - IS Working Age C - IS Parents</w:t>
      </w:r>
    </w:p>
    <w:p>
      <w:pPr>
        <w:spacing w:before="0"/>
        <w:ind w:left="723" w:right="0" w:firstLine="0"/>
        <w:jc w:val="left"/>
        <w:rPr>
          <w:rFonts w:ascii="Calibri"/>
          <w:sz w:val="10"/>
        </w:rPr>
      </w:pPr>
      <w:r>
        <w:rPr>
          <w:rFonts w:ascii="Calibri"/>
          <w:w w:val="105"/>
          <w:sz w:val="10"/>
        </w:rPr>
        <w:t>D - IS Carer</w:t>
      </w:r>
    </w:p>
    <w:p>
      <w:pPr>
        <w:spacing w:line="273" w:lineRule="auto" w:before="17"/>
        <w:ind w:left="723" w:right="3697" w:firstLine="0"/>
        <w:jc w:val="left"/>
        <w:rPr>
          <w:rFonts w:ascii="Calibri"/>
          <w:sz w:val="10"/>
        </w:rPr>
      </w:pPr>
      <w:r>
        <w:rPr>
          <w:rFonts w:ascii="Calibri"/>
          <w:w w:val="105"/>
          <w:sz w:val="10"/>
        </w:rPr>
        <w:t>E - IS Disability F - IS Age</w:t>
      </w:r>
    </w:p>
    <w:p>
      <w:pPr>
        <w:spacing w:line="273" w:lineRule="auto" w:before="1"/>
        <w:ind w:left="723" w:right="3597" w:firstLine="0"/>
        <w:jc w:val="left"/>
        <w:rPr>
          <w:rFonts w:ascii="Calibri"/>
          <w:sz w:val="10"/>
        </w:rPr>
      </w:pPr>
      <w:r>
        <w:rPr>
          <w:rFonts w:ascii="Calibri"/>
          <w:w w:val="105"/>
          <w:sz w:val="10"/>
        </w:rPr>
        <w:t>G - IS Dependant H - Other FTB</w:t>
      </w:r>
    </w:p>
    <w:p>
      <w:pPr>
        <w:spacing w:before="0"/>
        <w:ind w:left="723" w:right="0" w:firstLine="0"/>
        <w:jc w:val="left"/>
        <w:rPr>
          <w:rFonts w:ascii="Calibri"/>
          <w:sz w:val="10"/>
        </w:rPr>
      </w:pPr>
      <w:r>
        <w:rPr>
          <w:rFonts w:ascii="Calibri"/>
          <w:w w:val="105"/>
          <w:sz w:val="10"/>
        </w:rPr>
        <w:t>I - Other Family</w:t>
      </w:r>
    </w:p>
    <w:p>
      <w:pPr>
        <w:spacing w:before="17"/>
        <w:ind w:left="723" w:right="0" w:firstLine="0"/>
        <w:jc w:val="left"/>
        <w:rPr>
          <w:rFonts w:ascii="Calibri"/>
          <w:sz w:val="10"/>
        </w:rPr>
      </w:pPr>
      <w:r>
        <w:rPr>
          <w:rFonts w:ascii="Calibri"/>
          <w:w w:val="105"/>
          <w:sz w:val="10"/>
        </w:rPr>
        <w:t>J - Other New Parents</w:t>
      </w:r>
    </w:p>
    <w:p>
      <w:pPr>
        <w:spacing w:line="273" w:lineRule="auto" w:before="18"/>
        <w:ind w:left="723" w:right="3129" w:firstLine="0"/>
        <w:jc w:val="left"/>
        <w:rPr>
          <w:rFonts w:ascii="Calibri"/>
          <w:sz w:val="10"/>
        </w:rPr>
      </w:pPr>
      <w:r>
        <w:rPr>
          <w:rFonts w:ascii="Calibri"/>
          <w:w w:val="105"/>
          <w:sz w:val="10"/>
        </w:rPr>
        <w:t>L - Other Health &amp; Disability M - Other Carer</w:t>
      </w:r>
    </w:p>
    <w:p>
      <w:pPr>
        <w:spacing w:before="0"/>
        <w:ind w:left="723" w:right="0" w:firstLine="0"/>
        <w:jc w:val="left"/>
        <w:rPr>
          <w:rFonts w:ascii="Calibri"/>
          <w:sz w:val="10"/>
        </w:rPr>
      </w:pPr>
      <w:r>
        <w:rPr>
          <w:rFonts w:ascii="Calibri"/>
          <w:w w:val="105"/>
          <w:sz w:val="10"/>
        </w:rPr>
        <w:t>N - Other Study &amp; Skills</w:t>
      </w:r>
    </w:p>
    <w:p>
      <w:pPr>
        <w:spacing w:line="273" w:lineRule="auto" w:before="17"/>
        <w:ind w:left="723" w:right="3072" w:firstLine="0"/>
        <w:jc w:val="both"/>
        <w:rPr>
          <w:rFonts w:ascii="Calibri"/>
          <w:sz w:val="10"/>
        </w:rPr>
      </w:pPr>
      <w:r>
        <w:rPr>
          <w:rFonts w:ascii="Calibri"/>
          <w:w w:val="105"/>
          <w:sz w:val="10"/>
        </w:rPr>
        <w:t>O - Other Remote &amp; Regional P - Other General Allowances Q - All Other</w:t>
      </w:r>
    </w:p>
    <w:p>
      <w:pPr>
        <w:spacing w:before="1"/>
        <w:ind w:left="723" w:right="0" w:firstLine="0"/>
        <w:jc w:val="both"/>
        <w:rPr>
          <w:rFonts w:ascii="Calibri"/>
          <w:sz w:val="10"/>
        </w:rPr>
      </w:pPr>
      <w:r>
        <w:rPr>
          <w:rFonts w:ascii="Calibri"/>
          <w:w w:val="105"/>
          <w:sz w:val="10"/>
        </w:rPr>
        <w:t>R - Rent Assistance</w:t>
      </w:r>
    </w:p>
    <w:p>
      <w:pPr>
        <w:spacing w:after="0"/>
        <w:jc w:val="both"/>
        <w:rPr>
          <w:rFonts w:ascii="Calibri"/>
          <w:sz w:val="10"/>
        </w:rPr>
        <w:sectPr>
          <w:type w:val="continuous"/>
          <w:pgSz w:w="11910" w:h="16850"/>
          <w:pgMar w:top="1600" w:bottom="280" w:left="120" w:right="0"/>
          <w:cols w:num="13" w:equalWidth="0">
            <w:col w:w="1945" w:space="40"/>
            <w:col w:w="356" w:space="39"/>
            <w:col w:w="356" w:space="39"/>
            <w:col w:w="356" w:space="40"/>
            <w:col w:w="356" w:space="39"/>
            <w:col w:w="674" w:space="40"/>
            <w:col w:w="434" w:space="39"/>
            <w:col w:w="356" w:space="39"/>
            <w:col w:w="356" w:space="40"/>
            <w:col w:w="356" w:space="39"/>
            <w:col w:w="356" w:space="40"/>
            <w:col w:w="356" w:space="39"/>
            <w:col w:w="5060"/>
          </w:cols>
        </w:sectPr>
      </w:pPr>
    </w:p>
    <w:p>
      <w:pPr>
        <w:spacing w:before="47"/>
        <w:ind w:left="3315" w:right="0" w:firstLine="0"/>
        <w:jc w:val="left"/>
        <w:rPr>
          <w:rFonts w:ascii="Calibri"/>
          <w:b/>
          <w:sz w:val="14"/>
        </w:rPr>
      </w:pPr>
      <w:r>
        <w:rPr>
          <w:rFonts w:ascii="Calibri"/>
          <w:b/>
          <w:sz w:val="14"/>
        </w:rPr>
        <w:t>Average Lifetime Cost ($000s)</w:t>
      </w:r>
    </w:p>
    <w:p>
      <w:pPr>
        <w:pStyle w:val="BodyText"/>
        <w:spacing w:before="10"/>
        <w:rPr>
          <w:rFonts w:ascii="Calibri"/>
          <w:b/>
          <w:sz w:val="19"/>
        </w:rPr>
      </w:pPr>
    </w:p>
    <w:p>
      <w:pPr>
        <w:pStyle w:val="BodyText"/>
        <w:spacing w:before="93"/>
        <w:ind w:left="900" w:right="1387"/>
      </w:pPr>
      <w:r>
        <w:rPr>
          <w:color w:val="404040"/>
        </w:rPr>
        <w:t>The above chart illustrates the distinct average lifetime cost for the three distinct groups which make up this class (those above pension age, those aged under 20, and those in between).</w:t>
      </w:r>
    </w:p>
    <w:p>
      <w:pPr>
        <w:pStyle w:val="ListParagraph"/>
        <w:numPr>
          <w:ilvl w:val="0"/>
          <w:numId w:val="70"/>
        </w:numPr>
        <w:tabs>
          <w:tab w:pos="1184" w:val="left" w:leader="none"/>
        </w:tabs>
        <w:spacing w:line="240" w:lineRule="auto" w:before="119" w:after="0"/>
        <w:ind w:left="1183" w:right="1486" w:hanging="284"/>
        <w:jc w:val="left"/>
        <w:rPr>
          <w:sz w:val="20"/>
        </w:rPr>
      </w:pPr>
      <w:r>
        <w:rPr>
          <w:color w:val="404040"/>
          <w:sz w:val="20"/>
        </w:rPr>
        <w:t>The older group have relatively low average lifetime costs and these typically reflect their low chance of moving onto the Age Pension payment at some point in the</w:t>
      </w:r>
      <w:r>
        <w:rPr>
          <w:color w:val="404040"/>
          <w:spacing w:val="-5"/>
          <w:sz w:val="20"/>
        </w:rPr>
        <w:t> </w:t>
      </w:r>
      <w:r>
        <w:rPr>
          <w:color w:val="404040"/>
          <w:sz w:val="20"/>
        </w:rPr>
        <w:t>future.</w:t>
      </w:r>
    </w:p>
    <w:p>
      <w:pPr>
        <w:pStyle w:val="ListParagraph"/>
        <w:numPr>
          <w:ilvl w:val="0"/>
          <w:numId w:val="70"/>
        </w:numPr>
        <w:tabs>
          <w:tab w:pos="1184" w:val="left" w:leader="none"/>
        </w:tabs>
        <w:spacing w:line="240" w:lineRule="auto" w:before="118" w:after="0"/>
        <w:ind w:left="1183" w:right="1367" w:hanging="284"/>
        <w:jc w:val="left"/>
        <w:rPr>
          <w:sz w:val="20"/>
        </w:rPr>
      </w:pPr>
      <w:r>
        <w:rPr>
          <w:color w:val="404040"/>
          <w:sz w:val="20"/>
        </w:rPr>
        <w:t>For the people in the 20 to 65 age bracket the average lifetime cost is dominated by the FTB, family and Age</w:t>
      </w:r>
      <w:r>
        <w:rPr>
          <w:color w:val="404040"/>
          <w:spacing w:val="-1"/>
          <w:sz w:val="20"/>
        </w:rPr>
        <w:t> </w:t>
      </w:r>
      <w:r>
        <w:rPr>
          <w:color w:val="404040"/>
          <w:sz w:val="20"/>
        </w:rPr>
        <w:t>Pension</w:t>
      </w:r>
      <w:r>
        <w:rPr>
          <w:color w:val="404040"/>
          <w:spacing w:val="-3"/>
          <w:sz w:val="20"/>
        </w:rPr>
        <w:t> </w:t>
      </w:r>
      <w:r>
        <w:rPr>
          <w:color w:val="404040"/>
          <w:sz w:val="20"/>
        </w:rPr>
        <w:t>payments</w:t>
      </w:r>
      <w:r>
        <w:rPr>
          <w:color w:val="404040"/>
          <w:spacing w:val="1"/>
          <w:sz w:val="20"/>
        </w:rPr>
        <w:t> </w:t>
      </w:r>
      <w:r>
        <w:rPr>
          <w:color w:val="404040"/>
          <w:sz w:val="20"/>
        </w:rPr>
        <w:t>and is</w:t>
      </w:r>
      <w:r>
        <w:rPr>
          <w:color w:val="404040"/>
          <w:spacing w:val="-2"/>
          <w:sz w:val="20"/>
        </w:rPr>
        <w:t> </w:t>
      </w:r>
      <w:r>
        <w:rPr>
          <w:color w:val="404040"/>
          <w:sz w:val="20"/>
        </w:rPr>
        <w:t>similar</w:t>
      </w:r>
      <w:r>
        <w:rPr>
          <w:color w:val="404040"/>
          <w:spacing w:val="-2"/>
          <w:sz w:val="20"/>
        </w:rPr>
        <w:t> </w:t>
      </w:r>
      <w:r>
        <w:rPr>
          <w:color w:val="404040"/>
          <w:sz w:val="20"/>
        </w:rPr>
        <w:t>to</w:t>
      </w:r>
      <w:r>
        <w:rPr>
          <w:color w:val="404040"/>
          <w:spacing w:val="-2"/>
          <w:sz w:val="20"/>
        </w:rPr>
        <w:t> </w:t>
      </w:r>
      <w:r>
        <w:rPr>
          <w:color w:val="404040"/>
          <w:sz w:val="20"/>
        </w:rPr>
        <w:t>that</w:t>
      </w:r>
      <w:r>
        <w:rPr>
          <w:color w:val="404040"/>
          <w:spacing w:val="-3"/>
          <w:sz w:val="20"/>
        </w:rPr>
        <w:t> </w:t>
      </w:r>
      <w:r>
        <w:rPr>
          <w:color w:val="404040"/>
          <w:sz w:val="20"/>
        </w:rPr>
        <w:t>seen</w:t>
      </w:r>
      <w:r>
        <w:rPr>
          <w:color w:val="404040"/>
          <w:spacing w:val="-3"/>
          <w:sz w:val="20"/>
        </w:rPr>
        <w:t> </w:t>
      </w:r>
      <w:r>
        <w:rPr>
          <w:color w:val="404040"/>
          <w:sz w:val="20"/>
        </w:rPr>
        <w:t>for</w:t>
      </w:r>
      <w:r>
        <w:rPr>
          <w:color w:val="404040"/>
          <w:spacing w:val="-1"/>
          <w:sz w:val="20"/>
        </w:rPr>
        <w:t> </w:t>
      </w:r>
      <w:r>
        <w:rPr>
          <w:color w:val="404040"/>
          <w:sz w:val="20"/>
        </w:rPr>
        <w:t>the</w:t>
      </w:r>
      <w:r>
        <w:rPr>
          <w:color w:val="404040"/>
          <w:spacing w:val="-3"/>
          <w:sz w:val="20"/>
        </w:rPr>
        <w:t> </w:t>
      </w:r>
      <w:r>
        <w:rPr>
          <w:color w:val="404040"/>
          <w:sz w:val="20"/>
        </w:rPr>
        <w:t>non</w:t>
      </w:r>
      <w:r>
        <w:rPr>
          <w:color w:val="404040"/>
          <w:spacing w:val="-3"/>
          <w:sz w:val="20"/>
        </w:rPr>
        <w:t> </w:t>
      </w:r>
      <w:r>
        <w:rPr>
          <w:color w:val="404040"/>
          <w:sz w:val="20"/>
        </w:rPr>
        <w:t>IS family</w:t>
      </w:r>
      <w:r>
        <w:rPr>
          <w:color w:val="404040"/>
          <w:spacing w:val="-9"/>
          <w:sz w:val="20"/>
        </w:rPr>
        <w:t> </w:t>
      </w:r>
      <w:r>
        <w:rPr>
          <w:color w:val="404040"/>
          <w:sz w:val="20"/>
        </w:rPr>
        <w:t>class.</w:t>
      </w:r>
      <w:r>
        <w:rPr>
          <w:color w:val="404040"/>
          <w:spacing w:val="-2"/>
          <w:sz w:val="20"/>
        </w:rPr>
        <w:t> </w:t>
      </w:r>
      <w:r>
        <w:rPr>
          <w:color w:val="404040"/>
          <w:sz w:val="20"/>
        </w:rPr>
        <w:t>In</w:t>
      </w:r>
      <w:r>
        <w:rPr>
          <w:color w:val="404040"/>
          <w:spacing w:val="-3"/>
          <w:sz w:val="20"/>
        </w:rPr>
        <w:t> </w:t>
      </w:r>
      <w:r>
        <w:rPr>
          <w:color w:val="404040"/>
          <w:sz w:val="20"/>
        </w:rPr>
        <w:t>this</w:t>
      </w:r>
      <w:r>
        <w:rPr>
          <w:color w:val="404040"/>
          <w:spacing w:val="-2"/>
          <w:sz w:val="20"/>
        </w:rPr>
        <w:t> </w:t>
      </w:r>
      <w:r>
        <w:rPr>
          <w:color w:val="404040"/>
          <w:sz w:val="20"/>
        </w:rPr>
        <w:t>age</w:t>
      </w:r>
      <w:r>
        <w:rPr>
          <w:color w:val="404040"/>
          <w:spacing w:val="-2"/>
          <w:sz w:val="20"/>
        </w:rPr>
        <w:t> </w:t>
      </w:r>
      <w:r>
        <w:rPr>
          <w:color w:val="404040"/>
          <w:sz w:val="20"/>
        </w:rPr>
        <w:t>range</w:t>
      </w:r>
      <w:r>
        <w:rPr>
          <w:color w:val="404040"/>
          <w:spacing w:val="-3"/>
          <w:sz w:val="20"/>
        </w:rPr>
        <w:t> </w:t>
      </w:r>
      <w:r>
        <w:rPr>
          <w:color w:val="404040"/>
          <w:sz w:val="20"/>
        </w:rPr>
        <w:t>these</w:t>
      </w:r>
      <w:r>
        <w:rPr>
          <w:color w:val="404040"/>
          <w:spacing w:val="-1"/>
          <w:sz w:val="20"/>
        </w:rPr>
        <w:t> </w:t>
      </w:r>
      <w:r>
        <w:rPr>
          <w:color w:val="404040"/>
          <w:sz w:val="20"/>
        </w:rPr>
        <w:t>two non IS classes contain people with a very similar mix of characteristics and so the cost similarity is unsurprising.</w:t>
      </w:r>
    </w:p>
    <w:p>
      <w:pPr>
        <w:pStyle w:val="ListParagraph"/>
        <w:numPr>
          <w:ilvl w:val="0"/>
          <w:numId w:val="70"/>
        </w:numPr>
        <w:tabs>
          <w:tab w:pos="1184" w:val="left" w:leader="none"/>
        </w:tabs>
        <w:spacing w:line="240" w:lineRule="auto" w:before="119" w:after="0"/>
        <w:ind w:left="1183" w:right="1290" w:hanging="284"/>
        <w:jc w:val="left"/>
        <w:rPr>
          <w:sz w:val="20"/>
        </w:rPr>
      </w:pPr>
      <w:r>
        <w:rPr>
          <w:color w:val="404040"/>
          <w:sz w:val="20"/>
        </w:rPr>
        <w:t>For</w:t>
      </w:r>
      <w:r>
        <w:rPr>
          <w:color w:val="404040"/>
          <w:spacing w:val="-3"/>
          <w:sz w:val="20"/>
        </w:rPr>
        <w:t> </w:t>
      </w:r>
      <w:r>
        <w:rPr>
          <w:color w:val="404040"/>
          <w:sz w:val="20"/>
        </w:rPr>
        <w:t>the</w:t>
      </w:r>
      <w:r>
        <w:rPr>
          <w:color w:val="404040"/>
          <w:spacing w:val="-1"/>
          <w:sz w:val="20"/>
        </w:rPr>
        <w:t> </w:t>
      </w:r>
      <w:r>
        <w:rPr>
          <w:color w:val="404040"/>
          <w:sz w:val="20"/>
        </w:rPr>
        <w:t>group</w:t>
      </w:r>
      <w:r>
        <w:rPr>
          <w:color w:val="404040"/>
          <w:spacing w:val="-2"/>
          <w:sz w:val="20"/>
        </w:rPr>
        <w:t> </w:t>
      </w:r>
      <w:r>
        <w:rPr>
          <w:color w:val="404040"/>
          <w:sz w:val="20"/>
        </w:rPr>
        <w:t>below</w:t>
      </w:r>
      <w:r>
        <w:rPr>
          <w:color w:val="404040"/>
          <w:spacing w:val="-3"/>
          <w:sz w:val="20"/>
        </w:rPr>
        <w:t> </w:t>
      </w:r>
      <w:r>
        <w:rPr>
          <w:color w:val="404040"/>
          <w:sz w:val="20"/>
        </w:rPr>
        <w:t>age</w:t>
      </w:r>
      <w:r>
        <w:rPr>
          <w:color w:val="404040"/>
          <w:spacing w:val="-2"/>
          <w:sz w:val="20"/>
        </w:rPr>
        <w:t> </w:t>
      </w:r>
      <w:r>
        <w:rPr>
          <w:color w:val="404040"/>
          <w:sz w:val="20"/>
        </w:rPr>
        <w:t>20</w:t>
      </w:r>
      <w:r>
        <w:rPr>
          <w:color w:val="404040"/>
          <w:spacing w:val="-1"/>
          <w:sz w:val="20"/>
        </w:rPr>
        <w:t> </w:t>
      </w:r>
      <w:r>
        <w:rPr>
          <w:color w:val="404040"/>
          <w:sz w:val="20"/>
        </w:rPr>
        <w:t>the</w:t>
      </w:r>
      <w:r>
        <w:rPr>
          <w:color w:val="404040"/>
          <w:spacing w:val="-3"/>
          <w:sz w:val="20"/>
        </w:rPr>
        <w:t> </w:t>
      </w:r>
      <w:r>
        <w:rPr>
          <w:color w:val="404040"/>
          <w:sz w:val="20"/>
        </w:rPr>
        <w:t>family</w:t>
      </w:r>
      <w:r>
        <w:rPr>
          <w:color w:val="404040"/>
          <w:spacing w:val="-7"/>
          <w:sz w:val="20"/>
        </w:rPr>
        <w:t> </w:t>
      </w:r>
      <w:r>
        <w:rPr>
          <w:color w:val="404040"/>
          <w:sz w:val="20"/>
        </w:rPr>
        <w:t>payment</w:t>
      </w:r>
      <w:r>
        <w:rPr>
          <w:color w:val="404040"/>
          <w:spacing w:val="-3"/>
          <w:sz w:val="20"/>
        </w:rPr>
        <w:t> </w:t>
      </w:r>
      <w:r>
        <w:rPr>
          <w:color w:val="404040"/>
          <w:sz w:val="20"/>
        </w:rPr>
        <w:t>categories</w:t>
      </w:r>
      <w:r>
        <w:rPr>
          <w:color w:val="404040"/>
          <w:spacing w:val="-2"/>
          <w:sz w:val="20"/>
        </w:rPr>
        <w:t> </w:t>
      </w:r>
      <w:r>
        <w:rPr>
          <w:color w:val="404040"/>
          <w:sz w:val="20"/>
        </w:rPr>
        <w:t>make</w:t>
      </w:r>
      <w:r>
        <w:rPr>
          <w:color w:val="404040"/>
          <w:spacing w:val="-4"/>
          <w:sz w:val="20"/>
        </w:rPr>
        <w:t> </w:t>
      </w:r>
      <w:r>
        <w:rPr>
          <w:color w:val="404040"/>
          <w:sz w:val="20"/>
        </w:rPr>
        <w:t>a</w:t>
      </w:r>
      <w:r>
        <w:rPr>
          <w:color w:val="404040"/>
          <w:spacing w:val="-3"/>
          <w:sz w:val="20"/>
        </w:rPr>
        <w:t> </w:t>
      </w:r>
      <w:r>
        <w:rPr>
          <w:color w:val="404040"/>
          <w:sz w:val="20"/>
        </w:rPr>
        <w:t>lower</w:t>
      </w:r>
      <w:r>
        <w:rPr>
          <w:color w:val="404040"/>
          <w:spacing w:val="-3"/>
          <w:sz w:val="20"/>
        </w:rPr>
        <w:t> </w:t>
      </w:r>
      <w:r>
        <w:rPr>
          <w:color w:val="404040"/>
          <w:sz w:val="20"/>
        </w:rPr>
        <w:t>contribution</w:t>
      </w:r>
      <w:r>
        <w:rPr>
          <w:color w:val="404040"/>
          <w:spacing w:val="-3"/>
          <w:sz w:val="20"/>
        </w:rPr>
        <w:t> </w:t>
      </w:r>
      <w:r>
        <w:rPr>
          <w:color w:val="404040"/>
          <w:sz w:val="20"/>
        </w:rPr>
        <w:t>to</w:t>
      </w:r>
      <w:r>
        <w:rPr>
          <w:color w:val="404040"/>
          <w:spacing w:val="-1"/>
          <w:sz w:val="20"/>
        </w:rPr>
        <w:t> </w:t>
      </w:r>
      <w:r>
        <w:rPr>
          <w:color w:val="404040"/>
          <w:sz w:val="20"/>
        </w:rPr>
        <w:t>the</w:t>
      </w:r>
      <w:r>
        <w:rPr>
          <w:color w:val="404040"/>
          <w:spacing w:val="-2"/>
          <w:sz w:val="20"/>
        </w:rPr>
        <w:t> </w:t>
      </w:r>
      <w:r>
        <w:rPr>
          <w:color w:val="404040"/>
          <w:sz w:val="20"/>
        </w:rPr>
        <w:t>cost</w:t>
      </w:r>
      <w:r>
        <w:rPr>
          <w:color w:val="404040"/>
          <w:spacing w:val="-3"/>
          <w:sz w:val="20"/>
        </w:rPr>
        <w:t> </w:t>
      </w:r>
      <w:r>
        <w:rPr>
          <w:color w:val="404040"/>
          <w:sz w:val="20"/>
        </w:rPr>
        <w:t>but</w:t>
      </w:r>
      <w:r>
        <w:rPr>
          <w:color w:val="404040"/>
          <w:spacing w:val="-2"/>
          <w:sz w:val="20"/>
        </w:rPr>
        <w:t> </w:t>
      </w:r>
      <w:r>
        <w:rPr>
          <w:color w:val="404040"/>
          <w:sz w:val="20"/>
        </w:rPr>
        <w:t>there are</w:t>
      </w:r>
      <w:r>
        <w:rPr>
          <w:color w:val="404040"/>
          <w:spacing w:val="-5"/>
          <w:sz w:val="20"/>
        </w:rPr>
        <w:t> </w:t>
      </w:r>
      <w:r>
        <w:rPr>
          <w:color w:val="404040"/>
          <w:sz w:val="20"/>
        </w:rPr>
        <w:t>larger</w:t>
      </w:r>
      <w:r>
        <w:rPr>
          <w:color w:val="404040"/>
          <w:spacing w:val="-3"/>
          <w:sz w:val="20"/>
        </w:rPr>
        <w:t> </w:t>
      </w:r>
      <w:r>
        <w:rPr>
          <w:color w:val="404040"/>
          <w:sz w:val="20"/>
        </w:rPr>
        <w:t>elements</w:t>
      </w:r>
      <w:r>
        <w:rPr>
          <w:color w:val="404040"/>
          <w:spacing w:val="-3"/>
          <w:sz w:val="20"/>
        </w:rPr>
        <w:t> </w:t>
      </w:r>
      <w:r>
        <w:rPr>
          <w:color w:val="404040"/>
          <w:sz w:val="20"/>
        </w:rPr>
        <w:t>from</w:t>
      </w:r>
      <w:r>
        <w:rPr>
          <w:color w:val="404040"/>
          <w:spacing w:val="1"/>
          <w:sz w:val="20"/>
        </w:rPr>
        <w:t> </w:t>
      </w:r>
      <w:r>
        <w:rPr>
          <w:color w:val="404040"/>
          <w:sz w:val="20"/>
        </w:rPr>
        <w:t>the</w:t>
      </w:r>
      <w:r>
        <w:rPr>
          <w:color w:val="404040"/>
          <w:spacing w:val="-4"/>
          <w:sz w:val="20"/>
        </w:rPr>
        <w:t> </w:t>
      </w:r>
      <w:r>
        <w:rPr>
          <w:color w:val="404040"/>
          <w:sz w:val="20"/>
        </w:rPr>
        <w:t>income</w:t>
      </w:r>
      <w:r>
        <w:rPr>
          <w:color w:val="404040"/>
          <w:spacing w:val="-4"/>
          <w:sz w:val="20"/>
        </w:rPr>
        <w:t> </w:t>
      </w:r>
      <w:r>
        <w:rPr>
          <w:color w:val="404040"/>
          <w:sz w:val="20"/>
        </w:rPr>
        <w:t>support</w:t>
      </w:r>
      <w:r>
        <w:rPr>
          <w:color w:val="404040"/>
          <w:spacing w:val="-2"/>
          <w:sz w:val="20"/>
        </w:rPr>
        <w:t> </w:t>
      </w:r>
      <w:r>
        <w:rPr>
          <w:color w:val="404040"/>
          <w:sz w:val="20"/>
        </w:rPr>
        <w:t>payment</w:t>
      </w:r>
      <w:r>
        <w:rPr>
          <w:color w:val="404040"/>
          <w:spacing w:val="-3"/>
          <w:sz w:val="20"/>
        </w:rPr>
        <w:t> </w:t>
      </w:r>
      <w:r>
        <w:rPr>
          <w:color w:val="404040"/>
          <w:sz w:val="20"/>
        </w:rPr>
        <w:t>types.</w:t>
      </w:r>
      <w:r>
        <w:rPr>
          <w:color w:val="404040"/>
          <w:spacing w:val="-4"/>
          <w:sz w:val="20"/>
        </w:rPr>
        <w:t> </w:t>
      </w:r>
      <w:r>
        <w:rPr>
          <w:color w:val="404040"/>
          <w:sz w:val="20"/>
        </w:rPr>
        <w:t>This</w:t>
      </w:r>
      <w:r>
        <w:rPr>
          <w:color w:val="404040"/>
          <w:spacing w:val="-3"/>
          <w:sz w:val="20"/>
        </w:rPr>
        <w:t> </w:t>
      </w:r>
      <w:r>
        <w:rPr>
          <w:color w:val="404040"/>
          <w:sz w:val="20"/>
        </w:rPr>
        <w:t>group</w:t>
      </w:r>
      <w:r>
        <w:rPr>
          <w:color w:val="404040"/>
          <w:spacing w:val="-2"/>
          <w:sz w:val="20"/>
        </w:rPr>
        <w:t> </w:t>
      </w:r>
      <w:r>
        <w:rPr>
          <w:color w:val="404040"/>
          <w:sz w:val="20"/>
        </w:rPr>
        <w:t>have</w:t>
      </w:r>
      <w:r>
        <w:rPr>
          <w:color w:val="404040"/>
          <w:spacing w:val="-2"/>
          <w:sz w:val="20"/>
        </w:rPr>
        <w:t> </w:t>
      </w:r>
      <w:r>
        <w:rPr>
          <w:color w:val="404040"/>
          <w:sz w:val="20"/>
        </w:rPr>
        <w:t>a</w:t>
      </w:r>
      <w:r>
        <w:rPr>
          <w:color w:val="404040"/>
          <w:spacing w:val="-4"/>
          <w:sz w:val="20"/>
        </w:rPr>
        <w:t> </w:t>
      </w:r>
      <w:r>
        <w:rPr>
          <w:color w:val="404040"/>
          <w:sz w:val="20"/>
        </w:rPr>
        <w:t>greater</w:t>
      </w:r>
      <w:r>
        <w:rPr>
          <w:color w:val="404040"/>
          <w:spacing w:val="-3"/>
          <w:sz w:val="20"/>
        </w:rPr>
        <w:t> </w:t>
      </w:r>
      <w:r>
        <w:rPr>
          <w:color w:val="404040"/>
          <w:sz w:val="20"/>
        </w:rPr>
        <w:t>chance</w:t>
      </w:r>
      <w:r>
        <w:rPr>
          <w:color w:val="404040"/>
          <w:spacing w:val="-4"/>
          <w:sz w:val="20"/>
        </w:rPr>
        <w:t> </w:t>
      </w:r>
      <w:r>
        <w:rPr>
          <w:color w:val="404040"/>
          <w:sz w:val="20"/>
        </w:rPr>
        <w:t>of</w:t>
      </w:r>
      <w:r>
        <w:rPr>
          <w:color w:val="404040"/>
          <w:spacing w:val="-2"/>
          <w:sz w:val="20"/>
        </w:rPr>
        <w:t> </w:t>
      </w:r>
      <w:r>
        <w:rPr>
          <w:color w:val="404040"/>
          <w:sz w:val="20"/>
        </w:rPr>
        <w:t>moving into these payments as they grow older than the other people in the class (who, by definition, are not currently getting any income support</w:t>
      </w:r>
      <w:r>
        <w:rPr>
          <w:color w:val="404040"/>
          <w:spacing w:val="-10"/>
          <w:sz w:val="20"/>
        </w:rPr>
        <w:t> </w:t>
      </w:r>
      <w:r>
        <w:rPr>
          <w:color w:val="404040"/>
          <w:sz w:val="20"/>
        </w:rPr>
        <w:t>payments).</w:t>
      </w:r>
    </w:p>
    <w:p>
      <w:pPr>
        <w:pStyle w:val="BodyText"/>
        <w:spacing w:before="120"/>
        <w:ind w:left="900" w:right="1448"/>
      </w:pPr>
      <w:r>
        <w:rPr>
          <w:color w:val="404040"/>
        </w:rPr>
        <w:t>The table below outlines the average lifetime cost for 30 to 39 year olds currently receiving Non IS Other payments, split by key characteristics. We have selected a set age group to reduce the effect of age on the future lifetime cost. It is important to note that some characteristics serve as proxies for more fundamental socio-economic factors, and as such, they may not necessarily be the underlying cause of any differences observed in the average lifetime costs of individuals. Further, the variations and relativities to the average lifetime cost that have been shown may differ for other age bands.</w:t>
      </w:r>
    </w:p>
    <w:p>
      <w:pPr>
        <w:spacing w:after="0"/>
        <w:sectPr>
          <w:type w:val="continuous"/>
          <w:pgSz w:w="11910" w:h="16850"/>
          <w:pgMar w:top="1600" w:bottom="280" w:left="120" w:right="0"/>
        </w:sectPr>
      </w:pPr>
    </w:p>
    <w:p>
      <w:pPr>
        <w:pStyle w:val="BodyText"/>
      </w:pPr>
    </w:p>
    <w:p>
      <w:pPr>
        <w:pStyle w:val="BodyText"/>
      </w:pPr>
    </w:p>
    <w:p>
      <w:pPr>
        <w:pStyle w:val="BodyText"/>
        <w:spacing w:before="5"/>
        <w:rPr>
          <w:sz w:val="21"/>
        </w:rPr>
      </w:pPr>
    </w:p>
    <w:p>
      <w:pPr>
        <w:pStyle w:val="Heading9"/>
        <w:spacing w:after="49"/>
      </w:pPr>
      <w:r>
        <w:rPr>
          <w:color w:val="DF2F1E"/>
        </w:rPr>
        <w:t>Table 39: Average lifetime cost for 30 to 39 year old Non IS Other recipients split by key characteristics</w:t>
      </w:r>
    </w:p>
    <w:tbl>
      <w:tblPr>
        <w:tblW w:w="0" w:type="auto"/>
        <w:jc w:val="left"/>
        <w:tblInd w:w="1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62"/>
        <w:gridCol w:w="1381"/>
        <w:gridCol w:w="1659"/>
        <w:gridCol w:w="1575"/>
        <w:gridCol w:w="1609"/>
      </w:tblGrid>
      <w:tr>
        <w:trPr>
          <w:trHeight w:val="648" w:hRule="atLeast"/>
        </w:trPr>
        <w:tc>
          <w:tcPr>
            <w:tcW w:w="3562" w:type="dxa"/>
            <w:shd w:val="clear" w:color="auto" w:fill="DF2F1E"/>
          </w:tcPr>
          <w:p>
            <w:pPr>
              <w:pStyle w:val="TableParagraph"/>
              <w:spacing w:before="0"/>
              <w:rPr>
                <w:rFonts w:ascii="Times New Roman"/>
                <w:sz w:val="18"/>
              </w:rPr>
            </w:pPr>
          </w:p>
        </w:tc>
        <w:tc>
          <w:tcPr>
            <w:tcW w:w="1381" w:type="dxa"/>
            <w:shd w:val="clear" w:color="auto" w:fill="DF2F1E"/>
          </w:tcPr>
          <w:p>
            <w:pPr>
              <w:pStyle w:val="TableParagraph"/>
              <w:spacing w:before="39"/>
              <w:ind w:left="580" w:right="123" w:hanging="142"/>
              <w:rPr>
                <w:b/>
                <w:sz w:val="16"/>
              </w:rPr>
            </w:pPr>
            <w:r>
              <w:rPr>
                <w:b/>
                <w:color w:val="FFFFFF"/>
                <w:sz w:val="16"/>
              </w:rPr>
              <w:t>Number of people</w:t>
            </w:r>
          </w:p>
        </w:tc>
        <w:tc>
          <w:tcPr>
            <w:tcW w:w="1659" w:type="dxa"/>
            <w:shd w:val="clear" w:color="auto" w:fill="DF2F1E"/>
          </w:tcPr>
          <w:p>
            <w:pPr>
              <w:pStyle w:val="TableParagraph"/>
              <w:spacing w:before="39"/>
              <w:ind w:left="276" w:right="132" w:hanging="130"/>
              <w:rPr>
                <w:b/>
                <w:sz w:val="16"/>
              </w:rPr>
            </w:pPr>
            <w:r>
              <w:rPr>
                <w:b/>
                <w:color w:val="FFFFFF"/>
                <w:sz w:val="16"/>
              </w:rPr>
              <w:t>Number of people as % of cohort</w:t>
            </w:r>
          </w:p>
        </w:tc>
        <w:tc>
          <w:tcPr>
            <w:tcW w:w="1575" w:type="dxa"/>
            <w:shd w:val="clear" w:color="auto" w:fill="DF2F1E"/>
          </w:tcPr>
          <w:p>
            <w:pPr>
              <w:pStyle w:val="TableParagraph"/>
              <w:spacing w:before="39"/>
              <w:ind w:left="490" w:right="164" w:hanging="336"/>
              <w:rPr>
                <w:b/>
                <w:sz w:val="16"/>
              </w:rPr>
            </w:pPr>
            <w:r>
              <w:rPr>
                <w:b/>
                <w:color w:val="FFFFFF"/>
                <w:sz w:val="16"/>
              </w:rPr>
              <w:t>Average lifetime cost ($)</w:t>
            </w:r>
          </w:p>
        </w:tc>
        <w:tc>
          <w:tcPr>
            <w:tcW w:w="1609" w:type="dxa"/>
            <w:shd w:val="clear" w:color="auto" w:fill="DF2F1E"/>
          </w:tcPr>
          <w:p>
            <w:pPr>
              <w:pStyle w:val="TableParagraph"/>
              <w:spacing w:before="39"/>
              <w:ind w:left="187" w:right="181"/>
              <w:jc w:val="center"/>
              <w:rPr>
                <w:b/>
                <w:sz w:val="16"/>
              </w:rPr>
            </w:pPr>
            <w:r>
              <w:rPr>
                <w:b/>
                <w:color w:val="FFFFFF"/>
                <w:sz w:val="16"/>
              </w:rPr>
              <w:t>Average lifetime cost relative to cohort</w:t>
            </w:r>
          </w:p>
        </w:tc>
      </w:tr>
      <w:tr>
        <w:trPr>
          <w:trHeight w:val="263" w:hRule="atLeast"/>
        </w:trPr>
        <w:tc>
          <w:tcPr>
            <w:tcW w:w="3562" w:type="dxa"/>
            <w:tcBorders>
              <w:left w:val="single" w:sz="4" w:space="0" w:color="DF2F1E"/>
              <w:bottom w:val="single" w:sz="4" w:space="0" w:color="DF2F1E"/>
            </w:tcBorders>
            <w:shd w:val="clear" w:color="auto" w:fill="F7DCE0"/>
          </w:tcPr>
          <w:p>
            <w:pPr>
              <w:pStyle w:val="TableParagraph"/>
              <w:spacing w:before="34"/>
              <w:ind w:left="107"/>
              <w:rPr>
                <w:b/>
                <w:sz w:val="16"/>
              </w:rPr>
            </w:pPr>
            <w:r>
              <w:rPr>
                <w:b/>
                <w:color w:val="404040"/>
                <w:sz w:val="16"/>
              </w:rPr>
              <w:t>Total</w:t>
            </w:r>
          </w:p>
        </w:tc>
        <w:tc>
          <w:tcPr>
            <w:tcW w:w="1381" w:type="dxa"/>
            <w:tcBorders>
              <w:bottom w:val="single" w:sz="4" w:space="0" w:color="DF2F1E"/>
            </w:tcBorders>
            <w:shd w:val="clear" w:color="auto" w:fill="F7DCE0"/>
          </w:tcPr>
          <w:p>
            <w:pPr>
              <w:pStyle w:val="TableParagraph"/>
              <w:spacing w:before="34"/>
              <w:ind w:right="251"/>
              <w:jc w:val="right"/>
              <w:rPr>
                <w:b/>
                <w:sz w:val="16"/>
              </w:rPr>
            </w:pPr>
            <w:r>
              <w:rPr>
                <w:b/>
                <w:color w:val="404040"/>
                <w:sz w:val="16"/>
              </w:rPr>
              <w:t>150,000</w:t>
            </w:r>
          </w:p>
        </w:tc>
        <w:tc>
          <w:tcPr>
            <w:tcW w:w="1659" w:type="dxa"/>
            <w:tcBorders>
              <w:bottom w:val="single" w:sz="4" w:space="0" w:color="DF2F1E"/>
            </w:tcBorders>
            <w:shd w:val="clear" w:color="auto" w:fill="F7DCE0"/>
          </w:tcPr>
          <w:p>
            <w:pPr>
              <w:pStyle w:val="TableParagraph"/>
              <w:spacing w:before="34"/>
              <w:ind w:left="622"/>
              <w:rPr>
                <w:b/>
                <w:sz w:val="16"/>
              </w:rPr>
            </w:pPr>
            <w:r>
              <w:rPr>
                <w:b/>
                <w:color w:val="404040"/>
                <w:sz w:val="16"/>
              </w:rPr>
              <w:t>100%</w:t>
            </w:r>
          </w:p>
        </w:tc>
        <w:tc>
          <w:tcPr>
            <w:tcW w:w="1575" w:type="dxa"/>
            <w:tcBorders>
              <w:bottom w:val="single" w:sz="4" w:space="0" w:color="DF2F1E"/>
            </w:tcBorders>
            <w:shd w:val="clear" w:color="auto" w:fill="F7DCE0"/>
          </w:tcPr>
          <w:p>
            <w:pPr>
              <w:pStyle w:val="TableParagraph"/>
              <w:spacing w:before="34"/>
              <w:ind w:left="464" w:right="488"/>
              <w:jc w:val="center"/>
              <w:rPr>
                <w:b/>
                <w:sz w:val="16"/>
              </w:rPr>
            </w:pPr>
            <w:r>
              <w:rPr>
                <w:b/>
                <w:color w:val="404040"/>
                <w:sz w:val="16"/>
              </w:rPr>
              <w:t>216,000</w:t>
            </w:r>
          </w:p>
        </w:tc>
        <w:tc>
          <w:tcPr>
            <w:tcW w:w="1609" w:type="dxa"/>
            <w:tcBorders>
              <w:bottom w:val="single" w:sz="4" w:space="0" w:color="DF2F1E"/>
              <w:right w:val="single" w:sz="4" w:space="0" w:color="DF2F1E"/>
            </w:tcBorders>
            <w:shd w:val="clear" w:color="auto" w:fill="F7DCE0"/>
          </w:tcPr>
          <w:p>
            <w:pPr>
              <w:pStyle w:val="TableParagraph"/>
              <w:spacing w:before="34"/>
              <w:ind w:left="578" w:right="574"/>
              <w:jc w:val="center"/>
              <w:rPr>
                <w:b/>
                <w:sz w:val="16"/>
              </w:rPr>
            </w:pPr>
            <w:r>
              <w:rPr>
                <w:b/>
                <w:color w:val="404040"/>
                <w:sz w:val="16"/>
              </w:rPr>
              <w:t>100%</w:t>
            </w:r>
          </w:p>
        </w:tc>
      </w:tr>
      <w:tr>
        <w:trPr>
          <w:trHeight w:val="262" w:hRule="atLeast"/>
        </w:trPr>
        <w:tc>
          <w:tcPr>
            <w:tcW w:w="3562" w:type="dxa"/>
            <w:tcBorders>
              <w:top w:val="single" w:sz="4" w:space="0" w:color="DF2F1E"/>
              <w:left w:val="single" w:sz="4" w:space="0" w:color="DF2F1E"/>
            </w:tcBorders>
          </w:tcPr>
          <w:p>
            <w:pPr>
              <w:pStyle w:val="TableParagraph"/>
              <w:spacing w:before="34"/>
              <w:ind w:left="107"/>
              <w:rPr>
                <w:b/>
                <w:sz w:val="16"/>
              </w:rPr>
            </w:pPr>
            <w:r>
              <w:rPr>
                <w:b/>
                <w:color w:val="404040"/>
                <w:sz w:val="16"/>
              </w:rPr>
              <w:t>Number of children</w:t>
            </w:r>
          </w:p>
        </w:tc>
        <w:tc>
          <w:tcPr>
            <w:tcW w:w="1381" w:type="dxa"/>
            <w:tcBorders>
              <w:top w:val="single" w:sz="4" w:space="0" w:color="DF2F1E"/>
            </w:tcBorders>
          </w:tcPr>
          <w:p>
            <w:pPr>
              <w:pStyle w:val="TableParagraph"/>
              <w:spacing w:before="0"/>
              <w:rPr>
                <w:rFonts w:ascii="Times New Roman"/>
                <w:sz w:val="18"/>
              </w:rPr>
            </w:pPr>
          </w:p>
        </w:tc>
        <w:tc>
          <w:tcPr>
            <w:tcW w:w="1659" w:type="dxa"/>
            <w:tcBorders>
              <w:top w:val="single" w:sz="4" w:space="0" w:color="DF2F1E"/>
            </w:tcBorders>
          </w:tcPr>
          <w:p>
            <w:pPr>
              <w:pStyle w:val="TableParagraph"/>
              <w:spacing w:before="0"/>
              <w:rPr>
                <w:rFonts w:ascii="Times New Roman"/>
                <w:sz w:val="18"/>
              </w:rPr>
            </w:pPr>
          </w:p>
        </w:tc>
        <w:tc>
          <w:tcPr>
            <w:tcW w:w="1575" w:type="dxa"/>
            <w:tcBorders>
              <w:top w:val="single" w:sz="4" w:space="0" w:color="DF2F1E"/>
            </w:tcBorders>
          </w:tcPr>
          <w:p>
            <w:pPr>
              <w:pStyle w:val="TableParagraph"/>
              <w:spacing w:before="0"/>
              <w:rPr>
                <w:rFonts w:ascii="Times New Roman"/>
                <w:sz w:val="18"/>
              </w:rPr>
            </w:pPr>
          </w:p>
        </w:tc>
        <w:tc>
          <w:tcPr>
            <w:tcW w:w="1609" w:type="dxa"/>
            <w:tcBorders>
              <w:top w:val="single" w:sz="4" w:space="0" w:color="DF2F1E"/>
              <w:right w:val="single" w:sz="4" w:space="0" w:color="DF2F1E"/>
            </w:tcBorders>
          </w:tcPr>
          <w:p>
            <w:pPr>
              <w:pStyle w:val="TableParagraph"/>
              <w:spacing w:before="0"/>
              <w:rPr>
                <w:rFonts w:ascii="Times New Roman"/>
                <w:sz w:val="18"/>
              </w:rPr>
            </w:pPr>
          </w:p>
        </w:tc>
      </w:tr>
      <w:tr>
        <w:trPr>
          <w:trHeight w:val="265" w:hRule="atLeast"/>
        </w:trPr>
        <w:tc>
          <w:tcPr>
            <w:tcW w:w="3562" w:type="dxa"/>
            <w:tcBorders>
              <w:left w:val="single" w:sz="4" w:space="0" w:color="DF2F1E"/>
            </w:tcBorders>
          </w:tcPr>
          <w:p>
            <w:pPr>
              <w:pStyle w:val="TableParagraph"/>
              <w:spacing w:before="39"/>
              <w:ind w:left="287"/>
              <w:rPr>
                <w:b/>
                <w:i/>
                <w:sz w:val="16"/>
              </w:rPr>
            </w:pPr>
            <w:r>
              <w:rPr>
                <w:b/>
                <w:i/>
                <w:color w:val="404040"/>
                <w:sz w:val="16"/>
              </w:rPr>
              <w:t>- No children</w:t>
            </w:r>
          </w:p>
        </w:tc>
        <w:tc>
          <w:tcPr>
            <w:tcW w:w="1381" w:type="dxa"/>
          </w:tcPr>
          <w:p>
            <w:pPr>
              <w:pStyle w:val="TableParagraph"/>
              <w:spacing w:before="39"/>
              <w:ind w:right="294"/>
              <w:jc w:val="right"/>
              <w:rPr>
                <w:sz w:val="16"/>
              </w:rPr>
            </w:pPr>
            <w:r>
              <w:rPr>
                <w:color w:val="404040"/>
                <w:sz w:val="16"/>
              </w:rPr>
              <w:t>26,000</w:t>
            </w:r>
          </w:p>
        </w:tc>
        <w:tc>
          <w:tcPr>
            <w:tcW w:w="1659" w:type="dxa"/>
          </w:tcPr>
          <w:p>
            <w:pPr>
              <w:pStyle w:val="TableParagraph"/>
              <w:spacing w:before="39"/>
              <w:ind w:left="668"/>
              <w:rPr>
                <w:sz w:val="16"/>
              </w:rPr>
            </w:pPr>
            <w:r>
              <w:rPr>
                <w:color w:val="404040"/>
                <w:sz w:val="16"/>
              </w:rPr>
              <w:t>18%</w:t>
            </w:r>
          </w:p>
        </w:tc>
        <w:tc>
          <w:tcPr>
            <w:tcW w:w="1575" w:type="dxa"/>
          </w:tcPr>
          <w:p>
            <w:pPr>
              <w:pStyle w:val="TableParagraph"/>
              <w:spacing w:before="39"/>
              <w:ind w:left="464" w:right="488"/>
              <w:jc w:val="center"/>
              <w:rPr>
                <w:sz w:val="16"/>
              </w:rPr>
            </w:pPr>
            <w:r>
              <w:rPr>
                <w:color w:val="404040"/>
                <w:sz w:val="16"/>
              </w:rPr>
              <w:t>202,000</w:t>
            </w:r>
          </w:p>
        </w:tc>
        <w:tc>
          <w:tcPr>
            <w:tcW w:w="1609" w:type="dxa"/>
            <w:tcBorders>
              <w:right w:val="single" w:sz="4" w:space="0" w:color="DF2F1E"/>
            </w:tcBorders>
          </w:tcPr>
          <w:p>
            <w:pPr>
              <w:pStyle w:val="TableParagraph"/>
              <w:spacing w:before="39"/>
              <w:ind w:left="578" w:right="572"/>
              <w:jc w:val="center"/>
              <w:rPr>
                <w:sz w:val="16"/>
              </w:rPr>
            </w:pPr>
            <w:r>
              <w:rPr>
                <w:color w:val="404040"/>
                <w:sz w:val="16"/>
              </w:rPr>
              <w:t>94%</w:t>
            </w:r>
          </w:p>
        </w:tc>
      </w:tr>
      <w:tr>
        <w:trPr>
          <w:trHeight w:val="264" w:hRule="atLeast"/>
        </w:trPr>
        <w:tc>
          <w:tcPr>
            <w:tcW w:w="3562" w:type="dxa"/>
            <w:tcBorders>
              <w:left w:val="single" w:sz="4" w:space="0" w:color="DF2F1E"/>
            </w:tcBorders>
          </w:tcPr>
          <w:p>
            <w:pPr>
              <w:pStyle w:val="TableParagraph"/>
              <w:ind w:left="287"/>
              <w:rPr>
                <w:b/>
                <w:i/>
                <w:sz w:val="16"/>
              </w:rPr>
            </w:pPr>
            <w:r>
              <w:rPr>
                <w:b/>
                <w:i/>
                <w:color w:val="404040"/>
                <w:sz w:val="16"/>
              </w:rPr>
              <w:t>- 1 child</w:t>
            </w:r>
          </w:p>
        </w:tc>
        <w:tc>
          <w:tcPr>
            <w:tcW w:w="1381" w:type="dxa"/>
          </w:tcPr>
          <w:p>
            <w:pPr>
              <w:pStyle w:val="TableParagraph"/>
              <w:ind w:right="294"/>
              <w:jc w:val="right"/>
              <w:rPr>
                <w:sz w:val="16"/>
              </w:rPr>
            </w:pPr>
            <w:r>
              <w:rPr>
                <w:color w:val="404040"/>
                <w:sz w:val="16"/>
              </w:rPr>
              <w:t>75,000</w:t>
            </w:r>
          </w:p>
        </w:tc>
        <w:tc>
          <w:tcPr>
            <w:tcW w:w="1659" w:type="dxa"/>
          </w:tcPr>
          <w:p>
            <w:pPr>
              <w:pStyle w:val="TableParagraph"/>
              <w:ind w:left="668"/>
              <w:rPr>
                <w:sz w:val="16"/>
              </w:rPr>
            </w:pPr>
            <w:r>
              <w:rPr>
                <w:color w:val="404040"/>
                <w:sz w:val="16"/>
              </w:rPr>
              <w:t>50%</w:t>
            </w:r>
          </w:p>
        </w:tc>
        <w:tc>
          <w:tcPr>
            <w:tcW w:w="1575" w:type="dxa"/>
          </w:tcPr>
          <w:p>
            <w:pPr>
              <w:pStyle w:val="TableParagraph"/>
              <w:ind w:left="464" w:right="488"/>
              <w:jc w:val="center"/>
              <w:rPr>
                <w:sz w:val="16"/>
              </w:rPr>
            </w:pPr>
            <w:r>
              <w:rPr>
                <w:color w:val="404040"/>
                <w:sz w:val="16"/>
              </w:rPr>
              <w:t>223,000</w:t>
            </w:r>
          </w:p>
        </w:tc>
        <w:tc>
          <w:tcPr>
            <w:tcW w:w="1609" w:type="dxa"/>
            <w:tcBorders>
              <w:right w:val="single" w:sz="4" w:space="0" w:color="DF2F1E"/>
            </w:tcBorders>
          </w:tcPr>
          <w:p>
            <w:pPr>
              <w:pStyle w:val="TableParagraph"/>
              <w:ind w:left="578" w:right="574"/>
              <w:jc w:val="center"/>
              <w:rPr>
                <w:sz w:val="16"/>
              </w:rPr>
            </w:pPr>
            <w:r>
              <w:rPr>
                <w:color w:val="404040"/>
                <w:sz w:val="16"/>
              </w:rPr>
              <w:t>104%</w:t>
            </w:r>
          </w:p>
        </w:tc>
      </w:tr>
      <w:tr>
        <w:trPr>
          <w:trHeight w:val="264" w:hRule="atLeast"/>
        </w:trPr>
        <w:tc>
          <w:tcPr>
            <w:tcW w:w="3562" w:type="dxa"/>
            <w:tcBorders>
              <w:left w:val="single" w:sz="4" w:space="0" w:color="DF2F1E"/>
            </w:tcBorders>
          </w:tcPr>
          <w:p>
            <w:pPr>
              <w:pStyle w:val="TableParagraph"/>
              <w:ind w:left="287"/>
              <w:rPr>
                <w:b/>
                <w:i/>
                <w:sz w:val="16"/>
              </w:rPr>
            </w:pPr>
            <w:r>
              <w:rPr>
                <w:b/>
                <w:i/>
                <w:color w:val="404040"/>
                <w:sz w:val="16"/>
              </w:rPr>
              <w:t>- 2 children</w:t>
            </w:r>
          </w:p>
        </w:tc>
        <w:tc>
          <w:tcPr>
            <w:tcW w:w="1381" w:type="dxa"/>
          </w:tcPr>
          <w:p>
            <w:pPr>
              <w:pStyle w:val="TableParagraph"/>
              <w:ind w:right="294"/>
              <w:jc w:val="right"/>
              <w:rPr>
                <w:sz w:val="16"/>
              </w:rPr>
            </w:pPr>
            <w:r>
              <w:rPr>
                <w:color w:val="404040"/>
                <w:sz w:val="16"/>
              </w:rPr>
              <w:t>34,000</w:t>
            </w:r>
          </w:p>
        </w:tc>
        <w:tc>
          <w:tcPr>
            <w:tcW w:w="1659" w:type="dxa"/>
          </w:tcPr>
          <w:p>
            <w:pPr>
              <w:pStyle w:val="TableParagraph"/>
              <w:ind w:left="668"/>
              <w:rPr>
                <w:sz w:val="16"/>
              </w:rPr>
            </w:pPr>
            <w:r>
              <w:rPr>
                <w:color w:val="404040"/>
                <w:sz w:val="16"/>
              </w:rPr>
              <w:t>23%</w:t>
            </w:r>
          </w:p>
        </w:tc>
        <w:tc>
          <w:tcPr>
            <w:tcW w:w="1575" w:type="dxa"/>
          </w:tcPr>
          <w:p>
            <w:pPr>
              <w:pStyle w:val="TableParagraph"/>
              <w:ind w:left="464" w:right="488"/>
              <w:jc w:val="center"/>
              <w:rPr>
                <w:sz w:val="16"/>
              </w:rPr>
            </w:pPr>
            <w:r>
              <w:rPr>
                <w:color w:val="404040"/>
                <w:sz w:val="16"/>
              </w:rPr>
              <w:t>203,000</w:t>
            </w:r>
          </w:p>
        </w:tc>
        <w:tc>
          <w:tcPr>
            <w:tcW w:w="1609" w:type="dxa"/>
            <w:tcBorders>
              <w:right w:val="single" w:sz="4" w:space="0" w:color="DF2F1E"/>
            </w:tcBorders>
          </w:tcPr>
          <w:p>
            <w:pPr>
              <w:pStyle w:val="TableParagraph"/>
              <w:ind w:left="578" w:right="572"/>
              <w:jc w:val="center"/>
              <w:rPr>
                <w:sz w:val="16"/>
              </w:rPr>
            </w:pPr>
            <w:r>
              <w:rPr>
                <w:color w:val="404040"/>
                <w:sz w:val="16"/>
              </w:rPr>
              <w:t>94%</w:t>
            </w:r>
          </w:p>
        </w:tc>
      </w:tr>
      <w:tr>
        <w:trPr>
          <w:trHeight w:val="264" w:hRule="atLeast"/>
        </w:trPr>
        <w:tc>
          <w:tcPr>
            <w:tcW w:w="3562" w:type="dxa"/>
            <w:tcBorders>
              <w:left w:val="single" w:sz="4" w:space="0" w:color="DF2F1E"/>
              <w:bottom w:val="single" w:sz="4" w:space="0" w:color="DF2F1E"/>
            </w:tcBorders>
          </w:tcPr>
          <w:p>
            <w:pPr>
              <w:pStyle w:val="TableParagraph"/>
              <w:ind w:left="287"/>
              <w:rPr>
                <w:b/>
                <w:i/>
                <w:sz w:val="16"/>
              </w:rPr>
            </w:pPr>
            <w:r>
              <w:rPr>
                <w:b/>
                <w:i/>
                <w:color w:val="404040"/>
                <w:sz w:val="16"/>
              </w:rPr>
              <w:t>- 3+ children</w:t>
            </w:r>
          </w:p>
        </w:tc>
        <w:tc>
          <w:tcPr>
            <w:tcW w:w="1381" w:type="dxa"/>
            <w:tcBorders>
              <w:bottom w:val="single" w:sz="4" w:space="0" w:color="DF2F1E"/>
            </w:tcBorders>
          </w:tcPr>
          <w:p>
            <w:pPr>
              <w:pStyle w:val="TableParagraph"/>
              <w:ind w:right="294"/>
              <w:jc w:val="right"/>
              <w:rPr>
                <w:sz w:val="16"/>
              </w:rPr>
            </w:pPr>
            <w:r>
              <w:rPr>
                <w:color w:val="404040"/>
                <w:sz w:val="16"/>
              </w:rPr>
              <w:t>15,000</w:t>
            </w:r>
          </w:p>
        </w:tc>
        <w:tc>
          <w:tcPr>
            <w:tcW w:w="1659" w:type="dxa"/>
            <w:tcBorders>
              <w:bottom w:val="single" w:sz="4" w:space="0" w:color="DF2F1E"/>
            </w:tcBorders>
          </w:tcPr>
          <w:p>
            <w:pPr>
              <w:pStyle w:val="TableParagraph"/>
              <w:ind w:left="668"/>
              <w:rPr>
                <w:sz w:val="16"/>
              </w:rPr>
            </w:pPr>
            <w:r>
              <w:rPr>
                <w:color w:val="404040"/>
                <w:sz w:val="16"/>
              </w:rPr>
              <w:t>10%</w:t>
            </w:r>
          </w:p>
        </w:tc>
        <w:tc>
          <w:tcPr>
            <w:tcW w:w="1575" w:type="dxa"/>
            <w:tcBorders>
              <w:bottom w:val="single" w:sz="4" w:space="0" w:color="DF2F1E"/>
            </w:tcBorders>
          </w:tcPr>
          <w:p>
            <w:pPr>
              <w:pStyle w:val="TableParagraph"/>
              <w:ind w:left="464" w:right="488"/>
              <w:jc w:val="center"/>
              <w:rPr>
                <w:sz w:val="16"/>
              </w:rPr>
            </w:pPr>
            <w:r>
              <w:rPr>
                <w:color w:val="404040"/>
                <w:sz w:val="16"/>
              </w:rPr>
              <w:t>231,000</w:t>
            </w:r>
          </w:p>
        </w:tc>
        <w:tc>
          <w:tcPr>
            <w:tcW w:w="1609" w:type="dxa"/>
            <w:tcBorders>
              <w:bottom w:val="single" w:sz="4" w:space="0" w:color="DF2F1E"/>
              <w:right w:val="single" w:sz="4" w:space="0" w:color="DF2F1E"/>
            </w:tcBorders>
          </w:tcPr>
          <w:p>
            <w:pPr>
              <w:pStyle w:val="TableParagraph"/>
              <w:ind w:left="578" w:right="574"/>
              <w:jc w:val="center"/>
              <w:rPr>
                <w:sz w:val="16"/>
              </w:rPr>
            </w:pPr>
            <w:r>
              <w:rPr>
                <w:color w:val="404040"/>
                <w:sz w:val="16"/>
              </w:rPr>
              <w:t>107%</w:t>
            </w:r>
          </w:p>
        </w:tc>
      </w:tr>
      <w:tr>
        <w:trPr>
          <w:trHeight w:val="262" w:hRule="atLeast"/>
        </w:trPr>
        <w:tc>
          <w:tcPr>
            <w:tcW w:w="3562" w:type="dxa"/>
            <w:tcBorders>
              <w:top w:val="single" w:sz="4" w:space="0" w:color="DF2F1E"/>
              <w:left w:val="single" w:sz="4" w:space="0" w:color="DF2F1E"/>
            </w:tcBorders>
          </w:tcPr>
          <w:p>
            <w:pPr>
              <w:pStyle w:val="TableParagraph"/>
              <w:spacing w:before="34"/>
              <w:ind w:left="107"/>
              <w:rPr>
                <w:b/>
                <w:sz w:val="16"/>
              </w:rPr>
            </w:pPr>
            <w:r>
              <w:rPr>
                <w:b/>
                <w:color w:val="404040"/>
                <w:sz w:val="16"/>
              </w:rPr>
              <w:t>Age of youngest child</w:t>
            </w:r>
          </w:p>
        </w:tc>
        <w:tc>
          <w:tcPr>
            <w:tcW w:w="1381" w:type="dxa"/>
            <w:tcBorders>
              <w:top w:val="single" w:sz="4" w:space="0" w:color="DF2F1E"/>
            </w:tcBorders>
          </w:tcPr>
          <w:p>
            <w:pPr>
              <w:pStyle w:val="TableParagraph"/>
              <w:spacing w:before="0"/>
              <w:rPr>
                <w:rFonts w:ascii="Times New Roman"/>
                <w:sz w:val="18"/>
              </w:rPr>
            </w:pPr>
          </w:p>
        </w:tc>
        <w:tc>
          <w:tcPr>
            <w:tcW w:w="1659" w:type="dxa"/>
            <w:tcBorders>
              <w:top w:val="single" w:sz="4" w:space="0" w:color="DF2F1E"/>
            </w:tcBorders>
          </w:tcPr>
          <w:p>
            <w:pPr>
              <w:pStyle w:val="TableParagraph"/>
              <w:spacing w:before="0"/>
              <w:rPr>
                <w:rFonts w:ascii="Times New Roman"/>
                <w:sz w:val="18"/>
              </w:rPr>
            </w:pPr>
          </w:p>
        </w:tc>
        <w:tc>
          <w:tcPr>
            <w:tcW w:w="1575" w:type="dxa"/>
            <w:tcBorders>
              <w:top w:val="single" w:sz="4" w:space="0" w:color="DF2F1E"/>
            </w:tcBorders>
          </w:tcPr>
          <w:p>
            <w:pPr>
              <w:pStyle w:val="TableParagraph"/>
              <w:spacing w:before="0"/>
              <w:rPr>
                <w:rFonts w:ascii="Times New Roman"/>
                <w:sz w:val="18"/>
              </w:rPr>
            </w:pPr>
          </w:p>
        </w:tc>
        <w:tc>
          <w:tcPr>
            <w:tcW w:w="1609" w:type="dxa"/>
            <w:tcBorders>
              <w:top w:val="single" w:sz="4" w:space="0" w:color="DF2F1E"/>
              <w:right w:val="single" w:sz="4" w:space="0" w:color="DF2F1E"/>
            </w:tcBorders>
          </w:tcPr>
          <w:p>
            <w:pPr>
              <w:pStyle w:val="TableParagraph"/>
              <w:spacing w:before="0"/>
              <w:rPr>
                <w:rFonts w:ascii="Times New Roman"/>
                <w:sz w:val="18"/>
              </w:rPr>
            </w:pPr>
          </w:p>
        </w:tc>
      </w:tr>
      <w:tr>
        <w:trPr>
          <w:trHeight w:val="265" w:hRule="atLeast"/>
        </w:trPr>
        <w:tc>
          <w:tcPr>
            <w:tcW w:w="3562" w:type="dxa"/>
            <w:tcBorders>
              <w:left w:val="single" w:sz="4" w:space="0" w:color="DF2F1E"/>
            </w:tcBorders>
          </w:tcPr>
          <w:p>
            <w:pPr>
              <w:pStyle w:val="TableParagraph"/>
              <w:spacing w:before="39"/>
              <w:ind w:left="287"/>
              <w:rPr>
                <w:b/>
                <w:i/>
                <w:sz w:val="16"/>
              </w:rPr>
            </w:pPr>
            <w:r>
              <w:rPr>
                <w:b/>
                <w:i/>
                <w:color w:val="404040"/>
                <w:sz w:val="16"/>
              </w:rPr>
              <w:t>- No children</w:t>
            </w:r>
          </w:p>
        </w:tc>
        <w:tc>
          <w:tcPr>
            <w:tcW w:w="1381" w:type="dxa"/>
          </w:tcPr>
          <w:p>
            <w:pPr>
              <w:pStyle w:val="TableParagraph"/>
              <w:spacing w:before="39"/>
              <w:ind w:right="294"/>
              <w:jc w:val="right"/>
              <w:rPr>
                <w:sz w:val="16"/>
              </w:rPr>
            </w:pPr>
            <w:r>
              <w:rPr>
                <w:color w:val="404040"/>
                <w:sz w:val="16"/>
              </w:rPr>
              <w:t>26,000</w:t>
            </w:r>
          </w:p>
        </w:tc>
        <w:tc>
          <w:tcPr>
            <w:tcW w:w="1659" w:type="dxa"/>
          </w:tcPr>
          <w:p>
            <w:pPr>
              <w:pStyle w:val="TableParagraph"/>
              <w:spacing w:before="39"/>
              <w:ind w:left="668"/>
              <w:rPr>
                <w:sz w:val="16"/>
              </w:rPr>
            </w:pPr>
            <w:r>
              <w:rPr>
                <w:color w:val="404040"/>
                <w:sz w:val="16"/>
              </w:rPr>
              <w:t>18%</w:t>
            </w:r>
          </w:p>
        </w:tc>
        <w:tc>
          <w:tcPr>
            <w:tcW w:w="1575" w:type="dxa"/>
          </w:tcPr>
          <w:p>
            <w:pPr>
              <w:pStyle w:val="TableParagraph"/>
              <w:spacing w:before="39"/>
              <w:ind w:left="464" w:right="488"/>
              <w:jc w:val="center"/>
              <w:rPr>
                <w:sz w:val="16"/>
              </w:rPr>
            </w:pPr>
            <w:r>
              <w:rPr>
                <w:color w:val="404040"/>
                <w:sz w:val="16"/>
              </w:rPr>
              <w:t>202,000</w:t>
            </w:r>
          </w:p>
        </w:tc>
        <w:tc>
          <w:tcPr>
            <w:tcW w:w="1609" w:type="dxa"/>
            <w:tcBorders>
              <w:right w:val="single" w:sz="4" w:space="0" w:color="DF2F1E"/>
            </w:tcBorders>
          </w:tcPr>
          <w:p>
            <w:pPr>
              <w:pStyle w:val="TableParagraph"/>
              <w:spacing w:before="39"/>
              <w:ind w:left="578" w:right="572"/>
              <w:jc w:val="center"/>
              <w:rPr>
                <w:sz w:val="16"/>
              </w:rPr>
            </w:pPr>
            <w:r>
              <w:rPr>
                <w:color w:val="404040"/>
                <w:sz w:val="16"/>
              </w:rPr>
              <w:t>94%</w:t>
            </w:r>
          </w:p>
        </w:tc>
      </w:tr>
      <w:tr>
        <w:trPr>
          <w:trHeight w:val="264" w:hRule="atLeast"/>
        </w:trPr>
        <w:tc>
          <w:tcPr>
            <w:tcW w:w="3562" w:type="dxa"/>
            <w:tcBorders>
              <w:left w:val="single" w:sz="4" w:space="0" w:color="DF2F1E"/>
            </w:tcBorders>
          </w:tcPr>
          <w:p>
            <w:pPr>
              <w:pStyle w:val="TableParagraph"/>
              <w:ind w:left="287"/>
              <w:rPr>
                <w:b/>
                <w:i/>
                <w:sz w:val="16"/>
              </w:rPr>
            </w:pPr>
            <w:r>
              <w:rPr>
                <w:b/>
                <w:i/>
                <w:color w:val="404040"/>
                <w:sz w:val="16"/>
              </w:rPr>
              <w:t>- New born</w:t>
            </w:r>
          </w:p>
        </w:tc>
        <w:tc>
          <w:tcPr>
            <w:tcW w:w="1381" w:type="dxa"/>
          </w:tcPr>
          <w:p>
            <w:pPr>
              <w:pStyle w:val="TableParagraph"/>
              <w:ind w:right="294"/>
              <w:jc w:val="right"/>
              <w:rPr>
                <w:sz w:val="16"/>
              </w:rPr>
            </w:pPr>
            <w:r>
              <w:rPr>
                <w:color w:val="404040"/>
                <w:sz w:val="16"/>
              </w:rPr>
              <w:t>65,000</w:t>
            </w:r>
          </w:p>
        </w:tc>
        <w:tc>
          <w:tcPr>
            <w:tcW w:w="1659" w:type="dxa"/>
          </w:tcPr>
          <w:p>
            <w:pPr>
              <w:pStyle w:val="TableParagraph"/>
              <w:ind w:left="668"/>
              <w:rPr>
                <w:sz w:val="16"/>
              </w:rPr>
            </w:pPr>
            <w:r>
              <w:rPr>
                <w:color w:val="404040"/>
                <w:sz w:val="16"/>
              </w:rPr>
              <w:t>44%</w:t>
            </w:r>
          </w:p>
        </w:tc>
        <w:tc>
          <w:tcPr>
            <w:tcW w:w="1575" w:type="dxa"/>
          </w:tcPr>
          <w:p>
            <w:pPr>
              <w:pStyle w:val="TableParagraph"/>
              <w:ind w:left="464" w:right="488"/>
              <w:jc w:val="center"/>
              <w:rPr>
                <w:sz w:val="16"/>
              </w:rPr>
            </w:pPr>
            <w:r>
              <w:rPr>
                <w:color w:val="404040"/>
                <w:sz w:val="16"/>
              </w:rPr>
              <w:t>221,000</w:t>
            </w:r>
          </w:p>
        </w:tc>
        <w:tc>
          <w:tcPr>
            <w:tcW w:w="1609" w:type="dxa"/>
            <w:tcBorders>
              <w:right w:val="single" w:sz="4" w:space="0" w:color="DF2F1E"/>
            </w:tcBorders>
          </w:tcPr>
          <w:p>
            <w:pPr>
              <w:pStyle w:val="TableParagraph"/>
              <w:ind w:left="578" w:right="574"/>
              <w:jc w:val="center"/>
              <w:rPr>
                <w:sz w:val="16"/>
              </w:rPr>
            </w:pPr>
            <w:r>
              <w:rPr>
                <w:color w:val="404040"/>
                <w:sz w:val="16"/>
              </w:rPr>
              <w:t>103%</w:t>
            </w:r>
          </w:p>
        </w:tc>
      </w:tr>
      <w:tr>
        <w:trPr>
          <w:trHeight w:val="264" w:hRule="atLeast"/>
        </w:trPr>
        <w:tc>
          <w:tcPr>
            <w:tcW w:w="3562" w:type="dxa"/>
            <w:tcBorders>
              <w:left w:val="single" w:sz="4" w:space="0" w:color="DF2F1E"/>
            </w:tcBorders>
          </w:tcPr>
          <w:p>
            <w:pPr>
              <w:pStyle w:val="TableParagraph"/>
              <w:ind w:left="287"/>
              <w:rPr>
                <w:b/>
                <w:i/>
                <w:sz w:val="16"/>
              </w:rPr>
            </w:pPr>
            <w:r>
              <w:rPr>
                <w:b/>
                <w:i/>
                <w:color w:val="404040"/>
                <w:sz w:val="16"/>
              </w:rPr>
              <w:t>- 1-6 Years old</w:t>
            </w:r>
          </w:p>
        </w:tc>
        <w:tc>
          <w:tcPr>
            <w:tcW w:w="1381" w:type="dxa"/>
          </w:tcPr>
          <w:p>
            <w:pPr>
              <w:pStyle w:val="TableParagraph"/>
              <w:ind w:right="294"/>
              <w:jc w:val="right"/>
              <w:rPr>
                <w:sz w:val="16"/>
              </w:rPr>
            </w:pPr>
            <w:r>
              <w:rPr>
                <w:color w:val="404040"/>
                <w:sz w:val="16"/>
              </w:rPr>
              <w:t>48,000</w:t>
            </w:r>
          </w:p>
        </w:tc>
        <w:tc>
          <w:tcPr>
            <w:tcW w:w="1659" w:type="dxa"/>
          </w:tcPr>
          <w:p>
            <w:pPr>
              <w:pStyle w:val="TableParagraph"/>
              <w:ind w:left="668"/>
              <w:rPr>
                <w:sz w:val="16"/>
              </w:rPr>
            </w:pPr>
            <w:r>
              <w:rPr>
                <w:color w:val="404040"/>
                <w:sz w:val="16"/>
              </w:rPr>
              <w:t>32%</w:t>
            </w:r>
          </w:p>
        </w:tc>
        <w:tc>
          <w:tcPr>
            <w:tcW w:w="1575" w:type="dxa"/>
          </w:tcPr>
          <w:p>
            <w:pPr>
              <w:pStyle w:val="TableParagraph"/>
              <w:ind w:left="464" w:right="488"/>
              <w:jc w:val="center"/>
              <w:rPr>
                <w:sz w:val="16"/>
              </w:rPr>
            </w:pPr>
            <w:r>
              <w:rPr>
                <w:color w:val="404040"/>
                <w:sz w:val="16"/>
              </w:rPr>
              <w:t>214,000</w:t>
            </w:r>
          </w:p>
        </w:tc>
        <w:tc>
          <w:tcPr>
            <w:tcW w:w="1609" w:type="dxa"/>
            <w:tcBorders>
              <w:right w:val="single" w:sz="4" w:space="0" w:color="DF2F1E"/>
            </w:tcBorders>
          </w:tcPr>
          <w:p>
            <w:pPr>
              <w:pStyle w:val="TableParagraph"/>
              <w:ind w:left="578" w:right="572"/>
              <w:jc w:val="center"/>
              <w:rPr>
                <w:sz w:val="16"/>
              </w:rPr>
            </w:pPr>
            <w:r>
              <w:rPr>
                <w:color w:val="404040"/>
                <w:sz w:val="16"/>
              </w:rPr>
              <w:t>99%</w:t>
            </w:r>
          </w:p>
        </w:tc>
      </w:tr>
      <w:tr>
        <w:trPr>
          <w:trHeight w:val="264" w:hRule="atLeast"/>
        </w:trPr>
        <w:tc>
          <w:tcPr>
            <w:tcW w:w="3562" w:type="dxa"/>
            <w:tcBorders>
              <w:left w:val="single" w:sz="4" w:space="0" w:color="DF2F1E"/>
              <w:bottom w:val="single" w:sz="4" w:space="0" w:color="DF2F1E"/>
            </w:tcBorders>
          </w:tcPr>
          <w:p>
            <w:pPr>
              <w:pStyle w:val="TableParagraph"/>
              <w:ind w:left="287"/>
              <w:rPr>
                <w:b/>
                <w:i/>
                <w:sz w:val="16"/>
              </w:rPr>
            </w:pPr>
            <w:r>
              <w:rPr>
                <w:b/>
                <w:i/>
                <w:color w:val="404040"/>
                <w:sz w:val="16"/>
              </w:rPr>
              <w:t>- 7-18 Years old</w:t>
            </w:r>
          </w:p>
        </w:tc>
        <w:tc>
          <w:tcPr>
            <w:tcW w:w="1381" w:type="dxa"/>
            <w:tcBorders>
              <w:bottom w:val="single" w:sz="4" w:space="0" w:color="DF2F1E"/>
            </w:tcBorders>
          </w:tcPr>
          <w:p>
            <w:pPr>
              <w:pStyle w:val="TableParagraph"/>
              <w:ind w:right="294"/>
              <w:jc w:val="right"/>
              <w:rPr>
                <w:sz w:val="16"/>
              </w:rPr>
            </w:pPr>
            <w:r>
              <w:rPr>
                <w:color w:val="404040"/>
                <w:sz w:val="16"/>
              </w:rPr>
              <w:t>11,000</w:t>
            </w:r>
          </w:p>
        </w:tc>
        <w:tc>
          <w:tcPr>
            <w:tcW w:w="1659" w:type="dxa"/>
            <w:tcBorders>
              <w:bottom w:val="single" w:sz="4" w:space="0" w:color="DF2F1E"/>
            </w:tcBorders>
          </w:tcPr>
          <w:p>
            <w:pPr>
              <w:pStyle w:val="TableParagraph"/>
              <w:ind w:left="711"/>
              <w:rPr>
                <w:sz w:val="16"/>
              </w:rPr>
            </w:pPr>
            <w:r>
              <w:rPr>
                <w:color w:val="404040"/>
                <w:sz w:val="16"/>
              </w:rPr>
              <w:t>7%</w:t>
            </w:r>
          </w:p>
        </w:tc>
        <w:tc>
          <w:tcPr>
            <w:tcW w:w="1575" w:type="dxa"/>
            <w:tcBorders>
              <w:bottom w:val="single" w:sz="4" w:space="0" w:color="DF2F1E"/>
            </w:tcBorders>
          </w:tcPr>
          <w:p>
            <w:pPr>
              <w:pStyle w:val="TableParagraph"/>
              <w:ind w:left="464" w:right="488"/>
              <w:jc w:val="center"/>
              <w:rPr>
                <w:sz w:val="16"/>
              </w:rPr>
            </w:pPr>
            <w:r>
              <w:rPr>
                <w:color w:val="404040"/>
                <w:sz w:val="16"/>
              </w:rPr>
              <w:t>222,000</w:t>
            </w:r>
          </w:p>
        </w:tc>
        <w:tc>
          <w:tcPr>
            <w:tcW w:w="1609" w:type="dxa"/>
            <w:tcBorders>
              <w:bottom w:val="single" w:sz="4" w:space="0" w:color="DF2F1E"/>
              <w:right w:val="single" w:sz="4" w:space="0" w:color="DF2F1E"/>
            </w:tcBorders>
          </w:tcPr>
          <w:p>
            <w:pPr>
              <w:pStyle w:val="TableParagraph"/>
              <w:ind w:left="578" w:right="574"/>
              <w:jc w:val="center"/>
              <w:rPr>
                <w:sz w:val="16"/>
              </w:rPr>
            </w:pPr>
            <w:r>
              <w:rPr>
                <w:color w:val="404040"/>
                <w:sz w:val="16"/>
              </w:rPr>
              <w:t>103%</w:t>
            </w:r>
          </w:p>
        </w:tc>
      </w:tr>
      <w:tr>
        <w:trPr>
          <w:trHeight w:val="262" w:hRule="atLeast"/>
        </w:trPr>
        <w:tc>
          <w:tcPr>
            <w:tcW w:w="3562" w:type="dxa"/>
            <w:tcBorders>
              <w:top w:val="single" w:sz="4" w:space="0" w:color="DF2F1E"/>
              <w:left w:val="single" w:sz="4" w:space="0" w:color="DF2F1E"/>
            </w:tcBorders>
          </w:tcPr>
          <w:p>
            <w:pPr>
              <w:pStyle w:val="TableParagraph"/>
              <w:spacing w:before="34"/>
              <w:ind w:left="107"/>
              <w:rPr>
                <w:b/>
                <w:sz w:val="16"/>
              </w:rPr>
            </w:pPr>
            <w:r>
              <w:rPr>
                <w:b/>
                <w:color w:val="404040"/>
                <w:sz w:val="16"/>
              </w:rPr>
              <w:t>Marital status</w:t>
            </w:r>
          </w:p>
        </w:tc>
        <w:tc>
          <w:tcPr>
            <w:tcW w:w="1381" w:type="dxa"/>
            <w:tcBorders>
              <w:top w:val="single" w:sz="4" w:space="0" w:color="DF2F1E"/>
            </w:tcBorders>
          </w:tcPr>
          <w:p>
            <w:pPr>
              <w:pStyle w:val="TableParagraph"/>
              <w:spacing w:before="0"/>
              <w:rPr>
                <w:rFonts w:ascii="Times New Roman"/>
                <w:sz w:val="18"/>
              </w:rPr>
            </w:pPr>
          </w:p>
        </w:tc>
        <w:tc>
          <w:tcPr>
            <w:tcW w:w="1659" w:type="dxa"/>
            <w:tcBorders>
              <w:top w:val="single" w:sz="4" w:space="0" w:color="DF2F1E"/>
            </w:tcBorders>
          </w:tcPr>
          <w:p>
            <w:pPr>
              <w:pStyle w:val="TableParagraph"/>
              <w:spacing w:before="0"/>
              <w:rPr>
                <w:rFonts w:ascii="Times New Roman"/>
                <w:sz w:val="18"/>
              </w:rPr>
            </w:pPr>
          </w:p>
        </w:tc>
        <w:tc>
          <w:tcPr>
            <w:tcW w:w="1575" w:type="dxa"/>
            <w:tcBorders>
              <w:top w:val="single" w:sz="4" w:space="0" w:color="DF2F1E"/>
            </w:tcBorders>
          </w:tcPr>
          <w:p>
            <w:pPr>
              <w:pStyle w:val="TableParagraph"/>
              <w:spacing w:before="0"/>
              <w:rPr>
                <w:rFonts w:ascii="Times New Roman"/>
                <w:sz w:val="18"/>
              </w:rPr>
            </w:pPr>
          </w:p>
        </w:tc>
        <w:tc>
          <w:tcPr>
            <w:tcW w:w="1609" w:type="dxa"/>
            <w:tcBorders>
              <w:top w:val="single" w:sz="4" w:space="0" w:color="DF2F1E"/>
              <w:right w:val="single" w:sz="4" w:space="0" w:color="DF2F1E"/>
            </w:tcBorders>
          </w:tcPr>
          <w:p>
            <w:pPr>
              <w:pStyle w:val="TableParagraph"/>
              <w:spacing w:before="0"/>
              <w:rPr>
                <w:rFonts w:ascii="Times New Roman"/>
                <w:sz w:val="18"/>
              </w:rPr>
            </w:pPr>
          </w:p>
        </w:tc>
      </w:tr>
      <w:tr>
        <w:trPr>
          <w:trHeight w:val="265" w:hRule="atLeast"/>
        </w:trPr>
        <w:tc>
          <w:tcPr>
            <w:tcW w:w="3562" w:type="dxa"/>
            <w:tcBorders>
              <w:left w:val="single" w:sz="4" w:space="0" w:color="DF2F1E"/>
            </w:tcBorders>
          </w:tcPr>
          <w:p>
            <w:pPr>
              <w:pStyle w:val="TableParagraph"/>
              <w:spacing w:before="39"/>
              <w:ind w:left="287"/>
              <w:rPr>
                <w:b/>
                <w:i/>
                <w:sz w:val="16"/>
              </w:rPr>
            </w:pPr>
            <w:r>
              <w:rPr>
                <w:b/>
                <w:i/>
                <w:color w:val="404040"/>
                <w:sz w:val="16"/>
              </w:rPr>
              <w:t>- Single</w:t>
            </w:r>
          </w:p>
        </w:tc>
        <w:tc>
          <w:tcPr>
            <w:tcW w:w="1381" w:type="dxa"/>
          </w:tcPr>
          <w:p>
            <w:pPr>
              <w:pStyle w:val="TableParagraph"/>
              <w:spacing w:before="39"/>
              <w:ind w:right="340"/>
              <w:jc w:val="right"/>
              <w:rPr>
                <w:sz w:val="16"/>
              </w:rPr>
            </w:pPr>
            <w:r>
              <w:rPr>
                <w:color w:val="404040"/>
                <w:sz w:val="16"/>
              </w:rPr>
              <w:t>9,000</w:t>
            </w:r>
          </w:p>
        </w:tc>
        <w:tc>
          <w:tcPr>
            <w:tcW w:w="1659" w:type="dxa"/>
          </w:tcPr>
          <w:p>
            <w:pPr>
              <w:pStyle w:val="TableParagraph"/>
              <w:spacing w:before="39"/>
              <w:ind w:left="711"/>
              <w:rPr>
                <w:sz w:val="16"/>
              </w:rPr>
            </w:pPr>
            <w:r>
              <w:rPr>
                <w:color w:val="404040"/>
                <w:sz w:val="16"/>
              </w:rPr>
              <w:t>6%</w:t>
            </w:r>
          </w:p>
        </w:tc>
        <w:tc>
          <w:tcPr>
            <w:tcW w:w="1575" w:type="dxa"/>
          </w:tcPr>
          <w:p>
            <w:pPr>
              <w:pStyle w:val="TableParagraph"/>
              <w:spacing w:before="39"/>
              <w:ind w:left="464" w:right="488"/>
              <w:jc w:val="center"/>
              <w:rPr>
                <w:sz w:val="16"/>
              </w:rPr>
            </w:pPr>
            <w:r>
              <w:rPr>
                <w:color w:val="404040"/>
                <w:sz w:val="16"/>
              </w:rPr>
              <w:t>297,000</w:t>
            </w:r>
          </w:p>
        </w:tc>
        <w:tc>
          <w:tcPr>
            <w:tcW w:w="1609" w:type="dxa"/>
            <w:tcBorders>
              <w:right w:val="single" w:sz="4" w:space="0" w:color="DF2F1E"/>
            </w:tcBorders>
          </w:tcPr>
          <w:p>
            <w:pPr>
              <w:pStyle w:val="TableParagraph"/>
              <w:spacing w:before="39"/>
              <w:ind w:left="578" w:right="574"/>
              <w:jc w:val="center"/>
              <w:rPr>
                <w:sz w:val="16"/>
              </w:rPr>
            </w:pPr>
            <w:r>
              <w:rPr>
                <w:color w:val="404040"/>
                <w:sz w:val="16"/>
              </w:rPr>
              <w:t>138%</w:t>
            </w:r>
          </w:p>
        </w:tc>
      </w:tr>
      <w:tr>
        <w:trPr>
          <w:trHeight w:val="264" w:hRule="atLeast"/>
        </w:trPr>
        <w:tc>
          <w:tcPr>
            <w:tcW w:w="3562" w:type="dxa"/>
            <w:tcBorders>
              <w:left w:val="single" w:sz="4" w:space="0" w:color="DF2F1E"/>
              <w:bottom w:val="single" w:sz="4" w:space="0" w:color="DF2F1E"/>
            </w:tcBorders>
          </w:tcPr>
          <w:p>
            <w:pPr>
              <w:pStyle w:val="TableParagraph"/>
              <w:ind w:left="287"/>
              <w:rPr>
                <w:b/>
                <w:i/>
                <w:sz w:val="16"/>
              </w:rPr>
            </w:pPr>
            <w:r>
              <w:rPr>
                <w:b/>
                <w:i/>
                <w:color w:val="404040"/>
                <w:sz w:val="16"/>
              </w:rPr>
              <w:t>- Partnered</w:t>
            </w:r>
          </w:p>
        </w:tc>
        <w:tc>
          <w:tcPr>
            <w:tcW w:w="1381" w:type="dxa"/>
            <w:tcBorders>
              <w:bottom w:val="single" w:sz="4" w:space="0" w:color="DF2F1E"/>
            </w:tcBorders>
          </w:tcPr>
          <w:p>
            <w:pPr>
              <w:pStyle w:val="TableParagraph"/>
              <w:ind w:right="251"/>
              <w:jc w:val="right"/>
              <w:rPr>
                <w:sz w:val="16"/>
              </w:rPr>
            </w:pPr>
            <w:r>
              <w:rPr>
                <w:color w:val="404040"/>
                <w:sz w:val="16"/>
              </w:rPr>
              <w:t>141,000</w:t>
            </w:r>
          </w:p>
        </w:tc>
        <w:tc>
          <w:tcPr>
            <w:tcW w:w="1659" w:type="dxa"/>
            <w:tcBorders>
              <w:bottom w:val="single" w:sz="4" w:space="0" w:color="DF2F1E"/>
            </w:tcBorders>
          </w:tcPr>
          <w:p>
            <w:pPr>
              <w:pStyle w:val="TableParagraph"/>
              <w:ind w:left="668"/>
              <w:rPr>
                <w:sz w:val="16"/>
              </w:rPr>
            </w:pPr>
            <w:r>
              <w:rPr>
                <w:color w:val="404040"/>
                <w:sz w:val="16"/>
              </w:rPr>
              <w:t>94%</w:t>
            </w:r>
          </w:p>
        </w:tc>
        <w:tc>
          <w:tcPr>
            <w:tcW w:w="1575" w:type="dxa"/>
            <w:tcBorders>
              <w:bottom w:val="single" w:sz="4" w:space="0" w:color="DF2F1E"/>
            </w:tcBorders>
          </w:tcPr>
          <w:p>
            <w:pPr>
              <w:pStyle w:val="TableParagraph"/>
              <w:ind w:left="464" w:right="488"/>
              <w:jc w:val="center"/>
              <w:rPr>
                <w:sz w:val="16"/>
              </w:rPr>
            </w:pPr>
            <w:r>
              <w:rPr>
                <w:color w:val="404040"/>
                <w:sz w:val="16"/>
              </w:rPr>
              <w:t>210,000</w:t>
            </w:r>
          </w:p>
        </w:tc>
        <w:tc>
          <w:tcPr>
            <w:tcW w:w="1609" w:type="dxa"/>
            <w:tcBorders>
              <w:bottom w:val="single" w:sz="4" w:space="0" w:color="DF2F1E"/>
              <w:right w:val="single" w:sz="4" w:space="0" w:color="DF2F1E"/>
            </w:tcBorders>
          </w:tcPr>
          <w:p>
            <w:pPr>
              <w:pStyle w:val="TableParagraph"/>
              <w:ind w:left="578" w:right="572"/>
              <w:jc w:val="center"/>
              <w:rPr>
                <w:sz w:val="16"/>
              </w:rPr>
            </w:pPr>
            <w:r>
              <w:rPr>
                <w:color w:val="404040"/>
                <w:sz w:val="16"/>
              </w:rPr>
              <w:t>98%</w:t>
            </w:r>
          </w:p>
        </w:tc>
      </w:tr>
      <w:tr>
        <w:trPr>
          <w:trHeight w:val="262" w:hRule="atLeast"/>
        </w:trPr>
        <w:tc>
          <w:tcPr>
            <w:tcW w:w="3562" w:type="dxa"/>
            <w:tcBorders>
              <w:top w:val="single" w:sz="4" w:space="0" w:color="DF2F1E"/>
              <w:left w:val="single" w:sz="4" w:space="0" w:color="DF2F1E"/>
            </w:tcBorders>
          </w:tcPr>
          <w:p>
            <w:pPr>
              <w:pStyle w:val="TableParagraph"/>
              <w:spacing w:before="34"/>
              <w:ind w:left="107"/>
              <w:rPr>
                <w:b/>
                <w:sz w:val="16"/>
              </w:rPr>
            </w:pPr>
            <w:r>
              <w:rPr>
                <w:b/>
                <w:color w:val="404040"/>
                <w:sz w:val="16"/>
              </w:rPr>
              <w:t>Class before entering '9 Non IS Other'</w:t>
            </w:r>
          </w:p>
        </w:tc>
        <w:tc>
          <w:tcPr>
            <w:tcW w:w="1381" w:type="dxa"/>
            <w:tcBorders>
              <w:top w:val="single" w:sz="4" w:space="0" w:color="DF2F1E"/>
            </w:tcBorders>
          </w:tcPr>
          <w:p>
            <w:pPr>
              <w:pStyle w:val="TableParagraph"/>
              <w:spacing w:before="0"/>
              <w:rPr>
                <w:rFonts w:ascii="Times New Roman"/>
                <w:sz w:val="18"/>
              </w:rPr>
            </w:pPr>
          </w:p>
        </w:tc>
        <w:tc>
          <w:tcPr>
            <w:tcW w:w="1659" w:type="dxa"/>
            <w:tcBorders>
              <w:top w:val="single" w:sz="4" w:space="0" w:color="DF2F1E"/>
            </w:tcBorders>
          </w:tcPr>
          <w:p>
            <w:pPr>
              <w:pStyle w:val="TableParagraph"/>
              <w:spacing w:before="0"/>
              <w:rPr>
                <w:rFonts w:ascii="Times New Roman"/>
                <w:sz w:val="18"/>
              </w:rPr>
            </w:pPr>
          </w:p>
        </w:tc>
        <w:tc>
          <w:tcPr>
            <w:tcW w:w="1575" w:type="dxa"/>
            <w:tcBorders>
              <w:top w:val="single" w:sz="4" w:space="0" w:color="DF2F1E"/>
            </w:tcBorders>
          </w:tcPr>
          <w:p>
            <w:pPr>
              <w:pStyle w:val="TableParagraph"/>
              <w:spacing w:before="0"/>
              <w:rPr>
                <w:rFonts w:ascii="Times New Roman"/>
                <w:sz w:val="18"/>
              </w:rPr>
            </w:pPr>
          </w:p>
        </w:tc>
        <w:tc>
          <w:tcPr>
            <w:tcW w:w="1609" w:type="dxa"/>
            <w:tcBorders>
              <w:top w:val="single" w:sz="4" w:space="0" w:color="DF2F1E"/>
              <w:right w:val="single" w:sz="4" w:space="0" w:color="DF2F1E"/>
            </w:tcBorders>
          </w:tcPr>
          <w:p>
            <w:pPr>
              <w:pStyle w:val="TableParagraph"/>
              <w:spacing w:before="0"/>
              <w:rPr>
                <w:rFonts w:ascii="Times New Roman"/>
                <w:sz w:val="18"/>
              </w:rPr>
            </w:pPr>
          </w:p>
        </w:tc>
      </w:tr>
      <w:tr>
        <w:trPr>
          <w:trHeight w:val="265" w:hRule="atLeast"/>
        </w:trPr>
        <w:tc>
          <w:tcPr>
            <w:tcW w:w="3562" w:type="dxa"/>
            <w:tcBorders>
              <w:left w:val="single" w:sz="4" w:space="0" w:color="DF2F1E"/>
            </w:tcBorders>
          </w:tcPr>
          <w:p>
            <w:pPr>
              <w:pStyle w:val="TableParagraph"/>
              <w:spacing w:before="39"/>
              <w:ind w:left="287"/>
              <w:rPr>
                <w:b/>
                <w:i/>
                <w:sz w:val="16"/>
              </w:rPr>
            </w:pPr>
            <w:r>
              <w:rPr>
                <w:b/>
                <w:i/>
                <w:color w:val="404040"/>
                <w:sz w:val="16"/>
              </w:rPr>
              <w:t>- Income support</w:t>
            </w:r>
          </w:p>
        </w:tc>
        <w:tc>
          <w:tcPr>
            <w:tcW w:w="1381" w:type="dxa"/>
          </w:tcPr>
          <w:p>
            <w:pPr>
              <w:pStyle w:val="TableParagraph"/>
              <w:spacing w:before="39"/>
              <w:ind w:right="340"/>
              <w:jc w:val="right"/>
              <w:rPr>
                <w:sz w:val="16"/>
              </w:rPr>
            </w:pPr>
            <w:r>
              <w:rPr>
                <w:color w:val="404040"/>
                <w:sz w:val="16"/>
              </w:rPr>
              <w:t>4,000</w:t>
            </w:r>
          </w:p>
        </w:tc>
        <w:tc>
          <w:tcPr>
            <w:tcW w:w="1659" w:type="dxa"/>
          </w:tcPr>
          <w:p>
            <w:pPr>
              <w:pStyle w:val="TableParagraph"/>
              <w:spacing w:before="39"/>
              <w:ind w:left="711"/>
              <w:rPr>
                <w:sz w:val="16"/>
              </w:rPr>
            </w:pPr>
            <w:r>
              <w:rPr>
                <w:color w:val="404040"/>
                <w:sz w:val="16"/>
              </w:rPr>
              <w:t>2%</w:t>
            </w:r>
          </w:p>
        </w:tc>
        <w:tc>
          <w:tcPr>
            <w:tcW w:w="1575" w:type="dxa"/>
          </w:tcPr>
          <w:p>
            <w:pPr>
              <w:pStyle w:val="TableParagraph"/>
              <w:spacing w:before="39"/>
              <w:ind w:left="464" w:right="488"/>
              <w:jc w:val="center"/>
              <w:rPr>
                <w:sz w:val="16"/>
              </w:rPr>
            </w:pPr>
            <w:r>
              <w:rPr>
                <w:color w:val="404040"/>
                <w:sz w:val="16"/>
              </w:rPr>
              <w:t>274,000</w:t>
            </w:r>
          </w:p>
        </w:tc>
        <w:tc>
          <w:tcPr>
            <w:tcW w:w="1609" w:type="dxa"/>
            <w:tcBorders>
              <w:right w:val="single" w:sz="4" w:space="0" w:color="DF2F1E"/>
            </w:tcBorders>
          </w:tcPr>
          <w:p>
            <w:pPr>
              <w:pStyle w:val="TableParagraph"/>
              <w:spacing w:before="39"/>
              <w:ind w:left="578" w:right="574"/>
              <w:jc w:val="center"/>
              <w:rPr>
                <w:sz w:val="16"/>
              </w:rPr>
            </w:pPr>
            <w:r>
              <w:rPr>
                <w:color w:val="404040"/>
                <w:sz w:val="16"/>
              </w:rPr>
              <w:t>127%</w:t>
            </w:r>
          </w:p>
        </w:tc>
      </w:tr>
      <w:tr>
        <w:trPr>
          <w:trHeight w:val="263" w:hRule="atLeast"/>
        </w:trPr>
        <w:tc>
          <w:tcPr>
            <w:tcW w:w="3562" w:type="dxa"/>
            <w:tcBorders>
              <w:left w:val="single" w:sz="4" w:space="0" w:color="DF2F1E"/>
            </w:tcBorders>
          </w:tcPr>
          <w:p>
            <w:pPr>
              <w:pStyle w:val="TableParagraph"/>
              <w:ind w:left="287"/>
              <w:rPr>
                <w:b/>
                <w:i/>
                <w:sz w:val="16"/>
              </w:rPr>
            </w:pPr>
            <w:r>
              <w:rPr>
                <w:b/>
                <w:i/>
                <w:color w:val="404040"/>
                <w:sz w:val="16"/>
              </w:rPr>
              <w:t>- Non income support</w:t>
            </w:r>
          </w:p>
        </w:tc>
        <w:tc>
          <w:tcPr>
            <w:tcW w:w="1381" w:type="dxa"/>
          </w:tcPr>
          <w:p>
            <w:pPr>
              <w:pStyle w:val="TableParagraph"/>
              <w:ind w:right="294"/>
              <w:jc w:val="right"/>
              <w:rPr>
                <w:sz w:val="16"/>
              </w:rPr>
            </w:pPr>
            <w:r>
              <w:rPr>
                <w:color w:val="404040"/>
                <w:sz w:val="16"/>
              </w:rPr>
              <w:t>25,000</w:t>
            </w:r>
          </w:p>
        </w:tc>
        <w:tc>
          <w:tcPr>
            <w:tcW w:w="1659" w:type="dxa"/>
          </w:tcPr>
          <w:p>
            <w:pPr>
              <w:pStyle w:val="TableParagraph"/>
              <w:ind w:left="668"/>
              <w:rPr>
                <w:sz w:val="16"/>
              </w:rPr>
            </w:pPr>
            <w:r>
              <w:rPr>
                <w:color w:val="404040"/>
                <w:sz w:val="16"/>
              </w:rPr>
              <w:t>17%</w:t>
            </w:r>
          </w:p>
        </w:tc>
        <w:tc>
          <w:tcPr>
            <w:tcW w:w="1575" w:type="dxa"/>
          </w:tcPr>
          <w:p>
            <w:pPr>
              <w:pStyle w:val="TableParagraph"/>
              <w:ind w:left="464" w:right="488"/>
              <w:jc w:val="center"/>
              <w:rPr>
                <w:sz w:val="16"/>
              </w:rPr>
            </w:pPr>
            <w:r>
              <w:rPr>
                <w:color w:val="404040"/>
                <w:sz w:val="16"/>
              </w:rPr>
              <w:t>215,000</w:t>
            </w:r>
          </w:p>
        </w:tc>
        <w:tc>
          <w:tcPr>
            <w:tcW w:w="1609" w:type="dxa"/>
            <w:tcBorders>
              <w:right w:val="single" w:sz="4" w:space="0" w:color="DF2F1E"/>
            </w:tcBorders>
          </w:tcPr>
          <w:p>
            <w:pPr>
              <w:pStyle w:val="TableParagraph"/>
              <w:ind w:left="578" w:right="574"/>
              <w:jc w:val="center"/>
              <w:rPr>
                <w:sz w:val="16"/>
              </w:rPr>
            </w:pPr>
            <w:r>
              <w:rPr>
                <w:color w:val="404040"/>
                <w:sz w:val="16"/>
              </w:rPr>
              <w:t>100%</w:t>
            </w:r>
          </w:p>
        </w:tc>
      </w:tr>
      <w:tr>
        <w:trPr>
          <w:trHeight w:val="264" w:hRule="atLeast"/>
        </w:trPr>
        <w:tc>
          <w:tcPr>
            <w:tcW w:w="3562" w:type="dxa"/>
            <w:tcBorders>
              <w:left w:val="single" w:sz="4" w:space="0" w:color="DF2F1E"/>
              <w:bottom w:val="single" w:sz="4" w:space="0" w:color="DF2F1E"/>
            </w:tcBorders>
          </w:tcPr>
          <w:p>
            <w:pPr>
              <w:pStyle w:val="TableParagraph"/>
              <w:ind w:left="287"/>
              <w:rPr>
                <w:b/>
                <w:i/>
                <w:sz w:val="16"/>
              </w:rPr>
            </w:pPr>
            <w:r>
              <w:rPr>
                <w:b/>
                <w:i/>
                <w:color w:val="404040"/>
                <w:sz w:val="16"/>
              </w:rPr>
              <w:t>- Previous client / non client</w:t>
            </w:r>
          </w:p>
        </w:tc>
        <w:tc>
          <w:tcPr>
            <w:tcW w:w="1381" w:type="dxa"/>
            <w:tcBorders>
              <w:bottom w:val="single" w:sz="4" w:space="0" w:color="DF2F1E"/>
            </w:tcBorders>
          </w:tcPr>
          <w:p>
            <w:pPr>
              <w:pStyle w:val="TableParagraph"/>
              <w:ind w:right="251"/>
              <w:jc w:val="right"/>
              <w:rPr>
                <w:sz w:val="16"/>
              </w:rPr>
            </w:pPr>
            <w:r>
              <w:rPr>
                <w:color w:val="404040"/>
                <w:sz w:val="16"/>
              </w:rPr>
              <w:t>121,000</w:t>
            </w:r>
          </w:p>
        </w:tc>
        <w:tc>
          <w:tcPr>
            <w:tcW w:w="1659" w:type="dxa"/>
            <w:tcBorders>
              <w:bottom w:val="single" w:sz="4" w:space="0" w:color="DF2F1E"/>
            </w:tcBorders>
          </w:tcPr>
          <w:p>
            <w:pPr>
              <w:pStyle w:val="TableParagraph"/>
              <w:ind w:left="668"/>
              <w:rPr>
                <w:sz w:val="16"/>
              </w:rPr>
            </w:pPr>
            <w:r>
              <w:rPr>
                <w:color w:val="404040"/>
                <w:sz w:val="16"/>
              </w:rPr>
              <w:t>81%</w:t>
            </w:r>
          </w:p>
        </w:tc>
        <w:tc>
          <w:tcPr>
            <w:tcW w:w="1575" w:type="dxa"/>
            <w:tcBorders>
              <w:bottom w:val="single" w:sz="4" w:space="0" w:color="DF2F1E"/>
            </w:tcBorders>
          </w:tcPr>
          <w:p>
            <w:pPr>
              <w:pStyle w:val="TableParagraph"/>
              <w:ind w:left="464" w:right="488"/>
              <w:jc w:val="center"/>
              <w:rPr>
                <w:sz w:val="16"/>
              </w:rPr>
            </w:pPr>
            <w:r>
              <w:rPr>
                <w:color w:val="404040"/>
                <w:sz w:val="16"/>
              </w:rPr>
              <w:t>214,000</w:t>
            </w:r>
          </w:p>
        </w:tc>
        <w:tc>
          <w:tcPr>
            <w:tcW w:w="1609" w:type="dxa"/>
            <w:tcBorders>
              <w:bottom w:val="single" w:sz="4" w:space="0" w:color="DF2F1E"/>
              <w:right w:val="single" w:sz="4" w:space="0" w:color="DF2F1E"/>
            </w:tcBorders>
          </w:tcPr>
          <w:p>
            <w:pPr>
              <w:pStyle w:val="TableParagraph"/>
              <w:ind w:left="578" w:right="572"/>
              <w:jc w:val="center"/>
              <w:rPr>
                <w:sz w:val="16"/>
              </w:rPr>
            </w:pPr>
            <w:r>
              <w:rPr>
                <w:color w:val="404040"/>
                <w:sz w:val="16"/>
              </w:rPr>
              <w:t>99%</w:t>
            </w:r>
          </w:p>
        </w:tc>
      </w:tr>
      <w:tr>
        <w:trPr>
          <w:trHeight w:val="264" w:hRule="atLeast"/>
        </w:trPr>
        <w:tc>
          <w:tcPr>
            <w:tcW w:w="3562" w:type="dxa"/>
            <w:tcBorders>
              <w:top w:val="single" w:sz="4" w:space="0" w:color="DF2F1E"/>
              <w:left w:val="single" w:sz="4" w:space="0" w:color="DF2F1E"/>
            </w:tcBorders>
          </w:tcPr>
          <w:p>
            <w:pPr>
              <w:pStyle w:val="TableParagraph"/>
              <w:ind w:left="107"/>
              <w:rPr>
                <w:b/>
                <w:sz w:val="16"/>
              </w:rPr>
            </w:pPr>
            <w:r>
              <w:rPr>
                <w:b/>
                <w:color w:val="404040"/>
                <w:sz w:val="16"/>
              </w:rPr>
              <w:t>Geography – socio-economic area grouping</w:t>
            </w:r>
          </w:p>
        </w:tc>
        <w:tc>
          <w:tcPr>
            <w:tcW w:w="1381" w:type="dxa"/>
            <w:tcBorders>
              <w:top w:val="single" w:sz="4" w:space="0" w:color="DF2F1E"/>
            </w:tcBorders>
          </w:tcPr>
          <w:p>
            <w:pPr>
              <w:pStyle w:val="TableParagraph"/>
              <w:spacing w:before="0"/>
              <w:rPr>
                <w:rFonts w:ascii="Times New Roman"/>
                <w:sz w:val="18"/>
              </w:rPr>
            </w:pPr>
          </w:p>
        </w:tc>
        <w:tc>
          <w:tcPr>
            <w:tcW w:w="1659" w:type="dxa"/>
            <w:tcBorders>
              <w:top w:val="single" w:sz="4" w:space="0" w:color="DF2F1E"/>
            </w:tcBorders>
          </w:tcPr>
          <w:p>
            <w:pPr>
              <w:pStyle w:val="TableParagraph"/>
              <w:spacing w:before="0"/>
              <w:rPr>
                <w:rFonts w:ascii="Times New Roman"/>
                <w:sz w:val="18"/>
              </w:rPr>
            </w:pPr>
          </w:p>
        </w:tc>
        <w:tc>
          <w:tcPr>
            <w:tcW w:w="1575" w:type="dxa"/>
            <w:tcBorders>
              <w:top w:val="single" w:sz="4" w:space="0" w:color="DF2F1E"/>
            </w:tcBorders>
          </w:tcPr>
          <w:p>
            <w:pPr>
              <w:pStyle w:val="TableParagraph"/>
              <w:spacing w:before="0"/>
              <w:rPr>
                <w:rFonts w:ascii="Times New Roman"/>
                <w:sz w:val="18"/>
              </w:rPr>
            </w:pPr>
          </w:p>
        </w:tc>
        <w:tc>
          <w:tcPr>
            <w:tcW w:w="1609" w:type="dxa"/>
            <w:tcBorders>
              <w:top w:val="single" w:sz="4" w:space="0" w:color="DF2F1E"/>
              <w:right w:val="single" w:sz="4" w:space="0" w:color="DF2F1E"/>
            </w:tcBorders>
          </w:tcPr>
          <w:p>
            <w:pPr>
              <w:pStyle w:val="TableParagraph"/>
              <w:spacing w:before="0"/>
              <w:rPr>
                <w:rFonts w:ascii="Times New Roman"/>
                <w:sz w:val="18"/>
              </w:rPr>
            </w:pPr>
          </w:p>
        </w:tc>
      </w:tr>
      <w:tr>
        <w:trPr>
          <w:trHeight w:val="265" w:hRule="atLeast"/>
        </w:trPr>
        <w:tc>
          <w:tcPr>
            <w:tcW w:w="3562" w:type="dxa"/>
            <w:tcBorders>
              <w:left w:val="single" w:sz="4" w:space="0" w:color="DF2F1E"/>
            </w:tcBorders>
          </w:tcPr>
          <w:p>
            <w:pPr>
              <w:pStyle w:val="TableParagraph"/>
              <w:spacing w:before="39"/>
              <w:ind w:left="287"/>
              <w:rPr>
                <w:b/>
                <w:i/>
                <w:sz w:val="16"/>
              </w:rPr>
            </w:pPr>
            <w:r>
              <w:rPr>
                <w:b/>
                <w:i/>
                <w:color w:val="404040"/>
                <w:sz w:val="16"/>
              </w:rPr>
              <w:t>- Lowest 20% (most disadvantaged)</w:t>
            </w:r>
          </w:p>
        </w:tc>
        <w:tc>
          <w:tcPr>
            <w:tcW w:w="1381" w:type="dxa"/>
          </w:tcPr>
          <w:p>
            <w:pPr>
              <w:pStyle w:val="TableParagraph"/>
              <w:spacing w:before="39"/>
              <w:ind w:right="294"/>
              <w:jc w:val="right"/>
              <w:rPr>
                <w:sz w:val="16"/>
              </w:rPr>
            </w:pPr>
            <w:r>
              <w:rPr>
                <w:color w:val="404040"/>
                <w:sz w:val="16"/>
              </w:rPr>
              <w:t>20,000</w:t>
            </w:r>
          </w:p>
        </w:tc>
        <w:tc>
          <w:tcPr>
            <w:tcW w:w="1659" w:type="dxa"/>
          </w:tcPr>
          <w:p>
            <w:pPr>
              <w:pStyle w:val="TableParagraph"/>
              <w:spacing w:before="39"/>
              <w:ind w:left="668"/>
              <w:rPr>
                <w:sz w:val="16"/>
              </w:rPr>
            </w:pPr>
            <w:r>
              <w:rPr>
                <w:color w:val="404040"/>
                <w:sz w:val="16"/>
              </w:rPr>
              <w:t>14%</w:t>
            </w:r>
          </w:p>
        </w:tc>
        <w:tc>
          <w:tcPr>
            <w:tcW w:w="1575" w:type="dxa"/>
          </w:tcPr>
          <w:p>
            <w:pPr>
              <w:pStyle w:val="TableParagraph"/>
              <w:spacing w:before="39"/>
              <w:ind w:left="464" w:right="488"/>
              <w:jc w:val="center"/>
              <w:rPr>
                <w:sz w:val="16"/>
              </w:rPr>
            </w:pPr>
            <w:r>
              <w:rPr>
                <w:color w:val="404040"/>
                <w:sz w:val="16"/>
              </w:rPr>
              <w:t>254,000</w:t>
            </w:r>
          </w:p>
        </w:tc>
        <w:tc>
          <w:tcPr>
            <w:tcW w:w="1609" w:type="dxa"/>
            <w:tcBorders>
              <w:right w:val="single" w:sz="4" w:space="0" w:color="DF2F1E"/>
            </w:tcBorders>
          </w:tcPr>
          <w:p>
            <w:pPr>
              <w:pStyle w:val="TableParagraph"/>
              <w:spacing w:before="39"/>
              <w:ind w:left="578" w:right="574"/>
              <w:jc w:val="center"/>
              <w:rPr>
                <w:sz w:val="16"/>
              </w:rPr>
            </w:pPr>
            <w:r>
              <w:rPr>
                <w:color w:val="404040"/>
                <w:sz w:val="16"/>
              </w:rPr>
              <w:t>118%</w:t>
            </w:r>
          </w:p>
        </w:tc>
      </w:tr>
      <w:tr>
        <w:trPr>
          <w:trHeight w:val="264" w:hRule="atLeast"/>
        </w:trPr>
        <w:tc>
          <w:tcPr>
            <w:tcW w:w="3562" w:type="dxa"/>
            <w:tcBorders>
              <w:left w:val="single" w:sz="4" w:space="0" w:color="DF2F1E"/>
            </w:tcBorders>
          </w:tcPr>
          <w:p>
            <w:pPr>
              <w:pStyle w:val="TableParagraph"/>
              <w:ind w:left="287"/>
              <w:rPr>
                <w:b/>
                <w:i/>
                <w:sz w:val="16"/>
              </w:rPr>
            </w:pPr>
            <w:r>
              <w:rPr>
                <w:b/>
                <w:i/>
                <w:color w:val="404040"/>
                <w:sz w:val="16"/>
              </w:rPr>
              <w:t>- 20% to 40%</w:t>
            </w:r>
          </w:p>
        </w:tc>
        <w:tc>
          <w:tcPr>
            <w:tcW w:w="1381" w:type="dxa"/>
          </w:tcPr>
          <w:p>
            <w:pPr>
              <w:pStyle w:val="TableParagraph"/>
              <w:ind w:right="294"/>
              <w:jc w:val="right"/>
              <w:rPr>
                <w:sz w:val="16"/>
              </w:rPr>
            </w:pPr>
            <w:r>
              <w:rPr>
                <w:color w:val="404040"/>
                <w:sz w:val="16"/>
              </w:rPr>
              <w:t>27,000</w:t>
            </w:r>
          </w:p>
        </w:tc>
        <w:tc>
          <w:tcPr>
            <w:tcW w:w="1659" w:type="dxa"/>
          </w:tcPr>
          <w:p>
            <w:pPr>
              <w:pStyle w:val="TableParagraph"/>
              <w:ind w:left="668"/>
              <w:rPr>
                <w:sz w:val="16"/>
              </w:rPr>
            </w:pPr>
            <w:r>
              <w:rPr>
                <w:color w:val="404040"/>
                <w:sz w:val="16"/>
              </w:rPr>
              <w:t>18%</w:t>
            </w:r>
          </w:p>
        </w:tc>
        <w:tc>
          <w:tcPr>
            <w:tcW w:w="1575" w:type="dxa"/>
          </w:tcPr>
          <w:p>
            <w:pPr>
              <w:pStyle w:val="TableParagraph"/>
              <w:ind w:left="464" w:right="488"/>
              <w:jc w:val="center"/>
              <w:rPr>
                <w:sz w:val="16"/>
              </w:rPr>
            </w:pPr>
            <w:r>
              <w:rPr>
                <w:color w:val="404040"/>
                <w:sz w:val="16"/>
              </w:rPr>
              <w:t>234,000</w:t>
            </w:r>
          </w:p>
        </w:tc>
        <w:tc>
          <w:tcPr>
            <w:tcW w:w="1609" w:type="dxa"/>
            <w:tcBorders>
              <w:right w:val="single" w:sz="4" w:space="0" w:color="DF2F1E"/>
            </w:tcBorders>
          </w:tcPr>
          <w:p>
            <w:pPr>
              <w:pStyle w:val="TableParagraph"/>
              <w:ind w:left="578" w:right="574"/>
              <w:jc w:val="center"/>
              <w:rPr>
                <w:sz w:val="16"/>
              </w:rPr>
            </w:pPr>
            <w:r>
              <w:rPr>
                <w:color w:val="404040"/>
                <w:sz w:val="16"/>
              </w:rPr>
              <w:t>109%</w:t>
            </w:r>
          </w:p>
        </w:tc>
      </w:tr>
      <w:tr>
        <w:trPr>
          <w:trHeight w:val="262" w:hRule="atLeast"/>
        </w:trPr>
        <w:tc>
          <w:tcPr>
            <w:tcW w:w="3562" w:type="dxa"/>
            <w:tcBorders>
              <w:left w:val="single" w:sz="4" w:space="0" w:color="DF2F1E"/>
            </w:tcBorders>
          </w:tcPr>
          <w:p>
            <w:pPr>
              <w:pStyle w:val="TableParagraph"/>
              <w:ind w:left="287"/>
              <w:rPr>
                <w:b/>
                <w:i/>
                <w:sz w:val="16"/>
              </w:rPr>
            </w:pPr>
            <w:r>
              <w:rPr>
                <w:b/>
                <w:i/>
                <w:color w:val="404040"/>
                <w:sz w:val="16"/>
              </w:rPr>
              <w:t>- 40% to 60%</w:t>
            </w:r>
          </w:p>
        </w:tc>
        <w:tc>
          <w:tcPr>
            <w:tcW w:w="1381" w:type="dxa"/>
          </w:tcPr>
          <w:p>
            <w:pPr>
              <w:pStyle w:val="TableParagraph"/>
              <w:ind w:right="294"/>
              <w:jc w:val="right"/>
              <w:rPr>
                <w:sz w:val="16"/>
              </w:rPr>
            </w:pPr>
            <w:r>
              <w:rPr>
                <w:color w:val="404040"/>
                <w:sz w:val="16"/>
              </w:rPr>
              <w:t>34,000</w:t>
            </w:r>
          </w:p>
        </w:tc>
        <w:tc>
          <w:tcPr>
            <w:tcW w:w="1659" w:type="dxa"/>
          </w:tcPr>
          <w:p>
            <w:pPr>
              <w:pStyle w:val="TableParagraph"/>
              <w:ind w:left="668"/>
              <w:rPr>
                <w:sz w:val="16"/>
              </w:rPr>
            </w:pPr>
            <w:r>
              <w:rPr>
                <w:color w:val="404040"/>
                <w:sz w:val="16"/>
              </w:rPr>
              <w:t>23%</w:t>
            </w:r>
          </w:p>
        </w:tc>
        <w:tc>
          <w:tcPr>
            <w:tcW w:w="1575" w:type="dxa"/>
          </w:tcPr>
          <w:p>
            <w:pPr>
              <w:pStyle w:val="TableParagraph"/>
              <w:ind w:left="464" w:right="488"/>
              <w:jc w:val="center"/>
              <w:rPr>
                <w:sz w:val="16"/>
              </w:rPr>
            </w:pPr>
            <w:r>
              <w:rPr>
                <w:color w:val="404040"/>
                <w:sz w:val="16"/>
              </w:rPr>
              <w:t>219,000</w:t>
            </w:r>
          </w:p>
        </w:tc>
        <w:tc>
          <w:tcPr>
            <w:tcW w:w="1609" w:type="dxa"/>
            <w:tcBorders>
              <w:right w:val="single" w:sz="4" w:space="0" w:color="DF2F1E"/>
            </w:tcBorders>
          </w:tcPr>
          <w:p>
            <w:pPr>
              <w:pStyle w:val="TableParagraph"/>
              <w:ind w:left="578" w:right="574"/>
              <w:jc w:val="center"/>
              <w:rPr>
                <w:sz w:val="16"/>
              </w:rPr>
            </w:pPr>
            <w:r>
              <w:rPr>
                <w:color w:val="404040"/>
                <w:sz w:val="16"/>
              </w:rPr>
              <w:t>101%</w:t>
            </w:r>
          </w:p>
        </w:tc>
      </w:tr>
      <w:tr>
        <w:trPr>
          <w:trHeight w:val="262" w:hRule="atLeast"/>
        </w:trPr>
        <w:tc>
          <w:tcPr>
            <w:tcW w:w="3562" w:type="dxa"/>
            <w:tcBorders>
              <w:left w:val="single" w:sz="4" w:space="0" w:color="DF2F1E"/>
            </w:tcBorders>
          </w:tcPr>
          <w:p>
            <w:pPr>
              <w:pStyle w:val="TableParagraph"/>
              <w:spacing w:before="36"/>
              <w:ind w:left="287"/>
              <w:rPr>
                <w:b/>
                <w:i/>
                <w:sz w:val="16"/>
              </w:rPr>
            </w:pPr>
            <w:r>
              <w:rPr>
                <w:b/>
                <w:i/>
                <w:color w:val="404040"/>
                <w:sz w:val="16"/>
              </w:rPr>
              <w:t>- 60% to 80%</w:t>
            </w:r>
          </w:p>
        </w:tc>
        <w:tc>
          <w:tcPr>
            <w:tcW w:w="1381" w:type="dxa"/>
          </w:tcPr>
          <w:p>
            <w:pPr>
              <w:pStyle w:val="TableParagraph"/>
              <w:spacing w:before="36"/>
              <w:ind w:right="294"/>
              <w:jc w:val="right"/>
              <w:rPr>
                <w:sz w:val="16"/>
              </w:rPr>
            </w:pPr>
            <w:r>
              <w:rPr>
                <w:color w:val="404040"/>
                <w:sz w:val="16"/>
              </w:rPr>
              <w:t>36,000</w:t>
            </w:r>
          </w:p>
        </w:tc>
        <w:tc>
          <w:tcPr>
            <w:tcW w:w="1659" w:type="dxa"/>
          </w:tcPr>
          <w:p>
            <w:pPr>
              <w:pStyle w:val="TableParagraph"/>
              <w:spacing w:before="36"/>
              <w:ind w:left="668"/>
              <w:rPr>
                <w:sz w:val="16"/>
              </w:rPr>
            </w:pPr>
            <w:r>
              <w:rPr>
                <w:color w:val="404040"/>
                <w:sz w:val="16"/>
              </w:rPr>
              <w:t>24%</w:t>
            </w:r>
          </w:p>
        </w:tc>
        <w:tc>
          <w:tcPr>
            <w:tcW w:w="1575" w:type="dxa"/>
          </w:tcPr>
          <w:p>
            <w:pPr>
              <w:pStyle w:val="TableParagraph"/>
              <w:spacing w:before="36"/>
              <w:ind w:left="464" w:right="488"/>
              <w:jc w:val="center"/>
              <w:rPr>
                <w:sz w:val="16"/>
              </w:rPr>
            </w:pPr>
            <w:r>
              <w:rPr>
                <w:color w:val="404040"/>
                <w:sz w:val="16"/>
              </w:rPr>
              <w:t>203,000</w:t>
            </w:r>
          </w:p>
        </w:tc>
        <w:tc>
          <w:tcPr>
            <w:tcW w:w="1609" w:type="dxa"/>
            <w:tcBorders>
              <w:right w:val="single" w:sz="4" w:space="0" w:color="DF2F1E"/>
            </w:tcBorders>
          </w:tcPr>
          <w:p>
            <w:pPr>
              <w:pStyle w:val="TableParagraph"/>
              <w:spacing w:before="36"/>
              <w:ind w:left="578" w:right="572"/>
              <w:jc w:val="center"/>
              <w:rPr>
                <w:sz w:val="16"/>
              </w:rPr>
            </w:pPr>
            <w:r>
              <w:rPr>
                <w:color w:val="404040"/>
                <w:sz w:val="16"/>
              </w:rPr>
              <w:t>94%</w:t>
            </w:r>
          </w:p>
        </w:tc>
      </w:tr>
      <w:tr>
        <w:trPr>
          <w:trHeight w:val="266" w:hRule="atLeast"/>
        </w:trPr>
        <w:tc>
          <w:tcPr>
            <w:tcW w:w="3562" w:type="dxa"/>
            <w:tcBorders>
              <w:left w:val="single" w:sz="4" w:space="0" w:color="DF2F1E"/>
              <w:bottom w:val="single" w:sz="4" w:space="0" w:color="DF2F1E"/>
            </w:tcBorders>
          </w:tcPr>
          <w:p>
            <w:pPr>
              <w:pStyle w:val="TableParagraph"/>
              <w:ind w:left="287"/>
              <w:rPr>
                <w:b/>
                <w:i/>
                <w:sz w:val="16"/>
              </w:rPr>
            </w:pPr>
            <w:r>
              <w:rPr>
                <w:b/>
                <w:i/>
                <w:color w:val="404040"/>
                <w:sz w:val="16"/>
              </w:rPr>
              <w:t>- Highest 20% (least disadvantaged)</w:t>
            </w:r>
          </w:p>
        </w:tc>
        <w:tc>
          <w:tcPr>
            <w:tcW w:w="1381" w:type="dxa"/>
            <w:tcBorders>
              <w:bottom w:val="single" w:sz="4" w:space="0" w:color="DF2F1E"/>
            </w:tcBorders>
          </w:tcPr>
          <w:p>
            <w:pPr>
              <w:pStyle w:val="TableParagraph"/>
              <w:ind w:right="294"/>
              <w:jc w:val="right"/>
              <w:rPr>
                <w:sz w:val="16"/>
              </w:rPr>
            </w:pPr>
            <w:r>
              <w:rPr>
                <w:color w:val="404040"/>
                <w:sz w:val="16"/>
              </w:rPr>
              <w:t>34,000</w:t>
            </w:r>
          </w:p>
        </w:tc>
        <w:tc>
          <w:tcPr>
            <w:tcW w:w="1659" w:type="dxa"/>
            <w:tcBorders>
              <w:bottom w:val="single" w:sz="4" w:space="0" w:color="DF2F1E"/>
            </w:tcBorders>
          </w:tcPr>
          <w:p>
            <w:pPr>
              <w:pStyle w:val="TableParagraph"/>
              <w:ind w:left="668"/>
              <w:rPr>
                <w:sz w:val="16"/>
              </w:rPr>
            </w:pPr>
            <w:r>
              <w:rPr>
                <w:color w:val="404040"/>
                <w:sz w:val="16"/>
              </w:rPr>
              <w:t>22%</w:t>
            </w:r>
          </w:p>
        </w:tc>
        <w:tc>
          <w:tcPr>
            <w:tcW w:w="1575" w:type="dxa"/>
            <w:tcBorders>
              <w:bottom w:val="single" w:sz="4" w:space="0" w:color="DF2F1E"/>
            </w:tcBorders>
          </w:tcPr>
          <w:p>
            <w:pPr>
              <w:pStyle w:val="TableParagraph"/>
              <w:ind w:left="464" w:right="488"/>
              <w:jc w:val="center"/>
              <w:rPr>
                <w:sz w:val="16"/>
              </w:rPr>
            </w:pPr>
            <w:r>
              <w:rPr>
                <w:color w:val="404040"/>
                <w:sz w:val="16"/>
              </w:rPr>
              <w:t>188,000</w:t>
            </w:r>
          </w:p>
        </w:tc>
        <w:tc>
          <w:tcPr>
            <w:tcW w:w="1609" w:type="dxa"/>
            <w:tcBorders>
              <w:bottom w:val="single" w:sz="4" w:space="0" w:color="DF2F1E"/>
              <w:right w:val="single" w:sz="4" w:space="0" w:color="DF2F1E"/>
            </w:tcBorders>
          </w:tcPr>
          <w:p>
            <w:pPr>
              <w:pStyle w:val="TableParagraph"/>
              <w:ind w:left="578" w:right="572"/>
              <w:jc w:val="center"/>
              <w:rPr>
                <w:sz w:val="16"/>
              </w:rPr>
            </w:pPr>
            <w:r>
              <w:rPr>
                <w:color w:val="404040"/>
                <w:sz w:val="16"/>
              </w:rPr>
              <w:t>87%</w:t>
            </w:r>
          </w:p>
        </w:tc>
      </w:tr>
    </w:tbl>
    <w:p>
      <w:pPr>
        <w:pStyle w:val="BodyText"/>
        <w:spacing w:before="119"/>
        <w:ind w:left="900"/>
      </w:pPr>
      <w:r>
        <w:rPr>
          <w:color w:val="404040"/>
        </w:rPr>
        <w:t>From the table above we can see that for current Non IS Other recipients in this age range:</w:t>
      </w:r>
    </w:p>
    <w:p>
      <w:pPr>
        <w:pStyle w:val="ListParagraph"/>
        <w:numPr>
          <w:ilvl w:val="0"/>
          <w:numId w:val="70"/>
        </w:numPr>
        <w:tabs>
          <w:tab w:pos="1184" w:val="left" w:leader="none"/>
        </w:tabs>
        <w:spacing w:line="240" w:lineRule="auto" w:before="117" w:after="0"/>
        <w:ind w:left="1183" w:right="0" w:hanging="285"/>
        <w:jc w:val="left"/>
        <w:rPr>
          <w:sz w:val="20"/>
        </w:rPr>
      </w:pPr>
      <w:r>
        <w:rPr>
          <w:color w:val="404040"/>
          <w:sz w:val="20"/>
        </w:rPr>
        <w:t>Those with children have a higher average lifetime cost compared to those who</w:t>
      </w:r>
      <w:r>
        <w:rPr>
          <w:color w:val="404040"/>
          <w:spacing w:val="-6"/>
          <w:sz w:val="20"/>
        </w:rPr>
        <w:t> </w:t>
      </w:r>
      <w:r>
        <w:rPr>
          <w:color w:val="404040"/>
          <w:sz w:val="20"/>
        </w:rPr>
        <w:t>don’t.</w:t>
      </w:r>
    </w:p>
    <w:p>
      <w:pPr>
        <w:pStyle w:val="ListParagraph"/>
        <w:numPr>
          <w:ilvl w:val="0"/>
          <w:numId w:val="70"/>
        </w:numPr>
        <w:tabs>
          <w:tab w:pos="1184" w:val="left" w:leader="none"/>
        </w:tabs>
        <w:spacing w:line="240" w:lineRule="auto" w:before="120" w:after="0"/>
        <w:ind w:left="1183" w:right="0" w:hanging="285"/>
        <w:jc w:val="left"/>
        <w:rPr>
          <w:sz w:val="20"/>
        </w:rPr>
      </w:pPr>
      <w:r>
        <w:rPr>
          <w:color w:val="404040"/>
          <w:sz w:val="20"/>
        </w:rPr>
        <w:t>Those with newborn children have a higher average lifetime</w:t>
      </w:r>
      <w:r>
        <w:rPr>
          <w:color w:val="404040"/>
          <w:spacing w:val="-7"/>
          <w:sz w:val="20"/>
        </w:rPr>
        <w:t> </w:t>
      </w:r>
      <w:r>
        <w:rPr>
          <w:color w:val="404040"/>
          <w:sz w:val="20"/>
        </w:rPr>
        <w:t>cost.</w:t>
      </w:r>
    </w:p>
    <w:p>
      <w:pPr>
        <w:pStyle w:val="ListParagraph"/>
        <w:numPr>
          <w:ilvl w:val="0"/>
          <w:numId w:val="70"/>
        </w:numPr>
        <w:tabs>
          <w:tab w:pos="1184" w:val="left" w:leader="none"/>
        </w:tabs>
        <w:spacing w:line="240" w:lineRule="auto" w:before="117" w:after="0"/>
        <w:ind w:left="1183" w:right="0" w:hanging="284"/>
        <w:jc w:val="left"/>
        <w:rPr>
          <w:sz w:val="20"/>
        </w:rPr>
      </w:pPr>
      <w:r>
        <w:rPr>
          <w:color w:val="404040"/>
          <w:sz w:val="20"/>
        </w:rPr>
        <w:t>Single welfare recipients have a higher average lifetime cost compared to partnered welfare</w:t>
      </w:r>
      <w:r>
        <w:rPr>
          <w:color w:val="404040"/>
          <w:spacing w:val="-17"/>
          <w:sz w:val="20"/>
        </w:rPr>
        <w:t> </w:t>
      </w:r>
      <w:r>
        <w:rPr>
          <w:color w:val="404040"/>
          <w:sz w:val="20"/>
        </w:rPr>
        <w:t>recipients.</w:t>
      </w:r>
    </w:p>
    <w:p>
      <w:pPr>
        <w:pStyle w:val="ListParagraph"/>
        <w:numPr>
          <w:ilvl w:val="0"/>
          <w:numId w:val="70"/>
        </w:numPr>
        <w:tabs>
          <w:tab w:pos="1184" w:val="left" w:leader="none"/>
        </w:tabs>
        <w:spacing w:line="240" w:lineRule="auto" w:before="120" w:after="0"/>
        <w:ind w:left="1183" w:right="1221" w:hanging="284"/>
        <w:jc w:val="left"/>
        <w:rPr>
          <w:sz w:val="20"/>
        </w:rPr>
      </w:pPr>
      <w:r>
        <w:rPr>
          <w:color w:val="404040"/>
          <w:sz w:val="20"/>
        </w:rPr>
        <w:t>Whilst the majority of those currently receiving Non IS Other welfare payments weren’t receiving welfare payments previously, the small proportion that were previously receiving income support payments have a higher average lifetime</w:t>
      </w:r>
      <w:r>
        <w:rPr>
          <w:color w:val="404040"/>
          <w:spacing w:val="-1"/>
          <w:sz w:val="20"/>
        </w:rPr>
        <w:t> </w:t>
      </w:r>
      <w:r>
        <w:rPr>
          <w:color w:val="404040"/>
          <w:sz w:val="20"/>
        </w:rPr>
        <w:t>cost.</w:t>
      </w:r>
    </w:p>
    <w:p>
      <w:pPr>
        <w:pStyle w:val="BodyText"/>
        <w:spacing w:before="7"/>
      </w:pPr>
    </w:p>
    <w:p>
      <w:pPr>
        <w:pStyle w:val="Heading6"/>
        <w:spacing w:before="1"/>
        <w:rPr>
          <w:i/>
        </w:rPr>
      </w:pPr>
      <w:r>
        <w:rPr>
          <w:i/>
          <w:color w:val="DF2F1E"/>
        </w:rPr>
        <w:t>Change in lifetime costs since the 2017 valuation</w:t>
      </w:r>
    </w:p>
    <w:p>
      <w:pPr>
        <w:pStyle w:val="BodyText"/>
        <w:spacing w:before="121"/>
        <w:ind w:left="899" w:right="1054"/>
      </w:pPr>
      <w:r>
        <w:rPr>
          <w:color w:val="404040"/>
        </w:rPr>
        <w:t>The lifetime cost for the people in this class is $98bn, an increase of $3bn (3.0%) compared to the rebased 2017 valuation. This was driven by a significant increase in the number of people in the class, partially offset by a decrease in the average cost:</w:t>
      </w:r>
    </w:p>
    <w:p>
      <w:pPr>
        <w:pStyle w:val="ListParagraph"/>
        <w:numPr>
          <w:ilvl w:val="0"/>
          <w:numId w:val="70"/>
        </w:numPr>
        <w:tabs>
          <w:tab w:pos="1184" w:val="left" w:leader="none"/>
        </w:tabs>
        <w:spacing w:line="240" w:lineRule="auto" w:before="119" w:after="0"/>
        <w:ind w:left="1183" w:right="1085" w:hanging="284"/>
        <w:jc w:val="left"/>
        <w:rPr>
          <w:sz w:val="20"/>
        </w:rPr>
      </w:pPr>
      <w:r>
        <w:rPr>
          <w:color w:val="404040"/>
          <w:sz w:val="20"/>
        </w:rPr>
        <w:t>The number of people in this class has increased by 16.6% since the previous valuation. This is mainly driven by an increase in people entering class 9 above pension age as a result of movements into this class from Age Pension, following changes in Age Pension</w:t>
      </w:r>
      <w:r>
        <w:rPr>
          <w:color w:val="404040"/>
          <w:spacing w:val="2"/>
          <w:sz w:val="20"/>
        </w:rPr>
        <w:t> </w:t>
      </w:r>
      <w:r>
        <w:rPr>
          <w:color w:val="404040"/>
          <w:sz w:val="20"/>
        </w:rPr>
        <w:t>eligibility.</w:t>
      </w:r>
    </w:p>
    <w:p>
      <w:pPr>
        <w:pStyle w:val="ListParagraph"/>
        <w:numPr>
          <w:ilvl w:val="0"/>
          <w:numId w:val="70"/>
        </w:numPr>
        <w:tabs>
          <w:tab w:pos="1184" w:val="left" w:leader="none"/>
        </w:tabs>
        <w:spacing w:line="240" w:lineRule="auto" w:before="119" w:after="0"/>
        <w:ind w:left="1183" w:right="1120" w:hanging="284"/>
        <w:jc w:val="left"/>
        <w:rPr>
          <w:sz w:val="20"/>
        </w:rPr>
      </w:pPr>
      <w:r>
        <w:rPr>
          <w:color w:val="404040"/>
          <w:sz w:val="20"/>
        </w:rPr>
        <w:t>The average cost has decreased by $20,000 (-13.6%) since the previous valuation. A significant part of this reduction is from including the group of new entrants from the Age Pension class who are above retirement age and have a much lower average lifetime cost than younger groups. The following table provides a breakdown of the change in average lifetime cost by payment</w:t>
      </w:r>
      <w:r>
        <w:rPr>
          <w:color w:val="404040"/>
          <w:spacing w:val="-11"/>
          <w:sz w:val="20"/>
        </w:rPr>
        <w:t> </w:t>
      </w:r>
      <w:r>
        <w:rPr>
          <w:color w:val="404040"/>
          <w:sz w:val="20"/>
        </w:rPr>
        <w:t>category.</w:t>
      </w:r>
    </w:p>
    <w:p>
      <w:pPr>
        <w:spacing w:after="0" w:line="240" w:lineRule="auto"/>
        <w:jc w:val="left"/>
        <w:rPr>
          <w:sz w:val="20"/>
        </w:rPr>
        <w:sectPr>
          <w:pgSz w:w="11910" w:h="16850"/>
          <w:pgMar w:header="572" w:footer="581" w:top="780" w:bottom="780" w:left="120" w:right="0"/>
        </w:sectPr>
      </w:pPr>
    </w:p>
    <w:p>
      <w:pPr>
        <w:pStyle w:val="BodyText"/>
      </w:pPr>
    </w:p>
    <w:p>
      <w:pPr>
        <w:pStyle w:val="BodyText"/>
      </w:pPr>
    </w:p>
    <w:p>
      <w:pPr>
        <w:pStyle w:val="BodyText"/>
        <w:spacing w:before="5"/>
        <w:rPr>
          <w:sz w:val="21"/>
        </w:rPr>
      </w:pPr>
    </w:p>
    <w:p>
      <w:pPr>
        <w:pStyle w:val="Heading9"/>
        <w:spacing w:after="54"/>
      </w:pPr>
      <w:r>
        <w:rPr>
          <w:color w:val="DF2F1E"/>
        </w:rPr>
        <w:t>Table 40: Breakdown of change in average lifetime cost for class 9 by payment category</w:t>
      </w:r>
    </w:p>
    <w:tbl>
      <w:tblPr>
        <w:tblW w:w="0" w:type="auto"/>
        <w:jc w:val="left"/>
        <w:tblInd w:w="1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20"/>
        <w:gridCol w:w="1270"/>
        <w:gridCol w:w="1248"/>
        <w:gridCol w:w="1238"/>
        <w:gridCol w:w="1312"/>
        <w:gridCol w:w="1311"/>
      </w:tblGrid>
      <w:tr>
        <w:trPr>
          <w:trHeight w:val="268" w:hRule="atLeast"/>
        </w:trPr>
        <w:tc>
          <w:tcPr>
            <w:tcW w:w="3120" w:type="dxa"/>
            <w:shd w:val="clear" w:color="auto" w:fill="DF2F1E"/>
          </w:tcPr>
          <w:p>
            <w:pPr>
              <w:pStyle w:val="TableParagraph"/>
              <w:spacing w:before="0"/>
              <w:rPr>
                <w:rFonts w:ascii="Times New Roman"/>
                <w:sz w:val="16"/>
              </w:rPr>
            </w:pPr>
          </w:p>
        </w:tc>
        <w:tc>
          <w:tcPr>
            <w:tcW w:w="1270" w:type="dxa"/>
            <w:shd w:val="clear" w:color="auto" w:fill="DF2F1E"/>
          </w:tcPr>
          <w:p>
            <w:pPr>
              <w:pStyle w:val="TableParagraph"/>
              <w:spacing w:before="0"/>
              <w:rPr>
                <w:rFonts w:ascii="Times New Roman"/>
                <w:sz w:val="16"/>
              </w:rPr>
            </w:pPr>
          </w:p>
        </w:tc>
        <w:tc>
          <w:tcPr>
            <w:tcW w:w="1248" w:type="dxa"/>
            <w:shd w:val="clear" w:color="auto" w:fill="DF2F1E"/>
          </w:tcPr>
          <w:p>
            <w:pPr>
              <w:pStyle w:val="TableParagraph"/>
              <w:spacing w:before="34"/>
              <w:ind w:left="635"/>
              <w:rPr>
                <w:b/>
                <w:sz w:val="16"/>
              </w:rPr>
            </w:pPr>
            <w:r>
              <w:rPr>
                <w:b/>
                <w:color w:val="FFFFFF"/>
                <w:sz w:val="16"/>
              </w:rPr>
              <w:t>Income</w:t>
            </w:r>
          </w:p>
        </w:tc>
        <w:tc>
          <w:tcPr>
            <w:tcW w:w="1238" w:type="dxa"/>
            <w:shd w:val="clear" w:color="auto" w:fill="DF2F1E"/>
          </w:tcPr>
          <w:p>
            <w:pPr>
              <w:pStyle w:val="TableParagraph"/>
              <w:spacing w:before="34"/>
              <w:ind w:left="59"/>
              <w:rPr>
                <w:b/>
                <w:sz w:val="16"/>
              </w:rPr>
            </w:pPr>
            <w:r>
              <w:rPr>
                <w:b/>
                <w:color w:val="FFFFFF"/>
                <w:sz w:val="16"/>
              </w:rPr>
              <w:t>Support</w:t>
            </w:r>
          </w:p>
        </w:tc>
        <w:tc>
          <w:tcPr>
            <w:tcW w:w="1312" w:type="dxa"/>
            <w:shd w:val="clear" w:color="auto" w:fill="DF2F1E"/>
          </w:tcPr>
          <w:p>
            <w:pPr>
              <w:pStyle w:val="TableParagraph"/>
              <w:spacing w:before="34"/>
              <w:ind w:left="343"/>
              <w:rPr>
                <w:b/>
                <w:sz w:val="16"/>
              </w:rPr>
            </w:pPr>
            <w:r>
              <w:rPr>
                <w:b/>
                <w:color w:val="FFFFFF"/>
                <w:sz w:val="16"/>
              </w:rPr>
              <w:t>Non Income</w:t>
            </w:r>
          </w:p>
        </w:tc>
        <w:tc>
          <w:tcPr>
            <w:tcW w:w="1311" w:type="dxa"/>
            <w:shd w:val="clear" w:color="auto" w:fill="DF2F1E"/>
          </w:tcPr>
          <w:p>
            <w:pPr>
              <w:pStyle w:val="TableParagraph"/>
              <w:spacing w:before="31"/>
              <w:ind w:left="60"/>
              <w:rPr>
                <w:b/>
                <w:sz w:val="10"/>
              </w:rPr>
            </w:pPr>
            <w:r>
              <w:rPr>
                <w:b/>
                <w:color w:val="FFFFFF"/>
                <w:sz w:val="16"/>
              </w:rPr>
              <w:t>Support</w:t>
            </w:r>
            <w:r>
              <w:rPr>
                <w:b/>
                <w:color w:val="FFFFFF"/>
                <w:position w:val="6"/>
                <w:sz w:val="10"/>
              </w:rPr>
              <w:t>1</w:t>
            </w:r>
          </w:p>
        </w:tc>
      </w:tr>
      <w:tr>
        <w:trPr>
          <w:trHeight w:val="458" w:hRule="atLeast"/>
        </w:trPr>
        <w:tc>
          <w:tcPr>
            <w:tcW w:w="3120" w:type="dxa"/>
            <w:shd w:val="clear" w:color="auto" w:fill="DF2F1E"/>
          </w:tcPr>
          <w:p>
            <w:pPr>
              <w:pStyle w:val="TableParagraph"/>
              <w:spacing w:before="0"/>
              <w:rPr>
                <w:rFonts w:ascii="Times New Roman"/>
                <w:sz w:val="16"/>
              </w:rPr>
            </w:pPr>
          </w:p>
        </w:tc>
        <w:tc>
          <w:tcPr>
            <w:tcW w:w="1270" w:type="dxa"/>
            <w:shd w:val="clear" w:color="auto" w:fill="DF2F1E"/>
          </w:tcPr>
          <w:p>
            <w:pPr>
              <w:pStyle w:val="TableParagraph"/>
              <w:spacing w:before="39"/>
              <w:ind w:left="430" w:right="417"/>
              <w:jc w:val="center"/>
              <w:rPr>
                <w:b/>
                <w:sz w:val="16"/>
              </w:rPr>
            </w:pPr>
            <w:r>
              <w:rPr>
                <w:b/>
                <w:color w:val="FFFFFF"/>
                <w:sz w:val="16"/>
              </w:rPr>
              <w:t>Total</w:t>
            </w:r>
          </w:p>
        </w:tc>
        <w:tc>
          <w:tcPr>
            <w:tcW w:w="1248" w:type="dxa"/>
            <w:shd w:val="clear" w:color="auto" w:fill="DF2F1E"/>
          </w:tcPr>
          <w:p>
            <w:pPr>
              <w:pStyle w:val="TableParagraph"/>
              <w:spacing w:before="39"/>
              <w:ind w:left="321" w:right="266" w:hanging="17"/>
              <w:rPr>
                <w:b/>
                <w:sz w:val="16"/>
              </w:rPr>
            </w:pPr>
            <w:r>
              <w:rPr>
                <w:b/>
                <w:color w:val="FFFFFF"/>
                <w:sz w:val="16"/>
              </w:rPr>
              <w:t>Non Age Pension</w:t>
            </w:r>
          </w:p>
        </w:tc>
        <w:tc>
          <w:tcPr>
            <w:tcW w:w="1238" w:type="dxa"/>
            <w:shd w:val="clear" w:color="auto" w:fill="DF2F1E"/>
          </w:tcPr>
          <w:p>
            <w:pPr>
              <w:pStyle w:val="TableParagraph"/>
              <w:spacing w:before="39"/>
              <w:ind w:left="136"/>
              <w:rPr>
                <w:b/>
                <w:sz w:val="16"/>
              </w:rPr>
            </w:pPr>
            <w:r>
              <w:rPr>
                <w:b/>
                <w:color w:val="FFFFFF"/>
                <w:sz w:val="16"/>
              </w:rPr>
              <w:t>Age Pension</w:t>
            </w:r>
          </w:p>
        </w:tc>
        <w:tc>
          <w:tcPr>
            <w:tcW w:w="1312" w:type="dxa"/>
            <w:shd w:val="clear" w:color="auto" w:fill="DF2F1E"/>
          </w:tcPr>
          <w:p>
            <w:pPr>
              <w:pStyle w:val="TableParagraph"/>
              <w:spacing w:before="39"/>
              <w:ind w:left="158" w:right="129" w:firstLine="249"/>
              <w:rPr>
                <w:b/>
                <w:sz w:val="16"/>
              </w:rPr>
            </w:pPr>
            <w:r>
              <w:rPr>
                <w:b/>
                <w:color w:val="FFFFFF"/>
                <w:sz w:val="16"/>
              </w:rPr>
              <w:t>Family Supplements</w:t>
            </w:r>
          </w:p>
        </w:tc>
        <w:tc>
          <w:tcPr>
            <w:tcW w:w="1311" w:type="dxa"/>
            <w:shd w:val="clear" w:color="auto" w:fill="DF2F1E"/>
          </w:tcPr>
          <w:p>
            <w:pPr>
              <w:pStyle w:val="TableParagraph"/>
              <w:spacing w:before="39"/>
              <w:ind w:left="156" w:right="130" w:firstLine="288"/>
              <w:rPr>
                <w:b/>
                <w:sz w:val="16"/>
              </w:rPr>
            </w:pPr>
            <w:r>
              <w:rPr>
                <w:b/>
                <w:color w:val="FFFFFF"/>
                <w:sz w:val="16"/>
              </w:rPr>
              <w:t>Other Supplements</w:t>
            </w:r>
          </w:p>
        </w:tc>
      </w:tr>
      <w:tr>
        <w:trPr>
          <w:trHeight w:val="258" w:hRule="atLeast"/>
        </w:trPr>
        <w:tc>
          <w:tcPr>
            <w:tcW w:w="3120" w:type="dxa"/>
            <w:tcBorders>
              <w:top w:val="single" w:sz="4" w:space="0" w:color="DF2F1E"/>
              <w:left w:val="single" w:sz="4" w:space="0" w:color="DF2F1E"/>
              <w:bottom w:val="single" w:sz="4" w:space="0" w:color="DF2F1E"/>
              <w:right w:val="single" w:sz="4" w:space="0" w:color="DF2F1E"/>
            </w:tcBorders>
          </w:tcPr>
          <w:p>
            <w:pPr>
              <w:pStyle w:val="TableParagraph"/>
              <w:spacing w:before="29"/>
              <w:ind w:left="57"/>
              <w:rPr>
                <w:b/>
                <w:sz w:val="16"/>
              </w:rPr>
            </w:pPr>
            <w:r>
              <w:rPr>
                <w:b/>
                <w:color w:val="404040"/>
                <w:sz w:val="16"/>
              </w:rPr>
              <w:t>Jun-17 Total Lifetime Cost</w:t>
            </w:r>
          </w:p>
        </w:tc>
        <w:tc>
          <w:tcPr>
            <w:tcW w:w="1270" w:type="dxa"/>
            <w:tcBorders>
              <w:top w:val="single" w:sz="4" w:space="0" w:color="DF2F1E"/>
              <w:left w:val="single" w:sz="4" w:space="0" w:color="DF2F1E"/>
              <w:bottom w:val="single" w:sz="4" w:space="0" w:color="DF2F1E"/>
              <w:right w:val="single" w:sz="4" w:space="0" w:color="DF2F1E"/>
            </w:tcBorders>
          </w:tcPr>
          <w:p>
            <w:pPr>
              <w:pStyle w:val="TableParagraph"/>
              <w:spacing w:before="32"/>
              <w:ind w:left="88" w:right="75"/>
              <w:jc w:val="center"/>
              <w:rPr>
                <w:sz w:val="16"/>
              </w:rPr>
            </w:pPr>
            <w:r>
              <w:rPr>
                <w:color w:val="404040"/>
                <w:sz w:val="16"/>
              </w:rPr>
              <w:t>$72bn</w:t>
            </w:r>
          </w:p>
        </w:tc>
        <w:tc>
          <w:tcPr>
            <w:tcW w:w="5109" w:type="dxa"/>
            <w:gridSpan w:val="4"/>
            <w:vMerge w:val="restart"/>
            <w:tcBorders>
              <w:top w:val="single" w:sz="4" w:space="0" w:color="DF2F1E"/>
              <w:left w:val="single" w:sz="4" w:space="0" w:color="DF2F1E"/>
              <w:bottom w:val="single" w:sz="4" w:space="0" w:color="DF2F1E"/>
              <w:right w:val="single" w:sz="4" w:space="0" w:color="DF2F1E"/>
            </w:tcBorders>
            <w:shd w:val="clear" w:color="auto" w:fill="D9D9D9"/>
          </w:tcPr>
          <w:p>
            <w:pPr>
              <w:pStyle w:val="TableParagraph"/>
              <w:spacing w:before="0"/>
              <w:rPr>
                <w:rFonts w:ascii="Times New Roman"/>
                <w:sz w:val="16"/>
              </w:rPr>
            </w:pPr>
          </w:p>
        </w:tc>
      </w:tr>
      <w:tr>
        <w:trPr>
          <w:trHeight w:val="257" w:hRule="atLeast"/>
        </w:trPr>
        <w:tc>
          <w:tcPr>
            <w:tcW w:w="3120" w:type="dxa"/>
            <w:tcBorders>
              <w:top w:val="single" w:sz="4" w:space="0" w:color="DF2F1E"/>
              <w:left w:val="single" w:sz="4" w:space="0" w:color="DF2F1E"/>
              <w:right w:val="single" w:sz="4" w:space="0" w:color="DF2F1E"/>
            </w:tcBorders>
          </w:tcPr>
          <w:p>
            <w:pPr>
              <w:pStyle w:val="TableParagraph"/>
              <w:spacing w:before="31"/>
              <w:ind w:left="57"/>
              <w:rPr>
                <w:b/>
                <w:sz w:val="10"/>
              </w:rPr>
            </w:pPr>
            <w:r>
              <w:rPr>
                <w:b/>
                <w:color w:val="404040"/>
                <w:sz w:val="16"/>
              </w:rPr>
              <w:t>Jun-17 Total Lifetime Cost – rebased</w:t>
            </w:r>
            <w:r>
              <w:rPr>
                <w:b/>
                <w:color w:val="404040"/>
                <w:position w:val="6"/>
                <w:sz w:val="10"/>
              </w:rPr>
              <w:t>2</w:t>
            </w:r>
          </w:p>
        </w:tc>
        <w:tc>
          <w:tcPr>
            <w:tcW w:w="1270" w:type="dxa"/>
            <w:tcBorders>
              <w:top w:val="single" w:sz="4" w:space="0" w:color="DF2F1E"/>
              <w:left w:val="single" w:sz="4" w:space="0" w:color="DF2F1E"/>
              <w:right w:val="single" w:sz="4" w:space="0" w:color="DF2F1E"/>
            </w:tcBorders>
          </w:tcPr>
          <w:p>
            <w:pPr>
              <w:pStyle w:val="TableParagraph"/>
              <w:ind w:left="88" w:right="75"/>
              <w:jc w:val="center"/>
              <w:rPr>
                <w:sz w:val="16"/>
              </w:rPr>
            </w:pPr>
            <w:r>
              <w:rPr>
                <w:color w:val="404040"/>
                <w:sz w:val="16"/>
              </w:rPr>
              <w:t>$96bn</w:t>
            </w:r>
          </w:p>
        </w:tc>
        <w:tc>
          <w:tcPr>
            <w:tcW w:w="5109" w:type="dxa"/>
            <w:gridSpan w:val="4"/>
            <w:vMerge/>
            <w:tcBorders>
              <w:top w:val="nil"/>
              <w:left w:val="single" w:sz="4" w:space="0" w:color="DF2F1E"/>
              <w:bottom w:val="single" w:sz="4" w:space="0" w:color="DF2F1E"/>
              <w:right w:val="single" w:sz="4" w:space="0" w:color="DF2F1E"/>
            </w:tcBorders>
            <w:shd w:val="clear" w:color="auto" w:fill="D9D9D9"/>
          </w:tcPr>
          <w:p>
            <w:pPr>
              <w:rPr>
                <w:sz w:val="2"/>
                <w:szCs w:val="2"/>
              </w:rPr>
            </w:pPr>
          </w:p>
        </w:tc>
      </w:tr>
      <w:tr>
        <w:trPr>
          <w:trHeight w:val="260" w:hRule="atLeast"/>
        </w:trPr>
        <w:tc>
          <w:tcPr>
            <w:tcW w:w="3120" w:type="dxa"/>
            <w:tcBorders>
              <w:left w:val="single" w:sz="4" w:space="0" w:color="DF2F1E"/>
              <w:bottom w:val="single" w:sz="4" w:space="0" w:color="DF2F1E"/>
              <w:right w:val="single" w:sz="4" w:space="0" w:color="DF2F1E"/>
            </w:tcBorders>
          </w:tcPr>
          <w:p>
            <w:pPr>
              <w:pStyle w:val="TableParagraph"/>
              <w:spacing w:before="31"/>
              <w:ind w:left="57"/>
              <w:rPr>
                <w:b/>
                <w:sz w:val="16"/>
              </w:rPr>
            </w:pPr>
            <w:r>
              <w:rPr>
                <w:b/>
                <w:color w:val="404040"/>
                <w:sz w:val="16"/>
              </w:rPr>
              <w:t>Jun-18 Total Lifetime Cost</w:t>
            </w:r>
          </w:p>
        </w:tc>
        <w:tc>
          <w:tcPr>
            <w:tcW w:w="1270" w:type="dxa"/>
            <w:tcBorders>
              <w:left w:val="single" w:sz="4" w:space="0" w:color="DF2F1E"/>
              <w:bottom w:val="single" w:sz="4" w:space="0" w:color="DF2F1E"/>
              <w:right w:val="single" w:sz="4" w:space="0" w:color="DF2F1E"/>
            </w:tcBorders>
          </w:tcPr>
          <w:p>
            <w:pPr>
              <w:pStyle w:val="TableParagraph"/>
              <w:spacing w:before="34"/>
              <w:ind w:left="88" w:right="75"/>
              <w:jc w:val="center"/>
              <w:rPr>
                <w:sz w:val="16"/>
              </w:rPr>
            </w:pPr>
            <w:r>
              <w:rPr>
                <w:color w:val="404040"/>
                <w:sz w:val="16"/>
              </w:rPr>
              <w:t>$98bn</w:t>
            </w:r>
          </w:p>
        </w:tc>
        <w:tc>
          <w:tcPr>
            <w:tcW w:w="5109" w:type="dxa"/>
            <w:gridSpan w:val="4"/>
            <w:vMerge/>
            <w:tcBorders>
              <w:top w:val="nil"/>
              <w:left w:val="single" w:sz="4" w:space="0" w:color="DF2F1E"/>
              <w:bottom w:val="single" w:sz="4" w:space="0" w:color="DF2F1E"/>
              <w:right w:val="single" w:sz="4" w:space="0" w:color="DF2F1E"/>
            </w:tcBorders>
            <w:shd w:val="clear" w:color="auto" w:fill="D9D9D9"/>
          </w:tcPr>
          <w:p>
            <w:pPr>
              <w:rPr>
                <w:sz w:val="2"/>
                <w:szCs w:val="2"/>
              </w:rPr>
            </w:pPr>
          </w:p>
        </w:tc>
      </w:tr>
      <w:tr>
        <w:trPr>
          <w:trHeight w:val="266" w:hRule="atLeast"/>
        </w:trPr>
        <w:tc>
          <w:tcPr>
            <w:tcW w:w="3120" w:type="dxa"/>
            <w:tcBorders>
              <w:top w:val="single" w:sz="4" w:space="0" w:color="DF2F1E"/>
              <w:left w:val="single" w:sz="4" w:space="0" w:color="DF2F1E"/>
              <w:bottom w:val="single" w:sz="4" w:space="0" w:color="DF2F1E"/>
              <w:right w:val="single" w:sz="4" w:space="0" w:color="DF2F1E"/>
            </w:tcBorders>
          </w:tcPr>
          <w:p>
            <w:pPr>
              <w:pStyle w:val="TableParagraph"/>
              <w:spacing w:before="33"/>
              <w:ind w:left="57"/>
              <w:rPr>
                <w:b/>
                <w:sz w:val="10"/>
              </w:rPr>
            </w:pPr>
            <w:r>
              <w:rPr>
                <w:b/>
                <w:color w:val="404040"/>
                <w:sz w:val="16"/>
              </w:rPr>
              <w:t>Change in Total Lifetime Cost</w:t>
            </w:r>
            <w:r>
              <w:rPr>
                <w:b/>
                <w:color w:val="404040"/>
                <w:position w:val="6"/>
                <w:sz w:val="10"/>
              </w:rPr>
              <w:t>2</w:t>
            </w:r>
          </w:p>
        </w:tc>
        <w:tc>
          <w:tcPr>
            <w:tcW w:w="1270" w:type="dxa"/>
            <w:tcBorders>
              <w:top w:val="single" w:sz="4" w:space="0" w:color="DF2F1E"/>
              <w:left w:val="single" w:sz="4" w:space="0" w:color="DF2F1E"/>
              <w:bottom w:val="single" w:sz="4" w:space="0" w:color="DF2F1E"/>
              <w:right w:val="single" w:sz="4" w:space="0" w:color="DF2F1E"/>
            </w:tcBorders>
          </w:tcPr>
          <w:p>
            <w:pPr>
              <w:pStyle w:val="TableParagraph"/>
              <w:spacing w:before="39"/>
              <w:ind w:left="39" w:right="23"/>
              <w:jc w:val="center"/>
              <w:rPr>
                <w:sz w:val="16"/>
              </w:rPr>
            </w:pPr>
            <w:r>
              <w:rPr>
                <w:color w:val="404040"/>
                <w:sz w:val="16"/>
              </w:rPr>
              <w:t>+$3bn (+3.0%)</w:t>
            </w:r>
          </w:p>
        </w:tc>
        <w:tc>
          <w:tcPr>
            <w:tcW w:w="5109" w:type="dxa"/>
            <w:gridSpan w:val="4"/>
            <w:vMerge/>
            <w:tcBorders>
              <w:top w:val="nil"/>
              <w:left w:val="single" w:sz="4" w:space="0" w:color="DF2F1E"/>
              <w:bottom w:val="single" w:sz="4" w:space="0" w:color="DF2F1E"/>
              <w:right w:val="single" w:sz="4" w:space="0" w:color="DF2F1E"/>
            </w:tcBorders>
            <w:shd w:val="clear" w:color="auto" w:fill="D9D9D9"/>
          </w:tcPr>
          <w:p>
            <w:pPr>
              <w:rPr>
                <w:sz w:val="2"/>
                <w:szCs w:val="2"/>
              </w:rPr>
            </w:pPr>
          </w:p>
        </w:tc>
      </w:tr>
      <w:tr>
        <w:trPr>
          <w:trHeight w:val="263" w:hRule="atLeast"/>
        </w:trPr>
        <w:tc>
          <w:tcPr>
            <w:tcW w:w="3120" w:type="dxa"/>
            <w:tcBorders>
              <w:top w:val="single" w:sz="4" w:space="0" w:color="DF2F1E"/>
              <w:left w:val="single" w:sz="4" w:space="0" w:color="DF2F1E"/>
              <w:bottom w:val="single" w:sz="4" w:space="0" w:color="DF2F1E"/>
              <w:right w:val="single" w:sz="4" w:space="0" w:color="DF2F1E"/>
            </w:tcBorders>
          </w:tcPr>
          <w:p>
            <w:pPr>
              <w:pStyle w:val="TableParagraph"/>
              <w:spacing w:before="34"/>
              <w:ind w:left="57"/>
              <w:rPr>
                <w:b/>
                <w:sz w:val="16"/>
              </w:rPr>
            </w:pPr>
            <w:r>
              <w:rPr>
                <w:b/>
                <w:color w:val="404040"/>
                <w:sz w:val="16"/>
              </w:rPr>
              <w:t>Change due to People in Class</w:t>
            </w:r>
          </w:p>
        </w:tc>
        <w:tc>
          <w:tcPr>
            <w:tcW w:w="1270" w:type="dxa"/>
            <w:tcBorders>
              <w:top w:val="single" w:sz="4" w:space="0" w:color="DF2F1E"/>
              <w:left w:val="single" w:sz="4" w:space="0" w:color="DF2F1E"/>
              <w:bottom w:val="single" w:sz="4" w:space="0" w:color="DF2F1E"/>
              <w:right w:val="single" w:sz="4" w:space="0" w:color="DF2F1E"/>
            </w:tcBorders>
          </w:tcPr>
          <w:p>
            <w:pPr>
              <w:pStyle w:val="TableParagraph"/>
              <w:ind w:left="88" w:right="72"/>
              <w:jc w:val="center"/>
              <w:rPr>
                <w:sz w:val="16"/>
              </w:rPr>
            </w:pPr>
            <w:r>
              <w:rPr>
                <w:color w:val="404040"/>
                <w:sz w:val="16"/>
              </w:rPr>
              <w:t>+16.6%</w:t>
            </w:r>
          </w:p>
        </w:tc>
        <w:tc>
          <w:tcPr>
            <w:tcW w:w="5109" w:type="dxa"/>
            <w:gridSpan w:val="4"/>
            <w:vMerge/>
            <w:tcBorders>
              <w:top w:val="nil"/>
              <w:left w:val="single" w:sz="4" w:space="0" w:color="DF2F1E"/>
              <w:bottom w:val="single" w:sz="4" w:space="0" w:color="DF2F1E"/>
              <w:right w:val="single" w:sz="4" w:space="0" w:color="DF2F1E"/>
            </w:tcBorders>
            <w:shd w:val="clear" w:color="auto" w:fill="D9D9D9"/>
          </w:tcPr>
          <w:p>
            <w:pPr>
              <w:rPr>
                <w:sz w:val="2"/>
                <w:szCs w:val="2"/>
              </w:rPr>
            </w:pPr>
          </w:p>
        </w:tc>
      </w:tr>
      <w:tr>
        <w:trPr>
          <w:trHeight w:val="262" w:hRule="atLeast"/>
        </w:trPr>
        <w:tc>
          <w:tcPr>
            <w:tcW w:w="3120" w:type="dxa"/>
            <w:tcBorders>
              <w:top w:val="single" w:sz="4" w:space="0" w:color="DF2F1E"/>
              <w:left w:val="single" w:sz="4" w:space="0" w:color="DF2F1E"/>
              <w:right w:val="single" w:sz="4" w:space="0" w:color="DF2F1E"/>
            </w:tcBorders>
          </w:tcPr>
          <w:p>
            <w:pPr>
              <w:pStyle w:val="TableParagraph"/>
              <w:spacing w:before="31"/>
              <w:ind w:left="57"/>
              <w:rPr>
                <w:b/>
                <w:sz w:val="10"/>
              </w:rPr>
            </w:pPr>
            <w:r>
              <w:rPr>
                <w:b/>
                <w:color w:val="404040"/>
                <w:sz w:val="16"/>
              </w:rPr>
              <w:t>Change due to Average Lifetime Cost</w:t>
            </w:r>
            <w:r>
              <w:rPr>
                <w:b/>
                <w:color w:val="404040"/>
                <w:position w:val="6"/>
                <w:sz w:val="10"/>
              </w:rPr>
              <w:t>2</w:t>
            </w:r>
          </w:p>
        </w:tc>
        <w:tc>
          <w:tcPr>
            <w:tcW w:w="1270" w:type="dxa"/>
            <w:tcBorders>
              <w:top w:val="single" w:sz="4" w:space="0" w:color="DF2F1E"/>
              <w:left w:val="single" w:sz="4" w:space="0" w:color="DF2F1E"/>
              <w:right w:val="single" w:sz="4" w:space="0" w:color="DF2F1E"/>
            </w:tcBorders>
          </w:tcPr>
          <w:p>
            <w:pPr>
              <w:pStyle w:val="TableParagraph"/>
              <w:ind w:left="39" w:right="23"/>
              <w:jc w:val="center"/>
              <w:rPr>
                <w:sz w:val="16"/>
              </w:rPr>
            </w:pPr>
            <w:r>
              <w:rPr>
                <w:color w:val="404040"/>
                <w:sz w:val="16"/>
              </w:rPr>
              <w:t>-$20k (-13.6%)</w:t>
            </w:r>
          </w:p>
        </w:tc>
        <w:tc>
          <w:tcPr>
            <w:tcW w:w="1248" w:type="dxa"/>
            <w:tcBorders>
              <w:top w:val="single" w:sz="4" w:space="0" w:color="DF2F1E"/>
              <w:left w:val="single" w:sz="4" w:space="0" w:color="DF2F1E"/>
            </w:tcBorders>
          </w:tcPr>
          <w:p>
            <w:pPr>
              <w:pStyle w:val="TableParagraph"/>
              <w:ind w:left="469"/>
              <w:rPr>
                <w:sz w:val="16"/>
              </w:rPr>
            </w:pPr>
            <w:r>
              <w:rPr>
                <w:color w:val="404040"/>
                <w:sz w:val="16"/>
              </w:rPr>
              <w:t>-$8k</w:t>
            </w:r>
          </w:p>
        </w:tc>
        <w:tc>
          <w:tcPr>
            <w:tcW w:w="1238" w:type="dxa"/>
            <w:tcBorders>
              <w:top w:val="single" w:sz="4" w:space="0" w:color="DF2F1E"/>
              <w:right w:val="dashSmallGap" w:sz="4" w:space="0" w:color="DF2F1E"/>
            </w:tcBorders>
          </w:tcPr>
          <w:p>
            <w:pPr>
              <w:pStyle w:val="TableParagraph"/>
              <w:ind w:left="400" w:right="391"/>
              <w:jc w:val="center"/>
              <w:rPr>
                <w:sz w:val="16"/>
              </w:rPr>
            </w:pPr>
            <w:r>
              <w:rPr>
                <w:color w:val="404040"/>
                <w:sz w:val="16"/>
              </w:rPr>
              <w:t>-$11k</w:t>
            </w:r>
          </w:p>
        </w:tc>
        <w:tc>
          <w:tcPr>
            <w:tcW w:w="1312" w:type="dxa"/>
            <w:tcBorders>
              <w:top w:val="single" w:sz="4" w:space="0" w:color="DF2F1E"/>
              <w:left w:val="dashSmallGap" w:sz="4" w:space="0" w:color="DF2F1E"/>
            </w:tcBorders>
          </w:tcPr>
          <w:p>
            <w:pPr>
              <w:pStyle w:val="TableParagraph"/>
              <w:ind w:left="456" w:right="456"/>
              <w:jc w:val="center"/>
              <w:rPr>
                <w:sz w:val="16"/>
              </w:rPr>
            </w:pPr>
            <w:r>
              <w:rPr>
                <w:color w:val="404040"/>
                <w:sz w:val="16"/>
              </w:rPr>
              <w:t>-$3k</w:t>
            </w:r>
          </w:p>
        </w:tc>
        <w:tc>
          <w:tcPr>
            <w:tcW w:w="1311" w:type="dxa"/>
            <w:tcBorders>
              <w:top w:val="single" w:sz="4" w:space="0" w:color="DF2F1E"/>
              <w:right w:val="single" w:sz="4" w:space="0" w:color="DF2F1E"/>
            </w:tcBorders>
          </w:tcPr>
          <w:p>
            <w:pPr>
              <w:pStyle w:val="TableParagraph"/>
              <w:ind w:right="470"/>
              <w:jc w:val="right"/>
              <w:rPr>
                <w:sz w:val="16"/>
              </w:rPr>
            </w:pPr>
            <w:r>
              <w:rPr>
                <w:color w:val="404040"/>
                <w:sz w:val="16"/>
              </w:rPr>
              <w:t>+$1k</w:t>
            </w:r>
          </w:p>
        </w:tc>
      </w:tr>
      <w:tr>
        <w:trPr>
          <w:trHeight w:val="263" w:hRule="atLeast"/>
        </w:trPr>
        <w:tc>
          <w:tcPr>
            <w:tcW w:w="3120" w:type="dxa"/>
            <w:tcBorders>
              <w:left w:val="single" w:sz="4" w:space="0" w:color="DF2F1E"/>
              <w:right w:val="single" w:sz="4" w:space="0" w:color="DF2F1E"/>
            </w:tcBorders>
          </w:tcPr>
          <w:p>
            <w:pPr>
              <w:pStyle w:val="TableParagraph"/>
              <w:spacing w:before="36"/>
              <w:ind w:left="57"/>
              <w:rPr>
                <w:b/>
                <w:sz w:val="16"/>
              </w:rPr>
            </w:pPr>
            <w:r>
              <w:rPr>
                <w:b/>
                <w:color w:val="404040"/>
                <w:sz w:val="16"/>
              </w:rPr>
              <w:t>- Impact of change in inflation</w:t>
            </w:r>
          </w:p>
        </w:tc>
        <w:tc>
          <w:tcPr>
            <w:tcW w:w="1270" w:type="dxa"/>
            <w:tcBorders>
              <w:left w:val="single" w:sz="4" w:space="0" w:color="DF2F1E"/>
              <w:right w:val="single" w:sz="4" w:space="0" w:color="DF2F1E"/>
            </w:tcBorders>
          </w:tcPr>
          <w:p>
            <w:pPr>
              <w:pStyle w:val="TableParagraph"/>
              <w:spacing w:before="39"/>
              <w:ind w:left="88" w:right="72"/>
              <w:jc w:val="center"/>
              <w:rPr>
                <w:sz w:val="16"/>
              </w:rPr>
            </w:pPr>
            <w:r>
              <w:rPr>
                <w:color w:val="404040"/>
                <w:sz w:val="16"/>
              </w:rPr>
              <w:t>+$4k</w:t>
            </w:r>
          </w:p>
        </w:tc>
        <w:tc>
          <w:tcPr>
            <w:tcW w:w="1248" w:type="dxa"/>
            <w:tcBorders>
              <w:left w:val="single" w:sz="4" w:space="0" w:color="DF2F1E"/>
            </w:tcBorders>
          </w:tcPr>
          <w:p>
            <w:pPr>
              <w:pStyle w:val="TableParagraph"/>
              <w:spacing w:before="39"/>
              <w:ind w:left="450"/>
              <w:rPr>
                <w:sz w:val="16"/>
              </w:rPr>
            </w:pPr>
            <w:r>
              <w:rPr>
                <w:color w:val="A6A6A6"/>
                <w:sz w:val="16"/>
              </w:rPr>
              <w:t>&lt;$1k</w:t>
            </w:r>
          </w:p>
        </w:tc>
        <w:tc>
          <w:tcPr>
            <w:tcW w:w="1238" w:type="dxa"/>
            <w:tcBorders>
              <w:right w:val="dashSmallGap" w:sz="4" w:space="0" w:color="DF2F1E"/>
            </w:tcBorders>
          </w:tcPr>
          <w:p>
            <w:pPr>
              <w:pStyle w:val="TableParagraph"/>
              <w:spacing w:before="39"/>
              <w:ind w:left="400" w:right="391"/>
              <w:jc w:val="center"/>
              <w:rPr>
                <w:sz w:val="16"/>
              </w:rPr>
            </w:pPr>
            <w:r>
              <w:rPr>
                <w:color w:val="404040"/>
                <w:sz w:val="16"/>
              </w:rPr>
              <w:t>+$2k</w:t>
            </w:r>
          </w:p>
        </w:tc>
        <w:tc>
          <w:tcPr>
            <w:tcW w:w="1312" w:type="dxa"/>
            <w:tcBorders>
              <w:left w:val="dashSmallGap" w:sz="4" w:space="0" w:color="DF2F1E"/>
            </w:tcBorders>
          </w:tcPr>
          <w:p>
            <w:pPr>
              <w:pStyle w:val="TableParagraph"/>
              <w:spacing w:before="39"/>
              <w:ind w:left="458" w:right="455"/>
              <w:jc w:val="center"/>
              <w:rPr>
                <w:sz w:val="16"/>
              </w:rPr>
            </w:pPr>
            <w:r>
              <w:rPr>
                <w:color w:val="A6A6A6"/>
                <w:sz w:val="16"/>
              </w:rPr>
              <w:t>&lt;$1k</w:t>
            </w:r>
          </w:p>
        </w:tc>
        <w:tc>
          <w:tcPr>
            <w:tcW w:w="1311" w:type="dxa"/>
            <w:tcBorders>
              <w:right w:val="single" w:sz="4" w:space="0" w:color="DF2F1E"/>
            </w:tcBorders>
          </w:tcPr>
          <w:p>
            <w:pPr>
              <w:pStyle w:val="TableParagraph"/>
              <w:spacing w:before="39"/>
              <w:ind w:right="470"/>
              <w:jc w:val="right"/>
              <w:rPr>
                <w:sz w:val="16"/>
              </w:rPr>
            </w:pPr>
            <w:r>
              <w:rPr>
                <w:color w:val="A6A6A6"/>
                <w:sz w:val="16"/>
              </w:rPr>
              <w:t>&lt;$1k</w:t>
            </w:r>
          </w:p>
        </w:tc>
      </w:tr>
      <w:tr>
        <w:trPr>
          <w:trHeight w:val="264" w:hRule="atLeast"/>
        </w:trPr>
        <w:tc>
          <w:tcPr>
            <w:tcW w:w="3120" w:type="dxa"/>
            <w:tcBorders>
              <w:left w:val="single" w:sz="4" w:space="0" w:color="DF2F1E"/>
              <w:right w:val="single" w:sz="4" w:space="0" w:color="DF2F1E"/>
            </w:tcBorders>
          </w:tcPr>
          <w:p>
            <w:pPr>
              <w:pStyle w:val="TableParagraph"/>
              <w:spacing w:before="36"/>
              <w:ind w:left="57"/>
              <w:rPr>
                <w:b/>
                <w:sz w:val="16"/>
              </w:rPr>
            </w:pPr>
            <w:r>
              <w:rPr>
                <w:b/>
                <w:color w:val="404040"/>
                <w:sz w:val="16"/>
              </w:rPr>
              <w:t>- Impact of Age Pension forecast</w:t>
            </w:r>
          </w:p>
        </w:tc>
        <w:tc>
          <w:tcPr>
            <w:tcW w:w="1270" w:type="dxa"/>
            <w:tcBorders>
              <w:left w:val="single" w:sz="4" w:space="0" w:color="DF2F1E"/>
              <w:right w:val="single" w:sz="4" w:space="0" w:color="DF2F1E"/>
            </w:tcBorders>
          </w:tcPr>
          <w:p>
            <w:pPr>
              <w:pStyle w:val="TableParagraph"/>
              <w:spacing w:before="39"/>
              <w:ind w:left="88" w:right="74"/>
              <w:jc w:val="center"/>
              <w:rPr>
                <w:sz w:val="16"/>
              </w:rPr>
            </w:pPr>
            <w:r>
              <w:rPr>
                <w:color w:val="404040"/>
                <w:sz w:val="16"/>
              </w:rPr>
              <w:t>-$3k</w:t>
            </w:r>
          </w:p>
        </w:tc>
        <w:tc>
          <w:tcPr>
            <w:tcW w:w="1248" w:type="dxa"/>
            <w:tcBorders>
              <w:left w:val="single" w:sz="4" w:space="0" w:color="DF2F1E"/>
            </w:tcBorders>
          </w:tcPr>
          <w:p>
            <w:pPr>
              <w:pStyle w:val="TableParagraph"/>
              <w:spacing w:before="39"/>
              <w:ind w:left="450"/>
              <w:rPr>
                <w:sz w:val="16"/>
              </w:rPr>
            </w:pPr>
            <w:r>
              <w:rPr>
                <w:color w:val="A6A6A6"/>
                <w:sz w:val="16"/>
              </w:rPr>
              <w:t>&lt;$1k</w:t>
            </w:r>
          </w:p>
        </w:tc>
        <w:tc>
          <w:tcPr>
            <w:tcW w:w="1238" w:type="dxa"/>
            <w:tcBorders>
              <w:right w:val="dashSmallGap" w:sz="4" w:space="0" w:color="DF2F1E"/>
            </w:tcBorders>
          </w:tcPr>
          <w:p>
            <w:pPr>
              <w:pStyle w:val="TableParagraph"/>
              <w:spacing w:before="39"/>
              <w:ind w:left="398" w:right="391"/>
              <w:jc w:val="center"/>
              <w:rPr>
                <w:sz w:val="16"/>
              </w:rPr>
            </w:pPr>
            <w:r>
              <w:rPr>
                <w:color w:val="404040"/>
                <w:sz w:val="16"/>
              </w:rPr>
              <w:t>-$2k</w:t>
            </w:r>
          </w:p>
        </w:tc>
        <w:tc>
          <w:tcPr>
            <w:tcW w:w="1312" w:type="dxa"/>
            <w:tcBorders>
              <w:left w:val="dashSmallGap" w:sz="4" w:space="0" w:color="DF2F1E"/>
            </w:tcBorders>
          </w:tcPr>
          <w:p>
            <w:pPr>
              <w:pStyle w:val="TableParagraph"/>
              <w:spacing w:before="39"/>
              <w:ind w:left="458" w:right="455"/>
              <w:jc w:val="center"/>
              <w:rPr>
                <w:sz w:val="16"/>
              </w:rPr>
            </w:pPr>
            <w:r>
              <w:rPr>
                <w:color w:val="A6A6A6"/>
                <w:sz w:val="16"/>
              </w:rPr>
              <w:t>&lt;$1k</w:t>
            </w:r>
          </w:p>
        </w:tc>
        <w:tc>
          <w:tcPr>
            <w:tcW w:w="1311" w:type="dxa"/>
            <w:tcBorders>
              <w:right w:val="single" w:sz="4" w:space="0" w:color="DF2F1E"/>
            </w:tcBorders>
          </w:tcPr>
          <w:p>
            <w:pPr>
              <w:pStyle w:val="TableParagraph"/>
              <w:spacing w:before="39"/>
              <w:ind w:right="470"/>
              <w:jc w:val="right"/>
              <w:rPr>
                <w:sz w:val="16"/>
              </w:rPr>
            </w:pPr>
            <w:r>
              <w:rPr>
                <w:color w:val="A6A6A6"/>
                <w:sz w:val="16"/>
              </w:rPr>
              <w:t>&lt;$1k</w:t>
            </w:r>
          </w:p>
        </w:tc>
      </w:tr>
      <w:tr>
        <w:trPr>
          <w:trHeight w:val="265" w:hRule="atLeast"/>
        </w:trPr>
        <w:tc>
          <w:tcPr>
            <w:tcW w:w="3120" w:type="dxa"/>
            <w:tcBorders>
              <w:left w:val="single" w:sz="4" w:space="0" w:color="DF2F1E"/>
              <w:bottom w:val="single" w:sz="4" w:space="0" w:color="DF2F1E"/>
              <w:right w:val="single" w:sz="4" w:space="0" w:color="DF2F1E"/>
            </w:tcBorders>
          </w:tcPr>
          <w:p>
            <w:pPr>
              <w:pStyle w:val="TableParagraph"/>
              <w:spacing w:before="36"/>
              <w:ind w:left="57"/>
              <w:rPr>
                <w:b/>
                <w:sz w:val="16"/>
              </w:rPr>
            </w:pPr>
            <w:r>
              <w:rPr>
                <w:b/>
                <w:color w:val="404040"/>
                <w:sz w:val="16"/>
              </w:rPr>
              <w:t>- Impact of other changes</w:t>
            </w:r>
          </w:p>
        </w:tc>
        <w:tc>
          <w:tcPr>
            <w:tcW w:w="1270" w:type="dxa"/>
            <w:tcBorders>
              <w:left w:val="single" w:sz="4" w:space="0" w:color="DF2F1E"/>
              <w:bottom w:val="single" w:sz="4" w:space="0" w:color="DF2F1E"/>
              <w:right w:val="single" w:sz="4" w:space="0" w:color="DF2F1E"/>
            </w:tcBorders>
          </w:tcPr>
          <w:p>
            <w:pPr>
              <w:pStyle w:val="TableParagraph"/>
              <w:spacing w:before="39"/>
              <w:ind w:left="88" w:right="77"/>
              <w:jc w:val="center"/>
              <w:rPr>
                <w:sz w:val="16"/>
              </w:rPr>
            </w:pPr>
            <w:r>
              <w:rPr>
                <w:color w:val="404040"/>
                <w:sz w:val="16"/>
              </w:rPr>
              <w:t>-$21k</w:t>
            </w:r>
          </w:p>
        </w:tc>
        <w:tc>
          <w:tcPr>
            <w:tcW w:w="1248" w:type="dxa"/>
            <w:tcBorders>
              <w:left w:val="single" w:sz="4" w:space="0" w:color="DF2F1E"/>
              <w:bottom w:val="single" w:sz="4" w:space="0" w:color="DF2F1E"/>
            </w:tcBorders>
          </w:tcPr>
          <w:p>
            <w:pPr>
              <w:pStyle w:val="TableParagraph"/>
              <w:spacing w:before="39"/>
              <w:ind w:left="469"/>
              <w:rPr>
                <w:sz w:val="16"/>
              </w:rPr>
            </w:pPr>
            <w:r>
              <w:rPr>
                <w:color w:val="404040"/>
                <w:sz w:val="16"/>
              </w:rPr>
              <w:t>-$8k</w:t>
            </w:r>
          </w:p>
        </w:tc>
        <w:tc>
          <w:tcPr>
            <w:tcW w:w="1238" w:type="dxa"/>
            <w:tcBorders>
              <w:bottom w:val="single" w:sz="4" w:space="0" w:color="DF2F1E"/>
              <w:right w:val="dashSmallGap" w:sz="4" w:space="0" w:color="DF2F1E"/>
            </w:tcBorders>
          </w:tcPr>
          <w:p>
            <w:pPr>
              <w:pStyle w:val="TableParagraph"/>
              <w:spacing w:before="39"/>
              <w:ind w:left="400" w:right="391"/>
              <w:jc w:val="center"/>
              <w:rPr>
                <w:sz w:val="16"/>
              </w:rPr>
            </w:pPr>
            <w:r>
              <w:rPr>
                <w:color w:val="404040"/>
                <w:sz w:val="16"/>
              </w:rPr>
              <w:t>-$11k</w:t>
            </w:r>
          </w:p>
        </w:tc>
        <w:tc>
          <w:tcPr>
            <w:tcW w:w="1312" w:type="dxa"/>
            <w:tcBorders>
              <w:left w:val="dashSmallGap" w:sz="4" w:space="0" w:color="DF2F1E"/>
              <w:bottom w:val="single" w:sz="4" w:space="0" w:color="DF2F1E"/>
            </w:tcBorders>
          </w:tcPr>
          <w:p>
            <w:pPr>
              <w:pStyle w:val="TableParagraph"/>
              <w:spacing w:before="39"/>
              <w:ind w:left="456" w:right="456"/>
              <w:jc w:val="center"/>
              <w:rPr>
                <w:sz w:val="16"/>
              </w:rPr>
            </w:pPr>
            <w:r>
              <w:rPr>
                <w:color w:val="404040"/>
                <w:sz w:val="16"/>
              </w:rPr>
              <w:t>-$3k</w:t>
            </w:r>
          </w:p>
        </w:tc>
        <w:tc>
          <w:tcPr>
            <w:tcW w:w="1311" w:type="dxa"/>
            <w:tcBorders>
              <w:bottom w:val="single" w:sz="4" w:space="0" w:color="DF2F1E"/>
              <w:right w:val="single" w:sz="4" w:space="0" w:color="DF2F1E"/>
            </w:tcBorders>
          </w:tcPr>
          <w:p>
            <w:pPr>
              <w:pStyle w:val="TableParagraph"/>
              <w:spacing w:before="39"/>
              <w:ind w:right="470"/>
              <w:jc w:val="right"/>
              <w:rPr>
                <w:sz w:val="16"/>
              </w:rPr>
            </w:pPr>
            <w:r>
              <w:rPr>
                <w:color w:val="404040"/>
                <w:sz w:val="16"/>
              </w:rPr>
              <w:t>+$1k</w:t>
            </w:r>
          </w:p>
        </w:tc>
      </w:tr>
    </w:tbl>
    <w:p>
      <w:pPr>
        <w:spacing w:before="78"/>
        <w:ind w:left="900" w:right="0" w:firstLine="0"/>
        <w:jc w:val="left"/>
        <w:rPr>
          <w:sz w:val="16"/>
        </w:rPr>
      </w:pPr>
      <w:r>
        <w:rPr>
          <w:color w:val="DF2F1E"/>
          <w:sz w:val="16"/>
        </w:rPr>
        <w:t>Notes:</w:t>
      </w:r>
    </w:p>
    <w:p>
      <w:pPr>
        <w:pStyle w:val="ListParagraph"/>
        <w:numPr>
          <w:ilvl w:val="0"/>
          <w:numId w:val="71"/>
        </w:numPr>
        <w:tabs>
          <w:tab w:pos="1619" w:val="left" w:leader="none"/>
          <w:tab w:pos="1621" w:val="left" w:leader="none"/>
        </w:tabs>
        <w:spacing w:line="240" w:lineRule="auto" w:before="80" w:after="0"/>
        <w:ind w:left="1620" w:right="1554" w:hanging="361"/>
        <w:jc w:val="left"/>
        <w:rPr>
          <w:sz w:val="16"/>
        </w:rPr>
      </w:pPr>
      <w:r>
        <w:rPr>
          <w:color w:val="DF2F1E"/>
          <w:sz w:val="16"/>
        </w:rPr>
        <w:t>Note that payment categories H, I and J have been included in family supplements and the remaining non income support payment categories in other</w:t>
      </w:r>
      <w:r>
        <w:rPr>
          <w:color w:val="DF2F1E"/>
          <w:spacing w:val="-3"/>
          <w:sz w:val="16"/>
        </w:rPr>
        <w:t> </w:t>
      </w:r>
      <w:r>
        <w:rPr>
          <w:color w:val="DF2F1E"/>
          <w:sz w:val="16"/>
        </w:rPr>
        <w:t>supplements.</w:t>
      </w:r>
    </w:p>
    <w:p>
      <w:pPr>
        <w:pStyle w:val="ListParagraph"/>
        <w:numPr>
          <w:ilvl w:val="0"/>
          <w:numId w:val="71"/>
        </w:numPr>
        <w:tabs>
          <w:tab w:pos="1620" w:val="left" w:leader="none"/>
          <w:tab w:pos="1621" w:val="left" w:leader="none"/>
        </w:tabs>
        <w:spacing w:line="240" w:lineRule="auto" w:before="80" w:after="0"/>
        <w:ind w:left="1620" w:right="1484" w:hanging="361"/>
        <w:jc w:val="left"/>
        <w:rPr>
          <w:sz w:val="16"/>
        </w:rPr>
      </w:pPr>
      <w:r>
        <w:rPr>
          <w:color w:val="DF2F1E"/>
          <w:sz w:val="16"/>
        </w:rPr>
        <w:t>The June 2017 rebased Lifetime Cost represents a recalculation of the June 2017 lifetime cost, but using a discount rate of 5% p.a. for consistency with the June 2018 results. All changes are shown relative to this rebased lifetime</w:t>
      </w:r>
      <w:r>
        <w:rPr>
          <w:color w:val="DF2F1E"/>
          <w:spacing w:val="-33"/>
          <w:sz w:val="16"/>
        </w:rPr>
        <w:t> </w:t>
      </w:r>
      <w:r>
        <w:rPr>
          <w:color w:val="DF2F1E"/>
          <w:sz w:val="16"/>
        </w:rPr>
        <w:t>cost.</w:t>
      </w:r>
    </w:p>
    <w:p>
      <w:pPr>
        <w:pStyle w:val="BodyText"/>
        <w:spacing w:before="121"/>
        <w:ind w:left="899" w:right="1087"/>
      </w:pPr>
      <w:r>
        <w:rPr>
          <w:color w:val="404040"/>
        </w:rPr>
        <w:t>The decrease in average cost is driven by a decrease of the projected use of pre-retirement income support, a flow on decrease to the likelihood of subsequently transitioning to Age Pension, a further decrease in projected Age Pension use as a result of the change to the Age Pension forecast, and a decrease in the projected utilisation of family supplements. All of these will be driven by the change in profile mix of the class.</w:t>
      </w:r>
    </w:p>
    <w:p>
      <w:pPr>
        <w:pStyle w:val="BodyText"/>
        <w:spacing w:before="121"/>
        <w:ind w:left="900"/>
      </w:pPr>
      <w:r>
        <w:rPr>
          <w:color w:val="404040"/>
        </w:rPr>
        <w:t>These decreases have been mostly offset by an increase in the cost of future payments as a result of inflation.</w:t>
      </w:r>
    </w:p>
    <w:p>
      <w:pPr>
        <w:pStyle w:val="BodyText"/>
        <w:spacing w:before="9"/>
      </w:pPr>
    </w:p>
    <w:p>
      <w:pPr>
        <w:pStyle w:val="Heading6"/>
        <w:rPr>
          <w:i/>
        </w:rPr>
      </w:pPr>
      <w:r>
        <w:rPr>
          <w:i/>
          <w:color w:val="DF2F1E"/>
        </w:rPr>
        <w:t>Future outcomes</w:t>
      </w:r>
    </w:p>
    <w:p>
      <w:pPr>
        <w:pStyle w:val="BodyText"/>
        <w:spacing w:before="121"/>
        <w:ind w:left="900" w:right="1197"/>
      </w:pPr>
      <w:r>
        <w:rPr>
          <w:color w:val="404040"/>
        </w:rPr>
        <w:t>In developing the valuation results the projection model also produces information on the expected transitions for people out of each class, as shown below.</w:t>
      </w:r>
    </w:p>
    <w:p>
      <w:pPr>
        <w:pStyle w:val="Heading9"/>
        <w:spacing w:before="176"/>
      </w:pPr>
      <w:r>
        <w:rPr>
          <w:color w:val="DF2F1E"/>
        </w:rPr>
        <w:t>Figure 95: Expected future trajectory for people in class 9</w:t>
      </w:r>
    </w:p>
    <w:p>
      <w:pPr>
        <w:spacing w:after="0"/>
        <w:sectPr>
          <w:pgSz w:w="11910" w:h="16850"/>
          <w:pgMar w:header="572" w:footer="581" w:top="780" w:bottom="780" w:left="120" w:right="0"/>
        </w:sectPr>
      </w:pPr>
    </w:p>
    <w:p>
      <w:pPr>
        <w:pStyle w:val="BodyText"/>
        <w:spacing w:before="1"/>
        <w:rPr>
          <w:b/>
          <w:sz w:val="14"/>
        </w:rPr>
      </w:pPr>
    </w:p>
    <w:p>
      <w:pPr>
        <w:spacing w:before="0"/>
        <w:ind w:left="0" w:right="979" w:firstLine="0"/>
        <w:jc w:val="right"/>
        <w:rPr>
          <w:rFonts w:ascii="Calibri"/>
          <w:sz w:val="15"/>
        </w:rPr>
      </w:pPr>
      <w:r>
        <w:rPr/>
        <w:pict>
          <v:group style="position:absolute;margin-left:108.282623pt;margin-top:4.39304pt;width:246pt;height:119.4pt;mso-position-horizontal-relative:page;mso-position-vertical-relative:paragraph;z-index:252710912" coordorigin="2166,88" coordsize="4920,2388">
            <v:shape style="position:absolute;left:2207;top:87;width:4867;height:2335" type="#_x0000_t75" stroked="false">
              <v:imagedata r:id="rId188" o:title=""/>
            </v:shape>
            <v:line style="position:absolute" from="2207,94" to="7073,94" stroked="true" strokeweight=".592527pt" strokecolor="#000000">
              <v:stroke dashstyle="solid"/>
            </v:line>
            <v:line style="position:absolute" from="2213,2417" to="2213,94" stroked="true" strokeweight=".593423pt" strokecolor="#858585">
              <v:stroke dashstyle="solid"/>
            </v:line>
            <v:shape style="position:absolute;left:0;top:7624;width:13369;height:655053" coordorigin="0,7624" coordsize="13369,655053" path="m2166,2416l2213,2416m2166,2191l2213,2191m2166,1954l2213,1954m2166,1729l2213,1729m2166,1492l2213,1492m2166,1255l2213,1255m2166,1030l2213,1030m2166,793l2213,793m2166,556l2213,556m2166,331l2213,331m2166,94l2213,94e" filled="false" stroked="true" strokeweight=".592972pt" strokecolor="#858585">
              <v:path arrowok="t"/>
              <v:stroke dashstyle="solid"/>
            </v:shape>
            <v:shape style="position:absolute;left:0;top:-380;width:654744;height:8005" coordorigin="0,-380" coordsize="654744,8005" path="m2213,2417l7067,2417m2213,2417l2213,2476m2379,2417l2379,2476m2534,2417l2534,2476m2700,2417l2700,2476m2866,2417l2866,2476m3020,2417l3020,2476m3186,2417l3186,2476m3352,2417l3352,2476m3507,2417l3507,2476m3673,2417l3673,2476m3827,2417l3827,2476m3993,2417l3993,2476m4160,2417l4160,2476m4314,2417l4314,2476m4480,2417l4480,2476m4646,2417l4646,2476m4800,2417l4800,2476m4967,2417l4967,2476m5133,2417l5133,2476m5287,2417l5287,2476m5453,2417l5453,2476m5608,2417l5608,2476m5774,2417l5774,2476m5940,2417l5940,2476m6094,2417l6094,2476m6260,2417l6260,2476m6426,2417l6426,2476m6581,2417l6581,2476m6747,2417l6747,2476m6901,2417l6901,2476m7067,2417l7067,2476e" filled="false" stroked="true" strokeweight=".592975pt" strokecolor="#858585">
              <v:path arrowok="t"/>
              <v:stroke dashstyle="solid"/>
            </v:shape>
            <v:shape style="position:absolute;left:2219;top:99;width:4855;height:1897" coordorigin="2219,100" coordsize="4855,1897" path="m2219,100l2373,206,2540,574,2706,669,2860,775,3026,858,3180,941,3347,1036,3513,1119,3667,1190,3833,1273,3999,1344,4154,1403,4320,1474,4474,1534,4640,1593,4806,1640,4961,1688,5127,1735,5293,1782,5447,1818,5613,1854,5780,1889,5934,1913,6100,1937,6254,1960,6420,1972,6587,1984,6741,1996,6907,1996,7073,1984e" filled="false" stroked="true" strokeweight="1.185294pt" strokecolor="#ffffff">
              <v:path arrowok="t"/>
              <v:stroke dashstyle="longdash"/>
            </v:shape>
            <w10:wrap type="none"/>
          </v:group>
        </w:pict>
      </w:r>
      <w:r>
        <w:rPr>
          <w:rFonts w:ascii="Calibri"/>
          <w:sz w:val="15"/>
        </w:rPr>
        <w:t>100%</w:t>
      </w:r>
    </w:p>
    <w:p>
      <w:pPr>
        <w:spacing w:before="50"/>
        <w:ind w:left="0" w:right="970" w:firstLine="0"/>
        <w:jc w:val="right"/>
        <w:rPr>
          <w:rFonts w:ascii="Calibri"/>
          <w:sz w:val="15"/>
        </w:rPr>
      </w:pPr>
      <w:r>
        <w:rPr/>
        <w:pict>
          <v:shape style="position:absolute;margin-left:74.647224pt;margin-top:8.152317pt;width:9.75pt;height:91.05pt;mso-position-horizontal-relative:page;mso-position-vertical-relative:paragraph;z-index:252712960" type="#_x0000_t202" filled="false" stroked="false">
            <v:textbox inset="0,0,0,0" style="layout-flow:vertical;mso-layout-flow-alt:bottom-to-top">
              <w:txbxContent>
                <w:p>
                  <w:pPr>
                    <w:spacing w:line="176" w:lineRule="exact" w:before="0"/>
                    <w:ind w:left="20" w:right="0" w:firstLine="0"/>
                    <w:jc w:val="left"/>
                    <w:rPr>
                      <w:rFonts w:ascii="Calibri"/>
                      <w:b/>
                      <w:sz w:val="15"/>
                    </w:rPr>
                  </w:pPr>
                  <w:r>
                    <w:rPr>
                      <w:rFonts w:ascii="Calibri"/>
                      <w:b/>
                      <w:w w:val="105"/>
                      <w:sz w:val="15"/>
                    </w:rPr>
                    <w:t>Proportion In Welfare Class</w:t>
                  </w:r>
                </w:p>
              </w:txbxContent>
            </v:textbox>
            <w10:wrap type="none"/>
          </v:shape>
        </w:pict>
      </w:r>
      <w:r>
        <w:rPr>
          <w:rFonts w:ascii="Calibri"/>
          <w:spacing w:val="2"/>
          <w:sz w:val="15"/>
        </w:rPr>
        <w:t>90%</w:t>
      </w:r>
    </w:p>
    <w:p>
      <w:pPr>
        <w:spacing w:before="49"/>
        <w:ind w:left="0" w:right="970" w:firstLine="0"/>
        <w:jc w:val="right"/>
        <w:rPr>
          <w:rFonts w:ascii="Calibri"/>
          <w:sz w:val="15"/>
        </w:rPr>
      </w:pPr>
      <w:r>
        <w:rPr>
          <w:rFonts w:ascii="Calibri"/>
          <w:spacing w:val="2"/>
          <w:sz w:val="15"/>
        </w:rPr>
        <w:t>80%</w:t>
      </w:r>
    </w:p>
    <w:p>
      <w:pPr>
        <w:spacing w:before="50"/>
        <w:ind w:left="0" w:right="970" w:firstLine="0"/>
        <w:jc w:val="right"/>
        <w:rPr>
          <w:rFonts w:ascii="Calibri"/>
          <w:sz w:val="15"/>
        </w:rPr>
      </w:pPr>
      <w:r>
        <w:rPr>
          <w:rFonts w:ascii="Calibri"/>
          <w:spacing w:val="2"/>
          <w:sz w:val="15"/>
        </w:rPr>
        <w:t>70%</w:t>
      </w:r>
    </w:p>
    <w:p>
      <w:pPr>
        <w:spacing w:before="50"/>
        <w:ind w:left="0" w:right="970" w:firstLine="0"/>
        <w:jc w:val="right"/>
        <w:rPr>
          <w:rFonts w:ascii="Calibri"/>
          <w:sz w:val="15"/>
        </w:rPr>
      </w:pPr>
      <w:r>
        <w:rPr>
          <w:rFonts w:ascii="Calibri"/>
          <w:spacing w:val="2"/>
          <w:sz w:val="15"/>
        </w:rPr>
        <w:t>60%</w:t>
      </w:r>
    </w:p>
    <w:p>
      <w:pPr>
        <w:spacing w:before="50"/>
        <w:ind w:left="0" w:right="970" w:firstLine="0"/>
        <w:jc w:val="right"/>
        <w:rPr>
          <w:rFonts w:ascii="Calibri"/>
          <w:sz w:val="15"/>
        </w:rPr>
      </w:pPr>
      <w:r>
        <w:rPr>
          <w:rFonts w:ascii="Calibri"/>
          <w:spacing w:val="2"/>
          <w:sz w:val="15"/>
        </w:rPr>
        <w:t>50%</w:t>
      </w:r>
    </w:p>
    <w:p>
      <w:pPr>
        <w:spacing w:before="49"/>
        <w:ind w:left="0" w:right="970" w:firstLine="0"/>
        <w:jc w:val="right"/>
        <w:rPr>
          <w:rFonts w:ascii="Calibri"/>
          <w:sz w:val="15"/>
        </w:rPr>
      </w:pPr>
      <w:r>
        <w:rPr>
          <w:rFonts w:ascii="Calibri"/>
          <w:spacing w:val="2"/>
          <w:sz w:val="15"/>
        </w:rPr>
        <w:t>40%</w:t>
      </w:r>
    </w:p>
    <w:p>
      <w:pPr>
        <w:spacing w:before="50"/>
        <w:ind w:left="0" w:right="970" w:firstLine="0"/>
        <w:jc w:val="right"/>
        <w:rPr>
          <w:rFonts w:ascii="Calibri"/>
          <w:sz w:val="15"/>
        </w:rPr>
      </w:pPr>
      <w:r>
        <w:rPr>
          <w:rFonts w:ascii="Calibri"/>
          <w:spacing w:val="2"/>
          <w:sz w:val="15"/>
        </w:rPr>
        <w:t>30%</w:t>
      </w:r>
    </w:p>
    <w:p>
      <w:pPr>
        <w:spacing w:before="50"/>
        <w:ind w:left="0" w:right="970" w:firstLine="0"/>
        <w:jc w:val="right"/>
        <w:rPr>
          <w:rFonts w:ascii="Calibri"/>
          <w:sz w:val="15"/>
        </w:rPr>
      </w:pPr>
      <w:r>
        <w:rPr>
          <w:rFonts w:ascii="Calibri"/>
          <w:spacing w:val="2"/>
          <w:sz w:val="15"/>
        </w:rPr>
        <w:t>20%</w:t>
      </w:r>
    </w:p>
    <w:p>
      <w:pPr>
        <w:spacing w:before="50"/>
        <w:ind w:left="0" w:right="970" w:firstLine="0"/>
        <w:jc w:val="right"/>
        <w:rPr>
          <w:rFonts w:ascii="Calibri"/>
          <w:sz w:val="15"/>
        </w:rPr>
      </w:pPr>
      <w:r>
        <w:rPr>
          <w:rFonts w:ascii="Calibri"/>
          <w:spacing w:val="2"/>
          <w:sz w:val="15"/>
        </w:rPr>
        <w:t>10%</w:t>
      </w:r>
    </w:p>
    <w:p>
      <w:pPr>
        <w:spacing w:before="49"/>
        <w:ind w:left="0" w:right="973" w:firstLine="0"/>
        <w:jc w:val="right"/>
        <w:rPr>
          <w:rFonts w:ascii="Calibri"/>
          <w:sz w:val="15"/>
        </w:rPr>
      </w:pPr>
      <w:r>
        <w:rPr>
          <w:rFonts w:ascii="Calibri"/>
          <w:w w:val="105"/>
          <w:sz w:val="15"/>
        </w:rPr>
        <w:t>0%</w:t>
      </w:r>
    </w:p>
    <w:p>
      <w:pPr>
        <w:pStyle w:val="BodyText"/>
        <w:spacing w:before="9"/>
        <w:rPr>
          <w:rFonts w:ascii="Calibri"/>
          <w:sz w:val="5"/>
        </w:rPr>
      </w:pPr>
    </w:p>
    <w:p>
      <w:pPr>
        <w:pStyle w:val="BodyText"/>
        <w:tabs>
          <w:tab w:pos="2662" w:val="left" w:leader="none"/>
        </w:tabs>
        <w:ind w:left="1853" w:right="-44"/>
        <w:rPr>
          <w:rFonts w:ascii="Calibri"/>
        </w:rPr>
      </w:pPr>
      <w:r>
        <w:rPr>
          <w:rFonts w:ascii="Calibri"/>
        </w:rPr>
        <w:drawing>
          <wp:inline distT="0" distB="0" distL="0" distR="0">
            <wp:extent cx="168749" cy="171450"/>
            <wp:effectExtent l="0" t="0" r="0" b="0"/>
            <wp:docPr id="301" name="image140.png"/>
            <wp:cNvGraphicFramePr>
              <a:graphicFrameLocks noChangeAspect="1"/>
            </wp:cNvGraphicFramePr>
            <a:graphic>
              <a:graphicData uri="http://schemas.openxmlformats.org/drawingml/2006/picture">
                <pic:pic>
                  <pic:nvPicPr>
                    <pic:cNvPr id="302" name="image140.png"/>
                    <pic:cNvPicPr/>
                  </pic:nvPicPr>
                  <pic:blipFill>
                    <a:blip r:embed="rId172" cstate="print"/>
                    <a:stretch>
                      <a:fillRect/>
                    </a:stretch>
                  </pic:blipFill>
                  <pic:spPr>
                    <a:xfrm>
                      <a:off x="0" y="0"/>
                      <a:ext cx="168749" cy="171450"/>
                    </a:xfrm>
                    <a:prstGeom prst="rect">
                      <a:avLst/>
                    </a:prstGeom>
                  </pic:spPr>
                </pic:pic>
              </a:graphicData>
            </a:graphic>
          </wp:inline>
        </w:drawing>
      </w:r>
      <w:r>
        <w:rPr>
          <w:rFonts w:ascii="Calibri"/>
        </w:rPr>
      </w:r>
      <w:r>
        <w:rPr>
          <w:rFonts w:ascii="Calibri"/>
        </w:rPr>
        <w:tab/>
      </w:r>
      <w:r>
        <w:rPr>
          <w:rFonts w:ascii="Calibri"/>
        </w:rPr>
        <w:drawing>
          <wp:inline distT="0" distB="0" distL="0" distR="0">
            <wp:extent cx="165169" cy="168020"/>
            <wp:effectExtent l="0" t="0" r="0" b="0"/>
            <wp:docPr id="303" name="image153.png"/>
            <wp:cNvGraphicFramePr>
              <a:graphicFrameLocks noChangeAspect="1"/>
            </wp:cNvGraphicFramePr>
            <a:graphic>
              <a:graphicData uri="http://schemas.openxmlformats.org/drawingml/2006/picture">
                <pic:pic>
                  <pic:nvPicPr>
                    <pic:cNvPr id="304" name="image153.png"/>
                    <pic:cNvPicPr/>
                  </pic:nvPicPr>
                  <pic:blipFill>
                    <a:blip r:embed="rId189" cstate="print"/>
                    <a:stretch>
                      <a:fillRect/>
                    </a:stretch>
                  </pic:blipFill>
                  <pic:spPr>
                    <a:xfrm>
                      <a:off x="0" y="0"/>
                      <a:ext cx="165169" cy="168020"/>
                    </a:xfrm>
                    <a:prstGeom prst="rect">
                      <a:avLst/>
                    </a:prstGeom>
                  </pic:spPr>
                </pic:pic>
              </a:graphicData>
            </a:graphic>
          </wp:inline>
        </w:drawing>
      </w:r>
      <w:r>
        <w:rPr>
          <w:rFonts w:ascii="Calibri"/>
        </w:rPr>
      </w:r>
    </w:p>
    <w:p>
      <w:pPr>
        <w:pStyle w:val="BodyText"/>
        <w:rPr>
          <w:rFonts w:ascii="Calibri"/>
        </w:rPr>
      </w:pPr>
      <w:r>
        <w:rPr/>
        <w:br w:type="column"/>
      </w:r>
      <w:r>
        <w:rPr>
          <w:rFonts w:ascii="Calibri"/>
        </w:rPr>
      </w: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spacing w:before="9"/>
        <w:rPr>
          <w:rFonts w:ascii="Calibri"/>
          <w:sz w:val="24"/>
        </w:rPr>
      </w:pPr>
    </w:p>
    <w:p>
      <w:pPr>
        <w:pStyle w:val="BodyText"/>
        <w:tabs>
          <w:tab w:pos="1316" w:val="left" w:leader="none"/>
          <w:tab w:pos="2124" w:val="left" w:leader="none"/>
          <w:tab w:pos="2933" w:val="left" w:leader="none"/>
          <w:tab w:pos="3742" w:val="left" w:leader="none"/>
        </w:tabs>
        <w:ind w:left="507" w:right="-44"/>
        <w:rPr>
          <w:rFonts w:ascii="Calibri"/>
        </w:rPr>
      </w:pPr>
      <w:r>
        <w:rPr>
          <w:rFonts w:ascii="Calibri"/>
        </w:rPr>
        <w:drawing>
          <wp:inline distT="0" distB="0" distL="0" distR="0">
            <wp:extent cx="168749" cy="171450"/>
            <wp:effectExtent l="0" t="0" r="0" b="0"/>
            <wp:docPr id="305" name="image154.png"/>
            <wp:cNvGraphicFramePr>
              <a:graphicFrameLocks noChangeAspect="1"/>
            </wp:cNvGraphicFramePr>
            <a:graphic>
              <a:graphicData uri="http://schemas.openxmlformats.org/drawingml/2006/picture">
                <pic:pic>
                  <pic:nvPicPr>
                    <pic:cNvPr id="306" name="image154.png"/>
                    <pic:cNvPicPr/>
                  </pic:nvPicPr>
                  <pic:blipFill>
                    <a:blip r:embed="rId190" cstate="print"/>
                    <a:stretch>
                      <a:fillRect/>
                    </a:stretch>
                  </pic:blipFill>
                  <pic:spPr>
                    <a:xfrm>
                      <a:off x="0" y="0"/>
                      <a:ext cx="168749" cy="171450"/>
                    </a:xfrm>
                    <a:prstGeom prst="rect">
                      <a:avLst/>
                    </a:prstGeom>
                  </pic:spPr>
                </pic:pic>
              </a:graphicData>
            </a:graphic>
          </wp:inline>
        </w:drawing>
      </w:r>
      <w:r>
        <w:rPr>
          <w:rFonts w:ascii="Calibri"/>
        </w:rPr>
      </w:r>
      <w:r>
        <w:rPr>
          <w:rFonts w:ascii="Calibri"/>
        </w:rPr>
        <w:tab/>
      </w:r>
      <w:r>
        <w:rPr>
          <w:rFonts w:ascii="Calibri"/>
        </w:rPr>
        <w:drawing>
          <wp:inline distT="0" distB="0" distL="0" distR="0">
            <wp:extent cx="165169" cy="168020"/>
            <wp:effectExtent l="0" t="0" r="0" b="0"/>
            <wp:docPr id="307" name="image155.png"/>
            <wp:cNvGraphicFramePr>
              <a:graphicFrameLocks noChangeAspect="1"/>
            </wp:cNvGraphicFramePr>
            <a:graphic>
              <a:graphicData uri="http://schemas.openxmlformats.org/drawingml/2006/picture">
                <pic:pic>
                  <pic:nvPicPr>
                    <pic:cNvPr id="308" name="image155.png"/>
                    <pic:cNvPicPr/>
                  </pic:nvPicPr>
                  <pic:blipFill>
                    <a:blip r:embed="rId191" cstate="print"/>
                    <a:stretch>
                      <a:fillRect/>
                    </a:stretch>
                  </pic:blipFill>
                  <pic:spPr>
                    <a:xfrm>
                      <a:off x="0" y="0"/>
                      <a:ext cx="165169" cy="168020"/>
                    </a:xfrm>
                    <a:prstGeom prst="rect">
                      <a:avLst/>
                    </a:prstGeom>
                  </pic:spPr>
                </pic:pic>
              </a:graphicData>
            </a:graphic>
          </wp:inline>
        </w:drawing>
      </w:r>
      <w:r>
        <w:rPr>
          <w:rFonts w:ascii="Calibri"/>
        </w:rPr>
      </w:r>
      <w:r>
        <w:rPr>
          <w:rFonts w:ascii="Calibri"/>
        </w:rPr>
        <w:tab/>
      </w:r>
      <w:r>
        <w:rPr>
          <w:rFonts w:ascii="Calibri"/>
        </w:rPr>
        <w:drawing>
          <wp:inline distT="0" distB="0" distL="0" distR="0">
            <wp:extent cx="168749" cy="171450"/>
            <wp:effectExtent l="0" t="0" r="0" b="0"/>
            <wp:docPr id="309" name="image156.png"/>
            <wp:cNvGraphicFramePr>
              <a:graphicFrameLocks noChangeAspect="1"/>
            </wp:cNvGraphicFramePr>
            <a:graphic>
              <a:graphicData uri="http://schemas.openxmlformats.org/drawingml/2006/picture">
                <pic:pic>
                  <pic:nvPicPr>
                    <pic:cNvPr id="310" name="image156.png"/>
                    <pic:cNvPicPr/>
                  </pic:nvPicPr>
                  <pic:blipFill>
                    <a:blip r:embed="rId192" cstate="print"/>
                    <a:stretch>
                      <a:fillRect/>
                    </a:stretch>
                  </pic:blipFill>
                  <pic:spPr>
                    <a:xfrm>
                      <a:off x="0" y="0"/>
                      <a:ext cx="168749" cy="171450"/>
                    </a:xfrm>
                    <a:prstGeom prst="rect">
                      <a:avLst/>
                    </a:prstGeom>
                  </pic:spPr>
                </pic:pic>
              </a:graphicData>
            </a:graphic>
          </wp:inline>
        </w:drawing>
      </w:r>
      <w:r>
        <w:rPr>
          <w:rFonts w:ascii="Calibri"/>
        </w:rPr>
      </w:r>
      <w:r>
        <w:rPr>
          <w:rFonts w:ascii="Calibri"/>
        </w:rPr>
        <w:tab/>
      </w:r>
      <w:r>
        <w:rPr>
          <w:rFonts w:ascii="Calibri"/>
        </w:rPr>
        <w:drawing>
          <wp:inline distT="0" distB="0" distL="0" distR="0">
            <wp:extent cx="165169" cy="168020"/>
            <wp:effectExtent l="0" t="0" r="0" b="0"/>
            <wp:docPr id="311" name="image157.png"/>
            <wp:cNvGraphicFramePr>
              <a:graphicFrameLocks noChangeAspect="1"/>
            </wp:cNvGraphicFramePr>
            <a:graphic>
              <a:graphicData uri="http://schemas.openxmlformats.org/drawingml/2006/picture">
                <pic:pic>
                  <pic:nvPicPr>
                    <pic:cNvPr id="312" name="image157.png"/>
                    <pic:cNvPicPr/>
                  </pic:nvPicPr>
                  <pic:blipFill>
                    <a:blip r:embed="rId193" cstate="print"/>
                    <a:stretch>
                      <a:fillRect/>
                    </a:stretch>
                  </pic:blipFill>
                  <pic:spPr>
                    <a:xfrm>
                      <a:off x="0" y="0"/>
                      <a:ext cx="165169" cy="168020"/>
                    </a:xfrm>
                    <a:prstGeom prst="rect">
                      <a:avLst/>
                    </a:prstGeom>
                  </pic:spPr>
                </pic:pic>
              </a:graphicData>
            </a:graphic>
          </wp:inline>
        </w:drawing>
      </w:r>
      <w:r>
        <w:rPr>
          <w:rFonts w:ascii="Calibri"/>
        </w:rPr>
      </w:r>
      <w:r>
        <w:rPr>
          <w:rFonts w:ascii="Calibri"/>
        </w:rPr>
        <w:tab/>
      </w:r>
      <w:r>
        <w:rPr>
          <w:rFonts w:ascii="Calibri"/>
        </w:rPr>
        <w:drawing>
          <wp:inline distT="0" distB="0" distL="0" distR="0">
            <wp:extent cx="168749" cy="171450"/>
            <wp:effectExtent l="0" t="0" r="0" b="0"/>
            <wp:docPr id="313" name="image158.png"/>
            <wp:cNvGraphicFramePr>
              <a:graphicFrameLocks noChangeAspect="1"/>
            </wp:cNvGraphicFramePr>
            <a:graphic>
              <a:graphicData uri="http://schemas.openxmlformats.org/drawingml/2006/picture">
                <pic:pic>
                  <pic:nvPicPr>
                    <pic:cNvPr id="314" name="image158.png"/>
                    <pic:cNvPicPr/>
                  </pic:nvPicPr>
                  <pic:blipFill>
                    <a:blip r:embed="rId194" cstate="print"/>
                    <a:stretch>
                      <a:fillRect/>
                    </a:stretch>
                  </pic:blipFill>
                  <pic:spPr>
                    <a:xfrm>
                      <a:off x="0" y="0"/>
                      <a:ext cx="168749" cy="171450"/>
                    </a:xfrm>
                    <a:prstGeom prst="rect">
                      <a:avLst/>
                    </a:prstGeom>
                  </pic:spPr>
                </pic:pic>
              </a:graphicData>
            </a:graphic>
          </wp:inline>
        </w:drawing>
      </w:r>
      <w:r>
        <w:rPr>
          <w:rFonts w:ascii="Calibri"/>
        </w:rPr>
      </w:r>
    </w:p>
    <w:p>
      <w:pPr>
        <w:spacing w:before="92"/>
        <w:ind w:left="1387" w:right="2284" w:firstLine="0"/>
        <w:jc w:val="center"/>
        <w:rPr>
          <w:rFonts w:ascii="Calibri"/>
          <w:b/>
          <w:sz w:val="15"/>
        </w:rPr>
      </w:pPr>
      <w:r>
        <w:rPr>
          <w:rFonts w:ascii="Calibri"/>
          <w:b/>
          <w:w w:val="105"/>
          <w:sz w:val="15"/>
        </w:rPr>
        <w:t>Year</w:t>
      </w:r>
    </w:p>
    <w:p>
      <w:pPr>
        <w:pStyle w:val="BodyText"/>
        <w:rPr>
          <w:rFonts w:ascii="Calibri"/>
          <w:b/>
          <w:sz w:val="14"/>
        </w:rPr>
      </w:pPr>
      <w:r>
        <w:rPr/>
        <w:br w:type="column"/>
      </w:r>
      <w:r>
        <w:rPr>
          <w:rFonts w:ascii="Calibri"/>
          <w:b/>
          <w:sz w:val="14"/>
        </w:rPr>
      </w:r>
    </w:p>
    <w:p>
      <w:pPr>
        <w:pStyle w:val="BodyText"/>
        <w:spacing w:before="4"/>
        <w:rPr>
          <w:rFonts w:ascii="Calibri"/>
          <w:b/>
          <w:sz w:val="12"/>
        </w:rPr>
      </w:pPr>
    </w:p>
    <w:p>
      <w:pPr>
        <w:spacing w:before="1"/>
        <w:ind w:left="510" w:right="0" w:firstLine="0"/>
        <w:jc w:val="left"/>
        <w:rPr>
          <w:rFonts w:ascii="Calibri"/>
          <w:sz w:val="14"/>
        </w:rPr>
      </w:pPr>
      <w:r>
        <w:rPr>
          <w:rFonts w:ascii="Calibri"/>
          <w:sz w:val="14"/>
        </w:rPr>
        <w:t>Class key:</w:t>
      </w:r>
    </w:p>
    <w:p>
      <w:pPr>
        <w:pStyle w:val="ListParagraph"/>
        <w:numPr>
          <w:ilvl w:val="0"/>
          <w:numId w:val="72"/>
        </w:numPr>
        <w:tabs>
          <w:tab w:pos="967" w:val="left" w:leader="none"/>
        </w:tabs>
        <w:spacing w:line="240" w:lineRule="auto" w:before="15" w:after="0"/>
        <w:ind w:left="966" w:right="0" w:hanging="103"/>
        <w:jc w:val="left"/>
        <w:rPr>
          <w:rFonts w:ascii="Calibri"/>
          <w:sz w:val="14"/>
        </w:rPr>
      </w:pPr>
      <w:r>
        <w:rPr/>
        <w:pict>
          <v:group style="position:absolute;margin-left:380.960632pt;margin-top:.043874pt;width:17.9pt;height:130.5pt;mso-position-horizontal-relative:page;mso-position-vertical-relative:paragraph;z-index:252711936" coordorigin="7619,1" coordsize="358,2610">
            <v:rect style="position:absolute;left:7622;top:0;width:354;height:186" filled="true" fillcolor="#1f487c" stroked="false">
              <v:fill type="solid"/>
            </v:rect>
            <v:rect style="position:absolute;left:7622;top:186;width:354;height:186" filled="true" fillcolor="#009544" stroked="false">
              <v:fill type="solid"/>
            </v:rect>
            <v:rect style="position:absolute;left:7622;top:372;width:354;height:186" filled="true" fillcolor="#e16b09" stroked="false">
              <v:fill type="solid"/>
            </v:rect>
            <v:rect style="position:absolute;left:7622;top:558;width:354;height:186" filled="true" fillcolor="#e08ad6" stroked="false">
              <v:fill type="solid"/>
            </v:rect>
            <v:rect style="position:absolute;left:7622;top:744;width:354;height:186" filled="true" fillcolor="#8063a1" stroked="false">
              <v:fill type="solid"/>
            </v:rect>
            <v:rect style="position:absolute;left:7622;top:930;width:354;height:186" filled="true" fillcolor="#c0504d" stroked="false">
              <v:fill type="solid"/>
            </v:rect>
            <v:rect style="position:absolute;left:7622;top:1116;width:354;height:186" filled="true" fillcolor="#f8a763" stroked="false">
              <v:fill type="solid"/>
            </v:rect>
            <v:rect style="position:absolute;left:7622;top:1302;width:354;height:186" filled="true" fillcolor="#ecb8e7" stroked="false">
              <v:fill type="solid"/>
            </v:rect>
            <v:rect style="position:absolute;left:7622;top:1488;width:354;height:186" filled="true" fillcolor="#938953" stroked="false">
              <v:fill type="solid"/>
            </v:rect>
            <v:rect style="position:absolute;left:7622;top:1674;width:354;height:186" filled="true" fillcolor="#ffd600" stroked="false">
              <v:fill type="solid"/>
            </v:rect>
            <v:rect style="position:absolute;left:7622;top:1859;width:354;height:186" filled="true" fillcolor="#000000" stroked="false">
              <v:fill type="solid"/>
            </v:rect>
            <v:rect style="position:absolute;left:7622;top:2045;width:354;height:186" filled="true" fillcolor="#ffeb8f" stroked="false">
              <v:fill type="solid"/>
            </v:rect>
            <v:rect style="position:absolute;left:7622;top:2231;width:354;height:379" filled="true" fillcolor="#a6a6a6" stroked="false">
              <v:fill type="solid"/>
            </v:rect>
            <v:line style="position:absolute" from="7969,7" to="7969,2610" stroked="true" strokeweight="0pt" strokecolor="#ffffff">
              <v:stroke dashstyle="solid"/>
            </v:line>
            <v:line style="position:absolute" from="7972,7" to="7972,2610" stroked="true" strokeweight=".321105pt" strokecolor="#ffffff">
              <v:stroke dashstyle="solid"/>
            </v:line>
            <v:line style="position:absolute" from="7622,4" to="7976,4" stroked="true" strokeweight=".320535pt" strokecolor="#ffffff">
              <v:stroke dashstyle="solid"/>
            </v:line>
            <v:line style="position:absolute" from="7622,187" to="7976,187" stroked="true" strokeweight="0pt" strokecolor="#ffffff">
              <v:stroke dashstyle="solid"/>
            </v:line>
            <v:line style="position:absolute" from="7622,190" to="7976,190" stroked="true" strokeweight=".320535pt" strokecolor="#ffffff">
              <v:stroke dashstyle="solid"/>
            </v:line>
            <v:line style="position:absolute" from="7622,373" to="7976,373" stroked="true" strokeweight="0pt" strokecolor="#ffffff">
              <v:stroke dashstyle="solid"/>
            </v:line>
            <v:line style="position:absolute" from="7622,376" to="7976,376" stroked="true" strokeweight=".320856pt" strokecolor="#ffffff">
              <v:stroke dashstyle="solid"/>
            </v:line>
            <v:line style="position:absolute" from="7622,559" to="7976,559" stroked="true" strokeweight="0pt" strokecolor="#ffffff">
              <v:stroke dashstyle="solid"/>
            </v:line>
            <v:line style="position:absolute" from="7622,562" to="7976,562" stroked="true" strokeweight=".320535pt" strokecolor="#ffffff">
              <v:stroke dashstyle="solid"/>
            </v:line>
            <v:line style="position:absolute" from="7622,745" to="7976,745" stroked="true" strokeweight="0pt" strokecolor="#ffffff">
              <v:stroke dashstyle="solid"/>
            </v:line>
            <v:line style="position:absolute" from="7622,748" to="7976,748" stroked="true" strokeweight=".320535pt" strokecolor="#ffffff">
              <v:stroke dashstyle="solid"/>
            </v:line>
            <v:line style="position:absolute" from="7622,930" to="7976,930" stroked="true" strokeweight="0pt" strokecolor="#ffffff">
              <v:stroke dashstyle="solid"/>
            </v:line>
            <v:line style="position:absolute" from="7622,934" to="7976,934" stroked="true" strokeweight=".320535pt" strokecolor="#ffffff">
              <v:stroke dashstyle="solid"/>
            </v:line>
            <v:line style="position:absolute" from="7622,1116" to="7976,1116" stroked="true" strokeweight="0pt" strokecolor="#ffffff">
              <v:stroke dashstyle="solid"/>
            </v:line>
            <v:line style="position:absolute" from="7622,1120" to="7976,1120" stroked="true" strokeweight=".320535pt" strokecolor="#ffffff">
              <v:stroke dashstyle="solid"/>
            </v:line>
            <v:line style="position:absolute" from="7622,1302" to="7976,1302" stroked="true" strokeweight="0pt" strokecolor="#ffffff">
              <v:stroke dashstyle="solid"/>
            </v:line>
            <v:line style="position:absolute" from="7622,1305" to="7976,1305" stroked="true" strokeweight=".320535pt" strokecolor="#ffffff">
              <v:stroke dashstyle="solid"/>
            </v:line>
            <v:line style="position:absolute" from="7622,1488" to="7976,1488" stroked="true" strokeweight="0pt" strokecolor="#ffffff">
              <v:stroke dashstyle="solid"/>
            </v:line>
            <v:line style="position:absolute" from="7622,1491" to="7976,1491" stroked="true" strokeweight=".320535pt" strokecolor="#ffffff">
              <v:stroke dashstyle="solid"/>
            </v:line>
            <v:line style="position:absolute" from="7622,1674" to="7976,1674" stroked="true" strokeweight="0pt" strokecolor="#ffffff">
              <v:stroke dashstyle="solid"/>
            </v:line>
            <v:line style="position:absolute" from="7622,1677" to="7976,1677" stroked="true" strokeweight=".320535pt" strokecolor="#ffffff">
              <v:stroke dashstyle="solid"/>
            </v:line>
            <v:line style="position:absolute" from="7622,1860" to="7976,1860" stroked="true" strokeweight="0pt" strokecolor="#ffffff">
              <v:stroke dashstyle="solid"/>
            </v:line>
            <v:line style="position:absolute" from="7622,1863" to="7976,1863" stroked="true" strokeweight=".320535pt" strokecolor="#ffffff">
              <v:stroke dashstyle="solid"/>
            </v:line>
            <v:line style="position:absolute" from="7622,2046" to="7976,2046" stroked="true" strokeweight="0pt" strokecolor="#ffffff">
              <v:stroke dashstyle="solid"/>
            </v:line>
            <v:line style="position:absolute" from="7622,2049" to="7976,2049" stroked="true" strokeweight=".320856pt" strokecolor="#ffffff">
              <v:stroke dashstyle="solid"/>
            </v:line>
            <v:line style="position:absolute" from="7622,2232" to="7976,2232" stroked="true" strokeweight="0pt" strokecolor="#ffffff">
              <v:stroke dashstyle="solid"/>
            </v:line>
            <v:line style="position:absolute" from="7622,2235" to="7976,2235" stroked="true" strokeweight=".320535pt" strokecolor="#ffffff">
              <v:stroke dashstyle="solid"/>
            </v:line>
            <v:line style="position:absolute" from="7622,2418" to="7976,2418" stroked="true" strokeweight="0pt" strokecolor="#ffffff">
              <v:stroke dashstyle="solid"/>
            </v:line>
            <v:line style="position:absolute" from="7622,2421" to="7976,2421" stroked="true" strokeweight=".320535pt" strokecolor="#ffffff">
              <v:stroke dashstyle="solid"/>
            </v:line>
            <v:line style="position:absolute" from="7622,2604" to="7976,2604" stroked="true" strokeweight="0pt" strokecolor="#ffffff">
              <v:stroke dashstyle="solid"/>
            </v:line>
            <v:line style="position:absolute" from="7622,2607" to="7976,2607" stroked="true" strokeweight=".320215pt" strokecolor="#ffffff">
              <v:stroke dashstyle="solid"/>
            </v:line>
            <v:line style="position:absolute" from="7619,2344" to="7977,2344" stroked="true" strokeweight=".961678pt" strokecolor="#ffffff">
              <v:stroke dashstyle="solid"/>
            </v:line>
            <v:line style="position:absolute" from="7619,2517" to="7977,2517" stroked="true" strokeweight=".961678pt" strokecolor="#ffffff">
              <v:stroke dashstyle="solid"/>
            </v:line>
            <w10:wrap type="none"/>
          </v:group>
        </w:pict>
      </w:r>
      <w:r>
        <w:rPr>
          <w:rFonts w:ascii="Calibri"/>
          <w:sz w:val="14"/>
        </w:rPr>
        <w:t>Studying</w:t>
      </w:r>
    </w:p>
    <w:p>
      <w:pPr>
        <w:pStyle w:val="ListParagraph"/>
        <w:numPr>
          <w:ilvl w:val="0"/>
          <w:numId w:val="72"/>
        </w:numPr>
        <w:tabs>
          <w:tab w:pos="967" w:val="left" w:leader="none"/>
        </w:tabs>
        <w:spacing w:line="240" w:lineRule="auto" w:before="15" w:after="0"/>
        <w:ind w:left="966" w:right="0" w:hanging="103"/>
        <w:jc w:val="left"/>
        <w:rPr>
          <w:rFonts w:ascii="Calibri"/>
          <w:sz w:val="14"/>
        </w:rPr>
      </w:pPr>
      <w:r>
        <w:rPr>
          <w:rFonts w:ascii="Calibri"/>
          <w:sz w:val="14"/>
        </w:rPr>
        <w:t>Working</w:t>
      </w:r>
      <w:r>
        <w:rPr>
          <w:rFonts w:ascii="Calibri"/>
          <w:spacing w:val="-2"/>
          <w:sz w:val="14"/>
        </w:rPr>
        <w:t> </w:t>
      </w:r>
      <w:r>
        <w:rPr>
          <w:rFonts w:ascii="Calibri"/>
          <w:sz w:val="14"/>
        </w:rPr>
        <w:t>Age</w:t>
      </w:r>
    </w:p>
    <w:p>
      <w:pPr>
        <w:pStyle w:val="ListParagraph"/>
        <w:numPr>
          <w:ilvl w:val="0"/>
          <w:numId w:val="72"/>
        </w:numPr>
        <w:tabs>
          <w:tab w:pos="967" w:val="left" w:leader="none"/>
        </w:tabs>
        <w:spacing w:line="240" w:lineRule="auto" w:before="15" w:after="0"/>
        <w:ind w:left="966" w:right="0" w:hanging="103"/>
        <w:jc w:val="left"/>
        <w:rPr>
          <w:rFonts w:ascii="Calibri"/>
          <w:sz w:val="14"/>
        </w:rPr>
      </w:pPr>
      <w:r>
        <w:rPr>
          <w:rFonts w:ascii="Calibri"/>
          <w:sz w:val="14"/>
        </w:rPr>
        <w:t>Parents</w:t>
      </w:r>
    </w:p>
    <w:p>
      <w:pPr>
        <w:pStyle w:val="ListParagraph"/>
        <w:numPr>
          <w:ilvl w:val="0"/>
          <w:numId w:val="72"/>
        </w:numPr>
        <w:tabs>
          <w:tab w:pos="967" w:val="left" w:leader="none"/>
        </w:tabs>
        <w:spacing w:line="240" w:lineRule="auto" w:before="15" w:after="0"/>
        <w:ind w:left="966" w:right="0" w:hanging="103"/>
        <w:jc w:val="left"/>
        <w:rPr>
          <w:rFonts w:ascii="Calibri"/>
          <w:sz w:val="14"/>
        </w:rPr>
      </w:pPr>
      <w:r>
        <w:rPr>
          <w:rFonts w:ascii="Calibri"/>
          <w:sz w:val="14"/>
        </w:rPr>
        <w:t>Carers</w:t>
      </w:r>
    </w:p>
    <w:p>
      <w:pPr>
        <w:pStyle w:val="ListParagraph"/>
        <w:numPr>
          <w:ilvl w:val="0"/>
          <w:numId w:val="72"/>
        </w:numPr>
        <w:tabs>
          <w:tab w:pos="967" w:val="left" w:leader="none"/>
        </w:tabs>
        <w:spacing w:line="240" w:lineRule="auto" w:before="15" w:after="0"/>
        <w:ind w:left="966" w:right="0" w:hanging="103"/>
        <w:jc w:val="left"/>
        <w:rPr>
          <w:rFonts w:ascii="Calibri"/>
          <w:sz w:val="14"/>
        </w:rPr>
      </w:pPr>
      <w:r>
        <w:rPr>
          <w:rFonts w:ascii="Calibri"/>
          <w:sz w:val="14"/>
        </w:rPr>
        <w:t>Disability Support</w:t>
      </w:r>
    </w:p>
    <w:p>
      <w:pPr>
        <w:pStyle w:val="ListParagraph"/>
        <w:numPr>
          <w:ilvl w:val="0"/>
          <w:numId w:val="72"/>
        </w:numPr>
        <w:tabs>
          <w:tab w:pos="967" w:val="left" w:leader="none"/>
        </w:tabs>
        <w:spacing w:line="261" w:lineRule="auto" w:before="15" w:after="0"/>
        <w:ind w:left="864" w:right="3017" w:firstLine="0"/>
        <w:jc w:val="left"/>
        <w:rPr>
          <w:rFonts w:ascii="Calibri"/>
          <w:sz w:val="14"/>
        </w:rPr>
      </w:pPr>
      <w:r>
        <w:rPr>
          <w:rFonts w:ascii="Calibri"/>
          <w:sz w:val="14"/>
        </w:rPr>
        <w:t>Pension Age 7 Non IS Family 8 Non IS Carer 9 Non IS</w:t>
      </w:r>
      <w:r>
        <w:rPr>
          <w:rFonts w:ascii="Calibri"/>
          <w:spacing w:val="7"/>
          <w:sz w:val="14"/>
        </w:rPr>
        <w:t> </w:t>
      </w:r>
      <w:r>
        <w:rPr>
          <w:rFonts w:ascii="Calibri"/>
          <w:sz w:val="14"/>
        </w:rPr>
        <w:t>Other</w:t>
      </w:r>
    </w:p>
    <w:p>
      <w:pPr>
        <w:spacing w:line="261" w:lineRule="auto" w:before="0"/>
        <w:ind w:left="864" w:right="2081" w:firstLine="0"/>
        <w:jc w:val="left"/>
        <w:rPr>
          <w:rFonts w:ascii="Calibri"/>
          <w:sz w:val="14"/>
        </w:rPr>
      </w:pPr>
      <w:r>
        <w:rPr>
          <w:rFonts w:ascii="Calibri"/>
          <w:sz w:val="14"/>
        </w:rPr>
        <w:t>10 Previous Welfare Recipient 11 Dead</w:t>
      </w:r>
    </w:p>
    <w:p>
      <w:pPr>
        <w:spacing w:line="261" w:lineRule="auto" w:before="0"/>
        <w:ind w:left="864" w:right="2204" w:firstLine="0"/>
        <w:jc w:val="left"/>
        <w:rPr>
          <w:rFonts w:ascii="Calibri"/>
          <w:sz w:val="14"/>
        </w:rPr>
      </w:pPr>
      <w:r>
        <w:rPr>
          <w:rFonts w:ascii="Calibri"/>
          <w:sz w:val="14"/>
        </w:rPr>
        <w:t>12 Rest of Aust. Population Prior valuation - all active Prior valuation - current class</w:t>
      </w:r>
    </w:p>
    <w:p>
      <w:pPr>
        <w:spacing w:after="0" w:line="261" w:lineRule="auto"/>
        <w:jc w:val="left"/>
        <w:rPr>
          <w:rFonts w:ascii="Calibri"/>
          <w:sz w:val="14"/>
        </w:rPr>
        <w:sectPr>
          <w:type w:val="continuous"/>
          <w:pgSz w:w="11910" w:h="16850"/>
          <w:pgMar w:top="1600" w:bottom="280" w:left="120" w:right="0"/>
          <w:cols w:num="3" w:equalWidth="0">
            <w:col w:w="2924" w:space="40"/>
            <w:col w:w="4007" w:space="39"/>
            <w:col w:w="4780"/>
          </w:cols>
        </w:sectPr>
      </w:pPr>
    </w:p>
    <w:p>
      <w:pPr>
        <w:pStyle w:val="BodyText"/>
        <w:spacing w:before="5"/>
        <w:rPr>
          <w:rFonts w:ascii="Calibri"/>
          <w:sz w:val="21"/>
        </w:rPr>
      </w:pPr>
    </w:p>
    <w:p>
      <w:pPr>
        <w:pStyle w:val="BodyText"/>
        <w:spacing w:before="93"/>
        <w:ind w:left="899" w:right="1221"/>
      </w:pPr>
      <w:r>
        <w:rPr>
          <w:color w:val="404040"/>
        </w:rPr>
        <w:t>These results aggregate the expected trajectories of the distinct sub groups within this class each of whom would be expected to have very different future life trajectories. We have illustrated this below by showing the trajectories for people within different selected age bands.</w:t>
      </w:r>
    </w:p>
    <w:p>
      <w:pPr>
        <w:spacing w:after="0"/>
        <w:sectPr>
          <w:type w:val="continuous"/>
          <w:pgSz w:w="11910" w:h="16850"/>
          <w:pgMar w:top="1600" w:bottom="280" w:left="120" w:right="0"/>
        </w:sectPr>
      </w:pPr>
    </w:p>
    <w:p>
      <w:pPr>
        <w:pStyle w:val="BodyText"/>
      </w:pPr>
    </w:p>
    <w:p>
      <w:pPr>
        <w:pStyle w:val="BodyText"/>
      </w:pPr>
    </w:p>
    <w:p>
      <w:pPr>
        <w:pStyle w:val="BodyText"/>
        <w:spacing w:before="5"/>
        <w:rPr>
          <w:sz w:val="21"/>
        </w:rPr>
      </w:pPr>
    </w:p>
    <w:p>
      <w:pPr>
        <w:spacing w:after="0"/>
        <w:rPr>
          <w:sz w:val="21"/>
        </w:rPr>
        <w:sectPr>
          <w:pgSz w:w="11910" w:h="16850"/>
          <w:pgMar w:header="572" w:footer="581" w:top="780" w:bottom="780" w:left="120" w:right="0"/>
        </w:sectPr>
      </w:pPr>
    </w:p>
    <w:p>
      <w:pPr>
        <w:pStyle w:val="Heading9"/>
      </w:pPr>
      <w:r>
        <w:rPr>
          <w:color w:val="DF2F1E"/>
        </w:rPr>
        <w:t>Figure 96: Expected future trajectory for people in class 9 – by age</w:t>
      </w:r>
      <w:r>
        <w:rPr>
          <w:color w:val="DF2F1E"/>
          <w:spacing w:val="-35"/>
        </w:rPr>
        <w:t> </w:t>
      </w:r>
      <w:r>
        <w:rPr>
          <w:color w:val="DF2F1E"/>
        </w:rPr>
        <w:t>band</w:t>
      </w:r>
    </w:p>
    <w:p>
      <w:pPr>
        <w:spacing w:before="78"/>
        <w:ind w:left="1116" w:right="0" w:firstLine="0"/>
        <w:jc w:val="left"/>
        <w:rPr>
          <w:b/>
          <w:sz w:val="16"/>
        </w:rPr>
      </w:pPr>
      <w:r>
        <w:rPr>
          <w:b/>
          <w:color w:val="404040"/>
          <w:sz w:val="16"/>
        </w:rPr>
        <w:t>Age 15 to 19</w:t>
      </w:r>
    </w:p>
    <w:p>
      <w:pPr>
        <w:spacing w:before="130"/>
        <w:ind w:left="0" w:right="5805" w:firstLine="0"/>
        <w:jc w:val="right"/>
        <w:rPr>
          <w:rFonts w:ascii="Calibri"/>
          <w:sz w:val="15"/>
        </w:rPr>
      </w:pPr>
      <w:r>
        <w:rPr/>
        <w:pict>
          <v:group style="position:absolute;margin-left:108.72094pt;margin-top:10.560465pt;width:248.1pt;height:119pt;mso-position-horizontal-relative:page;mso-position-vertical-relative:paragraph;z-index:252724224" coordorigin="2174,211" coordsize="4962,2380">
            <v:shape style="position:absolute;left:2215;top:223;width:4909;height:2327" type="#_x0000_t75" stroked="false">
              <v:imagedata r:id="rId195" o:title=""/>
            </v:shape>
            <v:shape style="position:absolute;left:2221;top:228;width:4897;height:1311" coordorigin="2222,229" coordsize="4897,1311" path="m2553,1126l2387,890,2222,229,4185,229,4339,241,5155,241,5321,253,5817,253,5983,264,6137,264,6302,276,6633,276,6799,288,7118,288,7118,1067,2707,1067,2553,1126xm3854,1327l3688,1327,3523,1304,3369,1292,3203,1268,3038,1221,2872,1138,2707,1067,7118,1067,7118,1209,5001,1209,4836,1221,4670,1244,4504,1244,4339,1268,4185,1292,4020,1315,3854,1327xm7118,1540l6953,1516,6799,1481,6468,1410,6302,1386,6137,1339,5983,1315,5817,1280,5652,1256,5486,1244,5321,1221,5155,1221,5001,1209,7118,1209,7118,1540xe" filled="true" fillcolor="#ffd600" stroked="false">
              <v:path arrowok="t"/>
              <v:fill type="solid"/>
            </v:shape>
            <v:shape style="position:absolute;left:2221;top:228;width:4897;height:1311" coordorigin="2222,229" coordsize="4897,1311" path="m2222,229l2222,229,4185,229,4339,241,5155,241,5321,253,5486,253,5652,253,5817,253,5983,264,6137,264,6302,276,6468,276,6633,276,6799,288,6953,288,7118,288,7118,1540,6953,1516,6799,1481,6633,1445,6468,1410,6302,1386,6137,1339,5983,1315,5817,1280,5652,1256,5486,1244,5321,1221,5155,1221,5001,1209,4836,1221,4670,1244,4504,1244,4339,1268,4185,1292,4020,1315,3854,1327,3688,1327,3523,1304,3369,1292,3203,1268,3038,1221,2872,1138,2707,1067,2553,1126,2387,890,2222,229xe" filled="false" stroked="true" strokeweight=".590491pt" strokecolor="#ffd600">
              <v:path arrowok="t"/>
              <v:stroke dashstyle="solid"/>
            </v:shape>
            <v:shape style="position:absolute;left:2221;top:228;width:4897;height:60" coordorigin="2222,229" coordsize="4897,60" path="m2222,229l2222,229,4185,229,4339,241,5155,241,5321,253,5486,253,5652,253,5817,253,5983,264,6137,264,6302,276,6468,276,6633,276,6799,288,6953,288,7118,288,6953,288,6799,288,6633,276,6468,276,6302,276,6137,264,5983,264,5817,253,5652,253,5486,253,5321,253,5155,241,4339,241,4185,229,2387,229,2222,229xe" filled="false" stroked="true" strokeweight=".590432pt" strokecolor="#ffeb8f">
              <v:path arrowok="t"/>
              <v:stroke dashstyle="solid"/>
            </v:shape>
            <v:line style="position:absolute" from="4185,258" to="7118,258" stroked="true" strokeweight="2.952159pt" strokecolor="#000000">
              <v:stroke dashstyle="solid"/>
            </v:line>
            <v:shape style="position:absolute;left:2221;top:228;width:4897;height:60" coordorigin="2222,229" coordsize="4897,60" path="m2222,229l2222,229,7118,229,7118,288,6953,288,6799,288,6633,276,6468,276,6302,276,6137,264,5983,264,5817,253,5652,253,5486,253,5321,253,5155,241,4339,241,4185,229,2387,229,2222,229xe" filled="false" stroked="true" strokeweight=".590432pt" strokecolor="#000000">
              <v:path arrowok="t"/>
              <v:stroke dashstyle="solid"/>
            </v:shape>
            <v:line style="position:absolute" from="2216,229" to="7124,229" stroked="true" strokeweight=".590432pt" strokecolor="#000000">
              <v:stroke dashstyle="solid"/>
            </v:line>
            <v:line style="position:absolute" from="2222,2543" to="2222,229" stroked="true" strokeweight=".591368pt" strokecolor="#858585">
              <v:stroke dashstyle="solid"/>
            </v:line>
            <v:shape style="position:absolute;left:0;top:14764;width:13369;height:655053" coordorigin="0,14765" coordsize="13369,655053" path="m2174,2543l2222,2543m2174,2307l2222,2307m2174,2083l2222,2083m2174,1847l2222,1847m2174,1611l2222,1611m2174,1386l2222,1386m2174,1150l2222,1150m2174,926l2222,926m2174,689l2222,689m2174,453l2222,453m2174,229l2222,229e" filled="false" stroked="true" strokeweight=".5909pt" strokecolor="#858585">
              <v:path arrowok="t"/>
              <v:stroke dashstyle="solid"/>
            </v:shape>
            <v:shape style="position:absolute;left:0;top:8467;width:651794;height:6298" coordorigin="0,8467" coordsize="651794,6298" path="m2222,2543l7118,2543m2222,2543l2222,2591m2387,2543l2387,2591m2553,2543l2553,2591m2707,2543l2707,2591m2872,2543l2872,2591m3038,2543l3038,2591m3203,2543l3203,2591m3369,2543l3369,2591m3523,2543l3523,2591m3688,2543l3688,2591m3854,2543l3854,2591m4019,2543l4019,2591m4185,2543l4185,2591m4339,2543l4339,2591m4504,2543l4504,2591m4670,2543l4670,2591m4836,2543l4836,2591m5001,2543l5001,2591m5155,2543l5155,2591m5321,2543l5321,2591m5486,2543l5486,2591m5652,2543l5652,2591m5817,2543l5817,2591m5983,2543l5983,2591m6137,2543l6137,2591m6302,2543l6302,2591m6468,2543l6468,2591m6633,2543l6633,2591m6799,2543l6799,2591m6953,2543l6953,2591m7118,2543l7118,2591e" filled="false" stroked="true" strokeweight=".5909pt" strokecolor="#858585">
              <v:path arrowok="t"/>
              <v:stroke dashstyle="solid"/>
            </v:shape>
            <v:shape style="position:absolute;left:2215;top:223;width:4909;height:2291" coordorigin="2216,223" coordsize="4909,2291" path="m2216,223l2381,1451,2547,2136,2713,2360,2878,2467,3032,2490,3197,2502,3363,2490,3529,2490,3694,2467,3860,2467,4014,2455,4830,2455,4995,2467,5161,2467,5326,2478,5492,2478,5646,2478,5811,2490,5977,2502,6142,2502,6308,2502,6462,2502,6627,2514,6793,2514,6959,2514,7124,2514e" filled="false" stroked="true" strokeweight="1.181193pt" strokecolor="#ffffff">
              <v:path arrowok="t"/>
              <v:stroke dashstyle="dot"/>
            </v:shape>
            <v:shape style="position:absolute;left:2215;top:223;width:4909;height:1229" coordorigin="2216,223" coordsize="4909,1229" path="m2216,223l2381,991,2547,1180,2713,1097,2878,1180,3032,1262,3197,1298,3363,1333,3529,1380,3694,1368,3860,1333,4014,1309,4179,1286,4345,1250,4510,1227,4676,1203,4830,1180,4995,1168,5161,1168,5326,1168,5492,1180,5646,1191,5811,1215,5977,1239,6143,1262,6308,1298,6462,1333,6627,1368,6793,1404,6959,1427,7124,1451e" filled="false" stroked="true" strokeweight="1.180967pt" strokecolor="#ffffff">
              <v:path arrowok="t"/>
              <v:stroke dashstyle="longdash"/>
            </v:shape>
            <w10:wrap type="none"/>
          </v:group>
        </w:pict>
      </w:r>
      <w:r>
        <w:rPr>
          <w:rFonts w:ascii="Calibri"/>
          <w:sz w:val="15"/>
        </w:rPr>
        <w:t>100%</w:t>
      </w:r>
    </w:p>
    <w:p>
      <w:pPr>
        <w:spacing w:before="49"/>
        <w:ind w:left="0" w:right="5796" w:firstLine="0"/>
        <w:jc w:val="right"/>
        <w:rPr>
          <w:rFonts w:ascii="Calibri"/>
          <w:sz w:val="15"/>
        </w:rPr>
      </w:pPr>
      <w:r>
        <w:rPr/>
        <w:pict>
          <v:shape style="position:absolute;margin-left:75.019547pt;margin-top:8.104457pt;width:9.7pt;height:90.7pt;mso-position-horizontal-relative:page;mso-position-vertical-relative:paragraph;z-index:252732416" type="#_x0000_t202" filled="false" stroked="false">
            <v:textbox inset="0,0,0,0" style="layout-flow:vertical;mso-layout-flow-alt:bottom-to-top">
              <w:txbxContent>
                <w:p>
                  <w:pPr>
                    <w:spacing w:line="176" w:lineRule="exact" w:before="0"/>
                    <w:ind w:left="20" w:right="0" w:firstLine="0"/>
                    <w:jc w:val="left"/>
                    <w:rPr>
                      <w:rFonts w:ascii="Calibri"/>
                      <w:b/>
                      <w:sz w:val="15"/>
                    </w:rPr>
                  </w:pPr>
                  <w:r>
                    <w:rPr>
                      <w:rFonts w:ascii="Calibri"/>
                      <w:b/>
                      <w:sz w:val="15"/>
                    </w:rPr>
                    <w:t>Proportion In Welfare Class</w:t>
                  </w:r>
                </w:p>
              </w:txbxContent>
            </v:textbox>
            <w10:wrap type="none"/>
          </v:shape>
        </w:pict>
      </w:r>
      <w:r>
        <w:rPr>
          <w:rFonts w:ascii="Calibri"/>
          <w:spacing w:val="2"/>
          <w:sz w:val="15"/>
        </w:rPr>
        <w:t>90%</w:t>
      </w:r>
    </w:p>
    <w:p>
      <w:pPr>
        <w:spacing w:before="49"/>
        <w:ind w:left="0" w:right="5796" w:firstLine="0"/>
        <w:jc w:val="right"/>
        <w:rPr>
          <w:rFonts w:ascii="Calibri"/>
          <w:sz w:val="15"/>
        </w:rPr>
      </w:pPr>
      <w:r>
        <w:rPr>
          <w:rFonts w:ascii="Calibri"/>
          <w:spacing w:val="2"/>
          <w:sz w:val="15"/>
        </w:rPr>
        <w:t>80%</w:t>
      </w:r>
    </w:p>
    <w:p>
      <w:pPr>
        <w:spacing w:before="49"/>
        <w:ind w:left="0" w:right="5796" w:firstLine="0"/>
        <w:jc w:val="right"/>
        <w:rPr>
          <w:rFonts w:ascii="Calibri"/>
          <w:sz w:val="15"/>
        </w:rPr>
      </w:pPr>
      <w:r>
        <w:rPr>
          <w:rFonts w:ascii="Calibri"/>
          <w:spacing w:val="2"/>
          <w:sz w:val="15"/>
        </w:rPr>
        <w:t>70%</w:t>
      </w:r>
    </w:p>
    <w:p>
      <w:pPr>
        <w:spacing w:before="49"/>
        <w:ind w:left="0" w:right="5796" w:firstLine="0"/>
        <w:jc w:val="right"/>
        <w:rPr>
          <w:rFonts w:ascii="Calibri"/>
          <w:sz w:val="15"/>
        </w:rPr>
      </w:pPr>
      <w:r>
        <w:rPr>
          <w:rFonts w:ascii="Calibri"/>
          <w:spacing w:val="2"/>
          <w:sz w:val="15"/>
        </w:rPr>
        <w:t>60%</w:t>
      </w:r>
    </w:p>
    <w:p>
      <w:pPr>
        <w:spacing w:before="49"/>
        <w:ind w:left="0" w:right="5796" w:firstLine="0"/>
        <w:jc w:val="right"/>
        <w:rPr>
          <w:rFonts w:ascii="Calibri"/>
          <w:sz w:val="15"/>
        </w:rPr>
      </w:pPr>
      <w:r>
        <w:rPr>
          <w:rFonts w:ascii="Calibri"/>
          <w:spacing w:val="2"/>
          <w:sz w:val="15"/>
        </w:rPr>
        <w:t>50%</w:t>
      </w:r>
    </w:p>
    <w:p>
      <w:pPr>
        <w:spacing w:before="49"/>
        <w:ind w:left="0" w:right="5796" w:firstLine="0"/>
        <w:jc w:val="right"/>
        <w:rPr>
          <w:rFonts w:ascii="Calibri"/>
          <w:sz w:val="15"/>
        </w:rPr>
      </w:pPr>
      <w:r>
        <w:rPr>
          <w:rFonts w:ascii="Calibri"/>
          <w:spacing w:val="2"/>
          <w:sz w:val="15"/>
        </w:rPr>
        <w:t>40%</w:t>
      </w:r>
    </w:p>
    <w:p>
      <w:pPr>
        <w:spacing w:before="49"/>
        <w:ind w:left="0" w:right="5796" w:firstLine="0"/>
        <w:jc w:val="right"/>
        <w:rPr>
          <w:rFonts w:ascii="Calibri"/>
          <w:sz w:val="15"/>
        </w:rPr>
      </w:pPr>
      <w:r>
        <w:rPr>
          <w:rFonts w:ascii="Calibri"/>
          <w:spacing w:val="2"/>
          <w:sz w:val="15"/>
        </w:rPr>
        <w:t>30%</w:t>
      </w:r>
    </w:p>
    <w:p>
      <w:pPr>
        <w:spacing w:before="48"/>
        <w:ind w:left="0" w:right="5796" w:firstLine="0"/>
        <w:jc w:val="right"/>
        <w:rPr>
          <w:rFonts w:ascii="Calibri"/>
          <w:sz w:val="15"/>
        </w:rPr>
      </w:pPr>
      <w:r>
        <w:rPr>
          <w:rFonts w:ascii="Calibri"/>
          <w:spacing w:val="2"/>
          <w:sz w:val="15"/>
        </w:rPr>
        <w:t>20%</w:t>
      </w:r>
    </w:p>
    <w:p>
      <w:pPr>
        <w:spacing w:before="49"/>
        <w:ind w:left="0" w:right="5796" w:firstLine="0"/>
        <w:jc w:val="right"/>
        <w:rPr>
          <w:rFonts w:ascii="Calibri"/>
          <w:sz w:val="15"/>
        </w:rPr>
      </w:pPr>
      <w:r>
        <w:rPr>
          <w:rFonts w:ascii="Calibri"/>
          <w:spacing w:val="2"/>
          <w:sz w:val="15"/>
        </w:rPr>
        <w:t>10%</w:t>
      </w:r>
    </w:p>
    <w:p>
      <w:pPr>
        <w:spacing w:before="49"/>
        <w:ind w:left="0" w:right="5799" w:firstLine="0"/>
        <w:jc w:val="right"/>
        <w:rPr>
          <w:rFonts w:ascii="Calibri"/>
          <w:sz w:val="15"/>
        </w:rPr>
      </w:pPr>
      <w:r>
        <w:rPr>
          <w:rFonts w:ascii="Calibri"/>
          <w:sz w:val="15"/>
        </w:rPr>
        <w:t>0%</w:t>
      </w:r>
    </w:p>
    <w:p>
      <w:pPr>
        <w:pStyle w:val="BodyText"/>
        <w:spacing w:before="9"/>
        <w:rPr>
          <w:rFonts w:ascii="Calibri"/>
          <w:sz w:val="5"/>
        </w:rPr>
      </w:pPr>
    </w:p>
    <w:p>
      <w:pPr>
        <w:pStyle w:val="BodyText"/>
        <w:tabs>
          <w:tab w:pos="2676" w:val="left" w:leader="none"/>
          <w:tab w:pos="3493" w:val="left" w:leader="none"/>
          <w:tab w:pos="4309" w:val="left" w:leader="none"/>
          <w:tab w:pos="5126" w:val="left" w:leader="none"/>
          <w:tab w:pos="5943" w:val="left" w:leader="none"/>
          <w:tab w:pos="6759" w:val="left" w:leader="none"/>
        </w:tabs>
        <w:ind w:left="1859"/>
        <w:rPr>
          <w:rFonts w:ascii="Calibri"/>
        </w:rPr>
      </w:pPr>
      <w:r>
        <w:rPr>
          <w:rFonts w:ascii="Calibri"/>
        </w:rPr>
        <w:drawing>
          <wp:inline distT="0" distB="0" distL="0" distR="0">
            <wp:extent cx="167356" cy="170021"/>
            <wp:effectExtent l="0" t="0" r="0" b="0"/>
            <wp:docPr id="315" name="image160.png"/>
            <wp:cNvGraphicFramePr>
              <a:graphicFrameLocks noChangeAspect="1"/>
            </wp:cNvGraphicFramePr>
            <a:graphic>
              <a:graphicData uri="http://schemas.openxmlformats.org/drawingml/2006/picture">
                <pic:pic>
                  <pic:nvPicPr>
                    <pic:cNvPr id="316" name="image160.png"/>
                    <pic:cNvPicPr/>
                  </pic:nvPicPr>
                  <pic:blipFill>
                    <a:blip r:embed="rId196" cstate="print"/>
                    <a:stretch>
                      <a:fillRect/>
                    </a:stretch>
                  </pic:blipFill>
                  <pic:spPr>
                    <a:xfrm>
                      <a:off x="0" y="0"/>
                      <a:ext cx="167356" cy="170021"/>
                    </a:xfrm>
                    <a:prstGeom prst="rect">
                      <a:avLst/>
                    </a:prstGeom>
                  </pic:spPr>
                </pic:pic>
              </a:graphicData>
            </a:graphic>
          </wp:inline>
        </w:drawing>
      </w:r>
      <w:r>
        <w:rPr>
          <w:rFonts w:ascii="Calibri"/>
        </w:rPr>
      </w:r>
      <w:r>
        <w:rPr>
          <w:rFonts w:ascii="Calibri"/>
        </w:rPr>
        <w:tab/>
      </w:r>
      <w:r>
        <w:rPr>
          <w:rFonts w:ascii="Calibri"/>
        </w:rPr>
        <w:drawing>
          <wp:inline distT="0" distB="0" distL="0" distR="0">
            <wp:extent cx="163872" cy="166687"/>
            <wp:effectExtent l="0" t="0" r="0" b="0"/>
            <wp:docPr id="317" name="image161.png"/>
            <wp:cNvGraphicFramePr>
              <a:graphicFrameLocks noChangeAspect="1"/>
            </wp:cNvGraphicFramePr>
            <a:graphic>
              <a:graphicData uri="http://schemas.openxmlformats.org/drawingml/2006/picture">
                <pic:pic>
                  <pic:nvPicPr>
                    <pic:cNvPr id="318" name="image161.png"/>
                    <pic:cNvPicPr/>
                  </pic:nvPicPr>
                  <pic:blipFill>
                    <a:blip r:embed="rId197" cstate="print"/>
                    <a:stretch>
                      <a:fillRect/>
                    </a:stretch>
                  </pic:blipFill>
                  <pic:spPr>
                    <a:xfrm>
                      <a:off x="0" y="0"/>
                      <a:ext cx="163872" cy="166687"/>
                    </a:xfrm>
                    <a:prstGeom prst="rect">
                      <a:avLst/>
                    </a:prstGeom>
                  </pic:spPr>
                </pic:pic>
              </a:graphicData>
            </a:graphic>
          </wp:inline>
        </w:drawing>
      </w:r>
      <w:r>
        <w:rPr>
          <w:rFonts w:ascii="Calibri"/>
        </w:rPr>
      </w:r>
      <w:r>
        <w:rPr>
          <w:rFonts w:ascii="Calibri"/>
        </w:rPr>
        <w:tab/>
      </w:r>
      <w:r>
        <w:rPr>
          <w:rFonts w:ascii="Calibri"/>
        </w:rPr>
        <w:drawing>
          <wp:inline distT="0" distB="0" distL="0" distR="0">
            <wp:extent cx="167356" cy="170021"/>
            <wp:effectExtent l="0" t="0" r="0" b="0"/>
            <wp:docPr id="319" name="image162.png"/>
            <wp:cNvGraphicFramePr>
              <a:graphicFrameLocks noChangeAspect="1"/>
            </wp:cNvGraphicFramePr>
            <a:graphic>
              <a:graphicData uri="http://schemas.openxmlformats.org/drawingml/2006/picture">
                <pic:pic>
                  <pic:nvPicPr>
                    <pic:cNvPr id="320" name="image162.png"/>
                    <pic:cNvPicPr/>
                  </pic:nvPicPr>
                  <pic:blipFill>
                    <a:blip r:embed="rId198" cstate="print"/>
                    <a:stretch>
                      <a:fillRect/>
                    </a:stretch>
                  </pic:blipFill>
                  <pic:spPr>
                    <a:xfrm>
                      <a:off x="0" y="0"/>
                      <a:ext cx="167356" cy="170021"/>
                    </a:xfrm>
                    <a:prstGeom prst="rect">
                      <a:avLst/>
                    </a:prstGeom>
                  </pic:spPr>
                </pic:pic>
              </a:graphicData>
            </a:graphic>
          </wp:inline>
        </w:drawing>
      </w:r>
      <w:r>
        <w:rPr>
          <w:rFonts w:ascii="Calibri"/>
        </w:rPr>
      </w:r>
      <w:r>
        <w:rPr>
          <w:rFonts w:ascii="Calibri"/>
        </w:rPr>
        <w:tab/>
      </w:r>
      <w:r>
        <w:rPr>
          <w:rFonts w:ascii="Calibri"/>
        </w:rPr>
        <w:drawing>
          <wp:inline distT="0" distB="0" distL="0" distR="0">
            <wp:extent cx="163872" cy="166687"/>
            <wp:effectExtent l="0" t="0" r="0" b="0"/>
            <wp:docPr id="321" name="image163.png"/>
            <wp:cNvGraphicFramePr>
              <a:graphicFrameLocks noChangeAspect="1"/>
            </wp:cNvGraphicFramePr>
            <a:graphic>
              <a:graphicData uri="http://schemas.openxmlformats.org/drawingml/2006/picture">
                <pic:pic>
                  <pic:nvPicPr>
                    <pic:cNvPr id="322" name="image163.png"/>
                    <pic:cNvPicPr/>
                  </pic:nvPicPr>
                  <pic:blipFill>
                    <a:blip r:embed="rId199" cstate="print"/>
                    <a:stretch>
                      <a:fillRect/>
                    </a:stretch>
                  </pic:blipFill>
                  <pic:spPr>
                    <a:xfrm>
                      <a:off x="0" y="0"/>
                      <a:ext cx="163872" cy="166687"/>
                    </a:xfrm>
                    <a:prstGeom prst="rect">
                      <a:avLst/>
                    </a:prstGeom>
                  </pic:spPr>
                </pic:pic>
              </a:graphicData>
            </a:graphic>
          </wp:inline>
        </w:drawing>
      </w:r>
      <w:r>
        <w:rPr>
          <w:rFonts w:ascii="Calibri"/>
        </w:rPr>
      </w:r>
      <w:r>
        <w:rPr>
          <w:rFonts w:ascii="Calibri"/>
        </w:rPr>
        <w:tab/>
      </w:r>
      <w:r>
        <w:rPr>
          <w:rFonts w:ascii="Calibri"/>
        </w:rPr>
        <w:drawing>
          <wp:inline distT="0" distB="0" distL="0" distR="0">
            <wp:extent cx="167356" cy="170021"/>
            <wp:effectExtent l="0" t="0" r="0" b="0"/>
            <wp:docPr id="323" name="image164.png"/>
            <wp:cNvGraphicFramePr>
              <a:graphicFrameLocks noChangeAspect="1"/>
            </wp:cNvGraphicFramePr>
            <a:graphic>
              <a:graphicData uri="http://schemas.openxmlformats.org/drawingml/2006/picture">
                <pic:pic>
                  <pic:nvPicPr>
                    <pic:cNvPr id="324" name="image164.png"/>
                    <pic:cNvPicPr/>
                  </pic:nvPicPr>
                  <pic:blipFill>
                    <a:blip r:embed="rId200" cstate="print"/>
                    <a:stretch>
                      <a:fillRect/>
                    </a:stretch>
                  </pic:blipFill>
                  <pic:spPr>
                    <a:xfrm>
                      <a:off x="0" y="0"/>
                      <a:ext cx="167356" cy="170021"/>
                    </a:xfrm>
                    <a:prstGeom prst="rect">
                      <a:avLst/>
                    </a:prstGeom>
                  </pic:spPr>
                </pic:pic>
              </a:graphicData>
            </a:graphic>
          </wp:inline>
        </w:drawing>
      </w:r>
      <w:r>
        <w:rPr>
          <w:rFonts w:ascii="Calibri"/>
        </w:rPr>
      </w:r>
      <w:r>
        <w:rPr>
          <w:rFonts w:ascii="Calibri"/>
        </w:rPr>
        <w:tab/>
      </w:r>
      <w:r>
        <w:rPr>
          <w:rFonts w:ascii="Calibri"/>
        </w:rPr>
        <w:drawing>
          <wp:inline distT="0" distB="0" distL="0" distR="0">
            <wp:extent cx="163872" cy="166687"/>
            <wp:effectExtent l="0" t="0" r="0" b="0"/>
            <wp:docPr id="325" name="image165.png"/>
            <wp:cNvGraphicFramePr>
              <a:graphicFrameLocks noChangeAspect="1"/>
            </wp:cNvGraphicFramePr>
            <a:graphic>
              <a:graphicData uri="http://schemas.openxmlformats.org/drawingml/2006/picture">
                <pic:pic>
                  <pic:nvPicPr>
                    <pic:cNvPr id="326" name="image165.png"/>
                    <pic:cNvPicPr/>
                  </pic:nvPicPr>
                  <pic:blipFill>
                    <a:blip r:embed="rId201" cstate="print"/>
                    <a:stretch>
                      <a:fillRect/>
                    </a:stretch>
                  </pic:blipFill>
                  <pic:spPr>
                    <a:xfrm>
                      <a:off x="0" y="0"/>
                      <a:ext cx="163872" cy="166687"/>
                    </a:xfrm>
                    <a:prstGeom prst="rect">
                      <a:avLst/>
                    </a:prstGeom>
                  </pic:spPr>
                </pic:pic>
              </a:graphicData>
            </a:graphic>
          </wp:inline>
        </w:drawing>
      </w:r>
      <w:r>
        <w:rPr>
          <w:rFonts w:ascii="Calibri"/>
        </w:rPr>
      </w:r>
      <w:r>
        <w:rPr>
          <w:rFonts w:ascii="Calibri"/>
        </w:rPr>
        <w:tab/>
      </w:r>
      <w:r>
        <w:rPr>
          <w:rFonts w:ascii="Calibri"/>
        </w:rPr>
        <w:drawing>
          <wp:inline distT="0" distB="0" distL="0" distR="0">
            <wp:extent cx="167356" cy="170021"/>
            <wp:effectExtent l="0" t="0" r="0" b="0"/>
            <wp:docPr id="327" name="image166.png"/>
            <wp:cNvGraphicFramePr>
              <a:graphicFrameLocks noChangeAspect="1"/>
            </wp:cNvGraphicFramePr>
            <a:graphic>
              <a:graphicData uri="http://schemas.openxmlformats.org/drawingml/2006/picture">
                <pic:pic>
                  <pic:nvPicPr>
                    <pic:cNvPr id="328" name="image166.png"/>
                    <pic:cNvPicPr/>
                  </pic:nvPicPr>
                  <pic:blipFill>
                    <a:blip r:embed="rId202" cstate="print"/>
                    <a:stretch>
                      <a:fillRect/>
                    </a:stretch>
                  </pic:blipFill>
                  <pic:spPr>
                    <a:xfrm>
                      <a:off x="0" y="0"/>
                      <a:ext cx="167356" cy="170021"/>
                    </a:xfrm>
                    <a:prstGeom prst="rect">
                      <a:avLst/>
                    </a:prstGeom>
                  </pic:spPr>
                </pic:pic>
              </a:graphicData>
            </a:graphic>
          </wp:inline>
        </w:drawing>
      </w:r>
      <w:r>
        <w:rPr>
          <w:rFonts w:ascii="Calibri"/>
        </w:rPr>
      </w:r>
    </w:p>
    <w:p>
      <w:pPr>
        <w:spacing w:before="93"/>
        <w:ind w:left="4377" w:right="3044" w:firstLine="0"/>
        <w:jc w:val="center"/>
        <w:rPr>
          <w:rFonts w:ascii="Calibri"/>
          <w:b/>
          <w:sz w:val="15"/>
        </w:rPr>
      </w:pPr>
      <w:r>
        <w:rPr>
          <w:rFonts w:ascii="Calibri"/>
          <w:b/>
          <w:w w:val="105"/>
          <w:sz w:val="15"/>
        </w:rPr>
        <w:t>Year</w:t>
      </w:r>
    </w:p>
    <w:p>
      <w:pPr>
        <w:pStyle w:val="BodyText"/>
        <w:rPr>
          <w:rFonts w:ascii="Calibri"/>
          <w:b/>
          <w:sz w:val="14"/>
        </w:rPr>
      </w:pPr>
      <w:r>
        <w:rPr/>
        <w:br w:type="column"/>
      </w:r>
      <w:r>
        <w:rPr>
          <w:rFonts w:ascii="Calibri"/>
          <w:b/>
          <w:sz w:val="14"/>
        </w:rPr>
      </w:r>
    </w:p>
    <w:p>
      <w:pPr>
        <w:pStyle w:val="BodyText"/>
        <w:rPr>
          <w:rFonts w:ascii="Calibri"/>
          <w:b/>
          <w:sz w:val="14"/>
        </w:rPr>
      </w:pPr>
    </w:p>
    <w:p>
      <w:pPr>
        <w:pStyle w:val="BodyText"/>
        <w:rPr>
          <w:rFonts w:ascii="Calibri"/>
          <w:b/>
          <w:sz w:val="14"/>
        </w:rPr>
      </w:pPr>
    </w:p>
    <w:p>
      <w:pPr>
        <w:pStyle w:val="BodyText"/>
        <w:spacing w:before="10"/>
        <w:rPr>
          <w:rFonts w:ascii="Calibri"/>
          <w:b/>
          <w:sz w:val="10"/>
        </w:rPr>
      </w:pPr>
    </w:p>
    <w:p>
      <w:pPr>
        <w:spacing w:before="0"/>
        <w:ind w:left="539" w:right="0" w:firstLine="0"/>
        <w:jc w:val="left"/>
        <w:rPr>
          <w:rFonts w:ascii="Calibri"/>
          <w:sz w:val="14"/>
        </w:rPr>
      </w:pPr>
      <w:r>
        <w:rPr>
          <w:rFonts w:ascii="Calibri"/>
          <w:sz w:val="14"/>
        </w:rPr>
        <w:t>Class key:</w:t>
      </w:r>
    </w:p>
    <w:p>
      <w:pPr>
        <w:pStyle w:val="ListParagraph"/>
        <w:numPr>
          <w:ilvl w:val="0"/>
          <w:numId w:val="73"/>
        </w:numPr>
        <w:tabs>
          <w:tab w:pos="996" w:val="left" w:leader="none"/>
        </w:tabs>
        <w:spacing w:line="240" w:lineRule="auto" w:before="15" w:after="0"/>
        <w:ind w:left="995" w:right="0" w:hanging="104"/>
        <w:jc w:val="left"/>
        <w:rPr>
          <w:rFonts w:ascii="Calibri"/>
          <w:sz w:val="14"/>
        </w:rPr>
      </w:pPr>
      <w:r>
        <w:rPr/>
        <w:pict>
          <v:group style="position:absolute;margin-left:421.610474pt;margin-top:.044052pt;width:17.9pt;height:130.5pt;mso-position-horizontal-relative:page;mso-position-vertical-relative:paragraph;z-index:252725248" coordorigin="8432,1" coordsize="358,2610">
            <v:rect style="position:absolute;left:8435;top:0;width:354;height:186" filled="true" fillcolor="#1f487c" stroked="false">
              <v:fill type="solid"/>
            </v:rect>
            <v:rect style="position:absolute;left:8435;top:186;width:354;height:186" filled="true" fillcolor="#009544" stroked="false">
              <v:fill type="solid"/>
            </v:rect>
            <v:rect style="position:absolute;left:8435;top:372;width:354;height:186" filled="true" fillcolor="#e16b09" stroked="false">
              <v:fill type="solid"/>
            </v:rect>
            <v:rect style="position:absolute;left:8435;top:558;width:354;height:186" filled="true" fillcolor="#e08ad6" stroked="false">
              <v:fill type="solid"/>
            </v:rect>
            <v:rect style="position:absolute;left:8435;top:744;width:354;height:186" filled="true" fillcolor="#8063a1" stroked="false">
              <v:fill type="solid"/>
            </v:rect>
            <v:rect style="position:absolute;left:8435;top:930;width:354;height:186" filled="true" fillcolor="#c0504d" stroked="false">
              <v:fill type="solid"/>
            </v:rect>
            <v:rect style="position:absolute;left:8435;top:1116;width:354;height:186" filled="true" fillcolor="#f8a763" stroked="false">
              <v:fill type="solid"/>
            </v:rect>
            <v:rect style="position:absolute;left:8435;top:1302;width:354;height:186" filled="true" fillcolor="#ecb8e7" stroked="false">
              <v:fill type="solid"/>
            </v:rect>
            <v:rect style="position:absolute;left:8435;top:1488;width:354;height:186" filled="true" fillcolor="#938953" stroked="false">
              <v:fill type="solid"/>
            </v:rect>
            <v:rect style="position:absolute;left:8435;top:1674;width:354;height:186" filled="true" fillcolor="#ffd600" stroked="false">
              <v:fill type="solid"/>
            </v:rect>
            <v:rect style="position:absolute;left:8435;top:1859;width:354;height:186" filled="true" fillcolor="#000000" stroked="false">
              <v:fill type="solid"/>
            </v:rect>
            <v:rect style="position:absolute;left:8435;top:2045;width:354;height:186" filled="true" fillcolor="#ffeb8f" stroked="false">
              <v:fill type="solid"/>
            </v:rect>
            <v:rect style="position:absolute;left:8435;top:2231;width:354;height:379" filled="true" fillcolor="#a6a6a6" stroked="false">
              <v:fill type="solid"/>
            </v:rect>
            <v:line style="position:absolute" from="8782,7" to="8782,2610" stroked="true" strokeweight="0pt" strokecolor="#ffffff">
              <v:stroke dashstyle="solid"/>
            </v:line>
            <v:line style="position:absolute" from="8785,7" to="8785,2610" stroked="true" strokeweight=".321105pt" strokecolor="#ffffff">
              <v:stroke dashstyle="solid"/>
            </v:line>
            <v:line style="position:absolute" from="8435,4" to="8789,4" stroked="true" strokeweight=".320535pt" strokecolor="#ffffff">
              <v:stroke dashstyle="solid"/>
            </v:line>
            <v:line style="position:absolute" from="8435,187" to="8789,187" stroked="true" strokeweight="0pt" strokecolor="#ffffff">
              <v:stroke dashstyle="solid"/>
            </v:line>
            <v:line style="position:absolute" from="8435,190" to="8789,190" stroked="true" strokeweight=".320535pt" strokecolor="#ffffff">
              <v:stroke dashstyle="solid"/>
            </v:line>
            <v:line style="position:absolute" from="8435,373" to="8789,373" stroked="true" strokeweight="0pt" strokecolor="#ffffff">
              <v:stroke dashstyle="solid"/>
            </v:line>
            <v:line style="position:absolute" from="8435,376" to="8789,376" stroked="true" strokeweight=".320856pt" strokecolor="#ffffff">
              <v:stroke dashstyle="solid"/>
            </v:line>
            <v:line style="position:absolute" from="8435,559" to="8789,559" stroked="true" strokeweight="0pt" strokecolor="#ffffff">
              <v:stroke dashstyle="solid"/>
            </v:line>
            <v:line style="position:absolute" from="8435,562" to="8789,562" stroked="true" strokeweight=".320535pt" strokecolor="#ffffff">
              <v:stroke dashstyle="solid"/>
            </v:line>
            <v:line style="position:absolute" from="8435,745" to="8789,745" stroked="true" strokeweight="0pt" strokecolor="#ffffff">
              <v:stroke dashstyle="solid"/>
            </v:line>
            <v:line style="position:absolute" from="8435,748" to="8789,748" stroked="true" strokeweight=".320535pt" strokecolor="#ffffff">
              <v:stroke dashstyle="solid"/>
            </v:line>
            <v:line style="position:absolute" from="8435,930" to="8789,930" stroked="true" strokeweight="0pt" strokecolor="#ffffff">
              <v:stroke dashstyle="solid"/>
            </v:line>
            <v:line style="position:absolute" from="8435,934" to="8789,934" stroked="true" strokeweight=".320535pt" strokecolor="#ffffff">
              <v:stroke dashstyle="solid"/>
            </v:line>
            <v:line style="position:absolute" from="8435,1116" to="8789,1116" stroked="true" strokeweight="0pt" strokecolor="#ffffff">
              <v:stroke dashstyle="solid"/>
            </v:line>
            <v:line style="position:absolute" from="8435,1120" to="8789,1120" stroked="true" strokeweight=".320535pt" strokecolor="#ffffff">
              <v:stroke dashstyle="solid"/>
            </v:line>
            <v:line style="position:absolute" from="8435,1302" to="8789,1302" stroked="true" strokeweight="0pt" strokecolor="#ffffff">
              <v:stroke dashstyle="solid"/>
            </v:line>
            <v:line style="position:absolute" from="8435,1305" to="8789,1305" stroked="true" strokeweight=".320535pt" strokecolor="#ffffff">
              <v:stroke dashstyle="solid"/>
            </v:line>
            <v:line style="position:absolute" from="8435,1488" to="8789,1488" stroked="true" strokeweight="0pt" strokecolor="#ffffff">
              <v:stroke dashstyle="solid"/>
            </v:line>
            <v:line style="position:absolute" from="8435,1491" to="8789,1491" stroked="true" strokeweight=".320535pt" strokecolor="#ffffff">
              <v:stroke dashstyle="solid"/>
            </v:line>
            <v:line style="position:absolute" from="8435,1674" to="8789,1674" stroked="true" strokeweight="0pt" strokecolor="#ffffff">
              <v:stroke dashstyle="solid"/>
            </v:line>
            <v:line style="position:absolute" from="8435,1677" to="8789,1677" stroked="true" strokeweight=".320535pt" strokecolor="#ffffff">
              <v:stroke dashstyle="solid"/>
            </v:line>
            <v:line style="position:absolute" from="8435,1860" to="8789,1860" stroked="true" strokeweight="0pt" strokecolor="#ffffff">
              <v:stroke dashstyle="solid"/>
            </v:line>
            <v:line style="position:absolute" from="8435,1863" to="8789,1863" stroked="true" strokeweight=".320535pt" strokecolor="#ffffff">
              <v:stroke dashstyle="solid"/>
            </v:line>
            <v:line style="position:absolute" from="8435,2046" to="8789,2046" stroked="true" strokeweight="0pt" strokecolor="#ffffff">
              <v:stroke dashstyle="solid"/>
            </v:line>
            <v:line style="position:absolute" from="8435,2049" to="8789,2049" stroked="true" strokeweight=".320856pt" strokecolor="#ffffff">
              <v:stroke dashstyle="solid"/>
            </v:line>
            <v:line style="position:absolute" from="8435,2232" to="8789,2232" stroked="true" strokeweight="0pt" strokecolor="#ffffff">
              <v:stroke dashstyle="solid"/>
            </v:line>
            <v:line style="position:absolute" from="8435,2235" to="8789,2235" stroked="true" strokeweight=".320535pt" strokecolor="#ffffff">
              <v:stroke dashstyle="solid"/>
            </v:line>
            <v:line style="position:absolute" from="8435,2418" to="8789,2418" stroked="true" strokeweight="0pt" strokecolor="#ffffff">
              <v:stroke dashstyle="solid"/>
            </v:line>
            <v:line style="position:absolute" from="8435,2421" to="8789,2421" stroked="true" strokeweight=".320535pt" strokecolor="#ffffff">
              <v:stroke dashstyle="solid"/>
            </v:line>
            <v:line style="position:absolute" from="8435,2604" to="8789,2604" stroked="true" strokeweight="0pt" strokecolor="#ffffff">
              <v:stroke dashstyle="solid"/>
            </v:line>
            <v:line style="position:absolute" from="8435,2607" to="8789,2607" stroked="true" strokeweight=".320215pt" strokecolor="#ffffff">
              <v:stroke dashstyle="solid"/>
            </v:line>
            <v:line style="position:absolute" from="8432,2344" to="8790,2344" stroked="true" strokeweight=".961678pt" strokecolor="#ffffff">
              <v:stroke dashstyle="solid"/>
            </v:line>
            <v:line style="position:absolute" from="8432,2517" to="8790,2517" stroked="true" strokeweight=".961678pt" strokecolor="#ffffff">
              <v:stroke dashstyle="solid"/>
            </v:line>
            <w10:wrap type="none"/>
          </v:group>
        </w:pict>
      </w:r>
      <w:r>
        <w:rPr>
          <w:rFonts w:ascii="Calibri"/>
          <w:sz w:val="14"/>
        </w:rPr>
        <w:t>Studying</w:t>
      </w:r>
    </w:p>
    <w:p>
      <w:pPr>
        <w:pStyle w:val="ListParagraph"/>
        <w:numPr>
          <w:ilvl w:val="0"/>
          <w:numId w:val="73"/>
        </w:numPr>
        <w:tabs>
          <w:tab w:pos="996" w:val="left" w:leader="none"/>
        </w:tabs>
        <w:spacing w:line="240" w:lineRule="auto" w:before="15" w:after="0"/>
        <w:ind w:left="995" w:right="0" w:hanging="104"/>
        <w:jc w:val="left"/>
        <w:rPr>
          <w:rFonts w:ascii="Calibri"/>
          <w:sz w:val="14"/>
        </w:rPr>
      </w:pPr>
      <w:r>
        <w:rPr>
          <w:rFonts w:ascii="Calibri"/>
          <w:sz w:val="14"/>
        </w:rPr>
        <w:t>Working</w:t>
      </w:r>
      <w:r>
        <w:rPr>
          <w:rFonts w:ascii="Calibri"/>
          <w:spacing w:val="-2"/>
          <w:sz w:val="14"/>
        </w:rPr>
        <w:t> </w:t>
      </w:r>
      <w:r>
        <w:rPr>
          <w:rFonts w:ascii="Calibri"/>
          <w:sz w:val="14"/>
        </w:rPr>
        <w:t>Age</w:t>
      </w:r>
    </w:p>
    <w:p>
      <w:pPr>
        <w:pStyle w:val="ListParagraph"/>
        <w:numPr>
          <w:ilvl w:val="0"/>
          <w:numId w:val="73"/>
        </w:numPr>
        <w:tabs>
          <w:tab w:pos="996" w:val="left" w:leader="none"/>
        </w:tabs>
        <w:spacing w:line="240" w:lineRule="auto" w:before="15" w:after="0"/>
        <w:ind w:left="995" w:right="0" w:hanging="104"/>
        <w:jc w:val="left"/>
        <w:rPr>
          <w:rFonts w:ascii="Calibri"/>
          <w:sz w:val="14"/>
        </w:rPr>
      </w:pPr>
      <w:r>
        <w:rPr>
          <w:rFonts w:ascii="Calibri"/>
          <w:sz w:val="14"/>
        </w:rPr>
        <w:t>Parents</w:t>
      </w:r>
    </w:p>
    <w:p>
      <w:pPr>
        <w:pStyle w:val="ListParagraph"/>
        <w:numPr>
          <w:ilvl w:val="0"/>
          <w:numId w:val="73"/>
        </w:numPr>
        <w:tabs>
          <w:tab w:pos="996" w:val="left" w:leader="none"/>
        </w:tabs>
        <w:spacing w:line="240" w:lineRule="auto" w:before="15" w:after="0"/>
        <w:ind w:left="995" w:right="0" w:hanging="104"/>
        <w:jc w:val="left"/>
        <w:rPr>
          <w:rFonts w:ascii="Calibri"/>
          <w:sz w:val="14"/>
        </w:rPr>
      </w:pPr>
      <w:r>
        <w:rPr>
          <w:rFonts w:ascii="Calibri"/>
          <w:sz w:val="14"/>
        </w:rPr>
        <w:t>Carers</w:t>
      </w:r>
    </w:p>
    <w:p>
      <w:pPr>
        <w:pStyle w:val="ListParagraph"/>
        <w:numPr>
          <w:ilvl w:val="0"/>
          <w:numId w:val="73"/>
        </w:numPr>
        <w:tabs>
          <w:tab w:pos="996" w:val="left" w:leader="none"/>
        </w:tabs>
        <w:spacing w:line="240" w:lineRule="auto" w:before="15" w:after="0"/>
        <w:ind w:left="995" w:right="0" w:hanging="104"/>
        <w:jc w:val="left"/>
        <w:rPr>
          <w:rFonts w:ascii="Calibri"/>
          <w:sz w:val="14"/>
        </w:rPr>
      </w:pPr>
      <w:r>
        <w:rPr>
          <w:rFonts w:ascii="Calibri"/>
          <w:sz w:val="14"/>
        </w:rPr>
        <w:t>Disability Support</w:t>
      </w:r>
    </w:p>
    <w:p>
      <w:pPr>
        <w:pStyle w:val="ListParagraph"/>
        <w:numPr>
          <w:ilvl w:val="0"/>
          <w:numId w:val="73"/>
        </w:numPr>
        <w:tabs>
          <w:tab w:pos="996" w:val="left" w:leader="none"/>
        </w:tabs>
        <w:spacing w:line="261" w:lineRule="auto" w:before="15" w:after="0"/>
        <w:ind w:left="892" w:right="2204" w:firstLine="0"/>
        <w:jc w:val="left"/>
        <w:rPr>
          <w:rFonts w:ascii="Calibri"/>
          <w:sz w:val="14"/>
        </w:rPr>
      </w:pPr>
      <w:r>
        <w:rPr>
          <w:rFonts w:ascii="Calibri"/>
          <w:sz w:val="14"/>
        </w:rPr>
        <w:t>Pension Age 7 Non IS Family 8 Non IS Carer 9 Non IS</w:t>
      </w:r>
      <w:r>
        <w:rPr>
          <w:rFonts w:ascii="Calibri"/>
          <w:spacing w:val="7"/>
          <w:sz w:val="14"/>
        </w:rPr>
        <w:t> </w:t>
      </w:r>
      <w:r>
        <w:rPr>
          <w:rFonts w:ascii="Calibri"/>
          <w:sz w:val="14"/>
        </w:rPr>
        <w:t>Other</w:t>
      </w:r>
    </w:p>
    <w:p>
      <w:pPr>
        <w:spacing w:line="261" w:lineRule="auto" w:before="0"/>
        <w:ind w:left="892" w:right="1267" w:firstLine="0"/>
        <w:jc w:val="left"/>
        <w:rPr>
          <w:rFonts w:ascii="Calibri"/>
          <w:sz w:val="14"/>
        </w:rPr>
      </w:pPr>
      <w:r>
        <w:rPr>
          <w:rFonts w:ascii="Calibri"/>
          <w:sz w:val="14"/>
        </w:rPr>
        <w:t>10 Previous Welfare Recipient 11 Dead</w:t>
      </w:r>
    </w:p>
    <w:p>
      <w:pPr>
        <w:spacing w:line="261" w:lineRule="auto" w:before="0"/>
        <w:ind w:left="892" w:right="1391" w:firstLine="0"/>
        <w:jc w:val="left"/>
        <w:rPr>
          <w:rFonts w:ascii="Calibri"/>
          <w:sz w:val="14"/>
        </w:rPr>
      </w:pPr>
      <w:r>
        <w:rPr>
          <w:rFonts w:ascii="Calibri"/>
          <w:sz w:val="14"/>
        </w:rPr>
        <w:t>12 Rest of Aust. Population Prior valuation - all active Prior valuation - current class</w:t>
      </w:r>
    </w:p>
    <w:p>
      <w:pPr>
        <w:spacing w:after="0" w:line="261" w:lineRule="auto"/>
        <w:jc w:val="left"/>
        <w:rPr>
          <w:rFonts w:ascii="Calibri"/>
          <w:sz w:val="14"/>
        </w:rPr>
        <w:sectPr>
          <w:type w:val="continuous"/>
          <w:pgSz w:w="11910" w:h="16850"/>
          <w:pgMar w:top="1600" w:bottom="280" w:left="120" w:right="0"/>
          <w:cols w:num="2" w:equalWidth="0">
            <w:col w:w="7756" w:space="40"/>
            <w:col w:w="3994"/>
          </w:cols>
        </w:sectPr>
      </w:pPr>
    </w:p>
    <w:p>
      <w:pPr>
        <w:pStyle w:val="BodyText"/>
        <w:spacing w:before="8"/>
        <w:rPr>
          <w:rFonts w:ascii="Calibri"/>
          <w:sz w:val="14"/>
        </w:rPr>
      </w:pPr>
    </w:p>
    <w:p>
      <w:pPr>
        <w:spacing w:after="0"/>
        <w:rPr>
          <w:rFonts w:ascii="Calibri"/>
          <w:sz w:val="14"/>
        </w:rPr>
        <w:sectPr>
          <w:type w:val="continuous"/>
          <w:pgSz w:w="11910" w:h="16850"/>
          <w:pgMar w:top="1600" w:bottom="280" w:left="120" w:right="0"/>
        </w:sectPr>
      </w:pPr>
    </w:p>
    <w:p>
      <w:pPr>
        <w:spacing w:before="96"/>
        <w:ind w:left="1116" w:right="0" w:firstLine="0"/>
        <w:jc w:val="left"/>
        <w:rPr>
          <w:b/>
          <w:sz w:val="16"/>
        </w:rPr>
      </w:pPr>
      <w:r>
        <w:rPr>
          <w:b/>
          <w:color w:val="404040"/>
          <w:sz w:val="16"/>
        </w:rPr>
        <w:t>Age 30 to 34</w:t>
      </w:r>
    </w:p>
    <w:p>
      <w:pPr>
        <w:spacing w:before="129"/>
        <w:ind w:left="0" w:right="986" w:firstLine="0"/>
        <w:jc w:val="right"/>
        <w:rPr>
          <w:rFonts w:ascii="Calibri"/>
          <w:sz w:val="15"/>
        </w:rPr>
      </w:pPr>
      <w:r>
        <w:rPr/>
        <w:pict>
          <v:group style="position:absolute;margin-left:108.72094pt;margin-top:10.510503pt;width:248.1pt;height:119pt;mso-position-horizontal-relative:page;mso-position-vertical-relative:paragraph;z-index:252726272" coordorigin="2174,210" coordsize="4962,2380">
            <v:shape style="position:absolute;left:2221;top:227;width:4578;height:2315" coordorigin="2222,228" coordsize="4578,2315" path="m6799,2542l2222,2542,2222,228,2387,2531,6633,2531,6799,2542xm5155,2531l2387,2531,2553,2318,2707,2401,3203,2472,3369,2472,3523,2483,3688,2483,3854,2495,4185,2495,4339,2507,4670,2507,4836,2519,5001,2519,5155,2531xe" filled="true" fillcolor="#938953" stroked="false">
              <v:path arrowok="t"/>
              <v:fill type="solid"/>
            </v:shape>
            <v:shape style="position:absolute;left:2221;top:227;width:4897;height:2315" coordorigin="2222,228" coordsize="4897,2315" path="m2222,228l2387,2531,2553,2318,2707,2401,2872,2424,3038,2448,3203,2472,3369,2472,3523,2483,3688,2483,3854,2495,4019,2495,4185,2495,4339,2507,4504,2507,4670,2507,4836,2519,5001,2519,5155,2531,5320,2531,5486,2531,6633,2531,6799,2542,6953,2542,7118,2542,6953,2542,2222,2542,2222,228xe" filled="false" stroked="true" strokeweight=".5906pt" strokecolor="#938953">
              <v:path arrowok="t"/>
              <v:stroke dashstyle="solid"/>
            </v:shape>
            <v:shape style="position:absolute;left:5001;top:2518;width:2118;height:24" coordorigin="5001,2519" coordsize="2118,24" path="m5320,2531l5155,2531,5001,2519,5155,2519,5320,2531xm7118,2542l6799,2542,6633,2531,7118,2531,7118,2542xe" filled="true" fillcolor="#1f487c" stroked="false">
              <v:path arrowok="t"/>
              <v:fill type="solid"/>
            </v:shape>
            <v:shape style="position:absolute;left:2221;top:227;width:4897;height:2315" coordorigin="2222,228" coordsize="4897,2315" path="m2222,228l2387,2531,2553,2318,2707,2401,2872,2424,3038,2448,3203,2472,3369,2472,3523,2483,3688,2483,3854,2495,4019,2495,4185,2495,4339,2507,4504,2507,4670,2507,4836,2519,5001,2519,5155,2519,5320,2531,5486,2531,7118,2531,7118,2542,6953,2542,6799,2542,6633,2531,5155,2531,5001,2519,4836,2519,4670,2507,4504,2507,4339,2507,4185,2495,4019,2495,3854,2495,3688,2483,3523,2483,3369,2472,3203,2472,3038,2448,2872,2424,2707,2401,2553,2318,2387,2531,2222,228xe" filled="false" stroked="true" strokeweight=".5906pt" strokecolor="#1f487c">
              <v:path arrowok="t"/>
              <v:stroke dashstyle="solid"/>
            </v:shape>
            <v:shape style="position:absolute;left:2221;top:227;width:4897;height:2303" coordorigin="2222,228" coordsize="4897,2303" path="m2387,2531l2222,228,2387,2507,2406,2507,2387,2531xm2406,2507l2387,2507,2553,2294,2604,2318,2553,2318,2406,2507xm7118,2531l5320,2531,5155,2519,4836,2519,4670,2507,4339,2507,4185,2495,3854,2495,3688,2483,3523,2483,3369,2472,3203,2472,2707,2401,2553,2318,2604,2318,2707,2365,3038,2413,3203,2424,7118,2424,7118,2531xm7118,2424l5652,2424,5817,2413,6302,2413,6468,2401,6633,2401,7118,2365,7118,2424xm4836,2424l4339,2424,4504,2413,4670,2413,4836,2424xe" filled="true" fillcolor="#009544" stroked="false">
              <v:path arrowok="t"/>
              <v:fill type="solid"/>
            </v:shape>
            <v:shape style="position:absolute;left:2221;top:227;width:4897;height:2303" coordorigin="2222,228" coordsize="4897,2303" path="m2222,228l2387,2507,2553,2294,2707,2365,2872,2389,3038,2413,3203,2424,4339,2424,4504,2413,4670,2413,4836,2424,5001,2424,5155,2424,5320,2424,5486,2424,5652,2424,5817,2413,5983,2413,6137,2413,6302,2413,6468,2401,6633,2401,6799,2389,6953,2377,7118,2365,7118,2531,6953,2531,6799,2531,5320,2531,5155,2519,5001,2519,4836,2519,4670,2507,4504,2507,4339,2507,4185,2495,4019,2495,3854,2495,3688,2483,3523,2483,3369,2472,3203,2472,3038,2448,2872,2424,2707,2401,2553,2318,2387,2531,2222,228xe" filled="false" stroked="true" strokeweight=".590598pt" strokecolor="#009544">
              <v:path arrowok="t"/>
              <v:stroke dashstyle="solid"/>
            </v:shape>
            <v:shape style="position:absolute;left:2221;top:227;width:2934;height:2280" coordorigin="2222,228" coordsize="2934,2280" path="m2387,2507l2222,228,2387,2472,2415,2472,2387,2507xm2415,2472l2387,2472,2553,2235,2681,2294,2553,2294,2415,2472xm4339,2424l3203,2424,3038,2413,2707,2365,2553,2294,2681,2294,2707,2306,2872,2330,3038,2330,3203,2353,3369,2353,3688,2377,3854,2377,4185,2401,4670,2401,4836,2413,4504,2413,4339,2424xm5155,2424l4836,2424,4670,2413,5001,2413,5155,2424xe" filled="true" fillcolor="#e16b09" stroked="false">
              <v:path arrowok="t"/>
              <v:fill type="solid"/>
            </v:shape>
            <v:shape style="position:absolute;left:2221;top:227;width:4897;height:2280" coordorigin="2222,228" coordsize="4897,2280" path="m2222,228l2387,2472,2553,2235,2707,2306,2872,2330,3038,2330,3203,2353,3369,2353,3523,2365,3688,2377,3854,2377,4019,2389,4185,2401,4339,2401,4504,2401,4670,2401,4836,2413,5001,2413,5155,2424,5320,2424,5486,2424,5652,2424,5817,2413,5983,2413,6137,2413,6302,2413,6468,2401,6633,2401,6799,2389,6953,2377,7118,2365,6953,2377,6799,2389,6633,2401,6468,2401,6302,2413,6137,2413,5983,2413,5817,2413,5652,2424,4836,2424,4670,2413,4504,2413,4339,2424,4185,2424,3203,2424,3038,2413,2872,2389,2707,2365,2553,2294,2387,2507,2222,228xe" filled="false" stroked="true" strokeweight=".590599pt" strokecolor="#e16b09">
              <v:path arrowok="t"/>
              <v:stroke dashstyle="solid"/>
            </v:shape>
            <v:shape style="position:absolute;left:2221;top:227;width:4897;height:2244" coordorigin="2222,228" coordsize="4897,2244" path="m2387,2472l2222,228,2387,2460,2396,2460,2387,2472xm2396,2460l2387,2460,2553,2235,2396,2460xm3038,2330l2872,2330,2707,2306,2553,2235,2707,2294,2872,2318,3038,2330xm6799,2389l5486,2389,5652,2377,5817,2377,5983,2365,6137,2365,6468,2342,6633,2342,6799,2330,6953,2306,7118,2294,7118,2365,6799,2389xm4019,2377l3688,2377,3369,2353,3203,2353,3038,2330,3203,2342,3369,2342,3688,2365,3854,2365,4019,2377xm6633,2401l4185,2401,3854,2377,4670,2377,4836,2389,6799,2389,6633,2401xm6302,2413l4836,2413,4670,2401,6468,2401,6302,2413xm5652,2424l5155,2424,5001,2413,5817,2413,5652,2424xe" filled="true" fillcolor="#e08ad6" stroked="false">
              <v:path arrowok="t"/>
              <v:fill type="solid"/>
            </v:shape>
            <v:shape style="position:absolute;left:2221;top:227;width:4897;height:2244" coordorigin="2222,228" coordsize="4897,2244" path="m2222,228l2387,2460,2553,2235,2707,2294,2872,2318,3038,2330,3203,2342,3369,2342,3523,2353,3688,2365,3854,2365,4019,2377,4185,2377,4339,2377,4504,2377,4670,2377,4836,2389,5001,2389,5155,2389,5320,2389,5486,2389,5652,2377,5817,2377,5983,2365,6137,2365,6302,2353,6468,2342,6633,2342,6799,2330,6953,2306,7118,2294,7118,2365,6953,2377,6799,2389,6633,2401,6468,2401,6302,2413,6137,2413,5983,2413,5817,2413,5652,2424,5486,2424,5320,2424,5155,2424,5001,2413,4836,2413,4670,2401,4504,2401,4339,2401,4185,2401,4019,2389,3854,2377,3688,2377,3523,2365,3369,2353,3203,2353,3038,2330,2872,2330,2707,2306,2553,2235,2387,2472,2222,228xe" filled="false" stroked="true" strokeweight=".590595pt" strokecolor="#e08ad6">
              <v:path arrowok="t"/>
              <v:stroke dashstyle="solid"/>
            </v:shape>
            <v:shape style="position:absolute;left:3368;top:2235;width:3750;height:154" coordorigin="3369,2235" coordsize="3750,154" path="m6633,2342l5983,2342,6633,2294,6799,2271,6953,2259,7118,2235,7118,2294,6953,2306,6799,2330,6633,2342xm4019,2365l3688,2365,3369,2342,3523,2342,3688,2353,3854,2353,4019,2365xm6137,2365l5486,2365,5817,2342,6468,2342,6137,2365xm5817,2377l4019,2377,3854,2365,5983,2365,5817,2377xm5486,2389l4836,2389,4670,2377,5652,2377,5486,2389xe" filled="true" fillcolor="#8063a1" stroked="false">
              <v:path arrowok="t"/>
              <v:fill type="solid"/>
            </v:shape>
            <v:shape style="position:absolute;left:2221;top:227;width:4897;height:2232" coordorigin="2222,228" coordsize="4897,2232" path="m2222,228l2387,2460,2553,2235,2707,2294,2872,2318,3038,2330,3203,2342,3369,2342,3523,2342,3688,2353,3854,2353,4019,2365,4185,2365,5486,2365,5652,2353,5817,2342,5983,2342,6137,2330,6302,2318,6468,2306,6633,2294,6799,2271,6953,2259,7118,2235,7118,2294,6953,2306,6799,2330,6633,2342,6468,2342,6302,2353,6137,2365,5983,2365,5817,2377,5652,2377,5486,2389,5320,2389,5155,2389,5001,2389,4836,2389,4670,2377,4504,2377,4339,2377,4185,2377,4019,2377,3854,2365,3688,2365,3523,2353,3369,2342,3203,2342,3038,2330,2872,2318,2707,2294,2553,2235,2387,2460,2222,228xe" filled="false" stroked="true" strokeweight=".590593pt" strokecolor="#8063a1">
              <v:path arrowok="t"/>
              <v:stroke dashstyle="solid"/>
            </v:shape>
            <v:shape style="position:absolute;left:2221;top:227;width:4897;height:2232" coordorigin="2222,228" coordsize="4897,2232" path="m2222,228l2387,2460,2553,2235,2707,2294,2872,2318,3038,2330,3203,2342,3369,2342,3523,2342,3688,2353,3854,2353,4019,2365,4185,2365,5486,2365,5652,2353,5817,2342,5983,2342,6137,2330,6302,2318,6468,2306,6633,2294,6799,2271,6953,2259,7118,2235,6953,2259,6799,2271,6633,2294,6468,2306,6302,2318,6137,2330,5983,2342,5817,2342,5652,2353,5486,2365,4019,2365,3854,2353,3688,2353,3523,2342,3369,2342,3203,2342,3038,2330,2872,2318,2707,2294,2553,2235,2387,2460,2222,228xe" filled="false" stroked="true" strokeweight=".590593pt" strokecolor="#c0504d">
              <v:path arrowok="t"/>
              <v:stroke dashstyle="solid"/>
            </v:shape>
            <v:shape style="position:absolute;left:2221;top:227;width:4897;height:2232" coordorigin="2222,228" coordsize="4897,2232" path="m2387,2460l2222,228,2387,240,2553,972,2707,1031,2872,1125,3038,1196,3203,1279,3369,1373,3523,1456,3854,1645,4019,1728,4185,1822,4339,1893,4504,1976,4836,2094,5001,2129,5155,2165,5486,2235,2553,2235,2387,2460xm6716,2283l6468,2283,6953,2247,7118,2224,7118,2235,6953,2259,6799,2271,6716,2283xm5983,2342l3203,2342,2872,2318,2707,2294,2553,2235,5486,2235,5652,2247,5817,2271,5983,2271,6137,2283,6716,2283,6633,2294,5983,2342xm5486,2365l4019,2365,3854,2353,3688,2353,3523,2342,5817,2342,5486,2365xe" filled="true" fillcolor="#f8a763" stroked="false">
              <v:path arrowok="t"/>
              <v:fill type="solid"/>
            </v:shape>
            <v:shape style="position:absolute;left:2221;top:227;width:4897;height:2232" coordorigin="2222,228" coordsize="4897,2232" path="m2222,228l2387,240,2553,972,2707,1031,2872,1125,3038,1196,3203,1279,3369,1373,3523,1456,3688,1550,3854,1645,4019,1728,4185,1822,4339,1893,4504,1976,4670,2035,4836,2094,5001,2129,5155,2165,5320,2200,5486,2235,5652,2247,5817,2271,5983,2271,6137,2283,6302,2283,6468,2283,6633,2271,6799,2259,6953,2247,7118,2224,7118,2235,6953,2259,6799,2271,6633,2294,6468,2306,6302,2318,6137,2330,5983,2342,5817,2342,5652,2353,5486,2365,4019,2365,3854,2353,3688,2353,3523,2342,3369,2342,3203,2342,3038,2330,2872,2318,2707,2294,2553,2235,2387,2460,2222,228xe" filled="false" stroked="true" strokeweight=".590593pt" strokecolor="#f8a763">
              <v:path arrowok="t"/>
              <v:stroke dashstyle="solid"/>
            </v:shape>
            <v:shape style="position:absolute;left:2387;top:239;width:4731;height:2043" coordorigin="2387,240" coordsize="4731,2043" path="m6468,2283l6137,2283,5983,2271,5817,2271,5652,2247,5486,2235,5155,2165,5001,2129,4836,2094,4504,1976,4339,1893,4185,1822,4019,1728,3854,1645,3523,1456,3369,1373,3203,1279,3038,1196,2872,1125,2707,1031,2553,972,2387,240,2553,960,2707,1019,2872,1102,3038,1161,3203,1232,3369,1326,3523,1397,3854,1586,4019,1669,4185,1763,4339,1834,4504,1917,4836,2035,5001,2070,5155,2117,5486,2188,5652,2200,5817,2224,5983,2235,6137,2235,6302,2247,6953,2247,6468,2283xm6953,2247l6468,2247,6953,2212,7118,2188,7118,2224,6953,2247xe" filled="true" fillcolor="#ecb8e7" stroked="false">
              <v:path arrowok="t"/>
              <v:fill type="solid"/>
            </v:shape>
            <v:shape style="position:absolute;left:2221;top:227;width:4897;height:2055" coordorigin="2222,228" coordsize="4897,2055" path="m2222,228l2387,240,2553,960,2707,1019,2872,1102,3038,1161,3203,1232,3369,1326,3523,1397,3688,1491,3854,1586,4019,1669,4185,1763,4339,1834,4504,1917,4670,1976,4836,2035,5001,2070,5155,2117,5321,2153,5486,2188,5652,2200,5817,2224,5983,2235,6137,2235,6302,2247,6468,2247,6633,2235,6799,2224,6953,2212,7118,2188,7118,2224,6953,2247,6799,2259,6633,2271,6468,2283,6302,2283,6137,2283,5983,2271,5817,2271,5652,2247,5486,2235,5321,2200,5155,2165,5001,2129,4836,2094,4670,2035,4504,1976,4339,1893,4185,1822,4019,1728,3854,1645,3688,1550,3523,1456,3369,1373,3203,1279,3038,1196,2872,1125,2707,1031,2553,972,2387,240,2222,228xe" filled="false" stroked="true" strokeweight=".590575pt" strokecolor="#ecb8e7">
              <v:path arrowok="t"/>
              <v:stroke dashstyle="solid"/>
            </v:shape>
            <v:shape style="position:absolute;left:2221;top:227;width:4897;height:2020" coordorigin="2222,228" coordsize="4897,2020" path="m6468,2247l6302,2247,6137,2235,5983,2235,5817,2224,5652,2200,5486,2188,5155,2117,5001,2070,4836,2035,4504,1917,4339,1834,4185,1763,4019,1669,3854,1586,3523,1397,3369,1326,3203,1232,3038,1161,2872,1102,2707,1019,2553,960,2387,240,2222,228,4019,228,4185,240,5001,240,5155,252,5983,252,6137,263,6633,263,6799,275,7118,275,7118,2188,6953,2212,6468,2247xe" filled="true" fillcolor="#ffd600" stroked="false">
              <v:path arrowok="t"/>
              <v:fill type="solid"/>
            </v:shape>
            <v:shape style="position:absolute;left:2221;top:227;width:4897;height:2020" coordorigin="2222,228" coordsize="4897,2020" path="m2222,228l2222,228,4019,228,4185,240,5001,240,5155,252,5983,252,6137,263,6302,263,6468,263,6633,263,6799,275,6953,275,7118,275,7118,2188,6953,2212,6799,2224,6633,2235,6468,2247,6302,2247,6137,2235,5983,2235,5817,2224,5652,2200,5486,2188,5321,2153,5155,2117,5001,2070,4836,2035,4670,1976,4504,1917,4339,1834,4185,1763,4019,1669,3854,1586,3688,1491,3523,1397,3369,1326,3203,1232,3038,1161,2872,1102,2707,1019,2553,960,2387,240,2222,228xe" filled="false" stroked="true" strokeweight=".590571pt" strokecolor="#ffd600">
              <v:path arrowok="t"/>
              <v:stroke dashstyle="solid"/>
            </v:shape>
            <v:shape style="position:absolute;left:2221;top:227;width:4897;height:48" coordorigin="2222,228" coordsize="4897,48" path="m2222,228l2222,228,4019,228,4185,240,5001,240,5155,252,5983,252,6137,263,6302,263,6468,263,6633,263,6799,275,6953,275,7118,275,6953,275,6799,275,6633,263,6468,263,6302,263,6137,263,5983,252,5155,252,5001,240,4185,240,4019,228,2387,228,2222,228xe" filled="false" stroked="true" strokeweight=".590432pt" strokecolor="#ffeb8f">
              <v:path arrowok="t"/>
              <v:stroke dashstyle="solid"/>
            </v:shape>
            <v:line style="position:absolute" from="4019,252" to="7118,252" stroked="true" strokeweight="2.361727pt" strokecolor="#000000">
              <v:stroke dashstyle="solid"/>
            </v:line>
            <v:shape style="position:absolute;left:2221;top:227;width:4897;height:48" coordorigin="2222,228" coordsize="4897,48" path="m2222,228l2222,228,7118,228,7118,275,6953,275,6799,275,6633,263,6468,263,6302,263,6137,263,5983,252,5155,252,5001,240,4185,240,4019,228,2387,228,2222,228xe" filled="false" stroked="true" strokeweight=".590432pt" strokecolor="#000000">
              <v:path arrowok="t"/>
              <v:stroke dashstyle="solid"/>
            </v:shape>
            <v:line style="position:absolute" from="2216,228" to="7124,228" stroked="true" strokeweight=".590432pt" strokecolor="#000000">
              <v:stroke dashstyle="solid"/>
            </v:line>
            <v:line style="position:absolute" from="2222,2542" to="2222,228" stroked="true" strokeweight=".591368pt" strokecolor="#858585">
              <v:stroke dashstyle="solid"/>
            </v:line>
            <v:shape style="position:absolute;left:0;top:11058;width:13369;height:655053" coordorigin="0,11059" coordsize="13369,655053" path="m2174,2542l2222,2542m2174,2306l2222,2306m2174,2082l2222,2082m2174,1846l2222,1846m2174,1610l2222,1610m2174,1385l2222,1385m2174,1149l2222,1149m2174,925l2222,925m2174,688l2222,688m2174,452l2222,452m2174,228l2222,228e" filled="false" stroked="true" strokeweight=".5909pt" strokecolor="#858585">
              <v:path arrowok="t"/>
              <v:stroke dashstyle="solid"/>
            </v:shape>
            <v:shape style="position:absolute;left:0;top:4761;width:651794;height:6298" coordorigin="0,4761" coordsize="651794,6298" path="m2222,2542l7118,2542m2222,2542l2222,2590m2387,2542l2387,2590m2553,2542l2553,2590m2707,2542l2707,2590m2872,2542l2872,2590m3038,2542l3038,2590m3203,2542l3203,2590m3369,2542l3369,2590m3523,2542l3523,2590m3688,2542l3688,2590m3854,2542l3854,2590m4019,2542l4019,2590m4185,2542l4185,2590m4339,2542l4339,2590m4504,2542l4504,2590m4670,2542l4670,2590m4836,2542l4836,2590m5001,2542l5001,2590m5155,2542l5155,2590m5321,2542l5321,2590m5486,2542l5486,2590m5652,2542l5652,2590m5817,2542l5817,2590m5983,2542l5983,2590m6137,2542l6137,2590m6302,2542l6302,2590m6468,2542l6468,2590m6633,2542l6633,2590m6799,2542l6799,2590m6953,2542l6953,2590m7118,2542l7118,2590e" filled="false" stroked="true" strokeweight=".5909pt" strokecolor="#858585">
              <v:path arrowok="t"/>
              <v:stroke dashstyle="solid"/>
            </v:shape>
            <v:shape style="position:absolute;left:2215;top:222;width:4909;height:1949" coordorigin="2216,222" coordsize="4909,1949" path="m2216,222l2381,257,2547,931,2713,978,2878,1049,3032,1108,3197,1179,3363,1261,3529,1344,3694,1438,3860,1533,4014,1615,4179,1698,4345,1769,4510,1852,4676,1911,4830,1958,4995,2005,5161,2041,5326,2076,5492,2111,5646,2135,5811,2159,5977,2170,6143,2170,6308,2170,6462,2159,6627,2159,6793,2147,6959,2135,7124,2111e" filled="false" stroked="true" strokeweight="1.181117pt" strokecolor="#ffffff">
              <v:path arrowok="t"/>
              <v:stroke dashstyle="longdash"/>
            </v:shape>
            <w10:wrap type="none"/>
          </v:group>
        </w:pict>
      </w:r>
      <w:r>
        <w:rPr>
          <w:rFonts w:ascii="Calibri"/>
          <w:sz w:val="15"/>
        </w:rPr>
        <w:t>100%</w:t>
      </w:r>
    </w:p>
    <w:p>
      <w:pPr>
        <w:spacing w:before="49"/>
        <w:ind w:left="0" w:right="977" w:firstLine="0"/>
        <w:jc w:val="right"/>
        <w:rPr>
          <w:rFonts w:ascii="Calibri"/>
          <w:sz w:val="15"/>
        </w:rPr>
      </w:pPr>
      <w:r>
        <w:rPr/>
        <w:pict>
          <v:shape style="position:absolute;margin-left:75.019547pt;margin-top:8.104328pt;width:9.7pt;height:90.7pt;mso-position-horizontal-relative:page;mso-position-vertical-relative:paragraph;z-index:252731392" type="#_x0000_t202" filled="false" stroked="false">
            <v:textbox inset="0,0,0,0" style="layout-flow:vertical;mso-layout-flow-alt:bottom-to-top">
              <w:txbxContent>
                <w:p>
                  <w:pPr>
                    <w:spacing w:line="176" w:lineRule="exact" w:before="0"/>
                    <w:ind w:left="20" w:right="0" w:firstLine="0"/>
                    <w:jc w:val="left"/>
                    <w:rPr>
                      <w:rFonts w:ascii="Calibri"/>
                      <w:b/>
                      <w:sz w:val="15"/>
                    </w:rPr>
                  </w:pPr>
                  <w:r>
                    <w:rPr>
                      <w:rFonts w:ascii="Calibri"/>
                      <w:b/>
                      <w:sz w:val="15"/>
                    </w:rPr>
                    <w:t>Proportion In Welfare Class</w:t>
                  </w:r>
                </w:p>
              </w:txbxContent>
            </v:textbox>
            <w10:wrap type="none"/>
          </v:shape>
        </w:pict>
      </w:r>
      <w:r>
        <w:rPr>
          <w:rFonts w:ascii="Calibri"/>
          <w:spacing w:val="2"/>
          <w:sz w:val="15"/>
        </w:rPr>
        <w:t>90%</w:t>
      </w:r>
    </w:p>
    <w:p>
      <w:pPr>
        <w:spacing w:before="49"/>
        <w:ind w:left="0" w:right="977" w:firstLine="0"/>
        <w:jc w:val="right"/>
        <w:rPr>
          <w:rFonts w:ascii="Calibri"/>
          <w:sz w:val="15"/>
        </w:rPr>
      </w:pPr>
      <w:r>
        <w:rPr>
          <w:rFonts w:ascii="Calibri"/>
          <w:spacing w:val="2"/>
          <w:sz w:val="15"/>
        </w:rPr>
        <w:t>80%</w:t>
      </w:r>
    </w:p>
    <w:p>
      <w:pPr>
        <w:spacing w:before="49"/>
        <w:ind w:left="0" w:right="977" w:firstLine="0"/>
        <w:jc w:val="right"/>
        <w:rPr>
          <w:rFonts w:ascii="Calibri"/>
          <w:sz w:val="15"/>
        </w:rPr>
      </w:pPr>
      <w:r>
        <w:rPr>
          <w:rFonts w:ascii="Calibri"/>
          <w:spacing w:val="2"/>
          <w:sz w:val="15"/>
        </w:rPr>
        <w:t>70%</w:t>
      </w:r>
    </w:p>
    <w:p>
      <w:pPr>
        <w:spacing w:before="49"/>
        <w:ind w:left="0" w:right="977" w:firstLine="0"/>
        <w:jc w:val="right"/>
        <w:rPr>
          <w:rFonts w:ascii="Calibri"/>
          <w:sz w:val="15"/>
        </w:rPr>
      </w:pPr>
      <w:r>
        <w:rPr>
          <w:rFonts w:ascii="Calibri"/>
          <w:spacing w:val="2"/>
          <w:sz w:val="15"/>
        </w:rPr>
        <w:t>60%</w:t>
      </w:r>
    </w:p>
    <w:p>
      <w:pPr>
        <w:spacing w:before="49"/>
        <w:ind w:left="0" w:right="977" w:firstLine="0"/>
        <w:jc w:val="right"/>
        <w:rPr>
          <w:rFonts w:ascii="Calibri"/>
          <w:sz w:val="15"/>
        </w:rPr>
      </w:pPr>
      <w:r>
        <w:rPr>
          <w:rFonts w:ascii="Calibri"/>
          <w:spacing w:val="2"/>
          <w:sz w:val="15"/>
        </w:rPr>
        <w:t>50%</w:t>
      </w:r>
    </w:p>
    <w:p>
      <w:pPr>
        <w:spacing w:before="48"/>
        <w:ind w:left="0" w:right="977" w:firstLine="0"/>
        <w:jc w:val="right"/>
        <w:rPr>
          <w:rFonts w:ascii="Calibri"/>
          <w:sz w:val="15"/>
        </w:rPr>
      </w:pPr>
      <w:r>
        <w:rPr>
          <w:rFonts w:ascii="Calibri"/>
          <w:spacing w:val="2"/>
          <w:sz w:val="15"/>
        </w:rPr>
        <w:t>40%</w:t>
      </w:r>
    </w:p>
    <w:p>
      <w:pPr>
        <w:spacing w:before="49"/>
        <w:ind w:left="0" w:right="977" w:firstLine="0"/>
        <w:jc w:val="right"/>
        <w:rPr>
          <w:rFonts w:ascii="Calibri"/>
          <w:sz w:val="15"/>
        </w:rPr>
      </w:pPr>
      <w:r>
        <w:rPr>
          <w:rFonts w:ascii="Calibri"/>
          <w:spacing w:val="2"/>
          <w:sz w:val="15"/>
        </w:rPr>
        <w:t>30%</w:t>
      </w:r>
    </w:p>
    <w:p>
      <w:pPr>
        <w:spacing w:before="49"/>
        <w:ind w:left="0" w:right="977" w:firstLine="0"/>
        <w:jc w:val="right"/>
        <w:rPr>
          <w:rFonts w:ascii="Calibri"/>
          <w:sz w:val="15"/>
        </w:rPr>
      </w:pPr>
      <w:r>
        <w:rPr>
          <w:rFonts w:ascii="Calibri"/>
          <w:spacing w:val="2"/>
          <w:sz w:val="15"/>
        </w:rPr>
        <w:t>20%</w:t>
      </w:r>
    </w:p>
    <w:p>
      <w:pPr>
        <w:spacing w:before="49"/>
        <w:ind w:left="0" w:right="977" w:firstLine="0"/>
        <w:jc w:val="right"/>
        <w:rPr>
          <w:rFonts w:ascii="Calibri"/>
          <w:sz w:val="15"/>
        </w:rPr>
      </w:pPr>
      <w:r>
        <w:rPr>
          <w:rFonts w:ascii="Calibri"/>
          <w:spacing w:val="2"/>
          <w:sz w:val="15"/>
        </w:rPr>
        <w:t>10%</w:t>
      </w:r>
    </w:p>
    <w:p>
      <w:pPr>
        <w:spacing w:before="49"/>
        <w:ind w:left="0" w:right="980" w:firstLine="0"/>
        <w:jc w:val="right"/>
        <w:rPr>
          <w:rFonts w:ascii="Calibri"/>
          <w:sz w:val="15"/>
        </w:rPr>
      </w:pPr>
      <w:r>
        <w:rPr>
          <w:rFonts w:ascii="Calibri"/>
          <w:sz w:val="15"/>
        </w:rPr>
        <w:t>0%</w:t>
      </w:r>
    </w:p>
    <w:p>
      <w:pPr>
        <w:pStyle w:val="BodyText"/>
        <w:spacing w:before="9"/>
        <w:rPr>
          <w:rFonts w:ascii="Calibri"/>
          <w:sz w:val="5"/>
        </w:rPr>
      </w:pPr>
    </w:p>
    <w:p>
      <w:pPr>
        <w:pStyle w:val="BodyText"/>
        <w:tabs>
          <w:tab w:pos="2676" w:val="left" w:leader="none"/>
        </w:tabs>
        <w:ind w:left="1859" w:right="-44"/>
        <w:rPr>
          <w:rFonts w:ascii="Calibri"/>
        </w:rPr>
      </w:pPr>
      <w:r>
        <w:rPr>
          <w:rFonts w:ascii="Calibri"/>
        </w:rPr>
        <w:drawing>
          <wp:inline distT="0" distB="0" distL="0" distR="0">
            <wp:extent cx="167356" cy="170021"/>
            <wp:effectExtent l="0" t="0" r="0" b="0"/>
            <wp:docPr id="329" name="image167.png"/>
            <wp:cNvGraphicFramePr>
              <a:graphicFrameLocks noChangeAspect="1"/>
            </wp:cNvGraphicFramePr>
            <a:graphic>
              <a:graphicData uri="http://schemas.openxmlformats.org/drawingml/2006/picture">
                <pic:pic>
                  <pic:nvPicPr>
                    <pic:cNvPr id="330" name="image167.png"/>
                    <pic:cNvPicPr/>
                  </pic:nvPicPr>
                  <pic:blipFill>
                    <a:blip r:embed="rId203" cstate="print"/>
                    <a:stretch>
                      <a:fillRect/>
                    </a:stretch>
                  </pic:blipFill>
                  <pic:spPr>
                    <a:xfrm>
                      <a:off x="0" y="0"/>
                      <a:ext cx="167356" cy="170021"/>
                    </a:xfrm>
                    <a:prstGeom prst="rect">
                      <a:avLst/>
                    </a:prstGeom>
                  </pic:spPr>
                </pic:pic>
              </a:graphicData>
            </a:graphic>
          </wp:inline>
        </w:drawing>
      </w:r>
      <w:r>
        <w:rPr>
          <w:rFonts w:ascii="Calibri"/>
        </w:rPr>
      </w:r>
      <w:r>
        <w:rPr>
          <w:rFonts w:ascii="Calibri"/>
        </w:rPr>
        <w:tab/>
      </w:r>
      <w:r>
        <w:rPr>
          <w:rFonts w:ascii="Calibri"/>
        </w:rPr>
        <w:drawing>
          <wp:inline distT="0" distB="0" distL="0" distR="0">
            <wp:extent cx="163872" cy="166687"/>
            <wp:effectExtent l="0" t="0" r="0" b="0"/>
            <wp:docPr id="331" name="image168.png"/>
            <wp:cNvGraphicFramePr>
              <a:graphicFrameLocks noChangeAspect="1"/>
            </wp:cNvGraphicFramePr>
            <a:graphic>
              <a:graphicData uri="http://schemas.openxmlformats.org/drawingml/2006/picture">
                <pic:pic>
                  <pic:nvPicPr>
                    <pic:cNvPr id="332" name="image168.png"/>
                    <pic:cNvPicPr/>
                  </pic:nvPicPr>
                  <pic:blipFill>
                    <a:blip r:embed="rId204" cstate="print"/>
                    <a:stretch>
                      <a:fillRect/>
                    </a:stretch>
                  </pic:blipFill>
                  <pic:spPr>
                    <a:xfrm>
                      <a:off x="0" y="0"/>
                      <a:ext cx="163872" cy="166687"/>
                    </a:xfrm>
                    <a:prstGeom prst="rect">
                      <a:avLst/>
                    </a:prstGeom>
                  </pic:spPr>
                </pic:pic>
              </a:graphicData>
            </a:graphic>
          </wp:inline>
        </w:drawing>
      </w:r>
      <w:r>
        <w:rPr>
          <w:rFonts w:ascii="Calibri"/>
        </w:rPr>
      </w:r>
    </w:p>
    <w:p>
      <w:pPr>
        <w:pStyle w:val="BodyText"/>
        <w:rPr>
          <w:rFonts w:ascii="Calibri"/>
        </w:rPr>
      </w:pPr>
      <w:r>
        <w:rPr/>
        <w:br w:type="column"/>
      </w:r>
      <w:r>
        <w:rPr>
          <w:rFonts w:ascii="Calibri"/>
        </w:rPr>
      </w: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spacing w:before="1"/>
        <w:rPr>
          <w:rFonts w:ascii="Calibri"/>
          <w:sz w:val="21"/>
        </w:rPr>
      </w:pPr>
      <w:r>
        <w:rPr/>
        <w:drawing>
          <wp:anchor distT="0" distB="0" distL="0" distR="0" allowOverlap="1" layoutInCell="1" locked="0" behindDoc="0" simplePos="0" relativeHeight="1031">
            <wp:simplePos x="0" y="0"/>
            <wp:positionH relativeFrom="page">
              <wp:posOffset>2294327</wp:posOffset>
            </wp:positionH>
            <wp:positionV relativeFrom="paragraph">
              <wp:posOffset>188426</wp:posOffset>
            </wp:positionV>
            <wp:extent cx="167356" cy="170021"/>
            <wp:effectExtent l="0" t="0" r="0" b="0"/>
            <wp:wrapTopAndBottom/>
            <wp:docPr id="333" name="image162.png"/>
            <wp:cNvGraphicFramePr>
              <a:graphicFrameLocks noChangeAspect="1"/>
            </wp:cNvGraphicFramePr>
            <a:graphic>
              <a:graphicData uri="http://schemas.openxmlformats.org/drawingml/2006/picture">
                <pic:pic>
                  <pic:nvPicPr>
                    <pic:cNvPr id="334" name="image162.png"/>
                    <pic:cNvPicPr/>
                  </pic:nvPicPr>
                  <pic:blipFill>
                    <a:blip r:embed="rId198" cstate="print"/>
                    <a:stretch>
                      <a:fillRect/>
                    </a:stretch>
                  </pic:blipFill>
                  <pic:spPr>
                    <a:xfrm>
                      <a:off x="0" y="0"/>
                      <a:ext cx="167356" cy="170021"/>
                    </a:xfrm>
                    <a:prstGeom prst="rect">
                      <a:avLst/>
                    </a:prstGeom>
                  </pic:spPr>
                </pic:pic>
              </a:graphicData>
            </a:graphic>
          </wp:anchor>
        </w:drawing>
      </w:r>
      <w:r>
        <w:rPr/>
        <w:drawing>
          <wp:anchor distT="0" distB="0" distL="0" distR="0" allowOverlap="1" layoutInCell="1" locked="0" behindDoc="0" simplePos="0" relativeHeight="1032">
            <wp:simplePos x="0" y="0"/>
            <wp:positionH relativeFrom="page">
              <wp:posOffset>2812918</wp:posOffset>
            </wp:positionH>
            <wp:positionV relativeFrom="paragraph">
              <wp:posOffset>190322</wp:posOffset>
            </wp:positionV>
            <wp:extent cx="163872" cy="166687"/>
            <wp:effectExtent l="0" t="0" r="0" b="0"/>
            <wp:wrapTopAndBottom/>
            <wp:docPr id="335" name="image169.png"/>
            <wp:cNvGraphicFramePr>
              <a:graphicFrameLocks noChangeAspect="1"/>
            </wp:cNvGraphicFramePr>
            <a:graphic>
              <a:graphicData uri="http://schemas.openxmlformats.org/drawingml/2006/picture">
                <pic:pic>
                  <pic:nvPicPr>
                    <pic:cNvPr id="336" name="image169.png"/>
                    <pic:cNvPicPr/>
                  </pic:nvPicPr>
                  <pic:blipFill>
                    <a:blip r:embed="rId205" cstate="print"/>
                    <a:stretch>
                      <a:fillRect/>
                    </a:stretch>
                  </pic:blipFill>
                  <pic:spPr>
                    <a:xfrm>
                      <a:off x="0" y="0"/>
                      <a:ext cx="163872" cy="166687"/>
                    </a:xfrm>
                    <a:prstGeom prst="rect">
                      <a:avLst/>
                    </a:prstGeom>
                  </pic:spPr>
                </pic:pic>
              </a:graphicData>
            </a:graphic>
          </wp:anchor>
        </w:drawing>
      </w:r>
      <w:r>
        <w:rPr/>
        <w:drawing>
          <wp:anchor distT="0" distB="0" distL="0" distR="0" allowOverlap="1" layoutInCell="1" locked="0" behindDoc="0" simplePos="0" relativeHeight="1033">
            <wp:simplePos x="0" y="0"/>
            <wp:positionH relativeFrom="page">
              <wp:posOffset>3331508</wp:posOffset>
            </wp:positionH>
            <wp:positionV relativeFrom="paragraph">
              <wp:posOffset>188426</wp:posOffset>
            </wp:positionV>
            <wp:extent cx="167356" cy="170021"/>
            <wp:effectExtent l="0" t="0" r="0" b="0"/>
            <wp:wrapTopAndBottom/>
            <wp:docPr id="337" name="image170.png"/>
            <wp:cNvGraphicFramePr>
              <a:graphicFrameLocks noChangeAspect="1"/>
            </wp:cNvGraphicFramePr>
            <a:graphic>
              <a:graphicData uri="http://schemas.openxmlformats.org/drawingml/2006/picture">
                <pic:pic>
                  <pic:nvPicPr>
                    <pic:cNvPr id="338" name="image170.png"/>
                    <pic:cNvPicPr/>
                  </pic:nvPicPr>
                  <pic:blipFill>
                    <a:blip r:embed="rId206" cstate="print"/>
                    <a:stretch>
                      <a:fillRect/>
                    </a:stretch>
                  </pic:blipFill>
                  <pic:spPr>
                    <a:xfrm>
                      <a:off x="0" y="0"/>
                      <a:ext cx="167356" cy="170021"/>
                    </a:xfrm>
                    <a:prstGeom prst="rect">
                      <a:avLst/>
                    </a:prstGeom>
                  </pic:spPr>
                </pic:pic>
              </a:graphicData>
            </a:graphic>
          </wp:anchor>
        </w:drawing>
      </w:r>
      <w:r>
        <w:rPr/>
        <w:drawing>
          <wp:anchor distT="0" distB="0" distL="0" distR="0" allowOverlap="1" layoutInCell="1" locked="0" behindDoc="0" simplePos="0" relativeHeight="1034">
            <wp:simplePos x="0" y="0"/>
            <wp:positionH relativeFrom="page">
              <wp:posOffset>3850098</wp:posOffset>
            </wp:positionH>
            <wp:positionV relativeFrom="paragraph">
              <wp:posOffset>190322</wp:posOffset>
            </wp:positionV>
            <wp:extent cx="163872" cy="166687"/>
            <wp:effectExtent l="0" t="0" r="0" b="0"/>
            <wp:wrapTopAndBottom/>
            <wp:docPr id="339" name="image171.png"/>
            <wp:cNvGraphicFramePr>
              <a:graphicFrameLocks noChangeAspect="1"/>
            </wp:cNvGraphicFramePr>
            <a:graphic>
              <a:graphicData uri="http://schemas.openxmlformats.org/drawingml/2006/picture">
                <pic:pic>
                  <pic:nvPicPr>
                    <pic:cNvPr id="340" name="image171.png"/>
                    <pic:cNvPicPr/>
                  </pic:nvPicPr>
                  <pic:blipFill>
                    <a:blip r:embed="rId207" cstate="print"/>
                    <a:stretch>
                      <a:fillRect/>
                    </a:stretch>
                  </pic:blipFill>
                  <pic:spPr>
                    <a:xfrm>
                      <a:off x="0" y="0"/>
                      <a:ext cx="163872" cy="166687"/>
                    </a:xfrm>
                    <a:prstGeom prst="rect">
                      <a:avLst/>
                    </a:prstGeom>
                  </pic:spPr>
                </pic:pic>
              </a:graphicData>
            </a:graphic>
          </wp:anchor>
        </w:drawing>
      </w:r>
      <w:r>
        <w:rPr/>
        <w:drawing>
          <wp:anchor distT="0" distB="0" distL="0" distR="0" allowOverlap="1" layoutInCell="1" locked="0" behindDoc="0" simplePos="0" relativeHeight="1035">
            <wp:simplePos x="0" y="0"/>
            <wp:positionH relativeFrom="page">
              <wp:posOffset>4368689</wp:posOffset>
            </wp:positionH>
            <wp:positionV relativeFrom="paragraph">
              <wp:posOffset>188426</wp:posOffset>
            </wp:positionV>
            <wp:extent cx="167356" cy="170021"/>
            <wp:effectExtent l="0" t="0" r="0" b="0"/>
            <wp:wrapTopAndBottom/>
            <wp:docPr id="341" name="image172.png"/>
            <wp:cNvGraphicFramePr>
              <a:graphicFrameLocks noChangeAspect="1"/>
            </wp:cNvGraphicFramePr>
            <a:graphic>
              <a:graphicData uri="http://schemas.openxmlformats.org/drawingml/2006/picture">
                <pic:pic>
                  <pic:nvPicPr>
                    <pic:cNvPr id="342" name="image172.png"/>
                    <pic:cNvPicPr/>
                  </pic:nvPicPr>
                  <pic:blipFill>
                    <a:blip r:embed="rId208" cstate="print"/>
                    <a:stretch>
                      <a:fillRect/>
                    </a:stretch>
                  </pic:blipFill>
                  <pic:spPr>
                    <a:xfrm>
                      <a:off x="0" y="0"/>
                      <a:ext cx="167356" cy="170021"/>
                    </a:xfrm>
                    <a:prstGeom prst="rect">
                      <a:avLst/>
                    </a:prstGeom>
                  </pic:spPr>
                </pic:pic>
              </a:graphicData>
            </a:graphic>
          </wp:anchor>
        </w:drawing>
      </w:r>
    </w:p>
    <w:p>
      <w:pPr>
        <w:spacing w:before="64"/>
        <w:ind w:left="1401" w:right="2350" w:firstLine="0"/>
        <w:jc w:val="center"/>
        <w:rPr>
          <w:rFonts w:ascii="Calibri"/>
          <w:b/>
          <w:sz w:val="15"/>
        </w:rPr>
      </w:pPr>
      <w:r>
        <w:rPr>
          <w:rFonts w:ascii="Calibri"/>
          <w:b/>
          <w:w w:val="105"/>
          <w:sz w:val="15"/>
        </w:rPr>
        <w:t>Year</w:t>
      </w:r>
    </w:p>
    <w:p>
      <w:pPr>
        <w:pStyle w:val="BodyText"/>
        <w:rPr>
          <w:rFonts w:ascii="Calibri"/>
          <w:b/>
          <w:sz w:val="14"/>
        </w:rPr>
      </w:pPr>
      <w:r>
        <w:rPr/>
        <w:br w:type="column"/>
      </w:r>
      <w:r>
        <w:rPr>
          <w:rFonts w:ascii="Calibri"/>
          <w:b/>
          <w:sz w:val="14"/>
        </w:rPr>
      </w:r>
    </w:p>
    <w:p>
      <w:pPr>
        <w:pStyle w:val="BodyText"/>
        <w:spacing w:before="9"/>
        <w:rPr>
          <w:rFonts w:ascii="Calibri"/>
          <w:b/>
          <w:sz w:val="13"/>
        </w:rPr>
      </w:pPr>
    </w:p>
    <w:p>
      <w:pPr>
        <w:spacing w:before="0"/>
        <w:ind w:left="1116" w:right="0" w:firstLine="0"/>
        <w:jc w:val="left"/>
        <w:rPr>
          <w:rFonts w:ascii="Calibri"/>
          <w:sz w:val="14"/>
        </w:rPr>
      </w:pPr>
      <w:r>
        <w:rPr>
          <w:rFonts w:ascii="Calibri"/>
          <w:sz w:val="14"/>
        </w:rPr>
        <w:t>Class key:</w:t>
      </w:r>
    </w:p>
    <w:p>
      <w:pPr>
        <w:pStyle w:val="ListParagraph"/>
        <w:numPr>
          <w:ilvl w:val="0"/>
          <w:numId w:val="74"/>
        </w:numPr>
        <w:tabs>
          <w:tab w:pos="1572" w:val="left" w:leader="none"/>
        </w:tabs>
        <w:spacing w:line="240" w:lineRule="auto" w:before="15" w:after="0"/>
        <w:ind w:left="1571" w:right="0" w:hanging="103"/>
        <w:jc w:val="left"/>
        <w:rPr>
          <w:rFonts w:ascii="Calibri"/>
          <w:sz w:val="14"/>
        </w:rPr>
      </w:pPr>
      <w:r>
        <w:rPr/>
        <w:pict>
          <v:group style="position:absolute;margin-left:421.610474pt;margin-top:.044421pt;width:17.9pt;height:130.5pt;mso-position-horizontal-relative:page;mso-position-vertical-relative:paragraph;z-index:252727296" coordorigin="8432,1" coordsize="358,2610">
            <v:rect style="position:absolute;left:8435;top:0;width:354;height:186" filled="true" fillcolor="#1f487c" stroked="false">
              <v:fill type="solid"/>
            </v:rect>
            <v:rect style="position:absolute;left:8435;top:186;width:354;height:186" filled="true" fillcolor="#009544" stroked="false">
              <v:fill type="solid"/>
            </v:rect>
            <v:rect style="position:absolute;left:8435;top:372;width:354;height:186" filled="true" fillcolor="#e16b09" stroked="false">
              <v:fill type="solid"/>
            </v:rect>
            <v:rect style="position:absolute;left:8435;top:558;width:354;height:186" filled="true" fillcolor="#e08ad6" stroked="false">
              <v:fill type="solid"/>
            </v:rect>
            <v:rect style="position:absolute;left:8435;top:744;width:354;height:186" filled="true" fillcolor="#8063a1" stroked="false">
              <v:fill type="solid"/>
            </v:rect>
            <v:rect style="position:absolute;left:8435;top:930;width:354;height:186" filled="true" fillcolor="#c0504d" stroked="false">
              <v:fill type="solid"/>
            </v:rect>
            <v:rect style="position:absolute;left:8435;top:1116;width:354;height:186" filled="true" fillcolor="#f8a763" stroked="false">
              <v:fill type="solid"/>
            </v:rect>
            <v:rect style="position:absolute;left:8435;top:1302;width:354;height:186" filled="true" fillcolor="#ecb8e7" stroked="false">
              <v:fill type="solid"/>
            </v:rect>
            <v:rect style="position:absolute;left:8435;top:1488;width:354;height:186" filled="true" fillcolor="#938953" stroked="false">
              <v:fill type="solid"/>
            </v:rect>
            <v:rect style="position:absolute;left:8435;top:1674;width:354;height:186" filled="true" fillcolor="#ffd600" stroked="false">
              <v:fill type="solid"/>
            </v:rect>
            <v:rect style="position:absolute;left:8435;top:1859;width:354;height:186" filled="true" fillcolor="#000000" stroked="false">
              <v:fill type="solid"/>
            </v:rect>
            <v:rect style="position:absolute;left:8435;top:2045;width:354;height:186" filled="true" fillcolor="#ffeb8f" stroked="false">
              <v:fill type="solid"/>
            </v:rect>
            <v:rect style="position:absolute;left:8435;top:2231;width:354;height:379" filled="true" fillcolor="#a6a6a6" stroked="false">
              <v:fill type="solid"/>
            </v:rect>
            <v:line style="position:absolute" from="8782,7" to="8782,2610" stroked="true" strokeweight="0pt" strokecolor="#ffffff">
              <v:stroke dashstyle="solid"/>
            </v:line>
            <v:line style="position:absolute" from="8785,7" to="8785,2610" stroked="true" strokeweight=".321105pt" strokecolor="#ffffff">
              <v:stroke dashstyle="solid"/>
            </v:line>
            <v:line style="position:absolute" from="8435,4" to="8789,4" stroked="true" strokeweight=".320535pt" strokecolor="#ffffff">
              <v:stroke dashstyle="solid"/>
            </v:line>
            <v:line style="position:absolute" from="8435,187" to="8789,187" stroked="true" strokeweight="0pt" strokecolor="#ffffff">
              <v:stroke dashstyle="solid"/>
            </v:line>
            <v:line style="position:absolute" from="8435,190" to="8789,190" stroked="true" strokeweight=".320535pt" strokecolor="#ffffff">
              <v:stroke dashstyle="solid"/>
            </v:line>
            <v:line style="position:absolute" from="8435,373" to="8789,373" stroked="true" strokeweight="0pt" strokecolor="#ffffff">
              <v:stroke dashstyle="solid"/>
            </v:line>
            <v:line style="position:absolute" from="8435,376" to="8789,376" stroked="true" strokeweight=".320535pt" strokecolor="#ffffff">
              <v:stroke dashstyle="solid"/>
            </v:line>
            <v:line style="position:absolute" from="8435,559" to="8789,559" stroked="true" strokeweight="0pt" strokecolor="#ffffff">
              <v:stroke dashstyle="solid"/>
            </v:line>
            <v:line style="position:absolute" from="8435,562" to="8789,562" stroked="true" strokeweight=".320535pt" strokecolor="#ffffff">
              <v:stroke dashstyle="solid"/>
            </v:line>
            <v:line style="position:absolute" from="8435,745" to="8789,745" stroked="true" strokeweight="0pt" strokecolor="#ffffff">
              <v:stroke dashstyle="solid"/>
            </v:line>
            <v:line style="position:absolute" from="8435,748" to="8789,748" stroked="true" strokeweight=".320535pt" strokecolor="#ffffff">
              <v:stroke dashstyle="solid"/>
            </v:line>
            <v:line style="position:absolute" from="8435,930" to="8789,930" stroked="true" strokeweight="0pt" strokecolor="#ffffff">
              <v:stroke dashstyle="solid"/>
            </v:line>
            <v:line style="position:absolute" from="8435,934" to="8789,934" stroked="true" strokeweight=".320535pt" strokecolor="#ffffff">
              <v:stroke dashstyle="solid"/>
            </v:line>
            <v:line style="position:absolute" from="8435,1116" to="8789,1116" stroked="true" strokeweight="0pt" strokecolor="#ffffff">
              <v:stroke dashstyle="solid"/>
            </v:line>
            <v:line style="position:absolute" from="8435,1120" to="8789,1120" stroked="true" strokeweight=".320535pt" strokecolor="#ffffff">
              <v:stroke dashstyle="solid"/>
            </v:line>
            <v:line style="position:absolute" from="8435,1302" to="8789,1302" stroked="true" strokeweight="0pt" strokecolor="#ffffff">
              <v:stroke dashstyle="solid"/>
            </v:line>
            <v:line style="position:absolute" from="8435,1305" to="8789,1305" stroked="true" strokeweight=".320856pt" strokecolor="#ffffff">
              <v:stroke dashstyle="solid"/>
            </v:line>
            <v:line style="position:absolute" from="8435,1488" to="8789,1488" stroked="true" strokeweight="0pt" strokecolor="#ffffff">
              <v:stroke dashstyle="solid"/>
            </v:line>
            <v:line style="position:absolute" from="8435,1491" to="8789,1491" stroked="true" strokeweight=".320535pt" strokecolor="#ffffff">
              <v:stroke dashstyle="solid"/>
            </v:line>
            <v:line style="position:absolute" from="8435,1674" to="8789,1674" stroked="true" strokeweight="0pt" strokecolor="#ffffff">
              <v:stroke dashstyle="solid"/>
            </v:line>
            <v:line style="position:absolute" from="8435,1677" to="8789,1677" stroked="true" strokeweight=".320535pt" strokecolor="#ffffff">
              <v:stroke dashstyle="solid"/>
            </v:line>
            <v:line style="position:absolute" from="8435,1860" to="8789,1860" stroked="true" strokeweight="0pt" strokecolor="#ffffff">
              <v:stroke dashstyle="solid"/>
            </v:line>
            <v:line style="position:absolute" from="8435,1863" to="8789,1863" stroked="true" strokeweight=".320535pt" strokecolor="#ffffff">
              <v:stroke dashstyle="solid"/>
            </v:line>
            <v:line style="position:absolute" from="8435,2046" to="8789,2046" stroked="true" strokeweight="0pt" strokecolor="#ffffff">
              <v:stroke dashstyle="solid"/>
            </v:line>
            <v:line style="position:absolute" from="8435,2049" to="8789,2049" stroked="true" strokeweight=".320535pt" strokecolor="#ffffff">
              <v:stroke dashstyle="solid"/>
            </v:line>
            <v:line style="position:absolute" from="8435,2232" to="8789,2232" stroked="true" strokeweight="0pt" strokecolor="#ffffff">
              <v:stroke dashstyle="solid"/>
            </v:line>
            <v:line style="position:absolute" from="8435,2235" to="8789,2235" stroked="true" strokeweight=".320535pt" strokecolor="#ffffff">
              <v:stroke dashstyle="solid"/>
            </v:line>
            <v:line style="position:absolute" from="8435,2418" to="8789,2418" stroked="true" strokeweight="0pt" strokecolor="#ffffff">
              <v:stroke dashstyle="solid"/>
            </v:line>
            <v:line style="position:absolute" from="8435,2421" to="8789,2421" stroked="true" strokeweight=".320535pt" strokecolor="#ffffff">
              <v:stroke dashstyle="solid"/>
            </v:line>
            <v:line style="position:absolute" from="8435,2604" to="8789,2604" stroked="true" strokeweight="0pt" strokecolor="#ffffff">
              <v:stroke dashstyle="solid"/>
            </v:line>
            <v:line style="position:absolute" from="8435,2607" to="8789,2607" stroked="true" strokeweight=".320535pt" strokecolor="#ffffff">
              <v:stroke dashstyle="solid"/>
            </v:line>
            <v:line style="position:absolute" from="8432,2344" to="8790,2344" stroked="true" strokeweight=".961678pt" strokecolor="#ffffff">
              <v:stroke dashstyle="solid"/>
            </v:line>
            <v:line style="position:absolute" from="8432,2517" to="8790,2517" stroked="true" strokeweight=".961678pt" strokecolor="#ffffff">
              <v:stroke dashstyle="solid"/>
            </v:line>
            <w10:wrap type="none"/>
          </v:group>
        </w:pict>
      </w:r>
      <w:r>
        <w:rPr>
          <w:rFonts w:ascii="Calibri"/>
          <w:sz w:val="14"/>
        </w:rPr>
        <w:t>Studying</w:t>
      </w:r>
    </w:p>
    <w:p>
      <w:pPr>
        <w:pStyle w:val="ListParagraph"/>
        <w:numPr>
          <w:ilvl w:val="0"/>
          <w:numId w:val="74"/>
        </w:numPr>
        <w:tabs>
          <w:tab w:pos="1572" w:val="left" w:leader="none"/>
        </w:tabs>
        <w:spacing w:line="240" w:lineRule="auto" w:before="15" w:after="0"/>
        <w:ind w:left="1571" w:right="0" w:hanging="103"/>
        <w:jc w:val="left"/>
        <w:rPr>
          <w:rFonts w:ascii="Calibri"/>
          <w:sz w:val="14"/>
        </w:rPr>
      </w:pPr>
      <w:r>
        <w:rPr>
          <w:rFonts w:ascii="Calibri"/>
          <w:sz w:val="14"/>
        </w:rPr>
        <w:t>Working</w:t>
      </w:r>
      <w:r>
        <w:rPr>
          <w:rFonts w:ascii="Calibri"/>
          <w:spacing w:val="-2"/>
          <w:sz w:val="14"/>
        </w:rPr>
        <w:t> </w:t>
      </w:r>
      <w:r>
        <w:rPr>
          <w:rFonts w:ascii="Calibri"/>
          <w:sz w:val="14"/>
        </w:rPr>
        <w:t>Age</w:t>
      </w:r>
    </w:p>
    <w:p>
      <w:pPr>
        <w:pStyle w:val="ListParagraph"/>
        <w:numPr>
          <w:ilvl w:val="0"/>
          <w:numId w:val="74"/>
        </w:numPr>
        <w:tabs>
          <w:tab w:pos="1572" w:val="left" w:leader="none"/>
        </w:tabs>
        <w:spacing w:line="240" w:lineRule="auto" w:before="15" w:after="0"/>
        <w:ind w:left="1571" w:right="0" w:hanging="103"/>
        <w:jc w:val="left"/>
        <w:rPr>
          <w:rFonts w:ascii="Calibri"/>
          <w:sz w:val="14"/>
        </w:rPr>
      </w:pPr>
      <w:r>
        <w:rPr>
          <w:rFonts w:ascii="Calibri"/>
          <w:sz w:val="14"/>
        </w:rPr>
        <w:t>Parents</w:t>
      </w:r>
    </w:p>
    <w:p>
      <w:pPr>
        <w:pStyle w:val="ListParagraph"/>
        <w:numPr>
          <w:ilvl w:val="0"/>
          <w:numId w:val="74"/>
        </w:numPr>
        <w:tabs>
          <w:tab w:pos="1572" w:val="left" w:leader="none"/>
        </w:tabs>
        <w:spacing w:line="240" w:lineRule="auto" w:before="15" w:after="0"/>
        <w:ind w:left="1571" w:right="0" w:hanging="103"/>
        <w:jc w:val="left"/>
        <w:rPr>
          <w:rFonts w:ascii="Calibri"/>
          <w:sz w:val="14"/>
        </w:rPr>
      </w:pPr>
      <w:r>
        <w:rPr>
          <w:rFonts w:ascii="Calibri"/>
          <w:sz w:val="14"/>
        </w:rPr>
        <w:t>Carers</w:t>
      </w:r>
    </w:p>
    <w:p>
      <w:pPr>
        <w:pStyle w:val="ListParagraph"/>
        <w:numPr>
          <w:ilvl w:val="0"/>
          <w:numId w:val="74"/>
        </w:numPr>
        <w:tabs>
          <w:tab w:pos="1572" w:val="left" w:leader="none"/>
        </w:tabs>
        <w:spacing w:line="240" w:lineRule="auto" w:before="15" w:after="0"/>
        <w:ind w:left="1571" w:right="0" w:hanging="103"/>
        <w:jc w:val="left"/>
        <w:rPr>
          <w:rFonts w:ascii="Calibri"/>
          <w:sz w:val="14"/>
        </w:rPr>
      </w:pPr>
      <w:r>
        <w:rPr>
          <w:rFonts w:ascii="Calibri"/>
          <w:sz w:val="14"/>
        </w:rPr>
        <w:t>Disability Support</w:t>
      </w:r>
    </w:p>
    <w:p>
      <w:pPr>
        <w:pStyle w:val="ListParagraph"/>
        <w:numPr>
          <w:ilvl w:val="0"/>
          <w:numId w:val="74"/>
        </w:numPr>
        <w:tabs>
          <w:tab w:pos="1572" w:val="left" w:leader="none"/>
        </w:tabs>
        <w:spacing w:line="261" w:lineRule="auto" w:before="15" w:after="0"/>
        <w:ind w:left="1469" w:right="2204" w:firstLine="0"/>
        <w:jc w:val="left"/>
        <w:rPr>
          <w:rFonts w:ascii="Calibri"/>
          <w:sz w:val="14"/>
        </w:rPr>
      </w:pPr>
      <w:r>
        <w:rPr>
          <w:rFonts w:ascii="Calibri"/>
          <w:sz w:val="14"/>
        </w:rPr>
        <w:t>Pension Age 7 Non IS Family 8 Non IS Carer 9 Non IS</w:t>
      </w:r>
      <w:r>
        <w:rPr>
          <w:rFonts w:ascii="Calibri"/>
          <w:spacing w:val="7"/>
          <w:sz w:val="14"/>
        </w:rPr>
        <w:t> </w:t>
      </w:r>
      <w:r>
        <w:rPr>
          <w:rFonts w:ascii="Calibri"/>
          <w:sz w:val="14"/>
        </w:rPr>
        <w:t>Other</w:t>
      </w:r>
    </w:p>
    <w:p>
      <w:pPr>
        <w:spacing w:line="261" w:lineRule="auto" w:before="0"/>
        <w:ind w:left="1469" w:right="1267" w:firstLine="0"/>
        <w:jc w:val="left"/>
        <w:rPr>
          <w:rFonts w:ascii="Calibri"/>
          <w:sz w:val="14"/>
        </w:rPr>
      </w:pPr>
      <w:r>
        <w:rPr>
          <w:rFonts w:ascii="Calibri"/>
          <w:sz w:val="14"/>
        </w:rPr>
        <w:t>10 Previous Welfare Recipient 11 Dead</w:t>
      </w:r>
    </w:p>
    <w:p>
      <w:pPr>
        <w:spacing w:line="261" w:lineRule="auto" w:before="0"/>
        <w:ind w:left="1469" w:right="1391" w:firstLine="0"/>
        <w:jc w:val="left"/>
        <w:rPr>
          <w:rFonts w:ascii="Calibri"/>
          <w:sz w:val="14"/>
        </w:rPr>
      </w:pPr>
      <w:r>
        <w:rPr>
          <w:rFonts w:ascii="Calibri"/>
          <w:sz w:val="14"/>
        </w:rPr>
        <w:t>12 Rest of Aust. Population Prior valuation - all active Prior valuation - current class</w:t>
      </w:r>
    </w:p>
    <w:p>
      <w:pPr>
        <w:spacing w:after="0" w:line="261" w:lineRule="auto"/>
        <w:jc w:val="left"/>
        <w:rPr>
          <w:rFonts w:ascii="Calibri"/>
          <w:sz w:val="14"/>
        </w:rPr>
        <w:sectPr>
          <w:type w:val="continuous"/>
          <w:pgSz w:w="11910" w:h="16850"/>
          <w:pgMar w:top="1600" w:bottom="280" w:left="120" w:right="0"/>
          <w:cols w:num="3" w:equalWidth="0">
            <w:col w:w="2937" w:space="40"/>
            <w:col w:w="4087" w:space="155"/>
            <w:col w:w="4571"/>
          </w:cols>
        </w:sectPr>
      </w:pPr>
    </w:p>
    <w:p>
      <w:pPr>
        <w:pStyle w:val="BodyText"/>
        <w:spacing w:before="9"/>
        <w:rPr>
          <w:rFonts w:ascii="Calibri"/>
          <w:sz w:val="14"/>
        </w:rPr>
      </w:pPr>
    </w:p>
    <w:p>
      <w:pPr>
        <w:spacing w:after="0"/>
        <w:rPr>
          <w:rFonts w:ascii="Calibri"/>
          <w:sz w:val="14"/>
        </w:rPr>
        <w:sectPr>
          <w:type w:val="continuous"/>
          <w:pgSz w:w="11910" w:h="16850"/>
          <w:pgMar w:top="1600" w:bottom="280" w:left="120" w:right="0"/>
        </w:sectPr>
      </w:pPr>
    </w:p>
    <w:p>
      <w:pPr>
        <w:spacing w:before="95"/>
        <w:ind w:left="1116" w:right="0" w:firstLine="0"/>
        <w:jc w:val="left"/>
        <w:rPr>
          <w:b/>
          <w:sz w:val="16"/>
        </w:rPr>
      </w:pPr>
      <w:r>
        <w:rPr>
          <w:b/>
          <w:color w:val="404040"/>
          <w:sz w:val="16"/>
        </w:rPr>
        <w:t>Age 70 to 74</w:t>
      </w:r>
    </w:p>
    <w:p>
      <w:pPr>
        <w:spacing w:before="129"/>
        <w:ind w:left="0" w:right="986" w:firstLine="0"/>
        <w:jc w:val="right"/>
        <w:rPr>
          <w:rFonts w:ascii="Calibri"/>
          <w:sz w:val="15"/>
        </w:rPr>
      </w:pPr>
      <w:r>
        <w:rPr/>
        <w:pict>
          <v:group style="position:absolute;margin-left:108.72094pt;margin-top:11.100989pt;width:248.1pt;height:118.4pt;mso-position-horizontal-relative:page;mso-position-vertical-relative:paragraph;z-index:252728320" coordorigin="2174,222" coordsize="4962,2368">
            <v:shape style="position:absolute;left:2215;top:222;width:4909;height:2327" type="#_x0000_t75" stroked="false">
              <v:imagedata r:id="rId209" o:title=""/>
            </v:shape>
            <v:line style="position:absolute" from="2216,228" to="7124,228" stroked="true" strokeweight=".590432pt" strokecolor="#000000">
              <v:stroke dashstyle="solid"/>
            </v:line>
            <v:line style="position:absolute" from="2222,2542" to="2222,228" stroked="true" strokeweight=".591368pt" strokecolor="#858585">
              <v:stroke dashstyle="solid"/>
            </v:line>
            <v:shape style="position:absolute;left:0;top:7353;width:13369;height:655053" coordorigin="0,7354" coordsize="13369,655053" path="m2174,2542l2222,2542m2174,2306l2222,2306m2174,2082l2222,2082m2174,1846l2222,1846m2174,1610l2222,1610m2174,1385l2222,1385m2174,1149l2222,1149m2174,925l2222,925m2174,688l2222,688m2174,452l2222,452m2174,228l2222,228e" filled="false" stroked="true" strokeweight=".5909pt" strokecolor="#858585">
              <v:path arrowok="t"/>
              <v:stroke dashstyle="solid"/>
            </v:shape>
            <v:shape style="position:absolute;left:0;top:1056;width:651794;height:6298" coordorigin="0,1056" coordsize="651794,6298" path="m2222,2542l7118,2542m2222,2542l2222,2590m2387,2542l2387,2590m2553,2542l2553,2590m2707,2542l2707,2590m2872,2542l2872,2590m3038,2542l3038,2590m3203,2542l3203,2590m3369,2542l3369,2590m3523,2542l3523,2590m3688,2542l3688,2590m3854,2542l3854,2590m4019,2542l4019,2590m4185,2542l4185,2590m4339,2542l4339,2590m4504,2542l4504,2590m4670,2542l4670,2590m4836,2542l4836,2590m5001,2542l5001,2590m5155,2542l5155,2590m5321,2542l5321,2590m5486,2542l5486,2590m5652,2542l5652,2590m5817,2542l5817,2590m5983,2542l5983,2590m6137,2542l6137,2590m6302,2542l6302,2590m6468,2542l6468,2590m6633,2542l6633,2590m6799,2542l6799,2590m6953,2542l6953,2590m7118,2542l7118,2590e" filled="false" stroked="true" strokeweight=".5909pt" strokecolor="#858585">
              <v:path arrowok="t"/>
              <v:stroke dashstyle="solid"/>
            </v:shape>
            <v:rect style="position:absolute;left:2203;top:2536;width:4933;height:24" filled="true" fillcolor="#ffffff" stroked="false">
              <v:fill type="solid"/>
            </v:rect>
            <v:rect style="position:absolute;left:2203;top:2536;width:4933;height:24" filled="true" fillcolor="#ffffff" stroked="false">
              <v:fill type="solid"/>
            </v:rect>
            <w10:wrap type="none"/>
          </v:group>
        </w:pict>
      </w:r>
      <w:r>
        <w:rPr>
          <w:rFonts w:ascii="Calibri"/>
          <w:sz w:val="15"/>
        </w:rPr>
        <w:t>100%</w:t>
      </w:r>
    </w:p>
    <w:p>
      <w:pPr>
        <w:spacing w:before="49"/>
        <w:ind w:left="0" w:right="977" w:firstLine="0"/>
        <w:jc w:val="right"/>
        <w:rPr>
          <w:rFonts w:ascii="Calibri"/>
          <w:sz w:val="15"/>
        </w:rPr>
      </w:pPr>
      <w:r>
        <w:rPr/>
        <w:pict>
          <v:shape style="position:absolute;margin-left:75.019547pt;margin-top:8.105128pt;width:9.7pt;height:90.7pt;mso-position-horizontal-relative:page;mso-position-vertical-relative:paragraph;z-index:252730368" type="#_x0000_t202" filled="false" stroked="false">
            <v:textbox inset="0,0,0,0" style="layout-flow:vertical;mso-layout-flow-alt:bottom-to-top">
              <w:txbxContent>
                <w:p>
                  <w:pPr>
                    <w:spacing w:line="176" w:lineRule="exact" w:before="0"/>
                    <w:ind w:left="20" w:right="0" w:firstLine="0"/>
                    <w:jc w:val="left"/>
                    <w:rPr>
                      <w:rFonts w:ascii="Calibri"/>
                      <w:b/>
                      <w:sz w:val="15"/>
                    </w:rPr>
                  </w:pPr>
                  <w:r>
                    <w:rPr>
                      <w:rFonts w:ascii="Calibri"/>
                      <w:b/>
                      <w:sz w:val="15"/>
                    </w:rPr>
                    <w:t>Proportion In Welfare Class</w:t>
                  </w:r>
                </w:p>
              </w:txbxContent>
            </v:textbox>
            <w10:wrap type="none"/>
          </v:shape>
        </w:pict>
      </w:r>
      <w:r>
        <w:rPr>
          <w:rFonts w:ascii="Calibri"/>
          <w:spacing w:val="2"/>
          <w:sz w:val="15"/>
        </w:rPr>
        <w:t>90%</w:t>
      </w:r>
    </w:p>
    <w:p>
      <w:pPr>
        <w:spacing w:before="49"/>
        <w:ind w:left="0" w:right="977" w:firstLine="0"/>
        <w:jc w:val="right"/>
        <w:rPr>
          <w:rFonts w:ascii="Calibri"/>
          <w:sz w:val="15"/>
        </w:rPr>
      </w:pPr>
      <w:r>
        <w:rPr>
          <w:rFonts w:ascii="Calibri"/>
          <w:spacing w:val="2"/>
          <w:sz w:val="15"/>
        </w:rPr>
        <w:t>80%</w:t>
      </w:r>
    </w:p>
    <w:p>
      <w:pPr>
        <w:spacing w:before="49"/>
        <w:ind w:left="0" w:right="977" w:firstLine="0"/>
        <w:jc w:val="right"/>
        <w:rPr>
          <w:rFonts w:ascii="Calibri"/>
          <w:sz w:val="15"/>
        </w:rPr>
      </w:pPr>
      <w:r>
        <w:rPr>
          <w:rFonts w:ascii="Calibri"/>
          <w:spacing w:val="2"/>
          <w:sz w:val="15"/>
        </w:rPr>
        <w:t>70%</w:t>
      </w:r>
    </w:p>
    <w:p>
      <w:pPr>
        <w:spacing w:before="49"/>
        <w:ind w:left="0" w:right="977" w:firstLine="0"/>
        <w:jc w:val="right"/>
        <w:rPr>
          <w:rFonts w:ascii="Calibri"/>
          <w:sz w:val="15"/>
        </w:rPr>
      </w:pPr>
      <w:r>
        <w:rPr>
          <w:rFonts w:ascii="Calibri"/>
          <w:spacing w:val="2"/>
          <w:sz w:val="15"/>
        </w:rPr>
        <w:t>60%</w:t>
      </w:r>
    </w:p>
    <w:p>
      <w:pPr>
        <w:spacing w:before="48"/>
        <w:ind w:left="0" w:right="977" w:firstLine="0"/>
        <w:jc w:val="right"/>
        <w:rPr>
          <w:rFonts w:ascii="Calibri"/>
          <w:sz w:val="15"/>
        </w:rPr>
      </w:pPr>
      <w:r>
        <w:rPr>
          <w:rFonts w:ascii="Calibri"/>
          <w:spacing w:val="2"/>
          <w:sz w:val="15"/>
        </w:rPr>
        <w:t>50%</w:t>
      </w:r>
    </w:p>
    <w:p>
      <w:pPr>
        <w:spacing w:before="49"/>
        <w:ind w:left="0" w:right="977" w:firstLine="0"/>
        <w:jc w:val="right"/>
        <w:rPr>
          <w:rFonts w:ascii="Calibri"/>
          <w:sz w:val="15"/>
        </w:rPr>
      </w:pPr>
      <w:r>
        <w:rPr>
          <w:rFonts w:ascii="Calibri"/>
          <w:spacing w:val="2"/>
          <w:sz w:val="15"/>
        </w:rPr>
        <w:t>40%</w:t>
      </w:r>
    </w:p>
    <w:p>
      <w:pPr>
        <w:spacing w:before="49"/>
        <w:ind w:left="0" w:right="977" w:firstLine="0"/>
        <w:jc w:val="right"/>
        <w:rPr>
          <w:rFonts w:ascii="Calibri"/>
          <w:sz w:val="15"/>
        </w:rPr>
      </w:pPr>
      <w:r>
        <w:rPr>
          <w:rFonts w:ascii="Calibri"/>
          <w:spacing w:val="2"/>
          <w:sz w:val="15"/>
        </w:rPr>
        <w:t>30%</w:t>
      </w:r>
    </w:p>
    <w:p>
      <w:pPr>
        <w:spacing w:before="49"/>
        <w:ind w:left="0" w:right="977" w:firstLine="0"/>
        <w:jc w:val="right"/>
        <w:rPr>
          <w:rFonts w:ascii="Calibri"/>
          <w:sz w:val="15"/>
        </w:rPr>
      </w:pPr>
      <w:r>
        <w:rPr>
          <w:rFonts w:ascii="Calibri"/>
          <w:spacing w:val="2"/>
          <w:sz w:val="15"/>
        </w:rPr>
        <w:t>20%</w:t>
      </w:r>
    </w:p>
    <w:p>
      <w:pPr>
        <w:spacing w:before="49"/>
        <w:ind w:left="0" w:right="977" w:firstLine="0"/>
        <w:jc w:val="right"/>
        <w:rPr>
          <w:rFonts w:ascii="Calibri"/>
          <w:sz w:val="15"/>
        </w:rPr>
      </w:pPr>
      <w:r>
        <w:rPr>
          <w:rFonts w:ascii="Calibri"/>
          <w:spacing w:val="2"/>
          <w:sz w:val="15"/>
        </w:rPr>
        <w:t>10%</w:t>
      </w:r>
    </w:p>
    <w:p>
      <w:pPr>
        <w:spacing w:before="49"/>
        <w:ind w:left="0" w:right="980" w:firstLine="0"/>
        <w:jc w:val="right"/>
        <w:rPr>
          <w:rFonts w:ascii="Calibri"/>
          <w:sz w:val="15"/>
        </w:rPr>
      </w:pPr>
      <w:r>
        <w:rPr>
          <w:rFonts w:ascii="Calibri"/>
          <w:sz w:val="15"/>
        </w:rPr>
        <w:t>0%</w:t>
      </w:r>
    </w:p>
    <w:p>
      <w:pPr>
        <w:pStyle w:val="BodyText"/>
        <w:spacing w:before="9"/>
        <w:rPr>
          <w:rFonts w:ascii="Calibri"/>
          <w:sz w:val="5"/>
        </w:rPr>
      </w:pPr>
    </w:p>
    <w:p>
      <w:pPr>
        <w:pStyle w:val="BodyText"/>
        <w:tabs>
          <w:tab w:pos="2676" w:val="left" w:leader="none"/>
        </w:tabs>
        <w:ind w:left="1859" w:right="-44"/>
        <w:rPr>
          <w:rFonts w:ascii="Calibri"/>
        </w:rPr>
      </w:pPr>
      <w:r>
        <w:rPr>
          <w:rFonts w:ascii="Calibri"/>
        </w:rPr>
        <w:drawing>
          <wp:inline distT="0" distB="0" distL="0" distR="0">
            <wp:extent cx="167356" cy="170021"/>
            <wp:effectExtent l="0" t="0" r="0" b="0"/>
            <wp:docPr id="343" name="image167.png"/>
            <wp:cNvGraphicFramePr>
              <a:graphicFrameLocks noChangeAspect="1"/>
            </wp:cNvGraphicFramePr>
            <a:graphic>
              <a:graphicData uri="http://schemas.openxmlformats.org/drawingml/2006/picture">
                <pic:pic>
                  <pic:nvPicPr>
                    <pic:cNvPr id="344" name="image167.png"/>
                    <pic:cNvPicPr/>
                  </pic:nvPicPr>
                  <pic:blipFill>
                    <a:blip r:embed="rId203" cstate="print"/>
                    <a:stretch>
                      <a:fillRect/>
                    </a:stretch>
                  </pic:blipFill>
                  <pic:spPr>
                    <a:xfrm>
                      <a:off x="0" y="0"/>
                      <a:ext cx="167356" cy="170021"/>
                    </a:xfrm>
                    <a:prstGeom prst="rect">
                      <a:avLst/>
                    </a:prstGeom>
                  </pic:spPr>
                </pic:pic>
              </a:graphicData>
            </a:graphic>
          </wp:inline>
        </w:drawing>
      </w:r>
      <w:r>
        <w:rPr>
          <w:rFonts w:ascii="Calibri"/>
        </w:rPr>
      </w:r>
      <w:r>
        <w:rPr>
          <w:rFonts w:ascii="Calibri"/>
        </w:rPr>
        <w:tab/>
      </w:r>
      <w:r>
        <w:rPr>
          <w:rFonts w:ascii="Calibri"/>
        </w:rPr>
        <w:drawing>
          <wp:inline distT="0" distB="0" distL="0" distR="0">
            <wp:extent cx="163872" cy="166687"/>
            <wp:effectExtent l="0" t="0" r="0" b="0"/>
            <wp:docPr id="345" name="image174.png"/>
            <wp:cNvGraphicFramePr>
              <a:graphicFrameLocks noChangeAspect="1"/>
            </wp:cNvGraphicFramePr>
            <a:graphic>
              <a:graphicData uri="http://schemas.openxmlformats.org/drawingml/2006/picture">
                <pic:pic>
                  <pic:nvPicPr>
                    <pic:cNvPr id="346" name="image174.png"/>
                    <pic:cNvPicPr/>
                  </pic:nvPicPr>
                  <pic:blipFill>
                    <a:blip r:embed="rId210" cstate="print"/>
                    <a:stretch>
                      <a:fillRect/>
                    </a:stretch>
                  </pic:blipFill>
                  <pic:spPr>
                    <a:xfrm>
                      <a:off x="0" y="0"/>
                      <a:ext cx="163872" cy="166687"/>
                    </a:xfrm>
                    <a:prstGeom prst="rect">
                      <a:avLst/>
                    </a:prstGeom>
                  </pic:spPr>
                </pic:pic>
              </a:graphicData>
            </a:graphic>
          </wp:inline>
        </w:drawing>
      </w:r>
      <w:r>
        <w:rPr>
          <w:rFonts w:ascii="Calibri"/>
        </w:rPr>
      </w:r>
    </w:p>
    <w:p>
      <w:pPr>
        <w:pStyle w:val="BodyText"/>
        <w:rPr>
          <w:rFonts w:ascii="Calibri"/>
        </w:rPr>
      </w:pPr>
      <w:r>
        <w:rPr/>
        <w:br w:type="column"/>
      </w:r>
      <w:r>
        <w:rPr>
          <w:rFonts w:ascii="Calibri"/>
        </w:rPr>
      </w: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sz w:val="21"/>
        </w:rPr>
      </w:pPr>
      <w:r>
        <w:rPr/>
        <w:drawing>
          <wp:anchor distT="0" distB="0" distL="0" distR="0" allowOverlap="1" layoutInCell="1" locked="0" behindDoc="0" simplePos="0" relativeHeight="1036">
            <wp:simplePos x="0" y="0"/>
            <wp:positionH relativeFrom="page">
              <wp:posOffset>2294327</wp:posOffset>
            </wp:positionH>
            <wp:positionV relativeFrom="paragraph">
              <wp:posOffset>187760</wp:posOffset>
            </wp:positionV>
            <wp:extent cx="167356" cy="170021"/>
            <wp:effectExtent l="0" t="0" r="0" b="0"/>
            <wp:wrapTopAndBottom/>
            <wp:docPr id="347" name="image162.png"/>
            <wp:cNvGraphicFramePr>
              <a:graphicFrameLocks noChangeAspect="1"/>
            </wp:cNvGraphicFramePr>
            <a:graphic>
              <a:graphicData uri="http://schemas.openxmlformats.org/drawingml/2006/picture">
                <pic:pic>
                  <pic:nvPicPr>
                    <pic:cNvPr id="348" name="image162.png"/>
                    <pic:cNvPicPr/>
                  </pic:nvPicPr>
                  <pic:blipFill>
                    <a:blip r:embed="rId198" cstate="print"/>
                    <a:stretch>
                      <a:fillRect/>
                    </a:stretch>
                  </pic:blipFill>
                  <pic:spPr>
                    <a:xfrm>
                      <a:off x="0" y="0"/>
                      <a:ext cx="167356" cy="170021"/>
                    </a:xfrm>
                    <a:prstGeom prst="rect">
                      <a:avLst/>
                    </a:prstGeom>
                  </pic:spPr>
                </pic:pic>
              </a:graphicData>
            </a:graphic>
          </wp:anchor>
        </w:drawing>
      </w:r>
      <w:r>
        <w:rPr/>
        <w:drawing>
          <wp:anchor distT="0" distB="0" distL="0" distR="0" allowOverlap="1" layoutInCell="1" locked="0" behindDoc="0" simplePos="0" relativeHeight="1037">
            <wp:simplePos x="0" y="0"/>
            <wp:positionH relativeFrom="page">
              <wp:posOffset>2812918</wp:posOffset>
            </wp:positionH>
            <wp:positionV relativeFrom="paragraph">
              <wp:posOffset>189656</wp:posOffset>
            </wp:positionV>
            <wp:extent cx="163872" cy="166687"/>
            <wp:effectExtent l="0" t="0" r="0" b="0"/>
            <wp:wrapTopAndBottom/>
            <wp:docPr id="349" name="image175.png"/>
            <wp:cNvGraphicFramePr>
              <a:graphicFrameLocks noChangeAspect="1"/>
            </wp:cNvGraphicFramePr>
            <a:graphic>
              <a:graphicData uri="http://schemas.openxmlformats.org/drawingml/2006/picture">
                <pic:pic>
                  <pic:nvPicPr>
                    <pic:cNvPr id="350" name="image175.png"/>
                    <pic:cNvPicPr/>
                  </pic:nvPicPr>
                  <pic:blipFill>
                    <a:blip r:embed="rId211" cstate="print"/>
                    <a:stretch>
                      <a:fillRect/>
                    </a:stretch>
                  </pic:blipFill>
                  <pic:spPr>
                    <a:xfrm>
                      <a:off x="0" y="0"/>
                      <a:ext cx="163872" cy="166687"/>
                    </a:xfrm>
                    <a:prstGeom prst="rect">
                      <a:avLst/>
                    </a:prstGeom>
                  </pic:spPr>
                </pic:pic>
              </a:graphicData>
            </a:graphic>
          </wp:anchor>
        </w:drawing>
      </w:r>
      <w:r>
        <w:rPr/>
        <w:drawing>
          <wp:anchor distT="0" distB="0" distL="0" distR="0" allowOverlap="1" layoutInCell="1" locked="0" behindDoc="0" simplePos="0" relativeHeight="1038">
            <wp:simplePos x="0" y="0"/>
            <wp:positionH relativeFrom="page">
              <wp:posOffset>3331508</wp:posOffset>
            </wp:positionH>
            <wp:positionV relativeFrom="paragraph">
              <wp:posOffset>187760</wp:posOffset>
            </wp:positionV>
            <wp:extent cx="167356" cy="170021"/>
            <wp:effectExtent l="0" t="0" r="0" b="0"/>
            <wp:wrapTopAndBottom/>
            <wp:docPr id="351" name="image170.png"/>
            <wp:cNvGraphicFramePr>
              <a:graphicFrameLocks noChangeAspect="1"/>
            </wp:cNvGraphicFramePr>
            <a:graphic>
              <a:graphicData uri="http://schemas.openxmlformats.org/drawingml/2006/picture">
                <pic:pic>
                  <pic:nvPicPr>
                    <pic:cNvPr id="352" name="image170.png"/>
                    <pic:cNvPicPr/>
                  </pic:nvPicPr>
                  <pic:blipFill>
                    <a:blip r:embed="rId206" cstate="print"/>
                    <a:stretch>
                      <a:fillRect/>
                    </a:stretch>
                  </pic:blipFill>
                  <pic:spPr>
                    <a:xfrm>
                      <a:off x="0" y="0"/>
                      <a:ext cx="167356" cy="170021"/>
                    </a:xfrm>
                    <a:prstGeom prst="rect">
                      <a:avLst/>
                    </a:prstGeom>
                  </pic:spPr>
                </pic:pic>
              </a:graphicData>
            </a:graphic>
          </wp:anchor>
        </w:drawing>
      </w:r>
      <w:r>
        <w:rPr/>
        <w:drawing>
          <wp:anchor distT="0" distB="0" distL="0" distR="0" allowOverlap="1" layoutInCell="1" locked="0" behindDoc="0" simplePos="0" relativeHeight="1039">
            <wp:simplePos x="0" y="0"/>
            <wp:positionH relativeFrom="page">
              <wp:posOffset>3850098</wp:posOffset>
            </wp:positionH>
            <wp:positionV relativeFrom="paragraph">
              <wp:posOffset>189656</wp:posOffset>
            </wp:positionV>
            <wp:extent cx="163872" cy="166687"/>
            <wp:effectExtent l="0" t="0" r="0" b="0"/>
            <wp:wrapTopAndBottom/>
            <wp:docPr id="353" name="image171.png"/>
            <wp:cNvGraphicFramePr>
              <a:graphicFrameLocks noChangeAspect="1"/>
            </wp:cNvGraphicFramePr>
            <a:graphic>
              <a:graphicData uri="http://schemas.openxmlformats.org/drawingml/2006/picture">
                <pic:pic>
                  <pic:nvPicPr>
                    <pic:cNvPr id="354" name="image171.png"/>
                    <pic:cNvPicPr/>
                  </pic:nvPicPr>
                  <pic:blipFill>
                    <a:blip r:embed="rId207" cstate="print"/>
                    <a:stretch>
                      <a:fillRect/>
                    </a:stretch>
                  </pic:blipFill>
                  <pic:spPr>
                    <a:xfrm>
                      <a:off x="0" y="0"/>
                      <a:ext cx="163872" cy="166687"/>
                    </a:xfrm>
                    <a:prstGeom prst="rect">
                      <a:avLst/>
                    </a:prstGeom>
                  </pic:spPr>
                </pic:pic>
              </a:graphicData>
            </a:graphic>
          </wp:anchor>
        </w:drawing>
      </w:r>
      <w:r>
        <w:rPr/>
        <w:drawing>
          <wp:anchor distT="0" distB="0" distL="0" distR="0" allowOverlap="1" layoutInCell="1" locked="0" behindDoc="0" simplePos="0" relativeHeight="1040">
            <wp:simplePos x="0" y="0"/>
            <wp:positionH relativeFrom="page">
              <wp:posOffset>4368689</wp:posOffset>
            </wp:positionH>
            <wp:positionV relativeFrom="paragraph">
              <wp:posOffset>187760</wp:posOffset>
            </wp:positionV>
            <wp:extent cx="167356" cy="170021"/>
            <wp:effectExtent l="0" t="0" r="0" b="0"/>
            <wp:wrapTopAndBottom/>
            <wp:docPr id="355" name="image176.png"/>
            <wp:cNvGraphicFramePr>
              <a:graphicFrameLocks noChangeAspect="1"/>
            </wp:cNvGraphicFramePr>
            <a:graphic>
              <a:graphicData uri="http://schemas.openxmlformats.org/drawingml/2006/picture">
                <pic:pic>
                  <pic:nvPicPr>
                    <pic:cNvPr id="356" name="image176.png"/>
                    <pic:cNvPicPr/>
                  </pic:nvPicPr>
                  <pic:blipFill>
                    <a:blip r:embed="rId212" cstate="print"/>
                    <a:stretch>
                      <a:fillRect/>
                    </a:stretch>
                  </pic:blipFill>
                  <pic:spPr>
                    <a:xfrm>
                      <a:off x="0" y="0"/>
                      <a:ext cx="167356" cy="170021"/>
                    </a:xfrm>
                    <a:prstGeom prst="rect">
                      <a:avLst/>
                    </a:prstGeom>
                  </pic:spPr>
                </pic:pic>
              </a:graphicData>
            </a:graphic>
          </wp:anchor>
        </w:drawing>
      </w:r>
    </w:p>
    <w:p>
      <w:pPr>
        <w:spacing w:before="64"/>
        <w:ind w:left="1401" w:right="2350" w:firstLine="0"/>
        <w:jc w:val="center"/>
        <w:rPr>
          <w:rFonts w:ascii="Calibri"/>
          <w:b/>
          <w:sz w:val="15"/>
        </w:rPr>
      </w:pPr>
      <w:r>
        <w:rPr>
          <w:rFonts w:ascii="Calibri"/>
          <w:b/>
          <w:w w:val="105"/>
          <w:sz w:val="15"/>
        </w:rPr>
        <w:t>Year</w:t>
      </w:r>
    </w:p>
    <w:p>
      <w:pPr>
        <w:pStyle w:val="BodyText"/>
        <w:rPr>
          <w:rFonts w:ascii="Calibri"/>
          <w:b/>
          <w:sz w:val="14"/>
        </w:rPr>
      </w:pPr>
      <w:r>
        <w:rPr/>
        <w:br w:type="column"/>
      </w:r>
      <w:r>
        <w:rPr>
          <w:rFonts w:ascii="Calibri"/>
          <w:b/>
          <w:sz w:val="14"/>
        </w:rPr>
      </w:r>
    </w:p>
    <w:p>
      <w:pPr>
        <w:pStyle w:val="BodyText"/>
        <w:spacing w:before="8"/>
        <w:rPr>
          <w:rFonts w:ascii="Calibri"/>
          <w:b/>
          <w:sz w:val="13"/>
        </w:rPr>
      </w:pPr>
    </w:p>
    <w:p>
      <w:pPr>
        <w:spacing w:before="0"/>
        <w:ind w:left="1116" w:right="0" w:firstLine="0"/>
        <w:jc w:val="left"/>
        <w:rPr>
          <w:rFonts w:ascii="Calibri"/>
          <w:sz w:val="14"/>
        </w:rPr>
      </w:pPr>
      <w:r>
        <w:rPr>
          <w:rFonts w:ascii="Calibri"/>
          <w:sz w:val="14"/>
        </w:rPr>
        <w:t>Class key:</w:t>
      </w:r>
    </w:p>
    <w:p>
      <w:pPr>
        <w:pStyle w:val="ListParagraph"/>
        <w:numPr>
          <w:ilvl w:val="0"/>
          <w:numId w:val="75"/>
        </w:numPr>
        <w:tabs>
          <w:tab w:pos="1572" w:val="left" w:leader="none"/>
        </w:tabs>
        <w:spacing w:line="240" w:lineRule="auto" w:before="15" w:after="0"/>
        <w:ind w:left="1571" w:right="0" w:hanging="103"/>
        <w:jc w:val="left"/>
        <w:rPr>
          <w:rFonts w:ascii="Calibri"/>
          <w:sz w:val="14"/>
        </w:rPr>
      </w:pPr>
      <w:r>
        <w:rPr/>
        <w:pict>
          <v:group style="position:absolute;margin-left:421.610474pt;margin-top:.043952pt;width:17.9pt;height:130.5pt;mso-position-horizontal-relative:page;mso-position-vertical-relative:paragraph;z-index:252729344" coordorigin="8432,1" coordsize="358,2610">
            <v:rect style="position:absolute;left:8435;top:0;width:354;height:186" filled="true" fillcolor="#1f487c" stroked="false">
              <v:fill type="solid"/>
            </v:rect>
            <v:rect style="position:absolute;left:8435;top:186;width:354;height:186" filled="true" fillcolor="#009544" stroked="false">
              <v:fill type="solid"/>
            </v:rect>
            <v:rect style="position:absolute;left:8435;top:372;width:354;height:186" filled="true" fillcolor="#e16b09" stroked="false">
              <v:fill type="solid"/>
            </v:rect>
            <v:rect style="position:absolute;left:8435;top:558;width:354;height:186" filled="true" fillcolor="#e08ad6" stroked="false">
              <v:fill type="solid"/>
            </v:rect>
            <v:rect style="position:absolute;left:8435;top:744;width:354;height:186" filled="true" fillcolor="#8063a1" stroked="false">
              <v:fill type="solid"/>
            </v:rect>
            <v:rect style="position:absolute;left:8435;top:930;width:354;height:186" filled="true" fillcolor="#c0504d" stroked="false">
              <v:fill type="solid"/>
            </v:rect>
            <v:rect style="position:absolute;left:8435;top:1116;width:354;height:186" filled="true" fillcolor="#f8a763" stroked="false">
              <v:fill type="solid"/>
            </v:rect>
            <v:rect style="position:absolute;left:8435;top:1302;width:354;height:186" filled="true" fillcolor="#ecb8e7" stroked="false">
              <v:fill type="solid"/>
            </v:rect>
            <v:rect style="position:absolute;left:8435;top:1488;width:354;height:186" filled="true" fillcolor="#938953" stroked="false">
              <v:fill type="solid"/>
            </v:rect>
            <v:rect style="position:absolute;left:8435;top:1674;width:354;height:186" filled="true" fillcolor="#ffd600" stroked="false">
              <v:fill type="solid"/>
            </v:rect>
            <v:rect style="position:absolute;left:8435;top:1859;width:354;height:186" filled="true" fillcolor="#000000" stroked="false">
              <v:fill type="solid"/>
            </v:rect>
            <v:rect style="position:absolute;left:8435;top:2045;width:354;height:186" filled="true" fillcolor="#ffeb8f" stroked="false">
              <v:fill type="solid"/>
            </v:rect>
            <v:rect style="position:absolute;left:8435;top:2231;width:354;height:379" filled="true" fillcolor="#a6a6a6" stroked="false">
              <v:fill type="solid"/>
            </v:rect>
            <v:line style="position:absolute" from="8782,7" to="8782,2610" stroked="true" strokeweight="0pt" strokecolor="#ffffff">
              <v:stroke dashstyle="solid"/>
            </v:line>
            <v:line style="position:absolute" from="8785,7" to="8785,2610" stroked="true" strokeweight=".321105pt" strokecolor="#ffffff">
              <v:stroke dashstyle="solid"/>
            </v:line>
            <v:line style="position:absolute" from="8435,4" to="8789,4" stroked="true" strokeweight=".320535pt" strokecolor="#ffffff">
              <v:stroke dashstyle="solid"/>
            </v:line>
            <v:line style="position:absolute" from="8435,187" to="8789,187" stroked="true" strokeweight="0pt" strokecolor="#ffffff">
              <v:stroke dashstyle="solid"/>
            </v:line>
            <v:line style="position:absolute" from="8435,190" to="8789,190" stroked="true" strokeweight=".320535pt" strokecolor="#ffffff">
              <v:stroke dashstyle="solid"/>
            </v:line>
            <v:line style="position:absolute" from="8435,373" to="8789,373" stroked="true" strokeweight="0pt" strokecolor="#ffffff">
              <v:stroke dashstyle="solid"/>
            </v:line>
            <v:line style="position:absolute" from="8435,376" to="8789,376" stroked="true" strokeweight=".320856pt" strokecolor="#ffffff">
              <v:stroke dashstyle="solid"/>
            </v:line>
            <v:line style="position:absolute" from="8435,559" to="8789,559" stroked="true" strokeweight="0pt" strokecolor="#ffffff">
              <v:stroke dashstyle="solid"/>
            </v:line>
            <v:line style="position:absolute" from="8435,562" to="8789,562" stroked="true" strokeweight=".320535pt" strokecolor="#ffffff">
              <v:stroke dashstyle="solid"/>
            </v:line>
            <v:line style="position:absolute" from="8435,745" to="8789,745" stroked="true" strokeweight="0pt" strokecolor="#ffffff">
              <v:stroke dashstyle="solid"/>
            </v:line>
            <v:line style="position:absolute" from="8435,748" to="8789,748" stroked="true" strokeweight=".320535pt" strokecolor="#ffffff">
              <v:stroke dashstyle="solid"/>
            </v:line>
            <v:line style="position:absolute" from="8435,930" to="8789,930" stroked="true" strokeweight="0pt" strokecolor="#ffffff">
              <v:stroke dashstyle="solid"/>
            </v:line>
            <v:line style="position:absolute" from="8435,934" to="8789,934" stroked="true" strokeweight=".320535pt" strokecolor="#ffffff">
              <v:stroke dashstyle="solid"/>
            </v:line>
            <v:line style="position:absolute" from="8435,1116" to="8789,1116" stroked="true" strokeweight="0pt" strokecolor="#ffffff">
              <v:stroke dashstyle="solid"/>
            </v:line>
            <v:line style="position:absolute" from="8435,1120" to="8789,1120" stroked="true" strokeweight=".320535pt" strokecolor="#ffffff">
              <v:stroke dashstyle="solid"/>
            </v:line>
            <v:line style="position:absolute" from="8435,1302" to="8789,1302" stroked="true" strokeweight="0pt" strokecolor="#ffffff">
              <v:stroke dashstyle="solid"/>
            </v:line>
            <v:line style="position:absolute" from="8435,1305" to="8789,1305" stroked="true" strokeweight=".320535pt" strokecolor="#ffffff">
              <v:stroke dashstyle="solid"/>
            </v:line>
            <v:line style="position:absolute" from="8435,1488" to="8789,1488" stroked="true" strokeweight="0pt" strokecolor="#ffffff">
              <v:stroke dashstyle="solid"/>
            </v:line>
            <v:line style="position:absolute" from="8435,1491" to="8789,1491" stroked="true" strokeweight=".320535pt" strokecolor="#ffffff">
              <v:stroke dashstyle="solid"/>
            </v:line>
            <v:line style="position:absolute" from="8435,1674" to="8789,1674" stroked="true" strokeweight="0pt" strokecolor="#ffffff">
              <v:stroke dashstyle="solid"/>
            </v:line>
            <v:line style="position:absolute" from="8435,1677" to="8789,1677" stroked="true" strokeweight=".320535pt" strokecolor="#ffffff">
              <v:stroke dashstyle="solid"/>
            </v:line>
            <v:line style="position:absolute" from="8435,1860" to="8789,1860" stroked="true" strokeweight="0pt" strokecolor="#ffffff">
              <v:stroke dashstyle="solid"/>
            </v:line>
            <v:line style="position:absolute" from="8435,1863" to="8789,1863" stroked="true" strokeweight=".320535pt" strokecolor="#ffffff">
              <v:stroke dashstyle="solid"/>
            </v:line>
            <v:line style="position:absolute" from="8435,2046" to="8789,2046" stroked="true" strokeweight="0pt" strokecolor="#ffffff">
              <v:stroke dashstyle="solid"/>
            </v:line>
            <v:line style="position:absolute" from="8435,2049" to="8789,2049" stroked="true" strokeweight=".320856pt" strokecolor="#ffffff">
              <v:stroke dashstyle="solid"/>
            </v:line>
            <v:line style="position:absolute" from="8435,2232" to="8789,2232" stroked="true" strokeweight="0pt" strokecolor="#ffffff">
              <v:stroke dashstyle="solid"/>
            </v:line>
            <v:line style="position:absolute" from="8435,2235" to="8789,2235" stroked="true" strokeweight=".320535pt" strokecolor="#ffffff">
              <v:stroke dashstyle="solid"/>
            </v:line>
            <v:line style="position:absolute" from="8435,2418" to="8789,2418" stroked="true" strokeweight="0pt" strokecolor="#ffffff">
              <v:stroke dashstyle="solid"/>
            </v:line>
            <v:line style="position:absolute" from="8435,2421" to="8789,2421" stroked="true" strokeweight=".320535pt" strokecolor="#ffffff">
              <v:stroke dashstyle="solid"/>
            </v:line>
            <v:line style="position:absolute" from="8435,2604" to="8789,2604" stroked="true" strokeweight="0pt" strokecolor="#ffffff">
              <v:stroke dashstyle="solid"/>
            </v:line>
            <v:line style="position:absolute" from="8435,2607" to="8789,2607" stroked="true" strokeweight=".320215pt" strokecolor="#ffffff">
              <v:stroke dashstyle="solid"/>
            </v:line>
            <v:line style="position:absolute" from="8432,2344" to="8790,2344" stroked="true" strokeweight=".961678pt" strokecolor="#ffffff">
              <v:stroke dashstyle="solid"/>
            </v:line>
            <v:line style="position:absolute" from="8432,2517" to="8790,2517" stroked="true" strokeweight=".961678pt" strokecolor="#ffffff">
              <v:stroke dashstyle="solid"/>
            </v:line>
            <w10:wrap type="none"/>
          </v:group>
        </w:pict>
      </w:r>
      <w:r>
        <w:rPr>
          <w:rFonts w:ascii="Calibri"/>
          <w:sz w:val="14"/>
        </w:rPr>
        <w:t>Studying</w:t>
      </w:r>
    </w:p>
    <w:p>
      <w:pPr>
        <w:pStyle w:val="ListParagraph"/>
        <w:numPr>
          <w:ilvl w:val="0"/>
          <w:numId w:val="75"/>
        </w:numPr>
        <w:tabs>
          <w:tab w:pos="1572" w:val="left" w:leader="none"/>
        </w:tabs>
        <w:spacing w:line="240" w:lineRule="auto" w:before="15" w:after="0"/>
        <w:ind w:left="1571" w:right="0" w:hanging="103"/>
        <w:jc w:val="left"/>
        <w:rPr>
          <w:rFonts w:ascii="Calibri"/>
          <w:sz w:val="14"/>
        </w:rPr>
      </w:pPr>
      <w:r>
        <w:rPr>
          <w:rFonts w:ascii="Calibri"/>
          <w:sz w:val="14"/>
        </w:rPr>
        <w:t>Working</w:t>
      </w:r>
      <w:r>
        <w:rPr>
          <w:rFonts w:ascii="Calibri"/>
          <w:spacing w:val="-2"/>
          <w:sz w:val="14"/>
        </w:rPr>
        <w:t> </w:t>
      </w:r>
      <w:r>
        <w:rPr>
          <w:rFonts w:ascii="Calibri"/>
          <w:sz w:val="14"/>
        </w:rPr>
        <w:t>Age</w:t>
      </w:r>
    </w:p>
    <w:p>
      <w:pPr>
        <w:pStyle w:val="ListParagraph"/>
        <w:numPr>
          <w:ilvl w:val="0"/>
          <w:numId w:val="75"/>
        </w:numPr>
        <w:tabs>
          <w:tab w:pos="1572" w:val="left" w:leader="none"/>
        </w:tabs>
        <w:spacing w:line="240" w:lineRule="auto" w:before="15" w:after="0"/>
        <w:ind w:left="1571" w:right="0" w:hanging="103"/>
        <w:jc w:val="left"/>
        <w:rPr>
          <w:rFonts w:ascii="Calibri"/>
          <w:sz w:val="14"/>
        </w:rPr>
      </w:pPr>
      <w:r>
        <w:rPr>
          <w:rFonts w:ascii="Calibri"/>
          <w:sz w:val="14"/>
        </w:rPr>
        <w:t>Parents</w:t>
      </w:r>
    </w:p>
    <w:p>
      <w:pPr>
        <w:pStyle w:val="ListParagraph"/>
        <w:numPr>
          <w:ilvl w:val="0"/>
          <w:numId w:val="75"/>
        </w:numPr>
        <w:tabs>
          <w:tab w:pos="1572" w:val="left" w:leader="none"/>
        </w:tabs>
        <w:spacing w:line="240" w:lineRule="auto" w:before="15" w:after="0"/>
        <w:ind w:left="1571" w:right="0" w:hanging="103"/>
        <w:jc w:val="left"/>
        <w:rPr>
          <w:rFonts w:ascii="Calibri"/>
          <w:sz w:val="14"/>
        </w:rPr>
      </w:pPr>
      <w:r>
        <w:rPr>
          <w:rFonts w:ascii="Calibri"/>
          <w:sz w:val="14"/>
        </w:rPr>
        <w:t>Carers</w:t>
      </w:r>
    </w:p>
    <w:p>
      <w:pPr>
        <w:pStyle w:val="ListParagraph"/>
        <w:numPr>
          <w:ilvl w:val="0"/>
          <w:numId w:val="75"/>
        </w:numPr>
        <w:tabs>
          <w:tab w:pos="1572" w:val="left" w:leader="none"/>
        </w:tabs>
        <w:spacing w:line="240" w:lineRule="auto" w:before="15" w:after="0"/>
        <w:ind w:left="1571" w:right="0" w:hanging="103"/>
        <w:jc w:val="left"/>
        <w:rPr>
          <w:rFonts w:ascii="Calibri"/>
          <w:sz w:val="14"/>
        </w:rPr>
      </w:pPr>
      <w:r>
        <w:rPr>
          <w:rFonts w:ascii="Calibri"/>
          <w:sz w:val="14"/>
        </w:rPr>
        <w:t>Disability Support</w:t>
      </w:r>
    </w:p>
    <w:p>
      <w:pPr>
        <w:pStyle w:val="ListParagraph"/>
        <w:numPr>
          <w:ilvl w:val="0"/>
          <w:numId w:val="75"/>
        </w:numPr>
        <w:tabs>
          <w:tab w:pos="1572" w:val="left" w:leader="none"/>
        </w:tabs>
        <w:spacing w:line="261" w:lineRule="auto" w:before="15" w:after="0"/>
        <w:ind w:left="1469" w:right="2204" w:firstLine="0"/>
        <w:jc w:val="left"/>
        <w:rPr>
          <w:rFonts w:ascii="Calibri"/>
          <w:sz w:val="14"/>
        </w:rPr>
      </w:pPr>
      <w:r>
        <w:rPr>
          <w:rFonts w:ascii="Calibri"/>
          <w:sz w:val="14"/>
        </w:rPr>
        <w:t>Pension Age 7 Non IS Family 8 Non IS Carer 9 Non IS</w:t>
      </w:r>
      <w:r>
        <w:rPr>
          <w:rFonts w:ascii="Calibri"/>
          <w:spacing w:val="7"/>
          <w:sz w:val="14"/>
        </w:rPr>
        <w:t> </w:t>
      </w:r>
      <w:r>
        <w:rPr>
          <w:rFonts w:ascii="Calibri"/>
          <w:sz w:val="14"/>
        </w:rPr>
        <w:t>Other</w:t>
      </w:r>
    </w:p>
    <w:p>
      <w:pPr>
        <w:spacing w:line="261" w:lineRule="auto" w:before="0"/>
        <w:ind w:left="1469" w:right="1267" w:firstLine="0"/>
        <w:jc w:val="left"/>
        <w:rPr>
          <w:rFonts w:ascii="Calibri"/>
          <w:sz w:val="14"/>
        </w:rPr>
      </w:pPr>
      <w:r>
        <w:rPr>
          <w:rFonts w:ascii="Calibri"/>
          <w:sz w:val="14"/>
        </w:rPr>
        <w:t>10 Previous Welfare Recipient 11 Dead</w:t>
      </w:r>
    </w:p>
    <w:p>
      <w:pPr>
        <w:spacing w:line="261" w:lineRule="auto" w:before="0"/>
        <w:ind w:left="1469" w:right="1391" w:firstLine="0"/>
        <w:jc w:val="left"/>
        <w:rPr>
          <w:rFonts w:ascii="Calibri"/>
          <w:sz w:val="14"/>
        </w:rPr>
      </w:pPr>
      <w:r>
        <w:rPr>
          <w:rFonts w:ascii="Calibri"/>
          <w:sz w:val="14"/>
        </w:rPr>
        <w:t>12 Rest of Aust. Population Prior valuation - all active Prior valuation - current class</w:t>
      </w:r>
    </w:p>
    <w:p>
      <w:pPr>
        <w:spacing w:after="0" w:line="261" w:lineRule="auto"/>
        <w:jc w:val="left"/>
        <w:rPr>
          <w:rFonts w:ascii="Calibri"/>
          <w:sz w:val="14"/>
        </w:rPr>
        <w:sectPr>
          <w:type w:val="continuous"/>
          <w:pgSz w:w="11910" w:h="16850"/>
          <w:pgMar w:top="1600" w:bottom="280" w:left="120" w:right="0"/>
          <w:cols w:num="3" w:equalWidth="0">
            <w:col w:w="2937" w:space="40"/>
            <w:col w:w="4087" w:space="155"/>
            <w:col w:w="4571"/>
          </w:cols>
        </w:sectPr>
      </w:pPr>
    </w:p>
    <w:p>
      <w:pPr>
        <w:pStyle w:val="BodyText"/>
        <w:spacing w:before="9"/>
        <w:rPr>
          <w:rFonts w:ascii="Calibri"/>
          <w:sz w:val="21"/>
        </w:rPr>
      </w:pPr>
    </w:p>
    <w:p>
      <w:pPr>
        <w:pStyle w:val="BodyText"/>
        <w:spacing w:before="93"/>
        <w:ind w:left="900"/>
      </w:pPr>
      <w:r>
        <w:rPr>
          <w:color w:val="404040"/>
        </w:rPr>
        <w:t>The trajectory results support the previous observations, showing that:</w:t>
      </w:r>
    </w:p>
    <w:p>
      <w:pPr>
        <w:pStyle w:val="ListParagraph"/>
        <w:numPr>
          <w:ilvl w:val="0"/>
          <w:numId w:val="70"/>
        </w:numPr>
        <w:tabs>
          <w:tab w:pos="1184" w:val="left" w:leader="none"/>
        </w:tabs>
        <w:spacing w:line="240" w:lineRule="auto" w:before="119" w:after="0"/>
        <w:ind w:left="1183" w:right="1222" w:hanging="284"/>
        <w:jc w:val="left"/>
        <w:rPr>
          <w:sz w:val="20"/>
        </w:rPr>
      </w:pPr>
      <w:r>
        <w:rPr>
          <w:color w:val="404040"/>
          <w:sz w:val="20"/>
        </w:rPr>
        <w:t>For people aged 15 to 19, in five years, only around 2% of people are projected to be in this class, while approximately</w:t>
      </w:r>
      <w:r>
        <w:rPr>
          <w:color w:val="404040"/>
          <w:spacing w:val="-7"/>
          <w:sz w:val="20"/>
        </w:rPr>
        <w:t> </w:t>
      </w:r>
      <w:r>
        <w:rPr>
          <w:color w:val="404040"/>
          <w:sz w:val="20"/>
        </w:rPr>
        <w:t>52%</w:t>
      </w:r>
      <w:r>
        <w:rPr>
          <w:color w:val="404040"/>
          <w:spacing w:val="-2"/>
          <w:sz w:val="20"/>
        </w:rPr>
        <w:t> </w:t>
      </w:r>
      <w:r>
        <w:rPr>
          <w:color w:val="404040"/>
          <w:sz w:val="20"/>
        </w:rPr>
        <w:t>are</w:t>
      </w:r>
      <w:r>
        <w:rPr>
          <w:color w:val="404040"/>
          <w:spacing w:val="-2"/>
          <w:sz w:val="20"/>
        </w:rPr>
        <w:t> </w:t>
      </w:r>
      <w:r>
        <w:rPr>
          <w:color w:val="404040"/>
          <w:sz w:val="20"/>
        </w:rPr>
        <w:t>projected</w:t>
      </w:r>
      <w:r>
        <w:rPr>
          <w:color w:val="404040"/>
          <w:spacing w:val="-3"/>
          <w:sz w:val="20"/>
        </w:rPr>
        <w:t> </w:t>
      </w:r>
      <w:r>
        <w:rPr>
          <w:color w:val="404040"/>
          <w:sz w:val="20"/>
        </w:rPr>
        <w:t>to</w:t>
      </w:r>
      <w:r>
        <w:rPr>
          <w:color w:val="404040"/>
          <w:spacing w:val="-4"/>
          <w:sz w:val="20"/>
        </w:rPr>
        <w:t> </w:t>
      </w:r>
      <w:r>
        <w:rPr>
          <w:color w:val="404040"/>
          <w:sz w:val="20"/>
        </w:rPr>
        <w:t>be</w:t>
      </w:r>
      <w:r>
        <w:rPr>
          <w:color w:val="404040"/>
          <w:spacing w:val="-1"/>
          <w:sz w:val="20"/>
        </w:rPr>
        <w:t> </w:t>
      </w:r>
      <w:r>
        <w:rPr>
          <w:color w:val="404040"/>
          <w:sz w:val="20"/>
        </w:rPr>
        <w:t>in</w:t>
      </w:r>
      <w:r>
        <w:rPr>
          <w:color w:val="404040"/>
          <w:spacing w:val="-2"/>
          <w:sz w:val="20"/>
        </w:rPr>
        <w:t> </w:t>
      </w:r>
      <w:r>
        <w:rPr>
          <w:color w:val="404040"/>
          <w:sz w:val="20"/>
        </w:rPr>
        <w:t>receipt</w:t>
      </w:r>
      <w:r>
        <w:rPr>
          <w:color w:val="404040"/>
          <w:spacing w:val="-3"/>
          <w:sz w:val="20"/>
        </w:rPr>
        <w:t> </w:t>
      </w:r>
      <w:r>
        <w:rPr>
          <w:color w:val="404040"/>
          <w:sz w:val="20"/>
        </w:rPr>
        <w:t>of</w:t>
      </w:r>
      <w:r>
        <w:rPr>
          <w:color w:val="404040"/>
          <w:spacing w:val="-2"/>
          <w:sz w:val="20"/>
        </w:rPr>
        <w:t> </w:t>
      </w:r>
      <w:r>
        <w:rPr>
          <w:color w:val="404040"/>
          <w:sz w:val="20"/>
        </w:rPr>
        <w:t>an</w:t>
      </w:r>
      <w:r>
        <w:rPr>
          <w:color w:val="404040"/>
          <w:spacing w:val="-1"/>
          <w:sz w:val="20"/>
        </w:rPr>
        <w:t> </w:t>
      </w:r>
      <w:r>
        <w:rPr>
          <w:color w:val="404040"/>
          <w:sz w:val="20"/>
        </w:rPr>
        <w:t>income</w:t>
      </w:r>
      <w:r>
        <w:rPr>
          <w:color w:val="404040"/>
          <w:spacing w:val="-4"/>
          <w:sz w:val="20"/>
        </w:rPr>
        <w:t> </w:t>
      </w:r>
      <w:r>
        <w:rPr>
          <w:color w:val="404040"/>
          <w:sz w:val="20"/>
        </w:rPr>
        <w:t>support</w:t>
      </w:r>
      <w:r>
        <w:rPr>
          <w:color w:val="404040"/>
          <w:spacing w:val="-3"/>
          <w:sz w:val="20"/>
        </w:rPr>
        <w:t> </w:t>
      </w:r>
      <w:r>
        <w:rPr>
          <w:color w:val="404040"/>
          <w:sz w:val="20"/>
        </w:rPr>
        <w:t>payment,</w:t>
      </w:r>
      <w:r>
        <w:rPr>
          <w:color w:val="404040"/>
          <w:spacing w:val="-4"/>
          <w:sz w:val="20"/>
        </w:rPr>
        <w:t> </w:t>
      </w:r>
      <w:r>
        <w:rPr>
          <w:color w:val="404040"/>
          <w:sz w:val="20"/>
        </w:rPr>
        <w:t>and</w:t>
      </w:r>
      <w:r>
        <w:rPr>
          <w:color w:val="404040"/>
          <w:spacing w:val="-3"/>
          <w:sz w:val="20"/>
        </w:rPr>
        <w:t> </w:t>
      </w:r>
      <w:r>
        <w:rPr>
          <w:color w:val="404040"/>
          <w:sz w:val="20"/>
        </w:rPr>
        <w:t>43%</w:t>
      </w:r>
      <w:r>
        <w:rPr>
          <w:color w:val="404040"/>
          <w:spacing w:val="-3"/>
          <w:sz w:val="20"/>
        </w:rPr>
        <w:t> </w:t>
      </w:r>
      <w:r>
        <w:rPr>
          <w:color w:val="404040"/>
          <w:sz w:val="20"/>
        </w:rPr>
        <w:t>are</w:t>
      </w:r>
      <w:r>
        <w:rPr>
          <w:color w:val="404040"/>
          <w:spacing w:val="-1"/>
          <w:sz w:val="20"/>
        </w:rPr>
        <w:t> </w:t>
      </w:r>
      <w:r>
        <w:rPr>
          <w:color w:val="404040"/>
          <w:sz w:val="20"/>
        </w:rPr>
        <w:t>projected</w:t>
      </w:r>
      <w:r>
        <w:rPr>
          <w:color w:val="404040"/>
          <w:spacing w:val="-2"/>
          <w:sz w:val="20"/>
        </w:rPr>
        <w:t> </w:t>
      </w:r>
      <w:r>
        <w:rPr>
          <w:color w:val="404040"/>
          <w:sz w:val="20"/>
        </w:rPr>
        <w:t>to be out of the welfare system. In 10 years over 40% are projected to be in receipt of an income support payment. This recognises that this is a relatively disadvantaged</w:t>
      </w:r>
      <w:r>
        <w:rPr>
          <w:color w:val="404040"/>
          <w:spacing w:val="-9"/>
          <w:sz w:val="20"/>
        </w:rPr>
        <w:t> </w:t>
      </w:r>
      <w:r>
        <w:rPr>
          <w:color w:val="404040"/>
          <w:sz w:val="20"/>
        </w:rPr>
        <w:t>group.</w:t>
      </w:r>
    </w:p>
    <w:p>
      <w:pPr>
        <w:pStyle w:val="ListParagraph"/>
        <w:numPr>
          <w:ilvl w:val="0"/>
          <w:numId w:val="70"/>
        </w:numPr>
        <w:tabs>
          <w:tab w:pos="1183" w:val="left" w:leader="none"/>
        </w:tabs>
        <w:spacing w:line="240" w:lineRule="auto" w:before="119" w:after="0"/>
        <w:ind w:left="1182" w:right="1386" w:hanging="284"/>
        <w:jc w:val="left"/>
        <w:rPr>
          <w:sz w:val="20"/>
        </w:rPr>
      </w:pPr>
      <w:r>
        <w:rPr>
          <w:color w:val="404040"/>
          <w:sz w:val="20"/>
        </w:rPr>
        <w:t>For people aged 30 to 34, nearly everyone transitions into class 7 in the first projection year as expected from the class definitions. In the second year approximately 30% are projected to be out of the welfare system reflecting a population who does not continue to receive family related payments. The</w:t>
      </w:r>
      <w:r>
        <w:rPr>
          <w:color w:val="404040"/>
          <w:spacing w:val="-36"/>
          <w:sz w:val="20"/>
        </w:rPr>
        <w:t> </w:t>
      </w:r>
      <w:r>
        <w:rPr>
          <w:color w:val="404040"/>
          <w:sz w:val="20"/>
        </w:rPr>
        <w:t>trajectory</w:t>
      </w:r>
    </w:p>
    <w:p>
      <w:pPr>
        <w:spacing w:after="0" w:line="240" w:lineRule="auto"/>
        <w:jc w:val="left"/>
        <w:rPr>
          <w:sz w:val="20"/>
        </w:rPr>
        <w:sectPr>
          <w:type w:val="continuous"/>
          <w:pgSz w:w="11910" w:h="16850"/>
          <w:pgMar w:top="1600" w:bottom="280" w:left="120" w:right="0"/>
        </w:sectPr>
      </w:pPr>
    </w:p>
    <w:p>
      <w:pPr>
        <w:pStyle w:val="BodyText"/>
      </w:pPr>
    </w:p>
    <w:p>
      <w:pPr>
        <w:pStyle w:val="BodyText"/>
      </w:pPr>
    </w:p>
    <w:p>
      <w:pPr>
        <w:pStyle w:val="BodyText"/>
        <w:spacing w:before="7"/>
        <w:rPr>
          <w:sz w:val="21"/>
        </w:rPr>
      </w:pPr>
    </w:p>
    <w:p>
      <w:pPr>
        <w:pStyle w:val="BodyText"/>
        <w:spacing w:before="93"/>
        <w:ind w:left="1183" w:right="1226"/>
      </w:pPr>
      <w:r>
        <w:rPr>
          <w:color w:val="404040"/>
        </w:rPr>
        <w:t>after these first couple of years closely resembles that of current class 7 recipients although the expected duration on family payments is longer reflecting the younger age profile of this group. In five years, around 5% of people are projected to be in receipt of an income support payment, while approximately 50% are projected to be in class 7.</w:t>
      </w:r>
    </w:p>
    <w:p>
      <w:pPr>
        <w:pStyle w:val="ListParagraph"/>
        <w:numPr>
          <w:ilvl w:val="0"/>
          <w:numId w:val="70"/>
        </w:numPr>
        <w:tabs>
          <w:tab w:pos="1184" w:val="left" w:leader="none"/>
        </w:tabs>
        <w:spacing w:line="240" w:lineRule="auto" w:before="120" w:after="0"/>
        <w:ind w:left="1183" w:right="1030" w:hanging="284"/>
        <w:jc w:val="left"/>
        <w:rPr>
          <w:sz w:val="20"/>
        </w:rPr>
      </w:pPr>
      <w:r>
        <w:rPr>
          <w:color w:val="404040"/>
          <w:sz w:val="20"/>
        </w:rPr>
        <w:t>For people aged 70 to 74, relatively few of the surviving people are projected to leave the welfare system reflecting the grandfathering of energy supplement payments for the majority of this group. In five years, around 65% of the current class are projected to be in this class (having persisted for the entire period or exited and returned), while approximately around 13% are projected to be in receipt of the Age Pension, and around 22% are projected to be out of the welfare system (including</w:t>
      </w:r>
      <w:r>
        <w:rPr>
          <w:color w:val="404040"/>
          <w:spacing w:val="-2"/>
          <w:sz w:val="20"/>
        </w:rPr>
        <w:t> </w:t>
      </w:r>
      <w:r>
        <w:rPr>
          <w:color w:val="404040"/>
          <w:sz w:val="20"/>
        </w:rPr>
        <w:t>deaths).</w:t>
      </w:r>
    </w:p>
    <w:p>
      <w:pPr>
        <w:pStyle w:val="BodyText"/>
        <w:spacing w:before="9"/>
      </w:pPr>
    </w:p>
    <w:p>
      <w:pPr>
        <w:pStyle w:val="Heading6"/>
        <w:rPr>
          <w:i/>
        </w:rPr>
      </w:pPr>
      <w:r>
        <w:rPr>
          <w:i/>
          <w:color w:val="DF2F1E"/>
        </w:rPr>
        <w:t>Duration</w:t>
      </w:r>
    </w:p>
    <w:p>
      <w:pPr>
        <w:pStyle w:val="BodyText"/>
        <w:spacing w:line="242" w:lineRule="auto" w:before="118"/>
        <w:ind w:left="900" w:right="1056"/>
        <w:jc w:val="both"/>
      </w:pPr>
      <w:r>
        <w:rPr>
          <w:color w:val="404040"/>
        </w:rPr>
        <w:t>The average future life expectancy for the Non IS Other class is </w:t>
      </w:r>
      <w:r>
        <w:rPr>
          <w:b/>
          <w:color w:val="404040"/>
        </w:rPr>
        <w:t>36 </w:t>
      </w:r>
      <w:r>
        <w:rPr>
          <w:color w:val="404040"/>
        </w:rPr>
        <w:t>years. The table below provides a summary of the expected welfare system use of people currently in this class over this time. This has been developed by considering which classes people move into as they move through the welfare system over their lives.</w:t>
      </w:r>
    </w:p>
    <w:p>
      <w:pPr>
        <w:pStyle w:val="Heading9"/>
        <w:spacing w:before="173" w:after="44"/>
      </w:pPr>
      <w:r>
        <w:rPr>
          <w:color w:val="DF2F1E"/>
        </w:rPr>
        <w:t>Table 41: Average expected durations in welfare system for people currently in class 9</w:t>
      </w:r>
    </w:p>
    <w:tbl>
      <w:tblPr>
        <w:tblW w:w="0" w:type="auto"/>
        <w:jc w:val="left"/>
        <w:tblInd w:w="1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30"/>
        <w:gridCol w:w="1765"/>
        <w:gridCol w:w="2773"/>
      </w:tblGrid>
      <w:tr>
        <w:trPr>
          <w:trHeight w:val="283" w:hRule="atLeast"/>
        </w:trPr>
        <w:tc>
          <w:tcPr>
            <w:tcW w:w="4330" w:type="dxa"/>
            <w:shd w:val="clear" w:color="auto" w:fill="DF2F1E"/>
          </w:tcPr>
          <w:p>
            <w:pPr>
              <w:pStyle w:val="TableParagraph"/>
              <w:spacing w:before="0"/>
              <w:rPr>
                <w:rFonts w:ascii="Times New Roman"/>
                <w:sz w:val="18"/>
              </w:rPr>
            </w:pPr>
          </w:p>
        </w:tc>
        <w:tc>
          <w:tcPr>
            <w:tcW w:w="1765" w:type="dxa"/>
            <w:shd w:val="clear" w:color="auto" w:fill="DF2F1E"/>
          </w:tcPr>
          <w:p>
            <w:pPr>
              <w:pStyle w:val="TableParagraph"/>
              <w:spacing w:before="44"/>
              <w:ind w:left="149" w:right="383"/>
              <w:jc w:val="center"/>
              <w:rPr>
                <w:b/>
                <w:sz w:val="16"/>
              </w:rPr>
            </w:pPr>
            <w:r>
              <w:rPr>
                <w:b/>
                <w:color w:val="FFFFFF"/>
                <w:sz w:val="16"/>
              </w:rPr>
              <w:t>Expected Years</w:t>
            </w:r>
          </w:p>
        </w:tc>
        <w:tc>
          <w:tcPr>
            <w:tcW w:w="2773" w:type="dxa"/>
            <w:shd w:val="clear" w:color="auto" w:fill="DF2F1E"/>
          </w:tcPr>
          <w:p>
            <w:pPr>
              <w:pStyle w:val="TableParagraph"/>
              <w:spacing w:before="44"/>
              <w:ind w:left="394" w:right="124"/>
              <w:jc w:val="center"/>
              <w:rPr>
                <w:b/>
                <w:sz w:val="16"/>
              </w:rPr>
            </w:pPr>
            <w:r>
              <w:rPr>
                <w:b/>
                <w:color w:val="FFFFFF"/>
                <w:sz w:val="16"/>
              </w:rPr>
              <w:t>Proportion of Future Lifetime</w:t>
            </w:r>
          </w:p>
        </w:tc>
      </w:tr>
      <w:tr>
        <w:trPr>
          <w:trHeight w:val="261" w:hRule="atLeast"/>
        </w:trPr>
        <w:tc>
          <w:tcPr>
            <w:tcW w:w="4330" w:type="dxa"/>
            <w:tcBorders>
              <w:left w:val="single" w:sz="4" w:space="0" w:color="DF2F1E"/>
            </w:tcBorders>
          </w:tcPr>
          <w:p>
            <w:pPr>
              <w:pStyle w:val="TableParagraph"/>
              <w:spacing w:before="34"/>
              <w:ind w:left="107"/>
              <w:rPr>
                <w:b/>
                <w:sz w:val="16"/>
              </w:rPr>
            </w:pPr>
            <w:r>
              <w:rPr>
                <w:b/>
                <w:color w:val="404040"/>
                <w:sz w:val="16"/>
              </w:rPr>
              <w:t>Years with some income support payments:</w:t>
            </w:r>
          </w:p>
        </w:tc>
        <w:tc>
          <w:tcPr>
            <w:tcW w:w="1765" w:type="dxa"/>
          </w:tcPr>
          <w:p>
            <w:pPr>
              <w:pStyle w:val="TableParagraph"/>
              <w:spacing w:before="0"/>
              <w:rPr>
                <w:rFonts w:ascii="Times New Roman"/>
                <w:sz w:val="18"/>
              </w:rPr>
            </w:pPr>
          </w:p>
        </w:tc>
        <w:tc>
          <w:tcPr>
            <w:tcW w:w="2773" w:type="dxa"/>
            <w:tcBorders>
              <w:right w:val="single" w:sz="4" w:space="0" w:color="DF2F1E"/>
            </w:tcBorders>
          </w:tcPr>
          <w:p>
            <w:pPr>
              <w:pStyle w:val="TableParagraph"/>
              <w:spacing w:before="0"/>
              <w:rPr>
                <w:rFonts w:ascii="Times New Roman"/>
                <w:sz w:val="18"/>
              </w:rPr>
            </w:pPr>
          </w:p>
        </w:tc>
      </w:tr>
      <w:tr>
        <w:trPr>
          <w:trHeight w:val="265" w:hRule="atLeast"/>
        </w:trPr>
        <w:tc>
          <w:tcPr>
            <w:tcW w:w="4330" w:type="dxa"/>
            <w:tcBorders>
              <w:left w:val="single" w:sz="4" w:space="0" w:color="DF2F1E"/>
            </w:tcBorders>
          </w:tcPr>
          <w:p>
            <w:pPr>
              <w:pStyle w:val="TableParagraph"/>
              <w:tabs>
                <w:tab w:pos="513" w:val="left" w:leader="none"/>
              </w:tabs>
              <w:ind w:left="153"/>
              <w:rPr>
                <w:b/>
                <w:sz w:val="16"/>
              </w:rPr>
            </w:pPr>
            <w:r>
              <w:rPr>
                <w:color w:val="404040"/>
                <w:sz w:val="16"/>
              </w:rPr>
              <w:t>-</w:t>
              <w:tab/>
            </w:r>
            <w:r>
              <w:rPr>
                <w:b/>
                <w:color w:val="404040"/>
                <w:sz w:val="16"/>
              </w:rPr>
              <w:t>Not </w:t>
            </w:r>
            <w:r>
              <w:rPr>
                <w:b/>
                <w:color w:val="404040"/>
                <w:spacing w:val="-3"/>
                <w:sz w:val="16"/>
              </w:rPr>
              <w:t>Age </w:t>
            </w:r>
            <w:r>
              <w:rPr>
                <w:b/>
                <w:color w:val="404040"/>
                <w:sz w:val="16"/>
              </w:rPr>
              <w:t>Pension (classes</w:t>
            </w:r>
            <w:r>
              <w:rPr>
                <w:b/>
                <w:color w:val="404040"/>
                <w:spacing w:val="5"/>
                <w:sz w:val="16"/>
              </w:rPr>
              <w:t> </w:t>
            </w:r>
            <w:r>
              <w:rPr>
                <w:b/>
                <w:color w:val="404040"/>
                <w:sz w:val="16"/>
              </w:rPr>
              <w:t>1-5)</w:t>
            </w:r>
          </w:p>
        </w:tc>
        <w:tc>
          <w:tcPr>
            <w:tcW w:w="1765" w:type="dxa"/>
          </w:tcPr>
          <w:p>
            <w:pPr>
              <w:pStyle w:val="TableParagraph"/>
              <w:spacing w:before="40"/>
              <w:ind w:right="234"/>
              <w:jc w:val="center"/>
              <w:rPr>
                <w:sz w:val="16"/>
              </w:rPr>
            </w:pPr>
            <w:r>
              <w:rPr>
                <w:color w:val="404040"/>
                <w:w w:val="100"/>
                <w:sz w:val="16"/>
              </w:rPr>
              <w:t>3</w:t>
            </w:r>
          </w:p>
        </w:tc>
        <w:tc>
          <w:tcPr>
            <w:tcW w:w="2773" w:type="dxa"/>
            <w:tcBorders>
              <w:right w:val="single" w:sz="4" w:space="0" w:color="DF2F1E"/>
            </w:tcBorders>
          </w:tcPr>
          <w:p>
            <w:pPr>
              <w:pStyle w:val="TableParagraph"/>
              <w:spacing w:before="40"/>
              <w:ind w:left="1293" w:right="1020"/>
              <w:jc w:val="center"/>
              <w:rPr>
                <w:sz w:val="16"/>
              </w:rPr>
            </w:pPr>
            <w:r>
              <w:rPr>
                <w:color w:val="404040"/>
                <w:sz w:val="16"/>
              </w:rPr>
              <w:t>8%</w:t>
            </w:r>
          </w:p>
        </w:tc>
      </w:tr>
      <w:tr>
        <w:trPr>
          <w:trHeight w:val="265" w:hRule="atLeast"/>
        </w:trPr>
        <w:tc>
          <w:tcPr>
            <w:tcW w:w="4330" w:type="dxa"/>
            <w:tcBorders>
              <w:left w:val="single" w:sz="4" w:space="0" w:color="DF2F1E"/>
              <w:bottom w:val="single" w:sz="4" w:space="0" w:color="DF2F1E"/>
            </w:tcBorders>
          </w:tcPr>
          <w:p>
            <w:pPr>
              <w:pStyle w:val="TableParagraph"/>
              <w:tabs>
                <w:tab w:pos="513" w:val="left" w:leader="none"/>
              </w:tabs>
              <w:spacing w:before="36"/>
              <w:ind w:left="153"/>
              <w:rPr>
                <w:b/>
                <w:sz w:val="16"/>
              </w:rPr>
            </w:pPr>
            <w:r>
              <w:rPr>
                <w:color w:val="404040"/>
                <w:sz w:val="16"/>
              </w:rPr>
              <w:t>-</w:t>
              <w:tab/>
            </w:r>
            <w:r>
              <w:rPr>
                <w:b/>
                <w:color w:val="404040"/>
                <w:sz w:val="16"/>
              </w:rPr>
              <w:t>Age Pension (class</w:t>
            </w:r>
            <w:r>
              <w:rPr>
                <w:b/>
                <w:color w:val="404040"/>
                <w:spacing w:val="-3"/>
                <w:sz w:val="16"/>
              </w:rPr>
              <w:t> </w:t>
            </w:r>
            <w:r>
              <w:rPr>
                <w:b/>
                <w:color w:val="404040"/>
                <w:sz w:val="16"/>
              </w:rPr>
              <w:t>6)</w:t>
            </w:r>
          </w:p>
        </w:tc>
        <w:tc>
          <w:tcPr>
            <w:tcW w:w="1765" w:type="dxa"/>
            <w:tcBorders>
              <w:bottom w:val="single" w:sz="4" w:space="0" w:color="DF2F1E"/>
            </w:tcBorders>
          </w:tcPr>
          <w:p>
            <w:pPr>
              <w:pStyle w:val="TableParagraph"/>
              <w:spacing w:before="39"/>
              <w:ind w:right="234"/>
              <w:jc w:val="center"/>
              <w:rPr>
                <w:sz w:val="16"/>
              </w:rPr>
            </w:pPr>
            <w:r>
              <w:rPr>
                <w:color w:val="404040"/>
                <w:w w:val="100"/>
                <w:sz w:val="16"/>
              </w:rPr>
              <w:t>9</w:t>
            </w:r>
          </w:p>
        </w:tc>
        <w:tc>
          <w:tcPr>
            <w:tcW w:w="2773" w:type="dxa"/>
            <w:tcBorders>
              <w:bottom w:val="single" w:sz="4" w:space="0" w:color="DF2F1E"/>
              <w:right w:val="single" w:sz="4" w:space="0" w:color="DF2F1E"/>
            </w:tcBorders>
          </w:tcPr>
          <w:p>
            <w:pPr>
              <w:pStyle w:val="TableParagraph"/>
              <w:spacing w:before="39"/>
              <w:ind w:left="1293" w:right="1023"/>
              <w:jc w:val="center"/>
              <w:rPr>
                <w:sz w:val="16"/>
              </w:rPr>
            </w:pPr>
            <w:r>
              <w:rPr>
                <w:color w:val="404040"/>
                <w:sz w:val="16"/>
              </w:rPr>
              <w:t>24%</w:t>
            </w:r>
          </w:p>
        </w:tc>
      </w:tr>
      <w:tr>
        <w:trPr>
          <w:trHeight w:val="266" w:hRule="atLeast"/>
        </w:trPr>
        <w:tc>
          <w:tcPr>
            <w:tcW w:w="4330" w:type="dxa"/>
            <w:tcBorders>
              <w:top w:val="single" w:sz="4" w:space="0" w:color="DF2F1E"/>
              <w:left w:val="single" w:sz="4" w:space="0" w:color="DF2F1E"/>
              <w:bottom w:val="single" w:sz="4" w:space="0" w:color="DF2F1E"/>
            </w:tcBorders>
          </w:tcPr>
          <w:p>
            <w:pPr>
              <w:pStyle w:val="TableParagraph"/>
              <w:ind w:left="107"/>
              <w:rPr>
                <w:b/>
                <w:sz w:val="16"/>
              </w:rPr>
            </w:pPr>
            <w:r>
              <w:rPr>
                <w:b/>
                <w:color w:val="404040"/>
                <w:sz w:val="16"/>
              </w:rPr>
              <w:t>Years with non income support payments only</w:t>
            </w:r>
          </w:p>
        </w:tc>
        <w:tc>
          <w:tcPr>
            <w:tcW w:w="1765" w:type="dxa"/>
            <w:tcBorders>
              <w:top w:val="single" w:sz="4" w:space="0" w:color="DF2F1E"/>
              <w:bottom w:val="single" w:sz="4" w:space="0" w:color="DF2F1E"/>
            </w:tcBorders>
          </w:tcPr>
          <w:p>
            <w:pPr>
              <w:pStyle w:val="TableParagraph"/>
              <w:spacing w:before="39"/>
              <w:ind w:right="234"/>
              <w:jc w:val="center"/>
              <w:rPr>
                <w:sz w:val="16"/>
              </w:rPr>
            </w:pPr>
            <w:r>
              <w:rPr>
                <w:color w:val="404040"/>
                <w:w w:val="100"/>
                <w:sz w:val="16"/>
              </w:rPr>
              <w:t>8</w:t>
            </w:r>
          </w:p>
        </w:tc>
        <w:tc>
          <w:tcPr>
            <w:tcW w:w="2773" w:type="dxa"/>
            <w:tcBorders>
              <w:top w:val="single" w:sz="4" w:space="0" w:color="DF2F1E"/>
              <w:bottom w:val="single" w:sz="4" w:space="0" w:color="DF2F1E"/>
              <w:right w:val="single" w:sz="4" w:space="0" w:color="DF2F1E"/>
            </w:tcBorders>
          </w:tcPr>
          <w:p>
            <w:pPr>
              <w:pStyle w:val="TableParagraph"/>
              <w:spacing w:before="39"/>
              <w:ind w:left="1293" w:right="1023"/>
              <w:jc w:val="center"/>
              <w:rPr>
                <w:sz w:val="16"/>
              </w:rPr>
            </w:pPr>
            <w:r>
              <w:rPr>
                <w:color w:val="404040"/>
                <w:sz w:val="16"/>
              </w:rPr>
              <w:t>21%</w:t>
            </w:r>
          </w:p>
        </w:tc>
      </w:tr>
      <w:tr>
        <w:trPr>
          <w:trHeight w:val="263" w:hRule="atLeast"/>
        </w:trPr>
        <w:tc>
          <w:tcPr>
            <w:tcW w:w="4330" w:type="dxa"/>
            <w:tcBorders>
              <w:top w:val="single" w:sz="4" w:space="0" w:color="DF2F1E"/>
              <w:left w:val="single" w:sz="4" w:space="0" w:color="DF2F1E"/>
              <w:bottom w:val="single" w:sz="4" w:space="0" w:color="DF2F1E"/>
            </w:tcBorders>
          </w:tcPr>
          <w:p>
            <w:pPr>
              <w:pStyle w:val="TableParagraph"/>
              <w:spacing w:before="34"/>
              <w:ind w:left="107"/>
              <w:rPr>
                <w:b/>
                <w:sz w:val="16"/>
              </w:rPr>
            </w:pPr>
            <w:r>
              <w:rPr>
                <w:b/>
                <w:color w:val="404040"/>
                <w:sz w:val="16"/>
              </w:rPr>
              <w:t>Years not receiving any welfare payments</w:t>
            </w:r>
          </w:p>
        </w:tc>
        <w:tc>
          <w:tcPr>
            <w:tcW w:w="1765" w:type="dxa"/>
            <w:tcBorders>
              <w:top w:val="single" w:sz="4" w:space="0" w:color="DF2F1E"/>
              <w:bottom w:val="single" w:sz="4" w:space="0" w:color="DF2F1E"/>
            </w:tcBorders>
          </w:tcPr>
          <w:p>
            <w:pPr>
              <w:pStyle w:val="TableParagraph"/>
              <w:ind w:left="149" w:right="381"/>
              <w:jc w:val="center"/>
              <w:rPr>
                <w:sz w:val="16"/>
              </w:rPr>
            </w:pPr>
            <w:r>
              <w:rPr>
                <w:color w:val="404040"/>
                <w:sz w:val="16"/>
              </w:rPr>
              <w:t>17</w:t>
            </w:r>
          </w:p>
        </w:tc>
        <w:tc>
          <w:tcPr>
            <w:tcW w:w="2773" w:type="dxa"/>
            <w:tcBorders>
              <w:top w:val="single" w:sz="4" w:space="0" w:color="DF2F1E"/>
              <w:bottom w:val="single" w:sz="4" w:space="0" w:color="DF2F1E"/>
              <w:right w:val="single" w:sz="4" w:space="0" w:color="DF2F1E"/>
            </w:tcBorders>
          </w:tcPr>
          <w:p>
            <w:pPr>
              <w:pStyle w:val="TableParagraph"/>
              <w:ind w:left="1293" w:right="1023"/>
              <w:jc w:val="center"/>
              <w:rPr>
                <w:sz w:val="16"/>
              </w:rPr>
            </w:pPr>
            <w:r>
              <w:rPr>
                <w:color w:val="404040"/>
                <w:sz w:val="16"/>
              </w:rPr>
              <w:t>47%</w:t>
            </w:r>
          </w:p>
        </w:tc>
      </w:tr>
      <w:tr>
        <w:trPr>
          <w:trHeight w:val="263" w:hRule="atLeast"/>
        </w:trPr>
        <w:tc>
          <w:tcPr>
            <w:tcW w:w="4330" w:type="dxa"/>
            <w:tcBorders>
              <w:top w:val="single" w:sz="4" w:space="0" w:color="DF2F1E"/>
              <w:left w:val="single" w:sz="4" w:space="0" w:color="DF2F1E"/>
              <w:bottom w:val="single" w:sz="4" w:space="0" w:color="DF2F1E"/>
            </w:tcBorders>
          </w:tcPr>
          <w:p>
            <w:pPr>
              <w:pStyle w:val="TableParagraph"/>
              <w:spacing w:before="34"/>
              <w:ind w:left="107"/>
              <w:rPr>
                <w:b/>
                <w:sz w:val="16"/>
              </w:rPr>
            </w:pPr>
            <w:r>
              <w:rPr>
                <w:b/>
                <w:color w:val="404040"/>
                <w:sz w:val="16"/>
              </w:rPr>
              <w:t>Total</w:t>
            </w:r>
          </w:p>
        </w:tc>
        <w:tc>
          <w:tcPr>
            <w:tcW w:w="1765" w:type="dxa"/>
            <w:tcBorders>
              <w:top w:val="single" w:sz="4" w:space="0" w:color="DF2F1E"/>
              <w:bottom w:val="single" w:sz="4" w:space="0" w:color="DF2F1E"/>
            </w:tcBorders>
          </w:tcPr>
          <w:p>
            <w:pPr>
              <w:pStyle w:val="TableParagraph"/>
              <w:ind w:left="149" w:right="381"/>
              <w:jc w:val="center"/>
              <w:rPr>
                <w:sz w:val="16"/>
              </w:rPr>
            </w:pPr>
            <w:r>
              <w:rPr>
                <w:color w:val="404040"/>
                <w:sz w:val="16"/>
              </w:rPr>
              <w:t>36</w:t>
            </w:r>
          </w:p>
        </w:tc>
        <w:tc>
          <w:tcPr>
            <w:tcW w:w="2773" w:type="dxa"/>
            <w:tcBorders>
              <w:top w:val="single" w:sz="4" w:space="0" w:color="DF2F1E"/>
              <w:bottom w:val="single" w:sz="4" w:space="0" w:color="DF2F1E"/>
              <w:right w:val="single" w:sz="4" w:space="0" w:color="DF2F1E"/>
            </w:tcBorders>
          </w:tcPr>
          <w:p>
            <w:pPr>
              <w:pStyle w:val="TableParagraph"/>
              <w:ind w:left="1293" w:right="1025"/>
              <w:jc w:val="center"/>
              <w:rPr>
                <w:sz w:val="16"/>
              </w:rPr>
            </w:pPr>
            <w:r>
              <w:rPr>
                <w:color w:val="404040"/>
                <w:sz w:val="16"/>
              </w:rPr>
              <w:t>100%</w:t>
            </w:r>
          </w:p>
        </w:tc>
      </w:tr>
    </w:tbl>
    <w:p>
      <w:pPr>
        <w:spacing w:after="0"/>
        <w:jc w:val="center"/>
        <w:rPr>
          <w:sz w:val="16"/>
        </w:rPr>
        <w:sectPr>
          <w:pgSz w:w="11910" w:h="16850"/>
          <w:pgMar w:header="572" w:footer="581" w:top="780" w:bottom="780" w:left="120" w:right="0"/>
        </w:sectPr>
      </w:pPr>
    </w:p>
    <w:p>
      <w:pPr>
        <w:pStyle w:val="BodyText"/>
        <w:rPr>
          <w:b/>
        </w:rPr>
      </w:pPr>
    </w:p>
    <w:p>
      <w:pPr>
        <w:pStyle w:val="BodyText"/>
        <w:rPr>
          <w:b/>
        </w:rPr>
      </w:pPr>
    </w:p>
    <w:p>
      <w:pPr>
        <w:pStyle w:val="BodyText"/>
        <w:rPr>
          <w:b/>
          <w:sz w:val="22"/>
        </w:rPr>
      </w:pPr>
    </w:p>
    <w:p>
      <w:pPr>
        <w:pStyle w:val="ListParagraph"/>
        <w:numPr>
          <w:ilvl w:val="0"/>
          <w:numId w:val="76"/>
        </w:numPr>
        <w:tabs>
          <w:tab w:pos="1752" w:val="left" w:leader="none"/>
          <w:tab w:pos="1753" w:val="left" w:leader="none"/>
        </w:tabs>
        <w:spacing w:line="240" w:lineRule="auto" w:before="88" w:after="0"/>
        <w:ind w:left="1752" w:right="0" w:hanging="853"/>
        <w:jc w:val="left"/>
        <w:rPr>
          <w:sz w:val="40"/>
        </w:rPr>
      </w:pPr>
      <w:bookmarkStart w:name="8 Results for non-welfare recipients" w:id="214"/>
      <w:bookmarkEnd w:id="214"/>
      <w:r>
        <w:rPr/>
      </w:r>
      <w:bookmarkStart w:name="_bookmark52" w:id="215"/>
      <w:bookmarkEnd w:id="215"/>
      <w:r>
        <w:rPr/>
      </w:r>
      <w:bookmarkStart w:name="_bookmark52" w:id="216"/>
      <w:bookmarkEnd w:id="216"/>
      <w:r>
        <w:rPr>
          <w:color w:val="DF2F1E"/>
          <w:sz w:val="40"/>
        </w:rPr>
        <w:t>R</w:t>
      </w:r>
      <w:r>
        <w:rPr>
          <w:color w:val="DF2F1E"/>
          <w:sz w:val="40"/>
        </w:rPr>
        <w:t>esults for non-welfare</w:t>
      </w:r>
      <w:r>
        <w:rPr>
          <w:color w:val="DF2F1E"/>
          <w:spacing w:val="-2"/>
          <w:sz w:val="40"/>
        </w:rPr>
        <w:t> </w:t>
      </w:r>
      <w:r>
        <w:rPr>
          <w:color w:val="DF2F1E"/>
          <w:sz w:val="40"/>
        </w:rPr>
        <w:t>recipients</w:t>
      </w:r>
    </w:p>
    <w:p>
      <w:pPr>
        <w:pStyle w:val="BodyText"/>
        <w:spacing w:before="241"/>
        <w:ind w:left="900" w:right="1388"/>
      </w:pPr>
      <w:r>
        <w:rPr>
          <w:color w:val="404040"/>
        </w:rPr>
        <w:t>In this section, we continue to discuss the profile of the classes and the key considerations for setting the assumptions, and the class-level lifetime cost results. This section covers the non welfare recipient classes.</w:t>
      </w:r>
    </w:p>
    <w:p>
      <w:pPr>
        <w:pStyle w:val="BodyText"/>
        <w:spacing w:before="121"/>
        <w:ind w:left="899" w:right="1051"/>
      </w:pPr>
      <w:r>
        <w:rPr>
          <w:color w:val="404040"/>
        </w:rPr>
        <w:t>There are 17.1 million people in the model who are non-welfare recipients representing 68.2% of the total model population and capturing 56.9% of the lifetime cost. Despite currently not being in receipt of welfare, every person in the population has some chance of accessing welfare over the course of their life and therefore all Australians have a non-zero average lifetime cost. In this section we discuss the lifetime costs for people who are not current welfare recipients (i.e. those in classes 10 and 12).</w:t>
      </w:r>
    </w:p>
    <w:p>
      <w:pPr>
        <w:pStyle w:val="BodyText"/>
        <w:spacing w:before="7"/>
      </w:pPr>
    </w:p>
    <w:p>
      <w:pPr>
        <w:pStyle w:val="ListParagraph"/>
        <w:numPr>
          <w:ilvl w:val="1"/>
          <w:numId w:val="76"/>
        </w:numPr>
        <w:tabs>
          <w:tab w:pos="1752" w:val="left" w:leader="none"/>
          <w:tab w:pos="1753" w:val="left" w:leader="none"/>
        </w:tabs>
        <w:spacing w:line="240" w:lineRule="auto" w:before="0" w:after="0"/>
        <w:ind w:left="1752" w:right="0" w:hanging="853"/>
        <w:jc w:val="left"/>
        <w:rPr>
          <w:sz w:val="28"/>
        </w:rPr>
      </w:pPr>
      <w:r>
        <w:rPr/>
        <w:pict>
          <v:shape style="position:absolute;margin-left:51pt;margin-top:22.251848pt;width:493.35pt;height:228.75pt;mso-position-horizontal-relative:page;mso-position-vertical-relative:paragraph;z-index:-250583040;mso-wrap-distance-left:0;mso-wrap-distance-right:0" type="#_x0000_t202" filled="true" fillcolor="#f3aba3" stroked="false">
            <v:textbox inset="0,0,0,0">
              <w:txbxContent>
                <w:p>
                  <w:pPr>
                    <w:spacing w:before="117"/>
                    <w:ind w:left="107" w:right="0" w:firstLine="0"/>
                    <w:jc w:val="left"/>
                    <w:rPr>
                      <w:b/>
                      <w:sz w:val="20"/>
                    </w:rPr>
                  </w:pPr>
                  <w:r>
                    <w:rPr>
                      <w:b/>
                      <w:color w:val="404040"/>
                      <w:sz w:val="20"/>
                    </w:rPr>
                    <w:t>Key points</w:t>
                  </w:r>
                </w:p>
                <w:p>
                  <w:pPr>
                    <w:pStyle w:val="BodyText"/>
                    <w:spacing w:before="123"/>
                    <w:ind w:left="107" w:right="123"/>
                  </w:pPr>
                  <w:r>
                    <w:rPr>
                      <w:color w:val="404040"/>
                    </w:rPr>
                    <w:t>There were 4,816,000 people (or 19% of the Australian population) in the previous welfare recipients class at 30 June 2018 i.e. they have received welfare since the data started in July 2001, but are not currently receiving welfare. A third of the people in this class recently left the welfare system (within the last one to three years).</w:t>
                  </w:r>
                </w:p>
                <w:p>
                  <w:pPr>
                    <w:pStyle w:val="BodyText"/>
                    <w:numPr>
                      <w:ilvl w:val="0"/>
                      <w:numId w:val="77"/>
                    </w:numPr>
                    <w:tabs>
                      <w:tab w:pos="392" w:val="left" w:leader="none"/>
                    </w:tabs>
                    <w:spacing w:line="240" w:lineRule="auto" w:before="118" w:after="0"/>
                    <w:ind w:left="391" w:right="290" w:hanging="284"/>
                    <w:jc w:val="left"/>
                  </w:pPr>
                  <w:r>
                    <w:rPr>
                      <w:color w:val="404040"/>
                    </w:rPr>
                    <w:t>Most of the previous welfare recipients were using Working Age or non income support family payments prior</w:t>
                  </w:r>
                  <w:r>
                    <w:rPr>
                      <w:color w:val="404040"/>
                      <w:spacing w:val="-3"/>
                    </w:rPr>
                    <w:t> </w:t>
                  </w:r>
                  <w:r>
                    <w:rPr>
                      <w:color w:val="404040"/>
                    </w:rPr>
                    <w:t>to</w:t>
                  </w:r>
                  <w:r>
                    <w:rPr>
                      <w:color w:val="404040"/>
                      <w:spacing w:val="-2"/>
                    </w:rPr>
                    <w:t> </w:t>
                  </w:r>
                  <w:r>
                    <w:rPr>
                      <w:color w:val="404040"/>
                    </w:rPr>
                    <w:t>exiting.</w:t>
                  </w:r>
                  <w:r>
                    <w:rPr>
                      <w:color w:val="404040"/>
                      <w:spacing w:val="-4"/>
                    </w:rPr>
                    <w:t> </w:t>
                  </w:r>
                  <w:r>
                    <w:rPr>
                      <w:color w:val="404040"/>
                    </w:rPr>
                    <w:t>The</w:t>
                  </w:r>
                  <w:r>
                    <w:rPr>
                      <w:color w:val="404040"/>
                      <w:spacing w:val="-3"/>
                    </w:rPr>
                    <w:t> </w:t>
                  </w:r>
                  <w:r>
                    <w:rPr>
                      <w:color w:val="404040"/>
                    </w:rPr>
                    <w:t>number</w:t>
                  </w:r>
                  <w:r>
                    <w:rPr>
                      <w:color w:val="404040"/>
                      <w:spacing w:val="-3"/>
                    </w:rPr>
                    <w:t> </w:t>
                  </w:r>
                  <w:r>
                    <w:rPr>
                      <w:color w:val="404040"/>
                    </w:rPr>
                    <w:t>of</w:t>
                  </w:r>
                  <w:r>
                    <w:rPr>
                      <w:color w:val="404040"/>
                      <w:spacing w:val="-2"/>
                    </w:rPr>
                    <w:t> </w:t>
                  </w:r>
                  <w:r>
                    <w:rPr>
                      <w:color w:val="404040"/>
                    </w:rPr>
                    <w:t>people</w:t>
                  </w:r>
                  <w:r>
                    <w:rPr>
                      <w:color w:val="404040"/>
                      <w:spacing w:val="-1"/>
                    </w:rPr>
                    <w:t> </w:t>
                  </w:r>
                  <w:r>
                    <w:rPr>
                      <w:color w:val="404040"/>
                    </w:rPr>
                    <w:t>leaving</w:t>
                  </w:r>
                  <w:r>
                    <w:rPr>
                      <w:color w:val="404040"/>
                      <w:spacing w:val="-2"/>
                    </w:rPr>
                    <w:t> </w:t>
                  </w:r>
                  <w:r>
                    <w:rPr>
                      <w:color w:val="404040"/>
                    </w:rPr>
                    <w:t>the</w:t>
                  </w:r>
                  <w:r>
                    <w:rPr>
                      <w:color w:val="404040"/>
                      <w:spacing w:val="-4"/>
                    </w:rPr>
                    <w:t> </w:t>
                  </w:r>
                  <w:r>
                    <w:rPr>
                      <w:color w:val="404040"/>
                    </w:rPr>
                    <w:t>system</w:t>
                  </w:r>
                  <w:r>
                    <w:rPr>
                      <w:color w:val="404040"/>
                      <w:spacing w:val="1"/>
                    </w:rPr>
                    <w:t> </w:t>
                  </w:r>
                  <w:r>
                    <w:rPr>
                      <w:color w:val="404040"/>
                    </w:rPr>
                    <w:t>has</w:t>
                  </w:r>
                  <w:r>
                    <w:rPr>
                      <w:color w:val="404040"/>
                      <w:spacing w:val="-2"/>
                    </w:rPr>
                    <w:t> </w:t>
                  </w:r>
                  <w:r>
                    <w:rPr>
                      <w:color w:val="404040"/>
                    </w:rPr>
                    <w:t>been</w:t>
                  </w:r>
                  <w:r>
                    <w:rPr>
                      <w:color w:val="404040"/>
                      <w:spacing w:val="-4"/>
                    </w:rPr>
                    <w:t> </w:t>
                  </w:r>
                  <w:r>
                    <w:rPr>
                      <w:color w:val="404040"/>
                    </w:rPr>
                    <w:t>increasing</w:t>
                  </w:r>
                  <w:r>
                    <w:rPr>
                      <w:color w:val="404040"/>
                      <w:spacing w:val="-4"/>
                    </w:rPr>
                    <w:t> </w:t>
                  </w:r>
                  <w:r>
                    <w:rPr>
                      <w:color w:val="404040"/>
                    </w:rPr>
                    <w:t>over</w:t>
                  </w:r>
                  <w:r>
                    <w:rPr>
                      <w:color w:val="404040"/>
                      <w:spacing w:val="-3"/>
                    </w:rPr>
                    <w:t> </w:t>
                  </w:r>
                  <w:r>
                    <w:rPr>
                      <w:color w:val="404040"/>
                    </w:rPr>
                    <w:t>the</w:t>
                  </w:r>
                  <w:r>
                    <w:rPr>
                      <w:color w:val="404040"/>
                      <w:spacing w:val="-3"/>
                    </w:rPr>
                    <w:t> </w:t>
                  </w:r>
                  <w:r>
                    <w:rPr>
                      <w:color w:val="404040"/>
                    </w:rPr>
                    <w:t>last</w:t>
                  </w:r>
                  <w:r>
                    <w:rPr>
                      <w:color w:val="404040"/>
                      <w:spacing w:val="-4"/>
                    </w:rPr>
                    <w:t> </w:t>
                  </w:r>
                  <w:r>
                    <w:rPr>
                      <w:color w:val="404040"/>
                    </w:rPr>
                    <w:t>three years.</w:t>
                  </w:r>
                </w:p>
                <w:p>
                  <w:pPr>
                    <w:pStyle w:val="BodyText"/>
                    <w:numPr>
                      <w:ilvl w:val="0"/>
                      <w:numId w:val="77"/>
                    </w:numPr>
                    <w:tabs>
                      <w:tab w:pos="392" w:val="left" w:leader="none"/>
                    </w:tabs>
                    <w:spacing w:line="240" w:lineRule="auto" w:before="120" w:after="0"/>
                    <w:ind w:left="391" w:right="154" w:hanging="284"/>
                    <w:jc w:val="left"/>
                  </w:pPr>
                  <w:r>
                    <w:rPr>
                      <w:color w:val="404040"/>
                    </w:rPr>
                    <w:t>The number of people re-entering the welfare system each year has been relatively stable (approximately 300,000 people per year) with most people re-entering onto Working Age or family payments. A slight decrease in this level was seen in the most recent year. This is despite the growth of this</w:t>
                  </w:r>
                  <w:r>
                    <w:rPr>
                      <w:color w:val="404040"/>
                      <w:spacing w:val="-22"/>
                    </w:rPr>
                    <w:t> </w:t>
                  </w:r>
                  <w:r>
                    <w:rPr>
                      <w:color w:val="404040"/>
                    </w:rPr>
                    <w:t>class.</w:t>
                  </w:r>
                </w:p>
                <w:p>
                  <w:pPr>
                    <w:pStyle w:val="BodyText"/>
                    <w:numPr>
                      <w:ilvl w:val="0"/>
                      <w:numId w:val="77"/>
                    </w:numPr>
                    <w:tabs>
                      <w:tab w:pos="392" w:val="left" w:leader="none"/>
                    </w:tabs>
                    <w:spacing w:line="240" w:lineRule="auto" w:before="118" w:after="0"/>
                    <w:ind w:left="391" w:right="271" w:hanging="284"/>
                    <w:jc w:val="left"/>
                  </w:pPr>
                  <w:r>
                    <w:rPr>
                      <w:color w:val="404040"/>
                    </w:rPr>
                    <w:t>People</w:t>
                  </w:r>
                  <w:r>
                    <w:rPr>
                      <w:color w:val="404040"/>
                      <w:spacing w:val="-1"/>
                    </w:rPr>
                    <w:t> </w:t>
                  </w:r>
                  <w:r>
                    <w:rPr>
                      <w:color w:val="404040"/>
                    </w:rPr>
                    <w:t>whose</w:t>
                  </w:r>
                  <w:r>
                    <w:rPr>
                      <w:color w:val="404040"/>
                      <w:spacing w:val="-3"/>
                    </w:rPr>
                    <w:t> </w:t>
                  </w:r>
                  <w:r>
                    <w:rPr>
                      <w:color w:val="404040"/>
                    </w:rPr>
                    <w:t>parents</w:t>
                  </w:r>
                  <w:r>
                    <w:rPr>
                      <w:color w:val="404040"/>
                      <w:spacing w:val="-2"/>
                    </w:rPr>
                    <w:t> </w:t>
                  </w:r>
                  <w:r>
                    <w:rPr>
                      <w:color w:val="404040"/>
                    </w:rPr>
                    <w:t>have</w:t>
                  </w:r>
                  <w:r>
                    <w:rPr>
                      <w:color w:val="404040"/>
                      <w:spacing w:val="-3"/>
                    </w:rPr>
                    <w:t> </w:t>
                  </w:r>
                  <w:r>
                    <w:rPr>
                      <w:color w:val="404040"/>
                    </w:rPr>
                    <w:t>a</w:t>
                  </w:r>
                  <w:r>
                    <w:rPr>
                      <w:color w:val="404040"/>
                      <w:spacing w:val="-2"/>
                    </w:rPr>
                    <w:t> </w:t>
                  </w:r>
                  <w:r>
                    <w:rPr>
                      <w:color w:val="404040"/>
                    </w:rPr>
                    <w:t>more</w:t>
                  </w:r>
                  <w:r>
                    <w:rPr>
                      <w:color w:val="404040"/>
                      <w:spacing w:val="-3"/>
                    </w:rPr>
                    <w:t> </w:t>
                  </w:r>
                  <w:r>
                    <w:rPr>
                      <w:color w:val="404040"/>
                    </w:rPr>
                    <w:t>intensive</w:t>
                  </w:r>
                  <w:r>
                    <w:rPr>
                      <w:color w:val="404040"/>
                      <w:spacing w:val="-3"/>
                    </w:rPr>
                    <w:t> </w:t>
                  </w:r>
                  <w:r>
                    <w:rPr>
                      <w:color w:val="404040"/>
                    </w:rPr>
                    <w:t>history</w:t>
                  </w:r>
                  <w:r>
                    <w:rPr>
                      <w:color w:val="404040"/>
                      <w:spacing w:val="-5"/>
                    </w:rPr>
                    <w:t> </w:t>
                  </w:r>
                  <w:r>
                    <w:rPr>
                      <w:color w:val="404040"/>
                    </w:rPr>
                    <w:t>of</w:t>
                  </w:r>
                  <w:r>
                    <w:rPr>
                      <w:color w:val="404040"/>
                      <w:spacing w:val="-1"/>
                    </w:rPr>
                    <w:t> </w:t>
                  </w:r>
                  <w:r>
                    <w:rPr>
                      <w:color w:val="404040"/>
                    </w:rPr>
                    <w:t>welfare</w:t>
                  </w:r>
                  <w:r>
                    <w:rPr>
                      <w:color w:val="404040"/>
                      <w:spacing w:val="-3"/>
                    </w:rPr>
                    <w:t> </w:t>
                  </w:r>
                  <w:r>
                    <w:rPr>
                      <w:color w:val="404040"/>
                    </w:rPr>
                    <w:t>use</w:t>
                  </w:r>
                  <w:r>
                    <w:rPr>
                      <w:color w:val="404040"/>
                      <w:spacing w:val="-1"/>
                    </w:rPr>
                    <w:t> </w:t>
                  </w:r>
                  <w:r>
                    <w:rPr>
                      <w:color w:val="404040"/>
                    </w:rPr>
                    <w:t>tend</w:t>
                  </w:r>
                  <w:r>
                    <w:rPr>
                      <w:color w:val="404040"/>
                      <w:spacing w:val="-2"/>
                    </w:rPr>
                    <w:t> </w:t>
                  </w:r>
                  <w:r>
                    <w:rPr>
                      <w:color w:val="404040"/>
                    </w:rPr>
                    <w:t>to</w:t>
                  </w:r>
                  <w:r>
                    <w:rPr>
                      <w:color w:val="404040"/>
                      <w:spacing w:val="-3"/>
                    </w:rPr>
                    <w:t> </w:t>
                  </w:r>
                  <w:r>
                    <w:rPr>
                      <w:color w:val="404040"/>
                    </w:rPr>
                    <w:t>be</w:t>
                  </w:r>
                  <w:r>
                    <w:rPr>
                      <w:color w:val="404040"/>
                      <w:spacing w:val="-1"/>
                    </w:rPr>
                    <w:t> </w:t>
                  </w:r>
                  <w:r>
                    <w:rPr>
                      <w:color w:val="404040"/>
                    </w:rPr>
                    <w:t>more</w:t>
                  </w:r>
                  <w:r>
                    <w:rPr>
                      <w:color w:val="404040"/>
                      <w:spacing w:val="-3"/>
                    </w:rPr>
                    <w:t> </w:t>
                  </w:r>
                  <w:r>
                    <w:rPr>
                      <w:color w:val="404040"/>
                    </w:rPr>
                    <w:t>likely</w:t>
                  </w:r>
                  <w:r>
                    <w:rPr>
                      <w:color w:val="404040"/>
                      <w:spacing w:val="-3"/>
                    </w:rPr>
                    <w:t> </w:t>
                  </w:r>
                  <w:r>
                    <w:rPr>
                      <w:color w:val="404040"/>
                    </w:rPr>
                    <w:t>to</w:t>
                  </w:r>
                  <w:r>
                    <w:rPr>
                      <w:color w:val="404040"/>
                      <w:spacing w:val="-3"/>
                    </w:rPr>
                    <w:t> </w:t>
                  </w:r>
                  <w:r>
                    <w:rPr>
                      <w:color w:val="404040"/>
                    </w:rPr>
                    <w:t>re-enter</w:t>
                  </w:r>
                  <w:r>
                    <w:rPr>
                      <w:color w:val="404040"/>
                      <w:spacing w:val="-2"/>
                    </w:rPr>
                    <w:t> </w:t>
                  </w:r>
                  <w:r>
                    <w:rPr>
                      <w:color w:val="404040"/>
                    </w:rPr>
                    <w:t>the welfare system again after</w:t>
                  </w:r>
                  <w:r>
                    <w:rPr>
                      <w:color w:val="404040"/>
                      <w:spacing w:val="3"/>
                    </w:rPr>
                    <w:t> </w:t>
                  </w:r>
                  <w:r>
                    <w:rPr>
                      <w:color w:val="404040"/>
                    </w:rPr>
                    <w:t>exiting.</w:t>
                  </w:r>
                </w:p>
                <w:p>
                  <w:pPr>
                    <w:pStyle w:val="BodyText"/>
                    <w:numPr>
                      <w:ilvl w:val="0"/>
                      <w:numId w:val="77"/>
                    </w:numPr>
                    <w:tabs>
                      <w:tab w:pos="392" w:val="left" w:leader="none"/>
                    </w:tabs>
                    <w:spacing w:line="240" w:lineRule="auto" w:before="118" w:after="0"/>
                    <w:ind w:left="391" w:right="283" w:hanging="284"/>
                    <w:jc w:val="left"/>
                  </w:pPr>
                  <w:r>
                    <w:rPr>
                      <w:color w:val="404040"/>
                    </w:rPr>
                    <w:t>The lifetime cost for this class is $900bn, which is $90bn below the rebased 2017 lifetime cost. The reduction is driven by decreased assumed for future payment utilisation in light of recent decreases in both</w:t>
                  </w:r>
                  <w:r>
                    <w:rPr>
                      <w:color w:val="404040"/>
                      <w:spacing w:val="-2"/>
                    </w:rPr>
                    <w:t> </w:t>
                  </w:r>
                  <w:r>
                    <w:rPr>
                      <w:color w:val="404040"/>
                    </w:rPr>
                    <w:t>entries</w:t>
                  </w:r>
                  <w:r>
                    <w:rPr>
                      <w:color w:val="404040"/>
                      <w:spacing w:val="-3"/>
                    </w:rPr>
                    <w:t> </w:t>
                  </w:r>
                  <w:r>
                    <w:rPr>
                      <w:color w:val="404040"/>
                    </w:rPr>
                    <w:t>into</w:t>
                  </w:r>
                  <w:r>
                    <w:rPr>
                      <w:color w:val="404040"/>
                      <w:spacing w:val="-2"/>
                    </w:rPr>
                    <w:t> </w:t>
                  </w:r>
                  <w:r>
                    <w:rPr>
                      <w:color w:val="404040"/>
                    </w:rPr>
                    <w:t>income</w:t>
                  </w:r>
                  <w:r>
                    <w:rPr>
                      <w:color w:val="404040"/>
                      <w:spacing w:val="-4"/>
                    </w:rPr>
                    <w:t> </w:t>
                  </w:r>
                  <w:r>
                    <w:rPr>
                      <w:color w:val="404040"/>
                    </w:rPr>
                    <w:t>support</w:t>
                  </w:r>
                  <w:r>
                    <w:rPr>
                      <w:color w:val="404040"/>
                      <w:spacing w:val="-4"/>
                    </w:rPr>
                    <w:t> </w:t>
                  </w:r>
                  <w:r>
                    <w:rPr>
                      <w:color w:val="404040"/>
                    </w:rPr>
                    <w:t>and</w:t>
                  </w:r>
                  <w:r>
                    <w:rPr>
                      <w:color w:val="404040"/>
                      <w:spacing w:val="-1"/>
                    </w:rPr>
                    <w:t> </w:t>
                  </w:r>
                  <w:r>
                    <w:rPr>
                      <w:color w:val="404040"/>
                    </w:rPr>
                    <w:t>persistency</w:t>
                  </w:r>
                  <w:r>
                    <w:rPr>
                      <w:color w:val="404040"/>
                      <w:spacing w:val="-7"/>
                    </w:rPr>
                    <w:t> </w:t>
                  </w:r>
                  <w:r>
                    <w:rPr>
                      <w:color w:val="404040"/>
                    </w:rPr>
                    <w:t>on</w:t>
                  </w:r>
                  <w:r>
                    <w:rPr>
                      <w:color w:val="404040"/>
                      <w:spacing w:val="-4"/>
                    </w:rPr>
                    <w:t> </w:t>
                  </w:r>
                  <w:r>
                    <w:rPr>
                      <w:color w:val="404040"/>
                    </w:rPr>
                    <w:t>payments</w:t>
                  </w:r>
                  <w:r>
                    <w:rPr>
                      <w:color w:val="404040"/>
                      <w:spacing w:val="-3"/>
                    </w:rPr>
                    <w:t> </w:t>
                  </w:r>
                  <w:r>
                    <w:rPr>
                      <w:color w:val="404040"/>
                    </w:rPr>
                    <w:t>once</w:t>
                  </w:r>
                  <w:r>
                    <w:rPr>
                      <w:color w:val="404040"/>
                      <w:spacing w:val="-1"/>
                    </w:rPr>
                    <w:t> </w:t>
                  </w:r>
                  <w:r>
                    <w:rPr>
                      <w:color w:val="404040"/>
                    </w:rPr>
                    <w:t>in</w:t>
                  </w:r>
                  <w:r>
                    <w:rPr>
                      <w:color w:val="404040"/>
                      <w:spacing w:val="-4"/>
                    </w:rPr>
                    <w:t> </w:t>
                  </w:r>
                  <w:r>
                    <w:rPr>
                      <w:color w:val="404040"/>
                    </w:rPr>
                    <w:t>receipt</w:t>
                  </w:r>
                  <w:r>
                    <w:rPr>
                      <w:color w:val="404040"/>
                      <w:spacing w:val="-2"/>
                    </w:rPr>
                    <w:t> </w:t>
                  </w:r>
                  <w:r>
                    <w:rPr>
                      <w:color w:val="404040"/>
                    </w:rPr>
                    <w:t>of</w:t>
                  </w:r>
                  <w:r>
                    <w:rPr>
                      <w:color w:val="404040"/>
                      <w:spacing w:val="-2"/>
                    </w:rPr>
                    <w:t> </w:t>
                  </w:r>
                  <w:r>
                    <w:rPr>
                      <w:color w:val="404040"/>
                    </w:rPr>
                    <w:t>income</w:t>
                  </w:r>
                  <w:r>
                    <w:rPr>
                      <w:color w:val="404040"/>
                      <w:spacing w:val="-4"/>
                    </w:rPr>
                    <w:t> </w:t>
                  </w:r>
                  <w:r>
                    <w:rPr>
                      <w:color w:val="404040"/>
                    </w:rPr>
                    <w:t>support.</w:t>
                  </w:r>
                  <w:r>
                    <w:rPr>
                      <w:color w:val="404040"/>
                      <w:spacing w:val="-3"/>
                    </w:rPr>
                    <w:t> </w:t>
                  </w:r>
                  <w:r>
                    <w:rPr>
                      <w:color w:val="404040"/>
                    </w:rPr>
                    <w:t>This</w:t>
                  </w:r>
                  <w:r>
                    <w:rPr>
                      <w:color w:val="404040"/>
                      <w:spacing w:val="-3"/>
                    </w:rPr>
                    <w:t> </w:t>
                  </w:r>
                  <w:r>
                    <w:rPr>
                      <w:color w:val="404040"/>
                    </w:rPr>
                    <w:t>is partially offset by an increase in the number of people in the</w:t>
                  </w:r>
                  <w:r>
                    <w:rPr>
                      <w:color w:val="404040"/>
                      <w:spacing w:val="-11"/>
                    </w:rPr>
                    <w:t> </w:t>
                  </w:r>
                  <w:r>
                    <w:rPr>
                      <w:color w:val="404040"/>
                    </w:rPr>
                    <w:t>class.</w:t>
                  </w:r>
                </w:p>
              </w:txbxContent>
            </v:textbox>
            <v:fill type="solid"/>
            <w10:wrap type="topAndBottom"/>
          </v:shape>
        </w:pict>
      </w:r>
      <w:bookmarkStart w:name="8.1 Previous welfare recipients" w:id="217"/>
      <w:bookmarkEnd w:id="217"/>
      <w:r>
        <w:rPr/>
      </w:r>
      <w:bookmarkStart w:name="_bookmark53" w:id="218"/>
      <w:bookmarkEnd w:id="218"/>
      <w:r>
        <w:rPr/>
      </w:r>
      <w:bookmarkStart w:name="_bookmark53" w:id="219"/>
      <w:bookmarkEnd w:id="219"/>
      <w:r>
        <w:rPr>
          <w:color w:val="DF2F28"/>
          <w:sz w:val="28"/>
        </w:rPr>
        <w:t>P</w:t>
      </w:r>
      <w:r>
        <w:rPr>
          <w:color w:val="DF2F28"/>
          <w:sz w:val="28"/>
        </w:rPr>
        <w:t>revious welfare</w:t>
      </w:r>
      <w:r>
        <w:rPr>
          <w:color w:val="DF2F28"/>
          <w:spacing w:val="2"/>
          <w:sz w:val="28"/>
        </w:rPr>
        <w:t> </w:t>
      </w:r>
      <w:r>
        <w:rPr>
          <w:color w:val="DF2F28"/>
          <w:sz w:val="28"/>
        </w:rPr>
        <w:t>recipients</w:t>
      </w:r>
    </w:p>
    <w:p>
      <w:pPr>
        <w:pStyle w:val="BodyText"/>
        <w:spacing w:before="4"/>
        <w:rPr>
          <w:sz w:val="11"/>
        </w:rPr>
      </w:pPr>
    </w:p>
    <w:p>
      <w:pPr>
        <w:pStyle w:val="Heading4"/>
        <w:spacing w:before="92"/>
      </w:pPr>
      <w:bookmarkStart w:name="Recent and projected trends for previous" w:id="220"/>
      <w:bookmarkEnd w:id="220"/>
      <w:r>
        <w:rPr/>
      </w:r>
      <w:r>
        <w:rPr>
          <w:color w:val="DF2F28"/>
        </w:rPr>
        <w:t>Recent and projected trends for previous welfare recipients</w:t>
      </w:r>
    </w:p>
    <w:p>
      <w:pPr>
        <w:pStyle w:val="BodyText"/>
        <w:spacing w:before="122"/>
        <w:ind w:left="900" w:right="1075" w:hanging="1"/>
      </w:pPr>
      <w:r>
        <w:rPr>
          <w:color w:val="404040"/>
        </w:rPr>
        <w:t>There were 4,816,000 people in the previous welfare recipients class in the 2018 model population. This represents 19.2% of the population of Australia which is an increase from 18.2% at the previous valuation. Part of this increase is expected, reflecting the increasing length of time captured within the welfare dataset.</w:t>
      </w:r>
    </w:p>
    <w:p>
      <w:pPr>
        <w:pStyle w:val="BodyText"/>
        <w:spacing w:before="119"/>
        <w:ind w:left="900" w:right="1064"/>
      </w:pPr>
      <w:r>
        <w:rPr>
          <w:color w:val="404040"/>
        </w:rPr>
        <w:t>The following chart shows a breakdown of the number of people in the previous welfare recipients class by age and gender.</w:t>
      </w:r>
    </w:p>
    <w:p>
      <w:pPr>
        <w:spacing w:after="0"/>
        <w:sectPr>
          <w:headerReference w:type="default" r:id="rId213"/>
          <w:footerReference w:type="default" r:id="rId214"/>
          <w:pgSz w:w="11910" w:h="16850"/>
          <w:pgMar w:header="572" w:footer="581" w:top="780" w:bottom="780" w:left="120" w:right="0"/>
          <w:pgNumType w:start="139"/>
        </w:sectPr>
      </w:pPr>
    </w:p>
    <w:p>
      <w:pPr>
        <w:pStyle w:val="BodyText"/>
      </w:pPr>
    </w:p>
    <w:p>
      <w:pPr>
        <w:pStyle w:val="BodyText"/>
      </w:pPr>
    </w:p>
    <w:p>
      <w:pPr>
        <w:pStyle w:val="BodyText"/>
        <w:spacing w:before="5"/>
        <w:rPr>
          <w:sz w:val="21"/>
        </w:rPr>
      </w:pPr>
    </w:p>
    <w:p>
      <w:pPr>
        <w:pStyle w:val="Heading9"/>
      </w:pPr>
      <w:r>
        <w:rPr>
          <w:color w:val="DF2F1E"/>
        </w:rPr>
        <w:t>Figure 97: 2018 profile of people in class 10 – previous welfare recipients (age / gender)</w:t>
      </w:r>
    </w:p>
    <w:p>
      <w:pPr>
        <w:pStyle w:val="BodyText"/>
        <w:spacing w:before="11"/>
        <w:rPr>
          <w:b/>
          <w:sz w:val="11"/>
        </w:rPr>
      </w:pPr>
    </w:p>
    <w:p>
      <w:pPr>
        <w:tabs>
          <w:tab w:pos="4050" w:val="left" w:leader="none"/>
        </w:tabs>
        <w:spacing w:before="72"/>
        <w:ind w:left="3528" w:right="0" w:firstLine="0"/>
        <w:jc w:val="left"/>
        <w:rPr>
          <w:rFonts w:ascii="Calibri"/>
          <w:sz w:val="14"/>
        </w:rPr>
      </w:pPr>
      <w:r>
        <w:rPr/>
        <w:pict>
          <v:group style="position:absolute;margin-left:176.65921pt;margin-top:5.95883pt;width:4.350pt;height:4.350pt;mso-position-horizontal-relative:page;mso-position-vertical-relative:paragraph;z-index:252735488" coordorigin="3533,119" coordsize="87,87">
            <v:rect style="position:absolute;left:3538;top:124;width:76;height:76" filled="true" fillcolor="#94b3d6" stroked="false">
              <v:fill type="solid"/>
            </v:rect>
            <v:rect style="position:absolute;left:3538;top:124;width:76;height:76" filled="false" stroked="true" strokeweight=".538321pt" strokecolor="#94b3d6">
              <v:stroke dashstyle="solid"/>
            </v:rect>
            <w10:wrap type="none"/>
          </v:group>
        </w:pict>
      </w:r>
      <w:r>
        <w:rPr/>
        <w:pict>
          <v:group style="position:absolute;margin-left:202.500549pt;margin-top:5.958858pt;width:4.850pt;height:4.350pt;mso-position-horizontal-relative:page;mso-position-vertical-relative:paragraph;z-index:-287166464" coordorigin="4050,119" coordsize="97,87">
            <v:rect style="position:absolute;left:4055;top:124;width:87;height:76" filled="true" fillcolor="#ffa7e1" stroked="false">
              <v:fill type="solid"/>
            </v:rect>
            <v:rect style="position:absolute;left:4055;top:124;width:87;height:76" filled="false" stroked="true" strokeweight=".538266pt" strokecolor="#ffa7e1">
              <v:stroke dashstyle="solid"/>
            </v:rect>
            <w10:wrap type="none"/>
          </v:group>
        </w:pict>
      </w:r>
      <w:r>
        <w:rPr>
          <w:rFonts w:ascii="Calibri"/>
          <w:sz w:val="14"/>
        </w:rPr>
        <w:t>Male</w:t>
        <w:tab/>
        <w:t>Female</w:t>
      </w:r>
    </w:p>
    <w:p>
      <w:pPr>
        <w:spacing w:after="0"/>
        <w:jc w:val="left"/>
        <w:rPr>
          <w:rFonts w:ascii="Calibri"/>
          <w:sz w:val="14"/>
        </w:rPr>
        <w:sectPr>
          <w:headerReference w:type="default" r:id="rId215"/>
          <w:footerReference w:type="default" r:id="rId216"/>
          <w:pgSz w:w="11910" w:h="16850"/>
          <w:pgMar w:header="572" w:footer="581" w:top="780" w:bottom="780" w:left="120" w:right="0"/>
        </w:sectPr>
      </w:pPr>
    </w:p>
    <w:p>
      <w:pPr>
        <w:spacing w:before="128"/>
        <w:ind w:left="1588" w:right="0" w:firstLine="0"/>
        <w:jc w:val="left"/>
        <w:rPr>
          <w:rFonts w:ascii="Calibri"/>
          <w:sz w:val="16"/>
        </w:rPr>
      </w:pPr>
      <w:r>
        <w:rPr/>
        <w:pict>
          <v:group style="position:absolute;margin-left:98.327682pt;margin-top:11.275057pt;width:218.85pt;height:108.2pt;mso-position-horizontal-relative:page;mso-position-vertical-relative:paragraph;z-index:252734464" coordorigin="1967,226" coordsize="4377,2164">
            <v:shape style="position:absolute;left:-294543;top:-271104;width:294543;height:285750" coordorigin="-294542,-271104" coordsize="294543,285750" path="m6338,236l6338,2335m5261,236l5261,2335m4174,236l4174,2335e" filled="false" stroked="true" strokeweight=".538245pt" strokecolor="#f1f1f1">
              <v:path arrowok="t"/>
              <v:stroke dashstyle="solid"/>
            </v:shape>
            <v:shape style="position:absolute;left:4168;top:2001;width:2;height:323" coordorigin="4168,2001" coordsize="0,323" path="m4168,2001l4168,2324,4168,2001xe" filled="true" fillcolor="#94b3d6" stroked="false">
              <v:path arrowok="t"/>
              <v:fill type="solid"/>
            </v:shape>
            <v:shape style="position:absolute;left:4109;top:1904;width:65;height:97" coordorigin="4109,1904" coordsize="65,97" path="m4174,1904l4120,1904,4120,1925,4109,1925,4109,1959,4142,1959,4142,1980,4152,1980,4152,2001,4174,2001,4174,1925,4174,1904e" filled="true" fillcolor="#94b3d6" stroked="false">
              <v:path arrowok="t"/>
              <v:fill type="solid"/>
            </v:shape>
            <v:line style="position:absolute" from="3689,1851" to="4174,1851" stroked="true" strokeweight="1.07625pt" strokecolor="#94b3d6">
              <v:stroke dashstyle="solid"/>
            </v:line>
            <v:line style="position:absolute" from="3862,1872" to="4174,1872" stroked="true" strokeweight="1.099763pt" strokecolor="#94b3d6">
              <v:stroke dashstyle="solid"/>
            </v:line>
            <v:rect style="position:absolute;left:4033;top:1883;width:140;height:22" filled="true" fillcolor="#94b3d6" stroked="false">
              <v:fill type="solid"/>
            </v:rect>
            <v:line style="position:absolute" from="3097,236" to="3097,2335" stroked="true" strokeweight=".538359pt" strokecolor="#f1f1f1">
              <v:stroke dashstyle="solid"/>
            </v:line>
            <v:line style="position:absolute" from="3086,1775" to="4174,1775" stroked="true" strokeweight="1.07626pt" strokecolor="#94b3d6">
              <v:stroke dashstyle="solid"/>
            </v:line>
            <v:line style="position:absolute" from="3248,1802" to="4174,1802" stroked="true" strokeweight="1.699633pt" strokecolor="#94b3d6">
              <v:stroke dashstyle="solid"/>
            </v:line>
            <v:line style="position:absolute" from="3506,1829" to="4174,1829" stroked="true" strokeweight=".999784pt" strokecolor="#94b3d6">
              <v:stroke dashstyle="solid"/>
            </v:line>
            <v:line style="position:absolute" from="2860,1732" to="4174,1732" stroked="true" strokeweight="1.099763pt" strokecolor="#94b3d6">
              <v:stroke dashstyle="solid"/>
            </v:line>
            <v:line style="position:absolute" from="2957,1754" to="4174,1754" stroked="true" strokeweight="1.099763pt" strokecolor="#94b3d6">
              <v:stroke dashstyle="solid"/>
            </v:line>
            <v:line style="position:absolute" from="2688,1635" to="4174,1635" stroked="true" strokeweight="1.076255pt" strokecolor="#94b3d6">
              <v:stroke dashstyle="solid"/>
            </v:line>
            <v:shape style="position:absolute;left:2698;top:1646;width:1476;height:54" coordorigin="2699,1646" coordsize="1476,54" path="m4174,1646l2709,1646,2709,1667,2699,1667,2699,1699,4174,1699,4174,1668,4174,1667,4174,1646e" filled="true" fillcolor="#94b3d6" stroked="false">
              <v:path arrowok="t"/>
              <v:fill type="solid"/>
            </v:shape>
            <v:line style="position:absolute" from="2753,1710" to="4174,1710" stroked="true" strokeweight="1.099763pt" strokecolor="#94b3d6">
              <v:stroke dashstyle="solid"/>
            </v:line>
            <v:shape style="position:absolute;left:2634;top:1560;width:1540;height:65" coordorigin="2634,1560" coordsize="1540,65" path="m4174,1560l2634,1560,2634,1582,2656,1582,2656,1603,2666,1603,2666,1625,4174,1625,4174,1603,4174,1582,4174,1560e" filled="true" fillcolor="#94b3d6" stroked="false">
              <v:path arrowok="t"/>
              <v:fill type="solid"/>
            </v:shape>
            <v:line style="position:absolute" from="2666,1517" to="4174,1517" stroked="true" strokeweight="1.07625pt" strokecolor="#94b3d6">
              <v:stroke dashstyle="solid"/>
            </v:line>
            <v:rect style="position:absolute;left:2634;top:1527;width:1540;height:32" filled="true" fillcolor="#94b3d6" stroked="false">
              <v:fill type="solid"/>
            </v:rect>
            <v:line style="position:absolute" from="2774,1474" to="4174,1474" stroked="true" strokeweight="1.099763pt" strokecolor="#94b3d6">
              <v:stroke dashstyle="solid"/>
            </v:line>
            <v:line style="position:absolute" from="2720,1496" to="4174,1496" stroked="true" strokeweight="1.099763pt" strokecolor="#94b3d6">
              <v:stroke dashstyle="solid"/>
            </v:line>
            <v:line style="position:absolute" from="2946,1430" to="4174,1430" stroked="true" strokeweight="1.099763pt" strokecolor="#94b3d6">
              <v:stroke dashstyle="solid"/>
            </v:line>
            <v:line style="position:absolute" from="2860,1452" to="4174,1452" stroked="true" strokeweight="1.099763pt" strokecolor="#94b3d6">
              <v:stroke dashstyle="solid"/>
            </v:line>
            <v:rect style="position:absolute;left:3086;top:1344;width:1088;height:22" filled="true" fillcolor="#94b3d6" stroked="false">
              <v:fill type="solid"/>
            </v:rect>
            <v:line style="position:absolute" from="3065,1377" to="4174,1377" stroked="true" strokeweight=".999784pt" strokecolor="#94b3d6">
              <v:stroke dashstyle="solid"/>
            </v:line>
            <v:line style="position:absolute" from="3022,1403" to="4174,1403" stroked="true" strokeweight="1.599655pt" strokecolor="#94b3d6">
              <v:stroke dashstyle="solid"/>
            </v:line>
            <v:shape style="position:absolute;left:3064;top:1226;width:1110;height:119" coordorigin="3065,1226" coordsize="1110,119" path="m4174,1226l3076,1226,3076,1247,3065,1247,3065,1279,3086,1279,3086,1301,3097,1301,3097,1323,3086,1323,3086,1345,4174,1345,4174,1323,4174,1301,4174,1279,4174,1248,4174,1247,4174,1226e" filled="true" fillcolor="#94b3d6" stroked="false">
              <v:path arrowok="t"/>
              <v:fill type="solid"/>
            </v:shape>
            <v:line style="position:absolute" from="3172,1194" to="4174,1194" stroked="true" strokeweight="1.099763pt" strokecolor="#94b3d6">
              <v:stroke dashstyle="solid"/>
            </v:line>
            <v:line style="position:absolute" from="3140,1216" to="4174,1216" stroked="true" strokeweight="1.099763pt" strokecolor="#94b3d6">
              <v:stroke dashstyle="solid"/>
            </v:line>
            <v:shape style="position:absolute;left:3258;top:1065;width:916;height:77" coordorigin="3259,1065" coordsize="916,77" path="m4174,1087l3269,1087,3269,1141,4174,1141,4174,1087m4174,1065l3259,1065,3259,1087,4174,1087,4174,1065e" filled="true" fillcolor="#94b3d6" stroked="false">
              <v:path arrowok="t"/>
              <v:fill type="solid"/>
            </v:shape>
            <v:line style="position:absolute" from="3248,1151" to="4174,1151" stroked="true" strokeweight=".999784pt" strokecolor="#94b3d6">
              <v:stroke dashstyle="solid"/>
            </v:line>
            <v:shape style="position:absolute;left:3215;top:1032;width:959;height:140" coordorigin="3216,1032" coordsize="959,140" path="m3216,1172l4174,1172m3302,1032l4174,1032e" filled="false" stroked="true" strokeweight="1.099763pt" strokecolor="#94b3d6">
              <v:path arrowok="t"/>
              <v:stroke dashstyle="solid"/>
            </v:shape>
            <v:line style="position:absolute" from="3280,1054" to="4174,1054" stroked="true" strokeweight="1.099763pt" strokecolor="#94b3d6">
              <v:stroke dashstyle="solid"/>
            </v:line>
            <v:line style="position:absolute" from="3689,865" to="4174,865" stroked="true" strokeweight="1.599655pt" strokecolor="#94b3d6">
              <v:stroke dashstyle="solid"/>
            </v:line>
            <v:line style="position:absolute" from="3625,892" to="4174,892" stroked="true" strokeweight="1.099763pt" strokecolor="#94b3d6">
              <v:stroke dashstyle="solid"/>
            </v:line>
            <v:line style="position:absolute" from="3582,914" to="4174,914" stroked="true" strokeweight="1.099763pt" strokecolor="#94b3d6">
              <v:stroke dashstyle="solid"/>
            </v:line>
            <v:shape style="position:absolute;left:3420;top:935;width:754;height:44" coordorigin="3420,936" coordsize="754,44" path="m3528,936l4174,936m3463,957l4174,957m3420,979l4174,979e" filled="false" stroked="true" strokeweight="1.076255pt" strokecolor="#94b3d6">
              <v:path arrowok="t"/>
              <v:stroke dashstyle="solid"/>
            </v:shape>
            <v:line style="position:absolute" from="3356,1005" to="4174,1005" stroked="true" strokeweight="1.599655pt" strokecolor="#94b3d6">
              <v:stroke dashstyle="solid"/>
            </v:line>
            <v:rect style="position:absolute;left:4152;top:230;width:22;height:81" filled="true" fillcolor="#94b3d6" stroked="false">
              <v:fill type="solid"/>
            </v:rect>
            <v:line style="position:absolute" from="4158,312" to="4158,452" stroked="true" strokeweight="1.615077pt" strokecolor="#94b3d6">
              <v:stroke dashstyle="solid"/>
            </v:line>
            <v:shape style="position:absolute;left:4044;top:451;width:130;height:290" coordorigin="4045,451" coordsize="130,290" path="m4174,667l4055,667,4055,709,4045,709,4045,741,4174,741,4174,709,4174,667m4174,451l4131,451,4131,547,4120,547,4120,601,4109,601,4109,623,4098,623,4098,645,4088,645,4088,667,4174,667,4174,645,4174,645,4174,623,4174,601,4174,547,4174,451e" filled="true" fillcolor="#94b3d6" stroked="false">
              <v:path arrowok="t"/>
              <v:fill type="solid"/>
            </v:shape>
            <v:line style="position:absolute" from="4023,752" to="4174,752" stroked="true" strokeweight="1.099763pt" strokecolor="#94b3d6">
              <v:stroke dashstyle="solid"/>
            </v:line>
            <v:line style="position:absolute" from="4002,774" to="4174,774" stroked="true" strokeweight="1.099763pt" strokecolor="#94b3d6">
              <v:stroke dashstyle="solid"/>
            </v:line>
            <v:line style="position:absolute" from="3937,796" to="4174,796" stroked="true" strokeweight="1.099763pt" strokecolor="#94b3d6">
              <v:stroke dashstyle="solid"/>
            </v:line>
            <v:line style="position:absolute" from="3819,817" to="4174,817" stroked="true" strokeweight=".999784pt" strokecolor="#94b3d6">
              <v:stroke dashstyle="solid"/>
            </v:line>
            <v:line style="position:absolute" from="3743,838" to="4174,838" stroked="true" strokeweight="1.099763pt" strokecolor="#94b3d6">
              <v:stroke dashstyle="solid"/>
            </v:line>
            <v:shape style="position:absolute;left:453018;top:-438372;width:13940;height:90604" coordorigin="453018,-438372" coordsize="13940,90604" path="m4163,2324l4174,2324,4174,2303,4163,2303,4163,2324m4163,2303l4174,2303,4174,2281,4163,2281,4163,2303m4163,2281l4174,2281,4174,2260,4163,2260,4163,2281m4163,2260l4174,2260,4174,2238,4163,2238,4163,2260m4163,2238l4174,2238,4174,2206,4163,2206,4163,2238m4163,2206l4174,2206,4174,2184,4163,2184,4163,2206m4163,2184l4174,2184,4174,2163,4163,2163,4163,2184m4163,2163l4174,2163,4174,2141,4163,2141,4163,2163m4163,2141l4174,2141,4174,2120,4163,2120,4163,2141m4163,2120l4174,2120,4174,2098,4163,2098,4163,2120m4163,2098l4174,2098,4174,2066,4163,2066,4163,2098m4163,2066l4174,2066,4174,2044,4163,2044,4163,2066m4163,2044l4174,2044,4174,2023,4163,2023,4163,2044m4163,2023l4174,2023,4174,2001,4163,2001,4163,2023m4152,2001l4174,2001,4174,1980,4152,1980,4152,2001m4142,1980l4174,1980,4174,1958,4142,1958,4142,1980m4109,1958l4174,1958,4174,1926,4109,1926,4109,1958m4120,1926l4174,1926,4174,1904,4120,1904,4120,1926e" filled="false" stroked="true" strokeweight=".538246pt" strokecolor="#94b3d6">
              <v:path arrowok="t"/>
              <v:stroke dashstyle="solid"/>
            </v:shape>
            <v:rect style="position:absolute;left:4028;top:1877;width:151;height:33" filled="true" fillcolor="#94b3d6" stroked="false">
              <v:fill type="solid"/>
            </v:rect>
            <v:shape style="position:absolute;left:3683;top:1850;width:496;height:22" coordorigin="3684,1851" coordsize="496,22" path="m3856,1872l4179,1872m3684,1851l4179,1851e" filled="false" stroked="true" strokeweight="1.61438pt" strokecolor="#94b3d6">
              <v:path arrowok="t"/>
              <v:stroke dashstyle="solid"/>
            </v:shape>
            <v:line style="position:absolute" from="3501,1829" to="4179,1829" stroked="true" strokeweight="1.614389pt" strokecolor="#94b3d6">
              <v:stroke dashstyle="solid"/>
            </v:line>
            <v:rect style="position:absolute;left:3247;top:1786;width:926;height:33" filled="false" stroked="true" strokeweight=".53813pt" strokecolor="#94b3d6">
              <v:stroke dashstyle="solid"/>
            </v:rect>
            <v:line style="position:absolute" from="3081,1775" to="4179,1775" stroked="true" strokeweight="1.614389pt" strokecolor="#94b3d6">
              <v:stroke dashstyle="solid"/>
            </v:line>
            <v:line style="position:absolute" from="2952,1754" to="4179,1754" stroked="true" strokeweight="1.61438pt" strokecolor="#94b3d6">
              <v:stroke dashstyle="solid"/>
            </v:line>
            <v:line style="position:absolute" from="2855,1732" to="4179,1732" stroked="true" strokeweight="1.614385pt" strokecolor="#94b3d6">
              <v:stroke dashstyle="solid"/>
            </v:line>
            <v:line style="position:absolute" from="2747,1711" to="4179,1711" stroked="true" strokeweight="1.61438pt" strokecolor="#94b3d6">
              <v:stroke dashstyle="solid"/>
            </v:line>
            <v:rect style="position:absolute;left:2698;top:1667;width:1476;height:33" filled="false" stroked="true" strokeweight=".53813pt" strokecolor="#94b3d6">
              <v:stroke dashstyle="solid"/>
            </v:rect>
            <v:line style="position:absolute" from="2704,1657" to="4179,1657" stroked="true" strokeweight="1.614385pt" strokecolor="#94b3d6">
              <v:stroke dashstyle="solid"/>
            </v:line>
            <v:shape style="position:absolute;left:2628;top:1554;width:1551;height:97" coordorigin="2629,1555" coordsize="1551,97" path="m4179,1555l2629,1555,2629,1587,2650,1587,2650,1609,2661,1609,2661,1630,2683,1630,2683,1652,4179,1652,4179,1630,4179,1619,4179,1609,4179,1598,4179,1587,4179,1576,4179,1555e" filled="true" fillcolor="#94b3d6" stroked="false">
              <v:path arrowok="t"/>
              <v:fill type="solid"/>
            </v:shape>
            <v:rect style="position:absolute;left:2634;top:1527;width:1540;height:33" filled="false" stroked="true" strokeweight=".53813pt" strokecolor="#94b3d6">
              <v:stroke dashstyle="solid"/>
            </v:rect>
            <v:line style="position:absolute" from="2661,1517" to="4179,1517" stroked="true" strokeweight="1.61438pt" strokecolor="#94b3d6">
              <v:stroke dashstyle="solid"/>
            </v:line>
            <v:line style="position:absolute" from="2715,1495" to="4179,1495" stroked="true" strokeweight="1.614385pt" strokecolor="#94b3d6">
              <v:stroke dashstyle="solid"/>
            </v:line>
            <v:line style="position:absolute" from="2769,1474" to="4179,1474" stroked="true" strokeweight="1.614385pt" strokecolor="#94b3d6">
              <v:stroke dashstyle="solid"/>
            </v:line>
            <v:line style="position:absolute" from="2855,1452" to="4179,1452" stroked="true" strokeweight="1.61438pt" strokecolor="#94b3d6">
              <v:stroke dashstyle="solid"/>
            </v:line>
            <v:line style="position:absolute" from="2941,1431" to="4179,1431" stroked="true" strokeweight="1.614385pt" strokecolor="#94b3d6">
              <v:stroke dashstyle="solid"/>
            </v:line>
            <v:rect style="position:absolute;left:3021;top:1387;width:1153;height:33" filled="false" stroked="true" strokeweight=".53813pt" strokecolor="#94b3d6">
              <v:stroke dashstyle="solid"/>
            </v:rect>
            <v:line style="position:absolute" from="3059,1377" to="4179,1377" stroked="true" strokeweight="1.614385pt" strokecolor="#94b3d6">
              <v:stroke dashstyle="solid"/>
            </v:line>
            <v:shape style="position:absolute;left:3080;top:1274;width:1099;height:97" coordorigin="3081,1275" coordsize="1099,97" path="m4179,1275l3081,1275,3081,1307,3092,1307,3092,1318,3081,1318,3081,1339,3081,1350,3081,1372,4179,1372,4179,1350,4179,1339,4179,1329,4179,1318,4179,1307,4179,1296,4179,1275e" filled="true" fillcolor="#94b3d6" stroked="false">
              <v:path arrowok="t"/>
              <v:fill type="solid"/>
            </v:shape>
            <v:rect style="position:absolute;left:3064;top:1247;width:1110;height:33" filled="false" stroked="true" strokeweight=".53813pt" strokecolor="#94b3d6">
              <v:stroke dashstyle="solid"/>
            </v:rect>
            <v:line style="position:absolute" from="3070,1237" to="4179,1237" stroked="true" strokeweight="1.61438pt" strokecolor="#94b3d6">
              <v:stroke dashstyle="solid"/>
            </v:line>
            <v:line style="position:absolute" from="3135,1216" to="4179,1216" stroked="true" strokeweight="1.614385pt" strokecolor="#94b3d6">
              <v:stroke dashstyle="solid"/>
            </v:line>
            <v:line style="position:absolute" from="3167,1194" to="4179,1194" stroked="true" strokeweight="1.614385pt" strokecolor="#94b3d6">
              <v:stroke dashstyle="solid"/>
            </v:line>
            <v:line style="position:absolute" from="3210,1173" to="4179,1173" stroked="true" strokeweight="1.61438pt" strokecolor="#94b3d6">
              <v:stroke dashstyle="solid"/>
            </v:line>
            <v:line style="position:absolute" from="3242,1151" to="4179,1151" stroked="true" strokeweight="1.614385pt" strokecolor="#94b3d6">
              <v:stroke dashstyle="solid"/>
            </v:line>
            <v:rect style="position:absolute;left:3269;top:1108;width:905;height:33" filled="false" stroked="true" strokeweight=".53813pt" strokecolor="#94b3d6">
              <v:stroke dashstyle="solid"/>
            </v:rect>
            <v:shape style="position:absolute;left:3253;top:1059;width:926;height:54" coordorigin="3253,1060" coordsize="926,54" path="m4179,1060l3253,1060,3253,1092,3264,1092,3264,1113,4179,1113,4179,1092,4179,1081,4179,1060e" filled="true" fillcolor="#94b3d6" stroked="false">
              <v:path arrowok="t"/>
              <v:fill type="solid"/>
            </v:shape>
            <v:line style="position:absolute" from="3275,1054" to="4179,1054" stroked="true" strokeweight="1.614385pt" strokecolor="#94b3d6">
              <v:stroke dashstyle="solid"/>
            </v:line>
            <v:line style="position:absolute" from="3296,1033" to="4179,1033" stroked="true" strokeweight="1.614385pt" strokecolor="#94b3d6">
              <v:stroke dashstyle="solid"/>
            </v:line>
            <v:rect style="position:absolute;left:3355;top:989;width:819;height:33" filled="false" stroked="true" strokeweight=".53813pt" strokecolor="#94b3d6">
              <v:stroke dashstyle="solid"/>
            </v:rect>
            <v:line style="position:absolute" from="3415,979" to="4179,979" stroked="true" strokeweight="1.614385pt" strokecolor="#94b3d6">
              <v:stroke dashstyle="solid"/>
            </v:line>
            <v:line style="position:absolute" from="3458,957" to="4179,957" stroked="true" strokeweight="1.614385pt" strokecolor="#94b3d6">
              <v:stroke dashstyle="solid"/>
            </v:line>
            <v:line style="position:absolute" from="3522,936" to="4179,936" stroked="true" strokeweight="1.614385pt" strokecolor="#94b3d6">
              <v:stroke dashstyle="solid"/>
            </v:line>
            <v:line style="position:absolute" from="3576,914" to="4179,914" stroked="true" strokeweight="1.614385pt" strokecolor="#94b3d6">
              <v:stroke dashstyle="solid"/>
            </v:line>
            <v:line style="position:absolute" from="3619,893" to="4179,893" stroked="true" strokeweight="1.614385pt" strokecolor="#94b3d6">
              <v:stroke dashstyle="solid"/>
            </v:line>
            <v:rect style="position:absolute;left:3689;top:849;width:485;height:33" filled="false" stroked="true" strokeweight=".538131pt" strokecolor="#94b3d6">
              <v:stroke dashstyle="solid"/>
            </v:rect>
            <v:line style="position:absolute" from="3738,839" to="4179,839" stroked="true" strokeweight="1.614385pt" strokecolor="#94b3d6">
              <v:stroke dashstyle="solid"/>
            </v:line>
            <v:line style="position:absolute" from="3813,817" to="4179,817" stroked="true" strokeweight="1.614385pt" strokecolor="#94b3d6">
              <v:stroke dashstyle="solid"/>
            </v:line>
            <v:line style="position:absolute" from="3932,796" to="4179,796" stroked="true" strokeweight="1.614385pt" strokecolor="#94b3d6">
              <v:stroke dashstyle="solid"/>
            </v:line>
            <v:line style="position:absolute" from="3996,774" to="4179,774" stroked="true" strokeweight="1.614385pt" strokecolor="#94b3d6">
              <v:stroke dashstyle="solid"/>
            </v:line>
            <v:line style="position:absolute" from="4018,753" to="4179,753" stroked="true" strokeweight="1.614385pt" strokecolor="#94b3d6">
              <v:stroke dashstyle="solid"/>
            </v:line>
            <v:shape style="position:absolute;left:439079;top:-96866;width:27879;height:110353" coordorigin="439079,-96866" coordsize="27879,110353" path="m4045,742l4174,742,4174,710,4045,710,4045,742m4055,710l4174,710,4174,688,4055,688,4055,710m4055,688l4174,688,4174,667,4055,667,4055,688m4088,667l4174,667,4174,645,4088,645,4088,667m4098,645l4174,645,4174,624,4098,624,4098,645m4109,624l4174,624,4174,602,4109,602,4109,624m4120,602l4174,602,4174,570,4120,570,4120,602m4120,570l4174,570,4174,548,4120,548,4120,570m4131,548l4174,548,4174,527,4131,527,4131,548m4131,527l4174,527,4174,505,4131,505,4131,527m4131,505l4174,505,4174,484,4131,484,4131,505m4131,484l4174,484,4174,452,4131,452,4131,484m4142,452l4174,452,4174,430,4142,430,4142,452m4142,430l4174,430,4174,408,4142,408,4142,430m4142,408l4174,408,4174,387,4142,387,4142,408m4142,387l4174,387,4174,365,4142,365,4142,387m4142,365l4174,365,4174,344,4142,344,4142,365m4142,344l4174,344,4174,312,4142,312,4142,344m4152,312l4174,312,4174,290,4152,290,4152,312m4152,290l4174,290,4174,269,4152,269,4152,290m4152,269l4174,269,4174,247,4152,247,4152,269m4152,247l4174,247,4174,231e" filled="false" stroked="true" strokeweight=".538246pt" strokecolor="#94b3d6">
              <v:path arrowok="t"/>
              <v:stroke dashstyle="solid"/>
            </v:shape>
            <v:line style="position:absolute" from="4147,239" to="4158,239" stroked="true" strokeweight=".807702pt" strokecolor="#94b3d6">
              <v:stroke dashstyle="solid"/>
            </v:line>
            <v:shape style="position:absolute;left:4179;top:2022;width:2;height:318" coordorigin="4179,2023" coordsize="0,318" path="m4179,2023l4179,2340,4179,2023xe" filled="true" fillcolor="#ffa7e1" stroked="false">
              <v:path arrowok="t"/>
              <v:fill type="solid"/>
            </v:shape>
            <v:shape style="position:absolute;left:4173;top:1883;width:119;height:140" coordorigin="4174,1883" coordsize="119,140" path="m4195,1980l4174,1980,4174,2001,4174,2023,4185,2023,4185,2001,4195,2001,4195,1980m4292,1883l4174,1883,4174,1905,4174,1925,4174,1959,4174,1979,4206,1979,4206,1959,4228,1959,4228,1925,4217,1925,4217,1905,4292,1905,4292,1883e" filled="true" fillcolor="#ffa7e1" stroked="false">
              <v:path arrowok="t"/>
              <v:fill type="solid"/>
            </v:shape>
            <v:line style="position:absolute" from="4174,1850" to="4583,1850" stroked="true" strokeweight="1.099769pt" strokecolor="#ffa7e1">
              <v:stroke dashstyle="solid"/>
            </v:line>
            <v:line style="position:absolute" from="4174,1872" to="4432,1872" stroked="true" strokeweight="1.099769pt" strokecolor="#ffa7e1">
              <v:stroke dashstyle="solid"/>
            </v:line>
            <v:line style="position:absolute" from="4174,1754" to="5207,1754" stroked="true" strokeweight="1.099769pt" strokecolor="#ffa7e1">
              <v:stroke dashstyle="solid"/>
            </v:line>
            <v:line style="position:absolute" from="4174,1775" to="5100,1775" stroked="true" strokeweight=".99979pt" strokecolor="#ffa7e1">
              <v:stroke dashstyle="solid"/>
            </v:line>
            <v:line style="position:absolute" from="4174,1802" to="4928,1802" stroked="true" strokeweight="1.699642pt" strokecolor="#ffa7e1">
              <v:stroke dashstyle="solid"/>
            </v:line>
            <v:line style="position:absolute" from="4174,1829" to="4723,1829" stroked="true" strokeweight=".99979pt" strokecolor="#ffa7e1">
              <v:stroke dashstyle="solid"/>
            </v:line>
            <v:rect style="position:absolute;left:4173;top:1699;width:1120;height:22" filled="true" fillcolor="#ffa7e1" stroked="false">
              <v:fill type="solid"/>
            </v:rect>
            <v:shape style="position:absolute;left:4173;top:1656;width:1077;height:76" coordorigin="4174,1656" coordsize="1077,76" path="m4174,1732l5251,1732m4174,1656l5229,1656e" filled="false" stroked="true" strokeweight="1.099769pt" strokecolor="#ffa7e1">
              <v:path arrowok="t"/>
              <v:stroke dashstyle="solid"/>
            </v:shape>
            <v:rect style="position:absolute;left:4173;top:1667;width:1131;height:32" filled="true" fillcolor="#ffa7e1" stroked="false">
              <v:fill type="solid"/>
            </v:rect>
            <v:shape style="position:absolute;left:5229;top:1667;width:76;height:2" coordorigin="5229,1668" coordsize="76,0" path="m5304,1668l5229,1668,5304,1668xe" filled="true" fillcolor="#ffa7e1" stroked="false">
              <v:path arrowok="t"/>
              <v:fill type="solid"/>
            </v:shape>
            <v:line style="position:absolute" from="4174,1614" to="5111,1614" stroked="true" strokeweight="1.099769pt" strokecolor="#ffa7e1">
              <v:stroke dashstyle="solid"/>
            </v:line>
            <v:line style="position:absolute" from="4174,1635" to="5175,1635" stroked="true" strokeweight=".99979pt" strokecolor="#ffa7e1">
              <v:stroke dashstyle="solid"/>
            </v:line>
            <v:line style="position:absolute" from="4174,1570" to="5035,1570" stroked="true" strokeweight="1.099769pt" strokecolor="#ffa7e1">
              <v:stroke dashstyle="solid"/>
            </v:line>
            <v:line style="position:absolute" from="4174,1592" to="5057,1592" stroked="true" strokeweight="1.099769pt" strokecolor="#ffa7e1">
              <v:stroke dashstyle="solid"/>
            </v:line>
            <v:shape style="position:absolute;left:4173;top:1507;width:840;height:52" coordorigin="4174,1507" coordsize="840,52" path="m5014,1527l5003,1527,5003,1507,4174,1507,4174,1527,4174,1559,5014,1559,5014,1527e" filled="true" fillcolor="#ffa7e1" stroked="false">
              <v:path arrowok="t"/>
              <v:fill type="solid"/>
            </v:shape>
            <v:shape style="position:absolute;left:5002;top:1527;width:11;height:2" coordorigin="5003,1528" coordsize="11,0" path="m5014,1528l5003,1528,5014,1528xe" filled="true" fillcolor="#ffa7e1" stroked="false">
              <v:path arrowok="t"/>
              <v:fill type="solid"/>
            </v:shape>
            <v:shape style="position:absolute;left:4173;top:1419;width:797;height:88" coordorigin="4174,1419" coordsize="797,88" path="m4971,1419l4174,1419,4174,1441,4174,1463,4174,1506,4971,1506,4971,1463,4960,1463,4960,1441,4971,1441,4971,1419e" filled="true" fillcolor="#ffa7e1" stroked="false">
              <v:path arrowok="t"/>
              <v:fill type="solid"/>
            </v:shape>
            <v:line style="position:absolute" from="4174,1377" to="5046,1377" stroked="true" strokeweight=".99979pt" strokecolor="#ffa7e1">
              <v:stroke dashstyle="solid"/>
            </v:line>
            <v:line style="position:absolute" from="4174,1403" to="5003,1403" stroked="true" strokeweight="1.599664pt" strokecolor="#ffa7e1">
              <v:stroke dashstyle="solid"/>
            </v:line>
            <v:shape style="position:absolute;left:5002;top:1387;width:44;height:2" coordorigin="5003,1388" coordsize="44,0" path="m5046,1388l5003,1388,5046,1388xe" filled="true" fillcolor="#ffa7e1" stroked="false">
              <v:path arrowok="t"/>
              <v:fill type="solid"/>
            </v:shape>
            <v:line style="position:absolute" from="4174,1290" to="5466,1290" stroked="true" strokeweight="1.099769pt" strokecolor="#ffa7e1">
              <v:stroke dashstyle="solid"/>
            </v:line>
            <v:line style="position:absolute" from="4174,1312" to="5326,1312" stroked="true" strokeweight="1.099769pt" strokecolor="#ffa7e1">
              <v:stroke dashstyle="solid"/>
            </v:line>
            <v:shape style="position:absolute;left:4173;top:1334;width:1056;height:22" coordorigin="4174,1334" coordsize="1056,22" path="m4174,1334l5229,1334m4174,1356l5121,1356e" filled="false" stroked="true" strokeweight="1.099769pt" strokecolor="#ffa7e1">
              <v:path arrowok="t"/>
              <v:stroke dashstyle="solid"/>
            </v:shape>
            <v:shape style="position:absolute;left:4173;top:1183;width:1626;height:64" coordorigin="4174,1183" coordsize="1626,64" path="m5800,1183l4174,1183,4174,1205,4174,1227,4174,1247,5746,1247,5746,1227,5735,1227,5735,1205,5800,1205,5800,1183e" filled="true" fillcolor="#ffa7e1" stroked="false">
              <v:path arrowok="t"/>
              <v:fill type="solid"/>
            </v:shape>
            <v:line style="position:absolute" from="4174,1263" to="5617,1263" stroked="true" strokeweight="1.599664pt" strokecolor="#ffa7e1">
              <v:stroke dashstyle="solid"/>
            </v:line>
            <v:line style="position:absolute" from="4174,1124" to="5853,1124" stroked="true" strokeweight="1.699642pt" strokecolor="#ffa7e1">
              <v:stroke dashstyle="solid"/>
            </v:line>
            <v:line style="position:absolute" from="4174,1151" to="5832,1151" stroked="true" strokeweight=".99979pt" strokecolor="#ffa7e1">
              <v:stroke dashstyle="solid"/>
            </v:line>
            <v:shape style="position:absolute;left:4173;top:1043;width:1809;height:140" coordorigin="4174,1043" coordsize="1809,140" path="m5800,1161l4174,1161,4174,1183,5800,1183,5800,1161m5983,1043l4174,1043,4174,1065,4174,1087,5972,1087,5972,1065,5983,1065,5983,1043e" filled="true" fillcolor="#ffa7e1" stroked="false">
              <v:path arrowok="t"/>
              <v:fill type="solid"/>
            </v:shape>
            <v:line style="position:absolute" from="4174,1097" to="5907,1097" stroked="true" strokeweight=".99979pt" strokecolor="#ffa7e1">
              <v:stroke dashstyle="solid"/>
            </v:line>
            <v:line style="position:absolute" from="4174,978" to="5735,978" stroked="true" strokeweight="1.099769pt" strokecolor="#ffa7e1">
              <v:stroke dashstyle="solid"/>
            </v:line>
            <v:line style="position:absolute" from="4174,1005" to="5864,1005" stroked="true" strokeweight="1.599664pt" strokecolor="#ffa7e1">
              <v:stroke dashstyle="solid"/>
            </v:line>
            <v:shape style="position:absolute;left:4173;top:914;width:1766;height:118" coordorigin="4174,914" coordsize="1766,118" path="m4174,1032l5940,1032m4174,914l5326,914e" filled="false" stroked="true" strokeweight="1.099769pt" strokecolor="#ffa7e1">
              <v:path arrowok="t"/>
              <v:stroke dashstyle="solid"/>
            </v:shape>
            <v:line style="position:absolute" from="4174,936" to="5477,936" stroked="true" strokeweight="1.099769pt" strokecolor="#ffa7e1">
              <v:stroke dashstyle="solid"/>
            </v:line>
            <v:line style="position:absolute" from="4174,957" to="5627,957" stroked="true" strokeweight=".99979pt" strokecolor="#ffa7e1">
              <v:stroke dashstyle="solid"/>
            </v:line>
            <v:line style="position:absolute" from="4174,838" to="4917,838" stroked="true" strokeweight="1.099769pt" strokecolor="#ffa7e1">
              <v:stroke dashstyle="solid"/>
            </v:line>
            <v:line style="position:absolute" from="4174,865" to="5035,865" stroked="true" strokeweight="1.599664pt" strokecolor="#ffa7e1">
              <v:stroke dashstyle="solid"/>
            </v:line>
            <v:line style="position:absolute" from="4174,892" to="5186,892" stroked="true" strokeweight="1.099769pt" strokecolor="#ffa7e1">
              <v:stroke dashstyle="solid"/>
            </v:line>
            <v:line style="position:absolute" from="4174,796" to="4518,796" stroked="true" strokeweight="1.099769pt" strokecolor="#ffa7e1">
              <v:stroke dashstyle="solid"/>
            </v:line>
            <v:line style="position:absolute" from="4174,817" to="4734,817" stroked="true" strokeweight=".99979pt" strokecolor="#ffa7e1">
              <v:stroke dashstyle="solid"/>
            </v:line>
            <v:rect style="position:absolute;left:4173;top:687;width:130;height:22" filled="true" fillcolor="#ffa7e1" stroked="false">
              <v:fill type="solid"/>
            </v:rect>
            <v:line style="position:absolute" from="4174,725" to="4325,725" stroked="true" strokeweight="1.599664pt" strokecolor="#ffa7e1">
              <v:stroke dashstyle="solid"/>
            </v:line>
            <v:shape style="position:absolute;left:4173;top:752;width:248;height:22" coordorigin="4174,752" coordsize="248,22" path="m4174,752l4357,752m4174,774l4421,774e" filled="false" stroked="true" strokeweight="1.099769pt" strokecolor="#ffa7e1">
              <v:path arrowok="t"/>
              <v:stroke dashstyle="solid"/>
            </v:shape>
            <v:shape style="position:absolute;left:4173;top:230;width:119;height:457" coordorigin="4174,231" coordsize="119,457" path="m4238,231l4174,231,4174,269,4238,269,4238,231m4249,270l4174,270,4174,290,4249,290,4249,270m4292,667l4260,667,4260,623,4249,623,4249,602,4238,602,4238,548,4238,527,4238,452,4238,408,4228,408,4228,365,4238,365,4238,290,4174,290,4174,365,4174,408,4174,452,4174,527,4174,548,4174,602,4174,623,4174,624,4174,667,4174,687,4292,687,4292,667e" filled="true" fillcolor="#ffa7e1" stroked="false">
              <v:path arrowok="t"/>
              <v:fill type="solid"/>
            </v:shape>
            <v:shape style="position:absolute;left:313856;top:-292183;width:17177;height:66362" coordorigin="313857,-292183" coordsize="17177,66362" path="m4185,2340l4185,2324,4174,2324,4174,2340m4174,2324l4185,2324,4185,2303,4174,2303,4174,2324m4174,2303l4185,2303,4185,2281,4174,2281,4174,2303m4174,2281l4185,2281,4185,2260,4174,2260,4174,2281m4174,2260l4185,2260,4185,2238,4174,2238,4174,2260m4174,2238l4185,2238,4185,2206,4174,2206,4174,2238m4174,2206l4185,2206,4185,2184,4174,2184,4174,2206m4174,2184l4185,2184,4185,2163,4174,2163,4174,2184m4174,2163l4185,2163,4185,2141,4174,2141,4174,2163m4174,2141l4185,2141,4185,2120,4174,2120,4174,2141m4174,2120l4185,2120,4185,2098,4174,2098,4174,2120m4174,2098l4185,2098,4185,2066,4174,2066,4174,2098m4174,2066l4185,2066,4185,2044,4174,2044,4174,2066m4174,2044l4185,2044,4185,2023,4174,2023,4174,2044m4185,2023l4174,2023,4174,2001,4185,2001,4185,2023m4195,2001l4174,2001,4174,1980,4195,1980,4195,2001m4206,1980l4174,1980,4174,1958,4206,1958,4206,1980m4228,1958l4174,1958,4174,1926,4228,1926,4228,1958m4217,1926l4174,1926,4174,1904,4217,1904,4217,1926m4292,1904l4174,1904,4174,1883,4292,1883,4292,1904e" filled="false" stroked="true" strokeweight=".538246pt" strokecolor="#ffa7e1">
              <v:path arrowok="t"/>
              <v:stroke dashstyle="solid"/>
            </v:shape>
            <v:line style="position:absolute" from="4168,1872" to="4438,1872" stroked="true" strokeweight="1.614392pt" strokecolor="#ffa7e1">
              <v:stroke dashstyle="solid"/>
            </v:line>
            <v:line style="position:absolute" from="4168,1851" to="4588,1851" stroked="true" strokeweight="1.614392pt" strokecolor="#ffa7e1">
              <v:stroke dashstyle="solid"/>
            </v:line>
            <v:line style="position:absolute" from="4168,1829" to="4728,1829" stroked="true" strokeweight="1.614392pt" strokecolor="#ffa7e1">
              <v:stroke dashstyle="solid"/>
            </v:line>
            <v:rect style="position:absolute;left:4173;top:1786;width:754;height:33" filled="false" stroked="true" strokeweight=".538133pt" strokecolor="#ffa7e1">
              <v:stroke dashstyle="solid"/>
            </v:rect>
            <v:line style="position:absolute" from="4168,1775" to="5105,1775" stroked="true" strokeweight="1.614392pt" strokecolor="#ffa7e1">
              <v:stroke dashstyle="solid"/>
            </v:line>
            <v:line style="position:absolute" from="4168,1754" to="5213,1754" stroked="true" strokeweight="1.614392pt" strokecolor="#ffa7e1">
              <v:stroke dashstyle="solid"/>
            </v:line>
            <v:line style="position:absolute" from="4168,1732" to="5256,1732" stroked="true" strokeweight="1.614392pt" strokecolor="#ffa7e1">
              <v:stroke dashstyle="solid"/>
            </v:line>
            <v:rect style="position:absolute;left:4168;top:1694;width:1131;height:33" filled="true" fillcolor="#ffa7e1" stroked="false">
              <v:fill type="solid"/>
            </v:rect>
            <v:rect style="position:absolute;left:4173;top:1667;width:1131;height:33" filled="false" stroked="true" strokeweight=".538133pt" strokecolor="#ffa7e1">
              <v:stroke dashstyle="solid"/>
            </v:rect>
            <v:line style="position:absolute" from="4168,1657" to="5234,1657" stroked="true" strokeweight="1.614392pt" strokecolor="#ffa7e1">
              <v:stroke dashstyle="solid"/>
            </v:line>
            <v:line style="position:absolute" from="4168,1635" to="5181,1635" stroked="true" strokeweight="1.614392pt" strokecolor="#ffa7e1">
              <v:stroke dashstyle="solid"/>
            </v:line>
            <v:shape style="position:absolute;left:4168;top:1592;width:948;height:22" coordorigin="4168,1592" coordsize="948,22" path="m4168,1614l5116,1614m4168,1592l5062,1592e" filled="false" stroked="true" strokeweight="1.614392pt" strokecolor="#ffa7e1">
              <v:path arrowok="t"/>
              <v:stroke dashstyle="solid"/>
            </v:shape>
            <v:line style="position:absolute" from="4168,1571" to="5041,1571" stroked="true" strokeweight="1.614392pt" strokecolor="#ffa7e1">
              <v:stroke dashstyle="solid"/>
            </v:line>
            <v:rect style="position:absolute;left:4173;top:1527;width:840;height:33" filled="false" stroked="true" strokeweight=".538133pt" strokecolor="#ffa7e1">
              <v:stroke dashstyle="solid"/>
            </v:rect>
            <v:line style="position:absolute" from="4168,1517" to="5008,1517" stroked="true" strokeweight="1.614392pt" strokecolor="#ffa7e1">
              <v:stroke dashstyle="solid"/>
            </v:line>
            <v:shape style="position:absolute;left:4168;top:1414;width:808;height:97" coordorigin="4168,1415" coordsize="808,97" path="m4976,1415l4168,1415,4168,1436,4168,1447,4168,1512,4976,1512,4976,1490,4976,1479,4976,1458,4965,1458,4965,1447,4976,1447,4976,1415e" filled="true" fillcolor="#ffa7e1" stroked="false">
              <v:path arrowok="t"/>
              <v:fill type="solid"/>
            </v:shape>
            <v:rect style="position:absolute;left:4173;top:1387;width:830;height:33" filled="false" stroked="true" strokeweight=".538133pt" strokecolor="#ffa7e1">
              <v:stroke dashstyle="solid"/>
            </v:rect>
            <v:line style="position:absolute" from="4168,1377" to="5051,1377" stroked="true" strokeweight="1.614392pt" strokecolor="#ffa7e1">
              <v:stroke dashstyle="solid"/>
            </v:line>
            <v:line style="position:absolute" from="4168,1356" to="5127,1356" stroked="true" strokeweight="1.614392pt" strokecolor="#ffa7e1">
              <v:stroke dashstyle="solid"/>
            </v:line>
            <v:line style="position:absolute" from="4168,1334" to="5234,1334" stroked="true" strokeweight="1.614399pt" strokecolor="#ffa7e1">
              <v:stroke dashstyle="solid"/>
            </v:line>
            <v:line style="position:absolute" from="4168,1313" to="5331,1313" stroked="true" strokeweight="1.614392pt" strokecolor="#ffa7e1">
              <v:stroke dashstyle="solid"/>
            </v:line>
            <v:line style="position:absolute" from="4168,1291" to="5471,1291" stroked="true" strokeweight="1.614392pt" strokecolor="#ffa7e1">
              <v:stroke dashstyle="solid"/>
            </v:line>
            <v:rect style="position:absolute;left:4173;top:1247;width:1443;height:33" filled="false" stroked="true" strokeweight=".538133pt" strokecolor="#ffa7e1">
              <v:stroke dashstyle="solid"/>
            </v:rect>
            <v:shape style="position:absolute;left:4168;top:1156;width:1637;height:97" coordorigin="4168,1156" coordsize="1637,97" path="m5805,1156l4168,1156,4168,1178,4168,1189,4168,1253,5751,1253,5751,1221,5740,1221,5740,1210,5805,1210,5805,1189,5805,1178,5805,1156e" filled="true" fillcolor="#ffa7e1" stroked="false">
              <v:path arrowok="t"/>
              <v:fill type="solid"/>
            </v:shape>
            <v:line style="position:absolute" from="4168,1151" to="5837,1151" stroked="true" strokeweight="1.614392pt" strokecolor="#ffa7e1">
              <v:stroke dashstyle="solid"/>
            </v:line>
            <v:rect style="position:absolute;left:4173;top:1108;width:1680;height:33" filled="false" stroked="true" strokeweight=".538133pt" strokecolor="#ffa7e1">
              <v:stroke dashstyle="solid"/>
            </v:rect>
            <v:line style="position:absolute" from="4168,1097" to="5913,1097" stroked="true" strokeweight="1.614392pt" strokecolor="#ffa7e1">
              <v:stroke dashstyle="solid"/>
            </v:line>
            <v:shape style="position:absolute;left:4168;top:1038;width:1820;height:54" coordorigin="4168,1038" coordsize="1820,54" path="m5988,1038l4168,1038,4168,1060,4168,1070,4168,1092,5977,1092,5977,1070,5988,1070,5988,1038e" filled="true" fillcolor="#ffa7e1" stroked="false">
              <v:path arrowok="t"/>
              <v:fill type="solid"/>
            </v:shape>
            <v:line style="position:absolute" from="4168,1033" to="5945,1033" stroked="true" strokeweight="1.614392pt" strokecolor="#ffa7e1">
              <v:stroke dashstyle="solid"/>
            </v:line>
            <v:rect style="position:absolute;left:4173;top:989;width:1691;height:33" filled="false" stroked="true" strokeweight=".538133pt" strokecolor="#ffa7e1">
              <v:stroke dashstyle="solid"/>
            </v:rect>
            <v:line style="position:absolute" from="4168,979" to="5740,979" stroked="true" strokeweight="1.614392pt" strokecolor="#ffa7e1">
              <v:stroke dashstyle="solid"/>
            </v:line>
            <v:line style="position:absolute" from="4168,957" to="5633,957" stroked="true" strokeweight="1.614399pt" strokecolor="#ffa7e1">
              <v:stroke dashstyle="solid"/>
            </v:line>
            <v:line style="position:absolute" from="4168,936" to="5482,936" stroked="true" strokeweight="1.614392pt" strokecolor="#ffa7e1">
              <v:stroke dashstyle="solid"/>
            </v:line>
            <v:shape style="position:absolute;left:4168;top:892;width:1163;height:22" coordorigin="4168,893" coordsize="1163,22" path="m4168,914l5331,914m4168,893l5191,893e" filled="false" stroked="true" strokeweight="1.614392pt" strokecolor="#ffa7e1">
              <v:path arrowok="t"/>
              <v:stroke dashstyle="solid"/>
            </v:shape>
            <v:rect style="position:absolute;left:4173;top:849;width:862;height:33" filled="false" stroked="true" strokeweight=".538133pt" strokecolor="#ffa7e1">
              <v:stroke dashstyle="solid"/>
            </v:rect>
            <v:line style="position:absolute" from="4168,839" to="4922,839" stroked="true" strokeweight="1.614392pt" strokecolor="#ffa7e1">
              <v:stroke dashstyle="solid"/>
            </v:line>
            <v:line style="position:absolute" from="4168,817" to="4739,817" stroked="true" strokeweight="1.614399pt" strokecolor="#ffa7e1">
              <v:stroke dashstyle="solid"/>
            </v:line>
            <v:line style="position:absolute" from="4168,796" to="4524,796" stroked="true" strokeweight="1.614392pt" strokecolor="#ffa7e1">
              <v:stroke dashstyle="solid"/>
            </v:line>
            <v:line style="position:absolute" from="4168,774" to="4427,774" stroked="true" strokeweight="1.614399pt" strokecolor="#ffa7e1">
              <v:stroke dashstyle="solid"/>
            </v:line>
            <v:line style="position:absolute" from="4168,753" to="4362,753" stroked="true" strokeweight="1.614392pt" strokecolor="#ffa7e1">
              <v:stroke dashstyle="solid"/>
            </v:line>
            <v:rect style="position:absolute;left:4173;top:709;width:151;height:33" filled="false" stroked="true" strokeweight=".538143pt" strokecolor="#ffa7e1">
              <v:stroke dashstyle="solid"/>
            </v:rect>
            <v:rect style="position:absolute;left:4168;top:682;width:140;height:33" filled="true" fillcolor="#ffa7e1" stroked="false">
              <v:fill type="solid"/>
            </v:rect>
            <v:shape style="position:absolute;left:313856;top:-52498;width:17177;height:66365" coordorigin="313857,-52497" coordsize="17177,66365" path="m4292,688l4174,688,4174,667,4292,667,4292,688m4260,667l4174,667,4174,645,4260,645,4260,667m4260,645l4174,645,4174,624,4260,624,4260,645m4249,624l4174,624,4174,602,4249,602,4249,624m4238,602l4174,602,4174,570,4238,570,4238,602m4238,570l4174,570,4174,548,4238,548,4238,570m4238,548l4174,548,4174,527,4238,527,4238,548m4238,527l4174,527,4174,505,4238,505,4238,527m4238,505l4174,505,4174,484,4238,484,4238,505m4238,484l4174,484,4174,452,4238,452,4238,484m4238,452l4174,452,4174,430,4238,430,4238,452m4238,430l4174,430,4174,408,4238,408,4238,430m4228,408l4174,408,4174,387,4228,387,4228,408m4228,387l4174,387,4174,365,4228,365,4228,387m4238,365l4174,365,4174,344,4238,344,4238,365m4238,344l4174,344,4174,312,4238,312,4238,344m4238,312l4174,312,4174,290,4238,290,4238,312m4249,290l4174,290,4174,269,4249,269,4249,290m4238,269l4174,269,4174,247,4238,247,4238,269m4238,247l4174,247,4174,231e" filled="false" stroked="true" strokeweight=".538246pt" strokecolor="#ffa7e1">
              <v:path arrowok="t"/>
              <v:stroke dashstyle="solid"/>
            </v:shape>
            <v:line style="position:absolute" from="4233,239" to="4244,239" stroked="true" strokeweight=".807706pt" strokecolor="#ffa7e1">
              <v:stroke dashstyle="solid"/>
            </v:line>
            <v:line style="position:absolute" from="6338,2335" to="2010,2335" stroked="true" strokeweight=".538128pt" strokecolor="#bebebe">
              <v:stroke dashstyle="solid"/>
            </v:line>
            <v:shape style="position:absolute;left:-654539;top:6505;width:654539;height:8142" coordorigin="-654538,6505" coordsize="654539,8142" path="m6338,2335l6338,2389m5261,2335l5261,2389m4174,2335l4174,2389m3097,2335l3097,2389m2010,2335l2010,2389e" filled="false" stroked="true" strokeweight=".538242pt" strokecolor="#bebebe">
              <v:path arrowok="t"/>
              <v:stroke dashstyle="solid"/>
            </v:shape>
            <v:line style="position:absolute" from="2010,2335" to="2010,236" stroked="true" strokeweight=".538362pt" strokecolor="#bebebe">
              <v:stroke dashstyle="solid"/>
            </v:line>
            <v:shape style="position:absolute;left:0;top:14646;width:13369;height:651711" coordorigin="0,14646" coordsize="13369,651711" path="m1967,2335l2010,2335m1967,2109l2010,2109m1967,1872l2010,1872m1967,1635l2010,1635m1967,1399l2010,1399m1967,1173l2010,1173m1967,936l2010,936m1967,699l2010,699m1967,473l2010,473m1967,236l2010,236e" filled="false" stroked="true" strokeweight=".538245pt" strokecolor="#bebebe">
              <v:path arrowok="t"/>
              <v:stroke dashstyle="solid"/>
            </v:shape>
            <w10:wrap type="none"/>
          </v:group>
        </w:pict>
      </w:r>
      <w:r>
        <w:rPr>
          <w:rFonts w:ascii="Calibri"/>
          <w:spacing w:val="-7"/>
          <w:sz w:val="16"/>
        </w:rPr>
        <w:t>90</w:t>
      </w:r>
    </w:p>
    <w:p>
      <w:pPr>
        <w:spacing w:before="39"/>
        <w:ind w:left="1588" w:right="0" w:firstLine="0"/>
        <w:jc w:val="left"/>
        <w:rPr>
          <w:rFonts w:ascii="Calibri"/>
          <w:sz w:val="16"/>
        </w:rPr>
      </w:pPr>
      <w:r>
        <w:rPr>
          <w:rFonts w:ascii="Calibri"/>
          <w:spacing w:val="-7"/>
          <w:sz w:val="16"/>
        </w:rPr>
        <w:t>80</w:t>
      </w:r>
    </w:p>
    <w:p>
      <w:pPr>
        <w:spacing w:before="38"/>
        <w:ind w:left="1588" w:right="0" w:firstLine="0"/>
        <w:jc w:val="left"/>
        <w:rPr>
          <w:rFonts w:ascii="Calibri"/>
          <w:sz w:val="16"/>
        </w:rPr>
      </w:pPr>
      <w:r>
        <w:rPr>
          <w:rFonts w:ascii="Calibri"/>
          <w:spacing w:val="-7"/>
          <w:sz w:val="16"/>
        </w:rPr>
        <w:t>70</w:t>
      </w:r>
    </w:p>
    <w:p>
      <w:pPr>
        <w:spacing w:before="39"/>
        <w:ind w:left="1588" w:right="0" w:firstLine="0"/>
        <w:jc w:val="left"/>
        <w:rPr>
          <w:rFonts w:ascii="Calibri"/>
          <w:sz w:val="16"/>
        </w:rPr>
      </w:pPr>
      <w:r>
        <w:rPr>
          <w:rFonts w:ascii="Calibri"/>
          <w:spacing w:val="-7"/>
          <w:sz w:val="16"/>
        </w:rPr>
        <w:t>60</w:t>
      </w:r>
    </w:p>
    <w:p>
      <w:pPr>
        <w:spacing w:before="38"/>
        <w:ind w:left="1588" w:right="0" w:firstLine="0"/>
        <w:jc w:val="left"/>
        <w:rPr>
          <w:rFonts w:ascii="Calibri"/>
          <w:sz w:val="16"/>
        </w:rPr>
      </w:pPr>
      <w:r>
        <w:rPr/>
        <w:pict>
          <v:shape style="position:absolute;margin-left:75.243874pt;margin-top:6.763401pt;width:9pt;height:12.5pt;mso-position-horizontal-relative:page;mso-position-vertical-relative:paragraph;z-index:252749824" type="#_x0000_t202" filled="false" stroked="false">
            <v:textbox inset="0,0,0,0" style="layout-flow:vertical;mso-layout-flow-alt:bottom-to-top">
              <w:txbxContent>
                <w:p>
                  <w:pPr>
                    <w:spacing w:line="163" w:lineRule="exact" w:before="0"/>
                    <w:ind w:left="20" w:right="0" w:firstLine="0"/>
                    <w:jc w:val="left"/>
                    <w:rPr>
                      <w:rFonts w:ascii="Calibri"/>
                      <w:sz w:val="14"/>
                    </w:rPr>
                  </w:pPr>
                  <w:r>
                    <w:rPr>
                      <w:rFonts w:ascii="Calibri"/>
                      <w:color w:val="A6A6A6"/>
                      <w:sz w:val="14"/>
                    </w:rPr>
                    <w:t>Age</w:t>
                  </w:r>
                </w:p>
              </w:txbxContent>
            </v:textbox>
            <w10:wrap type="none"/>
          </v:shape>
        </w:pict>
      </w:r>
      <w:r>
        <w:rPr>
          <w:rFonts w:ascii="Calibri"/>
          <w:spacing w:val="-7"/>
          <w:sz w:val="16"/>
        </w:rPr>
        <w:t>50</w:t>
      </w:r>
    </w:p>
    <w:p>
      <w:pPr>
        <w:spacing w:before="39"/>
        <w:ind w:left="1588" w:right="0" w:firstLine="0"/>
        <w:jc w:val="left"/>
        <w:rPr>
          <w:rFonts w:ascii="Calibri"/>
          <w:sz w:val="16"/>
        </w:rPr>
      </w:pPr>
      <w:r>
        <w:rPr>
          <w:rFonts w:ascii="Calibri"/>
          <w:spacing w:val="-7"/>
          <w:sz w:val="16"/>
        </w:rPr>
        <w:t>40</w:t>
      </w:r>
    </w:p>
    <w:p>
      <w:pPr>
        <w:spacing w:before="38"/>
        <w:ind w:left="1588" w:right="0" w:firstLine="0"/>
        <w:jc w:val="left"/>
        <w:rPr>
          <w:rFonts w:ascii="Calibri"/>
          <w:sz w:val="16"/>
        </w:rPr>
      </w:pPr>
      <w:r>
        <w:rPr>
          <w:rFonts w:ascii="Calibri"/>
          <w:spacing w:val="-7"/>
          <w:sz w:val="16"/>
        </w:rPr>
        <w:t>30</w:t>
      </w:r>
    </w:p>
    <w:p>
      <w:pPr>
        <w:spacing w:before="39"/>
        <w:ind w:left="1588" w:right="0" w:firstLine="0"/>
        <w:jc w:val="left"/>
        <w:rPr>
          <w:rFonts w:ascii="Calibri"/>
          <w:sz w:val="16"/>
        </w:rPr>
      </w:pPr>
      <w:r>
        <w:rPr>
          <w:rFonts w:ascii="Calibri"/>
          <w:spacing w:val="-7"/>
          <w:sz w:val="16"/>
        </w:rPr>
        <w:t>20</w:t>
      </w:r>
    </w:p>
    <w:p>
      <w:pPr>
        <w:spacing w:before="38"/>
        <w:ind w:left="1588" w:right="0" w:firstLine="0"/>
        <w:jc w:val="left"/>
        <w:rPr>
          <w:rFonts w:ascii="Calibri"/>
          <w:sz w:val="16"/>
        </w:rPr>
      </w:pPr>
      <w:r>
        <w:rPr>
          <w:rFonts w:ascii="Calibri"/>
          <w:spacing w:val="-7"/>
          <w:sz w:val="16"/>
        </w:rPr>
        <w:t>10</w:t>
      </w:r>
    </w:p>
    <w:p>
      <w:pPr>
        <w:spacing w:before="39"/>
        <w:ind w:left="1668" w:right="0" w:firstLine="0"/>
        <w:jc w:val="left"/>
        <w:rPr>
          <w:rFonts w:ascii="Calibri"/>
          <w:sz w:val="16"/>
        </w:rPr>
      </w:pPr>
      <w:r>
        <w:rPr>
          <w:rFonts w:ascii="Calibri"/>
          <w:w w:val="100"/>
          <w:sz w:val="16"/>
        </w:rPr>
        <w:t>0</w:t>
      </w:r>
    </w:p>
    <w:p>
      <w:pPr>
        <w:spacing w:before="10"/>
        <w:ind w:left="1634" w:right="0" w:firstLine="0"/>
        <w:jc w:val="left"/>
        <w:rPr>
          <w:rFonts w:ascii="Calibri"/>
          <w:sz w:val="16"/>
        </w:rPr>
      </w:pPr>
      <w:r>
        <w:rPr>
          <w:rFonts w:ascii="Calibri"/>
          <w:spacing w:val="-2"/>
          <w:sz w:val="16"/>
        </w:rPr>
        <w:t>100,000</w:t>
      </w:r>
    </w:p>
    <w:p>
      <w:pPr>
        <w:pStyle w:val="BodyText"/>
        <w:rPr>
          <w:rFonts w:ascii="Calibri"/>
          <w:sz w:val="16"/>
        </w:rPr>
      </w:pPr>
      <w:r>
        <w:rPr/>
        <w:br w:type="column"/>
      </w:r>
      <w:r>
        <w:rPr>
          <w:rFonts w:ascii="Calibri"/>
          <w:sz w:val="16"/>
        </w:rPr>
      </w: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spacing w:before="9"/>
        <w:rPr>
          <w:rFonts w:ascii="Calibri"/>
          <w:sz w:val="23"/>
        </w:rPr>
      </w:pPr>
    </w:p>
    <w:p>
      <w:pPr>
        <w:spacing w:before="0"/>
        <w:ind w:left="557" w:right="0" w:firstLine="0"/>
        <w:jc w:val="left"/>
        <w:rPr>
          <w:rFonts w:ascii="Calibri"/>
          <w:sz w:val="16"/>
        </w:rPr>
      </w:pPr>
      <w:r>
        <w:rPr>
          <w:rFonts w:ascii="Calibri"/>
          <w:spacing w:val="-4"/>
          <w:sz w:val="16"/>
        </w:rPr>
        <w:t>50,000</w:t>
      </w:r>
    </w:p>
    <w:p>
      <w:pPr>
        <w:pStyle w:val="BodyText"/>
        <w:rPr>
          <w:rFonts w:ascii="Calibri"/>
          <w:sz w:val="16"/>
        </w:rPr>
      </w:pPr>
      <w:r>
        <w:rPr/>
        <w:br w:type="column"/>
      </w:r>
      <w:r>
        <w:rPr>
          <w:rFonts w:ascii="Calibri"/>
          <w:sz w:val="16"/>
        </w:rPr>
      </w: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spacing w:before="9"/>
        <w:rPr>
          <w:rFonts w:ascii="Calibri"/>
          <w:sz w:val="23"/>
        </w:rPr>
      </w:pPr>
    </w:p>
    <w:p>
      <w:pPr>
        <w:spacing w:before="0"/>
        <w:ind w:left="242" w:right="0" w:firstLine="0"/>
        <w:jc w:val="center"/>
        <w:rPr>
          <w:rFonts w:ascii="Calibri"/>
          <w:sz w:val="16"/>
        </w:rPr>
      </w:pPr>
      <w:r>
        <w:rPr>
          <w:rFonts w:ascii="Calibri"/>
          <w:w w:val="100"/>
          <w:sz w:val="16"/>
        </w:rPr>
        <w:t>0</w:t>
      </w:r>
    </w:p>
    <w:p>
      <w:pPr>
        <w:spacing w:before="40"/>
        <w:ind w:left="218" w:right="0" w:firstLine="0"/>
        <w:jc w:val="center"/>
        <w:rPr>
          <w:rFonts w:ascii="Calibri"/>
          <w:sz w:val="16"/>
        </w:rPr>
      </w:pPr>
      <w:r>
        <w:rPr>
          <w:rFonts w:ascii="Calibri"/>
          <w:color w:val="A6A6A6"/>
          <w:sz w:val="16"/>
        </w:rPr>
        <w:t>Number of People</w:t>
      </w:r>
    </w:p>
    <w:p>
      <w:pPr>
        <w:pStyle w:val="BodyText"/>
        <w:rPr>
          <w:rFonts w:ascii="Calibri"/>
          <w:sz w:val="16"/>
        </w:rPr>
      </w:pPr>
      <w:r>
        <w:rPr/>
        <w:br w:type="column"/>
      </w:r>
      <w:r>
        <w:rPr>
          <w:rFonts w:ascii="Calibri"/>
          <w:sz w:val="16"/>
        </w:rPr>
      </w: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spacing w:before="9"/>
        <w:rPr>
          <w:rFonts w:ascii="Calibri"/>
          <w:sz w:val="23"/>
        </w:rPr>
      </w:pPr>
    </w:p>
    <w:p>
      <w:pPr>
        <w:spacing w:before="0"/>
        <w:ind w:left="231" w:right="0" w:firstLine="0"/>
        <w:jc w:val="left"/>
        <w:rPr>
          <w:rFonts w:ascii="Calibri"/>
          <w:sz w:val="16"/>
        </w:rPr>
      </w:pPr>
      <w:r>
        <w:rPr>
          <w:rFonts w:ascii="Calibri"/>
          <w:spacing w:val="-4"/>
          <w:sz w:val="16"/>
        </w:rPr>
        <w:t>50,000</w:t>
      </w:r>
    </w:p>
    <w:p>
      <w:pPr>
        <w:pStyle w:val="BodyText"/>
        <w:rPr>
          <w:rFonts w:ascii="Calibri"/>
          <w:sz w:val="16"/>
        </w:rPr>
      </w:pPr>
      <w:r>
        <w:rPr/>
        <w:br w:type="column"/>
      </w:r>
      <w:r>
        <w:rPr>
          <w:rFonts w:ascii="Calibri"/>
          <w:sz w:val="16"/>
        </w:rPr>
      </w: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spacing w:before="9"/>
        <w:rPr>
          <w:rFonts w:ascii="Calibri"/>
          <w:sz w:val="23"/>
        </w:rPr>
      </w:pPr>
    </w:p>
    <w:p>
      <w:pPr>
        <w:spacing w:before="0"/>
        <w:ind w:left="569" w:right="0" w:firstLine="0"/>
        <w:jc w:val="left"/>
        <w:rPr>
          <w:rFonts w:ascii="Calibri"/>
          <w:sz w:val="16"/>
        </w:rPr>
      </w:pPr>
      <w:r>
        <w:rPr>
          <w:rFonts w:ascii="Calibri"/>
          <w:sz w:val="16"/>
        </w:rPr>
        <w:t>100,000</w:t>
      </w:r>
    </w:p>
    <w:p>
      <w:pPr>
        <w:spacing w:after="0"/>
        <w:jc w:val="left"/>
        <w:rPr>
          <w:rFonts w:ascii="Calibri"/>
          <w:sz w:val="16"/>
        </w:rPr>
        <w:sectPr>
          <w:type w:val="continuous"/>
          <w:pgSz w:w="11910" w:h="16850"/>
          <w:pgMar w:top="1600" w:bottom="280" w:left="120" w:right="0"/>
          <w:cols w:num="5" w:equalWidth="0">
            <w:col w:w="2159" w:space="40"/>
            <w:col w:w="989" w:space="39"/>
            <w:col w:w="1419" w:space="39"/>
            <w:col w:w="663" w:space="39"/>
            <w:col w:w="6403"/>
          </w:cols>
        </w:sectPr>
      </w:pPr>
    </w:p>
    <w:p>
      <w:pPr>
        <w:pStyle w:val="BodyText"/>
        <w:spacing w:before="8"/>
        <w:rPr>
          <w:rFonts w:ascii="Calibri"/>
          <w:sz w:val="24"/>
        </w:rPr>
      </w:pPr>
    </w:p>
    <w:p>
      <w:pPr>
        <w:pStyle w:val="BodyText"/>
        <w:spacing w:before="93"/>
        <w:ind w:left="900" w:right="1153"/>
      </w:pPr>
      <w:r>
        <w:rPr>
          <w:color w:val="404040"/>
        </w:rPr>
        <w:t>From the chart, we can see that there are more men in this class at younger ages (20 to 40) and more women at older ages (40 to 60). This is most likely due to the higher use of family payments by women (as family payments are more often claimed by mothers rather than fathers) at younger ages resulting in a lower number of them being outside the system while young, and a higher number being previous recipients when they are then older.</w:t>
      </w:r>
    </w:p>
    <w:p>
      <w:pPr>
        <w:pStyle w:val="BodyText"/>
        <w:spacing w:before="123"/>
        <w:ind w:left="900" w:right="1019"/>
      </w:pPr>
      <w:r>
        <w:rPr>
          <w:color w:val="404040"/>
        </w:rPr>
        <w:t>Some of the people have been in the previous welfare recipients class for only a short period; others have been there for longer, up to the maximum of the 16 years available from the data provided. As successive years of data are added to the modelling dataset over time this class will continue to grow and the maximum time in class will increase. This increasing length of captured previous welfare use is likely to increase the number of people in the class at older ages, gradually changing the demographic mix of the class.</w:t>
      </w:r>
    </w:p>
    <w:p>
      <w:pPr>
        <w:pStyle w:val="BodyText"/>
        <w:spacing w:before="7"/>
      </w:pPr>
    </w:p>
    <w:p>
      <w:pPr>
        <w:pStyle w:val="Heading6"/>
        <w:rPr>
          <w:i/>
        </w:rPr>
      </w:pPr>
      <w:r>
        <w:rPr>
          <w:i/>
          <w:color w:val="DF2F1E"/>
        </w:rPr>
        <w:t>Movements into and out of this class</w:t>
      </w:r>
    </w:p>
    <w:p>
      <w:pPr>
        <w:pStyle w:val="BodyText"/>
        <w:spacing w:before="121"/>
        <w:ind w:left="899" w:right="1010"/>
      </w:pPr>
      <w:r>
        <w:rPr>
          <w:color w:val="404040"/>
        </w:rPr>
        <w:t>Over the last three years, an average of 599,700 people (around 13.1% of the people in this class) per annum exited their current welfare classes into this class. Over this same period an average of 288,500 people (around 6.3% of people in this class) per annum re-entered the welfare system by transitioning out of this previous welfare recipients class.</w:t>
      </w:r>
    </w:p>
    <w:p>
      <w:pPr>
        <w:pStyle w:val="BodyText"/>
        <w:spacing w:before="119"/>
        <w:ind w:left="899" w:right="1688"/>
      </w:pPr>
      <w:r>
        <w:rPr>
          <w:color w:val="404040"/>
        </w:rPr>
        <w:t>The following chart shows the breakdown of these transitions by previous / destination class and year of transition.</w:t>
      </w:r>
    </w:p>
    <w:p>
      <w:pPr>
        <w:pStyle w:val="Heading9"/>
        <w:spacing w:before="179"/>
        <w:ind w:left="899" w:right="1201"/>
      </w:pPr>
      <w:r>
        <w:rPr>
          <w:color w:val="DF2F1E"/>
        </w:rPr>
        <w:t>Figure 98: Number of people exiting the welfare system into class 10 – Previous Welfare Recipient (by class exited from)</w:t>
      </w:r>
    </w:p>
    <w:p>
      <w:pPr>
        <w:spacing w:before="60"/>
        <w:ind w:left="0" w:right="10083" w:firstLine="0"/>
        <w:jc w:val="right"/>
        <w:rPr>
          <w:rFonts w:ascii="Calibri"/>
          <w:sz w:val="16"/>
        </w:rPr>
      </w:pPr>
      <w:r>
        <w:rPr/>
        <w:pict>
          <v:group style="position:absolute;margin-left:98.294228pt;margin-top:8.015279pt;width:412.55pt;height:143.8pt;mso-position-horizontal-relative:page;mso-position-vertical-relative:paragraph;z-index:252748800" coordorigin="1966,160" coordsize="8251,2876">
            <v:shape style="position:absolute;left:3374;top:2083;width:6837;height:2" coordorigin="3374,2083" coordsize="6837,0" path="m9963,2083l10211,2083m9138,2083l9633,2083m8313,2083l8808,2083m7488,2083l7983,2083m6663,2083l7158,2083m5838,2083l6333,2083m5025,2083l5520,2083m4200,2083l4695,2083m3374,2083l3870,2083e" filled="false" stroked="true" strokeweight=".588046pt" strokecolor="#d9d9d9">
              <v:path arrowok="t"/>
              <v:stroke dashstyle="solid"/>
            </v:shape>
            <v:shape style="position:absolute;left:3869;top:2142;width:3619;height:259" coordorigin="3870,2142" coordsize="3619,259" path="m4200,2154l3870,2154,3870,2401,4200,2401,4200,2154m5025,2142l4695,2142,4695,2401,5025,2401,5025,2142m5838,2142l5520,2142,5520,2401,5838,2401,5838,2142m6663,2154l6333,2154,6333,2401,6663,2401,6663,2154m7488,2166l7158,2166,7158,2401,7488,2401,7488,2166e" filled="true" fillcolor="#1f487c" stroked="false">
              <v:path arrowok="t"/>
              <v:fill type="solid"/>
            </v:shape>
            <v:shape style="position:absolute;left:1971;top:1765;width:1073;height:318" coordorigin="1972,1766" coordsize="1073,318" path="m2549,2083l3044,2083m1972,2083l2219,2083m2549,1766l3044,1766m1972,1766l2219,1766e" filled="false" stroked="true" strokeweight=".588046pt" strokecolor="#d9d9d9">
              <v:path arrowok="t"/>
              <v:stroke dashstyle="solid"/>
            </v:shape>
            <v:rect style="position:absolute;left:2219;top:2200;width:331;height:200" filled="true" fillcolor="#1f487c" stroked="false">
              <v:fill type="solid"/>
            </v:rect>
            <v:rect style="position:absolute;left:2219;top:1542;width:331;height:659" filled="true" fillcolor="#009544" stroked="false">
              <v:fill type="solid"/>
            </v:rect>
            <v:shape style="position:absolute;left:2549;top:1448;width:2146;height:318" coordorigin="2549,1448" coordsize="2146,318" path="m3374,1766l3870,1766m2549,1448l4695,1448e" filled="false" stroked="true" strokeweight=".588046pt" strokecolor="#d9d9d9">
              <v:path arrowok="t"/>
              <v:stroke dashstyle="solid"/>
            </v:shape>
            <v:rect style="position:absolute;left:3044;top:2177;width:331;height:224" filled="true" fillcolor="#1f487c" stroked="false">
              <v:fill type="solid"/>
            </v:rect>
            <v:rect style="position:absolute;left:3044;top:1471;width:331;height:706" filled="true" fillcolor="#009544" stroked="false">
              <v:fill type="solid"/>
            </v:rect>
            <v:line style="position:absolute" from="4200,1766" to="4695,1766" stroked="true" strokeweight=".588046pt" strokecolor="#d9d9d9">
              <v:stroke dashstyle="solid"/>
            </v:line>
            <v:rect style="position:absolute;left:3869;top:1471;width:331;height:683" filled="true" fillcolor="#009544" stroked="false">
              <v:fill type="solid"/>
            </v:rect>
            <v:shape style="position:absolute;left:5024;top:1448;width:496;height:318" coordorigin="5025,1448" coordsize="496,318" path="m5025,1766l5520,1766m5025,1448l5520,1448e" filled="false" stroked="true" strokeweight=".588046pt" strokecolor="#d9d9d9">
              <v:path arrowok="t"/>
              <v:stroke dashstyle="solid"/>
            </v:shape>
            <v:rect style="position:absolute;left:4694;top:1412;width:331;height:730" filled="true" fillcolor="#009544" stroked="false">
              <v:fill type="solid"/>
            </v:rect>
            <v:shape style="position:absolute;left:5837;top:1448;width:496;height:318" coordorigin="5838,1448" coordsize="496,318" path="m5838,1766l6333,1766m5838,1448l6333,1448e" filled="false" stroked="true" strokeweight=".588046pt" strokecolor="#d9d9d9">
              <v:path arrowok="t"/>
              <v:stroke dashstyle="solid"/>
            </v:shape>
            <v:rect style="position:absolute;left:5519;top:1412;width:319;height:730" filled="true" fillcolor="#009544" stroked="false">
              <v:fill type="solid"/>
            </v:rect>
            <v:shape style="position:absolute;left:6663;top:1448;width:3548;height:318" coordorigin="6663,1448" coordsize="3548,318" path="m6663,1766l7158,1766m6663,1448l10211,1448e" filled="false" stroked="true" strokeweight=".588046pt" strokecolor="#d9d9d9">
              <v:path arrowok="t"/>
              <v:stroke dashstyle="solid"/>
            </v:shape>
            <v:rect style="position:absolute;left:6333;top:1412;width:331;height:741" filled="true" fillcolor="#009544" stroked="false">
              <v:fill type="solid"/>
            </v:rect>
            <v:line style="position:absolute" from="7488,1766" to="7983,1766" stroked="true" strokeweight=".588046pt" strokecolor="#d9d9d9">
              <v:stroke dashstyle="solid"/>
            </v:line>
            <v:rect style="position:absolute;left:7158;top:1495;width:331;height:671" filled="true" fillcolor="#009544" stroked="false">
              <v:fill type="solid"/>
            </v:rect>
            <v:line style="position:absolute" from="8313,1766" to="8808,1766" stroked="true" strokeweight=".588046pt" strokecolor="#d9d9d9">
              <v:stroke dashstyle="solid"/>
            </v:line>
            <v:rect style="position:absolute;left:7983;top:2177;width:331;height:224" filled="true" fillcolor="#1f487c" stroked="false">
              <v:fill type="solid"/>
            </v:rect>
            <v:rect style="position:absolute;left:7983;top:1518;width:331;height:659" filled="true" fillcolor="#009544" stroked="false">
              <v:fill type="solid"/>
            </v:rect>
            <v:line style="position:absolute" from="9138,1766" to="9633,1766" stroked="true" strokeweight=".588046pt" strokecolor="#d9d9d9">
              <v:stroke dashstyle="solid"/>
            </v:line>
            <v:rect style="position:absolute;left:8808;top:2177;width:331;height:224" filled="true" fillcolor="#1f487c" stroked="false">
              <v:fill type="solid"/>
            </v:rect>
            <v:rect style="position:absolute;left:8808;top:1495;width:331;height:683" filled="true" fillcolor="#009544" stroked="false">
              <v:fill type="solid"/>
            </v:rect>
            <v:line style="position:absolute" from="9963,1766" to="10211,1766" stroked="true" strokeweight=".588046pt" strokecolor="#d9d9d9">
              <v:stroke dashstyle="solid"/>
            </v:line>
            <v:rect style="position:absolute;left:9633;top:2189;width:331;height:212" filled="true" fillcolor="#1f487c" stroked="false">
              <v:fill type="solid"/>
            </v:rect>
            <v:rect style="position:absolute;left:9633;top:1506;width:331;height:683" filled="true" fillcolor="#009544" stroked="false">
              <v:fill type="solid"/>
            </v:rect>
            <v:shape style="position:absolute;left:2219;top:1406;width:2806;height:130" coordorigin="2219,1407" coordsize="2806,130" path="m2219,1536l2549,1536m3044,1466l3374,1466m3870,1466l4200,1466m4695,1407l5025,1407e" filled="false" stroked="true" strokeweight=".588047pt" strokecolor="#e16b09">
              <v:path arrowok="t"/>
              <v:stroke dashstyle="solid"/>
            </v:shape>
            <v:rect style="position:absolute;left:5519;top:1389;width:319;height:24" filled="true" fillcolor="#e16b09" stroked="false">
              <v:fill type="solid"/>
            </v:rect>
            <v:shape style="position:absolute;left:6333;top:1406;width:1156;height:83" coordorigin="6333,1407" coordsize="1156,83" path="m6333,1407l6663,1407m7158,1489l7488,1489e" filled="false" stroked="true" strokeweight=".588047pt" strokecolor="#e16b09">
              <v:path arrowok="t"/>
              <v:stroke dashstyle="solid"/>
            </v:shape>
            <v:line style="position:absolute" from="7983,1513" to="8313,1513" stroked="true" strokeweight=".588047pt" strokecolor="#e16b09">
              <v:stroke dashstyle="solid"/>
            </v:line>
            <v:rect style="position:absolute;left:8808;top:1471;width:331;height:24" filled="true" fillcolor="#e16b09" stroked="false">
              <v:fill type="solid"/>
            </v:rect>
            <v:line style="position:absolute" from="9633,1501" to="9963,1501" stroked="true" strokeweight=".588047pt" strokecolor="#e16b09">
              <v:stroke dashstyle="solid"/>
            </v:line>
            <v:line style="position:absolute" from="1972,1448" to="2219,1448" stroked="true" strokeweight=".588046pt" strokecolor="#d9d9d9">
              <v:stroke dashstyle="solid"/>
            </v:line>
            <v:shape style="position:absolute;left:2219;top:1383;width:3619;height:142" coordorigin="2219,1383" coordsize="3619,142" path="m2219,1525l2549,1525m3044,1454l3374,1454m3869,1454l4200,1454m4695,1395l5025,1395m5520,1383l5838,1383e" filled="false" stroked="true" strokeweight=".588050pt" strokecolor="#e08ad6">
              <v:path arrowok="t"/>
              <v:stroke dashstyle="solid"/>
            </v:shape>
            <v:line style="position:absolute" from="6333,1389" to="6663,1389" stroked="true" strokeweight="1.176099pt" strokecolor="#e08ad6">
              <v:stroke dashstyle="solid"/>
            </v:line>
            <v:line style="position:absolute" from="7158,1478" to="7488,1478" stroked="true" strokeweight=".588050pt" strokecolor="#e08ad6">
              <v:stroke dashstyle="solid"/>
            </v:line>
            <v:line style="position:absolute" from="7983,1495" to="8313,1495" stroked="true" strokeweight="1.176099pt" strokecolor="#e08ad6">
              <v:stroke dashstyle="solid"/>
            </v:line>
            <v:shape style="position:absolute;left:8808;top:1465;width:1156;height:24" coordorigin="8808,1466" coordsize="1156,24" path="m8808,1466l9138,1466m9633,1489l9963,1489e" filled="false" stroked="true" strokeweight=".588050pt" strokecolor="#e08ad6">
              <v:path arrowok="t"/>
              <v:stroke dashstyle="solid"/>
            </v:shape>
            <v:shape style="position:absolute;left:2219;top:1442;width:1981;height:71" coordorigin="2219,1442" coordsize="1981,71" path="m2219,1513l2549,1513m3044,1442l3374,1442m3869,1442l4200,1442e" filled="false" stroked="true" strokeweight=".588050pt" strokecolor="#8063a1">
              <v:path arrowok="t"/>
              <v:stroke dashstyle="solid"/>
            </v:shape>
            <v:shape style="position:absolute;left:4694;top:1354;width:1144;height:36" coordorigin="4695,1354" coordsize="1144,36" path="m5025,1366l4695,1366,4695,1389,5025,1389,5025,1366m5838,1354l5520,1354,5520,1378,5838,1378,5838,1354e" filled="true" fillcolor="#8063a1" stroked="false">
              <v:path arrowok="t"/>
              <v:fill type="solid"/>
            </v:shape>
            <v:shape style="position:absolute;left:6333;top:1371;width:3631;height:106" coordorigin="6333,1372" coordsize="3631,106" path="m6333,1372l6663,1372m7158,1466l7488,1466m7983,1478l8313,1478m8808,1454l9138,1454m9633,1478l9963,1478e" filled="false" stroked="true" strokeweight=".588050pt" strokecolor="#8063a1">
              <v:path arrowok="t"/>
              <v:stroke dashstyle="solid"/>
            </v:shape>
            <v:shape style="position:absolute;left:2219;top:1318;width:7745;height:189" coordorigin="2219,1319" coordsize="7745,189" path="m2549,1483l2219,1483,2219,1507,2549,1507,2549,1483m3374,1413l3044,1413,3044,1436,3374,1436,3374,1413m4200,1413l3869,1413,3869,1436,4200,1436,4200,1413m5025,1342l4695,1342,4695,1366,5025,1366,5025,1342m5838,1319l5520,1319,5520,1354,5838,1354,5838,1319m6663,1319l6333,1319,6333,1366,6663,1366,6663,1319m7488,1413l7158,1413,7158,1460,7488,1460,7488,1413m8313,1425l7983,1425,7983,1472,8313,1472,8313,1425m9138,1401l8808,1401,8808,1448,9138,1448,9138,1401m9963,1425l9633,1425,9633,1472,9963,1472,9963,1425e" filled="true" fillcolor="#c0504d" stroked="false">
              <v:path arrowok="t"/>
              <v:fill type="solid"/>
            </v:shape>
            <v:shape style="position:absolute;left:1971;top:1130;width:1073;height:2" coordorigin="1972,1131" coordsize="1073,0" path="m2549,1131l3044,1131m1972,1131l2219,1131e" filled="false" stroked="true" strokeweight=".588046pt" strokecolor="#d9d9d9">
              <v:path arrowok="t"/>
              <v:stroke dashstyle="solid"/>
            </v:shape>
            <v:rect style="position:absolute;left:2219;top:1012;width:331;height:471" filled="true" fillcolor="#f8a763" stroked="false">
              <v:fill type="solid"/>
            </v:rect>
            <v:line style="position:absolute" from="3374,1131" to="3870,1131" stroked="true" strokeweight=".588046pt" strokecolor="#d9d9d9">
              <v:stroke dashstyle="solid"/>
            </v:line>
            <v:shape style="position:absolute;left:1971;top:813;width:1898;height:2" coordorigin="1972,813" coordsize="1898,0" path="m3374,813l3869,813m1972,813l3044,813e" filled="false" stroked="true" strokeweight=".588046pt" strokecolor="#d9d9d9">
              <v:path arrowok="t"/>
              <v:stroke dashstyle="solid"/>
            </v:shape>
            <v:rect style="position:absolute;left:3044;top:730;width:331;height:683" filled="true" fillcolor="#f8a763" stroked="false">
              <v:fill type="solid"/>
            </v:rect>
            <v:line style="position:absolute" from="4200,1131" to="4695,1131" stroked="true" strokeweight=".588046pt" strokecolor="#d9d9d9">
              <v:stroke dashstyle="solid"/>
            </v:line>
            <v:line style="position:absolute" from="4200,813" to="4695,813" stroked="true" strokeweight=".588046pt" strokecolor="#d9d9d9">
              <v:stroke dashstyle="solid"/>
            </v:line>
            <v:rect style="position:absolute;left:3869;top:718;width:331;height:694" filled="true" fillcolor="#f8a763" stroked="false">
              <v:fill type="solid"/>
            </v:rect>
            <v:line style="position:absolute" from="5025,1131" to="5520,1131" stroked="true" strokeweight=".588046pt" strokecolor="#d9d9d9">
              <v:stroke dashstyle="solid"/>
            </v:line>
            <v:line style="position:absolute" from="5025,813" to="5520,813" stroked="true" strokeweight=".588046pt" strokecolor="#d9d9d9">
              <v:stroke dashstyle="solid"/>
            </v:line>
            <v:rect style="position:absolute;left:4694;top:577;width:331;height:765" filled="true" fillcolor="#f8a763" stroked="false">
              <v:fill type="solid"/>
            </v:rect>
            <v:line style="position:absolute" from="5838,1131" to="6333,1131" stroked="true" strokeweight=".588046pt" strokecolor="#d9d9d9">
              <v:stroke dashstyle="solid"/>
            </v:line>
            <v:line style="position:absolute" from="5838,813" to="6333,813" stroked="true" strokeweight=".588046pt" strokecolor="#d9d9d9">
              <v:stroke dashstyle="solid"/>
            </v:line>
            <v:rect style="position:absolute;left:5519;top:601;width:319;height:718" filled="true" fillcolor="#f8a763" stroked="false">
              <v:fill type="solid"/>
            </v:rect>
            <v:line style="position:absolute" from="6663,1131" to="7158,1131" stroked="true" strokeweight=".588046pt" strokecolor="#d9d9d9">
              <v:stroke dashstyle="solid"/>
            </v:line>
            <v:line style="position:absolute" from="6663,813" to="7158,813" stroked="true" strokeweight=".588046pt" strokecolor="#d9d9d9">
              <v:stroke dashstyle="solid"/>
            </v:line>
            <v:rect style="position:absolute;left:6333;top:683;width:331;height:636" filled="true" fillcolor="#f8a763" stroked="false">
              <v:fill type="solid"/>
            </v:rect>
            <v:line style="position:absolute" from="7488,1131" to="7983,1131" stroked="true" strokeweight=".588046pt" strokecolor="#d9d9d9">
              <v:stroke dashstyle="solid"/>
            </v:line>
            <v:line style="position:absolute" from="7488,813" to="7983,813" stroked="true" strokeweight=".588046pt" strokecolor="#d9d9d9">
              <v:stroke dashstyle="solid"/>
            </v:line>
            <v:rect style="position:absolute;left:7158;top:601;width:331;height:812" filled="true" fillcolor="#f8a763" stroked="false">
              <v:fill type="solid"/>
            </v:rect>
            <v:line style="position:absolute" from="8313,1131" to="8808,1131" stroked="true" strokeweight=".588046pt" strokecolor="#d9d9d9">
              <v:stroke dashstyle="solid"/>
            </v:line>
            <v:line style="position:absolute" from="8313,813" to="8808,813" stroked="true" strokeweight=".588046pt" strokecolor="#d9d9d9">
              <v:stroke dashstyle="solid"/>
            </v:line>
            <v:rect style="position:absolute;left:7983;top:601;width:331;height:824" filled="true" fillcolor="#f8a763" stroked="false">
              <v:fill type="solid"/>
            </v:rect>
            <v:line style="position:absolute" from="9138,1131" to="9633,1131" stroked="true" strokeweight=".588046pt" strokecolor="#d9d9d9">
              <v:stroke dashstyle="solid"/>
            </v:line>
            <v:line style="position:absolute" from="9138,813" to="9633,813" stroked="true" strokeweight=".588046pt" strokecolor="#d9d9d9">
              <v:stroke dashstyle="solid"/>
            </v:line>
            <v:rect style="position:absolute;left:8808;top:577;width:331;height:824" filled="true" fillcolor="#f8a763" stroked="false">
              <v:fill type="solid"/>
            </v:rect>
            <v:line style="position:absolute" from="9963,1131" to="10211,1131" stroked="true" strokeweight=".588046pt" strokecolor="#d9d9d9">
              <v:stroke dashstyle="solid"/>
            </v:line>
            <v:line style="position:absolute" from="9963,813" to="10211,813" stroked="true" strokeweight=".588046pt" strokecolor="#d9d9d9">
              <v:stroke dashstyle="solid"/>
            </v:line>
            <v:rect style="position:absolute;left:9633;top:601;width:331;height:824" filled="true" fillcolor="#f8a763" stroked="false">
              <v:fill type="solid"/>
            </v:rect>
            <v:shape style="position:absolute;left:2219;top:671;width:1981;height:342" coordorigin="2219,672" coordsize="1981,342" path="m2549,966l2219,966,2219,1013,2549,1013,2549,966m3374,684l3044,684,3044,731,3374,731,3374,684m4200,672l3870,672,3870,719,4200,719,4200,672e" filled="true" fillcolor="#ecb8e7" stroked="false">
              <v:path arrowok="t"/>
              <v:fill type="solid"/>
            </v:shape>
            <v:shape style="position:absolute;left:1971;top:483;width:3548;height:2" coordorigin="1972,484" coordsize="3548,0" path="m5025,484l5520,484m1972,484l4695,484e" filled="false" stroked="true" strokeweight=".588046pt" strokecolor="#d9d9d9">
              <v:path arrowok="t"/>
              <v:stroke dashstyle="solid"/>
            </v:shape>
            <v:rect style="position:absolute;left:4694;top:530;width:331;height:48" filled="true" fillcolor="#ecb8e7" stroked="false">
              <v:fill type="solid"/>
            </v:rect>
            <v:line style="position:absolute" from="5838,484" to="7158,484" stroked="true" strokeweight=".588046pt" strokecolor="#d9d9d9">
              <v:stroke dashstyle="solid"/>
            </v:line>
            <v:shape style="position:absolute;left:5519;top:554;width:1144;height:130" coordorigin="5520,554" coordsize="1144,130" path="m5838,554l5520,554,5520,601,5838,601,5838,554m6663,637l6333,637,6333,684,6663,684,6663,637e" filled="true" fillcolor="#ecb8e7" stroked="false">
              <v:path arrowok="t"/>
              <v:fill type="solid"/>
            </v:shape>
            <v:line style="position:absolute" from="7488,484" to="7983,484" stroked="true" strokeweight=".588046pt" strokecolor="#d9d9d9">
              <v:stroke dashstyle="solid"/>
            </v:line>
            <v:rect style="position:absolute;left:7158;top:542;width:331;height:59" filled="true" fillcolor="#ecb8e7" stroked="false">
              <v:fill type="solid"/>
            </v:rect>
            <v:line style="position:absolute" from="8313,484" to="8808,484" stroked="true" strokeweight=".588046pt" strokecolor="#d9d9d9">
              <v:stroke dashstyle="solid"/>
            </v:line>
            <v:rect style="position:absolute;left:7983;top:554;width:331;height:48" filled="true" fillcolor="#ecb8e7" stroked="false">
              <v:fill type="solid"/>
            </v:rect>
            <v:line style="position:absolute" from="9138,484" to="9633,484" stroked="true" strokeweight=".588046pt" strokecolor="#d9d9d9">
              <v:stroke dashstyle="solid"/>
            </v:line>
            <v:rect style="position:absolute;left:8808;top:519;width:331;height:59" filled="true" fillcolor="#ecb8e7" stroked="false">
              <v:fill type="solid"/>
            </v:rect>
            <v:line style="position:absolute" from="9963,484" to="10211,484" stroked="true" strokeweight=".588046pt" strokecolor="#d9d9d9">
              <v:stroke dashstyle="solid"/>
            </v:line>
            <v:rect style="position:absolute;left:9633;top:554;width:331;height:48" filled="true" fillcolor="#ecb8e7" stroked="false">
              <v:fill type="solid"/>
            </v:rect>
            <v:shape style="position:absolute;left:2219;top:424;width:7745;height:541" coordorigin="2219,425" coordsize="7745,541" path="m2549,872l2219,872,2219,966,2549,966,2549,872m3374,601l3044,601,3044,684,3374,684,3374,601m4200,566l3870,566,3870,672,4200,672,4200,566m5025,448l4695,448,4695,531,5025,531,5025,448m5838,448l5520,448,5520,554,5838,554,5838,448m6663,554l6333,554,6333,637,6663,637,6663,554m7488,448l7158,448,7158,543,7488,543,7488,448m8313,448l7983,448,7983,554,8313,554,8313,448m9138,425l8808,425,8808,519,9138,519,9138,425m9963,460l9633,460,9633,554,9963,554,9963,460e" filled="true" fillcolor="#938953" stroked="false">
              <v:path arrowok="t"/>
              <v:fill type="solid"/>
            </v:shape>
            <v:shape style="position:absolute;left:0;top:-19002;width:652743;height:25214" coordorigin="0,-19001" coordsize="652743,25214" path="m1972,2401l10211,2401m1972,2401l1972,2460m1972,2401l1972,2718m2797,2401l2797,2460m2797,2401l2797,2718m3622,2401l3622,2460m3622,2401l3622,2718m4447,2401l4447,2460m4447,2401l4447,2718m5272,2401l5272,2460m5272,2401l5272,2718m6085,2401l6085,2460m6085,2401l6085,2718m6911,2401l6911,2460m6911,2401l6911,2718m7736,2401l7736,2460m7736,2401l7736,2718m8561,2401l8561,2460m8561,2401l8561,2718m9386,2401l9386,2460m9386,2401l9386,2718m10211,2401l10211,2460m10211,2401l10211,2718e" filled="false" stroked="true" strokeweight=".588699pt" strokecolor="#d9d9d9">
              <v:path arrowok="t"/>
              <v:stroke dashstyle="solid"/>
            </v:shape>
            <v:shape style="position:absolute;left:0;top:-19002;width:652743;height:25214" coordorigin="0,-19001" coordsize="652743,25214" path="m1972,2718l1972,3036m6085,2718l6085,3036m10211,2718l10211,3036e" filled="false" stroked="true" strokeweight=".588699pt" strokecolor="#d9d9d9">
              <v:path arrowok="t"/>
              <v:stroke dashstyle="solid"/>
            </v:shape>
            <v:line style="position:absolute" from="1972,166" to="10211,166" stroked="true" strokeweight=".588046pt" strokecolor="#d9d9d9">
              <v:stroke dashstyle="solid"/>
            </v:line>
            <v:line style="position:absolute" from="6104,178" to="6097,2417" stroked="true" strokeweight=".589358pt" strokecolor="#a6a6a6">
              <v:stroke dashstyle="solid"/>
            </v:line>
            <v:shape style="position:absolute;left:2219;top:2539;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2014</w:t>
                    </w:r>
                  </w:p>
                </w:txbxContent>
              </v:textbox>
              <w10:wrap type="none"/>
            </v:shape>
            <v:shape style="position:absolute;left:3042;top:2539;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2015</w:t>
                    </w:r>
                  </w:p>
                </w:txbxContent>
              </v:textbox>
              <w10:wrap type="none"/>
            </v:shape>
            <v:shape style="position:absolute;left:3865;top:2539;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2016</w:t>
                    </w:r>
                  </w:p>
                </w:txbxContent>
              </v:textbox>
              <w10:wrap type="none"/>
            </v:shape>
            <v:shape style="position:absolute;left:4688;top:2539;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2017</w:t>
                    </w:r>
                  </w:p>
                </w:txbxContent>
              </v:textbox>
              <w10:wrap type="none"/>
            </v:shape>
            <v:shape style="position:absolute;left:5511;top:2539;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2018</w:t>
                    </w:r>
                  </w:p>
                </w:txbxContent>
              </v:textbox>
              <w10:wrap type="none"/>
            </v:shape>
            <v:shape style="position:absolute;left:6334;top:2539;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2019</w:t>
                    </w:r>
                  </w:p>
                </w:txbxContent>
              </v:textbox>
              <w10:wrap type="none"/>
            </v:shape>
            <v:shape style="position:absolute;left:7157;top:2539;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2020</w:t>
                    </w:r>
                  </w:p>
                </w:txbxContent>
              </v:textbox>
              <w10:wrap type="none"/>
            </v:shape>
            <v:shape style="position:absolute;left:7980;top:2539;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2021</w:t>
                    </w:r>
                  </w:p>
                </w:txbxContent>
              </v:textbox>
              <w10:wrap type="none"/>
            </v:shape>
            <v:shape style="position:absolute;left:8803;top:2539;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2022</w:t>
                    </w:r>
                  </w:p>
                </w:txbxContent>
              </v:textbox>
              <w10:wrap type="none"/>
            </v:shape>
            <v:shape style="position:absolute;left:9627;top:2539;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2023</w:t>
                    </w:r>
                  </w:p>
                </w:txbxContent>
              </v:textbox>
              <w10:wrap type="none"/>
            </v:shape>
            <v:shape style="position:absolute;left:3776;top:2857;width:4711;height:165" type="#_x0000_t202" filled="false" stroked="false">
              <v:textbox inset="0,0,0,0">
                <w:txbxContent>
                  <w:p>
                    <w:pPr>
                      <w:tabs>
                        <w:tab w:pos="4049" w:val="left" w:leader="none"/>
                      </w:tabs>
                      <w:spacing w:line="165" w:lineRule="exact" w:before="0"/>
                      <w:ind w:left="0" w:right="0" w:firstLine="0"/>
                      <w:jc w:val="left"/>
                      <w:rPr>
                        <w:rFonts w:ascii="Calibri"/>
                        <w:sz w:val="16"/>
                      </w:rPr>
                    </w:pPr>
                    <w:r>
                      <w:rPr>
                        <w:rFonts w:ascii="Calibri"/>
                        <w:color w:val="585858"/>
                        <w:w w:val="105"/>
                        <w:sz w:val="16"/>
                      </w:rPr>
                      <w:t>Historic</w:t>
                      <w:tab/>
                    </w:r>
                    <w:r>
                      <w:rPr>
                        <w:rFonts w:ascii="Calibri"/>
                        <w:color w:val="585858"/>
                        <w:sz w:val="16"/>
                      </w:rPr>
                      <w:t>Projected</w:t>
                    </w:r>
                  </w:p>
                </w:txbxContent>
              </v:textbox>
              <w10:wrap type="none"/>
            </v:shape>
            <w10:wrap type="none"/>
          </v:group>
        </w:pict>
      </w:r>
      <w:r>
        <w:rPr>
          <w:rFonts w:ascii="Calibri"/>
          <w:color w:val="585858"/>
          <w:spacing w:val="-2"/>
          <w:sz w:val="16"/>
        </w:rPr>
        <w:t>700,000</w:t>
      </w:r>
    </w:p>
    <w:p>
      <w:pPr>
        <w:spacing w:before="124"/>
        <w:ind w:left="0" w:right="10083" w:firstLine="0"/>
        <w:jc w:val="right"/>
        <w:rPr>
          <w:rFonts w:ascii="Calibri"/>
          <w:sz w:val="16"/>
        </w:rPr>
      </w:pPr>
      <w:r>
        <w:rPr>
          <w:rFonts w:ascii="Calibri"/>
          <w:color w:val="585858"/>
          <w:spacing w:val="-2"/>
          <w:sz w:val="16"/>
        </w:rPr>
        <w:t>600,000</w:t>
      </w:r>
    </w:p>
    <w:p>
      <w:pPr>
        <w:spacing w:before="125"/>
        <w:ind w:left="0" w:right="10083" w:firstLine="0"/>
        <w:jc w:val="right"/>
        <w:rPr>
          <w:rFonts w:ascii="Calibri"/>
          <w:sz w:val="16"/>
        </w:rPr>
      </w:pPr>
      <w:r>
        <w:rPr>
          <w:rFonts w:ascii="Calibri"/>
          <w:color w:val="585858"/>
          <w:spacing w:val="-2"/>
          <w:sz w:val="16"/>
        </w:rPr>
        <w:t>500,000</w:t>
      </w:r>
    </w:p>
    <w:p>
      <w:pPr>
        <w:spacing w:before="124"/>
        <w:ind w:left="0" w:right="10083" w:firstLine="0"/>
        <w:jc w:val="right"/>
        <w:rPr>
          <w:rFonts w:ascii="Calibri"/>
          <w:sz w:val="16"/>
        </w:rPr>
      </w:pPr>
      <w:r>
        <w:rPr>
          <w:rFonts w:ascii="Calibri"/>
          <w:color w:val="585858"/>
          <w:spacing w:val="-2"/>
          <w:sz w:val="16"/>
        </w:rPr>
        <w:t>400,000</w:t>
      </w:r>
    </w:p>
    <w:p>
      <w:pPr>
        <w:spacing w:before="124"/>
        <w:ind w:left="0" w:right="10083" w:firstLine="0"/>
        <w:jc w:val="right"/>
        <w:rPr>
          <w:rFonts w:ascii="Calibri"/>
          <w:sz w:val="16"/>
        </w:rPr>
      </w:pPr>
      <w:r>
        <w:rPr>
          <w:rFonts w:ascii="Calibri"/>
          <w:color w:val="585858"/>
          <w:spacing w:val="-2"/>
          <w:sz w:val="16"/>
        </w:rPr>
        <w:t>300,000</w:t>
      </w:r>
    </w:p>
    <w:p>
      <w:pPr>
        <w:spacing w:before="124"/>
        <w:ind w:left="0" w:right="10083" w:firstLine="0"/>
        <w:jc w:val="right"/>
        <w:rPr>
          <w:rFonts w:ascii="Calibri"/>
          <w:sz w:val="16"/>
        </w:rPr>
      </w:pPr>
      <w:r>
        <w:rPr>
          <w:rFonts w:ascii="Calibri"/>
          <w:color w:val="585858"/>
          <w:spacing w:val="-2"/>
          <w:sz w:val="16"/>
        </w:rPr>
        <w:t>200,000</w:t>
      </w:r>
    </w:p>
    <w:p>
      <w:pPr>
        <w:spacing w:before="125"/>
        <w:ind w:left="0" w:right="10083" w:firstLine="0"/>
        <w:jc w:val="right"/>
        <w:rPr>
          <w:rFonts w:ascii="Calibri"/>
          <w:sz w:val="16"/>
        </w:rPr>
      </w:pPr>
      <w:r>
        <w:rPr>
          <w:rFonts w:ascii="Calibri"/>
          <w:color w:val="585858"/>
          <w:spacing w:val="-2"/>
          <w:sz w:val="16"/>
        </w:rPr>
        <w:t>100,000</w:t>
      </w:r>
    </w:p>
    <w:p>
      <w:pPr>
        <w:spacing w:before="124"/>
        <w:ind w:left="0" w:right="10082" w:firstLine="0"/>
        <w:jc w:val="right"/>
        <w:rPr>
          <w:rFonts w:ascii="Calibri"/>
          <w:sz w:val="16"/>
        </w:rPr>
      </w:pPr>
      <w:r>
        <w:rPr>
          <w:rFonts w:ascii="Calibri"/>
          <w:color w:val="585858"/>
          <w:w w:val="103"/>
          <w:sz w:val="16"/>
        </w:rPr>
        <w:t>0</w:t>
      </w:r>
    </w:p>
    <w:p>
      <w:pPr>
        <w:pStyle w:val="BodyText"/>
        <w:rPr>
          <w:rFonts w:ascii="Calibri"/>
        </w:rPr>
      </w:pPr>
    </w:p>
    <w:p>
      <w:pPr>
        <w:pStyle w:val="BodyText"/>
        <w:spacing w:before="3"/>
        <w:rPr>
          <w:rFonts w:ascii="Calibri"/>
          <w:sz w:val="26"/>
        </w:rPr>
      </w:pPr>
    </w:p>
    <w:p>
      <w:pPr>
        <w:spacing w:before="61"/>
        <w:ind w:left="1602" w:right="1423" w:firstLine="0"/>
        <w:jc w:val="center"/>
        <w:rPr>
          <w:rFonts w:ascii="Calibri"/>
          <w:b/>
          <w:sz w:val="19"/>
        </w:rPr>
      </w:pPr>
      <w:r>
        <w:rPr>
          <w:rFonts w:ascii="Calibri"/>
          <w:b/>
          <w:color w:val="585858"/>
          <w:sz w:val="19"/>
        </w:rPr>
        <w:t>Year Ending 30 June</w:t>
      </w:r>
    </w:p>
    <w:p>
      <w:pPr>
        <w:spacing w:after="0"/>
        <w:jc w:val="center"/>
        <w:rPr>
          <w:rFonts w:ascii="Calibri"/>
          <w:sz w:val="19"/>
        </w:rPr>
        <w:sectPr>
          <w:type w:val="continuous"/>
          <w:pgSz w:w="11910" w:h="16850"/>
          <w:pgMar w:top="1600" w:bottom="280" w:left="120" w:right="0"/>
        </w:sect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spacing w:before="1"/>
        <w:rPr>
          <w:rFonts w:ascii="Calibri"/>
          <w:b/>
          <w:sz w:val="19"/>
        </w:rPr>
      </w:pPr>
    </w:p>
    <w:p>
      <w:pPr>
        <w:pStyle w:val="Heading9"/>
        <w:spacing w:before="0"/>
        <w:ind w:left="899" w:right="1079"/>
      </w:pPr>
      <w:r>
        <w:rPr>
          <w:color w:val="DF2F1E"/>
        </w:rPr>
        <w:t>Figure 99: Number of people re-entering the welfare system from class 10 – Previous Welfare Recipient (by class entered into)</w:t>
      </w:r>
    </w:p>
    <w:p>
      <w:pPr>
        <w:pStyle w:val="BodyText"/>
        <w:spacing w:before="2"/>
        <w:rPr>
          <w:b/>
          <w:sz w:val="9"/>
        </w:rPr>
      </w:pPr>
    </w:p>
    <w:p>
      <w:pPr>
        <w:spacing w:before="71"/>
        <w:ind w:left="0" w:right="10085" w:firstLine="0"/>
        <w:jc w:val="right"/>
        <w:rPr>
          <w:rFonts w:ascii="Calibri"/>
          <w:sz w:val="16"/>
        </w:rPr>
      </w:pPr>
      <w:r>
        <w:rPr/>
        <w:pict>
          <v:group style="position:absolute;margin-left:98.35627pt;margin-top:8.809086pt;width:412.6pt;height:144pt;mso-position-horizontal-relative:page;mso-position-vertical-relative:paragraph;z-index:252762112" coordorigin="1967,176" coordsize="8252,2880">
            <v:shape style="position:absolute;left:1973;top:2101;width:8240;height:2" coordorigin="1973,2102" coordsize="8240,0" path="m9965,2102l10213,2102m9150,2102l9634,2102m8324,2102l8820,2102m7498,2102l7993,2102m6671,2102l7167,2102m5845,2102l6341,2102m5019,2102l5514,2102m4204,2102l4688,2102m3378,2102l3874,2102m2551,2102l3047,2102m1973,2102l2221,2102e" filled="false" stroked="true" strokeweight=".588925pt" strokecolor="#d9d9d9">
              <v:path arrowok="t"/>
              <v:stroke dashstyle="solid"/>
            </v:shape>
            <v:rect style="position:absolute;left:2220;top:2337;width:331;height:83" filled="true" fillcolor="#1f487c" stroked="false">
              <v:fill type="solid"/>
            </v:rect>
            <v:rect style="position:absolute;left:2220;top:1878;width:331;height:460" filled="true" fillcolor="#009544" stroked="false">
              <v:fill type="solid"/>
            </v:rect>
            <v:rect style="position:absolute;left:3047;top:2361;width:331;height:59" filled="true" fillcolor="#1f487c" stroked="false">
              <v:fill type="solid"/>
            </v:rect>
            <v:rect style="position:absolute;left:3047;top:1937;width:331;height:425" filled="true" fillcolor="#009544" stroked="false">
              <v:fill type="solid"/>
            </v:rect>
            <v:rect style="position:absolute;left:3873;top:2361;width:331;height:59" filled="true" fillcolor="#1f487c" stroked="false">
              <v:fill type="solid"/>
            </v:rect>
            <v:rect style="position:absolute;left:3873;top:1948;width:331;height:413" filled="true" fillcolor="#009544" stroked="false">
              <v:fill type="solid"/>
            </v:rect>
            <v:rect style="position:absolute;left:4688;top:2361;width:331;height:59" filled="true" fillcolor="#1f487c" stroked="false">
              <v:fill type="solid"/>
            </v:rect>
            <v:rect style="position:absolute;left:4688;top:1984;width:331;height:377" filled="true" fillcolor="#009544" stroked="false">
              <v:fill type="solid"/>
            </v:rect>
            <v:rect style="position:absolute;left:5514;top:2372;width:331;height:48" filled="true" fillcolor="#1f487c" stroked="false">
              <v:fill type="solid"/>
            </v:rect>
            <v:rect style="position:absolute;left:5514;top:2019;width:331;height:354" filled="true" fillcolor="#009544" stroked="false">
              <v:fill type="solid"/>
            </v:rect>
            <v:rect style="position:absolute;left:6340;top:2361;width:331;height:59" filled="true" fillcolor="#1f487c" stroked="false">
              <v:fill type="solid"/>
            </v:rect>
            <v:rect style="position:absolute;left:6340;top:1960;width:331;height:401" filled="true" fillcolor="#009544" stroked="false">
              <v:fill type="solid"/>
            </v:rect>
            <v:rect style="position:absolute;left:7167;top:2361;width:331;height:59" filled="true" fillcolor="#1f487c" stroked="false">
              <v:fill type="solid"/>
            </v:rect>
            <v:rect style="position:absolute;left:7167;top:1937;width:331;height:425" filled="true" fillcolor="#009544" stroked="false">
              <v:fill type="solid"/>
            </v:rect>
            <v:rect style="position:absolute;left:7993;top:2372;width:331;height:48" filled="true" fillcolor="#1f487c" stroked="false">
              <v:fill type="solid"/>
            </v:rect>
            <v:rect style="position:absolute;left:7993;top:1925;width:331;height:448" filled="true" fillcolor="#009544" stroked="false">
              <v:fill type="solid"/>
            </v:rect>
            <v:rect style="position:absolute;left:8819;top:2372;width:331;height:48" filled="true" fillcolor="#1f487c" stroked="false">
              <v:fill type="solid"/>
            </v:rect>
            <v:rect style="position:absolute;left:8819;top:1925;width:331;height:448" filled="true" fillcolor="#009544" stroked="false">
              <v:fill type="solid"/>
            </v:rect>
            <v:rect style="position:absolute;left:9634;top:2372;width:331;height:48" filled="true" fillcolor="#1f487c" stroked="false">
              <v:fill type="solid"/>
            </v:rect>
            <v:rect style="position:absolute;left:9634;top:1901;width:331;height:472" filled="true" fillcolor="#009544" stroked="false">
              <v:fill type="solid"/>
            </v:rect>
            <v:line style="position:absolute" from="1973,1784" to="4688,1784" stroked="true" strokeweight=".588925pt" strokecolor="#d9d9d9">
              <v:stroke dashstyle="solid"/>
            </v:line>
            <v:shape style="position:absolute;left:2220;top:1842;width:2798;height:142" coordorigin="2221,1843" coordsize="2798,142" path="m2551,1843l2221,1843,2221,1878,2551,1878,2551,1843m3378,1914l3047,1914,3047,1937,3378,1937,3378,1914m4204,1914l3874,1914,3874,1949,4204,1949,4204,1914m5019,1961l4688,1961,4688,1984,5019,1984,5019,1961e" filled="true" fillcolor="#e16b09" stroked="false">
              <v:path arrowok="t"/>
              <v:fill type="solid"/>
            </v:shape>
            <v:line style="position:absolute" from="5514,2014" to="5845,2014" stroked="true" strokeweight=".588922pt" strokecolor="#e16b09">
              <v:stroke dashstyle="solid"/>
            </v:line>
            <v:shape style="position:absolute;left:6340;top:1878;width:3624;height:83" coordorigin="6341,1878" coordsize="3624,83" path="m6671,1937l6341,1937,6341,1961,6671,1961,6671,1937m7498,1902l7167,1902,7167,1937,7498,1937,7498,1902m8324,1890l7993,1890,7993,1925,8324,1925,8324,1890m9150,1890l8820,1890,8820,1925,9150,1925,9150,1890m9965,1878l9634,1878,9634,1902,9965,1902,9965,1878e" filled="true" fillcolor="#e16b09" stroked="false">
              <v:path arrowok="t"/>
              <v:fill type="solid"/>
            </v:shape>
            <v:line style="position:absolute" from="2221,1837" to="2551,1837" stroked="true" strokeweight=".588922pt" strokecolor="#e08ad6">
              <v:stroke dashstyle="solid"/>
            </v:line>
            <v:rect style="position:absolute;left:3047;top:1889;width:331;height:24" filled="true" fillcolor="#e08ad6" stroked="false">
              <v:fill type="solid"/>
            </v:rect>
            <v:line style="position:absolute" from="3874,1908" to="4204,1908" stroked="true" strokeweight=".588935pt" strokecolor="#e08ad6">
              <v:stroke dashstyle="solid"/>
            </v:line>
            <v:rect style="position:absolute;left:4688;top:1937;width:331;height:24" filled="true" fillcolor="#e08ad6" stroked="false">
              <v:fill type="solid"/>
            </v:rect>
            <v:line style="position:absolute" from="5514,1996" to="5845,1996" stroked="true" strokeweight="1.177857pt" strokecolor="#e08ad6">
              <v:stroke dashstyle="solid"/>
            </v:line>
            <v:rect style="position:absolute;left:6340;top:1913;width:331;height:24" filled="true" fillcolor="#e08ad6" stroked="false">
              <v:fill type="solid"/>
            </v:rect>
            <v:line style="position:absolute" from="7167,1896" to="7498,1896" stroked="true" strokeweight=".588922pt" strokecolor="#e08ad6">
              <v:stroke dashstyle="solid"/>
            </v:line>
            <v:shape style="position:absolute;left:7993;top:1866;width:1157;height:24" coordorigin="7993,1866" coordsize="1157,24" path="m8324,1866l7993,1866,7993,1890,8324,1890,8324,1866m9150,1866l8820,1866,8820,1890,9150,1890,9150,1866e" filled="true" fillcolor="#e08ad6" stroked="false">
              <v:path arrowok="t"/>
              <v:fill type="solid"/>
            </v:shape>
            <v:shape style="position:absolute;left:9150;top:1783;width:1063;height:2" coordorigin="9150,1784" coordsize="1063,0" path="m9965,1784l10213,1784m9150,1784l9634,1784e" filled="false" stroked="true" strokeweight=".588925pt" strokecolor="#d9d9d9">
              <v:path arrowok="t"/>
              <v:stroke dashstyle="solid"/>
            </v:shape>
            <v:rect style="position:absolute;left:9634;top:1854;width:331;height:24" filled="true" fillcolor="#e08ad6" stroked="false">
              <v:fill type="solid"/>
            </v:rect>
            <v:shape style="position:absolute;left:2220;top:1795;width:1984;height:106" coordorigin="2221,1796" coordsize="1984,106" path="m2551,1796l2221,1796,2221,1831,2551,1831,2551,1796m3378,1866l3047,1866,3047,1890,3378,1890,3378,1866m4204,1878l3874,1878,3874,1902,4204,1902,4204,1878e" filled="true" fillcolor="#8063a1" stroked="false">
              <v:path arrowok="t"/>
              <v:fill type="solid"/>
            </v:shape>
            <v:shape style="position:absolute;left:4688;top:1931;width:1157;height:48" coordorigin="4688,1931" coordsize="1157,48" path="m4688,1931l5019,1931m5514,1978l5845,1978e" filled="false" stroked="true" strokeweight=".588922pt" strokecolor="#8063a1">
              <v:path arrowok="t"/>
              <v:stroke dashstyle="solid"/>
            </v:shape>
            <v:line style="position:absolute" from="6341,1908" to="6671,1908" stroked="true" strokeweight=".588935pt" strokecolor="#8063a1">
              <v:stroke dashstyle="solid"/>
            </v:line>
            <v:rect style="position:absolute;left:7167;top:1866;width:331;height:24" filled="true" fillcolor="#8063a1" stroked="false">
              <v:fill type="solid"/>
            </v:rect>
            <v:shape style="position:absolute;left:5844;top:1783;width:2975;height:2" coordorigin="5845,1784" coordsize="2975,0" path="m8324,1784l8820,1784m5845,1784l7993,1784e" filled="false" stroked="true" strokeweight=".588925pt" strokecolor="#d9d9d9">
              <v:path arrowok="t"/>
              <v:stroke dashstyle="solid"/>
            </v:shape>
            <v:shape style="position:absolute;left:7993;top:1860;width:1157;height:2" coordorigin="7993,1861" coordsize="1157,0" path="m7993,1861l8324,1861m8820,1861l9150,1861e" filled="false" stroked="true" strokeweight=".588922pt" strokecolor="#8063a1">
              <v:path arrowok="t"/>
              <v:stroke dashstyle="solid"/>
            </v:shape>
            <v:rect style="position:absolute;left:9634;top:1831;width:331;height:24" filled="true" fillcolor="#8063a1" stroked="false">
              <v:fill type="solid"/>
            </v:rect>
            <v:shape style="position:absolute;left:2220;top:1736;width:1984;height:142" coordorigin="2221,1737" coordsize="1984,142" path="m2551,1737l2221,1737,2221,1796,2551,1796,2551,1737m3378,1796l3047,1796,3047,1866,3378,1866,3378,1796m4204,1808l3874,1808,3874,1878,4204,1878,4204,1808e" filled="true" fillcolor="#c0504d" stroked="false">
              <v:path arrowok="t"/>
              <v:fill type="solid"/>
            </v:shape>
            <v:line style="position:absolute" from="5019,1784" to="5514,1784" stroked="true" strokeweight=".588925pt" strokecolor="#d9d9d9">
              <v:stroke dashstyle="solid"/>
            </v:line>
            <v:shape style="position:absolute;left:4688;top:1713;width:5277;height:260" coordorigin="4688,1713" coordsize="5277,260" path="m5019,1843l4688,1843,4688,1925,5019,1925,5019,1843m5845,1925l5514,1925,5514,1972,5845,1972,5845,1925m6671,1819l6341,1819,6341,1902,6671,1902,6671,1819m7498,1796l7167,1796,7167,1866,7498,1866,7498,1796m8324,1749l7993,1749,7993,1855,8324,1855,8324,1749m9150,1760l8820,1760,8820,1855,9150,1855,9150,1760m9965,1713l9634,1713,9634,1831,9965,1831,9965,1713e" filled="true" fillcolor="#c0504d" stroked="false">
              <v:path arrowok="t"/>
              <v:fill type="solid"/>
            </v:shape>
            <v:line style="position:absolute" from="2221,1731" to="2551,1731" stroked="true" strokeweight=".588922pt" strokecolor="#ecb8e7">
              <v:stroke dashstyle="solid"/>
            </v:line>
            <v:shape style="position:absolute;left:3047;top:1677;width:6918;height:248" coordorigin="3047,1678" coordsize="6918,248" path="m3378,1772l3047,1772,3047,1796,3378,1796,3378,1772m4204,1784l3874,1784,3874,1808,4204,1808,4204,1784m5019,1819l4688,1819,4688,1843,5019,1843,5019,1819m5845,1902l5514,1902,5514,1925,5845,1925,5845,1902m6671,1784l6341,1784,6341,1819,6671,1819,6671,1784m7498,1772l7167,1772,7167,1796,7498,1796,7498,1772m8324,1725l7993,1725,7993,1749,8324,1749,8324,1725m9150,1737l8820,1737,8820,1760,9150,1760,9150,1737m9965,1678l9634,1678,9634,1713,9965,1713,9965,1678e" filled="true" fillcolor="#ecb8e7" stroked="false">
              <v:path arrowok="t"/>
              <v:fill type="solid"/>
            </v:shape>
            <v:shape style="position:absolute;left:1973;top:1465;width:4368;height:2" coordorigin="1973,1466" coordsize="4368,0" path="m2551,1466l6341,1466m1973,1466l2221,1466e" filled="false" stroked="true" strokeweight=".588925pt" strokecolor="#d9d9d9">
              <v:path arrowok="t"/>
              <v:stroke dashstyle="solid"/>
            </v:shape>
            <v:shape style="position:absolute;left:2220;top:1454;width:3624;height:448" coordorigin="2221,1454" coordsize="3624,448" path="m2551,1454l2221,1454,2221,1725,2551,1725,2551,1454m3378,1490l3047,1490,3047,1772,3378,1772,3378,1490m4204,1490l3874,1490,3874,1784,4204,1784,4204,1490m5019,1513l4688,1513,4688,1819,5019,1819,5019,1513m5845,1596l5514,1596,5514,1902,5845,1902,5845,1596e" filled="true" fillcolor="#938953" stroked="false">
              <v:path arrowok="t"/>
              <v:fill type="solid"/>
            </v:shape>
            <v:line style="position:absolute" from="6671,1466" to="7167,1466" stroked="true" strokeweight=".588925pt" strokecolor="#d9d9d9">
              <v:stroke dashstyle="solid"/>
            </v:line>
            <v:rect style="position:absolute;left:6340;top:1395;width:331;height:389" filled="true" fillcolor="#938953" stroked="false">
              <v:fill type="solid"/>
            </v:rect>
            <v:line style="position:absolute" from="7498,1466" to="7993,1466" stroked="true" strokeweight=".588925pt" strokecolor="#d9d9d9">
              <v:stroke dashstyle="solid"/>
            </v:line>
            <v:rect style="position:absolute;left:7167;top:1407;width:331;height:366" filled="true" fillcolor="#938953" stroked="false">
              <v:fill type="solid"/>
            </v:rect>
            <v:line style="position:absolute" from="8324,1466" to="8820,1466" stroked="true" strokeweight=".588925pt" strokecolor="#d9d9d9">
              <v:stroke dashstyle="solid"/>
            </v:line>
            <v:rect style="position:absolute;left:7993;top:1336;width:331;height:389" filled="true" fillcolor="#938953" stroked="false">
              <v:fill type="solid"/>
            </v:rect>
            <v:line style="position:absolute" from="9150,1466" to="9634,1466" stroked="true" strokeweight=".588925pt" strokecolor="#d9d9d9">
              <v:stroke dashstyle="solid"/>
            </v:line>
            <v:rect style="position:absolute;left:8819;top:1324;width:331;height:413" filled="true" fillcolor="#938953" stroked="false">
              <v:fill type="solid"/>
            </v:rect>
            <v:line style="position:absolute" from="9965,1466" to="10213,1466" stroked="true" strokeweight=".588925pt" strokecolor="#d9d9d9">
              <v:stroke dashstyle="solid"/>
            </v:line>
            <v:rect style="position:absolute;left:9634;top:1253;width:331;height:425" filled="true" fillcolor="#938953" stroked="false">
              <v:fill type="solid"/>
            </v:rect>
            <v:shape style="position:absolute;left:2220;top:1265;width:6930;height:330" coordorigin="2221,1266" coordsize="6930,330" path="m2551,1419l2221,1419,2221,1454,2551,1454,2551,1419m3378,1466l3047,1466,3047,1490,3378,1490,3378,1466m4204,1466l3874,1466,3874,1490,4204,1490,4204,1466m5019,1478l4688,1478,4688,1513,5019,1513,5019,1478m5845,1560l5514,1560,5514,1596,5845,1596,5845,1560m6671,1360l6341,1360,6341,1395,6671,1395,6671,1360m7498,1348l7167,1348,7167,1407,7498,1407,7498,1348m8324,1278l7993,1278,7993,1336,8324,1336,8324,1278m9150,1266l8820,1266,8820,1325,9150,1325,9150,1266e" filled="true" fillcolor="#000000" stroked="false">
              <v:path arrowok="t"/>
              <v:fill type="solid"/>
            </v:shape>
            <v:line style="position:absolute" from="1973,1136" to="10213,1136" stroked="true" strokeweight=".588925pt" strokecolor="#d9d9d9">
              <v:stroke dashstyle="solid"/>
            </v:line>
            <v:rect style="position:absolute;left:9634;top:1195;width:331;height:59" filled="true" fillcolor="#000000" stroked="false">
              <v:fill type="solid"/>
            </v:rect>
            <v:line style="position:absolute" from="1973,2420" to="10213,2420" stroked="true" strokeweight=".588929pt" strokecolor="#d9d9d9">
              <v:stroke dashstyle="solid"/>
            </v:line>
            <v:shape style="position:absolute;left:0;top:-10932;width:651809;height:25214" coordorigin="0,-10932" coordsize="651809,25214" path="m1973,2420l1973,2467m1973,2420l1973,2738m2799,2420l2799,2467m2799,2420l2799,2738m3626,2420l3626,2467m3626,2420l3626,2738m4440,2420l4440,2467m4440,2420l4440,2738m5266,2420l5266,2467m5266,2420l5266,2738m6093,2420l6093,2467m6093,2420l6093,2738m6919,2420l6919,2467m6919,2420l6919,2738m7745,2420l7745,2467m7745,2420l7745,2738m8572,2420l8572,2467m8572,2420l8572,2738m9386,2420l9386,2467m9386,2420l9386,2738m10213,2420l10213,2467m10213,2420l10213,2738e" filled="false" stroked="true" strokeweight=".589577pt" strokecolor="#d9d9d9">
              <v:path arrowok="t"/>
              <v:stroke dashstyle="solid"/>
            </v:shape>
            <v:shape style="position:absolute;left:0;top:-10932;width:651809;height:25214" coordorigin="0,-10932" coordsize="651809,25214" path="m1973,2738l1973,3056m6093,2738l6093,3056m10213,2738l10213,3056e" filled="false" stroked="true" strokeweight=".589577pt" strokecolor="#d9d9d9">
              <v:path arrowok="t"/>
              <v:stroke dashstyle="solid"/>
            </v:shape>
            <v:shape style="position:absolute;left:0;top:113632;width:636216;height:49221" coordorigin="0,113633" coordsize="636216,49221" path="m1973,818l10213,818m1973,500l10213,500m1973,182l10213,182e" filled="false" stroked="true" strokeweight=".589577pt" strokecolor="#d9d9d9">
              <v:path arrowok="t"/>
              <v:stroke dashstyle="solid"/>
            </v:shape>
            <v:line style="position:absolute" from="6100,182" to="6093,2425" stroked="true" strokeweight=".590226pt" strokecolor="#a6a6a6">
              <v:stroke dashstyle="solid"/>
            </v:line>
            <v:shape style="position:absolute;left:2217;top:2554;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2014</w:t>
                    </w:r>
                  </w:p>
                </w:txbxContent>
              </v:textbox>
              <w10:wrap type="none"/>
            </v:shape>
            <v:shape style="position:absolute;left:3042;top:2554;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2015</w:t>
                    </w:r>
                  </w:p>
                </w:txbxContent>
              </v:textbox>
              <w10:wrap type="none"/>
            </v:shape>
            <v:shape style="position:absolute;left:3866;top:2554;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2016</w:t>
                    </w:r>
                  </w:p>
                </w:txbxContent>
              </v:textbox>
              <w10:wrap type="none"/>
            </v:shape>
            <v:shape style="position:absolute;left:4690;top:2554;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2017</w:t>
                    </w:r>
                  </w:p>
                </w:txbxContent>
              </v:textbox>
              <w10:wrap type="none"/>
            </v:shape>
            <v:shape style="position:absolute;left:5514;top:2554;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2018</w:t>
                    </w:r>
                  </w:p>
                </w:txbxContent>
              </v:textbox>
              <w10:wrap type="none"/>
            </v:shape>
            <v:shape style="position:absolute;left:6339;top:2554;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2019</w:t>
                    </w:r>
                  </w:p>
                </w:txbxContent>
              </v:textbox>
              <w10:wrap type="none"/>
            </v:shape>
            <v:shape style="position:absolute;left:7163;top:2554;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2020</w:t>
                    </w:r>
                  </w:p>
                </w:txbxContent>
              </v:textbox>
              <w10:wrap type="none"/>
            </v:shape>
            <v:shape style="position:absolute;left:7987;top:2554;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2021</w:t>
                    </w:r>
                  </w:p>
                </w:txbxContent>
              </v:textbox>
              <w10:wrap type="none"/>
            </v:shape>
            <v:shape style="position:absolute;left:8812;top:2554;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2022</w:t>
                    </w:r>
                  </w:p>
                </w:txbxContent>
              </v:textbox>
              <w10:wrap type="none"/>
            </v:shape>
            <v:shape style="position:absolute;left:9636;top:2554;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2023</w:t>
                    </w:r>
                  </w:p>
                </w:txbxContent>
              </v:textbox>
              <w10:wrap type="none"/>
            </v:shape>
            <v:shape style="position:absolute;left:3777;top:2872;width:4718;height:165" type="#_x0000_t202" filled="false" stroked="false">
              <v:textbox inset="0,0,0,0">
                <w:txbxContent>
                  <w:p>
                    <w:pPr>
                      <w:tabs>
                        <w:tab w:pos="4055" w:val="left" w:leader="none"/>
                      </w:tabs>
                      <w:spacing w:line="165" w:lineRule="exact" w:before="0"/>
                      <w:ind w:left="0" w:right="0" w:firstLine="0"/>
                      <w:jc w:val="left"/>
                      <w:rPr>
                        <w:rFonts w:ascii="Calibri"/>
                        <w:sz w:val="16"/>
                      </w:rPr>
                    </w:pPr>
                    <w:r>
                      <w:rPr>
                        <w:rFonts w:ascii="Calibri"/>
                        <w:color w:val="585858"/>
                        <w:w w:val="105"/>
                        <w:sz w:val="16"/>
                      </w:rPr>
                      <w:t>Historic</w:t>
                      <w:tab/>
                    </w:r>
                    <w:r>
                      <w:rPr>
                        <w:rFonts w:ascii="Calibri"/>
                        <w:color w:val="585858"/>
                        <w:sz w:val="16"/>
                      </w:rPr>
                      <w:t>Projected</w:t>
                    </w:r>
                  </w:p>
                </w:txbxContent>
              </v:textbox>
              <w10:wrap type="none"/>
            </v:shape>
            <w10:wrap type="none"/>
          </v:group>
        </w:pict>
      </w:r>
      <w:r>
        <w:rPr>
          <w:rFonts w:ascii="Calibri"/>
          <w:color w:val="585858"/>
          <w:spacing w:val="-1"/>
          <w:sz w:val="16"/>
        </w:rPr>
        <w:t>700,000</w:t>
      </w:r>
    </w:p>
    <w:p>
      <w:pPr>
        <w:spacing w:before="125"/>
        <w:ind w:left="0" w:right="10085" w:firstLine="0"/>
        <w:jc w:val="right"/>
        <w:rPr>
          <w:rFonts w:ascii="Calibri"/>
          <w:sz w:val="16"/>
        </w:rPr>
      </w:pPr>
      <w:r>
        <w:rPr>
          <w:rFonts w:ascii="Calibri"/>
          <w:color w:val="585858"/>
          <w:spacing w:val="-1"/>
          <w:sz w:val="16"/>
        </w:rPr>
        <w:t>600,000</w:t>
      </w:r>
    </w:p>
    <w:p>
      <w:pPr>
        <w:spacing w:before="125"/>
        <w:ind w:left="0" w:right="10085" w:firstLine="0"/>
        <w:jc w:val="right"/>
        <w:rPr>
          <w:rFonts w:ascii="Calibri"/>
          <w:sz w:val="16"/>
        </w:rPr>
      </w:pPr>
      <w:r>
        <w:rPr>
          <w:rFonts w:ascii="Calibri"/>
          <w:color w:val="585858"/>
          <w:spacing w:val="-1"/>
          <w:sz w:val="16"/>
        </w:rPr>
        <w:t>500,000</w:t>
      </w:r>
    </w:p>
    <w:p>
      <w:pPr>
        <w:spacing w:before="124"/>
        <w:ind w:left="0" w:right="10085" w:firstLine="0"/>
        <w:jc w:val="right"/>
        <w:rPr>
          <w:rFonts w:ascii="Calibri"/>
          <w:sz w:val="16"/>
        </w:rPr>
      </w:pPr>
      <w:r>
        <w:rPr>
          <w:rFonts w:ascii="Calibri"/>
          <w:color w:val="585858"/>
          <w:spacing w:val="-1"/>
          <w:sz w:val="16"/>
        </w:rPr>
        <w:t>400,000</w:t>
      </w:r>
    </w:p>
    <w:p>
      <w:pPr>
        <w:spacing w:before="125"/>
        <w:ind w:left="0" w:right="10085" w:firstLine="0"/>
        <w:jc w:val="right"/>
        <w:rPr>
          <w:rFonts w:ascii="Calibri"/>
          <w:sz w:val="16"/>
        </w:rPr>
      </w:pPr>
      <w:r>
        <w:rPr>
          <w:rFonts w:ascii="Calibri"/>
          <w:color w:val="585858"/>
          <w:spacing w:val="-1"/>
          <w:sz w:val="16"/>
        </w:rPr>
        <w:t>300,000</w:t>
      </w:r>
    </w:p>
    <w:p>
      <w:pPr>
        <w:spacing w:before="125"/>
        <w:ind w:left="0" w:right="10085" w:firstLine="0"/>
        <w:jc w:val="right"/>
        <w:rPr>
          <w:rFonts w:ascii="Calibri"/>
          <w:sz w:val="16"/>
        </w:rPr>
      </w:pPr>
      <w:r>
        <w:rPr>
          <w:rFonts w:ascii="Calibri"/>
          <w:color w:val="585858"/>
          <w:spacing w:val="-1"/>
          <w:sz w:val="16"/>
        </w:rPr>
        <w:t>200,000</w:t>
      </w:r>
    </w:p>
    <w:p>
      <w:pPr>
        <w:spacing w:before="124"/>
        <w:ind w:left="0" w:right="10085" w:firstLine="0"/>
        <w:jc w:val="right"/>
        <w:rPr>
          <w:rFonts w:ascii="Calibri"/>
          <w:sz w:val="16"/>
        </w:rPr>
      </w:pPr>
      <w:r>
        <w:rPr>
          <w:rFonts w:ascii="Calibri"/>
          <w:color w:val="585858"/>
          <w:spacing w:val="-1"/>
          <w:sz w:val="16"/>
        </w:rPr>
        <w:t>100,000</w:t>
      </w:r>
    </w:p>
    <w:p>
      <w:pPr>
        <w:spacing w:before="125"/>
        <w:ind w:left="0" w:right="10084" w:firstLine="0"/>
        <w:jc w:val="right"/>
        <w:rPr>
          <w:rFonts w:ascii="Calibri"/>
          <w:sz w:val="16"/>
        </w:rPr>
      </w:pPr>
      <w:r>
        <w:rPr>
          <w:rFonts w:ascii="Calibri"/>
          <w:color w:val="585858"/>
          <w:w w:val="103"/>
          <w:sz w:val="16"/>
        </w:rPr>
        <w:t>0</w:t>
      </w:r>
    </w:p>
    <w:p>
      <w:pPr>
        <w:pStyle w:val="BodyText"/>
        <w:rPr>
          <w:rFonts w:ascii="Calibri"/>
        </w:rPr>
      </w:pPr>
    </w:p>
    <w:p>
      <w:pPr>
        <w:pStyle w:val="BodyText"/>
        <w:spacing w:before="4"/>
        <w:rPr>
          <w:rFonts w:ascii="Calibri"/>
          <w:sz w:val="26"/>
        </w:rPr>
      </w:pPr>
    </w:p>
    <w:p>
      <w:pPr>
        <w:spacing w:before="61"/>
        <w:ind w:left="1602" w:right="1414" w:firstLine="0"/>
        <w:jc w:val="center"/>
        <w:rPr>
          <w:rFonts w:ascii="Calibri"/>
          <w:b/>
          <w:sz w:val="19"/>
        </w:rPr>
      </w:pPr>
      <w:r>
        <w:rPr>
          <w:rFonts w:ascii="Calibri"/>
          <w:b/>
          <w:color w:val="585858"/>
          <w:sz w:val="19"/>
        </w:rPr>
        <w:t>Year Ending 30 June</w:t>
      </w:r>
    </w:p>
    <w:p>
      <w:pPr>
        <w:pStyle w:val="BodyText"/>
        <w:spacing w:before="2"/>
        <w:rPr>
          <w:rFonts w:ascii="Calibri"/>
          <w:b/>
          <w:sz w:val="9"/>
        </w:rPr>
      </w:pPr>
    </w:p>
    <w:p>
      <w:pPr>
        <w:spacing w:before="76"/>
        <w:ind w:left="1597" w:right="9672" w:firstLine="0"/>
        <w:jc w:val="center"/>
        <w:rPr>
          <w:rFonts w:ascii="Calibri"/>
          <w:sz w:val="12"/>
        </w:rPr>
      </w:pPr>
      <w:r>
        <w:rPr>
          <w:rFonts w:ascii="Calibri"/>
          <w:sz w:val="12"/>
        </w:rPr>
        <w:t>Class key:</w:t>
      </w:r>
    </w:p>
    <w:p>
      <w:pPr>
        <w:tabs>
          <w:tab w:pos="1445" w:val="left" w:leader="none"/>
          <w:tab w:pos="2891" w:val="left" w:leader="none"/>
          <w:tab w:pos="4337" w:val="left" w:leader="none"/>
          <w:tab w:pos="5782" w:val="left" w:leader="none"/>
          <w:tab w:pos="7228" w:val="left" w:leader="none"/>
        </w:tabs>
        <w:spacing w:before="45"/>
        <w:ind w:left="0" w:right="132" w:firstLine="0"/>
        <w:jc w:val="center"/>
        <w:rPr>
          <w:rFonts w:ascii="Calibri"/>
          <w:sz w:val="12"/>
        </w:rPr>
      </w:pPr>
      <w:r>
        <w:rPr/>
        <w:pict>
          <v:group style="position:absolute;margin-left:85.804085pt;margin-top:1.554478pt;width:10.95pt;height:18.850pt;mso-position-horizontal-relative:page;mso-position-vertical-relative:paragraph;z-index:252763136" coordorigin="1716,31" coordsize="219,377">
            <v:rect style="position:absolute;left:1716;top:31;width:219;height:169" filled="true" fillcolor="#1f487c" stroked="false">
              <v:fill type="solid"/>
            </v:rect>
            <v:rect style="position:absolute;left:1716;top:239;width:219;height:169" filled="true" fillcolor="#f8a763" stroked="false">
              <v:fill type="solid"/>
            </v:rect>
            <w10:wrap type="none"/>
          </v:group>
        </w:pict>
      </w:r>
      <w:r>
        <w:rPr/>
        <w:pict>
          <v:group style="position:absolute;margin-left:157.689728pt;margin-top:1.554417pt;width:11.35pt;height:18.850pt;mso-position-horizontal-relative:page;mso-position-vertical-relative:paragraph;z-index:-287138816" coordorigin="3154,31" coordsize="227,377">
            <v:rect style="position:absolute;left:3153;top:31;width:227;height:169" filled="true" fillcolor="#009544" stroked="false">
              <v:fill type="solid"/>
            </v:rect>
            <v:rect style="position:absolute;left:3153;top:239;width:227;height:169" filled="true" fillcolor="#ecb8e7" stroked="false">
              <v:fill type="solid"/>
            </v:rect>
            <w10:wrap type="none"/>
          </v:group>
        </w:pict>
      </w:r>
      <w:r>
        <w:rPr/>
        <w:pict>
          <v:group style="position:absolute;margin-left:229.97963pt;margin-top:1.554356pt;width:11.35pt;height:18.850pt;mso-position-horizontal-relative:page;mso-position-vertical-relative:paragraph;z-index:-287137792" coordorigin="4600,31" coordsize="227,377">
            <v:rect style="position:absolute;left:4599;top:31;width:227;height:169" filled="true" fillcolor="#e16b09" stroked="false">
              <v:fill type="solid"/>
            </v:rect>
            <v:rect style="position:absolute;left:4599;top:239;width:227;height:169" filled="true" fillcolor="#938953" stroked="false">
              <v:fill type="solid"/>
            </v:rect>
            <w10:wrap type="none"/>
          </v:group>
        </w:pict>
      </w:r>
      <w:r>
        <w:rPr/>
        <w:pict>
          <v:group style="position:absolute;margin-left:302.269928pt;margin-top:1.554295pt;width:11.35pt;height:18.850pt;mso-position-horizontal-relative:page;mso-position-vertical-relative:paragraph;z-index:-287136768" coordorigin="6045,31" coordsize="227,377">
            <v:rect style="position:absolute;left:6045;top:31;width:227;height:169" filled="true" fillcolor="#e08ad6" stroked="false">
              <v:fill type="solid"/>
            </v:rect>
            <v:rect style="position:absolute;left:6045;top:239;width:227;height:169" filled="true" fillcolor="#ffd600" stroked="false">
              <v:fill type="solid"/>
            </v:rect>
            <w10:wrap type="none"/>
          </v:group>
        </w:pict>
      </w:r>
      <w:r>
        <w:rPr/>
        <w:pict>
          <v:group style="position:absolute;margin-left:374.559845pt;margin-top:1.554234pt;width:11.35pt;height:18.850pt;mso-position-horizontal-relative:page;mso-position-vertical-relative:paragraph;z-index:-287135744" coordorigin="7491,31" coordsize="227,377">
            <v:rect style="position:absolute;left:7491;top:31;width:227;height:169" filled="true" fillcolor="#8063a1" stroked="false">
              <v:fill type="solid"/>
            </v:rect>
            <v:rect style="position:absolute;left:7491;top:239;width:227;height:169" filled="true" fillcolor="#000000" stroked="false">
              <v:fill type="solid"/>
            </v:rect>
            <w10:wrap type="none"/>
          </v:group>
        </w:pict>
      </w:r>
      <w:r>
        <w:rPr/>
        <w:pict>
          <v:group style="position:absolute;margin-left:446.849335pt;margin-top:1.554173pt;width:11.35pt;height:18.850pt;mso-position-horizontal-relative:page;mso-position-vertical-relative:paragraph;z-index:-287134720" coordorigin="8937,31" coordsize="227,377">
            <v:rect style="position:absolute;left:8936;top:31;width:227;height:169" filled="true" fillcolor="#c0504d" stroked="false">
              <v:fill type="solid"/>
            </v:rect>
            <v:rect style="position:absolute;left:8936;top:239;width:227;height:169" filled="true" fillcolor="#ffeb8f" stroked="false">
              <v:fill type="solid"/>
            </v:rect>
            <w10:wrap type="none"/>
          </v:group>
        </w:pict>
      </w:r>
      <w:r>
        <w:rPr>
          <w:rFonts w:ascii="Calibri"/>
          <w:sz w:val="12"/>
        </w:rPr>
        <w:t>1</w:t>
      </w:r>
      <w:r>
        <w:rPr>
          <w:rFonts w:ascii="Calibri"/>
          <w:spacing w:val="-7"/>
          <w:sz w:val="12"/>
        </w:rPr>
        <w:t> </w:t>
      </w:r>
      <w:r>
        <w:rPr>
          <w:rFonts w:ascii="Calibri"/>
          <w:sz w:val="12"/>
        </w:rPr>
        <w:t>-</w:t>
      </w:r>
      <w:r>
        <w:rPr>
          <w:rFonts w:ascii="Calibri"/>
          <w:spacing w:val="2"/>
          <w:sz w:val="12"/>
        </w:rPr>
        <w:t> </w:t>
      </w:r>
      <w:r>
        <w:rPr>
          <w:rFonts w:ascii="Calibri"/>
          <w:sz w:val="12"/>
        </w:rPr>
        <w:t>Studying</w:t>
        <w:tab/>
        <w:t>2 -</w:t>
      </w:r>
      <w:r>
        <w:rPr>
          <w:rFonts w:ascii="Calibri"/>
          <w:spacing w:val="-6"/>
          <w:sz w:val="12"/>
        </w:rPr>
        <w:t> </w:t>
      </w:r>
      <w:r>
        <w:rPr>
          <w:rFonts w:ascii="Calibri"/>
          <w:sz w:val="12"/>
        </w:rPr>
        <w:t>Working</w:t>
      </w:r>
      <w:r>
        <w:rPr>
          <w:rFonts w:ascii="Calibri"/>
          <w:spacing w:val="-3"/>
          <w:sz w:val="12"/>
        </w:rPr>
        <w:t> </w:t>
      </w:r>
      <w:r>
        <w:rPr>
          <w:rFonts w:ascii="Calibri"/>
          <w:sz w:val="12"/>
        </w:rPr>
        <w:t>Age</w:t>
        <w:tab/>
        <w:t>3</w:t>
      </w:r>
      <w:r>
        <w:rPr>
          <w:rFonts w:ascii="Calibri"/>
          <w:spacing w:val="-7"/>
          <w:sz w:val="12"/>
        </w:rPr>
        <w:t> </w:t>
      </w:r>
      <w:r>
        <w:rPr>
          <w:rFonts w:ascii="Calibri"/>
          <w:sz w:val="12"/>
        </w:rPr>
        <w:t>-</w:t>
      </w:r>
      <w:r>
        <w:rPr>
          <w:rFonts w:ascii="Calibri"/>
          <w:spacing w:val="1"/>
          <w:sz w:val="12"/>
        </w:rPr>
        <w:t> </w:t>
      </w:r>
      <w:r>
        <w:rPr>
          <w:rFonts w:ascii="Calibri"/>
          <w:sz w:val="12"/>
        </w:rPr>
        <w:t>Parents</w:t>
        <w:tab/>
        <w:t>4</w:t>
      </w:r>
      <w:r>
        <w:rPr>
          <w:rFonts w:ascii="Calibri"/>
          <w:spacing w:val="-8"/>
          <w:sz w:val="12"/>
        </w:rPr>
        <w:t> </w:t>
      </w:r>
      <w:r>
        <w:rPr>
          <w:rFonts w:ascii="Calibri"/>
          <w:sz w:val="12"/>
        </w:rPr>
        <w:t>- Carers</w:t>
        <w:tab/>
        <w:t>5 -</w:t>
      </w:r>
      <w:r>
        <w:rPr>
          <w:rFonts w:ascii="Calibri"/>
          <w:spacing w:val="-2"/>
          <w:sz w:val="12"/>
        </w:rPr>
        <w:t> </w:t>
      </w:r>
      <w:r>
        <w:rPr>
          <w:rFonts w:ascii="Calibri"/>
          <w:sz w:val="12"/>
        </w:rPr>
        <w:t>Disability</w:t>
      </w:r>
      <w:r>
        <w:rPr>
          <w:rFonts w:ascii="Calibri"/>
          <w:spacing w:val="1"/>
          <w:sz w:val="12"/>
        </w:rPr>
        <w:t> </w:t>
      </w:r>
      <w:r>
        <w:rPr>
          <w:rFonts w:ascii="Calibri"/>
          <w:sz w:val="12"/>
        </w:rPr>
        <w:t>Support</w:t>
        <w:tab/>
        <w:t>6 - Pension</w:t>
      </w:r>
      <w:r>
        <w:rPr>
          <w:rFonts w:ascii="Calibri"/>
          <w:spacing w:val="-10"/>
          <w:sz w:val="12"/>
        </w:rPr>
        <w:t> </w:t>
      </w:r>
      <w:r>
        <w:rPr>
          <w:rFonts w:ascii="Calibri"/>
          <w:sz w:val="12"/>
        </w:rPr>
        <w:t>Age</w:t>
      </w:r>
    </w:p>
    <w:p>
      <w:pPr>
        <w:spacing w:after="0"/>
        <w:jc w:val="center"/>
        <w:rPr>
          <w:rFonts w:ascii="Calibri"/>
          <w:sz w:val="12"/>
        </w:rPr>
        <w:sectPr>
          <w:headerReference w:type="default" r:id="rId217"/>
          <w:footerReference w:type="default" r:id="rId218"/>
          <w:pgSz w:w="11910" w:h="16850"/>
          <w:pgMar w:header="572" w:footer="581" w:top="780" w:bottom="780" w:left="120" w:right="0"/>
          <w:pgNumType w:start="141"/>
        </w:sectPr>
      </w:pPr>
    </w:p>
    <w:p>
      <w:pPr>
        <w:spacing w:before="62"/>
        <w:ind w:left="0" w:right="0" w:firstLine="0"/>
        <w:jc w:val="right"/>
        <w:rPr>
          <w:rFonts w:ascii="Calibri"/>
          <w:sz w:val="12"/>
        </w:rPr>
      </w:pPr>
      <w:r>
        <w:rPr>
          <w:rFonts w:ascii="Calibri"/>
          <w:sz w:val="12"/>
        </w:rPr>
        <w:t>7 - Non IS Family</w:t>
      </w:r>
    </w:p>
    <w:p>
      <w:pPr>
        <w:pStyle w:val="ListParagraph"/>
        <w:numPr>
          <w:ilvl w:val="0"/>
          <w:numId w:val="78"/>
        </w:numPr>
        <w:tabs>
          <w:tab w:pos="665" w:val="left" w:leader="none"/>
        </w:tabs>
        <w:spacing w:line="240" w:lineRule="auto" w:before="62" w:after="0"/>
        <w:ind w:left="664" w:right="0" w:hanging="82"/>
        <w:jc w:val="left"/>
        <w:rPr>
          <w:rFonts w:ascii="Calibri"/>
          <w:sz w:val="12"/>
        </w:rPr>
      </w:pPr>
      <w:r>
        <w:rPr>
          <w:rFonts w:ascii="Calibri"/>
          <w:w w:val="100"/>
          <w:sz w:val="12"/>
        </w:rPr>
        <w:br w:type="column"/>
      </w:r>
      <w:r>
        <w:rPr>
          <w:rFonts w:ascii="Calibri"/>
          <w:sz w:val="12"/>
        </w:rPr>
        <w:t>- Non IS</w:t>
      </w:r>
      <w:r>
        <w:rPr>
          <w:rFonts w:ascii="Calibri"/>
          <w:spacing w:val="2"/>
          <w:sz w:val="12"/>
        </w:rPr>
        <w:t> </w:t>
      </w:r>
      <w:r>
        <w:rPr>
          <w:rFonts w:ascii="Calibri"/>
          <w:spacing w:val="-3"/>
          <w:sz w:val="12"/>
        </w:rPr>
        <w:t>Carer</w:t>
      </w:r>
    </w:p>
    <w:p>
      <w:pPr>
        <w:pStyle w:val="ListParagraph"/>
        <w:numPr>
          <w:ilvl w:val="0"/>
          <w:numId w:val="78"/>
        </w:numPr>
        <w:tabs>
          <w:tab w:pos="726" w:val="left" w:leader="none"/>
        </w:tabs>
        <w:spacing w:line="240" w:lineRule="auto" w:before="62" w:after="0"/>
        <w:ind w:left="725" w:right="0" w:hanging="82"/>
        <w:jc w:val="left"/>
        <w:rPr>
          <w:rFonts w:ascii="Calibri"/>
          <w:sz w:val="12"/>
        </w:rPr>
      </w:pPr>
      <w:r>
        <w:rPr>
          <w:rFonts w:ascii="Calibri"/>
          <w:w w:val="100"/>
          <w:sz w:val="12"/>
        </w:rPr>
        <w:br w:type="column"/>
      </w:r>
      <w:r>
        <w:rPr>
          <w:rFonts w:ascii="Calibri"/>
          <w:sz w:val="12"/>
        </w:rPr>
        <w:t>- Non IS</w:t>
      </w:r>
      <w:r>
        <w:rPr>
          <w:rFonts w:ascii="Calibri"/>
          <w:spacing w:val="5"/>
          <w:sz w:val="12"/>
        </w:rPr>
        <w:t> </w:t>
      </w:r>
      <w:r>
        <w:rPr>
          <w:rFonts w:ascii="Calibri"/>
          <w:spacing w:val="-3"/>
          <w:sz w:val="12"/>
        </w:rPr>
        <w:t>Other</w:t>
      </w:r>
    </w:p>
    <w:p>
      <w:pPr>
        <w:pStyle w:val="ListParagraph"/>
        <w:numPr>
          <w:ilvl w:val="0"/>
          <w:numId w:val="78"/>
        </w:numPr>
        <w:tabs>
          <w:tab w:pos="759" w:val="left" w:leader="none"/>
        </w:tabs>
        <w:spacing w:line="261" w:lineRule="auto" w:before="62" w:after="0"/>
        <w:ind w:left="620" w:right="0" w:firstLine="0"/>
        <w:jc w:val="left"/>
        <w:rPr>
          <w:rFonts w:ascii="Calibri"/>
          <w:sz w:val="12"/>
        </w:rPr>
      </w:pPr>
      <w:r>
        <w:rPr>
          <w:rFonts w:ascii="Calibri"/>
          <w:w w:val="100"/>
          <w:sz w:val="12"/>
        </w:rPr>
        <w:br w:type="column"/>
      </w:r>
      <w:r>
        <w:rPr>
          <w:rFonts w:ascii="Calibri"/>
          <w:sz w:val="12"/>
        </w:rPr>
        <w:t>- Previous Welfare Recipient</w:t>
      </w:r>
    </w:p>
    <w:p>
      <w:pPr>
        <w:pStyle w:val="ListParagraph"/>
        <w:numPr>
          <w:ilvl w:val="0"/>
          <w:numId w:val="78"/>
        </w:numPr>
        <w:tabs>
          <w:tab w:pos="482" w:val="left" w:leader="none"/>
        </w:tabs>
        <w:spacing w:line="240" w:lineRule="auto" w:before="62" w:after="0"/>
        <w:ind w:left="481" w:right="0" w:hanging="139"/>
        <w:jc w:val="left"/>
        <w:rPr>
          <w:rFonts w:ascii="Calibri"/>
          <w:sz w:val="12"/>
        </w:rPr>
      </w:pPr>
      <w:r>
        <w:rPr>
          <w:rFonts w:ascii="Calibri"/>
          <w:w w:val="100"/>
          <w:sz w:val="12"/>
        </w:rPr>
        <w:br w:type="column"/>
      </w:r>
      <w:r>
        <w:rPr>
          <w:rFonts w:ascii="Calibri"/>
          <w:sz w:val="12"/>
        </w:rPr>
        <w:t>-</w:t>
      </w:r>
      <w:r>
        <w:rPr>
          <w:rFonts w:ascii="Calibri"/>
          <w:spacing w:val="3"/>
          <w:sz w:val="12"/>
        </w:rPr>
        <w:t> </w:t>
      </w:r>
      <w:r>
        <w:rPr>
          <w:rFonts w:ascii="Calibri"/>
          <w:spacing w:val="-5"/>
          <w:sz w:val="12"/>
        </w:rPr>
        <w:t>Dead</w:t>
      </w:r>
    </w:p>
    <w:p>
      <w:pPr>
        <w:pStyle w:val="ListParagraph"/>
        <w:numPr>
          <w:ilvl w:val="0"/>
          <w:numId w:val="78"/>
        </w:numPr>
        <w:tabs>
          <w:tab w:pos="1084" w:val="left" w:leader="none"/>
        </w:tabs>
        <w:spacing w:line="261" w:lineRule="auto" w:before="62" w:after="0"/>
        <w:ind w:left="946" w:right="1894" w:firstLine="0"/>
        <w:jc w:val="left"/>
        <w:rPr>
          <w:rFonts w:ascii="Calibri"/>
          <w:sz w:val="12"/>
        </w:rPr>
      </w:pPr>
      <w:r>
        <w:rPr>
          <w:rFonts w:ascii="Calibri"/>
          <w:w w:val="100"/>
          <w:sz w:val="12"/>
        </w:rPr>
        <w:br w:type="column"/>
      </w:r>
      <w:r>
        <w:rPr>
          <w:rFonts w:ascii="Calibri"/>
          <w:sz w:val="12"/>
        </w:rPr>
        <w:t>- Rest of Aust. Population</w:t>
      </w:r>
    </w:p>
    <w:p>
      <w:pPr>
        <w:spacing w:after="0" w:line="261" w:lineRule="auto"/>
        <w:jc w:val="left"/>
        <w:rPr>
          <w:rFonts w:ascii="Calibri"/>
          <w:sz w:val="12"/>
        </w:rPr>
        <w:sectPr>
          <w:type w:val="continuous"/>
          <w:pgSz w:w="11910" w:h="16850"/>
          <w:pgMar w:top="1600" w:bottom="280" w:left="120" w:right="0"/>
          <w:cols w:num="6" w:equalWidth="0">
            <w:col w:w="2653" w:space="40"/>
            <w:col w:w="1345" w:space="39"/>
            <w:col w:w="1430" w:space="40"/>
            <w:col w:w="1683" w:space="39"/>
            <w:col w:w="804" w:space="40"/>
            <w:col w:w="3677"/>
          </w:cols>
        </w:sectPr>
      </w:pPr>
    </w:p>
    <w:p>
      <w:pPr>
        <w:pStyle w:val="BodyText"/>
        <w:spacing w:before="4"/>
        <w:rPr>
          <w:rFonts w:ascii="Calibri"/>
          <w:sz w:val="13"/>
        </w:rPr>
      </w:pPr>
    </w:p>
    <w:p>
      <w:pPr>
        <w:pStyle w:val="BodyText"/>
        <w:spacing w:before="93"/>
        <w:ind w:left="899" w:right="1032"/>
      </w:pPr>
      <w:r>
        <w:rPr>
          <w:color w:val="404040"/>
        </w:rPr>
        <w:t>We can see that most people exiting the welfare system (in the upper chart) are leaving from ‘1 Studying’, class ‘2 Working Age’ and class ‘7 Non IS Family’. People in other classes are more likely to either not exit the welfare system (other than through death), or to transition to another class prior to exiting.</w:t>
      </w:r>
    </w:p>
    <w:p>
      <w:pPr>
        <w:pStyle w:val="BodyText"/>
        <w:spacing w:before="121"/>
        <w:ind w:left="899" w:right="1189"/>
      </w:pPr>
      <w:r>
        <w:rPr>
          <w:color w:val="404040"/>
        </w:rPr>
        <w:t>The main re-entries from this class (in the lower chart) are through movements into class ‘2 Working Age’ and ‘9 Non IS Other’ (most of those re-entering into class 9 subsequently transition to class ‘7 Non IS Family’).</w:t>
      </w:r>
    </w:p>
    <w:p>
      <w:pPr>
        <w:pStyle w:val="BodyText"/>
        <w:spacing w:before="6"/>
      </w:pPr>
    </w:p>
    <w:p>
      <w:pPr>
        <w:pStyle w:val="Heading6"/>
        <w:rPr>
          <w:i/>
        </w:rPr>
      </w:pPr>
      <w:r>
        <w:rPr>
          <w:i/>
          <w:color w:val="DF2F1E"/>
        </w:rPr>
        <w:t>Payments received</w:t>
      </w:r>
    </w:p>
    <w:p>
      <w:pPr>
        <w:pStyle w:val="BodyText"/>
        <w:spacing w:before="124"/>
        <w:ind w:left="900" w:right="1409"/>
      </w:pPr>
      <w:r>
        <w:rPr>
          <w:color w:val="404040"/>
        </w:rPr>
        <w:t>No payments are received while people are in this class. Payments may be received by this group upon re- entry into an active welfare recipients and these are covered in sections </w:t>
      </w:r>
      <w:hyperlink w:history="true" w:anchor="_bookmark40">
        <w:r>
          <w:rPr>
            <w:color w:val="404040"/>
          </w:rPr>
          <w:t>6 </w:t>
        </w:r>
      </w:hyperlink>
      <w:r>
        <w:rPr>
          <w:color w:val="404040"/>
        </w:rPr>
        <w:t>and </w:t>
      </w:r>
      <w:hyperlink w:history="true" w:anchor="_bookmark47">
        <w:r>
          <w:rPr>
            <w:color w:val="404040"/>
          </w:rPr>
          <w:t>7.</w:t>
        </w:r>
      </w:hyperlink>
    </w:p>
    <w:p>
      <w:pPr>
        <w:pStyle w:val="BodyText"/>
        <w:spacing w:before="6"/>
      </w:pPr>
    </w:p>
    <w:p>
      <w:pPr>
        <w:pStyle w:val="Heading4"/>
        <w:spacing w:before="1"/>
      </w:pPr>
      <w:bookmarkStart w:name="What does the model show for people curr" w:id="221"/>
      <w:bookmarkEnd w:id="221"/>
      <w:r>
        <w:rPr/>
      </w:r>
      <w:r>
        <w:rPr>
          <w:color w:val="DF2F28"/>
        </w:rPr>
        <w:t>What does the model show for people currently in this class?</w:t>
      </w:r>
    </w:p>
    <w:p>
      <w:pPr>
        <w:pStyle w:val="BodyText"/>
        <w:spacing w:before="9"/>
      </w:pPr>
    </w:p>
    <w:p>
      <w:pPr>
        <w:pStyle w:val="Heading6"/>
        <w:rPr>
          <w:i/>
        </w:rPr>
      </w:pPr>
      <w:r>
        <w:rPr>
          <w:i/>
          <w:color w:val="DF2F1E"/>
        </w:rPr>
        <w:t>Lifetime costs</w:t>
      </w:r>
    </w:p>
    <w:p>
      <w:pPr>
        <w:pStyle w:val="BodyText"/>
        <w:spacing w:before="121"/>
        <w:ind w:left="900" w:right="1066" w:hanging="1"/>
      </w:pPr>
      <w:r>
        <w:rPr>
          <w:color w:val="404040"/>
          <w:spacing w:val="3"/>
        </w:rPr>
        <w:t>We</w:t>
      </w:r>
      <w:r>
        <w:rPr>
          <w:color w:val="404040"/>
          <w:spacing w:val="-6"/>
        </w:rPr>
        <w:t> </w:t>
      </w:r>
      <w:r>
        <w:rPr>
          <w:color w:val="404040"/>
        </w:rPr>
        <w:t>estimated</w:t>
      </w:r>
      <w:r>
        <w:rPr>
          <w:color w:val="404040"/>
          <w:spacing w:val="-4"/>
        </w:rPr>
        <w:t> </w:t>
      </w:r>
      <w:r>
        <w:rPr>
          <w:color w:val="404040"/>
        </w:rPr>
        <w:t>the</w:t>
      </w:r>
      <w:r>
        <w:rPr>
          <w:color w:val="404040"/>
          <w:spacing w:val="-1"/>
        </w:rPr>
        <w:t> </w:t>
      </w:r>
      <w:r>
        <w:rPr>
          <w:color w:val="404040"/>
        </w:rPr>
        <w:t>lifetime</w:t>
      </w:r>
      <w:r>
        <w:rPr>
          <w:color w:val="404040"/>
          <w:spacing w:val="-3"/>
        </w:rPr>
        <w:t> </w:t>
      </w:r>
      <w:r>
        <w:rPr>
          <w:color w:val="404040"/>
        </w:rPr>
        <w:t>cost</w:t>
      </w:r>
      <w:r>
        <w:rPr>
          <w:color w:val="404040"/>
          <w:spacing w:val="-3"/>
        </w:rPr>
        <w:t> </w:t>
      </w:r>
      <w:r>
        <w:rPr>
          <w:color w:val="404040"/>
        </w:rPr>
        <w:t>for</w:t>
      </w:r>
      <w:r>
        <w:rPr>
          <w:color w:val="404040"/>
          <w:spacing w:val="-2"/>
        </w:rPr>
        <w:t> </w:t>
      </w:r>
      <w:r>
        <w:rPr>
          <w:color w:val="404040"/>
        </w:rPr>
        <w:t>the</w:t>
      </w:r>
      <w:r>
        <w:rPr>
          <w:color w:val="404040"/>
          <w:spacing w:val="-3"/>
        </w:rPr>
        <w:t> </w:t>
      </w:r>
      <w:r>
        <w:rPr>
          <w:color w:val="404040"/>
        </w:rPr>
        <w:t>people</w:t>
      </w:r>
      <w:r>
        <w:rPr>
          <w:color w:val="404040"/>
          <w:spacing w:val="-1"/>
        </w:rPr>
        <w:t> </w:t>
      </w:r>
      <w:r>
        <w:rPr>
          <w:color w:val="404040"/>
        </w:rPr>
        <w:t>in</w:t>
      </w:r>
      <w:r>
        <w:rPr>
          <w:color w:val="404040"/>
          <w:spacing w:val="-3"/>
        </w:rPr>
        <w:t> </w:t>
      </w:r>
      <w:r>
        <w:rPr>
          <w:color w:val="404040"/>
        </w:rPr>
        <w:t>this</w:t>
      </w:r>
      <w:r>
        <w:rPr>
          <w:color w:val="404040"/>
          <w:spacing w:val="-3"/>
        </w:rPr>
        <w:t> </w:t>
      </w:r>
      <w:r>
        <w:rPr>
          <w:color w:val="404040"/>
        </w:rPr>
        <w:t>class</w:t>
      </w:r>
      <w:r>
        <w:rPr>
          <w:color w:val="404040"/>
          <w:spacing w:val="-2"/>
        </w:rPr>
        <w:t> </w:t>
      </w:r>
      <w:r>
        <w:rPr>
          <w:color w:val="404040"/>
        </w:rPr>
        <w:t>to</w:t>
      </w:r>
      <w:r>
        <w:rPr>
          <w:color w:val="404040"/>
          <w:spacing w:val="-3"/>
        </w:rPr>
        <w:t> </w:t>
      </w:r>
      <w:r>
        <w:rPr>
          <w:color w:val="404040"/>
        </w:rPr>
        <w:t>be</w:t>
      </w:r>
      <w:r>
        <w:rPr>
          <w:color w:val="404040"/>
          <w:spacing w:val="-3"/>
        </w:rPr>
        <w:t> </w:t>
      </w:r>
      <w:r>
        <w:rPr>
          <w:b/>
          <w:color w:val="404040"/>
        </w:rPr>
        <w:t>$900bn</w:t>
      </w:r>
      <w:r>
        <w:rPr>
          <w:b/>
          <w:color w:val="404040"/>
          <w:spacing w:val="-2"/>
        </w:rPr>
        <w:t> </w:t>
      </w:r>
      <w:r>
        <w:rPr>
          <w:color w:val="404040"/>
        </w:rPr>
        <w:t>(or </w:t>
      </w:r>
      <w:r>
        <w:rPr>
          <w:b/>
          <w:color w:val="404040"/>
        </w:rPr>
        <w:t>15.9%</w:t>
      </w:r>
      <w:r>
        <w:rPr>
          <w:b/>
          <w:color w:val="404040"/>
          <w:spacing w:val="-2"/>
        </w:rPr>
        <w:t> </w:t>
      </w:r>
      <w:r>
        <w:rPr>
          <w:color w:val="404040"/>
        </w:rPr>
        <w:t>of</w:t>
      </w:r>
      <w:r>
        <w:rPr>
          <w:color w:val="404040"/>
          <w:spacing w:val="-2"/>
        </w:rPr>
        <w:t> </w:t>
      </w:r>
      <w:r>
        <w:rPr>
          <w:color w:val="404040"/>
        </w:rPr>
        <w:t>the</w:t>
      </w:r>
      <w:r>
        <w:rPr>
          <w:color w:val="404040"/>
          <w:spacing w:val="-3"/>
        </w:rPr>
        <w:t> </w:t>
      </w:r>
      <w:r>
        <w:rPr>
          <w:color w:val="404040"/>
        </w:rPr>
        <w:t>total</w:t>
      </w:r>
      <w:r>
        <w:rPr>
          <w:color w:val="404040"/>
          <w:spacing w:val="-2"/>
        </w:rPr>
        <w:t> </w:t>
      </w:r>
      <w:r>
        <w:rPr>
          <w:color w:val="404040"/>
        </w:rPr>
        <w:t>lifetime</w:t>
      </w:r>
      <w:r>
        <w:rPr>
          <w:color w:val="404040"/>
          <w:spacing w:val="-3"/>
        </w:rPr>
        <w:t> </w:t>
      </w:r>
      <w:r>
        <w:rPr>
          <w:color w:val="404040"/>
        </w:rPr>
        <w:t>cost).</w:t>
      </w:r>
      <w:r>
        <w:rPr>
          <w:color w:val="404040"/>
          <w:spacing w:val="-5"/>
        </w:rPr>
        <w:t> </w:t>
      </w:r>
      <w:r>
        <w:rPr>
          <w:color w:val="404040"/>
        </w:rPr>
        <w:t>The average lifetime cost for people in this class is </w:t>
      </w:r>
      <w:r>
        <w:rPr>
          <w:b/>
          <w:color w:val="404040"/>
        </w:rPr>
        <w:t>$187,000</w:t>
      </w:r>
      <w:r>
        <w:rPr>
          <w:color w:val="404040"/>
        </w:rPr>
        <w:t>, with the lifetime cost being higher for people who have been out of the welfare system for 1 to 3 years (</w:t>
      </w:r>
      <w:r>
        <w:rPr>
          <w:b/>
          <w:color w:val="404040"/>
        </w:rPr>
        <w:t>$211,000</w:t>
      </w:r>
      <w:r>
        <w:rPr>
          <w:color w:val="404040"/>
        </w:rPr>
        <w:t>) than those people who have been out for longer (</w:t>
      </w:r>
      <w:r>
        <w:rPr>
          <w:b/>
          <w:color w:val="404040"/>
        </w:rPr>
        <w:t>$175,000</w:t>
      </w:r>
      <w:r>
        <w:rPr>
          <w:color w:val="404040"/>
        </w:rPr>
        <w:t>). The variation in average lifetime cost by age and gender is illustrated in the figure below, which is based on exits in the last 3 years</w:t>
      </w:r>
      <w:r>
        <w:rPr>
          <w:color w:val="404040"/>
          <w:spacing w:val="1"/>
        </w:rPr>
        <w:t> </w:t>
      </w:r>
      <w:r>
        <w:rPr>
          <w:color w:val="404040"/>
        </w:rPr>
        <w:t>only.</w:t>
      </w:r>
    </w:p>
    <w:p>
      <w:pPr>
        <w:spacing w:after="0"/>
        <w:sectPr>
          <w:type w:val="continuous"/>
          <w:pgSz w:w="11910" w:h="16850"/>
          <w:pgMar w:top="1600" w:bottom="280" w:left="120" w:right="0"/>
        </w:sectPr>
      </w:pPr>
    </w:p>
    <w:p>
      <w:pPr>
        <w:pStyle w:val="BodyText"/>
      </w:pPr>
    </w:p>
    <w:p>
      <w:pPr>
        <w:pStyle w:val="BodyText"/>
      </w:pPr>
    </w:p>
    <w:p>
      <w:pPr>
        <w:pStyle w:val="BodyText"/>
        <w:spacing w:before="5"/>
        <w:rPr>
          <w:sz w:val="21"/>
        </w:rPr>
      </w:pPr>
    </w:p>
    <w:p>
      <w:pPr>
        <w:pStyle w:val="Heading9"/>
      </w:pPr>
      <w:r>
        <w:rPr>
          <w:color w:val="DF2F1E"/>
        </w:rPr>
        <w:t>Figure 100: Average lifetime cost by age and gender (class 10) – based on exits in last 3 years</w:t>
      </w:r>
    </w:p>
    <w:p>
      <w:pPr>
        <w:pStyle w:val="BodyText"/>
        <w:spacing w:before="5"/>
        <w:rPr>
          <w:b/>
          <w:sz w:val="13"/>
        </w:rPr>
      </w:pPr>
    </w:p>
    <w:p>
      <w:pPr>
        <w:spacing w:after="0"/>
        <w:rPr>
          <w:sz w:val="13"/>
        </w:rPr>
        <w:sectPr>
          <w:pgSz w:w="11910" w:h="16850"/>
          <w:pgMar w:header="572" w:footer="581" w:top="780" w:bottom="780" w:left="120" w:right="0"/>
        </w:sectPr>
      </w:pPr>
    </w:p>
    <w:p>
      <w:pPr>
        <w:spacing w:before="71"/>
        <w:ind w:left="1509" w:right="0" w:firstLine="0"/>
        <w:jc w:val="left"/>
        <w:rPr>
          <w:rFonts w:ascii="Calibri"/>
          <w:sz w:val="14"/>
        </w:rPr>
      </w:pPr>
      <w:r>
        <w:rPr/>
        <w:pict>
          <v:group style="position:absolute;margin-left:93.139748pt;margin-top:7.445731pt;width:238.3pt;height:128.35pt;mso-position-horizontal-relative:page;mso-position-vertical-relative:paragraph;z-index:252771328" coordorigin="1863,149" coordsize="4766,2567">
            <v:shape style="position:absolute;left:1862;top:148;width:4766;height:2567" type="#_x0000_t75" stroked="false">
              <v:imagedata r:id="rId219" o:title=""/>
            </v:shape>
            <v:shape style="position:absolute;left:3019;top:238;width:631;height:204" type="#_x0000_t202" filled="false" stroked="false">
              <v:textbox inset="0,0,0,0">
                <w:txbxContent>
                  <w:p>
                    <w:pPr>
                      <w:spacing w:line="203" w:lineRule="exact" w:before="0"/>
                      <w:ind w:left="0" w:right="0" w:firstLine="0"/>
                      <w:jc w:val="left"/>
                      <w:rPr>
                        <w:rFonts w:ascii="Calibri"/>
                        <w:sz w:val="20"/>
                      </w:rPr>
                    </w:pPr>
                    <w:r>
                      <w:rPr>
                        <w:rFonts w:ascii="Calibri"/>
                        <w:color w:val="BEBEBE"/>
                        <w:sz w:val="20"/>
                      </w:rPr>
                      <w:t>&lt;- Male</w:t>
                    </w:r>
                  </w:p>
                </w:txbxContent>
              </v:textbox>
              <w10:wrap type="none"/>
            </v:shape>
            <v:shape style="position:absolute;left:4886;top:238;width:828;height:204" type="#_x0000_t202" filled="false" stroked="false">
              <v:textbox inset="0,0,0,0">
                <w:txbxContent>
                  <w:p>
                    <w:pPr>
                      <w:spacing w:line="203" w:lineRule="exact" w:before="0"/>
                      <w:ind w:left="0" w:right="0" w:firstLine="0"/>
                      <w:jc w:val="left"/>
                      <w:rPr>
                        <w:rFonts w:ascii="Calibri"/>
                        <w:sz w:val="20"/>
                      </w:rPr>
                    </w:pPr>
                    <w:r>
                      <w:rPr>
                        <w:rFonts w:ascii="Calibri"/>
                        <w:color w:val="BEBEBE"/>
                        <w:sz w:val="20"/>
                      </w:rPr>
                      <w:t>Female -&gt;</w:t>
                    </w:r>
                  </w:p>
                </w:txbxContent>
              </v:textbox>
              <w10:wrap type="none"/>
            </v:shape>
            <w10:wrap type="none"/>
          </v:group>
        </w:pict>
      </w:r>
      <w:r>
        <w:rPr>
          <w:rFonts w:ascii="Calibri"/>
          <w:sz w:val="14"/>
        </w:rPr>
        <w:t>90</w:t>
      </w:r>
    </w:p>
    <w:p>
      <w:pPr>
        <w:spacing w:before="106"/>
        <w:ind w:left="1509" w:right="0" w:firstLine="0"/>
        <w:jc w:val="left"/>
        <w:rPr>
          <w:rFonts w:ascii="Calibri"/>
          <w:sz w:val="14"/>
        </w:rPr>
      </w:pPr>
      <w:r>
        <w:rPr>
          <w:rFonts w:ascii="Calibri"/>
          <w:sz w:val="14"/>
        </w:rPr>
        <w:t>80</w:t>
      </w:r>
    </w:p>
    <w:p>
      <w:pPr>
        <w:spacing w:before="106"/>
        <w:ind w:left="1509" w:right="0" w:firstLine="0"/>
        <w:jc w:val="left"/>
        <w:rPr>
          <w:rFonts w:ascii="Calibri"/>
          <w:sz w:val="14"/>
        </w:rPr>
      </w:pPr>
      <w:r>
        <w:rPr/>
        <w:pict>
          <v:shape style="position:absolute;margin-left:71.356728pt;margin-top:11.488774pt;width:9pt;height:66.5pt;mso-position-horizontal-relative:page;mso-position-vertical-relative:paragraph;z-index:252773376" type="#_x0000_t202" filled="false" stroked="false">
            <v:textbox inset="0,0,0,0" style="layout-flow:vertical;mso-layout-flow-alt:bottom-to-top">
              <w:txbxContent>
                <w:p>
                  <w:pPr>
                    <w:spacing w:line="162" w:lineRule="exact" w:before="0"/>
                    <w:ind w:left="20" w:right="0" w:firstLine="0"/>
                    <w:jc w:val="left"/>
                    <w:rPr>
                      <w:rFonts w:ascii="Calibri"/>
                      <w:b/>
                      <w:sz w:val="14"/>
                    </w:rPr>
                  </w:pPr>
                  <w:r>
                    <w:rPr>
                      <w:rFonts w:ascii="Calibri"/>
                      <w:b/>
                      <w:sz w:val="14"/>
                    </w:rPr>
                    <w:t>Age at Valuation Date</w:t>
                  </w:r>
                </w:p>
              </w:txbxContent>
            </v:textbox>
            <w10:wrap type="none"/>
          </v:shape>
        </w:pict>
      </w:r>
      <w:r>
        <w:rPr>
          <w:rFonts w:ascii="Calibri"/>
          <w:sz w:val="14"/>
        </w:rPr>
        <w:t>70</w:t>
      </w:r>
    </w:p>
    <w:p>
      <w:pPr>
        <w:spacing w:before="106"/>
        <w:ind w:left="1509" w:right="0" w:firstLine="0"/>
        <w:jc w:val="left"/>
        <w:rPr>
          <w:rFonts w:ascii="Calibri"/>
          <w:sz w:val="14"/>
        </w:rPr>
      </w:pPr>
      <w:r>
        <w:rPr>
          <w:rFonts w:ascii="Calibri"/>
          <w:sz w:val="14"/>
        </w:rPr>
        <w:t>60</w:t>
      </w:r>
    </w:p>
    <w:p>
      <w:pPr>
        <w:spacing w:before="106"/>
        <w:ind w:left="1509" w:right="0" w:firstLine="0"/>
        <w:jc w:val="left"/>
        <w:rPr>
          <w:rFonts w:ascii="Calibri"/>
          <w:sz w:val="14"/>
        </w:rPr>
      </w:pPr>
      <w:r>
        <w:rPr>
          <w:rFonts w:ascii="Calibri"/>
          <w:sz w:val="14"/>
        </w:rPr>
        <w:t>50</w:t>
      </w:r>
    </w:p>
    <w:p>
      <w:pPr>
        <w:spacing w:before="106"/>
        <w:ind w:left="1509" w:right="0" w:firstLine="0"/>
        <w:jc w:val="left"/>
        <w:rPr>
          <w:rFonts w:ascii="Calibri"/>
          <w:sz w:val="14"/>
        </w:rPr>
      </w:pPr>
      <w:r>
        <w:rPr>
          <w:rFonts w:ascii="Calibri"/>
          <w:sz w:val="14"/>
        </w:rPr>
        <w:t>40</w:t>
      </w:r>
    </w:p>
    <w:p>
      <w:pPr>
        <w:spacing w:before="106"/>
        <w:ind w:left="1509" w:right="0" w:firstLine="0"/>
        <w:jc w:val="left"/>
        <w:rPr>
          <w:rFonts w:ascii="Calibri"/>
          <w:sz w:val="14"/>
        </w:rPr>
      </w:pPr>
      <w:r>
        <w:rPr>
          <w:rFonts w:ascii="Calibri"/>
          <w:sz w:val="14"/>
        </w:rPr>
        <w:t>30</w:t>
      </w:r>
    </w:p>
    <w:p>
      <w:pPr>
        <w:spacing w:before="106"/>
        <w:ind w:left="1509" w:right="0" w:firstLine="0"/>
        <w:jc w:val="left"/>
        <w:rPr>
          <w:rFonts w:ascii="Calibri"/>
          <w:sz w:val="14"/>
        </w:rPr>
      </w:pPr>
      <w:r>
        <w:rPr>
          <w:rFonts w:ascii="Calibri"/>
          <w:sz w:val="14"/>
        </w:rPr>
        <w:t>20</w:t>
      </w:r>
    </w:p>
    <w:p>
      <w:pPr>
        <w:spacing w:before="107"/>
        <w:ind w:left="1509" w:right="0" w:firstLine="0"/>
        <w:jc w:val="left"/>
        <w:rPr>
          <w:rFonts w:ascii="Calibri"/>
          <w:sz w:val="14"/>
        </w:rPr>
      </w:pPr>
      <w:r>
        <w:rPr>
          <w:rFonts w:ascii="Calibri"/>
          <w:sz w:val="14"/>
        </w:rPr>
        <w:t>10</w:t>
      </w:r>
    </w:p>
    <w:p>
      <w:pPr>
        <w:spacing w:before="106"/>
        <w:ind w:left="1581" w:right="0" w:firstLine="0"/>
        <w:jc w:val="left"/>
        <w:rPr>
          <w:rFonts w:ascii="Calibri"/>
          <w:sz w:val="14"/>
        </w:rPr>
      </w:pPr>
      <w:r>
        <w:rPr>
          <w:rFonts w:ascii="Calibri"/>
          <w:w w:val="99"/>
          <w:sz w:val="14"/>
        </w:rPr>
        <w:t>0</w:t>
      </w:r>
    </w:p>
    <w:p>
      <w:pPr>
        <w:spacing w:before="28"/>
        <w:ind w:left="1677" w:right="0" w:firstLine="0"/>
        <w:jc w:val="left"/>
        <w:rPr>
          <w:rFonts w:ascii="Calibri"/>
          <w:sz w:val="14"/>
        </w:rPr>
      </w:pPr>
      <w:r>
        <w:rPr>
          <w:rFonts w:ascii="Calibri"/>
          <w:sz w:val="14"/>
        </w:rPr>
        <w:t>600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4"/>
        <w:rPr>
          <w:rFonts w:ascii="Calibri"/>
          <w:sz w:val="16"/>
        </w:rPr>
      </w:pPr>
    </w:p>
    <w:p>
      <w:pPr>
        <w:spacing w:before="0"/>
        <w:ind w:left="133" w:right="0" w:firstLine="0"/>
        <w:jc w:val="left"/>
        <w:rPr>
          <w:rFonts w:ascii="Calibri"/>
          <w:sz w:val="14"/>
        </w:rPr>
      </w:pPr>
      <w:r>
        <w:rPr>
          <w:rFonts w:ascii="Calibri"/>
          <w:sz w:val="14"/>
        </w:rPr>
        <w:t>500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4"/>
        <w:rPr>
          <w:rFonts w:ascii="Calibri"/>
          <w:sz w:val="16"/>
        </w:rPr>
      </w:pPr>
    </w:p>
    <w:p>
      <w:pPr>
        <w:spacing w:before="0"/>
        <w:ind w:left="133" w:right="0" w:firstLine="0"/>
        <w:jc w:val="left"/>
        <w:rPr>
          <w:rFonts w:ascii="Calibri"/>
          <w:sz w:val="14"/>
        </w:rPr>
      </w:pPr>
      <w:r>
        <w:rPr>
          <w:rFonts w:ascii="Calibri"/>
          <w:sz w:val="14"/>
        </w:rPr>
        <w:t>400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4"/>
        <w:rPr>
          <w:rFonts w:ascii="Calibri"/>
          <w:sz w:val="16"/>
        </w:rPr>
      </w:pPr>
    </w:p>
    <w:p>
      <w:pPr>
        <w:spacing w:before="0"/>
        <w:ind w:left="133" w:right="0" w:firstLine="0"/>
        <w:jc w:val="left"/>
        <w:rPr>
          <w:rFonts w:ascii="Calibri"/>
          <w:sz w:val="14"/>
        </w:rPr>
      </w:pPr>
      <w:r>
        <w:rPr>
          <w:rFonts w:ascii="Calibri"/>
          <w:sz w:val="14"/>
        </w:rPr>
        <w:t>300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4"/>
        <w:rPr>
          <w:rFonts w:ascii="Calibri"/>
          <w:sz w:val="16"/>
        </w:rPr>
      </w:pPr>
    </w:p>
    <w:p>
      <w:pPr>
        <w:spacing w:before="0"/>
        <w:ind w:left="133" w:right="0" w:firstLine="0"/>
        <w:jc w:val="left"/>
        <w:rPr>
          <w:rFonts w:ascii="Calibri"/>
          <w:sz w:val="14"/>
        </w:rPr>
      </w:pPr>
      <w:r>
        <w:rPr>
          <w:rFonts w:ascii="Calibri"/>
          <w:sz w:val="14"/>
        </w:rPr>
        <w:t>200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4"/>
        <w:rPr>
          <w:rFonts w:ascii="Calibri"/>
          <w:sz w:val="16"/>
        </w:rPr>
      </w:pPr>
    </w:p>
    <w:p>
      <w:pPr>
        <w:tabs>
          <w:tab w:pos="598" w:val="left" w:leader="none"/>
        </w:tabs>
        <w:spacing w:before="0"/>
        <w:ind w:left="133" w:right="0" w:firstLine="0"/>
        <w:jc w:val="left"/>
        <w:rPr>
          <w:rFonts w:ascii="Calibri"/>
          <w:sz w:val="14"/>
        </w:rPr>
      </w:pPr>
      <w:r>
        <w:rPr>
          <w:rFonts w:ascii="Calibri"/>
          <w:spacing w:val="2"/>
          <w:sz w:val="14"/>
        </w:rPr>
        <w:t>100</w:t>
        <w:tab/>
      </w:r>
      <w:r>
        <w:rPr>
          <w:rFonts w:ascii="Calibri"/>
          <w:spacing w:val="-19"/>
          <w:sz w:val="14"/>
        </w:rPr>
        <w:t>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4"/>
        <w:rPr>
          <w:rFonts w:ascii="Calibri"/>
          <w:sz w:val="16"/>
        </w:rPr>
      </w:pPr>
    </w:p>
    <w:p>
      <w:pPr>
        <w:spacing w:before="0"/>
        <w:ind w:left="210" w:right="0" w:firstLine="0"/>
        <w:jc w:val="left"/>
        <w:rPr>
          <w:rFonts w:ascii="Calibri"/>
          <w:sz w:val="14"/>
        </w:rPr>
      </w:pPr>
      <w:r>
        <w:rPr>
          <w:rFonts w:ascii="Calibri"/>
          <w:sz w:val="14"/>
        </w:rPr>
        <w:t>100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4"/>
        <w:rPr>
          <w:rFonts w:ascii="Calibri"/>
          <w:sz w:val="16"/>
        </w:rPr>
      </w:pPr>
    </w:p>
    <w:p>
      <w:pPr>
        <w:spacing w:before="0"/>
        <w:ind w:left="133" w:right="0" w:firstLine="0"/>
        <w:jc w:val="left"/>
        <w:rPr>
          <w:rFonts w:ascii="Calibri"/>
          <w:sz w:val="14"/>
        </w:rPr>
      </w:pPr>
      <w:r>
        <w:rPr>
          <w:rFonts w:ascii="Calibri"/>
          <w:sz w:val="14"/>
        </w:rPr>
        <w:t>200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4"/>
        <w:rPr>
          <w:rFonts w:ascii="Calibri"/>
          <w:sz w:val="16"/>
        </w:rPr>
      </w:pPr>
    </w:p>
    <w:p>
      <w:pPr>
        <w:spacing w:before="0"/>
        <w:ind w:left="133" w:right="0" w:firstLine="0"/>
        <w:jc w:val="left"/>
        <w:rPr>
          <w:rFonts w:ascii="Calibri"/>
          <w:sz w:val="14"/>
        </w:rPr>
      </w:pPr>
      <w:r>
        <w:rPr>
          <w:rFonts w:ascii="Calibri"/>
          <w:sz w:val="14"/>
        </w:rPr>
        <w:t>300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4"/>
        <w:rPr>
          <w:rFonts w:ascii="Calibri"/>
          <w:sz w:val="16"/>
        </w:rPr>
      </w:pPr>
    </w:p>
    <w:p>
      <w:pPr>
        <w:spacing w:before="0"/>
        <w:ind w:left="133" w:right="0" w:firstLine="0"/>
        <w:jc w:val="left"/>
        <w:rPr>
          <w:rFonts w:ascii="Calibri"/>
          <w:sz w:val="14"/>
        </w:rPr>
      </w:pPr>
      <w:r>
        <w:rPr>
          <w:rFonts w:ascii="Calibri"/>
          <w:sz w:val="14"/>
        </w:rPr>
        <w:t>400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4"/>
        <w:rPr>
          <w:rFonts w:ascii="Calibri"/>
          <w:sz w:val="16"/>
        </w:rPr>
      </w:pPr>
    </w:p>
    <w:p>
      <w:pPr>
        <w:spacing w:before="0"/>
        <w:ind w:left="133" w:right="0" w:firstLine="0"/>
        <w:jc w:val="left"/>
        <w:rPr>
          <w:rFonts w:ascii="Calibri"/>
          <w:sz w:val="14"/>
        </w:rPr>
      </w:pPr>
      <w:r>
        <w:rPr>
          <w:rFonts w:ascii="Calibri"/>
          <w:sz w:val="14"/>
        </w:rPr>
        <w:t>500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4"/>
        <w:rPr>
          <w:rFonts w:ascii="Calibri"/>
          <w:sz w:val="16"/>
        </w:rPr>
      </w:pPr>
    </w:p>
    <w:p>
      <w:pPr>
        <w:spacing w:before="0"/>
        <w:ind w:left="133" w:right="0" w:firstLine="0"/>
        <w:jc w:val="left"/>
        <w:rPr>
          <w:rFonts w:ascii="Calibri"/>
          <w:sz w:val="14"/>
        </w:rPr>
      </w:pPr>
      <w:r>
        <w:rPr>
          <w:rFonts w:ascii="Calibri"/>
          <w:sz w:val="14"/>
        </w:rPr>
        <w:t>600</w:t>
      </w:r>
    </w:p>
    <w:p>
      <w:pPr>
        <w:pStyle w:val="BodyText"/>
        <w:rPr>
          <w:rFonts w:ascii="Calibri"/>
          <w:sz w:val="10"/>
        </w:rPr>
      </w:pPr>
      <w:r>
        <w:rPr/>
        <w:br w:type="column"/>
      </w:r>
      <w:r>
        <w:rPr>
          <w:rFonts w:ascii="Calibri"/>
          <w:sz w:val="10"/>
        </w:rPr>
      </w:r>
    </w:p>
    <w:p>
      <w:pPr>
        <w:spacing w:before="62"/>
        <w:ind w:left="577" w:right="0" w:firstLine="0"/>
        <w:jc w:val="left"/>
        <w:rPr>
          <w:rFonts w:ascii="Calibri"/>
          <w:b/>
          <w:sz w:val="10"/>
        </w:rPr>
      </w:pPr>
      <w:r>
        <w:rPr>
          <w:rFonts w:ascii="Calibri"/>
          <w:b/>
          <w:w w:val="105"/>
          <w:sz w:val="10"/>
        </w:rPr>
        <w:t>Payment Category Key:</w:t>
      </w:r>
    </w:p>
    <w:p>
      <w:pPr>
        <w:spacing w:before="31"/>
        <w:ind w:left="792" w:right="0" w:firstLine="0"/>
        <w:jc w:val="left"/>
        <w:rPr>
          <w:rFonts w:ascii="Calibri"/>
          <w:sz w:val="10"/>
        </w:rPr>
      </w:pPr>
      <w:r>
        <w:rPr/>
        <w:drawing>
          <wp:anchor distT="0" distB="0" distL="0" distR="0" allowOverlap="1" layoutInCell="1" locked="0" behindDoc="0" simplePos="0" relativeHeight="252772352">
            <wp:simplePos x="0" y="0"/>
            <wp:positionH relativeFrom="page">
              <wp:posOffset>4663392</wp:posOffset>
            </wp:positionH>
            <wp:positionV relativeFrom="paragraph">
              <wp:posOffset>9314</wp:posOffset>
            </wp:positionV>
            <wp:extent cx="136424" cy="1509145"/>
            <wp:effectExtent l="0" t="0" r="0" b="0"/>
            <wp:wrapNone/>
            <wp:docPr id="357" name="image75.png"/>
            <wp:cNvGraphicFramePr>
              <a:graphicFrameLocks noChangeAspect="1"/>
            </wp:cNvGraphicFramePr>
            <a:graphic>
              <a:graphicData uri="http://schemas.openxmlformats.org/drawingml/2006/picture">
                <pic:pic>
                  <pic:nvPicPr>
                    <pic:cNvPr id="358" name="image75.png"/>
                    <pic:cNvPicPr/>
                  </pic:nvPicPr>
                  <pic:blipFill>
                    <a:blip r:embed="rId97" cstate="print"/>
                    <a:stretch>
                      <a:fillRect/>
                    </a:stretch>
                  </pic:blipFill>
                  <pic:spPr>
                    <a:xfrm>
                      <a:off x="0" y="0"/>
                      <a:ext cx="136424" cy="1509145"/>
                    </a:xfrm>
                    <a:prstGeom prst="rect">
                      <a:avLst/>
                    </a:prstGeom>
                  </pic:spPr>
                </pic:pic>
              </a:graphicData>
            </a:graphic>
          </wp:anchor>
        </w:drawing>
      </w:r>
      <w:r>
        <w:rPr>
          <w:rFonts w:ascii="Calibri"/>
          <w:w w:val="105"/>
          <w:sz w:val="10"/>
        </w:rPr>
        <w:t>A - IS Studying</w:t>
      </w:r>
    </w:p>
    <w:p>
      <w:pPr>
        <w:spacing w:line="273" w:lineRule="auto" w:before="17"/>
        <w:ind w:left="792" w:right="3534" w:firstLine="0"/>
        <w:jc w:val="left"/>
        <w:rPr>
          <w:rFonts w:ascii="Calibri"/>
          <w:sz w:val="10"/>
        </w:rPr>
      </w:pPr>
      <w:r>
        <w:rPr>
          <w:rFonts w:ascii="Calibri"/>
          <w:w w:val="105"/>
          <w:sz w:val="10"/>
        </w:rPr>
        <w:t>B - IS Working Age C - IS Parents</w:t>
      </w:r>
    </w:p>
    <w:p>
      <w:pPr>
        <w:spacing w:before="1"/>
        <w:ind w:left="792" w:right="0" w:firstLine="0"/>
        <w:jc w:val="left"/>
        <w:rPr>
          <w:rFonts w:ascii="Calibri"/>
          <w:sz w:val="10"/>
        </w:rPr>
      </w:pPr>
      <w:r>
        <w:rPr>
          <w:rFonts w:ascii="Calibri"/>
          <w:w w:val="105"/>
          <w:sz w:val="10"/>
        </w:rPr>
        <w:t>D - IS Carer</w:t>
      </w:r>
    </w:p>
    <w:p>
      <w:pPr>
        <w:spacing w:line="273" w:lineRule="auto" w:before="17"/>
        <w:ind w:left="792" w:right="3698" w:firstLine="0"/>
        <w:jc w:val="left"/>
        <w:rPr>
          <w:rFonts w:ascii="Calibri"/>
          <w:sz w:val="10"/>
        </w:rPr>
      </w:pPr>
      <w:r>
        <w:rPr>
          <w:rFonts w:ascii="Calibri"/>
          <w:w w:val="105"/>
          <w:sz w:val="10"/>
        </w:rPr>
        <w:t>E - IS Disability F - IS Age</w:t>
      </w:r>
    </w:p>
    <w:p>
      <w:pPr>
        <w:spacing w:line="273" w:lineRule="auto" w:before="0"/>
        <w:ind w:left="792" w:right="3598" w:firstLine="0"/>
        <w:jc w:val="left"/>
        <w:rPr>
          <w:rFonts w:ascii="Calibri"/>
          <w:sz w:val="10"/>
        </w:rPr>
      </w:pPr>
      <w:r>
        <w:rPr>
          <w:rFonts w:ascii="Calibri"/>
          <w:w w:val="105"/>
          <w:sz w:val="10"/>
        </w:rPr>
        <w:t>G - IS Dependant H - Other FTB</w:t>
      </w:r>
    </w:p>
    <w:p>
      <w:pPr>
        <w:spacing w:before="1"/>
        <w:ind w:left="792" w:right="0" w:firstLine="0"/>
        <w:jc w:val="left"/>
        <w:rPr>
          <w:rFonts w:ascii="Calibri"/>
          <w:sz w:val="10"/>
        </w:rPr>
      </w:pPr>
      <w:r>
        <w:rPr>
          <w:rFonts w:ascii="Calibri"/>
          <w:w w:val="105"/>
          <w:sz w:val="10"/>
        </w:rPr>
        <w:t>I - Other Family</w:t>
      </w:r>
    </w:p>
    <w:p>
      <w:pPr>
        <w:spacing w:before="17"/>
        <w:ind w:left="792" w:right="0" w:firstLine="0"/>
        <w:jc w:val="left"/>
        <w:rPr>
          <w:rFonts w:ascii="Calibri"/>
          <w:sz w:val="10"/>
        </w:rPr>
      </w:pPr>
      <w:r>
        <w:rPr>
          <w:rFonts w:ascii="Calibri"/>
          <w:w w:val="105"/>
          <w:sz w:val="10"/>
        </w:rPr>
        <w:t>J - Other New Parents</w:t>
      </w:r>
    </w:p>
    <w:p>
      <w:pPr>
        <w:spacing w:line="273" w:lineRule="auto" w:before="17"/>
        <w:ind w:left="792" w:right="3130" w:firstLine="0"/>
        <w:jc w:val="left"/>
        <w:rPr>
          <w:rFonts w:ascii="Calibri"/>
          <w:sz w:val="10"/>
        </w:rPr>
      </w:pPr>
      <w:r>
        <w:rPr>
          <w:rFonts w:ascii="Calibri"/>
          <w:w w:val="105"/>
          <w:sz w:val="10"/>
        </w:rPr>
        <w:t>L - Other Health &amp; Disability M - Other Carer</w:t>
      </w:r>
    </w:p>
    <w:p>
      <w:pPr>
        <w:spacing w:before="1"/>
        <w:ind w:left="792" w:right="0" w:firstLine="0"/>
        <w:jc w:val="left"/>
        <w:rPr>
          <w:rFonts w:ascii="Calibri"/>
          <w:sz w:val="10"/>
        </w:rPr>
      </w:pPr>
      <w:r>
        <w:rPr>
          <w:rFonts w:ascii="Calibri"/>
          <w:w w:val="105"/>
          <w:sz w:val="10"/>
        </w:rPr>
        <w:t>N - Other Study &amp; Skills</w:t>
      </w:r>
    </w:p>
    <w:p>
      <w:pPr>
        <w:spacing w:line="273" w:lineRule="auto" w:before="17"/>
        <w:ind w:left="792" w:right="3078" w:firstLine="0"/>
        <w:jc w:val="both"/>
        <w:rPr>
          <w:rFonts w:ascii="Calibri"/>
          <w:sz w:val="10"/>
        </w:rPr>
      </w:pPr>
      <w:r>
        <w:rPr>
          <w:rFonts w:ascii="Calibri"/>
          <w:w w:val="105"/>
          <w:sz w:val="10"/>
        </w:rPr>
        <w:t>O - Other Remote &amp; Regional P - Other General Allowances Q - All Other</w:t>
      </w:r>
    </w:p>
    <w:p>
      <w:pPr>
        <w:spacing w:before="1"/>
        <w:ind w:left="792" w:right="0" w:firstLine="0"/>
        <w:jc w:val="both"/>
        <w:rPr>
          <w:rFonts w:ascii="Calibri"/>
          <w:sz w:val="10"/>
        </w:rPr>
      </w:pPr>
      <w:r>
        <w:rPr>
          <w:rFonts w:ascii="Calibri"/>
          <w:w w:val="105"/>
          <w:sz w:val="10"/>
        </w:rPr>
        <w:t>R - Rent Assistance</w:t>
      </w:r>
    </w:p>
    <w:p>
      <w:pPr>
        <w:spacing w:after="0"/>
        <w:jc w:val="both"/>
        <w:rPr>
          <w:rFonts w:ascii="Calibri"/>
          <w:sz w:val="10"/>
        </w:rPr>
        <w:sectPr>
          <w:type w:val="continuous"/>
          <w:pgSz w:w="11910" w:h="16850"/>
          <w:pgMar w:top="1600" w:bottom="280" w:left="120" w:right="0"/>
          <w:cols w:num="13" w:equalWidth="0">
            <w:col w:w="1898" w:space="40"/>
            <w:col w:w="354" w:space="39"/>
            <w:col w:w="354" w:space="40"/>
            <w:col w:w="354" w:space="39"/>
            <w:col w:w="354" w:space="40"/>
            <w:col w:w="670" w:space="39"/>
            <w:col w:w="431" w:space="40"/>
            <w:col w:w="354" w:space="40"/>
            <w:col w:w="354" w:space="39"/>
            <w:col w:w="354" w:space="40"/>
            <w:col w:w="354" w:space="39"/>
            <w:col w:w="354" w:space="40"/>
            <w:col w:w="5130"/>
          </w:cols>
        </w:sectPr>
      </w:pPr>
    </w:p>
    <w:p>
      <w:pPr>
        <w:spacing w:before="46"/>
        <w:ind w:left="3263" w:right="0" w:firstLine="0"/>
        <w:jc w:val="left"/>
        <w:rPr>
          <w:rFonts w:ascii="Calibri"/>
          <w:b/>
          <w:sz w:val="14"/>
        </w:rPr>
      </w:pPr>
      <w:r>
        <w:rPr>
          <w:rFonts w:ascii="Calibri"/>
          <w:b/>
          <w:sz w:val="14"/>
        </w:rPr>
        <w:t>Average Lifetime Cost ($000s)</w:t>
      </w:r>
    </w:p>
    <w:p>
      <w:pPr>
        <w:pStyle w:val="BodyText"/>
        <w:spacing w:before="1"/>
        <w:rPr>
          <w:rFonts w:ascii="Calibri"/>
          <w:b/>
        </w:rPr>
      </w:pPr>
    </w:p>
    <w:p>
      <w:pPr>
        <w:pStyle w:val="BodyText"/>
        <w:spacing w:before="93"/>
        <w:ind w:left="900" w:right="1286"/>
      </w:pPr>
      <w:r>
        <w:rPr>
          <w:color w:val="404040"/>
        </w:rPr>
        <w:t>The most substantial part of this average lifetime cost for both genders is for the Age Pension although there are contributions from all payment categories.</w:t>
      </w:r>
    </w:p>
    <w:p>
      <w:pPr>
        <w:pStyle w:val="BodyText"/>
        <w:spacing w:before="121"/>
        <w:ind w:left="899" w:right="1333"/>
      </w:pPr>
      <w:r>
        <w:rPr>
          <w:color w:val="404040"/>
        </w:rPr>
        <w:t>For women up to around age 40 there are significant contributions from FTB and other family payments. For people in their early forties and above, the differences between the costs for men and women are small (women have a slightly higher lifetime cost due to higher expected longevity).</w:t>
      </w:r>
    </w:p>
    <w:p>
      <w:pPr>
        <w:pStyle w:val="BodyText"/>
        <w:spacing w:before="121"/>
        <w:ind w:left="899" w:right="1054"/>
      </w:pPr>
      <w:r>
        <w:rPr>
          <w:color w:val="404040"/>
        </w:rPr>
        <w:t>The average lifetime cost pyramid shows a significant change at around age 65 with much lower costs for older people:</w:t>
      </w:r>
    </w:p>
    <w:p>
      <w:pPr>
        <w:pStyle w:val="ListParagraph"/>
        <w:numPr>
          <w:ilvl w:val="0"/>
          <w:numId w:val="79"/>
        </w:numPr>
        <w:tabs>
          <w:tab w:pos="1184" w:val="left" w:leader="none"/>
        </w:tabs>
        <w:spacing w:line="240" w:lineRule="auto" w:before="117" w:after="0"/>
        <w:ind w:left="1183" w:right="1177" w:hanging="284"/>
        <w:jc w:val="left"/>
        <w:rPr>
          <w:rFonts w:ascii="Symbol" w:hAnsi="Symbol"/>
          <w:color w:val="404040"/>
          <w:sz w:val="20"/>
        </w:rPr>
      </w:pPr>
      <w:r>
        <w:rPr>
          <w:color w:val="404040"/>
          <w:sz w:val="20"/>
        </w:rPr>
        <w:t>For people below age 65.5 - the Age Pension component of the average lifetime cost is significant as there is a high chance of the people moving onto the Age Pension as they reach pension</w:t>
      </w:r>
      <w:r>
        <w:rPr>
          <w:color w:val="404040"/>
          <w:spacing w:val="-14"/>
          <w:sz w:val="20"/>
        </w:rPr>
        <w:t> </w:t>
      </w:r>
      <w:r>
        <w:rPr>
          <w:color w:val="404040"/>
          <w:sz w:val="20"/>
        </w:rPr>
        <w:t>age.</w:t>
      </w:r>
    </w:p>
    <w:p>
      <w:pPr>
        <w:pStyle w:val="ListParagraph"/>
        <w:numPr>
          <w:ilvl w:val="0"/>
          <w:numId w:val="79"/>
        </w:numPr>
        <w:tabs>
          <w:tab w:pos="1184" w:val="left" w:leader="none"/>
        </w:tabs>
        <w:spacing w:line="240" w:lineRule="auto" w:before="120" w:after="0"/>
        <w:ind w:left="1183" w:right="1353" w:hanging="284"/>
        <w:jc w:val="left"/>
        <w:rPr>
          <w:rFonts w:ascii="Symbol" w:hAnsi="Symbol"/>
          <w:color w:val="404040"/>
          <w:sz w:val="20"/>
        </w:rPr>
      </w:pPr>
      <w:r>
        <w:rPr>
          <w:color w:val="404040"/>
          <w:sz w:val="20"/>
        </w:rPr>
        <w:t>For people above age 65.5 - to be above age 65.5 and be in this class they cannot be receiving Age Pension at present. This means they are far less likely to receive the Age Pension in future than a typical person in the population and hence have a lower average lifetime</w:t>
      </w:r>
      <w:r>
        <w:rPr>
          <w:color w:val="404040"/>
          <w:spacing w:val="-8"/>
          <w:sz w:val="20"/>
        </w:rPr>
        <w:t> </w:t>
      </w:r>
      <w:r>
        <w:rPr>
          <w:color w:val="404040"/>
          <w:sz w:val="20"/>
        </w:rPr>
        <w:t>cost.</w:t>
      </w:r>
    </w:p>
    <w:p>
      <w:pPr>
        <w:pStyle w:val="BodyText"/>
        <w:spacing w:before="79"/>
        <w:ind w:left="1183" w:right="1092"/>
      </w:pPr>
      <w:r>
        <w:rPr>
          <w:color w:val="404040"/>
        </w:rPr>
        <w:t>For people significantly above age 65.5 the average lifetime costs reduce year on year as the future lifetime is shorter and the chances of moving into the Age Pension class at a future point in time are even lower.</w:t>
      </w:r>
    </w:p>
    <w:p>
      <w:pPr>
        <w:pStyle w:val="BodyText"/>
        <w:spacing w:before="121"/>
        <w:ind w:left="900" w:right="1153"/>
      </w:pPr>
      <w:r>
        <w:rPr>
          <w:color w:val="404040"/>
        </w:rPr>
        <w:t>There is also a significant increase in lifetime cost for those below age 20. This is a small group of people who have received benefits during their childhood and, on average, are highly disadvantaged and have a high likelihood of needing greater support in future.</w:t>
      </w:r>
    </w:p>
    <w:p>
      <w:pPr>
        <w:pStyle w:val="BodyText"/>
        <w:spacing w:before="119"/>
        <w:ind w:left="900" w:right="1009"/>
      </w:pPr>
      <w:r>
        <w:rPr>
          <w:color w:val="404040"/>
        </w:rPr>
        <w:t>The table below outlines the average lifetime cost for 20 to 25 year olds who are previous welfare recipients, split by key characteristics. We have selected a set age group to reduce the effect of age on the future lifetime cost. It is important to note that some characteristics serve as proxies for more fundamental socio-economic factors, and as such, they may not necessarily be the underlying cause of any differences observed in the average lifetime costs of individuals. Further, the variations and relativities to the average lifetime cost that have been shown may differ for other age bands.</w:t>
      </w:r>
    </w:p>
    <w:p>
      <w:pPr>
        <w:spacing w:after="0"/>
        <w:sectPr>
          <w:type w:val="continuous"/>
          <w:pgSz w:w="11910" w:h="16850"/>
          <w:pgMar w:top="1600" w:bottom="280" w:left="120" w:right="0"/>
        </w:sectPr>
      </w:pPr>
    </w:p>
    <w:p>
      <w:pPr>
        <w:pStyle w:val="BodyText"/>
      </w:pPr>
    </w:p>
    <w:p>
      <w:pPr>
        <w:pStyle w:val="BodyText"/>
      </w:pPr>
    </w:p>
    <w:p>
      <w:pPr>
        <w:pStyle w:val="BodyText"/>
        <w:spacing w:before="5"/>
        <w:rPr>
          <w:sz w:val="21"/>
        </w:rPr>
      </w:pPr>
    </w:p>
    <w:p>
      <w:pPr>
        <w:pStyle w:val="Heading9"/>
        <w:spacing w:after="44"/>
        <w:ind w:left="899" w:right="2212"/>
      </w:pPr>
      <w:r>
        <w:rPr>
          <w:color w:val="DF2F1E"/>
        </w:rPr>
        <w:t>Table 42: Average lifetime cost for 20 to 25 year old previous welfare recipients split by key characteristics</w:t>
      </w:r>
    </w:p>
    <w:tbl>
      <w:tblPr>
        <w:tblW w:w="0" w:type="auto"/>
        <w:jc w:val="left"/>
        <w:tblInd w:w="1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62"/>
        <w:gridCol w:w="1381"/>
        <w:gridCol w:w="1659"/>
        <w:gridCol w:w="1575"/>
        <w:gridCol w:w="1609"/>
      </w:tblGrid>
      <w:tr>
        <w:trPr>
          <w:trHeight w:val="652" w:hRule="atLeast"/>
        </w:trPr>
        <w:tc>
          <w:tcPr>
            <w:tcW w:w="3562" w:type="dxa"/>
            <w:shd w:val="clear" w:color="auto" w:fill="DF2F1E"/>
          </w:tcPr>
          <w:p>
            <w:pPr>
              <w:pStyle w:val="TableParagraph"/>
              <w:spacing w:before="0"/>
              <w:rPr>
                <w:rFonts w:ascii="Times New Roman"/>
                <w:sz w:val="16"/>
              </w:rPr>
            </w:pPr>
          </w:p>
        </w:tc>
        <w:tc>
          <w:tcPr>
            <w:tcW w:w="1381" w:type="dxa"/>
            <w:shd w:val="clear" w:color="auto" w:fill="DF2F1E"/>
          </w:tcPr>
          <w:p>
            <w:pPr>
              <w:pStyle w:val="TableParagraph"/>
              <w:spacing w:before="44"/>
              <w:ind w:left="580" w:right="123" w:hanging="142"/>
              <w:rPr>
                <w:b/>
                <w:sz w:val="16"/>
              </w:rPr>
            </w:pPr>
            <w:r>
              <w:rPr>
                <w:b/>
                <w:color w:val="FFFFFF"/>
                <w:sz w:val="16"/>
              </w:rPr>
              <w:t>Number of people</w:t>
            </w:r>
          </w:p>
        </w:tc>
        <w:tc>
          <w:tcPr>
            <w:tcW w:w="1659" w:type="dxa"/>
            <w:shd w:val="clear" w:color="auto" w:fill="DF2F1E"/>
          </w:tcPr>
          <w:p>
            <w:pPr>
              <w:pStyle w:val="TableParagraph"/>
              <w:spacing w:before="44"/>
              <w:ind w:left="276" w:right="132" w:hanging="130"/>
              <w:rPr>
                <w:b/>
                <w:sz w:val="16"/>
              </w:rPr>
            </w:pPr>
            <w:r>
              <w:rPr>
                <w:b/>
                <w:color w:val="FFFFFF"/>
                <w:sz w:val="16"/>
              </w:rPr>
              <w:t>Number of people as % of cohort</w:t>
            </w:r>
          </w:p>
        </w:tc>
        <w:tc>
          <w:tcPr>
            <w:tcW w:w="1575" w:type="dxa"/>
            <w:shd w:val="clear" w:color="auto" w:fill="DF2F1E"/>
          </w:tcPr>
          <w:p>
            <w:pPr>
              <w:pStyle w:val="TableParagraph"/>
              <w:spacing w:before="44"/>
              <w:ind w:left="490" w:right="164" w:hanging="336"/>
              <w:rPr>
                <w:b/>
                <w:sz w:val="16"/>
              </w:rPr>
            </w:pPr>
            <w:r>
              <w:rPr>
                <w:b/>
                <w:color w:val="FFFFFF"/>
                <w:sz w:val="16"/>
              </w:rPr>
              <w:t>Average lifetime cost ($)</w:t>
            </w:r>
          </w:p>
        </w:tc>
        <w:tc>
          <w:tcPr>
            <w:tcW w:w="1609" w:type="dxa"/>
            <w:shd w:val="clear" w:color="auto" w:fill="DF2F1E"/>
          </w:tcPr>
          <w:p>
            <w:pPr>
              <w:pStyle w:val="TableParagraph"/>
              <w:spacing w:before="44"/>
              <w:ind w:left="187" w:right="181"/>
              <w:jc w:val="center"/>
              <w:rPr>
                <w:b/>
                <w:sz w:val="16"/>
              </w:rPr>
            </w:pPr>
            <w:r>
              <w:rPr>
                <w:b/>
                <w:color w:val="FFFFFF"/>
                <w:sz w:val="16"/>
              </w:rPr>
              <w:t>Average lifetime cost relative to cohort</w:t>
            </w:r>
          </w:p>
        </w:tc>
      </w:tr>
      <w:tr>
        <w:trPr>
          <w:trHeight w:val="263" w:hRule="atLeast"/>
        </w:trPr>
        <w:tc>
          <w:tcPr>
            <w:tcW w:w="3562" w:type="dxa"/>
            <w:tcBorders>
              <w:left w:val="single" w:sz="4" w:space="0" w:color="DF2F1E"/>
              <w:bottom w:val="single" w:sz="4" w:space="0" w:color="DF2F1E"/>
            </w:tcBorders>
            <w:shd w:val="clear" w:color="auto" w:fill="F7DCE0"/>
          </w:tcPr>
          <w:p>
            <w:pPr>
              <w:pStyle w:val="TableParagraph"/>
              <w:spacing w:before="34"/>
              <w:ind w:left="107"/>
              <w:rPr>
                <w:b/>
                <w:sz w:val="16"/>
              </w:rPr>
            </w:pPr>
            <w:r>
              <w:rPr>
                <w:b/>
                <w:color w:val="404040"/>
                <w:sz w:val="16"/>
              </w:rPr>
              <w:t>Total</w:t>
            </w:r>
          </w:p>
        </w:tc>
        <w:tc>
          <w:tcPr>
            <w:tcW w:w="1381" w:type="dxa"/>
            <w:tcBorders>
              <w:bottom w:val="single" w:sz="4" w:space="0" w:color="DF2F1E"/>
            </w:tcBorders>
            <w:shd w:val="clear" w:color="auto" w:fill="F7DCE0"/>
          </w:tcPr>
          <w:p>
            <w:pPr>
              <w:pStyle w:val="TableParagraph"/>
              <w:spacing w:before="34"/>
              <w:ind w:right="251"/>
              <w:jc w:val="right"/>
              <w:rPr>
                <w:b/>
                <w:sz w:val="16"/>
              </w:rPr>
            </w:pPr>
            <w:r>
              <w:rPr>
                <w:b/>
                <w:color w:val="404040"/>
                <w:sz w:val="16"/>
              </w:rPr>
              <w:t>399,000</w:t>
            </w:r>
          </w:p>
        </w:tc>
        <w:tc>
          <w:tcPr>
            <w:tcW w:w="1659" w:type="dxa"/>
            <w:tcBorders>
              <w:bottom w:val="single" w:sz="4" w:space="0" w:color="DF2F1E"/>
            </w:tcBorders>
            <w:shd w:val="clear" w:color="auto" w:fill="F7DCE0"/>
          </w:tcPr>
          <w:p>
            <w:pPr>
              <w:pStyle w:val="TableParagraph"/>
              <w:spacing w:before="34"/>
              <w:ind w:left="622"/>
              <w:rPr>
                <w:b/>
                <w:sz w:val="16"/>
              </w:rPr>
            </w:pPr>
            <w:r>
              <w:rPr>
                <w:b/>
                <w:color w:val="404040"/>
                <w:sz w:val="16"/>
              </w:rPr>
              <w:t>100%</w:t>
            </w:r>
          </w:p>
        </w:tc>
        <w:tc>
          <w:tcPr>
            <w:tcW w:w="1575" w:type="dxa"/>
            <w:tcBorders>
              <w:bottom w:val="single" w:sz="4" w:space="0" w:color="DF2F1E"/>
            </w:tcBorders>
            <w:shd w:val="clear" w:color="auto" w:fill="F7DCE0"/>
          </w:tcPr>
          <w:p>
            <w:pPr>
              <w:pStyle w:val="TableParagraph"/>
              <w:spacing w:before="34"/>
              <w:ind w:left="464" w:right="488"/>
              <w:jc w:val="center"/>
              <w:rPr>
                <w:b/>
                <w:sz w:val="16"/>
              </w:rPr>
            </w:pPr>
            <w:r>
              <w:rPr>
                <w:b/>
                <w:color w:val="404040"/>
                <w:sz w:val="16"/>
              </w:rPr>
              <w:t>227,000</w:t>
            </w:r>
          </w:p>
        </w:tc>
        <w:tc>
          <w:tcPr>
            <w:tcW w:w="1609" w:type="dxa"/>
            <w:tcBorders>
              <w:bottom w:val="single" w:sz="4" w:space="0" w:color="DF2F1E"/>
              <w:right w:val="single" w:sz="4" w:space="0" w:color="DF2F1E"/>
            </w:tcBorders>
            <w:shd w:val="clear" w:color="auto" w:fill="F7DCE0"/>
          </w:tcPr>
          <w:p>
            <w:pPr>
              <w:pStyle w:val="TableParagraph"/>
              <w:spacing w:before="34"/>
              <w:ind w:left="578" w:right="574"/>
              <w:jc w:val="center"/>
              <w:rPr>
                <w:b/>
                <w:sz w:val="16"/>
              </w:rPr>
            </w:pPr>
            <w:r>
              <w:rPr>
                <w:b/>
                <w:color w:val="404040"/>
                <w:sz w:val="16"/>
              </w:rPr>
              <w:t>100%</w:t>
            </w:r>
          </w:p>
        </w:tc>
      </w:tr>
      <w:tr>
        <w:trPr>
          <w:trHeight w:val="262" w:hRule="atLeast"/>
        </w:trPr>
        <w:tc>
          <w:tcPr>
            <w:tcW w:w="3562" w:type="dxa"/>
            <w:tcBorders>
              <w:top w:val="single" w:sz="4" w:space="0" w:color="DF2F1E"/>
              <w:left w:val="single" w:sz="4" w:space="0" w:color="DF2F1E"/>
            </w:tcBorders>
          </w:tcPr>
          <w:p>
            <w:pPr>
              <w:pStyle w:val="TableParagraph"/>
              <w:spacing w:before="34"/>
              <w:ind w:left="107"/>
              <w:rPr>
                <w:b/>
                <w:sz w:val="16"/>
              </w:rPr>
            </w:pPr>
            <w:r>
              <w:rPr>
                <w:b/>
                <w:color w:val="404040"/>
                <w:sz w:val="16"/>
              </w:rPr>
              <w:t>Marital status</w:t>
            </w:r>
          </w:p>
        </w:tc>
        <w:tc>
          <w:tcPr>
            <w:tcW w:w="1381" w:type="dxa"/>
            <w:tcBorders>
              <w:top w:val="single" w:sz="4" w:space="0" w:color="DF2F1E"/>
            </w:tcBorders>
          </w:tcPr>
          <w:p>
            <w:pPr>
              <w:pStyle w:val="TableParagraph"/>
              <w:spacing w:before="0"/>
              <w:rPr>
                <w:rFonts w:ascii="Times New Roman"/>
                <w:sz w:val="16"/>
              </w:rPr>
            </w:pPr>
          </w:p>
        </w:tc>
        <w:tc>
          <w:tcPr>
            <w:tcW w:w="1659" w:type="dxa"/>
            <w:tcBorders>
              <w:top w:val="single" w:sz="4" w:space="0" w:color="DF2F1E"/>
            </w:tcBorders>
          </w:tcPr>
          <w:p>
            <w:pPr>
              <w:pStyle w:val="TableParagraph"/>
              <w:spacing w:before="0"/>
              <w:rPr>
                <w:rFonts w:ascii="Times New Roman"/>
                <w:sz w:val="16"/>
              </w:rPr>
            </w:pPr>
          </w:p>
        </w:tc>
        <w:tc>
          <w:tcPr>
            <w:tcW w:w="1575" w:type="dxa"/>
            <w:tcBorders>
              <w:top w:val="single" w:sz="4" w:space="0" w:color="DF2F1E"/>
            </w:tcBorders>
          </w:tcPr>
          <w:p>
            <w:pPr>
              <w:pStyle w:val="TableParagraph"/>
              <w:spacing w:before="0"/>
              <w:rPr>
                <w:rFonts w:ascii="Times New Roman"/>
                <w:sz w:val="16"/>
              </w:rPr>
            </w:pPr>
          </w:p>
        </w:tc>
        <w:tc>
          <w:tcPr>
            <w:tcW w:w="1609" w:type="dxa"/>
            <w:tcBorders>
              <w:top w:val="single" w:sz="4" w:space="0" w:color="DF2F1E"/>
              <w:right w:val="single" w:sz="4" w:space="0" w:color="DF2F1E"/>
            </w:tcBorders>
          </w:tcPr>
          <w:p>
            <w:pPr>
              <w:pStyle w:val="TableParagraph"/>
              <w:spacing w:before="0"/>
              <w:rPr>
                <w:rFonts w:ascii="Times New Roman"/>
                <w:sz w:val="16"/>
              </w:rPr>
            </w:pPr>
          </w:p>
        </w:tc>
      </w:tr>
      <w:tr>
        <w:trPr>
          <w:trHeight w:val="265" w:hRule="atLeast"/>
        </w:trPr>
        <w:tc>
          <w:tcPr>
            <w:tcW w:w="3562" w:type="dxa"/>
            <w:tcBorders>
              <w:left w:val="single" w:sz="4" w:space="0" w:color="DF2F1E"/>
            </w:tcBorders>
          </w:tcPr>
          <w:p>
            <w:pPr>
              <w:pStyle w:val="TableParagraph"/>
              <w:spacing w:before="39"/>
              <w:ind w:left="287"/>
              <w:rPr>
                <w:b/>
                <w:i/>
                <w:sz w:val="16"/>
              </w:rPr>
            </w:pPr>
            <w:r>
              <w:rPr>
                <w:b/>
                <w:i/>
                <w:color w:val="404040"/>
                <w:sz w:val="16"/>
              </w:rPr>
              <w:t>- Single</w:t>
            </w:r>
          </w:p>
        </w:tc>
        <w:tc>
          <w:tcPr>
            <w:tcW w:w="1381" w:type="dxa"/>
          </w:tcPr>
          <w:p>
            <w:pPr>
              <w:pStyle w:val="TableParagraph"/>
              <w:spacing w:before="39"/>
              <w:ind w:right="251"/>
              <w:jc w:val="right"/>
              <w:rPr>
                <w:sz w:val="16"/>
              </w:rPr>
            </w:pPr>
            <w:r>
              <w:rPr>
                <w:color w:val="404040"/>
                <w:sz w:val="16"/>
              </w:rPr>
              <w:t>331,000</w:t>
            </w:r>
          </w:p>
        </w:tc>
        <w:tc>
          <w:tcPr>
            <w:tcW w:w="1659" w:type="dxa"/>
          </w:tcPr>
          <w:p>
            <w:pPr>
              <w:pStyle w:val="TableParagraph"/>
              <w:spacing w:before="39"/>
              <w:ind w:left="668"/>
              <w:rPr>
                <w:sz w:val="16"/>
              </w:rPr>
            </w:pPr>
            <w:r>
              <w:rPr>
                <w:color w:val="404040"/>
                <w:sz w:val="16"/>
              </w:rPr>
              <w:t>83%</w:t>
            </w:r>
          </w:p>
        </w:tc>
        <w:tc>
          <w:tcPr>
            <w:tcW w:w="1575" w:type="dxa"/>
          </w:tcPr>
          <w:p>
            <w:pPr>
              <w:pStyle w:val="TableParagraph"/>
              <w:spacing w:before="39"/>
              <w:ind w:left="464" w:right="488"/>
              <w:jc w:val="center"/>
              <w:rPr>
                <w:sz w:val="16"/>
              </w:rPr>
            </w:pPr>
            <w:r>
              <w:rPr>
                <w:color w:val="404040"/>
                <w:sz w:val="16"/>
              </w:rPr>
              <w:t>229,000</w:t>
            </w:r>
          </w:p>
        </w:tc>
        <w:tc>
          <w:tcPr>
            <w:tcW w:w="1609" w:type="dxa"/>
            <w:tcBorders>
              <w:right w:val="single" w:sz="4" w:space="0" w:color="DF2F1E"/>
            </w:tcBorders>
          </w:tcPr>
          <w:p>
            <w:pPr>
              <w:pStyle w:val="TableParagraph"/>
              <w:spacing w:before="39"/>
              <w:ind w:left="578" w:right="575"/>
              <w:jc w:val="center"/>
              <w:rPr>
                <w:sz w:val="16"/>
              </w:rPr>
            </w:pPr>
            <w:r>
              <w:rPr>
                <w:color w:val="404040"/>
                <w:sz w:val="16"/>
              </w:rPr>
              <w:t>101%</w:t>
            </w:r>
          </w:p>
        </w:tc>
      </w:tr>
      <w:tr>
        <w:trPr>
          <w:trHeight w:val="264" w:hRule="atLeast"/>
        </w:trPr>
        <w:tc>
          <w:tcPr>
            <w:tcW w:w="3562" w:type="dxa"/>
            <w:tcBorders>
              <w:left w:val="single" w:sz="4" w:space="0" w:color="DF2F1E"/>
              <w:bottom w:val="single" w:sz="4" w:space="0" w:color="DF2F1E"/>
            </w:tcBorders>
          </w:tcPr>
          <w:p>
            <w:pPr>
              <w:pStyle w:val="TableParagraph"/>
              <w:ind w:left="287"/>
              <w:rPr>
                <w:b/>
                <w:i/>
                <w:sz w:val="16"/>
              </w:rPr>
            </w:pPr>
            <w:r>
              <w:rPr>
                <w:b/>
                <w:i/>
                <w:color w:val="404040"/>
                <w:sz w:val="16"/>
              </w:rPr>
              <w:t>- Partnered</w:t>
            </w:r>
          </w:p>
        </w:tc>
        <w:tc>
          <w:tcPr>
            <w:tcW w:w="1381" w:type="dxa"/>
            <w:tcBorders>
              <w:bottom w:val="single" w:sz="4" w:space="0" w:color="DF2F1E"/>
            </w:tcBorders>
          </w:tcPr>
          <w:p>
            <w:pPr>
              <w:pStyle w:val="TableParagraph"/>
              <w:ind w:right="294"/>
              <w:jc w:val="right"/>
              <w:rPr>
                <w:sz w:val="16"/>
              </w:rPr>
            </w:pPr>
            <w:r>
              <w:rPr>
                <w:color w:val="404040"/>
                <w:sz w:val="16"/>
              </w:rPr>
              <w:t>68,000</w:t>
            </w:r>
          </w:p>
        </w:tc>
        <w:tc>
          <w:tcPr>
            <w:tcW w:w="1659" w:type="dxa"/>
            <w:tcBorders>
              <w:bottom w:val="single" w:sz="4" w:space="0" w:color="DF2F1E"/>
            </w:tcBorders>
          </w:tcPr>
          <w:p>
            <w:pPr>
              <w:pStyle w:val="TableParagraph"/>
              <w:ind w:left="668"/>
              <w:rPr>
                <w:sz w:val="16"/>
              </w:rPr>
            </w:pPr>
            <w:r>
              <w:rPr>
                <w:color w:val="404040"/>
                <w:sz w:val="16"/>
              </w:rPr>
              <w:t>17%</w:t>
            </w:r>
          </w:p>
        </w:tc>
        <w:tc>
          <w:tcPr>
            <w:tcW w:w="1575" w:type="dxa"/>
            <w:tcBorders>
              <w:bottom w:val="single" w:sz="4" w:space="0" w:color="DF2F1E"/>
            </w:tcBorders>
          </w:tcPr>
          <w:p>
            <w:pPr>
              <w:pStyle w:val="TableParagraph"/>
              <w:ind w:left="464" w:right="488"/>
              <w:jc w:val="center"/>
              <w:rPr>
                <w:sz w:val="16"/>
              </w:rPr>
            </w:pPr>
            <w:r>
              <w:rPr>
                <w:color w:val="404040"/>
                <w:sz w:val="16"/>
              </w:rPr>
              <w:t>216,000</w:t>
            </w:r>
          </w:p>
        </w:tc>
        <w:tc>
          <w:tcPr>
            <w:tcW w:w="1609" w:type="dxa"/>
            <w:tcBorders>
              <w:bottom w:val="single" w:sz="4" w:space="0" w:color="DF2F1E"/>
              <w:right w:val="single" w:sz="4" w:space="0" w:color="DF2F1E"/>
            </w:tcBorders>
          </w:tcPr>
          <w:p>
            <w:pPr>
              <w:pStyle w:val="TableParagraph"/>
              <w:ind w:left="578" w:right="572"/>
              <w:jc w:val="center"/>
              <w:rPr>
                <w:sz w:val="16"/>
              </w:rPr>
            </w:pPr>
            <w:r>
              <w:rPr>
                <w:color w:val="404040"/>
                <w:sz w:val="16"/>
              </w:rPr>
              <w:t>95%</w:t>
            </w:r>
          </w:p>
        </w:tc>
      </w:tr>
      <w:tr>
        <w:trPr>
          <w:trHeight w:val="262" w:hRule="atLeast"/>
        </w:trPr>
        <w:tc>
          <w:tcPr>
            <w:tcW w:w="3562" w:type="dxa"/>
            <w:tcBorders>
              <w:top w:val="single" w:sz="4" w:space="0" w:color="DF2F1E"/>
              <w:left w:val="single" w:sz="4" w:space="0" w:color="DF2F1E"/>
            </w:tcBorders>
          </w:tcPr>
          <w:p>
            <w:pPr>
              <w:pStyle w:val="TableParagraph"/>
              <w:spacing w:before="34"/>
              <w:ind w:left="107"/>
              <w:rPr>
                <w:b/>
                <w:sz w:val="16"/>
              </w:rPr>
            </w:pPr>
            <w:r>
              <w:rPr>
                <w:b/>
                <w:color w:val="404040"/>
                <w:sz w:val="16"/>
              </w:rPr>
              <w:t>Highest educational attainment recorded</w:t>
            </w:r>
          </w:p>
        </w:tc>
        <w:tc>
          <w:tcPr>
            <w:tcW w:w="1381" w:type="dxa"/>
            <w:tcBorders>
              <w:top w:val="single" w:sz="4" w:space="0" w:color="DF2F1E"/>
            </w:tcBorders>
          </w:tcPr>
          <w:p>
            <w:pPr>
              <w:pStyle w:val="TableParagraph"/>
              <w:spacing w:before="0"/>
              <w:rPr>
                <w:rFonts w:ascii="Times New Roman"/>
                <w:sz w:val="16"/>
              </w:rPr>
            </w:pPr>
          </w:p>
        </w:tc>
        <w:tc>
          <w:tcPr>
            <w:tcW w:w="1659" w:type="dxa"/>
            <w:tcBorders>
              <w:top w:val="single" w:sz="4" w:space="0" w:color="DF2F1E"/>
            </w:tcBorders>
          </w:tcPr>
          <w:p>
            <w:pPr>
              <w:pStyle w:val="TableParagraph"/>
              <w:spacing w:before="0"/>
              <w:rPr>
                <w:rFonts w:ascii="Times New Roman"/>
                <w:sz w:val="16"/>
              </w:rPr>
            </w:pPr>
          </w:p>
        </w:tc>
        <w:tc>
          <w:tcPr>
            <w:tcW w:w="1575" w:type="dxa"/>
            <w:tcBorders>
              <w:top w:val="single" w:sz="4" w:space="0" w:color="DF2F1E"/>
            </w:tcBorders>
          </w:tcPr>
          <w:p>
            <w:pPr>
              <w:pStyle w:val="TableParagraph"/>
              <w:spacing w:before="0"/>
              <w:rPr>
                <w:rFonts w:ascii="Times New Roman"/>
                <w:sz w:val="16"/>
              </w:rPr>
            </w:pPr>
          </w:p>
        </w:tc>
        <w:tc>
          <w:tcPr>
            <w:tcW w:w="1609" w:type="dxa"/>
            <w:tcBorders>
              <w:top w:val="single" w:sz="4" w:space="0" w:color="DF2F1E"/>
              <w:right w:val="single" w:sz="4" w:space="0" w:color="DF2F1E"/>
            </w:tcBorders>
          </w:tcPr>
          <w:p>
            <w:pPr>
              <w:pStyle w:val="TableParagraph"/>
              <w:spacing w:before="0"/>
              <w:rPr>
                <w:rFonts w:ascii="Times New Roman"/>
                <w:sz w:val="16"/>
              </w:rPr>
            </w:pPr>
          </w:p>
        </w:tc>
      </w:tr>
      <w:tr>
        <w:trPr>
          <w:trHeight w:val="265" w:hRule="atLeast"/>
        </w:trPr>
        <w:tc>
          <w:tcPr>
            <w:tcW w:w="3562" w:type="dxa"/>
            <w:tcBorders>
              <w:left w:val="single" w:sz="4" w:space="0" w:color="DF2F1E"/>
            </w:tcBorders>
          </w:tcPr>
          <w:p>
            <w:pPr>
              <w:pStyle w:val="TableParagraph"/>
              <w:spacing w:before="39"/>
              <w:ind w:left="287"/>
              <w:rPr>
                <w:b/>
                <w:i/>
                <w:sz w:val="16"/>
              </w:rPr>
            </w:pPr>
            <w:r>
              <w:rPr>
                <w:b/>
                <w:i/>
                <w:color w:val="404040"/>
                <w:sz w:val="16"/>
              </w:rPr>
              <w:t>- Year 10 or less</w:t>
            </w:r>
          </w:p>
        </w:tc>
        <w:tc>
          <w:tcPr>
            <w:tcW w:w="1381" w:type="dxa"/>
          </w:tcPr>
          <w:p>
            <w:pPr>
              <w:pStyle w:val="TableParagraph"/>
              <w:spacing w:before="39"/>
              <w:ind w:right="294"/>
              <w:jc w:val="right"/>
              <w:rPr>
                <w:sz w:val="16"/>
              </w:rPr>
            </w:pPr>
            <w:r>
              <w:rPr>
                <w:color w:val="404040"/>
                <w:sz w:val="16"/>
              </w:rPr>
              <w:t>28,000</w:t>
            </w:r>
          </w:p>
        </w:tc>
        <w:tc>
          <w:tcPr>
            <w:tcW w:w="1659" w:type="dxa"/>
          </w:tcPr>
          <w:p>
            <w:pPr>
              <w:pStyle w:val="TableParagraph"/>
              <w:spacing w:before="39"/>
              <w:ind w:left="711"/>
              <w:rPr>
                <w:sz w:val="16"/>
              </w:rPr>
            </w:pPr>
            <w:r>
              <w:rPr>
                <w:color w:val="404040"/>
                <w:sz w:val="16"/>
              </w:rPr>
              <w:t>7%</w:t>
            </w:r>
          </w:p>
        </w:tc>
        <w:tc>
          <w:tcPr>
            <w:tcW w:w="1575" w:type="dxa"/>
          </w:tcPr>
          <w:p>
            <w:pPr>
              <w:pStyle w:val="TableParagraph"/>
              <w:spacing w:before="39"/>
              <w:ind w:left="464" w:right="488"/>
              <w:jc w:val="center"/>
              <w:rPr>
                <w:sz w:val="16"/>
              </w:rPr>
            </w:pPr>
            <w:r>
              <w:rPr>
                <w:color w:val="404040"/>
                <w:sz w:val="16"/>
              </w:rPr>
              <w:t>245,000</w:t>
            </w:r>
          </w:p>
        </w:tc>
        <w:tc>
          <w:tcPr>
            <w:tcW w:w="1609" w:type="dxa"/>
            <w:tcBorders>
              <w:right w:val="single" w:sz="4" w:space="0" w:color="DF2F1E"/>
            </w:tcBorders>
          </w:tcPr>
          <w:p>
            <w:pPr>
              <w:pStyle w:val="TableParagraph"/>
              <w:spacing w:before="39"/>
              <w:ind w:left="578" w:right="574"/>
              <w:jc w:val="center"/>
              <w:rPr>
                <w:sz w:val="16"/>
              </w:rPr>
            </w:pPr>
            <w:r>
              <w:rPr>
                <w:color w:val="404040"/>
                <w:sz w:val="16"/>
              </w:rPr>
              <w:t>108%</w:t>
            </w:r>
          </w:p>
        </w:tc>
      </w:tr>
      <w:tr>
        <w:trPr>
          <w:trHeight w:val="263" w:hRule="atLeast"/>
        </w:trPr>
        <w:tc>
          <w:tcPr>
            <w:tcW w:w="3562" w:type="dxa"/>
            <w:tcBorders>
              <w:left w:val="single" w:sz="4" w:space="0" w:color="DF2F1E"/>
            </w:tcBorders>
          </w:tcPr>
          <w:p>
            <w:pPr>
              <w:pStyle w:val="TableParagraph"/>
              <w:ind w:left="287"/>
              <w:rPr>
                <w:b/>
                <w:i/>
                <w:sz w:val="16"/>
              </w:rPr>
            </w:pPr>
            <w:r>
              <w:rPr>
                <w:b/>
                <w:i/>
                <w:color w:val="404040"/>
                <w:sz w:val="16"/>
              </w:rPr>
              <w:t>- Year 11</w:t>
            </w:r>
          </w:p>
        </w:tc>
        <w:tc>
          <w:tcPr>
            <w:tcW w:w="1381" w:type="dxa"/>
          </w:tcPr>
          <w:p>
            <w:pPr>
              <w:pStyle w:val="TableParagraph"/>
              <w:ind w:right="294"/>
              <w:jc w:val="right"/>
              <w:rPr>
                <w:sz w:val="16"/>
              </w:rPr>
            </w:pPr>
            <w:r>
              <w:rPr>
                <w:color w:val="404040"/>
                <w:sz w:val="16"/>
              </w:rPr>
              <w:t>18,000</w:t>
            </w:r>
          </w:p>
        </w:tc>
        <w:tc>
          <w:tcPr>
            <w:tcW w:w="1659" w:type="dxa"/>
          </w:tcPr>
          <w:p>
            <w:pPr>
              <w:pStyle w:val="TableParagraph"/>
              <w:ind w:left="711"/>
              <w:rPr>
                <w:sz w:val="16"/>
              </w:rPr>
            </w:pPr>
            <w:r>
              <w:rPr>
                <w:color w:val="404040"/>
                <w:sz w:val="16"/>
              </w:rPr>
              <w:t>5%</w:t>
            </w:r>
          </w:p>
        </w:tc>
        <w:tc>
          <w:tcPr>
            <w:tcW w:w="1575" w:type="dxa"/>
          </w:tcPr>
          <w:p>
            <w:pPr>
              <w:pStyle w:val="TableParagraph"/>
              <w:ind w:left="464" w:right="488"/>
              <w:jc w:val="center"/>
              <w:rPr>
                <w:sz w:val="16"/>
              </w:rPr>
            </w:pPr>
            <w:r>
              <w:rPr>
                <w:color w:val="404040"/>
                <w:sz w:val="16"/>
              </w:rPr>
              <w:t>245,000</w:t>
            </w:r>
          </w:p>
        </w:tc>
        <w:tc>
          <w:tcPr>
            <w:tcW w:w="1609" w:type="dxa"/>
            <w:tcBorders>
              <w:right w:val="single" w:sz="4" w:space="0" w:color="DF2F1E"/>
            </w:tcBorders>
          </w:tcPr>
          <w:p>
            <w:pPr>
              <w:pStyle w:val="TableParagraph"/>
              <w:ind w:left="578" w:right="574"/>
              <w:jc w:val="center"/>
              <w:rPr>
                <w:sz w:val="16"/>
              </w:rPr>
            </w:pPr>
            <w:r>
              <w:rPr>
                <w:color w:val="404040"/>
                <w:sz w:val="16"/>
              </w:rPr>
              <w:t>108%</w:t>
            </w:r>
          </w:p>
        </w:tc>
      </w:tr>
      <w:tr>
        <w:trPr>
          <w:trHeight w:val="263" w:hRule="atLeast"/>
        </w:trPr>
        <w:tc>
          <w:tcPr>
            <w:tcW w:w="3562" w:type="dxa"/>
            <w:tcBorders>
              <w:left w:val="single" w:sz="4" w:space="0" w:color="DF2F1E"/>
            </w:tcBorders>
          </w:tcPr>
          <w:p>
            <w:pPr>
              <w:pStyle w:val="TableParagraph"/>
              <w:ind w:left="287"/>
              <w:rPr>
                <w:b/>
                <w:i/>
                <w:sz w:val="16"/>
              </w:rPr>
            </w:pPr>
            <w:r>
              <w:rPr>
                <w:b/>
                <w:i/>
                <w:color w:val="404040"/>
                <w:sz w:val="16"/>
              </w:rPr>
              <w:t>- Year 12</w:t>
            </w:r>
          </w:p>
        </w:tc>
        <w:tc>
          <w:tcPr>
            <w:tcW w:w="1381" w:type="dxa"/>
          </w:tcPr>
          <w:p>
            <w:pPr>
              <w:pStyle w:val="TableParagraph"/>
              <w:ind w:right="251"/>
              <w:jc w:val="right"/>
              <w:rPr>
                <w:sz w:val="16"/>
              </w:rPr>
            </w:pPr>
            <w:r>
              <w:rPr>
                <w:color w:val="404040"/>
                <w:sz w:val="16"/>
              </w:rPr>
              <w:t>175,000</w:t>
            </w:r>
          </w:p>
        </w:tc>
        <w:tc>
          <w:tcPr>
            <w:tcW w:w="1659" w:type="dxa"/>
          </w:tcPr>
          <w:p>
            <w:pPr>
              <w:pStyle w:val="TableParagraph"/>
              <w:ind w:left="668"/>
              <w:rPr>
                <w:sz w:val="16"/>
              </w:rPr>
            </w:pPr>
            <w:r>
              <w:rPr>
                <w:color w:val="404040"/>
                <w:sz w:val="16"/>
              </w:rPr>
              <w:t>44%</w:t>
            </w:r>
          </w:p>
        </w:tc>
        <w:tc>
          <w:tcPr>
            <w:tcW w:w="1575" w:type="dxa"/>
          </w:tcPr>
          <w:p>
            <w:pPr>
              <w:pStyle w:val="TableParagraph"/>
              <w:ind w:left="464" w:right="488"/>
              <w:jc w:val="center"/>
              <w:rPr>
                <w:sz w:val="16"/>
              </w:rPr>
            </w:pPr>
            <w:r>
              <w:rPr>
                <w:color w:val="404040"/>
                <w:sz w:val="16"/>
              </w:rPr>
              <w:t>225,000</w:t>
            </w:r>
          </w:p>
        </w:tc>
        <w:tc>
          <w:tcPr>
            <w:tcW w:w="1609" w:type="dxa"/>
            <w:tcBorders>
              <w:right w:val="single" w:sz="4" w:space="0" w:color="DF2F1E"/>
            </w:tcBorders>
          </w:tcPr>
          <w:p>
            <w:pPr>
              <w:pStyle w:val="TableParagraph"/>
              <w:ind w:left="578" w:right="572"/>
              <w:jc w:val="center"/>
              <w:rPr>
                <w:sz w:val="16"/>
              </w:rPr>
            </w:pPr>
            <w:r>
              <w:rPr>
                <w:color w:val="404040"/>
                <w:sz w:val="16"/>
              </w:rPr>
              <w:t>99%</w:t>
            </w:r>
          </w:p>
        </w:tc>
      </w:tr>
      <w:tr>
        <w:trPr>
          <w:trHeight w:val="264" w:hRule="atLeast"/>
        </w:trPr>
        <w:tc>
          <w:tcPr>
            <w:tcW w:w="3562" w:type="dxa"/>
            <w:tcBorders>
              <w:left w:val="single" w:sz="4" w:space="0" w:color="DF2F1E"/>
            </w:tcBorders>
          </w:tcPr>
          <w:p>
            <w:pPr>
              <w:pStyle w:val="TableParagraph"/>
              <w:ind w:left="287"/>
              <w:rPr>
                <w:b/>
                <w:i/>
                <w:sz w:val="16"/>
              </w:rPr>
            </w:pPr>
            <w:r>
              <w:rPr>
                <w:b/>
                <w:i/>
                <w:color w:val="404040"/>
                <w:sz w:val="16"/>
              </w:rPr>
              <w:t>- Certificate</w:t>
            </w:r>
          </w:p>
        </w:tc>
        <w:tc>
          <w:tcPr>
            <w:tcW w:w="1381" w:type="dxa"/>
          </w:tcPr>
          <w:p>
            <w:pPr>
              <w:pStyle w:val="TableParagraph"/>
              <w:ind w:right="294"/>
              <w:jc w:val="right"/>
              <w:rPr>
                <w:sz w:val="16"/>
              </w:rPr>
            </w:pPr>
            <w:r>
              <w:rPr>
                <w:color w:val="404040"/>
                <w:sz w:val="16"/>
              </w:rPr>
              <w:t>84,000</w:t>
            </w:r>
          </w:p>
        </w:tc>
        <w:tc>
          <w:tcPr>
            <w:tcW w:w="1659" w:type="dxa"/>
          </w:tcPr>
          <w:p>
            <w:pPr>
              <w:pStyle w:val="TableParagraph"/>
              <w:ind w:left="668"/>
              <w:rPr>
                <w:sz w:val="16"/>
              </w:rPr>
            </w:pPr>
            <w:r>
              <w:rPr>
                <w:color w:val="404040"/>
                <w:sz w:val="16"/>
              </w:rPr>
              <w:t>21%</w:t>
            </w:r>
          </w:p>
        </w:tc>
        <w:tc>
          <w:tcPr>
            <w:tcW w:w="1575" w:type="dxa"/>
          </w:tcPr>
          <w:p>
            <w:pPr>
              <w:pStyle w:val="TableParagraph"/>
              <w:ind w:left="464" w:right="488"/>
              <w:jc w:val="center"/>
              <w:rPr>
                <w:sz w:val="16"/>
              </w:rPr>
            </w:pPr>
            <w:r>
              <w:rPr>
                <w:color w:val="404040"/>
                <w:sz w:val="16"/>
              </w:rPr>
              <w:t>248,000</w:t>
            </w:r>
          </w:p>
        </w:tc>
        <w:tc>
          <w:tcPr>
            <w:tcW w:w="1609" w:type="dxa"/>
            <w:tcBorders>
              <w:right w:val="single" w:sz="4" w:space="0" w:color="DF2F1E"/>
            </w:tcBorders>
          </w:tcPr>
          <w:p>
            <w:pPr>
              <w:pStyle w:val="TableParagraph"/>
              <w:ind w:left="578" w:right="574"/>
              <w:jc w:val="center"/>
              <w:rPr>
                <w:sz w:val="16"/>
              </w:rPr>
            </w:pPr>
            <w:r>
              <w:rPr>
                <w:color w:val="404040"/>
                <w:sz w:val="16"/>
              </w:rPr>
              <w:t>110%</w:t>
            </w:r>
          </w:p>
        </w:tc>
      </w:tr>
      <w:tr>
        <w:trPr>
          <w:trHeight w:val="264" w:hRule="atLeast"/>
        </w:trPr>
        <w:tc>
          <w:tcPr>
            <w:tcW w:w="3562" w:type="dxa"/>
            <w:tcBorders>
              <w:left w:val="single" w:sz="4" w:space="0" w:color="DF2F1E"/>
            </w:tcBorders>
          </w:tcPr>
          <w:p>
            <w:pPr>
              <w:pStyle w:val="TableParagraph"/>
              <w:ind w:left="287"/>
              <w:rPr>
                <w:b/>
                <w:i/>
                <w:sz w:val="16"/>
              </w:rPr>
            </w:pPr>
            <w:r>
              <w:rPr>
                <w:b/>
                <w:i/>
                <w:color w:val="404040"/>
                <w:sz w:val="16"/>
              </w:rPr>
              <w:t>- Diploma</w:t>
            </w:r>
          </w:p>
        </w:tc>
        <w:tc>
          <w:tcPr>
            <w:tcW w:w="1381" w:type="dxa"/>
          </w:tcPr>
          <w:p>
            <w:pPr>
              <w:pStyle w:val="TableParagraph"/>
              <w:ind w:right="294"/>
              <w:jc w:val="right"/>
              <w:rPr>
                <w:sz w:val="16"/>
              </w:rPr>
            </w:pPr>
            <w:r>
              <w:rPr>
                <w:color w:val="404040"/>
                <w:sz w:val="16"/>
              </w:rPr>
              <w:t>28,000</w:t>
            </w:r>
          </w:p>
        </w:tc>
        <w:tc>
          <w:tcPr>
            <w:tcW w:w="1659" w:type="dxa"/>
          </w:tcPr>
          <w:p>
            <w:pPr>
              <w:pStyle w:val="TableParagraph"/>
              <w:ind w:left="711"/>
              <w:rPr>
                <w:sz w:val="16"/>
              </w:rPr>
            </w:pPr>
            <w:r>
              <w:rPr>
                <w:color w:val="404040"/>
                <w:sz w:val="16"/>
              </w:rPr>
              <w:t>7%</w:t>
            </w:r>
          </w:p>
        </w:tc>
        <w:tc>
          <w:tcPr>
            <w:tcW w:w="1575" w:type="dxa"/>
          </w:tcPr>
          <w:p>
            <w:pPr>
              <w:pStyle w:val="TableParagraph"/>
              <w:ind w:left="464" w:right="488"/>
              <w:jc w:val="center"/>
              <w:rPr>
                <w:sz w:val="16"/>
              </w:rPr>
            </w:pPr>
            <w:r>
              <w:rPr>
                <w:color w:val="404040"/>
                <w:sz w:val="16"/>
              </w:rPr>
              <w:t>219,000</w:t>
            </w:r>
          </w:p>
        </w:tc>
        <w:tc>
          <w:tcPr>
            <w:tcW w:w="1609" w:type="dxa"/>
            <w:tcBorders>
              <w:right w:val="single" w:sz="4" w:space="0" w:color="DF2F1E"/>
            </w:tcBorders>
          </w:tcPr>
          <w:p>
            <w:pPr>
              <w:pStyle w:val="TableParagraph"/>
              <w:ind w:left="578" w:right="572"/>
              <w:jc w:val="center"/>
              <w:rPr>
                <w:sz w:val="16"/>
              </w:rPr>
            </w:pPr>
            <w:r>
              <w:rPr>
                <w:color w:val="404040"/>
                <w:sz w:val="16"/>
              </w:rPr>
              <w:t>97%</w:t>
            </w:r>
          </w:p>
        </w:tc>
      </w:tr>
      <w:tr>
        <w:trPr>
          <w:trHeight w:val="264" w:hRule="atLeast"/>
        </w:trPr>
        <w:tc>
          <w:tcPr>
            <w:tcW w:w="3562" w:type="dxa"/>
            <w:tcBorders>
              <w:left w:val="single" w:sz="4" w:space="0" w:color="DF2F1E"/>
            </w:tcBorders>
          </w:tcPr>
          <w:p>
            <w:pPr>
              <w:pStyle w:val="TableParagraph"/>
              <w:ind w:left="287"/>
              <w:rPr>
                <w:b/>
                <w:i/>
                <w:sz w:val="16"/>
              </w:rPr>
            </w:pPr>
            <w:r>
              <w:rPr>
                <w:b/>
                <w:i/>
                <w:color w:val="404040"/>
                <w:sz w:val="16"/>
              </w:rPr>
              <w:t>- Bachelors</w:t>
            </w:r>
          </w:p>
        </w:tc>
        <w:tc>
          <w:tcPr>
            <w:tcW w:w="1381" w:type="dxa"/>
          </w:tcPr>
          <w:p>
            <w:pPr>
              <w:pStyle w:val="TableParagraph"/>
              <w:ind w:right="294"/>
              <w:jc w:val="right"/>
              <w:rPr>
                <w:sz w:val="16"/>
              </w:rPr>
            </w:pPr>
            <w:r>
              <w:rPr>
                <w:color w:val="404040"/>
                <w:sz w:val="16"/>
              </w:rPr>
              <w:t>57,000</w:t>
            </w:r>
          </w:p>
        </w:tc>
        <w:tc>
          <w:tcPr>
            <w:tcW w:w="1659" w:type="dxa"/>
          </w:tcPr>
          <w:p>
            <w:pPr>
              <w:pStyle w:val="TableParagraph"/>
              <w:ind w:left="668"/>
              <w:rPr>
                <w:sz w:val="16"/>
              </w:rPr>
            </w:pPr>
            <w:r>
              <w:rPr>
                <w:color w:val="404040"/>
                <w:sz w:val="16"/>
              </w:rPr>
              <w:t>14%</w:t>
            </w:r>
          </w:p>
        </w:tc>
        <w:tc>
          <w:tcPr>
            <w:tcW w:w="1575" w:type="dxa"/>
          </w:tcPr>
          <w:p>
            <w:pPr>
              <w:pStyle w:val="TableParagraph"/>
              <w:ind w:left="464" w:right="488"/>
              <w:jc w:val="center"/>
              <w:rPr>
                <w:sz w:val="16"/>
              </w:rPr>
            </w:pPr>
            <w:r>
              <w:rPr>
                <w:color w:val="404040"/>
                <w:sz w:val="16"/>
              </w:rPr>
              <w:t>196,000</w:t>
            </w:r>
          </w:p>
        </w:tc>
        <w:tc>
          <w:tcPr>
            <w:tcW w:w="1609" w:type="dxa"/>
            <w:tcBorders>
              <w:right w:val="single" w:sz="4" w:space="0" w:color="DF2F1E"/>
            </w:tcBorders>
          </w:tcPr>
          <w:p>
            <w:pPr>
              <w:pStyle w:val="TableParagraph"/>
              <w:ind w:left="578" w:right="572"/>
              <w:jc w:val="center"/>
              <w:rPr>
                <w:sz w:val="16"/>
              </w:rPr>
            </w:pPr>
            <w:r>
              <w:rPr>
                <w:color w:val="404040"/>
                <w:sz w:val="16"/>
              </w:rPr>
              <w:t>86%</w:t>
            </w:r>
          </w:p>
        </w:tc>
      </w:tr>
      <w:tr>
        <w:trPr>
          <w:trHeight w:val="264" w:hRule="atLeast"/>
        </w:trPr>
        <w:tc>
          <w:tcPr>
            <w:tcW w:w="3562" w:type="dxa"/>
            <w:tcBorders>
              <w:left w:val="single" w:sz="4" w:space="0" w:color="DF2F1E"/>
              <w:bottom w:val="single" w:sz="4" w:space="0" w:color="DF2F1E"/>
            </w:tcBorders>
          </w:tcPr>
          <w:p>
            <w:pPr>
              <w:pStyle w:val="TableParagraph"/>
              <w:ind w:left="287"/>
              <w:rPr>
                <w:b/>
                <w:i/>
                <w:sz w:val="16"/>
              </w:rPr>
            </w:pPr>
            <w:r>
              <w:rPr>
                <w:b/>
                <w:i/>
                <w:color w:val="404040"/>
                <w:sz w:val="16"/>
              </w:rPr>
              <w:t>- Postgraduate</w:t>
            </w:r>
          </w:p>
        </w:tc>
        <w:tc>
          <w:tcPr>
            <w:tcW w:w="1381" w:type="dxa"/>
            <w:tcBorders>
              <w:bottom w:val="single" w:sz="4" w:space="0" w:color="DF2F1E"/>
            </w:tcBorders>
          </w:tcPr>
          <w:p>
            <w:pPr>
              <w:pStyle w:val="TableParagraph"/>
              <w:ind w:right="340"/>
              <w:jc w:val="right"/>
              <w:rPr>
                <w:sz w:val="16"/>
              </w:rPr>
            </w:pPr>
            <w:r>
              <w:rPr>
                <w:color w:val="404040"/>
                <w:sz w:val="16"/>
              </w:rPr>
              <w:t>8,000</w:t>
            </w:r>
          </w:p>
        </w:tc>
        <w:tc>
          <w:tcPr>
            <w:tcW w:w="1659" w:type="dxa"/>
            <w:tcBorders>
              <w:bottom w:val="single" w:sz="4" w:space="0" w:color="DF2F1E"/>
            </w:tcBorders>
          </w:tcPr>
          <w:p>
            <w:pPr>
              <w:pStyle w:val="TableParagraph"/>
              <w:ind w:left="711"/>
              <w:rPr>
                <w:sz w:val="16"/>
              </w:rPr>
            </w:pPr>
            <w:r>
              <w:rPr>
                <w:color w:val="404040"/>
                <w:sz w:val="16"/>
              </w:rPr>
              <w:t>2%</w:t>
            </w:r>
          </w:p>
        </w:tc>
        <w:tc>
          <w:tcPr>
            <w:tcW w:w="1575" w:type="dxa"/>
            <w:tcBorders>
              <w:bottom w:val="single" w:sz="4" w:space="0" w:color="DF2F1E"/>
            </w:tcBorders>
          </w:tcPr>
          <w:p>
            <w:pPr>
              <w:pStyle w:val="TableParagraph"/>
              <w:ind w:left="464" w:right="488"/>
              <w:jc w:val="center"/>
              <w:rPr>
                <w:sz w:val="16"/>
              </w:rPr>
            </w:pPr>
            <w:r>
              <w:rPr>
                <w:color w:val="404040"/>
                <w:sz w:val="16"/>
              </w:rPr>
              <w:t>191,000</w:t>
            </w:r>
          </w:p>
        </w:tc>
        <w:tc>
          <w:tcPr>
            <w:tcW w:w="1609" w:type="dxa"/>
            <w:tcBorders>
              <w:bottom w:val="single" w:sz="4" w:space="0" w:color="DF2F1E"/>
              <w:right w:val="single" w:sz="4" w:space="0" w:color="DF2F1E"/>
            </w:tcBorders>
          </w:tcPr>
          <w:p>
            <w:pPr>
              <w:pStyle w:val="TableParagraph"/>
              <w:ind w:left="578" w:right="572"/>
              <w:jc w:val="center"/>
              <w:rPr>
                <w:sz w:val="16"/>
              </w:rPr>
            </w:pPr>
            <w:r>
              <w:rPr>
                <w:color w:val="404040"/>
                <w:sz w:val="16"/>
              </w:rPr>
              <w:t>84%</w:t>
            </w:r>
          </w:p>
        </w:tc>
      </w:tr>
      <w:tr>
        <w:trPr>
          <w:trHeight w:val="262" w:hRule="atLeast"/>
        </w:trPr>
        <w:tc>
          <w:tcPr>
            <w:tcW w:w="3562" w:type="dxa"/>
            <w:tcBorders>
              <w:top w:val="single" w:sz="4" w:space="0" w:color="DF2F1E"/>
              <w:left w:val="single" w:sz="4" w:space="0" w:color="DF2F1E"/>
            </w:tcBorders>
          </w:tcPr>
          <w:p>
            <w:pPr>
              <w:pStyle w:val="TableParagraph"/>
              <w:spacing w:before="34"/>
              <w:ind w:left="107"/>
              <w:rPr>
                <w:b/>
                <w:sz w:val="16"/>
              </w:rPr>
            </w:pPr>
            <w:r>
              <w:rPr>
                <w:b/>
                <w:color w:val="404040"/>
                <w:sz w:val="16"/>
              </w:rPr>
              <w:t>Number of children</w:t>
            </w:r>
          </w:p>
        </w:tc>
        <w:tc>
          <w:tcPr>
            <w:tcW w:w="1381" w:type="dxa"/>
            <w:tcBorders>
              <w:top w:val="single" w:sz="4" w:space="0" w:color="DF2F1E"/>
            </w:tcBorders>
          </w:tcPr>
          <w:p>
            <w:pPr>
              <w:pStyle w:val="TableParagraph"/>
              <w:spacing w:before="0"/>
              <w:rPr>
                <w:rFonts w:ascii="Times New Roman"/>
                <w:sz w:val="16"/>
              </w:rPr>
            </w:pPr>
          </w:p>
        </w:tc>
        <w:tc>
          <w:tcPr>
            <w:tcW w:w="1659" w:type="dxa"/>
            <w:tcBorders>
              <w:top w:val="single" w:sz="4" w:space="0" w:color="DF2F1E"/>
            </w:tcBorders>
          </w:tcPr>
          <w:p>
            <w:pPr>
              <w:pStyle w:val="TableParagraph"/>
              <w:spacing w:before="0"/>
              <w:rPr>
                <w:rFonts w:ascii="Times New Roman"/>
                <w:sz w:val="16"/>
              </w:rPr>
            </w:pPr>
          </w:p>
        </w:tc>
        <w:tc>
          <w:tcPr>
            <w:tcW w:w="1575" w:type="dxa"/>
            <w:tcBorders>
              <w:top w:val="single" w:sz="4" w:space="0" w:color="DF2F1E"/>
            </w:tcBorders>
          </w:tcPr>
          <w:p>
            <w:pPr>
              <w:pStyle w:val="TableParagraph"/>
              <w:spacing w:before="0"/>
              <w:rPr>
                <w:rFonts w:ascii="Times New Roman"/>
                <w:sz w:val="16"/>
              </w:rPr>
            </w:pPr>
          </w:p>
        </w:tc>
        <w:tc>
          <w:tcPr>
            <w:tcW w:w="1609" w:type="dxa"/>
            <w:tcBorders>
              <w:top w:val="single" w:sz="4" w:space="0" w:color="DF2F1E"/>
              <w:right w:val="single" w:sz="4" w:space="0" w:color="DF2F1E"/>
            </w:tcBorders>
          </w:tcPr>
          <w:p>
            <w:pPr>
              <w:pStyle w:val="TableParagraph"/>
              <w:spacing w:before="0"/>
              <w:rPr>
                <w:rFonts w:ascii="Times New Roman"/>
                <w:sz w:val="16"/>
              </w:rPr>
            </w:pPr>
          </w:p>
        </w:tc>
      </w:tr>
      <w:tr>
        <w:trPr>
          <w:trHeight w:val="265" w:hRule="atLeast"/>
        </w:trPr>
        <w:tc>
          <w:tcPr>
            <w:tcW w:w="3562" w:type="dxa"/>
            <w:tcBorders>
              <w:left w:val="single" w:sz="4" w:space="0" w:color="DF2F1E"/>
            </w:tcBorders>
          </w:tcPr>
          <w:p>
            <w:pPr>
              <w:pStyle w:val="TableParagraph"/>
              <w:spacing w:before="39"/>
              <w:ind w:left="287"/>
              <w:rPr>
                <w:b/>
                <w:i/>
                <w:sz w:val="16"/>
              </w:rPr>
            </w:pPr>
            <w:r>
              <w:rPr>
                <w:b/>
                <w:i/>
                <w:color w:val="404040"/>
                <w:sz w:val="16"/>
              </w:rPr>
              <w:t>- No children</w:t>
            </w:r>
          </w:p>
        </w:tc>
        <w:tc>
          <w:tcPr>
            <w:tcW w:w="1381" w:type="dxa"/>
          </w:tcPr>
          <w:p>
            <w:pPr>
              <w:pStyle w:val="TableParagraph"/>
              <w:spacing w:before="39"/>
              <w:ind w:right="251"/>
              <w:jc w:val="right"/>
              <w:rPr>
                <w:sz w:val="16"/>
              </w:rPr>
            </w:pPr>
            <w:r>
              <w:rPr>
                <w:color w:val="404040"/>
                <w:sz w:val="16"/>
              </w:rPr>
              <w:t>374,000</w:t>
            </w:r>
          </w:p>
        </w:tc>
        <w:tc>
          <w:tcPr>
            <w:tcW w:w="1659" w:type="dxa"/>
          </w:tcPr>
          <w:p>
            <w:pPr>
              <w:pStyle w:val="TableParagraph"/>
              <w:spacing w:before="39"/>
              <w:ind w:left="668"/>
              <w:rPr>
                <w:sz w:val="16"/>
              </w:rPr>
            </w:pPr>
            <w:r>
              <w:rPr>
                <w:color w:val="404040"/>
                <w:sz w:val="16"/>
              </w:rPr>
              <w:t>94%</w:t>
            </w:r>
          </w:p>
        </w:tc>
        <w:tc>
          <w:tcPr>
            <w:tcW w:w="1575" w:type="dxa"/>
          </w:tcPr>
          <w:p>
            <w:pPr>
              <w:pStyle w:val="TableParagraph"/>
              <w:spacing w:before="39"/>
              <w:ind w:left="464" w:right="488"/>
              <w:jc w:val="center"/>
              <w:rPr>
                <w:sz w:val="16"/>
              </w:rPr>
            </w:pPr>
            <w:r>
              <w:rPr>
                <w:color w:val="404040"/>
                <w:sz w:val="16"/>
              </w:rPr>
              <w:t>226,000</w:t>
            </w:r>
          </w:p>
        </w:tc>
        <w:tc>
          <w:tcPr>
            <w:tcW w:w="1609" w:type="dxa"/>
            <w:tcBorders>
              <w:right w:val="single" w:sz="4" w:space="0" w:color="DF2F1E"/>
            </w:tcBorders>
          </w:tcPr>
          <w:p>
            <w:pPr>
              <w:pStyle w:val="TableParagraph"/>
              <w:spacing w:before="39"/>
              <w:ind w:left="578" w:right="575"/>
              <w:jc w:val="center"/>
              <w:rPr>
                <w:sz w:val="16"/>
              </w:rPr>
            </w:pPr>
            <w:r>
              <w:rPr>
                <w:color w:val="404040"/>
                <w:sz w:val="16"/>
              </w:rPr>
              <w:t>100%</w:t>
            </w:r>
          </w:p>
        </w:tc>
      </w:tr>
      <w:tr>
        <w:trPr>
          <w:trHeight w:val="264" w:hRule="atLeast"/>
        </w:trPr>
        <w:tc>
          <w:tcPr>
            <w:tcW w:w="3562" w:type="dxa"/>
            <w:tcBorders>
              <w:left w:val="single" w:sz="4" w:space="0" w:color="DF2F1E"/>
            </w:tcBorders>
          </w:tcPr>
          <w:p>
            <w:pPr>
              <w:pStyle w:val="TableParagraph"/>
              <w:ind w:left="287"/>
              <w:rPr>
                <w:b/>
                <w:i/>
                <w:sz w:val="16"/>
              </w:rPr>
            </w:pPr>
            <w:r>
              <w:rPr>
                <w:b/>
                <w:i/>
                <w:color w:val="404040"/>
                <w:sz w:val="16"/>
              </w:rPr>
              <w:t>- 1 child</w:t>
            </w:r>
          </w:p>
        </w:tc>
        <w:tc>
          <w:tcPr>
            <w:tcW w:w="1381" w:type="dxa"/>
          </w:tcPr>
          <w:p>
            <w:pPr>
              <w:pStyle w:val="TableParagraph"/>
              <w:ind w:right="294"/>
              <w:jc w:val="right"/>
              <w:rPr>
                <w:sz w:val="16"/>
              </w:rPr>
            </w:pPr>
            <w:r>
              <w:rPr>
                <w:color w:val="404040"/>
                <w:sz w:val="16"/>
              </w:rPr>
              <w:t>16,000</w:t>
            </w:r>
          </w:p>
        </w:tc>
        <w:tc>
          <w:tcPr>
            <w:tcW w:w="1659" w:type="dxa"/>
          </w:tcPr>
          <w:p>
            <w:pPr>
              <w:pStyle w:val="TableParagraph"/>
              <w:ind w:left="711"/>
              <w:rPr>
                <w:sz w:val="16"/>
              </w:rPr>
            </w:pPr>
            <w:r>
              <w:rPr>
                <w:color w:val="404040"/>
                <w:sz w:val="16"/>
              </w:rPr>
              <w:t>4%</w:t>
            </w:r>
          </w:p>
        </w:tc>
        <w:tc>
          <w:tcPr>
            <w:tcW w:w="1575" w:type="dxa"/>
          </w:tcPr>
          <w:p>
            <w:pPr>
              <w:pStyle w:val="TableParagraph"/>
              <w:ind w:left="464" w:right="488"/>
              <w:jc w:val="center"/>
              <w:rPr>
                <w:sz w:val="16"/>
              </w:rPr>
            </w:pPr>
            <w:r>
              <w:rPr>
                <w:color w:val="404040"/>
                <w:sz w:val="16"/>
              </w:rPr>
              <w:t>240,000</w:t>
            </w:r>
          </w:p>
        </w:tc>
        <w:tc>
          <w:tcPr>
            <w:tcW w:w="1609" w:type="dxa"/>
            <w:tcBorders>
              <w:right w:val="single" w:sz="4" w:space="0" w:color="DF2F1E"/>
            </w:tcBorders>
          </w:tcPr>
          <w:p>
            <w:pPr>
              <w:pStyle w:val="TableParagraph"/>
              <w:ind w:left="578" w:right="574"/>
              <w:jc w:val="center"/>
              <w:rPr>
                <w:sz w:val="16"/>
              </w:rPr>
            </w:pPr>
            <w:r>
              <w:rPr>
                <w:color w:val="404040"/>
                <w:sz w:val="16"/>
              </w:rPr>
              <w:t>106%</w:t>
            </w:r>
          </w:p>
        </w:tc>
      </w:tr>
      <w:tr>
        <w:trPr>
          <w:trHeight w:val="263" w:hRule="atLeast"/>
        </w:trPr>
        <w:tc>
          <w:tcPr>
            <w:tcW w:w="3562" w:type="dxa"/>
            <w:tcBorders>
              <w:left w:val="single" w:sz="4" w:space="0" w:color="DF2F1E"/>
            </w:tcBorders>
          </w:tcPr>
          <w:p>
            <w:pPr>
              <w:pStyle w:val="TableParagraph"/>
              <w:ind w:left="287"/>
              <w:rPr>
                <w:b/>
                <w:i/>
                <w:sz w:val="16"/>
              </w:rPr>
            </w:pPr>
            <w:r>
              <w:rPr>
                <w:b/>
                <w:i/>
                <w:color w:val="404040"/>
                <w:sz w:val="16"/>
              </w:rPr>
              <w:t>- 2 children</w:t>
            </w:r>
          </w:p>
        </w:tc>
        <w:tc>
          <w:tcPr>
            <w:tcW w:w="1381" w:type="dxa"/>
          </w:tcPr>
          <w:p>
            <w:pPr>
              <w:pStyle w:val="TableParagraph"/>
              <w:ind w:right="340"/>
              <w:jc w:val="right"/>
              <w:rPr>
                <w:sz w:val="16"/>
              </w:rPr>
            </w:pPr>
            <w:r>
              <w:rPr>
                <w:color w:val="404040"/>
                <w:sz w:val="16"/>
              </w:rPr>
              <w:t>7,000</w:t>
            </w:r>
          </w:p>
        </w:tc>
        <w:tc>
          <w:tcPr>
            <w:tcW w:w="1659" w:type="dxa"/>
          </w:tcPr>
          <w:p>
            <w:pPr>
              <w:pStyle w:val="TableParagraph"/>
              <w:ind w:left="711"/>
              <w:rPr>
                <w:sz w:val="16"/>
              </w:rPr>
            </w:pPr>
            <w:r>
              <w:rPr>
                <w:color w:val="404040"/>
                <w:sz w:val="16"/>
              </w:rPr>
              <w:t>2%</w:t>
            </w:r>
          </w:p>
        </w:tc>
        <w:tc>
          <w:tcPr>
            <w:tcW w:w="1575" w:type="dxa"/>
          </w:tcPr>
          <w:p>
            <w:pPr>
              <w:pStyle w:val="TableParagraph"/>
              <w:ind w:left="464" w:right="488"/>
              <w:jc w:val="center"/>
              <w:rPr>
                <w:sz w:val="16"/>
              </w:rPr>
            </w:pPr>
            <w:r>
              <w:rPr>
                <w:color w:val="404040"/>
                <w:sz w:val="16"/>
              </w:rPr>
              <w:t>242,000</w:t>
            </w:r>
          </w:p>
        </w:tc>
        <w:tc>
          <w:tcPr>
            <w:tcW w:w="1609" w:type="dxa"/>
            <w:tcBorders>
              <w:right w:val="single" w:sz="4" w:space="0" w:color="DF2F1E"/>
            </w:tcBorders>
          </w:tcPr>
          <w:p>
            <w:pPr>
              <w:pStyle w:val="TableParagraph"/>
              <w:ind w:left="578" w:right="574"/>
              <w:jc w:val="center"/>
              <w:rPr>
                <w:sz w:val="16"/>
              </w:rPr>
            </w:pPr>
            <w:r>
              <w:rPr>
                <w:color w:val="404040"/>
                <w:sz w:val="16"/>
              </w:rPr>
              <w:t>107%</w:t>
            </w:r>
          </w:p>
        </w:tc>
      </w:tr>
      <w:tr>
        <w:trPr>
          <w:trHeight w:val="264" w:hRule="atLeast"/>
        </w:trPr>
        <w:tc>
          <w:tcPr>
            <w:tcW w:w="3562" w:type="dxa"/>
            <w:tcBorders>
              <w:left w:val="single" w:sz="4" w:space="0" w:color="DF2F1E"/>
              <w:bottom w:val="single" w:sz="4" w:space="0" w:color="DF2F1E"/>
            </w:tcBorders>
          </w:tcPr>
          <w:p>
            <w:pPr>
              <w:pStyle w:val="TableParagraph"/>
              <w:ind w:left="287"/>
              <w:rPr>
                <w:b/>
                <w:i/>
                <w:sz w:val="16"/>
              </w:rPr>
            </w:pPr>
            <w:r>
              <w:rPr>
                <w:b/>
                <w:i/>
                <w:color w:val="404040"/>
                <w:sz w:val="16"/>
              </w:rPr>
              <w:t>- 3+ children</w:t>
            </w:r>
          </w:p>
        </w:tc>
        <w:tc>
          <w:tcPr>
            <w:tcW w:w="1381" w:type="dxa"/>
            <w:tcBorders>
              <w:bottom w:val="single" w:sz="4" w:space="0" w:color="DF2F1E"/>
            </w:tcBorders>
          </w:tcPr>
          <w:p>
            <w:pPr>
              <w:pStyle w:val="TableParagraph"/>
              <w:ind w:right="340"/>
              <w:jc w:val="right"/>
              <w:rPr>
                <w:sz w:val="16"/>
              </w:rPr>
            </w:pPr>
            <w:r>
              <w:rPr>
                <w:color w:val="404040"/>
                <w:sz w:val="16"/>
              </w:rPr>
              <w:t>2,000</w:t>
            </w:r>
          </w:p>
        </w:tc>
        <w:tc>
          <w:tcPr>
            <w:tcW w:w="1659" w:type="dxa"/>
            <w:tcBorders>
              <w:bottom w:val="single" w:sz="4" w:space="0" w:color="DF2F1E"/>
            </w:tcBorders>
          </w:tcPr>
          <w:p>
            <w:pPr>
              <w:pStyle w:val="TableParagraph"/>
              <w:ind w:left="711"/>
              <w:rPr>
                <w:sz w:val="16"/>
              </w:rPr>
            </w:pPr>
            <w:r>
              <w:rPr>
                <w:color w:val="404040"/>
                <w:sz w:val="16"/>
              </w:rPr>
              <w:t>1%</w:t>
            </w:r>
          </w:p>
        </w:tc>
        <w:tc>
          <w:tcPr>
            <w:tcW w:w="1575" w:type="dxa"/>
            <w:tcBorders>
              <w:bottom w:val="single" w:sz="4" w:space="0" w:color="DF2F1E"/>
            </w:tcBorders>
          </w:tcPr>
          <w:p>
            <w:pPr>
              <w:pStyle w:val="TableParagraph"/>
              <w:ind w:left="464" w:right="488"/>
              <w:jc w:val="center"/>
              <w:rPr>
                <w:sz w:val="16"/>
              </w:rPr>
            </w:pPr>
            <w:r>
              <w:rPr>
                <w:color w:val="404040"/>
                <w:sz w:val="16"/>
              </w:rPr>
              <w:t>258,000</w:t>
            </w:r>
          </w:p>
        </w:tc>
        <w:tc>
          <w:tcPr>
            <w:tcW w:w="1609" w:type="dxa"/>
            <w:tcBorders>
              <w:bottom w:val="single" w:sz="4" w:space="0" w:color="DF2F1E"/>
              <w:right w:val="single" w:sz="4" w:space="0" w:color="DF2F1E"/>
            </w:tcBorders>
          </w:tcPr>
          <w:p>
            <w:pPr>
              <w:pStyle w:val="TableParagraph"/>
              <w:ind w:left="578" w:right="574"/>
              <w:jc w:val="center"/>
              <w:rPr>
                <w:sz w:val="16"/>
              </w:rPr>
            </w:pPr>
            <w:r>
              <w:rPr>
                <w:color w:val="404040"/>
                <w:sz w:val="16"/>
              </w:rPr>
              <w:t>114%</w:t>
            </w:r>
          </w:p>
        </w:tc>
      </w:tr>
      <w:tr>
        <w:trPr>
          <w:trHeight w:val="262" w:hRule="atLeast"/>
        </w:trPr>
        <w:tc>
          <w:tcPr>
            <w:tcW w:w="3562" w:type="dxa"/>
            <w:tcBorders>
              <w:top w:val="single" w:sz="4" w:space="0" w:color="DF2F1E"/>
              <w:left w:val="single" w:sz="4" w:space="0" w:color="DF2F1E"/>
            </w:tcBorders>
          </w:tcPr>
          <w:p>
            <w:pPr>
              <w:pStyle w:val="TableParagraph"/>
              <w:spacing w:before="34"/>
              <w:ind w:left="107"/>
              <w:rPr>
                <w:b/>
                <w:sz w:val="16"/>
              </w:rPr>
            </w:pPr>
            <w:r>
              <w:rPr>
                <w:b/>
                <w:color w:val="404040"/>
                <w:sz w:val="16"/>
              </w:rPr>
              <w:t>Level of parental welfare dependence</w:t>
            </w:r>
          </w:p>
        </w:tc>
        <w:tc>
          <w:tcPr>
            <w:tcW w:w="1381" w:type="dxa"/>
            <w:tcBorders>
              <w:top w:val="single" w:sz="4" w:space="0" w:color="DF2F1E"/>
            </w:tcBorders>
          </w:tcPr>
          <w:p>
            <w:pPr>
              <w:pStyle w:val="TableParagraph"/>
              <w:spacing w:before="0"/>
              <w:rPr>
                <w:rFonts w:ascii="Times New Roman"/>
                <w:sz w:val="16"/>
              </w:rPr>
            </w:pPr>
          </w:p>
        </w:tc>
        <w:tc>
          <w:tcPr>
            <w:tcW w:w="1659" w:type="dxa"/>
            <w:tcBorders>
              <w:top w:val="single" w:sz="4" w:space="0" w:color="DF2F1E"/>
            </w:tcBorders>
          </w:tcPr>
          <w:p>
            <w:pPr>
              <w:pStyle w:val="TableParagraph"/>
              <w:spacing w:before="0"/>
              <w:rPr>
                <w:rFonts w:ascii="Times New Roman"/>
                <w:sz w:val="16"/>
              </w:rPr>
            </w:pPr>
          </w:p>
        </w:tc>
        <w:tc>
          <w:tcPr>
            <w:tcW w:w="1575" w:type="dxa"/>
            <w:tcBorders>
              <w:top w:val="single" w:sz="4" w:space="0" w:color="DF2F1E"/>
            </w:tcBorders>
          </w:tcPr>
          <w:p>
            <w:pPr>
              <w:pStyle w:val="TableParagraph"/>
              <w:spacing w:before="0"/>
              <w:rPr>
                <w:rFonts w:ascii="Times New Roman"/>
                <w:sz w:val="16"/>
              </w:rPr>
            </w:pPr>
          </w:p>
        </w:tc>
        <w:tc>
          <w:tcPr>
            <w:tcW w:w="1609" w:type="dxa"/>
            <w:tcBorders>
              <w:top w:val="single" w:sz="4" w:space="0" w:color="DF2F1E"/>
              <w:right w:val="single" w:sz="4" w:space="0" w:color="DF2F1E"/>
            </w:tcBorders>
          </w:tcPr>
          <w:p>
            <w:pPr>
              <w:pStyle w:val="TableParagraph"/>
              <w:spacing w:before="0"/>
              <w:rPr>
                <w:rFonts w:ascii="Times New Roman"/>
                <w:sz w:val="16"/>
              </w:rPr>
            </w:pPr>
          </w:p>
        </w:tc>
      </w:tr>
      <w:tr>
        <w:trPr>
          <w:trHeight w:val="265" w:hRule="atLeast"/>
        </w:trPr>
        <w:tc>
          <w:tcPr>
            <w:tcW w:w="3562" w:type="dxa"/>
            <w:tcBorders>
              <w:left w:val="single" w:sz="4" w:space="0" w:color="DF2F1E"/>
            </w:tcBorders>
          </w:tcPr>
          <w:p>
            <w:pPr>
              <w:pStyle w:val="TableParagraph"/>
              <w:spacing w:before="39"/>
              <w:ind w:left="287"/>
              <w:rPr>
                <w:b/>
                <w:i/>
                <w:sz w:val="16"/>
              </w:rPr>
            </w:pPr>
            <w:r>
              <w:rPr>
                <w:b/>
                <w:i/>
                <w:color w:val="404040"/>
                <w:sz w:val="16"/>
              </w:rPr>
              <w:t>- None (0%)</w:t>
            </w:r>
          </w:p>
        </w:tc>
        <w:tc>
          <w:tcPr>
            <w:tcW w:w="1381" w:type="dxa"/>
          </w:tcPr>
          <w:p>
            <w:pPr>
              <w:pStyle w:val="TableParagraph"/>
              <w:spacing w:before="39"/>
              <w:ind w:right="251"/>
              <w:jc w:val="right"/>
              <w:rPr>
                <w:sz w:val="16"/>
              </w:rPr>
            </w:pPr>
            <w:r>
              <w:rPr>
                <w:color w:val="404040"/>
                <w:sz w:val="16"/>
              </w:rPr>
              <w:t>150,000</w:t>
            </w:r>
          </w:p>
        </w:tc>
        <w:tc>
          <w:tcPr>
            <w:tcW w:w="1659" w:type="dxa"/>
          </w:tcPr>
          <w:p>
            <w:pPr>
              <w:pStyle w:val="TableParagraph"/>
              <w:spacing w:before="39"/>
              <w:ind w:left="668"/>
              <w:rPr>
                <w:sz w:val="16"/>
              </w:rPr>
            </w:pPr>
            <w:r>
              <w:rPr>
                <w:color w:val="404040"/>
                <w:sz w:val="16"/>
              </w:rPr>
              <w:t>38%</w:t>
            </w:r>
          </w:p>
        </w:tc>
        <w:tc>
          <w:tcPr>
            <w:tcW w:w="1575" w:type="dxa"/>
          </w:tcPr>
          <w:p>
            <w:pPr>
              <w:pStyle w:val="TableParagraph"/>
              <w:spacing w:before="39"/>
              <w:ind w:left="464" w:right="488"/>
              <w:jc w:val="center"/>
              <w:rPr>
                <w:sz w:val="16"/>
              </w:rPr>
            </w:pPr>
            <w:r>
              <w:rPr>
                <w:color w:val="404040"/>
                <w:sz w:val="16"/>
              </w:rPr>
              <w:t>216,000</w:t>
            </w:r>
          </w:p>
        </w:tc>
        <w:tc>
          <w:tcPr>
            <w:tcW w:w="1609" w:type="dxa"/>
            <w:tcBorders>
              <w:right w:val="single" w:sz="4" w:space="0" w:color="DF2F1E"/>
            </w:tcBorders>
          </w:tcPr>
          <w:p>
            <w:pPr>
              <w:pStyle w:val="TableParagraph"/>
              <w:spacing w:before="39"/>
              <w:ind w:left="578" w:right="572"/>
              <w:jc w:val="center"/>
              <w:rPr>
                <w:sz w:val="16"/>
              </w:rPr>
            </w:pPr>
            <w:r>
              <w:rPr>
                <w:color w:val="404040"/>
                <w:sz w:val="16"/>
              </w:rPr>
              <w:t>95%</w:t>
            </w:r>
          </w:p>
        </w:tc>
      </w:tr>
      <w:tr>
        <w:trPr>
          <w:trHeight w:val="263" w:hRule="atLeast"/>
        </w:trPr>
        <w:tc>
          <w:tcPr>
            <w:tcW w:w="3562" w:type="dxa"/>
            <w:tcBorders>
              <w:left w:val="single" w:sz="4" w:space="0" w:color="DF2F1E"/>
            </w:tcBorders>
          </w:tcPr>
          <w:p>
            <w:pPr>
              <w:pStyle w:val="TableParagraph"/>
              <w:ind w:left="287"/>
              <w:rPr>
                <w:b/>
                <w:i/>
                <w:sz w:val="16"/>
              </w:rPr>
            </w:pPr>
            <w:r>
              <w:rPr>
                <w:b/>
                <w:i/>
                <w:color w:val="404040"/>
                <w:sz w:val="16"/>
              </w:rPr>
              <w:t>- Some (1%-35%)</w:t>
            </w:r>
          </w:p>
        </w:tc>
        <w:tc>
          <w:tcPr>
            <w:tcW w:w="1381" w:type="dxa"/>
          </w:tcPr>
          <w:p>
            <w:pPr>
              <w:pStyle w:val="TableParagraph"/>
              <w:ind w:right="294"/>
              <w:jc w:val="right"/>
              <w:rPr>
                <w:sz w:val="16"/>
              </w:rPr>
            </w:pPr>
            <w:r>
              <w:rPr>
                <w:color w:val="404040"/>
                <w:sz w:val="16"/>
              </w:rPr>
              <w:t>98,000</w:t>
            </w:r>
          </w:p>
        </w:tc>
        <w:tc>
          <w:tcPr>
            <w:tcW w:w="1659" w:type="dxa"/>
          </w:tcPr>
          <w:p>
            <w:pPr>
              <w:pStyle w:val="TableParagraph"/>
              <w:ind w:left="668"/>
              <w:rPr>
                <w:sz w:val="16"/>
              </w:rPr>
            </w:pPr>
            <w:r>
              <w:rPr>
                <w:color w:val="404040"/>
                <w:sz w:val="16"/>
              </w:rPr>
              <w:t>25%</w:t>
            </w:r>
          </w:p>
        </w:tc>
        <w:tc>
          <w:tcPr>
            <w:tcW w:w="1575" w:type="dxa"/>
          </w:tcPr>
          <w:p>
            <w:pPr>
              <w:pStyle w:val="TableParagraph"/>
              <w:ind w:left="464" w:right="488"/>
              <w:jc w:val="center"/>
              <w:rPr>
                <w:sz w:val="16"/>
              </w:rPr>
            </w:pPr>
            <w:r>
              <w:rPr>
                <w:color w:val="404040"/>
                <w:sz w:val="16"/>
              </w:rPr>
              <w:t>227,000</w:t>
            </w:r>
          </w:p>
        </w:tc>
        <w:tc>
          <w:tcPr>
            <w:tcW w:w="1609" w:type="dxa"/>
            <w:tcBorders>
              <w:right w:val="single" w:sz="4" w:space="0" w:color="DF2F1E"/>
            </w:tcBorders>
          </w:tcPr>
          <w:p>
            <w:pPr>
              <w:pStyle w:val="TableParagraph"/>
              <w:ind w:left="578" w:right="574"/>
              <w:jc w:val="center"/>
              <w:rPr>
                <w:sz w:val="16"/>
              </w:rPr>
            </w:pPr>
            <w:r>
              <w:rPr>
                <w:color w:val="404040"/>
                <w:sz w:val="16"/>
              </w:rPr>
              <w:t>100%</w:t>
            </w:r>
          </w:p>
        </w:tc>
      </w:tr>
      <w:tr>
        <w:trPr>
          <w:trHeight w:val="264" w:hRule="atLeast"/>
        </w:trPr>
        <w:tc>
          <w:tcPr>
            <w:tcW w:w="3562" w:type="dxa"/>
            <w:tcBorders>
              <w:left w:val="single" w:sz="4" w:space="0" w:color="DF2F1E"/>
            </w:tcBorders>
          </w:tcPr>
          <w:p>
            <w:pPr>
              <w:pStyle w:val="TableParagraph"/>
              <w:ind w:left="287"/>
              <w:rPr>
                <w:b/>
                <w:i/>
                <w:sz w:val="16"/>
              </w:rPr>
            </w:pPr>
            <w:r>
              <w:rPr>
                <w:b/>
                <w:i/>
                <w:color w:val="404040"/>
                <w:sz w:val="16"/>
              </w:rPr>
              <w:t>- High (36%-80%)</w:t>
            </w:r>
          </w:p>
        </w:tc>
        <w:tc>
          <w:tcPr>
            <w:tcW w:w="1381" w:type="dxa"/>
          </w:tcPr>
          <w:p>
            <w:pPr>
              <w:pStyle w:val="TableParagraph"/>
              <w:ind w:right="294"/>
              <w:jc w:val="right"/>
              <w:rPr>
                <w:sz w:val="16"/>
              </w:rPr>
            </w:pPr>
            <w:r>
              <w:rPr>
                <w:color w:val="404040"/>
                <w:sz w:val="16"/>
              </w:rPr>
              <w:t>81,000</w:t>
            </w:r>
          </w:p>
        </w:tc>
        <w:tc>
          <w:tcPr>
            <w:tcW w:w="1659" w:type="dxa"/>
          </w:tcPr>
          <w:p>
            <w:pPr>
              <w:pStyle w:val="TableParagraph"/>
              <w:ind w:left="668"/>
              <w:rPr>
                <w:sz w:val="16"/>
              </w:rPr>
            </w:pPr>
            <w:r>
              <w:rPr>
                <w:color w:val="404040"/>
                <w:sz w:val="16"/>
              </w:rPr>
              <w:t>20%</w:t>
            </w:r>
          </w:p>
        </w:tc>
        <w:tc>
          <w:tcPr>
            <w:tcW w:w="1575" w:type="dxa"/>
          </w:tcPr>
          <w:p>
            <w:pPr>
              <w:pStyle w:val="TableParagraph"/>
              <w:ind w:left="464" w:right="488"/>
              <w:jc w:val="center"/>
              <w:rPr>
                <w:sz w:val="16"/>
              </w:rPr>
            </w:pPr>
            <w:r>
              <w:rPr>
                <w:color w:val="404040"/>
                <w:sz w:val="16"/>
              </w:rPr>
              <w:t>234,000</w:t>
            </w:r>
          </w:p>
        </w:tc>
        <w:tc>
          <w:tcPr>
            <w:tcW w:w="1609" w:type="dxa"/>
            <w:tcBorders>
              <w:right w:val="single" w:sz="4" w:space="0" w:color="DF2F1E"/>
            </w:tcBorders>
          </w:tcPr>
          <w:p>
            <w:pPr>
              <w:pStyle w:val="TableParagraph"/>
              <w:ind w:left="578" w:right="574"/>
              <w:jc w:val="center"/>
              <w:rPr>
                <w:sz w:val="16"/>
              </w:rPr>
            </w:pPr>
            <w:r>
              <w:rPr>
                <w:color w:val="404040"/>
                <w:sz w:val="16"/>
              </w:rPr>
              <w:t>103%</w:t>
            </w:r>
          </w:p>
        </w:tc>
      </w:tr>
      <w:tr>
        <w:trPr>
          <w:trHeight w:val="264" w:hRule="atLeast"/>
        </w:trPr>
        <w:tc>
          <w:tcPr>
            <w:tcW w:w="3562" w:type="dxa"/>
            <w:tcBorders>
              <w:left w:val="single" w:sz="4" w:space="0" w:color="DF2F1E"/>
              <w:bottom w:val="single" w:sz="4" w:space="0" w:color="DF2F1E"/>
            </w:tcBorders>
          </w:tcPr>
          <w:p>
            <w:pPr>
              <w:pStyle w:val="TableParagraph"/>
              <w:ind w:left="287"/>
              <w:rPr>
                <w:b/>
                <w:i/>
                <w:sz w:val="16"/>
              </w:rPr>
            </w:pPr>
            <w:r>
              <w:rPr>
                <w:b/>
                <w:i/>
                <w:color w:val="404040"/>
                <w:sz w:val="16"/>
              </w:rPr>
              <w:t>- Very high (81%+)</w:t>
            </w:r>
          </w:p>
        </w:tc>
        <w:tc>
          <w:tcPr>
            <w:tcW w:w="1381" w:type="dxa"/>
            <w:tcBorders>
              <w:bottom w:val="single" w:sz="4" w:space="0" w:color="DF2F1E"/>
            </w:tcBorders>
          </w:tcPr>
          <w:p>
            <w:pPr>
              <w:pStyle w:val="TableParagraph"/>
              <w:ind w:right="294"/>
              <w:jc w:val="right"/>
              <w:rPr>
                <w:sz w:val="16"/>
              </w:rPr>
            </w:pPr>
            <w:r>
              <w:rPr>
                <w:color w:val="404040"/>
                <w:sz w:val="16"/>
              </w:rPr>
              <w:t>70,000</w:t>
            </w:r>
          </w:p>
        </w:tc>
        <w:tc>
          <w:tcPr>
            <w:tcW w:w="1659" w:type="dxa"/>
            <w:tcBorders>
              <w:bottom w:val="single" w:sz="4" w:space="0" w:color="DF2F1E"/>
            </w:tcBorders>
          </w:tcPr>
          <w:p>
            <w:pPr>
              <w:pStyle w:val="TableParagraph"/>
              <w:ind w:left="668"/>
              <w:rPr>
                <w:sz w:val="16"/>
              </w:rPr>
            </w:pPr>
            <w:r>
              <w:rPr>
                <w:color w:val="404040"/>
                <w:sz w:val="16"/>
              </w:rPr>
              <w:t>18%</w:t>
            </w:r>
          </w:p>
        </w:tc>
        <w:tc>
          <w:tcPr>
            <w:tcW w:w="1575" w:type="dxa"/>
            <w:tcBorders>
              <w:bottom w:val="single" w:sz="4" w:space="0" w:color="DF2F1E"/>
            </w:tcBorders>
          </w:tcPr>
          <w:p>
            <w:pPr>
              <w:pStyle w:val="TableParagraph"/>
              <w:ind w:left="464" w:right="488"/>
              <w:jc w:val="center"/>
              <w:rPr>
                <w:sz w:val="16"/>
              </w:rPr>
            </w:pPr>
            <w:r>
              <w:rPr>
                <w:color w:val="404040"/>
                <w:sz w:val="16"/>
              </w:rPr>
              <w:t>241,000</w:t>
            </w:r>
          </w:p>
        </w:tc>
        <w:tc>
          <w:tcPr>
            <w:tcW w:w="1609" w:type="dxa"/>
            <w:tcBorders>
              <w:bottom w:val="single" w:sz="4" w:space="0" w:color="DF2F1E"/>
              <w:right w:val="single" w:sz="4" w:space="0" w:color="DF2F1E"/>
            </w:tcBorders>
          </w:tcPr>
          <w:p>
            <w:pPr>
              <w:pStyle w:val="TableParagraph"/>
              <w:ind w:left="578" w:right="574"/>
              <w:jc w:val="center"/>
              <w:rPr>
                <w:sz w:val="16"/>
              </w:rPr>
            </w:pPr>
            <w:r>
              <w:rPr>
                <w:color w:val="404040"/>
                <w:sz w:val="16"/>
              </w:rPr>
              <w:t>106%</w:t>
            </w:r>
          </w:p>
        </w:tc>
      </w:tr>
      <w:tr>
        <w:trPr>
          <w:trHeight w:val="262" w:hRule="atLeast"/>
        </w:trPr>
        <w:tc>
          <w:tcPr>
            <w:tcW w:w="3562" w:type="dxa"/>
            <w:tcBorders>
              <w:top w:val="single" w:sz="4" w:space="0" w:color="DF2F1E"/>
              <w:left w:val="single" w:sz="4" w:space="0" w:color="DF2F1E"/>
            </w:tcBorders>
          </w:tcPr>
          <w:p>
            <w:pPr>
              <w:pStyle w:val="TableParagraph"/>
              <w:spacing w:before="34"/>
              <w:ind w:left="107"/>
              <w:rPr>
                <w:b/>
                <w:sz w:val="16"/>
              </w:rPr>
            </w:pPr>
            <w:r>
              <w:rPr>
                <w:b/>
                <w:color w:val="404040"/>
                <w:sz w:val="16"/>
              </w:rPr>
              <w:t>Years in pay class</w:t>
            </w:r>
          </w:p>
        </w:tc>
        <w:tc>
          <w:tcPr>
            <w:tcW w:w="1381" w:type="dxa"/>
            <w:tcBorders>
              <w:top w:val="single" w:sz="4" w:space="0" w:color="DF2F1E"/>
            </w:tcBorders>
          </w:tcPr>
          <w:p>
            <w:pPr>
              <w:pStyle w:val="TableParagraph"/>
              <w:spacing w:before="0"/>
              <w:rPr>
                <w:rFonts w:ascii="Times New Roman"/>
                <w:sz w:val="16"/>
              </w:rPr>
            </w:pPr>
          </w:p>
        </w:tc>
        <w:tc>
          <w:tcPr>
            <w:tcW w:w="1659" w:type="dxa"/>
            <w:tcBorders>
              <w:top w:val="single" w:sz="4" w:space="0" w:color="DF2F1E"/>
            </w:tcBorders>
          </w:tcPr>
          <w:p>
            <w:pPr>
              <w:pStyle w:val="TableParagraph"/>
              <w:spacing w:before="0"/>
              <w:rPr>
                <w:rFonts w:ascii="Times New Roman"/>
                <w:sz w:val="16"/>
              </w:rPr>
            </w:pPr>
          </w:p>
        </w:tc>
        <w:tc>
          <w:tcPr>
            <w:tcW w:w="1575" w:type="dxa"/>
            <w:tcBorders>
              <w:top w:val="single" w:sz="4" w:space="0" w:color="DF2F1E"/>
            </w:tcBorders>
          </w:tcPr>
          <w:p>
            <w:pPr>
              <w:pStyle w:val="TableParagraph"/>
              <w:spacing w:before="0"/>
              <w:rPr>
                <w:rFonts w:ascii="Times New Roman"/>
                <w:sz w:val="16"/>
              </w:rPr>
            </w:pPr>
          </w:p>
        </w:tc>
        <w:tc>
          <w:tcPr>
            <w:tcW w:w="1609" w:type="dxa"/>
            <w:tcBorders>
              <w:top w:val="single" w:sz="4" w:space="0" w:color="DF2F1E"/>
              <w:right w:val="single" w:sz="4" w:space="0" w:color="DF2F1E"/>
            </w:tcBorders>
          </w:tcPr>
          <w:p>
            <w:pPr>
              <w:pStyle w:val="TableParagraph"/>
              <w:spacing w:before="0"/>
              <w:rPr>
                <w:rFonts w:ascii="Times New Roman"/>
                <w:sz w:val="16"/>
              </w:rPr>
            </w:pPr>
          </w:p>
        </w:tc>
      </w:tr>
      <w:tr>
        <w:trPr>
          <w:trHeight w:val="265" w:hRule="atLeast"/>
        </w:trPr>
        <w:tc>
          <w:tcPr>
            <w:tcW w:w="3562" w:type="dxa"/>
            <w:tcBorders>
              <w:left w:val="single" w:sz="4" w:space="0" w:color="DF2F1E"/>
            </w:tcBorders>
          </w:tcPr>
          <w:p>
            <w:pPr>
              <w:pStyle w:val="TableParagraph"/>
              <w:spacing w:before="39"/>
              <w:ind w:left="287"/>
              <w:rPr>
                <w:b/>
                <w:i/>
                <w:sz w:val="16"/>
              </w:rPr>
            </w:pPr>
            <w:r>
              <w:rPr>
                <w:b/>
                <w:i/>
                <w:color w:val="404040"/>
                <w:sz w:val="16"/>
              </w:rPr>
              <w:t>- 1 Year</w:t>
            </w:r>
          </w:p>
        </w:tc>
        <w:tc>
          <w:tcPr>
            <w:tcW w:w="1381" w:type="dxa"/>
          </w:tcPr>
          <w:p>
            <w:pPr>
              <w:pStyle w:val="TableParagraph"/>
              <w:spacing w:before="39"/>
              <w:ind w:right="251"/>
              <w:jc w:val="right"/>
              <w:rPr>
                <w:sz w:val="16"/>
              </w:rPr>
            </w:pPr>
            <w:r>
              <w:rPr>
                <w:color w:val="404040"/>
                <w:sz w:val="16"/>
              </w:rPr>
              <w:t>122,000</w:t>
            </w:r>
          </w:p>
        </w:tc>
        <w:tc>
          <w:tcPr>
            <w:tcW w:w="1659" w:type="dxa"/>
          </w:tcPr>
          <w:p>
            <w:pPr>
              <w:pStyle w:val="TableParagraph"/>
              <w:spacing w:before="39"/>
              <w:ind w:left="668"/>
              <w:rPr>
                <w:sz w:val="16"/>
              </w:rPr>
            </w:pPr>
            <w:r>
              <w:rPr>
                <w:color w:val="404040"/>
                <w:sz w:val="16"/>
              </w:rPr>
              <w:t>31%</w:t>
            </w:r>
          </w:p>
        </w:tc>
        <w:tc>
          <w:tcPr>
            <w:tcW w:w="1575" w:type="dxa"/>
          </w:tcPr>
          <w:p>
            <w:pPr>
              <w:pStyle w:val="TableParagraph"/>
              <w:spacing w:before="39"/>
              <w:ind w:left="464" w:right="488"/>
              <w:jc w:val="center"/>
              <w:rPr>
                <w:sz w:val="16"/>
              </w:rPr>
            </w:pPr>
            <w:r>
              <w:rPr>
                <w:color w:val="404040"/>
                <w:sz w:val="16"/>
              </w:rPr>
              <w:t>237,000</w:t>
            </w:r>
          </w:p>
        </w:tc>
        <w:tc>
          <w:tcPr>
            <w:tcW w:w="1609" w:type="dxa"/>
            <w:tcBorders>
              <w:right w:val="single" w:sz="4" w:space="0" w:color="DF2F1E"/>
            </w:tcBorders>
          </w:tcPr>
          <w:p>
            <w:pPr>
              <w:pStyle w:val="TableParagraph"/>
              <w:spacing w:before="39"/>
              <w:ind w:left="578" w:right="574"/>
              <w:jc w:val="center"/>
              <w:rPr>
                <w:sz w:val="16"/>
              </w:rPr>
            </w:pPr>
            <w:r>
              <w:rPr>
                <w:color w:val="404040"/>
                <w:sz w:val="16"/>
              </w:rPr>
              <w:t>104%</w:t>
            </w:r>
          </w:p>
        </w:tc>
      </w:tr>
      <w:tr>
        <w:trPr>
          <w:trHeight w:val="263" w:hRule="atLeast"/>
        </w:trPr>
        <w:tc>
          <w:tcPr>
            <w:tcW w:w="3562" w:type="dxa"/>
            <w:tcBorders>
              <w:left w:val="single" w:sz="4" w:space="0" w:color="DF2F1E"/>
            </w:tcBorders>
          </w:tcPr>
          <w:p>
            <w:pPr>
              <w:pStyle w:val="TableParagraph"/>
              <w:ind w:left="287"/>
              <w:rPr>
                <w:b/>
                <w:i/>
                <w:sz w:val="16"/>
              </w:rPr>
            </w:pPr>
            <w:r>
              <w:rPr>
                <w:b/>
                <w:i/>
                <w:color w:val="404040"/>
                <w:sz w:val="16"/>
              </w:rPr>
              <w:t>- 2-3 Years</w:t>
            </w:r>
          </w:p>
        </w:tc>
        <w:tc>
          <w:tcPr>
            <w:tcW w:w="1381" w:type="dxa"/>
          </w:tcPr>
          <w:p>
            <w:pPr>
              <w:pStyle w:val="TableParagraph"/>
              <w:ind w:right="251"/>
              <w:jc w:val="right"/>
              <w:rPr>
                <w:sz w:val="16"/>
              </w:rPr>
            </w:pPr>
            <w:r>
              <w:rPr>
                <w:color w:val="404040"/>
                <w:sz w:val="16"/>
              </w:rPr>
              <w:t>156,000</w:t>
            </w:r>
          </w:p>
        </w:tc>
        <w:tc>
          <w:tcPr>
            <w:tcW w:w="1659" w:type="dxa"/>
          </w:tcPr>
          <w:p>
            <w:pPr>
              <w:pStyle w:val="TableParagraph"/>
              <w:ind w:left="668"/>
              <w:rPr>
                <w:sz w:val="16"/>
              </w:rPr>
            </w:pPr>
            <w:r>
              <w:rPr>
                <w:color w:val="404040"/>
                <w:sz w:val="16"/>
              </w:rPr>
              <w:t>39%</w:t>
            </w:r>
          </w:p>
        </w:tc>
        <w:tc>
          <w:tcPr>
            <w:tcW w:w="1575" w:type="dxa"/>
          </w:tcPr>
          <w:p>
            <w:pPr>
              <w:pStyle w:val="TableParagraph"/>
              <w:ind w:left="464" w:right="488"/>
              <w:jc w:val="center"/>
              <w:rPr>
                <w:sz w:val="16"/>
              </w:rPr>
            </w:pPr>
            <w:r>
              <w:rPr>
                <w:color w:val="404040"/>
                <w:sz w:val="16"/>
              </w:rPr>
              <w:t>234,000</w:t>
            </w:r>
          </w:p>
        </w:tc>
        <w:tc>
          <w:tcPr>
            <w:tcW w:w="1609" w:type="dxa"/>
            <w:tcBorders>
              <w:right w:val="single" w:sz="4" w:space="0" w:color="DF2F1E"/>
            </w:tcBorders>
          </w:tcPr>
          <w:p>
            <w:pPr>
              <w:pStyle w:val="TableParagraph"/>
              <w:ind w:left="578" w:right="575"/>
              <w:jc w:val="center"/>
              <w:rPr>
                <w:sz w:val="16"/>
              </w:rPr>
            </w:pPr>
            <w:r>
              <w:rPr>
                <w:color w:val="404040"/>
                <w:sz w:val="16"/>
              </w:rPr>
              <w:t>103%</w:t>
            </w:r>
          </w:p>
        </w:tc>
      </w:tr>
      <w:tr>
        <w:trPr>
          <w:trHeight w:val="264" w:hRule="atLeast"/>
        </w:trPr>
        <w:tc>
          <w:tcPr>
            <w:tcW w:w="3562" w:type="dxa"/>
            <w:tcBorders>
              <w:left w:val="single" w:sz="4" w:space="0" w:color="DF2F1E"/>
            </w:tcBorders>
          </w:tcPr>
          <w:p>
            <w:pPr>
              <w:pStyle w:val="TableParagraph"/>
              <w:ind w:left="287"/>
              <w:rPr>
                <w:b/>
                <w:i/>
                <w:sz w:val="16"/>
              </w:rPr>
            </w:pPr>
            <w:r>
              <w:rPr>
                <w:b/>
                <w:i/>
                <w:color w:val="404040"/>
                <w:sz w:val="16"/>
              </w:rPr>
              <w:t>- 4-5 Years</w:t>
            </w:r>
          </w:p>
        </w:tc>
        <w:tc>
          <w:tcPr>
            <w:tcW w:w="1381" w:type="dxa"/>
          </w:tcPr>
          <w:p>
            <w:pPr>
              <w:pStyle w:val="TableParagraph"/>
              <w:ind w:right="294"/>
              <w:jc w:val="right"/>
              <w:rPr>
                <w:sz w:val="16"/>
              </w:rPr>
            </w:pPr>
            <w:r>
              <w:rPr>
                <w:color w:val="404040"/>
                <w:sz w:val="16"/>
              </w:rPr>
              <w:t>73,000</w:t>
            </w:r>
          </w:p>
        </w:tc>
        <w:tc>
          <w:tcPr>
            <w:tcW w:w="1659" w:type="dxa"/>
          </w:tcPr>
          <w:p>
            <w:pPr>
              <w:pStyle w:val="TableParagraph"/>
              <w:ind w:left="668"/>
              <w:rPr>
                <w:sz w:val="16"/>
              </w:rPr>
            </w:pPr>
            <w:r>
              <w:rPr>
                <w:color w:val="404040"/>
                <w:sz w:val="16"/>
              </w:rPr>
              <w:t>18%</w:t>
            </w:r>
          </w:p>
        </w:tc>
        <w:tc>
          <w:tcPr>
            <w:tcW w:w="1575" w:type="dxa"/>
          </w:tcPr>
          <w:p>
            <w:pPr>
              <w:pStyle w:val="TableParagraph"/>
              <w:ind w:left="464" w:right="488"/>
              <w:jc w:val="center"/>
              <w:rPr>
                <w:sz w:val="16"/>
              </w:rPr>
            </w:pPr>
            <w:r>
              <w:rPr>
                <w:color w:val="404040"/>
                <w:sz w:val="16"/>
              </w:rPr>
              <w:t>210,000</w:t>
            </w:r>
          </w:p>
        </w:tc>
        <w:tc>
          <w:tcPr>
            <w:tcW w:w="1609" w:type="dxa"/>
            <w:tcBorders>
              <w:right w:val="single" w:sz="4" w:space="0" w:color="DF2F1E"/>
            </w:tcBorders>
          </w:tcPr>
          <w:p>
            <w:pPr>
              <w:pStyle w:val="TableParagraph"/>
              <w:ind w:left="578" w:right="572"/>
              <w:jc w:val="center"/>
              <w:rPr>
                <w:sz w:val="16"/>
              </w:rPr>
            </w:pPr>
            <w:r>
              <w:rPr>
                <w:color w:val="404040"/>
                <w:sz w:val="16"/>
              </w:rPr>
              <w:t>92%</w:t>
            </w:r>
          </w:p>
        </w:tc>
      </w:tr>
      <w:tr>
        <w:trPr>
          <w:trHeight w:val="264" w:hRule="atLeast"/>
        </w:trPr>
        <w:tc>
          <w:tcPr>
            <w:tcW w:w="3562" w:type="dxa"/>
            <w:tcBorders>
              <w:left w:val="single" w:sz="4" w:space="0" w:color="DF2F1E"/>
              <w:bottom w:val="single" w:sz="4" w:space="0" w:color="DF2F1E"/>
            </w:tcBorders>
          </w:tcPr>
          <w:p>
            <w:pPr>
              <w:pStyle w:val="TableParagraph"/>
              <w:ind w:left="287"/>
              <w:rPr>
                <w:b/>
                <w:i/>
                <w:sz w:val="16"/>
              </w:rPr>
            </w:pPr>
            <w:r>
              <w:rPr>
                <w:b/>
                <w:i/>
                <w:color w:val="404040"/>
                <w:sz w:val="16"/>
              </w:rPr>
              <w:t>- 6+ Years</w:t>
            </w:r>
          </w:p>
        </w:tc>
        <w:tc>
          <w:tcPr>
            <w:tcW w:w="1381" w:type="dxa"/>
            <w:tcBorders>
              <w:bottom w:val="single" w:sz="4" w:space="0" w:color="DF2F1E"/>
            </w:tcBorders>
          </w:tcPr>
          <w:p>
            <w:pPr>
              <w:pStyle w:val="TableParagraph"/>
              <w:ind w:right="294"/>
              <w:jc w:val="right"/>
              <w:rPr>
                <w:sz w:val="16"/>
              </w:rPr>
            </w:pPr>
            <w:r>
              <w:rPr>
                <w:color w:val="404040"/>
                <w:sz w:val="16"/>
              </w:rPr>
              <w:t>48,000</w:t>
            </w:r>
          </w:p>
        </w:tc>
        <w:tc>
          <w:tcPr>
            <w:tcW w:w="1659" w:type="dxa"/>
            <w:tcBorders>
              <w:bottom w:val="single" w:sz="4" w:space="0" w:color="DF2F1E"/>
            </w:tcBorders>
          </w:tcPr>
          <w:p>
            <w:pPr>
              <w:pStyle w:val="TableParagraph"/>
              <w:ind w:left="668"/>
              <w:rPr>
                <w:sz w:val="16"/>
              </w:rPr>
            </w:pPr>
            <w:r>
              <w:rPr>
                <w:color w:val="404040"/>
                <w:sz w:val="16"/>
              </w:rPr>
              <w:t>12%</w:t>
            </w:r>
          </w:p>
        </w:tc>
        <w:tc>
          <w:tcPr>
            <w:tcW w:w="1575" w:type="dxa"/>
            <w:tcBorders>
              <w:bottom w:val="single" w:sz="4" w:space="0" w:color="DF2F1E"/>
            </w:tcBorders>
          </w:tcPr>
          <w:p>
            <w:pPr>
              <w:pStyle w:val="TableParagraph"/>
              <w:ind w:left="464" w:right="488"/>
              <w:jc w:val="center"/>
              <w:rPr>
                <w:sz w:val="16"/>
              </w:rPr>
            </w:pPr>
            <w:r>
              <w:rPr>
                <w:color w:val="404040"/>
                <w:sz w:val="16"/>
              </w:rPr>
              <w:t>202,000</w:t>
            </w:r>
          </w:p>
        </w:tc>
        <w:tc>
          <w:tcPr>
            <w:tcW w:w="1609" w:type="dxa"/>
            <w:tcBorders>
              <w:bottom w:val="single" w:sz="4" w:space="0" w:color="DF2F1E"/>
              <w:right w:val="single" w:sz="4" w:space="0" w:color="DF2F1E"/>
            </w:tcBorders>
          </w:tcPr>
          <w:p>
            <w:pPr>
              <w:pStyle w:val="TableParagraph"/>
              <w:ind w:left="578" w:right="572"/>
              <w:jc w:val="center"/>
              <w:rPr>
                <w:sz w:val="16"/>
              </w:rPr>
            </w:pPr>
            <w:r>
              <w:rPr>
                <w:color w:val="404040"/>
                <w:sz w:val="16"/>
              </w:rPr>
              <w:t>89%</w:t>
            </w:r>
          </w:p>
        </w:tc>
      </w:tr>
      <w:tr>
        <w:trPr>
          <w:trHeight w:val="262" w:hRule="atLeast"/>
        </w:trPr>
        <w:tc>
          <w:tcPr>
            <w:tcW w:w="3562" w:type="dxa"/>
            <w:tcBorders>
              <w:top w:val="single" w:sz="4" w:space="0" w:color="DF2F1E"/>
              <w:left w:val="single" w:sz="4" w:space="0" w:color="DF2F1E"/>
            </w:tcBorders>
          </w:tcPr>
          <w:p>
            <w:pPr>
              <w:pStyle w:val="TableParagraph"/>
              <w:spacing w:before="34"/>
              <w:ind w:left="107"/>
              <w:rPr>
                <w:b/>
                <w:sz w:val="16"/>
              </w:rPr>
            </w:pPr>
            <w:r>
              <w:rPr>
                <w:b/>
                <w:color w:val="404040"/>
                <w:sz w:val="16"/>
              </w:rPr>
              <w:t>Geography – socio-economic area grouping</w:t>
            </w:r>
          </w:p>
        </w:tc>
        <w:tc>
          <w:tcPr>
            <w:tcW w:w="1381" w:type="dxa"/>
            <w:tcBorders>
              <w:top w:val="single" w:sz="4" w:space="0" w:color="DF2F1E"/>
            </w:tcBorders>
          </w:tcPr>
          <w:p>
            <w:pPr>
              <w:pStyle w:val="TableParagraph"/>
              <w:spacing w:before="0"/>
              <w:rPr>
                <w:rFonts w:ascii="Times New Roman"/>
                <w:sz w:val="16"/>
              </w:rPr>
            </w:pPr>
          </w:p>
        </w:tc>
        <w:tc>
          <w:tcPr>
            <w:tcW w:w="1659" w:type="dxa"/>
            <w:tcBorders>
              <w:top w:val="single" w:sz="4" w:space="0" w:color="DF2F1E"/>
            </w:tcBorders>
          </w:tcPr>
          <w:p>
            <w:pPr>
              <w:pStyle w:val="TableParagraph"/>
              <w:spacing w:before="0"/>
              <w:rPr>
                <w:rFonts w:ascii="Times New Roman"/>
                <w:sz w:val="16"/>
              </w:rPr>
            </w:pPr>
          </w:p>
        </w:tc>
        <w:tc>
          <w:tcPr>
            <w:tcW w:w="1575" w:type="dxa"/>
            <w:tcBorders>
              <w:top w:val="single" w:sz="4" w:space="0" w:color="DF2F1E"/>
            </w:tcBorders>
          </w:tcPr>
          <w:p>
            <w:pPr>
              <w:pStyle w:val="TableParagraph"/>
              <w:spacing w:before="0"/>
              <w:rPr>
                <w:rFonts w:ascii="Times New Roman"/>
                <w:sz w:val="16"/>
              </w:rPr>
            </w:pPr>
          </w:p>
        </w:tc>
        <w:tc>
          <w:tcPr>
            <w:tcW w:w="1609" w:type="dxa"/>
            <w:tcBorders>
              <w:top w:val="single" w:sz="4" w:space="0" w:color="DF2F1E"/>
              <w:right w:val="single" w:sz="4" w:space="0" w:color="DF2F1E"/>
            </w:tcBorders>
          </w:tcPr>
          <w:p>
            <w:pPr>
              <w:pStyle w:val="TableParagraph"/>
              <w:spacing w:before="0"/>
              <w:rPr>
                <w:rFonts w:ascii="Times New Roman"/>
                <w:sz w:val="16"/>
              </w:rPr>
            </w:pPr>
          </w:p>
        </w:tc>
      </w:tr>
      <w:tr>
        <w:trPr>
          <w:trHeight w:val="265" w:hRule="atLeast"/>
        </w:trPr>
        <w:tc>
          <w:tcPr>
            <w:tcW w:w="3562" w:type="dxa"/>
            <w:tcBorders>
              <w:left w:val="single" w:sz="4" w:space="0" w:color="DF2F1E"/>
            </w:tcBorders>
          </w:tcPr>
          <w:p>
            <w:pPr>
              <w:pStyle w:val="TableParagraph"/>
              <w:spacing w:before="39"/>
              <w:ind w:left="287"/>
              <w:rPr>
                <w:b/>
                <w:i/>
                <w:sz w:val="16"/>
              </w:rPr>
            </w:pPr>
            <w:r>
              <w:rPr>
                <w:b/>
                <w:i/>
                <w:color w:val="404040"/>
                <w:sz w:val="16"/>
              </w:rPr>
              <w:t>- Lowest 20% (most disadvantaged)</w:t>
            </w:r>
          </w:p>
        </w:tc>
        <w:tc>
          <w:tcPr>
            <w:tcW w:w="1381" w:type="dxa"/>
          </w:tcPr>
          <w:p>
            <w:pPr>
              <w:pStyle w:val="TableParagraph"/>
              <w:spacing w:before="39"/>
              <w:ind w:right="294"/>
              <w:jc w:val="right"/>
              <w:rPr>
                <w:sz w:val="16"/>
              </w:rPr>
            </w:pPr>
            <w:r>
              <w:rPr>
                <w:color w:val="404040"/>
                <w:sz w:val="16"/>
              </w:rPr>
              <w:t>79,000</w:t>
            </w:r>
          </w:p>
        </w:tc>
        <w:tc>
          <w:tcPr>
            <w:tcW w:w="1659" w:type="dxa"/>
          </w:tcPr>
          <w:p>
            <w:pPr>
              <w:pStyle w:val="TableParagraph"/>
              <w:spacing w:before="39"/>
              <w:ind w:left="668"/>
              <w:rPr>
                <w:sz w:val="16"/>
              </w:rPr>
            </w:pPr>
            <w:r>
              <w:rPr>
                <w:color w:val="404040"/>
                <w:sz w:val="16"/>
              </w:rPr>
              <w:t>20%</w:t>
            </w:r>
          </w:p>
        </w:tc>
        <w:tc>
          <w:tcPr>
            <w:tcW w:w="1575" w:type="dxa"/>
          </w:tcPr>
          <w:p>
            <w:pPr>
              <w:pStyle w:val="TableParagraph"/>
              <w:spacing w:before="39"/>
              <w:ind w:left="464" w:right="488"/>
              <w:jc w:val="center"/>
              <w:rPr>
                <w:sz w:val="16"/>
              </w:rPr>
            </w:pPr>
            <w:r>
              <w:rPr>
                <w:color w:val="404040"/>
                <w:sz w:val="16"/>
              </w:rPr>
              <w:t>264,000</w:t>
            </w:r>
          </w:p>
        </w:tc>
        <w:tc>
          <w:tcPr>
            <w:tcW w:w="1609" w:type="dxa"/>
            <w:tcBorders>
              <w:right w:val="single" w:sz="4" w:space="0" w:color="DF2F1E"/>
            </w:tcBorders>
          </w:tcPr>
          <w:p>
            <w:pPr>
              <w:pStyle w:val="TableParagraph"/>
              <w:spacing w:before="39"/>
              <w:ind w:left="578" w:right="574"/>
              <w:jc w:val="center"/>
              <w:rPr>
                <w:sz w:val="16"/>
              </w:rPr>
            </w:pPr>
            <w:r>
              <w:rPr>
                <w:color w:val="404040"/>
                <w:sz w:val="16"/>
              </w:rPr>
              <w:t>117%</w:t>
            </w:r>
          </w:p>
        </w:tc>
      </w:tr>
      <w:tr>
        <w:trPr>
          <w:trHeight w:val="263" w:hRule="atLeast"/>
        </w:trPr>
        <w:tc>
          <w:tcPr>
            <w:tcW w:w="3562" w:type="dxa"/>
            <w:tcBorders>
              <w:left w:val="single" w:sz="4" w:space="0" w:color="DF2F1E"/>
            </w:tcBorders>
          </w:tcPr>
          <w:p>
            <w:pPr>
              <w:pStyle w:val="TableParagraph"/>
              <w:ind w:left="287"/>
              <w:rPr>
                <w:b/>
                <w:i/>
                <w:sz w:val="16"/>
              </w:rPr>
            </w:pPr>
            <w:r>
              <w:rPr>
                <w:b/>
                <w:i/>
                <w:color w:val="404040"/>
                <w:sz w:val="16"/>
              </w:rPr>
              <w:t>- 20% to 40%</w:t>
            </w:r>
          </w:p>
        </w:tc>
        <w:tc>
          <w:tcPr>
            <w:tcW w:w="1381" w:type="dxa"/>
          </w:tcPr>
          <w:p>
            <w:pPr>
              <w:pStyle w:val="TableParagraph"/>
              <w:ind w:right="294"/>
              <w:jc w:val="right"/>
              <w:rPr>
                <w:sz w:val="16"/>
              </w:rPr>
            </w:pPr>
            <w:r>
              <w:rPr>
                <w:color w:val="404040"/>
                <w:sz w:val="16"/>
              </w:rPr>
              <w:t>73,000</w:t>
            </w:r>
          </w:p>
        </w:tc>
        <w:tc>
          <w:tcPr>
            <w:tcW w:w="1659" w:type="dxa"/>
          </w:tcPr>
          <w:p>
            <w:pPr>
              <w:pStyle w:val="TableParagraph"/>
              <w:ind w:left="668"/>
              <w:rPr>
                <w:sz w:val="16"/>
              </w:rPr>
            </w:pPr>
            <w:r>
              <w:rPr>
                <w:color w:val="404040"/>
                <w:sz w:val="16"/>
              </w:rPr>
              <w:t>18%</w:t>
            </w:r>
          </w:p>
        </w:tc>
        <w:tc>
          <w:tcPr>
            <w:tcW w:w="1575" w:type="dxa"/>
          </w:tcPr>
          <w:p>
            <w:pPr>
              <w:pStyle w:val="TableParagraph"/>
              <w:ind w:left="464" w:right="488"/>
              <w:jc w:val="center"/>
              <w:rPr>
                <w:sz w:val="16"/>
              </w:rPr>
            </w:pPr>
            <w:r>
              <w:rPr>
                <w:color w:val="404040"/>
                <w:sz w:val="16"/>
              </w:rPr>
              <w:t>246,000</w:t>
            </w:r>
          </w:p>
        </w:tc>
        <w:tc>
          <w:tcPr>
            <w:tcW w:w="1609" w:type="dxa"/>
            <w:tcBorders>
              <w:right w:val="single" w:sz="4" w:space="0" w:color="DF2F1E"/>
            </w:tcBorders>
          </w:tcPr>
          <w:p>
            <w:pPr>
              <w:pStyle w:val="TableParagraph"/>
              <w:ind w:left="578" w:right="574"/>
              <w:jc w:val="center"/>
              <w:rPr>
                <w:sz w:val="16"/>
              </w:rPr>
            </w:pPr>
            <w:r>
              <w:rPr>
                <w:color w:val="404040"/>
                <w:sz w:val="16"/>
              </w:rPr>
              <w:t>109%</w:t>
            </w:r>
          </w:p>
        </w:tc>
      </w:tr>
      <w:tr>
        <w:trPr>
          <w:trHeight w:val="264" w:hRule="atLeast"/>
        </w:trPr>
        <w:tc>
          <w:tcPr>
            <w:tcW w:w="3562" w:type="dxa"/>
            <w:tcBorders>
              <w:left w:val="single" w:sz="4" w:space="0" w:color="DF2F1E"/>
            </w:tcBorders>
          </w:tcPr>
          <w:p>
            <w:pPr>
              <w:pStyle w:val="TableParagraph"/>
              <w:ind w:left="287"/>
              <w:rPr>
                <w:b/>
                <w:i/>
                <w:sz w:val="16"/>
              </w:rPr>
            </w:pPr>
            <w:r>
              <w:rPr>
                <w:b/>
                <w:i/>
                <w:color w:val="404040"/>
                <w:sz w:val="16"/>
              </w:rPr>
              <w:t>- 40% to 60%</w:t>
            </w:r>
          </w:p>
        </w:tc>
        <w:tc>
          <w:tcPr>
            <w:tcW w:w="1381" w:type="dxa"/>
          </w:tcPr>
          <w:p>
            <w:pPr>
              <w:pStyle w:val="TableParagraph"/>
              <w:ind w:right="294"/>
              <w:jc w:val="right"/>
              <w:rPr>
                <w:sz w:val="16"/>
              </w:rPr>
            </w:pPr>
            <w:r>
              <w:rPr>
                <w:color w:val="404040"/>
                <w:sz w:val="16"/>
              </w:rPr>
              <w:t>76,000</w:t>
            </w:r>
          </w:p>
        </w:tc>
        <w:tc>
          <w:tcPr>
            <w:tcW w:w="1659" w:type="dxa"/>
          </w:tcPr>
          <w:p>
            <w:pPr>
              <w:pStyle w:val="TableParagraph"/>
              <w:ind w:left="668"/>
              <w:rPr>
                <w:sz w:val="16"/>
              </w:rPr>
            </w:pPr>
            <w:r>
              <w:rPr>
                <w:color w:val="404040"/>
                <w:sz w:val="16"/>
              </w:rPr>
              <w:t>19%</w:t>
            </w:r>
          </w:p>
        </w:tc>
        <w:tc>
          <w:tcPr>
            <w:tcW w:w="1575" w:type="dxa"/>
          </w:tcPr>
          <w:p>
            <w:pPr>
              <w:pStyle w:val="TableParagraph"/>
              <w:ind w:left="464" w:right="488"/>
              <w:jc w:val="center"/>
              <w:rPr>
                <w:sz w:val="16"/>
              </w:rPr>
            </w:pPr>
            <w:r>
              <w:rPr>
                <w:color w:val="404040"/>
                <w:sz w:val="16"/>
              </w:rPr>
              <w:t>228,000</w:t>
            </w:r>
          </w:p>
        </w:tc>
        <w:tc>
          <w:tcPr>
            <w:tcW w:w="1609" w:type="dxa"/>
            <w:tcBorders>
              <w:right w:val="single" w:sz="4" w:space="0" w:color="DF2F1E"/>
            </w:tcBorders>
          </w:tcPr>
          <w:p>
            <w:pPr>
              <w:pStyle w:val="TableParagraph"/>
              <w:ind w:left="578" w:right="574"/>
              <w:jc w:val="center"/>
              <w:rPr>
                <w:sz w:val="16"/>
              </w:rPr>
            </w:pPr>
            <w:r>
              <w:rPr>
                <w:color w:val="404040"/>
                <w:sz w:val="16"/>
              </w:rPr>
              <w:t>101%</w:t>
            </w:r>
          </w:p>
        </w:tc>
      </w:tr>
      <w:tr>
        <w:trPr>
          <w:trHeight w:val="263" w:hRule="atLeast"/>
        </w:trPr>
        <w:tc>
          <w:tcPr>
            <w:tcW w:w="3562" w:type="dxa"/>
            <w:tcBorders>
              <w:left w:val="single" w:sz="4" w:space="0" w:color="DF2F1E"/>
            </w:tcBorders>
          </w:tcPr>
          <w:p>
            <w:pPr>
              <w:pStyle w:val="TableParagraph"/>
              <w:ind w:left="287"/>
              <w:rPr>
                <w:b/>
                <w:i/>
                <w:sz w:val="16"/>
              </w:rPr>
            </w:pPr>
            <w:r>
              <w:rPr>
                <w:b/>
                <w:i/>
                <w:color w:val="404040"/>
                <w:sz w:val="16"/>
              </w:rPr>
              <w:t>- 60% to 80%</w:t>
            </w:r>
          </w:p>
        </w:tc>
        <w:tc>
          <w:tcPr>
            <w:tcW w:w="1381" w:type="dxa"/>
          </w:tcPr>
          <w:p>
            <w:pPr>
              <w:pStyle w:val="TableParagraph"/>
              <w:ind w:right="294"/>
              <w:jc w:val="right"/>
              <w:rPr>
                <w:sz w:val="16"/>
              </w:rPr>
            </w:pPr>
            <w:r>
              <w:rPr>
                <w:color w:val="404040"/>
                <w:sz w:val="16"/>
              </w:rPr>
              <w:t>81,000</w:t>
            </w:r>
          </w:p>
        </w:tc>
        <w:tc>
          <w:tcPr>
            <w:tcW w:w="1659" w:type="dxa"/>
          </w:tcPr>
          <w:p>
            <w:pPr>
              <w:pStyle w:val="TableParagraph"/>
              <w:ind w:left="668"/>
              <w:rPr>
                <w:sz w:val="16"/>
              </w:rPr>
            </w:pPr>
            <w:r>
              <w:rPr>
                <w:color w:val="404040"/>
                <w:sz w:val="16"/>
              </w:rPr>
              <w:t>20%</w:t>
            </w:r>
          </w:p>
        </w:tc>
        <w:tc>
          <w:tcPr>
            <w:tcW w:w="1575" w:type="dxa"/>
          </w:tcPr>
          <w:p>
            <w:pPr>
              <w:pStyle w:val="TableParagraph"/>
              <w:ind w:left="464" w:right="488"/>
              <w:jc w:val="center"/>
              <w:rPr>
                <w:sz w:val="16"/>
              </w:rPr>
            </w:pPr>
            <w:r>
              <w:rPr>
                <w:color w:val="404040"/>
                <w:sz w:val="16"/>
              </w:rPr>
              <w:t>210,000</w:t>
            </w:r>
          </w:p>
        </w:tc>
        <w:tc>
          <w:tcPr>
            <w:tcW w:w="1609" w:type="dxa"/>
            <w:tcBorders>
              <w:right w:val="single" w:sz="4" w:space="0" w:color="DF2F1E"/>
            </w:tcBorders>
          </w:tcPr>
          <w:p>
            <w:pPr>
              <w:pStyle w:val="TableParagraph"/>
              <w:ind w:left="578" w:right="572"/>
              <w:jc w:val="center"/>
              <w:rPr>
                <w:sz w:val="16"/>
              </w:rPr>
            </w:pPr>
            <w:r>
              <w:rPr>
                <w:color w:val="404040"/>
                <w:sz w:val="16"/>
              </w:rPr>
              <w:t>92%</w:t>
            </w:r>
          </w:p>
        </w:tc>
      </w:tr>
      <w:tr>
        <w:trPr>
          <w:trHeight w:val="266" w:hRule="atLeast"/>
        </w:trPr>
        <w:tc>
          <w:tcPr>
            <w:tcW w:w="3562" w:type="dxa"/>
            <w:tcBorders>
              <w:left w:val="single" w:sz="4" w:space="0" w:color="DF2F1E"/>
              <w:bottom w:val="single" w:sz="4" w:space="0" w:color="DF2F1E"/>
            </w:tcBorders>
          </w:tcPr>
          <w:p>
            <w:pPr>
              <w:pStyle w:val="TableParagraph"/>
              <w:ind w:left="287"/>
              <w:rPr>
                <w:b/>
                <w:i/>
                <w:sz w:val="16"/>
              </w:rPr>
            </w:pPr>
            <w:r>
              <w:rPr>
                <w:b/>
                <w:i/>
                <w:color w:val="404040"/>
                <w:sz w:val="16"/>
              </w:rPr>
              <w:t>- Highest 20% (least disadvantaged)</w:t>
            </w:r>
          </w:p>
        </w:tc>
        <w:tc>
          <w:tcPr>
            <w:tcW w:w="1381" w:type="dxa"/>
            <w:tcBorders>
              <w:bottom w:val="single" w:sz="4" w:space="0" w:color="DF2F1E"/>
            </w:tcBorders>
          </w:tcPr>
          <w:p>
            <w:pPr>
              <w:pStyle w:val="TableParagraph"/>
              <w:ind w:right="294"/>
              <w:jc w:val="right"/>
              <w:rPr>
                <w:sz w:val="16"/>
              </w:rPr>
            </w:pPr>
            <w:r>
              <w:rPr>
                <w:color w:val="404040"/>
                <w:sz w:val="16"/>
              </w:rPr>
              <w:t>91,000</w:t>
            </w:r>
          </w:p>
        </w:tc>
        <w:tc>
          <w:tcPr>
            <w:tcW w:w="1659" w:type="dxa"/>
            <w:tcBorders>
              <w:bottom w:val="single" w:sz="4" w:space="0" w:color="DF2F1E"/>
            </w:tcBorders>
          </w:tcPr>
          <w:p>
            <w:pPr>
              <w:pStyle w:val="TableParagraph"/>
              <w:ind w:left="668"/>
              <w:rPr>
                <w:sz w:val="16"/>
              </w:rPr>
            </w:pPr>
            <w:r>
              <w:rPr>
                <w:color w:val="404040"/>
                <w:sz w:val="16"/>
              </w:rPr>
              <w:t>23%</w:t>
            </w:r>
          </w:p>
        </w:tc>
        <w:tc>
          <w:tcPr>
            <w:tcW w:w="1575" w:type="dxa"/>
            <w:tcBorders>
              <w:bottom w:val="single" w:sz="4" w:space="0" w:color="DF2F1E"/>
            </w:tcBorders>
          </w:tcPr>
          <w:p>
            <w:pPr>
              <w:pStyle w:val="TableParagraph"/>
              <w:ind w:left="464" w:right="488"/>
              <w:jc w:val="center"/>
              <w:rPr>
                <w:sz w:val="16"/>
              </w:rPr>
            </w:pPr>
            <w:r>
              <w:rPr>
                <w:color w:val="404040"/>
                <w:sz w:val="16"/>
              </w:rPr>
              <w:t>193,000</w:t>
            </w:r>
          </w:p>
        </w:tc>
        <w:tc>
          <w:tcPr>
            <w:tcW w:w="1609" w:type="dxa"/>
            <w:tcBorders>
              <w:bottom w:val="single" w:sz="4" w:space="0" w:color="DF2F1E"/>
              <w:right w:val="single" w:sz="4" w:space="0" w:color="DF2F1E"/>
            </w:tcBorders>
          </w:tcPr>
          <w:p>
            <w:pPr>
              <w:pStyle w:val="TableParagraph"/>
              <w:ind w:left="578" w:right="572"/>
              <w:jc w:val="center"/>
              <w:rPr>
                <w:sz w:val="16"/>
              </w:rPr>
            </w:pPr>
            <w:r>
              <w:rPr>
                <w:color w:val="404040"/>
                <w:sz w:val="16"/>
              </w:rPr>
              <w:t>85%</w:t>
            </w:r>
          </w:p>
        </w:tc>
      </w:tr>
    </w:tbl>
    <w:p>
      <w:pPr>
        <w:pStyle w:val="BodyText"/>
        <w:spacing w:before="119"/>
        <w:ind w:left="900"/>
      </w:pPr>
      <w:r>
        <w:rPr>
          <w:color w:val="404040"/>
        </w:rPr>
        <w:t>From the table above we can see that for previous welfare recipients:</w:t>
      </w:r>
    </w:p>
    <w:p>
      <w:pPr>
        <w:pStyle w:val="ListParagraph"/>
        <w:numPr>
          <w:ilvl w:val="0"/>
          <w:numId w:val="79"/>
        </w:numPr>
        <w:tabs>
          <w:tab w:pos="1184" w:val="left" w:leader="none"/>
        </w:tabs>
        <w:spacing w:line="240" w:lineRule="auto" w:before="119" w:after="0"/>
        <w:ind w:left="1183" w:right="0" w:hanging="284"/>
        <w:jc w:val="left"/>
        <w:rPr>
          <w:rFonts w:ascii="Symbol" w:hAnsi="Symbol"/>
          <w:color w:val="404040"/>
          <w:sz w:val="20"/>
        </w:rPr>
      </w:pPr>
      <w:r>
        <w:rPr>
          <w:color w:val="404040"/>
          <w:sz w:val="20"/>
        </w:rPr>
        <w:t>Single individuals have a higher average lifetime cost compared to partnered</w:t>
      </w:r>
      <w:r>
        <w:rPr>
          <w:color w:val="404040"/>
          <w:spacing w:val="-10"/>
          <w:sz w:val="20"/>
        </w:rPr>
        <w:t> </w:t>
      </w:r>
      <w:r>
        <w:rPr>
          <w:color w:val="404040"/>
          <w:sz w:val="20"/>
        </w:rPr>
        <w:t>individuals.</w:t>
      </w:r>
    </w:p>
    <w:p>
      <w:pPr>
        <w:pStyle w:val="ListParagraph"/>
        <w:numPr>
          <w:ilvl w:val="0"/>
          <w:numId w:val="79"/>
        </w:numPr>
        <w:tabs>
          <w:tab w:pos="1184" w:val="left" w:leader="none"/>
        </w:tabs>
        <w:spacing w:line="240" w:lineRule="auto" w:before="118" w:after="0"/>
        <w:ind w:left="1183" w:right="0" w:hanging="284"/>
        <w:jc w:val="left"/>
        <w:rPr>
          <w:rFonts w:ascii="Symbol" w:hAnsi="Symbol"/>
          <w:color w:val="404040"/>
          <w:sz w:val="20"/>
        </w:rPr>
      </w:pPr>
      <w:r>
        <w:rPr>
          <w:color w:val="404040"/>
          <w:sz w:val="20"/>
        </w:rPr>
        <w:t>In general, those with a lower level of educational attainment have a higher average lifetime</w:t>
      </w:r>
      <w:r>
        <w:rPr>
          <w:color w:val="404040"/>
          <w:spacing w:val="-15"/>
          <w:sz w:val="20"/>
        </w:rPr>
        <w:t> </w:t>
      </w:r>
      <w:r>
        <w:rPr>
          <w:color w:val="404040"/>
          <w:sz w:val="20"/>
        </w:rPr>
        <w:t>cost.</w:t>
      </w:r>
    </w:p>
    <w:p>
      <w:pPr>
        <w:pStyle w:val="ListParagraph"/>
        <w:numPr>
          <w:ilvl w:val="0"/>
          <w:numId w:val="79"/>
        </w:numPr>
        <w:tabs>
          <w:tab w:pos="1184" w:val="left" w:leader="none"/>
        </w:tabs>
        <w:spacing w:line="240" w:lineRule="auto" w:before="119" w:after="0"/>
        <w:ind w:left="1183" w:right="1065" w:hanging="284"/>
        <w:jc w:val="left"/>
        <w:rPr>
          <w:rFonts w:ascii="Symbol" w:hAnsi="Symbol"/>
          <w:color w:val="404040"/>
          <w:sz w:val="20"/>
        </w:rPr>
      </w:pPr>
      <w:r>
        <w:rPr>
          <w:color w:val="404040"/>
          <w:sz w:val="20"/>
        </w:rPr>
        <w:t>Noting that the majority of previous welfare recipients do not currently have children, for the small proportion of individuals that do currently have children, in general they have a higher average lifetime</w:t>
      </w:r>
      <w:r>
        <w:rPr>
          <w:color w:val="404040"/>
          <w:spacing w:val="-21"/>
          <w:sz w:val="20"/>
        </w:rPr>
        <w:t> </w:t>
      </w:r>
      <w:r>
        <w:rPr>
          <w:color w:val="404040"/>
          <w:sz w:val="20"/>
        </w:rPr>
        <w:t>cost.</w:t>
      </w:r>
    </w:p>
    <w:p>
      <w:pPr>
        <w:pStyle w:val="ListParagraph"/>
        <w:numPr>
          <w:ilvl w:val="0"/>
          <w:numId w:val="79"/>
        </w:numPr>
        <w:tabs>
          <w:tab w:pos="1184" w:val="left" w:leader="none"/>
        </w:tabs>
        <w:spacing w:line="240" w:lineRule="auto" w:before="118" w:after="0"/>
        <w:ind w:left="1183" w:right="0" w:hanging="284"/>
        <w:jc w:val="left"/>
        <w:rPr>
          <w:rFonts w:ascii="Symbol" w:hAnsi="Symbol"/>
          <w:color w:val="404040"/>
          <w:sz w:val="20"/>
        </w:rPr>
      </w:pPr>
      <w:r>
        <w:rPr>
          <w:color w:val="404040"/>
          <w:sz w:val="20"/>
        </w:rPr>
        <w:t>Those with a higher level of parental welfare dependence have a higher average lifetime</w:t>
      </w:r>
      <w:r>
        <w:rPr>
          <w:color w:val="404040"/>
          <w:spacing w:val="-8"/>
          <w:sz w:val="20"/>
        </w:rPr>
        <w:t> </w:t>
      </w:r>
      <w:r>
        <w:rPr>
          <w:color w:val="404040"/>
          <w:sz w:val="20"/>
        </w:rPr>
        <w:t>cost.</w:t>
      </w:r>
    </w:p>
    <w:p>
      <w:pPr>
        <w:pStyle w:val="ListParagraph"/>
        <w:numPr>
          <w:ilvl w:val="0"/>
          <w:numId w:val="79"/>
        </w:numPr>
        <w:tabs>
          <w:tab w:pos="1184" w:val="left" w:leader="none"/>
        </w:tabs>
        <w:spacing w:line="240" w:lineRule="auto" w:before="117" w:after="0"/>
        <w:ind w:left="1183" w:right="1222" w:hanging="284"/>
        <w:jc w:val="left"/>
        <w:rPr>
          <w:rFonts w:ascii="Symbol" w:hAnsi="Symbol"/>
          <w:color w:val="404040"/>
          <w:sz w:val="20"/>
        </w:rPr>
      </w:pPr>
      <w:r>
        <w:rPr>
          <w:color w:val="404040"/>
          <w:sz w:val="20"/>
        </w:rPr>
        <w:t>Those who have been out of the welfare system for a shorter period of time have a higher average lifetime cost.</w:t>
      </w:r>
    </w:p>
    <w:p>
      <w:pPr>
        <w:spacing w:after="0" w:line="240" w:lineRule="auto"/>
        <w:jc w:val="left"/>
        <w:rPr>
          <w:rFonts w:ascii="Symbol" w:hAnsi="Symbol"/>
          <w:sz w:val="20"/>
        </w:rPr>
        <w:sectPr>
          <w:pgSz w:w="11910" w:h="16850"/>
          <w:pgMar w:header="572" w:footer="581" w:top="780" w:bottom="780" w:left="120" w:right="0"/>
        </w:sectPr>
      </w:pPr>
    </w:p>
    <w:p>
      <w:pPr>
        <w:pStyle w:val="BodyText"/>
      </w:pPr>
    </w:p>
    <w:p>
      <w:pPr>
        <w:pStyle w:val="BodyText"/>
      </w:pPr>
    </w:p>
    <w:p>
      <w:pPr>
        <w:pStyle w:val="BodyText"/>
        <w:spacing w:before="7"/>
        <w:rPr>
          <w:sz w:val="21"/>
        </w:rPr>
      </w:pPr>
    </w:p>
    <w:p>
      <w:pPr>
        <w:pStyle w:val="Heading6"/>
        <w:spacing w:before="94"/>
        <w:rPr>
          <w:i/>
        </w:rPr>
      </w:pPr>
      <w:r>
        <w:rPr>
          <w:i/>
          <w:color w:val="DF2F1E"/>
        </w:rPr>
        <w:t>Change in lifetime costs since the 2017 valuation</w:t>
      </w:r>
    </w:p>
    <w:p>
      <w:pPr>
        <w:pStyle w:val="BodyText"/>
        <w:spacing w:before="121"/>
        <w:ind w:left="900" w:right="1031"/>
      </w:pPr>
      <w:r>
        <w:rPr>
          <w:color w:val="404040"/>
        </w:rPr>
        <w:t>The lifetime cost for the people in this class is $900bn, a decrease of $90bn compared to the rebased June 2017 valuation. This was driven by a decrease in the average cost, partially offset by an increase in the number of people in this class:</w:t>
      </w:r>
    </w:p>
    <w:p>
      <w:pPr>
        <w:pStyle w:val="ListParagraph"/>
        <w:numPr>
          <w:ilvl w:val="0"/>
          <w:numId w:val="79"/>
        </w:numPr>
        <w:tabs>
          <w:tab w:pos="1184" w:val="left" w:leader="none"/>
        </w:tabs>
        <w:spacing w:line="240" w:lineRule="auto" w:before="119" w:after="0"/>
        <w:ind w:left="1183" w:right="1086" w:hanging="284"/>
        <w:jc w:val="left"/>
        <w:rPr>
          <w:rFonts w:ascii="Symbol" w:hAnsi="Symbol"/>
          <w:color w:val="404040"/>
          <w:sz w:val="20"/>
        </w:rPr>
      </w:pPr>
      <w:r>
        <w:rPr>
          <w:color w:val="404040"/>
          <w:sz w:val="20"/>
        </w:rPr>
        <w:t>The number of people in this class has increased by 7.1% (from 4.5m to 4.8m) since the previous valuation. This increase is largely a result of having one year of extra history in our data which means there is likely a larger group of people we have been able to identify as being previous welfare recipients. This effect will continue at future valuations.</w:t>
      </w:r>
    </w:p>
    <w:p>
      <w:pPr>
        <w:pStyle w:val="ListParagraph"/>
        <w:numPr>
          <w:ilvl w:val="0"/>
          <w:numId w:val="79"/>
        </w:numPr>
        <w:tabs>
          <w:tab w:pos="1184" w:val="left" w:leader="none"/>
        </w:tabs>
        <w:spacing w:line="240" w:lineRule="auto" w:before="119" w:after="0"/>
        <w:ind w:left="1183" w:right="1585" w:hanging="284"/>
        <w:jc w:val="left"/>
        <w:rPr>
          <w:rFonts w:ascii="Symbol" w:hAnsi="Symbol"/>
          <w:color w:val="404040"/>
          <w:sz w:val="20"/>
        </w:rPr>
      </w:pPr>
      <w:r>
        <w:rPr>
          <w:color w:val="404040"/>
          <w:sz w:val="20"/>
        </w:rPr>
        <w:t>The average cost has decreased by $33,000 (16.2%) since the previous valuation. The following table provides a breakdown of the change in average lifetime cost by payment</w:t>
      </w:r>
      <w:r>
        <w:rPr>
          <w:color w:val="404040"/>
          <w:spacing w:val="-11"/>
          <w:sz w:val="20"/>
        </w:rPr>
        <w:t> </w:t>
      </w:r>
      <w:r>
        <w:rPr>
          <w:color w:val="404040"/>
          <w:sz w:val="20"/>
        </w:rPr>
        <w:t>category.</w:t>
      </w:r>
    </w:p>
    <w:p>
      <w:pPr>
        <w:pStyle w:val="Heading9"/>
        <w:spacing w:before="175" w:after="49"/>
        <w:ind w:left="899"/>
      </w:pPr>
      <w:r>
        <w:rPr>
          <w:color w:val="DF2F1E"/>
        </w:rPr>
        <w:t>Table 43: Breakdown of change in average lifetime cost for class 10 by payment category</w:t>
      </w:r>
    </w:p>
    <w:tbl>
      <w:tblPr>
        <w:tblW w:w="0" w:type="auto"/>
        <w:jc w:val="left"/>
        <w:tblInd w:w="1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20"/>
        <w:gridCol w:w="1271"/>
        <w:gridCol w:w="1247"/>
        <w:gridCol w:w="1237"/>
        <w:gridCol w:w="1311"/>
        <w:gridCol w:w="1310"/>
      </w:tblGrid>
      <w:tr>
        <w:trPr>
          <w:trHeight w:val="274" w:hRule="atLeast"/>
        </w:trPr>
        <w:tc>
          <w:tcPr>
            <w:tcW w:w="3120" w:type="dxa"/>
            <w:shd w:val="clear" w:color="auto" w:fill="DF2F1E"/>
          </w:tcPr>
          <w:p>
            <w:pPr>
              <w:pStyle w:val="TableParagraph"/>
              <w:spacing w:before="0"/>
              <w:rPr>
                <w:rFonts w:ascii="Times New Roman"/>
                <w:sz w:val="18"/>
              </w:rPr>
            </w:pPr>
          </w:p>
        </w:tc>
        <w:tc>
          <w:tcPr>
            <w:tcW w:w="1271" w:type="dxa"/>
            <w:shd w:val="clear" w:color="auto" w:fill="DF2F1E"/>
          </w:tcPr>
          <w:p>
            <w:pPr>
              <w:pStyle w:val="TableParagraph"/>
              <w:spacing w:before="0"/>
              <w:rPr>
                <w:rFonts w:ascii="Times New Roman"/>
                <w:sz w:val="18"/>
              </w:rPr>
            </w:pPr>
          </w:p>
        </w:tc>
        <w:tc>
          <w:tcPr>
            <w:tcW w:w="1247" w:type="dxa"/>
            <w:shd w:val="clear" w:color="auto" w:fill="DF2F1E"/>
          </w:tcPr>
          <w:p>
            <w:pPr>
              <w:pStyle w:val="TableParagraph"/>
              <w:spacing w:before="39"/>
              <w:ind w:left="634"/>
              <w:rPr>
                <w:b/>
                <w:sz w:val="16"/>
              </w:rPr>
            </w:pPr>
            <w:r>
              <w:rPr>
                <w:b/>
                <w:color w:val="FFFFFF"/>
                <w:sz w:val="16"/>
              </w:rPr>
              <w:t>Income</w:t>
            </w:r>
          </w:p>
        </w:tc>
        <w:tc>
          <w:tcPr>
            <w:tcW w:w="1237" w:type="dxa"/>
            <w:shd w:val="clear" w:color="auto" w:fill="DF2F1E"/>
          </w:tcPr>
          <w:p>
            <w:pPr>
              <w:pStyle w:val="TableParagraph"/>
              <w:spacing w:before="39"/>
              <w:ind w:left="59"/>
              <w:rPr>
                <w:b/>
                <w:sz w:val="16"/>
              </w:rPr>
            </w:pPr>
            <w:r>
              <w:rPr>
                <w:b/>
                <w:color w:val="FFFFFF"/>
                <w:sz w:val="16"/>
              </w:rPr>
              <w:t>Support</w:t>
            </w:r>
          </w:p>
        </w:tc>
        <w:tc>
          <w:tcPr>
            <w:tcW w:w="1311" w:type="dxa"/>
            <w:shd w:val="clear" w:color="auto" w:fill="DF2F1E"/>
          </w:tcPr>
          <w:p>
            <w:pPr>
              <w:pStyle w:val="TableParagraph"/>
              <w:spacing w:before="39"/>
              <w:ind w:left="344"/>
              <w:rPr>
                <w:b/>
                <w:sz w:val="16"/>
              </w:rPr>
            </w:pPr>
            <w:r>
              <w:rPr>
                <w:b/>
                <w:color w:val="FFFFFF"/>
                <w:sz w:val="16"/>
              </w:rPr>
              <w:t>Non Income</w:t>
            </w:r>
          </w:p>
        </w:tc>
        <w:tc>
          <w:tcPr>
            <w:tcW w:w="1310" w:type="dxa"/>
            <w:shd w:val="clear" w:color="auto" w:fill="DF2F1E"/>
          </w:tcPr>
          <w:p>
            <w:pPr>
              <w:pStyle w:val="TableParagraph"/>
              <w:spacing w:before="36"/>
              <w:ind w:left="62"/>
              <w:rPr>
                <w:b/>
                <w:sz w:val="10"/>
              </w:rPr>
            </w:pPr>
            <w:r>
              <w:rPr>
                <w:b/>
                <w:color w:val="FFFFFF"/>
                <w:sz w:val="16"/>
              </w:rPr>
              <w:t>Support</w:t>
            </w:r>
            <w:r>
              <w:rPr>
                <w:b/>
                <w:color w:val="FFFFFF"/>
                <w:position w:val="6"/>
                <w:sz w:val="10"/>
              </w:rPr>
              <w:t>1</w:t>
            </w:r>
          </w:p>
        </w:tc>
      </w:tr>
      <w:tr>
        <w:trPr>
          <w:trHeight w:val="452" w:hRule="atLeast"/>
        </w:trPr>
        <w:tc>
          <w:tcPr>
            <w:tcW w:w="3120" w:type="dxa"/>
            <w:tcBorders>
              <w:bottom w:val="single" w:sz="4" w:space="0" w:color="FFFFFF"/>
            </w:tcBorders>
            <w:shd w:val="clear" w:color="auto" w:fill="DF2F1E"/>
          </w:tcPr>
          <w:p>
            <w:pPr>
              <w:pStyle w:val="TableParagraph"/>
              <w:spacing w:before="0"/>
              <w:rPr>
                <w:rFonts w:ascii="Times New Roman"/>
                <w:sz w:val="18"/>
              </w:rPr>
            </w:pPr>
          </w:p>
        </w:tc>
        <w:tc>
          <w:tcPr>
            <w:tcW w:w="1271" w:type="dxa"/>
            <w:tcBorders>
              <w:bottom w:val="single" w:sz="4" w:space="0" w:color="FFFFFF"/>
            </w:tcBorders>
            <w:shd w:val="clear" w:color="auto" w:fill="DF2F1E"/>
          </w:tcPr>
          <w:p>
            <w:pPr>
              <w:pStyle w:val="TableParagraph"/>
              <w:spacing w:before="40"/>
              <w:ind w:left="430" w:right="418"/>
              <w:jc w:val="center"/>
              <w:rPr>
                <w:b/>
                <w:sz w:val="16"/>
              </w:rPr>
            </w:pPr>
            <w:r>
              <w:rPr>
                <w:b/>
                <w:color w:val="FFFFFF"/>
                <w:sz w:val="16"/>
              </w:rPr>
              <w:t>Total</w:t>
            </w:r>
          </w:p>
        </w:tc>
        <w:tc>
          <w:tcPr>
            <w:tcW w:w="1247" w:type="dxa"/>
            <w:tcBorders>
              <w:bottom w:val="single" w:sz="4" w:space="0" w:color="FFFFFF"/>
            </w:tcBorders>
            <w:shd w:val="clear" w:color="auto" w:fill="DF2F1E"/>
          </w:tcPr>
          <w:p>
            <w:pPr>
              <w:pStyle w:val="TableParagraph"/>
              <w:spacing w:before="40"/>
              <w:ind w:left="320" w:right="266" w:hanging="17"/>
              <w:rPr>
                <w:b/>
                <w:sz w:val="16"/>
              </w:rPr>
            </w:pPr>
            <w:r>
              <w:rPr>
                <w:b/>
                <w:color w:val="FFFFFF"/>
                <w:sz w:val="16"/>
              </w:rPr>
              <w:t>Non Age Pension</w:t>
            </w:r>
          </w:p>
        </w:tc>
        <w:tc>
          <w:tcPr>
            <w:tcW w:w="1237" w:type="dxa"/>
            <w:tcBorders>
              <w:bottom w:val="single" w:sz="4" w:space="0" w:color="FFFFFF"/>
            </w:tcBorders>
            <w:shd w:val="clear" w:color="auto" w:fill="DF2F1E"/>
          </w:tcPr>
          <w:p>
            <w:pPr>
              <w:pStyle w:val="TableParagraph"/>
              <w:spacing w:before="40"/>
              <w:ind w:left="136"/>
              <w:rPr>
                <w:b/>
                <w:sz w:val="16"/>
              </w:rPr>
            </w:pPr>
            <w:r>
              <w:rPr>
                <w:b/>
                <w:color w:val="FFFFFF"/>
                <w:sz w:val="16"/>
              </w:rPr>
              <w:t>Age Pension</w:t>
            </w:r>
          </w:p>
        </w:tc>
        <w:tc>
          <w:tcPr>
            <w:tcW w:w="1311" w:type="dxa"/>
            <w:tcBorders>
              <w:bottom w:val="single" w:sz="4" w:space="0" w:color="FFFFFF"/>
            </w:tcBorders>
            <w:shd w:val="clear" w:color="auto" w:fill="DF2F1E"/>
          </w:tcPr>
          <w:p>
            <w:pPr>
              <w:pStyle w:val="TableParagraph"/>
              <w:spacing w:before="40"/>
              <w:ind w:left="159" w:right="127" w:firstLine="249"/>
              <w:rPr>
                <w:b/>
                <w:sz w:val="16"/>
              </w:rPr>
            </w:pPr>
            <w:r>
              <w:rPr>
                <w:b/>
                <w:color w:val="FFFFFF"/>
                <w:sz w:val="16"/>
              </w:rPr>
              <w:t>Family Supplements</w:t>
            </w:r>
          </w:p>
        </w:tc>
        <w:tc>
          <w:tcPr>
            <w:tcW w:w="1310" w:type="dxa"/>
            <w:tcBorders>
              <w:bottom w:val="single" w:sz="4" w:space="0" w:color="FFFFFF"/>
            </w:tcBorders>
            <w:shd w:val="clear" w:color="auto" w:fill="DF2F1E"/>
          </w:tcPr>
          <w:p>
            <w:pPr>
              <w:pStyle w:val="TableParagraph"/>
              <w:spacing w:before="40"/>
              <w:ind w:left="158" w:right="127" w:firstLine="288"/>
              <w:rPr>
                <w:b/>
                <w:sz w:val="16"/>
              </w:rPr>
            </w:pPr>
            <w:r>
              <w:rPr>
                <w:b/>
                <w:color w:val="FFFFFF"/>
                <w:sz w:val="16"/>
              </w:rPr>
              <w:t>Other Supplements</w:t>
            </w:r>
          </w:p>
        </w:tc>
      </w:tr>
      <w:tr>
        <w:trPr>
          <w:trHeight w:val="254" w:hRule="atLeast"/>
        </w:trPr>
        <w:tc>
          <w:tcPr>
            <w:tcW w:w="3120" w:type="dxa"/>
            <w:tcBorders>
              <w:top w:val="single" w:sz="4" w:space="0" w:color="FFFFFF"/>
              <w:left w:val="single" w:sz="4" w:space="0" w:color="DF2F1E"/>
              <w:right w:val="single" w:sz="4" w:space="0" w:color="DF2F1E"/>
            </w:tcBorders>
          </w:tcPr>
          <w:p>
            <w:pPr>
              <w:pStyle w:val="TableParagraph"/>
              <w:spacing w:before="34"/>
              <w:ind w:left="57"/>
              <w:rPr>
                <w:b/>
                <w:sz w:val="16"/>
              </w:rPr>
            </w:pPr>
            <w:r>
              <w:rPr>
                <w:b/>
                <w:color w:val="404040"/>
                <w:sz w:val="16"/>
              </w:rPr>
              <w:t>Jun-17 Total Lifetime Cost</w:t>
            </w:r>
          </w:p>
        </w:tc>
        <w:tc>
          <w:tcPr>
            <w:tcW w:w="1271" w:type="dxa"/>
            <w:tcBorders>
              <w:top w:val="single" w:sz="4" w:space="0" w:color="FFFFFF"/>
              <w:left w:val="single" w:sz="4" w:space="0" w:color="DF2F1E"/>
              <w:right w:val="single" w:sz="4" w:space="0" w:color="DF2F1E"/>
            </w:tcBorders>
          </w:tcPr>
          <w:p>
            <w:pPr>
              <w:pStyle w:val="TableParagraph"/>
              <w:ind w:left="15"/>
              <w:jc w:val="center"/>
              <w:rPr>
                <w:sz w:val="16"/>
              </w:rPr>
            </w:pPr>
            <w:r>
              <w:rPr>
                <w:color w:val="404040"/>
                <w:sz w:val="16"/>
              </w:rPr>
              <w:t>$735bn</w:t>
            </w:r>
          </w:p>
        </w:tc>
        <w:tc>
          <w:tcPr>
            <w:tcW w:w="5105" w:type="dxa"/>
            <w:gridSpan w:val="4"/>
            <w:vMerge w:val="restart"/>
            <w:tcBorders>
              <w:top w:val="single" w:sz="4" w:space="0" w:color="FFFFFF"/>
              <w:left w:val="single" w:sz="4" w:space="0" w:color="DF2F1E"/>
              <w:bottom w:val="single" w:sz="4" w:space="0" w:color="DF2F1E"/>
              <w:right w:val="single" w:sz="4" w:space="0" w:color="DF2F1E"/>
            </w:tcBorders>
            <w:shd w:val="clear" w:color="auto" w:fill="D9D9D9"/>
          </w:tcPr>
          <w:p>
            <w:pPr>
              <w:pStyle w:val="TableParagraph"/>
              <w:spacing w:before="0"/>
              <w:rPr>
                <w:rFonts w:ascii="Times New Roman"/>
                <w:sz w:val="18"/>
              </w:rPr>
            </w:pPr>
          </w:p>
        </w:tc>
      </w:tr>
      <w:tr>
        <w:trPr>
          <w:trHeight w:val="256" w:hRule="atLeast"/>
        </w:trPr>
        <w:tc>
          <w:tcPr>
            <w:tcW w:w="3120" w:type="dxa"/>
            <w:tcBorders>
              <w:left w:val="single" w:sz="4" w:space="0" w:color="DF2F1E"/>
              <w:right w:val="single" w:sz="4" w:space="0" w:color="DF2F1E"/>
            </w:tcBorders>
          </w:tcPr>
          <w:p>
            <w:pPr>
              <w:pStyle w:val="TableParagraph"/>
              <w:spacing w:before="30"/>
              <w:ind w:left="57"/>
              <w:rPr>
                <w:b/>
                <w:sz w:val="10"/>
              </w:rPr>
            </w:pPr>
            <w:r>
              <w:rPr>
                <w:b/>
                <w:color w:val="404040"/>
                <w:sz w:val="16"/>
              </w:rPr>
              <w:t>Jun-17 Total Lifetime Cost – rebased</w:t>
            </w:r>
            <w:r>
              <w:rPr>
                <w:b/>
                <w:color w:val="404040"/>
                <w:position w:val="6"/>
                <w:sz w:val="10"/>
              </w:rPr>
              <w:t>2</w:t>
            </w:r>
          </w:p>
        </w:tc>
        <w:tc>
          <w:tcPr>
            <w:tcW w:w="1271" w:type="dxa"/>
            <w:tcBorders>
              <w:left w:val="single" w:sz="4" w:space="0" w:color="DF2F1E"/>
              <w:right w:val="single" w:sz="4" w:space="0" w:color="DF2F1E"/>
            </w:tcBorders>
          </w:tcPr>
          <w:p>
            <w:pPr>
              <w:pStyle w:val="TableParagraph"/>
              <w:spacing w:before="36"/>
              <w:ind w:left="15"/>
              <w:jc w:val="center"/>
              <w:rPr>
                <w:sz w:val="16"/>
              </w:rPr>
            </w:pPr>
            <w:r>
              <w:rPr>
                <w:color w:val="404040"/>
                <w:sz w:val="16"/>
              </w:rPr>
              <w:t>$990bn</w:t>
            </w:r>
          </w:p>
        </w:tc>
        <w:tc>
          <w:tcPr>
            <w:tcW w:w="5105" w:type="dxa"/>
            <w:gridSpan w:val="4"/>
            <w:vMerge/>
            <w:tcBorders>
              <w:top w:val="nil"/>
              <w:left w:val="single" w:sz="4" w:space="0" w:color="DF2F1E"/>
              <w:bottom w:val="single" w:sz="4" w:space="0" w:color="DF2F1E"/>
              <w:right w:val="single" w:sz="4" w:space="0" w:color="DF2F1E"/>
            </w:tcBorders>
            <w:shd w:val="clear" w:color="auto" w:fill="D9D9D9"/>
          </w:tcPr>
          <w:p>
            <w:pPr>
              <w:rPr>
                <w:sz w:val="2"/>
                <w:szCs w:val="2"/>
              </w:rPr>
            </w:pPr>
          </w:p>
        </w:tc>
      </w:tr>
      <w:tr>
        <w:trPr>
          <w:trHeight w:val="260" w:hRule="atLeast"/>
        </w:trPr>
        <w:tc>
          <w:tcPr>
            <w:tcW w:w="3120" w:type="dxa"/>
            <w:tcBorders>
              <w:left w:val="single" w:sz="4" w:space="0" w:color="DF2F1E"/>
              <w:bottom w:val="single" w:sz="4" w:space="0" w:color="DF2F1E"/>
              <w:right w:val="single" w:sz="4" w:space="0" w:color="DF2F1E"/>
            </w:tcBorders>
          </w:tcPr>
          <w:p>
            <w:pPr>
              <w:pStyle w:val="TableParagraph"/>
              <w:spacing w:before="31"/>
              <w:ind w:left="57"/>
              <w:rPr>
                <w:b/>
                <w:sz w:val="16"/>
              </w:rPr>
            </w:pPr>
            <w:r>
              <w:rPr>
                <w:b/>
                <w:color w:val="404040"/>
                <w:sz w:val="16"/>
              </w:rPr>
              <w:t>Jun-18 Total Lifetime Cost</w:t>
            </w:r>
          </w:p>
        </w:tc>
        <w:tc>
          <w:tcPr>
            <w:tcW w:w="1271" w:type="dxa"/>
            <w:tcBorders>
              <w:left w:val="single" w:sz="4" w:space="0" w:color="DF2F1E"/>
              <w:bottom w:val="single" w:sz="4" w:space="0" w:color="DF2F1E"/>
              <w:right w:val="single" w:sz="4" w:space="0" w:color="DF2F1E"/>
            </w:tcBorders>
          </w:tcPr>
          <w:p>
            <w:pPr>
              <w:pStyle w:val="TableParagraph"/>
              <w:spacing w:before="34"/>
              <w:ind w:left="15"/>
              <w:jc w:val="center"/>
              <w:rPr>
                <w:sz w:val="16"/>
              </w:rPr>
            </w:pPr>
            <w:r>
              <w:rPr>
                <w:color w:val="404040"/>
                <w:sz w:val="16"/>
              </w:rPr>
              <w:t>$900bn</w:t>
            </w:r>
          </w:p>
        </w:tc>
        <w:tc>
          <w:tcPr>
            <w:tcW w:w="5105" w:type="dxa"/>
            <w:gridSpan w:val="4"/>
            <w:vMerge/>
            <w:tcBorders>
              <w:top w:val="nil"/>
              <w:left w:val="single" w:sz="4" w:space="0" w:color="DF2F1E"/>
              <w:bottom w:val="single" w:sz="4" w:space="0" w:color="DF2F1E"/>
              <w:right w:val="single" w:sz="4" w:space="0" w:color="DF2F1E"/>
            </w:tcBorders>
            <w:shd w:val="clear" w:color="auto" w:fill="D9D9D9"/>
          </w:tcPr>
          <w:p>
            <w:pPr>
              <w:rPr>
                <w:sz w:val="2"/>
                <w:szCs w:val="2"/>
              </w:rPr>
            </w:pPr>
          </w:p>
        </w:tc>
      </w:tr>
      <w:tr>
        <w:trPr>
          <w:trHeight w:val="266" w:hRule="atLeast"/>
        </w:trPr>
        <w:tc>
          <w:tcPr>
            <w:tcW w:w="3120" w:type="dxa"/>
            <w:tcBorders>
              <w:top w:val="single" w:sz="4" w:space="0" w:color="DF2F1E"/>
              <w:left w:val="single" w:sz="4" w:space="0" w:color="DF2F1E"/>
              <w:bottom w:val="single" w:sz="4" w:space="0" w:color="DF2F1E"/>
              <w:right w:val="single" w:sz="4" w:space="0" w:color="DF2F1E"/>
            </w:tcBorders>
          </w:tcPr>
          <w:p>
            <w:pPr>
              <w:pStyle w:val="TableParagraph"/>
              <w:spacing w:before="33"/>
              <w:ind w:left="57"/>
              <w:rPr>
                <w:b/>
                <w:sz w:val="10"/>
              </w:rPr>
            </w:pPr>
            <w:r>
              <w:rPr>
                <w:b/>
                <w:color w:val="404040"/>
                <w:sz w:val="16"/>
              </w:rPr>
              <w:t>Change in Total Lifetime Cost</w:t>
            </w:r>
            <w:r>
              <w:rPr>
                <w:b/>
                <w:color w:val="404040"/>
                <w:position w:val="6"/>
                <w:sz w:val="10"/>
              </w:rPr>
              <w:t>2</w:t>
            </w:r>
          </w:p>
        </w:tc>
        <w:tc>
          <w:tcPr>
            <w:tcW w:w="1271" w:type="dxa"/>
            <w:tcBorders>
              <w:top w:val="single" w:sz="4" w:space="0" w:color="DF2F1E"/>
              <w:left w:val="single" w:sz="4" w:space="0" w:color="DF2F1E"/>
              <w:bottom w:val="single" w:sz="4" w:space="0" w:color="DF2F1E"/>
              <w:right w:val="single" w:sz="4" w:space="0" w:color="DF2F1E"/>
            </w:tcBorders>
          </w:tcPr>
          <w:p>
            <w:pPr>
              <w:pStyle w:val="TableParagraph"/>
              <w:spacing w:before="39"/>
              <w:ind w:left="13"/>
              <w:jc w:val="center"/>
              <w:rPr>
                <w:sz w:val="16"/>
              </w:rPr>
            </w:pPr>
            <w:r>
              <w:rPr>
                <w:color w:val="404040"/>
                <w:sz w:val="16"/>
              </w:rPr>
              <w:t>-$90bn (-9.1%)</w:t>
            </w:r>
          </w:p>
        </w:tc>
        <w:tc>
          <w:tcPr>
            <w:tcW w:w="5105" w:type="dxa"/>
            <w:gridSpan w:val="4"/>
            <w:vMerge/>
            <w:tcBorders>
              <w:top w:val="nil"/>
              <w:left w:val="single" w:sz="4" w:space="0" w:color="DF2F1E"/>
              <w:bottom w:val="single" w:sz="4" w:space="0" w:color="DF2F1E"/>
              <w:right w:val="single" w:sz="4" w:space="0" w:color="DF2F1E"/>
            </w:tcBorders>
            <w:shd w:val="clear" w:color="auto" w:fill="D9D9D9"/>
          </w:tcPr>
          <w:p>
            <w:pPr>
              <w:rPr>
                <w:sz w:val="2"/>
                <w:szCs w:val="2"/>
              </w:rPr>
            </w:pPr>
          </w:p>
        </w:tc>
      </w:tr>
      <w:tr>
        <w:trPr>
          <w:trHeight w:val="263" w:hRule="atLeast"/>
        </w:trPr>
        <w:tc>
          <w:tcPr>
            <w:tcW w:w="3120" w:type="dxa"/>
            <w:tcBorders>
              <w:top w:val="single" w:sz="4" w:space="0" w:color="DF2F1E"/>
              <w:left w:val="single" w:sz="4" w:space="0" w:color="DF2F1E"/>
              <w:bottom w:val="single" w:sz="4" w:space="0" w:color="DF2F1E"/>
              <w:right w:val="single" w:sz="4" w:space="0" w:color="DF2F1E"/>
            </w:tcBorders>
          </w:tcPr>
          <w:p>
            <w:pPr>
              <w:pStyle w:val="TableParagraph"/>
              <w:spacing w:before="34"/>
              <w:ind w:left="57"/>
              <w:rPr>
                <w:b/>
                <w:sz w:val="16"/>
              </w:rPr>
            </w:pPr>
            <w:r>
              <w:rPr>
                <w:b/>
                <w:color w:val="404040"/>
                <w:sz w:val="16"/>
              </w:rPr>
              <w:t>Change due to People in Class</w:t>
            </w:r>
          </w:p>
        </w:tc>
        <w:tc>
          <w:tcPr>
            <w:tcW w:w="1271" w:type="dxa"/>
            <w:tcBorders>
              <w:top w:val="single" w:sz="4" w:space="0" w:color="DF2F1E"/>
              <w:left w:val="single" w:sz="4" w:space="0" w:color="DF2F1E"/>
              <w:bottom w:val="single" w:sz="4" w:space="0" w:color="DF2F1E"/>
              <w:right w:val="single" w:sz="4" w:space="0" w:color="DF2F1E"/>
            </w:tcBorders>
          </w:tcPr>
          <w:p>
            <w:pPr>
              <w:pStyle w:val="TableParagraph"/>
              <w:ind w:left="13"/>
              <w:jc w:val="center"/>
              <w:rPr>
                <w:sz w:val="16"/>
              </w:rPr>
            </w:pPr>
            <w:r>
              <w:rPr>
                <w:color w:val="404040"/>
                <w:sz w:val="16"/>
              </w:rPr>
              <w:t>+7.1%</w:t>
            </w:r>
          </w:p>
        </w:tc>
        <w:tc>
          <w:tcPr>
            <w:tcW w:w="5105" w:type="dxa"/>
            <w:gridSpan w:val="4"/>
            <w:vMerge/>
            <w:tcBorders>
              <w:top w:val="nil"/>
              <w:left w:val="single" w:sz="4" w:space="0" w:color="DF2F1E"/>
              <w:bottom w:val="single" w:sz="4" w:space="0" w:color="DF2F1E"/>
              <w:right w:val="single" w:sz="4" w:space="0" w:color="DF2F1E"/>
            </w:tcBorders>
            <w:shd w:val="clear" w:color="auto" w:fill="D9D9D9"/>
          </w:tcPr>
          <w:p>
            <w:pPr>
              <w:rPr>
                <w:sz w:val="2"/>
                <w:szCs w:val="2"/>
              </w:rPr>
            </w:pPr>
          </w:p>
        </w:tc>
      </w:tr>
      <w:tr>
        <w:trPr>
          <w:trHeight w:val="262" w:hRule="atLeast"/>
        </w:trPr>
        <w:tc>
          <w:tcPr>
            <w:tcW w:w="3120" w:type="dxa"/>
            <w:tcBorders>
              <w:top w:val="single" w:sz="4" w:space="0" w:color="DF2F1E"/>
              <w:left w:val="single" w:sz="4" w:space="0" w:color="DF2F1E"/>
              <w:right w:val="single" w:sz="4" w:space="0" w:color="DF2F1E"/>
            </w:tcBorders>
          </w:tcPr>
          <w:p>
            <w:pPr>
              <w:pStyle w:val="TableParagraph"/>
              <w:spacing w:before="31"/>
              <w:ind w:left="57"/>
              <w:rPr>
                <w:b/>
                <w:sz w:val="10"/>
              </w:rPr>
            </w:pPr>
            <w:r>
              <w:rPr>
                <w:b/>
                <w:color w:val="404040"/>
                <w:sz w:val="16"/>
              </w:rPr>
              <w:t>Change due to Average Lifetime Cost</w:t>
            </w:r>
            <w:r>
              <w:rPr>
                <w:b/>
                <w:color w:val="404040"/>
                <w:position w:val="6"/>
                <w:sz w:val="10"/>
              </w:rPr>
              <w:t>2</w:t>
            </w:r>
          </w:p>
        </w:tc>
        <w:tc>
          <w:tcPr>
            <w:tcW w:w="1271" w:type="dxa"/>
            <w:tcBorders>
              <w:top w:val="single" w:sz="4" w:space="0" w:color="DF2F1E"/>
              <w:left w:val="single" w:sz="4" w:space="0" w:color="DF2F1E"/>
              <w:right w:val="single" w:sz="4" w:space="0" w:color="DF2F1E"/>
            </w:tcBorders>
          </w:tcPr>
          <w:p>
            <w:pPr>
              <w:pStyle w:val="TableParagraph"/>
              <w:ind w:left="15"/>
              <w:jc w:val="center"/>
              <w:rPr>
                <w:sz w:val="16"/>
              </w:rPr>
            </w:pPr>
            <w:r>
              <w:rPr>
                <w:color w:val="404040"/>
                <w:sz w:val="16"/>
              </w:rPr>
              <w:t>-$33k (-16.2%)</w:t>
            </w:r>
          </w:p>
        </w:tc>
        <w:tc>
          <w:tcPr>
            <w:tcW w:w="1247" w:type="dxa"/>
            <w:tcBorders>
              <w:top w:val="single" w:sz="4" w:space="0" w:color="DF2F1E"/>
              <w:left w:val="single" w:sz="4" w:space="0" w:color="DF2F1E"/>
            </w:tcBorders>
          </w:tcPr>
          <w:p>
            <w:pPr>
              <w:pStyle w:val="TableParagraph"/>
              <w:ind w:left="468"/>
              <w:rPr>
                <w:sz w:val="16"/>
              </w:rPr>
            </w:pPr>
            <w:r>
              <w:rPr>
                <w:color w:val="404040"/>
                <w:sz w:val="16"/>
              </w:rPr>
              <w:t>-$8k</w:t>
            </w:r>
          </w:p>
        </w:tc>
        <w:tc>
          <w:tcPr>
            <w:tcW w:w="1237" w:type="dxa"/>
            <w:tcBorders>
              <w:top w:val="single" w:sz="4" w:space="0" w:color="DF2F1E"/>
              <w:right w:val="dashSmallGap" w:sz="4" w:space="0" w:color="DF2F1E"/>
            </w:tcBorders>
          </w:tcPr>
          <w:p>
            <w:pPr>
              <w:pStyle w:val="TableParagraph"/>
              <w:ind w:left="400" w:right="390"/>
              <w:jc w:val="center"/>
              <w:rPr>
                <w:sz w:val="16"/>
              </w:rPr>
            </w:pPr>
            <w:r>
              <w:rPr>
                <w:color w:val="404040"/>
                <w:sz w:val="16"/>
              </w:rPr>
              <w:t>-$21k</w:t>
            </w:r>
          </w:p>
        </w:tc>
        <w:tc>
          <w:tcPr>
            <w:tcW w:w="1311" w:type="dxa"/>
            <w:tcBorders>
              <w:top w:val="single" w:sz="4" w:space="0" w:color="DF2F1E"/>
              <w:left w:val="dashSmallGap" w:sz="4" w:space="0" w:color="DF2F1E"/>
            </w:tcBorders>
          </w:tcPr>
          <w:p>
            <w:pPr>
              <w:pStyle w:val="TableParagraph"/>
              <w:ind w:left="457" w:right="454"/>
              <w:jc w:val="center"/>
              <w:rPr>
                <w:sz w:val="16"/>
              </w:rPr>
            </w:pPr>
            <w:r>
              <w:rPr>
                <w:color w:val="404040"/>
                <w:sz w:val="16"/>
              </w:rPr>
              <w:t>-$1k</w:t>
            </w:r>
          </w:p>
        </w:tc>
        <w:tc>
          <w:tcPr>
            <w:tcW w:w="1310" w:type="dxa"/>
            <w:tcBorders>
              <w:top w:val="single" w:sz="4" w:space="0" w:color="DF2F1E"/>
              <w:right w:val="single" w:sz="4" w:space="0" w:color="DF2F1E"/>
            </w:tcBorders>
          </w:tcPr>
          <w:p>
            <w:pPr>
              <w:pStyle w:val="TableParagraph"/>
              <w:ind w:right="488"/>
              <w:jc w:val="right"/>
              <w:rPr>
                <w:sz w:val="16"/>
              </w:rPr>
            </w:pPr>
            <w:r>
              <w:rPr>
                <w:color w:val="404040"/>
                <w:sz w:val="16"/>
              </w:rPr>
              <w:t>-$3k</w:t>
            </w:r>
          </w:p>
        </w:tc>
      </w:tr>
      <w:tr>
        <w:trPr>
          <w:trHeight w:val="263" w:hRule="atLeast"/>
        </w:trPr>
        <w:tc>
          <w:tcPr>
            <w:tcW w:w="3120" w:type="dxa"/>
            <w:tcBorders>
              <w:left w:val="single" w:sz="4" w:space="0" w:color="DF2F1E"/>
              <w:right w:val="single" w:sz="4" w:space="0" w:color="DF2F1E"/>
            </w:tcBorders>
          </w:tcPr>
          <w:p>
            <w:pPr>
              <w:pStyle w:val="TableParagraph"/>
              <w:spacing w:before="36"/>
              <w:ind w:left="57"/>
              <w:rPr>
                <w:b/>
                <w:sz w:val="16"/>
              </w:rPr>
            </w:pPr>
            <w:r>
              <w:rPr>
                <w:b/>
                <w:color w:val="404040"/>
                <w:sz w:val="16"/>
              </w:rPr>
              <w:t>- Impact of change in inflation</w:t>
            </w:r>
          </w:p>
        </w:tc>
        <w:tc>
          <w:tcPr>
            <w:tcW w:w="1271" w:type="dxa"/>
            <w:tcBorders>
              <w:left w:val="single" w:sz="4" w:space="0" w:color="DF2F1E"/>
              <w:right w:val="single" w:sz="4" w:space="0" w:color="DF2F1E"/>
            </w:tcBorders>
          </w:tcPr>
          <w:p>
            <w:pPr>
              <w:pStyle w:val="TableParagraph"/>
              <w:spacing w:before="39"/>
              <w:ind w:left="15"/>
              <w:jc w:val="center"/>
              <w:rPr>
                <w:sz w:val="16"/>
              </w:rPr>
            </w:pPr>
            <w:r>
              <w:rPr>
                <w:color w:val="404040"/>
                <w:sz w:val="16"/>
              </w:rPr>
              <w:t>+$5k</w:t>
            </w:r>
          </w:p>
        </w:tc>
        <w:tc>
          <w:tcPr>
            <w:tcW w:w="1247" w:type="dxa"/>
            <w:tcBorders>
              <w:left w:val="single" w:sz="4" w:space="0" w:color="DF2F1E"/>
            </w:tcBorders>
          </w:tcPr>
          <w:p>
            <w:pPr>
              <w:pStyle w:val="TableParagraph"/>
              <w:spacing w:before="39"/>
              <w:ind w:left="449"/>
              <w:rPr>
                <w:sz w:val="16"/>
              </w:rPr>
            </w:pPr>
            <w:r>
              <w:rPr>
                <w:color w:val="A6A6A6"/>
                <w:sz w:val="16"/>
              </w:rPr>
              <w:t>&lt;$1k</w:t>
            </w:r>
          </w:p>
        </w:tc>
        <w:tc>
          <w:tcPr>
            <w:tcW w:w="1237" w:type="dxa"/>
            <w:tcBorders>
              <w:right w:val="dashSmallGap" w:sz="4" w:space="0" w:color="DF2F1E"/>
            </w:tcBorders>
          </w:tcPr>
          <w:p>
            <w:pPr>
              <w:pStyle w:val="TableParagraph"/>
              <w:spacing w:before="39"/>
              <w:ind w:left="400" w:right="390"/>
              <w:jc w:val="center"/>
              <w:rPr>
                <w:sz w:val="16"/>
              </w:rPr>
            </w:pPr>
            <w:r>
              <w:rPr>
                <w:color w:val="404040"/>
                <w:sz w:val="16"/>
              </w:rPr>
              <w:t>+$3k</w:t>
            </w:r>
          </w:p>
        </w:tc>
        <w:tc>
          <w:tcPr>
            <w:tcW w:w="1311" w:type="dxa"/>
            <w:tcBorders>
              <w:left w:val="dashSmallGap" w:sz="4" w:space="0" w:color="DF2F1E"/>
            </w:tcBorders>
          </w:tcPr>
          <w:p>
            <w:pPr>
              <w:pStyle w:val="TableParagraph"/>
              <w:spacing w:before="39"/>
              <w:ind w:left="459" w:right="453"/>
              <w:jc w:val="center"/>
              <w:rPr>
                <w:sz w:val="16"/>
              </w:rPr>
            </w:pPr>
            <w:r>
              <w:rPr>
                <w:color w:val="A6A6A6"/>
                <w:sz w:val="16"/>
              </w:rPr>
              <w:t>&lt;$1k</w:t>
            </w:r>
          </w:p>
        </w:tc>
        <w:tc>
          <w:tcPr>
            <w:tcW w:w="1310" w:type="dxa"/>
            <w:tcBorders>
              <w:right w:val="single" w:sz="4" w:space="0" w:color="DF2F1E"/>
            </w:tcBorders>
          </w:tcPr>
          <w:p>
            <w:pPr>
              <w:pStyle w:val="TableParagraph"/>
              <w:spacing w:before="39"/>
              <w:ind w:right="467"/>
              <w:jc w:val="right"/>
              <w:rPr>
                <w:sz w:val="16"/>
              </w:rPr>
            </w:pPr>
            <w:r>
              <w:rPr>
                <w:color w:val="A6A6A6"/>
                <w:sz w:val="16"/>
              </w:rPr>
              <w:t>&lt;$1k</w:t>
            </w:r>
          </w:p>
        </w:tc>
      </w:tr>
      <w:tr>
        <w:trPr>
          <w:trHeight w:val="263" w:hRule="atLeast"/>
        </w:trPr>
        <w:tc>
          <w:tcPr>
            <w:tcW w:w="3120" w:type="dxa"/>
            <w:tcBorders>
              <w:left w:val="single" w:sz="4" w:space="0" w:color="DF2F1E"/>
              <w:right w:val="single" w:sz="4" w:space="0" w:color="DF2F1E"/>
            </w:tcBorders>
          </w:tcPr>
          <w:p>
            <w:pPr>
              <w:pStyle w:val="TableParagraph"/>
              <w:spacing w:before="36"/>
              <w:ind w:left="57"/>
              <w:rPr>
                <w:b/>
                <w:sz w:val="16"/>
              </w:rPr>
            </w:pPr>
            <w:r>
              <w:rPr>
                <w:b/>
                <w:color w:val="404040"/>
                <w:sz w:val="16"/>
              </w:rPr>
              <w:t>- Impact of policy changes</w:t>
            </w:r>
          </w:p>
        </w:tc>
        <w:tc>
          <w:tcPr>
            <w:tcW w:w="1271" w:type="dxa"/>
            <w:tcBorders>
              <w:left w:val="single" w:sz="4" w:space="0" w:color="DF2F1E"/>
              <w:right w:val="single" w:sz="4" w:space="0" w:color="DF2F1E"/>
            </w:tcBorders>
          </w:tcPr>
          <w:p>
            <w:pPr>
              <w:pStyle w:val="TableParagraph"/>
              <w:spacing w:before="39"/>
              <w:ind w:left="13"/>
              <w:jc w:val="center"/>
              <w:rPr>
                <w:sz w:val="16"/>
              </w:rPr>
            </w:pPr>
            <w:r>
              <w:rPr>
                <w:color w:val="404040"/>
                <w:sz w:val="16"/>
              </w:rPr>
              <w:t>-$5k</w:t>
            </w:r>
          </w:p>
        </w:tc>
        <w:tc>
          <w:tcPr>
            <w:tcW w:w="1247" w:type="dxa"/>
            <w:tcBorders>
              <w:left w:val="single" w:sz="4" w:space="0" w:color="DF2F1E"/>
            </w:tcBorders>
          </w:tcPr>
          <w:p>
            <w:pPr>
              <w:pStyle w:val="TableParagraph"/>
              <w:spacing w:before="39"/>
              <w:ind w:left="449"/>
              <w:rPr>
                <w:sz w:val="16"/>
              </w:rPr>
            </w:pPr>
            <w:r>
              <w:rPr>
                <w:color w:val="A6A6A6"/>
                <w:sz w:val="16"/>
              </w:rPr>
              <w:t>&lt;$1k</w:t>
            </w:r>
          </w:p>
        </w:tc>
        <w:tc>
          <w:tcPr>
            <w:tcW w:w="1237" w:type="dxa"/>
            <w:tcBorders>
              <w:right w:val="dashSmallGap" w:sz="4" w:space="0" w:color="DF2F1E"/>
            </w:tcBorders>
          </w:tcPr>
          <w:p>
            <w:pPr>
              <w:pStyle w:val="TableParagraph"/>
              <w:spacing w:before="39"/>
              <w:ind w:left="398" w:right="390"/>
              <w:jc w:val="center"/>
              <w:rPr>
                <w:sz w:val="16"/>
              </w:rPr>
            </w:pPr>
            <w:r>
              <w:rPr>
                <w:color w:val="404040"/>
                <w:sz w:val="16"/>
              </w:rPr>
              <w:t>-$5k</w:t>
            </w:r>
          </w:p>
        </w:tc>
        <w:tc>
          <w:tcPr>
            <w:tcW w:w="1311" w:type="dxa"/>
            <w:tcBorders>
              <w:left w:val="dashSmallGap" w:sz="4" w:space="0" w:color="DF2F1E"/>
            </w:tcBorders>
          </w:tcPr>
          <w:p>
            <w:pPr>
              <w:pStyle w:val="TableParagraph"/>
              <w:spacing w:before="39"/>
              <w:ind w:left="459" w:right="453"/>
              <w:jc w:val="center"/>
              <w:rPr>
                <w:sz w:val="16"/>
              </w:rPr>
            </w:pPr>
            <w:r>
              <w:rPr>
                <w:color w:val="A6A6A6"/>
                <w:sz w:val="16"/>
              </w:rPr>
              <w:t>&lt;$1k</w:t>
            </w:r>
          </w:p>
        </w:tc>
        <w:tc>
          <w:tcPr>
            <w:tcW w:w="1310" w:type="dxa"/>
            <w:tcBorders>
              <w:right w:val="single" w:sz="4" w:space="0" w:color="DF2F1E"/>
            </w:tcBorders>
          </w:tcPr>
          <w:p>
            <w:pPr>
              <w:pStyle w:val="TableParagraph"/>
              <w:spacing w:before="39"/>
              <w:ind w:right="467"/>
              <w:jc w:val="right"/>
              <w:rPr>
                <w:sz w:val="16"/>
              </w:rPr>
            </w:pPr>
            <w:r>
              <w:rPr>
                <w:color w:val="A6A6A6"/>
                <w:sz w:val="16"/>
              </w:rPr>
              <w:t>&lt;$1k</w:t>
            </w:r>
          </w:p>
        </w:tc>
      </w:tr>
      <w:tr>
        <w:trPr>
          <w:trHeight w:val="265" w:hRule="atLeast"/>
        </w:trPr>
        <w:tc>
          <w:tcPr>
            <w:tcW w:w="3120" w:type="dxa"/>
            <w:tcBorders>
              <w:left w:val="single" w:sz="4" w:space="0" w:color="DF2F1E"/>
              <w:bottom w:val="single" w:sz="4" w:space="0" w:color="DF2F1E"/>
              <w:right w:val="single" w:sz="4" w:space="0" w:color="DF2F1E"/>
            </w:tcBorders>
          </w:tcPr>
          <w:p>
            <w:pPr>
              <w:pStyle w:val="TableParagraph"/>
              <w:spacing w:before="36"/>
              <w:ind w:left="57"/>
              <w:rPr>
                <w:b/>
                <w:sz w:val="16"/>
              </w:rPr>
            </w:pPr>
            <w:r>
              <w:rPr>
                <w:b/>
                <w:color w:val="404040"/>
                <w:sz w:val="16"/>
              </w:rPr>
              <w:t>- Impact of other changes</w:t>
            </w:r>
          </w:p>
        </w:tc>
        <w:tc>
          <w:tcPr>
            <w:tcW w:w="1271" w:type="dxa"/>
            <w:tcBorders>
              <w:left w:val="single" w:sz="4" w:space="0" w:color="DF2F1E"/>
              <w:bottom w:val="single" w:sz="4" w:space="0" w:color="DF2F1E"/>
              <w:right w:val="single" w:sz="4" w:space="0" w:color="DF2F1E"/>
            </w:tcBorders>
          </w:tcPr>
          <w:p>
            <w:pPr>
              <w:pStyle w:val="TableParagraph"/>
              <w:spacing w:before="39"/>
              <w:ind w:left="10"/>
              <w:jc w:val="center"/>
              <w:rPr>
                <w:sz w:val="16"/>
              </w:rPr>
            </w:pPr>
            <w:r>
              <w:rPr>
                <w:color w:val="404040"/>
                <w:sz w:val="16"/>
              </w:rPr>
              <w:t>-$33k</w:t>
            </w:r>
          </w:p>
        </w:tc>
        <w:tc>
          <w:tcPr>
            <w:tcW w:w="1247" w:type="dxa"/>
            <w:tcBorders>
              <w:left w:val="single" w:sz="4" w:space="0" w:color="DF2F1E"/>
              <w:bottom w:val="single" w:sz="4" w:space="0" w:color="DF2F1E"/>
            </w:tcBorders>
          </w:tcPr>
          <w:p>
            <w:pPr>
              <w:pStyle w:val="TableParagraph"/>
              <w:spacing w:before="39"/>
              <w:ind w:left="468"/>
              <w:rPr>
                <w:sz w:val="16"/>
              </w:rPr>
            </w:pPr>
            <w:r>
              <w:rPr>
                <w:color w:val="404040"/>
                <w:sz w:val="16"/>
              </w:rPr>
              <w:t>-$9k</w:t>
            </w:r>
          </w:p>
        </w:tc>
        <w:tc>
          <w:tcPr>
            <w:tcW w:w="1237" w:type="dxa"/>
            <w:tcBorders>
              <w:bottom w:val="single" w:sz="4" w:space="0" w:color="DF2F1E"/>
              <w:right w:val="dashSmallGap" w:sz="4" w:space="0" w:color="DF2F1E"/>
            </w:tcBorders>
          </w:tcPr>
          <w:p>
            <w:pPr>
              <w:pStyle w:val="TableParagraph"/>
              <w:spacing w:before="39"/>
              <w:ind w:left="400" w:right="390"/>
              <w:jc w:val="center"/>
              <w:rPr>
                <w:sz w:val="16"/>
              </w:rPr>
            </w:pPr>
            <w:r>
              <w:rPr>
                <w:color w:val="404040"/>
                <w:sz w:val="16"/>
              </w:rPr>
              <w:t>-$20k</w:t>
            </w:r>
          </w:p>
        </w:tc>
        <w:tc>
          <w:tcPr>
            <w:tcW w:w="1311" w:type="dxa"/>
            <w:tcBorders>
              <w:left w:val="dashSmallGap" w:sz="4" w:space="0" w:color="DF2F1E"/>
              <w:bottom w:val="single" w:sz="4" w:space="0" w:color="DF2F1E"/>
            </w:tcBorders>
          </w:tcPr>
          <w:p>
            <w:pPr>
              <w:pStyle w:val="TableParagraph"/>
              <w:spacing w:before="39"/>
              <w:ind w:left="457" w:right="454"/>
              <w:jc w:val="center"/>
              <w:rPr>
                <w:sz w:val="16"/>
              </w:rPr>
            </w:pPr>
            <w:r>
              <w:rPr>
                <w:color w:val="404040"/>
                <w:sz w:val="16"/>
              </w:rPr>
              <w:t>-$2k</w:t>
            </w:r>
          </w:p>
        </w:tc>
        <w:tc>
          <w:tcPr>
            <w:tcW w:w="1310" w:type="dxa"/>
            <w:tcBorders>
              <w:bottom w:val="single" w:sz="4" w:space="0" w:color="DF2F1E"/>
              <w:right w:val="single" w:sz="4" w:space="0" w:color="DF2F1E"/>
            </w:tcBorders>
          </w:tcPr>
          <w:p>
            <w:pPr>
              <w:pStyle w:val="TableParagraph"/>
              <w:spacing w:before="39"/>
              <w:ind w:right="488"/>
              <w:jc w:val="right"/>
              <w:rPr>
                <w:sz w:val="16"/>
              </w:rPr>
            </w:pPr>
            <w:r>
              <w:rPr>
                <w:color w:val="404040"/>
                <w:sz w:val="16"/>
              </w:rPr>
              <w:t>-$3k</w:t>
            </w:r>
          </w:p>
        </w:tc>
      </w:tr>
    </w:tbl>
    <w:p>
      <w:pPr>
        <w:pStyle w:val="BodyText"/>
        <w:spacing w:before="119"/>
        <w:ind w:left="900"/>
      </w:pPr>
      <w:r>
        <w:rPr>
          <w:color w:val="404040"/>
        </w:rPr>
        <w:t>The decrease in average cost is driven by:</w:t>
      </w:r>
    </w:p>
    <w:p>
      <w:pPr>
        <w:pStyle w:val="ListParagraph"/>
        <w:numPr>
          <w:ilvl w:val="0"/>
          <w:numId w:val="79"/>
        </w:numPr>
        <w:tabs>
          <w:tab w:pos="1184" w:val="left" w:leader="none"/>
        </w:tabs>
        <w:spacing w:line="240" w:lineRule="auto" w:before="119" w:after="0"/>
        <w:ind w:left="1183" w:right="1044" w:hanging="284"/>
        <w:jc w:val="left"/>
        <w:rPr>
          <w:rFonts w:ascii="Symbol" w:hAnsi="Symbol"/>
          <w:sz w:val="20"/>
        </w:rPr>
      </w:pPr>
      <w:r>
        <w:rPr>
          <w:color w:val="404040"/>
          <w:sz w:val="20"/>
        </w:rPr>
        <w:t>a decrease of the projected use of pre-retirement income support, reflecting the recent experience where re- entrant numbers have been stable despite the class</w:t>
      </w:r>
      <w:r>
        <w:rPr>
          <w:color w:val="404040"/>
          <w:spacing w:val="-2"/>
          <w:sz w:val="20"/>
        </w:rPr>
        <w:t> </w:t>
      </w:r>
      <w:r>
        <w:rPr>
          <w:color w:val="404040"/>
          <w:sz w:val="20"/>
        </w:rPr>
        <w:t>growing;</w:t>
      </w:r>
    </w:p>
    <w:p>
      <w:pPr>
        <w:pStyle w:val="ListParagraph"/>
        <w:numPr>
          <w:ilvl w:val="0"/>
          <w:numId w:val="79"/>
        </w:numPr>
        <w:tabs>
          <w:tab w:pos="1184" w:val="left" w:leader="none"/>
        </w:tabs>
        <w:spacing w:line="240" w:lineRule="auto" w:before="118" w:after="0"/>
        <w:ind w:left="1183" w:right="0" w:hanging="284"/>
        <w:jc w:val="left"/>
        <w:rPr>
          <w:rFonts w:ascii="Symbol" w:hAnsi="Symbol"/>
          <w:sz w:val="20"/>
        </w:rPr>
      </w:pPr>
      <w:r>
        <w:rPr>
          <w:color w:val="404040"/>
          <w:sz w:val="20"/>
        </w:rPr>
        <w:t>a flow on decrease to the likelihood of subsequently transitioning to Age</w:t>
      </w:r>
      <w:r>
        <w:rPr>
          <w:color w:val="404040"/>
          <w:spacing w:val="-8"/>
          <w:sz w:val="20"/>
        </w:rPr>
        <w:t> </w:t>
      </w:r>
      <w:r>
        <w:rPr>
          <w:color w:val="404040"/>
          <w:sz w:val="20"/>
        </w:rPr>
        <w:t>Pension;</w:t>
      </w:r>
    </w:p>
    <w:p>
      <w:pPr>
        <w:pStyle w:val="ListParagraph"/>
        <w:numPr>
          <w:ilvl w:val="0"/>
          <w:numId w:val="79"/>
        </w:numPr>
        <w:tabs>
          <w:tab w:pos="1184" w:val="left" w:leader="none"/>
        </w:tabs>
        <w:spacing w:line="240" w:lineRule="auto" w:before="120" w:after="0"/>
        <w:ind w:left="1183" w:right="0" w:hanging="284"/>
        <w:jc w:val="left"/>
        <w:rPr>
          <w:rFonts w:ascii="Symbol" w:hAnsi="Symbol"/>
          <w:sz w:val="20"/>
        </w:rPr>
      </w:pPr>
      <w:r>
        <w:rPr>
          <w:color w:val="404040"/>
          <w:sz w:val="20"/>
        </w:rPr>
        <w:t>a further decrease in projected Age Pension use as a result of the change to the Age Pension forecast;</w:t>
      </w:r>
      <w:r>
        <w:rPr>
          <w:color w:val="404040"/>
          <w:spacing w:val="-19"/>
          <w:sz w:val="20"/>
        </w:rPr>
        <w:t> </w:t>
      </w:r>
      <w:r>
        <w:rPr>
          <w:color w:val="404040"/>
          <w:sz w:val="20"/>
        </w:rPr>
        <w:t>and</w:t>
      </w:r>
    </w:p>
    <w:p>
      <w:pPr>
        <w:pStyle w:val="ListParagraph"/>
        <w:numPr>
          <w:ilvl w:val="0"/>
          <w:numId w:val="79"/>
        </w:numPr>
        <w:tabs>
          <w:tab w:pos="1184" w:val="left" w:leader="none"/>
        </w:tabs>
        <w:spacing w:line="240" w:lineRule="auto" w:before="117" w:after="0"/>
        <w:ind w:left="1183" w:right="1133" w:hanging="284"/>
        <w:jc w:val="left"/>
        <w:rPr>
          <w:rFonts w:ascii="Symbol" w:hAnsi="Symbol"/>
          <w:sz w:val="20"/>
        </w:rPr>
      </w:pPr>
      <w:r>
        <w:rPr>
          <w:color w:val="404040"/>
          <w:sz w:val="20"/>
        </w:rPr>
        <w:t>a</w:t>
      </w:r>
      <w:r>
        <w:rPr>
          <w:color w:val="404040"/>
          <w:spacing w:val="-4"/>
          <w:sz w:val="20"/>
        </w:rPr>
        <w:t> </w:t>
      </w:r>
      <w:r>
        <w:rPr>
          <w:color w:val="404040"/>
          <w:sz w:val="20"/>
        </w:rPr>
        <w:t>decrease</w:t>
      </w:r>
      <w:r>
        <w:rPr>
          <w:color w:val="404040"/>
          <w:spacing w:val="-2"/>
          <w:sz w:val="20"/>
        </w:rPr>
        <w:t> </w:t>
      </w:r>
      <w:r>
        <w:rPr>
          <w:color w:val="404040"/>
          <w:sz w:val="20"/>
        </w:rPr>
        <w:t>in</w:t>
      </w:r>
      <w:r>
        <w:rPr>
          <w:color w:val="404040"/>
          <w:spacing w:val="-1"/>
          <w:sz w:val="20"/>
        </w:rPr>
        <w:t> </w:t>
      </w:r>
      <w:r>
        <w:rPr>
          <w:color w:val="404040"/>
          <w:sz w:val="20"/>
        </w:rPr>
        <w:t>the</w:t>
      </w:r>
      <w:r>
        <w:rPr>
          <w:color w:val="404040"/>
          <w:spacing w:val="-2"/>
          <w:sz w:val="20"/>
        </w:rPr>
        <w:t> </w:t>
      </w:r>
      <w:r>
        <w:rPr>
          <w:color w:val="404040"/>
          <w:sz w:val="20"/>
        </w:rPr>
        <w:t>projected</w:t>
      </w:r>
      <w:r>
        <w:rPr>
          <w:color w:val="404040"/>
          <w:spacing w:val="-2"/>
          <w:sz w:val="20"/>
        </w:rPr>
        <w:t> </w:t>
      </w:r>
      <w:r>
        <w:rPr>
          <w:color w:val="404040"/>
          <w:sz w:val="20"/>
        </w:rPr>
        <w:t>utilisation</w:t>
      </w:r>
      <w:r>
        <w:rPr>
          <w:color w:val="404040"/>
          <w:spacing w:val="-3"/>
          <w:sz w:val="20"/>
        </w:rPr>
        <w:t> </w:t>
      </w:r>
      <w:r>
        <w:rPr>
          <w:color w:val="404040"/>
          <w:sz w:val="20"/>
        </w:rPr>
        <w:t>of</w:t>
      </w:r>
      <w:r>
        <w:rPr>
          <w:color w:val="404040"/>
          <w:spacing w:val="-2"/>
          <w:sz w:val="20"/>
        </w:rPr>
        <w:t> </w:t>
      </w:r>
      <w:r>
        <w:rPr>
          <w:color w:val="404040"/>
          <w:sz w:val="20"/>
        </w:rPr>
        <w:t>both</w:t>
      </w:r>
      <w:r>
        <w:rPr>
          <w:color w:val="404040"/>
          <w:spacing w:val="-3"/>
          <w:sz w:val="20"/>
        </w:rPr>
        <w:t> </w:t>
      </w:r>
      <w:r>
        <w:rPr>
          <w:color w:val="404040"/>
          <w:sz w:val="20"/>
        </w:rPr>
        <w:t>family</w:t>
      </w:r>
      <w:r>
        <w:rPr>
          <w:color w:val="404040"/>
          <w:spacing w:val="-7"/>
          <w:sz w:val="20"/>
        </w:rPr>
        <w:t> </w:t>
      </w:r>
      <w:r>
        <w:rPr>
          <w:color w:val="404040"/>
          <w:sz w:val="20"/>
        </w:rPr>
        <w:t>supplements</w:t>
      </w:r>
      <w:r>
        <w:rPr>
          <w:color w:val="404040"/>
          <w:spacing w:val="-2"/>
          <w:sz w:val="20"/>
        </w:rPr>
        <w:t> </w:t>
      </w:r>
      <w:r>
        <w:rPr>
          <w:color w:val="404040"/>
          <w:sz w:val="20"/>
        </w:rPr>
        <w:t>and</w:t>
      </w:r>
      <w:r>
        <w:rPr>
          <w:color w:val="404040"/>
          <w:spacing w:val="-4"/>
          <w:sz w:val="20"/>
        </w:rPr>
        <w:t> </w:t>
      </w:r>
      <w:r>
        <w:rPr>
          <w:color w:val="404040"/>
          <w:sz w:val="20"/>
        </w:rPr>
        <w:t>other</w:t>
      </w:r>
      <w:r>
        <w:rPr>
          <w:color w:val="404040"/>
          <w:spacing w:val="-2"/>
          <w:sz w:val="20"/>
        </w:rPr>
        <w:t> </w:t>
      </w:r>
      <w:r>
        <w:rPr>
          <w:color w:val="404040"/>
          <w:sz w:val="20"/>
        </w:rPr>
        <w:t>supplements,</w:t>
      </w:r>
      <w:r>
        <w:rPr>
          <w:color w:val="404040"/>
          <w:spacing w:val="-4"/>
          <w:sz w:val="20"/>
        </w:rPr>
        <w:t> </w:t>
      </w:r>
      <w:r>
        <w:rPr>
          <w:color w:val="404040"/>
          <w:sz w:val="20"/>
        </w:rPr>
        <w:t>in</w:t>
      </w:r>
      <w:r>
        <w:rPr>
          <w:color w:val="404040"/>
          <w:spacing w:val="-3"/>
          <w:sz w:val="20"/>
        </w:rPr>
        <w:t> </w:t>
      </w:r>
      <w:r>
        <w:rPr>
          <w:color w:val="404040"/>
          <w:sz w:val="20"/>
        </w:rPr>
        <w:t>part</w:t>
      </w:r>
      <w:r>
        <w:rPr>
          <w:color w:val="404040"/>
          <w:spacing w:val="-2"/>
          <w:sz w:val="20"/>
        </w:rPr>
        <w:t> </w:t>
      </w:r>
      <w:r>
        <w:rPr>
          <w:color w:val="404040"/>
          <w:sz w:val="20"/>
        </w:rPr>
        <w:t>as</w:t>
      </w:r>
      <w:r>
        <w:rPr>
          <w:color w:val="404040"/>
          <w:spacing w:val="-3"/>
          <w:sz w:val="20"/>
        </w:rPr>
        <w:t> </w:t>
      </w:r>
      <w:r>
        <w:rPr>
          <w:color w:val="404040"/>
          <w:sz w:val="20"/>
        </w:rPr>
        <w:t>a</w:t>
      </w:r>
      <w:r>
        <w:rPr>
          <w:color w:val="404040"/>
          <w:spacing w:val="-3"/>
          <w:sz w:val="20"/>
        </w:rPr>
        <w:t> </w:t>
      </w:r>
      <w:r>
        <w:rPr>
          <w:color w:val="404040"/>
          <w:sz w:val="20"/>
        </w:rPr>
        <w:t>result of a decrease in projected</w:t>
      </w:r>
      <w:r>
        <w:rPr>
          <w:color w:val="404040"/>
          <w:spacing w:val="2"/>
          <w:sz w:val="20"/>
        </w:rPr>
        <w:t> </w:t>
      </w:r>
      <w:r>
        <w:rPr>
          <w:color w:val="404040"/>
          <w:sz w:val="20"/>
        </w:rPr>
        <w:t>entries.</w:t>
      </w:r>
    </w:p>
    <w:p>
      <w:pPr>
        <w:pStyle w:val="BodyText"/>
        <w:spacing w:before="119"/>
        <w:ind w:left="900"/>
      </w:pPr>
      <w:r>
        <w:rPr>
          <w:color w:val="404040"/>
        </w:rPr>
        <w:t>These decreases have been mostly offset by an increase in the cost of future payments as a result of inflation.</w:t>
      </w:r>
    </w:p>
    <w:p>
      <w:pPr>
        <w:spacing w:after="0"/>
        <w:sectPr>
          <w:pgSz w:w="11910" w:h="16850"/>
          <w:pgMar w:header="572" w:footer="581" w:top="780" w:bottom="780" w:left="120" w:right="0"/>
        </w:sectPr>
      </w:pPr>
    </w:p>
    <w:p>
      <w:pPr>
        <w:pStyle w:val="BodyText"/>
      </w:pPr>
    </w:p>
    <w:p>
      <w:pPr>
        <w:pStyle w:val="BodyText"/>
      </w:pPr>
    </w:p>
    <w:p>
      <w:pPr>
        <w:pStyle w:val="BodyText"/>
        <w:spacing w:before="7"/>
        <w:rPr>
          <w:sz w:val="21"/>
        </w:rPr>
      </w:pPr>
    </w:p>
    <w:p>
      <w:pPr>
        <w:pStyle w:val="Heading6"/>
        <w:spacing w:before="94"/>
        <w:rPr>
          <w:i/>
        </w:rPr>
      </w:pPr>
      <w:r>
        <w:rPr>
          <w:i/>
          <w:color w:val="DF2F1E"/>
        </w:rPr>
        <w:t>Future outcomes</w:t>
      </w:r>
    </w:p>
    <w:p>
      <w:pPr>
        <w:pStyle w:val="BodyText"/>
        <w:spacing w:before="121"/>
        <w:ind w:left="900" w:right="1197"/>
      </w:pPr>
      <w:r>
        <w:rPr>
          <w:color w:val="404040"/>
        </w:rPr>
        <w:t>In developing the valuation results the projection model also produces information on the expected transitions for people out of each class, as shown below.</w:t>
      </w:r>
    </w:p>
    <w:p>
      <w:pPr>
        <w:pStyle w:val="Heading9"/>
        <w:spacing w:before="176"/>
      </w:pPr>
      <w:r>
        <w:rPr>
          <w:color w:val="DF2F1E"/>
        </w:rPr>
        <w:t>Figure 101: Expected future trajectory for people in class 10</w:t>
      </w:r>
    </w:p>
    <w:p>
      <w:pPr>
        <w:spacing w:after="0"/>
        <w:sectPr>
          <w:pgSz w:w="11910" w:h="16850"/>
          <w:pgMar w:header="572" w:footer="581" w:top="780" w:bottom="780" w:left="120" w:right="0"/>
        </w:sectPr>
      </w:pPr>
    </w:p>
    <w:p>
      <w:pPr>
        <w:pStyle w:val="BodyText"/>
        <w:spacing w:before="11"/>
        <w:rPr>
          <w:b/>
          <w:sz w:val="13"/>
        </w:rPr>
      </w:pPr>
    </w:p>
    <w:p>
      <w:pPr>
        <w:spacing w:before="0"/>
        <w:ind w:left="0" w:right="979" w:firstLine="0"/>
        <w:jc w:val="right"/>
        <w:rPr>
          <w:rFonts w:ascii="Calibri"/>
          <w:sz w:val="15"/>
        </w:rPr>
      </w:pPr>
      <w:r>
        <w:rPr/>
        <w:pict>
          <v:group style="position:absolute;margin-left:108.279747pt;margin-top:4.413884pt;width:246pt;height:118.5pt;mso-position-horizontal-relative:page;mso-position-vertical-relative:paragraph;z-index:252779520" coordorigin="2166,88" coordsize="4920,2370">
            <v:shape style="position:absolute;left:2213;top:94;width:4854;height:2317" coordorigin="2213,94" coordsize="4854,2317" path="m7067,2411l2213,2411,2213,94,2379,247,2545,353,2700,412,3032,506,3186,553,3352,588,3507,623,3839,694,3993,729,4159,753,4326,788,4480,811,4646,847,4800,870,5133,917,5287,953,5619,1000,5773,1035,5940,1058,6106,1094,6260,1117,6426,1152,6580,1188,6747,1223,6913,1247,7067,1282,7067,2411xe" filled="true" fillcolor="#ffd600" stroked="false">
              <v:path arrowok="t"/>
              <v:fill type="solid"/>
            </v:shape>
            <v:shape style="position:absolute;left:2213;top:94;width:4854;height:2317" coordorigin="2213,94" coordsize="4854,2317" path="m2213,94l2379,247,2545,353,2700,412,2866,459,3032,506,3186,553,3352,588,3507,623,3673,659,3839,694,3993,729,4159,753,4326,788,4480,811,4646,847,4800,870,4966,894,5133,917,5287,953,5453,976,5619,1000,5773,1035,5940,1058,6106,1094,6260,1117,6426,1152,6580,1188,6747,1223,6913,1247,7067,1282,7067,2411,6913,2411,6747,2411,2213,2411,2213,94xe" filled="false" stroked="true" strokeweight=".588965pt" strokecolor="#ffd600">
              <v:path arrowok="t"/>
              <v:stroke dashstyle="solid"/>
            </v:shape>
            <v:shape style="position:absolute;left:2207;top:88;width:4866;height:1200" type="#_x0000_t75" stroked="false">
              <v:imagedata r:id="rId220" o:title=""/>
            </v:shape>
            <v:shape style="position:absolute;left:2213;top:94;width:4854;height:412" coordorigin="2213,94" coordsize="4854,412" path="m3839,165l2866,165,2700,153,2379,153,2213,94,2379,94,2545,106,2700,106,2866,118,3032,118,3352,141,3507,141,3839,165xm4480,200l3993,200,3839,188,3507,188,3352,176,3186,176,3032,165,3993,165,4480,200xm6106,341l5940,329,5773,306,4480,212,4326,212,4159,200,4646,200,5133,235,5287,259,5773,294,6106,341xm6580,412l6426,388,6260,365,6426,376,6580,412xm7067,506l6913,470,6747,435,6913,459,7067,494,7067,506xe" filled="true" fillcolor="#938953" stroked="false">
              <v:path arrowok="t"/>
              <v:fill type="solid"/>
            </v:shape>
            <v:shape style="position:absolute;left:2213;top:94;width:4854;height:412" coordorigin="2213,94" coordsize="4854,412" path="m2213,94l2379,94,2545,106,2700,106,2866,118,3032,118,3186,129,3352,141,3507,141,3673,153,3839,165,3993,165,4159,176,4326,188,4480,200,4646,200,4800,212,4966,224,5133,235,5287,259,5453,271,5619,282,5773,294,5940,318,6106,341,6260,365,6426,376,6580,412,6747,435,6913,459,7067,494,7067,506,6913,470,6747,435,6580,412,6426,388,6260,365,6106,341,5940,329,5773,306,5619,294,5453,282,5287,271,5133,259,4966,247,4800,235,4646,224,4480,212,4326,212,4159,200,3993,200,3839,188,3673,188,3507,188,3352,176,3186,176,3032,165,2866,165,2700,153,2545,153,2379,153,2213,94xe" filled="false" stroked="true" strokeweight=".588001pt" strokecolor="#938953">
              <v:path arrowok="t"/>
              <v:stroke dashstyle="solid"/>
            </v:shape>
            <v:shape style="position:absolute;left:2379;top:94;width:4688;height:400" coordorigin="2379,94" coordsize="4688,400" path="m7067,494l6913,459,6580,412,6426,376,6260,365,6106,341,5773,294,5287,259,5133,235,4646,200,4480,200,3993,165,3839,165,3507,141,3352,141,3032,118,2866,118,2700,106,2545,106,2379,94,7067,94,7067,494xe" filled="true" fillcolor="#000000" stroked="false">
              <v:path arrowok="t"/>
              <v:fill type="solid"/>
            </v:shape>
            <v:shape style="position:absolute;left:2213;top:94;width:4854;height:400" coordorigin="2213,94" coordsize="4854,400" path="m2213,94l2213,94,7067,94,7067,494,6913,459,6747,435,6580,412,6426,376,6260,365,6106,341,5940,318,5773,294,5619,282,5453,271,5287,259,5133,235,4966,224,4800,212,4646,200,4480,200,4326,188,4159,176,3993,165,3839,165,3673,153,3507,141,3352,141,3186,129,3032,118,2866,118,2700,106,2545,106,2379,94,2213,94xe" filled="false" stroked="true" strokeweight=".587999pt" strokecolor="#000000">
              <v:path arrowok="t"/>
              <v:stroke dashstyle="solid"/>
            </v:shape>
            <v:line style="position:absolute" from="2213,2411" to="2213,94" stroked="true" strokeweight=".593391pt" strokecolor="#858585">
              <v:stroke dashstyle="solid"/>
            </v:line>
            <v:shape style="position:absolute;left:0;top:13853;width:13138;height:647044" coordorigin="0,13854" coordsize="13138,647044" path="m2166,2411l2213,2411m2166,2176l2213,2176m2166,1940l2213,1940m2166,1717l2213,1717m2166,1482l2213,1482m2166,1247l2213,1247m2166,1023l2213,1023m2166,788l2213,788m2166,553l2213,553m2166,329l2213,329m2166,94l2213,94e" filled="false" stroked="true" strokeweight=".590673pt" strokecolor="#858585">
              <v:path arrowok="t"/>
              <v:stroke dashstyle="solid"/>
            </v:shape>
            <v:shape style="position:absolute;left:0;top:7450;width:654744;height:6404" coordorigin="0,7450" coordsize="654744,6404" path="m2213,2411l7067,2411m2213,2411l2213,2458m2379,2411l2379,2458m2545,2411l2545,2458m2700,2411l2700,2458m2866,2411l2866,2458m3032,2411l3032,2458m3186,2411l3186,2458m3352,2411l3352,2458m3507,2411l3507,2458m3673,2411l3673,2458m3839,2411l3839,2458m3993,2411l3993,2458m4159,2411l4159,2458m4326,2411l4326,2458m4480,2411l4480,2458m4646,2411l4646,2458m4800,2411l4800,2458m4966,2411l4966,2458m5133,2411l5133,2458m5287,2411l5287,2458m5453,2411l5453,2458m5619,2411l5619,2458m5773,2411l5773,2458m5940,2411l5940,2458m6106,2411l6106,2458m6260,2411l6260,2458m6426,2411l6426,2458m6580,2411l6580,2458m6747,2411l6747,2458m6913,2411l6913,2458m7067,2411l7067,2458e" filled="false" stroked="true" strokeweight=".590674pt" strokecolor="#858585">
              <v:path arrowok="t"/>
              <v:stroke dashstyle="solid"/>
            </v:shape>
            <v:shape style="position:absolute;left:2219;top:100;width:4854;height:1341" coordorigin="2219,100" coordsize="4854,1341" path="m2219,100l2385,276,2539,394,2706,453,2860,512,3026,559,3192,606,3346,641,3513,688,3679,723,3833,770,3999,806,4153,841,4320,888,4486,923,4640,958,4806,994,4972,1017,5127,1053,5293,1088,5447,1123,5613,1158,5779,1182,5934,1217,6100,1252,6266,1276,6420,1311,6586,1347,6752,1382,6907,1417,7073,1441e" filled="false" stroked="true" strokeweight="1.176691pt" strokecolor="#ffffff">
              <v:path arrowok="t"/>
              <v:stroke dashstyle="dot"/>
            </v:shape>
            <v:shape style="position:absolute;left:2219;top:100;width:4854;height:389" coordorigin="2219,100" coordsize="4854,389" path="m2219,100l2385,100,2539,100,2706,112,2860,112,3026,124,3192,135,3346,135,3513,147,3679,147,3833,159,3999,171,4153,182,4320,182,4486,194,4640,206,4806,218,4972,229,5127,241,5293,253,5447,265,5613,276,5779,300,5934,312,6100,335,6266,359,6420,382,6586,406,6752,429,6907,453,7073,488e" filled="false" stroked="true" strokeweight="1.175994pt" strokecolor="#ffffff">
              <v:path arrowok="t"/>
              <v:stroke dashstyle="longdash"/>
            </v:shape>
            <w10:wrap type="none"/>
          </v:group>
        </w:pict>
      </w:r>
      <w:r>
        <w:rPr>
          <w:rFonts w:ascii="Calibri"/>
          <w:sz w:val="15"/>
        </w:rPr>
        <w:t>100%</w:t>
      </w:r>
    </w:p>
    <w:p>
      <w:pPr>
        <w:spacing w:before="48"/>
        <w:ind w:left="0" w:right="970" w:firstLine="0"/>
        <w:jc w:val="right"/>
        <w:rPr>
          <w:rFonts w:ascii="Calibri"/>
          <w:sz w:val="15"/>
        </w:rPr>
      </w:pPr>
      <w:r>
        <w:rPr/>
        <w:pict>
          <v:shape style="position:absolute;margin-left:74.786102pt;margin-top:8.235284pt;width:9.75pt;height:90.35pt;mso-position-horizontal-relative:page;mso-position-vertical-relative:paragraph;z-index:252781568" type="#_x0000_t202" filled="false" stroked="false">
            <v:textbox inset="0,0,0,0" style="layout-flow:vertical;mso-layout-flow-alt:bottom-to-top">
              <w:txbxContent>
                <w:p>
                  <w:pPr>
                    <w:spacing w:line="176" w:lineRule="exact" w:before="0"/>
                    <w:ind w:left="20" w:right="0" w:firstLine="0"/>
                    <w:jc w:val="left"/>
                    <w:rPr>
                      <w:rFonts w:ascii="Calibri"/>
                      <w:b/>
                      <w:sz w:val="15"/>
                    </w:rPr>
                  </w:pPr>
                  <w:r>
                    <w:rPr>
                      <w:rFonts w:ascii="Calibri"/>
                      <w:b/>
                      <w:sz w:val="15"/>
                    </w:rPr>
                    <w:t>Proportion In Welfare Class</w:t>
                  </w:r>
                </w:p>
              </w:txbxContent>
            </v:textbox>
            <w10:wrap type="none"/>
          </v:shape>
        </w:pict>
      </w:r>
      <w:r>
        <w:rPr>
          <w:rFonts w:ascii="Calibri"/>
          <w:spacing w:val="2"/>
          <w:sz w:val="15"/>
        </w:rPr>
        <w:t>90%</w:t>
      </w:r>
    </w:p>
    <w:p>
      <w:pPr>
        <w:spacing w:before="49"/>
        <w:ind w:left="0" w:right="970" w:firstLine="0"/>
        <w:jc w:val="right"/>
        <w:rPr>
          <w:rFonts w:ascii="Calibri"/>
          <w:sz w:val="15"/>
        </w:rPr>
      </w:pPr>
      <w:r>
        <w:rPr>
          <w:rFonts w:ascii="Calibri"/>
          <w:spacing w:val="2"/>
          <w:sz w:val="15"/>
        </w:rPr>
        <w:t>80%</w:t>
      </w:r>
    </w:p>
    <w:p>
      <w:pPr>
        <w:spacing w:before="48"/>
        <w:ind w:left="0" w:right="970" w:firstLine="0"/>
        <w:jc w:val="right"/>
        <w:rPr>
          <w:rFonts w:ascii="Calibri"/>
          <w:sz w:val="15"/>
        </w:rPr>
      </w:pPr>
      <w:r>
        <w:rPr>
          <w:rFonts w:ascii="Calibri"/>
          <w:spacing w:val="2"/>
          <w:sz w:val="15"/>
        </w:rPr>
        <w:t>70%</w:t>
      </w:r>
    </w:p>
    <w:p>
      <w:pPr>
        <w:spacing w:before="48"/>
        <w:ind w:left="0" w:right="970" w:firstLine="0"/>
        <w:jc w:val="right"/>
        <w:rPr>
          <w:rFonts w:ascii="Calibri"/>
          <w:sz w:val="15"/>
        </w:rPr>
      </w:pPr>
      <w:r>
        <w:rPr>
          <w:rFonts w:ascii="Calibri"/>
          <w:spacing w:val="2"/>
          <w:sz w:val="15"/>
        </w:rPr>
        <w:t>60%</w:t>
      </w:r>
    </w:p>
    <w:p>
      <w:pPr>
        <w:spacing w:before="49"/>
        <w:ind w:left="0" w:right="970" w:firstLine="0"/>
        <w:jc w:val="right"/>
        <w:rPr>
          <w:rFonts w:ascii="Calibri"/>
          <w:sz w:val="15"/>
        </w:rPr>
      </w:pPr>
      <w:r>
        <w:rPr>
          <w:rFonts w:ascii="Calibri"/>
          <w:spacing w:val="2"/>
          <w:sz w:val="15"/>
        </w:rPr>
        <w:t>50%</w:t>
      </w:r>
    </w:p>
    <w:p>
      <w:pPr>
        <w:spacing w:before="48"/>
        <w:ind w:left="0" w:right="970" w:firstLine="0"/>
        <w:jc w:val="right"/>
        <w:rPr>
          <w:rFonts w:ascii="Calibri"/>
          <w:sz w:val="15"/>
        </w:rPr>
      </w:pPr>
      <w:r>
        <w:rPr>
          <w:rFonts w:ascii="Calibri"/>
          <w:spacing w:val="2"/>
          <w:sz w:val="15"/>
        </w:rPr>
        <w:t>40%</w:t>
      </w:r>
    </w:p>
    <w:p>
      <w:pPr>
        <w:spacing w:before="49"/>
        <w:ind w:left="0" w:right="970" w:firstLine="0"/>
        <w:jc w:val="right"/>
        <w:rPr>
          <w:rFonts w:ascii="Calibri"/>
          <w:sz w:val="15"/>
        </w:rPr>
      </w:pPr>
      <w:r>
        <w:rPr>
          <w:rFonts w:ascii="Calibri"/>
          <w:spacing w:val="2"/>
          <w:sz w:val="15"/>
        </w:rPr>
        <w:t>30%</w:t>
      </w:r>
    </w:p>
    <w:p>
      <w:pPr>
        <w:spacing w:before="48"/>
        <w:ind w:left="0" w:right="970" w:firstLine="0"/>
        <w:jc w:val="right"/>
        <w:rPr>
          <w:rFonts w:ascii="Calibri"/>
          <w:sz w:val="15"/>
        </w:rPr>
      </w:pPr>
      <w:r>
        <w:rPr>
          <w:rFonts w:ascii="Calibri"/>
          <w:spacing w:val="2"/>
          <w:sz w:val="15"/>
        </w:rPr>
        <w:t>20%</w:t>
      </w:r>
    </w:p>
    <w:p>
      <w:pPr>
        <w:spacing w:before="48"/>
        <w:ind w:left="0" w:right="970" w:firstLine="0"/>
        <w:jc w:val="right"/>
        <w:rPr>
          <w:rFonts w:ascii="Calibri"/>
          <w:sz w:val="15"/>
        </w:rPr>
      </w:pPr>
      <w:r>
        <w:rPr>
          <w:rFonts w:ascii="Calibri"/>
          <w:spacing w:val="2"/>
          <w:sz w:val="15"/>
        </w:rPr>
        <w:t>10%</w:t>
      </w:r>
    </w:p>
    <w:p>
      <w:pPr>
        <w:spacing w:before="49"/>
        <w:ind w:left="0" w:right="973" w:firstLine="0"/>
        <w:jc w:val="right"/>
        <w:rPr>
          <w:rFonts w:ascii="Calibri"/>
          <w:sz w:val="15"/>
        </w:rPr>
      </w:pPr>
      <w:r>
        <w:rPr>
          <w:rFonts w:ascii="Calibri"/>
          <w:w w:val="105"/>
          <w:sz w:val="15"/>
        </w:rPr>
        <w:t>0%</w:t>
      </w:r>
    </w:p>
    <w:p>
      <w:pPr>
        <w:pStyle w:val="BodyText"/>
        <w:spacing w:before="8"/>
        <w:rPr>
          <w:rFonts w:ascii="Calibri"/>
          <w:sz w:val="5"/>
        </w:rPr>
      </w:pPr>
    </w:p>
    <w:p>
      <w:pPr>
        <w:pStyle w:val="BodyText"/>
        <w:tabs>
          <w:tab w:pos="2665" w:val="left" w:leader="none"/>
        </w:tabs>
        <w:ind w:left="1856" w:right="-44"/>
        <w:rPr>
          <w:rFonts w:ascii="Calibri"/>
        </w:rPr>
      </w:pPr>
      <w:r>
        <w:rPr>
          <w:rFonts w:ascii="Calibri"/>
        </w:rPr>
        <w:drawing>
          <wp:inline distT="0" distB="0" distL="0" distR="0">
            <wp:extent cx="166648" cy="168021"/>
            <wp:effectExtent l="0" t="0" r="0" b="0"/>
            <wp:docPr id="359" name="image179.png"/>
            <wp:cNvGraphicFramePr>
              <a:graphicFrameLocks noChangeAspect="1"/>
            </wp:cNvGraphicFramePr>
            <a:graphic>
              <a:graphicData uri="http://schemas.openxmlformats.org/drawingml/2006/picture">
                <pic:pic>
                  <pic:nvPicPr>
                    <pic:cNvPr id="360" name="image179.png"/>
                    <pic:cNvPicPr/>
                  </pic:nvPicPr>
                  <pic:blipFill>
                    <a:blip r:embed="rId221" cstate="print"/>
                    <a:stretch>
                      <a:fillRect/>
                    </a:stretch>
                  </pic:blipFill>
                  <pic:spPr>
                    <a:xfrm>
                      <a:off x="0" y="0"/>
                      <a:ext cx="166648" cy="168021"/>
                    </a:xfrm>
                    <a:prstGeom prst="rect">
                      <a:avLst/>
                    </a:prstGeom>
                  </pic:spPr>
                </pic:pic>
              </a:graphicData>
            </a:graphic>
          </wp:inline>
        </w:drawing>
      </w:r>
      <w:r>
        <w:rPr>
          <w:rFonts w:ascii="Calibri"/>
        </w:rPr>
      </w:r>
      <w:r>
        <w:rPr>
          <w:rFonts w:ascii="Calibri"/>
        </w:rPr>
        <w:tab/>
      </w:r>
      <w:r>
        <w:rPr>
          <w:rFonts w:ascii="Calibri"/>
        </w:rPr>
        <w:drawing>
          <wp:inline distT="0" distB="0" distL="0" distR="0">
            <wp:extent cx="165121" cy="166687"/>
            <wp:effectExtent l="0" t="0" r="0" b="0"/>
            <wp:docPr id="361" name="image180.png"/>
            <wp:cNvGraphicFramePr>
              <a:graphicFrameLocks noChangeAspect="1"/>
            </wp:cNvGraphicFramePr>
            <a:graphic>
              <a:graphicData uri="http://schemas.openxmlformats.org/drawingml/2006/picture">
                <pic:pic>
                  <pic:nvPicPr>
                    <pic:cNvPr id="362" name="image180.png"/>
                    <pic:cNvPicPr/>
                  </pic:nvPicPr>
                  <pic:blipFill>
                    <a:blip r:embed="rId222" cstate="print"/>
                    <a:stretch>
                      <a:fillRect/>
                    </a:stretch>
                  </pic:blipFill>
                  <pic:spPr>
                    <a:xfrm>
                      <a:off x="0" y="0"/>
                      <a:ext cx="165121" cy="166687"/>
                    </a:xfrm>
                    <a:prstGeom prst="rect">
                      <a:avLst/>
                    </a:prstGeom>
                  </pic:spPr>
                </pic:pic>
              </a:graphicData>
            </a:graphic>
          </wp:inline>
        </w:drawing>
      </w:r>
      <w:r>
        <w:rPr>
          <w:rFonts w:ascii="Calibri"/>
        </w:rPr>
      </w:r>
    </w:p>
    <w:p>
      <w:pPr>
        <w:pStyle w:val="BodyText"/>
        <w:rPr>
          <w:rFonts w:ascii="Calibri"/>
        </w:rPr>
      </w:pPr>
      <w:r>
        <w:rPr/>
        <w:br w:type="column"/>
      </w:r>
      <w:r>
        <w:rPr>
          <w:rFonts w:ascii="Calibri"/>
        </w:rPr>
      </w: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spacing w:before="3"/>
        <w:rPr>
          <w:rFonts w:ascii="Calibri"/>
        </w:rPr>
      </w:pPr>
      <w:r>
        <w:rPr/>
        <w:drawing>
          <wp:anchor distT="0" distB="0" distL="0" distR="0" allowOverlap="1" layoutInCell="1" locked="0" behindDoc="0" simplePos="0" relativeHeight="1090">
            <wp:simplePos x="0" y="0"/>
            <wp:positionH relativeFrom="page">
              <wp:posOffset>2282135</wp:posOffset>
            </wp:positionH>
            <wp:positionV relativeFrom="paragraph">
              <wp:posOffset>181983</wp:posOffset>
            </wp:positionV>
            <wp:extent cx="166648" cy="168021"/>
            <wp:effectExtent l="0" t="0" r="0" b="0"/>
            <wp:wrapTopAndBottom/>
            <wp:docPr id="363" name="image181.png"/>
            <wp:cNvGraphicFramePr>
              <a:graphicFrameLocks noChangeAspect="1"/>
            </wp:cNvGraphicFramePr>
            <a:graphic>
              <a:graphicData uri="http://schemas.openxmlformats.org/drawingml/2006/picture">
                <pic:pic>
                  <pic:nvPicPr>
                    <pic:cNvPr id="364" name="image181.png"/>
                    <pic:cNvPicPr/>
                  </pic:nvPicPr>
                  <pic:blipFill>
                    <a:blip r:embed="rId223" cstate="print"/>
                    <a:stretch>
                      <a:fillRect/>
                    </a:stretch>
                  </pic:blipFill>
                  <pic:spPr>
                    <a:xfrm>
                      <a:off x="0" y="0"/>
                      <a:ext cx="166648" cy="168021"/>
                    </a:xfrm>
                    <a:prstGeom prst="rect">
                      <a:avLst/>
                    </a:prstGeom>
                  </pic:spPr>
                </pic:pic>
              </a:graphicData>
            </a:graphic>
          </wp:anchor>
        </w:drawing>
      </w:r>
      <w:r>
        <w:rPr/>
        <w:drawing>
          <wp:anchor distT="0" distB="0" distL="0" distR="0" allowOverlap="1" layoutInCell="1" locked="0" behindDoc="0" simplePos="0" relativeHeight="1091">
            <wp:simplePos x="0" y="0"/>
            <wp:positionH relativeFrom="page">
              <wp:posOffset>2795616</wp:posOffset>
            </wp:positionH>
            <wp:positionV relativeFrom="paragraph">
              <wp:posOffset>183871</wp:posOffset>
            </wp:positionV>
            <wp:extent cx="165121" cy="166687"/>
            <wp:effectExtent l="0" t="0" r="0" b="0"/>
            <wp:wrapTopAndBottom/>
            <wp:docPr id="365" name="image182.png"/>
            <wp:cNvGraphicFramePr>
              <a:graphicFrameLocks noChangeAspect="1"/>
            </wp:cNvGraphicFramePr>
            <a:graphic>
              <a:graphicData uri="http://schemas.openxmlformats.org/drawingml/2006/picture">
                <pic:pic>
                  <pic:nvPicPr>
                    <pic:cNvPr id="366" name="image182.png"/>
                    <pic:cNvPicPr/>
                  </pic:nvPicPr>
                  <pic:blipFill>
                    <a:blip r:embed="rId224" cstate="print"/>
                    <a:stretch>
                      <a:fillRect/>
                    </a:stretch>
                  </pic:blipFill>
                  <pic:spPr>
                    <a:xfrm>
                      <a:off x="0" y="0"/>
                      <a:ext cx="165121" cy="166687"/>
                    </a:xfrm>
                    <a:prstGeom prst="rect">
                      <a:avLst/>
                    </a:prstGeom>
                  </pic:spPr>
                </pic:pic>
              </a:graphicData>
            </a:graphic>
          </wp:anchor>
        </w:drawing>
      </w:r>
      <w:r>
        <w:rPr/>
        <w:drawing>
          <wp:anchor distT="0" distB="0" distL="0" distR="0" allowOverlap="1" layoutInCell="1" locked="0" behindDoc="0" simplePos="0" relativeHeight="1092">
            <wp:simplePos x="0" y="0"/>
            <wp:positionH relativeFrom="page">
              <wp:posOffset>3309096</wp:posOffset>
            </wp:positionH>
            <wp:positionV relativeFrom="paragraph">
              <wp:posOffset>181983</wp:posOffset>
            </wp:positionV>
            <wp:extent cx="166648" cy="168021"/>
            <wp:effectExtent l="0" t="0" r="0" b="0"/>
            <wp:wrapTopAndBottom/>
            <wp:docPr id="367" name="image183.png"/>
            <wp:cNvGraphicFramePr>
              <a:graphicFrameLocks noChangeAspect="1"/>
            </wp:cNvGraphicFramePr>
            <a:graphic>
              <a:graphicData uri="http://schemas.openxmlformats.org/drawingml/2006/picture">
                <pic:pic>
                  <pic:nvPicPr>
                    <pic:cNvPr id="368" name="image183.png"/>
                    <pic:cNvPicPr/>
                  </pic:nvPicPr>
                  <pic:blipFill>
                    <a:blip r:embed="rId225" cstate="print"/>
                    <a:stretch>
                      <a:fillRect/>
                    </a:stretch>
                  </pic:blipFill>
                  <pic:spPr>
                    <a:xfrm>
                      <a:off x="0" y="0"/>
                      <a:ext cx="166648" cy="168021"/>
                    </a:xfrm>
                    <a:prstGeom prst="rect">
                      <a:avLst/>
                    </a:prstGeom>
                  </pic:spPr>
                </pic:pic>
              </a:graphicData>
            </a:graphic>
          </wp:anchor>
        </w:drawing>
      </w:r>
      <w:r>
        <w:rPr/>
        <w:drawing>
          <wp:anchor distT="0" distB="0" distL="0" distR="0" allowOverlap="1" layoutInCell="1" locked="0" behindDoc="0" simplePos="0" relativeHeight="1093">
            <wp:simplePos x="0" y="0"/>
            <wp:positionH relativeFrom="page">
              <wp:posOffset>3822578</wp:posOffset>
            </wp:positionH>
            <wp:positionV relativeFrom="paragraph">
              <wp:posOffset>183871</wp:posOffset>
            </wp:positionV>
            <wp:extent cx="165121" cy="166687"/>
            <wp:effectExtent l="0" t="0" r="0" b="0"/>
            <wp:wrapTopAndBottom/>
            <wp:docPr id="369" name="image184.png"/>
            <wp:cNvGraphicFramePr>
              <a:graphicFrameLocks noChangeAspect="1"/>
            </wp:cNvGraphicFramePr>
            <a:graphic>
              <a:graphicData uri="http://schemas.openxmlformats.org/drawingml/2006/picture">
                <pic:pic>
                  <pic:nvPicPr>
                    <pic:cNvPr id="370" name="image184.png"/>
                    <pic:cNvPicPr/>
                  </pic:nvPicPr>
                  <pic:blipFill>
                    <a:blip r:embed="rId226" cstate="print"/>
                    <a:stretch>
                      <a:fillRect/>
                    </a:stretch>
                  </pic:blipFill>
                  <pic:spPr>
                    <a:xfrm>
                      <a:off x="0" y="0"/>
                      <a:ext cx="165121" cy="166687"/>
                    </a:xfrm>
                    <a:prstGeom prst="rect">
                      <a:avLst/>
                    </a:prstGeom>
                  </pic:spPr>
                </pic:pic>
              </a:graphicData>
            </a:graphic>
          </wp:anchor>
        </w:drawing>
      </w:r>
      <w:r>
        <w:rPr/>
        <w:drawing>
          <wp:anchor distT="0" distB="0" distL="0" distR="0" allowOverlap="1" layoutInCell="1" locked="0" behindDoc="0" simplePos="0" relativeHeight="1094">
            <wp:simplePos x="0" y="0"/>
            <wp:positionH relativeFrom="page">
              <wp:posOffset>4336058</wp:posOffset>
            </wp:positionH>
            <wp:positionV relativeFrom="paragraph">
              <wp:posOffset>181984</wp:posOffset>
            </wp:positionV>
            <wp:extent cx="166648" cy="168021"/>
            <wp:effectExtent l="0" t="0" r="0" b="0"/>
            <wp:wrapTopAndBottom/>
            <wp:docPr id="371" name="image185.png"/>
            <wp:cNvGraphicFramePr>
              <a:graphicFrameLocks noChangeAspect="1"/>
            </wp:cNvGraphicFramePr>
            <a:graphic>
              <a:graphicData uri="http://schemas.openxmlformats.org/drawingml/2006/picture">
                <pic:pic>
                  <pic:nvPicPr>
                    <pic:cNvPr id="372" name="image185.png"/>
                    <pic:cNvPicPr/>
                  </pic:nvPicPr>
                  <pic:blipFill>
                    <a:blip r:embed="rId227" cstate="print"/>
                    <a:stretch>
                      <a:fillRect/>
                    </a:stretch>
                  </pic:blipFill>
                  <pic:spPr>
                    <a:xfrm>
                      <a:off x="0" y="0"/>
                      <a:ext cx="166648" cy="168021"/>
                    </a:xfrm>
                    <a:prstGeom prst="rect">
                      <a:avLst/>
                    </a:prstGeom>
                  </pic:spPr>
                </pic:pic>
              </a:graphicData>
            </a:graphic>
          </wp:anchor>
        </w:drawing>
      </w:r>
    </w:p>
    <w:p>
      <w:pPr>
        <w:spacing w:before="64"/>
        <w:ind w:left="1387" w:right="2284" w:firstLine="0"/>
        <w:jc w:val="center"/>
        <w:rPr>
          <w:rFonts w:ascii="Calibri"/>
          <w:b/>
          <w:sz w:val="15"/>
        </w:rPr>
      </w:pPr>
      <w:r>
        <w:rPr>
          <w:rFonts w:ascii="Calibri"/>
          <w:b/>
          <w:w w:val="105"/>
          <w:sz w:val="15"/>
        </w:rPr>
        <w:t>Year</w:t>
      </w:r>
    </w:p>
    <w:p>
      <w:pPr>
        <w:pStyle w:val="BodyText"/>
        <w:rPr>
          <w:rFonts w:ascii="Calibri"/>
          <w:b/>
          <w:sz w:val="14"/>
        </w:rPr>
      </w:pPr>
      <w:r>
        <w:rPr/>
        <w:br w:type="column"/>
      </w:r>
      <w:r>
        <w:rPr>
          <w:rFonts w:ascii="Calibri"/>
          <w:b/>
          <w:sz w:val="14"/>
        </w:rPr>
      </w:r>
    </w:p>
    <w:p>
      <w:pPr>
        <w:pStyle w:val="BodyText"/>
        <w:spacing w:before="5"/>
        <w:rPr>
          <w:rFonts w:ascii="Calibri"/>
          <w:b/>
          <w:sz w:val="12"/>
        </w:rPr>
      </w:pPr>
    </w:p>
    <w:p>
      <w:pPr>
        <w:spacing w:before="0"/>
        <w:ind w:left="508" w:right="0" w:firstLine="0"/>
        <w:jc w:val="left"/>
        <w:rPr>
          <w:rFonts w:ascii="Calibri"/>
          <w:sz w:val="14"/>
        </w:rPr>
      </w:pPr>
      <w:r>
        <w:rPr>
          <w:rFonts w:ascii="Calibri"/>
          <w:sz w:val="14"/>
        </w:rPr>
        <w:t>Class key:</w:t>
      </w:r>
    </w:p>
    <w:p>
      <w:pPr>
        <w:pStyle w:val="ListParagraph"/>
        <w:numPr>
          <w:ilvl w:val="0"/>
          <w:numId w:val="80"/>
        </w:numPr>
        <w:tabs>
          <w:tab w:pos="965" w:val="left" w:leader="none"/>
        </w:tabs>
        <w:spacing w:line="240" w:lineRule="auto" w:before="15" w:after="0"/>
        <w:ind w:left="964" w:right="0" w:hanging="104"/>
        <w:jc w:val="left"/>
        <w:rPr>
          <w:rFonts w:ascii="Calibri"/>
          <w:sz w:val="14"/>
        </w:rPr>
      </w:pPr>
      <w:r>
        <w:rPr/>
        <w:pict>
          <v:group style="position:absolute;margin-left:380.960632pt;margin-top:.043867pt;width:17.9pt;height:130.5pt;mso-position-horizontal-relative:page;mso-position-vertical-relative:paragraph;z-index:252780544" coordorigin="7619,1" coordsize="358,2610">
            <v:rect style="position:absolute;left:7622;top:0;width:354;height:186" filled="true" fillcolor="#1f487c" stroked="false">
              <v:fill type="solid"/>
            </v:rect>
            <v:rect style="position:absolute;left:7622;top:186;width:354;height:186" filled="true" fillcolor="#009544" stroked="false">
              <v:fill type="solid"/>
            </v:rect>
            <v:rect style="position:absolute;left:7622;top:372;width:354;height:186" filled="true" fillcolor="#e16b09" stroked="false">
              <v:fill type="solid"/>
            </v:rect>
            <v:rect style="position:absolute;left:7622;top:558;width:354;height:186" filled="true" fillcolor="#e08ad6" stroked="false">
              <v:fill type="solid"/>
            </v:rect>
            <v:rect style="position:absolute;left:7622;top:744;width:354;height:186" filled="true" fillcolor="#8063a1" stroked="false">
              <v:fill type="solid"/>
            </v:rect>
            <v:rect style="position:absolute;left:7622;top:930;width:354;height:186" filled="true" fillcolor="#c0504d" stroked="false">
              <v:fill type="solid"/>
            </v:rect>
            <v:rect style="position:absolute;left:7622;top:1116;width:354;height:186" filled="true" fillcolor="#f8a763" stroked="false">
              <v:fill type="solid"/>
            </v:rect>
            <v:rect style="position:absolute;left:7622;top:1302;width:354;height:186" filled="true" fillcolor="#ecb8e7" stroked="false">
              <v:fill type="solid"/>
            </v:rect>
            <v:rect style="position:absolute;left:7622;top:1488;width:354;height:186" filled="true" fillcolor="#938953" stroked="false">
              <v:fill type="solid"/>
            </v:rect>
            <v:rect style="position:absolute;left:7622;top:1674;width:354;height:186" filled="true" fillcolor="#ffd600" stroked="false">
              <v:fill type="solid"/>
            </v:rect>
            <v:rect style="position:absolute;left:7622;top:1859;width:354;height:186" filled="true" fillcolor="#000000" stroked="false">
              <v:fill type="solid"/>
            </v:rect>
            <v:rect style="position:absolute;left:7622;top:2045;width:354;height:186" filled="true" fillcolor="#ffeb8f" stroked="false">
              <v:fill type="solid"/>
            </v:rect>
            <v:rect style="position:absolute;left:7622;top:2231;width:354;height:379" filled="true" fillcolor="#a6a6a6" stroked="false">
              <v:fill type="solid"/>
            </v:rect>
            <v:line style="position:absolute" from="7969,7" to="7969,2610" stroked="true" strokeweight="0pt" strokecolor="#ffffff">
              <v:stroke dashstyle="solid"/>
            </v:line>
            <v:line style="position:absolute" from="7972,7" to="7972,2610" stroked="true" strokeweight=".321105pt" strokecolor="#ffffff">
              <v:stroke dashstyle="solid"/>
            </v:line>
            <v:line style="position:absolute" from="7622,4" to="7976,4" stroked="true" strokeweight=".320535pt" strokecolor="#ffffff">
              <v:stroke dashstyle="solid"/>
            </v:line>
            <v:line style="position:absolute" from="7622,187" to="7976,187" stroked="true" strokeweight="0pt" strokecolor="#ffffff">
              <v:stroke dashstyle="solid"/>
            </v:line>
            <v:line style="position:absolute" from="7622,190" to="7976,190" stroked="true" strokeweight=".320856pt" strokecolor="#ffffff">
              <v:stroke dashstyle="solid"/>
            </v:line>
            <v:line style="position:absolute" from="7622,373" to="7976,373" stroked="true" strokeweight="0pt" strokecolor="#ffffff">
              <v:stroke dashstyle="solid"/>
            </v:line>
            <v:line style="position:absolute" from="7622,376" to="7976,376" stroked="true" strokeweight=".320535pt" strokecolor="#ffffff">
              <v:stroke dashstyle="solid"/>
            </v:line>
            <v:line style="position:absolute" from="7622,559" to="7976,559" stroked="true" strokeweight="0pt" strokecolor="#ffffff">
              <v:stroke dashstyle="solid"/>
            </v:line>
            <v:line style="position:absolute" from="7622,562" to="7976,562" stroked="true" strokeweight=".320535pt" strokecolor="#ffffff">
              <v:stroke dashstyle="solid"/>
            </v:line>
            <v:line style="position:absolute" from="7622,745" to="7976,745" stroked="true" strokeweight="0pt" strokecolor="#ffffff">
              <v:stroke dashstyle="solid"/>
            </v:line>
            <v:line style="position:absolute" from="7622,748" to="7976,748" stroked="true" strokeweight=".320535pt" strokecolor="#ffffff">
              <v:stroke dashstyle="solid"/>
            </v:line>
            <v:line style="position:absolute" from="7622,930" to="7976,930" stroked="true" strokeweight="0pt" strokecolor="#ffffff">
              <v:stroke dashstyle="solid"/>
            </v:line>
            <v:line style="position:absolute" from="7622,934" to="7976,934" stroked="true" strokeweight=".320535pt" strokecolor="#ffffff">
              <v:stroke dashstyle="solid"/>
            </v:line>
            <v:line style="position:absolute" from="7622,1116" to="7976,1116" stroked="true" strokeweight="0pt" strokecolor="#ffffff">
              <v:stroke dashstyle="solid"/>
            </v:line>
            <v:line style="position:absolute" from="7622,1120" to="7976,1120" stroked="true" strokeweight=".320535pt" strokecolor="#ffffff">
              <v:stroke dashstyle="solid"/>
            </v:line>
            <v:line style="position:absolute" from="7622,1302" to="7976,1302" stroked="true" strokeweight="0pt" strokecolor="#ffffff">
              <v:stroke dashstyle="solid"/>
            </v:line>
            <v:line style="position:absolute" from="7622,1305" to="7976,1305" stroked="true" strokeweight=".320535pt" strokecolor="#ffffff">
              <v:stroke dashstyle="solid"/>
            </v:line>
            <v:line style="position:absolute" from="7622,1488" to="7976,1488" stroked="true" strokeweight="0pt" strokecolor="#ffffff">
              <v:stroke dashstyle="solid"/>
            </v:line>
            <v:line style="position:absolute" from="7622,1491" to="7976,1491" stroked="true" strokeweight=".320535pt" strokecolor="#ffffff">
              <v:stroke dashstyle="solid"/>
            </v:line>
            <v:line style="position:absolute" from="7622,1674" to="7976,1674" stroked="true" strokeweight="0pt" strokecolor="#ffffff">
              <v:stroke dashstyle="solid"/>
            </v:line>
            <v:line style="position:absolute" from="7622,1677" to="7976,1677" stroked="true" strokeweight=".320535pt" strokecolor="#ffffff">
              <v:stroke dashstyle="solid"/>
            </v:line>
            <v:line style="position:absolute" from="7622,1860" to="7976,1860" stroked="true" strokeweight="0pt" strokecolor="#ffffff">
              <v:stroke dashstyle="solid"/>
            </v:line>
            <v:line style="position:absolute" from="7622,1863" to="7976,1863" stroked="true" strokeweight=".320856pt" strokecolor="#ffffff">
              <v:stroke dashstyle="solid"/>
            </v:line>
            <v:line style="position:absolute" from="7622,2046" to="7976,2046" stroked="true" strokeweight="0pt" strokecolor="#ffffff">
              <v:stroke dashstyle="solid"/>
            </v:line>
            <v:line style="position:absolute" from="7622,2049" to="7976,2049" stroked="true" strokeweight=".320535pt" strokecolor="#ffffff">
              <v:stroke dashstyle="solid"/>
            </v:line>
            <v:line style="position:absolute" from="7622,2232" to="7976,2232" stroked="true" strokeweight="0pt" strokecolor="#ffffff">
              <v:stroke dashstyle="solid"/>
            </v:line>
            <v:line style="position:absolute" from="7622,2235" to="7976,2235" stroked="true" strokeweight=".320535pt" strokecolor="#ffffff">
              <v:stroke dashstyle="solid"/>
            </v:line>
            <v:line style="position:absolute" from="7622,2418" to="7976,2418" stroked="true" strokeweight="0pt" strokecolor="#ffffff">
              <v:stroke dashstyle="solid"/>
            </v:line>
            <v:line style="position:absolute" from="7622,2421" to="7976,2421" stroked="true" strokeweight=".320535pt" strokecolor="#ffffff">
              <v:stroke dashstyle="solid"/>
            </v:line>
            <v:line style="position:absolute" from="7622,2604" to="7976,2604" stroked="true" strokeweight="0pt" strokecolor="#ffffff">
              <v:stroke dashstyle="solid"/>
            </v:line>
            <v:line style="position:absolute" from="7622,2607" to="7976,2607" stroked="true" strokeweight=".320535pt" strokecolor="#ffffff">
              <v:stroke dashstyle="solid"/>
            </v:line>
            <v:line style="position:absolute" from="7619,2344" to="7977,2344" stroked="true" strokeweight=".961678pt" strokecolor="#ffffff">
              <v:stroke dashstyle="solid"/>
            </v:line>
            <v:line style="position:absolute" from="7619,2517" to="7977,2517" stroked="true" strokeweight=".961678pt" strokecolor="#ffffff">
              <v:stroke dashstyle="solid"/>
            </v:line>
            <w10:wrap type="none"/>
          </v:group>
        </w:pict>
      </w:r>
      <w:r>
        <w:rPr>
          <w:rFonts w:ascii="Calibri"/>
          <w:sz w:val="14"/>
        </w:rPr>
        <w:t>Studying</w:t>
      </w:r>
    </w:p>
    <w:p>
      <w:pPr>
        <w:pStyle w:val="ListParagraph"/>
        <w:numPr>
          <w:ilvl w:val="0"/>
          <w:numId w:val="80"/>
        </w:numPr>
        <w:tabs>
          <w:tab w:pos="965" w:val="left" w:leader="none"/>
        </w:tabs>
        <w:spacing w:line="240" w:lineRule="auto" w:before="15" w:after="0"/>
        <w:ind w:left="964" w:right="0" w:hanging="104"/>
        <w:jc w:val="left"/>
        <w:rPr>
          <w:rFonts w:ascii="Calibri"/>
          <w:sz w:val="14"/>
        </w:rPr>
      </w:pPr>
      <w:r>
        <w:rPr>
          <w:rFonts w:ascii="Calibri"/>
          <w:sz w:val="14"/>
        </w:rPr>
        <w:t>Working</w:t>
      </w:r>
      <w:r>
        <w:rPr>
          <w:rFonts w:ascii="Calibri"/>
          <w:spacing w:val="-2"/>
          <w:sz w:val="14"/>
        </w:rPr>
        <w:t> </w:t>
      </w:r>
      <w:r>
        <w:rPr>
          <w:rFonts w:ascii="Calibri"/>
          <w:sz w:val="14"/>
        </w:rPr>
        <w:t>Age</w:t>
      </w:r>
    </w:p>
    <w:p>
      <w:pPr>
        <w:pStyle w:val="ListParagraph"/>
        <w:numPr>
          <w:ilvl w:val="0"/>
          <w:numId w:val="80"/>
        </w:numPr>
        <w:tabs>
          <w:tab w:pos="965" w:val="left" w:leader="none"/>
        </w:tabs>
        <w:spacing w:line="240" w:lineRule="auto" w:before="15" w:after="0"/>
        <w:ind w:left="964" w:right="0" w:hanging="104"/>
        <w:jc w:val="left"/>
        <w:rPr>
          <w:rFonts w:ascii="Calibri"/>
          <w:sz w:val="14"/>
        </w:rPr>
      </w:pPr>
      <w:r>
        <w:rPr>
          <w:rFonts w:ascii="Calibri"/>
          <w:sz w:val="14"/>
        </w:rPr>
        <w:t>Parents</w:t>
      </w:r>
    </w:p>
    <w:p>
      <w:pPr>
        <w:pStyle w:val="ListParagraph"/>
        <w:numPr>
          <w:ilvl w:val="0"/>
          <w:numId w:val="80"/>
        </w:numPr>
        <w:tabs>
          <w:tab w:pos="965" w:val="left" w:leader="none"/>
        </w:tabs>
        <w:spacing w:line="240" w:lineRule="auto" w:before="15" w:after="0"/>
        <w:ind w:left="964" w:right="0" w:hanging="104"/>
        <w:jc w:val="left"/>
        <w:rPr>
          <w:rFonts w:ascii="Calibri"/>
          <w:sz w:val="14"/>
        </w:rPr>
      </w:pPr>
      <w:r>
        <w:rPr>
          <w:rFonts w:ascii="Calibri"/>
          <w:sz w:val="14"/>
        </w:rPr>
        <w:t>Carers</w:t>
      </w:r>
    </w:p>
    <w:p>
      <w:pPr>
        <w:pStyle w:val="ListParagraph"/>
        <w:numPr>
          <w:ilvl w:val="0"/>
          <w:numId w:val="80"/>
        </w:numPr>
        <w:tabs>
          <w:tab w:pos="965" w:val="left" w:leader="none"/>
        </w:tabs>
        <w:spacing w:line="240" w:lineRule="auto" w:before="15" w:after="0"/>
        <w:ind w:left="964" w:right="0" w:hanging="104"/>
        <w:jc w:val="left"/>
        <w:rPr>
          <w:rFonts w:ascii="Calibri"/>
          <w:sz w:val="14"/>
        </w:rPr>
      </w:pPr>
      <w:r>
        <w:rPr>
          <w:rFonts w:ascii="Calibri"/>
          <w:sz w:val="14"/>
        </w:rPr>
        <w:t>Disability Support</w:t>
      </w:r>
    </w:p>
    <w:p>
      <w:pPr>
        <w:pStyle w:val="ListParagraph"/>
        <w:numPr>
          <w:ilvl w:val="0"/>
          <w:numId w:val="80"/>
        </w:numPr>
        <w:tabs>
          <w:tab w:pos="965" w:val="left" w:leader="none"/>
        </w:tabs>
        <w:spacing w:line="261" w:lineRule="auto" w:before="15" w:after="0"/>
        <w:ind w:left="861" w:right="3017" w:firstLine="0"/>
        <w:jc w:val="left"/>
        <w:rPr>
          <w:rFonts w:ascii="Calibri"/>
          <w:sz w:val="14"/>
        </w:rPr>
      </w:pPr>
      <w:r>
        <w:rPr>
          <w:rFonts w:ascii="Calibri"/>
          <w:sz w:val="14"/>
        </w:rPr>
        <w:t>Pension Age 7 Non IS Family 8 Non IS Carer 9 Non IS</w:t>
      </w:r>
      <w:r>
        <w:rPr>
          <w:rFonts w:ascii="Calibri"/>
          <w:spacing w:val="7"/>
          <w:sz w:val="14"/>
        </w:rPr>
        <w:t> </w:t>
      </w:r>
      <w:r>
        <w:rPr>
          <w:rFonts w:ascii="Calibri"/>
          <w:sz w:val="14"/>
        </w:rPr>
        <w:t>Other</w:t>
      </w:r>
    </w:p>
    <w:p>
      <w:pPr>
        <w:spacing w:line="261" w:lineRule="auto" w:before="0"/>
        <w:ind w:left="861" w:right="2081" w:firstLine="0"/>
        <w:jc w:val="left"/>
        <w:rPr>
          <w:rFonts w:ascii="Calibri"/>
          <w:sz w:val="14"/>
        </w:rPr>
      </w:pPr>
      <w:r>
        <w:rPr>
          <w:rFonts w:ascii="Calibri"/>
          <w:sz w:val="14"/>
        </w:rPr>
        <w:t>10 Previous Welfare Recipient 11 Dead</w:t>
      </w:r>
    </w:p>
    <w:p>
      <w:pPr>
        <w:spacing w:line="261" w:lineRule="auto" w:before="0"/>
        <w:ind w:left="861" w:right="2204" w:firstLine="0"/>
        <w:jc w:val="left"/>
        <w:rPr>
          <w:rFonts w:ascii="Calibri"/>
          <w:sz w:val="14"/>
        </w:rPr>
      </w:pPr>
      <w:r>
        <w:rPr>
          <w:rFonts w:ascii="Calibri"/>
          <w:sz w:val="14"/>
        </w:rPr>
        <w:t>12 Rest of Aust. Population Prior valuation - all active Prior valuation - current class</w:t>
      </w:r>
    </w:p>
    <w:p>
      <w:pPr>
        <w:spacing w:after="0" w:line="261" w:lineRule="auto"/>
        <w:jc w:val="left"/>
        <w:rPr>
          <w:rFonts w:ascii="Calibri"/>
          <w:sz w:val="14"/>
        </w:rPr>
        <w:sectPr>
          <w:type w:val="continuous"/>
          <w:pgSz w:w="11910" w:h="16850"/>
          <w:pgMar w:top="1600" w:bottom="280" w:left="120" w:right="0"/>
          <w:cols w:num="3" w:equalWidth="0">
            <w:col w:w="2927" w:space="40"/>
            <w:col w:w="4007" w:space="39"/>
            <w:col w:w="4777"/>
          </w:cols>
        </w:sectPr>
      </w:pPr>
    </w:p>
    <w:p>
      <w:pPr>
        <w:pStyle w:val="BodyText"/>
        <w:rPr>
          <w:rFonts w:ascii="Calibri"/>
          <w:sz w:val="21"/>
        </w:rPr>
      </w:pPr>
    </w:p>
    <w:p>
      <w:pPr>
        <w:pStyle w:val="BodyText"/>
        <w:spacing w:before="93"/>
        <w:ind w:left="900"/>
      </w:pPr>
      <w:r>
        <w:rPr>
          <w:color w:val="404040"/>
        </w:rPr>
        <w:t>Some observations we can make based on our analysis are that:</w:t>
      </w:r>
    </w:p>
    <w:p>
      <w:pPr>
        <w:pStyle w:val="ListParagraph"/>
        <w:numPr>
          <w:ilvl w:val="0"/>
          <w:numId w:val="79"/>
        </w:numPr>
        <w:tabs>
          <w:tab w:pos="1184" w:val="left" w:leader="none"/>
        </w:tabs>
        <w:spacing w:line="240" w:lineRule="auto" w:before="119" w:after="0"/>
        <w:ind w:left="1183" w:right="1509" w:hanging="284"/>
        <w:jc w:val="left"/>
        <w:rPr>
          <w:rFonts w:ascii="Symbol" w:hAnsi="Symbol"/>
          <w:color w:val="404040"/>
          <w:sz w:val="20"/>
        </w:rPr>
      </w:pPr>
      <w:r>
        <w:rPr>
          <w:color w:val="404040"/>
          <w:sz w:val="20"/>
        </w:rPr>
        <w:t>The pattern for this trajectory chart is different to most of the active classes seen in sections </w:t>
      </w:r>
      <w:hyperlink w:history="true" w:anchor="_bookmark40">
        <w:r>
          <w:rPr>
            <w:color w:val="404040"/>
            <w:sz w:val="20"/>
          </w:rPr>
          <w:t>6 </w:t>
        </w:r>
      </w:hyperlink>
      <w:r>
        <w:rPr>
          <w:color w:val="404040"/>
          <w:sz w:val="20"/>
        </w:rPr>
        <w:t>and </w:t>
      </w:r>
      <w:hyperlink w:history="true" w:anchor="_bookmark47">
        <w:r>
          <w:rPr>
            <w:color w:val="404040"/>
            <w:sz w:val="20"/>
          </w:rPr>
          <w:t>7. </w:t>
        </w:r>
      </w:hyperlink>
      <w:r>
        <w:rPr>
          <w:color w:val="404040"/>
          <w:sz w:val="20"/>
        </w:rPr>
        <w:t>In particular a relatively high proportion are expected to still be in the current class in each future</w:t>
      </w:r>
      <w:r>
        <w:rPr>
          <w:color w:val="404040"/>
          <w:spacing w:val="-36"/>
          <w:sz w:val="20"/>
        </w:rPr>
        <w:t> </w:t>
      </w:r>
      <w:r>
        <w:rPr>
          <w:color w:val="404040"/>
          <w:sz w:val="20"/>
        </w:rPr>
        <w:t>year.</w:t>
      </w:r>
    </w:p>
    <w:p>
      <w:pPr>
        <w:pStyle w:val="ListParagraph"/>
        <w:numPr>
          <w:ilvl w:val="0"/>
          <w:numId w:val="79"/>
        </w:numPr>
        <w:tabs>
          <w:tab w:pos="1184" w:val="left" w:leader="none"/>
        </w:tabs>
        <w:spacing w:line="240" w:lineRule="auto" w:before="118" w:after="0"/>
        <w:ind w:left="1182" w:right="1030" w:hanging="283"/>
        <w:jc w:val="left"/>
        <w:rPr>
          <w:rFonts w:ascii="Symbol" w:hAnsi="Symbol"/>
          <w:color w:val="404040"/>
          <w:sz w:val="20"/>
        </w:rPr>
      </w:pPr>
      <w:r>
        <w:rPr>
          <w:color w:val="404040"/>
          <w:sz w:val="20"/>
        </w:rPr>
        <w:t>In 10 years around 26% of the people currently in class 10 are projected to be in an active class. Those who left the system recently (in the 1 to 3 years prior to 30 June 2018) are expected to re-enter the active welfare system at a higher rate (29%) compared with those who exited longer ago (24%). The highest entries are expected to be into ‘2 Working Age’, ‘6 Age Pension’ and ‘7 Non IS</w:t>
      </w:r>
      <w:r>
        <w:rPr>
          <w:color w:val="404040"/>
          <w:spacing w:val="-12"/>
          <w:sz w:val="20"/>
        </w:rPr>
        <w:t> </w:t>
      </w:r>
      <w:r>
        <w:rPr>
          <w:color w:val="404040"/>
          <w:sz w:val="20"/>
        </w:rPr>
        <w:t>Family’.</w:t>
      </w:r>
    </w:p>
    <w:p>
      <w:pPr>
        <w:pStyle w:val="ListParagraph"/>
        <w:numPr>
          <w:ilvl w:val="0"/>
          <w:numId w:val="79"/>
        </w:numPr>
        <w:tabs>
          <w:tab w:pos="1183" w:val="left" w:leader="none"/>
        </w:tabs>
        <w:spacing w:line="240" w:lineRule="auto" w:before="119" w:after="0"/>
        <w:ind w:left="1182" w:right="1421" w:hanging="284"/>
        <w:jc w:val="left"/>
        <w:rPr>
          <w:rFonts w:ascii="Symbol" w:hAnsi="Symbol"/>
          <w:color w:val="404040"/>
          <w:sz w:val="20"/>
        </w:rPr>
      </w:pPr>
      <w:r>
        <w:rPr>
          <w:color w:val="404040"/>
          <w:sz w:val="20"/>
        </w:rPr>
        <w:t>For most of this group, if they receive an income support payment in future it is most likely to be the Age Pension.</w:t>
      </w:r>
    </w:p>
    <w:p>
      <w:pPr>
        <w:pStyle w:val="BodyText"/>
        <w:spacing w:line="242" w:lineRule="auto" w:before="117"/>
        <w:ind w:left="899" w:right="1166"/>
      </w:pPr>
      <w:r>
        <w:rPr>
          <w:color w:val="404040"/>
        </w:rPr>
        <w:t>The forecast likelihood of re-entering the welfare system has reduced at this valuation. This reflects the recent experience and model refinements which improve our understanding of the profile of people in this class.</w:t>
      </w:r>
    </w:p>
    <w:p>
      <w:pPr>
        <w:pStyle w:val="BodyText"/>
        <w:spacing w:before="6"/>
      </w:pPr>
    </w:p>
    <w:p>
      <w:pPr>
        <w:pStyle w:val="Heading6"/>
        <w:rPr>
          <w:i/>
        </w:rPr>
      </w:pPr>
      <w:r>
        <w:rPr>
          <w:i/>
          <w:color w:val="DF2F1E"/>
        </w:rPr>
        <w:t>Duration</w:t>
      </w:r>
    </w:p>
    <w:p>
      <w:pPr>
        <w:pStyle w:val="BodyText"/>
        <w:spacing w:line="242" w:lineRule="auto" w:before="119"/>
        <w:ind w:left="900" w:right="1266" w:hanging="1"/>
      </w:pPr>
      <w:r>
        <w:rPr>
          <w:color w:val="404040"/>
        </w:rPr>
        <w:t>The average future life expectancy for the Previous Welfare Recipient class is </w:t>
      </w:r>
      <w:r>
        <w:rPr>
          <w:b/>
          <w:color w:val="404040"/>
        </w:rPr>
        <w:t>46 </w:t>
      </w:r>
      <w:r>
        <w:rPr>
          <w:color w:val="404040"/>
        </w:rPr>
        <w:t>years. This reflects that the age profile of this class is well distributed across most pre-retirement ages.</w:t>
      </w:r>
    </w:p>
    <w:p>
      <w:pPr>
        <w:pStyle w:val="BodyText"/>
        <w:spacing w:before="118"/>
        <w:ind w:left="900" w:right="1176"/>
      </w:pPr>
      <w:r>
        <w:rPr>
          <w:color w:val="404040"/>
        </w:rPr>
        <w:t>The table below provides a summary of the expected welfare system use of people currently in this class over this time. This has been developed by considering which classes people move into as they move through the welfare system over their lives.</w:t>
      </w:r>
    </w:p>
    <w:p>
      <w:pPr>
        <w:pStyle w:val="Heading9"/>
        <w:spacing w:before="175" w:after="56"/>
      </w:pPr>
      <w:r>
        <w:rPr>
          <w:color w:val="DF2F1E"/>
        </w:rPr>
        <w:t>Table 44: Average expected durations in welfare system for people currently in class 10</w:t>
      </w:r>
    </w:p>
    <w:tbl>
      <w:tblPr>
        <w:tblW w:w="0" w:type="auto"/>
        <w:jc w:val="left"/>
        <w:tblInd w:w="1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30"/>
        <w:gridCol w:w="1765"/>
        <w:gridCol w:w="2773"/>
      </w:tblGrid>
      <w:tr>
        <w:trPr>
          <w:trHeight w:val="273" w:hRule="atLeast"/>
        </w:trPr>
        <w:tc>
          <w:tcPr>
            <w:tcW w:w="4330" w:type="dxa"/>
            <w:shd w:val="clear" w:color="auto" w:fill="DF2F1E"/>
          </w:tcPr>
          <w:p>
            <w:pPr>
              <w:pStyle w:val="TableParagraph"/>
              <w:spacing w:before="0"/>
              <w:rPr>
                <w:rFonts w:ascii="Times New Roman"/>
                <w:sz w:val="18"/>
              </w:rPr>
            </w:pPr>
          </w:p>
        </w:tc>
        <w:tc>
          <w:tcPr>
            <w:tcW w:w="1765" w:type="dxa"/>
            <w:shd w:val="clear" w:color="auto" w:fill="DF2F1E"/>
          </w:tcPr>
          <w:p>
            <w:pPr>
              <w:pStyle w:val="TableParagraph"/>
              <w:spacing w:before="34"/>
              <w:ind w:left="149" w:right="383"/>
              <w:jc w:val="center"/>
              <w:rPr>
                <w:b/>
                <w:sz w:val="16"/>
              </w:rPr>
            </w:pPr>
            <w:r>
              <w:rPr>
                <w:b/>
                <w:color w:val="FFFFFF"/>
                <w:sz w:val="16"/>
              </w:rPr>
              <w:t>Expected Years</w:t>
            </w:r>
          </w:p>
        </w:tc>
        <w:tc>
          <w:tcPr>
            <w:tcW w:w="2773" w:type="dxa"/>
            <w:shd w:val="clear" w:color="auto" w:fill="DF2F1E"/>
          </w:tcPr>
          <w:p>
            <w:pPr>
              <w:pStyle w:val="TableParagraph"/>
              <w:spacing w:before="34"/>
              <w:ind w:left="394" w:right="124"/>
              <w:jc w:val="center"/>
              <w:rPr>
                <w:b/>
                <w:sz w:val="16"/>
              </w:rPr>
            </w:pPr>
            <w:r>
              <w:rPr>
                <w:b/>
                <w:color w:val="FFFFFF"/>
                <w:sz w:val="16"/>
              </w:rPr>
              <w:t>Proportion of Future Lifetime</w:t>
            </w:r>
          </w:p>
        </w:tc>
      </w:tr>
      <w:tr>
        <w:trPr>
          <w:trHeight w:val="261" w:hRule="atLeast"/>
        </w:trPr>
        <w:tc>
          <w:tcPr>
            <w:tcW w:w="4330" w:type="dxa"/>
            <w:tcBorders>
              <w:left w:val="single" w:sz="4" w:space="0" w:color="DF2F1E"/>
            </w:tcBorders>
          </w:tcPr>
          <w:p>
            <w:pPr>
              <w:pStyle w:val="TableParagraph"/>
              <w:spacing w:before="34"/>
              <w:ind w:left="107"/>
              <w:rPr>
                <w:b/>
                <w:sz w:val="16"/>
              </w:rPr>
            </w:pPr>
            <w:r>
              <w:rPr>
                <w:b/>
                <w:color w:val="404040"/>
                <w:sz w:val="16"/>
              </w:rPr>
              <w:t>Years with some income support payments:</w:t>
            </w:r>
          </w:p>
        </w:tc>
        <w:tc>
          <w:tcPr>
            <w:tcW w:w="1765" w:type="dxa"/>
          </w:tcPr>
          <w:p>
            <w:pPr>
              <w:pStyle w:val="TableParagraph"/>
              <w:spacing w:before="0"/>
              <w:rPr>
                <w:rFonts w:ascii="Times New Roman"/>
                <w:sz w:val="18"/>
              </w:rPr>
            </w:pPr>
          </w:p>
        </w:tc>
        <w:tc>
          <w:tcPr>
            <w:tcW w:w="2773" w:type="dxa"/>
            <w:tcBorders>
              <w:right w:val="single" w:sz="4" w:space="0" w:color="DF2F1E"/>
            </w:tcBorders>
          </w:tcPr>
          <w:p>
            <w:pPr>
              <w:pStyle w:val="TableParagraph"/>
              <w:spacing w:before="0"/>
              <w:rPr>
                <w:rFonts w:ascii="Times New Roman"/>
                <w:sz w:val="18"/>
              </w:rPr>
            </w:pPr>
          </w:p>
        </w:tc>
      </w:tr>
      <w:tr>
        <w:trPr>
          <w:trHeight w:val="265" w:hRule="atLeast"/>
        </w:trPr>
        <w:tc>
          <w:tcPr>
            <w:tcW w:w="4330" w:type="dxa"/>
            <w:tcBorders>
              <w:left w:val="single" w:sz="4" w:space="0" w:color="DF2F1E"/>
            </w:tcBorders>
          </w:tcPr>
          <w:p>
            <w:pPr>
              <w:pStyle w:val="TableParagraph"/>
              <w:tabs>
                <w:tab w:pos="513" w:val="left" w:leader="none"/>
              </w:tabs>
              <w:ind w:left="153"/>
              <w:rPr>
                <w:b/>
                <w:sz w:val="16"/>
              </w:rPr>
            </w:pPr>
            <w:r>
              <w:rPr>
                <w:color w:val="404040"/>
                <w:sz w:val="16"/>
              </w:rPr>
              <w:t>-</w:t>
              <w:tab/>
            </w:r>
            <w:r>
              <w:rPr>
                <w:b/>
                <w:color w:val="404040"/>
                <w:sz w:val="16"/>
              </w:rPr>
              <w:t>Not </w:t>
            </w:r>
            <w:r>
              <w:rPr>
                <w:b/>
                <w:color w:val="404040"/>
                <w:spacing w:val="-3"/>
                <w:sz w:val="16"/>
              </w:rPr>
              <w:t>Age </w:t>
            </w:r>
            <w:r>
              <w:rPr>
                <w:b/>
                <w:color w:val="404040"/>
                <w:sz w:val="16"/>
              </w:rPr>
              <w:t>Pension (classes</w:t>
            </w:r>
            <w:r>
              <w:rPr>
                <w:b/>
                <w:color w:val="404040"/>
                <w:spacing w:val="5"/>
                <w:sz w:val="16"/>
              </w:rPr>
              <w:t> </w:t>
            </w:r>
            <w:r>
              <w:rPr>
                <w:b/>
                <w:color w:val="404040"/>
                <w:sz w:val="16"/>
              </w:rPr>
              <w:t>1-5)</w:t>
            </w:r>
          </w:p>
        </w:tc>
        <w:tc>
          <w:tcPr>
            <w:tcW w:w="1765" w:type="dxa"/>
          </w:tcPr>
          <w:p>
            <w:pPr>
              <w:pStyle w:val="TableParagraph"/>
              <w:spacing w:before="40"/>
              <w:ind w:right="234"/>
              <w:jc w:val="center"/>
              <w:rPr>
                <w:sz w:val="16"/>
              </w:rPr>
            </w:pPr>
            <w:r>
              <w:rPr>
                <w:color w:val="404040"/>
                <w:w w:val="100"/>
                <w:sz w:val="16"/>
              </w:rPr>
              <w:t>3</w:t>
            </w:r>
          </w:p>
        </w:tc>
        <w:tc>
          <w:tcPr>
            <w:tcW w:w="2773" w:type="dxa"/>
            <w:tcBorders>
              <w:right w:val="single" w:sz="4" w:space="0" w:color="DF2F1E"/>
            </w:tcBorders>
          </w:tcPr>
          <w:p>
            <w:pPr>
              <w:pStyle w:val="TableParagraph"/>
              <w:spacing w:before="40"/>
              <w:ind w:left="1293" w:right="1020"/>
              <w:jc w:val="center"/>
              <w:rPr>
                <w:sz w:val="16"/>
              </w:rPr>
            </w:pPr>
            <w:r>
              <w:rPr>
                <w:color w:val="404040"/>
                <w:sz w:val="16"/>
              </w:rPr>
              <w:t>6%</w:t>
            </w:r>
          </w:p>
        </w:tc>
      </w:tr>
      <w:tr>
        <w:trPr>
          <w:trHeight w:val="265" w:hRule="atLeast"/>
        </w:trPr>
        <w:tc>
          <w:tcPr>
            <w:tcW w:w="4330" w:type="dxa"/>
            <w:tcBorders>
              <w:left w:val="single" w:sz="4" w:space="0" w:color="DF2F1E"/>
              <w:bottom w:val="single" w:sz="4" w:space="0" w:color="DF2F1E"/>
            </w:tcBorders>
          </w:tcPr>
          <w:p>
            <w:pPr>
              <w:pStyle w:val="TableParagraph"/>
              <w:tabs>
                <w:tab w:pos="513" w:val="left" w:leader="none"/>
              </w:tabs>
              <w:spacing w:before="36"/>
              <w:ind w:left="153"/>
              <w:rPr>
                <w:b/>
                <w:sz w:val="16"/>
              </w:rPr>
            </w:pPr>
            <w:r>
              <w:rPr>
                <w:color w:val="404040"/>
                <w:sz w:val="16"/>
              </w:rPr>
              <w:t>-</w:t>
              <w:tab/>
            </w:r>
            <w:r>
              <w:rPr>
                <w:b/>
                <w:color w:val="404040"/>
                <w:sz w:val="16"/>
              </w:rPr>
              <w:t>Age Pension (class</w:t>
            </w:r>
            <w:r>
              <w:rPr>
                <w:b/>
                <w:color w:val="404040"/>
                <w:spacing w:val="-3"/>
                <w:sz w:val="16"/>
              </w:rPr>
              <w:t> </w:t>
            </w:r>
            <w:r>
              <w:rPr>
                <w:b/>
                <w:color w:val="404040"/>
                <w:sz w:val="16"/>
              </w:rPr>
              <w:t>6)</w:t>
            </w:r>
          </w:p>
        </w:tc>
        <w:tc>
          <w:tcPr>
            <w:tcW w:w="1765" w:type="dxa"/>
            <w:tcBorders>
              <w:bottom w:val="single" w:sz="4" w:space="0" w:color="DF2F1E"/>
            </w:tcBorders>
          </w:tcPr>
          <w:p>
            <w:pPr>
              <w:pStyle w:val="TableParagraph"/>
              <w:spacing w:before="39"/>
              <w:ind w:left="149" w:right="381"/>
              <w:jc w:val="center"/>
              <w:rPr>
                <w:sz w:val="16"/>
              </w:rPr>
            </w:pPr>
            <w:r>
              <w:rPr>
                <w:color w:val="404040"/>
                <w:sz w:val="16"/>
              </w:rPr>
              <w:t>13</w:t>
            </w:r>
          </w:p>
        </w:tc>
        <w:tc>
          <w:tcPr>
            <w:tcW w:w="2773" w:type="dxa"/>
            <w:tcBorders>
              <w:bottom w:val="single" w:sz="4" w:space="0" w:color="DF2F1E"/>
              <w:right w:val="single" w:sz="4" w:space="0" w:color="DF2F1E"/>
            </w:tcBorders>
          </w:tcPr>
          <w:p>
            <w:pPr>
              <w:pStyle w:val="TableParagraph"/>
              <w:spacing w:before="39"/>
              <w:ind w:left="1293" w:right="1023"/>
              <w:jc w:val="center"/>
              <w:rPr>
                <w:sz w:val="16"/>
              </w:rPr>
            </w:pPr>
            <w:r>
              <w:rPr>
                <w:color w:val="404040"/>
                <w:sz w:val="16"/>
              </w:rPr>
              <w:t>28%</w:t>
            </w:r>
          </w:p>
        </w:tc>
      </w:tr>
      <w:tr>
        <w:trPr>
          <w:trHeight w:val="263" w:hRule="atLeast"/>
        </w:trPr>
        <w:tc>
          <w:tcPr>
            <w:tcW w:w="4330" w:type="dxa"/>
            <w:tcBorders>
              <w:top w:val="single" w:sz="4" w:space="0" w:color="DF2F1E"/>
              <w:left w:val="single" w:sz="4" w:space="0" w:color="DF2F1E"/>
              <w:bottom w:val="single" w:sz="4" w:space="0" w:color="DF2F1E"/>
            </w:tcBorders>
          </w:tcPr>
          <w:p>
            <w:pPr>
              <w:pStyle w:val="TableParagraph"/>
              <w:spacing w:before="34"/>
              <w:ind w:left="107"/>
              <w:rPr>
                <w:b/>
                <w:sz w:val="16"/>
              </w:rPr>
            </w:pPr>
            <w:r>
              <w:rPr>
                <w:b/>
                <w:color w:val="404040"/>
                <w:sz w:val="16"/>
              </w:rPr>
              <w:t>Years with non income support payments only</w:t>
            </w:r>
          </w:p>
        </w:tc>
        <w:tc>
          <w:tcPr>
            <w:tcW w:w="1765" w:type="dxa"/>
            <w:tcBorders>
              <w:top w:val="single" w:sz="4" w:space="0" w:color="DF2F1E"/>
              <w:bottom w:val="single" w:sz="4" w:space="0" w:color="DF2F1E"/>
            </w:tcBorders>
          </w:tcPr>
          <w:p>
            <w:pPr>
              <w:pStyle w:val="TableParagraph"/>
              <w:ind w:right="234"/>
              <w:jc w:val="center"/>
              <w:rPr>
                <w:sz w:val="16"/>
              </w:rPr>
            </w:pPr>
            <w:r>
              <w:rPr>
                <w:color w:val="404040"/>
                <w:w w:val="100"/>
                <w:sz w:val="16"/>
              </w:rPr>
              <w:t>2</w:t>
            </w:r>
          </w:p>
        </w:tc>
        <w:tc>
          <w:tcPr>
            <w:tcW w:w="2773" w:type="dxa"/>
            <w:tcBorders>
              <w:top w:val="single" w:sz="4" w:space="0" w:color="DF2F1E"/>
              <w:bottom w:val="single" w:sz="4" w:space="0" w:color="DF2F1E"/>
              <w:right w:val="single" w:sz="4" w:space="0" w:color="DF2F1E"/>
            </w:tcBorders>
          </w:tcPr>
          <w:p>
            <w:pPr>
              <w:pStyle w:val="TableParagraph"/>
              <w:ind w:left="1293" w:right="1020"/>
              <w:jc w:val="center"/>
              <w:rPr>
                <w:sz w:val="16"/>
              </w:rPr>
            </w:pPr>
            <w:r>
              <w:rPr>
                <w:color w:val="404040"/>
                <w:sz w:val="16"/>
              </w:rPr>
              <w:t>4%</w:t>
            </w:r>
          </w:p>
        </w:tc>
      </w:tr>
      <w:tr>
        <w:trPr>
          <w:trHeight w:val="263" w:hRule="atLeast"/>
        </w:trPr>
        <w:tc>
          <w:tcPr>
            <w:tcW w:w="4330" w:type="dxa"/>
            <w:tcBorders>
              <w:top w:val="single" w:sz="4" w:space="0" w:color="DF2F1E"/>
              <w:left w:val="single" w:sz="4" w:space="0" w:color="DF2F1E"/>
              <w:bottom w:val="single" w:sz="4" w:space="0" w:color="DF2F1E"/>
            </w:tcBorders>
          </w:tcPr>
          <w:p>
            <w:pPr>
              <w:pStyle w:val="TableParagraph"/>
              <w:spacing w:before="34"/>
              <w:ind w:left="107"/>
              <w:rPr>
                <w:b/>
                <w:sz w:val="16"/>
              </w:rPr>
            </w:pPr>
            <w:r>
              <w:rPr>
                <w:b/>
                <w:color w:val="404040"/>
                <w:sz w:val="16"/>
              </w:rPr>
              <w:t>Years not receiving any welfare payments</w:t>
            </w:r>
          </w:p>
        </w:tc>
        <w:tc>
          <w:tcPr>
            <w:tcW w:w="1765" w:type="dxa"/>
            <w:tcBorders>
              <w:top w:val="single" w:sz="4" w:space="0" w:color="DF2F1E"/>
              <w:bottom w:val="single" w:sz="4" w:space="0" w:color="DF2F1E"/>
            </w:tcBorders>
          </w:tcPr>
          <w:p>
            <w:pPr>
              <w:pStyle w:val="TableParagraph"/>
              <w:ind w:left="149" w:right="381"/>
              <w:jc w:val="center"/>
              <w:rPr>
                <w:sz w:val="16"/>
              </w:rPr>
            </w:pPr>
            <w:r>
              <w:rPr>
                <w:color w:val="404040"/>
                <w:sz w:val="16"/>
              </w:rPr>
              <w:t>28</w:t>
            </w:r>
          </w:p>
        </w:tc>
        <w:tc>
          <w:tcPr>
            <w:tcW w:w="2773" w:type="dxa"/>
            <w:tcBorders>
              <w:top w:val="single" w:sz="4" w:space="0" w:color="DF2F1E"/>
              <w:bottom w:val="single" w:sz="4" w:space="0" w:color="DF2F1E"/>
              <w:right w:val="single" w:sz="4" w:space="0" w:color="DF2F1E"/>
            </w:tcBorders>
          </w:tcPr>
          <w:p>
            <w:pPr>
              <w:pStyle w:val="TableParagraph"/>
              <w:ind w:left="1293" w:right="1023"/>
              <w:jc w:val="center"/>
              <w:rPr>
                <w:sz w:val="16"/>
              </w:rPr>
            </w:pPr>
            <w:r>
              <w:rPr>
                <w:color w:val="404040"/>
                <w:sz w:val="16"/>
              </w:rPr>
              <w:t>62%</w:t>
            </w:r>
          </w:p>
        </w:tc>
      </w:tr>
      <w:tr>
        <w:trPr>
          <w:trHeight w:val="266" w:hRule="atLeast"/>
        </w:trPr>
        <w:tc>
          <w:tcPr>
            <w:tcW w:w="4330" w:type="dxa"/>
            <w:tcBorders>
              <w:top w:val="single" w:sz="4" w:space="0" w:color="DF2F1E"/>
              <w:left w:val="single" w:sz="4" w:space="0" w:color="DF2F1E"/>
              <w:bottom w:val="single" w:sz="4" w:space="0" w:color="DF2F1E"/>
            </w:tcBorders>
          </w:tcPr>
          <w:p>
            <w:pPr>
              <w:pStyle w:val="TableParagraph"/>
              <w:ind w:left="107"/>
              <w:rPr>
                <w:b/>
                <w:sz w:val="16"/>
              </w:rPr>
            </w:pPr>
            <w:r>
              <w:rPr>
                <w:b/>
                <w:color w:val="404040"/>
                <w:sz w:val="16"/>
              </w:rPr>
              <w:t>Total</w:t>
            </w:r>
          </w:p>
        </w:tc>
        <w:tc>
          <w:tcPr>
            <w:tcW w:w="1765" w:type="dxa"/>
            <w:tcBorders>
              <w:top w:val="single" w:sz="4" w:space="0" w:color="DF2F1E"/>
              <w:bottom w:val="single" w:sz="4" w:space="0" w:color="DF2F1E"/>
            </w:tcBorders>
          </w:tcPr>
          <w:p>
            <w:pPr>
              <w:pStyle w:val="TableParagraph"/>
              <w:spacing w:before="39"/>
              <w:ind w:left="149" w:right="381"/>
              <w:jc w:val="center"/>
              <w:rPr>
                <w:sz w:val="16"/>
              </w:rPr>
            </w:pPr>
            <w:r>
              <w:rPr>
                <w:color w:val="404040"/>
                <w:sz w:val="16"/>
              </w:rPr>
              <w:t>46</w:t>
            </w:r>
          </w:p>
        </w:tc>
        <w:tc>
          <w:tcPr>
            <w:tcW w:w="2773" w:type="dxa"/>
            <w:tcBorders>
              <w:top w:val="single" w:sz="4" w:space="0" w:color="DF2F1E"/>
              <w:bottom w:val="single" w:sz="4" w:space="0" w:color="DF2F1E"/>
              <w:right w:val="single" w:sz="4" w:space="0" w:color="DF2F1E"/>
            </w:tcBorders>
          </w:tcPr>
          <w:p>
            <w:pPr>
              <w:pStyle w:val="TableParagraph"/>
              <w:spacing w:before="39"/>
              <w:ind w:left="1293" w:right="1025"/>
              <w:jc w:val="center"/>
              <w:rPr>
                <w:sz w:val="16"/>
              </w:rPr>
            </w:pPr>
            <w:r>
              <w:rPr>
                <w:color w:val="404040"/>
                <w:sz w:val="16"/>
              </w:rPr>
              <w:t>100%</w:t>
            </w:r>
          </w:p>
        </w:tc>
      </w:tr>
    </w:tbl>
    <w:p>
      <w:pPr>
        <w:spacing w:after="0"/>
        <w:jc w:val="center"/>
        <w:rPr>
          <w:sz w:val="16"/>
        </w:rPr>
        <w:sectPr>
          <w:type w:val="continuous"/>
          <w:pgSz w:w="11910" w:h="16850"/>
          <w:pgMar w:top="1600" w:bottom="280" w:left="120" w:right="0"/>
        </w:sectPr>
      </w:pPr>
    </w:p>
    <w:p>
      <w:pPr>
        <w:pStyle w:val="BodyText"/>
        <w:rPr>
          <w:b/>
        </w:rPr>
      </w:pPr>
    </w:p>
    <w:p>
      <w:pPr>
        <w:pStyle w:val="BodyText"/>
        <w:rPr>
          <w:b/>
        </w:rPr>
      </w:pPr>
    </w:p>
    <w:p>
      <w:pPr>
        <w:pStyle w:val="BodyText"/>
        <w:spacing w:before="8"/>
        <w:rPr>
          <w:b/>
          <w:sz w:val="21"/>
        </w:rPr>
      </w:pPr>
    </w:p>
    <w:p>
      <w:pPr>
        <w:pStyle w:val="ListParagraph"/>
        <w:numPr>
          <w:ilvl w:val="1"/>
          <w:numId w:val="76"/>
        </w:numPr>
        <w:tabs>
          <w:tab w:pos="1752" w:val="left" w:leader="none"/>
          <w:tab w:pos="1753" w:val="left" w:leader="none"/>
        </w:tabs>
        <w:spacing w:line="240" w:lineRule="auto" w:before="91" w:after="0"/>
        <w:ind w:left="1752" w:right="0" w:hanging="853"/>
        <w:jc w:val="left"/>
        <w:rPr>
          <w:sz w:val="28"/>
        </w:rPr>
      </w:pPr>
      <w:r>
        <w:rPr/>
        <w:pict>
          <v:shape style="position:absolute;margin-left:51pt;margin-top:26.801851pt;width:493.35pt;height:187.45pt;mso-position-horizontal-relative:page;mso-position-vertical-relative:paragraph;z-index:-250533888;mso-wrap-distance-left:0;mso-wrap-distance-right:0" type="#_x0000_t202" filled="true" fillcolor="#f3aba3" stroked="false">
            <v:textbox inset="0,0,0,0">
              <w:txbxContent>
                <w:p>
                  <w:pPr>
                    <w:spacing w:before="117"/>
                    <w:ind w:left="107" w:right="0" w:firstLine="0"/>
                    <w:jc w:val="left"/>
                    <w:rPr>
                      <w:b/>
                      <w:sz w:val="20"/>
                    </w:rPr>
                  </w:pPr>
                  <w:r>
                    <w:rPr>
                      <w:b/>
                      <w:color w:val="404040"/>
                      <w:sz w:val="20"/>
                    </w:rPr>
                    <w:t>Key points</w:t>
                  </w:r>
                </w:p>
                <w:p>
                  <w:pPr>
                    <w:pStyle w:val="BodyText"/>
                    <w:spacing w:before="120"/>
                    <w:ind w:left="107" w:right="190"/>
                  </w:pPr>
                  <w:r>
                    <w:rPr>
                      <w:color w:val="404040"/>
                    </w:rPr>
                    <w:t>There were 12,266,000 people (or 49% of the Australian population) in the rest of the Australian population class at 30 June 2018. This includes all people who have never used welfare (or not used welfare since July 2001, when the data started).</w:t>
                  </w:r>
                </w:p>
                <w:p>
                  <w:pPr>
                    <w:pStyle w:val="BodyText"/>
                    <w:numPr>
                      <w:ilvl w:val="0"/>
                      <w:numId w:val="81"/>
                    </w:numPr>
                    <w:tabs>
                      <w:tab w:pos="392" w:val="left" w:leader="none"/>
                    </w:tabs>
                    <w:spacing w:line="240" w:lineRule="auto" w:before="120" w:after="0"/>
                    <w:ind w:left="391" w:right="181" w:hanging="284"/>
                    <w:jc w:val="left"/>
                  </w:pPr>
                  <w:r>
                    <w:rPr>
                      <w:color w:val="404040"/>
                    </w:rPr>
                    <w:t>When entering the system for the first time, most people initially receive student, Working Age or family payments</w:t>
                  </w:r>
                  <w:r>
                    <w:rPr>
                      <w:color w:val="404040"/>
                      <w:spacing w:val="-3"/>
                    </w:rPr>
                    <w:t> </w:t>
                  </w:r>
                  <w:r>
                    <w:rPr>
                      <w:color w:val="404040"/>
                    </w:rPr>
                    <w:t>if</w:t>
                  </w:r>
                  <w:r>
                    <w:rPr>
                      <w:color w:val="404040"/>
                      <w:spacing w:val="-2"/>
                    </w:rPr>
                    <w:t> </w:t>
                  </w:r>
                  <w:r>
                    <w:rPr>
                      <w:color w:val="404040"/>
                    </w:rPr>
                    <w:t>they</w:t>
                  </w:r>
                  <w:r>
                    <w:rPr>
                      <w:color w:val="404040"/>
                      <w:spacing w:val="-6"/>
                    </w:rPr>
                    <w:t> </w:t>
                  </w:r>
                  <w:r>
                    <w:rPr>
                      <w:color w:val="404040"/>
                    </w:rPr>
                    <w:t>enter</w:t>
                  </w:r>
                  <w:r>
                    <w:rPr>
                      <w:color w:val="404040"/>
                      <w:spacing w:val="-3"/>
                    </w:rPr>
                    <w:t> </w:t>
                  </w:r>
                  <w:r>
                    <w:rPr>
                      <w:color w:val="404040"/>
                    </w:rPr>
                    <w:t>before</w:t>
                  </w:r>
                  <w:r>
                    <w:rPr>
                      <w:color w:val="404040"/>
                      <w:spacing w:val="-4"/>
                    </w:rPr>
                    <w:t> </w:t>
                  </w:r>
                  <w:r>
                    <w:rPr>
                      <w:color w:val="404040"/>
                    </w:rPr>
                    <w:t>retirement</w:t>
                  </w:r>
                  <w:r>
                    <w:rPr>
                      <w:color w:val="404040"/>
                      <w:spacing w:val="-3"/>
                    </w:rPr>
                    <w:t> </w:t>
                  </w:r>
                  <w:r>
                    <w:rPr>
                      <w:color w:val="404040"/>
                    </w:rPr>
                    <w:t>age;</w:t>
                  </w:r>
                  <w:r>
                    <w:rPr>
                      <w:color w:val="404040"/>
                      <w:spacing w:val="-4"/>
                    </w:rPr>
                    <w:t> </w:t>
                  </w:r>
                  <w:r>
                    <w:rPr>
                      <w:color w:val="404040"/>
                    </w:rPr>
                    <w:t>or</w:t>
                  </w:r>
                  <w:r>
                    <w:rPr>
                      <w:color w:val="404040"/>
                      <w:spacing w:val="1"/>
                    </w:rPr>
                    <w:t> </w:t>
                  </w:r>
                  <w:r>
                    <w:rPr>
                      <w:color w:val="404040"/>
                    </w:rPr>
                    <w:t>Age</w:t>
                  </w:r>
                  <w:r>
                    <w:rPr>
                      <w:color w:val="404040"/>
                      <w:spacing w:val="-1"/>
                    </w:rPr>
                    <w:t> </w:t>
                  </w:r>
                  <w:r>
                    <w:rPr>
                      <w:color w:val="404040"/>
                    </w:rPr>
                    <w:t>Pension</w:t>
                  </w:r>
                  <w:r>
                    <w:rPr>
                      <w:color w:val="404040"/>
                      <w:spacing w:val="-4"/>
                    </w:rPr>
                    <w:t> </w:t>
                  </w:r>
                  <w:r>
                    <w:rPr>
                      <w:color w:val="404040"/>
                    </w:rPr>
                    <w:t>payments if</w:t>
                  </w:r>
                  <w:r>
                    <w:rPr>
                      <w:color w:val="404040"/>
                      <w:spacing w:val="-1"/>
                    </w:rPr>
                    <w:t> </w:t>
                  </w:r>
                  <w:r>
                    <w:rPr>
                      <w:color w:val="404040"/>
                    </w:rPr>
                    <w:t>they</w:t>
                  </w:r>
                  <w:r>
                    <w:rPr>
                      <w:color w:val="404040"/>
                      <w:spacing w:val="-7"/>
                    </w:rPr>
                    <w:t> </w:t>
                  </w:r>
                  <w:r>
                    <w:rPr>
                      <w:color w:val="404040"/>
                    </w:rPr>
                    <w:t>enter</w:t>
                  </w:r>
                  <w:r>
                    <w:rPr>
                      <w:color w:val="404040"/>
                      <w:spacing w:val="-3"/>
                    </w:rPr>
                    <w:t> </w:t>
                  </w:r>
                  <w:r>
                    <w:rPr>
                      <w:color w:val="404040"/>
                    </w:rPr>
                    <w:t>after</w:t>
                  </w:r>
                  <w:r>
                    <w:rPr>
                      <w:color w:val="404040"/>
                      <w:spacing w:val="-2"/>
                    </w:rPr>
                    <w:t> </w:t>
                  </w:r>
                  <w:r>
                    <w:rPr>
                      <w:color w:val="404040"/>
                    </w:rPr>
                    <w:t>retirement</w:t>
                  </w:r>
                  <w:r>
                    <w:rPr>
                      <w:color w:val="404040"/>
                      <w:spacing w:val="-4"/>
                    </w:rPr>
                    <w:t> </w:t>
                  </w:r>
                  <w:r>
                    <w:rPr>
                      <w:color w:val="404040"/>
                    </w:rPr>
                    <w:t>age.</w:t>
                  </w:r>
                </w:p>
                <w:p>
                  <w:pPr>
                    <w:pStyle w:val="BodyText"/>
                    <w:numPr>
                      <w:ilvl w:val="0"/>
                      <w:numId w:val="81"/>
                    </w:numPr>
                    <w:tabs>
                      <w:tab w:pos="392" w:val="left" w:leader="none"/>
                    </w:tabs>
                    <w:spacing w:line="240" w:lineRule="auto" w:before="118" w:after="0"/>
                    <w:ind w:left="391" w:right="519" w:hanging="284"/>
                    <w:jc w:val="left"/>
                  </w:pPr>
                  <w:r>
                    <w:rPr>
                      <w:color w:val="404040"/>
                    </w:rPr>
                    <w:t>People</w:t>
                  </w:r>
                  <w:r>
                    <w:rPr>
                      <w:color w:val="404040"/>
                      <w:spacing w:val="-1"/>
                    </w:rPr>
                    <w:t> </w:t>
                  </w:r>
                  <w:r>
                    <w:rPr>
                      <w:color w:val="404040"/>
                    </w:rPr>
                    <w:t>whose</w:t>
                  </w:r>
                  <w:r>
                    <w:rPr>
                      <w:color w:val="404040"/>
                      <w:spacing w:val="-3"/>
                    </w:rPr>
                    <w:t> </w:t>
                  </w:r>
                  <w:r>
                    <w:rPr>
                      <w:color w:val="404040"/>
                    </w:rPr>
                    <w:t>parents</w:t>
                  </w:r>
                  <w:r>
                    <w:rPr>
                      <w:color w:val="404040"/>
                      <w:spacing w:val="-2"/>
                    </w:rPr>
                    <w:t> </w:t>
                  </w:r>
                  <w:r>
                    <w:rPr>
                      <w:color w:val="404040"/>
                    </w:rPr>
                    <w:t>have</w:t>
                  </w:r>
                  <w:r>
                    <w:rPr>
                      <w:color w:val="404040"/>
                      <w:spacing w:val="-3"/>
                    </w:rPr>
                    <w:t> </w:t>
                  </w:r>
                  <w:r>
                    <w:rPr>
                      <w:color w:val="404040"/>
                    </w:rPr>
                    <w:t>a</w:t>
                  </w:r>
                  <w:r>
                    <w:rPr>
                      <w:color w:val="404040"/>
                      <w:spacing w:val="-3"/>
                    </w:rPr>
                    <w:t> </w:t>
                  </w:r>
                  <w:r>
                    <w:rPr>
                      <w:color w:val="404040"/>
                    </w:rPr>
                    <w:t>more</w:t>
                  </w:r>
                  <w:r>
                    <w:rPr>
                      <w:color w:val="404040"/>
                      <w:spacing w:val="-3"/>
                    </w:rPr>
                    <w:t> </w:t>
                  </w:r>
                  <w:r>
                    <w:rPr>
                      <w:color w:val="404040"/>
                    </w:rPr>
                    <w:t>intensive</w:t>
                  </w:r>
                  <w:r>
                    <w:rPr>
                      <w:color w:val="404040"/>
                      <w:spacing w:val="-3"/>
                    </w:rPr>
                    <w:t> </w:t>
                  </w:r>
                  <w:r>
                    <w:rPr>
                      <w:color w:val="404040"/>
                    </w:rPr>
                    <w:t>history</w:t>
                  </w:r>
                  <w:r>
                    <w:rPr>
                      <w:color w:val="404040"/>
                      <w:spacing w:val="-6"/>
                    </w:rPr>
                    <w:t> </w:t>
                  </w:r>
                  <w:r>
                    <w:rPr>
                      <w:color w:val="404040"/>
                    </w:rPr>
                    <w:t>of</w:t>
                  </w:r>
                  <w:r>
                    <w:rPr>
                      <w:color w:val="404040"/>
                      <w:spacing w:val="-1"/>
                    </w:rPr>
                    <w:t> </w:t>
                  </w:r>
                  <w:r>
                    <w:rPr>
                      <w:color w:val="404040"/>
                    </w:rPr>
                    <w:t>welfare</w:t>
                  </w:r>
                  <w:r>
                    <w:rPr>
                      <w:color w:val="404040"/>
                      <w:spacing w:val="-3"/>
                    </w:rPr>
                    <w:t> </w:t>
                  </w:r>
                  <w:r>
                    <w:rPr>
                      <w:color w:val="404040"/>
                    </w:rPr>
                    <w:t>use tend</w:t>
                  </w:r>
                  <w:r>
                    <w:rPr>
                      <w:color w:val="404040"/>
                      <w:spacing w:val="-3"/>
                    </w:rPr>
                    <w:t> </w:t>
                  </w:r>
                  <w:r>
                    <w:rPr>
                      <w:color w:val="404040"/>
                    </w:rPr>
                    <w:t>to</w:t>
                  </w:r>
                  <w:r>
                    <w:rPr>
                      <w:color w:val="404040"/>
                      <w:spacing w:val="-3"/>
                    </w:rPr>
                    <w:t> </w:t>
                  </w:r>
                  <w:r>
                    <w:rPr>
                      <w:color w:val="404040"/>
                    </w:rPr>
                    <w:t>be</w:t>
                  </w:r>
                  <w:r>
                    <w:rPr>
                      <w:color w:val="404040"/>
                      <w:spacing w:val="-1"/>
                    </w:rPr>
                    <w:t> </w:t>
                  </w:r>
                  <w:r>
                    <w:rPr>
                      <w:color w:val="404040"/>
                    </w:rPr>
                    <w:t>more</w:t>
                  </w:r>
                  <w:r>
                    <w:rPr>
                      <w:color w:val="404040"/>
                      <w:spacing w:val="-3"/>
                    </w:rPr>
                    <w:t> </w:t>
                  </w:r>
                  <w:r>
                    <w:rPr>
                      <w:color w:val="404040"/>
                    </w:rPr>
                    <w:t>likely</w:t>
                  </w:r>
                  <w:r>
                    <w:rPr>
                      <w:color w:val="404040"/>
                      <w:spacing w:val="-4"/>
                    </w:rPr>
                    <w:t> </w:t>
                  </w:r>
                  <w:r>
                    <w:rPr>
                      <w:color w:val="404040"/>
                    </w:rPr>
                    <w:t>to</w:t>
                  </w:r>
                  <w:r>
                    <w:rPr>
                      <w:color w:val="404040"/>
                      <w:spacing w:val="-1"/>
                    </w:rPr>
                    <w:t> </w:t>
                  </w:r>
                  <w:r>
                    <w:rPr>
                      <w:color w:val="404040"/>
                    </w:rPr>
                    <w:t>enter</w:t>
                  </w:r>
                  <w:r>
                    <w:rPr>
                      <w:color w:val="404040"/>
                      <w:spacing w:val="-2"/>
                    </w:rPr>
                    <w:t> </w:t>
                  </w:r>
                  <w:r>
                    <w:rPr>
                      <w:color w:val="404040"/>
                    </w:rPr>
                    <w:t>the welfare system</w:t>
                  </w:r>
                  <w:r>
                    <w:rPr>
                      <w:color w:val="404040"/>
                      <w:spacing w:val="2"/>
                    </w:rPr>
                    <w:t> </w:t>
                  </w:r>
                  <w:r>
                    <w:rPr>
                      <w:color w:val="404040"/>
                    </w:rPr>
                    <w:t>earlier.</w:t>
                  </w:r>
                </w:p>
                <w:p>
                  <w:pPr>
                    <w:pStyle w:val="BodyText"/>
                    <w:numPr>
                      <w:ilvl w:val="0"/>
                      <w:numId w:val="81"/>
                    </w:numPr>
                    <w:tabs>
                      <w:tab w:pos="392" w:val="left" w:leader="none"/>
                    </w:tabs>
                    <w:spacing w:line="240" w:lineRule="auto" w:before="120" w:after="0"/>
                    <w:ind w:left="391" w:right="159" w:hanging="284"/>
                    <w:jc w:val="left"/>
                  </w:pPr>
                  <w:r>
                    <w:rPr>
                      <w:color w:val="404040"/>
                    </w:rPr>
                    <w:t>The</w:t>
                  </w:r>
                  <w:r>
                    <w:rPr>
                      <w:color w:val="404040"/>
                      <w:spacing w:val="-4"/>
                    </w:rPr>
                    <w:t> </w:t>
                  </w:r>
                  <w:r>
                    <w:rPr>
                      <w:color w:val="404040"/>
                    </w:rPr>
                    <w:t>lifetime</w:t>
                  </w:r>
                  <w:r>
                    <w:rPr>
                      <w:color w:val="404040"/>
                      <w:spacing w:val="-3"/>
                    </w:rPr>
                    <w:t> </w:t>
                  </w:r>
                  <w:r>
                    <w:rPr>
                      <w:color w:val="404040"/>
                    </w:rPr>
                    <w:t>cost</w:t>
                  </w:r>
                  <w:r>
                    <w:rPr>
                      <w:color w:val="404040"/>
                      <w:spacing w:val="-3"/>
                    </w:rPr>
                    <w:t> </w:t>
                  </w:r>
                  <w:r>
                    <w:rPr>
                      <w:color w:val="404040"/>
                    </w:rPr>
                    <w:t>for</w:t>
                  </w:r>
                  <w:r>
                    <w:rPr>
                      <w:color w:val="404040"/>
                      <w:spacing w:val="-3"/>
                    </w:rPr>
                    <w:t> </w:t>
                  </w:r>
                  <w:r>
                    <w:rPr>
                      <w:color w:val="404040"/>
                    </w:rPr>
                    <w:t>this</w:t>
                  </w:r>
                  <w:r>
                    <w:rPr>
                      <w:color w:val="404040"/>
                      <w:spacing w:val="-2"/>
                    </w:rPr>
                    <w:t> </w:t>
                  </w:r>
                  <w:r>
                    <w:rPr>
                      <w:color w:val="404040"/>
                    </w:rPr>
                    <w:t>class</w:t>
                  </w:r>
                  <w:r>
                    <w:rPr>
                      <w:color w:val="404040"/>
                      <w:spacing w:val="-2"/>
                    </w:rPr>
                    <w:t> </w:t>
                  </w:r>
                  <w:r>
                    <w:rPr>
                      <w:color w:val="404040"/>
                    </w:rPr>
                    <w:t>is</w:t>
                  </w:r>
                  <w:r>
                    <w:rPr>
                      <w:color w:val="404040"/>
                      <w:spacing w:val="-2"/>
                    </w:rPr>
                    <w:t> </w:t>
                  </w:r>
                  <w:r>
                    <w:rPr>
                      <w:color w:val="404040"/>
                    </w:rPr>
                    <w:t>$2,323bn,</w:t>
                  </w:r>
                  <w:r>
                    <w:rPr>
                      <w:color w:val="404040"/>
                      <w:spacing w:val="-2"/>
                    </w:rPr>
                    <w:t> </w:t>
                  </w:r>
                  <w:r>
                    <w:rPr>
                      <w:color w:val="404040"/>
                    </w:rPr>
                    <w:t>which</w:t>
                  </w:r>
                  <w:r>
                    <w:rPr>
                      <w:color w:val="404040"/>
                      <w:spacing w:val="-3"/>
                    </w:rPr>
                    <w:t> </w:t>
                  </w:r>
                  <w:r>
                    <w:rPr>
                      <w:color w:val="404040"/>
                    </w:rPr>
                    <w:t>is $385bn</w:t>
                  </w:r>
                  <w:r>
                    <w:rPr>
                      <w:color w:val="404040"/>
                      <w:spacing w:val="-1"/>
                    </w:rPr>
                    <w:t> </w:t>
                  </w:r>
                  <w:r>
                    <w:rPr>
                      <w:color w:val="404040"/>
                    </w:rPr>
                    <w:t>below</w:t>
                  </w:r>
                  <w:r>
                    <w:rPr>
                      <w:color w:val="404040"/>
                      <w:spacing w:val="-3"/>
                    </w:rPr>
                    <w:t> </w:t>
                  </w:r>
                  <w:r>
                    <w:rPr>
                      <w:color w:val="404040"/>
                    </w:rPr>
                    <w:t>the</w:t>
                  </w:r>
                  <w:r>
                    <w:rPr>
                      <w:color w:val="404040"/>
                      <w:spacing w:val="-3"/>
                    </w:rPr>
                    <w:t> </w:t>
                  </w:r>
                  <w:r>
                    <w:rPr>
                      <w:color w:val="404040"/>
                    </w:rPr>
                    <w:t>rebased</w:t>
                  </w:r>
                  <w:r>
                    <w:rPr>
                      <w:color w:val="404040"/>
                      <w:spacing w:val="-4"/>
                    </w:rPr>
                    <w:t> </w:t>
                  </w:r>
                  <w:r>
                    <w:rPr>
                      <w:color w:val="404040"/>
                    </w:rPr>
                    <w:t>2017</w:t>
                  </w:r>
                  <w:r>
                    <w:rPr>
                      <w:color w:val="404040"/>
                      <w:spacing w:val="-3"/>
                    </w:rPr>
                    <w:t> </w:t>
                  </w:r>
                  <w:r>
                    <w:rPr>
                      <w:color w:val="404040"/>
                    </w:rPr>
                    <w:t>lifetime</w:t>
                  </w:r>
                  <w:r>
                    <w:rPr>
                      <w:color w:val="404040"/>
                      <w:spacing w:val="-3"/>
                    </w:rPr>
                    <w:t> </w:t>
                  </w:r>
                  <w:r>
                    <w:rPr>
                      <w:color w:val="404040"/>
                    </w:rPr>
                    <w:t>cost.</w:t>
                  </w:r>
                  <w:r>
                    <w:rPr>
                      <w:color w:val="404040"/>
                      <w:spacing w:val="-3"/>
                    </w:rPr>
                    <w:t> </w:t>
                  </w:r>
                  <w:r>
                    <w:rPr>
                      <w:color w:val="404040"/>
                    </w:rPr>
                    <w:t>As with the previous welfare recipient class, the reduction is driven by decreased assumptions for future payment utilisation in light of recent decreases in both entries into income support and persistency on payments once in receipt of income support. This is partially offset by an increase in the number of people in the class.</w:t>
                  </w:r>
                </w:p>
              </w:txbxContent>
            </v:textbox>
            <v:fill type="solid"/>
            <w10:wrap type="topAndBottom"/>
          </v:shape>
        </w:pict>
      </w:r>
      <w:bookmarkStart w:name="8.2 Rest of the Australian population" w:id="222"/>
      <w:bookmarkEnd w:id="222"/>
      <w:r>
        <w:rPr/>
      </w:r>
      <w:bookmarkStart w:name="_bookmark54" w:id="223"/>
      <w:bookmarkEnd w:id="223"/>
      <w:r>
        <w:rPr/>
      </w:r>
      <w:bookmarkStart w:name="_bookmark54" w:id="224"/>
      <w:bookmarkEnd w:id="224"/>
      <w:r>
        <w:rPr>
          <w:color w:val="DF2F28"/>
          <w:sz w:val="28"/>
        </w:rPr>
        <w:t>R</w:t>
      </w:r>
      <w:r>
        <w:rPr>
          <w:color w:val="DF2F28"/>
          <w:sz w:val="28"/>
        </w:rPr>
        <w:t>est of the Australian</w:t>
      </w:r>
      <w:r>
        <w:rPr>
          <w:color w:val="DF2F28"/>
          <w:spacing w:val="-5"/>
          <w:sz w:val="28"/>
        </w:rPr>
        <w:t> </w:t>
      </w:r>
      <w:r>
        <w:rPr>
          <w:color w:val="DF2F28"/>
          <w:sz w:val="28"/>
        </w:rPr>
        <w:t>population</w:t>
      </w:r>
    </w:p>
    <w:p>
      <w:pPr>
        <w:pStyle w:val="BodyText"/>
        <w:spacing w:before="104"/>
        <w:ind w:left="900" w:right="1163"/>
      </w:pPr>
      <w:r>
        <w:rPr>
          <w:color w:val="404040"/>
        </w:rPr>
        <w:t>This group (class 12) is the remainder of the population, being the group of people who have not received any payments during the period covered by the data analysed – broadly the last 17 years. This group will include some people who were welfare recipients prior to that time alongside others who have never received a payment.</w:t>
      </w:r>
    </w:p>
    <w:p>
      <w:pPr>
        <w:pStyle w:val="BodyText"/>
        <w:spacing w:before="10"/>
      </w:pPr>
    </w:p>
    <w:p>
      <w:pPr>
        <w:pStyle w:val="Heading4"/>
      </w:pPr>
      <w:bookmarkStart w:name="Recent and projected trends for the rest" w:id="225"/>
      <w:bookmarkEnd w:id="225"/>
      <w:r>
        <w:rPr/>
      </w:r>
      <w:r>
        <w:rPr>
          <w:color w:val="DF2F28"/>
        </w:rPr>
        <w:t>Recent and projected trends for the rest of the Australian population class</w:t>
      </w:r>
    </w:p>
    <w:p>
      <w:pPr>
        <w:pStyle w:val="BodyText"/>
        <w:spacing w:before="122"/>
        <w:ind w:left="900" w:right="1108"/>
      </w:pPr>
      <w:r>
        <w:rPr>
          <w:color w:val="404040"/>
        </w:rPr>
        <w:t>There were 12,266,000 people in the rest of the Australian population class in the 2018 model population. This represents 49.0% of the population of Australia which is a decrease from 49.2% at the previous valuation.</w:t>
      </w:r>
    </w:p>
    <w:p>
      <w:pPr>
        <w:pStyle w:val="BodyText"/>
        <w:spacing w:before="119"/>
        <w:ind w:left="899" w:right="1009"/>
      </w:pPr>
      <w:r>
        <w:rPr>
          <w:color w:val="404040"/>
        </w:rPr>
        <w:t>The following chart shows a breakdown of the number of people in the rest of the Australian population class by age and gender.</w:t>
      </w:r>
    </w:p>
    <w:p>
      <w:pPr>
        <w:pStyle w:val="Heading9"/>
        <w:spacing w:before="176"/>
        <w:ind w:left="899"/>
      </w:pPr>
      <w:r>
        <w:rPr>
          <w:color w:val="DF2F1E"/>
        </w:rPr>
        <w:t>Figure 102: 2018 profile of people in class 12 – rest of the Australian population (age / gender)</w:t>
      </w:r>
    </w:p>
    <w:p>
      <w:pPr>
        <w:pStyle w:val="BodyText"/>
        <w:rPr>
          <w:b/>
          <w:sz w:val="12"/>
        </w:rPr>
      </w:pPr>
    </w:p>
    <w:p>
      <w:pPr>
        <w:tabs>
          <w:tab w:pos="4052" w:val="left" w:leader="none"/>
        </w:tabs>
        <w:spacing w:before="72"/>
        <w:ind w:left="3530" w:right="0" w:firstLine="0"/>
        <w:jc w:val="left"/>
        <w:rPr>
          <w:rFonts w:ascii="Calibri"/>
          <w:sz w:val="14"/>
        </w:rPr>
      </w:pPr>
      <w:r>
        <w:rPr/>
        <w:pict>
          <v:group style="position:absolute;margin-left:176.65921pt;margin-top:5.95886pt;width:4.350pt;height:4.350pt;mso-position-horizontal-relative:page;mso-position-vertical-relative:paragraph;z-index:252784640" coordorigin="3533,119" coordsize="87,87">
            <v:rect style="position:absolute;left:3538;top:124;width:76;height:76" filled="true" fillcolor="#94b3d6" stroked="false">
              <v:fill type="solid"/>
            </v:rect>
            <v:rect style="position:absolute;left:3538;top:124;width:76;height:76" filled="false" stroked="true" strokeweight=".538321pt" strokecolor="#94b3d6">
              <v:stroke dashstyle="solid"/>
            </v:rect>
            <w10:wrap type="none"/>
          </v:group>
        </w:pict>
      </w:r>
      <w:r>
        <w:rPr/>
        <w:pict>
          <v:group style="position:absolute;margin-left:202.500549pt;margin-top:5.958889pt;width:4.850pt;height:4.350pt;mso-position-horizontal-relative:page;mso-position-vertical-relative:paragraph;z-index:-287117312" coordorigin="4050,119" coordsize="97,87">
            <v:rect style="position:absolute;left:4055;top:124;width:87;height:76" filled="true" fillcolor="#ffa7e1" stroked="false">
              <v:fill type="solid"/>
            </v:rect>
            <v:rect style="position:absolute;left:4055;top:124;width:87;height:76" filled="false" stroked="true" strokeweight=".538266pt" strokecolor="#ffa7e1">
              <v:stroke dashstyle="solid"/>
            </v:rect>
            <w10:wrap type="none"/>
          </v:group>
        </w:pict>
      </w:r>
      <w:r>
        <w:rPr>
          <w:rFonts w:ascii="Calibri"/>
          <w:sz w:val="14"/>
        </w:rPr>
        <w:t>Male</w:t>
        <w:tab/>
        <w:t>Female</w:t>
      </w:r>
    </w:p>
    <w:p>
      <w:pPr>
        <w:spacing w:after="0"/>
        <w:jc w:val="left"/>
        <w:rPr>
          <w:rFonts w:ascii="Calibri"/>
          <w:sz w:val="14"/>
        </w:rPr>
        <w:sectPr>
          <w:pgSz w:w="11910" w:h="16850"/>
          <w:pgMar w:header="572" w:footer="581" w:top="780" w:bottom="780" w:left="120" w:right="0"/>
        </w:sectPr>
      </w:pPr>
    </w:p>
    <w:p>
      <w:pPr>
        <w:spacing w:before="128"/>
        <w:ind w:left="1398" w:right="0" w:firstLine="0"/>
        <w:jc w:val="left"/>
        <w:rPr>
          <w:rFonts w:ascii="Calibri"/>
          <w:sz w:val="16"/>
        </w:rPr>
      </w:pPr>
      <w:r>
        <w:rPr/>
        <w:pict>
          <v:group style="position:absolute;margin-left:88.637192pt;margin-top:11.275573pt;width:232.35pt;height:108.2pt;mso-position-horizontal-relative:page;mso-position-vertical-relative:paragraph;z-index:252783616" coordorigin="1773,226" coordsize="4647,2164">
            <v:shape style="position:absolute;left:-518661;top:-263592;width:518661;height:271150" coordorigin="-518661,-263591" coordsize="518661,271150" path="m6413,236l6413,2335m5832,236l5832,2335m5261,236l5261,2335m4691,236l4691,2335m4120,236l4120,2335m3539,236l3539,2335m2968,236l2968,2335m2397,236l2397,2335e" filled="false" stroked="true" strokeweight=".538249pt" strokecolor="#f1f1f1">
              <v:path arrowok="t"/>
              <v:stroke dashstyle="solid"/>
            </v:shape>
            <v:line style="position:absolute" from="2333,2313" to="4120,2313" stroked="true" strokeweight="1.076255pt" strokecolor="#94b3d6">
              <v:stroke dashstyle="solid"/>
            </v:line>
            <v:line style="position:absolute" from="2343,2332" to="4120,2332" stroked="true" strokeweight=".807902pt" strokecolor="#94b3d6">
              <v:stroke dashstyle="solid"/>
            </v:line>
            <v:line style="position:absolute" from="2214,2292" to="4120,2292" stroked="true" strokeweight="1.076264pt" strokecolor="#94b3d6">
              <v:stroke dashstyle="solid"/>
            </v:line>
            <v:line style="position:absolute" from="2268,2270" to="4120,2270" stroked="true" strokeweight="1.076255pt" strokecolor="#94b3d6">
              <v:stroke dashstyle="solid"/>
            </v:line>
            <v:line style="position:absolute" from="2247,2174" to="4120,2174" stroked="true" strokeweight="1.076255pt" strokecolor="#94b3d6">
              <v:stroke dashstyle="solid"/>
            </v:line>
            <v:shape style="position:absolute;left:2203;top:2185;width:1917;height:54" coordorigin="2203,2185" coordsize="1917,54" path="m4120,2185l2214,2185,2214,2205,2203,2205,2203,2239,4120,2239,4120,2205,4120,2185e" filled="true" fillcolor="#94b3d6" stroked="false">
              <v:path arrowok="t"/>
              <v:fill type="solid"/>
            </v:shape>
            <v:line style="position:absolute" from="2236,2249" to="4120,2249" stroked="true" strokeweight="1.076255pt" strokecolor="#94b3d6">
              <v:stroke dashstyle="solid"/>
            </v:line>
            <v:shape style="position:absolute;left:2214;top:2119;width:1906;height:44" coordorigin="2214,2119" coordsize="1906,44" path="m4120,2119l2214,2119,2214,2141,2225,2141,2225,2163,4120,2163,4120,2141,4120,2119e" filled="true" fillcolor="#94b3d6" stroked="false">
              <v:path arrowok="t"/>
              <v:fill type="solid"/>
            </v:shape>
            <v:line style="position:absolute" from="2300,2109" to="4120,2109" stroked="true" strokeweight="1.076264pt" strokecolor="#94b3d6">
              <v:stroke dashstyle="solid"/>
            </v:line>
            <v:line style="position:absolute" from="2354,2055" to="4120,2055" stroked="true" strokeweight="1.076255pt" strokecolor="#94b3d6">
              <v:stroke dashstyle="solid"/>
            </v:line>
            <v:rect style="position:absolute;left:2278;top:2065;width:1842;height:34" filled="true" fillcolor="#94b3d6" stroked="false">
              <v:fill type="solid"/>
            </v:rect>
            <v:shape style="position:absolute;left:4120;top:2065;width:2;height:2" coordorigin="4120,2066" coordsize="0,0" path="m4120,2066xe" filled="true" fillcolor="#94b3d6" stroked="false">
              <v:path arrowok="t"/>
              <v:fill type="solid"/>
            </v:shape>
            <v:line style="position:absolute" from="2473,1991" to="4120,1991" stroked="true" strokeweight="1.076255pt" strokecolor="#94b3d6">
              <v:stroke dashstyle="solid"/>
            </v:line>
            <v:line style="position:absolute" from="2505,2012" to="4120,2012" stroked="true" strokeweight="1.076264pt" strokecolor="#94b3d6">
              <v:stroke dashstyle="solid"/>
            </v:line>
            <v:line style="position:absolute" from="2430,2034" to="4120,2034" stroked="true" strokeweight="1.076255pt" strokecolor="#94b3d6">
              <v:stroke dashstyle="solid"/>
            </v:line>
            <v:line style="position:absolute" from="2559,1942" to="4120,1942" stroked="true" strokeweight="1.699628pt" strokecolor="#94b3d6">
              <v:stroke dashstyle="solid"/>
            </v:line>
            <v:line style="position:absolute" from="2526,1969" to="4120,1969" stroked="true" strokeweight=".999781pt" strokecolor="#94b3d6">
              <v:stroke dashstyle="solid"/>
            </v:line>
            <v:shape style="position:absolute;left:2849;top:1872;width:1271;height:22" coordorigin="2849,1872" coordsize="1271,22" path="m2871,1872l4120,1872m2849,1894l4120,1894e" filled="false" stroked="true" strokeweight="1.09976pt" strokecolor="#94b3d6">
              <v:path arrowok="t"/>
              <v:stroke dashstyle="solid"/>
            </v:shape>
            <v:line style="position:absolute" from="2720,1915" to="4120,1915" stroked="true" strokeweight=".999781pt" strokecolor="#94b3d6">
              <v:stroke dashstyle="solid"/>
            </v:line>
            <v:line style="position:absolute" from="3237,1635" to="4120,1635" stroked="true" strokeweight="1.076255pt" strokecolor="#94b3d6">
              <v:stroke dashstyle="solid"/>
            </v:line>
            <v:line style="position:absolute" from="3119,1657" to="4120,1657" stroked="true" strokeweight="1.076259pt" strokecolor="#94b3d6">
              <v:stroke dashstyle="solid"/>
            </v:line>
            <v:line style="position:absolute" from="3097,1684" to="4120,1684" stroked="true" strokeweight="1.614384pt" strokecolor="#94b3d6">
              <v:stroke dashstyle="solid"/>
            </v:line>
            <v:shape style="position:absolute;left:3107;top:1700;width:1013;height:44" coordorigin="3108,1700" coordsize="1013,44" path="m4120,1700l3119,1700,3119,1721,3108,1721,3108,1743,4120,1743,4120,1722,4120,1721,4120,1700e" filled="true" fillcolor="#94b3d6" stroked="false">
              <v:path arrowok="t"/>
              <v:fill type="solid"/>
            </v:shape>
            <v:line style="position:absolute" from="3086,1754" to="4120,1754" stroked="true" strokeweight="1.09976pt" strokecolor="#94b3d6">
              <v:stroke dashstyle="solid"/>
            </v:line>
            <v:line style="position:absolute" from="3033,1775" to="4120,1775" stroked="true" strokeweight=".999781pt" strokecolor="#94b3d6">
              <v:stroke dashstyle="solid"/>
            </v:line>
            <v:line style="position:absolute" from="3011,1802" to="4120,1802" stroked="true" strokeweight="1.614384pt" strokecolor="#94b3d6">
              <v:stroke dashstyle="solid"/>
            </v:line>
            <v:line style="position:absolute" from="2979,1829" to="4120,1829" stroked="true" strokeweight=".999781pt" strokecolor="#94b3d6">
              <v:stroke dashstyle="solid"/>
            </v:line>
            <v:line style="position:absolute" from="2914,1850" to="4120,1850" stroked="true" strokeweight="1.09976pt" strokecolor="#94b3d6">
              <v:stroke dashstyle="solid"/>
            </v:line>
            <v:shape style="position:absolute;left:3301;top:1441;width:819;height:140" coordorigin="3302,1442" coordsize="819,140" path="m4120,1560l3302,1560,3302,1582,4120,1582,4120,1560m4120,1485l3420,1485,3420,1507,3409,1507,3409,1527,3312,1527,3312,1559,4120,1559,4120,1527,4120,1507,4120,1485m4120,1442l3388,1442,3388,1463,3377,1463,3377,1485,4120,1485,4120,1463,4120,1442e" filled="true" fillcolor="#94b3d6" stroked="false">
              <v:path arrowok="t"/>
              <v:fill type="solid"/>
            </v:shape>
            <v:line style="position:absolute" from="3259,1603" to="4120,1603" stroked="true" strokeweight="2.152514pt" strokecolor="#94b3d6">
              <v:stroke dashstyle="solid"/>
            </v:line>
            <v:line style="position:absolute" from="3345,1377" to="4120,1377" stroked="true" strokeweight=".999781pt" strokecolor="#94b3d6">
              <v:stroke dashstyle="solid"/>
            </v:line>
            <v:line style="position:absolute" from="3399,1403" to="4120,1403" stroked="true" strokeweight="1.59965pt" strokecolor="#94b3d6">
              <v:stroke dashstyle="solid"/>
            </v:line>
            <v:line style="position:absolute" from="3345,1430" to="4120,1430" stroked="true" strokeweight="1.09976pt" strokecolor="#94b3d6">
              <v:stroke dashstyle="solid"/>
            </v:line>
            <v:line style="position:absolute" from="3205,1205" to="4120,1205" stroked="true" strokeweight="2.152514pt" strokecolor="#94b3d6">
              <v:stroke dashstyle="solid"/>
            </v:line>
            <v:line style="position:absolute" from="3172,1237" to="4120,1237" stroked="true" strokeweight="1.076255pt" strokecolor="#94b3d6">
              <v:stroke dashstyle="solid"/>
            </v:line>
            <v:line style="position:absolute" from="3205,1263" to="4120,1263" stroked="true" strokeweight="1.59965pt" strokecolor="#94b3d6">
              <v:stroke dashstyle="solid"/>
            </v:line>
            <v:shape style="position:absolute;left:3226;top:1290;width:894;height:44" coordorigin="3226,1290" coordsize="894,44" path="m3269,1290l4120,1290m3226,1312l4120,1312m3280,1334l4120,1334e" filled="false" stroked="true" strokeweight="1.09976pt" strokecolor="#94b3d6">
              <v:path arrowok="t"/>
              <v:stroke dashstyle="solid"/>
            </v:shape>
            <v:shape style="position:absolute;left:3140;top:989;width:980;height:377" coordorigin="3140,990" coordsize="980,377" path="m4120,1345l3323,1345,3323,1366,4120,1366,4120,1345m4120,990l3140,990,3140,1022,3151,1022,3151,1043,3162,1043,3162,1065,3172,1065,3172,1087,4120,1087,4120,1065,4120,1065,4120,1043,4120,1022,4120,1021,4120,990e" filled="true" fillcolor="#94b3d6" stroked="false">
              <v:path arrowok="t"/>
              <v:fill type="solid"/>
            </v:shape>
            <v:line style="position:absolute" from="3216,1097" to="4120,1097" stroked="true" strokeweight=".999781pt" strokecolor="#94b3d6">
              <v:stroke dashstyle="solid"/>
            </v:line>
            <v:shape style="position:absolute;left:3237;top:1107;width:883;height:77" coordorigin="3237,1107" coordsize="883,77" path="m4120,1107l3237,1107,3237,1141,3248,1141,3248,1183,4120,1183,4120,1141,4120,1140,4120,1107e" filled="true" fillcolor="#94b3d6" stroked="false">
              <v:path arrowok="t"/>
              <v:fill type="solid"/>
            </v:shape>
            <v:line style="position:absolute" from="3183,957" to="4120,957" stroked="true" strokeweight="1.076255pt" strokecolor="#94b3d6">
              <v:stroke dashstyle="solid"/>
            </v:line>
            <v:line style="position:absolute" from="3162,978" to="4120,978" stroked="true" strokeweight="1.09976pt" strokecolor="#94b3d6">
              <v:stroke dashstyle="solid"/>
            </v:line>
            <v:line style="position:absolute" from="3614,774" to="4120,774" stroked="true" strokeweight="1.076255pt" strokecolor="#94b3d6">
              <v:stroke dashstyle="solid"/>
            </v:line>
            <v:line style="position:absolute" from="3549,796" to="4120,796" stroked="true" strokeweight="1.09976pt" strokecolor="#94b3d6">
              <v:stroke dashstyle="solid"/>
            </v:line>
            <v:line style="position:absolute" from="3345,817" to="4120,817" stroked="true" strokeweight=".999781pt" strokecolor="#94b3d6">
              <v:stroke dashstyle="solid"/>
            </v:line>
            <v:line style="position:absolute" from="3269,838" to="4120,838" stroked="true" strokeweight="1.09976pt" strokecolor="#94b3d6">
              <v:stroke dashstyle="solid"/>
            </v:line>
            <v:shape style="position:absolute;left:4120;top:785;width:2;height:2" coordorigin="4120,785" coordsize="0,0" path="m4120,785xe" filled="true" fillcolor="#94b3d6" stroked="false">
              <v:path arrowok="t"/>
              <v:fill type="solid"/>
            </v:shape>
            <v:line style="position:absolute" from="3248,865" to="4120,865" stroked="true" strokeweight="1.59965pt" strokecolor="#94b3d6">
              <v:stroke dashstyle="solid"/>
            </v:line>
            <v:shape style="position:absolute;left:4120;top:849;width:2;height:2" coordorigin="4120,850" coordsize="0,0" path="m4120,850xe" filled="true" fillcolor="#94b3d6" stroked="false">
              <v:path arrowok="t"/>
              <v:fill type="solid"/>
            </v:shape>
            <v:shape style="position:absolute;left:3204;top:881;width:916;height:66" coordorigin="3205,881" coordsize="916,66" path="m4120,881l3216,881,3216,903,3205,903,3205,925,3216,925,3216,947,4120,947,4120,925,4120,925,4120,903,4120,881e" filled="true" fillcolor="#94b3d6" stroked="false">
              <v:path arrowok="t"/>
              <v:fill type="solid"/>
            </v:shape>
            <v:shape style="position:absolute;left:3990;top:343;width:130;height:258" coordorigin="3991,343" coordsize="130,258" path="m4120,343l4066,343,4066,365,4088,365,4088,408,4077,408,4077,451,4055,451,4055,527,4034,527,4034,547,4012,547,4012,569,3991,569,3991,601,4120,601,4120,569,4120,547,4120,365,4120,343e" filled="true" fillcolor="#94b3d6" stroked="false">
              <v:path arrowok="t"/>
              <v:fill type="solid"/>
            </v:shape>
            <v:shape style="position:absolute;left:3861;top:612;width:259;height:44" coordorigin="3862,612" coordsize="259,44" path="m3959,612l4120,612m3915,634l4120,634m3862,656l4120,656e" filled="false" stroked="true" strokeweight="1.09976pt" strokecolor="#94b3d6">
              <v:path arrowok="t"/>
              <v:stroke dashstyle="solid"/>
            </v:shape>
            <v:shape style="position:absolute;left:4120;top:548;width:2;height:2" coordorigin="4120,548" coordsize="0,0" path="m4120,548xe" filled="true" fillcolor="#94b3d6" stroked="false">
              <v:path arrowok="t"/>
              <v:fill type="solid"/>
            </v:shape>
            <v:rect style="position:absolute;left:3797;top:667;width:324;height:20" filled="true" fillcolor="#94b3d6" stroked="false">
              <v:fill type="solid"/>
            </v:rect>
            <v:shape style="position:absolute;left:4120;top:666;width:2;height:2" coordorigin="4120,667" coordsize="0,0" path="m4120,667xe" filled="true" fillcolor="#94b3d6" stroked="false">
              <v:path arrowok="t"/>
              <v:fill type="solid"/>
            </v:shape>
            <v:rect style="position:absolute;left:3786;top:687;width:334;height:22" filled="true" fillcolor="#94b3d6" stroked="false">
              <v:fill type="solid"/>
            </v:rect>
            <v:line style="position:absolute" from="3765,725" to="4120,725" stroked="true" strokeweight="1.59965pt" strokecolor="#94b3d6">
              <v:stroke dashstyle="solid"/>
            </v:line>
            <v:line style="position:absolute" from="3679,752" to="4120,752" stroked="true" strokeweight="1.09976pt" strokecolor="#94b3d6">
              <v:stroke dashstyle="solid"/>
            </v:line>
            <v:shape style="position:absolute;left:4076;top:230;width:44;height:113" coordorigin="4077,231" coordsize="44,113" path="m4120,231l4098,231,4098,269,4088,269,4088,290,4088,312,4077,312,4077,343,4120,343,4120,312,4120,290,4120,269,4120,231e" filled="true" fillcolor="#94b3d6" stroked="false">
              <v:path arrowok="t"/>
              <v:fill type="solid"/>
            </v:shape>
            <v:shape style="position:absolute;left:2343;top:2324;width:1777;height:17" coordorigin="2343,2324" coordsize="1777,17" path="m4120,2340l4120,2324,2343,2324,2343,2340e" filled="false" stroked="true" strokeweight=".53813pt" strokecolor="#94b3d6">
              <v:path arrowok="t"/>
              <v:stroke dashstyle="solid"/>
            </v:shape>
            <v:line style="position:absolute" from="2327,2313" to="4125,2313" stroked="true" strokeweight="1.614384pt" strokecolor="#94b3d6">
              <v:stroke dashstyle="solid"/>
            </v:line>
            <v:line style="position:absolute" from="2209,2292" to="4125,2292" stroked="true" strokeweight="1.614394pt" strokecolor="#94b3d6">
              <v:stroke dashstyle="solid"/>
            </v:line>
            <v:shape style="position:absolute;left:2230;top:2248;width:1896;height:22" coordorigin="2230,2249" coordsize="1896,22" path="m2263,2270l4125,2270m2230,2249l4125,2249e" filled="false" stroked="true" strokeweight="1.614384pt" strokecolor="#94b3d6">
              <v:path arrowok="t"/>
              <v:stroke dashstyle="solid"/>
            </v:shape>
            <v:rect style="position:absolute;left:2203;top:2205;width:1917;height:33" filled="false" stroked="true" strokeweight=".53813pt" strokecolor="#94b3d6">
              <v:stroke dashstyle="solid"/>
            </v:rect>
            <v:line style="position:absolute" from="2209,2195" to="4125,2195" stroked="true" strokeweight="1.614394pt" strokecolor="#94b3d6">
              <v:stroke dashstyle="solid"/>
            </v:line>
            <v:shape style="position:absolute;left:2208;top:2092;width:1917;height:97" coordorigin="2209,2093" coordsize="1917,97" path="m4125,2093l2295,2093,2295,2114,2209,2114,2209,2147,2220,2147,2220,2168,2241,2168,2241,2190,4125,2190,4125,2114,4125,2093e" filled="true" fillcolor="#94b3d6" stroked="false">
              <v:path arrowok="t"/>
              <v:fill type="solid"/>
            </v:shape>
            <v:rect style="position:absolute;left:2278;top:2065;width:1842;height:33" filled="false" stroked="true" strokeweight=".53813pt" strokecolor="#94b3d6">
              <v:stroke dashstyle="solid"/>
            </v:rect>
            <v:shape style="position:absolute;left:2348;top:2033;width:1777;height:22" coordorigin="2349,2034" coordsize="1777,22" path="m2349,2055l4125,2055m2424,2034l4125,2034e" filled="false" stroked="true" strokeweight="1.614384pt" strokecolor="#94b3d6">
              <v:path arrowok="t"/>
              <v:stroke dashstyle="solid"/>
            </v:shape>
            <v:line style="position:absolute" from="2500,2012" to="4125,2012" stroked="true" strokeweight="1.614394pt" strokecolor="#94b3d6">
              <v:stroke dashstyle="solid"/>
            </v:line>
            <v:shape style="position:absolute;left:2467;top:1969;width:1659;height:22" coordorigin="2467,1969" coordsize="1659,22" path="m2467,1991l4125,1991m2521,1969l4125,1969e" filled="false" stroked="true" strokeweight="1.614384pt" strokecolor="#94b3d6">
              <v:path arrowok="t"/>
              <v:stroke dashstyle="solid"/>
            </v:shape>
            <v:rect style="position:absolute;left:2558;top:1926;width:1562;height:33" filled="false" stroked="true" strokeweight=".53813pt" strokecolor="#94b3d6">
              <v:stroke dashstyle="solid"/>
            </v:rect>
            <v:line style="position:absolute" from="2715,1915" to="4125,1915" stroked="true" strokeweight="1.614394pt" strokecolor="#94b3d6">
              <v:stroke dashstyle="solid"/>
            </v:line>
            <v:shape style="position:absolute;left:2844;top:1850;width:1282;height:44" coordorigin="2844,1851" coordsize="1282,44" path="m2844,1894l4125,1894m2866,1872l4125,1872m2909,1851l4125,1851e" filled="false" stroked="true" strokeweight="1.614384pt" strokecolor="#94b3d6">
              <v:path arrowok="t"/>
              <v:stroke dashstyle="solid"/>
            </v:shape>
            <v:line style="position:absolute" from="2973,1829" to="4125,1829" stroked="true" strokeweight="1.614394pt" strokecolor="#94b3d6">
              <v:stroke dashstyle="solid"/>
            </v:line>
            <v:rect style="position:absolute;left:3010;top:1786;width:1110;height:33" filled="false" stroked="true" strokeweight=".53813pt" strokecolor="#94b3d6">
              <v:stroke dashstyle="solid"/>
            </v:rect>
            <v:line style="position:absolute" from="3027,1775" to="4125,1775" stroked="true" strokeweight="1.614384pt" strokecolor="#94b3d6">
              <v:stroke dashstyle="solid"/>
            </v:line>
            <v:line style="position:absolute" from="3081,1754" to="4125,1754" stroked="true" strokeweight="1.614389pt" strokecolor="#94b3d6">
              <v:stroke dashstyle="solid"/>
            </v:line>
            <v:shape style="position:absolute;left:3102;top:1694;width:1023;height:54" coordorigin="3103,1695" coordsize="1023,54" path="m4125,1695l3113,1695,3113,1716,3103,1716,3103,1748,4125,1748,4125,1727,4125,1716,4125,1695e" filled="true" fillcolor="#94b3d6" stroked="false">
              <v:path arrowok="t"/>
              <v:fill type="solid"/>
            </v:shape>
            <v:rect style="position:absolute;left:3097;top:1667;width:1023;height:33" filled="false" stroked="true" strokeweight=".53813pt" strokecolor="#94b3d6">
              <v:stroke dashstyle="solid"/>
            </v:rect>
            <v:line style="position:absolute" from="3113,1657" to="4125,1657" stroked="true" strokeweight="1.614389pt" strokecolor="#94b3d6">
              <v:stroke dashstyle="solid"/>
            </v:line>
            <v:line style="position:absolute" from="3232,1635" to="4125,1635" stroked="true" strokeweight="1.614384pt" strokecolor="#94b3d6">
              <v:stroke dashstyle="solid"/>
            </v:line>
            <v:shape style="position:absolute;left:3253;top:1576;width:873;height:54" coordorigin="3253,1576" coordsize="873,54" path="m4125,1576l3253,1576,3253,1598,3253,1609,3253,1630,4125,1630,4125,1609,4125,1598,4125,1576e" filled="true" fillcolor="#94b3d6" stroked="false">
              <v:path arrowok="t"/>
              <v:fill type="solid"/>
            </v:shape>
            <v:line style="position:absolute" from="3296,1571" to="4125,1571" stroked="true" strokeweight="1.614389pt" strokecolor="#94b3d6">
              <v:stroke dashstyle="solid"/>
            </v:line>
            <v:rect style="position:absolute;left:3312;top:1527;width:808;height:33" filled="false" stroked="true" strokeweight=".53813pt" strokecolor="#94b3d6">
              <v:stroke dashstyle="solid"/>
            </v:rect>
            <v:shape style="position:absolute;left:3371;top:1436;width:754;height:97" coordorigin="3372,1436" coordsize="754,97" path="m4125,1436l3382,1436,3382,1458,3372,1458,3372,1490,3415,1490,3415,1501,3404,1501,3404,1533,4125,1533,4125,1512,4125,1501,4125,1490,4125,1479,4125,1469,4125,1458,4125,1436e" filled="true" fillcolor="#94b3d6" stroked="false">
              <v:path arrowok="t"/>
              <v:fill type="solid"/>
            </v:shape>
            <v:line style="position:absolute" from="3339,1431" to="4125,1431" stroked="true" strokeweight="1.614389pt" strokecolor="#94b3d6">
              <v:stroke dashstyle="solid"/>
            </v:line>
            <v:rect style="position:absolute;left:3398;top:1387;width:722;height:33" filled="false" stroked="true" strokeweight=".53813pt" strokecolor="#94b3d6">
              <v:stroke dashstyle="solid"/>
            </v:rect>
            <v:rect style="position:absolute;left:3339;top:1360;width:787;height:33" filled="true" fillcolor="#94b3d6" stroked="false">
              <v:fill type="solid"/>
            </v:rect>
            <v:line style="position:absolute" from="3318,1356" to="4125,1356" stroked="true" strokeweight="1.614389pt" strokecolor="#94b3d6">
              <v:stroke dashstyle="solid"/>
            </v:line>
            <v:shape style="position:absolute;left:3220;top:1312;width:905;height:22" coordorigin="3221,1313" coordsize="905,22" path="m3275,1334l4125,1334m3221,1313l4125,1313e" filled="false" stroked="true" strokeweight="1.614384pt" strokecolor="#94b3d6">
              <v:path arrowok="t"/>
              <v:stroke dashstyle="solid"/>
            </v:shape>
            <v:line style="position:absolute" from="3264,1291" to="4125,1291" stroked="true" strokeweight="1.614389pt" strokecolor="#94b3d6">
              <v:stroke dashstyle="solid"/>
            </v:line>
            <v:rect style="position:absolute;left:3204;top:1247;width:916;height:33" filled="false" stroked="true" strokeweight=".53813pt" strokecolor="#94b3d6">
              <v:stroke dashstyle="solid"/>
            </v:rect>
            <v:line style="position:absolute" from="3167,1237" to="4125,1237" stroked="true" strokeweight="1.614384pt" strokecolor="#94b3d6">
              <v:stroke dashstyle="solid"/>
            </v:line>
            <v:shape style="position:absolute;left:3199;top:1134;width:926;height:97" coordorigin="3199,1135" coordsize="926,97" path="m4125,1135l3242,1135,3242,1156,3242,1167,3242,1178,3199,1178,3199,1200,3199,1210,3199,1232,4125,1232,4125,1156,4125,1135e" filled="true" fillcolor="#94b3d6" stroked="false">
              <v:path arrowok="t"/>
              <v:fill type="solid"/>
            </v:shape>
            <v:rect style="position:absolute;left:3237;top:1108;width:883;height:33" filled="false" stroked="true" strokeweight=".53813pt" strokecolor="#94b3d6">
              <v:stroke dashstyle="solid"/>
            </v:rect>
            <v:line style="position:absolute" from="3210,1097" to="4125,1097" stroked="true" strokeweight="1.614384pt" strokecolor="#94b3d6">
              <v:stroke dashstyle="solid"/>
            </v:line>
            <v:shape style="position:absolute;left:3145;top:1016;width:980;height:76" coordorigin="3146,1017" coordsize="980,76" path="m4125,1017l3146,1017,3146,1049,3156,1049,3156,1070,3167,1070,3167,1092,4125,1092,4125,1070,4125,1060,4125,1049,4125,1038,4125,1017e" filled="true" fillcolor="#94b3d6" stroked="false">
              <v:path arrowok="t"/>
              <v:fill type="solid"/>
            </v:shape>
            <v:rect style="position:absolute;left:3140;top:989;width:980;height:33" filled="false" stroked="true" strokeweight=".53813pt" strokecolor="#94b3d6">
              <v:stroke dashstyle="solid"/>
            </v:rect>
            <v:line style="position:absolute" from="3156,979" to="4125,979" stroked="true" strokeweight="1.614389pt" strokecolor="#94b3d6">
              <v:stroke dashstyle="solid"/>
            </v:line>
            <v:line style="position:absolute" from="3178,957" to="4125,957" stroked="true" strokeweight="1.614384pt" strokecolor="#94b3d6">
              <v:stroke dashstyle="solid"/>
            </v:line>
            <v:shape style="position:absolute;left:3199;top:876;width:926;height:76" coordorigin="3199,877" coordsize="926,76" path="m4125,877l3210,877,3210,898,3199,898,3199,930,3210,930,3210,952,4125,952,4125,930,4125,920,4125,909,4125,898,4125,877e" filled="true" fillcolor="#94b3d6" stroked="false">
              <v:path arrowok="t"/>
              <v:fill type="solid"/>
            </v:shape>
            <v:rect style="position:absolute;left:3247;top:849;width:873;height:33" filled="false" stroked="true" strokeweight=".53813pt" strokecolor="#94b3d6">
              <v:stroke dashstyle="solid"/>
            </v:rect>
            <v:line style="position:absolute" from="3264,839" to="4125,839" stroked="true" strokeweight="1.614389pt" strokecolor="#94b3d6">
              <v:stroke dashstyle="solid"/>
            </v:line>
            <v:line style="position:absolute" from="3339,817" to="4125,817" stroked="true" strokeweight="1.614389pt" strokecolor="#94b3d6">
              <v:stroke dashstyle="solid"/>
            </v:line>
            <v:line style="position:absolute" from="3544,796" to="4125,796" stroked="true" strokeweight="1.614389pt" strokecolor="#94b3d6">
              <v:stroke dashstyle="solid"/>
            </v:line>
            <v:line style="position:absolute" from="3609,774" to="4125,774" stroked="true" strokeweight="1.614384pt" strokecolor="#94b3d6">
              <v:stroke dashstyle="solid"/>
            </v:line>
            <v:line style="position:absolute" from="3673,753" to="4125,753" stroked="true" strokeweight="1.614389pt" strokecolor="#94b3d6">
              <v:stroke dashstyle="solid"/>
            </v:line>
            <v:rect style="position:absolute;left:3764;top:709;width:356;height:33" filled="false" stroked="true" strokeweight=".538132pt" strokecolor="#94b3d6">
              <v:stroke dashstyle="solid"/>
            </v:rect>
            <v:shape style="position:absolute;left:3780;top:661;width:345;height:54" coordorigin="3781,661" coordsize="345,54" path="m4125,661l3792,661,3792,683,3781,683,3781,715,4125,715,4125,694,4125,683,4125,661e" filled="true" fillcolor="#94b3d6" stroked="false">
              <v:path arrowok="t"/>
              <v:fill type="solid"/>
            </v:shape>
            <v:line style="position:absolute" from="3856,656" to="4125,656" stroked="true" strokeweight="1.614389pt" strokecolor="#94b3d6">
              <v:stroke dashstyle="solid"/>
            </v:line>
            <v:line style="position:absolute" from="3910,634" to="4125,634" stroked="true" strokeweight="1.614389pt" strokecolor="#94b3d6">
              <v:stroke dashstyle="solid"/>
            </v:line>
            <v:line style="position:absolute" from="3953,613" to="4125,613" stroked="true" strokeweight="1.614384pt" strokecolor="#94b3d6">
              <v:stroke dashstyle="solid"/>
            </v:line>
            <v:shape style="position:absolute;left:450476;top:-70883;width:26895;height:77321" coordorigin="450476,-70883" coordsize="26895,77321" path="m3991,602l4120,602,4120,570,3991,570,3991,602m4012,570l4120,570,4120,548,4012,548,4012,570m4034,548l4120,548,4120,527,4034,527,4034,548m4055,527l4120,527,4120,505,4055,505,4055,527m4055,505l4120,505,4120,484,4055,484,4055,505m4055,484l4120,484,4120,452,4055,452,4055,484m4077,452l4120,452,4120,430,4077,430,4077,452m4077,430l4120,430,4120,408,4077,408,4077,430m4088,408l4120,408,4120,387,4088,387,4088,408m4088,387l4120,387,4120,365,4088,365,4088,387m4066,365l4120,365,4120,344,4066,344,4066,365m4077,344l4120,344,4120,312,4077,312,4077,344m4088,312l4120,312,4120,290,4088,290,4088,312m4088,290l4120,290,4120,269,4088,269,4088,290m4098,269l4120,269,4120,247,4098,247,4098,269m4098,247l4120,247,4120,231e" filled="false" stroked="true" strokeweight=".538247pt" strokecolor="#94b3d6">
              <v:path arrowok="t"/>
              <v:stroke dashstyle="solid"/>
            </v:shape>
            <v:line style="position:absolute" from="4093,239" to="4104,239" stroked="true" strokeweight=".80722pt" strokecolor="#94b3d6">
              <v:stroke dashstyle="solid"/>
            </v:line>
            <v:line style="position:absolute" from="4120,2292" to="5854,2292" stroked="true" strokeweight="1.076257pt" strokecolor="#ffa7e1">
              <v:stroke dashstyle="solid"/>
            </v:line>
            <v:line style="position:absolute" from="4120,2313" to="5767,2313" stroked="true" strokeweight="1.076264pt" strokecolor="#ffa7e1">
              <v:stroke dashstyle="solid"/>
            </v:line>
            <v:line style="position:absolute" from="4120,2332" to="5735,2332" stroked="true" strokeweight=".807296pt" strokecolor="#ffa7e1">
              <v:stroke dashstyle="solid"/>
            </v:line>
            <v:line style="position:absolute" from="4120,2270" to="5821,2270" stroked="true" strokeweight="1.076264pt" strokecolor="#ffa7e1">
              <v:stroke dashstyle="solid"/>
            </v:line>
            <v:line style="position:absolute" from="4120,2249" to="5864,2249" stroked="true" strokeweight="1.076257pt" strokecolor="#ffa7e1">
              <v:stroke dashstyle="solid"/>
            </v:line>
            <v:shape style="position:absolute;left:4119;top:2185;width:1799;height:54" coordorigin="4120,2185" coordsize="1799,54" path="m5886,2206l4120,2206,4120,2238,5886,2238,5886,2206m5918,2185l4120,2185,4120,2205,5918,2205,5918,2185e" filled="true" fillcolor="#ffa7e1" stroked="false">
              <v:path arrowok="t"/>
              <v:fill type="solid"/>
            </v:shape>
            <v:shape style="position:absolute;left:5885;top:2205;width:33;height:2" coordorigin="5886,2206" coordsize="33,0" path="m5918,2206l5886,2206,5918,2206xe" filled="true" fillcolor="#ffa7e1" stroked="false">
              <v:path arrowok="t"/>
              <v:fill type="solid"/>
            </v:shape>
            <v:shape style="position:absolute;left:4119;top:2098;width:1809;height:87" coordorigin="4120,2098" coordsize="1809,87" path="m5929,2098l4120,2098,4120,2120,4120,2141,4120,2184,5907,2184,5907,2141,5929,2141,5929,2120,5929,2098e" filled="true" fillcolor="#ffa7e1" stroked="false">
              <v:path arrowok="t"/>
              <v:fill type="solid"/>
            </v:shape>
            <v:line style="position:absolute" from="4120,2055" to="5810,2055" stroked="true" strokeweight="1.076264pt" strokecolor="#ffa7e1">
              <v:stroke dashstyle="solid"/>
            </v:line>
            <v:line style="position:absolute" from="4120,2082" to="5832,2082" stroked="true" strokeweight="1.614396pt" strokecolor="#ffa7e1">
              <v:stroke dashstyle="solid"/>
            </v:line>
            <v:line style="position:absolute" from="4120,2034" to="5714,2034" stroked="true" strokeweight="1.076257pt" strokecolor="#ffa7e1">
              <v:stroke dashstyle="solid"/>
            </v:line>
            <v:shape style="position:absolute;left:4119;top:1958;width:1594;height:44" coordorigin="4120,1958" coordsize="1594,44" path="m5714,1980l5703,1980,5703,1958,4120,1958,4120,1980,4120,2001,5714,2001,5714,1980e" filled="true" fillcolor="#ffa7e1" stroked="false">
              <v:path arrowok="t"/>
              <v:fill type="solid"/>
            </v:shape>
            <v:line style="position:absolute" from="4120,2012" to="5681,2012" stroked="true" strokeweight="1.076264pt" strokecolor="#ffa7e1">
              <v:stroke dashstyle="solid"/>
            </v:line>
            <v:line style="position:absolute" from="4120,1915" to="5444,1915" stroked="true" strokeweight=".999788pt" strokecolor="#ffa7e1">
              <v:stroke dashstyle="solid"/>
            </v:line>
            <v:line style="position:absolute" from="4120,1942" to="5681,1942" stroked="true" strokeweight="1.699639pt" strokecolor="#ffa7e1">
              <v:stroke dashstyle="solid"/>
            </v:line>
            <v:shape style="position:absolute;left:4120;top:1926;width:2;height:2" coordorigin="4120,1926" coordsize="0,0" path="m4120,1926xe" filled="true" fillcolor="#ffa7e1" stroked="false">
              <v:path arrowok="t"/>
              <v:fill type="solid"/>
            </v:shape>
            <v:line style="position:absolute" from="5444,1926" to="5681,1926" stroked="true" strokeweight=".000007pt" strokecolor="#ffa7e1">
              <v:stroke dashstyle="solid"/>
            </v:line>
            <v:line style="position:absolute" from="4120,1894" to="5272,1894" stroked="true" strokeweight="1.076264pt" strokecolor="#ffa7e1">
              <v:stroke dashstyle="solid"/>
            </v:line>
            <v:shape style="position:absolute;left:4119;top:1700;width:1013;height:183" coordorigin="4120,1700" coordsize="1013,183" path="m5003,1743l4992,1743,4992,1722,4992,1700,4120,1700,4120,1722,4120,1743,4120,1765,5003,1765,5003,1743m5132,1861l5121,1861,5121,1840,5035,1840,5035,1818,5024,1818,5024,1785,5014,1785,5014,1765,4120,1765,4120,1785,4120,1818,4120,1819,4120,1840,4120,1861,4120,1883,5132,1883,5132,1861e" filled="true" fillcolor="#ffa7e1" stroked="false">
              <v:path arrowok="t"/>
              <v:fill type="solid"/>
            </v:shape>
            <v:line style="position:absolute" from="4120,1656" to="4906,1656" stroked="true" strokeweight="1.099766pt" strokecolor="#ffa7e1">
              <v:stroke dashstyle="solid"/>
            </v:line>
            <v:line style="position:absolute" from="4120,1683" to="4960,1683" stroked="true" strokeweight="1.59966pt" strokecolor="#ffa7e1">
              <v:stroke dashstyle="solid"/>
            </v:line>
            <v:shape style="position:absolute;left:4906;top:1667;width:54;height:2" coordorigin="4906,1668" coordsize="54,0" path="m4960,1668l4906,1668,4960,1668xe" filled="true" fillcolor="#ffa7e1" stroked="false">
              <v:path arrowok="t"/>
              <v:fill type="solid"/>
            </v:shape>
            <v:shape style="position:absolute;left:4119;top:1581;width:582;height:44" coordorigin="4120,1581" coordsize="582,44" path="m4701,1603l4691,1603,4691,1581,4120,1581,4120,1603,4120,1625,4701,1625,4701,1603e" filled="true" fillcolor="#ffa7e1" stroked="false">
              <v:path arrowok="t"/>
              <v:fill type="solid"/>
            </v:shape>
            <v:shape style="position:absolute;left:4120;top:1570;width:647;height:65" coordorigin="4120,1571" coordsize="647,65" path="m4120,1635l4766,1635m4120,1571l4658,1571e" filled="false" stroked="true" strokeweight="1.076264pt" strokecolor="#ffa7e1">
              <v:path arrowok="t"/>
              <v:stroke dashstyle="solid"/>
            </v:shape>
            <v:rect style="position:absolute;left:4120;top:1507;width:313;height:20" filled="true" fillcolor="#ffa7e1" stroked="false">
              <v:fill type="solid"/>
            </v:rect>
            <v:line style="position:absolute" from="4120,1543" to="4637,1543" stroked="true" strokeweight="1.59966pt" strokecolor="#ffa7e1">
              <v:stroke dashstyle="solid"/>
            </v:line>
            <v:shape style="position:absolute;left:4119;top:1367;width:313;height:139" coordorigin="4120,1367" coordsize="313,139" path="m4368,1367l4120,1367,4120,1387,4368,1387,4368,1367m4432,1420l4120,1420,4120,1485,4120,1506,4421,1506,4421,1485,4432,1485,4432,1420e" filled="true" fillcolor="#ffa7e1" stroked="false">
              <v:path arrowok="t"/>
              <v:fill type="solid"/>
            </v:shape>
            <v:shape style="position:absolute;left:4120;top:1387;width:2;height:2" coordorigin="4120,1388" coordsize="0,0" path="m4120,1388xe" filled="true" fillcolor="#ffa7e1" stroked="false">
              <v:path arrowok="t"/>
              <v:fill type="solid"/>
            </v:shape>
            <v:shape style="position:absolute;left:4119;top:1204;width:302;height:216" coordorigin="4120,1205" coordsize="302,216" path="m4357,1388l4120,1388,4120,1420,4357,1420,4357,1388m4400,1323l4120,1323,4120,1345,4120,1367,4389,1367,4389,1345,4400,1345,4400,1323m4421,1205l4120,1205,4120,1226,4421,1226,4421,1205e" filled="true" fillcolor="#ffa7e1" stroked="false">
              <v:path arrowok="t"/>
              <v:fill type="solid"/>
            </v:shape>
            <v:line style="position:absolute" from="4120,1237" to="4443,1237" stroked="true" strokeweight=".999788pt" strokecolor="#ffa7e1">
              <v:stroke dashstyle="solid"/>
            </v:line>
            <v:line style="position:absolute" from="4120,1263" to="4400,1263" stroked="true" strokeweight="1.59966pt" strokecolor="#ffa7e1">
              <v:stroke dashstyle="solid"/>
            </v:line>
            <v:line style="position:absolute" from="4120,1291" to="4368,1291" stroked="true" strokeweight="1.076264pt" strokecolor="#ffa7e1">
              <v:stroke dashstyle="solid"/>
            </v:line>
            <v:shape style="position:absolute;left:4119;top:1043;width:399;height:280" coordorigin="4120,1043" coordsize="399,280" path="m4411,1302l4120,1302,4120,1323,4411,1323,4411,1302m4432,1183l4421,1183,4421,1161,4120,1161,4120,1183,4120,1205,4432,1205,4432,1183m4518,1043l4120,1043,4120,1065,4518,1065,4518,1043e" filled="true" fillcolor="#ffa7e1" stroked="false">
              <v:path arrowok="t"/>
              <v:fill type="solid"/>
            </v:shape>
            <v:line style="position:absolute" from="4120,1076" to="4497,1076" stroked="true" strokeweight="1.099766pt" strokecolor="#ffa7e1">
              <v:stroke dashstyle="solid"/>
            </v:line>
            <v:line style="position:absolute" from="4120,1097" to="4475,1097" stroked="true" strokeweight="1.076264pt" strokecolor="#ffa7e1">
              <v:stroke dashstyle="solid"/>
            </v:line>
            <v:line style="position:absolute" from="4120,1124" to="4454,1124" stroked="true" strokeweight="1.614396pt" strokecolor="#ffa7e1">
              <v:stroke dashstyle="solid"/>
            </v:line>
            <v:shape style="position:absolute;left:4119;top:947;width:507;height:215" coordorigin="4120,947" coordsize="507,215" path="m4432,1140l4120,1140,4120,1162,4432,1162,4432,1140m4626,947l4120,947,4120,967,4120,989,4615,989,4615,967,4626,967,4626,947e" filled="true" fillcolor="#ffa7e1" stroked="false">
              <v:path arrowok="t"/>
              <v:fill type="solid"/>
            </v:shape>
            <v:line style="position:absolute" from="4120,1005" to="4594,1005" stroked="true" strokeweight="1.59966pt" strokecolor="#ffa7e1">
              <v:stroke dashstyle="solid"/>
            </v:line>
            <v:shape style="position:absolute;left:4119;top:881;width:625;height:162" coordorigin="4120,881" coordsize="625,162" path="m4529,1021l4120,1021,4120,1043,4529,1043,4529,1021m4744,881l4120,881,4120,903,4744,903,4744,881e" filled="true" fillcolor="#ffa7e1" stroked="false">
              <v:path arrowok="t"/>
              <v:fill type="solid"/>
            </v:shape>
            <v:line style="position:absolute" from="4120,914" to="4701,914" stroked="true" strokeweight="1.099766pt" strokecolor="#ffa7e1">
              <v:stroke dashstyle="solid"/>
            </v:line>
            <v:line style="position:absolute" from="4120,936" to="4669,936" stroked="true" strokeweight="1.076264pt" strokecolor="#ffa7e1">
              <v:stroke dashstyle="solid"/>
            </v:line>
            <v:shape style="position:absolute;left:4119;top:827;width:636;height:54" coordorigin="4120,827" coordsize="636,54" path="m4755,849l4744,849,4744,827,4120,827,4120,849,4120,881,4755,881,4755,849e" filled="true" fillcolor="#ffa7e1" stroked="false">
              <v:path arrowok="t"/>
              <v:fill type="solid"/>
            </v:shape>
            <v:shape style="position:absolute;left:4119;top:290;width:108;height:356" coordorigin="4120,290" coordsize="108,356" path="m4195,547l4174,547,4174,505,4163,505,4163,451,4152,451,4152,387,4142,387,4142,365,4174,365,4174,343,4163,343,4163,312,4174,312,4174,290,4120,290,4120,312,4120,343,4120,344,4120,365,4120,387,4120,451,4120,505,4120,547,4120,569,4195,569,4195,547m4228,602l4206,602,4206,570,4120,570,4120,602,4120,645,4228,645,4228,602e" filled="true" fillcolor="#ffa7e1" stroked="false">
              <v:path arrowok="t"/>
              <v:fill type="solid"/>
            </v:shape>
            <v:line style="position:absolute" from="4120,656" to="4260,656" stroked="true" strokeweight="1.076264pt" strokecolor="#ffa7e1">
              <v:stroke dashstyle="solid"/>
            </v:line>
            <v:shape style="position:absolute;left:4119;top:666;width:194;height:44" coordorigin="4120,667" coordsize="194,44" path="m4314,688l4303,688,4303,667,4120,667,4120,688,4120,710,4314,710,4314,688e" filled="true" fillcolor="#ffa7e1" stroked="false">
              <v:path arrowok="t"/>
              <v:fill type="solid"/>
            </v:shape>
            <v:line style="position:absolute" from="4120,726" to="4335,726" stroked="true" strokeweight="1.614396pt" strokecolor="#ffa7e1">
              <v:stroke dashstyle="solid"/>
            </v:line>
            <v:shape style="position:absolute;left:4120;top:752;width:410;height:44" coordorigin="4120,752" coordsize="410,44" path="m4120,752l4432,752m4120,774l4475,774m4120,796l4529,796e" filled="false" stroked="true" strokeweight="1.099766pt" strokecolor="#ffa7e1">
              <v:path arrowok="t"/>
              <v:stroke dashstyle="solid"/>
            </v:shape>
            <v:line style="position:absolute" from="4120,817" to="4691,817" stroked="true" strokeweight=".999788pt" strokecolor="#ffa7e1">
              <v:stroke dashstyle="solid"/>
            </v:line>
            <v:shape style="position:absolute;left:4119;top:230;width:54;height:60" coordorigin="4120,231" coordsize="54,60" path="m4174,231l4120,231,4120,247,4120,269,4120,290,4174,290,4174,269,4163,269,4163,247,4174,247,4174,231e" filled="true" fillcolor="#ffa7e1" stroked="false">
              <v:path arrowok="t"/>
              <v:fill type="solid"/>
            </v:shape>
            <v:shape style="position:absolute;left:4120;top:2324;width:1616;height:17" coordorigin="4120,2324" coordsize="1616,17" path="m4120,2340l4120,2324,5735,2324,5735,2340e" filled="false" stroked="true" strokeweight=".538132pt" strokecolor="#ffa7e1">
              <v:path arrowok="t"/>
              <v:stroke dashstyle="solid"/>
            </v:shape>
            <v:line style="position:absolute" from="4115,2313" to="5773,2313" stroked="true" strokeweight="1.614396pt" strokecolor="#ffa7e1">
              <v:stroke dashstyle="solid"/>
            </v:line>
            <v:line style="position:absolute" from="4115,2292" to="5859,2292" stroked="true" strokeweight="1.614389pt" strokecolor="#ffa7e1">
              <v:stroke dashstyle="solid"/>
            </v:line>
            <v:line style="position:absolute" from="4115,2270" to="5827,2270" stroked="true" strokeweight="1.614396pt" strokecolor="#ffa7e1">
              <v:stroke dashstyle="solid"/>
            </v:line>
            <v:rect style="position:absolute;left:4114;top:2232;width:1756;height:33" filled="true" fillcolor="#ffa7e1" stroked="false">
              <v:fill type="solid"/>
            </v:rect>
            <v:rect style="position:absolute;left:4120;top:2205;width:1766;height:33" filled="false" stroked="true" strokeweight=".538132pt" strokecolor="#ffa7e1">
              <v:stroke dashstyle="solid"/>
            </v:rect>
            <v:shape style="position:absolute;left:4114;top:2092;width:1820;height:119" coordorigin="4115,2093" coordsize="1820,119" path="m5934,2093l4115,2093,4115,2114,4115,2125,4115,2211,5924,2211,5924,2179,5913,2179,5913,2168,5913,2157,5913,2147,5934,2147,5934,2125,5934,2114,5934,2093e" filled="true" fillcolor="#ffa7e1" stroked="false">
              <v:path arrowok="t"/>
              <v:fill type="solid"/>
            </v:shape>
            <v:rect style="position:absolute;left:4120;top:2065;width:1712;height:33" filled="false" stroked="true" strokeweight=".538132pt" strokecolor="#ffa7e1">
              <v:stroke dashstyle="solid"/>
            </v:rect>
            <v:line style="position:absolute" from="4115,2055" to="5816,2055" stroked="true" strokeweight="1.614396pt" strokecolor="#ffa7e1">
              <v:stroke dashstyle="solid"/>
            </v:line>
            <v:line style="position:absolute" from="4115,2034" to="5719,2034" stroked="true" strokeweight="1.614389pt" strokecolor="#ffa7e1">
              <v:stroke dashstyle="solid"/>
            </v:line>
            <v:line style="position:absolute" from="4115,2012" to="5687,2012" stroked="true" strokeweight="1.614396pt" strokecolor="#ffa7e1">
              <v:stroke dashstyle="solid"/>
            </v:line>
            <v:shape style="position:absolute;left:4114;top:1952;width:1605;height:54" coordorigin="4115,1953" coordsize="1605,54" path="m5719,1974l5708,1974,5708,1953,4115,1953,4115,1974,4115,1985,4115,2007,5719,2007,5719,1974e" filled="true" fillcolor="#ffa7e1" stroked="false">
              <v:path arrowok="t"/>
              <v:fill type="solid"/>
            </v:shape>
            <v:rect style="position:absolute;left:4120;top:1926;width:1562;height:33" filled="false" stroked="true" strokeweight=".538132pt" strokecolor="#ffa7e1">
              <v:stroke dashstyle="solid"/>
            </v:rect>
            <v:line style="position:absolute" from="4115,1915" to="5450,1915" stroked="true" strokeweight="1.614389pt" strokecolor="#ffa7e1">
              <v:stroke dashstyle="solid"/>
            </v:line>
            <v:line style="position:absolute" from="4115,1894" to="5277,1894" stroked="true" strokeweight="1.614396pt" strokecolor="#ffa7e1">
              <v:stroke dashstyle="solid"/>
            </v:line>
            <v:shape style="position:absolute;left:4114;top:1834;width:1023;height:54" coordorigin="4115,1835" coordsize="1023,54" path="m5137,1856l5127,1856,5127,1835,4115,1835,4115,1856,4115,1867,4115,1888,5137,1888,5137,1856e" filled="true" fillcolor="#ffa7e1" stroked="false">
              <v:path arrowok="t"/>
              <v:fill type="solid"/>
            </v:shape>
            <v:line style="position:absolute" from="4115,1829" to="5041,1829" stroked="true" strokeweight="1.614396pt" strokecolor="#ffa7e1">
              <v:stroke dashstyle="solid"/>
            </v:line>
            <v:rect style="position:absolute;left:4120;top:1786;width:905;height:33" filled="false" stroked="true" strokeweight=".538132pt" strokecolor="#ffa7e1">
              <v:stroke dashstyle="solid"/>
            </v:rect>
            <v:shape style="position:absolute;left:4114;top:1694;width:905;height:97" coordorigin="4115,1695" coordsize="905,97" path="m5019,1759l5008,1759,5008,1738,4998,1738,4998,1727,4998,1716,4998,1695,4115,1695,4115,1791,5019,1791,5019,1759e" filled="true" fillcolor="#ffa7e1" stroked="false">
              <v:path arrowok="t"/>
              <v:fill type="solid"/>
            </v:shape>
            <v:rect style="position:absolute;left:4120;top:1667;width:840;height:33" filled="false" stroked="true" strokeweight=".538132pt" strokecolor="#ffa7e1">
              <v:stroke dashstyle="solid"/>
            </v:rect>
            <v:line style="position:absolute" from="4115,1657" to="4911,1657" stroked="true" strokeweight="1.614389pt" strokecolor="#ffa7e1">
              <v:stroke dashstyle="solid"/>
            </v:line>
            <v:line style="position:absolute" from="4115,1635" to="4771,1635" stroked="true" strokeweight="1.614396pt" strokecolor="#ffa7e1">
              <v:stroke dashstyle="solid"/>
            </v:line>
            <v:shape style="position:absolute;left:4114;top:1576;width:593;height:54" coordorigin="4115,1576" coordsize="593,54" path="m4707,1598l4696,1598,4696,1576,4115,1576,4115,1598,4115,1609,4115,1630,4707,1630,4707,1598e" filled="true" fillcolor="#ffa7e1" stroked="false">
              <v:path arrowok="t"/>
              <v:fill type="solid"/>
            </v:shape>
            <v:line style="position:absolute" from="4115,1571" to="4664,1571" stroked="true" strokeweight="1.614396pt" strokecolor="#ffa7e1">
              <v:stroke dashstyle="solid"/>
            </v:line>
            <v:rect style="position:absolute;left:4120;top:1527;width:517;height:33" filled="false" stroked="true" strokeweight=".538133pt" strokecolor="#ffa7e1">
              <v:stroke dashstyle="solid"/>
            </v:rect>
            <v:shape style="position:absolute;left:4114;top:1414;width:324;height:119" coordorigin="4115,1415" coordsize="324,119" path="m4438,1415l4115,1415,4115,1436,4115,1447,4115,1533,4438,1533,4438,1501,4427,1501,4427,1490,4438,1490,4438,1469,4438,1458,4438,1447,4438,1436,4438,1415e" filled="true" fillcolor="#ffa7e1" stroked="false">
              <v:path arrowok="t"/>
              <v:fill type="solid"/>
            </v:shape>
            <v:rect style="position:absolute;left:4120;top:1387;width:237;height:33" filled="false" stroked="true" strokeweight=".538136pt" strokecolor="#ffa7e1">
              <v:stroke dashstyle="solid"/>
            </v:rect>
            <v:shape style="position:absolute;left:4114;top:1296;width:302;height:97" coordorigin="4115,1296" coordsize="302,97" path="m4416,1296l4115,1296,4115,1318,4115,1329,4115,1393,4373,1393,4373,1372,4395,1372,4395,1350,4405,1350,4405,1329,4416,1329,4416,1296e" filled="true" fillcolor="#ffa7e1" stroked="false">
              <v:path arrowok="t"/>
              <v:fill type="solid"/>
            </v:shape>
            <v:line style="position:absolute" from="4115,1291" to="4373,1291" stroked="true" strokeweight="1.614396pt" strokecolor="#ffa7e1">
              <v:stroke dashstyle="solid"/>
            </v:line>
            <v:rect style="position:absolute;left:4120;top:1247;width:280;height:33" filled="false" stroked="true" strokeweight=".538135pt" strokecolor="#ffa7e1">
              <v:stroke dashstyle="solid"/>
            </v:rect>
            <v:line style="position:absolute" from="4115,1237" to="4448,1237" stroked="true" strokeweight="1.614396pt" strokecolor="#ffa7e1">
              <v:stroke dashstyle="solid"/>
            </v:line>
            <v:shape style="position:absolute;left:4114;top:1134;width:324;height:97" coordorigin="4115,1135" coordsize="324,97" path="m4438,1135l4115,1135,4115,1156,4115,1167,4115,1232,4427,1232,4427,1210,4438,1210,4438,1178,4427,1178,4427,1167,4438,1167,4438,1135e" filled="true" fillcolor="#ffa7e1" stroked="false">
              <v:path arrowok="t"/>
              <v:fill type="solid"/>
            </v:shape>
            <v:rect style="position:absolute;left:4120;top:1108;width:334;height:33" filled="false" stroked="true" strokeweight=".538134pt" strokecolor="#ffa7e1">
              <v:stroke dashstyle="solid"/>
            </v:rect>
            <v:shape style="position:absolute;left:4114;top:1075;width:388;height:22" coordorigin="4115,1076" coordsize="388,22" path="m4115,1097l4481,1097m4115,1076l4502,1076e" filled="false" stroked="true" strokeweight="1.614396pt" strokecolor="#ffa7e1">
              <v:path arrowok="t"/>
              <v:stroke dashstyle="solid"/>
            </v:shape>
            <v:shape style="position:absolute;left:4114;top:1016;width:420;height:54" coordorigin="4115,1017" coordsize="420,54" path="m4535,1017l4115,1017,4115,1038,4115,1049,4115,1070,4524,1070,4524,1049,4535,1049,4535,1017e" filled="true" fillcolor="#ffa7e1" stroked="false">
              <v:path arrowok="t"/>
              <v:fill type="solid"/>
            </v:shape>
            <v:rect style="position:absolute;left:4120;top:989;width:474;height:33" filled="false" stroked="true" strokeweight=".538133pt" strokecolor="#ffa7e1">
              <v:stroke dashstyle="solid"/>
            </v:rect>
            <v:shape style="position:absolute;left:4114;top:941;width:517;height:54" coordorigin="4115,941" coordsize="517,54" path="m4631,941l4115,941,4115,963,4115,974,4115,995,4621,995,4621,974,4631,974,4631,941e" filled="true" fillcolor="#ffa7e1" stroked="false">
              <v:path arrowok="t"/>
              <v:fill type="solid"/>
            </v:shape>
            <v:shape style="position:absolute;left:4114;top:914;width:593;height:22" coordorigin="4115,914" coordsize="593,22" path="m4115,936l4675,936m4115,914l4707,914e" filled="false" stroked="true" strokeweight="1.614396pt" strokecolor="#ffa7e1">
              <v:path arrowok="t"/>
              <v:stroke dashstyle="solid"/>
            </v:shape>
            <v:rect style="position:absolute;left:4114;top:876;width:636;height:33" filled="true" fillcolor="#ffa7e1" stroked="false">
              <v:fill type="solid"/>
            </v:rect>
            <v:rect style="position:absolute;left:4120;top:849;width:636;height:33" filled="false" stroked="true" strokeweight=".538133pt" strokecolor="#ffa7e1">
              <v:stroke dashstyle="solid"/>
            </v:rect>
            <v:line style="position:absolute" from="4115,839" to="4750,839" stroked="true" strokeweight="1.614396pt" strokecolor="#ffa7e1">
              <v:stroke dashstyle="solid"/>
            </v:line>
            <v:line style="position:absolute" from="4115,817" to="4696,817" stroked="true" strokeweight="1.614396pt" strokecolor="#ffa7e1">
              <v:stroke dashstyle="solid"/>
            </v:line>
            <v:shape style="position:absolute;left:4114;top:752;width:420;height:44" coordorigin="4115,753" coordsize="420,44" path="m4115,796l4535,796m4115,774l4481,774m4115,753l4438,753e" filled="false" stroked="true" strokeweight="1.614396pt" strokecolor="#ffa7e1">
              <v:path arrowok="t"/>
              <v:stroke dashstyle="solid"/>
            </v:shape>
            <v:rect style="position:absolute;left:4120;top:709;width:216;height:33" filled="false" stroked="true" strokeweight=".538137pt" strokecolor="#ffa7e1">
              <v:stroke dashstyle="solid"/>
            </v:rect>
            <v:shape style="position:absolute;left:4114;top:661;width:205;height:54" coordorigin="4115,661" coordsize="205,54" path="m4319,683l4308,683,4308,661,4115,661,4115,683,4115,694,4115,715,4319,715,4319,683e" filled="true" fillcolor="#ffa7e1" stroked="false">
              <v:path arrowok="t"/>
              <v:fill type="solid"/>
            </v:shape>
            <v:line style="position:absolute" from="4115,656" to="4265,656" stroked="true" strokeweight="1.614396pt" strokecolor="#ffa7e1">
              <v:stroke dashstyle="solid"/>
            </v:line>
            <v:shape style="position:absolute;left:324611;top:-51878;width:15241;height:58675" coordorigin="324612,-51878" coordsize="15241,58675" path="m4228,645l4120,645,4120,624,4228,624,4228,645m4228,624l4120,624,4120,602,4228,602,4228,624m4206,602l4120,602,4120,570,4206,570,4206,602m4195,570l4120,570,4120,548,4195,548,4195,570m4174,548l4120,548,4120,527,4174,527,4174,548m4174,527l4120,527,4120,505,4174,505,4174,527m4163,505l4120,505,4120,484,4163,484,4163,505m4163,484l4120,484,4120,452,4163,452,4163,484m4152,452l4120,452,4120,430,4152,430,4152,452m4152,430l4120,430,4120,408,4152,408,4152,430m4152,408l4120,408,4120,387,4152,387,4152,408m4142,387l4120,387,4120,365,4142,365,4142,387m4174,365l4120,365,4120,344,4174,344,4174,365m4163,344l4120,344,4120,312,4163,312,4163,344m4174,312l4120,312,4120,290,4174,290,4174,312m4174,290l4120,290,4120,269,4174,269,4174,290m4163,269l4120,269,4120,247,4163,247,4163,269m4174,247l4120,247,4120,231e" filled="false" stroked="true" strokeweight=".538246pt" strokecolor="#ffa7e1">
              <v:path arrowok="t"/>
              <v:stroke dashstyle="solid"/>
            </v:shape>
            <v:line style="position:absolute" from="4168,239" to="4179,239" stroked="true" strokeweight=".807222pt" strokecolor="#ffa7e1">
              <v:stroke dashstyle="solid"/>
            </v:line>
            <v:line style="position:absolute" from="6413,2335" to="1827,2335" stroked="true" strokeweight=".538135pt" strokecolor="#bebebe">
              <v:stroke dashstyle="solid"/>
            </v:line>
            <v:shape style="position:absolute;left:-654460;top:-124;width:654460;height:7682" coordorigin="-654460,-123" coordsize="654460,7682" path="m6413,2335l6413,2389m5832,2335l5832,2389m5261,2335l5261,2389m4691,2335l4691,2389m4120,2335l4120,2389m3539,2335l3539,2389m2968,2335l2968,2389m2397,2335l2397,2389m1827,2335l1827,2389e" filled="false" stroked="true" strokeweight=".53825pt" strokecolor="#bebebe">
              <v:path arrowok="t"/>
              <v:stroke dashstyle="solid"/>
            </v:shape>
            <v:line style="position:absolute" from="1827,2335" to="1827,236" stroked="true" strokeweight=".538362pt" strokecolor="#bebebe">
              <v:stroke dashstyle="solid"/>
            </v:line>
            <v:shape style="position:absolute;left:0;top:7558;width:16711;height:651711" coordorigin="0,7558" coordsize="16711,651711" path="m1773,2335l1827,2335m1773,2109l1827,2109m1773,1872l1827,1872m1773,1635l1827,1635m1773,1399l1827,1399m1773,1173l1827,1173m1773,936l1827,936m1773,699l1827,699m1773,473l1827,473m1773,236l1827,236e" filled="false" stroked="true" strokeweight=".538245pt" strokecolor="#bebebe">
              <v:path arrowok="t"/>
              <v:stroke dashstyle="solid"/>
            </v:shape>
            <w10:wrap type="none"/>
          </v:group>
        </w:pict>
      </w:r>
      <w:r>
        <w:rPr>
          <w:rFonts w:ascii="Calibri"/>
          <w:spacing w:val="-7"/>
          <w:sz w:val="16"/>
        </w:rPr>
        <w:t>90</w:t>
      </w:r>
    </w:p>
    <w:p>
      <w:pPr>
        <w:spacing w:before="39"/>
        <w:ind w:left="1398" w:right="0" w:firstLine="0"/>
        <w:jc w:val="left"/>
        <w:rPr>
          <w:rFonts w:ascii="Calibri"/>
          <w:sz w:val="16"/>
        </w:rPr>
      </w:pPr>
      <w:r>
        <w:rPr>
          <w:rFonts w:ascii="Calibri"/>
          <w:spacing w:val="-7"/>
          <w:sz w:val="16"/>
        </w:rPr>
        <w:t>80</w:t>
      </w:r>
    </w:p>
    <w:p>
      <w:pPr>
        <w:spacing w:before="38"/>
        <w:ind w:left="1398" w:right="0" w:firstLine="0"/>
        <w:jc w:val="left"/>
        <w:rPr>
          <w:rFonts w:ascii="Calibri"/>
          <w:sz w:val="16"/>
        </w:rPr>
      </w:pPr>
      <w:r>
        <w:rPr>
          <w:rFonts w:ascii="Calibri"/>
          <w:spacing w:val="-7"/>
          <w:sz w:val="16"/>
        </w:rPr>
        <w:t>70</w:t>
      </w:r>
    </w:p>
    <w:p>
      <w:pPr>
        <w:spacing w:before="39"/>
        <w:ind w:left="1398" w:right="0" w:firstLine="0"/>
        <w:jc w:val="left"/>
        <w:rPr>
          <w:rFonts w:ascii="Calibri"/>
          <w:sz w:val="16"/>
        </w:rPr>
      </w:pPr>
      <w:r>
        <w:rPr>
          <w:rFonts w:ascii="Calibri"/>
          <w:spacing w:val="-7"/>
          <w:sz w:val="16"/>
        </w:rPr>
        <w:t>60</w:t>
      </w:r>
    </w:p>
    <w:p>
      <w:pPr>
        <w:spacing w:before="38"/>
        <w:ind w:left="1398" w:right="0" w:firstLine="0"/>
        <w:jc w:val="left"/>
        <w:rPr>
          <w:rFonts w:ascii="Calibri"/>
          <w:sz w:val="16"/>
        </w:rPr>
      </w:pPr>
      <w:r>
        <w:rPr>
          <w:rFonts w:ascii="Calibri"/>
          <w:spacing w:val="-7"/>
          <w:sz w:val="16"/>
        </w:rPr>
        <w:t>50</w:t>
      </w:r>
    </w:p>
    <w:p>
      <w:pPr>
        <w:spacing w:before="39"/>
        <w:ind w:left="1398" w:right="0" w:firstLine="0"/>
        <w:jc w:val="left"/>
        <w:rPr>
          <w:rFonts w:ascii="Calibri"/>
          <w:sz w:val="16"/>
        </w:rPr>
      </w:pPr>
      <w:r>
        <w:rPr>
          <w:rFonts w:ascii="Calibri"/>
          <w:spacing w:val="-7"/>
          <w:sz w:val="16"/>
        </w:rPr>
        <w:t>40</w:t>
      </w:r>
    </w:p>
    <w:p>
      <w:pPr>
        <w:spacing w:before="38"/>
        <w:ind w:left="1398" w:right="0" w:firstLine="0"/>
        <w:jc w:val="left"/>
        <w:rPr>
          <w:rFonts w:ascii="Calibri"/>
          <w:sz w:val="16"/>
        </w:rPr>
      </w:pPr>
      <w:r>
        <w:rPr>
          <w:rFonts w:ascii="Calibri"/>
          <w:spacing w:val="-7"/>
          <w:sz w:val="16"/>
        </w:rPr>
        <w:t>30</w:t>
      </w:r>
    </w:p>
    <w:p>
      <w:pPr>
        <w:spacing w:before="39"/>
        <w:ind w:left="1398" w:right="0" w:firstLine="0"/>
        <w:jc w:val="left"/>
        <w:rPr>
          <w:rFonts w:ascii="Calibri"/>
          <w:sz w:val="16"/>
        </w:rPr>
      </w:pPr>
      <w:r>
        <w:rPr>
          <w:rFonts w:ascii="Calibri"/>
          <w:spacing w:val="-7"/>
          <w:sz w:val="16"/>
        </w:rPr>
        <w:t>20</w:t>
      </w:r>
    </w:p>
    <w:p>
      <w:pPr>
        <w:spacing w:before="38"/>
        <w:ind w:left="1398" w:right="0" w:firstLine="0"/>
        <w:jc w:val="left"/>
        <w:rPr>
          <w:rFonts w:ascii="Calibri"/>
          <w:sz w:val="16"/>
        </w:rPr>
      </w:pPr>
      <w:r>
        <w:rPr>
          <w:rFonts w:ascii="Calibri"/>
          <w:spacing w:val="-7"/>
          <w:sz w:val="16"/>
        </w:rPr>
        <w:t>10</w:t>
      </w:r>
    </w:p>
    <w:p>
      <w:pPr>
        <w:spacing w:before="39"/>
        <w:ind w:left="1478" w:right="0" w:firstLine="0"/>
        <w:jc w:val="left"/>
        <w:rPr>
          <w:rFonts w:ascii="Calibri"/>
          <w:sz w:val="16"/>
        </w:rPr>
      </w:pPr>
      <w:r>
        <w:rPr>
          <w:rFonts w:ascii="Calibri"/>
          <w:w w:val="100"/>
          <w:sz w:val="16"/>
        </w:rPr>
        <w:t>0</w:t>
      </w:r>
    </w:p>
    <w:p>
      <w:pPr>
        <w:spacing w:before="10"/>
        <w:ind w:left="1445" w:right="0" w:firstLine="0"/>
        <w:jc w:val="left"/>
        <w:rPr>
          <w:rFonts w:ascii="Calibri"/>
          <w:sz w:val="16"/>
        </w:rPr>
      </w:pPr>
      <w:r>
        <w:rPr>
          <w:rFonts w:ascii="Calibri"/>
          <w:sz w:val="16"/>
        </w:rPr>
        <w:t>200,000 150,000 100,000 50,000</w:t>
      </w:r>
    </w:p>
    <w:p>
      <w:pPr>
        <w:pStyle w:val="BodyText"/>
        <w:rPr>
          <w:rFonts w:ascii="Calibri"/>
          <w:sz w:val="16"/>
        </w:rPr>
      </w:pPr>
      <w:r>
        <w:rPr/>
        <w:br w:type="column"/>
      </w:r>
      <w:r>
        <w:rPr>
          <w:rFonts w:ascii="Calibri"/>
          <w:sz w:val="16"/>
        </w:rPr>
      </w: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spacing w:before="9"/>
        <w:rPr>
          <w:rFonts w:ascii="Calibri"/>
          <w:sz w:val="23"/>
        </w:rPr>
      </w:pPr>
    </w:p>
    <w:p>
      <w:pPr>
        <w:tabs>
          <w:tab w:pos="674" w:val="left" w:leader="none"/>
        </w:tabs>
        <w:spacing w:before="0"/>
        <w:ind w:left="281" w:right="0" w:firstLine="0"/>
        <w:jc w:val="left"/>
        <w:rPr>
          <w:rFonts w:ascii="Calibri"/>
          <w:sz w:val="16"/>
        </w:rPr>
      </w:pPr>
      <w:r>
        <w:rPr>
          <w:rFonts w:ascii="Calibri"/>
          <w:sz w:val="16"/>
        </w:rPr>
        <w:t>0</w:t>
        <w:tab/>
      </w:r>
      <w:r>
        <w:rPr>
          <w:rFonts w:ascii="Calibri"/>
          <w:spacing w:val="-7"/>
          <w:sz w:val="16"/>
        </w:rPr>
        <w:t>50,000</w:t>
      </w:r>
    </w:p>
    <w:p>
      <w:pPr>
        <w:pStyle w:val="BodyText"/>
        <w:rPr>
          <w:rFonts w:ascii="Calibri"/>
          <w:sz w:val="16"/>
        </w:rPr>
      </w:pPr>
      <w:r>
        <w:rPr/>
        <w:br w:type="column"/>
      </w:r>
      <w:r>
        <w:rPr>
          <w:rFonts w:ascii="Calibri"/>
          <w:sz w:val="16"/>
        </w:rPr>
      </w: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spacing w:before="9"/>
        <w:rPr>
          <w:rFonts w:ascii="Calibri"/>
          <w:sz w:val="23"/>
        </w:rPr>
      </w:pPr>
    </w:p>
    <w:p>
      <w:pPr>
        <w:spacing w:before="0"/>
        <w:ind w:left="62" w:right="0" w:firstLine="0"/>
        <w:jc w:val="left"/>
        <w:rPr>
          <w:rFonts w:ascii="Calibri"/>
          <w:sz w:val="16"/>
        </w:rPr>
      </w:pPr>
      <w:r>
        <w:rPr>
          <w:rFonts w:ascii="Calibri"/>
          <w:sz w:val="16"/>
        </w:rPr>
        <w:t>100,000 150,000 200,000</w:t>
      </w:r>
    </w:p>
    <w:p>
      <w:pPr>
        <w:spacing w:after="0"/>
        <w:jc w:val="left"/>
        <w:rPr>
          <w:rFonts w:ascii="Calibri"/>
          <w:sz w:val="16"/>
        </w:rPr>
        <w:sectPr>
          <w:type w:val="continuous"/>
          <w:pgSz w:w="11910" w:h="16850"/>
          <w:pgMar w:top="1600" w:bottom="280" w:left="120" w:right="0"/>
          <w:cols w:num="3" w:equalWidth="0">
            <w:col w:w="3635" w:space="40"/>
            <w:col w:w="1106" w:space="39"/>
            <w:col w:w="6970"/>
          </w:cols>
        </w:sectPr>
      </w:pPr>
    </w:p>
    <w:p>
      <w:pPr>
        <w:spacing w:before="40"/>
        <w:ind w:left="3386" w:right="0" w:firstLine="0"/>
        <w:jc w:val="left"/>
        <w:rPr>
          <w:rFonts w:ascii="Calibri"/>
          <w:sz w:val="16"/>
        </w:rPr>
      </w:pPr>
      <w:r>
        <w:rPr>
          <w:rFonts w:ascii="Calibri"/>
          <w:color w:val="A6A6A6"/>
          <w:sz w:val="16"/>
        </w:rPr>
        <w:t>Number of People</w:t>
      </w:r>
    </w:p>
    <w:p>
      <w:pPr>
        <w:pStyle w:val="BodyText"/>
        <w:spacing w:before="10"/>
        <w:rPr>
          <w:rFonts w:ascii="Calibri"/>
          <w:sz w:val="24"/>
        </w:rPr>
      </w:pPr>
    </w:p>
    <w:p>
      <w:pPr>
        <w:pStyle w:val="BodyText"/>
        <w:spacing w:before="93"/>
        <w:ind w:left="900" w:right="1031" w:hanging="1"/>
      </w:pPr>
      <w:r>
        <w:rPr>
          <w:color w:val="404040"/>
        </w:rPr>
        <w:t>Across all but the youngest ages there are more men in this class than women. This is likely because women are more likely to have received FTB or family payments and have been in the large Non IS Family class. If these people subsequently exit, they move into class 10 (previous welfare recipients) rather than return to class 12 (rest of the Australian population).</w:t>
      </w:r>
    </w:p>
    <w:p>
      <w:pPr>
        <w:pStyle w:val="BodyText"/>
        <w:spacing w:before="119"/>
        <w:ind w:left="900" w:right="1075"/>
      </w:pPr>
      <w:r>
        <w:rPr>
          <w:color w:val="404040"/>
        </w:rPr>
        <w:t>This feature of class 12 (that people cannot return to it once they have interacted with the welfare system) means that as successive years of welfare use data are added to the modelling dataset at future valuations the number of people in this class may shrink if the number of new-borns and migrants do not keep up with new welfare use.</w:t>
      </w:r>
    </w:p>
    <w:p>
      <w:pPr>
        <w:spacing w:after="0"/>
        <w:sectPr>
          <w:type w:val="continuous"/>
          <w:pgSz w:w="11910" w:h="16850"/>
          <w:pgMar w:top="1600" w:bottom="280" w:left="120" w:right="0"/>
        </w:sectPr>
      </w:pPr>
    </w:p>
    <w:p>
      <w:pPr>
        <w:pStyle w:val="BodyText"/>
      </w:pPr>
    </w:p>
    <w:p>
      <w:pPr>
        <w:pStyle w:val="BodyText"/>
      </w:pPr>
    </w:p>
    <w:p>
      <w:pPr>
        <w:pStyle w:val="BodyText"/>
        <w:spacing w:before="7"/>
        <w:rPr>
          <w:sz w:val="21"/>
        </w:rPr>
      </w:pPr>
    </w:p>
    <w:p>
      <w:pPr>
        <w:pStyle w:val="Heading6"/>
        <w:spacing w:before="94"/>
        <w:rPr>
          <w:i/>
        </w:rPr>
      </w:pPr>
      <w:r>
        <w:rPr>
          <w:i/>
          <w:color w:val="DF2F1E"/>
        </w:rPr>
        <w:t>Movements into and out of this class</w:t>
      </w:r>
    </w:p>
    <w:p>
      <w:pPr>
        <w:pStyle w:val="BodyText"/>
        <w:spacing w:before="121"/>
        <w:ind w:left="900" w:right="1164"/>
      </w:pPr>
      <w:r>
        <w:rPr>
          <w:color w:val="404040"/>
        </w:rPr>
        <w:t>By definition there are no transitions into this class. However, from valuation to valuation the model population changes to reflect the profile of the Australian resident population after considering those people assigned to other classes (section </w:t>
      </w:r>
      <w:hyperlink w:history="true" w:anchor="_bookmark47">
        <w:r>
          <w:rPr>
            <w:color w:val="404040"/>
          </w:rPr>
          <w:t>7</w:t>
        </w:r>
      </w:hyperlink>
      <w:r>
        <w:rPr>
          <w:color w:val="404040"/>
        </w:rPr>
        <w:t>) and this impacts on the number of people in this class.</w:t>
      </w:r>
    </w:p>
    <w:p>
      <w:pPr>
        <w:pStyle w:val="BodyText"/>
        <w:spacing w:before="119"/>
        <w:ind w:left="899" w:right="1164"/>
      </w:pPr>
      <w:r>
        <w:rPr>
          <w:color w:val="404040"/>
        </w:rPr>
        <w:t>As previously noted the model population includes all Australian residents at the valuation date and overseas welfare recipients who received a payment in the previous year. Between 30 June 2017 and 30 June 2018 we have estimated that the combined effect of births, deaths and net migration resulted in an increase in the population of around 380,000 people.</w:t>
      </w:r>
    </w:p>
    <w:p>
      <w:pPr>
        <w:pStyle w:val="BodyText"/>
        <w:spacing w:before="121"/>
        <w:ind w:left="899" w:right="1276"/>
      </w:pPr>
      <w:r>
        <w:rPr>
          <w:color w:val="404040"/>
        </w:rPr>
        <w:t>Over the last three years, an average of 410,400 people (around 3.4% of the people in this class) per annum have entered the welfare system by transitioning out of the rest of Australian population class.</w:t>
      </w:r>
    </w:p>
    <w:p>
      <w:pPr>
        <w:pStyle w:val="BodyText"/>
        <w:spacing w:before="121"/>
        <w:ind w:left="899"/>
      </w:pPr>
      <w:r>
        <w:rPr>
          <w:color w:val="404040"/>
        </w:rPr>
        <w:t>The following charts show the breakdown of these transitions by destination class and year of transition.</w:t>
      </w:r>
    </w:p>
    <w:p>
      <w:pPr>
        <w:pStyle w:val="Heading9"/>
        <w:spacing w:before="176"/>
        <w:ind w:left="899" w:right="1735"/>
      </w:pPr>
      <w:r>
        <w:rPr>
          <w:color w:val="DF2F1E"/>
        </w:rPr>
        <w:t>Figure 103: Number of people entering the welfare system from class 12 – Rest of the Australian Population (by class entered into)</w:t>
      </w:r>
    </w:p>
    <w:p>
      <w:pPr>
        <w:pStyle w:val="BodyText"/>
        <w:spacing w:before="1"/>
        <w:rPr>
          <w:b/>
          <w:sz w:val="9"/>
        </w:rPr>
      </w:pPr>
    </w:p>
    <w:p>
      <w:pPr>
        <w:spacing w:before="71"/>
        <w:ind w:left="1156" w:right="0" w:firstLine="0"/>
        <w:jc w:val="left"/>
        <w:rPr>
          <w:rFonts w:ascii="Calibri"/>
          <w:sz w:val="16"/>
        </w:rPr>
      </w:pPr>
      <w:r>
        <w:rPr/>
        <w:pict>
          <v:group style="position:absolute;margin-left:98.35627pt;margin-top:8.809269pt;width:412.6pt;height:144pt;mso-position-horizontal-relative:page;mso-position-vertical-relative:paragraph;z-index:252797952" coordorigin="1967,176" coordsize="8252,2880">
            <v:shape style="position:absolute;left:1973;top:2043;width:8240;height:2" coordorigin="1973,2043" coordsize="8240,0" path="m9965,2043l10213,2043m9150,2043l9634,2043m8324,2043l8820,2043m7498,2043l7993,2043m6671,2043l7167,2043m5845,2043l6341,2043m5019,2043l5514,2043m4204,2043l4688,2043m3378,2043l3874,2043m2551,2043l3047,2043m1973,2043l2221,2043e" filled="false" stroked="true" strokeweight=".588925pt" strokecolor="#d9d9d9">
              <v:path arrowok="t"/>
              <v:stroke dashstyle="solid"/>
            </v:shape>
            <v:shape style="position:absolute;left:2220;top:2078;width:6930;height:342" coordorigin="2221,2078" coordsize="6930,342" path="m2551,2114l2221,2114,2221,2420,2551,2420,2551,2114m3378,2078l3047,2078,3047,2420,3378,2420,3378,2078m4204,2090l3874,2090,3874,2420,4204,2420,4204,2090m5019,2102l4688,2102,4688,2420,5019,2420,5019,2102m5845,2114l5514,2114,5514,2420,5845,2420,5845,2114m6671,2114l6341,2114,6341,2420,6671,2420,6671,2114m7498,2114l7167,2114,7167,2420,7498,2420,7498,2114m8324,2114l7993,2114,7993,2420,8324,2420,8324,2114m9150,2126l8820,2126,8820,2420,9150,2420,9150,2126e" filled="true" fillcolor="#1f487c" stroked="false">
              <v:path arrowok="t"/>
              <v:fill type="solid"/>
            </v:shape>
            <v:shape style="position:absolute;left:1973;top:1677;width:1075;height:2" coordorigin="1973,1678" coordsize="1075,0" path="m2551,1678l3047,1678m1973,1678l2221,1678e" filled="false" stroked="true" strokeweight=".588925pt" strokecolor="#d9d9d9">
              <v:path arrowok="t"/>
              <v:stroke dashstyle="solid"/>
            </v:shape>
            <v:rect style="position:absolute;left:2220;top:1654;width:331;height:460" filled="true" fillcolor="#009544" stroked="false">
              <v:fill type="solid"/>
            </v:rect>
            <v:line style="position:absolute" from="3378,1678" to="5514,1678" stroked="true" strokeweight=".588925pt" strokecolor="#d9d9d9">
              <v:stroke dashstyle="solid"/>
            </v:line>
            <v:shape style="position:absolute;left:3047;top:1666;width:6103;height:460" coordorigin="3047,1666" coordsize="6103,460" path="m3378,1666l3047,1666,3047,2078,3378,2078,3378,1666m4204,1690l3874,1690,3874,2090,4204,2090,4204,1690m5019,1702l4688,1702,4688,2102,5019,2102,5019,1702m5845,1796l5514,1796,5514,2114,5845,2114,5845,1796m6671,1760l6341,1760,6341,2114,6671,2114,6671,1760m7498,1772l7167,1772,7167,2114,7498,2114,7498,1772m8324,1772l7993,1772,7993,2114,8324,2114,8324,1772m9150,1796l8820,1796,8820,2126,9150,2126,9150,1796e" filled="true" fillcolor="#009544" stroked="false">
              <v:path arrowok="t"/>
              <v:fill type="solid"/>
            </v:shape>
            <v:rect style="position:absolute;left:9634;top:2125;width:331;height:295" filled="true" fillcolor="#1f487c" stroked="false">
              <v:fill type="solid"/>
            </v:rect>
            <v:rect style="position:absolute;left:9634;top:1795;width:331;height:330" filled="true" fillcolor="#009544" stroked="false">
              <v:fill type="solid"/>
            </v:rect>
            <v:shape style="position:absolute;left:2220;top:1619;width:2798;height:83" coordorigin="2221,1619" coordsize="2798,83" path="m2551,1619l2221,1619,2221,1654,2551,1654,2551,1619m3378,1619l3047,1619,3047,1666,3378,1666,3378,1619m4204,1654l3874,1654,3874,1690,4204,1690,4204,1654m5019,1678l4688,1678,4688,1702,5019,1702,5019,1678e" filled="true" fillcolor="#e16b09" stroked="false">
              <v:path arrowok="t"/>
              <v:fill type="solid"/>
            </v:shape>
            <v:line style="position:absolute" from="5514,1790" to="5845,1790" stroked="true" strokeweight=".588929pt" strokecolor="#e16b09">
              <v:stroke dashstyle="solid"/>
            </v:line>
            <v:line style="position:absolute" from="5845,1678" to="7993,1678" stroked="true" strokeweight=".588925pt" strokecolor="#d9d9d9">
              <v:stroke dashstyle="solid"/>
            </v:line>
            <v:shape style="position:absolute;left:6340;top:1725;width:1157;height:48" coordorigin="6341,1725" coordsize="1157,48" path="m6671,1725l6341,1725,6341,1760,6671,1760,6671,1725m7498,1737l7167,1737,7167,1772,7498,1772,7498,1737e" filled="true" fillcolor="#e16b09" stroked="false">
              <v:path arrowok="t"/>
              <v:fill type="solid"/>
            </v:shape>
            <v:line style="position:absolute" from="8324,1678" to="8820,1678" stroked="true" strokeweight=".588925pt" strokecolor="#d9d9d9">
              <v:stroke dashstyle="solid"/>
            </v:line>
            <v:shape style="position:absolute;left:7993;top:1736;width:1972;height:59" coordorigin="7993,1737" coordsize="1972,59" path="m8324,1737l7993,1737,7993,1772,8324,1772,8324,1737m9150,1760l8820,1760,8820,1796,9150,1796,9150,1760m9965,1760l9634,1760,9634,1796,9965,1796,9965,1760e" filled="true" fillcolor="#e16b09" stroked="false">
              <v:path arrowok="t"/>
              <v:fill type="solid"/>
            </v:shape>
            <v:rect style="position:absolute;left:2220;top:1595;width:331;height:24" filled="true" fillcolor="#e08ad6" stroked="false">
              <v:fill type="solid"/>
            </v:rect>
            <v:line style="position:absolute" from="3047,1613" to="3378,1613" stroked="true" strokeweight=".588929pt" strokecolor="#e08ad6">
              <v:stroke dashstyle="solid"/>
            </v:line>
            <v:shape style="position:absolute;left:3873;top:1630;width:4451;height:154" coordorigin="3874,1631" coordsize="4451,154" path="m4204,1631l3874,1631,3874,1654,4204,1654,4204,1631m5019,1654l4688,1654,4688,1678,5019,1678,5019,1654m5845,1760l5514,1760,5514,1784,5845,1784,5845,1760m6671,1702l6341,1702,6341,1725,6671,1725,6671,1702m7498,1713l7167,1713,7167,1737,7498,1737,7498,1713m8324,1713l7993,1713,7993,1737,8324,1737,8324,1713e" filled="true" fillcolor="#e08ad6" stroked="false">
              <v:path arrowok="t"/>
              <v:fill type="solid"/>
            </v:shape>
            <v:line style="position:absolute" from="9150,1678" to="9634,1678" stroked="true" strokeweight=".588925pt" strokecolor="#d9d9d9">
              <v:stroke dashstyle="solid"/>
            </v:line>
            <v:rect style="position:absolute;left:8819;top:1736;width:331;height:24" filled="true" fillcolor="#e08ad6" stroked="false">
              <v:fill type="solid"/>
            </v:rect>
            <v:line style="position:absolute" from="9965,1678" to="10213,1678" stroked="true" strokeweight=".588925pt" strokecolor="#d9d9d9">
              <v:stroke dashstyle="solid"/>
            </v:line>
            <v:rect style="position:absolute;left:9634;top:1736;width:331;height:24" filled="true" fillcolor="#e08ad6" stroked="false">
              <v:fill type="solid"/>
            </v:rect>
            <v:shape style="position:absolute;left:2220;top:1536;width:7744;height:224" coordorigin="2221,1537" coordsize="7744,224" path="m2551,1537l2221,1537,2221,1596,2551,1596,2551,1537m3378,1560l3047,1560,3047,1607,3378,1607,3378,1560m4204,1596l3874,1596,3874,1631,4204,1631,4204,1596m5019,1619l4688,1619,4688,1654,5019,1654,5019,1619m5845,1737l5514,1737,5514,1760,5845,1760,5845,1737m6671,1666l6341,1666,6341,1702,6671,1702,6671,1666m7498,1678l7167,1678,7167,1713,7498,1713,7498,1678m8324,1690l7993,1690,7993,1713,8324,1713,8324,1690m9150,1713l8820,1713,8820,1737,9150,1737,9150,1713m9965,1713l9634,1713,9634,1737,9965,1737,9965,1713e" filled="true" fillcolor="#8063a1" stroked="false">
              <v:path arrowok="t"/>
              <v:fill type="solid"/>
            </v:shape>
            <v:line style="position:absolute" from="1973,1301" to="3047,1301" stroked="true" strokeweight=".588925pt" strokecolor="#d9d9d9">
              <v:stroke dashstyle="solid"/>
            </v:line>
            <v:rect style="position:absolute;left:2220;top:1301;width:331;height:236" filled="true" fillcolor="#c0504d" stroked="false">
              <v:fill type="solid"/>
            </v:rect>
            <v:line style="position:absolute" from="3378,1301" to="3874,1301" stroked="true" strokeweight=".588925pt" strokecolor="#d9d9d9">
              <v:stroke dashstyle="solid"/>
            </v:line>
            <v:rect style="position:absolute;left:3047;top:1277;width:331;height:283" filled="true" fillcolor="#c0504d" stroked="false">
              <v:fill type="solid"/>
            </v:rect>
            <v:line style="position:absolute" from="4204,1301" to="4688,1301" stroked="true" strokeweight=".588925pt" strokecolor="#d9d9d9">
              <v:stroke dashstyle="solid"/>
            </v:line>
            <v:rect style="position:absolute;left:3873;top:1336;width:331;height:260" filled="true" fillcolor="#c0504d" stroked="false">
              <v:fill type="solid"/>
            </v:rect>
            <v:line style="position:absolute" from="5019,1301" to="5514,1301" stroked="true" strokeweight=".588925pt" strokecolor="#d9d9d9">
              <v:stroke dashstyle="solid"/>
            </v:line>
            <v:shape style="position:absolute;left:4688;top:1371;width:5277;height:366" coordorigin="4688,1372" coordsize="5277,366" path="m5019,1372l4688,1372,4688,1619,5019,1619,5019,1372m5845,1596l5514,1596,5514,1737,5845,1737,5845,1596m6671,1478l6341,1478,6341,1666,6671,1666,6671,1478m7498,1513l7167,1513,7167,1678,7498,1678,7498,1513m8324,1478l7993,1478,7993,1690,8324,1690,8324,1478m9150,1548l8820,1548,8820,1713,9150,1713,9150,1548m9965,1513l9634,1513,9634,1713,9965,1713,9965,1513e" filled="true" fillcolor="#c0504d" stroked="false">
              <v:path arrowok="t"/>
              <v:fill type="solid"/>
            </v:shape>
            <v:shape style="position:absolute;left:2220;top:1242;width:7744;height:354" coordorigin="2221,1242" coordsize="7744,354" path="m2551,1266l2221,1266,2221,1301,2551,1301,2551,1266m3378,1242l3047,1242,3047,1278,3378,1278,3378,1242m4204,1313l3874,1313,3874,1336,4204,1336,4204,1313m5019,1348l4688,1348,4688,1372,5019,1372,5019,1348m5845,1572l5514,1572,5514,1596,5845,1596,5845,1572m6671,1454l6341,1454,6341,1478,6671,1478,6671,1454m7498,1490l7167,1490,7167,1513,7498,1513,7498,1490m8324,1442l7993,1442,7993,1478,8324,1478,8324,1442m9150,1513l8820,1513,8820,1548,9150,1548,9150,1513m9965,1490l9634,1490,9634,1513,9965,1513,9965,1490e" filled="true" fillcolor="#ecb8e7" stroked="false">
              <v:path arrowok="t"/>
              <v:fill type="solid"/>
            </v:shape>
            <v:shape style="position:absolute;left:1973;top:924;width:1075;height:2" coordorigin="1973,924" coordsize="1075,0" path="m2551,924l3047,924m1973,924l2221,924e" filled="false" stroked="true" strokeweight=".588925pt" strokecolor="#d9d9d9">
              <v:path arrowok="t"/>
              <v:stroke dashstyle="solid"/>
            </v:shape>
            <v:line style="position:absolute" from="1973,559" to="10213,559" stroked="true" strokeweight=".588925pt" strokecolor="#d9d9d9">
              <v:stroke dashstyle="solid"/>
            </v:line>
            <v:rect style="position:absolute;left:2220;top:594;width:331;height:672" filled="true" fillcolor="#938953" stroked="false">
              <v:fill type="solid"/>
            </v:rect>
            <v:line style="position:absolute" from="3378,924" to="3874,924" stroked="true" strokeweight=".588925pt" strokecolor="#d9d9d9">
              <v:stroke dashstyle="solid"/>
            </v:line>
            <v:rect style="position:absolute;left:3047;top:594;width:331;height:648" filled="true" fillcolor="#938953" stroked="false">
              <v:fill type="solid"/>
            </v:rect>
            <v:line style="position:absolute" from="4204,924" to="4688,924" stroked="true" strokeweight=".588925pt" strokecolor="#d9d9d9">
              <v:stroke dashstyle="solid"/>
            </v:line>
            <v:rect style="position:absolute;left:3873;top:747;width:331;height:566" filled="true" fillcolor="#938953" stroked="false">
              <v:fill type="solid"/>
            </v:rect>
            <v:line style="position:absolute" from="5019,924" to="10213,924" stroked="true" strokeweight=".588925pt" strokecolor="#d9d9d9">
              <v:stroke dashstyle="solid"/>
            </v:line>
            <v:rect style="position:absolute;left:4688;top:806;width:331;height:542" filled="true" fillcolor="#938953" stroked="false">
              <v:fill type="solid"/>
            </v:rect>
            <v:line style="position:absolute" from="5845,1301" to="6341,1301" stroked="true" strokeweight=".588925pt" strokecolor="#d9d9d9">
              <v:stroke dashstyle="solid"/>
            </v:line>
            <v:rect style="position:absolute;left:5514;top:1112;width:331;height:460" filled="true" fillcolor="#938953" stroked="false">
              <v:fill type="solid"/>
            </v:rect>
            <v:line style="position:absolute" from="6671,1301" to="7167,1301" stroked="true" strokeweight=".588925pt" strokecolor="#d9d9d9">
              <v:stroke dashstyle="solid"/>
            </v:line>
            <v:rect style="position:absolute;left:6340;top:924;width:331;height:531" filled="true" fillcolor="#938953" stroked="false">
              <v:fill type="solid"/>
            </v:rect>
            <v:line style="position:absolute" from="7498,1301" to="7993,1301" stroked="true" strokeweight=".588925pt" strokecolor="#d9d9d9">
              <v:stroke dashstyle="solid"/>
            </v:line>
            <v:rect style="position:absolute;left:7167;top:983;width:331;height:507" filled="true" fillcolor="#938953" stroked="false">
              <v:fill type="solid"/>
            </v:rect>
            <v:line style="position:absolute" from="8324,1301" to="8820,1301" stroked="true" strokeweight=".588925pt" strokecolor="#d9d9d9">
              <v:stroke dashstyle="solid"/>
            </v:line>
            <v:rect style="position:absolute;left:7993;top:959;width:331;height:483" filled="true" fillcolor="#938953" stroked="false">
              <v:fill type="solid"/>
            </v:rect>
            <v:line style="position:absolute" from="9150,1301" to="9634,1301" stroked="true" strokeweight=".588925pt" strokecolor="#d9d9d9">
              <v:stroke dashstyle="solid"/>
            </v:line>
            <v:rect style="position:absolute;left:8819;top:1030;width:331;height:483" filled="true" fillcolor="#938953" stroked="false">
              <v:fill type="solid"/>
            </v:rect>
            <v:line style="position:absolute" from="9965,1301" to="10213,1301" stroked="true" strokeweight=".588925pt" strokecolor="#d9d9d9">
              <v:stroke dashstyle="solid"/>
            </v:line>
            <v:rect style="position:absolute;left:9634;top:1006;width:331;height:483" filled="true" fillcolor="#938953" stroked="false">
              <v:fill type="solid"/>
            </v:rect>
            <v:line style="position:absolute" from="1973,2420" to="10213,2420" stroked="true" strokeweight=".588929pt" strokecolor="#d9d9d9">
              <v:stroke dashstyle="solid"/>
            </v:line>
            <v:shape style="position:absolute;left:0;top:-13735;width:651809;height:25214" coordorigin="0,-13735" coordsize="651809,25214" path="m1973,2420l1973,2467m1973,2420l1973,2738m2799,2420l2799,2467m2799,2420l2799,2738m3626,2420l3626,2467m3626,2420l3626,2738m4440,2420l4440,2467m4440,2420l4440,2738m5266,2420l5266,2467m5266,2420l5266,2738m6093,2420l6093,2467m6093,2420l6093,2738m6919,2420l6919,2467m6919,2420l6919,2738m7745,2420l7745,2467m7745,2420l7745,2738m8572,2420l8572,2467m8572,2420l8572,2738m9386,2420l9386,2467m9386,2420l9386,2738m10213,2420l10213,2467m10213,2420l10213,2738e" filled="false" stroked="true" strokeweight=".589577pt" strokecolor="#d9d9d9">
              <v:path arrowok="t"/>
              <v:stroke dashstyle="solid"/>
            </v:shape>
            <v:shape style="position:absolute;left:0;top:-13735;width:651809;height:25214" coordorigin="0,-13735" coordsize="651809,25214" path="m1973,2738l1973,3056m6093,2738l6093,3056m10213,2738l10213,3056e" filled="false" stroked="true" strokeweight=".589577pt" strokecolor="#d9d9d9">
              <v:path arrowok="t"/>
              <v:stroke dashstyle="solid"/>
            </v:shape>
            <v:line style="position:absolute" from="1973,182" to="10213,182" stroked="true" strokeweight=".588925pt" strokecolor="#d9d9d9">
              <v:stroke dashstyle="solid"/>
            </v:line>
            <v:line style="position:absolute" from="6100,182" to="6093,2425" stroked="true" strokeweight=".590226pt" strokecolor="#a6a6a6">
              <v:stroke dashstyle="solid"/>
            </v:line>
            <v:shape style="position:absolute;left:2217;top:2554;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2014</w:t>
                    </w:r>
                  </w:p>
                </w:txbxContent>
              </v:textbox>
              <w10:wrap type="none"/>
            </v:shape>
            <v:shape style="position:absolute;left:3042;top:2554;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2015</w:t>
                    </w:r>
                  </w:p>
                </w:txbxContent>
              </v:textbox>
              <w10:wrap type="none"/>
            </v:shape>
            <v:shape style="position:absolute;left:3866;top:2554;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2016</w:t>
                    </w:r>
                  </w:p>
                </w:txbxContent>
              </v:textbox>
              <w10:wrap type="none"/>
            </v:shape>
            <v:shape style="position:absolute;left:4690;top:2554;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2017</w:t>
                    </w:r>
                  </w:p>
                </w:txbxContent>
              </v:textbox>
              <w10:wrap type="none"/>
            </v:shape>
            <v:shape style="position:absolute;left:5514;top:2554;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2018</w:t>
                    </w:r>
                  </w:p>
                </w:txbxContent>
              </v:textbox>
              <w10:wrap type="none"/>
            </v:shape>
            <v:shape style="position:absolute;left:6339;top:2554;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2019</w:t>
                    </w:r>
                  </w:p>
                </w:txbxContent>
              </v:textbox>
              <w10:wrap type="none"/>
            </v:shape>
            <v:shape style="position:absolute;left:7163;top:2554;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2020</w:t>
                    </w:r>
                  </w:p>
                </w:txbxContent>
              </v:textbox>
              <w10:wrap type="none"/>
            </v:shape>
            <v:shape style="position:absolute;left:7987;top:2554;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2021</w:t>
                    </w:r>
                  </w:p>
                </w:txbxContent>
              </v:textbox>
              <w10:wrap type="none"/>
            </v:shape>
            <v:shape style="position:absolute;left:8812;top:2554;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2022</w:t>
                    </w:r>
                  </w:p>
                </w:txbxContent>
              </v:textbox>
              <w10:wrap type="none"/>
            </v:shape>
            <v:shape style="position:absolute;left:9636;top:2554;width:351;height:165" type="#_x0000_t202" filled="false" stroked="false">
              <v:textbox inset="0,0,0,0">
                <w:txbxContent>
                  <w:p>
                    <w:pPr>
                      <w:spacing w:line="165" w:lineRule="exact" w:before="0"/>
                      <w:ind w:left="0" w:right="0" w:firstLine="0"/>
                      <w:jc w:val="left"/>
                      <w:rPr>
                        <w:rFonts w:ascii="Calibri"/>
                        <w:sz w:val="16"/>
                      </w:rPr>
                    </w:pPr>
                    <w:r>
                      <w:rPr>
                        <w:rFonts w:ascii="Calibri"/>
                        <w:color w:val="585858"/>
                        <w:w w:val="105"/>
                        <w:sz w:val="16"/>
                      </w:rPr>
                      <w:t>2023</w:t>
                    </w:r>
                  </w:p>
                </w:txbxContent>
              </v:textbox>
              <w10:wrap type="none"/>
            </v:shape>
            <v:shape style="position:absolute;left:3777;top:2872;width:4718;height:165" type="#_x0000_t202" filled="false" stroked="false">
              <v:textbox inset="0,0,0,0">
                <w:txbxContent>
                  <w:p>
                    <w:pPr>
                      <w:tabs>
                        <w:tab w:pos="4055" w:val="left" w:leader="none"/>
                      </w:tabs>
                      <w:spacing w:line="165" w:lineRule="exact" w:before="0"/>
                      <w:ind w:left="0" w:right="0" w:firstLine="0"/>
                      <w:jc w:val="left"/>
                      <w:rPr>
                        <w:rFonts w:ascii="Calibri"/>
                        <w:sz w:val="16"/>
                      </w:rPr>
                    </w:pPr>
                    <w:r>
                      <w:rPr>
                        <w:rFonts w:ascii="Calibri"/>
                        <w:color w:val="585858"/>
                        <w:w w:val="105"/>
                        <w:sz w:val="16"/>
                      </w:rPr>
                      <w:t>Historic</w:t>
                      <w:tab/>
                    </w:r>
                    <w:r>
                      <w:rPr>
                        <w:rFonts w:ascii="Calibri"/>
                        <w:color w:val="585858"/>
                        <w:sz w:val="16"/>
                      </w:rPr>
                      <w:t>Projected</w:t>
                    </w:r>
                  </w:p>
                </w:txbxContent>
              </v:textbox>
              <w10:wrap type="none"/>
            </v:shape>
            <w10:wrap type="none"/>
          </v:group>
        </w:pict>
      </w:r>
      <w:r>
        <w:rPr>
          <w:rFonts w:ascii="Calibri"/>
          <w:color w:val="585858"/>
          <w:w w:val="105"/>
          <w:sz w:val="16"/>
        </w:rPr>
        <w:t>600,000</w:t>
      </w:r>
    </w:p>
    <w:p>
      <w:pPr>
        <w:pStyle w:val="BodyText"/>
        <w:spacing w:before="9"/>
        <w:rPr>
          <w:rFonts w:ascii="Calibri"/>
          <w:sz w:val="8"/>
        </w:rPr>
      </w:pPr>
    </w:p>
    <w:p>
      <w:pPr>
        <w:spacing w:before="72"/>
        <w:ind w:left="1156" w:right="0" w:firstLine="0"/>
        <w:jc w:val="left"/>
        <w:rPr>
          <w:rFonts w:ascii="Calibri"/>
          <w:sz w:val="16"/>
        </w:rPr>
      </w:pPr>
      <w:r>
        <w:rPr>
          <w:rFonts w:ascii="Calibri"/>
          <w:color w:val="585858"/>
          <w:w w:val="105"/>
          <w:sz w:val="16"/>
        </w:rPr>
        <w:t>500,000</w:t>
      </w:r>
    </w:p>
    <w:p>
      <w:pPr>
        <w:pStyle w:val="BodyText"/>
        <w:spacing w:before="8"/>
        <w:rPr>
          <w:rFonts w:ascii="Calibri"/>
          <w:sz w:val="8"/>
        </w:rPr>
      </w:pPr>
    </w:p>
    <w:p>
      <w:pPr>
        <w:spacing w:before="72"/>
        <w:ind w:left="1156" w:right="0" w:firstLine="0"/>
        <w:jc w:val="left"/>
        <w:rPr>
          <w:rFonts w:ascii="Calibri"/>
          <w:sz w:val="16"/>
        </w:rPr>
      </w:pPr>
      <w:r>
        <w:rPr>
          <w:rFonts w:ascii="Calibri"/>
          <w:color w:val="585858"/>
          <w:w w:val="105"/>
          <w:sz w:val="16"/>
        </w:rPr>
        <w:t>400,000</w:t>
      </w:r>
    </w:p>
    <w:p>
      <w:pPr>
        <w:pStyle w:val="BodyText"/>
        <w:spacing w:before="9"/>
        <w:rPr>
          <w:rFonts w:ascii="Calibri"/>
          <w:sz w:val="8"/>
        </w:rPr>
      </w:pPr>
    </w:p>
    <w:p>
      <w:pPr>
        <w:spacing w:before="71"/>
        <w:ind w:left="1156" w:right="0" w:firstLine="0"/>
        <w:jc w:val="left"/>
        <w:rPr>
          <w:rFonts w:ascii="Calibri"/>
          <w:sz w:val="16"/>
        </w:rPr>
      </w:pPr>
      <w:r>
        <w:rPr>
          <w:rFonts w:ascii="Calibri"/>
          <w:color w:val="585858"/>
          <w:w w:val="105"/>
          <w:sz w:val="16"/>
        </w:rPr>
        <w:t>300,000</w:t>
      </w:r>
    </w:p>
    <w:p>
      <w:pPr>
        <w:pStyle w:val="BodyText"/>
        <w:spacing w:before="9"/>
        <w:rPr>
          <w:rFonts w:ascii="Calibri"/>
          <w:sz w:val="8"/>
        </w:rPr>
      </w:pPr>
    </w:p>
    <w:p>
      <w:pPr>
        <w:spacing w:before="72"/>
        <w:ind w:left="1156" w:right="0" w:firstLine="0"/>
        <w:jc w:val="left"/>
        <w:rPr>
          <w:rFonts w:ascii="Calibri"/>
          <w:sz w:val="16"/>
        </w:rPr>
      </w:pPr>
      <w:r>
        <w:rPr>
          <w:rFonts w:ascii="Calibri"/>
          <w:color w:val="585858"/>
          <w:w w:val="105"/>
          <w:sz w:val="16"/>
        </w:rPr>
        <w:t>200,000</w:t>
      </w:r>
    </w:p>
    <w:p>
      <w:pPr>
        <w:pStyle w:val="BodyText"/>
        <w:spacing w:before="9"/>
        <w:rPr>
          <w:rFonts w:ascii="Calibri"/>
          <w:sz w:val="8"/>
        </w:rPr>
      </w:pPr>
    </w:p>
    <w:p>
      <w:pPr>
        <w:spacing w:before="71"/>
        <w:ind w:left="1156" w:right="0" w:firstLine="0"/>
        <w:jc w:val="left"/>
        <w:rPr>
          <w:rFonts w:ascii="Calibri"/>
          <w:sz w:val="16"/>
        </w:rPr>
      </w:pPr>
      <w:r>
        <w:rPr>
          <w:rFonts w:ascii="Calibri"/>
          <w:color w:val="585858"/>
          <w:w w:val="105"/>
          <w:sz w:val="16"/>
        </w:rPr>
        <w:t>100,000</w:t>
      </w:r>
    </w:p>
    <w:p>
      <w:pPr>
        <w:pStyle w:val="BodyText"/>
        <w:spacing w:before="9"/>
        <w:rPr>
          <w:rFonts w:ascii="Calibri"/>
          <w:sz w:val="8"/>
        </w:rPr>
      </w:pPr>
    </w:p>
    <w:p>
      <w:pPr>
        <w:spacing w:before="72"/>
        <w:ind w:left="1615" w:right="0" w:firstLine="0"/>
        <w:jc w:val="left"/>
        <w:rPr>
          <w:rFonts w:ascii="Calibri"/>
          <w:sz w:val="16"/>
        </w:rPr>
      </w:pPr>
      <w:r>
        <w:rPr>
          <w:rFonts w:ascii="Calibri"/>
          <w:color w:val="585858"/>
          <w:w w:val="103"/>
          <w:sz w:val="16"/>
        </w:rPr>
        <w:t>0</w:t>
      </w:r>
    </w:p>
    <w:p>
      <w:pPr>
        <w:pStyle w:val="BodyText"/>
        <w:rPr>
          <w:rFonts w:ascii="Calibri"/>
        </w:rPr>
      </w:pPr>
    </w:p>
    <w:p>
      <w:pPr>
        <w:pStyle w:val="BodyText"/>
        <w:spacing w:before="4"/>
        <w:rPr>
          <w:rFonts w:ascii="Calibri"/>
          <w:sz w:val="26"/>
        </w:rPr>
      </w:pPr>
    </w:p>
    <w:p>
      <w:pPr>
        <w:spacing w:before="61"/>
        <w:ind w:left="1602" w:right="1414" w:firstLine="0"/>
        <w:jc w:val="center"/>
        <w:rPr>
          <w:rFonts w:ascii="Calibri"/>
          <w:b/>
          <w:sz w:val="19"/>
        </w:rPr>
      </w:pPr>
      <w:r>
        <w:rPr>
          <w:rFonts w:ascii="Calibri"/>
          <w:b/>
          <w:color w:val="585858"/>
          <w:sz w:val="19"/>
        </w:rPr>
        <w:t>Year Ending 30 June</w:t>
      </w:r>
    </w:p>
    <w:p>
      <w:pPr>
        <w:pStyle w:val="BodyText"/>
        <w:spacing w:before="1"/>
        <w:rPr>
          <w:rFonts w:ascii="Calibri"/>
          <w:b/>
          <w:sz w:val="9"/>
        </w:rPr>
      </w:pPr>
    </w:p>
    <w:p>
      <w:pPr>
        <w:spacing w:before="76"/>
        <w:ind w:left="1033" w:right="0" w:firstLine="0"/>
        <w:jc w:val="left"/>
        <w:rPr>
          <w:rFonts w:ascii="Calibri"/>
          <w:sz w:val="12"/>
        </w:rPr>
      </w:pPr>
      <w:r>
        <w:rPr>
          <w:rFonts w:ascii="Calibri"/>
          <w:sz w:val="12"/>
        </w:rPr>
        <w:t>Class key:</w:t>
      </w:r>
    </w:p>
    <w:p>
      <w:pPr>
        <w:tabs>
          <w:tab w:pos="2696" w:val="left" w:leader="none"/>
          <w:tab w:pos="4142" w:val="left" w:leader="none"/>
          <w:tab w:pos="5588" w:val="left" w:leader="none"/>
          <w:tab w:pos="7034" w:val="left" w:leader="none"/>
          <w:tab w:pos="8480" w:val="left" w:leader="none"/>
        </w:tabs>
        <w:spacing w:before="46"/>
        <w:ind w:left="1251" w:right="0" w:firstLine="0"/>
        <w:jc w:val="left"/>
        <w:rPr>
          <w:rFonts w:ascii="Calibri"/>
          <w:sz w:val="12"/>
        </w:rPr>
      </w:pPr>
      <w:r>
        <w:rPr/>
        <w:pict>
          <v:group style="position:absolute;margin-left:56.853794pt;margin-top:1.603524pt;width:10.95pt;height:18.850pt;mso-position-horizontal-relative:page;mso-position-vertical-relative:paragraph;z-index:252798976" coordorigin="1137,32" coordsize="219,377">
            <v:rect style="position:absolute;left:1137;top:32;width:219;height:169" filled="true" fillcolor="#1f487c" stroked="false">
              <v:fill type="solid"/>
            </v:rect>
            <v:rect style="position:absolute;left:1137;top:240;width:219;height:169" filled="true" fillcolor="#f8a763" stroked="false">
              <v:fill type="solid"/>
            </v:rect>
            <w10:wrap type="none"/>
          </v:group>
        </w:pict>
      </w:r>
      <w:r>
        <w:rPr/>
        <w:pict>
          <v:group style="position:absolute;margin-left:128.739838pt;margin-top:1.603524pt;width:11.35pt;height:18.850pt;mso-position-horizontal-relative:page;mso-position-vertical-relative:paragraph;z-index:-287102976" coordorigin="2575,32" coordsize="227,377">
            <v:rect style="position:absolute;left:2574;top:32;width:227;height:169" filled="true" fillcolor="#009544" stroked="false">
              <v:fill type="solid"/>
            </v:rect>
            <v:rect style="position:absolute;left:2574;top:240;width:227;height:169" filled="true" fillcolor="#ecb8e7" stroked="false">
              <v:fill type="solid"/>
            </v:rect>
            <w10:wrap type="none"/>
          </v:group>
        </w:pict>
      </w:r>
      <w:r>
        <w:rPr/>
        <w:pict>
          <v:group style="position:absolute;margin-left:201.029755pt;margin-top:1.603524pt;width:11.35pt;height:18.850pt;mso-position-horizontal-relative:page;mso-position-vertical-relative:paragraph;z-index:-287101952" coordorigin="4021,32" coordsize="227,377">
            <v:rect style="position:absolute;left:4020;top:32;width:227;height:169" filled="true" fillcolor="#e16b09" stroked="false">
              <v:fill type="solid"/>
            </v:rect>
            <v:rect style="position:absolute;left:4020;top:240;width:227;height:169" filled="true" fillcolor="#938953" stroked="false">
              <v:fill type="solid"/>
            </v:rect>
            <w10:wrap type="none"/>
          </v:group>
        </w:pict>
      </w:r>
      <w:r>
        <w:rPr/>
        <w:pict>
          <v:group style="position:absolute;margin-left:273.319641pt;margin-top:1.603524pt;width:11.35pt;height:18.850pt;mso-position-horizontal-relative:page;mso-position-vertical-relative:paragraph;z-index:-287100928" coordorigin="5466,32" coordsize="227,377">
            <v:rect style="position:absolute;left:5466;top:32;width:227;height:169" filled="true" fillcolor="#e08ad6" stroked="false">
              <v:fill type="solid"/>
            </v:rect>
            <v:rect style="position:absolute;left:5466;top:240;width:227;height:169" filled="true" fillcolor="#ffd600" stroked="false">
              <v:fill type="solid"/>
            </v:rect>
            <w10:wrap type="none"/>
          </v:group>
        </w:pict>
      </w:r>
      <w:r>
        <w:rPr/>
        <w:pict>
          <v:group style="position:absolute;margin-left:345.609558pt;margin-top:1.603524pt;width:11.35pt;height:18.850pt;mso-position-horizontal-relative:page;mso-position-vertical-relative:paragraph;z-index:-287099904" coordorigin="6912,32" coordsize="227,377">
            <v:rect style="position:absolute;left:6912;top:32;width:227;height:169" filled="true" fillcolor="#8063a1" stroked="false">
              <v:fill type="solid"/>
            </v:rect>
            <v:rect style="position:absolute;left:6912;top:240;width:227;height:169" filled="true" fillcolor="#000000" stroked="false">
              <v:fill type="solid"/>
            </v:rect>
            <w10:wrap type="none"/>
          </v:group>
        </w:pict>
      </w:r>
      <w:r>
        <w:rPr/>
        <w:pict>
          <v:group style="position:absolute;margin-left:417.899475pt;margin-top:1.603524pt;width:11.35pt;height:18.850pt;mso-position-horizontal-relative:page;mso-position-vertical-relative:paragraph;z-index:-287098880" coordorigin="8358,32" coordsize="227,377">
            <v:rect style="position:absolute;left:8357;top:32;width:227;height:169" filled="true" fillcolor="#c0504d" stroked="false">
              <v:fill type="solid"/>
            </v:rect>
            <v:rect style="position:absolute;left:8357;top:240;width:227;height:169" filled="true" fillcolor="#ffeb8f" stroked="false">
              <v:fill type="solid"/>
            </v:rect>
            <w10:wrap type="none"/>
          </v:group>
        </w:pict>
      </w:r>
      <w:r>
        <w:rPr>
          <w:rFonts w:ascii="Calibri"/>
          <w:sz w:val="12"/>
        </w:rPr>
        <w:t>1</w:t>
      </w:r>
      <w:r>
        <w:rPr>
          <w:rFonts w:ascii="Calibri"/>
          <w:spacing w:val="-7"/>
          <w:sz w:val="12"/>
        </w:rPr>
        <w:t> </w:t>
      </w:r>
      <w:r>
        <w:rPr>
          <w:rFonts w:ascii="Calibri"/>
          <w:sz w:val="12"/>
        </w:rPr>
        <w:t>-</w:t>
      </w:r>
      <w:r>
        <w:rPr>
          <w:rFonts w:ascii="Calibri"/>
          <w:spacing w:val="2"/>
          <w:sz w:val="12"/>
        </w:rPr>
        <w:t> </w:t>
      </w:r>
      <w:r>
        <w:rPr>
          <w:rFonts w:ascii="Calibri"/>
          <w:sz w:val="12"/>
        </w:rPr>
        <w:t>Studying</w:t>
        <w:tab/>
        <w:t>2 -</w:t>
      </w:r>
      <w:r>
        <w:rPr>
          <w:rFonts w:ascii="Calibri"/>
          <w:spacing w:val="-6"/>
          <w:sz w:val="12"/>
        </w:rPr>
        <w:t> </w:t>
      </w:r>
      <w:r>
        <w:rPr>
          <w:rFonts w:ascii="Calibri"/>
          <w:sz w:val="12"/>
        </w:rPr>
        <w:t>Working</w:t>
      </w:r>
      <w:r>
        <w:rPr>
          <w:rFonts w:ascii="Calibri"/>
          <w:spacing w:val="-3"/>
          <w:sz w:val="12"/>
        </w:rPr>
        <w:t> </w:t>
      </w:r>
      <w:r>
        <w:rPr>
          <w:rFonts w:ascii="Calibri"/>
          <w:sz w:val="12"/>
        </w:rPr>
        <w:t>Age</w:t>
        <w:tab/>
        <w:t>3</w:t>
      </w:r>
      <w:r>
        <w:rPr>
          <w:rFonts w:ascii="Calibri"/>
          <w:spacing w:val="-7"/>
          <w:sz w:val="12"/>
        </w:rPr>
        <w:t> </w:t>
      </w:r>
      <w:r>
        <w:rPr>
          <w:rFonts w:ascii="Calibri"/>
          <w:sz w:val="12"/>
        </w:rPr>
        <w:t>-</w:t>
      </w:r>
      <w:r>
        <w:rPr>
          <w:rFonts w:ascii="Calibri"/>
          <w:spacing w:val="1"/>
          <w:sz w:val="12"/>
        </w:rPr>
        <w:t> </w:t>
      </w:r>
      <w:r>
        <w:rPr>
          <w:rFonts w:ascii="Calibri"/>
          <w:sz w:val="12"/>
        </w:rPr>
        <w:t>Parents</w:t>
        <w:tab/>
        <w:t>4</w:t>
      </w:r>
      <w:r>
        <w:rPr>
          <w:rFonts w:ascii="Calibri"/>
          <w:spacing w:val="-8"/>
          <w:sz w:val="12"/>
        </w:rPr>
        <w:t> </w:t>
      </w:r>
      <w:r>
        <w:rPr>
          <w:rFonts w:ascii="Calibri"/>
          <w:sz w:val="12"/>
        </w:rPr>
        <w:t>- Carers</w:t>
        <w:tab/>
        <w:t>5 -</w:t>
      </w:r>
      <w:r>
        <w:rPr>
          <w:rFonts w:ascii="Calibri"/>
          <w:spacing w:val="-2"/>
          <w:sz w:val="12"/>
        </w:rPr>
        <w:t> </w:t>
      </w:r>
      <w:r>
        <w:rPr>
          <w:rFonts w:ascii="Calibri"/>
          <w:sz w:val="12"/>
        </w:rPr>
        <w:t>Disability</w:t>
      </w:r>
      <w:r>
        <w:rPr>
          <w:rFonts w:ascii="Calibri"/>
          <w:spacing w:val="1"/>
          <w:sz w:val="12"/>
        </w:rPr>
        <w:t> </w:t>
      </w:r>
      <w:r>
        <w:rPr>
          <w:rFonts w:ascii="Calibri"/>
          <w:sz w:val="12"/>
        </w:rPr>
        <w:t>Support</w:t>
        <w:tab/>
        <w:t>6 - Pension</w:t>
      </w:r>
      <w:r>
        <w:rPr>
          <w:rFonts w:ascii="Calibri"/>
          <w:spacing w:val="-11"/>
          <w:sz w:val="12"/>
        </w:rPr>
        <w:t> </w:t>
      </w:r>
      <w:r>
        <w:rPr>
          <w:rFonts w:ascii="Calibri"/>
          <w:sz w:val="12"/>
        </w:rPr>
        <w:t>Age</w:t>
      </w:r>
    </w:p>
    <w:p>
      <w:pPr>
        <w:spacing w:after="0"/>
        <w:jc w:val="left"/>
        <w:rPr>
          <w:rFonts w:ascii="Calibri"/>
          <w:sz w:val="12"/>
        </w:rPr>
        <w:sectPr>
          <w:pgSz w:w="11910" w:h="16850"/>
          <w:pgMar w:header="572" w:footer="581" w:top="780" w:bottom="780" w:left="120" w:right="0"/>
        </w:sectPr>
      </w:pPr>
    </w:p>
    <w:p>
      <w:pPr>
        <w:spacing w:before="62"/>
        <w:ind w:left="1251" w:right="0" w:firstLine="0"/>
        <w:jc w:val="left"/>
        <w:rPr>
          <w:rFonts w:ascii="Calibri"/>
          <w:sz w:val="12"/>
        </w:rPr>
      </w:pPr>
      <w:r>
        <w:rPr>
          <w:rFonts w:ascii="Calibri"/>
          <w:sz w:val="12"/>
        </w:rPr>
        <w:t>7 - Non IS Family</w:t>
      </w:r>
    </w:p>
    <w:p>
      <w:pPr>
        <w:pStyle w:val="ListParagraph"/>
        <w:numPr>
          <w:ilvl w:val="0"/>
          <w:numId w:val="82"/>
        </w:numPr>
        <w:tabs>
          <w:tab w:pos="665" w:val="left" w:leader="none"/>
        </w:tabs>
        <w:spacing w:line="240" w:lineRule="auto" w:before="62" w:after="0"/>
        <w:ind w:left="664" w:right="0" w:hanging="82"/>
        <w:jc w:val="left"/>
        <w:rPr>
          <w:rFonts w:ascii="Calibri"/>
          <w:sz w:val="12"/>
        </w:rPr>
      </w:pPr>
      <w:r>
        <w:rPr>
          <w:rFonts w:ascii="Calibri"/>
          <w:w w:val="100"/>
          <w:sz w:val="12"/>
        </w:rPr>
        <w:br w:type="column"/>
      </w:r>
      <w:r>
        <w:rPr>
          <w:rFonts w:ascii="Calibri"/>
          <w:sz w:val="12"/>
        </w:rPr>
        <w:t>- Non IS</w:t>
      </w:r>
      <w:r>
        <w:rPr>
          <w:rFonts w:ascii="Calibri"/>
          <w:spacing w:val="2"/>
          <w:sz w:val="12"/>
        </w:rPr>
        <w:t> </w:t>
      </w:r>
      <w:r>
        <w:rPr>
          <w:rFonts w:ascii="Calibri"/>
          <w:spacing w:val="-3"/>
          <w:sz w:val="12"/>
        </w:rPr>
        <w:t>Carer</w:t>
      </w:r>
    </w:p>
    <w:p>
      <w:pPr>
        <w:pStyle w:val="ListParagraph"/>
        <w:numPr>
          <w:ilvl w:val="0"/>
          <w:numId w:val="82"/>
        </w:numPr>
        <w:tabs>
          <w:tab w:pos="726" w:val="left" w:leader="none"/>
        </w:tabs>
        <w:spacing w:line="240" w:lineRule="auto" w:before="62" w:after="0"/>
        <w:ind w:left="725" w:right="0" w:hanging="82"/>
        <w:jc w:val="left"/>
        <w:rPr>
          <w:rFonts w:ascii="Calibri"/>
          <w:sz w:val="12"/>
        </w:rPr>
      </w:pPr>
      <w:r>
        <w:rPr>
          <w:rFonts w:ascii="Calibri"/>
          <w:w w:val="100"/>
          <w:sz w:val="12"/>
        </w:rPr>
        <w:br w:type="column"/>
      </w:r>
      <w:r>
        <w:rPr>
          <w:rFonts w:ascii="Calibri"/>
          <w:sz w:val="12"/>
        </w:rPr>
        <w:t>- Non IS</w:t>
      </w:r>
      <w:r>
        <w:rPr>
          <w:rFonts w:ascii="Calibri"/>
          <w:spacing w:val="5"/>
          <w:sz w:val="12"/>
        </w:rPr>
        <w:t> </w:t>
      </w:r>
      <w:r>
        <w:rPr>
          <w:rFonts w:ascii="Calibri"/>
          <w:spacing w:val="-3"/>
          <w:sz w:val="12"/>
        </w:rPr>
        <w:t>Other</w:t>
      </w:r>
    </w:p>
    <w:p>
      <w:pPr>
        <w:pStyle w:val="ListParagraph"/>
        <w:numPr>
          <w:ilvl w:val="0"/>
          <w:numId w:val="82"/>
        </w:numPr>
        <w:tabs>
          <w:tab w:pos="759" w:val="left" w:leader="none"/>
        </w:tabs>
        <w:spacing w:line="261" w:lineRule="auto" w:before="62" w:after="0"/>
        <w:ind w:left="620" w:right="0" w:firstLine="0"/>
        <w:jc w:val="left"/>
        <w:rPr>
          <w:rFonts w:ascii="Calibri"/>
          <w:sz w:val="12"/>
        </w:rPr>
      </w:pPr>
      <w:r>
        <w:rPr>
          <w:rFonts w:ascii="Calibri"/>
          <w:w w:val="100"/>
          <w:sz w:val="12"/>
        </w:rPr>
        <w:br w:type="column"/>
      </w:r>
      <w:r>
        <w:rPr>
          <w:rFonts w:ascii="Calibri"/>
          <w:sz w:val="12"/>
        </w:rPr>
        <w:t>- Previous Welfare Recipient</w:t>
      </w:r>
    </w:p>
    <w:p>
      <w:pPr>
        <w:pStyle w:val="ListParagraph"/>
        <w:numPr>
          <w:ilvl w:val="0"/>
          <w:numId w:val="82"/>
        </w:numPr>
        <w:tabs>
          <w:tab w:pos="482" w:val="left" w:leader="none"/>
        </w:tabs>
        <w:spacing w:line="240" w:lineRule="auto" w:before="62" w:after="0"/>
        <w:ind w:left="481" w:right="0" w:hanging="139"/>
        <w:jc w:val="left"/>
        <w:rPr>
          <w:rFonts w:ascii="Calibri"/>
          <w:sz w:val="12"/>
        </w:rPr>
      </w:pPr>
      <w:r>
        <w:rPr>
          <w:rFonts w:ascii="Calibri"/>
          <w:w w:val="100"/>
          <w:sz w:val="12"/>
        </w:rPr>
        <w:br w:type="column"/>
      </w:r>
      <w:r>
        <w:rPr>
          <w:rFonts w:ascii="Calibri"/>
          <w:sz w:val="12"/>
        </w:rPr>
        <w:t>-</w:t>
      </w:r>
      <w:r>
        <w:rPr>
          <w:rFonts w:ascii="Calibri"/>
          <w:spacing w:val="3"/>
          <w:sz w:val="12"/>
        </w:rPr>
        <w:t> </w:t>
      </w:r>
      <w:r>
        <w:rPr>
          <w:rFonts w:ascii="Calibri"/>
          <w:spacing w:val="-5"/>
          <w:sz w:val="12"/>
        </w:rPr>
        <w:t>Dead</w:t>
      </w:r>
    </w:p>
    <w:p>
      <w:pPr>
        <w:pStyle w:val="ListParagraph"/>
        <w:numPr>
          <w:ilvl w:val="0"/>
          <w:numId w:val="82"/>
        </w:numPr>
        <w:tabs>
          <w:tab w:pos="1084" w:val="left" w:leader="none"/>
        </w:tabs>
        <w:spacing w:line="261" w:lineRule="auto" w:before="62" w:after="0"/>
        <w:ind w:left="946" w:right="2473" w:firstLine="0"/>
        <w:jc w:val="left"/>
        <w:rPr>
          <w:rFonts w:ascii="Calibri"/>
          <w:sz w:val="12"/>
        </w:rPr>
      </w:pPr>
      <w:r>
        <w:rPr>
          <w:rFonts w:ascii="Calibri"/>
          <w:w w:val="100"/>
          <w:sz w:val="12"/>
        </w:rPr>
        <w:br w:type="column"/>
      </w:r>
      <w:r>
        <w:rPr>
          <w:rFonts w:ascii="Calibri"/>
          <w:sz w:val="12"/>
        </w:rPr>
        <w:t>- Rest of Aust. Population</w:t>
      </w:r>
    </w:p>
    <w:p>
      <w:pPr>
        <w:spacing w:after="0" w:line="261" w:lineRule="auto"/>
        <w:jc w:val="left"/>
        <w:rPr>
          <w:rFonts w:ascii="Calibri"/>
          <w:sz w:val="12"/>
        </w:rPr>
        <w:sectPr>
          <w:type w:val="continuous"/>
          <w:pgSz w:w="11910" w:h="16850"/>
          <w:pgMar w:top="1600" w:bottom="280" w:left="120" w:right="0"/>
          <w:cols w:num="6" w:equalWidth="0">
            <w:col w:w="2074" w:space="40"/>
            <w:col w:w="1345" w:space="39"/>
            <w:col w:w="1430" w:space="40"/>
            <w:col w:w="1683" w:space="39"/>
            <w:col w:w="804" w:space="40"/>
            <w:col w:w="4256"/>
          </w:cols>
        </w:sectPr>
      </w:pPr>
    </w:p>
    <w:p>
      <w:pPr>
        <w:pStyle w:val="BodyText"/>
        <w:spacing w:before="4"/>
        <w:rPr>
          <w:rFonts w:ascii="Calibri"/>
          <w:sz w:val="13"/>
        </w:rPr>
      </w:pPr>
    </w:p>
    <w:p>
      <w:pPr>
        <w:pStyle w:val="BodyText"/>
        <w:spacing w:before="93"/>
        <w:ind w:left="900" w:right="1066" w:hanging="1"/>
      </w:pPr>
      <w:r>
        <w:rPr>
          <w:color w:val="404040"/>
        </w:rPr>
        <w:t>The main entries into the welfare system from this class are into class ‘1 Studying’, ‘2 Working Age’, ‘6 Pension Age’ and ‘9 Non IS Other’ (most of those entering into class 9 subsequently transition to class ‘7 Non IS Family’). A decreasing trend can be seen in entries over the last few years and in particular there has been a reduction in entries into Working Age and Pension Age payments in 2018. Part of this change is from the change in retirement age to 65.5 which has reduced the number of people attaining retirement age during the year. Notwithstanding this change, the number of entrants from class 12 has been lower in 2018 than previous years. Part of this may be because the data is not yet fully mature; this will particularly impact entrants to class 9.</w:t>
      </w:r>
    </w:p>
    <w:p>
      <w:pPr>
        <w:pStyle w:val="BodyText"/>
        <w:spacing w:before="121"/>
        <w:ind w:left="900" w:right="1220"/>
      </w:pPr>
      <w:r>
        <w:rPr>
          <w:color w:val="404040"/>
        </w:rPr>
        <w:t>The projected exits into the Pension Age class are lower for 2020 and 2022. This is the result of fewer people reaching Age Pension age during these years, as the Age Pension age transitions from age 65 to 67.</w:t>
      </w:r>
    </w:p>
    <w:p>
      <w:pPr>
        <w:pStyle w:val="BodyText"/>
        <w:spacing w:before="6"/>
      </w:pPr>
    </w:p>
    <w:p>
      <w:pPr>
        <w:pStyle w:val="Heading6"/>
        <w:rPr>
          <w:i/>
        </w:rPr>
      </w:pPr>
      <w:r>
        <w:rPr>
          <w:i/>
          <w:color w:val="DF2F1E"/>
        </w:rPr>
        <w:t>Payments received</w:t>
      </w:r>
    </w:p>
    <w:p>
      <w:pPr>
        <w:pStyle w:val="BodyText"/>
        <w:spacing w:before="123"/>
        <w:ind w:left="899" w:right="1210"/>
      </w:pPr>
      <w:r>
        <w:rPr>
          <w:color w:val="404040"/>
        </w:rPr>
        <w:t>No payments are received while people are in this class. Payments may be received by this group upon entry into an active welfare recipient class and these are covered in sections </w:t>
      </w:r>
      <w:hyperlink w:history="true" w:anchor="_bookmark40">
        <w:r>
          <w:rPr>
            <w:color w:val="404040"/>
          </w:rPr>
          <w:t>6 </w:t>
        </w:r>
      </w:hyperlink>
      <w:r>
        <w:rPr>
          <w:color w:val="404040"/>
        </w:rPr>
        <w:t>and </w:t>
      </w:r>
      <w:hyperlink w:history="true" w:anchor="_bookmark47">
        <w:r>
          <w:rPr>
            <w:color w:val="404040"/>
          </w:rPr>
          <w:t>7.</w:t>
        </w:r>
      </w:hyperlink>
    </w:p>
    <w:p>
      <w:pPr>
        <w:pStyle w:val="BodyText"/>
        <w:spacing w:before="7"/>
      </w:pPr>
    </w:p>
    <w:p>
      <w:pPr>
        <w:pStyle w:val="Heading4"/>
      </w:pPr>
      <w:bookmarkStart w:name="What does the model show for people curr" w:id="226"/>
      <w:bookmarkEnd w:id="226"/>
      <w:r>
        <w:rPr/>
      </w:r>
      <w:r>
        <w:rPr>
          <w:color w:val="DF2F28"/>
        </w:rPr>
        <w:t>What does the model show for people currently in this class?</w:t>
      </w:r>
    </w:p>
    <w:p>
      <w:pPr>
        <w:pStyle w:val="BodyText"/>
        <w:spacing w:before="10"/>
      </w:pPr>
    </w:p>
    <w:p>
      <w:pPr>
        <w:pStyle w:val="Heading6"/>
        <w:rPr>
          <w:i/>
        </w:rPr>
      </w:pPr>
      <w:r>
        <w:rPr>
          <w:i/>
          <w:color w:val="DF2F1E"/>
        </w:rPr>
        <w:t>Lifetime costs</w:t>
      </w:r>
    </w:p>
    <w:p>
      <w:pPr>
        <w:pStyle w:val="BodyText"/>
        <w:spacing w:line="242" w:lineRule="auto" w:before="121"/>
        <w:ind w:left="900" w:right="1097" w:hanging="1"/>
      </w:pPr>
      <w:r>
        <w:rPr>
          <w:color w:val="404040"/>
        </w:rPr>
        <w:t>We estimated the lifetime cost for the people in this class to be </w:t>
      </w:r>
      <w:r>
        <w:rPr>
          <w:b/>
          <w:color w:val="404040"/>
        </w:rPr>
        <w:t>$2,323bn </w:t>
      </w:r>
      <w:r>
        <w:rPr>
          <w:color w:val="404040"/>
        </w:rPr>
        <w:t>(or </w:t>
      </w:r>
      <w:r>
        <w:rPr>
          <w:b/>
          <w:color w:val="404040"/>
        </w:rPr>
        <w:t>41.0% </w:t>
      </w:r>
      <w:r>
        <w:rPr>
          <w:color w:val="404040"/>
        </w:rPr>
        <w:t>of the total lifetime cost). The average lifetime cost for people in this class is </w:t>
      </w:r>
      <w:r>
        <w:rPr>
          <w:b/>
          <w:color w:val="404040"/>
        </w:rPr>
        <w:t>$189,000</w:t>
      </w:r>
      <w:r>
        <w:rPr>
          <w:color w:val="404040"/>
        </w:rPr>
        <w:t>. The variation in average lifetime cost by age and gender is illustrated in the figure below.</w:t>
      </w:r>
    </w:p>
    <w:p>
      <w:pPr>
        <w:spacing w:after="0" w:line="242" w:lineRule="auto"/>
        <w:sectPr>
          <w:type w:val="continuous"/>
          <w:pgSz w:w="11910" w:h="16850"/>
          <w:pgMar w:top="1600" w:bottom="280" w:left="120" w:right="0"/>
        </w:sectPr>
      </w:pPr>
    </w:p>
    <w:p>
      <w:pPr>
        <w:pStyle w:val="BodyText"/>
      </w:pPr>
    </w:p>
    <w:p>
      <w:pPr>
        <w:pStyle w:val="BodyText"/>
      </w:pPr>
    </w:p>
    <w:p>
      <w:pPr>
        <w:pStyle w:val="BodyText"/>
        <w:spacing w:before="5"/>
        <w:rPr>
          <w:sz w:val="21"/>
        </w:rPr>
      </w:pPr>
    </w:p>
    <w:p>
      <w:pPr>
        <w:pStyle w:val="Heading9"/>
      </w:pPr>
      <w:r>
        <w:rPr>
          <w:color w:val="DF2F1E"/>
        </w:rPr>
        <w:t>Figure 104: Average lifetime cost by age and gender (class 12)</w:t>
      </w:r>
    </w:p>
    <w:p>
      <w:pPr>
        <w:pStyle w:val="BodyText"/>
        <w:spacing w:before="5"/>
        <w:rPr>
          <w:b/>
          <w:sz w:val="13"/>
        </w:rPr>
      </w:pPr>
    </w:p>
    <w:p>
      <w:pPr>
        <w:spacing w:after="0"/>
        <w:rPr>
          <w:sz w:val="13"/>
        </w:rPr>
        <w:sectPr>
          <w:pgSz w:w="11910" w:h="16850"/>
          <w:pgMar w:header="572" w:footer="581" w:top="780" w:bottom="780" w:left="120" w:right="0"/>
        </w:sectPr>
      </w:pPr>
    </w:p>
    <w:p>
      <w:pPr>
        <w:spacing w:before="71"/>
        <w:ind w:left="1552" w:right="0" w:firstLine="0"/>
        <w:jc w:val="left"/>
        <w:rPr>
          <w:rFonts w:ascii="Calibri"/>
          <w:sz w:val="14"/>
        </w:rPr>
      </w:pPr>
      <w:r>
        <w:rPr/>
        <w:pict>
          <v:group style="position:absolute;margin-left:95.394669pt;margin-top:7.446752pt;width:239.1pt;height:128.35pt;mso-position-horizontal-relative:page;mso-position-vertical-relative:paragraph;z-index:252807168" coordorigin="1908,149" coordsize="4782,2567">
            <v:shape style="position:absolute;left:1907;top:148;width:4782;height:2567" type="#_x0000_t75" stroked="false">
              <v:imagedata r:id="rId228" o:title=""/>
            </v:shape>
            <v:shape style="position:absolute;left:3067;top:238;width:632;height:204" type="#_x0000_t202" filled="false" stroked="false">
              <v:textbox inset="0,0,0,0">
                <w:txbxContent>
                  <w:p>
                    <w:pPr>
                      <w:spacing w:line="203" w:lineRule="exact" w:before="0"/>
                      <w:ind w:left="0" w:right="0" w:firstLine="0"/>
                      <w:jc w:val="left"/>
                      <w:rPr>
                        <w:rFonts w:ascii="Calibri"/>
                        <w:sz w:val="20"/>
                      </w:rPr>
                    </w:pPr>
                    <w:r>
                      <w:rPr>
                        <w:rFonts w:ascii="Calibri"/>
                        <w:color w:val="BEBEBE"/>
                        <w:sz w:val="20"/>
                      </w:rPr>
                      <w:t>&lt;- Male</w:t>
                    </w:r>
                  </w:p>
                </w:txbxContent>
              </v:textbox>
              <w10:wrap type="none"/>
            </v:shape>
            <v:shape style="position:absolute;left:4888;top:238;width:829;height:204" type="#_x0000_t202" filled="false" stroked="false">
              <v:textbox inset="0,0,0,0">
                <w:txbxContent>
                  <w:p>
                    <w:pPr>
                      <w:spacing w:line="203" w:lineRule="exact" w:before="0"/>
                      <w:ind w:left="0" w:right="0" w:firstLine="0"/>
                      <w:jc w:val="left"/>
                      <w:rPr>
                        <w:rFonts w:ascii="Calibri"/>
                        <w:sz w:val="20"/>
                      </w:rPr>
                    </w:pPr>
                    <w:r>
                      <w:rPr>
                        <w:rFonts w:ascii="Calibri"/>
                        <w:color w:val="BEBEBE"/>
                        <w:sz w:val="20"/>
                      </w:rPr>
                      <w:t>Female -&gt;</w:t>
                    </w:r>
                  </w:p>
                </w:txbxContent>
              </v:textbox>
              <w10:wrap type="none"/>
            </v:shape>
            <w10:wrap type="none"/>
          </v:group>
        </w:pict>
      </w:r>
      <w:r>
        <w:rPr>
          <w:rFonts w:ascii="Calibri"/>
          <w:sz w:val="14"/>
        </w:rPr>
        <w:t>90</w:t>
      </w:r>
    </w:p>
    <w:p>
      <w:pPr>
        <w:spacing w:before="106"/>
        <w:ind w:left="1552" w:right="0" w:firstLine="0"/>
        <w:jc w:val="left"/>
        <w:rPr>
          <w:rFonts w:ascii="Calibri"/>
          <w:sz w:val="14"/>
        </w:rPr>
      </w:pPr>
      <w:r>
        <w:rPr>
          <w:rFonts w:ascii="Calibri"/>
          <w:sz w:val="14"/>
        </w:rPr>
        <w:t>80</w:t>
      </w:r>
    </w:p>
    <w:p>
      <w:pPr>
        <w:spacing w:before="106"/>
        <w:ind w:left="1552" w:right="0" w:firstLine="0"/>
        <w:jc w:val="left"/>
        <w:rPr>
          <w:rFonts w:ascii="Calibri"/>
          <w:sz w:val="14"/>
        </w:rPr>
      </w:pPr>
      <w:r>
        <w:rPr/>
        <w:pict>
          <v:shape style="position:absolute;margin-left:73.506828pt;margin-top:11.489051pt;width:9pt;height:66.5pt;mso-position-horizontal-relative:page;mso-position-vertical-relative:paragraph;z-index:252809216" type="#_x0000_t202" filled="false" stroked="false">
            <v:textbox inset="0,0,0,0" style="layout-flow:vertical;mso-layout-flow-alt:bottom-to-top">
              <w:txbxContent>
                <w:p>
                  <w:pPr>
                    <w:spacing w:line="162" w:lineRule="exact" w:before="0"/>
                    <w:ind w:left="20" w:right="0" w:firstLine="0"/>
                    <w:jc w:val="left"/>
                    <w:rPr>
                      <w:rFonts w:ascii="Calibri"/>
                      <w:b/>
                      <w:sz w:val="14"/>
                    </w:rPr>
                  </w:pPr>
                  <w:r>
                    <w:rPr>
                      <w:rFonts w:ascii="Calibri"/>
                      <w:b/>
                      <w:sz w:val="14"/>
                    </w:rPr>
                    <w:t>Age at Valuation Date</w:t>
                  </w:r>
                </w:p>
              </w:txbxContent>
            </v:textbox>
            <w10:wrap type="none"/>
          </v:shape>
        </w:pict>
      </w:r>
      <w:r>
        <w:rPr>
          <w:rFonts w:ascii="Calibri"/>
          <w:sz w:val="14"/>
        </w:rPr>
        <w:t>70</w:t>
      </w:r>
    </w:p>
    <w:p>
      <w:pPr>
        <w:spacing w:before="106"/>
        <w:ind w:left="1552" w:right="0" w:firstLine="0"/>
        <w:jc w:val="left"/>
        <w:rPr>
          <w:rFonts w:ascii="Calibri"/>
          <w:sz w:val="14"/>
        </w:rPr>
      </w:pPr>
      <w:r>
        <w:rPr>
          <w:rFonts w:ascii="Calibri"/>
          <w:sz w:val="14"/>
        </w:rPr>
        <w:t>60</w:t>
      </w:r>
    </w:p>
    <w:p>
      <w:pPr>
        <w:spacing w:before="106"/>
        <w:ind w:left="1552" w:right="0" w:firstLine="0"/>
        <w:jc w:val="left"/>
        <w:rPr>
          <w:rFonts w:ascii="Calibri"/>
          <w:sz w:val="14"/>
        </w:rPr>
      </w:pPr>
      <w:r>
        <w:rPr>
          <w:rFonts w:ascii="Calibri"/>
          <w:sz w:val="14"/>
        </w:rPr>
        <w:t>50</w:t>
      </w:r>
    </w:p>
    <w:p>
      <w:pPr>
        <w:spacing w:before="106"/>
        <w:ind w:left="1552" w:right="0" w:firstLine="0"/>
        <w:jc w:val="left"/>
        <w:rPr>
          <w:rFonts w:ascii="Calibri"/>
          <w:sz w:val="14"/>
        </w:rPr>
      </w:pPr>
      <w:r>
        <w:rPr>
          <w:rFonts w:ascii="Calibri"/>
          <w:sz w:val="14"/>
        </w:rPr>
        <w:t>40</w:t>
      </w:r>
    </w:p>
    <w:p>
      <w:pPr>
        <w:spacing w:before="106"/>
        <w:ind w:left="1552" w:right="0" w:firstLine="0"/>
        <w:jc w:val="left"/>
        <w:rPr>
          <w:rFonts w:ascii="Calibri"/>
          <w:sz w:val="14"/>
        </w:rPr>
      </w:pPr>
      <w:r>
        <w:rPr>
          <w:rFonts w:ascii="Calibri"/>
          <w:sz w:val="14"/>
        </w:rPr>
        <w:t>30</w:t>
      </w:r>
    </w:p>
    <w:p>
      <w:pPr>
        <w:spacing w:before="106"/>
        <w:ind w:left="1552" w:right="0" w:firstLine="0"/>
        <w:jc w:val="left"/>
        <w:rPr>
          <w:rFonts w:ascii="Calibri"/>
          <w:sz w:val="14"/>
        </w:rPr>
      </w:pPr>
      <w:r>
        <w:rPr>
          <w:rFonts w:ascii="Calibri"/>
          <w:sz w:val="14"/>
        </w:rPr>
        <w:t>20</w:t>
      </w:r>
    </w:p>
    <w:p>
      <w:pPr>
        <w:spacing w:before="107"/>
        <w:ind w:left="1552" w:right="0" w:firstLine="0"/>
        <w:jc w:val="left"/>
        <w:rPr>
          <w:rFonts w:ascii="Calibri"/>
          <w:sz w:val="14"/>
        </w:rPr>
      </w:pPr>
      <w:r>
        <w:rPr>
          <w:rFonts w:ascii="Calibri"/>
          <w:sz w:val="14"/>
        </w:rPr>
        <w:t>10</w:t>
      </w:r>
    </w:p>
    <w:p>
      <w:pPr>
        <w:spacing w:before="106"/>
        <w:ind w:left="1624" w:right="0" w:firstLine="0"/>
        <w:jc w:val="left"/>
        <w:rPr>
          <w:rFonts w:ascii="Calibri"/>
          <w:sz w:val="14"/>
        </w:rPr>
      </w:pPr>
      <w:r>
        <w:rPr>
          <w:rFonts w:ascii="Calibri"/>
          <w:w w:val="99"/>
          <w:sz w:val="14"/>
        </w:rPr>
        <w:t>0</w:t>
      </w:r>
    </w:p>
    <w:p>
      <w:pPr>
        <w:spacing w:before="28"/>
        <w:ind w:left="1721" w:right="0" w:firstLine="0"/>
        <w:jc w:val="left"/>
        <w:rPr>
          <w:rFonts w:ascii="Calibri"/>
          <w:sz w:val="14"/>
        </w:rPr>
      </w:pPr>
      <w:r>
        <w:rPr>
          <w:rFonts w:ascii="Calibri"/>
          <w:sz w:val="14"/>
        </w:rPr>
        <w:t>600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4"/>
        <w:rPr>
          <w:rFonts w:ascii="Calibri"/>
          <w:sz w:val="16"/>
        </w:rPr>
      </w:pPr>
    </w:p>
    <w:p>
      <w:pPr>
        <w:spacing w:before="0"/>
        <w:ind w:left="133" w:right="0" w:firstLine="0"/>
        <w:jc w:val="left"/>
        <w:rPr>
          <w:rFonts w:ascii="Calibri"/>
          <w:sz w:val="14"/>
        </w:rPr>
      </w:pPr>
      <w:r>
        <w:rPr>
          <w:rFonts w:ascii="Calibri"/>
          <w:sz w:val="14"/>
        </w:rPr>
        <w:t>500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4"/>
        <w:rPr>
          <w:rFonts w:ascii="Calibri"/>
          <w:sz w:val="16"/>
        </w:rPr>
      </w:pPr>
    </w:p>
    <w:p>
      <w:pPr>
        <w:spacing w:before="0"/>
        <w:ind w:left="133" w:right="0" w:firstLine="0"/>
        <w:jc w:val="left"/>
        <w:rPr>
          <w:rFonts w:ascii="Calibri"/>
          <w:sz w:val="14"/>
        </w:rPr>
      </w:pPr>
      <w:r>
        <w:rPr>
          <w:rFonts w:ascii="Calibri"/>
          <w:sz w:val="14"/>
        </w:rPr>
        <w:t>400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4"/>
        <w:rPr>
          <w:rFonts w:ascii="Calibri"/>
          <w:sz w:val="16"/>
        </w:rPr>
      </w:pPr>
    </w:p>
    <w:p>
      <w:pPr>
        <w:spacing w:before="0"/>
        <w:ind w:left="133" w:right="0" w:firstLine="0"/>
        <w:jc w:val="left"/>
        <w:rPr>
          <w:rFonts w:ascii="Calibri"/>
          <w:sz w:val="14"/>
        </w:rPr>
      </w:pPr>
      <w:r>
        <w:rPr>
          <w:rFonts w:ascii="Calibri"/>
          <w:sz w:val="14"/>
        </w:rPr>
        <w:t>300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4"/>
        <w:rPr>
          <w:rFonts w:ascii="Calibri"/>
          <w:sz w:val="16"/>
        </w:rPr>
      </w:pPr>
    </w:p>
    <w:p>
      <w:pPr>
        <w:spacing w:before="0"/>
        <w:ind w:left="133" w:right="0" w:firstLine="0"/>
        <w:jc w:val="left"/>
        <w:rPr>
          <w:rFonts w:ascii="Calibri"/>
          <w:sz w:val="14"/>
        </w:rPr>
      </w:pPr>
      <w:r>
        <w:rPr>
          <w:rFonts w:ascii="Calibri"/>
          <w:sz w:val="14"/>
        </w:rPr>
        <w:t>200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4"/>
        <w:rPr>
          <w:rFonts w:ascii="Calibri"/>
          <w:sz w:val="16"/>
        </w:rPr>
      </w:pPr>
    </w:p>
    <w:p>
      <w:pPr>
        <w:tabs>
          <w:tab w:pos="600" w:val="left" w:leader="none"/>
        </w:tabs>
        <w:spacing w:before="0"/>
        <w:ind w:left="133" w:right="0" w:firstLine="0"/>
        <w:jc w:val="left"/>
        <w:rPr>
          <w:rFonts w:ascii="Calibri"/>
          <w:sz w:val="14"/>
        </w:rPr>
      </w:pPr>
      <w:r>
        <w:rPr>
          <w:rFonts w:ascii="Calibri"/>
          <w:spacing w:val="2"/>
          <w:sz w:val="14"/>
        </w:rPr>
        <w:t>100</w:t>
        <w:tab/>
      </w:r>
      <w:r>
        <w:rPr>
          <w:rFonts w:ascii="Calibri"/>
          <w:spacing w:val="-20"/>
          <w:sz w:val="14"/>
        </w:rPr>
        <w:t>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4"/>
        <w:rPr>
          <w:rFonts w:ascii="Calibri"/>
          <w:sz w:val="16"/>
        </w:rPr>
      </w:pPr>
    </w:p>
    <w:p>
      <w:pPr>
        <w:spacing w:before="0"/>
        <w:ind w:left="211" w:right="0" w:firstLine="0"/>
        <w:jc w:val="left"/>
        <w:rPr>
          <w:rFonts w:ascii="Calibri"/>
          <w:sz w:val="14"/>
        </w:rPr>
      </w:pPr>
      <w:r>
        <w:rPr>
          <w:rFonts w:ascii="Calibri"/>
          <w:sz w:val="14"/>
        </w:rPr>
        <w:t>100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4"/>
        <w:rPr>
          <w:rFonts w:ascii="Calibri"/>
          <w:sz w:val="16"/>
        </w:rPr>
      </w:pPr>
    </w:p>
    <w:p>
      <w:pPr>
        <w:spacing w:before="0"/>
        <w:ind w:left="133" w:right="0" w:firstLine="0"/>
        <w:jc w:val="left"/>
        <w:rPr>
          <w:rFonts w:ascii="Calibri"/>
          <w:sz w:val="14"/>
        </w:rPr>
      </w:pPr>
      <w:r>
        <w:rPr>
          <w:rFonts w:ascii="Calibri"/>
          <w:sz w:val="14"/>
        </w:rPr>
        <w:t>200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4"/>
        <w:rPr>
          <w:rFonts w:ascii="Calibri"/>
          <w:sz w:val="16"/>
        </w:rPr>
      </w:pPr>
    </w:p>
    <w:p>
      <w:pPr>
        <w:spacing w:before="0"/>
        <w:ind w:left="133" w:right="0" w:firstLine="0"/>
        <w:jc w:val="left"/>
        <w:rPr>
          <w:rFonts w:ascii="Calibri"/>
          <w:sz w:val="14"/>
        </w:rPr>
      </w:pPr>
      <w:r>
        <w:rPr>
          <w:rFonts w:ascii="Calibri"/>
          <w:sz w:val="14"/>
        </w:rPr>
        <w:t>300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4"/>
        <w:rPr>
          <w:rFonts w:ascii="Calibri"/>
          <w:sz w:val="16"/>
        </w:rPr>
      </w:pPr>
    </w:p>
    <w:p>
      <w:pPr>
        <w:spacing w:before="0"/>
        <w:ind w:left="133" w:right="0" w:firstLine="0"/>
        <w:jc w:val="left"/>
        <w:rPr>
          <w:rFonts w:ascii="Calibri"/>
          <w:sz w:val="14"/>
        </w:rPr>
      </w:pPr>
      <w:r>
        <w:rPr>
          <w:rFonts w:ascii="Calibri"/>
          <w:sz w:val="14"/>
        </w:rPr>
        <w:t>400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4"/>
        <w:rPr>
          <w:rFonts w:ascii="Calibri"/>
          <w:sz w:val="16"/>
        </w:rPr>
      </w:pPr>
    </w:p>
    <w:p>
      <w:pPr>
        <w:spacing w:before="0"/>
        <w:ind w:left="133" w:right="0" w:firstLine="0"/>
        <w:jc w:val="left"/>
        <w:rPr>
          <w:rFonts w:ascii="Calibri"/>
          <w:sz w:val="14"/>
        </w:rPr>
      </w:pPr>
      <w:r>
        <w:rPr>
          <w:rFonts w:ascii="Calibri"/>
          <w:sz w:val="14"/>
        </w:rPr>
        <w:t>500</w:t>
      </w:r>
    </w:p>
    <w:p>
      <w:pPr>
        <w:pStyle w:val="BodyText"/>
        <w:rPr>
          <w:rFonts w:ascii="Calibri"/>
          <w:sz w:val="14"/>
        </w:rPr>
      </w:pPr>
      <w:r>
        <w:rPr/>
        <w:br w:type="column"/>
      </w:r>
      <w:r>
        <w:rPr>
          <w:rFonts w:ascii="Calibri"/>
          <w:sz w:val="14"/>
        </w:rPr>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4"/>
        <w:rPr>
          <w:rFonts w:ascii="Calibri"/>
          <w:sz w:val="16"/>
        </w:rPr>
      </w:pPr>
    </w:p>
    <w:p>
      <w:pPr>
        <w:spacing w:before="0"/>
        <w:ind w:left="133" w:right="0" w:firstLine="0"/>
        <w:jc w:val="left"/>
        <w:rPr>
          <w:rFonts w:ascii="Calibri"/>
          <w:sz w:val="14"/>
        </w:rPr>
      </w:pPr>
      <w:r>
        <w:rPr>
          <w:rFonts w:ascii="Calibri"/>
          <w:sz w:val="14"/>
        </w:rPr>
        <w:t>600</w:t>
      </w:r>
    </w:p>
    <w:p>
      <w:pPr>
        <w:pStyle w:val="BodyText"/>
        <w:rPr>
          <w:rFonts w:ascii="Calibri"/>
          <w:sz w:val="10"/>
        </w:rPr>
      </w:pPr>
      <w:r>
        <w:rPr/>
        <w:br w:type="column"/>
      </w:r>
      <w:r>
        <w:rPr>
          <w:rFonts w:ascii="Calibri"/>
          <w:sz w:val="10"/>
        </w:rPr>
      </w:r>
    </w:p>
    <w:p>
      <w:pPr>
        <w:spacing w:before="62"/>
        <w:ind w:left="526" w:right="0" w:firstLine="0"/>
        <w:jc w:val="left"/>
        <w:rPr>
          <w:rFonts w:ascii="Calibri"/>
          <w:b/>
          <w:sz w:val="10"/>
        </w:rPr>
      </w:pPr>
      <w:r>
        <w:rPr>
          <w:rFonts w:ascii="Calibri"/>
          <w:b/>
          <w:w w:val="105"/>
          <w:sz w:val="10"/>
        </w:rPr>
        <w:t>Payment Category Key:</w:t>
      </w:r>
    </w:p>
    <w:p>
      <w:pPr>
        <w:spacing w:before="31"/>
        <w:ind w:left="740" w:right="0" w:firstLine="0"/>
        <w:jc w:val="left"/>
        <w:rPr>
          <w:rFonts w:ascii="Calibri"/>
          <w:sz w:val="10"/>
        </w:rPr>
      </w:pPr>
      <w:r>
        <w:rPr/>
        <w:drawing>
          <wp:anchor distT="0" distB="0" distL="0" distR="0" allowOverlap="1" layoutInCell="1" locked="0" behindDoc="0" simplePos="0" relativeHeight="252808192">
            <wp:simplePos x="0" y="0"/>
            <wp:positionH relativeFrom="page">
              <wp:posOffset>4663392</wp:posOffset>
            </wp:positionH>
            <wp:positionV relativeFrom="paragraph">
              <wp:posOffset>9314</wp:posOffset>
            </wp:positionV>
            <wp:extent cx="136424" cy="1509145"/>
            <wp:effectExtent l="0" t="0" r="0" b="0"/>
            <wp:wrapNone/>
            <wp:docPr id="373" name="image75.png"/>
            <wp:cNvGraphicFramePr>
              <a:graphicFrameLocks noChangeAspect="1"/>
            </wp:cNvGraphicFramePr>
            <a:graphic>
              <a:graphicData uri="http://schemas.openxmlformats.org/drawingml/2006/picture">
                <pic:pic>
                  <pic:nvPicPr>
                    <pic:cNvPr id="374" name="image75.png"/>
                    <pic:cNvPicPr/>
                  </pic:nvPicPr>
                  <pic:blipFill>
                    <a:blip r:embed="rId97" cstate="print"/>
                    <a:stretch>
                      <a:fillRect/>
                    </a:stretch>
                  </pic:blipFill>
                  <pic:spPr>
                    <a:xfrm>
                      <a:off x="0" y="0"/>
                      <a:ext cx="136424" cy="1509145"/>
                    </a:xfrm>
                    <a:prstGeom prst="rect">
                      <a:avLst/>
                    </a:prstGeom>
                  </pic:spPr>
                </pic:pic>
              </a:graphicData>
            </a:graphic>
          </wp:anchor>
        </w:drawing>
      </w:r>
      <w:r>
        <w:rPr>
          <w:rFonts w:ascii="Calibri"/>
          <w:w w:val="105"/>
          <w:sz w:val="10"/>
        </w:rPr>
        <w:t>A - IS Studying</w:t>
      </w:r>
    </w:p>
    <w:p>
      <w:pPr>
        <w:spacing w:line="273" w:lineRule="auto" w:before="17"/>
        <w:ind w:left="740" w:right="3534" w:firstLine="0"/>
        <w:jc w:val="left"/>
        <w:rPr>
          <w:rFonts w:ascii="Calibri"/>
          <w:sz w:val="10"/>
        </w:rPr>
      </w:pPr>
      <w:r>
        <w:rPr>
          <w:rFonts w:ascii="Calibri"/>
          <w:w w:val="105"/>
          <w:sz w:val="10"/>
        </w:rPr>
        <w:t>B - IS Working Age C - IS Parents</w:t>
      </w:r>
    </w:p>
    <w:p>
      <w:pPr>
        <w:spacing w:before="1"/>
        <w:ind w:left="740" w:right="0" w:firstLine="0"/>
        <w:jc w:val="left"/>
        <w:rPr>
          <w:rFonts w:ascii="Calibri"/>
          <w:sz w:val="10"/>
        </w:rPr>
      </w:pPr>
      <w:r>
        <w:rPr>
          <w:rFonts w:ascii="Calibri"/>
          <w:w w:val="105"/>
          <w:sz w:val="10"/>
        </w:rPr>
        <w:t>D - IS Carer</w:t>
      </w:r>
    </w:p>
    <w:p>
      <w:pPr>
        <w:spacing w:line="273" w:lineRule="auto" w:before="17"/>
        <w:ind w:left="740" w:right="3698" w:firstLine="0"/>
        <w:jc w:val="left"/>
        <w:rPr>
          <w:rFonts w:ascii="Calibri"/>
          <w:sz w:val="10"/>
        </w:rPr>
      </w:pPr>
      <w:r>
        <w:rPr>
          <w:rFonts w:ascii="Calibri"/>
          <w:w w:val="105"/>
          <w:sz w:val="10"/>
        </w:rPr>
        <w:t>E - IS Disability F - IS Age</w:t>
      </w:r>
    </w:p>
    <w:p>
      <w:pPr>
        <w:spacing w:line="273" w:lineRule="auto" w:before="0"/>
        <w:ind w:left="740" w:right="3598" w:firstLine="0"/>
        <w:jc w:val="left"/>
        <w:rPr>
          <w:rFonts w:ascii="Calibri"/>
          <w:sz w:val="10"/>
        </w:rPr>
      </w:pPr>
      <w:r>
        <w:rPr>
          <w:rFonts w:ascii="Calibri"/>
          <w:w w:val="105"/>
          <w:sz w:val="10"/>
        </w:rPr>
        <w:t>G - IS Dependant H - Other FTB</w:t>
      </w:r>
    </w:p>
    <w:p>
      <w:pPr>
        <w:spacing w:before="1"/>
        <w:ind w:left="740" w:right="0" w:firstLine="0"/>
        <w:jc w:val="left"/>
        <w:rPr>
          <w:rFonts w:ascii="Calibri"/>
          <w:sz w:val="10"/>
        </w:rPr>
      </w:pPr>
      <w:r>
        <w:rPr>
          <w:rFonts w:ascii="Calibri"/>
          <w:w w:val="105"/>
          <w:sz w:val="10"/>
        </w:rPr>
        <w:t>I - Other Family</w:t>
      </w:r>
    </w:p>
    <w:p>
      <w:pPr>
        <w:spacing w:before="17"/>
        <w:ind w:left="740" w:right="0" w:firstLine="0"/>
        <w:jc w:val="left"/>
        <w:rPr>
          <w:rFonts w:ascii="Calibri"/>
          <w:sz w:val="10"/>
        </w:rPr>
      </w:pPr>
      <w:r>
        <w:rPr>
          <w:rFonts w:ascii="Calibri"/>
          <w:w w:val="105"/>
          <w:sz w:val="10"/>
        </w:rPr>
        <w:t>J - Other New Parents</w:t>
      </w:r>
    </w:p>
    <w:p>
      <w:pPr>
        <w:spacing w:line="273" w:lineRule="auto" w:before="17"/>
        <w:ind w:left="740" w:right="3130" w:firstLine="0"/>
        <w:jc w:val="left"/>
        <w:rPr>
          <w:rFonts w:ascii="Calibri"/>
          <w:sz w:val="10"/>
        </w:rPr>
      </w:pPr>
      <w:r>
        <w:rPr>
          <w:rFonts w:ascii="Calibri"/>
          <w:w w:val="105"/>
          <w:sz w:val="10"/>
        </w:rPr>
        <w:t>L - Other Health &amp; Disability M - Other Carer</w:t>
      </w:r>
    </w:p>
    <w:p>
      <w:pPr>
        <w:spacing w:before="1"/>
        <w:ind w:left="740" w:right="0" w:firstLine="0"/>
        <w:jc w:val="left"/>
        <w:rPr>
          <w:rFonts w:ascii="Calibri"/>
          <w:sz w:val="10"/>
        </w:rPr>
      </w:pPr>
      <w:r>
        <w:rPr>
          <w:rFonts w:ascii="Calibri"/>
          <w:w w:val="105"/>
          <w:sz w:val="10"/>
        </w:rPr>
        <w:t>N - Other Study &amp; Skills</w:t>
      </w:r>
    </w:p>
    <w:p>
      <w:pPr>
        <w:spacing w:line="273" w:lineRule="auto" w:before="17"/>
        <w:ind w:left="740" w:right="3078" w:firstLine="0"/>
        <w:jc w:val="both"/>
        <w:rPr>
          <w:rFonts w:ascii="Calibri"/>
          <w:sz w:val="10"/>
        </w:rPr>
      </w:pPr>
      <w:r>
        <w:rPr>
          <w:rFonts w:ascii="Calibri"/>
          <w:w w:val="105"/>
          <w:sz w:val="10"/>
        </w:rPr>
        <w:t>O - Other Remote &amp; Regional P - Other General Allowances Q - All Other</w:t>
      </w:r>
    </w:p>
    <w:p>
      <w:pPr>
        <w:spacing w:before="1"/>
        <w:ind w:left="740" w:right="0" w:firstLine="0"/>
        <w:jc w:val="both"/>
        <w:rPr>
          <w:rFonts w:ascii="Calibri"/>
          <w:sz w:val="10"/>
        </w:rPr>
      </w:pPr>
      <w:r>
        <w:rPr>
          <w:rFonts w:ascii="Calibri"/>
          <w:w w:val="105"/>
          <w:sz w:val="10"/>
        </w:rPr>
        <w:t>R - Rent Assistance</w:t>
      </w:r>
    </w:p>
    <w:p>
      <w:pPr>
        <w:spacing w:after="0"/>
        <w:jc w:val="both"/>
        <w:rPr>
          <w:rFonts w:ascii="Calibri"/>
          <w:sz w:val="10"/>
        </w:rPr>
        <w:sectPr>
          <w:type w:val="continuous"/>
          <w:pgSz w:w="11910" w:h="16850"/>
          <w:pgMar w:top="1600" w:bottom="280" w:left="120" w:right="0"/>
          <w:cols w:num="13" w:equalWidth="0">
            <w:col w:w="1942" w:space="40"/>
            <w:col w:w="355" w:space="39"/>
            <w:col w:w="355" w:space="39"/>
            <w:col w:w="355" w:space="39"/>
            <w:col w:w="355" w:space="40"/>
            <w:col w:w="671" w:space="39"/>
            <w:col w:w="432" w:space="40"/>
            <w:col w:w="355" w:space="39"/>
            <w:col w:w="355" w:space="39"/>
            <w:col w:w="355" w:space="40"/>
            <w:col w:w="355" w:space="39"/>
            <w:col w:w="355" w:space="39"/>
            <w:col w:w="5078"/>
          </w:cols>
        </w:sectPr>
      </w:pPr>
    </w:p>
    <w:p>
      <w:pPr>
        <w:spacing w:before="46"/>
        <w:ind w:left="3308" w:right="0" w:firstLine="0"/>
        <w:jc w:val="left"/>
        <w:rPr>
          <w:rFonts w:ascii="Calibri"/>
          <w:b/>
          <w:sz w:val="14"/>
        </w:rPr>
      </w:pPr>
      <w:r>
        <w:rPr>
          <w:rFonts w:ascii="Calibri"/>
          <w:b/>
          <w:sz w:val="14"/>
        </w:rPr>
        <w:t>Average Lifetime Cost ($000s)</w:t>
      </w:r>
    </w:p>
    <w:p>
      <w:pPr>
        <w:pStyle w:val="BodyText"/>
        <w:spacing w:before="1"/>
        <w:rPr>
          <w:rFonts w:ascii="Calibri"/>
          <w:b/>
        </w:rPr>
      </w:pPr>
    </w:p>
    <w:p>
      <w:pPr>
        <w:pStyle w:val="BodyText"/>
        <w:spacing w:before="93"/>
        <w:ind w:left="900" w:right="1287" w:hanging="1"/>
      </w:pPr>
      <w:r>
        <w:rPr>
          <w:color w:val="404040"/>
        </w:rPr>
        <w:t>The most substantial part of this average lifetime cost for both genders is for the Age Pension although there are contributions from all payment categories.</w:t>
      </w:r>
    </w:p>
    <w:p>
      <w:pPr>
        <w:pStyle w:val="BodyText"/>
        <w:spacing w:before="121"/>
        <w:ind w:left="900" w:right="1509"/>
      </w:pPr>
      <w:r>
        <w:rPr>
          <w:color w:val="404040"/>
        </w:rPr>
        <w:t>For women up to around age 40 there are significant contributions from FTB and Parenting payments. For people in their early forties and above, the differences between the costs for men and women are small (women have a slightly higher lifetime cost due to higher expected longevity).</w:t>
      </w:r>
    </w:p>
    <w:p>
      <w:pPr>
        <w:pStyle w:val="BodyText"/>
        <w:spacing w:before="121"/>
        <w:ind w:left="900" w:right="1053"/>
      </w:pPr>
      <w:r>
        <w:rPr>
          <w:color w:val="404040"/>
        </w:rPr>
        <w:t>The average lifetime cost pyramid shows a significant change at around age 65 with much lower costs for older people:</w:t>
      </w:r>
    </w:p>
    <w:p>
      <w:pPr>
        <w:pStyle w:val="ListParagraph"/>
        <w:numPr>
          <w:ilvl w:val="0"/>
          <w:numId w:val="83"/>
        </w:numPr>
        <w:tabs>
          <w:tab w:pos="1184" w:val="left" w:leader="none"/>
        </w:tabs>
        <w:spacing w:line="240" w:lineRule="auto" w:before="117" w:after="0"/>
        <w:ind w:left="1183" w:right="1177" w:hanging="284"/>
        <w:jc w:val="left"/>
        <w:rPr>
          <w:rFonts w:ascii="Symbol" w:hAnsi="Symbol"/>
          <w:color w:val="404040"/>
          <w:sz w:val="20"/>
        </w:rPr>
      </w:pPr>
      <w:r>
        <w:rPr>
          <w:color w:val="404040"/>
          <w:sz w:val="20"/>
        </w:rPr>
        <w:t>For people below age 65.5 - the Age Pension component of the average lifetime cost is significant as there is a high chance of the people moving onto the Age Pension as they reach pension</w:t>
      </w:r>
      <w:r>
        <w:rPr>
          <w:color w:val="404040"/>
          <w:spacing w:val="-14"/>
          <w:sz w:val="20"/>
        </w:rPr>
        <w:t> </w:t>
      </w:r>
      <w:r>
        <w:rPr>
          <w:color w:val="404040"/>
          <w:sz w:val="20"/>
        </w:rPr>
        <w:t>age.</w:t>
      </w:r>
    </w:p>
    <w:p>
      <w:pPr>
        <w:pStyle w:val="ListParagraph"/>
        <w:numPr>
          <w:ilvl w:val="0"/>
          <w:numId w:val="83"/>
        </w:numPr>
        <w:tabs>
          <w:tab w:pos="1184" w:val="left" w:leader="none"/>
        </w:tabs>
        <w:spacing w:line="240" w:lineRule="auto" w:before="120" w:after="0"/>
        <w:ind w:left="1183" w:right="1352" w:hanging="284"/>
        <w:jc w:val="left"/>
        <w:rPr>
          <w:rFonts w:ascii="Symbol" w:hAnsi="Symbol"/>
          <w:color w:val="404040"/>
          <w:sz w:val="20"/>
        </w:rPr>
      </w:pPr>
      <w:r>
        <w:rPr>
          <w:color w:val="404040"/>
          <w:sz w:val="20"/>
        </w:rPr>
        <w:t>For people above age 65.5 - to be above age 65.5 and still be in this class they cannot be receiving Age Pension at present. This means they are far less likely to receive the Age Pension in future than a typical person in the population and hence have a lower average lifetime</w:t>
      </w:r>
      <w:r>
        <w:rPr>
          <w:color w:val="404040"/>
          <w:spacing w:val="-8"/>
          <w:sz w:val="20"/>
        </w:rPr>
        <w:t> </w:t>
      </w:r>
      <w:r>
        <w:rPr>
          <w:color w:val="404040"/>
          <w:sz w:val="20"/>
        </w:rPr>
        <w:t>cost.</w:t>
      </w:r>
    </w:p>
    <w:p>
      <w:pPr>
        <w:pStyle w:val="BodyText"/>
        <w:spacing w:before="79"/>
        <w:ind w:left="1184" w:right="1091"/>
      </w:pPr>
      <w:r>
        <w:rPr>
          <w:color w:val="404040"/>
        </w:rPr>
        <w:t>For people significantly above age 65.5 the average lifetime costs reduce year on year as the future lifetime is shorter and the chances of moving into the Age Pension class at a future point in time are even lower.</w:t>
      </w:r>
    </w:p>
    <w:p>
      <w:pPr>
        <w:pStyle w:val="BodyText"/>
        <w:spacing w:before="121"/>
        <w:ind w:left="900" w:right="1009"/>
      </w:pPr>
      <w:r>
        <w:rPr>
          <w:color w:val="404040"/>
        </w:rPr>
        <w:t>The table below outlines the average lifetime cost for 20 to 25 year olds in the rest of the Australian population, split by key characteristics. We have selected a set age group to reduce the effect of age on the future lifetime cost. It is important to note that some characteristics serve as proxies for more fundamental socio-economic factors, and as such, they may not necessarily be the underlying cause of any differences observed in the average lifetime costs of individuals. Further, the variations and relativities to the average lifetime cost that have been shown may differ for other age bands.</w:t>
      </w:r>
    </w:p>
    <w:p>
      <w:pPr>
        <w:spacing w:after="0"/>
        <w:sectPr>
          <w:type w:val="continuous"/>
          <w:pgSz w:w="11910" w:h="16850"/>
          <w:pgMar w:top="1600" w:bottom="280" w:left="120" w:right="0"/>
        </w:sectPr>
      </w:pPr>
    </w:p>
    <w:p>
      <w:pPr>
        <w:pStyle w:val="BodyText"/>
      </w:pPr>
    </w:p>
    <w:p>
      <w:pPr>
        <w:pStyle w:val="BodyText"/>
      </w:pPr>
    </w:p>
    <w:p>
      <w:pPr>
        <w:pStyle w:val="BodyText"/>
        <w:spacing w:before="5"/>
        <w:rPr>
          <w:sz w:val="21"/>
        </w:rPr>
      </w:pPr>
    </w:p>
    <w:p>
      <w:pPr>
        <w:pStyle w:val="Heading9"/>
        <w:spacing w:after="44"/>
        <w:ind w:right="1011"/>
      </w:pPr>
      <w:r>
        <w:rPr>
          <w:color w:val="DF2F1E"/>
        </w:rPr>
        <w:t>Table 45: Average lifetime cost for 20 to 25 year olds in the rest of the Australian population split by key characteristics</w:t>
      </w:r>
    </w:p>
    <w:tbl>
      <w:tblPr>
        <w:tblW w:w="0" w:type="auto"/>
        <w:jc w:val="left"/>
        <w:tblInd w:w="1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28"/>
        <w:gridCol w:w="1414"/>
        <w:gridCol w:w="1658"/>
        <w:gridCol w:w="1574"/>
        <w:gridCol w:w="1608"/>
      </w:tblGrid>
      <w:tr>
        <w:trPr>
          <w:trHeight w:val="652" w:hRule="atLeast"/>
        </w:trPr>
        <w:tc>
          <w:tcPr>
            <w:tcW w:w="3528" w:type="dxa"/>
            <w:shd w:val="clear" w:color="auto" w:fill="DF2F1E"/>
          </w:tcPr>
          <w:p>
            <w:pPr>
              <w:pStyle w:val="TableParagraph"/>
              <w:spacing w:before="0"/>
              <w:rPr>
                <w:rFonts w:ascii="Times New Roman"/>
                <w:sz w:val="18"/>
              </w:rPr>
            </w:pPr>
          </w:p>
        </w:tc>
        <w:tc>
          <w:tcPr>
            <w:tcW w:w="1414" w:type="dxa"/>
            <w:shd w:val="clear" w:color="auto" w:fill="DF2F1E"/>
          </w:tcPr>
          <w:p>
            <w:pPr>
              <w:pStyle w:val="TableParagraph"/>
              <w:spacing w:before="44"/>
              <w:ind w:left="614" w:right="122" w:hanging="142"/>
              <w:rPr>
                <w:b/>
                <w:sz w:val="16"/>
              </w:rPr>
            </w:pPr>
            <w:r>
              <w:rPr>
                <w:b/>
                <w:color w:val="FFFFFF"/>
                <w:sz w:val="16"/>
              </w:rPr>
              <w:t>Number of people</w:t>
            </w:r>
          </w:p>
        </w:tc>
        <w:tc>
          <w:tcPr>
            <w:tcW w:w="1658" w:type="dxa"/>
            <w:shd w:val="clear" w:color="auto" w:fill="DF2F1E"/>
          </w:tcPr>
          <w:p>
            <w:pPr>
              <w:pStyle w:val="TableParagraph"/>
              <w:spacing w:before="44"/>
              <w:ind w:left="277" w:right="130" w:hanging="130"/>
              <w:rPr>
                <w:b/>
                <w:sz w:val="16"/>
              </w:rPr>
            </w:pPr>
            <w:r>
              <w:rPr>
                <w:b/>
                <w:color w:val="FFFFFF"/>
                <w:sz w:val="16"/>
              </w:rPr>
              <w:t>Number of people as % of cohort</w:t>
            </w:r>
          </w:p>
        </w:tc>
        <w:tc>
          <w:tcPr>
            <w:tcW w:w="1574" w:type="dxa"/>
            <w:shd w:val="clear" w:color="auto" w:fill="DF2F1E"/>
          </w:tcPr>
          <w:p>
            <w:pPr>
              <w:pStyle w:val="TableParagraph"/>
              <w:spacing w:before="44"/>
              <w:ind w:left="492" w:right="161" w:hanging="336"/>
              <w:rPr>
                <w:b/>
                <w:sz w:val="16"/>
              </w:rPr>
            </w:pPr>
            <w:r>
              <w:rPr>
                <w:b/>
                <w:color w:val="FFFFFF"/>
                <w:sz w:val="16"/>
              </w:rPr>
              <w:t>Average lifetime cost ($)</w:t>
            </w:r>
          </w:p>
        </w:tc>
        <w:tc>
          <w:tcPr>
            <w:tcW w:w="1608" w:type="dxa"/>
            <w:shd w:val="clear" w:color="auto" w:fill="DF2F1E"/>
          </w:tcPr>
          <w:p>
            <w:pPr>
              <w:pStyle w:val="TableParagraph"/>
              <w:spacing w:before="44"/>
              <w:ind w:left="190" w:right="177"/>
              <w:jc w:val="center"/>
              <w:rPr>
                <w:b/>
                <w:sz w:val="16"/>
              </w:rPr>
            </w:pPr>
            <w:r>
              <w:rPr>
                <w:b/>
                <w:color w:val="FFFFFF"/>
                <w:sz w:val="16"/>
              </w:rPr>
              <w:t>Average lifetime cost relative to cohort</w:t>
            </w:r>
          </w:p>
        </w:tc>
      </w:tr>
      <w:tr>
        <w:trPr>
          <w:trHeight w:val="263" w:hRule="atLeast"/>
        </w:trPr>
        <w:tc>
          <w:tcPr>
            <w:tcW w:w="3528" w:type="dxa"/>
            <w:tcBorders>
              <w:left w:val="single" w:sz="4" w:space="0" w:color="DF2F1E"/>
              <w:bottom w:val="single" w:sz="4" w:space="0" w:color="DF2F1E"/>
            </w:tcBorders>
            <w:shd w:val="clear" w:color="auto" w:fill="F7DCE0"/>
          </w:tcPr>
          <w:p>
            <w:pPr>
              <w:pStyle w:val="TableParagraph"/>
              <w:spacing w:before="34"/>
              <w:ind w:left="107"/>
              <w:rPr>
                <w:b/>
                <w:sz w:val="16"/>
              </w:rPr>
            </w:pPr>
            <w:r>
              <w:rPr>
                <w:b/>
                <w:color w:val="404040"/>
                <w:sz w:val="16"/>
              </w:rPr>
              <w:t>Total</w:t>
            </w:r>
          </w:p>
        </w:tc>
        <w:tc>
          <w:tcPr>
            <w:tcW w:w="1414" w:type="dxa"/>
            <w:tcBorders>
              <w:bottom w:val="single" w:sz="4" w:space="0" w:color="DF2F1E"/>
            </w:tcBorders>
            <w:shd w:val="clear" w:color="auto" w:fill="F7DCE0"/>
          </w:tcPr>
          <w:p>
            <w:pPr>
              <w:pStyle w:val="TableParagraph"/>
              <w:spacing w:before="34"/>
              <w:ind w:left="516"/>
              <w:rPr>
                <w:b/>
                <w:sz w:val="16"/>
              </w:rPr>
            </w:pPr>
            <w:r>
              <w:rPr>
                <w:b/>
                <w:color w:val="404040"/>
                <w:sz w:val="16"/>
              </w:rPr>
              <w:t>1,086,000</w:t>
            </w:r>
          </w:p>
        </w:tc>
        <w:tc>
          <w:tcPr>
            <w:tcW w:w="1658" w:type="dxa"/>
            <w:tcBorders>
              <w:bottom w:val="single" w:sz="4" w:space="0" w:color="DF2F1E"/>
            </w:tcBorders>
            <w:shd w:val="clear" w:color="auto" w:fill="F7DCE0"/>
          </w:tcPr>
          <w:p>
            <w:pPr>
              <w:pStyle w:val="TableParagraph"/>
              <w:spacing w:before="34"/>
              <w:ind w:left="623"/>
              <w:rPr>
                <w:b/>
                <w:sz w:val="16"/>
              </w:rPr>
            </w:pPr>
            <w:r>
              <w:rPr>
                <w:b/>
                <w:color w:val="404040"/>
                <w:sz w:val="16"/>
              </w:rPr>
              <w:t>100%</w:t>
            </w:r>
          </w:p>
        </w:tc>
        <w:tc>
          <w:tcPr>
            <w:tcW w:w="1574" w:type="dxa"/>
            <w:tcBorders>
              <w:bottom w:val="single" w:sz="4" w:space="0" w:color="DF2F1E"/>
            </w:tcBorders>
            <w:shd w:val="clear" w:color="auto" w:fill="F7DCE0"/>
          </w:tcPr>
          <w:p>
            <w:pPr>
              <w:pStyle w:val="TableParagraph"/>
              <w:spacing w:before="34"/>
              <w:ind w:left="468" w:right="487"/>
              <w:jc w:val="center"/>
              <w:rPr>
                <w:b/>
                <w:sz w:val="16"/>
              </w:rPr>
            </w:pPr>
            <w:r>
              <w:rPr>
                <w:b/>
                <w:color w:val="404040"/>
                <w:sz w:val="16"/>
              </w:rPr>
              <w:t>196,000</w:t>
            </w:r>
          </w:p>
        </w:tc>
        <w:tc>
          <w:tcPr>
            <w:tcW w:w="1608" w:type="dxa"/>
            <w:tcBorders>
              <w:bottom w:val="single" w:sz="4" w:space="0" w:color="DF2F1E"/>
              <w:right w:val="single" w:sz="4" w:space="0" w:color="DF2F1E"/>
            </w:tcBorders>
            <w:shd w:val="clear" w:color="auto" w:fill="F7DCE0"/>
          </w:tcPr>
          <w:p>
            <w:pPr>
              <w:pStyle w:val="TableParagraph"/>
              <w:spacing w:before="34"/>
              <w:ind w:left="581" w:right="570"/>
              <w:jc w:val="center"/>
              <w:rPr>
                <w:b/>
                <w:sz w:val="16"/>
              </w:rPr>
            </w:pPr>
            <w:r>
              <w:rPr>
                <w:b/>
                <w:color w:val="404040"/>
                <w:sz w:val="16"/>
              </w:rPr>
              <w:t>100%</w:t>
            </w:r>
          </w:p>
        </w:tc>
      </w:tr>
      <w:tr>
        <w:trPr>
          <w:trHeight w:val="262" w:hRule="atLeast"/>
        </w:trPr>
        <w:tc>
          <w:tcPr>
            <w:tcW w:w="3528" w:type="dxa"/>
            <w:tcBorders>
              <w:top w:val="single" w:sz="4" w:space="0" w:color="DF2F1E"/>
              <w:left w:val="single" w:sz="4" w:space="0" w:color="DF2F1E"/>
            </w:tcBorders>
          </w:tcPr>
          <w:p>
            <w:pPr>
              <w:pStyle w:val="TableParagraph"/>
              <w:spacing w:before="34"/>
              <w:ind w:left="107"/>
              <w:rPr>
                <w:b/>
                <w:sz w:val="16"/>
              </w:rPr>
            </w:pPr>
            <w:r>
              <w:rPr>
                <w:b/>
                <w:color w:val="404040"/>
                <w:sz w:val="16"/>
              </w:rPr>
              <w:t>Marital status</w:t>
            </w:r>
          </w:p>
        </w:tc>
        <w:tc>
          <w:tcPr>
            <w:tcW w:w="1414" w:type="dxa"/>
            <w:tcBorders>
              <w:top w:val="single" w:sz="4" w:space="0" w:color="DF2F1E"/>
            </w:tcBorders>
          </w:tcPr>
          <w:p>
            <w:pPr>
              <w:pStyle w:val="TableParagraph"/>
              <w:spacing w:before="0"/>
              <w:rPr>
                <w:rFonts w:ascii="Times New Roman"/>
                <w:sz w:val="18"/>
              </w:rPr>
            </w:pPr>
          </w:p>
        </w:tc>
        <w:tc>
          <w:tcPr>
            <w:tcW w:w="1658" w:type="dxa"/>
            <w:tcBorders>
              <w:top w:val="single" w:sz="4" w:space="0" w:color="DF2F1E"/>
            </w:tcBorders>
          </w:tcPr>
          <w:p>
            <w:pPr>
              <w:pStyle w:val="TableParagraph"/>
              <w:spacing w:before="0"/>
              <w:rPr>
                <w:rFonts w:ascii="Times New Roman"/>
                <w:sz w:val="18"/>
              </w:rPr>
            </w:pPr>
          </w:p>
        </w:tc>
        <w:tc>
          <w:tcPr>
            <w:tcW w:w="1574" w:type="dxa"/>
            <w:tcBorders>
              <w:top w:val="single" w:sz="4" w:space="0" w:color="DF2F1E"/>
            </w:tcBorders>
          </w:tcPr>
          <w:p>
            <w:pPr>
              <w:pStyle w:val="TableParagraph"/>
              <w:spacing w:before="0"/>
              <w:rPr>
                <w:rFonts w:ascii="Times New Roman"/>
                <w:sz w:val="18"/>
              </w:rPr>
            </w:pPr>
          </w:p>
        </w:tc>
        <w:tc>
          <w:tcPr>
            <w:tcW w:w="1608" w:type="dxa"/>
            <w:tcBorders>
              <w:top w:val="single" w:sz="4" w:space="0" w:color="DF2F1E"/>
              <w:right w:val="single" w:sz="4" w:space="0" w:color="DF2F1E"/>
            </w:tcBorders>
          </w:tcPr>
          <w:p>
            <w:pPr>
              <w:pStyle w:val="TableParagraph"/>
              <w:spacing w:before="0"/>
              <w:rPr>
                <w:rFonts w:ascii="Times New Roman"/>
                <w:sz w:val="18"/>
              </w:rPr>
            </w:pPr>
          </w:p>
        </w:tc>
      </w:tr>
      <w:tr>
        <w:trPr>
          <w:trHeight w:val="265" w:hRule="atLeast"/>
        </w:trPr>
        <w:tc>
          <w:tcPr>
            <w:tcW w:w="3528" w:type="dxa"/>
            <w:tcBorders>
              <w:left w:val="single" w:sz="4" w:space="0" w:color="DF2F1E"/>
            </w:tcBorders>
          </w:tcPr>
          <w:p>
            <w:pPr>
              <w:pStyle w:val="TableParagraph"/>
              <w:spacing w:before="39"/>
              <w:ind w:left="287"/>
              <w:rPr>
                <w:b/>
                <w:i/>
                <w:sz w:val="16"/>
              </w:rPr>
            </w:pPr>
            <w:r>
              <w:rPr>
                <w:b/>
                <w:i/>
                <w:color w:val="404040"/>
                <w:sz w:val="16"/>
              </w:rPr>
              <w:t>- Single</w:t>
            </w:r>
          </w:p>
        </w:tc>
        <w:tc>
          <w:tcPr>
            <w:tcW w:w="1414" w:type="dxa"/>
          </w:tcPr>
          <w:p>
            <w:pPr>
              <w:pStyle w:val="TableParagraph"/>
              <w:spacing w:before="39"/>
              <w:ind w:left="583"/>
              <w:rPr>
                <w:sz w:val="16"/>
              </w:rPr>
            </w:pPr>
            <w:r>
              <w:rPr>
                <w:color w:val="404040"/>
                <w:sz w:val="16"/>
              </w:rPr>
              <w:t>797,000</w:t>
            </w:r>
          </w:p>
        </w:tc>
        <w:tc>
          <w:tcPr>
            <w:tcW w:w="1658" w:type="dxa"/>
          </w:tcPr>
          <w:p>
            <w:pPr>
              <w:pStyle w:val="TableParagraph"/>
              <w:spacing w:before="39"/>
              <w:ind w:left="669"/>
              <w:rPr>
                <w:sz w:val="16"/>
              </w:rPr>
            </w:pPr>
            <w:r>
              <w:rPr>
                <w:color w:val="404040"/>
                <w:sz w:val="16"/>
              </w:rPr>
              <w:t>73%</w:t>
            </w:r>
          </w:p>
        </w:tc>
        <w:tc>
          <w:tcPr>
            <w:tcW w:w="1574" w:type="dxa"/>
          </w:tcPr>
          <w:p>
            <w:pPr>
              <w:pStyle w:val="TableParagraph"/>
              <w:spacing w:before="39"/>
              <w:ind w:left="468" w:right="487"/>
              <w:jc w:val="center"/>
              <w:rPr>
                <w:sz w:val="16"/>
              </w:rPr>
            </w:pPr>
            <w:r>
              <w:rPr>
                <w:color w:val="404040"/>
                <w:sz w:val="16"/>
              </w:rPr>
              <w:t>193,000</w:t>
            </w:r>
          </w:p>
        </w:tc>
        <w:tc>
          <w:tcPr>
            <w:tcW w:w="1608" w:type="dxa"/>
            <w:tcBorders>
              <w:right w:val="single" w:sz="4" w:space="0" w:color="DF2F1E"/>
            </w:tcBorders>
          </w:tcPr>
          <w:p>
            <w:pPr>
              <w:pStyle w:val="TableParagraph"/>
              <w:spacing w:before="39"/>
              <w:ind w:left="581" w:right="568"/>
              <w:jc w:val="center"/>
              <w:rPr>
                <w:sz w:val="16"/>
              </w:rPr>
            </w:pPr>
            <w:r>
              <w:rPr>
                <w:color w:val="404040"/>
                <w:sz w:val="16"/>
              </w:rPr>
              <w:t>98%</w:t>
            </w:r>
          </w:p>
        </w:tc>
      </w:tr>
      <w:tr>
        <w:trPr>
          <w:trHeight w:val="264" w:hRule="atLeast"/>
        </w:trPr>
        <w:tc>
          <w:tcPr>
            <w:tcW w:w="3528" w:type="dxa"/>
            <w:tcBorders>
              <w:left w:val="single" w:sz="4" w:space="0" w:color="DF2F1E"/>
              <w:bottom w:val="single" w:sz="4" w:space="0" w:color="DF2F1E"/>
            </w:tcBorders>
          </w:tcPr>
          <w:p>
            <w:pPr>
              <w:pStyle w:val="TableParagraph"/>
              <w:ind w:left="287"/>
              <w:rPr>
                <w:b/>
                <w:i/>
                <w:sz w:val="16"/>
              </w:rPr>
            </w:pPr>
            <w:r>
              <w:rPr>
                <w:b/>
                <w:i/>
                <w:color w:val="404040"/>
                <w:sz w:val="16"/>
              </w:rPr>
              <w:t>- Partnered</w:t>
            </w:r>
          </w:p>
        </w:tc>
        <w:tc>
          <w:tcPr>
            <w:tcW w:w="1414" w:type="dxa"/>
            <w:tcBorders>
              <w:bottom w:val="single" w:sz="4" w:space="0" w:color="DF2F1E"/>
            </w:tcBorders>
          </w:tcPr>
          <w:p>
            <w:pPr>
              <w:pStyle w:val="TableParagraph"/>
              <w:ind w:left="583"/>
              <w:rPr>
                <w:sz w:val="16"/>
              </w:rPr>
            </w:pPr>
            <w:r>
              <w:rPr>
                <w:color w:val="404040"/>
                <w:sz w:val="16"/>
              </w:rPr>
              <w:t>289,000</w:t>
            </w:r>
          </w:p>
        </w:tc>
        <w:tc>
          <w:tcPr>
            <w:tcW w:w="1658" w:type="dxa"/>
            <w:tcBorders>
              <w:bottom w:val="single" w:sz="4" w:space="0" w:color="DF2F1E"/>
            </w:tcBorders>
          </w:tcPr>
          <w:p>
            <w:pPr>
              <w:pStyle w:val="TableParagraph"/>
              <w:ind w:left="669"/>
              <w:rPr>
                <w:sz w:val="16"/>
              </w:rPr>
            </w:pPr>
            <w:r>
              <w:rPr>
                <w:color w:val="404040"/>
                <w:sz w:val="16"/>
              </w:rPr>
              <w:t>27%</w:t>
            </w:r>
          </w:p>
        </w:tc>
        <w:tc>
          <w:tcPr>
            <w:tcW w:w="1574" w:type="dxa"/>
            <w:tcBorders>
              <w:bottom w:val="single" w:sz="4" w:space="0" w:color="DF2F1E"/>
            </w:tcBorders>
          </w:tcPr>
          <w:p>
            <w:pPr>
              <w:pStyle w:val="TableParagraph"/>
              <w:ind w:left="468" w:right="487"/>
              <w:jc w:val="center"/>
              <w:rPr>
                <w:sz w:val="16"/>
              </w:rPr>
            </w:pPr>
            <w:r>
              <w:rPr>
                <w:color w:val="404040"/>
                <w:sz w:val="16"/>
              </w:rPr>
              <w:t>205,000</w:t>
            </w:r>
          </w:p>
        </w:tc>
        <w:tc>
          <w:tcPr>
            <w:tcW w:w="1608" w:type="dxa"/>
            <w:tcBorders>
              <w:bottom w:val="single" w:sz="4" w:space="0" w:color="DF2F1E"/>
              <w:right w:val="single" w:sz="4" w:space="0" w:color="DF2F1E"/>
            </w:tcBorders>
          </w:tcPr>
          <w:p>
            <w:pPr>
              <w:pStyle w:val="TableParagraph"/>
              <w:ind w:left="581" w:right="571"/>
              <w:jc w:val="center"/>
              <w:rPr>
                <w:sz w:val="16"/>
              </w:rPr>
            </w:pPr>
            <w:r>
              <w:rPr>
                <w:color w:val="404040"/>
                <w:sz w:val="16"/>
              </w:rPr>
              <w:t>104%</w:t>
            </w:r>
          </w:p>
        </w:tc>
      </w:tr>
      <w:tr>
        <w:trPr>
          <w:trHeight w:val="262" w:hRule="atLeast"/>
        </w:trPr>
        <w:tc>
          <w:tcPr>
            <w:tcW w:w="3528" w:type="dxa"/>
            <w:tcBorders>
              <w:top w:val="single" w:sz="4" w:space="0" w:color="DF2F1E"/>
              <w:left w:val="single" w:sz="4" w:space="0" w:color="DF2F1E"/>
            </w:tcBorders>
          </w:tcPr>
          <w:p>
            <w:pPr>
              <w:pStyle w:val="TableParagraph"/>
              <w:spacing w:before="34"/>
              <w:ind w:left="107"/>
              <w:rPr>
                <w:b/>
                <w:sz w:val="16"/>
              </w:rPr>
            </w:pPr>
            <w:r>
              <w:rPr>
                <w:b/>
                <w:color w:val="404040"/>
                <w:sz w:val="16"/>
              </w:rPr>
              <w:t>Highest educational attainment recorded</w:t>
            </w:r>
          </w:p>
        </w:tc>
        <w:tc>
          <w:tcPr>
            <w:tcW w:w="1414" w:type="dxa"/>
            <w:tcBorders>
              <w:top w:val="single" w:sz="4" w:space="0" w:color="DF2F1E"/>
            </w:tcBorders>
          </w:tcPr>
          <w:p>
            <w:pPr>
              <w:pStyle w:val="TableParagraph"/>
              <w:spacing w:before="0"/>
              <w:rPr>
                <w:rFonts w:ascii="Times New Roman"/>
                <w:sz w:val="18"/>
              </w:rPr>
            </w:pPr>
          </w:p>
        </w:tc>
        <w:tc>
          <w:tcPr>
            <w:tcW w:w="1658" w:type="dxa"/>
            <w:tcBorders>
              <w:top w:val="single" w:sz="4" w:space="0" w:color="DF2F1E"/>
            </w:tcBorders>
          </w:tcPr>
          <w:p>
            <w:pPr>
              <w:pStyle w:val="TableParagraph"/>
              <w:spacing w:before="0"/>
              <w:rPr>
                <w:rFonts w:ascii="Times New Roman"/>
                <w:sz w:val="18"/>
              </w:rPr>
            </w:pPr>
          </w:p>
        </w:tc>
        <w:tc>
          <w:tcPr>
            <w:tcW w:w="1574" w:type="dxa"/>
            <w:tcBorders>
              <w:top w:val="single" w:sz="4" w:space="0" w:color="DF2F1E"/>
            </w:tcBorders>
          </w:tcPr>
          <w:p>
            <w:pPr>
              <w:pStyle w:val="TableParagraph"/>
              <w:spacing w:before="0"/>
              <w:rPr>
                <w:rFonts w:ascii="Times New Roman"/>
                <w:sz w:val="18"/>
              </w:rPr>
            </w:pPr>
          </w:p>
        </w:tc>
        <w:tc>
          <w:tcPr>
            <w:tcW w:w="1608" w:type="dxa"/>
            <w:tcBorders>
              <w:top w:val="single" w:sz="4" w:space="0" w:color="DF2F1E"/>
              <w:right w:val="single" w:sz="4" w:space="0" w:color="DF2F1E"/>
            </w:tcBorders>
          </w:tcPr>
          <w:p>
            <w:pPr>
              <w:pStyle w:val="TableParagraph"/>
              <w:spacing w:before="0"/>
              <w:rPr>
                <w:rFonts w:ascii="Times New Roman"/>
                <w:sz w:val="18"/>
              </w:rPr>
            </w:pPr>
          </w:p>
        </w:tc>
      </w:tr>
      <w:tr>
        <w:trPr>
          <w:trHeight w:val="265" w:hRule="atLeast"/>
        </w:trPr>
        <w:tc>
          <w:tcPr>
            <w:tcW w:w="3528" w:type="dxa"/>
            <w:tcBorders>
              <w:left w:val="single" w:sz="4" w:space="0" w:color="DF2F1E"/>
            </w:tcBorders>
          </w:tcPr>
          <w:p>
            <w:pPr>
              <w:pStyle w:val="TableParagraph"/>
              <w:spacing w:before="39"/>
              <w:ind w:left="287"/>
              <w:rPr>
                <w:b/>
                <w:i/>
                <w:sz w:val="16"/>
              </w:rPr>
            </w:pPr>
            <w:r>
              <w:rPr>
                <w:b/>
                <w:i/>
                <w:color w:val="404040"/>
                <w:sz w:val="16"/>
              </w:rPr>
              <w:t>- Year 10 or less</w:t>
            </w:r>
          </w:p>
        </w:tc>
        <w:tc>
          <w:tcPr>
            <w:tcW w:w="1414" w:type="dxa"/>
          </w:tcPr>
          <w:p>
            <w:pPr>
              <w:pStyle w:val="TableParagraph"/>
              <w:spacing w:before="39"/>
              <w:ind w:left="628"/>
              <w:rPr>
                <w:sz w:val="16"/>
              </w:rPr>
            </w:pPr>
            <w:r>
              <w:rPr>
                <w:color w:val="404040"/>
                <w:sz w:val="16"/>
              </w:rPr>
              <w:t>97,000</w:t>
            </w:r>
          </w:p>
        </w:tc>
        <w:tc>
          <w:tcPr>
            <w:tcW w:w="1658" w:type="dxa"/>
          </w:tcPr>
          <w:p>
            <w:pPr>
              <w:pStyle w:val="TableParagraph"/>
              <w:spacing w:before="39"/>
              <w:ind w:left="712"/>
              <w:rPr>
                <w:sz w:val="16"/>
              </w:rPr>
            </w:pPr>
            <w:r>
              <w:rPr>
                <w:color w:val="404040"/>
                <w:sz w:val="16"/>
              </w:rPr>
              <w:t>9%</w:t>
            </w:r>
          </w:p>
        </w:tc>
        <w:tc>
          <w:tcPr>
            <w:tcW w:w="1574" w:type="dxa"/>
          </w:tcPr>
          <w:p>
            <w:pPr>
              <w:pStyle w:val="TableParagraph"/>
              <w:spacing w:before="39"/>
              <w:ind w:left="468" w:right="487"/>
              <w:jc w:val="center"/>
              <w:rPr>
                <w:sz w:val="16"/>
              </w:rPr>
            </w:pPr>
            <w:r>
              <w:rPr>
                <w:color w:val="404040"/>
                <w:sz w:val="16"/>
              </w:rPr>
              <w:t>210,000</w:t>
            </w:r>
          </w:p>
        </w:tc>
        <w:tc>
          <w:tcPr>
            <w:tcW w:w="1608" w:type="dxa"/>
            <w:tcBorders>
              <w:right w:val="single" w:sz="4" w:space="0" w:color="DF2F1E"/>
            </w:tcBorders>
          </w:tcPr>
          <w:p>
            <w:pPr>
              <w:pStyle w:val="TableParagraph"/>
              <w:spacing w:before="39"/>
              <w:ind w:left="581" w:right="570"/>
              <w:jc w:val="center"/>
              <w:rPr>
                <w:sz w:val="16"/>
              </w:rPr>
            </w:pPr>
            <w:r>
              <w:rPr>
                <w:color w:val="404040"/>
                <w:sz w:val="16"/>
              </w:rPr>
              <w:t>107%</w:t>
            </w:r>
          </w:p>
        </w:tc>
      </w:tr>
      <w:tr>
        <w:trPr>
          <w:trHeight w:val="263" w:hRule="atLeast"/>
        </w:trPr>
        <w:tc>
          <w:tcPr>
            <w:tcW w:w="3528" w:type="dxa"/>
            <w:tcBorders>
              <w:left w:val="single" w:sz="4" w:space="0" w:color="DF2F1E"/>
            </w:tcBorders>
          </w:tcPr>
          <w:p>
            <w:pPr>
              <w:pStyle w:val="TableParagraph"/>
              <w:ind w:left="287"/>
              <w:rPr>
                <w:b/>
                <w:i/>
                <w:sz w:val="16"/>
              </w:rPr>
            </w:pPr>
            <w:r>
              <w:rPr>
                <w:b/>
                <w:i/>
                <w:color w:val="404040"/>
                <w:sz w:val="16"/>
              </w:rPr>
              <w:t>- Year 11</w:t>
            </w:r>
          </w:p>
        </w:tc>
        <w:tc>
          <w:tcPr>
            <w:tcW w:w="1414" w:type="dxa"/>
          </w:tcPr>
          <w:p>
            <w:pPr>
              <w:pStyle w:val="TableParagraph"/>
              <w:ind w:left="628"/>
              <w:rPr>
                <w:sz w:val="16"/>
              </w:rPr>
            </w:pPr>
            <w:r>
              <w:rPr>
                <w:color w:val="404040"/>
                <w:sz w:val="16"/>
              </w:rPr>
              <w:t>53,000</w:t>
            </w:r>
          </w:p>
        </w:tc>
        <w:tc>
          <w:tcPr>
            <w:tcW w:w="1658" w:type="dxa"/>
          </w:tcPr>
          <w:p>
            <w:pPr>
              <w:pStyle w:val="TableParagraph"/>
              <w:ind w:left="712"/>
              <w:rPr>
                <w:sz w:val="16"/>
              </w:rPr>
            </w:pPr>
            <w:r>
              <w:rPr>
                <w:color w:val="404040"/>
                <w:sz w:val="16"/>
              </w:rPr>
              <w:t>5%</w:t>
            </w:r>
          </w:p>
        </w:tc>
        <w:tc>
          <w:tcPr>
            <w:tcW w:w="1574" w:type="dxa"/>
          </w:tcPr>
          <w:p>
            <w:pPr>
              <w:pStyle w:val="TableParagraph"/>
              <w:ind w:left="468" w:right="487"/>
              <w:jc w:val="center"/>
              <w:rPr>
                <w:sz w:val="16"/>
              </w:rPr>
            </w:pPr>
            <w:r>
              <w:rPr>
                <w:color w:val="404040"/>
                <w:sz w:val="16"/>
              </w:rPr>
              <w:t>203,000</w:t>
            </w:r>
          </w:p>
        </w:tc>
        <w:tc>
          <w:tcPr>
            <w:tcW w:w="1608" w:type="dxa"/>
            <w:tcBorders>
              <w:right w:val="single" w:sz="4" w:space="0" w:color="DF2F1E"/>
            </w:tcBorders>
          </w:tcPr>
          <w:p>
            <w:pPr>
              <w:pStyle w:val="TableParagraph"/>
              <w:ind w:left="581" w:right="570"/>
              <w:jc w:val="center"/>
              <w:rPr>
                <w:sz w:val="16"/>
              </w:rPr>
            </w:pPr>
            <w:r>
              <w:rPr>
                <w:color w:val="404040"/>
                <w:sz w:val="16"/>
              </w:rPr>
              <w:t>103%</w:t>
            </w:r>
          </w:p>
        </w:tc>
      </w:tr>
      <w:tr>
        <w:trPr>
          <w:trHeight w:val="263" w:hRule="atLeast"/>
        </w:trPr>
        <w:tc>
          <w:tcPr>
            <w:tcW w:w="3528" w:type="dxa"/>
            <w:tcBorders>
              <w:left w:val="single" w:sz="4" w:space="0" w:color="DF2F1E"/>
            </w:tcBorders>
          </w:tcPr>
          <w:p>
            <w:pPr>
              <w:pStyle w:val="TableParagraph"/>
              <w:ind w:left="287"/>
              <w:rPr>
                <w:b/>
                <w:i/>
                <w:sz w:val="16"/>
              </w:rPr>
            </w:pPr>
            <w:r>
              <w:rPr>
                <w:b/>
                <w:i/>
                <w:color w:val="404040"/>
                <w:sz w:val="16"/>
              </w:rPr>
              <w:t>- Year 12</w:t>
            </w:r>
          </w:p>
        </w:tc>
        <w:tc>
          <w:tcPr>
            <w:tcW w:w="1414" w:type="dxa"/>
          </w:tcPr>
          <w:p>
            <w:pPr>
              <w:pStyle w:val="TableParagraph"/>
              <w:ind w:left="583"/>
              <w:rPr>
                <w:sz w:val="16"/>
              </w:rPr>
            </w:pPr>
            <w:r>
              <w:rPr>
                <w:color w:val="404040"/>
                <w:sz w:val="16"/>
              </w:rPr>
              <w:t>362,000</w:t>
            </w:r>
          </w:p>
        </w:tc>
        <w:tc>
          <w:tcPr>
            <w:tcW w:w="1658" w:type="dxa"/>
          </w:tcPr>
          <w:p>
            <w:pPr>
              <w:pStyle w:val="TableParagraph"/>
              <w:ind w:left="669"/>
              <w:rPr>
                <w:sz w:val="16"/>
              </w:rPr>
            </w:pPr>
            <w:r>
              <w:rPr>
                <w:color w:val="404040"/>
                <w:sz w:val="16"/>
              </w:rPr>
              <w:t>33%</w:t>
            </w:r>
          </w:p>
        </w:tc>
        <w:tc>
          <w:tcPr>
            <w:tcW w:w="1574" w:type="dxa"/>
          </w:tcPr>
          <w:p>
            <w:pPr>
              <w:pStyle w:val="TableParagraph"/>
              <w:ind w:left="468" w:right="487"/>
              <w:jc w:val="center"/>
              <w:rPr>
                <w:sz w:val="16"/>
              </w:rPr>
            </w:pPr>
            <w:r>
              <w:rPr>
                <w:color w:val="404040"/>
                <w:sz w:val="16"/>
              </w:rPr>
              <w:t>199,000</w:t>
            </w:r>
          </w:p>
        </w:tc>
        <w:tc>
          <w:tcPr>
            <w:tcW w:w="1608" w:type="dxa"/>
            <w:tcBorders>
              <w:right w:val="single" w:sz="4" w:space="0" w:color="DF2F1E"/>
            </w:tcBorders>
          </w:tcPr>
          <w:p>
            <w:pPr>
              <w:pStyle w:val="TableParagraph"/>
              <w:ind w:left="581" w:right="571"/>
              <w:jc w:val="center"/>
              <w:rPr>
                <w:sz w:val="16"/>
              </w:rPr>
            </w:pPr>
            <w:r>
              <w:rPr>
                <w:color w:val="404040"/>
                <w:sz w:val="16"/>
              </w:rPr>
              <w:t>101%</w:t>
            </w:r>
          </w:p>
        </w:tc>
      </w:tr>
      <w:tr>
        <w:trPr>
          <w:trHeight w:val="264" w:hRule="atLeast"/>
        </w:trPr>
        <w:tc>
          <w:tcPr>
            <w:tcW w:w="3528" w:type="dxa"/>
            <w:tcBorders>
              <w:left w:val="single" w:sz="4" w:space="0" w:color="DF2F1E"/>
            </w:tcBorders>
          </w:tcPr>
          <w:p>
            <w:pPr>
              <w:pStyle w:val="TableParagraph"/>
              <w:ind w:left="287"/>
              <w:rPr>
                <w:b/>
                <w:i/>
                <w:sz w:val="16"/>
              </w:rPr>
            </w:pPr>
            <w:r>
              <w:rPr>
                <w:b/>
                <w:i/>
                <w:color w:val="404040"/>
                <w:sz w:val="16"/>
              </w:rPr>
              <w:t>- Certificate</w:t>
            </w:r>
          </w:p>
        </w:tc>
        <w:tc>
          <w:tcPr>
            <w:tcW w:w="1414" w:type="dxa"/>
          </w:tcPr>
          <w:p>
            <w:pPr>
              <w:pStyle w:val="TableParagraph"/>
              <w:ind w:left="583"/>
              <w:rPr>
                <w:sz w:val="16"/>
              </w:rPr>
            </w:pPr>
            <w:r>
              <w:rPr>
                <w:color w:val="404040"/>
                <w:sz w:val="16"/>
              </w:rPr>
              <w:t>243,000</w:t>
            </w:r>
          </w:p>
        </w:tc>
        <w:tc>
          <w:tcPr>
            <w:tcW w:w="1658" w:type="dxa"/>
          </w:tcPr>
          <w:p>
            <w:pPr>
              <w:pStyle w:val="TableParagraph"/>
              <w:ind w:left="669"/>
              <w:rPr>
                <w:sz w:val="16"/>
              </w:rPr>
            </w:pPr>
            <w:r>
              <w:rPr>
                <w:color w:val="404040"/>
                <w:sz w:val="16"/>
              </w:rPr>
              <w:t>22%</w:t>
            </w:r>
          </w:p>
        </w:tc>
        <w:tc>
          <w:tcPr>
            <w:tcW w:w="1574" w:type="dxa"/>
          </w:tcPr>
          <w:p>
            <w:pPr>
              <w:pStyle w:val="TableParagraph"/>
              <w:ind w:left="468" w:right="487"/>
              <w:jc w:val="center"/>
              <w:rPr>
                <w:sz w:val="16"/>
              </w:rPr>
            </w:pPr>
            <w:r>
              <w:rPr>
                <w:color w:val="404040"/>
                <w:sz w:val="16"/>
              </w:rPr>
              <w:t>193,000</w:t>
            </w:r>
          </w:p>
        </w:tc>
        <w:tc>
          <w:tcPr>
            <w:tcW w:w="1608" w:type="dxa"/>
            <w:tcBorders>
              <w:right w:val="single" w:sz="4" w:space="0" w:color="DF2F1E"/>
            </w:tcBorders>
          </w:tcPr>
          <w:p>
            <w:pPr>
              <w:pStyle w:val="TableParagraph"/>
              <w:ind w:left="581" w:right="568"/>
              <w:jc w:val="center"/>
              <w:rPr>
                <w:sz w:val="16"/>
              </w:rPr>
            </w:pPr>
            <w:r>
              <w:rPr>
                <w:color w:val="404040"/>
                <w:sz w:val="16"/>
              </w:rPr>
              <w:t>99%</w:t>
            </w:r>
          </w:p>
        </w:tc>
      </w:tr>
      <w:tr>
        <w:trPr>
          <w:trHeight w:val="264" w:hRule="atLeast"/>
        </w:trPr>
        <w:tc>
          <w:tcPr>
            <w:tcW w:w="3528" w:type="dxa"/>
            <w:tcBorders>
              <w:left w:val="single" w:sz="4" w:space="0" w:color="DF2F1E"/>
            </w:tcBorders>
          </w:tcPr>
          <w:p>
            <w:pPr>
              <w:pStyle w:val="TableParagraph"/>
              <w:ind w:left="287"/>
              <w:rPr>
                <w:b/>
                <w:i/>
                <w:sz w:val="16"/>
              </w:rPr>
            </w:pPr>
            <w:r>
              <w:rPr>
                <w:b/>
                <w:i/>
                <w:color w:val="404040"/>
                <w:sz w:val="16"/>
              </w:rPr>
              <w:t>- Diploma</w:t>
            </w:r>
          </w:p>
        </w:tc>
        <w:tc>
          <w:tcPr>
            <w:tcW w:w="1414" w:type="dxa"/>
          </w:tcPr>
          <w:p>
            <w:pPr>
              <w:pStyle w:val="TableParagraph"/>
              <w:ind w:left="628"/>
              <w:rPr>
                <w:sz w:val="16"/>
              </w:rPr>
            </w:pPr>
            <w:r>
              <w:rPr>
                <w:color w:val="404040"/>
                <w:sz w:val="16"/>
              </w:rPr>
              <w:t>99,000</w:t>
            </w:r>
          </w:p>
        </w:tc>
        <w:tc>
          <w:tcPr>
            <w:tcW w:w="1658" w:type="dxa"/>
          </w:tcPr>
          <w:p>
            <w:pPr>
              <w:pStyle w:val="TableParagraph"/>
              <w:ind w:left="712"/>
              <w:rPr>
                <w:sz w:val="16"/>
              </w:rPr>
            </w:pPr>
            <w:r>
              <w:rPr>
                <w:color w:val="404040"/>
                <w:sz w:val="16"/>
              </w:rPr>
              <w:t>9%</w:t>
            </w:r>
          </w:p>
        </w:tc>
        <w:tc>
          <w:tcPr>
            <w:tcW w:w="1574" w:type="dxa"/>
          </w:tcPr>
          <w:p>
            <w:pPr>
              <w:pStyle w:val="TableParagraph"/>
              <w:ind w:left="468" w:right="487"/>
              <w:jc w:val="center"/>
              <w:rPr>
                <w:sz w:val="16"/>
              </w:rPr>
            </w:pPr>
            <w:r>
              <w:rPr>
                <w:color w:val="404040"/>
                <w:sz w:val="16"/>
              </w:rPr>
              <w:t>193,000</w:t>
            </w:r>
          </w:p>
        </w:tc>
        <w:tc>
          <w:tcPr>
            <w:tcW w:w="1608" w:type="dxa"/>
            <w:tcBorders>
              <w:right w:val="single" w:sz="4" w:space="0" w:color="DF2F1E"/>
            </w:tcBorders>
          </w:tcPr>
          <w:p>
            <w:pPr>
              <w:pStyle w:val="TableParagraph"/>
              <w:ind w:left="581" w:right="568"/>
              <w:jc w:val="center"/>
              <w:rPr>
                <w:sz w:val="16"/>
              </w:rPr>
            </w:pPr>
            <w:r>
              <w:rPr>
                <w:color w:val="404040"/>
                <w:sz w:val="16"/>
              </w:rPr>
              <w:t>98%</w:t>
            </w:r>
          </w:p>
        </w:tc>
      </w:tr>
      <w:tr>
        <w:trPr>
          <w:trHeight w:val="264" w:hRule="atLeast"/>
        </w:trPr>
        <w:tc>
          <w:tcPr>
            <w:tcW w:w="3528" w:type="dxa"/>
            <w:tcBorders>
              <w:left w:val="single" w:sz="4" w:space="0" w:color="DF2F1E"/>
            </w:tcBorders>
          </w:tcPr>
          <w:p>
            <w:pPr>
              <w:pStyle w:val="TableParagraph"/>
              <w:ind w:left="287"/>
              <w:rPr>
                <w:b/>
                <w:i/>
                <w:sz w:val="16"/>
              </w:rPr>
            </w:pPr>
            <w:r>
              <w:rPr>
                <w:b/>
                <w:i/>
                <w:color w:val="404040"/>
                <w:sz w:val="16"/>
              </w:rPr>
              <w:t>- Bachelors</w:t>
            </w:r>
          </w:p>
        </w:tc>
        <w:tc>
          <w:tcPr>
            <w:tcW w:w="1414" w:type="dxa"/>
          </w:tcPr>
          <w:p>
            <w:pPr>
              <w:pStyle w:val="TableParagraph"/>
              <w:ind w:left="583"/>
              <w:rPr>
                <w:sz w:val="16"/>
              </w:rPr>
            </w:pPr>
            <w:r>
              <w:rPr>
                <w:color w:val="404040"/>
                <w:sz w:val="16"/>
              </w:rPr>
              <w:t>206,000</w:t>
            </w:r>
          </w:p>
        </w:tc>
        <w:tc>
          <w:tcPr>
            <w:tcW w:w="1658" w:type="dxa"/>
          </w:tcPr>
          <w:p>
            <w:pPr>
              <w:pStyle w:val="TableParagraph"/>
              <w:ind w:left="669"/>
              <w:rPr>
                <w:sz w:val="16"/>
              </w:rPr>
            </w:pPr>
            <w:r>
              <w:rPr>
                <w:color w:val="404040"/>
                <w:sz w:val="16"/>
              </w:rPr>
              <w:t>19%</w:t>
            </w:r>
          </w:p>
        </w:tc>
        <w:tc>
          <w:tcPr>
            <w:tcW w:w="1574" w:type="dxa"/>
          </w:tcPr>
          <w:p>
            <w:pPr>
              <w:pStyle w:val="TableParagraph"/>
              <w:ind w:left="468" w:right="487"/>
              <w:jc w:val="center"/>
              <w:rPr>
                <w:sz w:val="16"/>
              </w:rPr>
            </w:pPr>
            <w:r>
              <w:rPr>
                <w:color w:val="404040"/>
                <w:sz w:val="16"/>
              </w:rPr>
              <w:t>189,000</w:t>
            </w:r>
          </w:p>
        </w:tc>
        <w:tc>
          <w:tcPr>
            <w:tcW w:w="1608" w:type="dxa"/>
            <w:tcBorders>
              <w:right w:val="single" w:sz="4" w:space="0" w:color="DF2F1E"/>
            </w:tcBorders>
          </w:tcPr>
          <w:p>
            <w:pPr>
              <w:pStyle w:val="TableParagraph"/>
              <w:ind w:left="581" w:right="568"/>
              <w:jc w:val="center"/>
              <w:rPr>
                <w:sz w:val="16"/>
              </w:rPr>
            </w:pPr>
            <w:r>
              <w:rPr>
                <w:color w:val="404040"/>
                <w:sz w:val="16"/>
              </w:rPr>
              <w:t>96%</w:t>
            </w:r>
          </w:p>
        </w:tc>
      </w:tr>
      <w:tr>
        <w:trPr>
          <w:trHeight w:val="264" w:hRule="atLeast"/>
        </w:trPr>
        <w:tc>
          <w:tcPr>
            <w:tcW w:w="3528" w:type="dxa"/>
            <w:tcBorders>
              <w:left w:val="single" w:sz="4" w:space="0" w:color="DF2F1E"/>
              <w:bottom w:val="single" w:sz="4" w:space="0" w:color="DF2F1E"/>
            </w:tcBorders>
          </w:tcPr>
          <w:p>
            <w:pPr>
              <w:pStyle w:val="TableParagraph"/>
              <w:ind w:left="287"/>
              <w:rPr>
                <w:b/>
                <w:i/>
                <w:sz w:val="16"/>
              </w:rPr>
            </w:pPr>
            <w:r>
              <w:rPr>
                <w:b/>
                <w:i/>
                <w:color w:val="404040"/>
                <w:sz w:val="16"/>
              </w:rPr>
              <w:t>- Postgraduate</w:t>
            </w:r>
          </w:p>
        </w:tc>
        <w:tc>
          <w:tcPr>
            <w:tcW w:w="1414" w:type="dxa"/>
            <w:tcBorders>
              <w:bottom w:val="single" w:sz="4" w:space="0" w:color="DF2F1E"/>
            </w:tcBorders>
          </w:tcPr>
          <w:p>
            <w:pPr>
              <w:pStyle w:val="TableParagraph"/>
              <w:ind w:left="628"/>
              <w:rPr>
                <w:sz w:val="16"/>
              </w:rPr>
            </w:pPr>
            <w:r>
              <w:rPr>
                <w:color w:val="404040"/>
                <w:sz w:val="16"/>
              </w:rPr>
              <w:t>25,000</w:t>
            </w:r>
          </w:p>
        </w:tc>
        <w:tc>
          <w:tcPr>
            <w:tcW w:w="1658" w:type="dxa"/>
            <w:tcBorders>
              <w:bottom w:val="single" w:sz="4" w:space="0" w:color="DF2F1E"/>
            </w:tcBorders>
          </w:tcPr>
          <w:p>
            <w:pPr>
              <w:pStyle w:val="TableParagraph"/>
              <w:ind w:left="712"/>
              <w:rPr>
                <w:sz w:val="16"/>
              </w:rPr>
            </w:pPr>
            <w:r>
              <w:rPr>
                <w:color w:val="404040"/>
                <w:sz w:val="16"/>
              </w:rPr>
              <w:t>2%</w:t>
            </w:r>
          </w:p>
        </w:tc>
        <w:tc>
          <w:tcPr>
            <w:tcW w:w="1574" w:type="dxa"/>
            <w:tcBorders>
              <w:bottom w:val="single" w:sz="4" w:space="0" w:color="DF2F1E"/>
            </w:tcBorders>
          </w:tcPr>
          <w:p>
            <w:pPr>
              <w:pStyle w:val="TableParagraph"/>
              <w:ind w:left="468" w:right="487"/>
              <w:jc w:val="center"/>
              <w:rPr>
                <w:sz w:val="16"/>
              </w:rPr>
            </w:pPr>
            <w:r>
              <w:rPr>
                <w:color w:val="404040"/>
                <w:sz w:val="16"/>
              </w:rPr>
              <w:t>190,000</w:t>
            </w:r>
          </w:p>
        </w:tc>
        <w:tc>
          <w:tcPr>
            <w:tcW w:w="1608" w:type="dxa"/>
            <w:tcBorders>
              <w:bottom w:val="single" w:sz="4" w:space="0" w:color="DF2F1E"/>
              <w:right w:val="single" w:sz="4" w:space="0" w:color="DF2F1E"/>
            </w:tcBorders>
          </w:tcPr>
          <w:p>
            <w:pPr>
              <w:pStyle w:val="TableParagraph"/>
              <w:ind w:left="581" w:right="568"/>
              <w:jc w:val="center"/>
              <w:rPr>
                <w:sz w:val="16"/>
              </w:rPr>
            </w:pPr>
            <w:r>
              <w:rPr>
                <w:color w:val="404040"/>
                <w:sz w:val="16"/>
              </w:rPr>
              <w:t>97%</w:t>
            </w:r>
          </w:p>
        </w:tc>
      </w:tr>
      <w:tr>
        <w:trPr>
          <w:trHeight w:val="262" w:hRule="atLeast"/>
        </w:trPr>
        <w:tc>
          <w:tcPr>
            <w:tcW w:w="3528" w:type="dxa"/>
            <w:tcBorders>
              <w:top w:val="single" w:sz="4" w:space="0" w:color="DF2F1E"/>
              <w:left w:val="single" w:sz="4" w:space="0" w:color="DF2F1E"/>
            </w:tcBorders>
          </w:tcPr>
          <w:p>
            <w:pPr>
              <w:pStyle w:val="TableParagraph"/>
              <w:spacing w:before="34"/>
              <w:ind w:left="107"/>
              <w:rPr>
                <w:b/>
                <w:sz w:val="16"/>
              </w:rPr>
            </w:pPr>
            <w:r>
              <w:rPr>
                <w:b/>
                <w:color w:val="404040"/>
                <w:sz w:val="16"/>
              </w:rPr>
              <w:t>Number of children</w:t>
            </w:r>
          </w:p>
        </w:tc>
        <w:tc>
          <w:tcPr>
            <w:tcW w:w="1414" w:type="dxa"/>
            <w:tcBorders>
              <w:top w:val="single" w:sz="4" w:space="0" w:color="DF2F1E"/>
            </w:tcBorders>
          </w:tcPr>
          <w:p>
            <w:pPr>
              <w:pStyle w:val="TableParagraph"/>
              <w:spacing w:before="0"/>
              <w:rPr>
                <w:rFonts w:ascii="Times New Roman"/>
                <w:sz w:val="18"/>
              </w:rPr>
            </w:pPr>
          </w:p>
        </w:tc>
        <w:tc>
          <w:tcPr>
            <w:tcW w:w="1658" w:type="dxa"/>
            <w:tcBorders>
              <w:top w:val="single" w:sz="4" w:space="0" w:color="DF2F1E"/>
            </w:tcBorders>
          </w:tcPr>
          <w:p>
            <w:pPr>
              <w:pStyle w:val="TableParagraph"/>
              <w:spacing w:before="0"/>
              <w:rPr>
                <w:rFonts w:ascii="Times New Roman"/>
                <w:sz w:val="18"/>
              </w:rPr>
            </w:pPr>
          </w:p>
        </w:tc>
        <w:tc>
          <w:tcPr>
            <w:tcW w:w="1574" w:type="dxa"/>
            <w:tcBorders>
              <w:top w:val="single" w:sz="4" w:space="0" w:color="DF2F1E"/>
            </w:tcBorders>
          </w:tcPr>
          <w:p>
            <w:pPr>
              <w:pStyle w:val="TableParagraph"/>
              <w:spacing w:before="0"/>
              <w:rPr>
                <w:rFonts w:ascii="Times New Roman"/>
                <w:sz w:val="18"/>
              </w:rPr>
            </w:pPr>
          </w:p>
        </w:tc>
        <w:tc>
          <w:tcPr>
            <w:tcW w:w="1608" w:type="dxa"/>
            <w:tcBorders>
              <w:top w:val="single" w:sz="4" w:space="0" w:color="DF2F1E"/>
              <w:right w:val="single" w:sz="4" w:space="0" w:color="DF2F1E"/>
            </w:tcBorders>
          </w:tcPr>
          <w:p>
            <w:pPr>
              <w:pStyle w:val="TableParagraph"/>
              <w:spacing w:before="0"/>
              <w:rPr>
                <w:rFonts w:ascii="Times New Roman"/>
                <w:sz w:val="18"/>
              </w:rPr>
            </w:pPr>
          </w:p>
        </w:tc>
      </w:tr>
      <w:tr>
        <w:trPr>
          <w:trHeight w:val="265" w:hRule="atLeast"/>
        </w:trPr>
        <w:tc>
          <w:tcPr>
            <w:tcW w:w="3528" w:type="dxa"/>
            <w:tcBorders>
              <w:left w:val="single" w:sz="4" w:space="0" w:color="DF2F1E"/>
            </w:tcBorders>
          </w:tcPr>
          <w:p>
            <w:pPr>
              <w:pStyle w:val="TableParagraph"/>
              <w:spacing w:before="39"/>
              <w:ind w:left="287"/>
              <w:rPr>
                <w:b/>
                <w:i/>
                <w:sz w:val="16"/>
              </w:rPr>
            </w:pPr>
            <w:r>
              <w:rPr>
                <w:b/>
                <w:i/>
                <w:color w:val="404040"/>
                <w:sz w:val="16"/>
              </w:rPr>
              <w:t>- No children</w:t>
            </w:r>
          </w:p>
        </w:tc>
        <w:tc>
          <w:tcPr>
            <w:tcW w:w="1414" w:type="dxa"/>
          </w:tcPr>
          <w:p>
            <w:pPr>
              <w:pStyle w:val="TableParagraph"/>
              <w:spacing w:before="39"/>
              <w:ind w:left="516"/>
              <w:rPr>
                <w:sz w:val="16"/>
              </w:rPr>
            </w:pPr>
            <w:r>
              <w:rPr>
                <w:color w:val="404040"/>
                <w:sz w:val="16"/>
              </w:rPr>
              <w:t>1,011,000</w:t>
            </w:r>
          </w:p>
        </w:tc>
        <w:tc>
          <w:tcPr>
            <w:tcW w:w="1658" w:type="dxa"/>
          </w:tcPr>
          <w:p>
            <w:pPr>
              <w:pStyle w:val="TableParagraph"/>
              <w:spacing w:before="39"/>
              <w:ind w:left="669"/>
              <w:rPr>
                <w:sz w:val="16"/>
              </w:rPr>
            </w:pPr>
            <w:r>
              <w:rPr>
                <w:color w:val="404040"/>
                <w:sz w:val="16"/>
              </w:rPr>
              <w:t>93%</w:t>
            </w:r>
          </w:p>
        </w:tc>
        <w:tc>
          <w:tcPr>
            <w:tcW w:w="1574" w:type="dxa"/>
          </w:tcPr>
          <w:p>
            <w:pPr>
              <w:pStyle w:val="TableParagraph"/>
              <w:spacing w:before="39"/>
              <w:ind w:left="468" w:right="487"/>
              <w:jc w:val="center"/>
              <w:rPr>
                <w:sz w:val="16"/>
              </w:rPr>
            </w:pPr>
            <w:r>
              <w:rPr>
                <w:color w:val="404040"/>
                <w:sz w:val="16"/>
              </w:rPr>
              <w:t>194,000</w:t>
            </w:r>
          </w:p>
        </w:tc>
        <w:tc>
          <w:tcPr>
            <w:tcW w:w="1608" w:type="dxa"/>
            <w:tcBorders>
              <w:right w:val="single" w:sz="4" w:space="0" w:color="DF2F1E"/>
            </w:tcBorders>
          </w:tcPr>
          <w:p>
            <w:pPr>
              <w:pStyle w:val="TableParagraph"/>
              <w:spacing w:before="39"/>
              <w:ind w:left="581" w:right="568"/>
              <w:jc w:val="center"/>
              <w:rPr>
                <w:sz w:val="16"/>
              </w:rPr>
            </w:pPr>
            <w:r>
              <w:rPr>
                <w:color w:val="404040"/>
                <w:sz w:val="16"/>
              </w:rPr>
              <w:t>99%</w:t>
            </w:r>
          </w:p>
        </w:tc>
      </w:tr>
      <w:tr>
        <w:trPr>
          <w:trHeight w:val="264" w:hRule="atLeast"/>
        </w:trPr>
        <w:tc>
          <w:tcPr>
            <w:tcW w:w="3528" w:type="dxa"/>
            <w:tcBorders>
              <w:left w:val="single" w:sz="4" w:space="0" w:color="DF2F1E"/>
            </w:tcBorders>
          </w:tcPr>
          <w:p>
            <w:pPr>
              <w:pStyle w:val="TableParagraph"/>
              <w:ind w:left="287"/>
              <w:rPr>
                <w:b/>
                <w:i/>
                <w:sz w:val="16"/>
              </w:rPr>
            </w:pPr>
            <w:r>
              <w:rPr>
                <w:b/>
                <w:i/>
                <w:color w:val="404040"/>
                <w:sz w:val="16"/>
              </w:rPr>
              <w:t>- 1 child</w:t>
            </w:r>
          </w:p>
        </w:tc>
        <w:tc>
          <w:tcPr>
            <w:tcW w:w="1414" w:type="dxa"/>
          </w:tcPr>
          <w:p>
            <w:pPr>
              <w:pStyle w:val="TableParagraph"/>
              <w:ind w:left="628"/>
              <w:rPr>
                <w:sz w:val="16"/>
              </w:rPr>
            </w:pPr>
            <w:r>
              <w:rPr>
                <w:color w:val="404040"/>
                <w:sz w:val="16"/>
              </w:rPr>
              <w:t>49,000</w:t>
            </w:r>
          </w:p>
        </w:tc>
        <w:tc>
          <w:tcPr>
            <w:tcW w:w="1658" w:type="dxa"/>
          </w:tcPr>
          <w:p>
            <w:pPr>
              <w:pStyle w:val="TableParagraph"/>
              <w:ind w:left="712"/>
              <w:rPr>
                <w:sz w:val="16"/>
              </w:rPr>
            </w:pPr>
            <w:r>
              <w:rPr>
                <w:color w:val="404040"/>
                <w:sz w:val="16"/>
              </w:rPr>
              <w:t>5%</w:t>
            </w:r>
          </w:p>
        </w:tc>
        <w:tc>
          <w:tcPr>
            <w:tcW w:w="1574" w:type="dxa"/>
          </w:tcPr>
          <w:p>
            <w:pPr>
              <w:pStyle w:val="TableParagraph"/>
              <w:ind w:left="468" w:right="487"/>
              <w:jc w:val="center"/>
              <w:rPr>
                <w:sz w:val="16"/>
              </w:rPr>
            </w:pPr>
            <w:r>
              <w:rPr>
                <w:color w:val="404040"/>
                <w:sz w:val="16"/>
              </w:rPr>
              <w:t>229,000</w:t>
            </w:r>
          </w:p>
        </w:tc>
        <w:tc>
          <w:tcPr>
            <w:tcW w:w="1608" w:type="dxa"/>
            <w:tcBorders>
              <w:right w:val="single" w:sz="4" w:space="0" w:color="DF2F1E"/>
            </w:tcBorders>
          </w:tcPr>
          <w:p>
            <w:pPr>
              <w:pStyle w:val="TableParagraph"/>
              <w:ind w:left="581" w:right="570"/>
              <w:jc w:val="center"/>
              <w:rPr>
                <w:sz w:val="16"/>
              </w:rPr>
            </w:pPr>
            <w:r>
              <w:rPr>
                <w:color w:val="404040"/>
                <w:sz w:val="16"/>
              </w:rPr>
              <w:t>117%</w:t>
            </w:r>
          </w:p>
        </w:tc>
      </w:tr>
      <w:tr>
        <w:trPr>
          <w:trHeight w:val="263" w:hRule="atLeast"/>
        </w:trPr>
        <w:tc>
          <w:tcPr>
            <w:tcW w:w="3528" w:type="dxa"/>
            <w:tcBorders>
              <w:left w:val="single" w:sz="4" w:space="0" w:color="DF2F1E"/>
            </w:tcBorders>
          </w:tcPr>
          <w:p>
            <w:pPr>
              <w:pStyle w:val="TableParagraph"/>
              <w:ind w:left="287"/>
              <w:rPr>
                <w:b/>
                <w:i/>
                <w:sz w:val="16"/>
              </w:rPr>
            </w:pPr>
            <w:r>
              <w:rPr>
                <w:b/>
                <w:i/>
                <w:color w:val="404040"/>
                <w:sz w:val="16"/>
              </w:rPr>
              <w:t>- 2 children</w:t>
            </w:r>
          </w:p>
        </w:tc>
        <w:tc>
          <w:tcPr>
            <w:tcW w:w="1414" w:type="dxa"/>
          </w:tcPr>
          <w:p>
            <w:pPr>
              <w:pStyle w:val="TableParagraph"/>
              <w:ind w:left="628"/>
              <w:rPr>
                <w:sz w:val="16"/>
              </w:rPr>
            </w:pPr>
            <w:r>
              <w:rPr>
                <w:color w:val="404040"/>
                <w:sz w:val="16"/>
              </w:rPr>
              <w:t>21,000</w:t>
            </w:r>
          </w:p>
        </w:tc>
        <w:tc>
          <w:tcPr>
            <w:tcW w:w="1658" w:type="dxa"/>
          </w:tcPr>
          <w:p>
            <w:pPr>
              <w:pStyle w:val="TableParagraph"/>
              <w:ind w:left="712"/>
              <w:rPr>
                <w:sz w:val="16"/>
              </w:rPr>
            </w:pPr>
            <w:r>
              <w:rPr>
                <w:color w:val="404040"/>
                <w:sz w:val="16"/>
              </w:rPr>
              <w:t>2%</w:t>
            </w:r>
          </w:p>
        </w:tc>
        <w:tc>
          <w:tcPr>
            <w:tcW w:w="1574" w:type="dxa"/>
          </w:tcPr>
          <w:p>
            <w:pPr>
              <w:pStyle w:val="TableParagraph"/>
              <w:ind w:left="468" w:right="487"/>
              <w:jc w:val="center"/>
              <w:rPr>
                <w:sz w:val="16"/>
              </w:rPr>
            </w:pPr>
            <w:r>
              <w:rPr>
                <w:color w:val="404040"/>
                <w:sz w:val="16"/>
              </w:rPr>
              <w:t>227,000</w:t>
            </w:r>
          </w:p>
        </w:tc>
        <w:tc>
          <w:tcPr>
            <w:tcW w:w="1608" w:type="dxa"/>
            <w:tcBorders>
              <w:right w:val="single" w:sz="4" w:space="0" w:color="DF2F1E"/>
            </w:tcBorders>
          </w:tcPr>
          <w:p>
            <w:pPr>
              <w:pStyle w:val="TableParagraph"/>
              <w:ind w:left="581" w:right="570"/>
              <w:jc w:val="center"/>
              <w:rPr>
                <w:sz w:val="16"/>
              </w:rPr>
            </w:pPr>
            <w:r>
              <w:rPr>
                <w:color w:val="404040"/>
                <w:sz w:val="16"/>
              </w:rPr>
              <w:t>116%</w:t>
            </w:r>
          </w:p>
        </w:tc>
      </w:tr>
      <w:tr>
        <w:trPr>
          <w:trHeight w:val="264" w:hRule="atLeast"/>
        </w:trPr>
        <w:tc>
          <w:tcPr>
            <w:tcW w:w="3528" w:type="dxa"/>
            <w:tcBorders>
              <w:left w:val="single" w:sz="4" w:space="0" w:color="DF2F1E"/>
              <w:bottom w:val="single" w:sz="4" w:space="0" w:color="DF2F1E"/>
            </w:tcBorders>
          </w:tcPr>
          <w:p>
            <w:pPr>
              <w:pStyle w:val="TableParagraph"/>
              <w:ind w:left="287"/>
              <w:rPr>
                <w:b/>
                <w:i/>
                <w:sz w:val="16"/>
              </w:rPr>
            </w:pPr>
            <w:r>
              <w:rPr>
                <w:b/>
                <w:i/>
                <w:color w:val="404040"/>
                <w:sz w:val="16"/>
              </w:rPr>
              <w:t>- 3+ children</w:t>
            </w:r>
          </w:p>
        </w:tc>
        <w:tc>
          <w:tcPr>
            <w:tcW w:w="1414" w:type="dxa"/>
            <w:tcBorders>
              <w:bottom w:val="single" w:sz="4" w:space="0" w:color="DF2F1E"/>
            </w:tcBorders>
          </w:tcPr>
          <w:p>
            <w:pPr>
              <w:pStyle w:val="TableParagraph"/>
              <w:ind w:left="671"/>
              <w:rPr>
                <w:sz w:val="16"/>
              </w:rPr>
            </w:pPr>
            <w:r>
              <w:rPr>
                <w:color w:val="404040"/>
                <w:sz w:val="16"/>
              </w:rPr>
              <w:t>6,000</w:t>
            </w:r>
          </w:p>
        </w:tc>
        <w:tc>
          <w:tcPr>
            <w:tcW w:w="1658" w:type="dxa"/>
            <w:tcBorders>
              <w:bottom w:val="single" w:sz="4" w:space="0" w:color="DF2F1E"/>
            </w:tcBorders>
          </w:tcPr>
          <w:p>
            <w:pPr>
              <w:pStyle w:val="TableParagraph"/>
              <w:ind w:left="712"/>
              <w:rPr>
                <w:sz w:val="16"/>
              </w:rPr>
            </w:pPr>
            <w:r>
              <w:rPr>
                <w:color w:val="404040"/>
                <w:sz w:val="16"/>
              </w:rPr>
              <w:t>1%</w:t>
            </w:r>
          </w:p>
        </w:tc>
        <w:tc>
          <w:tcPr>
            <w:tcW w:w="1574" w:type="dxa"/>
            <w:tcBorders>
              <w:bottom w:val="single" w:sz="4" w:space="0" w:color="DF2F1E"/>
            </w:tcBorders>
          </w:tcPr>
          <w:p>
            <w:pPr>
              <w:pStyle w:val="TableParagraph"/>
              <w:ind w:left="468" w:right="487"/>
              <w:jc w:val="center"/>
              <w:rPr>
                <w:sz w:val="16"/>
              </w:rPr>
            </w:pPr>
            <w:r>
              <w:rPr>
                <w:color w:val="404040"/>
                <w:sz w:val="16"/>
              </w:rPr>
              <w:t>244,000</w:t>
            </w:r>
          </w:p>
        </w:tc>
        <w:tc>
          <w:tcPr>
            <w:tcW w:w="1608" w:type="dxa"/>
            <w:tcBorders>
              <w:bottom w:val="single" w:sz="4" w:space="0" w:color="DF2F1E"/>
              <w:right w:val="single" w:sz="4" w:space="0" w:color="DF2F1E"/>
            </w:tcBorders>
          </w:tcPr>
          <w:p>
            <w:pPr>
              <w:pStyle w:val="TableParagraph"/>
              <w:ind w:left="581" w:right="570"/>
              <w:jc w:val="center"/>
              <w:rPr>
                <w:sz w:val="16"/>
              </w:rPr>
            </w:pPr>
            <w:r>
              <w:rPr>
                <w:color w:val="404040"/>
                <w:sz w:val="16"/>
              </w:rPr>
              <w:t>125%</w:t>
            </w:r>
          </w:p>
        </w:tc>
      </w:tr>
      <w:tr>
        <w:trPr>
          <w:trHeight w:val="262" w:hRule="atLeast"/>
        </w:trPr>
        <w:tc>
          <w:tcPr>
            <w:tcW w:w="3528" w:type="dxa"/>
            <w:tcBorders>
              <w:top w:val="single" w:sz="4" w:space="0" w:color="DF2F1E"/>
              <w:left w:val="single" w:sz="4" w:space="0" w:color="DF2F1E"/>
            </w:tcBorders>
          </w:tcPr>
          <w:p>
            <w:pPr>
              <w:pStyle w:val="TableParagraph"/>
              <w:spacing w:before="34"/>
              <w:ind w:left="107"/>
              <w:rPr>
                <w:b/>
                <w:sz w:val="16"/>
              </w:rPr>
            </w:pPr>
            <w:r>
              <w:rPr>
                <w:b/>
                <w:color w:val="404040"/>
                <w:sz w:val="16"/>
              </w:rPr>
              <w:t>Geography – socio-economic area grouping</w:t>
            </w:r>
          </w:p>
        </w:tc>
        <w:tc>
          <w:tcPr>
            <w:tcW w:w="1414" w:type="dxa"/>
            <w:tcBorders>
              <w:top w:val="single" w:sz="4" w:space="0" w:color="DF2F1E"/>
            </w:tcBorders>
          </w:tcPr>
          <w:p>
            <w:pPr>
              <w:pStyle w:val="TableParagraph"/>
              <w:spacing w:before="0"/>
              <w:rPr>
                <w:rFonts w:ascii="Times New Roman"/>
                <w:sz w:val="18"/>
              </w:rPr>
            </w:pPr>
          </w:p>
        </w:tc>
        <w:tc>
          <w:tcPr>
            <w:tcW w:w="1658" w:type="dxa"/>
            <w:tcBorders>
              <w:top w:val="single" w:sz="4" w:space="0" w:color="DF2F1E"/>
            </w:tcBorders>
          </w:tcPr>
          <w:p>
            <w:pPr>
              <w:pStyle w:val="TableParagraph"/>
              <w:spacing w:before="0"/>
              <w:rPr>
                <w:rFonts w:ascii="Times New Roman"/>
                <w:sz w:val="18"/>
              </w:rPr>
            </w:pPr>
          </w:p>
        </w:tc>
        <w:tc>
          <w:tcPr>
            <w:tcW w:w="1574" w:type="dxa"/>
            <w:tcBorders>
              <w:top w:val="single" w:sz="4" w:space="0" w:color="DF2F1E"/>
            </w:tcBorders>
          </w:tcPr>
          <w:p>
            <w:pPr>
              <w:pStyle w:val="TableParagraph"/>
              <w:spacing w:before="0"/>
              <w:rPr>
                <w:rFonts w:ascii="Times New Roman"/>
                <w:sz w:val="18"/>
              </w:rPr>
            </w:pPr>
          </w:p>
        </w:tc>
        <w:tc>
          <w:tcPr>
            <w:tcW w:w="1608" w:type="dxa"/>
            <w:tcBorders>
              <w:top w:val="single" w:sz="4" w:space="0" w:color="DF2F1E"/>
              <w:right w:val="single" w:sz="4" w:space="0" w:color="DF2F1E"/>
            </w:tcBorders>
          </w:tcPr>
          <w:p>
            <w:pPr>
              <w:pStyle w:val="TableParagraph"/>
              <w:spacing w:before="0"/>
              <w:rPr>
                <w:rFonts w:ascii="Times New Roman"/>
                <w:sz w:val="18"/>
              </w:rPr>
            </w:pPr>
          </w:p>
        </w:tc>
      </w:tr>
      <w:tr>
        <w:trPr>
          <w:trHeight w:val="265" w:hRule="atLeast"/>
        </w:trPr>
        <w:tc>
          <w:tcPr>
            <w:tcW w:w="3528" w:type="dxa"/>
            <w:tcBorders>
              <w:left w:val="single" w:sz="4" w:space="0" w:color="DF2F1E"/>
            </w:tcBorders>
          </w:tcPr>
          <w:p>
            <w:pPr>
              <w:pStyle w:val="TableParagraph"/>
              <w:spacing w:before="39"/>
              <w:ind w:left="287"/>
              <w:rPr>
                <w:b/>
                <w:i/>
                <w:sz w:val="16"/>
              </w:rPr>
            </w:pPr>
            <w:r>
              <w:rPr>
                <w:b/>
                <w:i/>
                <w:color w:val="404040"/>
                <w:sz w:val="16"/>
              </w:rPr>
              <w:t>- Lowest 20% (most disadvantaged)</w:t>
            </w:r>
          </w:p>
        </w:tc>
        <w:tc>
          <w:tcPr>
            <w:tcW w:w="1414" w:type="dxa"/>
          </w:tcPr>
          <w:p>
            <w:pPr>
              <w:pStyle w:val="TableParagraph"/>
              <w:spacing w:before="39"/>
              <w:ind w:left="583"/>
              <w:rPr>
                <w:sz w:val="16"/>
              </w:rPr>
            </w:pPr>
            <w:r>
              <w:rPr>
                <w:color w:val="404040"/>
                <w:sz w:val="16"/>
              </w:rPr>
              <w:t>157,000</w:t>
            </w:r>
          </w:p>
        </w:tc>
        <w:tc>
          <w:tcPr>
            <w:tcW w:w="1658" w:type="dxa"/>
          </w:tcPr>
          <w:p>
            <w:pPr>
              <w:pStyle w:val="TableParagraph"/>
              <w:spacing w:before="39"/>
              <w:ind w:left="669"/>
              <w:rPr>
                <w:sz w:val="16"/>
              </w:rPr>
            </w:pPr>
            <w:r>
              <w:rPr>
                <w:color w:val="404040"/>
                <w:sz w:val="16"/>
              </w:rPr>
              <w:t>14%</w:t>
            </w:r>
          </w:p>
        </w:tc>
        <w:tc>
          <w:tcPr>
            <w:tcW w:w="1574" w:type="dxa"/>
          </w:tcPr>
          <w:p>
            <w:pPr>
              <w:pStyle w:val="TableParagraph"/>
              <w:spacing w:before="39"/>
              <w:ind w:left="468" w:right="487"/>
              <w:jc w:val="center"/>
              <w:rPr>
                <w:sz w:val="16"/>
              </w:rPr>
            </w:pPr>
            <w:r>
              <w:rPr>
                <w:color w:val="404040"/>
                <w:sz w:val="16"/>
              </w:rPr>
              <w:t>221,000</w:t>
            </w:r>
          </w:p>
        </w:tc>
        <w:tc>
          <w:tcPr>
            <w:tcW w:w="1608" w:type="dxa"/>
            <w:tcBorders>
              <w:right w:val="single" w:sz="4" w:space="0" w:color="DF2F1E"/>
            </w:tcBorders>
          </w:tcPr>
          <w:p>
            <w:pPr>
              <w:pStyle w:val="TableParagraph"/>
              <w:spacing w:before="39"/>
              <w:ind w:left="581" w:right="571"/>
              <w:jc w:val="center"/>
              <w:rPr>
                <w:sz w:val="16"/>
              </w:rPr>
            </w:pPr>
            <w:r>
              <w:rPr>
                <w:color w:val="404040"/>
                <w:sz w:val="16"/>
              </w:rPr>
              <w:t>113%</w:t>
            </w:r>
          </w:p>
        </w:tc>
      </w:tr>
      <w:tr>
        <w:trPr>
          <w:trHeight w:val="263" w:hRule="atLeast"/>
        </w:trPr>
        <w:tc>
          <w:tcPr>
            <w:tcW w:w="3528" w:type="dxa"/>
            <w:tcBorders>
              <w:left w:val="single" w:sz="4" w:space="0" w:color="DF2F1E"/>
            </w:tcBorders>
          </w:tcPr>
          <w:p>
            <w:pPr>
              <w:pStyle w:val="TableParagraph"/>
              <w:ind w:left="287"/>
              <w:rPr>
                <w:b/>
                <w:i/>
                <w:sz w:val="16"/>
              </w:rPr>
            </w:pPr>
            <w:r>
              <w:rPr>
                <w:b/>
                <w:i/>
                <w:color w:val="404040"/>
                <w:sz w:val="16"/>
              </w:rPr>
              <w:t>- 20% to 40%</w:t>
            </w:r>
          </w:p>
        </w:tc>
        <w:tc>
          <w:tcPr>
            <w:tcW w:w="1414" w:type="dxa"/>
          </w:tcPr>
          <w:p>
            <w:pPr>
              <w:pStyle w:val="TableParagraph"/>
              <w:ind w:left="583"/>
              <w:rPr>
                <w:sz w:val="16"/>
              </w:rPr>
            </w:pPr>
            <w:r>
              <w:rPr>
                <w:color w:val="404040"/>
                <w:sz w:val="16"/>
              </w:rPr>
              <w:t>179,000</w:t>
            </w:r>
          </w:p>
        </w:tc>
        <w:tc>
          <w:tcPr>
            <w:tcW w:w="1658" w:type="dxa"/>
          </w:tcPr>
          <w:p>
            <w:pPr>
              <w:pStyle w:val="TableParagraph"/>
              <w:ind w:left="669"/>
              <w:rPr>
                <w:sz w:val="16"/>
              </w:rPr>
            </w:pPr>
            <w:r>
              <w:rPr>
                <w:color w:val="404040"/>
                <w:sz w:val="16"/>
              </w:rPr>
              <w:t>17%</w:t>
            </w:r>
          </w:p>
        </w:tc>
        <w:tc>
          <w:tcPr>
            <w:tcW w:w="1574" w:type="dxa"/>
          </w:tcPr>
          <w:p>
            <w:pPr>
              <w:pStyle w:val="TableParagraph"/>
              <w:ind w:left="468" w:right="487"/>
              <w:jc w:val="center"/>
              <w:rPr>
                <w:sz w:val="16"/>
              </w:rPr>
            </w:pPr>
            <w:r>
              <w:rPr>
                <w:color w:val="404040"/>
                <w:sz w:val="16"/>
              </w:rPr>
              <w:t>209,000</w:t>
            </w:r>
          </w:p>
        </w:tc>
        <w:tc>
          <w:tcPr>
            <w:tcW w:w="1608" w:type="dxa"/>
            <w:tcBorders>
              <w:right w:val="single" w:sz="4" w:space="0" w:color="DF2F1E"/>
            </w:tcBorders>
          </w:tcPr>
          <w:p>
            <w:pPr>
              <w:pStyle w:val="TableParagraph"/>
              <w:ind w:left="581" w:right="571"/>
              <w:jc w:val="center"/>
              <w:rPr>
                <w:sz w:val="16"/>
              </w:rPr>
            </w:pPr>
            <w:r>
              <w:rPr>
                <w:color w:val="404040"/>
                <w:sz w:val="16"/>
              </w:rPr>
              <w:t>106%</w:t>
            </w:r>
          </w:p>
        </w:tc>
      </w:tr>
      <w:tr>
        <w:trPr>
          <w:trHeight w:val="264" w:hRule="atLeast"/>
        </w:trPr>
        <w:tc>
          <w:tcPr>
            <w:tcW w:w="3528" w:type="dxa"/>
            <w:tcBorders>
              <w:left w:val="single" w:sz="4" w:space="0" w:color="DF2F1E"/>
            </w:tcBorders>
          </w:tcPr>
          <w:p>
            <w:pPr>
              <w:pStyle w:val="TableParagraph"/>
              <w:ind w:left="287"/>
              <w:rPr>
                <w:b/>
                <w:i/>
                <w:sz w:val="16"/>
              </w:rPr>
            </w:pPr>
            <w:r>
              <w:rPr>
                <w:b/>
                <w:i/>
                <w:color w:val="404040"/>
                <w:sz w:val="16"/>
              </w:rPr>
              <w:t>- 40% to 60%</w:t>
            </w:r>
          </w:p>
        </w:tc>
        <w:tc>
          <w:tcPr>
            <w:tcW w:w="1414" w:type="dxa"/>
          </w:tcPr>
          <w:p>
            <w:pPr>
              <w:pStyle w:val="TableParagraph"/>
              <w:ind w:left="583"/>
              <w:rPr>
                <w:sz w:val="16"/>
              </w:rPr>
            </w:pPr>
            <w:r>
              <w:rPr>
                <w:color w:val="404040"/>
                <w:sz w:val="16"/>
              </w:rPr>
              <w:t>211,000</w:t>
            </w:r>
          </w:p>
        </w:tc>
        <w:tc>
          <w:tcPr>
            <w:tcW w:w="1658" w:type="dxa"/>
          </w:tcPr>
          <w:p>
            <w:pPr>
              <w:pStyle w:val="TableParagraph"/>
              <w:ind w:left="669"/>
              <w:rPr>
                <w:sz w:val="16"/>
              </w:rPr>
            </w:pPr>
            <w:r>
              <w:rPr>
                <w:color w:val="404040"/>
                <w:sz w:val="16"/>
              </w:rPr>
              <w:t>19%</w:t>
            </w:r>
          </w:p>
        </w:tc>
        <w:tc>
          <w:tcPr>
            <w:tcW w:w="1574" w:type="dxa"/>
          </w:tcPr>
          <w:p>
            <w:pPr>
              <w:pStyle w:val="TableParagraph"/>
              <w:ind w:left="468" w:right="487"/>
              <w:jc w:val="center"/>
              <w:rPr>
                <w:sz w:val="16"/>
              </w:rPr>
            </w:pPr>
            <w:r>
              <w:rPr>
                <w:color w:val="404040"/>
                <w:sz w:val="16"/>
              </w:rPr>
              <w:t>199,000</w:t>
            </w:r>
          </w:p>
        </w:tc>
        <w:tc>
          <w:tcPr>
            <w:tcW w:w="1608" w:type="dxa"/>
            <w:tcBorders>
              <w:right w:val="single" w:sz="4" w:space="0" w:color="DF2F1E"/>
            </w:tcBorders>
          </w:tcPr>
          <w:p>
            <w:pPr>
              <w:pStyle w:val="TableParagraph"/>
              <w:ind w:left="581" w:right="571"/>
              <w:jc w:val="center"/>
              <w:rPr>
                <w:sz w:val="16"/>
              </w:rPr>
            </w:pPr>
            <w:r>
              <w:rPr>
                <w:color w:val="404040"/>
                <w:sz w:val="16"/>
              </w:rPr>
              <w:t>101%</w:t>
            </w:r>
          </w:p>
        </w:tc>
      </w:tr>
      <w:tr>
        <w:trPr>
          <w:trHeight w:val="264" w:hRule="atLeast"/>
        </w:trPr>
        <w:tc>
          <w:tcPr>
            <w:tcW w:w="3528" w:type="dxa"/>
            <w:tcBorders>
              <w:left w:val="single" w:sz="4" w:space="0" w:color="DF2F1E"/>
            </w:tcBorders>
          </w:tcPr>
          <w:p>
            <w:pPr>
              <w:pStyle w:val="TableParagraph"/>
              <w:ind w:left="287"/>
              <w:rPr>
                <w:b/>
                <w:i/>
                <w:sz w:val="16"/>
              </w:rPr>
            </w:pPr>
            <w:r>
              <w:rPr>
                <w:b/>
                <w:i/>
                <w:color w:val="404040"/>
                <w:sz w:val="16"/>
              </w:rPr>
              <w:t>- 60% to 80%</w:t>
            </w:r>
          </w:p>
        </w:tc>
        <w:tc>
          <w:tcPr>
            <w:tcW w:w="1414" w:type="dxa"/>
          </w:tcPr>
          <w:p>
            <w:pPr>
              <w:pStyle w:val="TableParagraph"/>
              <w:ind w:left="583"/>
              <w:rPr>
                <w:sz w:val="16"/>
              </w:rPr>
            </w:pPr>
            <w:r>
              <w:rPr>
                <w:color w:val="404040"/>
                <w:sz w:val="16"/>
              </w:rPr>
              <w:t>252,000</w:t>
            </w:r>
          </w:p>
        </w:tc>
        <w:tc>
          <w:tcPr>
            <w:tcW w:w="1658" w:type="dxa"/>
          </w:tcPr>
          <w:p>
            <w:pPr>
              <w:pStyle w:val="TableParagraph"/>
              <w:ind w:left="669"/>
              <w:rPr>
                <w:sz w:val="16"/>
              </w:rPr>
            </w:pPr>
            <w:r>
              <w:rPr>
                <w:color w:val="404040"/>
                <w:sz w:val="16"/>
              </w:rPr>
              <w:t>23%</w:t>
            </w:r>
          </w:p>
        </w:tc>
        <w:tc>
          <w:tcPr>
            <w:tcW w:w="1574" w:type="dxa"/>
          </w:tcPr>
          <w:p>
            <w:pPr>
              <w:pStyle w:val="TableParagraph"/>
              <w:ind w:left="468" w:right="487"/>
              <w:jc w:val="center"/>
              <w:rPr>
                <w:sz w:val="16"/>
              </w:rPr>
            </w:pPr>
            <w:r>
              <w:rPr>
                <w:color w:val="404040"/>
                <w:sz w:val="16"/>
              </w:rPr>
              <w:t>188,000</w:t>
            </w:r>
          </w:p>
        </w:tc>
        <w:tc>
          <w:tcPr>
            <w:tcW w:w="1608" w:type="dxa"/>
            <w:tcBorders>
              <w:right w:val="single" w:sz="4" w:space="0" w:color="DF2F1E"/>
            </w:tcBorders>
          </w:tcPr>
          <w:p>
            <w:pPr>
              <w:pStyle w:val="TableParagraph"/>
              <w:ind w:left="581" w:right="568"/>
              <w:jc w:val="center"/>
              <w:rPr>
                <w:sz w:val="16"/>
              </w:rPr>
            </w:pPr>
            <w:r>
              <w:rPr>
                <w:color w:val="404040"/>
                <w:sz w:val="16"/>
              </w:rPr>
              <w:t>96%</w:t>
            </w:r>
          </w:p>
        </w:tc>
      </w:tr>
      <w:tr>
        <w:trPr>
          <w:trHeight w:val="264" w:hRule="atLeast"/>
        </w:trPr>
        <w:tc>
          <w:tcPr>
            <w:tcW w:w="3528" w:type="dxa"/>
            <w:tcBorders>
              <w:left w:val="single" w:sz="4" w:space="0" w:color="DF2F1E"/>
              <w:bottom w:val="single" w:sz="4" w:space="0" w:color="DF2F1E"/>
            </w:tcBorders>
          </w:tcPr>
          <w:p>
            <w:pPr>
              <w:pStyle w:val="TableParagraph"/>
              <w:ind w:left="287"/>
              <w:rPr>
                <w:b/>
                <w:i/>
                <w:sz w:val="16"/>
              </w:rPr>
            </w:pPr>
            <w:r>
              <w:rPr>
                <w:b/>
                <w:i/>
                <w:color w:val="404040"/>
                <w:sz w:val="16"/>
              </w:rPr>
              <w:t>- Highest 20% (least disadvantaged)</w:t>
            </w:r>
          </w:p>
        </w:tc>
        <w:tc>
          <w:tcPr>
            <w:tcW w:w="1414" w:type="dxa"/>
            <w:tcBorders>
              <w:bottom w:val="single" w:sz="4" w:space="0" w:color="DF2F1E"/>
            </w:tcBorders>
          </w:tcPr>
          <w:p>
            <w:pPr>
              <w:pStyle w:val="TableParagraph"/>
              <w:ind w:left="583"/>
              <w:rPr>
                <w:sz w:val="16"/>
              </w:rPr>
            </w:pPr>
            <w:r>
              <w:rPr>
                <w:color w:val="404040"/>
                <w:sz w:val="16"/>
              </w:rPr>
              <w:t>286,000</w:t>
            </w:r>
          </w:p>
        </w:tc>
        <w:tc>
          <w:tcPr>
            <w:tcW w:w="1658" w:type="dxa"/>
            <w:tcBorders>
              <w:bottom w:val="single" w:sz="4" w:space="0" w:color="DF2F1E"/>
            </w:tcBorders>
          </w:tcPr>
          <w:p>
            <w:pPr>
              <w:pStyle w:val="TableParagraph"/>
              <w:ind w:left="669"/>
              <w:rPr>
                <w:sz w:val="16"/>
              </w:rPr>
            </w:pPr>
            <w:r>
              <w:rPr>
                <w:color w:val="404040"/>
                <w:sz w:val="16"/>
              </w:rPr>
              <w:t>26%</w:t>
            </w:r>
          </w:p>
        </w:tc>
        <w:tc>
          <w:tcPr>
            <w:tcW w:w="1574" w:type="dxa"/>
            <w:tcBorders>
              <w:bottom w:val="single" w:sz="4" w:space="0" w:color="DF2F1E"/>
            </w:tcBorders>
          </w:tcPr>
          <w:p>
            <w:pPr>
              <w:pStyle w:val="TableParagraph"/>
              <w:ind w:left="468" w:right="487"/>
              <w:jc w:val="center"/>
              <w:rPr>
                <w:sz w:val="16"/>
              </w:rPr>
            </w:pPr>
            <w:r>
              <w:rPr>
                <w:color w:val="404040"/>
                <w:sz w:val="16"/>
              </w:rPr>
              <w:t>180,000</w:t>
            </w:r>
          </w:p>
        </w:tc>
        <w:tc>
          <w:tcPr>
            <w:tcW w:w="1608" w:type="dxa"/>
            <w:tcBorders>
              <w:bottom w:val="single" w:sz="4" w:space="0" w:color="DF2F1E"/>
              <w:right w:val="single" w:sz="4" w:space="0" w:color="DF2F1E"/>
            </w:tcBorders>
          </w:tcPr>
          <w:p>
            <w:pPr>
              <w:pStyle w:val="TableParagraph"/>
              <w:ind w:left="581" w:right="568"/>
              <w:jc w:val="center"/>
              <w:rPr>
                <w:sz w:val="16"/>
              </w:rPr>
            </w:pPr>
            <w:r>
              <w:rPr>
                <w:color w:val="404040"/>
                <w:sz w:val="16"/>
              </w:rPr>
              <w:t>92%</w:t>
            </w:r>
          </w:p>
        </w:tc>
      </w:tr>
    </w:tbl>
    <w:p>
      <w:pPr>
        <w:pStyle w:val="BodyText"/>
        <w:spacing w:before="119"/>
        <w:ind w:left="900"/>
      </w:pPr>
      <w:r>
        <w:rPr>
          <w:color w:val="404040"/>
        </w:rPr>
        <w:t>From the table above we can see that for the rest of the Australian population:</w:t>
      </w:r>
    </w:p>
    <w:p>
      <w:pPr>
        <w:pStyle w:val="ListParagraph"/>
        <w:numPr>
          <w:ilvl w:val="0"/>
          <w:numId w:val="83"/>
        </w:numPr>
        <w:tabs>
          <w:tab w:pos="1184" w:val="left" w:leader="none"/>
        </w:tabs>
        <w:spacing w:line="240" w:lineRule="auto" w:before="122" w:after="0"/>
        <w:ind w:left="1183" w:right="0" w:hanging="284"/>
        <w:jc w:val="left"/>
        <w:rPr>
          <w:rFonts w:ascii="Symbol" w:hAnsi="Symbol"/>
          <w:color w:val="404040"/>
          <w:sz w:val="20"/>
        </w:rPr>
      </w:pPr>
      <w:r>
        <w:rPr>
          <w:color w:val="404040"/>
          <w:sz w:val="20"/>
        </w:rPr>
        <w:t>Partnered individuals have a higher average lifetime cost compared to single</w:t>
      </w:r>
      <w:r>
        <w:rPr>
          <w:color w:val="404040"/>
          <w:spacing w:val="-8"/>
          <w:sz w:val="20"/>
        </w:rPr>
        <w:t> </w:t>
      </w:r>
      <w:r>
        <w:rPr>
          <w:color w:val="404040"/>
          <w:sz w:val="20"/>
        </w:rPr>
        <w:t>individuals.</w:t>
      </w:r>
    </w:p>
    <w:p>
      <w:pPr>
        <w:pStyle w:val="ListParagraph"/>
        <w:numPr>
          <w:ilvl w:val="0"/>
          <w:numId w:val="83"/>
        </w:numPr>
        <w:tabs>
          <w:tab w:pos="1184" w:val="left" w:leader="none"/>
        </w:tabs>
        <w:spacing w:line="240" w:lineRule="auto" w:before="117" w:after="0"/>
        <w:ind w:left="1183" w:right="0" w:hanging="285"/>
        <w:jc w:val="left"/>
        <w:rPr>
          <w:rFonts w:ascii="Symbol" w:hAnsi="Symbol"/>
          <w:color w:val="404040"/>
          <w:sz w:val="20"/>
        </w:rPr>
      </w:pPr>
      <w:r>
        <w:rPr>
          <w:color w:val="404040"/>
          <w:sz w:val="20"/>
        </w:rPr>
        <w:t>In general, those with a lower level of educational attainment have a higher average lifetime</w:t>
      </w:r>
      <w:r>
        <w:rPr>
          <w:color w:val="404040"/>
          <w:spacing w:val="-15"/>
          <w:sz w:val="20"/>
        </w:rPr>
        <w:t> </w:t>
      </w:r>
      <w:r>
        <w:rPr>
          <w:color w:val="404040"/>
          <w:sz w:val="20"/>
        </w:rPr>
        <w:t>cost.</w:t>
      </w:r>
    </w:p>
    <w:p>
      <w:pPr>
        <w:pStyle w:val="BodyText"/>
        <w:spacing w:line="242" w:lineRule="auto" w:before="116"/>
        <w:ind w:left="899" w:right="1499"/>
      </w:pPr>
      <w:r>
        <w:rPr>
          <w:color w:val="404040"/>
        </w:rPr>
        <w:t>Note that the majority of previous welfare recipients do not currently have children. For the relatively small proportion of this class that do currently have children, in general they have a higher average lifetime cost.</w:t>
      </w:r>
    </w:p>
    <w:p>
      <w:pPr>
        <w:pStyle w:val="BodyText"/>
        <w:spacing w:before="117"/>
        <w:ind w:left="899" w:right="1165"/>
      </w:pPr>
      <w:r>
        <w:rPr>
          <w:color w:val="404040"/>
        </w:rPr>
        <w:t>It is likely that there are circumstances (such as levels of income) which explain why there are people in this class who have children but have not used any welfare. This could be thought of as a kind of ‘selection effect’. As such the profile of the people with children and the people without children may be quite different. These profile differences may affect the average costs shown in the table above for people with and without children.</w:t>
      </w:r>
    </w:p>
    <w:p>
      <w:pPr>
        <w:pStyle w:val="BodyText"/>
        <w:spacing w:before="9"/>
      </w:pPr>
    </w:p>
    <w:p>
      <w:pPr>
        <w:pStyle w:val="Heading6"/>
        <w:jc w:val="both"/>
        <w:rPr>
          <w:i/>
        </w:rPr>
      </w:pPr>
      <w:r>
        <w:rPr>
          <w:i/>
          <w:color w:val="DF2F1E"/>
        </w:rPr>
        <w:t>Change in lifetime costs since the 2017 valuation</w:t>
      </w:r>
    </w:p>
    <w:p>
      <w:pPr>
        <w:pStyle w:val="BodyText"/>
        <w:spacing w:before="121"/>
        <w:ind w:left="899" w:right="1144"/>
        <w:jc w:val="both"/>
      </w:pPr>
      <w:r>
        <w:rPr>
          <w:color w:val="404040"/>
        </w:rPr>
        <w:t>The lifetime cost for the people in this class is $2,323bn, a decrease of $385bn compared to the rebased 2017 valuation. This was due to a decrease in the average cost, partially offset by a small increase in the number of people in this class:</w:t>
      </w:r>
    </w:p>
    <w:p>
      <w:pPr>
        <w:pStyle w:val="ListParagraph"/>
        <w:numPr>
          <w:ilvl w:val="0"/>
          <w:numId w:val="83"/>
        </w:numPr>
        <w:tabs>
          <w:tab w:pos="1184" w:val="left" w:leader="none"/>
        </w:tabs>
        <w:spacing w:line="240" w:lineRule="auto" w:before="120" w:after="0"/>
        <w:ind w:left="1183" w:right="1597" w:hanging="284"/>
        <w:jc w:val="left"/>
        <w:rPr>
          <w:rFonts w:ascii="Symbol" w:hAnsi="Symbol"/>
          <w:color w:val="404040"/>
          <w:sz w:val="20"/>
        </w:rPr>
      </w:pPr>
      <w:r>
        <w:rPr>
          <w:color w:val="404040"/>
          <w:sz w:val="20"/>
        </w:rPr>
        <w:t>The number of people in this class has increased by 1.0% since the previous valuation. This is the net impact of births, migration, deaths, and entries into the welfare system over the past</w:t>
      </w:r>
      <w:r>
        <w:rPr>
          <w:color w:val="404040"/>
          <w:spacing w:val="-16"/>
          <w:sz w:val="20"/>
        </w:rPr>
        <w:t> </w:t>
      </w:r>
      <w:r>
        <w:rPr>
          <w:color w:val="404040"/>
          <w:sz w:val="20"/>
        </w:rPr>
        <w:t>year.</w:t>
      </w:r>
    </w:p>
    <w:p>
      <w:pPr>
        <w:pStyle w:val="BodyText"/>
        <w:spacing w:before="79"/>
        <w:ind w:left="1183" w:right="1281"/>
      </w:pPr>
      <w:r>
        <w:rPr>
          <w:color w:val="404040"/>
        </w:rPr>
        <w:t>Although the overall population is growing we would not necessarily expect an increase in the numbers in this class as the longer time period covered by the data means we are now able to identify a greater proportion of previous welfare recipients and assign these people to class 10.</w:t>
      </w:r>
    </w:p>
    <w:p>
      <w:pPr>
        <w:pStyle w:val="ListParagraph"/>
        <w:numPr>
          <w:ilvl w:val="0"/>
          <w:numId w:val="83"/>
        </w:numPr>
        <w:tabs>
          <w:tab w:pos="1184" w:val="left" w:leader="none"/>
        </w:tabs>
        <w:spacing w:line="240" w:lineRule="auto" w:before="120" w:after="0"/>
        <w:ind w:left="1183" w:right="1584" w:hanging="284"/>
        <w:jc w:val="left"/>
        <w:rPr>
          <w:rFonts w:ascii="Symbol" w:hAnsi="Symbol"/>
          <w:color w:val="404040"/>
          <w:sz w:val="20"/>
        </w:rPr>
      </w:pPr>
      <w:r>
        <w:rPr>
          <w:color w:val="404040"/>
          <w:sz w:val="20"/>
        </w:rPr>
        <w:t>The average cost has decreased by $34,000 (15.3%) since the previous valuation. The following table provides a breakdown of the change in average lifetime cost by payment</w:t>
      </w:r>
      <w:r>
        <w:rPr>
          <w:color w:val="404040"/>
          <w:spacing w:val="-12"/>
          <w:sz w:val="20"/>
        </w:rPr>
        <w:t> </w:t>
      </w:r>
      <w:r>
        <w:rPr>
          <w:color w:val="404040"/>
          <w:sz w:val="20"/>
        </w:rPr>
        <w:t>category.</w:t>
      </w:r>
    </w:p>
    <w:p>
      <w:pPr>
        <w:spacing w:after="0" w:line="240" w:lineRule="auto"/>
        <w:jc w:val="left"/>
        <w:rPr>
          <w:rFonts w:ascii="Symbol" w:hAnsi="Symbol"/>
          <w:sz w:val="20"/>
        </w:rPr>
        <w:sectPr>
          <w:pgSz w:w="11910" w:h="16850"/>
          <w:pgMar w:header="572" w:footer="581" w:top="780" w:bottom="780" w:left="120" w:right="0"/>
        </w:sectPr>
      </w:pPr>
    </w:p>
    <w:p>
      <w:pPr>
        <w:pStyle w:val="BodyText"/>
      </w:pPr>
    </w:p>
    <w:p>
      <w:pPr>
        <w:pStyle w:val="BodyText"/>
      </w:pPr>
    </w:p>
    <w:p>
      <w:pPr>
        <w:pStyle w:val="BodyText"/>
        <w:spacing w:before="5"/>
        <w:rPr>
          <w:sz w:val="21"/>
        </w:rPr>
      </w:pPr>
    </w:p>
    <w:p>
      <w:pPr>
        <w:pStyle w:val="Heading9"/>
        <w:spacing w:after="44"/>
      </w:pPr>
      <w:r>
        <w:rPr>
          <w:color w:val="DF2F1E"/>
        </w:rPr>
        <w:t>Table 46: Breakdown of change in average lifetime cost for class 12 by payment category</w:t>
      </w:r>
    </w:p>
    <w:tbl>
      <w:tblPr>
        <w:tblW w:w="0" w:type="auto"/>
        <w:jc w:val="left"/>
        <w:tblInd w:w="1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20"/>
        <w:gridCol w:w="1271"/>
        <w:gridCol w:w="1247"/>
        <w:gridCol w:w="1237"/>
        <w:gridCol w:w="1310"/>
        <w:gridCol w:w="1312"/>
      </w:tblGrid>
      <w:tr>
        <w:trPr>
          <w:trHeight w:val="278" w:hRule="atLeast"/>
        </w:trPr>
        <w:tc>
          <w:tcPr>
            <w:tcW w:w="3120" w:type="dxa"/>
            <w:shd w:val="clear" w:color="auto" w:fill="DF2F1E"/>
          </w:tcPr>
          <w:p>
            <w:pPr>
              <w:pStyle w:val="TableParagraph"/>
              <w:spacing w:before="0"/>
              <w:rPr>
                <w:rFonts w:ascii="Times New Roman"/>
                <w:sz w:val="16"/>
              </w:rPr>
            </w:pPr>
          </w:p>
        </w:tc>
        <w:tc>
          <w:tcPr>
            <w:tcW w:w="1271" w:type="dxa"/>
            <w:shd w:val="clear" w:color="auto" w:fill="DF2F1E"/>
          </w:tcPr>
          <w:p>
            <w:pPr>
              <w:pStyle w:val="TableParagraph"/>
              <w:spacing w:before="0"/>
              <w:rPr>
                <w:rFonts w:ascii="Times New Roman"/>
                <w:sz w:val="16"/>
              </w:rPr>
            </w:pPr>
          </w:p>
        </w:tc>
        <w:tc>
          <w:tcPr>
            <w:tcW w:w="1247" w:type="dxa"/>
            <w:shd w:val="clear" w:color="auto" w:fill="DF2F1E"/>
          </w:tcPr>
          <w:p>
            <w:pPr>
              <w:pStyle w:val="TableParagraph"/>
              <w:spacing w:before="44"/>
              <w:ind w:left="584"/>
              <w:rPr>
                <w:b/>
                <w:sz w:val="16"/>
              </w:rPr>
            </w:pPr>
            <w:r>
              <w:rPr>
                <w:b/>
                <w:color w:val="FFFFFF"/>
                <w:sz w:val="16"/>
              </w:rPr>
              <w:t>Income</w:t>
            </w:r>
          </w:p>
        </w:tc>
        <w:tc>
          <w:tcPr>
            <w:tcW w:w="1237" w:type="dxa"/>
            <w:shd w:val="clear" w:color="auto" w:fill="DF2F1E"/>
          </w:tcPr>
          <w:p>
            <w:pPr>
              <w:pStyle w:val="TableParagraph"/>
              <w:spacing w:before="44"/>
              <w:ind w:left="110"/>
              <w:rPr>
                <w:b/>
                <w:sz w:val="16"/>
              </w:rPr>
            </w:pPr>
            <w:r>
              <w:rPr>
                <w:b/>
                <w:color w:val="FFFFFF"/>
                <w:sz w:val="16"/>
              </w:rPr>
              <w:t>Support</w:t>
            </w:r>
          </w:p>
        </w:tc>
        <w:tc>
          <w:tcPr>
            <w:tcW w:w="1310" w:type="dxa"/>
            <w:shd w:val="clear" w:color="auto" w:fill="DF2F1E"/>
          </w:tcPr>
          <w:p>
            <w:pPr>
              <w:pStyle w:val="TableParagraph"/>
              <w:spacing w:before="44"/>
              <w:ind w:left="291"/>
              <w:rPr>
                <w:b/>
                <w:sz w:val="16"/>
              </w:rPr>
            </w:pPr>
            <w:r>
              <w:rPr>
                <w:b/>
                <w:color w:val="FFFFFF"/>
                <w:sz w:val="16"/>
              </w:rPr>
              <w:t>Non Income</w:t>
            </w:r>
          </w:p>
        </w:tc>
        <w:tc>
          <w:tcPr>
            <w:tcW w:w="1312" w:type="dxa"/>
            <w:shd w:val="clear" w:color="auto" w:fill="DF2F1E"/>
          </w:tcPr>
          <w:p>
            <w:pPr>
              <w:pStyle w:val="TableParagraph"/>
              <w:spacing w:before="40"/>
              <w:ind w:right="525"/>
              <w:jc w:val="right"/>
              <w:rPr>
                <w:b/>
                <w:sz w:val="10"/>
              </w:rPr>
            </w:pPr>
            <w:r>
              <w:rPr>
                <w:b/>
                <w:color w:val="FFFFFF"/>
                <w:sz w:val="16"/>
              </w:rPr>
              <w:t>Support</w:t>
            </w:r>
            <w:r>
              <w:rPr>
                <w:b/>
                <w:color w:val="FFFFFF"/>
                <w:position w:val="6"/>
                <w:sz w:val="10"/>
              </w:rPr>
              <w:t>1</w:t>
            </w:r>
          </w:p>
        </w:tc>
      </w:tr>
      <w:tr>
        <w:trPr>
          <w:trHeight w:val="453" w:hRule="atLeast"/>
        </w:trPr>
        <w:tc>
          <w:tcPr>
            <w:tcW w:w="3120" w:type="dxa"/>
            <w:tcBorders>
              <w:bottom w:val="single" w:sz="4" w:space="0" w:color="FFFFFF"/>
            </w:tcBorders>
            <w:shd w:val="clear" w:color="auto" w:fill="DF2F1E"/>
          </w:tcPr>
          <w:p>
            <w:pPr>
              <w:pStyle w:val="TableParagraph"/>
              <w:spacing w:before="0"/>
              <w:rPr>
                <w:rFonts w:ascii="Times New Roman"/>
                <w:sz w:val="16"/>
              </w:rPr>
            </w:pPr>
          </w:p>
        </w:tc>
        <w:tc>
          <w:tcPr>
            <w:tcW w:w="1271" w:type="dxa"/>
            <w:tcBorders>
              <w:bottom w:val="single" w:sz="4" w:space="0" w:color="FFFFFF"/>
            </w:tcBorders>
            <w:shd w:val="clear" w:color="auto" w:fill="DF2F1E"/>
          </w:tcPr>
          <w:p>
            <w:pPr>
              <w:pStyle w:val="TableParagraph"/>
              <w:spacing w:before="39"/>
              <w:ind w:left="430" w:right="418"/>
              <w:jc w:val="center"/>
              <w:rPr>
                <w:b/>
                <w:sz w:val="16"/>
              </w:rPr>
            </w:pPr>
            <w:r>
              <w:rPr>
                <w:b/>
                <w:color w:val="FFFFFF"/>
                <w:sz w:val="16"/>
              </w:rPr>
              <w:t>Total</w:t>
            </w:r>
          </w:p>
        </w:tc>
        <w:tc>
          <w:tcPr>
            <w:tcW w:w="1247" w:type="dxa"/>
            <w:tcBorders>
              <w:bottom w:val="single" w:sz="4" w:space="0" w:color="FFFFFF"/>
            </w:tcBorders>
            <w:shd w:val="clear" w:color="auto" w:fill="DF2F1E"/>
          </w:tcPr>
          <w:p>
            <w:pPr>
              <w:pStyle w:val="TableParagraph"/>
              <w:spacing w:before="39"/>
              <w:ind w:left="320" w:right="266" w:hanging="17"/>
              <w:rPr>
                <w:b/>
                <w:sz w:val="16"/>
              </w:rPr>
            </w:pPr>
            <w:r>
              <w:rPr>
                <w:b/>
                <w:color w:val="FFFFFF"/>
                <w:sz w:val="16"/>
              </w:rPr>
              <w:t>Non Age Pension</w:t>
            </w:r>
          </w:p>
        </w:tc>
        <w:tc>
          <w:tcPr>
            <w:tcW w:w="1237" w:type="dxa"/>
            <w:tcBorders>
              <w:bottom w:val="single" w:sz="4" w:space="0" w:color="FFFFFF"/>
            </w:tcBorders>
            <w:shd w:val="clear" w:color="auto" w:fill="DF2F1E"/>
          </w:tcPr>
          <w:p>
            <w:pPr>
              <w:pStyle w:val="TableParagraph"/>
              <w:spacing w:before="39"/>
              <w:ind w:left="136"/>
              <w:rPr>
                <w:b/>
                <w:sz w:val="16"/>
              </w:rPr>
            </w:pPr>
            <w:r>
              <w:rPr>
                <w:b/>
                <w:color w:val="FFFFFF"/>
                <w:sz w:val="16"/>
              </w:rPr>
              <w:t>Age Pension</w:t>
            </w:r>
          </w:p>
        </w:tc>
        <w:tc>
          <w:tcPr>
            <w:tcW w:w="1310" w:type="dxa"/>
            <w:tcBorders>
              <w:bottom w:val="single" w:sz="4" w:space="0" w:color="FFFFFF"/>
            </w:tcBorders>
            <w:shd w:val="clear" w:color="auto" w:fill="DF2F1E"/>
          </w:tcPr>
          <w:p>
            <w:pPr>
              <w:pStyle w:val="TableParagraph"/>
              <w:spacing w:before="39"/>
              <w:ind w:left="156" w:right="129" w:firstLine="252"/>
              <w:rPr>
                <w:b/>
                <w:sz w:val="16"/>
              </w:rPr>
            </w:pPr>
            <w:r>
              <w:rPr>
                <w:b/>
                <w:color w:val="FFFFFF"/>
                <w:sz w:val="16"/>
              </w:rPr>
              <w:t>Family Supplements</w:t>
            </w:r>
          </w:p>
        </w:tc>
        <w:tc>
          <w:tcPr>
            <w:tcW w:w="1312" w:type="dxa"/>
            <w:tcBorders>
              <w:bottom w:val="single" w:sz="4" w:space="0" w:color="FFFFFF"/>
            </w:tcBorders>
            <w:shd w:val="clear" w:color="auto" w:fill="DF2F1E"/>
          </w:tcPr>
          <w:p>
            <w:pPr>
              <w:pStyle w:val="TableParagraph"/>
              <w:spacing w:before="39"/>
              <w:ind w:left="159" w:right="128" w:firstLine="288"/>
              <w:rPr>
                <w:b/>
                <w:sz w:val="16"/>
              </w:rPr>
            </w:pPr>
            <w:r>
              <w:rPr>
                <w:b/>
                <w:color w:val="FFFFFF"/>
                <w:sz w:val="16"/>
              </w:rPr>
              <w:t>Other Supplements</w:t>
            </w:r>
          </w:p>
        </w:tc>
      </w:tr>
      <w:tr>
        <w:trPr>
          <w:trHeight w:val="254" w:hRule="atLeast"/>
        </w:trPr>
        <w:tc>
          <w:tcPr>
            <w:tcW w:w="3120" w:type="dxa"/>
            <w:tcBorders>
              <w:top w:val="single" w:sz="4" w:space="0" w:color="FFFFFF"/>
              <w:left w:val="single" w:sz="4" w:space="0" w:color="DF2F1E"/>
              <w:right w:val="single" w:sz="4" w:space="0" w:color="DF2F1E"/>
            </w:tcBorders>
          </w:tcPr>
          <w:p>
            <w:pPr>
              <w:pStyle w:val="TableParagraph"/>
              <w:spacing w:before="34"/>
              <w:ind w:left="107"/>
              <w:rPr>
                <w:b/>
                <w:sz w:val="16"/>
              </w:rPr>
            </w:pPr>
            <w:r>
              <w:rPr>
                <w:b/>
                <w:color w:val="404040"/>
                <w:sz w:val="16"/>
              </w:rPr>
              <w:t>Jun-17 Total Lifetime Cost</w:t>
            </w:r>
          </w:p>
        </w:tc>
        <w:tc>
          <w:tcPr>
            <w:tcW w:w="1271" w:type="dxa"/>
            <w:tcBorders>
              <w:top w:val="single" w:sz="4" w:space="0" w:color="FFFFFF"/>
              <w:left w:val="single" w:sz="4" w:space="0" w:color="DF2F1E"/>
              <w:right w:val="single" w:sz="4" w:space="0" w:color="DF2F1E"/>
            </w:tcBorders>
          </w:tcPr>
          <w:p>
            <w:pPr>
              <w:pStyle w:val="TableParagraph"/>
              <w:ind w:left="15"/>
              <w:jc w:val="center"/>
              <w:rPr>
                <w:sz w:val="16"/>
              </w:rPr>
            </w:pPr>
            <w:r>
              <w:rPr>
                <w:color w:val="404040"/>
                <w:sz w:val="16"/>
              </w:rPr>
              <w:t>$1,812bn</w:t>
            </w:r>
          </w:p>
        </w:tc>
        <w:tc>
          <w:tcPr>
            <w:tcW w:w="5106" w:type="dxa"/>
            <w:gridSpan w:val="4"/>
            <w:vMerge w:val="restart"/>
            <w:tcBorders>
              <w:top w:val="single" w:sz="4" w:space="0" w:color="FFFFFF"/>
              <w:left w:val="single" w:sz="4" w:space="0" w:color="DF2F1E"/>
              <w:bottom w:val="single" w:sz="4" w:space="0" w:color="DF2F1E"/>
              <w:right w:val="single" w:sz="4" w:space="0" w:color="DF2F1E"/>
            </w:tcBorders>
            <w:shd w:val="clear" w:color="auto" w:fill="D9D9D9"/>
          </w:tcPr>
          <w:p>
            <w:pPr>
              <w:pStyle w:val="TableParagraph"/>
              <w:spacing w:before="0"/>
              <w:rPr>
                <w:rFonts w:ascii="Times New Roman"/>
                <w:sz w:val="16"/>
              </w:rPr>
            </w:pPr>
          </w:p>
        </w:tc>
      </w:tr>
      <w:tr>
        <w:trPr>
          <w:trHeight w:val="256" w:hRule="atLeast"/>
        </w:trPr>
        <w:tc>
          <w:tcPr>
            <w:tcW w:w="3120" w:type="dxa"/>
            <w:tcBorders>
              <w:left w:val="single" w:sz="4" w:space="0" w:color="DF2F1E"/>
              <w:right w:val="single" w:sz="4" w:space="0" w:color="DF2F1E"/>
            </w:tcBorders>
          </w:tcPr>
          <w:p>
            <w:pPr>
              <w:pStyle w:val="TableParagraph"/>
              <w:spacing w:before="30"/>
              <w:ind w:left="107"/>
              <w:rPr>
                <w:b/>
                <w:sz w:val="10"/>
              </w:rPr>
            </w:pPr>
            <w:r>
              <w:rPr>
                <w:b/>
                <w:color w:val="404040"/>
                <w:sz w:val="16"/>
              </w:rPr>
              <w:t>Jun-17 Total Lifetime Cost – rebased</w:t>
            </w:r>
            <w:r>
              <w:rPr>
                <w:b/>
                <w:color w:val="404040"/>
                <w:position w:val="6"/>
                <w:sz w:val="10"/>
              </w:rPr>
              <w:t>2</w:t>
            </w:r>
          </w:p>
        </w:tc>
        <w:tc>
          <w:tcPr>
            <w:tcW w:w="1271" w:type="dxa"/>
            <w:tcBorders>
              <w:left w:val="single" w:sz="4" w:space="0" w:color="DF2F1E"/>
              <w:right w:val="single" w:sz="4" w:space="0" w:color="DF2F1E"/>
            </w:tcBorders>
          </w:tcPr>
          <w:p>
            <w:pPr>
              <w:pStyle w:val="TableParagraph"/>
              <w:spacing w:before="36"/>
              <w:ind w:left="15"/>
              <w:jc w:val="center"/>
              <w:rPr>
                <w:sz w:val="16"/>
              </w:rPr>
            </w:pPr>
            <w:r>
              <w:rPr>
                <w:color w:val="404040"/>
                <w:sz w:val="16"/>
              </w:rPr>
              <w:t>$2,708bn</w:t>
            </w:r>
          </w:p>
        </w:tc>
        <w:tc>
          <w:tcPr>
            <w:tcW w:w="5106" w:type="dxa"/>
            <w:gridSpan w:val="4"/>
            <w:vMerge/>
            <w:tcBorders>
              <w:top w:val="nil"/>
              <w:left w:val="single" w:sz="4" w:space="0" w:color="DF2F1E"/>
              <w:bottom w:val="single" w:sz="4" w:space="0" w:color="DF2F1E"/>
              <w:right w:val="single" w:sz="4" w:space="0" w:color="DF2F1E"/>
            </w:tcBorders>
            <w:shd w:val="clear" w:color="auto" w:fill="D9D9D9"/>
          </w:tcPr>
          <w:p>
            <w:pPr>
              <w:rPr>
                <w:sz w:val="2"/>
                <w:szCs w:val="2"/>
              </w:rPr>
            </w:pPr>
          </w:p>
        </w:tc>
      </w:tr>
      <w:tr>
        <w:trPr>
          <w:trHeight w:val="260" w:hRule="atLeast"/>
        </w:trPr>
        <w:tc>
          <w:tcPr>
            <w:tcW w:w="3120" w:type="dxa"/>
            <w:tcBorders>
              <w:left w:val="single" w:sz="4" w:space="0" w:color="DF2F1E"/>
              <w:bottom w:val="single" w:sz="4" w:space="0" w:color="DF2F1E"/>
              <w:right w:val="single" w:sz="4" w:space="0" w:color="DF2F1E"/>
            </w:tcBorders>
          </w:tcPr>
          <w:p>
            <w:pPr>
              <w:pStyle w:val="TableParagraph"/>
              <w:spacing w:before="31"/>
              <w:ind w:left="107"/>
              <w:rPr>
                <w:b/>
                <w:sz w:val="16"/>
              </w:rPr>
            </w:pPr>
            <w:r>
              <w:rPr>
                <w:b/>
                <w:color w:val="404040"/>
                <w:sz w:val="16"/>
              </w:rPr>
              <w:t>Jun-18 Total Lifetime Cost</w:t>
            </w:r>
          </w:p>
        </w:tc>
        <w:tc>
          <w:tcPr>
            <w:tcW w:w="1271" w:type="dxa"/>
            <w:tcBorders>
              <w:left w:val="single" w:sz="4" w:space="0" w:color="DF2F1E"/>
              <w:bottom w:val="single" w:sz="4" w:space="0" w:color="DF2F1E"/>
              <w:right w:val="single" w:sz="4" w:space="0" w:color="DF2F1E"/>
            </w:tcBorders>
          </w:tcPr>
          <w:p>
            <w:pPr>
              <w:pStyle w:val="TableParagraph"/>
              <w:spacing w:before="34"/>
              <w:ind w:left="15"/>
              <w:jc w:val="center"/>
              <w:rPr>
                <w:sz w:val="16"/>
              </w:rPr>
            </w:pPr>
            <w:r>
              <w:rPr>
                <w:color w:val="404040"/>
                <w:sz w:val="16"/>
              </w:rPr>
              <w:t>$2,323bn</w:t>
            </w:r>
          </w:p>
        </w:tc>
        <w:tc>
          <w:tcPr>
            <w:tcW w:w="5106" w:type="dxa"/>
            <w:gridSpan w:val="4"/>
            <w:vMerge/>
            <w:tcBorders>
              <w:top w:val="nil"/>
              <w:left w:val="single" w:sz="4" w:space="0" w:color="DF2F1E"/>
              <w:bottom w:val="single" w:sz="4" w:space="0" w:color="DF2F1E"/>
              <w:right w:val="single" w:sz="4" w:space="0" w:color="DF2F1E"/>
            </w:tcBorders>
            <w:shd w:val="clear" w:color="auto" w:fill="D9D9D9"/>
          </w:tcPr>
          <w:p>
            <w:pPr>
              <w:rPr>
                <w:sz w:val="2"/>
                <w:szCs w:val="2"/>
              </w:rPr>
            </w:pPr>
          </w:p>
        </w:tc>
      </w:tr>
      <w:tr>
        <w:trPr>
          <w:trHeight w:val="263" w:hRule="atLeast"/>
        </w:trPr>
        <w:tc>
          <w:tcPr>
            <w:tcW w:w="3120" w:type="dxa"/>
            <w:tcBorders>
              <w:top w:val="single" w:sz="4" w:space="0" w:color="DF2F1E"/>
              <w:left w:val="single" w:sz="4" w:space="0" w:color="DF2F1E"/>
              <w:bottom w:val="single" w:sz="4" w:space="0" w:color="DF2F1E"/>
              <w:right w:val="single" w:sz="4" w:space="0" w:color="DF2F1E"/>
            </w:tcBorders>
          </w:tcPr>
          <w:p>
            <w:pPr>
              <w:pStyle w:val="TableParagraph"/>
              <w:spacing w:before="31"/>
              <w:ind w:left="107"/>
              <w:rPr>
                <w:b/>
                <w:sz w:val="10"/>
              </w:rPr>
            </w:pPr>
            <w:r>
              <w:rPr>
                <w:b/>
                <w:color w:val="404040"/>
                <w:sz w:val="16"/>
              </w:rPr>
              <w:t>Change in Total Lifetime Cost</w:t>
            </w:r>
            <w:r>
              <w:rPr>
                <w:b/>
                <w:color w:val="404040"/>
                <w:position w:val="6"/>
                <w:sz w:val="10"/>
              </w:rPr>
              <w:t>2</w:t>
            </w:r>
          </w:p>
        </w:tc>
        <w:tc>
          <w:tcPr>
            <w:tcW w:w="1271" w:type="dxa"/>
            <w:tcBorders>
              <w:top w:val="single" w:sz="4" w:space="0" w:color="DF2F1E"/>
              <w:left w:val="single" w:sz="4" w:space="0" w:color="DF2F1E"/>
              <w:bottom w:val="single" w:sz="4" w:space="0" w:color="DF2F1E"/>
              <w:right w:val="single" w:sz="4" w:space="0" w:color="DF2F1E"/>
            </w:tcBorders>
          </w:tcPr>
          <w:p>
            <w:pPr>
              <w:pStyle w:val="TableParagraph"/>
              <w:ind w:left="13"/>
              <w:jc w:val="center"/>
              <w:rPr>
                <w:sz w:val="16"/>
              </w:rPr>
            </w:pPr>
            <w:r>
              <w:rPr>
                <w:color w:val="404040"/>
                <w:sz w:val="16"/>
              </w:rPr>
              <w:t>-$385bn (-14.2%)</w:t>
            </w:r>
          </w:p>
        </w:tc>
        <w:tc>
          <w:tcPr>
            <w:tcW w:w="5106" w:type="dxa"/>
            <w:gridSpan w:val="4"/>
            <w:vMerge/>
            <w:tcBorders>
              <w:top w:val="nil"/>
              <w:left w:val="single" w:sz="4" w:space="0" w:color="DF2F1E"/>
              <w:bottom w:val="single" w:sz="4" w:space="0" w:color="DF2F1E"/>
              <w:right w:val="single" w:sz="4" w:space="0" w:color="DF2F1E"/>
            </w:tcBorders>
            <w:shd w:val="clear" w:color="auto" w:fill="D9D9D9"/>
          </w:tcPr>
          <w:p>
            <w:pPr>
              <w:rPr>
                <w:sz w:val="2"/>
                <w:szCs w:val="2"/>
              </w:rPr>
            </w:pPr>
          </w:p>
        </w:tc>
      </w:tr>
      <w:tr>
        <w:trPr>
          <w:trHeight w:val="265" w:hRule="atLeast"/>
        </w:trPr>
        <w:tc>
          <w:tcPr>
            <w:tcW w:w="3120" w:type="dxa"/>
            <w:tcBorders>
              <w:top w:val="single" w:sz="4" w:space="0" w:color="DF2F1E"/>
              <w:left w:val="single" w:sz="4" w:space="0" w:color="DF2F1E"/>
              <w:bottom w:val="single" w:sz="4" w:space="0" w:color="DF2F1E"/>
              <w:right w:val="single" w:sz="4" w:space="0" w:color="DF2F1E"/>
            </w:tcBorders>
          </w:tcPr>
          <w:p>
            <w:pPr>
              <w:pStyle w:val="TableParagraph"/>
              <w:ind w:left="107"/>
              <w:rPr>
                <w:b/>
                <w:sz w:val="16"/>
              </w:rPr>
            </w:pPr>
            <w:r>
              <w:rPr>
                <w:b/>
                <w:color w:val="404040"/>
                <w:sz w:val="16"/>
              </w:rPr>
              <w:t>Change due to People in Class</w:t>
            </w:r>
          </w:p>
        </w:tc>
        <w:tc>
          <w:tcPr>
            <w:tcW w:w="1271" w:type="dxa"/>
            <w:tcBorders>
              <w:top w:val="single" w:sz="4" w:space="0" w:color="DF2F1E"/>
              <w:left w:val="single" w:sz="4" w:space="0" w:color="DF2F1E"/>
              <w:bottom w:val="single" w:sz="4" w:space="0" w:color="DF2F1E"/>
              <w:right w:val="single" w:sz="4" w:space="0" w:color="DF2F1E"/>
            </w:tcBorders>
          </w:tcPr>
          <w:p>
            <w:pPr>
              <w:pStyle w:val="TableParagraph"/>
              <w:spacing w:before="39"/>
              <w:ind w:left="13"/>
              <w:jc w:val="center"/>
              <w:rPr>
                <w:sz w:val="16"/>
              </w:rPr>
            </w:pPr>
            <w:r>
              <w:rPr>
                <w:color w:val="404040"/>
                <w:sz w:val="16"/>
              </w:rPr>
              <w:t>+1.0%</w:t>
            </w:r>
          </w:p>
        </w:tc>
        <w:tc>
          <w:tcPr>
            <w:tcW w:w="5106" w:type="dxa"/>
            <w:gridSpan w:val="4"/>
            <w:vMerge/>
            <w:tcBorders>
              <w:top w:val="nil"/>
              <w:left w:val="single" w:sz="4" w:space="0" w:color="DF2F1E"/>
              <w:bottom w:val="single" w:sz="4" w:space="0" w:color="DF2F1E"/>
              <w:right w:val="single" w:sz="4" w:space="0" w:color="DF2F1E"/>
            </w:tcBorders>
            <w:shd w:val="clear" w:color="auto" w:fill="D9D9D9"/>
          </w:tcPr>
          <w:p>
            <w:pPr>
              <w:rPr>
                <w:sz w:val="2"/>
                <w:szCs w:val="2"/>
              </w:rPr>
            </w:pPr>
          </w:p>
        </w:tc>
      </w:tr>
      <w:tr>
        <w:trPr>
          <w:trHeight w:val="262" w:hRule="atLeast"/>
        </w:trPr>
        <w:tc>
          <w:tcPr>
            <w:tcW w:w="3120" w:type="dxa"/>
            <w:tcBorders>
              <w:top w:val="single" w:sz="4" w:space="0" w:color="DF2F1E"/>
              <w:left w:val="single" w:sz="4" w:space="0" w:color="DF2F1E"/>
              <w:right w:val="single" w:sz="4" w:space="0" w:color="DF2F1E"/>
            </w:tcBorders>
          </w:tcPr>
          <w:p>
            <w:pPr>
              <w:pStyle w:val="TableParagraph"/>
              <w:spacing w:before="31"/>
              <w:ind w:left="107"/>
              <w:rPr>
                <w:b/>
                <w:sz w:val="10"/>
              </w:rPr>
            </w:pPr>
            <w:r>
              <w:rPr>
                <w:b/>
                <w:color w:val="404040"/>
                <w:sz w:val="16"/>
              </w:rPr>
              <w:t>Change due to Average Lifetime Cost</w:t>
            </w:r>
            <w:r>
              <w:rPr>
                <w:b/>
                <w:color w:val="404040"/>
                <w:position w:val="6"/>
                <w:sz w:val="10"/>
              </w:rPr>
              <w:t>2</w:t>
            </w:r>
          </w:p>
        </w:tc>
        <w:tc>
          <w:tcPr>
            <w:tcW w:w="1271" w:type="dxa"/>
            <w:tcBorders>
              <w:top w:val="single" w:sz="4" w:space="0" w:color="DF2F1E"/>
              <w:left w:val="single" w:sz="4" w:space="0" w:color="DF2F1E"/>
              <w:right w:val="single" w:sz="4" w:space="0" w:color="DF2F1E"/>
            </w:tcBorders>
          </w:tcPr>
          <w:p>
            <w:pPr>
              <w:pStyle w:val="TableParagraph"/>
              <w:ind w:left="15"/>
              <w:jc w:val="center"/>
              <w:rPr>
                <w:sz w:val="16"/>
              </w:rPr>
            </w:pPr>
            <w:r>
              <w:rPr>
                <w:color w:val="404040"/>
                <w:sz w:val="16"/>
              </w:rPr>
              <w:t>-$34k (-15.3%)</w:t>
            </w:r>
          </w:p>
        </w:tc>
        <w:tc>
          <w:tcPr>
            <w:tcW w:w="1247" w:type="dxa"/>
            <w:tcBorders>
              <w:top w:val="single" w:sz="4" w:space="0" w:color="DF2F1E"/>
              <w:left w:val="single" w:sz="4" w:space="0" w:color="DF2F1E"/>
            </w:tcBorders>
          </w:tcPr>
          <w:p>
            <w:pPr>
              <w:pStyle w:val="TableParagraph"/>
              <w:ind w:left="468"/>
              <w:rPr>
                <w:sz w:val="16"/>
              </w:rPr>
            </w:pPr>
            <w:r>
              <w:rPr>
                <w:color w:val="404040"/>
                <w:sz w:val="16"/>
              </w:rPr>
              <w:t>-$9k</w:t>
            </w:r>
          </w:p>
        </w:tc>
        <w:tc>
          <w:tcPr>
            <w:tcW w:w="1237" w:type="dxa"/>
            <w:tcBorders>
              <w:top w:val="single" w:sz="4" w:space="0" w:color="DF2F1E"/>
              <w:right w:val="dashSmallGap" w:sz="4" w:space="0" w:color="DF2F1E"/>
            </w:tcBorders>
          </w:tcPr>
          <w:p>
            <w:pPr>
              <w:pStyle w:val="TableParagraph"/>
              <w:ind w:left="400" w:right="390"/>
              <w:jc w:val="center"/>
              <w:rPr>
                <w:sz w:val="16"/>
              </w:rPr>
            </w:pPr>
            <w:r>
              <w:rPr>
                <w:color w:val="404040"/>
                <w:sz w:val="16"/>
              </w:rPr>
              <w:t>-$19k</w:t>
            </w:r>
          </w:p>
        </w:tc>
        <w:tc>
          <w:tcPr>
            <w:tcW w:w="1310" w:type="dxa"/>
            <w:tcBorders>
              <w:top w:val="single" w:sz="4" w:space="0" w:color="DF2F1E"/>
              <w:left w:val="dashSmallGap" w:sz="4" w:space="0" w:color="DF2F1E"/>
            </w:tcBorders>
          </w:tcPr>
          <w:p>
            <w:pPr>
              <w:pStyle w:val="TableParagraph"/>
              <w:ind w:left="457" w:right="453"/>
              <w:jc w:val="center"/>
              <w:rPr>
                <w:sz w:val="16"/>
              </w:rPr>
            </w:pPr>
            <w:r>
              <w:rPr>
                <w:color w:val="404040"/>
                <w:sz w:val="16"/>
              </w:rPr>
              <w:t>-$3k</w:t>
            </w:r>
          </w:p>
        </w:tc>
        <w:tc>
          <w:tcPr>
            <w:tcW w:w="1312" w:type="dxa"/>
            <w:tcBorders>
              <w:top w:val="single" w:sz="4" w:space="0" w:color="DF2F1E"/>
              <w:right w:val="single" w:sz="4" w:space="0" w:color="DF2F1E"/>
            </w:tcBorders>
          </w:tcPr>
          <w:p>
            <w:pPr>
              <w:pStyle w:val="TableParagraph"/>
              <w:ind w:right="489"/>
              <w:jc w:val="right"/>
              <w:rPr>
                <w:sz w:val="16"/>
              </w:rPr>
            </w:pPr>
            <w:r>
              <w:rPr>
                <w:color w:val="404040"/>
                <w:sz w:val="16"/>
              </w:rPr>
              <w:t>-$3k</w:t>
            </w:r>
          </w:p>
        </w:tc>
      </w:tr>
      <w:tr>
        <w:trPr>
          <w:trHeight w:val="263" w:hRule="atLeast"/>
        </w:trPr>
        <w:tc>
          <w:tcPr>
            <w:tcW w:w="3120" w:type="dxa"/>
            <w:tcBorders>
              <w:left w:val="single" w:sz="4" w:space="0" w:color="DF2F1E"/>
              <w:right w:val="single" w:sz="4" w:space="0" w:color="DF2F1E"/>
            </w:tcBorders>
          </w:tcPr>
          <w:p>
            <w:pPr>
              <w:pStyle w:val="TableParagraph"/>
              <w:spacing w:before="36"/>
              <w:ind w:left="107"/>
              <w:rPr>
                <w:b/>
                <w:sz w:val="16"/>
              </w:rPr>
            </w:pPr>
            <w:r>
              <w:rPr>
                <w:b/>
                <w:color w:val="404040"/>
                <w:sz w:val="16"/>
              </w:rPr>
              <w:t>- Impact of change in inflation</w:t>
            </w:r>
          </w:p>
        </w:tc>
        <w:tc>
          <w:tcPr>
            <w:tcW w:w="1271" w:type="dxa"/>
            <w:tcBorders>
              <w:left w:val="single" w:sz="4" w:space="0" w:color="DF2F1E"/>
              <w:right w:val="single" w:sz="4" w:space="0" w:color="DF2F1E"/>
            </w:tcBorders>
          </w:tcPr>
          <w:p>
            <w:pPr>
              <w:pStyle w:val="TableParagraph"/>
              <w:spacing w:before="39"/>
              <w:ind w:left="15"/>
              <w:jc w:val="center"/>
              <w:rPr>
                <w:sz w:val="16"/>
              </w:rPr>
            </w:pPr>
            <w:r>
              <w:rPr>
                <w:color w:val="404040"/>
                <w:sz w:val="16"/>
              </w:rPr>
              <w:t>+$5k</w:t>
            </w:r>
          </w:p>
        </w:tc>
        <w:tc>
          <w:tcPr>
            <w:tcW w:w="1247" w:type="dxa"/>
            <w:tcBorders>
              <w:left w:val="single" w:sz="4" w:space="0" w:color="DF2F1E"/>
            </w:tcBorders>
          </w:tcPr>
          <w:p>
            <w:pPr>
              <w:pStyle w:val="TableParagraph"/>
              <w:spacing w:before="39"/>
              <w:ind w:left="449"/>
              <w:rPr>
                <w:sz w:val="16"/>
              </w:rPr>
            </w:pPr>
            <w:r>
              <w:rPr>
                <w:color w:val="404040"/>
                <w:sz w:val="16"/>
              </w:rPr>
              <w:t>+$1k</w:t>
            </w:r>
          </w:p>
        </w:tc>
        <w:tc>
          <w:tcPr>
            <w:tcW w:w="1237" w:type="dxa"/>
            <w:tcBorders>
              <w:right w:val="dashSmallGap" w:sz="4" w:space="0" w:color="DF2F1E"/>
            </w:tcBorders>
          </w:tcPr>
          <w:p>
            <w:pPr>
              <w:pStyle w:val="TableParagraph"/>
              <w:spacing w:before="39"/>
              <w:ind w:left="400" w:right="390"/>
              <w:jc w:val="center"/>
              <w:rPr>
                <w:sz w:val="16"/>
              </w:rPr>
            </w:pPr>
            <w:r>
              <w:rPr>
                <w:color w:val="404040"/>
                <w:sz w:val="16"/>
              </w:rPr>
              <w:t>+$3k</w:t>
            </w:r>
          </w:p>
        </w:tc>
        <w:tc>
          <w:tcPr>
            <w:tcW w:w="1310" w:type="dxa"/>
            <w:tcBorders>
              <w:left w:val="dashSmallGap" w:sz="4" w:space="0" w:color="DF2F1E"/>
            </w:tcBorders>
          </w:tcPr>
          <w:p>
            <w:pPr>
              <w:pStyle w:val="TableParagraph"/>
              <w:spacing w:before="39"/>
              <w:ind w:left="460" w:right="453"/>
              <w:jc w:val="center"/>
              <w:rPr>
                <w:sz w:val="16"/>
              </w:rPr>
            </w:pPr>
            <w:r>
              <w:rPr>
                <w:color w:val="A6A6A6"/>
                <w:sz w:val="16"/>
              </w:rPr>
              <w:t>&lt;$1k</w:t>
            </w:r>
          </w:p>
        </w:tc>
        <w:tc>
          <w:tcPr>
            <w:tcW w:w="1312" w:type="dxa"/>
            <w:tcBorders>
              <w:right w:val="single" w:sz="4" w:space="0" w:color="DF2F1E"/>
            </w:tcBorders>
          </w:tcPr>
          <w:p>
            <w:pPr>
              <w:pStyle w:val="TableParagraph"/>
              <w:spacing w:before="39"/>
              <w:ind w:right="468"/>
              <w:jc w:val="right"/>
              <w:rPr>
                <w:sz w:val="16"/>
              </w:rPr>
            </w:pPr>
            <w:r>
              <w:rPr>
                <w:color w:val="A6A6A6"/>
                <w:sz w:val="16"/>
              </w:rPr>
              <w:t>&lt;$1k</w:t>
            </w:r>
          </w:p>
        </w:tc>
      </w:tr>
      <w:tr>
        <w:trPr>
          <w:trHeight w:val="264" w:hRule="atLeast"/>
        </w:trPr>
        <w:tc>
          <w:tcPr>
            <w:tcW w:w="3120" w:type="dxa"/>
            <w:tcBorders>
              <w:left w:val="single" w:sz="4" w:space="0" w:color="DF2F1E"/>
              <w:right w:val="single" w:sz="4" w:space="0" w:color="DF2F1E"/>
            </w:tcBorders>
          </w:tcPr>
          <w:p>
            <w:pPr>
              <w:pStyle w:val="TableParagraph"/>
              <w:spacing w:before="36"/>
              <w:ind w:left="107"/>
              <w:rPr>
                <w:b/>
                <w:sz w:val="16"/>
              </w:rPr>
            </w:pPr>
            <w:r>
              <w:rPr>
                <w:b/>
                <w:color w:val="404040"/>
                <w:sz w:val="16"/>
              </w:rPr>
              <w:t>- Impact of Age Pension forecast</w:t>
            </w:r>
          </w:p>
        </w:tc>
        <w:tc>
          <w:tcPr>
            <w:tcW w:w="1271" w:type="dxa"/>
            <w:tcBorders>
              <w:left w:val="single" w:sz="4" w:space="0" w:color="DF2F1E"/>
              <w:right w:val="single" w:sz="4" w:space="0" w:color="DF2F1E"/>
            </w:tcBorders>
          </w:tcPr>
          <w:p>
            <w:pPr>
              <w:pStyle w:val="TableParagraph"/>
              <w:spacing w:before="39"/>
              <w:ind w:left="13"/>
              <w:jc w:val="center"/>
              <w:rPr>
                <w:sz w:val="16"/>
              </w:rPr>
            </w:pPr>
            <w:r>
              <w:rPr>
                <w:color w:val="404040"/>
                <w:sz w:val="16"/>
              </w:rPr>
              <w:t>-$4k</w:t>
            </w:r>
          </w:p>
        </w:tc>
        <w:tc>
          <w:tcPr>
            <w:tcW w:w="1247" w:type="dxa"/>
            <w:tcBorders>
              <w:left w:val="single" w:sz="4" w:space="0" w:color="DF2F1E"/>
            </w:tcBorders>
          </w:tcPr>
          <w:p>
            <w:pPr>
              <w:pStyle w:val="TableParagraph"/>
              <w:spacing w:before="39"/>
              <w:ind w:left="449"/>
              <w:rPr>
                <w:sz w:val="16"/>
              </w:rPr>
            </w:pPr>
            <w:r>
              <w:rPr>
                <w:color w:val="A6A6A6"/>
                <w:sz w:val="16"/>
              </w:rPr>
              <w:t>&lt;$1k</w:t>
            </w:r>
          </w:p>
        </w:tc>
        <w:tc>
          <w:tcPr>
            <w:tcW w:w="1237" w:type="dxa"/>
            <w:tcBorders>
              <w:right w:val="dashSmallGap" w:sz="4" w:space="0" w:color="DF2F1E"/>
            </w:tcBorders>
          </w:tcPr>
          <w:p>
            <w:pPr>
              <w:pStyle w:val="TableParagraph"/>
              <w:spacing w:before="39"/>
              <w:ind w:left="398" w:right="390"/>
              <w:jc w:val="center"/>
              <w:rPr>
                <w:sz w:val="16"/>
              </w:rPr>
            </w:pPr>
            <w:r>
              <w:rPr>
                <w:color w:val="404040"/>
                <w:sz w:val="16"/>
              </w:rPr>
              <w:t>-$4k</w:t>
            </w:r>
          </w:p>
        </w:tc>
        <w:tc>
          <w:tcPr>
            <w:tcW w:w="1310" w:type="dxa"/>
            <w:tcBorders>
              <w:left w:val="dashSmallGap" w:sz="4" w:space="0" w:color="DF2F1E"/>
            </w:tcBorders>
          </w:tcPr>
          <w:p>
            <w:pPr>
              <w:pStyle w:val="TableParagraph"/>
              <w:spacing w:before="39"/>
              <w:ind w:left="460" w:right="453"/>
              <w:jc w:val="center"/>
              <w:rPr>
                <w:sz w:val="16"/>
              </w:rPr>
            </w:pPr>
            <w:r>
              <w:rPr>
                <w:color w:val="A6A6A6"/>
                <w:sz w:val="16"/>
              </w:rPr>
              <w:t>&lt;$1k</w:t>
            </w:r>
          </w:p>
        </w:tc>
        <w:tc>
          <w:tcPr>
            <w:tcW w:w="1312" w:type="dxa"/>
            <w:tcBorders>
              <w:right w:val="single" w:sz="4" w:space="0" w:color="DF2F1E"/>
            </w:tcBorders>
          </w:tcPr>
          <w:p>
            <w:pPr>
              <w:pStyle w:val="TableParagraph"/>
              <w:spacing w:before="39"/>
              <w:ind w:right="468"/>
              <w:jc w:val="right"/>
              <w:rPr>
                <w:sz w:val="16"/>
              </w:rPr>
            </w:pPr>
            <w:r>
              <w:rPr>
                <w:color w:val="A6A6A6"/>
                <w:sz w:val="16"/>
              </w:rPr>
              <w:t>&lt;$1k</w:t>
            </w:r>
          </w:p>
        </w:tc>
      </w:tr>
      <w:tr>
        <w:trPr>
          <w:trHeight w:val="265" w:hRule="atLeast"/>
        </w:trPr>
        <w:tc>
          <w:tcPr>
            <w:tcW w:w="3120" w:type="dxa"/>
            <w:tcBorders>
              <w:left w:val="single" w:sz="4" w:space="0" w:color="DF2F1E"/>
              <w:bottom w:val="single" w:sz="4" w:space="0" w:color="DF2F1E"/>
              <w:right w:val="single" w:sz="4" w:space="0" w:color="DF2F1E"/>
            </w:tcBorders>
          </w:tcPr>
          <w:p>
            <w:pPr>
              <w:pStyle w:val="TableParagraph"/>
              <w:spacing w:before="36"/>
              <w:ind w:left="107"/>
              <w:rPr>
                <w:b/>
                <w:sz w:val="16"/>
              </w:rPr>
            </w:pPr>
            <w:r>
              <w:rPr>
                <w:b/>
                <w:color w:val="404040"/>
                <w:sz w:val="16"/>
              </w:rPr>
              <w:t>- Impact of other changes</w:t>
            </w:r>
          </w:p>
        </w:tc>
        <w:tc>
          <w:tcPr>
            <w:tcW w:w="1271" w:type="dxa"/>
            <w:tcBorders>
              <w:left w:val="single" w:sz="4" w:space="0" w:color="DF2F1E"/>
              <w:bottom w:val="single" w:sz="4" w:space="0" w:color="DF2F1E"/>
              <w:right w:val="single" w:sz="4" w:space="0" w:color="DF2F1E"/>
            </w:tcBorders>
          </w:tcPr>
          <w:p>
            <w:pPr>
              <w:pStyle w:val="TableParagraph"/>
              <w:spacing w:before="39"/>
              <w:ind w:left="10"/>
              <w:jc w:val="center"/>
              <w:rPr>
                <w:sz w:val="16"/>
              </w:rPr>
            </w:pPr>
            <w:r>
              <w:rPr>
                <w:color w:val="404040"/>
                <w:sz w:val="16"/>
              </w:rPr>
              <w:t>-$35k</w:t>
            </w:r>
          </w:p>
        </w:tc>
        <w:tc>
          <w:tcPr>
            <w:tcW w:w="1247" w:type="dxa"/>
            <w:tcBorders>
              <w:left w:val="single" w:sz="4" w:space="0" w:color="DF2F1E"/>
              <w:bottom w:val="single" w:sz="4" w:space="0" w:color="DF2F1E"/>
            </w:tcBorders>
          </w:tcPr>
          <w:p>
            <w:pPr>
              <w:pStyle w:val="TableParagraph"/>
              <w:spacing w:before="39"/>
              <w:ind w:left="425"/>
              <w:rPr>
                <w:sz w:val="16"/>
              </w:rPr>
            </w:pPr>
            <w:r>
              <w:rPr>
                <w:color w:val="404040"/>
                <w:sz w:val="16"/>
              </w:rPr>
              <w:t>-$11k</w:t>
            </w:r>
          </w:p>
        </w:tc>
        <w:tc>
          <w:tcPr>
            <w:tcW w:w="1237" w:type="dxa"/>
            <w:tcBorders>
              <w:bottom w:val="single" w:sz="4" w:space="0" w:color="DF2F1E"/>
              <w:right w:val="dashSmallGap" w:sz="4" w:space="0" w:color="DF2F1E"/>
            </w:tcBorders>
          </w:tcPr>
          <w:p>
            <w:pPr>
              <w:pStyle w:val="TableParagraph"/>
              <w:spacing w:before="39"/>
              <w:ind w:left="400" w:right="390"/>
              <w:jc w:val="center"/>
              <w:rPr>
                <w:sz w:val="16"/>
              </w:rPr>
            </w:pPr>
            <w:r>
              <w:rPr>
                <w:color w:val="404040"/>
                <w:sz w:val="16"/>
              </w:rPr>
              <w:t>-$18k</w:t>
            </w:r>
          </w:p>
        </w:tc>
        <w:tc>
          <w:tcPr>
            <w:tcW w:w="1310" w:type="dxa"/>
            <w:tcBorders>
              <w:left w:val="dashSmallGap" w:sz="4" w:space="0" w:color="DF2F1E"/>
              <w:bottom w:val="single" w:sz="4" w:space="0" w:color="DF2F1E"/>
            </w:tcBorders>
          </w:tcPr>
          <w:p>
            <w:pPr>
              <w:pStyle w:val="TableParagraph"/>
              <w:spacing w:before="39"/>
              <w:ind w:left="457" w:right="453"/>
              <w:jc w:val="center"/>
              <w:rPr>
                <w:sz w:val="16"/>
              </w:rPr>
            </w:pPr>
            <w:r>
              <w:rPr>
                <w:color w:val="404040"/>
                <w:sz w:val="16"/>
              </w:rPr>
              <w:t>-$3k</w:t>
            </w:r>
          </w:p>
        </w:tc>
        <w:tc>
          <w:tcPr>
            <w:tcW w:w="1312" w:type="dxa"/>
            <w:tcBorders>
              <w:bottom w:val="single" w:sz="4" w:space="0" w:color="DF2F1E"/>
              <w:right w:val="single" w:sz="4" w:space="0" w:color="DF2F1E"/>
            </w:tcBorders>
          </w:tcPr>
          <w:p>
            <w:pPr>
              <w:pStyle w:val="TableParagraph"/>
              <w:spacing w:before="39"/>
              <w:ind w:right="490"/>
              <w:jc w:val="right"/>
              <w:rPr>
                <w:sz w:val="16"/>
              </w:rPr>
            </w:pPr>
            <w:r>
              <w:rPr>
                <w:color w:val="404040"/>
                <w:sz w:val="16"/>
              </w:rPr>
              <w:t>-$3k</w:t>
            </w:r>
          </w:p>
        </w:tc>
      </w:tr>
    </w:tbl>
    <w:p>
      <w:pPr>
        <w:spacing w:before="78"/>
        <w:ind w:left="900" w:right="0" w:firstLine="0"/>
        <w:jc w:val="left"/>
        <w:rPr>
          <w:sz w:val="16"/>
        </w:rPr>
      </w:pPr>
      <w:r>
        <w:rPr>
          <w:color w:val="DF2F1E"/>
          <w:sz w:val="16"/>
        </w:rPr>
        <w:t>Notes:</w:t>
      </w:r>
    </w:p>
    <w:p>
      <w:pPr>
        <w:pStyle w:val="ListParagraph"/>
        <w:numPr>
          <w:ilvl w:val="0"/>
          <w:numId w:val="84"/>
        </w:numPr>
        <w:tabs>
          <w:tab w:pos="1619" w:val="left" w:leader="none"/>
          <w:tab w:pos="1621" w:val="left" w:leader="none"/>
        </w:tabs>
        <w:spacing w:line="240" w:lineRule="auto" w:before="80" w:after="0"/>
        <w:ind w:left="1620" w:right="1555" w:hanging="361"/>
        <w:jc w:val="left"/>
        <w:rPr>
          <w:sz w:val="16"/>
        </w:rPr>
      </w:pPr>
      <w:r>
        <w:rPr>
          <w:color w:val="DF2F1E"/>
          <w:sz w:val="16"/>
        </w:rPr>
        <w:t>Note that payment categories H, I and J have been included in family supplements and the remaining non income support payment categories in other</w:t>
      </w:r>
      <w:r>
        <w:rPr>
          <w:color w:val="DF2F1E"/>
          <w:spacing w:val="-3"/>
          <w:sz w:val="16"/>
        </w:rPr>
        <w:t> </w:t>
      </w:r>
      <w:r>
        <w:rPr>
          <w:color w:val="DF2F1E"/>
          <w:sz w:val="16"/>
        </w:rPr>
        <w:t>supplements.</w:t>
      </w:r>
    </w:p>
    <w:p>
      <w:pPr>
        <w:pStyle w:val="ListParagraph"/>
        <w:numPr>
          <w:ilvl w:val="0"/>
          <w:numId w:val="84"/>
        </w:numPr>
        <w:tabs>
          <w:tab w:pos="1620" w:val="left" w:leader="none"/>
          <w:tab w:pos="1621" w:val="left" w:leader="none"/>
        </w:tabs>
        <w:spacing w:line="240" w:lineRule="auto" w:before="80" w:after="0"/>
        <w:ind w:left="1620" w:right="1483" w:hanging="361"/>
        <w:jc w:val="left"/>
        <w:rPr>
          <w:sz w:val="16"/>
        </w:rPr>
      </w:pPr>
      <w:r>
        <w:rPr>
          <w:color w:val="DF2F1E"/>
          <w:sz w:val="16"/>
        </w:rPr>
        <w:t>The June 2017 rebased Lifetime Cost represents a recalculation of the June 2017 lifetime cost, but using a discount rate of 5% p.a. for consistency with the June 2018 results. All changes are shown relative to this rebased lifetime</w:t>
      </w:r>
      <w:r>
        <w:rPr>
          <w:color w:val="DF2F1E"/>
          <w:spacing w:val="-33"/>
          <w:sz w:val="16"/>
        </w:rPr>
        <w:t> </w:t>
      </w:r>
      <w:r>
        <w:rPr>
          <w:color w:val="DF2F1E"/>
          <w:sz w:val="16"/>
        </w:rPr>
        <w:t>cost.</w:t>
      </w:r>
    </w:p>
    <w:p>
      <w:pPr>
        <w:pStyle w:val="BodyText"/>
        <w:spacing w:before="121"/>
        <w:ind w:left="900"/>
      </w:pPr>
      <w:r>
        <w:rPr>
          <w:color w:val="404040"/>
        </w:rPr>
        <w:t>The decrease in average cost is driven by:</w:t>
      </w:r>
    </w:p>
    <w:p>
      <w:pPr>
        <w:pStyle w:val="ListParagraph"/>
        <w:numPr>
          <w:ilvl w:val="0"/>
          <w:numId w:val="83"/>
        </w:numPr>
        <w:tabs>
          <w:tab w:pos="1184" w:val="left" w:leader="none"/>
        </w:tabs>
        <w:spacing w:line="240" w:lineRule="auto" w:before="118" w:after="0"/>
        <w:ind w:left="1183" w:right="0" w:hanging="284"/>
        <w:jc w:val="left"/>
        <w:rPr>
          <w:rFonts w:ascii="Symbol" w:hAnsi="Symbol"/>
          <w:sz w:val="20"/>
        </w:rPr>
      </w:pPr>
      <w:r>
        <w:rPr>
          <w:color w:val="404040"/>
          <w:sz w:val="20"/>
        </w:rPr>
        <w:t>a decrease of the projected use of pre-retirement income</w:t>
      </w:r>
      <w:r>
        <w:rPr>
          <w:color w:val="404040"/>
          <w:spacing w:val="-2"/>
          <w:sz w:val="20"/>
        </w:rPr>
        <w:t> </w:t>
      </w:r>
      <w:r>
        <w:rPr>
          <w:color w:val="404040"/>
          <w:sz w:val="20"/>
        </w:rPr>
        <w:t>support;</w:t>
      </w:r>
    </w:p>
    <w:p>
      <w:pPr>
        <w:pStyle w:val="ListParagraph"/>
        <w:numPr>
          <w:ilvl w:val="0"/>
          <w:numId w:val="83"/>
        </w:numPr>
        <w:tabs>
          <w:tab w:pos="1184" w:val="left" w:leader="none"/>
        </w:tabs>
        <w:spacing w:line="240" w:lineRule="auto" w:before="118" w:after="0"/>
        <w:ind w:left="1183" w:right="0" w:hanging="284"/>
        <w:jc w:val="left"/>
        <w:rPr>
          <w:rFonts w:ascii="Symbol" w:hAnsi="Symbol"/>
          <w:sz w:val="20"/>
        </w:rPr>
      </w:pPr>
      <w:r>
        <w:rPr>
          <w:color w:val="404040"/>
          <w:sz w:val="20"/>
        </w:rPr>
        <w:t>a flow on decrease to the likelihood of subsequently transitioning to Age</w:t>
      </w:r>
      <w:r>
        <w:rPr>
          <w:color w:val="404040"/>
          <w:spacing w:val="-8"/>
          <w:sz w:val="20"/>
        </w:rPr>
        <w:t> </w:t>
      </w:r>
      <w:r>
        <w:rPr>
          <w:color w:val="404040"/>
          <w:sz w:val="20"/>
        </w:rPr>
        <w:t>Pension;</w:t>
      </w:r>
    </w:p>
    <w:p>
      <w:pPr>
        <w:pStyle w:val="ListParagraph"/>
        <w:numPr>
          <w:ilvl w:val="0"/>
          <w:numId w:val="83"/>
        </w:numPr>
        <w:tabs>
          <w:tab w:pos="1184" w:val="left" w:leader="none"/>
        </w:tabs>
        <w:spacing w:line="240" w:lineRule="auto" w:before="120" w:after="0"/>
        <w:ind w:left="1183" w:right="0" w:hanging="284"/>
        <w:jc w:val="left"/>
        <w:rPr>
          <w:rFonts w:ascii="Symbol" w:hAnsi="Symbol"/>
          <w:sz w:val="20"/>
        </w:rPr>
      </w:pPr>
      <w:r>
        <w:rPr>
          <w:color w:val="404040"/>
          <w:sz w:val="20"/>
        </w:rPr>
        <w:t>a further decrease in projected Age Pension use as a result of the change to the Age Pension forecast;</w:t>
      </w:r>
      <w:r>
        <w:rPr>
          <w:color w:val="404040"/>
          <w:spacing w:val="-19"/>
          <w:sz w:val="20"/>
        </w:rPr>
        <w:t> </w:t>
      </w:r>
      <w:r>
        <w:rPr>
          <w:color w:val="404040"/>
          <w:sz w:val="20"/>
        </w:rPr>
        <w:t>and</w:t>
      </w:r>
    </w:p>
    <w:p>
      <w:pPr>
        <w:pStyle w:val="ListParagraph"/>
        <w:numPr>
          <w:ilvl w:val="0"/>
          <w:numId w:val="83"/>
        </w:numPr>
        <w:tabs>
          <w:tab w:pos="1185" w:val="left" w:leader="none"/>
        </w:tabs>
        <w:spacing w:line="240" w:lineRule="auto" w:before="117" w:after="0"/>
        <w:ind w:left="1184" w:right="1132" w:hanging="284"/>
        <w:jc w:val="left"/>
        <w:rPr>
          <w:rFonts w:ascii="Symbol" w:hAnsi="Symbol"/>
          <w:sz w:val="20"/>
        </w:rPr>
      </w:pPr>
      <w:r>
        <w:rPr>
          <w:color w:val="404040"/>
          <w:sz w:val="20"/>
        </w:rPr>
        <w:t>a</w:t>
      </w:r>
      <w:r>
        <w:rPr>
          <w:color w:val="404040"/>
          <w:spacing w:val="-4"/>
          <w:sz w:val="20"/>
        </w:rPr>
        <w:t> </w:t>
      </w:r>
      <w:r>
        <w:rPr>
          <w:color w:val="404040"/>
          <w:sz w:val="20"/>
        </w:rPr>
        <w:t>decrease</w:t>
      </w:r>
      <w:r>
        <w:rPr>
          <w:color w:val="404040"/>
          <w:spacing w:val="-2"/>
          <w:sz w:val="20"/>
        </w:rPr>
        <w:t> </w:t>
      </w:r>
      <w:r>
        <w:rPr>
          <w:color w:val="404040"/>
          <w:sz w:val="20"/>
        </w:rPr>
        <w:t>in</w:t>
      </w:r>
      <w:r>
        <w:rPr>
          <w:color w:val="404040"/>
          <w:spacing w:val="-1"/>
          <w:sz w:val="20"/>
        </w:rPr>
        <w:t> </w:t>
      </w:r>
      <w:r>
        <w:rPr>
          <w:color w:val="404040"/>
          <w:sz w:val="20"/>
        </w:rPr>
        <w:t>the</w:t>
      </w:r>
      <w:r>
        <w:rPr>
          <w:color w:val="404040"/>
          <w:spacing w:val="-2"/>
          <w:sz w:val="20"/>
        </w:rPr>
        <w:t> </w:t>
      </w:r>
      <w:r>
        <w:rPr>
          <w:color w:val="404040"/>
          <w:sz w:val="20"/>
        </w:rPr>
        <w:t>projected</w:t>
      </w:r>
      <w:r>
        <w:rPr>
          <w:color w:val="404040"/>
          <w:spacing w:val="-2"/>
          <w:sz w:val="20"/>
        </w:rPr>
        <w:t> </w:t>
      </w:r>
      <w:r>
        <w:rPr>
          <w:color w:val="404040"/>
          <w:sz w:val="20"/>
        </w:rPr>
        <w:t>utilisation</w:t>
      </w:r>
      <w:r>
        <w:rPr>
          <w:color w:val="404040"/>
          <w:spacing w:val="-3"/>
          <w:sz w:val="20"/>
        </w:rPr>
        <w:t> </w:t>
      </w:r>
      <w:r>
        <w:rPr>
          <w:color w:val="404040"/>
          <w:sz w:val="20"/>
        </w:rPr>
        <w:t>of</w:t>
      </w:r>
      <w:r>
        <w:rPr>
          <w:color w:val="404040"/>
          <w:spacing w:val="-2"/>
          <w:sz w:val="20"/>
        </w:rPr>
        <w:t> </w:t>
      </w:r>
      <w:r>
        <w:rPr>
          <w:color w:val="404040"/>
          <w:sz w:val="20"/>
        </w:rPr>
        <w:t>both</w:t>
      </w:r>
      <w:r>
        <w:rPr>
          <w:color w:val="404040"/>
          <w:spacing w:val="-3"/>
          <w:sz w:val="20"/>
        </w:rPr>
        <w:t> </w:t>
      </w:r>
      <w:r>
        <w:rPr>
          <w:color w:val="404040"/>
          <w:sz w:val="20"/>
        </w:rPr>
        <w:t>family</w:t>
      </w:r>
      <w:r>
        <w:rPr>
          <w:color w:val="404040"/>
          <w:spacing w:val="-7"/>
          <w:sz w:val="20"/>
        </w:rPr>
        <w:t> </w:t>
      </w:r>
      <w:r>
        <w:rPr>
          <w:color w:val="404040"/>
          <w:sz w:val="20"/>
        </w:rPr>
        <w:t>supplements</w:t>
      </w:r>
      <w:r>
        <w:rPr>
          <w:color w:val="404040"/>
          <w:spacing w:val="-2"/>
          <w:sz w:val="20"/>
        </w:rPr>
        <w:t> </w:t>
      </w:r>
      <w:r>
        <w:rPr>
          <w:color w:val="404040"/>
          <w:sz w:val="20"/>
        </w:rPr>
        <w:t>and</w:t>
      </w:r>
      <w:r>
        <w:rPr>
          <w:color w:val="404040"/>
          <w:spacing w:val="-4"/>
          <w:sz w:val="20"/>
        </w:rPr>
        <w:t> </w:t>
      </w:r>
      <w:r>
        <w:rPr>
          <w:color w:val="404040"/>
          <w:sz w:val="20"/>
        </w:rPr>
        <w:t>other</w:t>
      </w:r>
      <w:r>
        <w:rPr>
          <w:color w:val="404040"/>
          <w:spacing w:val="-2"/>
          <w:sz w:val="20"/>
        </w:rPr>
        <w:t> </w:t>
      </w:r>
      <w:r>
        <w:rPr>
          <w:color w:val="404040"/>
          <w:sz w:val="20"/>
        </w:rPr>
        <w:t>supplements,</w:t>
      </w:r>
      <w:r>
        <w:rPr>
          <w:color w:val="404040"/>
          <w:spacing w:val="-4"/>
          <w:sz w:val="20"/>
        </w:rPr>
        <w:t> </w:t>
      </w:r>
      <w:r>
        <w:rPr>
          <w:color w:val="404040"/>
          <w:sz w:val="20"/>
        </w:rPr>
        <w:t>in</w:t>
      </w:r>
      <w:r>
        <w:rPr>
          <w:color w:val="404040"/>
          <w:spacing w:val="-3"/>
          <w:sz w:val="20"/>
        </w:rPr>
        <w:t> </w:t>
      </w:r>
      <w:r>
        <w:rPr>
          <w:color w:val="404040"/>
          <w:sz w:val="20"/>
        </w:rPr>
        <w:t>part</w:t>
      </w:r>
      <w:r>
        <w:rPr>
          <w:color w:val="404040"/>
          <w:spacing w:val="-2"/>
          <w:sz w:val="20"/>
        </w:rPr>
        <w:t> </w:t>
      </w:r>
      <w:r>
        <w:rPr>
          <w:color w:val="404040"/>
          <w:sz w:val="20"/>
        </w:rPr>
        <w:t>as</w:t>
      </w:r>
      <w:r>
        <w:rPr>
          <w:color w:val="404040"/>
          <w:spacing w:val="-3"/>
          <w:sz w:val="20"/>
        </w:rPr>
        <w:t> </w:t>
      </w:r>
      <w:r>
        <w:rPr>
          <w:color w:val="404040"/>
          <w:sz w:val="20"/>
        </w:rPr>
        <w:t>a</w:t>
      </w:r>
      <w:r>
        <w:rPr>
          <w:color w:val="404040"/>
          <w:spacing w:val="-3"/>
          <w:sz w:val="20"/>
        </w:rPr>
        <w:t> </w:t>
      </w:r>
      <w:r>
        <w:rPr>
          <w:color w:val="404040"/>
          <w:sz w:val="20"/>
        </w:rPr>
        <w:t>result of a decrease in projected</w:t>
      </w:r>
      <w:r>
        <w:rPr>
          <w:color w:val="404040"/>
          <w:spacing w:val="2"/>
          <w:sz w:val="20"/>
        </w:rPr>
        <w:t> </w:t>
      </w:r>
      <w:r>
        <w:rPr>
          <w:color w:val="404040"/>
          <w:sz w:val="20"/>
        </w:rPr>
        <w:t>entries.</w:t>
      </w:r>
    </w:p>
    <w:p>
      <w:pPr>
        <w:pStyle w:val="BodyText"/>
        <w:spacing w:before="122"/>
        <w:ind w:left="900"/>
      </w:pPr>
      <w:r>
        <w:rPr>
          <w:color w:val="404040"/>
        </w:rPr>
        <w:t>These decreases have been mostly offset by an increase in the cost of future payments as a result of inflation.</w:t>
      </w:r>
    </w:p>
    <w:p>
      <w:pPr>
        <w:pStyle w:val="BodyText"/>
        <w:spacing w:before="118"/>
        <w:ind w:left="900" w:right="1075"/>
      </w:pPr>
      <w:r>
        <w:rPr>
          <w:color w:val="404040"/>
        </w:rPr>
        <w:t>While the changes in assumptions underpinning these forecasts are relatively small, their effect compounds over time and has a significant impact for this group who are relatively young on average. This drives the change in average lifetime cost which, together with the lower number of people in this group, then leads to the substantial change in total lifetime cost.</w:t>
      </w:r>
    </w:p>
    <w:p>
      <w:pPr>
        <w:pStyle w:val="BodyText"/>
        <w:spacing w:before="9"/>
      </w:pPr>
    </w:p>
    <w:p>
      <w:pPr>
        <w:pStyle w:val="Heading6"/>
        <w:rPr>
          <w:i/>
        </w:rPr>
      </w:pPr>
      <w:r>
        <w:rPr>
          <w:i/>
          <w:color w:val="DF2F1E"/>
        </w:rPr>
        <w:t>Future outcomes</w:t>
      </w:r>
    </w:p>
    <w:p>
      <w:pPr>
        <w:pStyle w:val="BodyText"/>
        <w:spacing w:before="121"/>
        <w:ind w:left="900" w:right="1197"/>
      </w:pPr>
      <w:r>
        <w:rPr>
          <w:color w:val="404040"/>
        </w:rPr>
        <w:t>In developing the valuation results the projection model also produces information on the expected transitions for people out of each class, as shown below.</w:t>
      </w:r>
    </w:p>
    <w:p>
      <w:pPr>
        <w:pStyle w:val="Heading9"/>
        <w:spacing w:before="177"/>
      </w:pPr>
      <w:r>
        <w:rPr>
          <w:color w:val="DF2F1E"/>
        </w:rPr>
        <w:t>Figure 105: Expected future trajectory for people in class 12</w:t>
      </w:r>
    </w:p>
    <w:p>
      <w:pPr>
        <w:spacing w:after="0"/>
        <w:sectPr>
          <w:headerReference w:type="default" r:id="rId229"/>
          <w:footerReference w:type="default" r:id="rId230"/>
          <w:pgSz w:w="11910" w:h="16850"/>
          <w:pgMar w:header="572" w:footer="581" w:top="780" w:bottom="780" w:left="120" w:right="0"/>
        </w:sectPr>
      </w:pPr>
    </w:p>
    <w:p>
      <w:pPr>
        <w:pStyle w:val="BodyText"/>
        <w:spacing w:before="1"/>
        <w:rPr>
          <w:b/>
          <w:sz w:val="14"/>
        </w:rPr>
      </w:pPr>
    </w:p>
    <w:p>
      <w:pPr>
        <w:spacing w:before="0"/>
        <w:ind w:left="0" w:right="979" w:firstLine="0"/>
        <w:jc w:val="right"/>
        <w:rPr>
          <w:rFonts w:ascii="Calibri"/>
          <w:sz w:val="15"/>
        </w:rPr>
      </w:pPr>
      <w:r>
        <w:rPr/>
        <w:pict>
          <v:group style="position:absolute;margin-left:106.088669pt;margin-top:4.393057pt;width:246.15pt;height:119.4pt;mso-position-horizontal-relative:page;mso-position-vertical-relative:paragraph;z-index:252810240" coordorigin="2122,88" coordsize="4923,2388">
            <v:shape style="position:absolute;left:2121;top:87;width:4911;height:2347" type="#_x0000_t75" stroked="false">
              <v:imagedata r:id="rId231" o:title=""/>
            </v:shape>
            <v:shape style="position:absolute;left:0;top:-803;width:654744;height:6404" coordorigin="0,-803" coordsize="654744,6404" path="m2169,2428l7027,2428m2169,2428l2169,2476m2336,2428l2336,2476m2490,2428l2490,2476m2656,2428l2656,2476m2822,2428l2822,2476m2977,2428l2977,2476m3143,2428l3143,2476m3309,2428l3309,2476m3464,2428l3464,2476m3630,2428l3630,2476m3784,2428l3784,2476m3951,2428l3951,2476m4117,2428l4117,2476m4271,2428l4271,2476m4438,2428l4438,2476m4604,2428l4604,2476m4758,2428l4758,2476m4925,2428l4925,2476m5091,2428l5091,2476m5245,2428l5245,2476m5411,2428l5411,2476m5566,2428l5566,2476m5732,2428l5732,2476m5898,2428l5898,2476m6053,2428l6053,2476m6219,2428l6219,2476m6385,2428l6385,2476m6540,2428l6540,2476m6706,2428l6706,2476m6860,2428l6860,2476m7027,2428l7027,2476e" filled="false" stroked="true" strokeweight=".593167pt" strokecolor="#858585">
              <v:path arrowok="t"/>
              <v:stroke dashstyle="solid"/>
            </v:shape>
            <v:shape style="position:absolute;left:2175;top:99;width:4858;height:1849" coordorigin="2175,100" coordsize="4858,1849" path="m2175,100l2330,183,2496,266,2662,349,2817,432,2983,503,3137,586,3303,657,3470,740,3624,823,3790,894,3957,977,4111,1048,4277,1119,4432,1202,4598,1273,4764,1344,4919,1415,5085,1474,5251,1534,5406,1581,5572,1628,5738,1676,5892,1711,6059,1759,6213,1794,6379,1830,6546,1854,6700,1889,6866,1925,7033,1948e" filled="false" stroked="true" strokeweight="1.185382pt" strokecolor="#ffffff">
              <v:path arrowok="t"/>
              <v:stroke dashstyle="dot"/>
            </v:shape>
            <v:shape style="position:absolute;left:2175;top:99;width:4858;height:1055" coordorigin="2175,100" coordsize="4858,1055" path="m2175,100l2330,100,2496,112,2662,135,2817,171,2983,206,3137,242,3303,277,3470,313,3624,349,3790,384,3957,432,4111,467,4277,503,4432,550,4598,586,4764,633,4919,680,5085,716,5251,763,5406,799,5572,846,5738,882,5892,917,6059,953,6213,989,6379,1024,6546,1048,6700,1083,6866,1119,7033,1154e" filled="false" stroked="true" strokeweight="1.185184pt" strokecolor="#ffffff">
              <v:path arrowok="t"/>
              <v:stroke dashstyle="longdash"/>
            </v:shape>
            <w10:wrap type="none"/>
          </v:group>
        </w:pict>
      </w:r>
      <w:r>
        <w:rPr>
          <w:rFonts w:ascii="Calibri"/>
          <w:sz w:val="15"/>
        </w:rPr>
        <w:t>100%</w:t>
      </w:r>
    </w:p>
    <w:p>
      <w:pPr>
        <w:spacing w:before="51"/>
        <w:ind w:left="0" w:right="970" w:firstLine="0"/>
        <w:jc w:val="right"/>
        <w:rPr>
          <w:rFonts w:ascii="Calibri"/>
          <w:sz w:val="15"/>
        </w:rPr>
      </w:pPr>
      <w:r>
        <w:rPr/>
        <w:pict>
          <v:shape style="position:absolute;margin-left:72.432076pt;margin-top:8.382608pt;width:9.75pt;height:91.05pt;mso-position-horizontal-relative:page;mso-position-vertical-relative:paragraph;z-index:252812288" type="#_x0000_t202" filled="false" stroked="false">
            <v:textbox inset="0,0,0,0" style="layout-flow:vertical;mso-layout-flow-alt:bottom-to-top">
              <w:txbxContent>
                <w:p>
                  <w:pPr>
                    <w:spacing w:line="176" w:lineRule="exact" w:before="0"/>
                    <w:ind w:left="20" w:right="0" w:firstLine="0"/>
                    <w:jc w:val="left"/>
                    <w:rPr>
                      <w:rFonts w:ascii="Calibri"/>
                      <w:b/>
                      <w:sz w:val="15"/>
                    </w:rPr>
                  </w:pPr>
                  <w:r>
                    <w:rPr>
                      <w:rFonts w:ascii="Calibri"/>
                      <w:b/>
                      <w:w w:val="105"/>
                      <w:sz w:val="15"/>
                    </w:rPr>
                    <w:t>Proportion In Welfare Class</w:t>
                  </w:r>
                </w:p>
              </w:txbxContent>
            </v:textbox>
            <w10:wrap type="none"/>
          </v:shape>
        </w:pict>
      </w:r>
      <w:r>
        <w:rPr>
          <w:rFonts w:ascii="Calibri"/>
          <w:spacing w:val="2"/>
          <w:sz w:val="15"/>
        </w:rPr>
        <w:t>90%</w:t>
      </w:r>
    </w:p>
    <w:p>
      <w:pPr>
        <w:spacing w:before="50"/>
        <w:ind w:left="0" w:right="970" w:firstLine="0"/>
        <w:jc w:val="right"/>
        <w:rPr>
          <w:rFonts w:ascii="Calibri"/>
          <w:sz w:val="15"/>
        </w:rPr>
      </w:pPr>
      <w:r>
        <w:rPr>
          <w:rFonts w:ascii="Calibri"/>
          <w:spacing w:val="2"/>
          <w:sz w:val="15"/>
        </w:rPr>
        <w:t>80%</w:t>
      </w:r>
    </w:p>
    <w:p>
      <w:pPr>
        <w:spacing w:before="50"/>
        <w:ind w:left="0" w:right="970" w:firstLine="0"/>
        <w:jc w:val="right"/>
        <w:rPr>
          <w:rFonts w:ascii="Calibri"/>
          <w:sz w:val="15"/>
        </w:rPr>
      </w:pPr>
      <w:r>
        <w:rPr>
          <w:rFonts w:ascii="Calibri"/>
          <w:spacing w:val="2"/>
          <w:sz w:val="15"/>
        </w:rPr>
        <w:t>70%</w:t>
      </w:r>
    </w:p>
    <w:p>
      <w:pPr>
        <w:spacing w:before="50"/>
        <w:ind w:left="0" w:right="970" w:firstLine="0"/>
        <w:jc w:val="right"/>
        <w:rPr>
          <w:rFonts w:ascii="Calibri"/>
          <w:sz w:val="15"/>
        </w:rPr>
      </w:pPr>
      <w:r>
        <w:rPr>
          <w:rFonts w:ascii="Calibri"/>
          <w:spacing w:val="2"/>
          <w:sz w:val="15"/>
        </w:rPr>
        <w:t>60%</w:t>
      </w:r>
    </w:p>
    <w:p>
      <w:pPr>
        <w:spacing w:before="50"/>
        <w:ind w:left="0" w:right="970" w:firstLine="0"/>
        <w:jc w:val="right"/>
        <w:rPr>
          <w:rFonts w:ascii="Calibri"/>
          <w:sz w:val="15"/>
        </w:rPr>
      </w:pPr>
      <w:r>
        <w:rPr>
          <w:rFonts w:ascii="Calibri"/>
          <w:spacing w:val="2"/>
          <w:sz w:val="15"/>
        </w:rPr>
        <w:t>50%</w:t>
      </w:r>
    </w:p>
    <w:p>
      <w:pPr>
        <w:spacing w:before="50"/>
        <w:ind w:left="0" w:right="970" w:firstLine="0"/>
        <w:jc w:val="right"/>
        <w:rPr>
          <w:rFonts w:ascii="Calibri"/>
          <w:sz w:val="15"/>
        </w:rPr>
      </w:pPr>
      <w:r>
        <w:rPr>
          <w:rFonts w:ascii="Calibri"/>
          <w:spacing w:val="2"/>
          <w:sz w:val="15"/>
        </w:rPr>
        <w:t>40%</w:t>
      </w:r>
    </w:p>
    <w:p>
      <w:pPr>
        <w:spacing w:before="51"/>
        <w:ind w:left="0" w:right="970" w:firstLine="0"/>
        <w:jc w:val="right"/>
        <w:rPr>
          <w:rFonts w:ascii="Calibri"/>
          <w:sz w:val="15"/>
        </w:rPr>
      </w:pPr>
      <w:r>
        <w:rPr>
          <w:rFonts w:ascii="Calibri"/>
          <w:spacing w:val="2"/>
          <w:sz w:val="15"/>
        </w:rPr>
        <w:t>30%</w:t>
      </w:r>
    </w:p>
    <w:p>
      <w:pPr>
        <w:spacing w:before="50"/>
        <w:ind w:left="0" w:right="970" w:firstLine="0"/>
        <w:jc w:val="right"/>
        <w:rPr>
          <w:rFonts w:ascii="Calibri"/>
          <w:sz w:val="15"/>
        </w:rPr>
      </w:pPr>
      <w:r>
        <w:rPr>
          <w:rFonts w:ascii="Calibri"/>
          <w:spacing w:val="2"/>
          <w:sz w:val="15"/>
        </w:rPr>
        <w:t>20%</w:t>
      </w:r>
    </w:p>
    <w:p>
      <w:pPr>
        <w:spacing w:before="50"/>
        <w:ind w:left="0" w:right="970" w:firstLine="0"/>
        <w:jc w:val="right"/>
        <w:rPr>
          <w:rFonts w:ascii="Calibri"/>
          <w:sz w:val="15"/>
        </w:rPr>
      </w:pPr>
      <w:r>
        <w:rPr>
          <w:rFonts w:ascii="Calibri"/>
          <w:spacing w:val="2"/>
          <w:sz w:val="15"/>
        </w:rPr>
        <w:t>10%</w:t>
      </w:r>
    </w:p>
    <w:p>
      <w:pPr>
        <w:spacing w:before="50"/>
        <w:ind w:left="0" w:right="973" w:firstLine="0"/>
        <w:jc w:val="right"/>
        <w:rPr>
          <w:rFonts w:ascii="Calibri"/>
          <w:sz w:val="15"/>
        </w:rPr>
      </w:pPr>
      <w:r>
        <w:rPr>
          <w:rFonts w:ascii="Calibri"/>
          <w:w w:val="105"/>
          <w:sz w:val="15"/>
        </w:rPr>
        <w:t>0%</w:t>
      </w:r>
    </w:p>
    <w:p>
      <w:pPr>
        <w:pStyle w:val="BodyText"/>
        <w:spacing w:before="9"/>
        <w:rPr>
          <w:rFonts w:ascii="Calibri"/>
          <w:sz w:val="5"/>
        </w:rPr>
      </w:pPr>
    </w:p>
    <w:p>
      <w:pPr>
        <w:pStyle w:val="BodyText"/>
        <w:tabs>
          <w:tab w:pos="2619" w:val="left" w:leader="none"/>
        </w:tabs>
        <w:ind w:left="1809" w:right="-44"/>
        <w:rPr>
          <w:rFonts w:ascii="Calibri"/>
        </w:rPr>
      </w:pPr>
      <w:r>
        <w:rPr>
          <w:rFonts w:ascii="Calibri"/>
        </w:rPr>
        <w:drawing>
          <wp:inline distT="0" distB="0" distL="0" distR="0">
            <wp:extent cx="168858" cy="171450"/>
            <wp:effectExtent l="0" t="0" r="0" b="0"/>
            <wp:docPr id="375" name="image122.png"/>
            <wp:cNvGraphicFramePr>
              <a:graphicFrameLocks noChangeAspect="1"/>
            </wp:cNvGraphicFramePr>
            <a:graphic>
              <a:graphicData uri="http://schemas.openxmlformats.org/drawingml/2006/picture">
                <pic:pic>
                  <pic:nvPicPr>
                    <pic:cNvPr id="376" name="image122.png"/>
                    <pic:cNvPicPr/>
                  </pic:nvPicPr>
                  <pic:blipFill>
                    <a:blip r:embed="rId144" cstate="print"/>
                    <a:stretch>
                      <a:fillRect/>
                    </a:stretch>
                  </pic:blipFill>
                  <pic:spPr>
                    <a:xfrm>
                      <a:off x="0" y="0"/>
                      <a:ext cx="168858" cy="171450"/>
                    </a:xfrm>
                    <a:prstGeom prst="rect">
                      <a:avLst/>
                    </a:prstGeom>
                  </pic:spPr>
                </pic:pic>
              </a:graphicData>
            </a:graphic>
          </wp:inline>
        </w:drawing>
      </w:r>
      <w:r>
        <w:rPr>
          <w:rFonts w:ascii="Calibri"/>
        </w:rPr>
      </w:r>
      <w:r>
        <w:rPr>
          <w:rFonts w:ascii="Calibri"/>
        </w:rPr>
        <w:tab/>
      </w:r>
      <w:r>
        <w:rPr>
          <w:rFonts w:ascii="Calibri"/>
        </w:rPr>
        <w:drawing>
          <wp:inline distT="0" distB="0" distL="0" distR="0">
            <wp:extent cx="165277" cy="168020"/>
            <wp:effectExtent l="0" t="0" r="0" b="0"/>
            <wp:docPr id="377" name="image188.png"/>
            <wp:cNvGraphicFramePr>
              <a:graphicFrameLocks noChangeAspect="1"/>
            </wp:cNvGraphicFramePr>
            <a:graphic>
              <a:graphicData uri="http://schemas.openxmlformats.org/drawingml/2006/picture">
                <pic:pic>
                  <pic:nvPicPr>
                    <pic:cNvPr id="378" name="image188.png"/>
                    <pic:cNvPicPr/>
                  </pic:nvPicPr>
                  <pic:blipFill>
                    <a:blip r:embed="rId232" cstate="print"/>
                    <a:stretch>
                      <a:fillRect/>
                    </a:stretch>
                  </pic:blipFill>
                  <pic:spPr>
                    <a:xfrm>
                      <a:off x="0" y="0"/>
                      <a:ext cx="165277" cy="168020"/>
                    </a:xfrm>
                    <a:prstGeom prst="rect">
                      <a:avLst/>
                    </a:prstGeom>
                  </pic:spPr>
                </pic:pic>
              </a:graphicData>
            </a:graphic>
          </wp:inline>
        </w:drawing>
      </w:r>
      <w:r>
        <w:rPr>
          <w:rFonts w:ascii="Calibri"/>
        </w:rPr>
      </w:r>
    </w:p>
    <w:p>
      <w:pPr>
        <w:pStyle w:val="BodyText"/>
        <w:rPr>
          <w:rFonts w:ascii="Calibri"/>
        </w:rPr>
      </w:pPr>
      <w:r>
        <w:rPr/>
        <w:br w:type="column"/>
      </w:r>
      <w:r>
        <w:rPr>
          <w:rFonts w:ascii="Calibri"/>
        </w:rPr>
      </w: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spacing w:before="2"/>
        <w:rPr>
          <w:rFonts w:ascii="Calibri"/>
          <w:sz w:val="25"/>
        </w:rPr>
      </w:pPr>
    </w:p>
    <w:p>
      <w:pPr>
        <w:pStyle w:val="BodyText"/>
        <w:tabs>
          <w:tab w:pos="1316" w:val="left" w:leader="none"/>
          <w:tab w:pos="2126" w:val="left" w:leader="none"/>
          <w:tab w:pos="2935" w:val="left" w:leader="none"/>
          <w:tab w:pos="3744" w:val="left" w:leader="none"/>
        </w:tabs>
        <w:ind w:left="507" w:right="-44"/>
        <w:rPr>
          <w:rFonts w:ascii="Calibri"/>
        </w:rPr>
      </w:pPr>
      <w:r>
        <w:rPr>
          <w:rFonts w:ascii="Calibri"/>
        </w:rPr>
        <w:drawing>
          <wp:inline distT="0" distB="0" distL="0" distR="0">
            <wp:extent cx="168858" cy="171450"/>
            <wp:effectExtent l="0" t="0" r="0" b="0"/>
            <wp:docPr id="379" name="image189.png"/>
            <wp:cNvGraphicFramePr>
              <a:graphicFrameLocks noChangeAspect="1"/>
            </wp:cNvGraphicFramePr>
            <a:graphic>
              <a:graphicData uri="http://schemas.openxmlformats.org/drawingml/2006/picture">
                <pic:pic>
                  <pic:nvPicPr>
                    <pic:cNvPr id="380" name="image189.png"/>
                    <pic:cNvPicPr/>
                  </pic:nvPicPr>
                  <pic:blipFill>
                    <a:blip r:embed="rId233" cstate="print"/>
                    <a:stretch>
                      <a:fillRect/>
                    </a:stretch>
                  </pic:blipFill>
                  <pic:spPr>
                    <a:xfrm>
                      <a:off x="0" y="0"/>
                      <a:ext cx="168858" cy="171450"/>
                    </a:xfrm>
                    <a:prstGeom prst="rect">
                      <a:avLst/>
                    </a:prstGeom>
                  </pic:spPr>
                </pic:pic>
              </a:graphicData>
            </a:graphic>
          </wp:inline>
        </w:drawing>
      </w:r>
      <w:r>
        <w:rPr>
          <w:rFonts w:ascii="Calibri"/>
        </w:rPr>
      </w:r>
      <w:r>
        <w:rPr>
          <w:rFonts w:ascii="Calibri"/>
        </w:rPr>
        <w:tab/>
      </w:r>
      <w:r>
        <w:rPr>
          <w:rFonts w:ascii="Calibri"/>
        </w:rPr>
        <w:drawing>
          <wp:inline distT="0" distB="0" distL="0" distR="0">
            <wp:extent cx="165277" cy="168020"/>
            <wp:effectExtent l="0" t="0" r="0" b="0"/>
            <wp:docPr id="381" name="image190.png"/>
            <wp:cNvGraphicFramePr>
              <a:graphicFrameLocks noChangeAspect="1"/>
            </wp:cNvGraphicFramePr>
            <a:graphic>
              <a:graphicData uri="http://schemas.openxmlformats.org/drawingml/2006/picture">
                <pic:pic>
                  <pic:nvPicPr>
                    <pic:cNvPr id="382" name="image190.png"/>
                    <pic:cNvPicPr/>
                  </pic:nvPicPr>
                  <pic:blipFill>
                    <a:blip r:embed="rId234" cstate="print"/>
                    <a:stretch>
                      <a:fillRect/>
                    </a:stretch>
                  </pic:blipFill>
                  <pic:spPr>
                    <a:xfrm>
                      <a:off x="0" y="0"/>
                      <a:ext cx="165277" cy="168020"/>
                    </a:xfrm>
                    <a:prstGeom prst="rect">
                      <a:avLst/>
                    </a:prstGeom>
                  </pic:spPr>
                </pic:pic>
              </a:graphicData>
            </a:graphic>
          </wp:inline>
        </w:drawing>
      </w:r>
      <w:r>
        <w:rPr>
          <w:rFonts w:ascii="Calibri"/>
        </w:rPr>
      </w:r>
      <w:r>
        <w:rPr>
          <w:rFonts w:ascii="Calibri"/>
        </w:rPr>
        <w:tab/>
      </w:r>
      <w:r>
        <w:rPr>
          <w:rFonts w:ascii="Calibri"/>
        </w:rPr>
        <w:drawing>
          <wp:inline distT="0" distB="0" distL="0" distR="0">
            <wp:extent cx="168858" cy="171450"/>
            <wp:effectExtent l="0" t="0" r="0" b="0"/>
            <wp:docPr id="383" name="image191.png"/>
            <wp:cNvGraphicFramePr>
              <a:graphicFrameLocks noChangeAspect="1"/>
            </wp:cNvGraphicFramePr>
            <a:graphic>
              <a:graphicData uri="http://schemas.openxmlformats.org/drawingml/2006/picture">
                <pic:pic>
                  <pic:nvPicPr>
                    <pic:cNvPr id="384" name="image191.png"/>
                    <pic:cNvPicPr/>
                  </pic:nvPicPr>
                  <pic:blipFill>
                    <a:blip r:embed="rId235" cstate="print"/>
                    <a:stretch>
                      <a:fillRect/>
                    </a:stretch>
                  </pic:blipFill>
                  <pic:spPr>
                    <a:xfrm>
                      <a:off x="0" y="0"/>
                      <a:ext cx="168858" cy="171450"/>
                    </a:xfrm>
                    <a:prstGeom prst="rect">
                      <a:avLst/>
                    </a:prstGeom>
                  </pic:spPr>
                </pic:pic>
              </a:graphicData>
            </a:graphic>
          </wp:inline>
        </w:drawing>
      </w:r>
      <w:r>
        <w:rPr>
          <w:rFonts w:ascii="Calibri"/>
        </w:rPr>
      </w:r>
      <w:r>
        <w:rPr>
          <w:rFonts w:ascii="Calibri"/>
        </w:rPr>
        <w:tab/>
      </w:r>
      <w:r>
        <w:rPr>
          <w:rFonts w:ascii="Calibri"/>
        </w:rPr>
        <w:drawing>
          <wp:inline distT="0" distB="0" distL="0" distR="0">
            <wp:extent cx="165277" cy="168020"/>
            <wp:effectExtent l="0" t="0" r="0" b="0"/>
            <wp:docPr id="385" name="image192.png"/>
            <wp:cNvGraphicFramePr>
              <a:graphicFrameLocks noChangeAspect="1"/>
            </wp:cNvGraphicFramePr>
            <a:graphic>
              <a:graphicData uri="http://schemas.openxmlformats.org/drawingml/2006/picture">
                <pic:pic>
                  <pic:nvPicPr>
                    <pic:cNvPr id="386" name="image192.png"/>
                    <pic:cNvPicPr/>
                  </pic:nvPicPr>
                  <pic:blipFill>
                    <a:blip r:embed="rId236" cstate="print"/>
                    <a:stretch>
                      <a:fillRect/>
                    </a:stretch>
                  </pic:blipFill>
                  <pic:spPr>
                    <a:xfrm>
                      <a:off x="0" y="0"/>
                      <a:ext cx="165277" cy="168020"/>
                    </a:xfrm>
                    <a:prstGeom prst="rect">
                      <a:avLst/>
                    </a:prstGeom>
                  </pic:spPr>
                </pic:pic>
              </a:graphicData>
            </a:graphic>
          </wp:inline>
        </w:drawing>
      </w:r>
      <w:r>
        <w:rPr>
          <w:rFonts w:ascii="Calibri"/>
        </w:rPr>
      </w:r>
      <w:r>
        <w:rPr>
          <w:rFonts w:ascii="Calibri"/>
        </w:rPr>
        <w:tab/>
      </w:r>
      <w:r>
        <w:rPr>
          <w:rFonts w:ascii="Calibri"/>
        </w:rPr>
        <w:drawing>
          <wp:inline distT="0" distB="0" distL="0" distR="0">
            <wp:extent cx="168858" cy="171450"/>
            <wp:effectExtent l="0" t="0" r="0" b="0"/>
            <wp:docPr id="387" name="image193.png"/>
            <wp:cNvGraphicFramePr>
              <a:graphicFrameLocks noChangeAspect="1"/>
            </wp:cNvGraphicFramePr>
            <a:graphic>
              <a:graphicData uri="http://schemas.openxmlformats.org/drawingml/2006/picture">
                <pic:pic>
                  <pic:nvPicPr>
                    <pic:cNvPr id="388" name="image193.png"/>
                    <pic:cNvPicPr/>
                  </pic:nvPicPr>
                  <pic:blipFill>
                    <a:blip r:embed="rId237" cstate="print"/>
                    <a:stretch>
                      <a:fillRect/>
                    </a:stretch>
                  </pic:blipFill>
                  <pic:spPr>
                    <a:xfrm>
                      <a:off x="0" y="0"/>
                      <a:ext cx="168858" cy="171450"/>
                    </a:xfrm>
                    <a:prstGeom prst="rect">
                      <a:avLst/>
                    </a:prstGeom>
                  </pic:spPr>
                </pic:pic>
              </a:graphicData>
            </a:graphic>
          </wp:inline>
        </w:drawing>
      </w:r>
      <w:r>
        <w:rPr>
          <w:rFonts w:ascii="Calibri"/>
        </w:rPr>
      </w:r>
    </w:p>
    <w:p>
      <w:pPr>
        <w:spacing w:before="92"/>
        <w:ind w:left="1387" w:right="2284" w:firstLine="0"/>
        <w:jc w:val="center"/>
        <w:rPr>
          <w:rFonts w:ascii="Calibri"/>
          <w:b/>
          <w:sz w:val="15"/>
        </w:rPr>
      </w:pPr>
      <w:r>
        <w:rPr>
          <w:rFonts w:ascii="Calibri"/>
          <w:b/>
          <w:w w:val="105"/>
          <w:sz w:val="15"/>
        </w:rPr>
        <w:t>Year</w:t>
      </w:r>
    </w:p>
    <w:p>
      <w:pPr>
        <w:pStyle w:val="BodyText"/>
        <w:rPr>
          <w:rFonts w:ascii="Calibri"/>
          <w:b/>
          <w:sz w:val="14"/>
        </w:rPr>
      </w:pPr>
      <w:r>
        <w:rPr/>
        <w:br w:type="column"/>
      </w:r>
      <w:r>
        <w:rPr>
          <w:rFonts w:ascii="Calibri"/>
          <w:b/>
          <w:sz w:val="14"/>
        </w:rPr>
      </w:r>
    </w:p>
    <w:p>
      <w:pPr>
        <w:pStyle w:val="BodyText"/>
        <w:spacing w:before="5"/>
        <w:rPr>
          <w:rFonts w:ascii="Calibri"/>
          <w:b/>
          <w:sz w:val="12"/>
        </w:rPr>
      </w:pPr>
    </w:p>
    <w:p>
      <w:pPr>
        <w:spacing w:before="0"/>
        <w:ind w:left="551" w:right="0" w:firstLine="0"/>
        <w:jc w:val="left"/>
        <w:rPr>
          <w:rFonts w:ascii="Calibri"/>
          <w:sz w:val="14"/>
        </w:rPr>
      </w:pPr>
      <w:r>
        <w:rPr>
          <w:rFonts w:ascii="Calibri"/>
          <w:sz w:val="14"/>
        </w:rPr>
        <w:t>Class key:</w:t>
      </w:r>
    </w:p>
    <w:p>
      <w:pPr>
        <w:pStyle w:val="ListParagraph"/>
        <w:numPr>
          <w:ilvl w:val="0"/>
          <w:numId w:val="85"/>
        </w:numPr>
        <w:tabs>
          <w:tab w:pos="1008" w:val="left" w:leader="none"/>
        </w:tabs>
        <w:spacing w:line="240" w:lineRule="auto" w:before="15" w:after="0"/>
        <w:ind w:left="1007" w:right="0" w:hanging="104"/>
        <w:jc w:val="left"/>
        <w:rPr>
          <w:rFonts w:ascii="Calibri"/>
          <w:sz w:val="14"/>
        </w:rPr>
      </w:pPr>
      <w:r>
        <w:rPr/>
        <w:pict>
          <v:group style="position:absolute;margin-left:380.960632pt;margin-top:.044388pt;width:17.9pt;height:130.5pt;mso-position-horizontal-relative:page;mso-position-vertical-relative:paragraph;z-index:252811264" coordorigin="7619,1" coordsize="358,2610">
            <v:rect style="position:absolute;left:7622;top:0;width:354;height:186" filled="true" fillcolor="#1f487c" stroked="false">
              <v:fill type="solid"/>
            </v:rect>
            <v:rect style="position:absolute;left:7622;top:186;width:354;height:186" filled="true" fillcolor="#009544" stroked="false">
              <v:fill type="solid"/>
            </v:rect>
            <v:rect style="position:absolute;left:7622;top:372;width:354;height:186" filled="true" fillcolor="#e16b09" stroked="false">
              <v:fill type="solid"/>
            </v:rect>
            <v:rect style="position:absolute;left:7622;top:558;width:354;height:186" filled="true" fillcolor="#e08ad6" stroked="false">
              <v:fill type="solid"/>
            </v:rect>
            <v:rect style="position:absolute;left:7622;top:744;width:354;height:186" filled="true" fillcolor="#8063a1" stroked="false">
              <v:fill type="solid"/>
            </v:rect>
            <v:rect style="position:absolute;left:7622;top:930;width:354;height:186" filled="true" fillcolor="#c0504d" stroked="false">
              <v:fill type="solid"/>
            </v:rect>
            <v:rect style="position:absolute;left:7622;top:1116;width:354;height:186" filled="true" fillcolor="#f8a763" stroked="false">
              <v:fill type="solid"/>
            </v:rect>
            <v:rect style="position:absolute;left:7622;top:1302;width:354;height:186" filled="true" fillcolor="#ecb8e7" stroked="false">
              <v:fill type="solid"/>
            </v:rect>
            <v:rect style="position:absolute;left:7622;top:1488;width:354;height:186" filled="true" fillcolor="#938953" stroked="false">
              <v:fill type="solid"/>
            </v:rect>
            <v:rect style="position:absolute;left:7622;top:1674;width:354;height:186" filled="true" fillcolor="#ffd600" stroked="false">
              <v:fill type="solid"/>
            </v:rect>
            <v:rect style="position:absolute;left:7622;top:1859;width:354;height:186" filled="true" fillcolor="#000000" stroked="false">
              <v:fill type="solid"/>
            </v:rect>
            <v:rect style="position:absolute;left:7622;top:2045;width:354;height:186" filled="true" fillcolor="#ffeb8f" stroked="false">
              <v:fill type="solid"/>
            </v:rect>
            <v:rect style="position:absolute;left:7622;top:2231;width:354;height:379" filled="true" fillcolor="#a6a6a6" stroked="false">
              <v:fill type="solid"/>
            </v:rect>
            <v:line style="position:absolute" from="7969,7" to="7969,2610" stroked="true" strokeweight="0pt" strokecolor="#ffffff">
              <v:stroke dashstyle="solid"/>
            </v:line>
            <v:line style="position:absolute" from="7972,7" to="7972,2610" stroked="true" strokeweight=".321105pt" strokecolor="#ffffff">
              <v:stroke dashstyle="solid"/>
            </v:line>
            <v:line style="position:absolute" from="7622,4" to="7976,4" stroked="true" strokeweight=".320535pt" strokecolor="#ffffff">
              <v:stroke dashstyle="solid"/>
            </v:line>
            <v:line style="position:absolute" from="7622,187" to="7976,187" stroked="true" strokeweight="0pt" strokecolor="#ffffff">
              <v:stroke dashstyle="solid"/>
            </v:line>
            <v:line style="position:absolute" from="7622,190" to="7976,190" stroked="true" strokeweight=".320535pt" strokecolor="#ffffff">
              <v:stroke dashstyle="solid"/>
            </v:line>
            <v:line style="position:absolute" from="7622,373" to="7976,373" stroked="true" strokeweight="0pt" strokecolor="#ffffff">
              <v:stroke dashstyle="solid"/>
            </v:line>
            <v:line style="position:absolute" from="7622,376" to="7976,376" stroked="true" strokeweight=".320535pt" strokecolor="#ffffff">
              <v:stroke dashstyle="solid"/>
            </v:line>
            <v:line style="position:absolute" from="7622,559" to="7976,559" stroked="true" strokeweight="0pt" strokecolor="#ffffff">
              <v:stroke dashstyle="solid"/>
            </v:line>
            <v:line style="position:absolute" from="7622,562" to="7976,562" stroked="true" strokeweight=".320535pt" strokecolor="#ffffff">
              <v:stroke dashstyle="solid"/>
            </v:line>
            <v:line style="position:absolute" from="7622,745" to="7976,745" stroked="true" strokeweight="0pt" strokecolor="#ffffff">
              <v:stroke dashstyle="solid"/>
            </v:line>
            <v:line style="position:absolute" from="7622,748" to="7976,748" stroked="true" strokeweight=".320535pt" strokecolor="#ffffff">
              <v:stroke dashstyle="solid"/>
            </v:line>
            <v:line style="position:absolute" from="7622,930" to="7976,930" stroked="true" strokeweight="0pt" strokecolor="#ffffff">
              <v:stroke dashstyle="solid"/>
            </v:line>
            <v:line style="position:absolute" from="7622,934" to="7976,934" stroked="true" strokeweight=".320535pt" strokecolor="#ffffff">
              <v:stroke dashstyle="solid"/>
            </v:line>
            <v:line style="position:absolute" from="7622,1116" to="7976,1116" stroked="true" strokeweight="0pt" strokecolor="#ffffff">
              <v:stroke dashstyle="solid"/>
            </v:line>
            <v:line style="position:absolute" from="7622,1120" to="7976,1120" stroked="true" strokeweight=".320535pt" strokecolor="#ffffff">
              <v:stroke dashstyle="solid"/>
            </v:line>
            <v:line style="position:absolute" from="7622,1302" to="7976,1302" stroked="true" strokeweight="0pt" strokecolor="#ffffff">
              <v:stroke dashstyle="solid"/>
            </v:line>
            <v:line style="position:absolute" from="7622,1305" to="7976,1305" stroked="true" strokeweight=".320535pt" strokecolor="#ffffff">
              <v:stroke dashstyle="solid"/>
            </v:line>
            <v:line style="position:absolute" from="7622,1488" to="7976,1488" stroked="true" strokeweight="0pt" strokecolor="#ffffff">
              <v:stroke dashstyle="solid"/>
            </v:line>
            <v:line style="position:absolute" from="7622,1491" to="7976,1491" stroked="true" strokeweight=".320856pt" strokecolor="#ffffff">
              <v:stroke dashstyle="solid"/>
            </v:line>
            <v:line style="position:absolute" from="7622,1674" to="7976,1674" stroked="true" strokeweight="0pt" strokecolor="#ffffff">
              <v:stroke dashstyle="solid"/>
            </v:line>
            <v:line style="position:absolute" from="7622,1677" to="7976,1677" stroked="true" strokeweight=".320535pt" strokecolor="#ffffff">
              <v:stroke dashstyle="solid"/>
            </v:line>
            <v:line style="position:absolute" from="7622,1860" to="7976,1860" stroked="true" strokeweight="0pt" strokecolor="#ffffff">
              <v:stroke dashstyle="solid"/>
            </v:line>
            <v:line style="position:absolute" from="7622,1863" to="7976,1863" stroked="true" strokeweight=".320535pt" strokecolor="#ffffff">
              <v:stroke dashstyle="solid"/>
            </v:line>
            <v:line style="position:absolute" from="7622,2046" to="7976,2046" stroked="true" strokeweight="0pt" strokecolor="#ffffff">
              <v:stroke dashstyle="solid"/>
            </v:line>
            <v:line style="position:absolute" from="7622,2049" to="7976,2049" stroked="true" strokeweight=".320535pt" strokecolor="#ffffff">
              <v:stroke dashstyle="solid"/>
            </v:line>
            <v:line style="position:absolute" from="7622,2232" to="7976,2232" stroked="true" strokeweight="0pt" strokecolor="#ffffff">
              <v:stroke dashstyle="solid"/>
            </v:line>
            <v:line style="position:absolute" from="7622,2235" to="7976,2235" stroked="true" strokeweight=".320535pt" strokecolor="#ffffff">
              <v:stroke dashstyle="solid"/>
            </v:line>
            <v:line style="position:absolute" from="7622,2418" to="7976,2418" stroked="true" strokeweight="0pt" strokecolor="#ffffff">
              <v:stroke dashstyle="solid"/>
            </v:line>
            <v:line style="position:absolute" from="7622,2421" to="7976,2421" stroked="true" strokeweight=".320535pt" strokecolor="#ffffff">
              <v:stroke dashstyle="solid"/>
            </v:line>
            <v:line style="position:absolute" from="7622,2604" to="7976,2604" stroked="true" strokeweight="0pt" strokecolor="#ffffff">
              <v:stroke dashstyle="solid"/>
            </v:line>
            <v:line style="position:absolute" from="7622,2607" to="7976,2607" stroked="true" strokeweight=".320535pt" strokecolor="#ffffff">
              <v:stroke dashstyle="solid"/>
            </v:line>
            <v:line style="position:absolute" from="7619,2344" to="7977,2344" stroked="true" strokeweight=".961678pt" strokecolor="#ffffff">
              <v:stroke dashstyle="solid"/>
            </v:line>
            <v:line style="position:absolute" from="7619,2517" to="7977,2517" stroked="true" strokeweight=".961678pt" strokecolor="#ffffff">
              <v:stroke dashstyle="solid"/>
            </v:line>
            <w10:wrap type="none"/>
          </v:group>
        </w:pict>
      </w:r>
      <w:r>
        <w:rPr>
          <w:rFonts w:ascii="Calibri"/>
          <w:sz w:val="14"/>
        </w:rPr>
        <w:t>Studying</w:t>
      </w:r>
    </w:p>
    <w:p>
      <w:pPr>
        <w:pStyle w:val="ListParagraph"/>
        <w:numPr>
          <w:ilvl w:val="0"/>
          <w:numId w:val="85"/>
        </w:numPr>
        <w:tabs>
          <w:tab w:pos="1008" w:val="left" w:leader="none"/>
        </w:tabs>
        <w:spacing w:line="240" w:lineRule="auto" w:before="15" w:after="0"/>
        <w:ind w:left="1007" w:right="0" w:hanging="104"/>
        <w:jc w:val="left"/>
        <w:rPr>
          <w:rFonts w:ascii="Calibri"/>
          <w:sz w:val="14"/>
        </w:rPr>
      </w:pPr>
      <w:r>
        <w:rPr>
          <w:rFonts w:ascii="Calibri"/>
          <w:sz w:val="14"/>
        </w:rPr>
        <w:t>Working</w:t>
      </w:r>
      <w:r>
        <w:rPr>
          <w:rFonts w:ascii="Calibri"/>
          <w:spacing w:val="-2"/>
          <w:sz w:val="14"/>
        </w:rPr>
        <w:t> </w:t>
      </w:r>
      <w:r>
        <w:rPr>
          <w:rFonts w:ascii="Calibri"/>
          <w:sz w:val="14"/>
        </w:rPr>
        <w:t>Age</w:t>
      </w:r>
    </w:p>
    <w:p>
      <w:pPr>
        <w:pStyle w:val="ListParagraph"/>
        <w:numPr>
          <w:ilvl w:val="0"/>
          <w:numId w:val="85"/>
        </w:numPr>
        <w:tabs>
          <w:tab w:pos="1008" w:val="left" w:leader="none"/>
        </w:tabs>
        <w:spacing w:line="240" w:lineRule="auto" w:before="15" w:after="0"/>
        <w:ind w:left="1007" w:right="0" w:hanging="104"/>
        <w:jc w:val="left"/>
        <w:rPr>
          <w:rFonts w:ascii="Calibri"/>
          <w:sz w:val="14"/>
        </w:rPr>
      </w:pPr>
      <w:r>
        <w:rPr>
          <w:rFonts w:ascii="Calibri"/>
          <w:sz w:val="14"/>
        </w:rPr>
        <w:t>Parents</w:t>
      </w:r>
    </w:p>
    <w:p>
      <w:pPr>
        <w:pStyle w:val="ListParagraph"/>
        <w:numPr>
          <w:ilvl w:val="0"/>
          <w:numId w:val="85"/>
        </w:numPr>
        <w:tabs>
          <w:tab w:pos="1008" w:val="left" w:leader="none"/>
        </w:tabs>
        <w:spacing w:line="240" w:lineRule="auto" w:before="15" w:after="0"/>
        <w:ind w:left="1007" w:right="0" w:hanging="104"/>
        <w:jc w:val="left"/>
        <w:rPr>
          <w:rFonts w:ascii="Calibri"/>
          <w:sz w:val="14"/>
        </w:rPr>
      </w:pPr>
      <w:r>
        <w:rPr>
          <w:rFonts w:ascii="Calibri"/>
          <w:sz w:val="14"/>
        </w:rPr>
        <w:t>Carers</w:t>
      </w:r>
    </w:p>
    <w:p>
      <w:pPr>
        <w:pStyle w:val="ListParagraph"/>
        <w:numPr>
          <w:ilvl w:val="0"/>
          <w:numId w:val="85"/>
        </w:numPr>
        <w:tabs>
          <w:tab w:pos="1008" w:val="left" w:leader="none"/>
        </w:tabs>
        <w:spacing w:line="240" w:lineRule="auto" w:before="15" w:after="0"/>
        <w:ind w:left="1007" w:right="0" w:hanging="104"/>
        <w:jc w:val="left"/>
        <w:rPr>
          <w:rFonts w:ascii="Calibri"/>
          <w:sz w:val="14"/>
        </w:rPr>
      </w:pPr>
      <w:r>
        <w:rPr>
          <w:rFonts w:ascii="Calibri"/>
          <w:sz w:val="14"/>
        </w:rPr>
        <w:t>Disability Support</w:t>
      </w:r>
    </w:p>
    <w:p>
      <w:pPr>
        <w:pStyle w:val="ListParagraph"/>
        <w:numPr>
          <w:ilvl w:val="0"/>
          <w:numId w:val="85"/>
        </w:numPr>
        <w:tabs>
          <w:tab w:pos="1008" w:val="left" w:leader="none"/>
        </w:tabs>
        <w:spacing w:line="261" w:lineRule="auto" w:before="15" w:after="0"/>
        <w:ind w:left="904" w:right="3017" w:firstLine="0"/>
        <w:jc w:val="left"/>
        <w:rPr>
          <w:rFonts w:ascii="Calibri"/>
          <w:sz w:val="14"/>
        </w:rPr>
      </w:pPr>
      <w:r>
        <w:rPr>
          <w:rFonts w:ascii="Calibri"/>
          <w:sz w:val="14"/>
        </w:rPr>
        <w:t>Pension Age 7 Non IS Family 8 Non IS Carer 9 Non IS</w:t>
      </w:r>
      <w:r>
        <w:rPr>
          <w:rFonts w:ascii="Calibri"/>
          <w:spacing w:val="7"/>
          <w:sz w:val="14"/>
        </w:rPr>
        <w:t> </w:t>
      </w:r>
      <w:r>
        <w:rPr>
          <w:rFonts w:ascii="Calibri"/>
          <w:sz w:val="14"/>
        </w:rPr>
        <w:t>Other</w:t>
      </w:r>
    </w:p>
    <w:p>
      <w:pPr>
        <w:spacing w:line="261" w:lineRule="auto" w:before="0"/>
        <w:ind w:left="904" w:right="2081" w:firstLine="0"/>
        <w:jc w:val="left"/>
        <w:rPr>
          <w:rFonts w:ascii="Calibri"/>
          <w:sz w:val="14"/>
        </w:rPr>
      </w:pPr>
      <w:r>
        <w:rPr>
          <w:rFonts w:ascii="Calibri"/>
          <w:sz w:val="14"/>
        </w:rPr>
        <w:t>10 Previous Welfare Recipient 11 Dead</w:t>
      </w:r>
    </w:p>
    <w:p>
      <w:pPr>
        <w:spacing w:line="261" w:lineRule="auto" w:before="0"/>
        <w:ind w:left="904" w:right="2204" w:firstLine="0"/>
        <w:jc w:val="left"/>
        <w:rPr>
          <w:rFonts w:ascii="Calibri"/>
          <w:sz w:val="14"/>
        </w:rPr>
      </w:pPr>
      <w:r>
        <w:rPr>
          <w:rFonts w:ascii="Calibri"/>
          <w:sz w:val="14"/>
        </w:rPr>
        <w:t>12 Rest of Aust. Population Prior valuation - all active Prior valuation - current class</w:t>
      </w:r>
    </w:p>
    <w:p>
      <w:pPr>
        <w:spacing w:after="0" w:line="261" w:lineRule="auto"/>
        <w:jc w:val="left"/>
        <w:rPr>
          <w:rFonts w:ascii="Calibri"/>
          <w:sz w:val="14"/>
        </w:rPr>
        <w:sectPr>
          <w:type w:val="continuous"/>
          <w:pgSz w:w="11910" w:h="16850"/>
          <w:pgMar w:top="1600" w:bottom="280" w:left="120" w:right="0"/>
          <w:cols w:num="3" w:equalWidth="0">
            <w:col w:w="2881" w:space="40"/>
            <w:col w:w="4010" w:space="39"/>
            <w:col w:w="4820"/>
          </w:cols>
        </w:sectPr>
      </w:pPr>
    </w:p>
    <w:p>
      <w:pPr>
        <w:pStyle w:val="BodyText"/>
        <w:spacing w:before="2"/>
        <w:rPr>
          <w:rFonts w:ascii="Calibri"/>
          <w:sz w:val="21"/>
        </w:rPr>
      </w:pPr>
    </w:p>
    <w:p>
      <w:pPr>
        <w:pStyle w:val="BodyText"/>
        <w:spacing w:before="93"/>
        <w:ind w:left="900"/>
      </w:pPr>
      <w:r>
        <w:rPr>
          <w:color w:val="404040"/>
        </w:rPr>
        <w:t>Some observations we can make based on our analysis are that:</w:t>
      </w:r>
    </w:p>
    <w:p>
      <w:pPr>
        <w:spacing w:after="0"/>
        <w:sectPr>
          <w:type w:val="continuous"/>
          <w:pgSz w:w="11910" w:h="16850"/>
          <w:pgMar w:top="1600" w:bottom="280" w:left="120" w:right="0"/>
        </w:sectPr>
      </w:pPr>
    </w:p>
    <w:p>
      <w:pPr>
        <w:pStyle w:val="BodyText"/>
      </w:pPr>
    </w:p>
    <w:p>
      <w:pPr>
        <w:pStyle w:val="BodyText"/>
      </w:pPr>
    </w:p>
    <w:p>
      <w:pPr>
        <w:pStyle w:val="BodyText"/>
        <w:spacing w:before="2"/>
        <w:rPr>
          <w:sz w:val="21"/>
        </w:rPr>
      </w:pPr>
    </w:p>
    <w:p>
      <w:pPr>
        <w:pStyle w:val="ListParagraph"/>
        <w:numPr>
          <w:ilvl w:val="0"/>
          <w:numId w:val="83"/>
        </w:numPr>
        <w:tabs>
          <w:tab w:pos="1184" w:val="left" w:leader="none"/>
        </w:tabs>
        <w:spacing w:line="240" w:lineRule="auto" w:before="99" w:after="0"/>
        <w:ind w:left="1183" w:right="1108" w:hanging="284"/>
        <w:jc w:val="left"/>
        <w:rPr>
          <w:rFonts w:ascii="Symbol" w:hAnsi="Symbol"/>
          <w:color w:val="404040"/>
          <w:sz w:val="20"/>
        </w:rPr>
      </w:pPr>
      <w:r>
        <w:rPr>
          <w:color w:val="404040"/>
          <w:sz w:val="20"/>
        </w:rPr>
        <w:t>The main difference between the trajectories for this group compared to that shown for the previous welfare recipients is likely driven by the difference in the age profiles. In particular class 12 contains a higher number of younger people and so the use of each different welfare classes is typically further into the projection.</w:t>
      </w:r>
    </w:p>
    <w:p>
      <w:pPr>
        <w:pStyle w:val="ListParagraph"/>
        <w:numPr>
          <w:ilvl w:val="0"/>
          <w:numId w:val="83"/>
        </w:numPr>
        <w:tabs>
          <w:tab w:pos="1184" w:val="left" w:leader="none"/>
        </w:tabs>
        <w:spacing w:line="240" w:lineRule="auto" w:before="119" w:after="0"/>
        <w:ind w:left="1183" w:right="1286" w:hanging="284"/>
        <w:jc w:val="left"/>
        <w:rPr>
          <w:rFonts w:ascii="Symbol" w:hAnsi="Symbol"/>
          <w:color w:val="404040"/>
          <w:sz w:val="20"/>
        </w:rPr>
      </w:pPr>
      <w:r>
        <w:rPr>
          <w:color w:val="404040"/>
          <w:sz w:val="20"/>
        </w:rPr>
        <w:t>In five years, around 12% of the people currently in class 12 are projected to be in an active class. These people are expected to predominately be in classes ‘1 Studying’, ‘2 Working Age’, ‘6 Age Pension’, and ‘7 Non IS Family’. Around 4% of people are projected to have entered an active class and then exited into class 10 by this</w:t>
      </w:r>
      <w:r>
        <w:rPr>
          <w:color w:val="404040"/>
          <w:spacing w:val="-6"/>
          <w:sz w:val="20"/>
        </w:rPr>
        <w:t> </w:t>
      </w:r>
      <w:r>
        <w:rPr>
          <w:color w:val="404040"/>
          <w:sz w:val="20"/>
        </w:rPr>
        <w:t>point.</w:t>
      </w:r>
    </w:p>
    <w:p>
      <w:pPr>
        <w:pStyle w:val="ListParagraph"/>
        <w:numPr>
          <w:ilvl w:val="0"/>
          <w:numId w:val="83"/>
        </w:numPr>
        <w:tabs>
          <w:tab w:pos="1184" w:val="left" w:leader="none"/>
        </w:tabs>
        <w:spacing w:line="240" w:lineRule="auto" w:before="119" w:after="0"/>
        <w:ind w:left="1183" w:right="1421" w:hanging="284"/>
        <w:jc w:val="left"/>
        <w:rPr>
          <w:rFonts w:ascii="Symbol" w:hAnsi="Symbol"/>
          <w:color w:val="404040"/>
          <w:sz w:val="20"/>
        </w:rPr>
      </w:pPr>
      <w:r>
        <w:rPr>
          <w:color w:val="404040"/>
          <w:sz w:val="20"/>
        </w:rPr>
        <w:t>In 20 years around 19% of this group are projected to be receiving an income support payment, with the majority projected to be in class ‘6 Pension</w:t>
      </w:r>
      <w:r>
        <w:rPr>
          <w:color w:val="404040"/>
          <w:spacing w:val="-6"/>
          <w:sz w:val="20"/>
        </w:rPr>
        <w:t> </w:t>
      </w:r>
      <w:r>
        <w:rPr>
          <w:color w:val="404040"/>
          <w:sz w:val="20"/>
        </w:rPr>
        <w:t>Age’.</w:t>
      </w:r>
    </w:p>
    <w:p>
      <w:pPr>
        <w:pStyle w:val="BodyText"/>
        <w:spacing w:before="6"/>
      </w:pPr>
    </w:p>
    <w:p>
      <w:pPr>
        <w:pStyle w:val="Heading6"/>
        <w:spacing w:before="1"/>
        <w:rPr>
          <w:i/>
        </w:rPr>
      </w:pPr>
      <w:r>
        <w:rPr>
          <w:i/>
          <w:color w:val="DF2F1E"/>
        </w:rPr>
        <w:t>Duration</w:t>
      </w:r>
    </w:p>
    <w:p>
      <w:pPr>
        <w:pStyle w:val="BodyText"/>
        <w:spacing w:line="242" w:lineRule="auto" w:before="118"/>
        <w:ind w:left="900" w:right="1431"/>
      </w:pPr>
      <w:r>
        <w:rPr>
          <w:color w:val="404040"/>
        </w:rPr>
        <w:t>The average future life expectancy for the Rest of Australian Population class is </w:t>
      </w:r>
      <w:r>
        <w:rPr>
          <w:b/>
          <w:color w:val="404040"/>
        </w:rPr>
        <w:t>63 </w:t>
      </w:r>
      <w:r>
        <w:rPr>
          <w:color w:val="404040"/>
        </w:rPr>
        <w:t>years. This reflects that there are a large proportion of young people in this class.</w:t>
      </w:r>
    </w:p>
    <w:p>
      <w:pPr>
        <w:pStyle w:val="BodyText"/>
        <w:spacing w:before="119"/>
        <w:ind w:left="900" w:right="1155"/>
      </w:pPr>
      <w:r>
        <w:rPr>
          <w:color w:val="404040"/>
        </w:rPr>
        <w:t>The table below provides a summary of the expected welfare system use of people currently in this class over this time. This has been developed by considering which classes people move into as they move through the welfare system over their lives.</w:t>
      </w:r>
    </w:p>
    <w:p>
      <w:pPr>
        <w:pStyle w:val="Heading9"/>
        <w:spacing w:before="174" w:after="47"/>
      </w:pPr>
      <w:r>
        <w:rPr>
          <w:color w:val="DF2F1E"/>
        </w:rPr>
        <w:t>Table 47: Average expected durations in welfare system for people currently in class 12</w:t>
      </w:r>
    </w:p>
    <w:tbl>
      <w:tblPr>
        <w:tblW w:w="0" w:type="auto"/>
        <w:jc w:val="left"/>
        <w:tblInd w:w="1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30"/>
        <w:gridCol w:w="1765"/>
        <w:gridCol w:w="2773"/>
      </w:tblGrid>
      <w:tr>
        <w:trPr>
          <w:trHeight w:val="283" w:hRule="atLeast"/>
        </w:trPr>
        <w:tc>
          <w:tcPr>
            <w:tcW w:w="4330" w:type="dxa"/>
            <w:shd w:val="clear" w:color="auto" w:fill="DF2F1E"/>
          </w:tcPr>
          <w:p>
            <w:pPr>
              <w:pStyle w:val="TableParagraph"/>
              <w:spacing w:before="0"/>
              <w:rPr>
                <w:rFonts w:ascii="Times New Roman"/>
                <w:sz w:val="18"/>
              </w:rPr>
            </w:pPr>
          </w:p>
        </w:tc>
        <w:tc>
          <w:tcPr>
            <w:tcW w:w="1765" w:type="dxa"/>
            <w:shd w:val="clear" w:color="auto" w:fill="DF2F1E"/>
          </w:tcPr>
          <w:p>
            <w:pPr>
              <w:pStyle w:val="TableParagraph"/>
              <w:spacing w:before="44"/>
              <w:ind w:left="149" w:right="383"/>
              <w:jc w:val="center"/>
              <w:rPr>
                <w:b/>
                <w:sz w:val="16"/>
              </w:rPr>
            </w:pPr>
            <w:r>
              <w:rPr>
                <w:b/>
                <w:color w:val="FFFFFF"/>
                <w:sz w:val="16"/>
              </w:rPr>
              <w:t>Expected Years</w:t>
            </w:r>
          </w:p>
        </w:tc>
        <w:tc>
          <w:tcPr>
            <w:tcW w:w="2773" w:type="dxa"/>
            <w:shd w:val="clear" w:color="auto" w:fill="DF2F1E"/>
          </w:tcPr>
          <w:p>
            <w:pPr>
              <w:pStyle w:val="TableParagraph"/>
              <w:spacing w:before="44"/>
              <w:ind w:left="394" w:right="124"/>
              <w:jc w:val="center"/>
              <w:rPr>
                <w:b/>
                <w:sz w:val="16"/>
              </w:rPr>
            </w:pPr>
            <w:r>
              <w:rPr>
                <w:b/>
                <w:color w:val="FFFFFF"/>
                <w:sz w:val="16"/>
              </w:rPr>
              <w:t>Proportion of Future Lifetime</w:t>
            </w:r>
          </w:p>
        </w:tc>
      </w:tr>
      <w:tr>
        <w:trPr>
          <w:trHeight w:val="261" w:hRule="atLeast"/>
        </w:trPr>
        <w:tc>
          <w:tcPr>
            <w:tcW w:w="4330" w:type="dxa"/>
            <w:tcBorders>
              <w:left w:val="single" w:sz="4" w:space="0" w:color="DF2F1E"/>
            </w:tcBorders>
          </w:tcPr>
          <w:p>
            <w:pPr>
              <w:pStyle w:val="TableParagraph"/>
              <w:spacing w:before="34"/>
              <w:ind w:left="107"/>
              <w:rPr>
                <w:b/>
                <w:sz w:val="16"/>
              </w:rPr>
            </w:pPr>
            <w:r>
              <w:rPr>
                <w:b/>
                <w:color w:val="404040"/>
                <w:sz w:val="16"/>
              </w:rPr>
              <w:t>Years with some income support payments:</w:t>
            </w:r>
          </w:p>
        </w:tc>
        <w:tc>
          <w:tcPr>
            <w:tcW w:w="1765" w:type="dxa"/>
          </w:tcPr>
          <w:p>
            <w:pPr>
              <w:pStyle w:val="TableParagraph"/>
              <w:spacing w:before="0"/>
              <w:rPr>
                <w:rFonts w:ascii="Times New Roman"/>
                <w:sz w:val="18"/>
              </w:rPr>
            </w:pPr>
          </w:p>
        </w:tc>
        <w:tc>
          <w:tcPr>
            <w:tcW w:w="2773" w:type="dxa"/>
            <w:tcBorders>
              <w:right w:val="single" w:sz="4" w:space="0" w:color="DF2F1E"/>
            </w:tcBorders>
          </w:tcPr>
          <w:p>
            <w:pPr>
              <w:pStyle w:val="TableParagraph"/>
              <w:spacing w:before="0"/>
              <w:rPr>
                <w:rFonts w:ascii="Times New Roman"/>
                <w:sz w:val="18"/>
              </w:rPr>
            </w:pPr>
          </w:p>
        </w:tc>
      </w:tr>
      <w:tr>
        <w:trPr>
          <w:trHeight w:val="265" w:hRule="atLeast"/>
        </w:trPr>
        <w:tc>
          <w:tcPr>
            <w:tcW w:w="4330" w:type="dxa"/>
            <w:tcBorders>
              <w:left w:val="single" w:sz="4" w:space="0" w:color="DF2F1E"/>
            </w:tcBorders>
          </w:tcPr>
          <w:p>
            <w:pPr>
              <w:pStyle w:val="TableParagraph"/>
              <w:tabs>
                <w:tab w:pos="513" w:val="left" w:leader="none"/>
              </w:tabs>
              <w:ind w:left="153"/>
              <w:rPr>
                <w:b/>
                <w:sz w:val="16"/>
              </w:rPr>
            </w:pPr>
            <w:r>
              <w:rPr>
                <w:color w:val="404040"/>
                <w:sz w:val="16"/>
              </w:rPr>
              <w:t>-</w:t>
              <w:tab/>
            </w:r>
            <w:r>
              <w:rPr>
                <w:b/>
                <w:color w:val="404040"/>
                <w:sz w:val="16"/>
              </w:rPr>
              <w:t>Not </w:t>
            </w:r>
            <w:r>
              <w:rPr>
                <w:b/>
                <w:color w:val="404040"/>
                <w:spacing w:val="-3"/>
                <w:sz w:val="16"/>
              </w:rPr>
              <w:t>Age </w:t>
            </w:r>
            <w:r>
              <w:rPr>
                <w:b/>
                <w:color w:val="404040"/>
                <w:sz w:val="16"/>
              </w:rPr>
              <w:t>Pension (classes</w:t>
            </w:r>
            <w:r>
              <w:rPr>
                <w:b/>
                <w:color w:val="404040"/>
                <w:spacing w:val="5"/>
                <w:sz w:val="16"/>
              </w:rPr>
              <w:t> </w:t>
            </w:r>
            <w:r>
              <w:rPr>
                <w:b/>
                <w:color w:val="404040"/>
                <w:sz w:val="16"/>
              </w:rPr>
              <w:t>1-5)</w:t>
            </w:r>
          </w:p>
        </w:tc>
        <w:tc>
          <w:tcPr>
            <w:tcW w:w="1765" w:type="dxa"/>
          </w:tcPr>
          <w:p>
            <w:pPr>
              <w:pStyle w:val="TableParagraph"/>
              <w:spacing w:before="40"/>
              <w:ind w:right="234"/>
              <w:jc w:val="center"/>
              <w:rPr>
                <w:sz w:val="16"/>
              </w:rPr>
            </w:pPr>
            <w:r>
              <w:rPr>
                <w:color w:val="404040"/>
                <w:w w:val="100"/>
                <w:sz w:val="16"/>
              </w:rPr>
              <w:t>5</w:t>
            </w:r>
          </w:p>
        </w:tc>
        <w:tc>
          <w:tcPr>
            <w:tcW w:w="2773" w:type="dxa"/>
            <w:tcBorders>
              <w:right w:val="single" w:sz="4" w:space="0" w:color="DF2F1E"/>
            </w:tcBorders>
          </w:tcPr>
          <w:p>
            <w:pPr>
              <w:pStyle w:val="TableParagraph"/>
              <w:spacing w:before="40"/>
              <w:ind w:left="1293" w:right="1020"/>
              <w:jc w:val="center"/>
              <w:rPr>
                <w:sz w:val="16"/>
              </w:rPr>
            </w:pPr>
            <w:r>
              <w:rPr>
                <w:color w:val="404040"/>
                <w:sz w:val="16"/>
              </w:rPr>
              <w:t>8%</w:t>
            </w:r>
          </w:p>
        </w:tc>
      </w:tr>
      <w:tr>
        <w:trPr>
          <w:trHeight w:val="265" w:hRule="atLeast"/>
        </w:trPr>
        <w:tc>
          <w:tcPr>
            <w:tcW w:w="4330" w:type="dxa"/>
            <w:tcBorders>
              <w:left w:val="single" w:sz="4" w:space="0" w:color="DF2F1E"/>
              <w:bottom w:val="single" w:sz="4" w:space="0" w:color="DF2F1E"/>
            </w:tcBorders>
          </w:tcPr>
          <w:p>
            <w:pPr>
              <w:pStyle w:val="TableParagraph"/>
              <w:tabs>
                <w:tab w:pos="513" w:val="left" w:leader="none"/>
              </w:tabs>
              <w:spacing w:before="36"/>
              <w:ind w:left="153"/>
              <w:rPr>
                <w:b/>
                <w:sz w:val="16"/>
              </w:rPr>
            </w:pPr>
            <w:r>
              <w:rPr>
                <w:color w:val="404040"/>
                <w:sz w:val="16"/>
              </w:rPr>
              <w:t>-</w:t>
              <w:tab/>
            </w:r>
            <w:r>
              <w:rPr>
                <w:b/>
                <w:color w:val="404040"/>
                <w:sz w:val="16"/>
              </w:rPr>
              <w:t>Age Pension (class</w:t>
            </w:r>
            <w:r>
              <w:rPr>
                <w:b/>
                <w:color w:val="404040"/>
                <w:spacing w:val="-3"/>
                <w:sz w:val="16"/>
              </w:rPr>
              <w:t> </w:t>
            </w:r>
            <w:r>
              <w:rPr>
                <w:b/>
                <w:color w:val="404040"/>
                <w:sz w:val="16"/>
              </w:rPr>
              <w:t>6)</w:t>
            </w:r>
          </w:p>
        </w:tc>
        <w:tc>
          <w:tcPr>
            <w:tcW w:w="1765" w:type="dxa"/>
            <w:tcBorders>
              <w:bottom w:val="single" w:sz="4" w:space="0" w:color="DF2F1E"/>
            </w:tcBorders>
          </w:tcPr>
          <w:p>
            <w:pPr>
              <w:pStyle w:val="TableParagraph"/>
              <w:spacing w:before="39"/>
              <w:ind w:left="149" w:right="381"/>
              <w:jc w:val="center"/>
              <w:rPr>
                <w:sz w:val="16"/>
              </w:rPr>
            </w:pPr>
            <w:r>
              <w:rPr>
                <w:color w:val="404040"/>
                <w:sz w:val="16"/>
              </w:rPr>
              <w:t>13</w:t>
            </w:r>
          </w:p>
        </w:tc>
        <w:tc>
          <w:tcPr>
            <w:tcW w:w="2773" w:type="dxa"/>
            <w:tcBorders>
              <w:bottom w:val="single" w:sz="4" w:space="0" w:color="DF2F1E"/>
              <w:right w:val="single" w:sz="4" w:space="0" w:color="DF2F1E"/>
            </w:tcBorders>
          </w:tcPr>
          <w:p>
            <w:pPr>
              <w:pStyle w:val="TableParagraph"/>
              <w:spacing w:before="39"/>
              <w:ind w:left="1293" w:right="1023"/>
              <w:jc w:val="center"/>
              <w:rPr>
                <w:sz w:val="16"/>
              </w:rPr>
            </w:pPr>
            <w:r>
              <w:rPr>
                <w:color w:val="404040"/>
                <w:sz w:val="16"/>
              </w:rPr>
              <w:t>21%</w:t>
            </w:r>
          </w:p>
        </w:tc>
      </w:tr>
      <w:tr>
        <w:trPr>
          <w:trHeight w:val="263" w:hRule="atLeast"/>
        </w:trPr>
        <w:tc>
          <w:tcPr>
            <w:tcW w:w="4330" w:type="dxa"/>
            <w:tcBorders>
              <w:top w:val="single" w:sz="4" w:space="0" w:color="DF2F1E"/>
              <w:left w:val="single" w:sz="4" w:space="0" w:color="DF2F1E"/>
              <w:bottom w:val="single" w:sz="4" w:space="0" w:color="DF2F1E"/>
            </w:tcBorders>
          </w:tcPr>
          <w:p>
            <w:pPr>
              <w:pStyle w:val="TableParagraph"/>
              <w:spacing w:before="34"/>
              <w:ind w:left="107"/>
              <w:rPr>
                <w:b/>
                <w:sz w:val="16"/>
              </w:rPr>
            </w:pPr>
            <w:r>
              <w:rPr>
                <w:b/>
                <w:color w:val="404040"/>
                <w:sz w:val="16"/>
              </w:rPr>
              <w:t>Years with non income support payments only</w:t>
            </w:r>
          </w:p>
        </w:tc>
        <w:tc>
          <w:tcPr>
            <w:tcW w:w="1765" w:type="dxa"/>
            <w:tcBorders>
              <w:top w:val="single" w:sz="4" w:space="0" w:color="DF2F1E"/>
              <w:bottom w:val="single" w:sz="4" w:space="0" w:color="DF2F1E"/>
            </w:tcBorders>
          </w:tcPr>
          <w:p>
            <w:pPr>
              <w:pStyle w:val="TableParagraph"/>
              <w:ind w:right="234"/>
              <w:jc w:val="center"/>
              <w:rPr>
                <w:sz w:val="16"/>
              </w:rPr>
            </w:pPr>
            <w:r>
              <w:rPr>
                <w:color w:val="404040"/>
                <w:w w:val="100"/>
                <w:sz w:val="16"/>
              </w:rPr>
              <w:t>4</w:t>
            </w:r>
          </w:p>
        </w:tc>
        <w:tc>
          <w:tcPr>
            <w:tcW w:w="2773" w:type="dxa"/>
            <w:tcBorders>
              <w:top w:val="single" w:sz="4" w:space="0" w:color="DF2F1E"/>
              <w:bottom w:val="single" w:sz="4" w:space="0" w:color="DF2F1E"/>
              <w:right w:val="single" w:sz="4" w:space="0" w:color="DF2F1E"/>
            </w:tcBorders>
          </w:tcPr>
          <w:p>
            <w:pPr>
              <w:pStyle w:val="TableParagraph"/>
              <w:ind w:left="1293" w:right="1020"/>
              <w:jc w:val="center"/>
              <w:rPr>
                <w:sz w:val="16"/>
              </w:rPr>
            </w:pPr>
            <w:r>
              <w:rPr>
                <w:color w:val="404040"/>
                <w:sz w:val="16"/>
              </w:rPr>
              <w:t>6%</w:t>
            </w:r>
          </w:p>
        </w:tc>
      </w:tr>
      <w:tr>
        <w:trPr>
          <w:trHeight w:val="263" w:hRule="atLeast"/>
        </w:trPr>
        <w:tc>
          <w:tcPr>
            <w:tcW w:w="4330" w:type="dxa"/>
            <w:tcBorders>
              <w:top w:val="single" w:sz="4" w:space="0" w:color="DF2F1E"/>
              <w:left w:val="single" w:sz="4" w:space="0" w:color="DF2F1E"/>
              <w:bottom w:val="single" w:sz="4" w:space="0" w:color="DF2F1E"/>
            </w:tcBorders>
          </w:tcPr>
          <w:p>
            <w:pPr>
              <w:pStyle w:val="TableParagraph"/>
              <w:spacing w:before="34"/>
              <w:ind w:left="107"/>
              <w:rPr>
                <w:b/>
                <w:sz w:val="16"/>
              </w:rPr>
            </w:pPr>
            <w:r>
              <w:rPr>
                <w:b/>
                <w:color w:val="404040"/>
                <w:sz w:val="16"/>
              </w:rPr>
              <w:t>Years not receiving any welfare payments</w:t>
            </w:r>
          </w:p>
        </w:tc>
        <w:tc>
          <w:tcPr>
            <w:tcW w:w="1765" w:type="dxa"/>
            <w:tcBorders>
              <w:top w:val="single" w:sz="4" w:space="0" w:color="DF2F1E"/>
              <w:bottom w:val="single" w:sz="4" w:space="0" w:color="DF2F1E"/>
            </w:tcBorders>
          </w:tcPr>
          <w:p>
            <w:pPr>
              <w:pStyle w:val="TableParagraph"/>
              <w:ind w:left="149" w:right="381"/>
              <w:jc w:val="center"/>
              <w:rPr>
                <w:sz w:val="16"/>
              </w:rPr>
            </w:pPr>
            <w:r>
              <w:rPr>
                <w:color w:val="404040"/>
                <w:sz w:val="16"/>
              </w:rPr>
              <w:t>41</w:t>
            </w:r>
          </w:p>
        </w:tc>
        <w:tc>
          <w:tcPr>
            <w:tcW w:w="2773" w:type="dxa"/>
            <w:tcBorders>
              <w:top w:val="single" w:sz="4" w:space="0" w:color="DF2F1E"/>
              <w:bottom w:val="single" w:sz="4" w:space="0" w:color="DF2F1E"/>
              <w:right w:val="single" w:sz="4" w:space="0" w:color="DF2F1E"/>
            </w:tcBorders>
          </w:tcPr>
          <w:p>
            <w:pPr>
              <w:pStyle w:val="TableParagraph"/>
              <w:ind w:left="1293" w:right="1023"/>
              <w:jc w:val="center"/>
              <w:rPr>
                <w:sz w:val="16"/>
              </w:rPr>
            </w:pPr>
            <w:r>
              <w:rPr>
                <w:color w:val="404040"/>
                <w:sz w:val="16"/>
              </w:rPr>
              <w:t>65%</w:t>
            </w:r>
          </w:p>
        </w:tc>
      </w:tr>
      <w:tr>
        <w:trPr>
          <w:trHeight w:val="266" w:hRule="atLeast"/>
        </w:trPr>
        <w:tc>
          <w:tcPr>
            <w:tcW w:w="4330" w:type="dxa"/>
            <w:tcBorders>
              <w:top w:val="single" w:sz="4" w:space="0" w:color="DF2F1E"/>
              <w:left w:val="single" w:sz="4" w:space="0" w:color="DF2F1E"/>
              <w:bottom w:val="single" w:sz="4" w:space="0" w:color="DF2F1E"/>
            </w:tcBorders>
          </w:tcPr>
          <w:p>
            <w:pPr>
              <w:pStyle w:val="TableParagraph"/>
              <w:ind w:left="107"/>
              <w:rPr>
                <w:b/>
                <w:sz w:val="16"/>
              </w:rPr>
            </w:pPr>
            <w:r>
              <w:rPr>
                <w:b/>
                <w:color w:val="404040"/>
                <w:sz w:val="16"/>
              </w:rPr>
              <w:t>Total</w:t>
            </w:r>
          </w:p>
        </w:tc>
        <w:tc>
          <w:tcPr>
            <w:tcW w:w="1765" w:type="dxa"/>
            <w:tcBorders>
              <w:top w:val="single" w:sz="4" w:space="0" w:color="DF2F1E"/>
              <w:bottom w:val="single" w:sz="4" w:space="0" w:color="DF2F1E"/>
            </w:tcBorders>
          </w:tcPr>
          <w:p>
            <w:pPr>
              <w:pStyle w:val="TableParagraph"/>
              <w:spacing w:before="39"/>
              <w:ind w:left="149" w:right="381"/>
              <w:jc w:val="center"/>
              <w:rPr>
                <w:sz w:val="16"/>
              </w:rPr>
            </w:pPr>
            <w:r>
              <w:rPr>
                <w:color w:val="404040"/>
                <w:sz w:val="16"/>
              </w:rPr>
              <w:t>63</w:t>
            </w:r>
          </w:p>
        </w:tc>
        <w:tc>
          <w:tcPr>
            <w:tcW w:w="2773" w:type="dxa"/>
            <w:tcBorders>
              <w:top w:val="single" w:sz="4" w:space="0" w:color="DF2F1E"/>
              <w:bottom w:val="single" w:sz="4" w:space="0" w:color="DF2F1E"/>
              <w:right w:val="single" w:sz="4" w:space="0" w:color="DF2F1E"/>
            </w:tcBorders>
          </w:tcPr>
          <w:p>
            <w:pPr>
              <w:pStyle w:val="TableParagraph"/>
              <w:spacing w:before="39"/>
              <w:ind w:left="1293" w:right="1025"/>
              <w:jc w:val="center"/>
              <w:rPr>
                <w:sz w:val="16"/>
              </w:rPr>
            </w:pPr>
            <w:r>
              <w:rPr>
                <w:color w:val="404040"/>
                <w:sz w:val="16"/>
              </w:rPr>
              <w:t>100%</w:t>
            </w:r>
          </w:p>
        </w:tc>
      </w:tr>
    </w:tbl>
    <w:p>
      <w:pPr>
        <w:spacing w:after="0"/>
        <w:jc w:val="center"/>
        <w:rPr>
          <w:sz w:val="16"/>
        </w:rPr>
        <w:sectPr>
          <w:headerReference w:type="default" r:id="rId238"/>
          <w:footerReference w:type="default" r:id="rId239"/>
          <w:pgSz w:w="11910" w:h="16850"/>
          <w:pgMar w:header="572" w:footer="581" w:top="780" w:bottom="780" w:left="120" w:right="0"/>
        </w:sectPr>
      </w:pPr>
    </w:p>
    <w:p>
      <w:pPr>
        <w:pStyle w:val="BodyText"/>
        <w:spacing w:before="4"/>
        <w:rPr>
          <w:b/>
          <w:sz w:val="17"/>
        </w:rPr>
      </w:pPr>
    </w:p>
    <w:p>
      <w:pPr>
        <w:spacing w:after="0"/>
        <w:rPr>
          <w:sz w:val="17"/>
        </w:rPr>
        <w:sectPr>
          <w:headerReference w:type="default" r:id="rId240"/>
          <w:footerReference w:type="default" r:id="rId241"/>
          <w:pgSz w:w="11910" w:h="16850"/>
          <w:pgMar w:header="0" w:footer="0" w:top="1600" w:bottom="280" w:left="120" w:right="0"/>
        </w:sectPr>
      </w:pPr>
    </w:p>
    <w:p>
      <w:pPr>
        <w:pStyle w:val="BodyText"/>
        <w:ind w:left="121"/>
      </w:pPr>
      <w:r>
        <w:rPr/>
        <w:drawing>
          <wp:inline distT="0" distB="0" distL="0" distR="0">
            <wp:extent cx="7326434" cy="4614291"/>
            <wp:effectExtent l="0" t="0" r="0" b="0"/>
            <wp:docPr id="389" name="image194.jpeg" descr="A female student with a backpack, smiling and holding a folder."/>
            <wp:cNvGraphicFramePr>
              <a:graphicFrameLocks noChangeAspect="1"/>
            </wp:cNvGraphicFramePr>
            <a:graphic>
              <a:graphicData uri="http://schemas.openxmlformats.org/drawingml/2006/picture">
                <pic:pic>
                  <pic:nvPicPr>
                    <pic:cNvPr id="390" name="image194.jpeg"/>
                    <pic:cNvPicPr/>
                  </pic:nvPicPr>
                  <pic:blipFill>
                    <a:blip r:embed="rId244" cstate="print"/>
                    <a:stretch>
                      <a:fillRect/>
                    </a:stretch>
                  </pic:blipFill>
                  <pic:spPr>
                    <a:xfrm>
                      <a:off x="0" y="0"/>
                      <a:ext cx="7326434" cy="4614291"/>
                    </a:xfrm>
                    <a:prstGeom prst="rect">
                      <a:avLst/>
                    </a:prstGeom>
                  </pic:spPr>
                </pic:pic>
              </a:graphicData>
            </a:graphic>
          </wp:inline>
        </w:drawing>
      </w:r>
      <w:r>
        <w:rPr/>
      </w:r>
    </w:p>
    <w:p>
      <w:pPr>
        <w:pStyle w:val="BodyText"/>
        <w:rPr>
          <w:b/>
        </w:rPr>
      </w:pPr>
    </w:p>
    <w:p>
      <w:pPr>
        <w:pStyle w:val="BodyText"/>
        <w:rPr>
          <w:b/>
        </w:rPr>
      </w:pPr>
    </w:p>
    <w:p>
      <w:pPr>
        <w:pStyle w:val="BodyText"/>
        <w:rPr>
          <w:b/>
        </w:rPr>
      </w:pPr>
    </w:p>
    <w:p>
      <w:pPr>
        <w:pStyle w:val="BodyText"/>
        <w:rPr>
          <w:b/>
        </w:rPr>
      </w:pPr>
    </w:p>
    <w:p>
      <w:pPr>
        <w:pStyle w:val="BodyText"/>
        <w:spacing w:before="2"/>
        <w:rPr>
          <w:b/>
          <w:sz w:val="24"/>
        </w:rPr>
      </w:pPr>
    </w:p>
    <w:tbl>
      <w:tblPr>
        <w:tblW w:w="0" w:type="auto"/>
        <w:jc w:val="left"/>
        <w:tblInd w:w="8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49"/>
        <w:gridCol w:w="3793"/>
        <w:gridCol w:w="2265"/>
      </w:tblGrid>
      <w:tr>
        <w:trPr>
          <w:trHeight w:val="748" w:hRule="atLeast"/>
        </w:trPr>
        <w:tc>
          <w:tcPr>
            <w:tcW w:w="3849" w:type="dxa"/>
          </w:tcPr>
          <w:p>
            <w:pPr>
              <w:pStyle w:val="TableParagraph"/>
              <w:spacing w:line="716" w:lineRule="exact" w:before="0"/>
              <w:ind w:left="31" w:right="433"/>
              <w:jc w:val="center"/>
              <w:rPr>
                <w:sz w:val="64"/>
              </w:rPr>
            </w:pPr>
            <w:bookmarkStart w:name="Appendices" w:id="227"/>
            <w:bookmarkEnd w:id="227"/>
            <w:r>
              <w:rPr/>
            </w:r>
            <w:bookmarkStart w:name="_bookmark55" w:id="228"/>
            <w:bookmarkEnd w:id="228"/>
            <w:r>
              <w:rPr/>
            </w:r>
            <w:r>
              <w:rPr>
                <w:color w:val="DF2F1E"/>
                <w:sz w:val="64"/>
              </w:rPr>
              <w:t>Appendices</w:t>
            </w:r>
          </w:p>
        </w:tc>
        <w:tc>
          <w:tcPr>
            <w:tcW w:w="6058" w:type="dxa"/>
            <w:gridSpan w:val="2"/>
          </w:tcPr>
          <w:p>
            <w:pPr>
              <w:pStyle w:val="TableParagraph"/>
              <w:spacing w:before="0"/>
              <w:rPr>
                <w:rFonts w:ascii="Times New Roman"/>
                <w:sz w:val="24"/>
              </w:rPr>
            </w:pPr>
          </w:p>
        </w:tc>
      </w:tr>
      <w:tr>
        <w:trPr>
          <w:trHeight w:val="289" w:hRule="atLeast"/>
        </w:trPr>
        <w:tc>
          <w:tcPr>
            <w:tcW w:w="3849" w:type="dxa"/>
          </w:tcPr>
          <w:p>
            <w:pPr>
              <w:pStyle w:val="TableParagraph"/>
              <w:spacing w:before="25"/>
              <w:ind w:left="31" w:right="398"/>
              <w:jc w:val="center"/>
              <w:rPr>
                <w:b/>
                <w:sz w:val="20"/>
              </w:rPr>
            </w:pPr>
            <w:r>
              <w:rPr>
                <w:b/>
                <w:sz w:val="20"/>
              </w:rPr>
              <w:t>Appendix A</w:t>
            </w:r>
          </w:p>
        </w:tc>
        <w:tc>
          <w:tcPr>
            <w:tcW w:w="3793" w:type="dxa"/>
          </w:tcPr>
          <w:p>
            <w:pPr>
              <w:pStyle w:val="TableParagraph"/>
              <w:spacing w:before="25"/>
              <w:ind w:left="453"/>
              <w:rPr>
                <w:b/>
                <w:sz w:val="20"/>
              </w:rPr>
            </w:pPr>
            <w:r>
              <w:rPr>
                <w:b/>
                <w:sz w:val="20"/>
              </w:rPr>
              <w:t>Glossary</w:t>
            </w:r>
          </w:p>
        </w:tc>
        <w:tc>
          <w:tcPr>
            <w:tcW w:w="2265" w:type="dxa"/>
          </w:tcPr>
          <w:p>
            <w:pPr>
              <w:pStyle w:val="TableParagraph"/>
              <w:spacing w:before="25"/>
              <w:ind w:right="48"/>
              <w:jc w:val="right"/>
              <w:rPr>
                <w:b/>
                <w:sz w:val="20"/>
              </w:rPr>
            </w:pPr>
            <w:r>
              <w:rPr>
                <w:b/>
                <w:w w:val="95"/>
                <w:sz w:val="20"/>
              </w:rPr>
              <w:t>154</w:t>
            </w:r>
          </w:p>
        </w:tc>
      </w:tr>
      <w:tr>
        <w:trPr>
          <w:trHeight w:val="256" w:hRule="atLeast"/>
        </w:trPr>
        <w:tc>
          <w:tcPr>
            <w:tcW w:w="3849" w:type="dxa"/>
          </w:tcPr>
          <w:p>
            <w:pPr>
              <w:pStyle w:val="TableParagraph"/>
              <w:spacing w:line="210" w:lineRule="exact" w:before="26"/>
              <w:ind w:left="31" w:right="403"/>
              <w:jc w:val="center"/>
              <w:rPr>
                <w:b/>
                <w:sz w:val="20"/>
              </w:rPr>
            </w:pPr>
            <w:r>
              <w:rPr>
                <w:b/>
                <w:sz w:val="20"/>
              </w:rPr>
              <w:t>Appendix B</w:t>
            </w:r>
          </w:p>
        </w:tc>
        <w:tc>
          <w:tcPr>
            <w:tcW w:w="3793" w:type="dxa"/>
          </w:tcPr>
          <w:p>
            <w:pPr>
              <w:pStyle w:val="TableParagraph"/>
              <w:spacing w:line="210" w:lineRule="exact" w:before="26"/>
              <w:ind w:left="453"/>
              <w:rPr>
                <w:b/>
                <w:sz w:val="20"/>
              </w:rPr>
            </w:pPr>
            <w:r>
              <w:rPr>
                <w:b/>
                <w:sz w:val="20"/>
              </w:rPr>
              <w:t>Policy changes</w:t>
            </w:r>
          </w:p>
        </w:tc>
        <w:tc>
          <w:tcPr>
            <w:tcW w:w="2265" w:type="dxa"/>
          </w:tcPr>
          <w:p>
            <w:pPr>
              <w:pStyle w:val="TableParagraph"/>
              <w:spacing w:line="210" w:lineRule="exact" w:before="26"/>
              <w:ind w:right="48"/>
              <w:jc w:val="right"/>
              <w:rPr>
                <w:b/>
                <w:sz w:val="20"/>
              </w:rPr>
            </w:pPr>
            <w:r>
              <w:rPr>
                <w:b/>
                <w:w w:val="95"/>
                <w:sz w:val="20"/>
              </w:rPr>
              <w:t>157</w:t>
            </w:r>
          </w:p>
        </w:tc>
      </w:tr>
    </w:tbl>
    <w:p>
      <w:pPr>
        <w:spacing w:after="0" w:line="210" w:lineRule="exact"/>
        <w:jc w:val="right"/>
        <w:rPr>
          <w:sz w:val="20"/>
        </w:rPr>
        <w:sectPr>
          <w:headerReference w:type="default" r:id="rId242"/>
          <w:footerReference w:type="default" r:id="rId243"/>
          <w:pgSz w:w="11910" w:h="16850"/>
          <w:pgMar w:header="0" w:footer="581" w:top="220" w:bottom="780" w:left="120" w:right="0"/>
          <w:pgNumType w:start="153"/>
        </w:sectPr>
      </w:pPr>
    </w:p>
    <w:p>
      <w:pPr>
        <w:pStyle w:val="BodyText"/>
        <w:rPr>
          <w:b/>
        </w:rPr>
      </w:pPr>
    </w:p>
    <w:p>
      <w:pPr>
        <w:pStyle w:val="BodyText"/>
        <w:rPr>
          <w:b/>
        </w:rPr>
      </w:pPr>
    </w:p>
    <w:p>
      <w:pPr>
        <w:pStyle w:val="BodyText"/>
        <w:rPr>
          <w:b/>
          <w:sz w:val="22"/>
        </w:rPr>
      </w:pPr>
    </w:p>
    <w:p>
      <w:pPr>
        <w:tabs>
          <w:tab w:pos="3168" w:val="left" w:leader="none"/>
        </w:tabs>
        <w:spacing w:before="88"/>
        <w:ind w:left="900" w:right="0" w:firstLine="0"/>
        <w:jc w:val="left"/>
        <w:rPr>
          <w:sz w:val="40"/>
        </w:rPr>
      </w:pPr>
      <w:bookmarkStart w:name="Appendix A Glossary" w:id="229"/>
      <w:bookmarkEnd w:id="229"/>
      <w:r>
        <w:rPr/>
      </w:r>
      <w:bookmarkStart w:name="_bookmark56" w:id="230"/>
      <w:bookmarkEnd w:id="230"/>
      <w:r>
        <w:rPr/>
      </w:r>
      <w:r>
        <w:rPr>
          <w:color w:val="DF2F1E"/>
          <w:sz w:val="40"/>
        </w:rPr>
        <w:t>Appendix</w:t>
      </w:r>
      <w:r>
        <w:rPr>
          <w:color w:val="DF2F1E"/>
          <w:spacing w:val="-2"/>
          <w:sz w:val="40"/>
        </w:rPr>
        <w:t> </w:t>
      </w:r>
      <w:r>
        <w:rPr>
          <w:color w:val="DF2F1E"/>
          <w:sz w:val="40"/>
        </w:rPr>
        <w:t>A</w:t>
        <w:tab/>
        <w:t>Glossary</w:t>
      </w:r>
    </w:p>
    <w:p>
      <w:pPr>
        <w:spacing w:before="241"/>
        <w:ind w:left="900" w:right="0" w:firstLine="0"/>
        <w:jc w:val="left"/>
        <w:rPr>
          <w:sz w:val="18"/>
        </w:rPr>
      </w:pPr>
      <w:r>
        <w:rPr>
          <w:color w:val="DF2F1E"/>
          <w:sz w:val="18"/>
        </w:rPr>
        <w:t>Actuarial valuation</w:t>
      </w:r>
    </w:p>
    <w:p>
      <w:pPr>
        <w:spacing w:before="2"/>
        <w:ind w:left="899" w:right="1416" w:firstLine="0"/>
        <w:jc w:val="left"/>
        <w:rPr>
          <w:sz w:val="18"/>
        </w:rPr>
      </w:pPr>
      <w:r>
        <w:rPr>
          <w:sz w:val="18"/>
        </w:rPr>
        <w:t>Estimation of the lifetime cost to the Australian government of future social security payments using generally accepted actuarial principles.</w:t>
      </w:r>
    </w:p>
    <w:p>
      <w:pPr>
        <w:spacing w:line="207" w:lineRule="exact" w:before="80"/>
        <w:ind w:left="899" w:right="0" w:firstLine="0"/>
        <w:jc w:val="left"/>
        <w:rPr>
          <w:sz w:val="18"/>
        </w:rPr>
      </w:pPr>
      <w:r>
        <w:rPr>
          <w:color w:val="DF2F1E"/>
          <w:sz w:val="18"/>
        </w:rPr>
        <w:t>Allowances</w:t>
      </w:r>
    </w:p>
    <w:p>
      <w:pPr>
        <w:spacing w:before="0"/>
        <w:ind w:left="899" w:right="1296" w:firstLine="0"/>
        <w:jc w:val="left"/>
        <w:rPr>
          <w:sz w:val="18"/>
        </w:rPr>
      </w:pPr>
      <w:r>
        <w:rPr>
          <w:sz w:val="18"/>
        </w:rPr>
        <w:t>Allowances provide income support and access to a range of concessions for eligible Australians. The term Allowance is used by the Department to refer to income support payments that are generally at lower payment levels than Pensions.</w:t>
      </w:r>
    </w:p>
    <w:p>
      <w:pPr>
        <w:spacing w:line="207" w:lineRule="exact" w:before="81"/>
        <w:ind w:left="900" w:right="0" w:firstLine="0"/>
        <w:jc w:val="left"/>
        <w:rPr>
          <w:sz w:val="18"/>
        </w:rPr>
      </w:pPr>
      <w:r>
        <w:rPr>
          <w:color w:val="DF2F1E"/>
          <w:sz w:val="18"/>
        </w:rPr>
        <w:t>Assumptions</w:t>
      </w:r>
    </w:p>
    <w:p>
      <w:pPr>
        <w:spacing w:before="0"/>
        <w:ind w:left="900" w:right="1069" w:firstLine="0"/>
        <w:jc w:val="both"/>
        <w:rPr>
          <w:sz w:val="18"/>
        </w:rPr>
      </w:pPr>
      <w:r>
        <w:rPr>
          <w:sz w:val="18"/>
        </w:rPr>
        <w:t>Assumptions are the parameters that guide the model - these include ‘macro’ assumptions such as economic forecasts and demographic assumptions; and ‘micro’ assumptions such as probabilities of individuals moving into and through the welfare system based on various risk factors.</w:t>
      </w:r>
    </w:p>
    <w:p>
      <w:pPr>
        <w:spacing w:line="207" w:lineRule="exact" w:before="79"/>
        <w:ind w:left="900" w:right="0" w:firstLine="0"/>
        <w:jc w:val="left"/>
        <w:rPr>
          <w:sz w:val="18"/>
        </w:rPr>
      </w:pPr>
      <w:r>
        <w:rPr>
          <w:color w:val="DF2F1E"/>
          <w:sz w:val="18"/>
        </w:rPr>
        <w:t>Group</w:t>
      </w:r>
    </w:p>
    <w:p>
      <w:pPr>
        <w:spacing w:before="0"/>
        <w:ind w:left="899" w:right="1067" w:firstLine="0"/>
        <w:jc w:val="left"/>
        <w:rPr>
          <w:sz w:val="18"/>
        </w:rPr>
      </w:pPr>
      <w:r>
        <w:rPr>
          <w:sz w:val="18"/>
        </w:rPr>
        <w:t>In this report we have used the term group to refer to a group of people defined by a set of common characteristics in the model - for example , a group could be "females aged 20 to 24 who were in welfare class ‘Studying’ in 2014/15" or could be "male carers". Generally, groups will be defined by the model structure and individual’s characteristics.</w:t>
      </w:r>
    </w:p>
    <w:p>
      <w:pPr>
        <w:spacing w:line="207" w:lineRule="exact" w:before="80"/>
        <w:ind w:left="900" w:right="0" w:firstLine="0"/>
        <w:jc w:val="left"/>
        <w:rPr>
          <w:sz w:val="18"/>
        </w:rPr>
      </w:pPr>
      <w:r>
        <w:rPr>
          <w:color w:val="DF2F1E"/>
          <w:sz w:val="18"/>
        </w:rPr>
        <w:t>Data</w:t>
      </w:r>
    </w:p>
    <w:p>
      <w:pPr>
        <w:spacing w:line="207" w:lineRule="exact" w:before="0"/>
        <w:ind w:left="899" w:right="0" w:firstLine="0"/>
        <w:jc w:val="left"/>
        <w:rPr>
          <w:sz w:val="18"/>
        </w:rPr>
      </w:pPr>
      <w:r>
        <w:rPr>
          <w:sz w:val="18"/>
        </w:rPr>
        <w:t>Data refers to sets of information that are being used to inform the project.</w:t>
      </w:r>
    </w:p>
    <w:p>
      <w:pPr>
        <w:spacing w:line="207" w:lineRule="exact" w:before="81"/>
        <w:ind w:left="899" w:right="0" w:firstLine="0"/>
        <w:jc w:val="left"/>
        <w:rPr>
          <w:sz w:val="18"/>
        </w:rPr>
      </w:pPr>
      <w:r>
        <w:rPr>
          <w:color w:val="DF2F1E"/>
          <w:sz w:val="18"/>
        </w:rPr>
        <w:t>Datasets</w:t>
      </w:r>
    </w:p>
    <w:p>
      <w:pPr>
        <w:spacing w:before="0"/>
        <w:ind w:left="899" w:right="1166" w:firstLine="0"/>
        <w:jc w:val="left"/>
        <w:rPr>
          <w:sz w:val="18"/>
        </w:rPr>
      </w:pPr>
      <w:r>
        <w:rPr>
          <w:sz w:val="18"/>
        </w:rPr>
        <w:t>A set of values of qualitative (characters) or quantitative (numbers) variables that is data coded in a form suitable for using in analysis.</w:t>
      </w:r>
    </w:p>
    <w:p>
      <w:pPr>
        <w:spacing w:line="207" w:lineRule="exact" w:before="80"/>
        <w:ind w:left="899" w:right="0" w:firstLine="0"/>
        <w:jc w:val="left"/>
        <w:rPr>
          <w:sz w:val="18"/>
        </w:rPr>
      </w:pPr>
      <w:r>
        <w:rPr>
          <w:color w:val="DF2F1E"/>
          <w:sz w:val="18"/>
        </w:rPr>
        <w:t>Data maturity</w:t>
      </w:r>
    </w:p>
    <w:p>
      <w:pPr>
        <w:spacing w:before="0"/>
        <w:ind w:left="899" w:right="1025" w:firstLine="0"/>
        <w:jc w:val="left"/>
        <w:rPr>
          <w:sz w:val="18"/>
        </w:rPr>
      </w:pPr>
      <w:r>
        <w:rPr>
          <w:sz w:val="18"/>
        </w:rPr>
        <w:t>The model data is built by attributing payment information into the year in which a welfare recipient was entitled to a payment (which may differ in some cases from the year when the payment was actually received). The data includes all information known and recorded up to 3 months after the valuation dateat 30 September, which is also the ‘as known at’ date for the data. In some cases further information about a previous entitlement year will only be known at a later date, and the currently known data is said to be immature in these cases. The main maturity issues noted in the valuation relate to the latest entitlement year and a key example is FTB which is received through the tax system and is often only claimed after the end of the year of entitlement. The model makes various adjustments to allow for the impact of data maturity.</w:t>
      </w:r>
    </w:p>
    <w:p>
      <w:pPr>
        <w:spacing w:line="207" w:lineRule="exact" w:before="80"/>
        <w:ind w:left="900" w:right="0" w:firstLine="0"/>
        <w:jc w:val="left"/>
        <w:rPr>
          <w:sz w:val="18"/>
        </w:rPr>
      </w:pPr>
      <w:r>
        <w:rPr>
          <w:color w:val="DF2F1E"/>
          <w:sz w:val="18"/>
        </w:rPr>
        <w:t>Discounting</w:t>
      </w:r>
    </w:p>
    <w:p>
      <w:pPr>
        <w:spacing w:before="0"/>
        <w:ind w:left="900" w:right="1414" w:firstLine="0"/>
        <w:jc w:val="left"/>
        <w:rPr>
          <w:sz w:val="18"/>
        </w:rPr>
      </w:pPr>
      <w:r>
        <w:rPr>
          <w:sz w:val="18"/>
        </w:rPr>
        <w:t>The process of determining the present value of a payment or a stream of payments that is to be received in the future. Given the time value of money, a dollar is worth more today than it would be worth tomorrow given its capacity to earn interest.</w:t>
      </w:r>
    </w:p>
    <w:p>
      <w:pPr>
        <w:spacing w:line="206" w:lineRule="exact" w:before="121"/>
        <w:ind w:left="900" w:right="0" w:firstLine="0"/>
        <w:jc w:val="left"/>
        <w:rPr>
          <w:sz w:val="18"/>
        </w:rPr>
      </w:pPr>
      <w:r>
        <w:rPr>
          <w:color w:val="DF2F1E"/>
          <w:sz w:val="18"/>
        </w:rPr>
        <w:t>Duration on welfare</w:t>
      </w:r>
    </w:p>
    <w:p>
      <w:pPr>
        <w:spacing w:line="244" w:lineRule="auto" w:before="0"/>
        <w:ind w:left="900" w:right="1725" w:firstLine="0"/>
        <w:jc w:val="left"/>
        <w:rPr>
          <w:sz w:val="18"/>
        </w:rPr>
      </w:pPr>
      <w:r>
        <w:rPr>
          <w:sz w:val="18"/>
        </w:rPr>
        <w:t>The number of financial years in which an individual has received a welfare payment. This includes income support payments as well as non income support payments.</w:t>
      </w:r>
    </w:p>
    <w:p>
      <w:pPr>
        <w:spacing w:line="207" w:lineRule="exact" w:before="71"/>
        <w:ind w:left="899" w:right="0" w:firstLine="0"/>
        <w:jc w:val="left"/>
        <w:rPr>
          <w:sz w:val="18"/>
        </w:rPr>
      </w:pPr>
      <w:r>
        <w:rPr>
          <w:color w:val="DF2F1E"/>
          <w:sz w:val="18"/>
        </w:rPr>
        <w:t>Dynamic</w:t>
      </w:r>
    </w:p>
    <w:p>
      <w:pPr>
        <w:spacing w:before="0"/>
        <w:ind w:left="899" w:right="1486" w:firstLine="0"/>
        <w:jc w:val="left"/>
        <w:rPr>
          <w:sz w:val="18"/>
        </w:rPr>
      </w:pPr>
      <w:r>
        <w:rPr>
          <w:sz w:val="18"/>
        </w:rPr>
        <w:t>A term we are using to describe information or data variables that change with the progression of time (e.g. a person’s partner status).</w:t>
      </w:r>
    </w:p>
    <w:p>
      <w:pPr>
        <w:spacing w:line="207" w:lineRule="exact" w:before="82"/>
        <w:ind w:left="899" w:right="0" w:firstLine="0"/>
        <w:jc w:val="left"/>
        <w:rPr>
          <w:sz w:val="18"/>
        </w:rPr>
      </w:pPr>
      <w:r>
        <w:rPr>
          <w:color w:val="DF2F1E"/>
          <w:sz w:val="18"/>
        </w:rPr>
        <w:t>Flow assumptions</w:t>
      </w:r>
    </w:p>
    <w:p>
      <w:pPr>
        <w:spacing w:before="0"/>
        <w:ind w:left="899" w:right="1066" w:firstLine="0"/>
        <w:jc w:val="left"/>
        <w:rPr>
          <w:sz w:val="18"/>
        </w:rPr>
      </w:pPr>
      <w:r>
        <w:rPr>
          <w:sz w:val="18"/>
        </w:rPr>
        <w:t>This comprises the set of assumptions used to ascertain how each person’s individual demographic and risk characteristics change as time progresses.</w:t>
      </w:r>
    </w:p>
    <w:p>
      <w:pPr>
        <w:spacing w:before="119"/>
        <w:ind w:left="899" w:right="0" w:firstLine="0"/>
        <w:jc w:val="left"/>
        <w:rPr>
          <w:sz w:val="18"/>
        </w:rPr>
      </w:pPr>
      <w:r>
        <w:rPr>
          <w:color w:val="DF2F1E"/>
          <w:sz w:val="18"/>
        </w:rPr>
        <w:t>Income support payments</w:t>
      </w:r>
    </w:p>
    <w:p>
      <w:pPr>
        <w:pStyle w:val="BodyText"/>
        <w:ind w:left="899" w:right="1166"/>
      </w:pPr>
      <w:r>
        <w:rPr>
          <w:color w:val="404040"/>
        </w:rPr>
        <w:t>Income support payments provide for the basic living costs of adults, and are paid on a fortnightly basis. Income support payments are the primary form of financial assistance for individuals who are unable, or not expected, to fully support themselves. Examples include Age Pension, Newstart Allowance, Disability Support Pension, Carer Payment and Parenting Payment. Other supplementary payments are also available to assist people with other specific costs. For example, Family Tax Benefit Part A is provided for the direct costs of raising children and child care assistance is provided to assist with the costs of child care. For the purposes of this paper these payments are referred to as non income support payments.</w:t>
      </w:r>
    </w:p>
    <w:p>
      <w:pPr>
        <w:spacing w:before="79"/>
        <w:ind w:left="900" w:right="0" w:firstLine="0"/>
        <w:jc w:val="left"/>
        <w:rPr>
          <w:sz w:val="18"/>
        </w:rPr>
      </w:pPr>
      <w:r>
        <w:rPr>
          <w:color w:val="DF2F1E"/>
          <w:sz w:val="18"/>
        </w:rPr>
        <w:t>Indexation</w:t>
      </w:r>
    </w:p>
    <w:p>
      <w:pPr>
        <w:spacing w:before="2"/>
        <w:ind w:left="900" w:right="1074" w:firstLine="0"/>
        <w:jc w:val="left"/>
        <w:rPr>
          <w:sz w:val="18"/>
        </w:rPr>
      </w:pPr>
      <w:r>
        <w:rPr>
          <w:sz w:val="18"/>
        </w:rPr>
        <w:t>Indexation is a technique to adjust payments by means of an index, in order to maintain an equivalence in values across years. For example, indexing in line with price inflation, will maintain an equivalence of payments after indexation relative to purchasing power; while indexing in line with wage inflation, will maintain an equivalence of payments after indexation relative to community living standards.</w:t>
      </w:r>
    </w:p>
    <w:p>
      <w:pPr>
        <w:spacing w:line="207" w:lineRule="exact" w:before="79"/>
        <w:ind w:left="900" w:right="0" w:firstLine="0"/>
        <w:jc w:val="left"/>
        <w:rPr>
          <w:sz w:val="18"/>
        </w:rPr>
      </w:pPr>
      <w:r>
        <w:rPr>
          <w:color w:val="DF2F1E"/>
          <w:sz w:val="18"/>
        </w:rPr>
        <w:t>Liability</w:t>
      </w:r>
    </w:p>
    <w:p>
      <w:pPr>
        <w:spacing w:before="0"/>
        <w:ind w:left="900" w:right="1054" w:firstLine="0"/>
        <w:jc w:val="left"/>
        <w:rPr>
          <w:sz w:val="18"/>
        </w:rPr>
      </w:pPr>
      <w:r>
        <w:rPr>
          <w:sz w:val="18"/>
        </w:rPr>
        <w:t>In finance, the term liability is used to refer to general obligations to make future payments. The specific meaning varies depending on the person using the term and context of its use. Actuaries may also use this term to describe the net present value of the cash flows arising from future obligations.</w:t>
      </w:r>
    </w:p>
    <w:p>
      <w:pPr>
        <w:spacing w:after="0"/>
        <w:jc w:val="left"/>
        <w:rPr>
          <w:sz w:val="18"/>
        </w:rPr>
        <w:sectPr>
          <w:headerReference w:type="default" r:id="rId245"/>
          <w:footerReference w:type="default" r:id="rId246"/>
          <w:pgSz w:w="11910" w:h="16850"/>
          <w:pgMar w:header="572" w:footer="581" w:top="780" w:bottom="780" w:left="120" w:right="0"/>
          <w:pgNumType w:start="154"/>
        </w:sectPr>
      </w:pPr>
    </w:p>
    <w:p>
      <w:pPr>
        <w:pStyle w:val="BodyText"/>
      </w:pPr>
    </w:p>
    <w:p>
      <w:pPr>
        <w:pStyle w:val="BodyText"/>
      </w:pPr>
    </w:p>
    <w:p>
      <w:pPr>
        <w:pStyle w:val="BodyText"/>
        <w:spacing w:before="8"/>
        <w:rPr>
          <w:sz w:val="21"/>
        </w:rPr>
      </w:pPr>
    </w:p>
    <w:p>
      <w:pPr>
        <w:spacing w:line="207" w:lineRule="exact" w:before="94"/>
        <w:ind w:left="900" w:right="0" w:firstLine="0"/>
        <w:jc w:val="left"/>
        <w:rPr>
          <w:sz w:val="18"/>
        </w:rPr>
      </w:pPr>
      <w:r>
        <w:rPr>
          <w:color w:val="DF2F1E"/>
          <w:sz w:val="18"/>
        </w:rPr>
        <w:t>Lifetime cost</w:t>
      </w:r>
    </w:p>
    <w:p>
      <w:pPr>
        <w:spacing w:before="0"/>
        <w:ind w:left="900" w:right="1515" w:firstLine="0"/>
        <w:jc w:val="left"/>
        <w:rPr>
          <w:sz w:val="18"/>
        </w:rPr>
      </w:pPr>
      <w:r>
        <w:rPr>
          <w:sz w:val="18"/>
        </w:rPr>
        <w:t>For the investment model, the lifetime cost will be the net present value of all future welfare payments (to the in-scope population).</w:t>
      </w:r>
    </w:p>
    <w:p>
      <w:pPr>
        <w:spacing w:line="207" w:lineRule="exact" w:before="80"/>
        <w:ind w:left="900" w:right="0" w:firstLine="0"/>
        <w:jc w:val="left"/>
        <w:rPr>
          <w:sz w:val="18"/>
        </w:rPr>
      </w:pPr>
      <w:r>
        <w:rPr>
          <w:color w:val="DF2F1E"/>
          <w:sz w:val="18"/>
        </w:rPr>
        <w:t>Average lifetime Cost (future)</w:t>
      </w:r>
    </w:p>
    <w:p>
      <w:pPr>
        <w:spacing w:before="0"/>
        <w:ind w:left="900" w:right="1134" w:firstLine="0"/>
        <w:jc w:val="left"/>
        <w:rPr>
          <w:sz w:val="18"/>
        </w:rPr>
      </w:pPr>
      <w:r>
        <w:rPr>
          <w:sz w:val="18"/>
        </w:rPr>
        <w:t>The net present value of the payments that we expect to be made to an individual over their future lifetime. Note that these will be assessed for groups of similar individuals, not for specific people.</w:t>
      </w:r>
    </w:p>
    <w:p>
      <w:pPr>
        <w:spacing w:line="207" w:lineRule="exact" w:before="81"/>
        <w:ind w:left="900" w:right="0" w:firstLine="0"/>
        <w:jc w:val="left"/>
        <w:rPr>
          <w:sz w:val="18"/>
        </w:rPr>
      </w:pPr>
      <w:r>
        <w:rPr>
          <w:color w:val="DF2F1E"/>
          <w:sz w:val="18"/>
        </w:rPr>
        <w:t>Method</w:t>
      </w:r>
    </w:p>
    <w:p>
      <w:pPr>
        <w:spacing w:before="0"/>
        <w:ind w:left="900" w:right="1454" w:firstLine="0"/>
        <w:jc w:val="left"/>
        <w:rPr>
          <w:sz w:val="18"/>
        </w:rPr>
      </w:pPr>
      <w:r>
        <w:rPr>
          <w:sz w:val="18"/>
        </w:rPr>
        <w:t>The method refers to the description or specification of the process for selecting modelling techniques, taking the data, analysing it, developing or incorporating assumptions about the future, and projecting forward and summarising the expected welfare payments for each individual within the model population.</w:t>
      </w:r>
    </w:p>
    <w:p>
      <w:pPr>
        <w:spacing w:line="207" w:lineRule="exact" w:before="79"/>
        <w:ind w:left="900" w:right="0" w:firstLine="0"/>
        <w:jc w:val="left"/>
        <w:rPr>
          <w:sz w:val="18"/>
        </w:rPr>
      </w:pPr>
      <w:r>
        <w:rPr>
          <w:color w:val="DF2F1E"/>
          <w:sz w:val="18"/>
        </w:rPr>
        <w:t>Model</w:t>
      </w:r>
    </w:p>
    <w:p>
      <w:pPr>
        <w:spacing w:before="0"/>
        <w:ind w:left="899" w:right="1105" w:firstLine="0"/>
        <w:jc w:val="left"/>
        <w:rPr>
          <w:sz w:val="18"/>
        </w:rPr>
      </w:pPr>
      <w:r>
        <w:rPr>
          <w:sz w:val="18"/>
        </w:rPr>
        <w:t>The model refers to the set of computer programs, spreadsheets, formulae, techniques and tools that are being built to apply the method. In a sense, the model is intended to represent, in a mathematical way, what happens to people as they move in, through and out of the social support system based on various assumptions. The model is a collection of modules and sub-components that fit together in applying the method.</w:t>
      </w:r>
    </w:p>
    <w:p>
      <w:pPr>
        <w:spacing w:line="207" w:lineRule="exact" w:before="82"/>
        <w:ind w:left="899" w:right="0" w:firstLine="0"/>
        <w:jc w:val="left"/>
        <w:rPr>
          <w:sz w:val="18"/>
        </w:rPr>
      </w:pPr>
      <w:r>
        <w:rPr>
          <w:color w:val="DF2F1E"/>
          <w:sz w:val="18"/>
        </w:rPr>
        <w:t>Model population</w:t>
      </w:r>
    </w:p>
    <w:p>
      <w:pPr>
        <w:spacing w:before="0"/>
        <w:ind w:left="899" w:right="1288" w:firstLine="0"/>
        <w:jc w:val="both"/>
        <w:rPr>
          <w:sz w:val="18"/>
        </w:rPr>
      </w:pPr>
      <w:r>
        <w:rPr>
          <w:sz w:val="18"/>
        </w:rPr>
        <w:t>The model population is the set of individual person records used in the model. The model design allows the model to be run for either a sample of the population or the whole population. Where the model is run for the entire model population, and not a sample, we refer to this as the full population.</w:t>
      </w:r>
    </w:p>
    <w:p>
      <w:pPr>
        <w:spacing w:line="207" w:lineRule="exact" w:before="120"/>
        <w:ind w:left="899" w:right="0" w:firstLine="0"/>
        <w:jc w:val="left"/>
        <w:rPr>
          <w:sz w:val="18"/>
        </w:rPr>
      </w:pPr>
      <w:r>
        <w:rPr>
          <w:color w:val="DF2F1E"/>
          <w:sz w:val="18"/>
        </w:rPr>
        <w:t>Mutual obligation requirements</w:t>
      </w:r>
    </w:p>
    <w:p>
      <w:pPr>
        <w:spacing w:before="0"/>
        <w:ind w:left="899" w:right="1065" w:firstLine="0"/>
        <w:jc w:val="left"/>
        <w:rPr>
          <w:sz w:val="18"/>
        </w:rPr>
      </w:pPr>
      <w:r>
        <w:rPr>
          <w:sz w:val="18"/>
        </w:rPr>
        <w:t>A set of activities that must be completed by an individual in order to receive Newstart Allowance, Youth Allowance as a job seeker, Parenting Payment Single after the recipient’s youngest child turns 6, and some types of Special Benefit. Welfare recipients may be granted either a permanent or a short-term exemption from these obligations in some situations, for example due to disability or a personal crisis.</w:t>
      </w:r>
    </w:p>
    <w:p>
      <w:pPr>
        <w:spacing w:line="207" w:lineRule="exact" w:before="120"/>
        <w:ind w:left="899" w:right="0" w:firstLine="0"/>
        <w:jc w:val="left"/>
        <w:rPr>
          <w:sz w:val="18"/>
        </w:rPr>
      </w:pPr>
      <w:r>
        <w:rPr>
          <w:color w:val="DF2F1E"/>
          <w:sz w:val="18"/>
        </w:rPr>
        <w:t>Net Present Value</w:t>
      </w:r>
    </w:p>
    <w:p>
      <w:pPr>
        <w:spacing w:line="207" w:lineRule="exact" w:before="0"/>
        <w:ind w:left="899" w:right="0" w:firstLine="0"/>
        <w:jc w:val="left"/>
        <w:rPr>
          <w:sz w:val="18"/>
        </w:rPr>
      </w:pPr>
      <w:r>
        <w:rPr>
          <w:sz w:val="18"/>
        </w:rPr>
        <w:t>The sum of the present values of incoming and outgoing cash flows over a period of time.</w:t>
      </w:r>
    </w:p>
    <w:p>
      <w:pPr>
        <w:spacing w:line="206" w:lineRule="exact" w:before="122"/>
        <w:ind w:left="899" w:right="0" w:firstLine="0"/>
        <w:jc w:val="left"/>
        <w:rPr>
          <w:sz w:val="18"/>
        </w:rPr>
      </w:pPr>
      <w:r>
        <w:rPr>
          <w:color w:val="DF2F1E"/>
          <w:sz w:val="18"/>
        </w:rPr>
        <w:t>Parental welfare dependence</w:t>
      </w:r>
    </w:p>
    <w:p>
      <w:pPr>
        <w:spacing w:before="0"/>
        <w:ind w:left="899" w:right="1194" w:firstLine="0"/>
        <w:jc w:val="left"/>
        <w:rPr>
          <w:sz w:val="18"/>
        </w:rPr>
      </w:pPr>
      <w:r>
        <w:rPr>
          <w:sz w:val="18"/>
        </w:rPr>
        <w:t>A measure of the level of welfare dependence of a person’s parents / guardians during the course of that person’s childhood (up to the age of 15). For the purposes of this parental welfare dependence we have only considered the use of income support payments (excluding the Age Pension) by a person’s parents / guardians.</w:t>
      </w:r>
    </w:p>
    <w:p>
      <w:pPr>
        <w:spacing w:line="207" w:lineRule="exact" w:before="120"/>
        <w:ind w:left="899" w:right="0" w:firstLine="0"/>
        <w:jc w:val="left"/>
        <w:rPr>
          <w:sz w:val="18"/>
        </w:rPr>
      </w:pPr>
      <w:r>
        <w:rPr>
          <w:color w:val="DF2F1E"/>
          <w:sz w:val="18"/>
        </w:rPr>
        <w:t>Payment</w:t>
      </w:r>
    </w:p>
    <w:p>
      <w:pPr>
        <w:spacing w:before="0"/>
        <w:ind w:left="899" w:right="1585" w:firstLine="0"/>
        <w:jc w:val="left"/>
        <w:rPr>
          <w:sz w:val="18"/>
        </w:rPr>
      </w:pPr>
      <w:r>
        <w:rPr>
          <w:sz w:val="18"/>
        </w:rPr>
        <w:t>A generic term used to describe all the different types of benefits which an individual can be paid. Includes Pensions, Allowances, Entitlements etc.</w:t>
      </w:r>
    </w:p>
    <w:p>
      <w:pPr>
        <w:spacing w:line="207" w:lineRule="exact" w:before="118"/>
        <w:ind w:left="899" w:right="0" w:firstLine="0"/>
        <w:jc w:val="left"/>
        <w:rPr>
          <w:sz w:val="18"/>
        </w:rPr>
      </w:pPr>
      <w:r>
        <w:rPr>
          <w:color w:val="DF2F1E"/>
          <w:sz w:val="18"/>
        </w:rPr>
        <w:t>Payment assumptions</w:t>
      </w:r>
    </w:p>
    <w:p>
      <w:pPr>
        <w:spacing w:line="207" w:lineRule="exact" w:before="0"/>
        <w:ind w:left="899" w:right="0" w:firstLine="0"/>
        <w:jc w:val="left"/>
        <w:rPr>
          <w:sz w:val="18"/>
        </w:rPr>
      </w:pPr>
      <w:r>
        <w:rPr>
          <w:sz w:val="18"/>
        </w:rPr>
        <w:t>The assumptions which describe the payments which individuals receive given that they use a specific Payment category.</w:t>
      </w:r>
    </w:p>
    <w:p>
      <w:pPr>
        <w:spacing w:line="207" w:lineRule="exact" w:before="122"/>
        <w:ind w:left="900" w:right="0" w:firstLine="0"/>
        <w:jc w:val="left"/>
        <w:rPr>
          <w:sz w:val="18"/>
        </w:rPr>
      </w:pPr>
      <w:r>
        <w:rPr>
          <w:color w:val="DF2F1E"/>
          <w:sz w:val="18"/>
        </w:rPr>
        <w:t>Payment categories</w:t>
      </w:r>
    </w:p>
    <w:p>
      <w:pPr>
        <w:spacing w:line="207" w:lineRule="exact" w:before="0"/>
        <w:ind w:left="900" w:right="0" w:firstLine="0"/>
        <w:jc w:val="left"/>
        <w:rPr>
          <w:sz w:val="18"/>
        </w:rPr>
      </w:pPr>
      <w:r>
        <w:rPr>
          <w:sz w:val="18"/>
        </w:rPr>
        <w:t>The groupings of individual payment types used for modelling purposes.</w:t>
      </w:r>
    </w:p>
    <w:p>
      <w:pPr>
        <w:spacing w:line="207" w:lineRule="exact" w:before="120"/>
        <w:ind w:left="900" w:right="0" w:firstLine="0"/>
        <w:jc w:val="left"/>
        <w:rPr>
          <w:sz w:val="18"/>
        </w:rPr>
      </w:pPr>
      <w:r>
        <w:rPr>
          <w:color w:val="DF2F1E"/>
          <w:sz w:val="18"/>
        </w:rPr>
        <w:t>Payment types</w:t>
      </w:r>
    </w:p>
    <w:p>
      <w:pPr>
        <w:spacing w:before="0"/>
        <w:ind w:left="899" w:right="1125" w:firstLine="0"/>
        <w:jc w:val="left"/>
        <w:rPr>
          <w:sz w:val="18"/>
        </w:rPr>
      </w:pPr>
      <w:r>
        <w:rPr>
          <w:sz w:val="18"/>
        </w:rPr>
        <w:t>A term used to describe the labels which have been assigned to all the underlying payments so they can be considered for modelling purposes. The assignation has been through a mapping process with around 2,000 underlying payments being identified by codes and these mapped to around 100 payment types.</w:t>
      </w:r>
    </w:p>
    <w:p>
      <w:pPr>
        <w:spacing w:line="207" w:lineRule="exact" w:before="120"/>
        <w:ind w:left="900" w:right="0" w:firstLine="0"/>
        <w:jc w:val="left"/>
        <w:rPr>
          <w:sz w:val="18"/>
        </w:rPr>
      </w:pPr>
      <w:r>
        <w:rPr>
          <w:color w:val="DF2F1E"/>
          <w:sz w:val="18"/>
        </w:rPr>
        <w:t>Payment utilisation assumptions</w:t>
      </w:r>
    </w:p>
    <w:p>
      <w:pPr>
        <w:spacing w:line="207" w:lineRule="exact" w:before="0"/>
        <w:ind w:left="900" w:right="0" w:firstLine="0"/>
        <w:jc w:val="left"/>
        <w:rPr>
          <w:sz w:val="18"/>
        </w:rPr>
      </w:pPr>
      <w:r>
        <w:rPr>
          <w:sz w:val="18"/>
        </w:rPr>
        <w:t>The assumptions which describe the probabilities with which individuals use different Payment categories.</w:t>
      </w:r>
    </w:p>
    <w:p>
      <w:pPr>
        <w:spacing w:line="207" w:lineRule="exact" w:before="122"/>
        <w:ind w:left="900" w:right="0" w:firstLine="0"/>
        <w:jc w:val="left"/>
        <w:rPr>
          <w:sz w:val="18"/>
        </w:rPr>
      </w:pPr>
      <w:r>
        <w:rPr>
          <w:color w:val="DF2F1E"/>
          <w:sz w:val="18"/>
        </w:rPr>
        <w:t>Pensions</w:t>
      </w:r>
    </w:p>
    <w:p>
      <w:pPr>
        <w:spacing w:before="0"/>
        <w:ind w:left="900" w:right="1194" w:firstLine="0"/>
        <w:jc w:val="left"/>
        <w:rPr>
          <w:sz w:val="18"/>
        </w:rPr>
      </w:pPr>
      <w:r>
        <w:rPr>
          <w:sz w:val="18"/>
        </w:rPr>
        <w:t>Pensions provide income support and access to a range of concessions for eligible Australians. The term Pension is used by the Department to refer to income support payments that are generally at higher payment levels than Allowances.</w:t>
      </w:r>
    </w:p>
    <w:p>
      <w:pPr>
        <w:spacing w:line="207" w:lineRule="exact" w:before="119"/>
        <w:ind w:left="900" w:right="0" w:firstLine="0"/>
        <w:jc w:val="both"/>
        <w:rPr>
          <w:sz w:val="18"/>
        </w:rPr>
      </w:pPr>
      <w:r>
        <w:rPr>
          <w:color w:val="DF2F1E"/>
          <w:sz w:val="18"/>
        </w:rPr>
        <w:t>Present Value</w:t>
      </w:r>
    </w:p>
    <w:p>
      <w:pPr>
        <w:spacing w:before="0"/>
        <w:ind w:left="900" w:right="1236" w:firstLine="0"/>
        <w:jc w:val="both"/>
        <w:rPr>
          <w:sz w:val="18"/>
        </w:rPr>
      </w:pPr>
      <w:r>
        <w:rPr>
          <w:sz w:val="18"/>
        </w:rPr>
        <w:t>The present value is the value of an expected income stream determined as of the date of valuation. The present value is always less than or equal to the future value because money has interest-earning potential, a characteristic referred to as the time value of money.</w:t>
      </w:r>
    </w:p>
    <w:p>
      <w:pPr>
        <w:spacing w:line="207" w:lineRule="exact" w:before="120"/>
        <w:ind w:left="900" w:right="0" w:firstLine="0"/>
        <w:jc w:val="left"/>
        <w:rPr>
          <w:sz w:val="18"/>
        </w:rPr>
      </w:pPr>
      <w:r>
        <w:rPr>
          <w:color w:val="DF2F1E"/>
          <w:sz w:val="18"/>
        </w:rPr>
        <w:t>Probability</w:t>
      </w:r>
    </w:p>
    <w:p>
      <w:pPr>
        <w:spacing w:before="0"/>
        <w:ind w:left="900" w:right="1249" w:firstLine="0"/>
        <w:jc w:val="both"/>
        <w:rPr>
          <w:sz w:val="18"/>
        </w:rPr>
      </w:pPr>
      <w:r>
        <w:rPr>
          <w:sz w:val="18"/>
        </w:rPr>
        <w:t>Probability is the measure of the likelihood that an event will occur. Probability is quantified as a number between 0 and 1 (where 0 indicates impossibility and 1 indicates certainty). The higher the probability of an event, the more certain we are that the event will occur.</w:t>
      </w:r>
    </w:p>
    <w:p>
      <w:pPr>
        <w:spacing w:line="207" w:lineRule="exact" w:before="120"/>
        <w:ind w:left="900" w:right="0" w:firstLine="0"/>
        <w:jc w:val="left"/>
        <w:rPr>
          <w:sz w:val="18"/>
        </w:rPr>
      </w:pPr>
      <w:r>
        <w:rPr>
          <w:color w:val="DF2F1E"/>
          <w:sz w:val="18"/>
        </w:rPr>
        <w:t>Projection</w:t>
      </w:r>
    </w:p>
    <w:p>
      <w:pPr>
        <w:spacing w:line="207" w:lineRule="exact" w:before="0"/>
        <w:ind w:left="900" w:right="0" w:firstLine="0"/>
        <w:jc w:val="left"/>
        <w:rPr>
          <w:sz w:val="18"/>
        </w:rPr>
      </w:pPr>
      <w:r>
        <w:rPr>
          <w:sz w:val="18"/>
        </w:rPr>
        <w:t>The use of the model to forecast the future payment experience of the population based on current statistics and trends.</w:t>
      </w:r>
    </w:p>
    <w:p>
      <w:pPr>
        <w:spacing w:after="0" w:line="207" w:lineRule="exact"/>
        <w:jc w:val="left"/>
        <w:rPr>
          <w:sz w:val="18"/>
        </w:rPr>
        <w:sectPr>
          <w:pgSz w:w="11910" w:h="16850"/>
          <w:pgMar w:header="572" w:footer="581" w:top="780" w:bottom="780" w:left="120" w:right="0"/>
        </w:sectPr>
      </w:pPr>
    </w:p>
    <w:p>
      <w:pPr>
        <w:pStyle w:val="BodyText"/>
      </w:pPr>
    </w:p>
    <w:p>
      <w:pPr>
        <w:pStyle w:val="BodyText"/>
      </w:pPr>
    </w:p>
    <w:p>
      <w:pPr>
        <w:pStyle w:val="BodyText"/>
        <w:spacing w:before="8"/>
        <w:rPr>
          <w:sz w:val="21"/>
        </w:rPr>
      </w:pPr>
    </w:p>
    <w:p>
      <w:pPr>
        <w:spacing w:line="207" w:lineRule="exact" w:before="94"/>
        <w:ind w:left="900" w:right="0" w:firstLine="0"/>
        <w:jc w:val="left"/>
        <w:rPr>
          <w:sz w:val="18"/>
        </w:rPr>
      </w:pPr>
      <w:r>
        <w:rPr>
          <w:color w:val="DF2F1E"/>
          <w:sz w:val="18"/>
        </w:rPr>
        <w:t>Rebased June 2017 valuation results</w:t>
      </w:r>
    </w:p>
    <w:p>
      <w:pPr>
        <w:spacing w:before="0"/>
        <w:ind w:left="900" w:right="1073" w:firstLine="0"/>
        <w:jc w:val="left"/>
        <w:rPr>
          <w:sz w:val="18"/>
        </w:rPr>
      </w:pPr>
      <w:r>
        <w:rPr>
          <w:sz w:val="18"/>
        </w:rPr>
        <w:t>The results from the June 2017 valuation, but adjusted to allow for the updated discount rate of 5% being used for the 2018 valuation. The change in discount rate is an external change which has no impact on the future cashflows. However it does have a significant impact on the net present value of the cashflows i.e. the lifetime cost. Rebasing the June 2017 valuation supports the comparability of the June 2017 and June 2018 results.</w:t>
      </w:r>
    </w:p>
    <w:p>
      <w:pPr>
        <w:spacing w:line="207" w:lineRule="exact" w:before="120"/>
        <w:ind w:left="900" w:right="0" w:firstLine="0"/>
        <w:jc w:val="left"/>
        <w:rPr>
          <w:sz w:val="18"/>
        </w:rPr>
      </w:pPr>
      <w:r>
        <w:rPr>
          <w:color w:val="DF2F1E"/>
          <w:sz w:val="18"/>
        </w:rPr>
        <w:t>Risk characteristics</w:t>
      </w:r>
    </w:p>
    <w:p>
      <w:pPr>
        <w:spacing w:before="0"/>
        <w:ind w:left="900" w:right="1295" w:firstLine="0"/>
        <w:jc w:val="left"/>
        <w:rPr>
          <w:sz w:val="18"/>
        </w:rPr>
      </w:pPr>
      <w:r>
        <w:rPr>
          <w:sz w:val="18"/>
        </w:rPr>
        <w:t>Measurable or observable factors or characteristics that are used to assign each individual to one of the risk classes of a risk classification system. Examples of risk characteristics in the context of the actuarial valuation model include age, gender, family situation and education status.</w:t>
      </w:r>
    </w:p>
    <w:p>
      <w:pPr>
        <w:spacing w:line="207" w:lineRule="exact" w:before="120"/>
        <w:ind w:left="900" w:right="0" w:firstLine="0"/>
        <w:jc w:val="left"/>
        <w:rPr>
          <w:sz w:val="18"/>
        </w:rPr>
      </w:pPr>
      <w:r>
        <w:rPr>
          <w:color w:val="DF2F1E"/>
          <w:sz w:val="18"/>
        </w:rPr>
        <w:t>Risk classes</w:t>
      </w:r>
    </w:p>
    <w:p>
      <w:pPr>
        <w:spacing w:line="207" w:lineRule="exact" w:before="0"/>
        <w:ind w:left="900" w:right="0" w:firstLine="0"/>
        <w:jc w:val="left"/>
        <w:rPr>
          <w:sz w:val="18"/>
        </w:rPr>
      </w:pPr>
      <w:r>
        <w:rPr>
          <w:sz w:val="18"/>
        </w:rPr>
        <w:t>A set of risks grouped together under a risk classification system.</w:t>
      </w:r>
    </w:p>
    <w:p>
      <w:pPr>
        <w:spacing w:line="207" w:lineRule="exact" w:before="122"/>
        <w:ind w:left="900" w:right="0" w:firstLine="0"/>
        <w:jc w:val="left"/>
        <w:rPr>
          <w:sz w:val="18"/>
        </w:rPr>
      </w:pPr>
      <w:r>
        <w:rPr>
          <w:color w:val="DF2F1E"/>
          <w:sz w:val="18"/>
        </w:rPr>
        <w:t>Risk classification system</w:t>
      </w:r>
    </w:p>
    <w:p>
      <w:pPr>
        <w:spacing w:line="207" w:lineRule="exact" w:before="0"/>
        <w:ind w:left="900" w:right="0" w:firstLine="0"/>
        <w:jc w:val="left"/>
        <w:rPr>
          <w:sz w:val="18"/>
        </w:rPr>
      </w:pPr>
      <w:r>
        <w:rPr>
          <w:sz w:val="18"/>
        </w:rPr>
        <w:t>The process of systematically arranging risks into groups or categories according to similar risk characteristics.</w:t>
      </w:r>
    </w:p>
    <w:p>
      <w:pPr>
        <w:spacing w:line="207" w:lineRule="exact" w:before="120"/>
        <w:ind w:left="900" w:right="0" w:firstLine="0"/>
        <w:jc w:val="left"/>
        <w:rPr>
          <w:sz w:val="18"/>
        </w:rPr>
      </w:pPr>
      <w:r>
        <w:rPr>
          <w:color w:val="DF2F1E"/>
          <w:sz w:val="18"/>
        </w:rPr>
        <w:t>Risk factors</w:t>
      </w:r>
    </w:p>
    <w:p>
      <w:pPr>
        <w:spacing w:line="207" w:lineRule="exact" w:before="0"/>
        <w:ind w:left="900" w:right="0" w:firstLine="0"/>
        <w:jc w:val="left"/>
        <w:rPr>
          <w:sz w:val="18"/>
        </w:rPr>
      </w:pPr>
      <w:r>
        <w:rPr>
          <w:sz w:val="18"/>
        </w:rPr>
        <w:t>See risk characteristics.</w:t>
      </w:r>
    </w:p>
    <w:p>
      <w:pPr>
        <w:spacing w:line="207" w:lineRule="exact" w:before="121"/>
        <w:ind w:left="900" w:right="0" w:firstLine="0"/>
        <w:jc w:val="left"/>
        <w:rPr>
          <w:sz w:val="18"/>
        </w:rPr>
      </w:pPr>
      <w:r>
        <w:rPr>
          <w:color w:val="DF2F1E"/>
          <w:sz w:val="18"/>
        </w:rPr>
        <w:t>SEIFA</w:t>
      </w:r>
    </w:p>
    <w:p>
      <w:pPr>
        <w:spacing w:before="0"/>
        <w:ind w:left="900" w:right="1144" w:firstLine="0"/>
        <w:jc w:val="left"/>
        <w:rPr>
          <w:sz w:val="18"/>
        </w:rPr>
      </w:pPr>
      <w:r>
        <w:rPr>
          <w:sz w:val="18"/>
        </w:rPr>
        <w:t>Socio-economic Index for Areas. A product developed by the ABS that ranks areas in Australia according to relative socio- economic advantage and disadvantage.</w:t>
      </w:r>
    </w:p>
    <w:p>
      <w:pPr>
        <w:spacing w:line="207" w:lineRule="exact" w:before="119"/>
        <w:ind w:left="900" w:right="0" w:firstLine="0"/>
        <w:jc w:val="left"/>
        <w:rPr>
          <w:sz w:val="18"/>
        </w:rPr>
      </w:pPr>
      <w:r>
        <w:rPr>
          <w:color w:val="DF2F1E"/>
          <w:sz w:val="18"/>
        </w:rPr>
        <w:t>Simulation</w:t>
      </w:r>
    </w:p>
    <w:p>
      <w:pPr>
        <w:spacing w:before="0"/>
        <w:ind w:left="900" w:right="1216" w:firstLine="0"/>
        <w:jc w:val="left"/>
        <w:rPr>
          <w:sz w:val="18"/>
        </w:rPr>
      </w:pPr>
      <w:r>
        <w:rPr>
          <w:sz w:val="18"/>
        </w:rPr>
        <w:t>Simulation is the imitation of the operation of a real-world process or system over time. In the context of the actuarial valuation model, we will simulate how the payment system operates. Where the system is stochastic, multiple simulations may be used to show the range of possible outcomes.</w:t>
      </w:r>
    </w:p>
    <w:p>
      <w:pPr>
        <w:spacing w:line="207" w:lineRule="exact" w:before="120"/>
        <w:ind w:left="900" w:right="0" w:firstLine="0"/>
        <w:jc w:val="left"/>
        <w:rPr>
          <w:sz w:val="18"/>
        </w:rPr>
      </w:pPr>
      <w:r>
        <w:rPr>
          <w:color w:val="DF2F1E"/>
          <w:sz w:val="18"/>
        </w:rPr>
        <w:t>Static</w:t>
      </w:r>
    </w:p>
    <w:p>
      <w:pPr>
        <w:spacing w:before="0"/>
        <w:ind w:left="900" w:right="1134" w:firstLine="0"/>
        <w:jc w:val="left"/>
        <w:rPr>
          <w:sz w:val="18"/>
        </w:rPr>
      </w:pPr>
      <w:r>
        <w:rPr>
          <w:sz w:val="18"/>
        </w:rPr>
        <w:t>A term we are using to describe information or data variables that do not change over time. (e.g. a person’s date of birth or country of birth).</w:t>
      </w:r>
    </w:p>
    <w:p>
      <w:pPr>
        <w:spacing w:line="207" w:lineRule="exact" w:before="121"/>
        <w:ind w:left="900" w:right="0" w:firstLine="0"/>
        <w:jc w:val="left"/>
        <w:rPr>
          <w:sz w:val="18"/>
        </w:rPr>
      </w:pPr>
      <w:r>
        <w:rPr>
          <w:color w:val="DF2F1E"/>
          <w:sz w:val="18"/>
        </w:rPr>
        <w:t>Statistics</w:t>
      </w:r>
    </w:p>
    <w:p>
      <w:pPr>
        <w:spacing w:line="207" w:lineRule="exact" w:before="0"/>
        <w:ind w:left="900" w:right="0" w:firstLine="0"/>
        <w:jc w:val="left"/>
        <w:rPr>
          <w:sz w:val="18"/>
        </w:rPr>
      </w:pPr>
      <w:r>
        <w:rPr>
          <w:sz w:val="18"/>
        </w:rPr>
        <w:t>The study of the collection, analysis, interpretation, presentation, and organisation of data.</w:t>
      </w:r>
    </w:p>
    <w:p>
      <w:pPr>
        <w:spacing w:line="207" w:lineRule="exact" w:before="120"/>
        <w:ind w:left="900" w:right="0" w:firstLine="0"/>
        <w:jc w:val="left"/>
        <w:rPr>
          <w:sz w:val="18"/>
        </w:rPr>
      </w:pPr>
      <w:r>
        <w:rPr>
          <w:color w:val="DF2F1E"/>
          <w:sz w:val="18"/>
        </w:rPr>
        <w:t>Stochastic</w:t>
      </w:r>
    </w:p>
    <w:p>
      <w:pPr>
        <w:spacing w:before="0"/>
        <w:ind w:left="900" w:right="1034" w:firstLine="0"/>
        <w:jc w:val="left"/>
        <w:rPr>
          <w:sz w:val="18"/>
        </w:rPr>
      </w:pPr>
      <w:r>
        <w:rPr>
          <w:sz w:val="18"/>
        </w:rPr>
        <w:t>The term stochastic describes events or systems that are unpredictable due to the influence of random variables. A stochastic model will not produce the same output from a given starting condition or initial state even if run in the same way.</w:t>
      </w:r>
    </w:p>
    <w:p>
      <w:pPr>
        <w:spacing w:line="207" w:lineRule="exact" w:before="121"/>
        <w:ind w:left="899" w:right="0" w:firstLine="0"/>
        <w:jc w:val="left"/>
        <w:rPr>
          <w:sz w:val="18"/>
        </w:rPr>
      </w:pPr>
      <w:r>
        <w:rPr>
          <w:color w:val="DF2F1E"/>
          <w:sz w:val="18"/>
        </w:rPr>
        <w:t>Valuation</w:t>
      </w:r>
    </w:p>
    <w:p>
      <w:pPr>
        <w:spacing w:line="207" w:lineRule="exact" w:before="0"/>
        <w:ind w:left="899" w:right="0" w:firstLine="0"/>
        <w:jc w:val="left"/>
        <w:rPr>
          <w:sz w:val="18"/>
        </w:rPr>
      </w:pPr>
      <w:r>
        <w:rPr>
          <w:sz w:val="18"/>
        </w:rPr>
        <w:t>see Actuarial valuation</w:t>
      </w:r>
    </w:p>
    <w:p>
      <w:pPr>
        <w:spacing w:line="207" w:lineRule="exact" w:before="122"/>
        <w:ind w:left="899" w:right="0" w:firstLine="0"/>
        <w:jc w:val="left"/>
        <w:rPr>
          <w:sz w:val="18"/>
        </w:rPr>
      </w:pPr>
      <w:r>
        <w:rPr>
          <w:color w:val="DF2F1E"/>
          <w:sz w:val="18"/>
        </w:rPr>
        <w:t>Valuation Date</w:t>
      </w:r>
    </w:p>
    <w:p>
      <w:pPr>
        <w:spacing w:before="0"/>
        <w:ind w:left="899" w:right="1375" w:firstLine="0"/>
        <w:jc w:val="left"/>
        <w:rPr>
          <w:sz w:val="18"/>
        </w:rPr>
      </w:pPr>
      <w:r>
        <w:rPr>
          <w:sz w:val="18"/>
        </w:rPr>
        <w:t>The reference date for the actuarial valuation. The valuation will consider the lifetime cost as at the valuation date for all payments after the valuation date.</w:t>
      </w:r>
    </w:p>
    <w:p>
      <w:pPr>
        <w:spacing w:line="207" w:lineRule="exact" w:before="118"/>
        <w:ind w:left="899" w:right="0" w:firstLine="0"/>
        <w:jc w:val="left"/>
        <w:rPr>
          <w:sz w:val="18"/>
        </w:rPr>
      </w:pPr>
      <w:r>
        <w:rPr>
          <w:color w:val="DF2F1E"/>
          <w:sz w:val="18"/>
        </w:rPr>
        <w:t>Valuation Results</w:t>
      </w:r>
    </w:p>
    <w:p>
      <w:pPr>
        <w:spacing w:before="0"/>
        <w:ind w:left="899" w:right="1216" w:firstLine="0"/>
        <w:jc w:val="left"/>
        <w:rPr>
          <w:sz w:val="18"/>
        </w:rPr>
      </w:pPr>
      <w:r>
        <w:rPr>
          <w:sz w:val="18"/>
        </w:rPr>
        <w:t>The summarised outputs from the model, which will be tailored to meet the needs of different users – for example, as well as the total reported lifetime cost, results may include average lifetime cost estimates for particular groups, projected payments for each of the next five years, projected numbers of “new entrants” to the social support system from different population segments.</w:t>
      </w:r>
    </w:p>
    <w:p>
      <w:pPr>
        <w:spacing w:line="207" w:lineRule="exact" w:before="123"/>
        <w:ind w:left="899" w:right="0" w:firstLine="0"/>
        <w:jc w:val="left"/>
        <w:rPr>
          <w:sz w:val="18"/>
        </w:rPr>
      </w:pPr>
      <w:r>
        <w:rPr>
          <w:color w:val="DF2F1E"/>
          <w:sz w:val="18"/>
        </w:rPr>
        <w:t>Welfare class</w:t>
      </w:r>
    </w:p>
    <w:p>
      <w:pPr>
        <w:spacing w:before="0"/>
        <w:ind w:left="899" w:right="1735" w:firstLine="0"/>
        <w:jc w:val="left"/>
        <w:rPr>
          <w:sz w:val="18"/>
        </w:rPr>
      </w:pPr>
      <w:r>
        <w:rPr>
          <w:sz w:val="18"/>
        </w:rPr>
        <w:t>The assignation of people into unique segments used within the model. There are 12 classes: 6 for income support recipients (Studying, Carers, etc.), 3 for people receiving payments but no income support and 3 for the rest of the population. Each person is assigned to the single most appropriate category for each financial year.</w:t>
      </w:r>
    </w:p>
    <w:p>
      <w:pPr>
        <w:spacing w:line="207" w:lineRule="exact" w:before="120"/>
        <w:ind w:left="899" w:right="0" w:firstLine="0"/>
        <w:jc w:val="left"/>
        <w:rPr>
          <w:sz w:val="18"/>
        </w:rPr>
      </w:pPr>
      <w:r>
        <w:rPr>
          <w:color w:val="DF2F1E"/>
          <w:sz w:val="18"/>
        </w:rPr>
        <w:t>Welfare class assumptions</w:t>
      </w:r>
    </w:p>
    <w:p>
      <w:pPr>
        <w:spacing w:line="207" w:lineRule="exact" w:before="0"/>
        <w:ind w:left="899" w:right="0" w:firstLine="0"/>
        <w:jc w:val="left"/>
        <w:rPr>
          <w:sz w:val="18"/>
        </w:rPr>
      </w:pPr>
      <w:r>
        <w:rPr>
          <w:sz w:val="18"/>
        </w:rPr>
        <w:t>The assumptions which describe the probabilities with which individuals move between welfare classes.</w:t>
      </w:r>
    </w:p>
    <w:p>
      <w:pPr>
        <w:spacing w:line="206" w:lineRule="exact" w:before="120"/>
        <w:ind w:left="899" w:right="0" w:firstLine="0"/>
        <w:jc w:val="left"/>
        <w:rPr>
          <w:sz w:val="18"/>
        </w:rPr>
      </w:pPr>
      <w:r>
        <w:rPr>
          <w:color w:val="DF2F1E"/>
          <w:sz w:val="18"/>
        </w:rPr>
        <w:t>Welfare dependence</w:t>
      </w:r>
    </w:p>
    <w:p>
      <w:pPr>
        <w:spacing w:before="0"/>
        <w:ind w:left="899" w:right="1125" w:firstLine="0"/>
        <w:jc w:val="left"/>
        <w:rPr>
          <w:sz w:val="18"/>
        </w:rPr>
      </w:pPr>
      <w:r>
        <w:rPr>
          <w:sz w:val="18"/>
        </w:rPr>
        <w:t>Welfare dependence is used to describe the historical and / or expected future level of welfare use for a group of people. A group with high welfare dependence would either have high historical welfare use or high expected future welfare use.</w:t>
      </w:r>
    </w:p>
    <w:p>
      <w:pPr>
        <w:spacing w:before="120"/>
        <w:ind w:left="899" w:right="0" w:firstLine="0"/>
        <w:jc w:val="left"/>
        <w:rPr>
          <w:sz w:val="18"/>
        </w:rPr>
      </w:pPr>
      <w:r>
        <w:rPr>
          <w:color w:val="DF2F1E"/>
          <w:sz w:val="18"/>
        </w:rPr>
        <w:t>Welfare system interaction</w:t>
      </w:r>
    </w:p>
    <w:p>
      <w:pPr>
        <w:spacing w:before="2"/>
        <w:ind w:left="899" w:right="0" w:firstLine="0"/>
        <w:jc w:val="left"/>
        <w:rPr>
          <w:sz w:val="18"/>
        </w:rPr>
      </w:pPr>
      <w:r>
        <w:rPr>
          <w:sz w:val="18"/>
        </w:rPr>
        <w:t>The receipt of a welfare payment (including both income support and non income support payments) by an individual.</w:t>
      </w:r>
    </w:p>
    <w:p>
      <w:pPr>
        <w:spacing w:line="207" w:lineRule="exact" w:before="117"/>
        <w:ind w:left="900" w:right="0" w:firstLine="0"/>
        <w:jc w:val="left"/>
        <w:rPr>
          <w:sz w:val="18"/>
        </w:rPr>
      </w:pPr>
      <w:r>
        <w:rPr>
          <w:color w:val="DF2F1E"/>
          <w:sz w:val="18"/>
        </w:rPr>
        <w:t>Welfare utilisation assumptions</w:t>
      </w:r>
    </w:p>
    <w:p>
      <w:pPr>
        <w:spacing w:line="207" w:lineRule="exact" w:before="0"/>
        <w:ind w:left="900" w:right="0" w:firstLine="0"/>
        <w:jc w:val="left"/>
        <w:rPr>
          <w:sz w:val="18"/>
        </w:rPr>
      </w:pPr>
      <w:r>
        <w:rPr>
          <w:sz w:val="18"/>
        </w:rPr>
        <w:t>A term covering both the Welfare class and Payment utilisation assumptions.</w:t>
      </w:r>
    </w:p>
    <w:p>
      <w:pPr>
        <w:spacing w:line="207" w:lineRule="exact" w:before="121"/>
        <w:ind w:left="900" w:right="0" w:firstLine="0"/>
        <w:jc w:val="left"/>
        <w:rPr>
          <w:sz w:val="18"/>
        </w:rPr>
      </w:pPr>
      <w:r>
        <w:rPr>
          <w:color w:val="DF2F1E"/>
          <w:sz w:val="18"/>
        </w:rPr>
        <w:t>Work capacity assessment</w:t>
      </w:r>
    </w:p>
    <w:p>
      <w:pPr>
        <w:spacing w:before="0"/>
        <w:ind w:left="900" w:right="1455" w:firstLine="0"/>
        <w:jc w:val="left"/>
        <w:rPr>
          <w:sz w:val="18"/>
        </w:rPr>
      </w:pPr>
      <w:r>
        <w:rPr>
          <w:sz w:val="18"/>
        </w:rPr>
        <w:t>An assessment of an individual’s level of functional impairment and work capacity. This is expressed in the data as the number of hours in a week they are capable of working.</w:t>
      </w:r>
    </w:p>
    <w:p>
      <w:pPr>
        <w:spacing w:after="0"/>
        <w:jc w:val="left"/>
        <w:rPr>
          <w:sz w:val="18"/>
        </w:rPr>
        <w:sectPr>
          <w:pgSz w:w="11910" w:h="16850"/>
          <w:pgMar w:header="572" w:footer="581" w:top="780" w:bottom="780" w:left="120" w:right="0"/>
        </w:sectPr>
      </w:pPr>
    </w:p>
    <w:p>
      <w:pPr>
        <w:pStyle w:val="BodyText"/>
      </w:pPr>
    </w:p>
    <w:p>
      <w:pPr>
        <w:pStyle w:val="BodyText"/>
      </w:pPr>
    </w:p>
    <w:p>
      <w:pPr>
        <w:pStyle w:val="BodyText"/>
        <w:rPr>
          <w:sz w:val="22"/>
        </w:rPr>
      </w:pPr>
    </w:p>
    <w:p>
      <w:pPr>
        <w:tabs>
          <w:tab w:pos="3168" w:val="left" w:leader="none"/>
        </w:tabs>
        <w:spacing w:before="88"/>
        <w:ind w:left="900" w:right="0" w:firstLine="0"/>
        <w:jc w:val="left"/>
        <w:rPr>
          <w:sz w:val="40"/>
        </w:rPr>
      </w:pPr>
      <w:bookmarkStart w:name="Appendix B Policy changes" w:id="231"/>
      <w:bookmarkEnd w:id="231"/>
      <w:r>
        <w:rPr/>
      </w:r>
      <w:bookmarkStart w:name="_bookmark57" w:id="232"/>
      <w:bookmarkEnd w:id="232"/>
      <w:r>
        <w:rPr/>
      </w:r>
      <w:r>
        <w:rPr>
          <w:color w:val="DF2F1E"/>
          <w:sz w:val="40"/>
        </w:rPr>
        <w:t>Appendix</w:t>
      </w:r>
      <w:r>
        <w:rPr>
          <w:color w:val="DF2F1E"/>
          <w:spacing w:val="-2"/>
          <w:sz w:val="40"/>
        </w:rPr>
        <w:t> </w:t>
      </w:r>
      <w:r>
        <w:rPr>
          <w:color w:val="DF2F1E"/>
          <w:sz w:val="40"/>
        </w:rPr>
        <w:t>B</w:t>
        <w:tab/>
        <w:t>Policy</w:t>
      </w:r>
      <w:r>
        <w:rPr>
          <w:color w:val="DF2F1E"/>
          <w:spacing w:val="-2"/>
          <w:sz w:val="40"/>
        </w:rPr>
        <w:t> </w:t>
      </w:r>
      <w:r>
        <w:rPr>
          <w:color w:val="DF2F1E"/>
          <w:sz w:val="40"/>
        </w:rPr>
        <w:t>changes</w:t>
      </w:r>
    </w:p>
    <w:p>
      <w:pPr>
        <w:pStyle w:val="BodyText"/>
        <w:spacing w:before="241"/>
        <w:ind w:left="900" w:right="1498"/>
      </w:pPr>
      <w:r>
        <w:rPr>
          <w:color w:val="404040"/>
        </w:rPr>
        <w:t>The following tables summarise the list of policy changes provided to us by the Department. The first table summarises policy changes which took effect prior to the previous valuation, while the second table summarises policies which are to take effect after the current valuation date.</w:t>
      </w:r>
    </w:p>
    <w:p>
      <w:pPr>
        <w:pStyle w:val="Heading9"/>
        <w:spacing w:before="179" w:after="52"/>
        <w:ind w:left="899" w:right="1323"/>
      </w:pPr>
      <w:r>
        <w:rPr>
          <w:color w:val="DF2F1E"/>
        </w:rPr>
        <w:t>Table 48: Policy changes which were legislated between 2011 and 2018 and took effect on or prior to 30 June 2018</w:t>
      </w:r>
    </w:p>
    <w:tbl>
      <w:tblPr>
        <w:tblW w:w="0" w:type="auto"/>
        <w:jc w:val="left"/>
        <w:tblInd w:w="8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49"/>
        <w:gridCol w:w="912"/>
        <w:gridCol w:w="5719"/>
      </w:tblGrid>
      <w:tr>
        <w:trPr>
          <w:trHeight w:val="643" w:hRule="atLeast"/>
        </w:trPr>
        <w:tc>
          <w:tcPr>
            <w:tcW w:w="3249" w:type="dxa"/>
            <w:shd w:val="clear" w:color="auto" w:fill="DF2F1E"/>
          </w:tcPr>
          <w:p>
            <w:pPr>
              <w:pStyle w:val="TableParagraph"/>
              <w:spacing w:before="34"/>
              <w:ind w:left="122"/>
              <w:rPr>
                <w:b/>
                <w:sz w:val="16"/>
              </w:rPr>
            </w:pPr>
            <w:r>
              <w:rPr>
                <w:b/>
                <w:color w:val="FFFFFF"/>
                <w:sz w:val="16"/>
              </w:rPr>
              <w:t>Amendment</w:t>
            </w:r>
          </w:p>
        </w:tc>
        <w:tc>
          <w:tcPr>
            <w:tcW w:w="912" w:type="dxa"/>
            <w:shd w:val="clear" w:color="auto" w:fill="DF2F1E"/>
          </w:tcPr>
          <w:p>
            <w:pPr>
              <w:pStyle w:val="TableParagraph"/>
              <w:spacing w:before="34"/>
              <w:ind w:left="142" w:right="83"/>
              <w:rPr>
                <w:b/>
                <w:sz w:val="16"/>
              </w:rPr>
            </w:pPr>
            <w:r>
              <w:rPr>
                <w:b/>
                <w:color w:val="FFFFFF"/>
                <w:sz w:val="16"/>
              </w:rPr>
              <w:t>Year Effective</w:t>
            </w:r>
          </w:p>
        </w:tc>
        <w:tc>
          <w:tcPr>
            <w:tcW w:w="5719" w:type="dxa"/>
            <w:shd w:val="clear" w:color="auto" w:fill="DF2F1E"/>
          </w:tcPr>
          <w:p>
            <w:pPr>
              <w:pStyle w:val="TableParagraph"/>
              <w:spacing w:before="34"/>
              <w:ind w:left="103"/>
              <w:rPr>
                <w:b/>
                <w:sz w:val="16"/>
              </w:rPr>
            </w:pPr>
            <w:r>
              <w:rPr>
                <w:b/>
                <w:color w:val="FFFFFF"/>
                <w:sz w:val="16"/>
              </w:rPr>
              <w:t>Description</w:t>
            </w:r>
          </w:p>
        </w:tc>
      </w:tr>
      <w:tr>
        <w:trPr>
          <w:trHeight w:val="1038" w:hRule="atLeast"/>
        </w:trPr>
        <w:tc>
          <w:tcPr>
            <w:tcW w:w="3249" w:type="dxa"/>
            <w:tcBorders>
              <w:bottom w:val="single" w:sz="4" w:space="0" w:color="DF2F1E"/>
            </w:tcBorders>
          </w:tcPr>
          <w:p>
            <w:pPr>
              <w:pStyle w:val="TableParagraph"/>
              <w:spacing w:before="34"/>
              <w:ind w:left="122" w:right="750"/>
              <w:rPr>
                <w:b/>
                <w:sz w:val="16"/>
              </w:rPr>
            </w:pPr>
            <w:r>
              <w:rPr>
                <w:b/>
                <w:color w:val="404040"/>
                <w:sz w:val="16"/>
              </w:rPr>
              <w:t>Parenting Payment transitional arrangement</w:t>
            </w:r>
          </w:p>
          <w:p>
            <w:pPr>
              <w:pStyle w:val="TableParagraph"/>
              <w:spacing w:before="43"/>
              <w:ind w:left="122" w:right="305"/>
              <w:rPr>
                <w:sz w:val="16"/>
              </w:rPr>
            </w:pPr>
            <w:r>
              <w:rPr>
                <w:color w:val="404040"/>
                <w:sz w:val="16"/>
              </w:rPr>
              <w:t>Social Security Amendment (Parenting Payment Transitional Arrangement) Act 2011</w:t>
            </w:r>
          </w:p>
        </w:tc>
        <w:tc>
          <w:tcPr>
            <w:tcW w:w="912" w:type="dxa"/>
            <w:tcBorders>
              <w:bottom w:val="single" w:sz="4" w:space="0" w:color="DF2F1E"/>
            </w:tcBorders>
          </w:tcPr>
          <w:p>
            <w:pPr>
              <w:pStyle w:val="TableParagraph"/>
              <w:ind w:left="142"/>
              <w:rPr>
                <w:sz w:val="16"/>
              </w:rPr>
            </w:pPr>
            <w:r>
              <w:rPr>
                <w:color w:val="404040"/>
                <w:sz w:val="16"/>
              </w:rPr>
              <w:t>2011</w:t>
            </w:r>
          </w:p>
        </w:tc>
        <w:tc>
          <w:tcPr>
            <w:tcW w:w="5719" w:type="dxa"/>
            <w:tcBorders>
              <w:bottom w:val="single" w:sz="4" w:space="0" w:color="DF2F1E"/>
            </w:tcBorders>
          </w:tcPr>
          <w:p>
            <w:pPr>
              <w:pStyle w:val="TableParagraph"/>
              <w:ind w:left="103"/>
              <w:rPr>
                <w:sz w:val="16"/>
              </w:rPr>
            </w:pPr>
            <w:r>
              <w:rPr>
                <w:color w:val="404040"/>
                <w:sz w:val="16"/>
              </w:rPr>
              <w:t>Changed ability to access transitional arrangements.</w:t>
            </w:r>
          </w:p>
        </w:tc>
      </w:tr>
      <w:tr>
        <w:trPr>
          <w:trHeight w:val="1041" w:hRule="atLeast"/>
        </w:trPr>
        <w:tc>
          <w:tcPr>
            <w:tcW w:w="3249" w:type="dxa"/>
            <w:tcBorders>
              <w:top w:val="single" w:sz="4" w:space="0" w:color="DF2F1E"/>
              <w:bottom w:val="single" w:sz="4" w:space="0" w:color="DF2F1E"/>
            </w:tcBorders>
          </w:tcPr>
          <w:p>
            <w:pPr>
              <w:pStyle w:val="TableParagraph"/>
              <w:spacing w:before="34"/>
              <w:ind w:left="122" w:right="697"/>
              <w:rPr>
                <w:b/>
                <w:sz w:val="16"/>
              </w:rPr>
            </w:pPr>
            <w:r>
              <w:rPr>
                <w:b/>
                <w:color w:val="404040"/>
                <w:sz w:val="16"/>
              </w:rPr>
              <w:t>Work rule for Disability Support Pension</w:t>
            </w:r>
          </w:p>
          <w:p>
            <w:pPr>
              <w:pStyle w:val="TableParagraph"/>
              <w:spacing w:before="45"/>
              <w:ind w:left="122" w:right="278"/>
              <w:rPr>
                <w:sz w:val="16"/>
              </w:rPr>
            </w:pPr>
            <w:r>
              <w:rPr>
                <w:color w:val="404040"/>
                <w:sz w:val="16"/>
              </w:rPr>
              <w:t>Social Security and Other Legislation Amendment (Disability Support Pension Participation Reforms) Act 2012</w:t>
            </w:r>
          </w:p>
        </w:tc>
        <w:tc>
          <w:tcPr>
            <w:tcW w:w="912" w:type="dxa"/>
            <w:tcBorders>
              <w:top w:val="single" w:sz="4" w:space="0" w:color="DF2F1E"/>
              <w:bottom w:val="single" w:sz="4" w:space="0" w:color="DF2F1E"/>
            </w:tcBorders>
          </w:tcPr>
          <w:p>
            <w:pPr>
              <w:pStyle w:val="TableParagraph"/>
              <w:ind w:left="142"/>
              <w:rPr>
                <w:sz w:val="16"/>
              </w:rPr>
            </w:pPr>
            <w:r>
              <w:rPr>
                <w:color w:val="404040"/>
                <w:sz w:val="16"/>
              </w:rPr>
              <w:t>2012</w:t>
            </w:r>
          </w:p>
        </w:tc>
        <w:tc>
          <w:tcPr>
            <w:tcW w:w="5719" w:type="dxa"/>
            <w:tcBorders>
              <w:top w:val="single" w:sz="4" w:space="0" w:color="DF2F1E"/>
              <w:bottom w:val="single" w:sz="4" w:space="0" w:color="DF2F1E"/>
            </w:tcBorders>
          </w:tcPr>
          <w:p>
            <w:pPr>
              <w:pStyle w:val="TableParagraph"/>
              <w:ind w:left="103" w:right="162"/>
              <w:rPr>
                <w:sz w:val="16"/>
              </w:rPr>
            </w:pPr>
            <w:r>
              <w:rPr>
                <w:color w:val="404040"/>
                <w:sz w:val="16"/>
              </w:rPr>
              <w:t>From 1 July 2012, all Disability Support Pension recipients can work up to 30 hours a week without having their payment suspended or cancelled.</w:t>
            </w:r>
          </w:p>
        </w:tc>
      </w:tr>
      <w:tr>
        <w:trPr>
          <w:trHeight w:val="1223" w:hRule="atLeast"/>
        </w:trPr>
        <w:tc>
          <w:tcPr>
            <w:tcW w:w="3249" w:type="dxa"/>
            <w:tcBorders>
              <w:top w:val="single" w:sz="4" w:space="0" w:color="DF2F1E"/>
              <w:bottom w:val="single" w:sz="4" w:space="0" w:color="DF2F1E"/>
            </w:tcBorders>
          </w:tcPr>
          <w:p>
            <w:pPr>
              <w:pStyle w:val="TableParagraph"/>
              <w:spacing w:before="34"/>
              <w:ind w:left="122" w:right="191"/>
              <w:rPr>
                <w:b/>
                <w:sz w:val="16"/>
              </w:rPr>
            </w:pPr>
            <w:r>
              <w:rPr>
                <w:b/>
                <w:color w:val="404040"/>
                <w:sz w:val="16"/>
              </w:rPr>
              <w:t>Changes to the eligibility criteria for Youth Allowance (Other) and Newstart Allowance</w:t>
            </w:r>
          </w:p>
          <w:p>
            <w:pPr>
              <w:pStyle w:val="TableParagraph"/>
              <w:spacing w:before="43"/>
              <w:ind w:left="122" w:right="261"/>
              <w:rPr>
                <w:sz w:val="16"/>
              </w:rPr>
            </w:pPr>
            <w:r>
              <w:rPr>
                <w:color w:val="404040"/>
                <w:sz w:val="16"/>
              </w:rPr>
              <w:t>Social Security and Other Legislation Amendment (Income Support and Other Measures) Act 2012</w:t>
            </w:r>
          </w:p>
        </w:tc>
        <w:tc>
          <w:tcPr>
            <w:tcW w:w="912" w:type="dxa"/>
            <w:tcBorders>
              <w:top w:val="single" w:sz="4" w:space="0" w:color="DF2F1E"/>
              <w:bottom w:val="single" w:sz="4" w:space="0" w:color="DF2F1E"/>
            </w:tcBorders>
          </w:tcPr>
          <w:p>
            <w:pPr>
              <w:pStyle w:val="TableParagraph"/>
              <w:ind w:left="142"/>
              <w:rPr>
                <w:sz w:val="16"/>
              </w:rPr>
            </w:pPr>
            <w:r>
              <w:rPr>
                <w:color w:val="404040"/>
                <w:sz w:val="16"/>
              </w:rPr>
              <w:t>2012</w:t>
            </w:r>
          </w:p>
        </w:tc>
        <w:tc>
          <w:tcPr>
            <w:tcW w:w="5719" w:type="dxa"/>
            <w:tcBorders>
              <w:top w:val="single" w:sz="4" w:space="0" w:color="DF2F1E"/>
              <w:bottom w:val="single" w:sz="4" w:space="0" w:color="DF2F1E"/>
            </w:tcBorders>
          </w:tcPr>
          <w:p>
            <w:pPr>
              <w:pStyle w:val="TableParagraph"/>
              <w:ind w:left="103" w:right="331"/>
              <w:rPr>
                <w:sz w:val="16"/>
              </w:rPr>
            </w:pPr>
            <w:r>
              <w:rPr>
                <w:color w:val="404040"/>
                <w:sz w:val="16"/>
              </w:rPr>
              <w:t>The maximum age for Youth Allowance for non-students and the minimum qualification age for Newstart Allowance increased from 21 to 22</w:t>
            </w:r>
            <w:r>
              <w:rPr>
                <w:color w:val="404040"/>
                <w:spacing w:val="-18"/>
                <w:sz w:val="16"/>
              </w:rPr>
              <w:t> </w:t>
            </w:r>
            <w:r>
              <w:rPr>
                <w:color w:val="404040"/>
                <w:sz w:val="16"/>
              </w:rPr>
              <w:t>years.</w:t>
            </w:r>
          </w:p>
          <w:p>
            <w:pPr>
              <w:pStyle w:val="TableParagraph"/>
              <w:spacing w:before="40"/>
              <w:ind w:left="103" w:right="437"/>
              <w:rPr>
                <w:sz w:val="16"/>
              </w:rPr>
            </w:pPr>
            <w:r>
              <w:rPr>
                <w:color w:val="404040"/>
                <w:sz w:val="16"/>
              </w:rPr>
              <w:t>The income free area value was increased from $62 a fortnight to $143 a fortnight and the working credit limit value was increased from $1000</w:t>
            </w:r>
            <w:r>
              <w:rPr>
                <w:color w:val="404040"/>
                <w:spacing w:val="-19"/>
                <w:sz w:val="16"/>
              </w:rPr>
              <w:t> </w:t>
            </w:r>
            <w:r>
              <w:rPr>
                <w:color w:val="404040"/>
                <w:sz w:val="16"/>
              </w:rPr>
              <w:t>to</w:t>
            </w:r>
          </w:p>
          <w:p>
            <w:pPr>
              <w:pStyle w:val="TableParagraph"/>
              <w:spacing w:line="183" w:lineRule="exact" w:before="0"/>
              <w:ind w:left="103"/>
              <w:rPr>
                <w:sz w:val="16"/>
              </w:rPr>
            </w:pPr>
            <w:r>
              <w:rPr>
                <w:color w:val="404040"/>
                <w:sz w:val="16"/>
              </w:rPr>
              <w:t>$3500 for all Youth Allowance (Other) recipients.</w:t>
            </w:r>
          </w:p>
        </w:tc>
      </w:tr>
      <w:tr>
        <w:trPr>
          <w:trHeight w:val="263" w:hRule="atLeast"/>
        </w:trPr>
        <w:tc>
          <w:tcPr>
            <w:tcW w:w="3249" w:type="dxa"/>
            <w:tcBorders>
              <w:top w:val="single" w:sz="4" w:space="0" w:color="DF2F1E"/>
              <w:bottom w:val="single" w:sz="4" w:space="0" w:color="DF2F1E"/>
            </w:tcBorders>
          </w:tcPr>
          <w:p>
            <w:pPr>
              <w:pStyle w:val="TableParagraph"/>
              <w:spacing w:before="34"/>
              <w:ind w:left="122"/>
              <w:rPr>
                <w:b/>
                <w:sz w:val="16"/>
              </w:rPr>
            </w:pPr>
            <w:r>
              <w:rPr>
                <w:b/>
                <w:color w:val="404040"/>
                <w:sz w:val="16"/>
              </w:rPr>
              <w:t>Clean Energy Advance (CEA)</w:t>
            </w:r>
          </w:p>
        </w:tc>
        <w:tc>
          <w:tcPr>
            <w:tcW w:w="912" w:type="dxa"/>
            <w:tcBorders>
              <w:top w:val="single" w:sz="4" w:space="0" w:color="DF2F1E"/>
              <w:bottom w:val="single" w:sz="4" w:space="0" w:color="DF2F1E"/>
            </w:tcBorders>
          </w:tcPr>
          <w:p>
            <w:pPr>
              <w:pStyle w:val="TableParagraph"/>
              <w:ind w:left="142"/>
              <w:rPr>
                <w:sz w:val="16"/>
              </w:rPr>
            </w:pPr>
            <w:r>
              <w:rPr>
                <w:color w:val="404040"/>
                <w:sz w:val="16"/>
              </w:rPr>
              <w:t>2012</w:t>
            </w:r>
          </w:p>
        </w:tc>
        <w:tc>
          <w:tcPr>
            <w:tcW w:w="5719" w:type="dxa"/>
            <w:tcBorders>
              <w:top w:val="single" w:sz="4" w:space="0" w:color="DF2F1E"/>
              <w:bottom w:val="single" w:sz="4" w:space="0" w:color="DF2F1E"/>
            </w:tcBorders>
          </w:tcPr>
          <w:p>
            <w:pPr>
              <w:pStyle w:val="TableParagraph"/>
              <w:ind w:left="103"/>
              <w:rPr>
                <w:sz w:val="16"/>
              </w:rPr>
            </w:pPr>
            <w:r>
              <w:rPr>
                <w:color w:val="404040"/>
                <w:sz w:val="16"/>
              </w:rPr>
              <w:t>The Clean Energy Advance (CEA) was introduced in May 2012.</w:t>
            </w:r>
          </w:p>
        </w:tc>
      </w:tr>
      <w:tr>
        <w:trPr>
          <w:trHeight w:val="1223" w:hRule="atLeast"/>
        </w:trPr>
        <w:tc>
          <w:tcPr>
            <w:tcW w:w="3249" w:type="dxa"/>
            <w:tcBorders>
              <w:top w:val="single" w:sz="4" w:space="0" w:color="DF2F1E"/>
              <w:bottom w:val="single" w:sz="4" w:space="0" w:color="DF2F1E"/>
            </w:tcBorders>
          </w:tcPr>
          <w:p>
            <w:pPr>
              <w:pStyle w:val="TableParagraph"/>
              <w:spacing w:before="34"/>
              <w:ind w:left="122" w:right="350"/>
              <w:rPr>
                <w:b/>
                <w:sz w:val="16"/>
              </w:rPr>
            </w:pPr>
            <w:r>
              <w:rPr>
                <w:b/>
                <w:color w:val="404040"/>
                <w:sz w:val="16"/>
              </w:rPr>
              <w:t>Clean Energy Supplement and other measures</w:t>
            </w:r>
          </w:p>
          <w:p>
            <w:pPr>
              <w:pStyle w:val="TableParagraph"/>
              <w:spacing w:before="43"/>
              <w:ind w:left="122" w:right="456"/>
              <w:rPr>
                <w:sz w:val="16"/>
              </w:rPr>
            </w:pPr>
            <w:r>
              <w:rPr>
                <w:color w:val="404040"/>
                <w:sz w:val="16"/>
              </w:rPr>
              <w:t>Clean Energy (Household Assistance Amendments) Act 2011</w:t>
            </w:r>
          </w:p>
        </w:tc>
        <w:tc>
          <w:tcPr>
            <w:tcW w:w="912" w:type="dxa"/>
            <w:tcBorders>
              <w:top w:val="single" w:sz="4" w:space="0" w:color="DF2F1E"/>
              <w:bottom w:val="single" w:sz="4" w:space="0" w:color="DF2F1E"/>
            </w:tcBorders>
          </w:tcPr>
          <w:p>
            <w:pPr>
              <w:pStyle w:val="TableParagraph"/>
              <w:spacing w:line="183" w:lineRule="exact"/>
              <w:ind w:left="142"/>
              <w:rPr>
                <w:sz w:val="16"/>
              </w:rPr>
            </w:pPr>
            <w:r>
              <w:rPr>
                <w:color w:val="404040"/>
                <w:sz w:val="16"/>
              </w:rPr>
              <w:t>2012-</w:t>
            </w:r>
          </w:p>
          <w:p>
            <w:pPr>
              <w:pStyle w:val="TableParagraph"/>
              <w:spacing w:line="183" w:lineRule="exact" w:before="0"/>
              <w:ind w:left="142"/>
              <w:rPr>
                <w:sz w:val="16"/>
              </w:rPr>
            </w:pPr>
            <w:r>
              <w:rPr>
                <w:color w:val="404040"/>
                <w:sz w:val="16"/>
              </w:rPr>
              <w:t>2013</w:t>
            </w:r>
          </w:p>
        </w:tc>
        <w:tc>
          <w:tcPr>
            <w:tcW w:w="5719" w:type="dxa"/>
            <w:tcBorders>
              <w:top w:val="single" w:sz="4" w:space="0" w:color="DF2F1E"/>
              <w:bottom w:val="single" w:sz="4" w:space="0" w:color="DF2F1E"/>
            </w:tcBorders>
          </w:tcPr>
          <w:p>
            <w:pPr>
              <w:pStyle w:val="TableParagraph"/>
              <w:ind w:left="103" w:right="144"/>
              <w:rPr>
                <w:sz w:val="16"/>
              </w:rPr>
            </w:pPr>
            <w:r>
              <w:rPr>
                <w:color w:val="404040"/>
                <w:sz w:val="16"/>
              </w:rPr>
              <w:t>From 1 July 2013, the normal payment indexing arrangements and the Clean Energy Supplement (CES) began to deliver assistance related to carbon pricing.</w:t>
            </w:r>
          </w:p>
          <w:p>
            <w:pPr>
              <w:pStyle w:val="TableParagraph"/>
              <w:spacing w:before="40"/>
              <w:ind w:left="103" w:right="330"/>
              <w:jc w:val="both"/>
              <w:rPr>
                <w:sz w:val="16"/>
              </w:rPr>
            </w:pPr>
            <w:r>
              <w:rPr>
                <w:color w:val="404040"/>
                <w:sz w:val="16"/>
              </w:rPr>
              <w:t>In addition, amendments were introduced for the Low Income Supplement, Essential Medical Equipment Payment, Single Income Family Supplement and aged care.</w:t>
            </w:r>
          </w:p>
        </w:tc>
      </w:tr>
      <w:tr>
        <w:trPr>
          <w:trHeight w:val="1000" w:hRule="atLeast"/>
        </w:trPr>
        <w:tc>
          <w:tcPr>
            <w:tcW w:w="3249" w:type="dxa"/>
            <w:tcBorders>
              <w:top w:val="single" w:sz="4" w:space="0" w:color="DF2F1E"/>
              <w:bottom w:val="single" w:sz="4" w:space="0" w:color="DF2F1E"/>
            </w:tcBorders>
          </w:tcPr>
          <w:p>
            <w:pPr>
              <w:pStyle w:val="TableParagraph"/>
              <w:spacing w:before="34"/>
              <w:ind w:left="122" w:right="866"/>
              <w:rPr>
                <w:b/>
                <w:sz w:val="16"/>
              </w:rPr>
            </w:pPr>
            <w:r>
              <w:rPr>
                <w:b/>
                <w:color w:val="404040"/>
                <w:sz w:val="16"/>
              </w:rPr>
              <w:t>Family Tax Benefit and Youth Allowance</w:t>
            </w:r>
          </w:p>
          <w:p>
            <w:pPr>
              <w:pStyle w:val="TableParagraph"/>
              <w:spacing w:before="43"/>
              <w:ind w:left="122" w:right="252"/>
              <w:rPr>
                <w:sz w:val="16"/>
              </w:rPr>
            </w:pPr>
            <w:r>
              <w:rPr>
                <w:color w:val="404040"/>
                <w:sz w:val="16"/>
              </w:rPr>
              <w:t>Family Assistance and Other Legislation Amendment Act 2011</w:t>
            </w:r>
          </w:p>
        </w:tc>
        <w:tc>
          <w:tcPr>
            <w:tcW w:w="912" w:type="dxa"/>
            <w:tcBorders>
              <w:top w:val="single" w:sz="4" w:space="0" w:color="DF2F1E"/>
              <w:bottom w:val="single" w:sz="4" w:space="0" w:color="DF2F1E"/>
            </w:tcBorders>
          </w:tcPr>
          <w:p>
            <w:pPr>
              <w:pStyle w:val="TableParagraph"/>
              <w:ind w:left="142"/>
              <w:rPr>
                <w:sz w:val="16"/>
              </w:rPr>
            </w:pPr>
            <w:r>
              <w:rPr>
                <w:color w:val="404040"/>
                <w:sz w:val="16"/>
              </w:rPr>
              <w:t>2012</w:t>
            </w:r>
          </w:p>
        </w:tc>
        <w:tc>
          <w:tcPr>
            <w:tcW w:w="5719" w:type="dxa"/>
            <w:tcBorders>
              <w:top w:val="single" w:sz="4" w:space="0" w:color="DF2F1E"/>
              <w:bottom w:val="single" w:sz="4" w:space="0" w:color="DF2F1E"/>
            </w:tcBorders>
          </w:tcPr>
          <w:p>
            <w:pPr>
              <w:pStyle w:val="TableParagraph"/>
              <w:ind w:left="103" w:right="126"/>
              <w:rPr>
                <w:sz w:val="16"/>
              </w:rPr>
            </w:pPr>
            <w:r>
              <w:rPr>
                <w:color w:val="404040"/>
                <w:sz w:val="16"/>
              </w:rPr>
              <w:t>The maximum age limit for a young person to qualify as a dependent child for Family Tax Benefit Part A (FTB-A) changed from aged under 25 to aged 21. This change aligns with the age of independence recognised in Youth Allowance. As at 1 January 2012, a young person is considered independent for Youth Allowance purposes once they turn 22.</w:t>
            </w:r>
          </w:p>
        </w:tc>
      </w:tr>
      <w:tr>
        <w:trPr>
          <w:trHeight w:val="817" w:hRule="atLeast"/>
        </w:trPr>
        <w:tc>
          <w:tcPr>
            <w:tcW w:w="3249" w:type="dxa"/>
            <w:tcBorders>
              <w:top w:val="single" w:sz="4" w:space="0" w:color="DF2F1E"/>
              <w:bottom w:val="single" w:sz="4" w:space="0" w:color="DF2F1E"/>
            </w:tcBorders>
          </w:tcPr>
          <w:p>
            <w:pPr>
              <w:pStyle w:val="TableParagraph"/>
              <w:spacing w:before="34"/>
              <w:ind w:left="122"/>
              <w:rPr>
                <w:b/>
                <w:sz w:val="16"/>
              </w:rPr>
            </w:pPr>
            <w:r>
              <w:rPr>
                <w:b/>
                <w:color w:val="404040"/>
                <w:sz w:val="16"/>
              </w:rPr>
              <w:t>Supporting Families with Teenagers</w:t>
            </w:r>
          </w:p>
        </w:tc>
        <w:tc>
          <w:tcPr>
            <w:tcW w:w="912" w:type="dxa"/>
            <w:tcBorders>
              <w:top w:val="single" w:sz="4" w:space="0" w:color="DF2F1E"/>
              <w:bottom w:val="single" w:sz="4" w:space="0" w:color="DF2F1E"/>
            </w:tcBorders>
          </w:tcPr>
          <w:p>
            <w:pPr>
              <w:pStyle w:val="TableParagraph"/>
              <w:ind w:left="142"/>
              <w:rPr>
                <w:sz w:val="16"/>
              </w:rPr>
            </w:pPr>
            <w:r>
              <w:rPr>
                <w:color w:val="404040"/>
                <w:sz w:val="16"/>
              </w:rPr>
              <w:t>2012</w:t>
            </w:r>
          </w:p>
        </w:tc>
        <w:tc>
          <w:tcPr>
            <w:tcW w:w="5719" w:type="dxa"/>
            <w:tcBorders>
              <w:top w:val="single" w:sz="4" w:space="0" w:color="DF2F1E"/>
              <w:bottom w:val="single" w:sz="4" w:space="0" w:color="DF2F1E"/>
            </w:tcBorders>
          </w:tcPr>
          <w:p>
            <w:pPr>
              <w:pStyle w:val="TableParagraph"/>
              <w:ind w:left="103" w:right="122"/>
              <w:rPr>
                <w:sz w:val="16"/>
              </w:rPr>
            </w:pPr>
            <w:r>
              <w:rPr>
                <w:color w:val="404040"/>
                <w:sz w:val="16"/>
              </w:rPr>
              <w:t>From 1 January 2012, Family Tax Benefit Part A increased for eligible families with dependent 16</w:t>
            </w:r>
            <w:r>
              <w:rPr>
                <w:rFonts w:ascii="Cambria Math" w:hAnsi="Cambria Math"/>
                <w:color w:val="404040"/>
                <w:sz w:val="16"/>
              </w:rPr>
              <w:t>‑</w:t>
            </w:r>
            <w:r>
              <w:rPr>
                <w:color w:val="404040"/>
                <w:sz w:val="16"/>
              </w:rPr>
              <w:t>19 year olds who are undertaking full-time secondary study. The maximum rate increased by up to $161.42 per child per fortnight, to</w:t>
            </w:r>
            <w:r>
              <w:rPr>
                <w:color w:val="404040"/>
                <w:spacing w:val="-2"/>
                <w:sz w:val="16"/>
              </w:rPr>
              <w:t> </w:t>
            </w:r>
            <w:r>
              <w:rPr>
                <w:color w:val="404040"/>
                <w:sz w:val="16"/>
              </w:rPr>
              <w:t>$214.06.</w:t>
            </w:r>
          </w:p>
        </w:tc>
      </w:tr>
      <w:tr>
        <w:trPr>
          <w:trHeight w:val="856" w:hRule="atLeast"/>
        </w:trPr>
        <w:tc>
          <w:tcPr>
            <w:tcW w:w="3249" w:type="dxa"/>
            <w:tcBorders>
              <w:top w:val="single" w:sz="4" w:space="0" w:color="DF2F1E"/>
              <w:bottom w:val="single" w:sz="4" w:space="0" w:color="DF2F1E"/>
            </w:tcBorders>
          </w:tcPr>
          <w:p>
            <w:pPr>
              <w:pStyle w:val="TableParagraph"/>
              <w:ind w:left="122" w:right="732"/>
              <w:rPr>
                <w:b/>
                <w:sz w:val="16"/>
              </w:rPr>
            </w:pPr>
            <w:r>
              <w:rPr>
                <w:b/>
                <w:color w:val="404040"/>
                <w:sz w:val="16"/>
              </w:rPr>
              <w:t>Removal of the grandfathering provisions and other measures</w:t>
            </w:r>
          </w:p>
          <w:p>
            <w:pPr>
              <w:pStyle w:val="TableParagraph"/>
              <w:spacing w:before="42"/>
              <w:ind w:left="122" w:right="332"/>
              <w:rPr>
                <w:sz w:val="16"/>
              </w:rPr>
            </w:pPr>
            <w:r>
              <w:rPr>
                <w:color w:val="404040"/>
                <w:sz w:val="16"/>
              </w:rPr>
              <w:t>Social Security Legislation Amendment (Fair Incentives to Work) Act 2012</w:t>
            </w:r>
          </w:p>
        </w:tc>
        <w:tc>
          <w:tcPr>
            <w:tcW w:w="912" w:type="dxa"/>
            <w:tcBorders>
              <w:top w:val="single" w:sz="4" w:space="0" w:color="DF2F1E"/>
              <w:bottom w:val="single" w:sz="4" w:space="0" w:color="DF2F1E"/>
            </w:tcBorders>
          </w:tcPr>
          <w:p>
            <w:pPr>
              <w:pStyle w:val="TableParagraph"/>
              <w:spacing w:before="39"/>
              <w:ind w:left="142"/>
              <w:rPr>
                <w:sz w:val="16"/>
              </w:rPr>
            </w:pPr>
            <w:r>
              <w:rPr>
                <w:color w:val="404040"/>
                <w:sz w:val="16"/>
              </w:rPr>
              <w:t>2013</w:t>
            </w:r>
          </w:p>
        </w:tc>
        <w:tc>
          <w:tcPr>
            <w:tcW w:w="5719" w:type="dxa"/>
            <w:tcBorders>
              <w:top w:val="single" w:sz="4" w:space="0" w:color="DF2F1E"/>
              <w:bottom w:val="single" w:sz="4" w:space="0" w:color="DF2F1E"/>
            </w:tcBorders>
          </w:tcPr>
          <w:p>
            <w:pPr>
              <w:pStyle w:val="TableParagraph"/>
              <w:spacing w:before="39"/>
              <w:ind w:left="103" w:right="571"/>
              <w:rPr>
                <w:sz w:val="16"/>
              </w:rPr>
            </w:pPr>
            <w:r>
              <w:rPr>
                <w:color w:val="404040"/>
                <w:sz w:val="16"/>
              </w:rPr>
              <w:t>Grandfathering provisions for some Parenting Payment recipients were removed.</w:t>
            </w:r>
          </w:p>
          <w:p>
            <w:pPr>
              <w:pStyle w:val="TableParagraph"/>
              <w:spacing w:before="40"/>
              <w:ind w:left="103" w:right="126"/>
              <w:rPr>
                <w:sz w:val="16"/>
              </w:rPr>
            </w:pPr>
            <w:r>
              <w:rPr>
                <w:color w:val="404040"/>
                <w:sz w:val="16"/>
              </w:rPr>
              <w:t>For certain Newstart recipients there were changes to the eligibility for certain supplements and allowances, and to income taper rates.</w:t>
            </w:r>
          </w:p>
        </w:tc>
      </w:tr>
      <w:tr>
        <w:trPr>
          <w:trHeight w:val="1041" w:hRule="atLeast"/>
        </w:trPr>
        <w:tc>
          <w:tcPr>
            <w:tcW w:w="3249" w:type="dxa"/>
            <w:tcBorders>
              <w:top w:val="single" w:sz="4" w:space="0" w:color="DF2F1E"/>
              <w:bottom w:val="single" w:sz="4" w:space="0" w:color="DF2F1E"/>
            </w:tcBorders>
          </w:tcPr>
          <w:p>
            <w:pPr>
              <w:pStyle w:val="TableParagraph"/>
              <w:spacing w:before="34"/>
              <w:ind w:left="122"/>
              <w:rPr>
                <w:b/>
                <w:sz w:val="16"/>
              </w:rPr>
            </w:pPr>
            <w:r>
              <w:rPr>
                <w:b/>
                <w:color w:val="404040"/>
                <w:sz w:val="16"/>
              </w:rPr>
              <w:t>New Income Support Bonus</w:t>
            </w:r>
          </w:p>
          <w:p>
            <w:pPr>
              <w:pStyle w:val="TableParagraph"/>
              <w:spacing w:before="44"/>
              <w:ind w:left="122" w:right="190"/>
              <w:rPr>
                <w:sz w:val="16"/>
              </w:rPr>
            </w:pPr>
            <w:r>
              <w:rPr>
                <w:color w:val="404040"/>
                <w:sz w:val="16"/>
              </w:rPr>
              <w:t>Social Security and Other Legislation Amendment (Income Support Bonus) Act 2013</w:t>
            </w:r>
          </w:p>
        </w:tc>
        <w:tc>
          <w:tcPr>
            <w:tcW w:w="912" w:type="dxa"/>
            <w:tcBorders>
              <w:top w:val="single" w:sz="4" w:space="0" w:color="DF2F1E"/>
              <w:bottom w:val="single" w:sz="4" w:space="0" w:color="DF2F1E"/>
            </w:tcBorders>
          </w:tcPr>
          <w:p>
            <w:pPr>
              <w:pStyle w:val="TableParagraph"/>
              <w:ind w:left="142"/>
              <w:rPr>
                <w:sz w:val="16"/>
              </w:rPr>
            </w:pPr>
            <w:r>
              <w:rPr>
                <w:color w:val="404040"/>
                <w:sz w:val="16"/>
              </w:rPr>
              <w:t>2013</w:t>
            </w:r>
          </w:p>
        </w:tc>
        <w:tc>
          <w:tcPr>
            <w:tcW w:w="5719" w:type="dxa"/>
            <w:tcBorders>
              <w:top w:val="single" w:sz="4" w:space="0" w:color="DF2F1E"/>
              <w:bottom w:val="single" w:sz="4" w:space="0" w:color="DF2F1E"/>
            </w:tcBorders>
          </w:tcPr>
          <w:p>
            <w:pPr>
              <w:pStyle w:val="TableParagraph"/>
              <w:ind w:left="103"/>
              <w:rPr>
                <w:sz w:val="16"/>
              </w:rPr>
            </w:pPr>
            <w:r>
              <w:rPr>
                <w:color w:val="404040"/>
                <w:sz w:val="16"/>
              </w:rPr>
              <w:t>The Act creates a new Income Support Bonus to be paid to recipients of</w:t>
            </w:r>
          </w:p>
          <w:p>
            <w:pPr>
              <w:pStyle w:val="TableParagraph"/>
              <w:spacing w:before="41"/>
              <w:ind w:left="103" w:right="242"/>
              <w:rPr>
                <w:sz w:val="16"/>
              </w:rPr>
            </w:pPr>
            <w:r>
              <w:rPr>
                <w:color w:val="404040"/>
                <w:sz w:val="16"/>
              </w:rPr>
              <w:t>Newstart Allowance, Youth Allowance, Parenting Payment, Sickness Allowance, Austudy Payment, Special Benefit, ABSTUDY Living Allowance, Exceptional Circumstances Relief Payment, Transitional Farm Family Payment.</w:t>
            </w:r>
          </w:p>
        </w:tc>
      </w:tr>
      <w:tr>
        <w:trPr>
          <w:trHeight w:val="263" w:hRule="atLeast"/>
        </w:trPr>
        <w:tc>
          <w:tcPr>
            <w:tcW w:w="3249" w:type="dxa"/>
            <w:tcBorders>
              <w:top w:val="single" w:sz="4" w:space="0" w:color="DF2F1E"/>
              <w:bottom w:val="single" w:sz="4" w:space="0" w:color="DF2F1E"/>
            </w:tcBorders>
          </w:tcPr>
          <w:p>
            <w:pPr>
              <w:pStyle w:val="TableParagraph"/>
              <w:spacing w:before="34"/>
              <w:ind w:left="122"/>
              <w:rPr>
                <w:b/>
                <w:sz w:val="16"/>
              </w:rPr>
            </w:pPr>
            <w:r>
              <w:rPr>
                <w:b/>
                <w:color w:val="404040"/>
                <w:sz w:val="16"/>
              </w:rPr>
              <w:t>Austudy</w:t>
            </w:r>
          </w:p>
        </w:tc>
        <w:tc>
          <w:tcPr>
            <w:tcW w:w="912" w:type="dxa"/>
            <w:tcBorders>
              <w:top w:val="single" w:sz="4" w:space="0" w:color="DF2F1E"/>
              <w:bottom w:val="single" w:sz="4" w:space="0" w:color="DF2F1E"/>
            </w:tcBorders>
          </w:tcPr>
          <w:p>
            <w:pPr>
              <w:pStyle w:val="TableParagraph"/>
              <w:ind w:left="142"/>
              <w:rPr>
                <w:sz w:val="16"/>
              </w:rPr>
            </w:pPr>
            <w:r>
              <w:rPr>
                <w:color w:val="404040"/>
                <w:sz w:val="16"/>
              </w:rPr>
              <w:t>2013</w:t>
            </w:r>
          </w:p>
        </w:tc>
        <w:tc>
          <w:tcPr>
            <w:tcW w:w="5719" w:type="dxa"/>
            <w:tcBorders>
              <w:top w:val="single" w:sz="4" w:space="0" w:color="DF2F1E"/>
              <w:bottom w:val="single" w:sz="4" w:space="0" w:color="DF2F1E"/>
            </w:tcBorders>
          </w:tcPr>
          <w:p>
            <w:pPr>
              <w:pStyle w:val="TableParagraph"/>
              <w:ind w:left="103"/>
              <w:rPr>
                <w:sz w:val="16"/>
              </w:rPr>
            </w:pPr>
            <w:r>
              <w:rPr>
                <w:color w:val="404040"/>
                <w:sz w:val="16"/>
              </w:rPr>
              <w:t>The maximum length of temporary absence was reduced.</w:t>
            </w:r>
          </w:p>
        </w:tc>
      </w:tr>
      <w:tr>
        <w:trPr>
          <w:trHeight w:val="1038" w:hRule="atLeast"/>
        </w:trPr>
        <w:tc>
          <w:tcPr>
            <w:tcW w:w="3249" w:type="dxa"/>
            <w:tcBorders>
              <w:top w:val="single" w:sz="4" w:space="0" w:color="DF2F1E"/>
              <w:bottom w:val="single" w:sz="4" w:space="0" w:color="DF2F1E"/>
            </w:tcBorders>
          </w:tcPr>
          <w:p>
            <w:pPr>
              <w:pStyle w:val="TableParagraph"/>
              <w:spacing w:before="34"/>
              <w:ind w:left="122" w:right="140"/>
              <w:jc w:val="both"/>
              <w:rPr>
                <w:b/>
                <w:sz w:val="16"/>
              </w:rPr>
            </w:pPr>
            <w:r>
              <w:rPr>
                <w:b/>
                <w:color w:val="404040"/>
                <w:sz w:val="16"/>
              </w:rPr>
              <w:t>Age / study rules for children for family assistance payments</w:t>
            </w:r>
          </w:p>
          <w:p>
            <w:pPr>
              <w:pStyle w:val="TableParagraph"/>
              <w:spacing w:before="43"/>
              <w:ind w:left="122" w:right="501"/>
              <w:jc w:val="both"/>
              <w:rPr>
                <w:sz w:val="16"/>
              </w:rPr>
            </w:pPr>
            <w:r>
              <w:rPr>
                <w:color w:val="404040"/>
                <w:sz w:val="16"/>
              </w:rPr>
              <w:t>Social Security and Other Legislation Amendment (2012 Budget and Other Measures) Act 2012</w:t>
            </w:r>
          </w:p>
        </w:tc>
        <w:tc>
          <w:tcPr>
            <w:tcW w:w="912" w:type="dxa"/>
            <w:tcBorders>
              <w:top w:val="single" w:sz="4" w:space="0" w:color="DF2F1E"/>
              <w:bottom w:val="single" w:sz="4" w:space="0" w:color="DF2F1E"/>
            </w:tcBorders>
          </w:tcPr>
          <w:p>
            <w:pPr>
              <w:pStyle w:val="TableParagraph"/>
              <w:ind w:left="142"/>
              <w:rPr>
                <w:sz w:val="16"/>
              </w:rPr>
            </w:pPr>
            <w:r>
              <w:rPr>
                <w:color w:val="404040"/>
                <w:sz w:val="16"/>
              </w:rPr>
              <w:t>2013</w:t>
            </w:r>
          </w:p>
        </w:tc>
        <w:tc>
          <w:tcPr>
            <w:tcW w:w="5719" w:type="dxa"/>
            <w:tcBorders>
              <w:top w:val="single" w:sz="4" w:space="0" w:color="DF2F1E"/>
              <w:bottom w:val="single" w:sz="4" w:space="0" w:color="DF2F1E"/>
            </w:tcBorders>
          </w:tcPr>
          <w:p>
            <w:pPr>
              <w:pStyle w:val="TableParagraph"/>
              <w:ind w:left="103" w:right="99"/>
              <w:rPr>
                <w:sz w:val="16"/>
              </w:rPr>
            </w:pPr>
            <w:r>
              <w:rPr>
                <w:color w:val="404040"/>
                <w:sz w:val="16"/>
              </w:rPr>
              <w:t>The maximum age of eligibility for FTB Part A is further reduced to 17 for children who have completed secondary education or a vocational equivalent. Children still in secondary study can continue to access FTB Part A until the end of the calendar year they turn 19.</w:t>
            </w:r>
          </w:p>
        </w:tc>
      </w:tr>
      <w:tr>
        <w:trPr>
          <w:trHeight w:val="448" w:hRule="atLeast"/>
        </w:trPr>
        <w:tc>
          <w:tcPr>
            <w:tcW w:w="3249" w:type="dxa"/>
            <w:tcBorders>
              <w:top w:val="single" w:sz="4" w:space="0" w:color="DF2F1E"/>
              <w:bottom w:val="single" w:sz="4" w:space="0" w:color="DF2F1E"/>
            </w:tcBorders>
          </w:tcPr>
          <w:p>
            <w:pPr>
              <w:pStyle w:val="TableParagraph"/>
              <w:spacing w:before="34"/>
              <w:ind w:left="122"/>
              <w:rPr>
                <w:b/>
                <w:sz w:val="16"/>
              </w:rPr>
            </w:pPr>
            <w:r>
              <w:rPr>
                <w:b/>
                <w:color w:val="404040"/>
                <w:sz w:val="16"/>
              </w:rPr>
              <w:t>Austudy</w:t>
            </w:r>
          </w:p>
        </w:tc>
        <w:tc>
          <w:tcPr>
            <w:tcW w:w="912" w:type="dxa"/>
            <w:tcBorders>
              <w:top w:val="single" w:sz="4" w:space="0" w:color="DF2F1E"/>
              <w:bottom w:val="single" w:sz="4" w:space="0" w:color="DF2F1E"/>
            </w:tcBorders>
          </w:tcPr>
          <w:p>
            <w:pPr>
              <w:pStyle w:val="TableParagraph"/>
              <w:ind w:left="142"/>
              <w:rPr>
                <w:sz w:val="16"/>
              </w:rPr>
            </w:pPr>
            <w:r>
              <w:rPr>
                <w:color w:val="404040"/>
                <w:sz w:val="16"/>
              </w:rPr>
              <w:t>2015</w:t>
            </w:r>
          </w:p>
        </w:tc>
        <w:tc>
          <w:tcPr>
            <w:tcW w:w="5719" w:type="dxa"/>
            <w:tcBorders>
              <w:top w:val="single" w:sz="4" w:space="0" w:color="DF2F1E"/>
              <w:bottom w:val="single" w:sz="4" w:space="0" w:color="DF2F1E"/>
            </w:tcBorders>
          </w:tcPr>
          <w:p>
            <w:pPr>
              <w:pStyle w:val="TableParagraph"/>
              <w:ind w:left="103" w:right="143"/>
              <w:rPr>
                <w:sz w:val="16"/>
              </w:rPr>
            </w:pPr>
            <w:r>
              <w:rPr>
                <w:color w:val="404040"/>
                <w:sz w:val="16"/>
              </w:rPr>
              <w:t>The residence requirements changed for Austudy in Jan 2015 and temporary absence is no longer included.</w:t>
            </w:r>
          </w:p>
        </w:tc>
      </w:tr>
    </w:tbl>
    <w:p>
      <w:pPr>
        <w:spacing w:after="0"/>
        <w:rPr>
          <w:sz w:val="16"/>
        </w:rPr>
        <w:sectPr>
          <w:headerReference w:type="default" r:id="rId247"/>
          <w:footerReference w:type="default" r:id="rId248"/>
          <w:pgSz w:w="11910" w:h="16850"/>
          <w:pgMar w:header="572" w:footer="581" w:top="780" w:bottom="780" w:left="120" w:right="0"/>
          <w:pgNumType w:start="157"/>
        </w:sectPr>
      </w:pPr>
    </w:p>
    <w:p>
      <w:pPr>
        <w:pStyle w:val="BodyText"/>
        <w:rPr>
          <w:b/>
        </w:rPr>
      </w:pPr>
    </w:p>
    <w:p>
      <w:pPr>
        <w:pStyle w:val="BodyText"/>
        <w:rPr>
          <w:b/>
        </w:rPr>
      </w:pPr>
    </w:p>
    <w:p>
      <w:pPr>
        <w:pStyle w:val="BodyText"/>
        <w:rPr>
          <w:b/>
        </w:rPr>
      </w:pPr>
    </w:p>
    <w:p>
      <w:pPr>
        <w:pStyle w:val="BodyText"/>
        <w:spacing w:before="9"/>
        <w:rPr>
          <w:b/>
          <w:sz w:val="10"/>
        </w:rPr>
      </w:pPr>
    </w:p>
    <w:tbl>
      <w:tblPr>
        <w:tblW w:w="0" w:type="auto"/>
        <w:jc w:val="left"/>
        <w:tblInd w:w="8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13"/>
        <w:gridCol w:w="947"/>
        <w:gridCol w:w="5718"/>
      </w:tblGrid>
      <w:tr>
        <w:trPr>
          <w:trHeight w:val="640" w:hRule="atLeast"/>
        </w:trPr>
        <w:tc>
          <w:tcPr>
            <w:tcW w:w="3213" w:type="dxa"/>
            <w:shd w:val="clear" w:color="auto" w:fill="DF2F1E"/>
          </w:tcPr>
          <w:p>
            <w:pPr>
              <w:pStyle w:val="TableParagraph"/>
              <w:spacing w:before="34"/>
              <w:ind w:left="122"/>
              <w:rPr>
                <w:b/>
                <w:sz w:val="16"/>
              </w:rPr>
            </w:pPr>
            <w:r>
              <w:rPr>
                <w:b/>
                <w:color w:val="FFFFFF"/>
                <w:sz w:val="16"/>
              </w:rPr>
              <w:t>Amendment</w:t>
            </w:r>
          </w:p>
        </w:tc>
        <w:tc>
          <w:tcPr>
            <w:tcW w:w="947" w:type="dxa"/>
            <w:shd w:val="clear" w:color="auto" w:fill="DF2F1E"/>
          </w:tcPr>
          <w:p>
            <w:pPr>
              <w:pStyle w:val="TableParagraph"/>
              <w:spacing w:before="34"/>
              <w:ind w:left="178" w:right="82"/>
              <w:rPr>
                <w:b/>
                <w:sz w:val="16"/>
              </w:rPr>
            </w:pPr>
            <w:r>
              <w:rPr>
                <w:b/>
                <w:color w:val="FFFFFF"/>
                <w:sz w:val="16"/>
              </w:rPr>
              <w:t>Year Effective</w:t>
            </w:r>
          </w:p>
        </w:tc>
        <w:tc>
          <w:tcPr>
            <w:tcW w:w="5718" w:type="dxa"/>
            <w:shd w:val="clear" w:color="auto" w:fill="DF2F1E"/>
          </w:tcPr>
          <w:p>
            <w:pPr>
              <w:pStyle w:val="TableParagraph"/>
              <w:spacing w:before="34"/>
              <w:ind w:left="104"/>
              <w:rPr>
                <w:b/>
                <w:sz w:val="16"/>
              </w:rPr>
            </w:pPr>
            <w:r>
              <w:rPr>
                <w:b/>
                <w:color w:val="FFFFFF"/>
                <w:sz w:val="16"/>
              </w:rPr>
              <w:t>Description</w:t>
            </w:r>
          </w:p>
        </w:tc>
      </w:tr>
      <w:tr>
        <w:trPr>
          <w:trHeight w:val="1631" w:hRule="atLeast"/>
        </w:trPr>
        <w:tc>
          <w:tcPr>
            <w:tcW w:w="3213" w:type="dxa"/>
            <w:tcBorders>
              <w:bottom w:val="single" w:sz="4" w:space="0" w:color="DF2F1E"/>
            </w:tcBorders>
          </w:tcPr>
          <w:p>
            <w:pPr>
              <w:pStyle w:val="TableParagraph"/>
              <w:spacing w:before="34"/>
              <w:ind w:left="122"/>
              <w:rPr>
                <w:b/>
                <w:sz w:val="16"/>
              </w:rPr>
            </w:pPr>
            <w:r>
              <w:rPr>
                <w:b/>
                <w:color w:val="404040"/>
                <w:sz w:val="16"/>
              </w:rPr>
              <w:t>Child Care Rebate</w:t>
            </w:r>
          </w:p>
        </w:tc>
        <w:tc>
          <w:tcPr>
            <w:tcW w:w="947" w:type="dxa"/>
            <w:tcBorders>
              <w:bottom w:val="single" w:sz="4" w:space="0" w:color="DF2F1E"/>
            </w:tcBorders>
          </w:tcPr>
          <w:p>
            <w:pPr>
              <w:pStyle w:val="TableParagraph"/>
              <w:ind w:left="178"/>
              <w:rPr>
                <w:sz w:val="16"/>
              </w:rPr>
            </w:pPr>
            <w:r>
              <w:rPr>
                <w:color w:val="404040"/>
                <w:sz w:val="16"/>
              </w:rPr>
              <w:t>2013</w:t>
            </w:r>
          </w:p>
        </w:tc>
        <w:tc>
          <w:tcPr>
            <w:tcW w:w="5718" w:type="dxa"/>
            <w:tcBorders>
              <w:bottom w:val="single" w:sz="4" w:space="0" w:color="DF2F1E"/>
            </w:tcBorders>
          </w:tcPr>
          <w:p>
            <w:pPr>
              <w:pStyle w:val="TableParagraph"/>
              <w:ind w:left="104" w:right="604"/>
              <w:rPr>
                <w:sz w:val="16"/>
              </w:rPr>
            </w:pPr>
            <w:r>
              <w:rPr>
                <w:color w:val="404040"/>
                <w:sz w:val="16"/>
              </w:rPr>
              <w:t>The government changed the eligibility criteria for Jobs, Education and Training Child Care Fee Assistance (JETCCFA) program.</w:t>
            </w:r>
          </w:p>
          <w:p>
            <w:pPr>
              <w:pStyle w:val="TableParagraph"/>
              <w:spacing w:before="42"/>
              <w:ind w:left="104" w:right="186"/>
              <w:rPr>
                <w:sz w:val="16"/>
              </w:rPr>
            </w:pPr>
            <w:r>
              <w:rPr>
                <w:color w:val="404040"/>
                <w:sz w:val="16"/>
              </w:rPr>
              <w:t>From 1 July 2013 parents who were studying an enabling course (commonly referred to as bridging or foundation courses) may be eligible for Jobs, Education and Training Child Care Fee Assistance.</w:t>
            </w:r>
          </w:p>
          <w:p>
            <w:pPr>
              <w:pStyle w:val="TableParagraph"/>
              <w:spacing w:before="39"/>
              <w:ind w:left="104" w:right="391"/>
              <w:rPr>
                <w:sz w:val="16"/>
              </w:rPr>
            </w:pPr>
            <w:r>
              <w:rPr>
                <w:color w:val="404040"/>
                <w:sz w:val="16"/>
              </w:rPr>
              <w:t>Changes to the amount of JETCCFA subsidy could impact the amount of CCR that a child is entitled to. There were changes to JETCCFA eligibility and subsidy rules in 2013, 2014 and 2015.</w:t>
            </w:r>
          </w:p>
        </w:tc>
      </w:tr>
      <w:tr>
        <w:trPr>
          <w:trHeight w:val="2591" w:hRule="atLeast"/>
        </w:trPr>
        <w:tc>
          <w:tcPr>
            <w:tcW w:w="3213" w:type="dxa"/>
            <w:tcBorders>
              <w:top w:val="single" w:sz="4" w:space="0" w:color="DF2F1E"/>
              <w:bottom w:val="single" w:sz="4" w:space="0" w:color="DF2F1E"/>
            </w:tcBorders>
          </w:tcPr>
          <w:p>
            <w:pPr>
              <w:pStyle w:val="TableParagraph"/>
              <w:spacing w:before="34"/>
              <w:ind w:left="122"/>
              <w:rPr>
                <w:b/>
                <w:sz w:val="16"/>
              </w:rPr>
            </w:pPr>
            <w:r>
              <w:rPr>
                <w:b/>
                <w:color w:val="404040"/>
                <w:sz w:val="16"/>
              </w:rPr>
              <w:t>Disability Support Pension</w:t>
            </w:r>
          </w:p>
        </w:tc>
        <w:tc>
          <w:tcPr>
            <w:tcW w:w="947" w:type="dxa"/>
            <w:tcBorders>
              <w:top w:val="single" w:sz="4" w:space="0" w:color="DF2F1E"/>
              <w:bottom w:val="single" w:sz="4" w:space="0" w:color="DF2F1E"/>
            </w:tcBorders>
          </w:tcPr>
          <w:p>
            <w:pPr>
              <w:pStyle w:val="TableParagraph"/>
              <w:ind w:left="178"/>
              <w:rPr>
                <w:sz w:val="16"/>
              </w:rPr>
            </w:pPr>
            <w:r>
              <w:rPr>
                <w:color w:val="404040"/>
                <w:sz w:val="16"/>
              </w:rPr>
              <w:t>Various</w:t>
            </w:r>
          </w:p>
          <w:p>
            <w:pPr>
              <w:pStyle w:val="TableParagraph"/>
              <w:spacing w:before="0"/>
              <w:rPr>
                <w:b/>
                <w:sz w:val="18"/>
              </w:rPr>
            </w:pPr>
          </w:p>
          <w:p>
            <w:pPr>
              <w:pStyle w:val="TableParagraph"/>
              <w:spacing w:before="4"/>
              <w:rPr>
                <w:b/>
                <w:sz w:val="24"/>
              </w:rPr>
            </w:pPr>
          </w:p>
          <w:p>
            <w:pPr>
              <w:pStyle w:val="TableParagraph"/>
              <w:spacing w:before="1"/>
              <w:ind w:left="178"/>
              <w:rPr>
                <w:sz w:val="16"/>
              </w:rPr>
            </w:pPr>
            <w:r>
              <w:rPr>
                <w:color w:val="404040"/>
                <w:sz w:val="16"/>
              </w:rPr>
              <w:t>2014</w:t>
            </w:r>
          </w:p>
        </w:tc>
        <w:tc>
          <w:tcPr>
            <w:tcW w:w="5718" w:type="dxa"/>
            <w:tcBorders>
              <w:top w:val="single" w:sz="4" w:space="0" w:color="DF2F1E"/>
              <w:bottom w:val="single" w:sz="4" w:space="0" w:color="DF2F1E"/>
            </w:tcBorders>
          </w:tcPr>
          <w:p>
            <w:pPr>
              <w:pStyle w:val="TableParagraph"/>
              <w:ind w:left="104" w:right="111"/>
              <w:rPr>
                <w:sz w:val="16"/>
              </w:rPr>
            </w:pPr>
            <w:r>
              <w:rPr>
                <w:color w:val="404040"/>
                <w:sz w:val="16"/>
              </w:rPr>
              <w:t>The tightening of eligibility criteria including, but not limited to, the 'Program of Support' rule in September 2011 and the revised Impairment Tables in January 2012.</w:t>
            </w:r>
          </w:p>
          <w:p>
            <w:pPr>
              <w:pStyle w:val="TableParagraph"/>
              <w:spacing w:before="40"/>
              <w:ind w:left="104" w:right="373"/>
              <w:rPr>
                <w:sz w:val="16"/>
              </w:rPr>
            </w:pPr>
            <w:r>
              <w:rPr>
                <w:color w:val="404040"/>
                <w:sz w:val="16"/>
              </w:rPr>
              <w:t>From 1 July 2014, DSP recipients under age 35 years, granted between 1 January 2008 and 31 December 2011, are subject to review of their impairment (using the revised Impairment Tables) and capacity to work. People with a severe or manifest disability will not be reassessed.</w:t>
            </w:r>
          </w:p>
          <w:p>
            <w:pPr>
              <w:pStyle w:val="TableParagraph"/>
              <w:spacing w:before="42"/>
              <w:ind w:left="104" w:right="133"/>
              <w:rPr>
                <w:sz w:val="16"/>
              </w:rPr>
            </w:pPr>
            <w:r>
              <w:rPr>
                <w:color w:val="404040"/>
                <w:sz w:val="16"/>
              </w:rPr>
              <w:t>People who have some capacity to work now or in the future will be helped to do this through programmes, services and activities.</w:t>
            </w:r>
          </w:p>
          <w:p>
            <w:pPr>
              <w:pStyle w:val="TableParagraph"/>
              <w:spacing w:before="40"/>
              <w:ind w:left="104" w:right="98"/>
              <w:rPr>
                <w:sz w:val="16"/>
              </w:rPr>
            </w:pPr>
            <w:r>
              <w:rPr>
                <w:color w:val="404040"/>
                <w:sz w:val="16"/>
              </w:rPr>
              <w:t>Under this reform, recipients under 35 will have a participation plan which includes activities that will genuinely assist in labour market participation. These activities could include Work for the Dole, job search, work experience, education and training, and connection with Disability Employment Services.</w:t>
            </w:r>
          </w:p>
        </w:tc>
      </w:tr>
      <w:tr>
        <w:trPr>
          <w:trHeight w:val="1223" w:hRule="atLeast"/>
        </w:trPr>
        <w:tc>
          <w:tcPr>
            <w:tcW w:w="3213" w:type="dxa"/>
            <w:tcBorders>
              <w:top w:val="single" w:sz="4" w:space="0" w:color="DF2F1E"/>
              <w:bottom w:val="single" w:sz="4" w:space="0" w:color="DF2F1E"/>
            </w:tcBorders>
          </w:tcPr>
          <w:p>
            <w:pPr>
              <w:pStyle w:val="TableParagraph"/>
              <w:ind w:left="122"/>
              <w:rPr>
                <w:b/>
                <w:sz w:val="16"/>
              </w:rPr>
            </w:pPr>
            <w:r>
              <w:rPr>
                <w:b/>
                <w:color w:val="404040"/>
                <w:sz w:val="16"/>
              </w:rPr>
              <w:t>Seniors Supplement Cessation</w:t>
            </w:r>
          </w:p>
          <w:p>
            <w:pPr>
              <w:pStyle w:val="TableParagraph"/>
              <w:spacing w:before="39"/>
              <w:ind w:left="122" w:right="207"/>
              <w:rPr>
                <w:b/>
                <w:sz w:val="16"/>
              </w:rPr>
            </w:pPr>
            <w:r>
              <w:rPr>
                <w:b/>
                <w:color w:val="404040"/>
                <w:sz w:val="16"/>
              </w:rPr>
              <w:t>Social Services and Other Legislation Amendment (Seniors Supplement Cessation) Act 2014</w:t>
            </w:r>
          </w:p>
        </w:tc>
        <w:tc>
          <w:tcPr>
            <w:tcW w:w="947" w:type="dxa"/>
            <w:tcBorders>
              <w:top w:val="single" w:sz="4" w:space="0" w:color="DF2F1E"/>
              <w:bottom w:val="single" w:sz="4" w:space="0" w:color="DF2F1E"/>
            </w:tcBorders>
          </w:tcPr>
          <w:p>
            <w:pPr>
              <w:pStyle w:val="TableParagraph"/>
              <w:spacing w:before="39"/>
              <w:ind w:left="178"/>
              <w:rPr>
                <w:sz w:val="16"/>
              </w:rPr>
            </w:pPr>
            <w:r>
              <w:rPr>
                <w:color w:val="404040"/>
                <w:sz w:val="16"/>
              </w:rPr>
              <w:t>2014</w:t>
            </w:r>
          </w:p>
        </w:tc>
        <w:tc>
          <w:tcPr>
            <w:tcW w:w="5718" w:type="dxa"/>
            <w:tcBorders>
              <w:top w:val="single" w:sz="4" w:space="0" w:color="DF2F1E"/>
              <w:bottom w:val="single" w:sz="4" w:space="0" w:color="DF2F1E"/>
            </w:tcBorders>
          </w:tcPr>
          <w:p>
            <w:pPr>
              <w:pStyle w:val="TableParagraph"/>
              <w:spacing w:line="183" w:lineRule="exact" w:before="39"/>
              <w:ind w:left="104"/>
              <w:rPr>
                <w:sz w:val="16"/>
              </w:rPr>
            </w:pPr>
            <w:r>
              <w:rPr>
                <w:color w:val="404040"/>
                <w:sz w:val="16"/>
              </w:rPr>
              <w:t>The Budget 2014 – 15 measure on the cessation of the Seniors Supplement</w:t>
            </w:r>
          </w:p>
          <w:p>
            <w:pPr>
              <w:pStyle w:val="TableParagraph"/>
              <w:spacing w:line="183" w:lineRule="exact" w:before="0"/>
              <w:ind w:left="104"/>
              <w:rPr>
                <w:sz w:val="16"/>
              </w:rPr>
            </w:pPr>
            <w:r>
              <w:rPr>
                <w:color w:val="404040"/>
                <w:sz w:val="16"/>
              </w:rPr>
              <w:t>– Commonwealth Seniors Health Card holders commenced on 20 June 2015.</w:t>
            </w:r>
          </w:p>
          <w:p>
            <w:pPr>
              <w:pStyle w:val="TableParagraph"/>
              <w:spacing w:before="42"/>
              <w:ind w:left="104" w:right="106"/>
              <w:rPr>
                <w:sz w:val="16"/>
              </w:rPr>
            </w:pPr>
            <w:r>
              <w:rPr>
                <w:color w:val="404040"/>
                <w:sz w:val="16"/>
              </w:rPr>
              <w:t>The Seniors Supplement for Commonwealth Seniors Health Card (CSHC) holders will no longer be paid beyond the June 2014 quarterly payment. From this date CSHC holders will continue to receive only the Energy Supplement each quarter.</w:t>
            </w:r>
          </w:p>
        </w:tc>
      </w:tr>
      <w:tr>
        <w:trPr>
          <w:trHeight w:val="1857" w:hRule="atLeast"/>
        </w:trPr>
        <w:tc>
          <w:tcPr>
            <w:tcW w:w="3213" w:type="dxa"/>
            <w:tcBorders>
              <w:top w:val="single" w:sz="4" w:space="0" w:color="DF2F1E"/>
              <w:bottom w:val="single" w:sz="4" w:space="0" w:color="DF2F1E"/>
            </w:tcBorders>
          </w:tcPr>
          <w:p>
            <w:pPr>
              <w:pStyle w:val="TableParagraph"/>
              <w:ind w:left="122"/>
              <w:rPr>
                <w:b/>
                <w:sz w:val="16"/>
              </w:rPr>
            </w:pPr>
            <w:r>
              <w:rPr>
                <w:b/>
                <w:color w:val="404040"/>
                <w:sz w:val="16"/>
              </w:rPr>
              <w:t>Child Care Rebate (indexation)</w:t>
            </w:r>
          </w:p>
        </w:tc>
        <w:tc>
          <w:tcPr>
            <w:tcW w:w="947" w:type="dxa"/>
            <w:tcBorders>
              <w:top w:val="single" w:sz="4" w:space="0" w:color="DF2F1E"/>
              <w:bottom w:val="single" w:sz="4" w:space="0" w:color="DF2F1E"/>
            </w:tcBorders>
          </w:tcPr>
          <w:p>
            <w:pPr>
              <w:pStyle w:val="TableParagraph"/>
              <w:spacing w:before="39"/>
              <w:ind w:left="178"/>
              <w:rPr>
                <w:sz w:val="16"/>
              </w:rPr>
            </w:pPr>
            <w:r>
              <w:rPr>
                <w:color w:val="404040"/>
                <w:sz w:val="16"/>
              </w:rPr>
              <w:t>2014</w:t>
            </w:r>
          </w:p>
        </w:tc>
        <w:tc>
          <w:tcPr>
            <w:tcW w:w="5718" w:type="dxa"/>
            <w:tcBorders>
              <w:top w:val="single" w:sz="4" w:space="0" w:color="DF2F1E"/>
              <w:bottom w:val="single" w:sz="4" w:space="0" w:color="DF2F1E"/>
            </w:tcBorders>
          </w:tcPr>
          <w:p>
            <w:pPr>
              <w:pStyle w:val="TableParagraph"/>
              <w:spacing w:before="39"/>
              <w:ind w:left="104"/>
              <w:rPr>
                <w:sz w:val="16"/>
              </w:rPr>
            </w:pPr>
            <w:r>
              <w:rPr>
                <w:color w:val="404040"/>
                <w:sz w:val="16"/>
              </w:rPr>
              <w:t>In the 2010-11 Budget, the Child Care Rebate annual cap was reduced to</w:t>
            </w:r>
          </w:p>
          <w:p>
            <w:pPr>
              <w:pStyle w:val="TableParagraph"/>
              <w:spacing w:before="1"/>
              <w:ind w:left="104" w:right="195"/>
              <w:rPr>
                <w:sz w:val="16"/>
              </w:rPr>
            </w:pPr>
            <w:r>
              <w:rPr>
                <w:color w:val="404040"/>
                <w:sz w:val="16"/>
              </w:rPr>
              <w:t>$7500 and indexation was paused for four years. This arrangement was due to cease on 30 June 2014. Under this measure, the pause in indexation will continue for the 2014-15, 2015-16 and 2016-17 financial years.</w:t>
            </w:r>
          </w:p>
          <w:p>
            <w:pPr>
              <w:pStyle w:val="TableParagraph"/>
              <w:spacing w:line="290" w:lineRule="auto" w:before="38"/>
              <w:ind w:left="104" w:right="640"/>
              <w:rPr>
                <w:sz w:val="16"/>
              </w:rPr>
            </w:pPr>
            <w:r>
              <w:rPr>
                <w:color w:val="404040"/>
                <w:sz w:val="16"/>
              </w:rPr>
              <w:t>For the income years 2014-15, 2015-16, 2016-17, CCR entitlement is calculated as 50% of out-of-pocket child care expenses up to a limit of</w:t>
            </w:r>
          </w:p>
          <w:p>
            <w:pPr>
              <w:pStyle w:val="TableParagraph"/>
              <w:spacing w:before="4"/>
              <w:ind w:left="104" w:right="248"/>
              <w:rPr>
                <w:sz w:val="16"/>
              </w:rPr>
            </w:pPr>
            <w:r>
              <w:rPr>
                <w:color w:val="404040"/>
                <w:sz w:val="16"/>
              </w:rPr>
              <w:t>$7,500 (capped) per child per year for approved child care. The annual indexation is paused for a further 3 income years. The first indexation of the</w:t>
            </w:r>
          </w:p>
          <w:p>
            <w:pPr>
              <w:pStyle w:val="TableParagraph"/>
              <w:spacing w:line="183" w:lineRule="exact" w:before="0"/>
              <w:ind w:left="104"/>
              <w:rPr>
                <w:sz w:val="16"/>
              </w:rPr>
            </w:pPr>
            <w:r>
              <w:rPr>
                <w:color w:val="404040"/>
                <w:sz w:val="16"/>
              </w:rPr>
              <w:t>$7,500 maximum limit is to occur on 1 July 2017.</w:t>
            </w:r>
          </w:p>
        </w:tc>
      </w:tr>
      <w:tr>
        <w:trPr>
          <w:trHeight w:val="856" w:hRule="atLeast"/>
        </w:trPr>
        <w:tc>
          <w:tcPr>
            <w:tcW w:w="3213" w:type="dxa"/>
            <w:tcBorders>
              <w:top w:val="single" w:sz="4" w:space="0" w:color="DF2F1E"/>
              <w:bottom w:val="single" w:sz="4" w:space="0" w:color="DF2F1E"/>
            </w:tcBorders>
          </w:tcPr>
          <w:p>
            <w:pPr>
              <w:pStyle w:val="TableParagraph"/>
              <w:spacing w:before="34"/>
              <w:ind w:left="122"/>
              <w:rPr>
                <w:b/>
                <w:sz w:val="16"/>
              </w:rPr>
            </w:pPr>
            <w:r>
              <w:rPr>
                <w:b/>
                <w:color w:val="404040"/>
                <w:sz w:val="16"/>
              </w:rPr>
              <w:t>Energy Supplement (ES)</w:t>
            </w:r>
          </w:p>
          <w:p>
            <w:pPr>
              <w:pStyle w:val="TableParagraph"/>
              <w:spacing w:before="44"/>
              <w:ind w:left="122" w:right="162"/>
              <w:rPr>
                <w:sz w:val="16"/>
              </w:rPr>
            </w:pPr>
            <w:r>
              <w:rPr>
                <w:color w:val="404040"/>
                <w:sz w:val="16"/>
              </w:rPr>
              <w:t>Social Services and Other Legislation Amendment (2014 Budget Measures No. 6) Act 2014</w:t>
            </w:r>
          </w:p>
        </w:tc>
        <w:tc>
          <w:tcPr>
            <w:tcW w:w="947" w:type="dxa"/>
            <w:tcBorders>
              <w:top w:val="single" w:sz="4" w:space="0" w:color="DF2F1E"/>
              <w:bottom w:val="single" w:sz="4" w:space="0" w:color="DF2F1E"/>
            </w:tcBorders>
          </w:tcPr>
          <w:p>
            <w:pPr>
              <w:pStyle w:val="TableParagraph"/>
              <w:ind w:left="178"/>
              <w:rPr>
                <w:sz w:val="16"/>
              </w:rPr>
            </w:pPr>
            <w:r>
              <w:rPr>
                <w:color w:val="404040"/>
                <w:sz w:val="16"/>
              </w:rPr>
              <w:t>2014</w:t>
            </w:r>
          </w:p>
        </w:tc>
        <w:tc>
          <w:tcPr>
            <w:tcW w:w="5718" w:type="dxa"/>
            <w:tcBorders>
              <w:top w:val="single" w:sz="4" w:space="0" w:color="DF2F1E"/>
              <w:bottom w:val="single" w:sz="4" w:space="0" w:color="DF2F1E"/>
            </w:tcBorders>
          </w:tcPr>
          <w:p>
            <w:pPr>
              <w:pStyle w:val="TableParagraph"/>
              <w:ind w:left="104" w:right="497"/>
              <w:rPr>
                <w:sz w:val="16"/>
              </w:rPr>
            </w:pPr>
            <w:r>
              <w:rPr>
                <w:color w:val="404040"/>
                <w:sz w:val="16"/>
              </w:rPr>
              <w:t>In September 2014, the Energy Supplement (ES) replaced the CES and indexing was removed.</w:t>
            </w:r>
          </w:p>
        </w:tc>
      </w:tr>
      <w:tr>
        <w:trPr>
          <w:trHeight w:val="856" w:hRule="atLeast"/>
        </w:trPr>
        <w:tc>
          <w:tcPr>
            <w:tcW w:w="3213" w:type="dxa"/>
            <w:tcBorders>
              <w:top w:val="single" w:sz="4" w:space="0" w:color="DF2F1E"/>
              <w:bottom w:val="single" w:sz="4" w:space="0" w:color="DF2F1E"/>
            </w:tcBorders>
          </w:tcPr>
          <w:p>
            <w:pPr>
              <w:pStyle w:val="TableParagraph"/>
              <w:spacing w:before="34"/>
              <w:ind w:left="122"/>
              <w:rPr>
                <w:b/>
                <w:sz w:val="16"/>
              </w:rPr>
            </w:pPr>
            <w:r>
              <w:rPr>
                <w:b/>
                <w:color w:val="404040"/>
                <w:sz w:val="16"/>
              </w:rPr>
              <w:t>Other Measures</w:t>
            </w:r>
          </w:p>
          <w:p>
            <w:pPr>
              <w:pStyle w:val="TableParagraph"/>
              <w:spacing w:before="44"/>
              <w:ind w:left="122" w:right="234"/>
              <w:rPr>
                <w:sz w:val="16"/>
              </w:rPr>
            </w:pPr>
            <w:r>
              <w:rPr>
                <w:color w:val="404040"/>
                <w:sz w:val="16"/>
              </w:rPr>
              <w:t>Social Security Amendment (Supporting More Australians into Work) Act 2013</w:t>
            </w:r>
          </w:p>
        </w:tc>
        <w:tc>
          <w:tcPr>
            <w:tcW w:w="947" w:type="dxa"/>
            <w:tcBorders>
              <w:top w:val="single" w:sz="4" w:space="0" w:color="DF2F1E"/>
              <w:bottom w:val="single" w:sz="4" w:space="0" w:color="DF2F1E"/>
            </w:tcBorders>
          </w:tcPr>
          <w:p>
            <w:pPr>
              <w:pStyle w:val="TableParagraph"/>
              <w:ind w:left="178"/>
              <w:rPr>
                <w:sz w:val="16"/>
              </w:rPr>
            </w:pPr>
            <w:r>
              <w:rPr>
                <w:color w:val="404040"/>
                <w:sz w:val="16"/>
              </w:rPr>
              <w:t>2014</w:t>
            </w:r>
          </w:p>
        </w:tc>
        <w:tc>
          <w:tcPr>
            <w:tcW w:w="5718" w:type="dxa"/>
            <w:tcBorders>
              <w:top w:val="single" w:sz="4" w:space="0" w:color="DF2F1E"/>
              <w:bottom w:val="single" w:sz="4" w:space="0" w:color="DF2F1E"/>
            </w:tcBorders>
          </w:tcPr>
          <w:p>
            <w:pPr>
              <w:pStyle w:val="TableParagraph"/>
              <w:ind w:left="104" w:right="186"/>
              <w:rPr>
                <w:sz w:val="16"/>
              </w:rPr>
            </w:pPr>
            <w:r>
              <w:rPr>
                <w:color w:val="404040"/>
                <w:sz w:val="16"/>
              </w:rPr>
              <w:t>From 20 March 2014, the income free area that applied for certain payments was increased.</w:t>
            </w:r>
          </w:p>
          <w:p>
            <w:pPr>
              <w:pStyle w:val="TableParagraph"/>
              <w:spacing w:before="40"/>
              <w:ind w:left="104" w:right="462"/>
              <w:rPr>
                <w:sz w:val="16"/>
              </w:rPr>
            </w:pPr>
            <w:r>
              <w:rPr>
                <w:color w:val="404040"/>
                <w:sz w:val="16"/>
              </w:rPr>
              <w:t>From 1 January 2014, eligibility for the Pensioner Education Supplement (PES) was extended.</w:t>
            </w:r>
          </w:p>
        </w:tc>
      </w:tr>
      <w:tr>
        <w:trPr>
          <w:trHeight w:val="1223" w:hRule="atLeast"/>
        </w:trPr>
        <w:tc>
          <w:tcPr>
            <w:tcW w:w="3213" w:type="dxa"/>
            <w:tcBorders>
              <w:top w:val="single" w:sz="4" w:space="0" w:color="DF2F1E"/>
              <w:bottom w:val="single" w:sz="4" w:space="0" w:color="DF2F1E"/>
            </w:tcBorders>
          </w:tcPr>
          <w:p>
            <w:pPr>
              <w:pStyle w:val="TableParagraph"/>
              <w:spacing w:before="34"/>
              <w:ind w:left="122" w:right="412"/>
              <w:rPr>
                <w:b/>
                <w:sz w:val="16"/>
              </w:rPr>
            </w:pPr>
            <w:r>
              <w:rPr>
                <w:b/>
                <w:color w:val="404040"/>
                <w:sz w:val="16"/>
              </w:rPr>
              <w:t>Family Tax Benefit Part B - primary earner income limit reduced from</w:t>
            </w:r>
          </w:p>
          <w:p>
            <w:pPr>
              <w:pStyle w:val="TableParagraph"/>
              <w:spacing w:line="183" w:lineRule="exact" w:before="0"/>
              <w:ind w:left="122"/>
              <w:rPr>
                <w:b/>
                <w:sz w:val="16"/>
              </w:rPr>
            </w:pPr>
            <w:r>
              <w:rPr>
                <w:b/>
                <w:color w:val="404040"/>
                <w:sz w:val="16"/>
              </w:rPr>
              <w:t>$150,000 to $100,000 per year</w:t>
            </w:r>
          </w:p>
          <w:p>
            <w:pPr>
              <w:pStyle w:val="TableParagraph"/>
              <w:spacing w:before="44"/>
              <w:ind w:left="122" w:right="162"/>
              <w:rPr>
                <w:sz w:val="16"/>
              </w:rPr>
            </w:pPr>
            <w:r>
              <w:rPr>
                <w:color w:val="404040"/>
                <w:sz w:val="16"/>
              </w:rPr>
              <w:t>Social Services And Other Legislation Amendment (2014 Budget Measures No. 6) Act 2014</w:t>
            </w:r>
          </w:p>
        </w:tc>
        <w:tc>
          <w:tcPr>
            <w:tcW w:w="947" w:type="dxa"/>
            <w:tcBorders>
              <w:top w:val="single" w:sz="4" w:space="0" w:color="DF2F1E"/>
              <w:bottom w:val="single" w:sz="4" w:space="0" w:color="DF2F1E"/>
            </w:tcBorders>
          </w:tcPr>
          <w:p>
            <w:pPr>
              <w:pStyle w:val="TableParagraph"/>
              <w:ind w:left="178"/>
              <w:rPr>
                <w:sz w:val="16"/>
              </w:rPr>
            </w:pPr>
            <w:r>
              <w:rPr>
                <w:color w:val="404040"/>
                <w:sz w:val="16"/>
              </w:rPr>
              <w:t>2016</w:t>
            </w:r>
          </w:p>
        </w:tc>
        <w:tc>
          <w:tcPr>
            <w:tcW w:w="5718" w:type="dxa"/>
            <w:tcBorders>
              <w:top w:val="single" w:sz="4" w:space="0" w:color="DF2F1E"/>
              <w:bottom w:val="single" w:sz="4" w:space="0" w:color="DF2F1E"/>
            </w:tcBorders>
          </w:tcPr>
          <w:p>
            <w:pPr>
              <w:pStyle w:val="TableParagraph"/>
              <w:ind w:left="104" w:right="141"/>
              <w:rPr>
                <w:sz w:val="16"/>
              </w:rPr>
            </w:pPr>
            <w:r>
              <w:rPr>
                <w:color w:val="404040"/>
                <w:sz w:val="16"/>
              </w:rPr>
              <w:t>The FTB B higher income earner test changed to $100,000 from 1 July 2015. Families with one parent earning over $100,000 are not eligible for FTB B.</w:t>
            </w:r>
          </w:p>
        </w:tc>
      </w:tr>
      <w:tr>
        <w:trPr>
          <w:trHeight w:val="1223" w:hRule="atLeast"/>
        </w:trPr>
        <w:tc>
          <w:tcPr>
            <w:tcW w:w="3213" w:type="dxa"/>
            <w:tcBorders>
              <w:top w:val="single" w:sz="4" w:space="0" w:color="DF2F1E"/>
              <w:bottom w:val="single" w:sz="4" w:space="0" w:color="DF2F1E"/>
            </w:tcBorders>
          </w:tcPr>
          <w:p>
            <w:pPr>
              <w:pStyle w:val="TableParagraph"/>
              <w:spacing w:before="34"/>
              <w:ind w:left="122" w:right="518"/>
              <w:jc w:val="both"/>
              <w:rPr>
                <w:b/>
                <w:sz w:val="16"/>
              </w:rPr>
            </w:pPr>
            <w:r>
              <w:rPr>
                <w:b/>
                <w:color w:val="404040"/>
                <w:sz w:val="16"/>
              </w:rPr>
              <w:t>Family Tax Benefit Part A - higher income free area per-child add-on abolished</w:t>
            </w:r>
          </w:p>
          <w:p>
            <w:pPr>
              <w:pStyle w:val="TableParagraph"/>
              <w:spacing w:before="43"/>
              <w:ind w:left="122" w:right="162"/>
              <w:rPr>
                <w:sz w:val="16"/>
              </w:rPr>
            </w:pPr>
            <w:r>
              <w:rPr>
                <w:color w:val="404040"/>
                <w:sz w:val="16"/>
              </w:rPr>
              <w:t>Social Services And Other Legislation Amendment (2014 Budget Measures No. 6) Act 2014</w:t>
            </w:r>
          </w:p>
        </w:tc>
        <w:tc>
          <w:tcPr>
            <w:tcW w:w="947" w:type="dxa"/>
            <w:tcBorders>
              <w:top w:val="single" w:sz="4" w:space="0" w:color="DF2F1E"/>
              <w:bottom w:val="single" w:sz="4" w:space="0" w:color="DF2F1E"/>
            </w:tcBorders>
          </w:tcPr>
          <w:p>
            <w:pPr>
              <w:pStyle w:val="TableParagraph"/>
              <w:ind w:left="178"/>
              <w:rPr>
                <w:sz w:val="16"/>
              </w:rPr>
            </w:pPr>
            <w:r>
              <w:rPr>
                <w:color w:val="404040"/>
                <w:sz w:val="16"/>
              </w:rPr>
              <w:t>2016</w:t>
            </w:r>
          </w:p>
        </w:tc>
        <w:tc>
          <w:tcPr>
            <w:tcW w:w="5718" w:type="dxa"/>
            <w:tcBorders>
              <w:top w:val="single" w:sz="4" w:space="0" w:color="DF2F1E"/>
              <w:bottom w:val="single" w:sz="4" w:space="0" w:color="DF2F1E"/>
            </w:tcBorders>
          </w:tcPr>
          <w:p>
            <w:pPr>
              <w:pStyle w:val="TableParagraph"/>
              <w:ind w:left="104" w:right="284"/>
              <w:rPr>
                <w:sz w:val="16"/>
              </w:rPr>
            </w:pPr>
            <w:r>
              <w:rPr>
                <w:color w:val="404040"/>
                <w:sz w:val="16"/>
              </w:rPr>
              <w:t>Remove the FTB Part A per-child add-on to the higher income free area for each additional child after the first.</w:t>
            </w:r>
          </w:p>
        </w:tc>
      </w:tr>
      <w:tr>
        <w:trPr>
          <w:trHeight w:val="1038" w:hRule="atLeast"/>
        </w:trPr>
        <w:tc>
          <w:tcPr>
            <w:tcW w:w="3213" w:type="dxa"/>
            <w:tcBorders>
              <w:top w:val="single" w:sz="4" w:space="0" w:color="DF2F1E"/>
              <w:bottom w:val="single" w:sz="4" w:space="0" w:color="DF2F1E"/>
            </w:tcBorders>
          </w:tcPr>
          <w:p>
            <w:pPr>
              <w:pStyle w:val="TableParagraph"/>
              <w:spacing w:before="34"/>
              <w:ind w:left="122" w:right="163"/>
              <w:rPr>
                <w:b/>
                <w:sz w:val="16"/>
              </w:rPr>
            </w:pPr>
            <w:r>
              <w:rPr>
                <w:b/>
                <w:color w:val="404040"/>
                <w:sz w:val="16"/>
              </w:rPr>
              <w:t>Changes to the treatment of defined benefit income streams (Age Pension)</w:t>
            </w:r>
          </w:p>
          <w:p>
            <w:pPr>
              <w:pStyle w:val="TableParagraph"/>
              <w:spacing w:before="43"/>
              <w:ind w:left="122" w:right="260"/>
              <w:rPr>
                <w:sz w:val="16"/>
              </w:rPr>
            </w:pPr>
            <w:r>
              <w:rPr>
                <w:color w:val="404040"/>
                <w:sz w:val="16"/>
              </w:rPr>
              <w:t>Social Services Legislation Amendment (Defined Benefit Income Streams) Act 2015</w:t>
            </w:r>
          </w:p>
        </w:tc>
        <w:tc>
          <w:tcPr>
            <w:tcW w:w="947" w:type="dxa"/>
            <w:tcBorders>
              <w:top w:val="single" w:sz="4" w:space="0" w:color="DF2F1E"/>
              <w:bottom w:val="single" w:sz="4" w:space="0" w:color="DF2F1E"/>
            </w:tcBorders>
          </w:tcPr>
          <w:p>
            <w:pPr>
              <w:pStyle w:val="TableParagraph"/>
              <w:ind w:left="178"/>
              <w:rPr>
                <w:sz w:val="16"/>
              </w:rPr>
            </w:pPr>
            <w:r>
              <w:rPr>
                <w:color w:val="404040"/>
                <w:sz w:val="16"/>
              </w:rPr>
              <w:t>2016</w:t>
            </w:r>
          </w:p>
        </w:tc>
        <w:tc>
          <w:tcPr>
            <w:tcW w:w="5718" w:type="dxa"/>
            <w:tcBorders>
              <w:top w:val="single" w:sz="4" w:space="0" w:color="DF2F1E"/>
              <w:bottom w:val="single" w:sz="4" w:space="0" w:color="DF2F1E"/>
            </w:tcBorders>
          </w:tcPr>
          <w:p>
            <w:pPr>
              <w:pStyle w:val="TableParagraph"/>
              <w:ind w:left="104" w:right="96"/>
              <w:rPr>
                <w:sz w:val="16"/>
              </w:rPr>
            </w:pPr>
            <w:r>
              <w:rPr>
                <w:color w:val="404040"/>
                <w:sz w:val="16"/>
              </w:rPr>
              <w:t>This introduces a 10% cap on the amount of a superannuant’s defined benefit income that is excluded when applying the social security income test.</w:t>
            </w:r>
          </w:p>
        </w:tc>
      </w:tr>
    </w:tbl>
    <w:p>
      <w:pPr>
        <w:spacing w:after="0"/>
        <w:rPr>
          <w:sz w:val="16"/>
        </w:rPr>
        <w:sectPr>
          <w:pgSz w:w="11910" w:h="16850"/>
          <w:pgMar w:header="572" w:footer="581" w:top="780" w:bottom="780" w:left="120" w:right="0"/>
        </w:sectPr>
      </w:pPr>
    </w:p>
    <w:p>
      <w:pPr>
        <w:pStyle w:val="BodyText"/>
        <w:rPr>
          <w:b/>
        </w:rPr>
      </w:pPr>
    </w:p>
    <w:p>
      <w:pPr>
        <w:pStyle w:val="BodyText"/>
        <w:rPr>
          <w:b/>
        </w:rPr>
      </w:pPr>
    </w:p>
    <w:p>
      <w:pPr>
        <w:pStyle w:val="BodyText"/>
        <w:rPr>
          <w:b/>
        </w:rPr>
      </w:pPr>
    </w:p>
    <w:p>
      <w:pPr>
        <w:pStyle w:val="BodyText"/>
        <w:spacing w:before="9"/>
        <w:rPr>
          <w:b/>
          <w:sz w:val="10"/>
        </w:rPr>
      </w:pPr>
    </w:p>
    <w:tbl>
      <w:tblPr>
        <w:tblW w:w="0" w:type="auto"/>
        <w:jc w:val="left"/>
        <w:tblInd w:w="8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60"/>
        <w:gridCol w:w="899"/>
        <w:gridCol w:w="5718"/>
      </w:tblGrid>
      <w:tr>
        <w:trPr>
          <w:trHeight w:val="640" w:hRule="atLeast"/>
        </w:trPr>
        <w:tc>
          <w:tcPr>
            <w:tcW w:w="3260" w:type="dxa"/>
            <w:shd w:val="clear" w:color="auto" w:fill="DF2F1E"/>
          </w:tcPr>
          <w:p>
            <w:pPr>
              <w:pStyle w:val="TableParagraph"/>
              <w:spacing w:before="34"/>
              <w:ind w:left="122"/>
              <w:rPr>
                <w:b/>
                <w:sz w:val="16"/>
              </w:rPr>
            </w:pPr>
            <w:r>
              <w:rPr>
                <w:b/>
                <w:color w:val="FFFFFF"/>
                <w:sz w:val="16"/>
              </w:rPr>
              <w:t>Amendment</w:t>
            </w:r>
          </w:p>
        </w:tc>
        <w:tc>
          <w:tcPr>
            <w:tcW w:w="899" w:type="dxa"/>
            <w:shd w:val="clear" w:color="auto" w:fill="DF2F1E"/>
          </w:tcPr>
          <w:p>
            <w:pPr>
              <w:pStyle w:val="TableParagraph"/>
              <w:spacing w:before="34"/>
              <w:ind w:left="131" w:right="81"/>
              <w:rPr>
                <w:b/>
                <w:sz w:val="16"/>
              </w:rPr>
            </w:pPr>
            <w:r>
              <w:rPr>
                <w:b/>
                <w:color w:val="FFFFFF"/>
                <w:sz w:val="16"/>
              </w:rPr>
              <w:t>Year Effective</w:t>
            </w:r>
          </w:p>
        </w:tc>
        <w:tc>
          <w:tcPr>
            <w:tcW w:w="5718" w:type="dxa"/>
            <w:shd w:val="clear" w:color="auto" w:fill="DF2F1E"/>
          </w:tcPr>
          <w:p>
            <w:pPr>
              <w:pStyle w:val="TableParagraph"/>
              <w:spacing w:before="34"/>
              <w:ind w:left="105"/>
              <w:rPr>
                <w:b/>
                <w:sz w:val="16"/>
              </w:rPr>
            </w:pPr>
            <w:r>
              <w:rPr>
                <w:b/>
                <w:color w:val="FFFFFF"/>
                <w:sz w:val="16"/>
              </w:rPr>
              <w:t>Description</w:t>
            </w:r>
          </w:p>
        </w:tc>
      </w:tr>
      <w:tr>
        <w:trPr>
          <w:trHeight w:val="1569" w:hRule="atLeast"/>
        </w:trPr>
        <w:tc>
          <w:tcPr>
            <w:tcW w:w="3260" w:type="dxa"/>
            <w:tcBorders>
              <w:bottom w:val="single" w:sz="4" w:space="0" w:color="DF2F1E"/>
            </w:tcBorders>
          </w:tcPr>
          <w:p>
            <w:pPr>
              <w:pStyle w:val="TableParagraph"/>
              <w:spacing w:line="292" w:lineRule="auto" w:before="34"/>
              <w:ind w:left="122" w:right="1438"/>
              <w:rPr>
                <w:b/>
                <w:sz w:val="16"/>
              </w:rPr>
            </w:pPr>
            <w:r>
              <w:rPr>
                <w:b/>
                <w:color w:val="404040"/>
                <w:sz w:val="16"/>
              </w:rPr>
              <w:t>Student Start-up Loan (SSL) replaced the Student Start-up Scholarship (SSS)</w:t>
            </w:r>
          </w:p>
          <w:p>
            <w:pPr>
              <w:pStyle w:val="TableParagraph"/>
              <w:spacing w:line="145" w:lineRule="exact" w:before="0"/>
              <w:ind w:left="122"/>
              <w:rPr>
                <w:sz w:val="16"/>
              </w:rPr>
            </w:pPr>
            <w:r>
              <w:rPr>
                <w:color w:val="404040"/>
                <w:sz w:val="16"/>
              </w:rPr>
              <w:t>Labor 2013-14 Budget</w:t>
            </w:r>
          </w:p>
          <w:p>
            <w:pPr>
              <w:pStyle w:val="TableParagraph"/>
              <w:spacing w:line="220" w:lineRule="atLeast" w:before="4"/>
              <w:ind w:left="122" w:right="1748"/>
              <w:rPr>
                <w:sz w:val="16"/>
              </w:rPr>
            </w:pPr>
            <w:r>
              <w:rPr>
                <w:color w:val="404040"/>
                <w:sz w:val="16"/>
              </w:rPr>
              <w:t>Savings (Measures No. 2) Act 2015</w:t>
            </w:r>
          </w:p>
        </w:tc>
        <w:tc>
          <w:tcPr>
            <w:tcW w:w="899" w:type="dxa"/>
            <w:tcBorders>
              <w:bottom w:val="single" w:sz="4" w:space="0" w:color="DF2F1E"/>
            </w:tcBorders>
          </w:tcPr>
          <w:p>
            <w:pPr>
              <w:pStyle w:val="TableParagraph"/>
              <w:ind w:left="131"/>
              <w:rPr>
                <w:sz w:val="16"/>
              </w:rPr>
            </w:pPr>
            <w:r>
              <w:rPr>
                <w:color w:val="404040"/>
                <w:sz w:val="16"/>
              </w:rPr>
              <w:t>2016</w:t>
            </w:r>
          </w:p>
        </w:tc>
        <w:tc>
          <w:tcPr>
            <w:tcW w:w="5718" w:type="dxa"/>
            <w:tcBorders>
              <w:bottom w:val="single" w:sz="4" w:space="0" w:color="DF2F1E"/>
            </w:tcBorders>
          </w:tcPr>
          <w:p>
            <w:pPr>
              <w:pStyle w:val="TableParagraph"/>
              <w:ind w:left="105" w:right="310"/>
              <w:rPr>
                <w:sz w:val="16"/>
              </w:rPr>
            </w:pPr>
            <w:r>
              <w:rPr>
                <w:color w:val="404040"/>
                <w:sz w:val="16"/>
              </w:rPr>
              <w:t>For new recipients of Youth Allowance, Austudy and ABSTUDY who are in higher education full-time, the Student Start-up Loan (SSL) replaced the Student Start-Up Scholarship (SSS).</w:t>
            </w:r>
          </w:p>
          <w:p>
            <w:pPr>
              <w:pStyle w:val="TableParagraph"/>
              <w:spacing w:before="41"/>
              <w:ind w:left="105" w:right="211"/>
              <w:rPr>
                <w:sz w:val="16"/>
              </w:rPr>
            </w:pPr>
            <w:r>
              <w:rPr>
                <w:color w:val="404040"/>
                <w:sz w:val="16"/>
              </w:rPr>
              <w:t>SSL is a $1,025 voluntary income contingent loan that can be paid twice per year at the beginning of each semester. SSS will be grandfathered for pre 1 January 2016 recipients and they will continue to receive it until they leave the student payment.</w:t>
            </w:r>
          </w:p>
        </w:tc>
      </w:tr>
      <w:tr>
        <w:trPr>
          <w:trHeight w:val="671" w:hRule="atLeast"/>
        </w:trPr>
        <w:tc>
          <w:tcPr>
            <w:tcW w:w="3260" w:type="dxa"/>
            <w:tcBorders>
              <w:top w:val="single" w:sz="4" w:space="0" w:color="DF2F1E"/>
              <w:bottom w:val="single" w:sz="4" w:space="0" w:color="DF2F1E"/>
            </w:tcBorders>
          </w:tcPr>
          <w:p>
            <w:pPr>
              <w:pStyle w:val="TableParagraph"/>
              <w:spacing w:before="34"/>
              <w:ind w:left="122"/>
              <w:rPr>
                <w:b/>
                <w:sz w:val="16"/>
              </w:rPr>
            </w:pPr>
            <w:r>
              <w:rPr>
                <w:b/>
                <w:color w:val="404040"/>
                <w:sz w:val="16"/>
              </w:rPr>
              <w:t>Portability of Family Tax Benefit</w:t>
            </w:r>
          </w:p>
          <w:p>
            <w:pPr>
              <w:pStyle w:val="TableParagraph"/>
              <w:spacing w:before="42"/>
              <w:ind w:left="122" w:right="307"/>
              <w:rPr>
                <w:sz w:val="16"/>
              </w:rPr>
            </w:pPr>
            <w:r>
              <w:rPr>
                <w:color w:val="404040"/>
                <w:sz w:val="16"/>
              </w:rPr>
              <w:t>Social Services Legislation Amendment (Family Measures) Act 2016</w:t>
            </w:r>
          </w:p>
        </w:tc>
        <w:tc>
          <w:tcPr>
            <w:tcW w:w="899" w:type="dxa"/>
            <w:tcBorders>
              <w:top w:val="single" w:sz="4" w:space="0" w:color="DF2F1E"/>
              <w:bottom w:val="single" w:sz="4" w:space="0" w:color="DF2F1E"/>
            </w:tcBorders>
          </w:tcPr>
          <w:p>
            <w:pPr>
              <w:pStyle w:val="TableParagraph"/>
              <w:ind w:left="131"/>
              <w:rPr>
                <w:sz w:val="16"/>
              </w:rPr>
            </w:pPr>
            <w:r>
              <w:rPr>
                <w:color w:val="404040"/>
                <w:sz w:val="16"/>
              </w:rPr>
              <w:t>2016</w:t>
            </w:r>
          </w:p>
        </w:tc>
        <w:tc>
          <w:tcPr>
            <w:tcW w:w="5718" w:type="dxa"/>
            <w:tcBorders>
              <w:top w:val="single" w:sz="4" w:space="0" w:color="DF2F1E"/>
              <w:bottom w:val="single" w:sz="4" w:space="0" w:color="DF2F1E"/>
            </w:tcBorders>
          </w:tcPr>
          <w:p>
            <w:pPr>
              <w:pStyle w:val="TableParagraph"/>
              <w:ind w:left="105" w:right="105"/>
              <w:rPr>
                <w:sz w:val="16"/>
              </w:rPr>
            </w:pPr>
            <w:r>
              <w:rPr>
                <w:color w:val="404040"/>
                <w:sz w:val="16"/>
              </w:rPr>
              <w:t>Reduce to six weeks the period during which FTB Part A, and additional payments that rely on FTB eligibility, will be paid to recipients who are outside Australia.</w:t>
            </w:r>
          </w:p>
        </w:tc>
      </w:tr>
      <w:tr>
        <w:trPr>
          <w:trHeight w:val="671" w:hRule="atLeast"/>
        </w:trPr>
        <w:tc>
          <w:tcPr>
            <w:tcW w:w="3260" w:type="dxa"/>
            <w:tcBorders>
              <w:top w:val="single" w:sz="4" w:space="0" w:color="DF2F1E"/>
              <w:bottom w:val="single" w:sz="4" w:space="0" w:color="DF2F1E"/>
            </w:tcBorders>
          </w:tcPr>
          <w:p>
            <w:pPr>
              <w:pStyle w:val="TableParagraph"/>
              <w:spacing w:before="34"/>
              <w:ind w:left="122"/>
              <w:rPr>
                <w:b/>
                <w:sz w:val="16"/>
              </w:rPr>
            </w:pPr>
            <w:r>
              <w:rPr>
                <w:b/>
                <w:color w:val="404040"/>
                <w:sz w:val="16"/>
              </w:rPr>
              <w:t>No Jab, No Pay</w:t>
            </w:r>
          </w:p>
          <w:p>
            <w:pPr>
              <w:pStyle w:val="TableParagraph"/>
              <w:spacing w:before="44"/>
              <w:ind w:left="122" w:right="307"/>
              <w:rPr>
                <w:sz w:val="16"/>
              </w:rPr>
            </w:pPr>
            <w:r>
              <w:rPr>
                <w:color w:val="404040"/>
                <w:sz w:val="16"/>
              </w:rPr>
              <w:t>Social Services Legislation Amendment (No Jab, No Pay) Act 2015</w:t>
            </w:r>
          </w:p>
        </w:tc>
        <w:tc>
          <w:tcPr>
            <w:tcW w:w="899" w:type="dxa"/>
            <w:tcBorders>
              <w:top w:val="single" w:sz="4" w:space="0" w:color="DF2F1E"/>
              <w:bottom w:val="single" w:sz="4" w:space="0" w:color="DF2F1E"/>
            </w:tcBorders>
          </w:tcPr>
          <w:p>
            <w:pPr>
              <w:pStyle w:val="TableParagraph"/>
              <w:ind w:left="131"/>
              <w:rPr>
                <w:sz w:val="16"/>
              </w:rPr>
            </w:pPr>
            <w:r>
              <w:rPr>
                <w:color w:val="404040"/>
                <w:sz w:val="16"/>
              </w:rPr>
              <w:t>2016</w:t>
            </w:r>
          </w:p>
        </w:tc>
        <w:tc>
          <w:tcPr>
            <w:tcW w:w="5718" w:type="dxa"/>
            <w:tcBorders>
              <w:top w:val="single" w:sz="4" w:space="0" w:color="DF2F1E"/>
              <w:bottom w:val="single" w:sz="4" w:space="0" w:color="DF2F1E"/>
            </w:tcBorders>
          </w:tcPr>
          <w:p>
            <w:pPr>
              <w:pStyle w:val="TableParagraph"/>
              <w:ind w:left="105" w:right="284"/>
              <w:jc w:val="both"/>
              <w:rPr>
                <w:sz w:val="16"/>
              </w:rPr>
            </w:pPr>
            <w:r>
              <w:rPr>
                <w:color w:val="404040"/>
                <w:sz w:val="16"/>
              </w:rPr>
              <w:t>Immunisation requirements apply to children aged from 12 months up to 20 years for the FTB Part A Supplement, and for children aged under 20 years for Child Care Benefit and Child Care Rebate.</w:t>
            </w:r>
          </w:p>
        </w:tc>
      </w:tr>
      <w:tr>
        <w:trPr>
          <w:trHeight w:val="856" w:hRule="atLeast"/>
        </w:trPr>
        <w:tc>
          <w:tcPr>
            <w:tcW w:w="3260" w:type="dxa"/>
            <w:tcBorders>
              <w:top w:val="single" w:sz="4" w:space="0" w:color="DF2F1E"/>
              <w:bottom w:val="single" w:sz="4" w:space="0" w:color="DF2F1E"/>
            </w:tcBorders>
          </w:tcPr>
          <w:p>
            <w:pPr>
              <w:pStyle w:val="TableParagraph"/>
              <w:spacing w:before="34"/>
              <w:ind w:left="122" w:right="841"/>
              <w:rPr>
                <w:b/>
                <w:sz w:val="16"/>
              </w:rPr>
            </w:pPr>
            <w:r>
              <w:rPr>
                <w:b/>
                <w:color w:val="404040"/>
                <w:sz w:val="16"/>
              </w:rPr>
              <w:t>Cessation of the Large Family Supplement</w:t>
            </w:r>
          </w:p>
          <w:p>
            <w:pPr>
              <w:pStyle w:val="TableParagraph"/>
              <w:spacing w:before="43"/>
              <w:ind w:left="122" w:right="307"/>
              <w:rPr>
                <w:sz w:val="16"/>
              </w:rPr>
            </w:pPr>
            <w:r>
              <w:rPr>
                <w:color w:val="404040"/>
                <w:sz w:val="16"/>
              </w:rPr>
              <w:t>Social Services Legislation Amendment (Family Measures) Act 2016</w:t>
            </w:r>
          </w:p>
        </w:tc>
        <w:tc>
          <w:tcPr>
            <w:tcW w:w="899" w:type="dxa"/>
            <w:tcBorders>
              <w:top w:val="single" w:sz="4" w:space="0" w:color="DF2F1E"/>
              <w:bottom w:val="single" w:sz="4" w:space="0" w:color="DF2F1E"/>
            </w:tcBorders>
          </w:tcPr>
          <w:p>
            <w:pPr>
              <w:pStyle w:val="TableParagraph"/>
              <w:ind w:left="131"/>
              <w:rPr>
                <w:sz w:val="16"/>
              </w:rPr>
            </w:pPr>
            <w:r>
              <w:rPr>
                <w:color w:val="404040"/>
                <w:sz w:val="16"/>
              </w:rPr>
              <w:t>2016</w:t>
            </w:r>
          </w:p>
        </w:tc>
        <w:tc>
          <w:tcPr>
            <w:tcW w:w="5718" w:type="dxa"/>
            <w:tcBorders>
              <w:top w:val="single" w:sz="4" w:space="0" w:color="DF2F1E"/>
              <w:bottom w:val="single" w:sz="4" w:space="0" w:color="DF2F1E"/>
            </w:tcBorders>
          </w:tcPr>
          <w:p>
            <w:pPr>
              <w:pStyle w:val="TableParagraph"/>
              <w:ind w:left="105" w:right="354"/>
              <w:rPr>
                <w:sz w:val="16"/>
              </w:rPr>
            </w:pPr>
            <w:r>
              <w:rPr>
                <w:color w:val="404040"/>
                <w:sz w:val="16"/>
              </w:rPr>
              <w:t>Cease the Large Family Supplement, which is a component of FTB Part A currently paid for the fourth and each subsequent FTB child in the family.</w:t>
            </w:r>
          </w:p>
        </w:tc>
      </w:tr>
      <w:tr>
        <w:trPr>
          <w:trHeight w:val="1223" w:hRule="atLeast"/>
        </w:trPr>
        <w:tc>
          <w:tcPr>
            <w:tcW w:w="3260" w:type="dxa"/>
            <w:tcBorders>
              <w:top w:val="single" w:sz="4" w:space="0" w:color="DF2F1E"/>
              <w:bottom w:val="single" w:sz="4" w:space="0" w:color="DF2F1E"/>
            </w:tcBorders>
          </w:tcPr>
          <w:p>
            <w:pPr>
              <w:pStyle w:val="TableParagraph"/>
              <w:spacing w:before="34"/>
              <w:ind w:left="122" w:right="303"/>
              <w:jc w:val="both"/>
              <w:rPr>
                <w:b/>
                <w:sz w:val="16"/>
              </w:rPr>
            </w:pPr>
            <w:r>
              <w:rPr>
                <w:b/>
                <w:color w:val="404040"/>
                <w:sz w:val="16"/>
              </w:rPr>
              <w:t>Remove Family Tax Benefit Part B to couple families with a youngest child aged 13 and over</w:t>
            </w:r>
          </w:p>
          <w:p>
            <w:pPr>
              <w:pStyle w:val="TableParagraph"/>
              <w:spacing w:before="43"/>
              <w:ind w:left="122" w:right="228"/>
              <w:rPr>
                <w:sz w:val="16"/>
              </w:rPr>
            </w:pPr>
            <w:r>
              <w:rPr>
                <w:color w:val="404040"/>
                <w:sz w:val="16"/>
              </w:rPr>
              <w:t>Social Services Legislation Amendment (Family Payments Structural Reform and Participation Measures) Act 2015</w:t>
            </w:r>
          </w:p>
        </w:tc>
        <w:tc>
          <w:tcPr>
            <w:tcW w:w="899" w:type="dxa"/>
            <w:tcBorders>
              <w:top w:val="single" w:sz="4" w:space="0" w:color="DF2F1E"/>
              <w:bottom w:val="single" w:sz="4" w:space="0" w:color="DF2F1E"/>
            </w:tcBorders>
          </w:tcPr>
          <w:p>
            <w:pPr>
              <w:pStyle w:val="TableParagraph"/>
              <w:ind w:left="131"/>
              <w:rPr>
                <w:sz w:val="16"/>
              </w:rPr>
            </w:pPr>
            <w:r>
              <w:rPr>
                <w:color w:val="404040"/>
                <w:sz w:val="16"/>
              </w:rPr>
              <w:t>2016</w:t>
            </w:r>
          </w:p>
        </w:tc>
        <w:tc>
          <w:tcPr>
            <w:tcW w:w="5718" w:type="dxa"/>
            <w:tcBorders>
              <w:top w:val="single" w:sz="4" w:space="0" w:color="DF2F1E"/>
              <w:bottom w:val="single" w:sz="4" w:space="0" w:color="DF2F1E"/>
            </w:tcBorders>
          </w:tcPr>
          <w:p>
            <w:pPr>
              <w:pStyle w:val="TableParagraph"/>
              <w:ind w:left="105" w:right="149"/>
              <w:rPr>
                <w:sz w:val="16"/>
              </w:rPr>
            </w:pPr>
            <w:r>
              <w:rPr>
                <w:color w:val="404040"/>
                <w:sz w:val="16"/>
              </w:rPr>
              <w:t>Couple families with a youngest child 13 or over (excluding grandparents and great-grandparents) lose FTB Part B. Single parents, grandparents and</w:t>
            </w:r>
          </w:p>
          <w:p>
            <w:pPr>
              <w:pStyle w:val="TableParagraph"/>
              <w:spacing w:before="1"/>
              <w:ind w:left="105" w:right="202"/>
              <w:rPr>
                <w:sz w:val="16"/>
              </w:rPr>
            </w:pPr>
            <w:r>
              <w:rPr>
                <w:color w:val="404040"/>
                <w:sz w:val="16"/>
              </w:rPr>
              <w:t>great-grandparents with a youngest child between 13 and 18 will continue to receive FTB Part B.</w:t>
            </w:r>
          </w:p>
        </w:tc>
      </w:tr>
      <w:tr>
        <w:trPr>
          <w:trHeight w:val="1590" w:hRule="atLeast"/>
        </w:trPr>
        <w:tc>
          <w:tcPr>
            <w:tcW w:w="3260" w:type="dxa"/>
            <w:tcBorders>
              <w:top w:val="single" w:sz="4" w:space="0" w:color="DF2F1E"/>
              <w:bottom w:val="single" w:sz="4" w:space="0" w:color="DF2F1E"/>
            </w:tcBorders>
          </w:tcPr>
          <w:p>
            <w:pPr>
              <w:pStyle w:val="TableParagraph"/>
              <w:spacing w:before="34"/>
              <w:ind w:left="122" w:right="450"/>
              <w:rPr>
                <w:b/>
                <w:sz w:val="16"/>
              </w:rPr>
            </w:pPr>
            <w:r>
              <w:rPr>
                <w:b/>
                <w:color w:val="404040"/>
                <w:sz w:val="16"/>
              </w:rPr>
              <w:t>Changes to Family Assistance Law affecting Child Care Benefit (CCB) approved Family Day Care (FDC) services. Aimed at ending ‘child swapping’</w:t>
            </w:r>
          </w:p>
          <w:p>
            <w:pPr>
              <w:pStyle w:val="TableParagraph"/>
              <w:spacing w:before="43"/>
              <w:ind w:left="122" w:right="209"/>
              <w:rPr>
                <w:sz w:val="16"/>
              </w:rPr>
            </w:pPr>
            <w:r>
              <w:rPr>
                <w:color w:val="404040"/>
                <w:sz w:val="16"/>
              </w:rPr>
              <w:t>Child Care Benefit (Children in respect of whom no-one is eligible) Determination 2015</w:t>
            </w:r>
          </w:p>
        </w:tc>
        <w:tc>
          <w:tcPr>
            <w:tcW w:w="899" w:type="dxa"/>
            <w:tcBorders>
              <w:top w:val="single" w:sz="4" w:space="0" w:color="DF2F1E"/>
              <w:bottom w:val="single" w:sz="4" w:space="0" w:color="DF2F1E"/>
            </w:tcBorders>
          </w:tcPr>
          <w:p>
            <w:pPr>
              <w:pStyle w:val="TableParagraph"/>
              <w:ind w:left="131"/>
              <w:rPr>
                <w:sz w:val="16"/>
              </w:rPr>
            </w:pPr>
            <w:r>
              <w:rPr>
                <w:color w:val="404040"/>
                <w:sz w:val="16"/>
              </w:rPr>
              <w:t>2016</w:t>
            </w:r>
          </w:p>
        </w:tc>
        <w:tc>
          <w:tcPr>
            <w:tcW w:w="5718" w:type="dxa"/>
            <w:tcBorders>
              <w:top w:val="single" w:sz="4" w:space="0" w:color="DF2F1E"/>
              <w:bottom w:val="single" w:sz="4" w:space="0" w:color="DF2F1E"/>
            </w:tcBorders>
          </w:tcPr>
          <w:p>
            <w:pPr>
              <w:pStyle w:val="TableParagraph"/>
              <w:ind w:left="105" w:right="203"/>
              <w:rPr>
                <w:sz w:val="16"/>
              </w:rPr>
            </w:pPr>
            <w:r>
              <w:rPr>
                <w:color w:val="404040"/>
                <w:sz w:val="16"/>
              </w:rPr>
              <w:t>FDC educators and their partners are no longer entitled to receive child care fee assistance for their own child’s session of FDC if, on that same day, the FDC educator provides FDC for an approved FDC service, unless specified circumstances apply.</w:t>
            </w:r>
          </w:p>
        </w:tc>
      </w:tr>
      <w:tr>
        <w:trPr>
          <w:trHeight w:val="1408" w:hRule="atLeast"/>
        </w:trPr>
        <w:tc>
          <w:tcPr>
            <w:tcW w:w="3260" w:type="dxa"/>
            <w:tcBorders>
              <w:top w:val="single" w:sz="4" w:space="0" w:color="DF2F1E"/>
              <w:bottom w:val="single" w:sz="4" w:space="0" w:color="DF2F1E"/>
            </w:tcBorders>
          </w:tcPr>
          <w:p>
            <w:pPr>
              <w:pStyle w:val="TableParagraph"/>
              <w:spacing w:before="34"/>
              <w:ind w:left="122" w:right="264"/>
              <w:rPr>
                <w:b/>
                <w:sz w:val="16"/>
              </w:rPr>
            </w:pPr>
            <w:r>
              <w:rPr>
                <w:b/>
                <w:color w:val="404040"/>
                <w:sz w:val="16"/>
              </w:rPr>
              <w:t>Changes to the parental means test (Impacting on Studying class, a small section of Working Age class and the non IS family class)</w:t>
            </w:r>
          </w:p>
          <w:p>
            <w:pPr>
              <w:pStyle w:val="TableParagraph"/>
              <w:spacing w:before="44"/>
              <w:ind w:left="122" w:right="112"/>
              <w:rPr>
                <w:sz w:val="16"/>
              </w:rPr>
            </w:pPr>
            <w:r>
              <w:rPr>
                <w:color w:val="404040"/>
                <w:sz w:val="16"/>
              </w:rPr>
              <w:t>Social Services Legislation Amendment (More Generous Means Testing For Youth Payments) Act 2015</w:t>
            </w:r>
          </w:p>
        </w:tc>
        <w:tc>
          <w:tcPr>
            <w:tcW w:w="899" w:type="dxa"/>
            <w:tcBorders>
              <w:top w:val="single" w:sz="4" w:space="0" w:color="DF2F1E"/>
              <w:bottom w:val="single" w:sz="4" w:space="0" w:color="DF2F1E"/>
            </w:tcBorders>
          </w:tcPr>
          <w:p>
            <w:pPr>
              <w:pStyle w:val="TableParagraph"/>
              <w:ind w:left="131"/>
              <w:rPr>
                <w:sz w:val="16"/>
              </w:rPr>
            </w:pPr>
            <w:r>
              <w:rPr>
                <w:color w:val="404040"/>
                <w:sz w:val="16"/>
              </w:rPr>
              <w:t>2016</w:t>
            </w:r>
          </w:p>
        </w:tc>
        <w:tc>
          <w:tcPr>
            <w:tcW w:w="5718" w:type="dxa"/>
            <w:tcBorders>
              <w:top w:val="single" w:sz="4" w:space="0" w:color="DF2F1E"/>
              <w:bottom w:val="single" w:sz="4" w:space="0" w:color="DF2F1E"/>
            </w:tcBorders>
          </w:tcPr>
          <w:p>
            <w:pPr>
              <w:pStyle w:val="TableParagraph"/>
              <w:ind w:left="105" w:right="338"/>
              <w:rPr>
                <w:sz w:val="16"/>
              </w:rPr>
            </w:pPr>
            <w:r>
              <w:rPr>
                <w:color w:val="404040"/>
                <w:sz w:val="16"/>
              </w:rPr>
              <w:t>Family Actual Means Test (FAMT) and Family Assets Test (FAT) removed from Youth Allowance Parental Means Test arrangements.</w:t>
            </w:r>
          </w:p>
        </w:tc>
      </w:tr>
      <w:tr>
        <w:trPr>
          <w:trHeight w:val="856" w:hRule="atLeast"/>
        </w:trPr>
        <w:tc>
          <w:tcPr>
            <w:tcW w:w="3260" w:type="dxa"/>
            <w:tcBorders>
              <w:top w:val="single" w:sz="4" w:space="0" w:color="DF2F1E"/>
              <w:bottom w:val="single" w:sz="4" w:space="0" w:color="DF2F1E"/>
            </w:tcBorders>
          </w:tcPr>
          <w:p>
            <w:pPr>
              <w:pStyle w:val="TableParagraph"/>
              <w:spacing w:before="34"/>
              <w:ind w:left="122" w:right="344"/>
              <w:rPr>
                <w:b/>
                <w:sz w:val="16"/>
              </w:rPr>
            </w:pPr>
            <w:r>
              <w:rPr>
                <w:b/>
                <w:color w:val="404040"/>
                <w:sz w:val="16"/>
              </w:rPr>
              <w:t>Repeal of the income support bonus and the schoolkids bonus</w:t>
            </w:r>
          </w:p>
          <w:p>
            <w:pPr>
              <w:pStyle w:val="TableParagraph"/>
              <w:spacing w:before="45"/>
              <w:ind w:left="122" w:right="227"/>
              <w:rPr>
                <w:sz w:val="16"/>
              </w:rPr>
            </w:pPr>
            <w:r>
              <w:rPr>
                <w:color w:val="404040"/>
                <w:sz w:val="16"/>
              </w:rPr>
              <w:t>Minerals Resource Rent Tax Repeal and Other Measures Act 2014</w:t>
            </w:r>
          </w:p>
        </w:tc>
        <w:tc>
          <w:tcPr>
            <w:tcW w:w="899" w:type="dxa"/>
            <w:tcBorders>
              <w:top w:val="single" w:sz="4" w:space="0" w:color="DF2F1E"/>
              <w:bottom w:val="single" w:sz="4" w:space="0" w:color="DF2F1E"/>
            </w:tcBorders>
          </w:tcPr>
          <w:p>
            <w:pPr>
              <w:pStyle w:val="TableParagraph"/>
              <w:ind w:left="131"/>
              <w:rPr>
                <w:sz w:val="16"/>
              </w:rPr>
            </w:pPr>
            <w:r>
              <w:rPr>
                <w:color w:val="404040"/>
                <w:sz w:val="16"/>
              </w:rPr>
              <w:t>2016</w:t>
            </w:r>
          </w:p>
        </w:tc>
        <w:tc>
          <w:tcPr>
            <w:tcW w:w="5718" w:type="dxa"/>
            <w:tcBorders>
              <w:top w:val="single" w:sz="4" w:space="0" w:color="DF2F1E"/>
              <w:bottom w:val="single" w:sz="4" w:space="0" w:color="DF2F1E"/>
            </w:tcBorders>
          </w:tcPr>
          <w:p>
            <w:pPr>
              <w:pStyle w:val="TableParagraph"/>
              <w:ind w:left="105"/>
              <w:rPr>
                <w:sz w:val="16"/>
              </w:rPr>
            </w:pPr>
            <w:r>
              <w:rPr>
                <w:color w:val="404040"/>
                <w:sz w:val="16"/>
              </w:rPr>
              <w:t>The final instalment of the Schoolkids Bonus will be paid in July 2016.</w:t>
            </w:r>
          </w:p>
          <w:p>
            <w:pPr>
              <w:pStyle w:val="TableParagraph"/>
              <w:spacing w:before="41"/>
              <w:ind w:left="105" w:right="319"/>
              <w:rPr>
                <w:sz w:val="16"/>
              </w:rPr>
            </w:pPr>
            <w:r>
              <w:rPr>
                <w:color w:val="404040"/>
                <w:sz w:val="16"/>
              </w:rPr>
              <w:t>The Income Support Bonus will continue until December 2016 with the last instalment paid in September 2016.</w:t>
            </w:r>
          </w:p>
        </w:tc>
      </w:tr>
      <w:tr>
        <w:trPr>
          <w:trHeight w:val="2754" w:hRule="atLeast"/>
        </w:trPr>
        <w:tc>
          <w:tcPr>
            <w:tcW w:w="3260" w:type="dxa"/>
            <w:tcBorders>
              <w:top w:val="single" w:sz="4" w:space="0" w:color="DF2F1E"/>
              <w:bottom w:val="single" w:sz="4" w:space="0" w:color="DF2F1E"/>
            </w:tcBorders>
          </w:tcPr>
          <w:p>
            <w:pPr>
              <w:pStyle w:val="TableParagraph"/>
              <w:spacing w:before="34"/>
              <w:ind w:left="122"/>
              <w:rPr>
                <w:b/>
                <w:sz w:val="16"/>
              </w:rPr>
            </w:pPr>
            <w:r>
              <w:rPr>
                <w:b/>
                <w:color w:val="404040"/>
                <w:sz w:val="16"/>
              </w:rPr>
              <w:t>Changes to assets test</w:t>
            </w:r>
          </w:p>
          <w:p>
            <w:pPr>
              <w:pStyle w:val="TableParagraph"/>
              <w:spacing w:before="44"/>
              <w:ind w:left="122" w:right="165"/>
              <w:rPr>
                <w:sz w:val="16"/>
              </w:rPr>
            </w:pPr>
            <w:r>
              <w:rPr>
                <w:color w:val="404040"/>
                <w:sz w:val="16"/>
              </w:rPr>
              <w:t>Social Services Legislation Amendment (Fair and Sustainable Pensions) Act 2015</w:t>
            </w:r>
          </w:p>
        </w:tc>
        <w:tc>
          <w:tcPr>
            <w:tcW w:w="899" w:type="dxa"/>
            <w:tcBorders>
              <w:top w:val="single" w:sz="4" w:space="0" w:color="DF2F1E"/>
              <w:bottom w:val="single" w:sz="4" w:space="0" w:color="DF2F1E"/>
            </w:tcBorders>
          </w:tcPr>
          <w:p>
            <w:pPr>
              <w:pStyle w:val="TableParagraph"/>
              <w:ind w:left="131"/>
              <w:rPr>
                <w:sz w:val="16"/>
              </w:rPr>
            </w:pPr>
            <w:r>
              <w:rPr>
                <w:color w:val="404040"/>
                <w:sz w:val="16"/>
              </w:rPr>
              <w:t>2017</w:t>
            </w:r>
          </w:p>
        </w:tc>
        <w:tc>
          <w:tcPr>
            <w:tcW w:w="5718" w:type="dxa"/>
            <w:tcBorders>
              <w:top w:val="single" w:sz="4" w:space="0" w:color="DF2F1E"/>
              <w:bottom w:val="single" w:sz="4" w:space="0" w:color="DF2F1E"/>
            </w:tcBorders>
          </w:tcPr>
          <w:p>
            <w:pPr>
              <w:pStyle w:val="TableParagraph"/>
              <w:ind w:left="105" w:right="150"/>
              <w:rPr>
                <w:sz w:val="16"/>
              </w:rPr>
            </w:pPr>
            <w:r>
              <w:rPr>
                <w:color w:val="404040"/>
                <w:sz w:val="16"/>
              </w:rPr>
              <w:t>From 1 January 2017, the pension assets test will be rebalanced. The assets test free areas will be increased to:</w:t>
            </w:r>
          </w:p>
          <w:p>
            <w:pPr>
              <w:pStyle w:val="TableParagraph"/>
              <w:numPr>
                <w:ilvl w:val="0"/>
                <w:numId w:val="86"/>
              </w:numPr>
              <w:tabs>
                <w:tab w:pos="825" w:val="left" w:leader="none"/>
                <w:tab w:pos="826" w:val="left" w:leader="none"/>
              </w:tabs>
              <w:spacing w:line="240" w:lineRule="auto" w:before="41" w:after="0"/>
              <w:ind w:left="825" w:right="0" w:hanging="361"/>
              <w:jc w:val="left"/>
              <w:rPr>
                <w:sz w:val="16"/>
              </w:rPr>
            </w:pPr>
            <w:r>
              <w:rPr>
                <w:color w:val="404040"/>
                <w:sz w:val="16"/>
              </w:rPr>
              <w:t>$250,000 for a single homeowner (an increase of</w:t>
            </w:r>
            <w:r>
              <w:rPr>
                <w:color w:val="404040"/>
                <w:spacing w:val="-19"/>
                <w:sz w:val="16"/>
              </w:rPr>
              <w:t> </w:t>
            </w:r>
            <w:r>
              <w:rPr>
                <w:color w:val="404040"/>
                <w:sz w:val="16"/>
              </w:rPr>
              <w:t>$48,000)</w:t>
            </w:r>
          </w:p>
          <w:p>
            <w:pPr>
              <w:pStyle w:val="TableParagraph"/>
              <w:numPr>
                <w:ilvl w:val="0"/>
                <w:numId w:val="86"/>
              </w:numPr>
              <w:tabs>
                <w:tab w:pos="825" w:val="left" w:leader="none"/>
                <w:tab w:pos="826" w:val="left" w:leader="none"/>
              </w:tabs>
              <w:spacing w:line="240" w:lineRule="auto" w:before="39" w:after="0"/>
              <w:ind w:left="825" w:right="0" w:hanging="361"/>
              <w:jc w:val="left"/>
              <w:rPr>
                <w:sz w:val="16"/>
              </w:rPr>
            </w:pPr>
            <w:r>
              <w:rPr>
                <w:color w:val="404040"/>
                <w:sz w:val="16"/>
              </w:rPr>
              <w:t>$375,000 for a homeowner couple (an increase of</w:t>
            </w:r>
            <w:r>
              <w:rPr>
                <w:color w:val="404040"/>
                <w:spacing w:val="-19"/>
                <w:sz w:val="16"/>
              </w:rPr>
              <w:t> </w:t>
            </w:r>
            <w:r>
              <w:rPr>
                <w:color w:val="404040"/>
                <w:sz w:val="16"/>
              </w:rPr>
              <w:t>$88,500)</w:t>
            </w:r>
          </w:p>
          <w:p>
            <w:pPr>
              <w:pStyle w:val="TableParagraph"/>
              <w:numPr>
                <w:ilvl w:val="0"/>
                <w:numId w:val="86"/>
              </w:numPr>
              <w:tabs>
                <w:tab w:pos="825" w:val="left" w:leader="none"/>
                <w:tab w:pos="826" w:val="left" w:leader="none"/>
              </w:tabs>
              <w:spacing w:line="240" w:lineRule="auto" w:before="37" w:after="0"/>
              <w:ind w:left="825" w:right="0" w:hanging="361"/>
              <w:jc w:val="left"/>
              <w:rPr>
                <w:sz w:val="16"/>
              </w:rPr>
            </w:pPr>
            <w:r>
              <w:rPr>
                <w:color w:val="404040"/>
                <w:sz w:val="16"/>
              </w:rPr>
              <w:t>$450,000 for a single non-homeowner (an increase of</w:t>
            </w:r>
            <w:r>
              <w:rPr>
                <w:color w:val="404040"/>
                <w:spacing w:val="-12"/>
                <w:sz w:val="16"/>
              </w:rPr>
              <w:t> </w:t>
            </w:r>
            <w:r>
              <w:rPr>
                <w:color w:val="404040"/>
                <w:sz w:val="16"/>
              </w:rPr>
              <w:t>$101,500)</w:t>
            </w:r>
          </w:p>
          <w:p>
            <w:pPr>
              <w:pStyle w:val="TableParagraph"/>
              <w:numPr>
                <w:ilvl w:val="0"/>
                <w:numId w:val="86"/>
              </w:numPr>
              <w:tabs>
                <w:tab w:pos="825" w:val="left" w:leader="none"/>
                <w:tab w:pos="826" w:val="left" w:leader="none"/>
              </w:tabs>
              <w:spacing w:line="240" w:lineRule="auto" w:before="39" w:after="0"/>
              <w:ind w:left="825" w:right="0" w:hanging="361"/>
              <w:jc w:val="left"/>
              <w:rPr>
                <w:sz w:val="16"/>
              </w:rPr>
            </w:pPr>
            <w:r>
              <w:rPr>
                <w:color w:val="404040"/>
                <w:sz w:val="16"/>
              </w:rPr>
              <w:t>$575,000 for a non-homeowner couple (an increase of</w:t>
            </w:r>
            <w:r>
              <w:rPr>
                <w:color w:val="404040"/>
                <w:spacing w:val="-14"/>
                <w:sz w:val="16"/>
              </w:rPr>
              <w:t> </w:t>
            </w:r>
            <w:r>
              <w:rPr>
                <w:color w:val="404040"/>
                <w:sz w:val="16"/>
              </w:rPr>
              <w:t>$142,000).</w:t>
            </w:r>
          </w:p>
          <w:p>
            <w:pPr>
              <w:pStyle w:val="TableParagraph"/>
              <w:spacing w:before="40"/>
              <w:ind w:left="105" w:right="435"/>
              <w:rPr>
                <w:sz w:val="16"/>
              </w:rPr>
            </w:pPr>
            <w:r>
              <w:rPr>
                <w:color w:val="404040"/>
                <w:sz w:val="16"/>
              </w:rPr>
              <w:t>The assets test “taper” (or withdrawal) rate for assets above the new free areas will be increased to 3.00 per fortnight for each extra $1,000 in assessable assets (from the current rate of $1.50, reversing the 2007 change).</w:t>
            </w:r>
          </w:p>
          <w:p>
            <w:pPr>
              <w:pStyle w:val="TableParagraph"/>
              <w:spacing w:before="40"/>
              <w:ind w:left="105" w:right="150"/>
              <w:rPr>
                <w:sz w:val="16"/>
              </w:rPr>
            </w:pPr>
            <w:r>
              <w:rPr>
                <w:color w:val="404040"/>
                <w:sz w:val="16"/>
              </w:rPr>
              <w:t>When announced in the 2015-16 Budget, the measure was to save $2.4 billion across the forward estimates, the majority of which would be related to the Age Pension.</w:t>
            </w:r>
          </w:p>
        </w:tc>
      </w:tr>
      <w:tr>
        <w:trPr>
          <w:trHeight w:val="671" w:hRule="atLeast"/>
        </w:trPr>
        <w:tc>
          <w:tcPr>
            <w:tcW w:w="3260" w:type="dxa"/>
            <w:tcBorders>
              <w:top w:val="single" w:sz="4" w:space="0" w:color="DF2F1E"/>
              <w:bottom w:val="single" w:sz="4" w:space="0" w:color="DF2F1E"/>
            </w:tcBorders>
          </w:tcPr>
          <w:p>
            <w:pPr>
              <w:pStyle w:val="TableParagraph"/>
              <w:spacing w:before="34"/>
              <w:ind w:left="122"/>
              <w:rPr>
                <w:b/>
                <w:sz w:val="16"/>
              </w:rPr>
            </w:pPr>
            <w:r>
              <w:rPr>
                <w:b/>
                <w:color w:val="404040"/>
                <w:sz w:val="16"/>
              </w:rPr>
              <w:t>Cessation of Low Income Supplement</w:t>
            </w:r>
          </w:p>
          <w:p>
            <w:pPr>
              <w:pStyle w:val="TableParagraph"/>
              <w:spacing w:before="44"/>
              <w:ind w:left="122" w:right="307"/>
              <w:rPr>
                <w:sz w:val="16"/>
              </w:rPr>
            </w:pPr>
            <w:r>
              <w:rPr>
                <w:color w:val="404040"/>
                <w:sz w:val="16"/>
              </w:rPr>
              <w:t>Social Services Legislation Amendment (Low Income Supplement) Act 2015</w:t>
            </w:r>
          </w:p>
        </w:tc>
        <w:tc>
          <w:tcPr>
            <w:tcW w:w="899" w:type="dxa"/>
            <w:tcBorders>
              <w:top w:val="single" w:sz="4" w:space="0" w:color="DF2F1E"/>
              <w:bottom w:val="single" w:sz="4" w:space="0" w:color="DF2F1E"/>
            </w:tcBorders>
          </w:tcPr>
          <w:p>
            <w:pPr>
              <w:pStyle w:val="TableParagraph"/>
              <w:ind w:left="131"/>
              <w:rPr>
                <w:sz w:val="16"/>
              </w:rPr>
            </w:pPr>
            <w:r>
              <w:rPr>
                <w:color w:val="404040"/>
                <w:sz w:val="16"/>
              </w:rPr>
              <w:t>2017</w:t>
            </w:r>
          </w:p>
        </w:tc>
        <w:tc>
          <w:tcPr>
            <w:tcW w:w="5718" w:type="dxa"/>
            <w:tcBorders>
              <w:top w:val="single" w:sz="4" w:space="0" w:color="DF2F1E"/>
              <w:bottom w:val="single" w:sz="4" w:space="0" w:color="DF2F1E"/>
            </w:tcBorders>
          </w:tcPr>
          <w:p>
            <w:pPr>
              <w:pStyle w:val="TableParagraph"/>
              <w:ind w:left="105"/>
              <w:rPr>
                <w:sz w:val="16"/>
              </w:rPr>
            </w:pPr>
            <w:r>
              <w:rPr>
                <w:color w:val="404040"/>
                <w:sz w:val="16"/>
              </w:rPr>
              <w:t>The low income supplement will cease on 30 June 2017.</w:t>
            </w:r>
          </w:p>
        </w:tc>
      </w:tr>
    </w:tbl>
    <w:p>
      <w:pPr>
        <w:spacing w:after="0"/>
        <w:rPr>
          <w:sz w:val="16"/>
        </w:rPr>
        <w:sectPr>
          <w:pgSz w:w="11910" w:h="16850"/>
          <w:pgMar w:header="572" w:footer="581" w:top="780" w:bottom="780" w:left="120" w:right="0"/>
        </w:sectPr>
      </w:pPr>
    </w:p>
    <w:p>
      <w:pPr>
        <w:pStyle w:val="BodyText"/>
        <w:rPr>
          <w:b/>
        </w:rPr>
      </w:pPr>
    </w:p>
    <w:p>
      <w:pPr>
        <w:pStyle w:val="BodyText"/>
        <w:rPr>
          <w:b/>
        </w:rPr>
      </w:pPr>
    </w:p>
    <w:p>
      <w:pPr>
        <w:pStyle w:val="BodyText"/>
        <w:rPr>
          <w:b/>
        </w:rPr>
      </w:pPr>
    </w:p>
    <w:p>
      <w:pPr>
        <w:pStyle w:val="BodyText"/>
        <w:spacing w:before="9"/>
        <w:rPr>
          <w:b/>
          <w:sz w:val="10"/>
        </w:rPr>
      </w:pPr>
    </w:p>
    <w:tbl>
      <w:tblPr>
        <w:tblW w:w="0" w:type="auto"/>
        <w:jc w:val="left"/>
        <w:tblInd w:w="8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68"/>
        <w:gridCol w:w="893"/>
        <w:gridCol w:w="5719"/>
      </w:tblGrid>
      <w:tr>
        <w:trPr>
          <w:trHeight w:val="640" w:hRule="atLeast"/>
        </w:trPr>
        <w:tc>
          <w:tcPr>
            <w:tcW w:w="3268" w:type="dxa"/>
            <w:shd w:val="clear" w:color="auto" w:fill="DF2F1E"/>
          </w:tcPr>
          <w:p>
            <w:pPr>
              <w:pStyle w:val="TableParagraph"/>
              <w:spacing w:before="34"/>
              <w:ind w:left="122"/>
              <w:rPr>
                <w:b/>
                <w:sz w:val="16"/>
              </w:rPr>
            </w:pPr>
            <w:r>
              <w:rPr>
                <w:b/>
                <w:color w:val="FFFFFF"/>
                <w:sz w:val="16"/>
              </w:rPr>
              <w:t>Amendment</w:t>
            </w:r>
          </w:p>
        </w:tc>
        <w:tc>
          <w:tcPr>
            <w:tcW w:w="893" w:type="dxa"/>
            <w:shd w:val="clear" w:color="auto" w:fill="DF2F1E"/>
          </w:tcPr>
          <w:p>
            <w:pPr>
              <w:pStyle w:val="TableParagraph"/>
              <w:spacing w:before="34"/>
              <w:ind w:left="123" w:right="83"/>
              <w:rPr>
                <w:b/>
                <w:sz w:val="16"/>
              </w:rPr>
            </w:pPr>
            <w:r>
              <w:rPr>
                <w:b/>
                <w:color w:val="FFFFFF"/>
                <w:sz w:val="16"/>
              </w:rPr>
              <w:t>Year Effective</w:t>
            </w:r>
          </w:p>
        </w:tc>
        <w:tc>
          <w:tcPr>
            <w:tcW w:w="5719" w:type="dxa"/>
            <w:shd w:val="clear" w:color="auto" w:fill="DF2F1E"/>
          </w:tcPr>
          <w:p>
            <w:pPr>
              <w:pStyle w:val="TableParagraph"/>
              <w:spacing w:before="34"/>
              <w:ind w:left="103"/>
              <w:rPr>
                <w:b/>
                <w:sz w:val="16"/>
              </w:rPr>
            </w:pPr>
            <w:r>
              <w:rPr>
                <w:b/>
                <w:color w:val="FFFFFF"/>
                <w:sz w:val="16"/>
              </w:rPr>
              <w:t>Description</w:t>
            </w:r>
          </w:p>
        </w:tc>
      </w:tr>
      <w:tr>
        <w:trPr>
          <w:trHeight w:val="856" w:hRule="atLeast"/>
        </w:trPr>
        <w:tc>
          <w:tcPr>
            <w:tcW w:w="3268" w:type="dxa"/>
            <w:tcBorders>
              <w:bottom w:val="single" w:sz="4" w:space="0" w:color="DF2F1E"/>
            </w:tcBorders>
          </w:tcPr>
          <w:p>
            <w:pPr>
              <w:pStyle w:val="TableParagraph"/>
              <w:spacing w:before="34"/>
              <w:ind w:left="122"/>
              <w:rPr>
                <w:b/>
                <w:sz w:val="16"/>
              </w:rPr>
            </w:pPr>
            <w:r>
              <w:rPr>
                <w:b/>
                <w:color w:val="404040"/>
                <w:sz w:val="16"/>
              </w:rPr>
              <w:t>Changes to the parental means test</w:t>
            </w:r>
          </w:p>
          <w:p>
            <w:pPr>
              <w:pStyle w:val="TableParagraph"/>
              <w:spacing w:before="44"/>
              <w:ind w:left="122" w:right="120"/>
              <w:rPr>
                <w:sz w:val="16"/>
              </w:rPr>
            </w:pPr>
            <w:r>
              <w:rPr>
                <w:color w:val="404040"/>
                <w:sz w:val="16"/>
              </w:rPr>
              <w:t>Social Services Legislation Amendment (More Generous Means Testing For Youth Payments) Act 2015</w:t>
            </w:r>
          </w:p>
        </w:tc>
        <w:tc>
          <w:tcPr>
            <w:tcW w:w="893" w:type="dxa"/>
            <w:tcBorders>
              <w:bottom w:val="single" w:sz="4" w:space="0" w:color="DF2F1E"/>
            </w:tcBorders>
          </w:tcPr>
          <w:p>
            <w:pPr>
              <w:pStyle w:val="TableParagraph"/>
              <w:ind w:left="123"/>
              <w:rPr>
                <w:sz w:val="16"/>
              </w:rPr>
            </w:pPr>
            <w:r>
              <w:rPr>
                <w:color w:val="404040"/>
                <w:sz w:val="16"/>
              </w:rPr>
              <w:t>2017</w:t>
            </w:r>
          </w:p>
        </w:tc>
        <w:tc>
          <w:tcPr>
            <w:tcW w:w="5719" w:type="dxa"/>
            <w:tcBorders>
              <w:bottom w:val="single" w:sz="4" w:space="0" w:color="DF2F1E"/>
            </w:tcBorders>
          </w:tcPr>
          <w:p>
            <w:pPr>
              <w:pStyle w:val="TableParagraph"/>
              <w:ind w:left="103" w:right="99"/>
              <w:rPr>
                <w:sz w:val="16"/>
              </w:rPr>
            </w:pPr>
            <w:r>
              <w:rPr>
                <w:color w:val="404040"/>
                <w:sz w:val="16"/>
              </w:rPr>
              <w:t>Treatment of Child Support maintenance income will be further reformed by applying a separate Maintenance Income Test, reducing payments for around 850 young people aged under 18. This test is similar to the one currently applying to Family Tax Benefit Part A.</w:t>
            </w:r>
          </w:p>
        </w:tc>
      </w:tr>
      <w:tr>
        <w:trPr>
          <w:trHeight w:val="1000" w:hRule="atLeast"/>
        </w:trPr>
        <w:tc>
          <w:tcPr>
            <w:tcW w:w="3268" w:type="dxa"/>
            <w:tcBorders>
              <w:top w:val="single" w:sz="4" w:space="0" w:color="DF2F1E"/>
              <w:bottom w:val="single" w:sz="4" w:space="0" w:color="DF2F1E"/>
            </w:tcBorders>
          </w:tcPr>
          <w:p>
            <w:pPr>
              <w:pStyle w:val="TableParagraph"/>
              <w:spacing w:before="34"/>
              <w:ind w:left="122"/>
              <w:rPr>
                <w:b/>
                <w:sz w:val="16"/>
              </w:rPr>
            </w:pPr>
            <w:r>
              <w:rPr>
                <w:b/>
                <w:color w:val="404040"/>
                <w:sz w:val="16"/>
              </w:rPr>
              <w:t>Closing Carbon Tax Compensation</w:t>
            </w:r>
          </w:p>
          <w:p>
            <w:pPr>
              <w:pStyle w:val="TableParagraph"/>
              <w:spacing w:before="42"/>
              <w:ind w:left="122"/>
              <w:rPr>
                <w:sz w:val="16"/>
              </w:rPr>
            </w:pPr>
            <w:r>
              <w:rPr>
                <w:color w:val="404040"/>
                <w:sz w:val="16"/>
              </w:rPr>
              <w:t>Budget Savings (Omnibus) Act 2016</w:t>
            </w:r>
          </w:p>
        </w:tc>
        <w:tc>
          <w:tcPr>
            <w:tcW w:w="893" w:type="dxa"/>
            <w:tcBorders>
              <w:top w:val="single" w:sz="4" w:space="0" w:color="DF2F1E"/>
              <w:bottom w:val="single" w:sz="4" w:space="0" w:color="DF2F1E"/>
            </w:tcBorders>
          </w:tcPr>
          <w:p>
            <w:pPr>
              <w:pStyle w:val="TableParagraph"/>
              <w:ind w:left="123"/>
              <w:rPr>
                <w:sz w:val="16"/>
              </w:rPr>
            </w:pPr>
            <w:r>
              <w:rPr>
                <w:color w:val="404040"/>
                <w:sz w:val="16"/>
              </w:rPr>
              <w:t>2017</w:t>
            </w:r>
          </w:p>
        </w:tc>
        <w:tc>
          <w:tcPr>
            <w:tcW w:w="5719" w:type="dxa"/>
            <w:tcBorders>
              <w:top w:val="single" w:sz="4" w:space="0" w:color="DF2F1E"/>
              <w:bottom w:val="single" w:sz="4" w:space="0" w:color="DF2F1E"/>
            </w:tcBorders>
          </w:tcPr>
          <w:p>
            <w:pPr>
              <w:pStyle w:val="TableParagraph"/>
              <w:ind w:left="103" w:right="135"/>
              <w:rPr>
                <w:sz w:val="16"/>
              </w:rPr>
            </w:pPr>
            <w:r>
              <w:rPr>
                <w:color w:val="404040"/>
                <w:sz w:val="16"/>
              </w:rPr>
              <w:t>New recipients of FTB or Seniors Health Cards will no longer be paid the Energy Supplement from 20 March 2017. Those people already receiving the Energy Supplement prior to 20 September 2016 will continue to receive it.</w:t>
            </w:r>
          </w:p>
          <w:p>
            <w:pPr>
              <w:pStyle w:val="TableParagraph"/>
              <w:spacing w:before="0"/>
              <w:ind w:left="103" w:right="197"/>
              <w:rPr>
                <w:sz w:val="16"/>
              </w:rPr>
            </w:pPr>
            <w:r>
              <w:rPr>
                <w:color w:val="404040"/>
                <w:sz w:val="16"/>
              </w:rPr>
              <w:t>Those people receiving the Energy Supplement after 20 September will stop receiving it from 20 March 2017 onwards.</w:t>
            </w:r>
          </w:p>
        </w:tc>
      </w:tr>
      <w:tr>
        <w:trPr>
          <w:trHeight w:val="815" w:hRule="atLeast"/>
        </w:trPr>
        <w:tc>
          <w:tcPr>
            <w:tcW w:w="3268" w:type="dxa"/>
            <w:tcBorders>
              <w:top w:val="single" w:sz="4" w:space="0" w:color="DF2F1E"/>
              <w:bottom w:val="single" w:sz="4" w:space="0" w:color="DF2F1E"/>
            </w:tcBorders>
          </w:tcPr>
          <w:p>
            <w:pPr>
              <w:pStyle w:val="TableParagraph"/>
              <w:spacing w:before="34"/>
              <w:ind w:left="122" w:right="689"/>
              <w:rPr>
                <w:b/>
                <w:sz w:val="16"/>
              </w:rPr>
            </w:pPr>
            <w:r>
              <w:rPr>
                <w:b/>
                <w:color w:val="404040"/>
                <w:sz w:val="16"/>
              </w:rPr>
              <w:t>Backdating provisions for Carer Allowance</w:t>
            </w:r>
          </w:p>
          <w:p>
            <w:pPr>
              <w:pStyle w:val="TableParagraph"/>
              <w:spacing w:before="43"/>
              <w:ind w:left="122"/>
              <w:rPr>
                <w:sz w:val="16"/>
              </w:rPr>
            </w:pPr>
            <w:r>
              <w:rPr>
                <w:color w:val="404040"/>
                <w:sz w:val="16"/>
              </w:rPr>
              <w:t>Budget Savings (Omnibus) Act 2016</w:t>
            </w:r>
          </w:p>
        </w:tc>
        <w:tc>
          <w:tcPr>
            <w:tcW w:w="893" w:type="dxa"/>
            <w:tcBorders>
              <w:top w:val="single" w:sz="4" w:space="0" w:color="DF2F1E"/>
              <w:bottom w:val="single" w:sz="4" w:space="0" w:color="DF2F1E"/>
            </w:tcBorders>
          </w:tcPr>
          <w:p>
            <w:pPr>
              <w:pStyle w:val="TableParagraph"/>
              <w:ind w:left="123"/>
              <w:rPr>
                <w:sz w:val="16"/>
              </w:rPr>
            </w:pPr>
            <w:r>
              <w:rPr>
                <w:color w:val="404040"/>
                <w:sz w:val="16"/>
              </w:rPr>
              <w:t>2017</w:t>
            </w:r>
          </w:p>
        </w:tc>
        <w:tc>
          <w:tcPr>
            <w:tcW w:w="5719" w:type="dxa"/>
            <w:tcBorders>
              <w:top w:val="single" w:sz="4" w:space="0" w:color="DF2F1E"/>
              <w:bottom w:val="single" w:sz="4" w:space="0" w:color="DF2F1E"/>
            </w:tcBorders>
          </w:tcPr>
          <w:p>
            <w:pPr>
              <w:pStyle w:val="TableParagraph"/>
              <w:ind w:left="103" w:right="134"/>
              <w:rPr>
                <w:sz w:val="16"/>
              </w:rPr>
            </w:pPr>
            <w:r>
              <w:rPr>
                <w:color w:val="404040"/>
                <w:sz w:val="16"/>
              </w:rPr>
              <w:t>Changes the rules for backdating Carer Allowance to be in line with the rules for Carer Payment and other social security payments and concessions. Prior to this amendment Carer Allowance start date could be backdated earlier than the start date for Carer</w:t>
            </w:r>
            <w:r>
              <w:rPr>
                <w:color w:val="404040"/>
                <w:spacing w:val="-4"/>
                <w:sz w:val="16"/>
              </w:rPr>
              <w:t> </w:t>
            </w:r>
            <w:r>
              <w:rPr>
                <w:color w:val="404040"/>
                <w:sz w:val="16"/>
              </w:rPr>
              <w:t>Payment.</w:t>
            </w:r>
          </w:p>
        </w:tc>
      </w:tr>
      <w:tr>
        <w:trPr>
          <w:trHeight w:val="1000" w:hRule="atLeast"/>
        </w:trPr>
        <w:tc>
          <w:tcPr>
            <w:tcW w:w="3268" w:type="dxa"/>
            <w:tcBorders>
              <w:top w:val="single" w:sz="4" w:space="0" w:color="DF2F1E"/>
              <w:bottom w:val="single" w:sz="4" w:space="0" w:color="DF2F1E"/>
            </w:tcBorders>
          </w:tcPr>
          <w:p>
            <w:pPr>
              <w:pStyle w:val="TableParagraph"/>
              <w:spacing w:before="34"/>
              <w:ind w:left="122" w:right="298"/>
              <w:rPr>
                <w:b/>
                <w:sz w:val="16"/>
              </w:rPr>
            </w:pPr>
            <w:r>
              <w:rPr>
                <w:b/>
                <w:color w:val="404040"/>
                <w:sz w:val="16"/>
              </w:rPr>
              <w:t>Newly Arrived Residents - removal of exemptions</w:t>
            </w:r>
          </w:p>
          <w:p>
            <w:pPr>
              <w:pStyle w:val="TableParagraph"/>
              <w:spacing w:before="43"/>
              <w:ind w:left="122"/>
              <w:rPr>
                <w:sz w:val="16"/>
              </w:rPr>
            </w:pPr>
            <w:r>
              <w:rPr>
                <w:color w:val="404040"/>
                <w:sz w:val="16"/>
              </w:rPr>
              <w:t>Budget Savings (Omnibus) Act 2016</w:t>
            </w:r>
          </w:p>
        </w:tc>
        <w:tc>
          <w:tcPr>
            <w:tcW w:w="893" w:type="dxa"/>
            <w:tcBorders>
              <w:top w:val="single" w:sz="4" w:space="0" w:color="DF2F1E"/>
              <w:bottom w:val="single" w:sz="4" w:space="0" w:color="DF2F1E"/>
            </w:tcBorders>
          </w:tcPr>
          <w:p>
            <w:pPr>
              <w:pStyle w:val="TableParagraph"/>
              <w:ind w:left="123"/>
              <w:rPr>
                <w:sz w:val="16"/>
              </w:rPr>
            </w:pPr>
            <w:r>
              <w:rPr>
                <w:color w:val="404040"/>
                <w:sz w:val="16"/>
              </w:rPr>
              <w:t>2017</w:t>
            </w:r>
          </w:p>
        </w:tc>
        <w:tc>
          <w:tcPr>
            <w:tcW w:w="5719" w:type="dxa"/>
            <w:tcBorders>
              <w:top w:val="single" w:sz="4" w:space="0" w:color="DF2F1E"/>
              <w:bottom w:val="single" w:sz="4" w:space="0" w:color="DF2F1E"/>
            </w:tcBorders>
          </w:tcPr>
          <w:p>
            <w:pPr>
              <w:pStyle w:val="TableParagraph"/>
              <w:ind w:left="103" w:right="251"/>
              <w:rPr>
                <w:sz w:val="16"/>
              </w:rPr>
            </w:pPr>
            <w:r>
              <w:rPr>
                <w:color w:val="404040"/>
                <w:sz w:val="16"/>
              </w:rPr>
              <w:t>Removes the exemption from the 104 week waiting period for new migrants who are family members of Australian citizens or long-term permanent residents. This change aligns the social security waiting period for working age payment for all newly arrived migrants (except for refugees, former refugees and their family members).</w:t>
            </w:r>
          </w:p>
        </w:tc>
      </w:tr>
      <w:tr>
        <w:trPr>
          <w:trHeight w:val="856" w:hRule="atLeast"/>
        </w:trPr>
        <w:tc>
          <w:tcPr>
            <w:tcW w:w="3268" w:type="dxa"/>
            <w:tcBorders>
              <w:top w:val="single" w:sz="4" w:space="0" w:color="DF2F1E"/>
              <w:bottom w:val="single" w:sz="4" w:space="0" w:color="DF2F1E"/>
            </w:tcBorders>
          </w:tcPr>
          <w:p>
            <w:pPr>
              <w:pStyle w:val="TableParagraph"/>
              <w:spacing w:before="34"/>
              <w:ind w:left="122" w:right="698"/>
              <w:rPr>
                <w:b/>
                <w:sz w:val="16"/>
              </w:rPr>
            </w:pPr>
            <w:r>
              <w:rPr>
                <w:b/>
                <w:color w:val="404040"/>
                <w:sz w:val="16"/>
              </w:rPr>
              <w:t>Parental Leave Pay - Consistent treatment for income support assessment</w:t>
            </w:r>
          </w:p>
          <w:p>
            <w:pPr>
              <w:pStyle w:val="TableParagraph"/>
              <w:spacing w:before="41"/>
              <w:ind w:left="122"/>
              <w:rPr>
                <w:sz w:val="16"/>
              </w:rPr>
            </w:pPr>
            <w:r>
              <w:rPr>
                <w:color w:val="404040"/>
                <w:sz w:val="16"/>
              </w:rPr>
              <w:t>Budget Savings (Omnibus) Act 2016</w:t>
            </w:r>
          </w:p>
        </w:tc>
        <w:tc>
          <w:tcPr>
            <w:tcW w:w="893" w:type="dxa"/>
            <w:tcBorders>
              <w:top w:val="single" w:sz="4" w:space="0" w:color="DF2F1E"/>
              <w:bottom w:val="single" w:sz="4" w:space="0" w:color="DF2F1E"/>
            </w:tcBorders>
          </w:tcPr>
          <w:p>
            <w:pPr>
              <w:pStyle w:val="TableParagraph"/>
              <w:ind w:left="123"/>
              <w:rPr>
                <w:sz w:val="16"/>
              </w:rPr>
            </w:pPr>
            <w:r>
              <w:rPr>
                <w:color w:val="404040"/>
                <w:sz w:val="16"/>
              </w:rPr>
              <w:t>2017</w:t>
            </w:r>
          </w:p>
        </w:tc>
        <w:tc>
          <w:tcPr>
            <w:tcW w:w="5719" w:type="dxa"/>
            <w:tcBorders>
              <w:top w:val="single" w:sz="4" w:space="0" w:color="DF2F1E"/>
              <w:bottom w:val="single" w:sz="4" w:space="0" w:color="DF2F1E"/>
            </w:tcBorders>
          </w:tcPr>
          <w:p>
            <w:pPr>
              <w:pStyle w:val="TableParagraph"/>
              <w:ind w:left="103" w:right="197"/>
              <w:rPr>
                <w:sz w:val="16"/>
              </w:rPr>
            </w:pPr>
            <w:r>
              <w:rPr>
                <w:color w:val="404040"/>
                <w:sz w:val="16"/>
              </w:rPr>
              <w:t>Commonwealth Parental Leave Payments and Dad and Partner Pay payments under the Paid Parental Leave Act 2010 are now treated in the same way as employer</w:t>
            </w:r>
            <w:r>
              <w:rPr>
                <w:rFonts w:ascii="Cambria Math" w:hAnsi="Cambria Math"/>
                <w:color w:val="404040"/>
                <w:sz w:val="16"/>
              </w:rPr>
              <w:t>‑</w:t>
            </w:r>
            <w:r>
              <w:rPr>
                <w:color w:val="404040"/>
                <w:sz w:val="16"/>
              </w:rPr>
              <w:t>provided parental leave payments when determining eligibility for income support payments.</w:t>
            </w:r>
          </w:p>
        </w:tc>
      </w:tr>
      <w:tr>
        <w:trPr>
          <w:trHeight w:val="997" w:hRule="atLeast"/>
        </w:trPr>
        <w:tc>
          <w:tcPr>
            <w:tcW w:w="3268" w:type="dxa"/>
            <w:tcBorders>
              <w:top w:val="single" w:sz="4" w:space="0" w:color="DF2F1E"/>
              <w:bottom w:val="single" w:sz="4" w:space="0" w:color="DF2F1E"/>
            </w:tcBorders>
          </w:tcPr>
          <w:p>
            <w:pPr>
              <w:pStyle w:val="TableParagraph"/>
              <w:spacing w:before="34"/>
              <w:ind w:left="122" w:right="102"/>
              <w:rPr>
                <w:b/>
                <w:sz w:val="16"/>
              </w:rPr>
            </w:pPr>
            <w:r>
              <w:rPr>
                <w:b/>
                <w:color w:val="404040"/>
                <w:sz w:val="16"/>
              </w:rPr>
              <w:t>New treatments of Fringe Benefits for Family Assistance and Youth Payments purposes</w:t>
            </w:r>
          </w:p>
          <w:p>
            <w:pPr>
              <w:pStyle w:val="TableParagraph"/>
              <w:spacing w:before="41"/>
              <w:ind w:left="122"/>
              <w:rPr>
                <w:sz w:val="16"/>
              </w:rPr>
            </w:pPr>
            <w:r>
              <w:rPr>
                <w:color w:val="404040"/>
                <w:sz w:val="16"/>
              </w:rPr>
              <w:t>Budget Savings (Omnibus) Act 2016</w:t>
            </w:r>
          </w:p>
        </w:tc>
        <w:tc>
          <w:tcPr>
            <w:tcW w:w="893" w:type="dxa"/>
            <w:tcBorders>
              <w:top w:val="single" w:sz="4" w:space="0" w:color="DF2F1E"/>
              <w:bottom w:val="single" w:sz="4" w:space="0" w:color="DF2F1E"/>
            </w:tcBorders>
          </w:tcPr>
          <w:p>
            <w:pPr>
              <w:pStyle w:val="TableParagraph"/>
              <w:ind w:left="123"/>
              <w:rPr>
                <w:sz w:val="16"/>
              </w:rPr>
            </w:pPr>
            <w:r>
              <w:rPr>
                <w:color w:val="404040"/>
                <w:sz w:val="16"/>
              </w:rPr>
              <w:t>2017</w:t>
            </w:r>
          </w:p>
        </w:tc>
        <w:tc>
          <w:tcPr>
            <w:tcW w:w="5719" w:type="dxa"/>
            <w:tcBorders>
              <w:top w:val="single" w:sz="4" w:space="0" w:color="DF2F1E"/>
              <w:bottom w:val="single" w:sz="4" w:space="0" w:color="DF2F1E"/>
            </w:tcBorders>
          </w:tcPr>
          <w:p>
            <w:pPr>
              <w:pStyle w:val="TableParagraph"/>
              <w:ind w:left="103" w:right="268"/>
              <w:rPr>
                <w:sz w:val="16"/>
              </w:rPr>
            </w:pPr>
            <w:r>
              <w:rPr>
                <w:color w:val="404040"/>
                <w:sz w:val="16"/>
              </w:rPr>
              <w:t>This changes the way fringe benefits are treated under the income tests for family assistance and youth income support payments and for other related purposes. "Adjusted fringe benefits total" is now defined to be gross rather than adjusted net value of reportable fringe benefits. There are a few exceptions to this for people working in particular industries.</w:t>
            </w:r>
          </w:p>
        </w:tc>
      </w:tr>
      <w:tr>
        <w:trPr>
          <w:trHeight w:val="815" w:hRule="atLeast"/>
        </w:trPr>
        <w:tc>
          <w:tcPr>
            <w:tcW w:w="3268" w:type="dxa"/>
            <w:tcBorders>
              <w:top w:val="single" w:sz="4" w:space="0" w:color="DF2F1E"/>
              <w:bottom w:val="single" w:sz="4" w:space="0" w:color="DF2F1E"/>
            </w:tcBorders>
          </w:tcPr>
          <w:p>
            <w:pPr>
              <w:pStyle w:val="TableParagraph"/>
              <w:spacing w:before="34"/>
              <w:ind w:left="122"/>
              <w:rPr>
                <w:b/>
                <w:sz w:val="16"/>
              </w:rPr>
            </w:pPr>
            <w:r>
              <w:rPr>
                <w:b/>
                <w:color w:val="404040"/>
                <w:sz w:val="16"/>
              </w:rPr>
              <w:t>Age Pension - aligning means testing</w:t>
            </w:r>
          </w:p>
          <w:p>
            <w:pPr>
              <w:pStyle w:val="TableParagraph"/>
              <w:spacing w:before="42"/>
              <w:ind w:left="122"/>
              <w:rPr>
                <w:sz w:val="16"/>
              </w:rPr>
            </w:pPr>
            <w:r>
              <w:rPr>
                <w:color w:val="404040"/>
                <w:sz w:val="16"/>
              </w:rPr>
              <w:t>Budget Savings (Omnibus) Act 2016</w:t>
            </w:r>
          </w:p>
        </w:tc>
        <w:tc>
          <w:tcPr>
            <w:tcW w:w="893" w:type="dxa"/>
            <w:tcBorders>
              <w:top w:val="single" w:sz="4" w:space="0" w:color="DF2F1E"/>
              <w:bottom w:val="single" w:sz="4" w:space="0" w:color="DF2F1E"/>
            </w:tcBorders>
          </w:tcPr>
          <w:p>
            <w:pPr>
              <w:pStyle w:val="TableParagraph"/>
              <w:ind w:left="123"/>
              <w:rPr>
                <w:sz w:val="16"/>
              </w:rPr>
            </w:pPr>
            <w:r>
              <w:rPr>
                <w:color w:val="404040"/>
                <w:sz w:val="16"/>
              </w:rPr>
              <w:t>2017</w:t>
            </w:r>
          </w:p>
        </w:tc>
        <w:tc>
          <w:tcPr>
            <w:tcW w:w="5719" w:type="dxa"/>
            <w:tcBorders>
              <w:top w:val="single" w:sz="4" w:space="0" w:color="DF2F1E"/>
              <w:bottom w:val="single" w:sz="4" w:space="0" w:color="DF2F1E"/>
            </w:tcBorders>
          </w:tcPr>
          <w:p>
            <w:pPr>
              <w:pStyle w:val="TableParagraph"/>
              <w:ind w:left="103" w:right="170"/>
              <w:rPr>
                <w:sz w:val="16"/>
              </w:rPr>
            </w:pPr>
            <w:r>
              <w:rPr>
                <w:color w:val="404040"/>
                <w:sz w:val="16"/>
              </w:rPr>
              <w:t>From 1 Jan 2017 net rental income earned on the former principal residence of new entrants into residential aged care, is treated the same way under the pension income test as it is under the aged care means test, regardless of how the resident chooses to pay their accommodation costs.</w:t>
            </w:r>
          </w:p>
        </w:tc>
      </w:tr>
      <w:tr>
        <w:trPr>
          <w:trHeight w:val="1000" w:hRule="atLeast"/>
        </w:trPr>
        <w:tc>
          <w:tcPr>
            <w:tcW w:w="3268" w:type="dxa"/>
            <w:tcBorders>
              <w:top w:val="single" w:sz="4" w:space="0" w:color="DF2F1E"/>
              <w:bottom w:val="single" w:sz="4" w:space="0" w:color="DF2F1E"/>
            </w:tcBorders>
          </w:tcPr>
          <w:p>
            <w:pPr>
              <w:pStyle w:val="TableParagraph"/>
              <w:ind w:left="122" w:right="600"/>
              <w:rPr>
                <w:b/>
                <w:sz w:val="16"/>
              </w:rPr>
            </w:pPr>
            <w:r>
              <w:rPr>
                <w:b/>
                <w:color w:val="404040"/>
                <w:sz w:val="16"/>
              </w:rPr>
              <w:t>Extend existing freezes on family payments</w:t>
            </w:r>
          </w:p>
          <w:p>
            <w:pPr>
              <w:pStyle w:val="TableParagraph"/>
              <w:spacing w:before="40"/>
              <w:ind w:left="122"/>
              <w:rPr>
                <w:sz w:val="16"/>
              </w:rPr>
            </w:pPr>
            <w:r>
              <w:rPr>
                <w:color w:val="404040"/>
                <w:sz w:val="16"/>
              </w:rPr>
              <w:t>Budget Savings (Omnibus) Act 2016</w:t>
            </w:r>
          </w:p>
        </w:tc>
        <w:tc>
          <w:tcPr>
            <w:tcW w:w="893" w:type="dxa"/>
            <w:tcBorders>
              <w:top w:val="single" w:sz="4" w:space="0" w:color="DF2F1E"/>
              <w:bottom w:val="single" w:sz="4" w:space="0" w:color="DF2F1E"/>
            </w:tcBorders>
          </w:tcPr>
          <w:p>
            <w:pPr>
              <w:pStyle w:val="TableParagraph"/>
              <w:spacing w:before="39"/>
              <w:ind w:left="123"/>
              <w:rPr>
                <w:sz w:val="16"/>
              </w:rPr>
            </w:pPr>
            <w:r>
              <w:rPr>
                <w:color w:val="404040"/>
                <w:sz w:val="16"/>
              </w:rPr>
              <w:t>2017</w:t>
            </w:r>
          </w:p>
        </w:tc>
        <w:tc>
          <w:tcPr>
            <w:tcW w:w="5719" w:type="dxa"/>
            <w:tcBorders>
              <w:top w:val="single" w:sz="4" w:space="0" w:color="DF2F1E"/>
              <w:bottom w:val="single" w:sz="4" w:space="0" w:color="DF2F1E"/>
            </w:tcBorders>
          </w:tcPr>
          <w:p>
            <w:pPr>
              <w:pStyle w:val="TableParagraph"/>
              <w:spacing w:before="39"/>
              <w:ind w:left="103" w:right="216"/>
              <w:rPr>
                <w:sz w:val="16"/>
              </w:rPr>
            </w:pPr>
            <w:r>
              <w:rPr>
                <w:color w:val="404040"/>
                <w:sz w:val="16"/>
              </w:rPr>
              <w:t>Higher income free area (HIFA) for Family Tax Benefit (FTB) Part A and the primary earner income limit for FTB Part B are maintained for a further three years. Prevents indexation of income limits for FTB Part A, FTB Part B and Paid Parental Leave for the next three years (2017, 2018 and 2019). It is anticipated that there will be around 100,000 affected recipients.</w:t>
            </w:r>
          </w:p>
        </w:tc>
      </w:tr>
      <w:tr>
        <w:trPr>
          <w:trHeight w:val="1000" w:hRule="atLeast"/>
        </w:trPr>
        <w:tc>
          <w:tcPr>
            <w:tcW w:w="3268" w:type="dxa"/>
            <w:tcBorders>
              <w:top w:val="single" w:sz="4" w:space="0" w:color="DF2F1E"/>
              <w:bottom w:val="single" w:sz="4" w:space="0" w:color="DF2F1E"/>
            </w:tcBorders>
          </w:tcPr>
          <w:p>
            <w:pPr>
              <w:pStyle w:val="TableParagraph"/>
              <w:spacing w:before="34"/>
              <w:ind w:left="122"/>
              <w:rPr>
                <w:b/>
                <w:sz w:val="16"/>
              </w:rPr>
            </w:pPr>
            <w:r>
              <w:rPr>
                <w:b/>
                <w:color w:val="404040"/>
                <w:sz w:val="16"/>
              </w:rPr>
              <w:t>General interest charge to debts</w:t>
            </w:r>
          </w:p>
          <w:p>
            <w:pPr>
              <w:pStyle w:val="TableParagraph"/>
              <w:spacing w:before="42"/>
              <w:ind w:left="122"/>
              <w:rPr>
                <w:sz w:val="16"/>
              </w:rPr>
            </w:pPr>
            <w:r>
              <w:rPr>
                <w:color w:val="404040"/>
                <w:sz w:val="16"/>
              </w:rPr>
              <w:t>Budget Savings (Omnibus) Act 2016</w:t>
            </w:r>
          </w:p>
        </w:tc>
        <w:tc>
          <w:tcPr>
            <w:tcW w:w="893" w:type="dxa"/>
            <w:tcBorders>
              <w:top w:val="single" w:sz="4" w:space="0" w:color="DF2F1E"/>
              <w:bottom w:val="single" w:sz="4" w:space="0" w:color="DF2F1E"/>
            </w:tcBorders>
          </w:tcPr>
          <w:p>
            <w:pPr>
              <w:pStyle w:val="TableParagraph"/>
              <w:ind w:left="123"/>
              <w:rPr>
                <w:sz w:val="16"/>
              </w:rPr>
            </w:pPr>
            <w:r>
              <w:rPr>
                <w:color w:val="404040"/>
                <w:sz w:val="16"/>
              </w:rPr>
              <w:t>2017</w:t>
            </w:r>
          </w:p>
        </w:tc>
        <w:tc>
          <w:tcPr>
            <w:tcW w:w="5719" w:type="dxa"/>
            <w:tcBorders>
              <w:top w:val="single" w:sz="4" w:space="0" w:color="DF2F1E"/>
              <w:bottom w:val="single" w:sz="4" w:space="0" w:color="DF2F1E"/>
            </w:tcBorders>
          </w:tcPr>
          <w:p>
            <w:pPr>
              <w:pStyle w:val="TableParagraph"/>
              <w:ind w:left="103" w:right="207"/>
              <w:rPr>
                <w:sz w:val="16"/>
              </w:rPr>
            </w:pPr>
            <w:r>
              <w:rPr>
                <w:color w:val="404040"/>
                <w:sz w:val="16"/>
              </w:rPr>
              <w:t>Introduces a new interest charge scheme to former recipients of social welfare payments who have outstanding debts and have failed to enter into, or have not complied with, an acceptable repayment arrangement. The interest charge will apply to social security, family assistance (including child care), paid parental leave and student assistance debts.</w:t>
            </w:r>
          </w:p>
        </w:tc>
      </w:tr>
      <w:tr>
        <w:trPr>
          <w:trHeight w:val="815" w:hRule="atLeast"/>
        </w:trPr>
        <w:tc>
          <w:tcPr>
            <w:tcW w:w="3268" w:type="dxa"/>
            <w:tcBorders>
              <w:top w:val="single" w:sz="4" w:space="0" w:color="DF2F1E"/>
              <w:bottom w:val="single" w:sz="4" w:space="0" w:color="DF2F1E"/>
            </w:tcBorders>
          </w:tcPr>
          <w:p>
            <w:pPr>
              <w:pStyle w:val="TableParagraph"/>
              <w:spacing w:before="34"/>
              <w:ind w:left="122"/>
              <w:rPr>
                <w:b/>
                <w:sz w:val="16"/>
              </w:rPr>
            </w:pPr>
            <w:r>
              <w:rPr>
                <w:b/>
                <w:color w:val="404040"/>
                <w:sz w:val="16"/>
              </w:rPr>
              <w:t>Enhanced Welfare Integrity</w:t>
            </w:r>
          </w:p>
          <w:p>
            <w:pPr>
              <w:pStyle w:val="TableParagraph"/>
              <w:spacing w:before="42"/>
              <w:ind w:left="122"/>
              <w:rPr>
                <w:sz w:val="16"/>
              </w:rPr>
            </w:pPr>
            <w:r>
              <w:rPr>
                <w:color w:val="404040"/>
                <w:sz w:val="16"/>
              </w:rPr>
              <w:t>Budget Savings (Omnibus) Act 2016</w:t>
            </w:r>
          </w:p>
        </w:tc>
        <w:tc>
          <w:tcPr>
            <w:tcW w:w="893" w:type="dxa"/>
            <w:tcBorders>
              <w:top w:val="single" w:sz="4" w:space="0" w:color="DF2F1E"/>
              <w:bottom w:val="single" w:sz="4" w:space="0" w:color="DF2F1E"/>
            </w:tcBorders>
          </w:tcPr>
          <w:p>
            <w:pPr>
              <w:pStyle w:val="TableParagraph"/>
              <w:ind w:left="123"/>
              <w:rPr>
                <w:sz w:val="16"/>
              </w:rPr>
            </w:pPr>
            <w:r>
              <w:rPr>
                <w:color w:val="404040"/>
                <w:sz w:val="16"/>
              </w:rPr>
              <w:t>2017</w:t>
            </w:r>
          </w:p>
        </w:tc>
        <w:tc>
          <w:tcPr>
            <w:tcW w:w="5719" w:type="dxa"/>
            <w:tcBorders>
              <w:top w:val="single" w:sz="4" w:space="0" w:color="DF2F1E"/>
              <w:bottom w:val="single" w:sz="4" w:space="0" w:color="DF2F1E"/>
            </w:tcBorders>
          </w:tcPr>
          <w:p>
            <w:pPr>
              <w:pStyle w:val="TableParagraph"/>
              <w:ind w:left="103" w:right="482"/>
              <w:rPr>
                <w:sz w:val="16"/>
              </w:rPr>
            </w:pPr>
            <w:r>
              <w:rPr>
                <w:color w:val="404040"/>
                <w:sz w:val="16"/>
              </w:rPr>
              <w:t>Debt recovery - allows departure prohibition orders to prevent targeted debtors from leaving the country. Also removes the six-year limitation on recovery of welfare debts, in line with arrangements applied by other government agencies.</w:t>
            </w:r>
          </w:p>
        </w:tc>
      </w:tr>
      <w:tr>
        <w:trPr>
          <w:trHeight w:val="856" w:hRule="atLeast"/>
        </w:trPr>
        <w:tc>
          <w:tcPr>
            <w:tcW w:w="3268" w:type="dxa"/>
            <w:tcBorders>
              <w:top w:val="single" w:sz="4" w:space="0" w:color="DF2F1E"/>
              <w:bottom w:val="single" w:sz="4" w:space="0" w:color="DF2F1E"/>
            </w:tcBorders>
          </w:tcPr>
          <w:p>
            <w:pPr>
              <w:pStyle w:val="TableParagraph"/>
              <w:spacing w:before="34"/>
              <w:ind w:left="122"/>
              <w:rPr>
                <w:b/>
                <w:sz w:val="16"/>
              </w:rPr>
            </w:pPr>
            <w:r>
              <w:rPr>
                <w:b/>
                <w:color w:val="404040"/>
                <w:sz w:val="16"/>
              </w:rPr>
              <w:t>One-off Energy Assistance Payment</w:t>
            </w:r>
          </w:p>
          <w:p>
            <w:pPr>
              <w:pStyle w:val="TableParagraph"/>
              <w:spacing w:before="44"/>
              <w:ind w:left="122" w:right="155"/>
              <w:rPr>
                <w:sz w:val="16"/>
              </w:rPr>
            </w:pPr>
            <w:r>
              <w:rPr>
                <w:color w:val="404040"/>
                <w:sz w:val="16"/>
              </w:rPr>
              <w:t>Social Services Legislation Amendment (Energy Assistance Payment &amp; Pensioner Concession Card) Act 2017</w:t>
            </w:r>
          </w:p>
        </w:tc>
        <w:tc>
          <w:tcPr>
            <w:tcW w:w="893" w:type="dxa"/>
            <w:tcBorders>
              <w:top w:val="single" w:sz="4" w:space="0" w:color="DF2F1E"/>
              <w:bottom w:val="single" w:sz="4" w:space="0" w:color="DF2F1E"/>
            </w:tcBorders>
          </w:tcPr>
          <w:p>
            <w:pPr>
              <w:pStyle w:val="TableParagraph"/>
              <w:ind w:left="123"/>
              <w:rPr>
                <w:sz w:val="16"/>
              </w:rPr>
            </w:pPr>
            <w:r>
              <w:rPr>
                <w:color w:val="404040"/>
                <w:sz w:val="16"/>
              </w:rPr>
              <w:t>2017</w:t>
            </w:r>
          </w:p>
        </w:tc>
        <w:tc>
          <w:tcPr>
            <w:tcW w:w="5719" w:type="dxa"/>
            <w:tcBorders>
              <w:top w:val="single" w:sz="4" w:space="0" w:color="DF2F1E"/>
              <w:bottom w:val="single" w:sz="4" w:space="0" w:color="DF2F1E"/>
            </w:tcBorders>
          </w:tcPr>
          <w:p>
            <w:pPr>
              <w:pStyle w:val="TableParagraph"/>
              <w:ind w:left="103" w:right="526"/>
              <w:rPr>
                <w:sz w:val="16"/>
              </w:rPr>
            </w:pPr>
            <w:r>
              <w:rPr>
                <w:color w:val="404040"/>
                <w:sz w:val="16"/>
              </w:rPr>
              <w:t>A one-off energy assistance payment made to approximately 3.8 million people.</w:t>
            </w:r>
          </w:p>
        </w:tc>
      </w:tr>
      <w:tr>
        <w:trPr>
          <w:trHeight w:val="1182" w:hRule="atLeast"/>
        </w:trPr>
        <w:tc>
          <w:tcPr>
            <w:tcW w:w="3268" w:type="dxa"/>
            <w:tcBorders>
              <w:top w:val="single" w:sz="4" w:space="0" w:color="DF2F1E"/>
              <w:bottom w:val="single" w:sz="4" w:space="0" w:color="DF2F1E"/>
            </w:tcBorders>
          </w:tcPr>
          <w:p>
            <w:pPr>
              <w:pStyle w:val="TableParagraph"/>
              <w:spacing w:before="34"/>
              <w:ind w:left="122" w:right="307"/>
              <w:rPr>
                <w:b/>
                <w:sz w:val="16"/>
              </w:rPr>
            </w:pPr>
            <w:r>
              <w:rPr>
                <w:b/>
                <w:color w:val="404040"/>
                <w:sz w:val="16"/>
              </w:rPr>
              <w:t>Fee Cap for Grandparent Child Care Benefit (GCCB) or Special Child Care Benefit (SCCB)</w:t>
            </w:r>
          </w:p>
          <w:p>
            <w:pPr>
              <w:pStyle w:val="TableParagraph"/>
              <w:spacing w:before="43"/>
              <w:ind w:left="122" w:right="538"/>
              <w:rPr>
                <w:sz w:val="16"/>
              </w:rPr>
            </w:pPr>
            <w:r>
              <w:rPr>
                <w:color w:val="404040"/>
                <w:sz w:val="16"/>
              </w:rPr>
              <w:t>Child Care Benefit (Session of Care) Amendment Determination 2017</w:t>
            </w:r>
          </w:p>
        </w:tc>
        <w:tc>
          <w:tcPr>
            <w:tcW w:w="893" w:type="dxa"/>
            <w:tcBorders>
              <w:top w:val="single" w:sz="4" w:space="0" w:color="DF2F1E"/>
              <w:bottom w:val="single" w:sz="4" w:space="0" w:color="DF2F1E"/>
            </w:tcBorders>
          </w:tcPr>
          <w:p>
            <w:pPr>
              <w:pStyle w:val="TableParagraph"/>
              <w:ind w:left="123"/>
              <w:rPr>
                <w:sz w:val="16"/>
              </w:rPr>
            </w:pPr>
            <w:r>
              <w:rPr>
                <w:color w:val="404040"/>
                <w:sz w:val="16"/>
              </w:rPr>
              <w:t>2017</w:t>
            </w:r>
          </w:p>
        </w:tc>
        <w:tc>
          <w:tcPr>
            <w:tcW w:w="5719" w:type="dxa"/>
            <w:tcBorders>
              <w:top w:val="single" w:sz="4" w:space="0" w:color="DF2F1E"/>
              <w:bottom w:val="single" w:sz="4" w:space="0" w:color="DF2F1E"/>
            </w:tcBorders>
          </w:tcPr>
          <w:p>
            <w:pPr>
              <w:pStyle w:val="TableParagraph"/>
              <w:ind w:left="103" w:right="163"/>
              <w:rPr>
                <w:sz w:val="16"/>
              </w:rPr>
            </w:pPr>
            <w:r>
              <w:rPr>
                <w:color w:val="404040"/>
                <w:sz w:val="16"/>
              </w:rPr>
              <w:t>Child care provided by an approved Family Day Care service is no longer a 'session of care' for Grandparent Child Care Benefit (GCCB) or Special Child Care Benefit (SCCB) purposes where reported fees involve amounts for which no individual has incurred a genuine liability, or the reported fees exceed a maximum amount of $12.67 per hour (indexed to $12.84 on 1 July 2017).</w:t>
            </w:r>
          </w:p>
        </w:tc>
      </w:tr>
      <w:tr>
        <w:trPr>
          <w:trHeight w:val="856" w:hRule="atLeast"/>
        </w:trPr>
        <w:tc>
          <w:tcPr>
            <w:tcW w:w="3268" w:type="dxa"/>
            <w:tcBorders>
              <w:top w:val="single" w:sz="4" w:space="0" w:color="DF2F1E"/>
              <w:bottom w:val="single" w:sz="4" w:space="0" w:color="DF2F1E"/>
            </w:tcBorders>
          </w:tcPr>
          <w:p>
            <w:pPr>
              <w:pStyle w:val="TableParagraph"/>
              <w:ind w:left="122"/>
              <w:rPr>
                <w:b/>
                <w:sz w:val="16"/>
              </w:rPr>
            </w:pPr>
            <w:r>
              <w:rPr>
                <w:b/>
                <w:color w:val="404040"/>
                <w:sz w:val="16"/>
              </w:rPr>
              <w:t>Age Limit for Child Care Benefit</w:t>
            </w:r>
          </w:p>
          <w:p>
            <w:pPr>
              <w:pStyle w:val="TableParagraph"/>
              <w:spacing w:before="41"/>
              <w:ind w:left="122" w:right="217"/>
              <w:rPr>
                <w:sz w:val="16"/>
              </w:rPr>
            </w:pPr>
            <w:r>
              <w:rPr>
                <w:color w:val="404040"/>
                <w:sz w:val="16"/>
              </w:rPr>
              <w:t>Child Care Benefit (Children in respect of whom no-one is eligible) Amendment Determination 2017</w:t>
            </w:r>
          </w:p>
        </w:tc>
        <w:tc>
          <w:tcPr>
            <w:tcW w:w="893" w:type="dxa"/>
            <w:tcBorders>
              <w:top w:val="single" w:sz="4" w:space="0" w:color="DF2F1E"/>
              <w:bottom w:val="single" w:sz="4" w:space="0" w:color="DF2F1E"/>
            </w:tcBorders>
          </w:tcPr>
          <w:p>
            <w:pPr>
              <w:pStyle w:val="TableParagraph"/>
              <w:spacing w:before="39"/>
              <w:ind w:left="123"/>
              <w:rPr>
                <w:sz w:val="16"/>
              </w:rPr>
            </w:pPr>
            <w:r>
              <w:rPr>
                <w:color w:val="404040"/>
                <w:sz w:val="16"/>
              </w:rPr>
              <w:t>2017</w:t>
            </w:r>
          </w:p>
        </w:tc>
        <w:tc>
          <w:tcPr>
            <w:tcW w:w="5719" w:type="dxa"/>
            <w:tcBorders>
              <w:top w:val="single" w:sz="4" w:space="0" w:color="DF2F1E"/>
              <w:bottom w:val="single" w:sz="4" w:space="0" w:color="DF2F1E"/>
            </w:tcBorders>
          </w:tcPr>
          <w:p>
            <w:pPr>
              <w:pStyle w:val="TableParagraph"/>
              <w:spacing w:before="39"/>
              <w:ind w:left="103" w:right="233"/>
              <w:rPr>
                <w:sz w:val="16"/>
              </w:rPr>
            </w:pPr>
            <w:r>
              <w:rPr>
                <w:color w:val="404040"/>
                <w:sz w:val="16"/>
              </w:rPr>
              <w:t>Introduces restriction so that no one is eligible for child care fee assistance for Family Day Care provided to either an individual who has turned 18; or a child aged 14 years or older, or who attends secondary school, unless specific circumstances apply.</w:t>
            </w:r>
          </w:p>
        </w:tc>
      </w:tr>
    </w:tbl>
    <w:p>
      <w:pPr>
        <w:spacing w:after="0"/>
        <w:rPr>
          <w:sz w:val="16"/>
        </w:rPr>
        <w:sectPr>
          <w:headerReference w:type="default" r:id="rId249"/>
          <w:footerReference w:type="default" r:id="rId250"/>
          <w:pgSz w:w="11910" w:h="16850"/>
          <w:pgMar w:header="572" w:footer="581" w:top="780" w:bottom="780" w:left="120" w:right="0"/>
        </w:sectPr>
      </w:pPr>
    </w:p>
    <w:p>
      <w:pPr>
        <w:pStyle w:val="BodyText"/>
        <w:rPr>
          <w:b/>
        </w:rPr>
      </w:pPr>
    </w:p>
    <w:p>
      <w:pPr>
        <w:pStyle w:val="BodyText"/>
        <w:rPr>
          <w:b/>
        </w:rPr>
      </w:pPr>
    </w:p>
    <w:p>
      <w:pPr>
        <w:pStyle w:val="BodyText"/>
        <w:rPr>
          <w:b/>
        </w:rPr>
      </w:pPr>
    </w:p>
    <w:p>
      <w:pPr>
        <w:pStyle w:val="BodyText"/>
        <w:spacing w:before="9"/>
        <w:rPr>
          <w:b/>
          <w:sz w:val="10"/>
        </w:rPr>
      </w:pPr>
    </w:p>
    <w:tbl>
      <w:tblPr>
        <w:tblW w:w="0" w:type="auto"/>
        <w:jc w:val="left"/>
        <w:tblInd w:w="8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82"/>
        <w:gridCol w:w="878"/>
        <w:gridCol w:w="5718"/>
      </w:tblGrid>
      <w:tr>
        <w:trPr>
          <w:trHeight w:val="640" w:hRule="atLeast"/>
        </w:trPr>
        <w:tc>
          <w:tcPr>
            <w:tcW w:w="3282" w:type="dxa"/>
            <w:shd w:val="clear" w:color="auto" w:fill="DF2F1E"/>
          </w:tcPr>
          <w:p>
            <w:pPr>
              <w:pStyle w:val="TableParagraph"/>
              <w:spacing w:before="34"/>
              <w:ind w:left="122"/>
              <w:rPr>
                <w:b/>
                <w:sz w:val="16"/>
              </w:rPr>
            </w:pPr>
            <w:r>
              <w:rPr>
                <w:b/>
                <w:color w:val="FFFFFF"/>
                <w:sz w:val="16"/>
              </w:rPr>
              <w:t>Amendment</w:t>
            </w:r>
          </w:p>
        </w:tc>
        <w:tc>
          <w:tcPr>
            <w:tcW w:w="878" w:type="dxa"/>
            <w:shd w:val="clear" w:color="auto" w:fill="DF2F1E"/>
          </w:tcPr>
          <w:p>
            <w:pPr>
              <w:pStyle w:val="TableParagraph"/>
              <w:spacing w:before="34"/>
              <w:ind w:left="109" w:right="82"/>
              <w:rPr>
                <w:b/>
                <w:sz w:val="16"/>
              </w:rPr>
            </w:pPr>
            <w:r>
              <w:rPr>
                <w:b/>
                <w:color w:val="FFFFFF"/>
                <w:sz w:val="16"/>
              </w:rPr>
              <w:t>Year Effective</w:t>
            </w:r>
          </w:p>
        </w:tc>
        <w:tc>
          <w:tcPr>
            <w:tcW w:w="5718" w:type="dxa"/>
            <w:shd w:val="clear" w:color="auto" w:fill="DF2F1E"/>
          </w:tcPr>
          <w:p>
            <w:pPr>
              <w:pStyle w:val="TableParagraph"/>
              <w:spacing w:before="34"/>
              <w:ind w:left="104"/>
              <w:rPr>
                <w:b/>
                <w:sz w:val="16"/>
              </w:rPr>
            </w:pPr>
            <w:r>
              <w:rPr>
                <w:b/>
                <w:color w:val="FFFFFF"/>
                <w:sz w:val="16"/>
              </w:rPr>
              <w:t>Description</w:t>
            </w:r>
          </w:p>
        </w:tc>
      </w:tr>
      <w:tr>
        <w:trPr>
          <w:trHeight w:val="1552" w:hRule="atLeast"/>
        </w:trPr>
        <w:tc>
          <w:tcPr>
            <w:tcW w:w="3282" w:type="dxa"/>
            <w:tcBorders>
              <w:bottom w:val="single" w:sz="4" w:space="0" w:color="DF2F1E"/>
            </w:tcBorders>
          </w:tcPr>
          <w:p>
            <w:pPr>
              <w:pStyle w:val="TableParagraph"/>
              <w:spacing w:before="34"/>
              <w:ind w:left="122" w:right="161"/>
              <w:rPr>
                <w:b/>
                <w:sz w:val="16"/>
              </w:rPr>
            </w:pPr>
            <w:r>
              <w:rPr>
                <w:b/>
                <w:color w:val="404040"/>
                <w:sz w:val="16"/>
              </w:rPr>
              <w:t>Parental Income Test and family pool arrangements for Youth Allowance and ABSTUDY</w:t>
            </w:r>
          </w:p>
          <w:p>
            <w:pPr>
              <w:pStyle w:val="TableParagraph"/>
              <w:spacing w:before="44"/>
              <w:ind w:left="122" w:right="134"/>
              <w:rPr>
                <w:sz w:val="16"/>
              </w:rPr>
            </w:pPr>
            <w:r>
              <w:rPr>
                <w:color w:val="404040"/>
                <w:sz w:val="16"/>
              </w:rPr>
              <w:t>Social Services Legislation Amendment (More Generous Means Testing For Youth Payments) Act 2015</w:t>
            </w:r>
          </w:p>
        </w:tc>
        <w:tc>
          <w:tcPr>
            <w:tcW w:w="878" w:type="dxa"/>
            <w:tcBorders>
              <w:bottom w:val="single" w:sz="4" w:space="0" w:color="DF2F1E"/>
            </w:tcBorders>
          </w:tcPr>
          <w:p>
            <w:pPr>
              <w:pStyle w:val="TableParagraph"/>
              <w:ind w:left="109"/>
              <w:rPr>
                <w:sz w:val="16"/>
              </w:rPr>
            </w:pPr>
            <w:r>
              <w:rPr>
                <w:color w:val="404040"/>
                <w:sz w:val="16"/>
              </w:rPr>
              <w:t>2017</w:t>
            </w:r>
          </w:p>
        </w:tc>
        <w:tc>
          <w:tcPr>
            <w:tcW w:w="5718" w:type="dxa"/>
            <w:tcBorders>
              <w:bottom w:val="single" w:sz="4" w:space="0" w:color="DF2F1E"/>
            </w:tcBorders>
          </w:tcPr>
          <w:p>
            <w:pPr>
              <w:pStyle w:val="TableParagraph"/>
              <w:ind w:left="104" w:right="142"/>
              <w:rPr>
                <w:sz w:val="16"/>
              </w:rPr>
            </w:pPr>
            <w:r>
              <w:rPr>
                <w:color w:val="404040"/>
                <w:sz w:val="16"/>
              </w:rPr>
              <w:t>Parental Income Test and family pool arrangements for Youth Allowance and ABSTUDY will take into account all dependent siblings in the family aged 0- 19, who meet the definition of a Family Tax Benefit child. Around 13,700 families with dependent children in both the Family Tax Benefit Part A and youth systems will be eligible for an average increase in payment of $43 per fortnight ($1,118 per annum). Around 5,800 families, who currently miss out on payments due to the higher taper rates, will be eligible for an average payment of around $50 per fortnight ($1,300 per annum).</w:t>
            </w:r>
          </w:p>
        </w:tc>
      </w:tr>
      <w:tr>
        <w:trPr>
          <w:trHeight w:val="856" w:hRule="atLeast"/>
        </w:trPr>
        <w:tc>
          <w:tcPr>
            <w:tcW w:w="3282" w:type="dxa"/>
            <w:tcBorders>
              <w:top w:val="single" w:sz="4" w:space="0" w:color="DF2F1E"/>
              <w:bottom w:val="single" w:sz="4" w:space="0" w:color="DF2F1E"/>
            </w:tcBorders>
          </w:tcPr>
          <w:p>
            <w:pPr>
              <w:pStyle w:val="TableParagraph"/>
              <w:spacing w:before="34"/>
              <w:ind w:left="122"/>
              <w:rPr>
                <w:b/>
                <w:sz w:val="16"/>
              </w:rPr>
            </w:pPr>
            <w:r>
              <w:rPr>
                <w:b/>
                <w:color w:val="404040"/>
                <w:sz w:val="16"/>
              </w:rPr>
              <w:t>Qualifying age for the Age Pension</w:t>
            </w:r>
          </w:p>
          <w:p>
            <w:pPr>
              <w:pStyle w:val="TableParagraph"/>
              <w:spacing w:before="44"/>
              <w:ind w:left="122" w:right="276"/>
              <w:rPr>
                <w:sz w:val="16"/>
              </w:rPr>
            </w:pPr>
            <w:r>
              <w:rPr>
                <w:color w:val="404040"/>
                <w:sz w:val="16"/>
              </w:rPr>
              <w:t>Social Security and Other Legislation Amendment (Pension Reform and Other 2009 Budget Measures)</w:t>
            </w:r>
          </w:p>
        </w:tc>
        <w:tc>
          <w:tcPr>
            <w:tcW w:w="878" w:type="dxa"/>
            <w:tcBorders>
              <w:top w:val="single" w:sz="4" w:space="0" w:color="DF2F1E"/>
              <w:bottom w:val="single" w:sz="4" w:space="0" w:color="DF2F1E"/>
            </w:tcBorders>
          </w:tcPr>
          <w:p>
            <w:pPr>
              <w:pStyle w:val="TableParagraph"/>
              <w:ind w:left="109"/>
              <w:rPr>
                <w:sz w:val="16"/>
              </w:rPr>
            </w:pPr>
            <w:r>
              <w:rPr>
                <w:color w:val="404040"/>
                <w:sz w:val="16"/>
              </w:rPr>
              <w:t>2018</w:t>
            </w:r>
          </w:p>
        </w:tc>
        <w:tc>
          <w:tcPr>
            <w:tcW w:w="5718" w:type="dxa"/>
            <w:tcBorders>
              <w:top w:val="single" w:sz="4" w:space="0" w:color="DF2F1E"/>
              <w:bottom w:val="single" w:sz="4" w:space="0" w:color="DF2F1E"/>
            </w:tcBorders>
          </w:tcPr>
          <w:p>
            <w:pPr>
              <w:pStyle w:val="TableParagraph"/>
              <w:ind w:left="104" w:right="124"/>
              <w:rPr>
                <w:sz w:val="16"/>
              </w:rPr>
            </w:pPr>
            <w:r>
              <w:rPr>
                <w:color w:val="404040"/>
                <w:sz w:val="16"/>
              </w:rPr>
              <w:t>The Age Pension age will be increased from age 65 to age 67, at a rate of six months every two years, beginning in 2017.</w:t>
            </w:r>
          </w:p>
        </w:tc>
      </w:tr>
      <w:tr>
        <w:trPr>
          <w:trHeight w:val="1182" w:hRule="atLeast"/>
        </w:trPr>
        <w:tc>
          <w:tcPr>
            <w:tcW w:w="3282" w:type="dxa"/>
            <w:tcBorders>
              <w:top w:val="single" w:sz="4" w:space="0" w:color="DF2F1E"/>
              <w:bottom w:val="single" w:sz="4" w:space="0" w:color="DF2F1E"/>
            </w:tcBorders>
          </w:tcPr>
          <w:p>
            <w:pPr>
              <w:pStyle w:val="TableParagraph"/>
              <w:spacing w:before="34"/>
              <w:ind w:left="122" w:right="1024"/>
              <w:rPr>
                <w:b/>
                <w:sz w:val="16"/>
              </w:rPr>
            </w:pPr>
            <w:r>
              <w:rPr>
                <w:b/>
                <w:color w:val="404040"/>
                <w:sz w:val="16"/>
              </w:rPr>
              <w:t>Income Limit for FTB Part A Supplement</w:t>
            </w:r>
          </w:p>
          <w:p>
            <w:pPr>
              <w:pStyle w:val="TableParagraph"/>
              <w:spacing w:before="43"/>
              <w:ind w:left="122"/>
              <w:rPr>
                <w:sz w:val="16"/>
              </w:rPr>
            </w:pPr>
            <w:r>
              <w:rPr>
                <w:color w:val="404040"/>
                <w:sz w:val="16"/>
              </w:rPr>
              <w:t>Budget Savings (Omnibus) Act 2016</w:t>
            </w:r>
          </w:p>
        </w:tc>
        <w:tc>
          <w:tcPr>
            <w:tcW w:w="878" w:type="dxa"/>
            <w:tcBorders>
              <w:top w:val="single" w:sz="4" w:space="0" w:color="DF2F1E"/>
              <w:bottom w:val="single" w:sz="4" w:space="0" w:color="DF2F1E"/>
            </w:tcBorders>
          </w:tcPr>
          <w:p>
            <w:pPr>
              <w:pStyle w:val="TableParagraph"/>
              <w:ind w:left="109"/>
              <w:rPr>
                <w:sz w:val="16"/>
              </w:rPr>
            </w:pPr>
            <w:r>
              <w:rPr>
                <w:color w:val="404040"/>
                <w:sz w:val="16"/>
              </w:rPr>
              <w:t>2018</w:t>
            </w:r>
          </w:p>
        </w:tc>
        <w:tc>
          <w:tcPr>
            <w:tcW w:w="5718" w:type="dxa"/>
            <w:tcBorders>
              <w:top w:val="single" w:sz="4" w:space="0" w:color="DF2F1E"/>
              <w:bottom w:val="single" w:sz="4" w:space="0" w:color="DF2F1E"/>
            </w:tcBorders>
          </w:tcPr>
          <w:p>
            <w:pPr>
              <w:pStyle w:val="TableParagraph"/>
              <w:ind w:left="104" w:right="231"/>
              <w:rPr>
                <w:sz w:val="16"/>
              </w:rPr>
            </w:pPr>
            <w:r>
              <w:rPr>
                <w:color w:val="404040"/>
                <w:sz w:val="16"/>
              </w:rPr>
              <w:t>Introduces an income limit of $80,000 on payment of the Family Tax Benefit (FTB) Part A supplement, commencing from the 2016-17 income year. If an individual’s adjusted taxable income (which includes the adjusted taxable income of their partner if any) is more than $80,000 for the relevant income year, then the individual’s FTB Part A supplement in relation to that year will be nil.</w:t>
            </w:r>
          </w:p>
        </w:tc>
      </w:tr>
      <w:tr>
        <w:trPr>
          <w:trHeight w:val="633" w:hRule="atLeast"/>
        </w:trPr>
        <w:tc>
          <w:tcPr>
            <w:tcW w:w="3282" w:type="dxa"/>
            <w:tcBorders>
              <w:top w:val="single" w:sz="4" w:space="0" w:color="DF2F1E"/>
              <w:bottom w:val="single" w:sz="4" w:space="0" w:color="DF2F1E"/>
            </w:tcBorders>
          </w:tcPr>
          <w:p>
            <w:pPr>
              <w:pStyle w:val="TableParagraph"/>
              <w:spacing w:before="34"/>
              <w:ind w:left="122"/>
              <w:rPr>
                <w:b/>
                <w:sz w:val="16"/>
              </w:rPr>
            </w:pPr>
            <w:r>
              <w:rPr>
                <w:b/>
                <w:color w:val="404040"/>
                <w:sz w:val="16"/>
              </w:rPr>
              <w:t>Closing Carbon Tax Compensation</w:t>
            </w:r>
          </w:p>
          <w:p>
            <w:pPr>
              <w:pStyle w:val="TableParagraph"/>
              <w:spacing w:before="42"/>
              <w:ind w:left="122"/>
              <w:rPr>
                <w:sz w:val="16"/>
              </w:rPr>
            </w:pPr>
            <w:r>
              <w:rPr>
                <w:color w:val="404040"/>
                <w:sz w:val="16"/>
              </w:rPr>
              <w:t>Budget Savings (Omnibus) Act 2016</w:t>
            </w:r>
          </w:p>
        </w:tc>
        <w:tc>
          <w:tcPr>
            <w:tcW w:w="878" w:type="dxa"/>
            <w:tcBorders>
              <w:top w:val="single" w:sz="4" w:space="0" w:color="DF2F1E"/>
              <w:bottom w:val="single" w:sz="4" w:space="0" w:color="DF2F1E"/>
            </w:tcBorders>
          </w:tcPr>
          <w:p>
            <w:pPr>
              <w:pStyle w:val="TableParagraph"/>
              <w:ind w:left="109"/>
              <w:rPr>
                <w:sz w:val="16"/>
              </w:rPr>
            </w:pPr>
            <w:r>
              <w:rPr>
                <w:color w:val="404040"/>
                <w:sz w:val="16"/>
              </w:rPr>
              <w:t>2018</w:t>
            </w:r>
          </w:p>
        </w:tc>
        <w:tc>
          <w:tcPr>
            <w:tcW w:w="5718" w:type="dxa"/>
            <w:tcBorders>
              <w:top w:val="single" w:sz="4" w:space="0" w:color="DF2F1E"/>
              <w:bottom w:val="single" w:sz="4" w:space="0" w:color="DF2F1E"/>
            </w:tcBorders>
          </w:tcPr>
          <w:p>
            <w:pPr>
              <w:pStyle w:val="TableParagraph"/>
              <w:ind w:left="104" w:right="231"/>
              <w:rPr>
                <w:sz w:val="16"/>
              </w:rPr>
            </w:pPr>
            <w:r>
              <w:rPr>
                <w:color w:val="404040"/>
                <w:sz w:val="16"/>
              </w:rPr>
              <w:t>From 1 July 2017, the single income family supplement will not be paid to new recipients from 1 July 2017. Existing recipients may continue to receive the supplement if they remain eligible.</w:t>
            </w:r>
          </w:p>
        </w:tc>
      </w:tr>
      <w:tr>
        <w:trPr>
          <w:trHeight w:val="815" w:hRule="atLeast"/>
        </w:trPr>
        <w:tc>
          <w:tcPr>
            <w:tcW w:w="3282" w:type="dxa"/>
            <w:tcBorders>
              <w:top w:val="single" w:sz="4" w:space="0" w:color="DF2F1E"/>
              <w:bottom w:val="single" w:sz="4" w:space="0" w:color="DF2F1E"/>
            </w:tcBorders>
          </w:tcPr>
          <w:p>
            <w:pPr>
              <w:pStyle w:val="TableParagraph"/>
              <w:spacing w:before="34"/>
              <w:ind w:left="122" w:right="463"/>
              <w:rPr>
                <w:b/>
                <w:sz w:val="16"/>
              </w:rPr>
            </w:pPr>
            <w:r>
              <w:rPr>
                <w:b/>
                <w:color w:val="404040"/>
                <w:sz w:val="16"/>
              </w:rPr>
              <w:t>Remove grandfathering for Student Start-Up Scholarships</w:t>
            </w:r>
          </w:p>
          <w:p>
            <w:pPr>
              <w:pStyle w:val="TableParagraph"/>
              <w:spacing w:before="40"/>
              <w:ind w:left="122"/>
              <w:rPr>
                <w:sz w:val="16"/>
              </w:rPr>
            </w:pPr>
            <w:r>
              <w:rPr>
                <w:color w:val="404040"/>
                <w:sz w:val="16"/>
              </w:rPr>
              <w:t>Budget Savings (Omnibus) Act 2016</w:t>
            </w:r>
          </w:p>
        </w:tc>
        <w:tc>
          <w:tcPr>
            <w:tcW w:w="878" w:type="dxa"/>
            <w:tcBorders>
              <w:top w:val="single" w:sz="4" w:space="0" w:color="DF2F1E"/>
              <w:bottom w:val="single" w:sz="4" w:space="0" w:color="DF2F1E"/>
            </w:tcBorders>
          </w:tcPr>
          <w:p>
            <w:pPr>
              <w:pStyle w:val="TableParagraph"/>
              <w:ind w:left="109"/>
              <w:rPr>
                <w:sz w:val="16"/>
              </w:rPr>
            </w:pPr>
            <w:r>
              <w:rPr>
                <w:color w:val="404040"/>
                <w:sz w:val="16"/>
              </w:rPr>
              <w:t>2018</w:t>
            </w:r>
          </w:p>
        </w:tc>
        <w:tc>
          <w:tcPr>
            <w:tcW w:w="5718" w:type="dxa"/>
            <w:tcBorders>
              <w:top w:val="single" w:sz="4" w:space="0" w:color="DF2F1E"/>
              <w:bottom w:val="single" w:sz="4" w:space="0" w:color="DF2F1E"/>
            </w:tcBorders>
          </w:tcPr>
          <w:p>
            <w:pPr>
              <w:pStyle w:val="TableParagraph"/>
              <w:ind w:left="104" w:right="195"/>
              <w:rPr>
                <w:sz w:val="16"/>
              </w:rPr>
            </w:pPr>
            <w:r>
              <w:rPr>
                <w:color w:val="404040"/>
                <w:sz w:val="16"/>
              </w:rPr>
              <w:t>This bill closes the Student Start-up Scholarship for all existing recipients of the scholarship. Current recipients of the Student Start-up Scholarship payment may be qualified for a Student Start-up Loan or ABSTUDY Start-up Loan after the commencement of this change.</w:t>
            </w:r>
          </w:p>
        </w:tc>
      </w:tr>
      <w:tr>
        <w:trPr>
          <w:trHeight w:val="1038" w:hRule="atLeast"/>
        </w:trPr>
        <w:tc>
          <w:tcPr>
            <w:tcW w:w="3282" w:type="dxa"/>
            <w:tcBorders>
              <w:top w:val="single" w:sz="4" w:space="0" w:color="DF2F1E"/>
              <w:bottom w:val="single" w:sz="4" w:space="0" w:color="DF2F1E"/>
            </w:tcBorders>
          </w:tcPr>
          <w:p>
            <w:pPr>
              <w:pStyle w:val="TableParagraph"/>
              <w:spacing w:before="34"/>
              <w:ind w:left="122" w:right="116"/>
              <w:rPr>
                <w:b/>
                <w:sz w:val="16"/>
              </w:rPr>
            </w:pPr>
            <w:r>
              <w:rPr>
                <w:b/>
                <w:color w:val="404040"/>
                <w:sz w:val="16"/>
              </w:rPr>
              <w:t>Indexation maintain at level for three years the income free areas for working age</w:t>
            </w:r>
          </w:p>
          <w:p>
            <w:pPr>
              <w:pStyle w:val="TableParagraph"/>
              <w:spacing w:before="43"/>
              <w:ind w:left="122" w:right="329"/>
              <w:rPr>
                <w:sz w:val="16"/>
              </w:rPr>
            </w:pPr>
            <w:r>
              <w:rPr>
                <w:color w:val="404040"/>
                <w:sz w:val="16"/>
              </w:rPr>
              <w:t>Social Services Legislation Amendment Act 2017</w:t>
            </w:r>
          </w:p>
        </w:tc>
        <w:tc>
          <w:tcPr>
            <w:tcW w:w="878" w:type="dxa"/>
            <w:tcBorders>
              <w:top w:val="single" w:sz="4" w:space="0" w:color="DF2F1E"/>
              <w:bottom w:val="single" w:sz="4" w:space="0" w:color="DF2F1E"/>
            </w:tcBorders>
          </w:tcPr>
          <w:p>
            <w:pPr>
              <w:pStyle w:val="TableParagraph"/>
              <w:ind w:left="109"/>
              <w:rPr>
                <w:sz w:val="16"/>
              </w:rPr>
            </w:pPr>
            <w:r>
              <w:rPr>
                <w:color w:val="404040"/>
                <w:sz w:val="16"/>
              </w:rPr>
              <w:t>2018</w:t>
            </w:r>
          </w:p>
        </w:tc>
        <w:tc>
          <w:tcPr>
            <w:tcW w:w="5718" w:type="dxa"/>
            <w:tcBorders>
              <w:top w:val="single" w:sz="4" w:space="0" w:color="DF2F1E"/>
              <w:bottom w:val="single" w:sz="4" w:space="0" w:color="DF2F1E"/>
            </w:tcBorders>
          </w:tcPr>
          <w:p>
            <w:pPr>
              <w:pStyle w:val="TableParagraph"/>
              <w:ind w:left="104" w:right="141"/>
              <w:rPr>
                <w:sz w:val="16"/>
              </w:rPr>
            </w:pPr>
            <w:r>
              <w:rPr>
                <w:color w:val="404040"/>
                <w:sz w:val="16"/>
              </w:rPr>
              <w:t>Maintain at level for three years, the income free areas for all working age allowances (other than student payments) and for Parenting Payment Single.</w:t>
            </w:r>
          </w:p>
        </w:tc>
      </w:tr>
      <w:tr>
        <w:trPr>
          <w:trHeight w:val="1041" w:hRule="atLeast"/>
        </w:trPr>
        <w:tc>
          <w:tcPr>
            <w:tcW w:w="3282" w:type="dxa"/>
            <w:tcBorders>
              <w:top w:val="single" w:sz="4" w:space="0" w:color="DF2F1E"/>
              <w:bottom w:val="single" w:sz="4" w:space="0" w:color="DF2F1E"/>
            </w:tcBorders>
          </w:tcPr>
          <w:p>
            <w:pPr>
              <w:pStyle w:val="TableParagraph"/>
              <w:spacing w:before="34"/>
              <w:ind w:left="122" w:right="152"/>
              <w:rPr>
                <w:b/>
                <w:sz w:val="16"/>
              </w:rPr>
            </w:pPr>
            <w:r>
              <w:rPr>
                <w:b/>
                <w:color w:val="404040"/>
                <w:sz w:val="16"/>
              </w:rPr>
              <w:t>Indexation maintain at level for three years the income free areas for student payments</w:t>
            </w:r>
          </w:p>
          <w:p>
            <w:pPr>
              <w:pStyle w:val="TableParagraph"/>
              <w:spacing w:before="43"/>
              <w:ind w:left="122" w:right="329"/>
              <w:rPr>
                <w:sz w:val="16"/>
              </w:rPr>
            </w:pPr>
            <w:r>
              <w:rPr>
                <w:color w:val="404040"/>
                <w:sz w:val="16"/>
              </w:rPr>
              <w:t>Social Services Legislation Amendment Act 2017</w:t>
            </w:r>
          </w:p>
        </w:tc>
        <w:tc>
          <w:tcPr>
            <w:tcW w:w="878" w:type="dxa"/>
            <w:tcBorders>
              <w:top w:val="single" w:sz="4" w:space="0" w:color="DF2F1E"/>
              <w:bottom w:val="single" w:sz="4" w:space="0" w:color="DF2F1E"/>
            </w:tcBorders>
          </w:tcPr>
          <w:p>
            <w:pPr>
              <w:pStyle w:val="TableParagraph"/>
              <w:ind w:left="109"/>
              <w:rPr>
                <w:sz w:val="16"/>
              </w:rPr>
            </w:pPr>
            <w:r>
              <w:rPr>
                <w:color w:val="404040"/>
                <w:sz w:val="16"/>
              </w:rPr>
              <w:t>2018</w:t>
            </w:r>
          </w:p>
        </w:tc>
        <w:tc>
          <w:tcPr>
            <w:tcW w:w="5718" w:type="dxa"/>
            <w:tcBorders>
              <w:top w:val="single" w:sz="4" w:space="0" w:color="DF2F1E"/>
              <w:bottom w:val="single" w:sz="4" w:space="0" w:color="DF2F1E"/>
            </w:tcBorders>
          </w:tcPr>
          <w:p>
            <w:pPr>
              <w:pStyle w:val="TableParagraph"/>
              <w:ind w:left="104" w:right="177"/>
              <w:rPr>
                <w:sz w:val="16"/>
              </w:rPr>
            </w:pPr>
            <w:r>
              <w:rPr>
                <w:color w:val="404040"/>
                <w:sz w:val="16"/>
              </w:rPr>
              <w:t>Maintain at level for three years, the income free areas and other means test thresholds for student payments, including the student income bank limits.</w:t>
            </w:r>
          </w:p>
        </w:tc>
      </w:tr>
      <w:tr>
        <w:trPr>
          <w:trHeight w:val="1038" w:hRule="atLeast"/>
        </w:trPr>
        <w:tc>
          <w:tcPr>
            <w:tcW w:w="3282" w:type="dxa"/>
            <w:tcBorders>
              <w:top w:val="single" w:sz="4" w:space="0" w:color="DF2F1E"/>
              <w:bottom w:val="single" w:sz="4" w:space="0" w:color="DF2F1E"/>
            </w:tcBorders>
          </w:tcPr>
          <w:p>
            <w:pPr>
              <w:pStyle w:val="TableParagraph"/>
              <w:spacing w:before="34"/>
              <w:ind w:left="122" w:right="188"/>
              <w:rPr>
                <w:b/>
                <w:sz w:val="16"/>
              </w:rPr>
            </w:pPr>
            <w:r>
              <w:rPr>
                <w:b/>
                <w:color w:val="404040"/>
                <w:sz w:val="16"/>
              </w:rPr>
              <w:t>Ordinary Waiting period - Working Age Payments (excluding Widows Allowance)</w:t>
            </w:r>
          </w:p>
          <w:p>
            <w:pPr>
              <w:pStyle w:val="TableParagraph"/>
              <w:spacing w:before="43"/>
              <w:ind w:left="122" w:right="329"/>
              <w:rPr>
                <w:sz w:val="16"/>
              </w:rPr>
            </w:pPr>
            <w:r>
              <w:rPr>
                <w:color w:val="404040"/>
                <w:sz w:val="16"/>
              </w:rPr>
              <w:t>Social Services Legislation Amendment Act 2017</w:t>
            </w:r>
          </w:p>
        </w:tc>
        <w:tc>
          <w:tcPr>
            <w:tcW w:w="878" w:type="dxa"/>
            <w:tcBorders>
              <w:top w:val="single" w:sz="4" w:space="0" w:color="DF2F1E"/>
              <w:bottom w:val="single" w:sz="4" w:space="0" w:color="DF2F1E"/>
            </w:tcBorders>
          </w:tcPr>
          <w:p>
            <w:pPr>
              <w:pStyle w:val="TableParagraph"/>
              <w:ind w:left="109"/>
              <w:rPr>
                <w:sz w:val="16"/>
              </w:rPr>
            </w:pPr>
            <w:r>
              <w:rPr>
                <w:color w:val="404040"/>
                <w:sz w:val="16"/>
              </w:rPr>
              <w:t>2018</w:t>
            </w:r>
          </w:p>
        </w:tc>
        <w:tc>
          <w:tcPr>
            <w:tcW w:w="5718" w:type="dxa"/>
            <w:tcBorders>
              <w:top w:val="single" w:sz="4" w:space="0" w:color="DF2F1E"/>
              <w:bottom w:val="single" w:sz="4" w:space="0" w:color="DF2F1E"/>
            </w:tcBorders>
          </w:tcPr>
          <w:p>
            <w:pPr>
              <w:pStyle w:val="TableParagraph"/>
              <w:ind w:left="104" w:right="222"/>
              <w:rPr>
                <w:sz w:val="16"/>
              </w:rPr>
            </w:pPr>
            <w:r>
              <w:rPr>
                <w:color w:val="404040"/>
                <w:sz w:val="16"/>
              </w:rPr>
              <w:t>Creates a new ordinary waiting period for Parenting Payment, and for Youth Allowance for a person who is not undertaking full-time study and is not a new apprentice (referred to as Youth Allowance (Other)).</w:t>
            </w:r>
          </w:p>
        </w:tc>
      </w:tr>
      <w:tr>
        <w:trPr>
          <w:trHeight w:val="856" w:hRule="atLeast"/>
        </w:trPr>
        <w:tc>
          <w:tcPr>
            <w:tcW w:w="3282" w:type="dxa"/>
            <w:tcBorders>
              <w:top w:val="single" w:sz="4" w:space="0" w:color="DF2F1E"/>
              <w:bottom w:val="single" w:sz="4" w:space="0" w:color="DF2F1E"/>
            </w:tcBorders>
          </w:tcPr>
          <w:p>
            <w:pPr>
              <w:pStyle w:val="TableParagraph"/>
              <w:spacing w:before="34"/>
              <w:ind w:left="122" w:right="90"/>
              <w:rPr>
                <w:b/>
                <w:sz w:val="16"/>
              </w:rPr>
            </w:pPr>
            <w:r>
              <w:rPr>
                <w:b/>
                <w:color w:val="404040"/>
                <w:sz w:val="16"/>
              </w:rPr>
              <w:t>Family Tax Benefit - Maintain child rates for 2 years</w:t>
            </w:r>
          </w:p>
          <w:p>
            <w:pPr>
              <w:pStyle w:val="TableParagraph"/>
              <w:spacing w:before="45"/>
              <w:ind w:left="122" w:right="329"/>
              <w:rPr>
                <w:sz w:val="16"/>
              </w:rPr>
            </w:pPr>
            <w:r>
              <w:rPr>
                <w:color w:val="404040"/>
                <w:sz w:val="16"/>
              </w:rPr>
              <w:t>Social Services Legislation Amendment Act 2017</w:t>
            </w:r>
          </w:p>
        </w:tc>
        <w:tc>
          <w:tcPr>
            <w:tcW w:w="878" w:type="dxa"/>
            <w:tcBorders>
              <w:top w:val="single" w:sz="4" w:space="0" w:color="DF2F1E"/>
              <w:bottom w:val="single" w:sz="4" w:space="0" w:color="DF2F1E"/>
            </w:tcBorders>
          </w:tcPr>
          <w:p>
            <w:pPr>
              <w:pStyle w:val="TableParagraph"/>
              <w:ind w:left="109"/>
              <w:rPr>
                <w:sz w:val="16"/>
              </w:rPr>
            </w:pPr>
            <w:r>
              <w:rPr>
                <w:color w:val="404040"/>
                <w:sz w:val="16"/>
              </w:rPr>
              <w:t>2018</w:t>
            </w:r>
          </w:p>
        </w:tc>
        <w:tc>
          <w:tcPr>
            <w:tcW w:w="5718" w:type="dxa"/>
            <w:tcBorders>
              <w:top w:val="single" w:sz="4" w:space="0" w:color="DF2F1E"/>
              <w:bottom w:val="single" w:sz="4" w:space="0" w:color="DF2F1E"/>
            </w:tcBorders>
          </w:tcPr>
          <w:p>
            <w:pPr>
              <w:pStyle w:val="TableParagraph"/>
              <w:ind w:left="104" w:right="116"/>
              <w:jc w:val="both"/>
              <w:rPr>
                <w:sz w:val="16"/>
              </w:rPr>
            </w:pPr>
            <w:r>
              <w:rPr>
                <w:color w:val="404040"/>
                <w:sz w:val="16"/>
              </w:rPr>
              <w:t>Maintain the current Family Tax Benefit (FTB) rates for two years, from 1 July 2017. This change applies to the maximum standard, base rate and approved care organisation rate of FTB Part A and the maximum rate of FTB Part B.</w:t>
            </w:r>
          </w:p>
        </w:tc>
      </w:tr>
      <w:tr>
        <w:trPr>
          <w:trHeight w:val="1223" w:hRule="atLeast"/>
        </w:trPr>
        <w:tc>
          <w:tcPr>
            <w:tcW w:w="3282" w:type="dxa"/>
            <w:tcBorders>
              <w:top w:val="single" w:sz="4" w:space="0" w:color="DF2F1E"/>
              <w:bottom w:val="single" w:sz="4" w:space="0" w:color="DF2F1E"/>
            </w:tcBorders>
          </w:tcPr>
          <w:p>
            <w:pPr>
              <w:pStyle w:val="TableParagraph"/>
              <w:spacing w:before="34"/>
              <w:ind w:left="122" w:right="179"/>
              <w:rPr>
                <w:b/>
                <w:sz w:val="16"/>
              </w:rPr>
            </w:pPr>
            <w:r>
              <w:rPr>
                <w:b/>
                <w:color w:val="404040"/>
                <w:sz w:val="16"/>
              </w:rPr>
              <w:t>Reduce the qualification period for Youth Allowance / Independent test for Youth Allowance and scholarship payments for students</w:t>
            </w:r>
          </w:p>
          <w:p>
            <w:pPr>
              <w:pStyle w:val="TableParagraph"/>
              <w:spacing w:before="44"/>
              <w:ind w:left="122" w:right="231"/>
              <w:rPr>
                <w:sz w:val="16"/>
              </w:rPr>
            </w:pPr>
            <w:r>
              <w:rPr>
                <w:color w:val="404040"/>
                <w:sz w:val="16"/>
              </w:rPr>
              <w:t>Social Services Legislation Amendment (Simplifying Student Payments) Act 2017</w:t>
            </w:r>
          </w:p>
        </w:tc>
        <w:tc>
          <w:tcPr>
            <w:tcW w:w="878" w:type="dxa"/>
            <w:tcBorders>
              <w:top w:val="single" w:sz="4" w:space="0" w:color="DF2F1E"/>
              <w:bottom w:val="single" w:sz="4" w:space="0" w:color="DF2F1E"/>
            </w:tcBorders>
          </w:tcPr>
          <w:p>
            <w:pPr>
              <w:pStyle w:val="TableParagraph"/>
              <w:ind w:left="109"/>
              <w:rPr>
                <w:sz w:val="16"/>
              </w:rPr>
            </w:pPr>
            <w:r>
              <w:rPr>
                <w:color w:val="404040"/>
                <w:sz w:val="16"/>
              </w:rPr>
              <w:t>2018</w:t>
            </w:r>
          </w:p>
        </w:tc>
        <w:tc>
          <w:tcPr>
            <w:tcW w:w="5718" w:type="dxa"/>
            <w:tcBorders>
              <w:top w:val="single" w:sz="4" w:space="0" w:color="DF2F1E"/>
              <w:bottom w:val="single" w:sz="4" w:space="0" w:color="DF2F1E"/>
            </w:tcBorders>
          </w:tcPr>
          <w:p>
            <w:pPr>
              <w:pStyle w:val="TableParagraph"/>
              <w:ind w:left="104" w:right="186"/>
              <w:rPr>
                <w:sz w:val="16"/>
              </w:rPr>
            </w:pPr>
            <w:r>
              <w:rPr>
                <w:color w:val="404040"/>
                <w:sz w:val="16"/>
              </w:rPr>
              <w:t>Students who qualify under this provision will be eligible for Youth Allowance as independent after 14 months, rather than the current 18 month period, provided they have earned at least a minimum rate of pay.</w:t>
            </w:r>
          </w:p>
        </w:tc>
      </w:tr>
      <w:tr>
        <w:trPr>
          <w:trHeight w:val="1041" w:hRule="atLeast"/>
        </w:trPr>
        <w:tc>
          <w:tcPr>
            <w:tcW w:w="3282" w:type="dxa"/>
            <w:tcBorders>
              <w:top w:val="single" w:sz="4" w:space="0" w:color="DF2F1E"/>
              <w:bottom w:val="single" w:sz="4" w:space="0" w:color="DF2F1E"/>
            </w:tcBorders>
          </w:tcPr>
          <w:p>
            <w:pPr>
              <w:pStyle w:val="TableParagraph"/>
              <w:spacing w:before="34"/>
              <w:ind w:left="122" w:right="170"/>
              <w:rPr>
                <w:b/>
                <w:sz w:val="16"/>
              </w:rPr>
            </w:pPr>
            <w:r>
              <w:rPr>
                <w:b/>
                <w:color w:val="404040"/>
                <w:sz w:val="16"/>
              </w:rPr>
              <w:t>Align means test with other payments / Means testing for social security benefits</w:t>
            </w:r>
          </w:p>
          <w:p>
            <w:pPr>
              <w:pStyle w:val="TableParagraph"/>
              <w:spacing w:before="43"/>
              <w:ind w:left="122" w:right="231"/>
              <w:rPr>
                <w:sz w:val="16"/>
              </w:rPr>
            </w:pPr>
            <w:r>
              <w:rPr>
                <w:color w:val="404040"/>
                <w:sz w:val="16"/>
              </w:rPr>
              <w:t>Social Services Legislation Amendment (Simplifying Student Payments) Act 2017</w:t>
            </w:r>
          </w:p>
        </w:tc>
        <w:tc>
          <w:tcPr>
            <w:tcW w:w="878" w:type="dxa"/>
            <w:tcBorders>
              <w:top w:val="single" w:sz="4" w:space="0" w:color="DF2F1E"/>
              <w:bottom w:val="single" w:sz="4" w:space="0" w:color="DF2F1E"/>
            </w:tcBorders>
          </w:tcPr>
          <w:p>
            <w:pPr>
              <w:pStyle w:val="TableParagraph"/>
              <w:ind w:left="109"/>
              <w:rPr>
                <w:sz w:val="16"/>
              </w:rPr>
            </w:pPr>
            <w:r>
              <w:rPr>
                <w:color w:val="404040"/>
                <w:sz w:val="16"/>
              </w:rPr>
              <w:t>2018</w:t>
            </w:r>
          </w:p>
        </w:tc>
        <w:tc>
          <w:tcPr>
            <w:tcW w:w="5718" w:type="dxa"/>
            <w:tcBorders>
              <w:top w:val="single" w:sz="4" w:space="0" w:color="DF2F1E"/>
              <w:bottom w:val="single" w:sz="4" w:space="0" w:color="DF2F1E"/>
            </w:tcBorders>
          </w:tcPr>
          <w:p>
            <w:pPr>
              <w:pStyle w:val="TableParagraph"/>
              <w:ind w:left="104"/>
              <w:rPr>
                <w:sz w:val="16"/>
              </w:rPr>
            </w:pPr>
            <w:r>
              <w:rPr>
                <w:color w:val="404040"/>
                <w:sz w:val="16"/>
              </w:rPr>
              <w:t>Simplification of means testing for student payments.</w:t>
            </w:r>
          </w:p>
        </w:tc>
      </w:tr>
      <w:tr>
        <w:trPr>
          <w:trHeight w:val="1367" w:hRule="atLeast"/>
        </w:trPr>
        <w:tc>
          <w:tcPr>
            <w:tcW w:w="3282" w:type="dxa"/>
            <w:tcBorders>
              <w:top w:val="single" w:sz="4" w:space="0" w:color="DF2F1E"/>
              <w:bottom w:val="single" w:sz="4" w:space="0" w:color="DF2F1E"/>
            </w:tcBorders>
          </w:tcPr>
          <w:p>
            <w:pPr>
              <w:pStyle w:val="TableParagraph"/>
              <w:spacing w:before="34"/>
              <w:ind w:left="122" w:right="226"/>
              <w:rPr>
                <w:b/>
                <w:sz w:val="16"/>
              </w:rPr>
            </w:pPr>
            <w:r>
              <w:rPr>
                <w:b/>
                <w:color w:val="404040"/>
                <w:sz w:val="16"/>
              </w:rPr>
              <w:t>Automatically updating geographical classifications / Remoteness</w:t>
            </w:r>
            <w:r>
              <w:rPr>
                <w:b/>
                <w:color w:val="404040"/>
                <w:spacing w:val="-12"/>
                <w:sz w:val="16"/>
              </w:rPr>
              <w:t> </w:t>
            </w:r>
            <w:r>
              <w:rPr>
                <w:b/>
                <w:color w:val="404040"/>
                <w:sz w:val="16"/>
              </w:rPr>
              <w:t>structure</w:t>
            </w:r>
          </w:p>
          <w:p>
            <w:pPr>
              <w:pStyle w:val="TableParagraph"/>
              <w:spacing w:before="43"/>
              <w:ind w:left="122" w:right="248"/>
              <w:rPr>
                <w:sz w:val="16"/>
              </w:rPr>
            </w:pPr>
            <w:r>
              <w:rPr>
                <w:color w:val="404040"/>
                <w:sz w:val="16"/>
              </w:rPr>
              <w:t>Social Services Legislation Amendment (Simplifying Student Payments) Act</w:t>
            </w:r>
            <w:r>
              <w:rPr>
                <w:color w:val="404040"/>
                <w:spacing w:val="-17"/>
                <w:sz w:val="16"/>
              </w:rPr>
              <w:t> </w:t>
            </w:r>
            <w:r>
              <w:rPr>
                <w:color w:val="404040"/>
                <w:sz w:val="16"/>
              </w:rPr>
              <w:t>2017</w:t>
            </w:r>
          </w:p>
        </w:tc>
        <w:tc>
          <w:tcPr>
            <w:tcW w:w="878" w:type="dxa"/>
            <w:tcBorders>
              <w:top w:val="single" w:sz="4" w:space="0" w:color="DF2F1E"/>
              <w:bottom w:val="single" w:sz="4" w:space="0" w:color="DF2F1E"/>
            </w:tcBorders>
          </w:tcPr>
          <w:p>
            <w:pPr>
              <w:pStyle w:val="TableParagraph"/>
              <w:ind w:left="109"/>
              <w:rPr>
                <w:sz w:val="16"/>
              </w:rPr>
            </w:pPr>
            <w:r>
              <w:rPr>
                <w:color w:val="404040"/>
                <w:sz w:val="16"/>
              </w:rPr>
              <w:t>2018</w:t>
            </w:r>
          </w:p>
        </w:tc>
        <w:tc>
          <w:tcPr>
            <w:tcW w:w="5718" w:type="dxa"/>
            <w:tcBorders>
              <w:top w:val="single" w:sz="4" w:space="0" w:color="DF2F1E"/>
              <w:bottom w:val="single" w:sz="4" w:space="0" w:color="DF2F1E"/>
            </w:tcBorders>
          </w:tcPr>
          <w:p>
            <w:pPr>
              <w:pStyle w:val="TableParagraph"/>
              <w:ind w:left="104" w:right="160"/>
              <w:rPr>
                <w:sz w:val="16"/>
              </w:rPr>
            </w:pPr>
            <w:r>
              <w:rPr>
                <w:color w:val="404040"/>
                <w:sz w:val="16"/>
              </w:rPr>
              <w:t>This measure was part of the 2016-17 Budget and simplifies the process for updating the Australian Statistical Geography Standard (ASGS) remoteness structure published by the Australian Statistician which is used to assess eligibility for student payments under the Social Security Act. This will ensure that an assessment of qualification for Youth Allowance and qualification for, and rate of, Relocation Scholarship payments is based on up-to-date geographical classification information.</w:t>
            </w:r>
          </w:p>
        </w:tc>
      </w:tr>
    </w:tbl>
    <w:p>
      <w:pPr>
        <w:spacing w:after="0"/>
        <w:rPr>
          <w:sz w:val="16"/>
        </w:rPr>
        <w:sectPr>
          <w:headerReference w:type="default" r:id="rId251"/>
          <w:footerReference w:type="default" r:id="rId252"/>
          <w:pgSz w:w="11910" w:h="16850"/>
          <w:pgMar w:header="572" w:footer="581" w:top="780" w:bottom="780" w:left="120" w:right="0"/>
          <w:pgNumType w:start="161"/>
        </w:sectPr>
      </w:pPr>
    </w:p>
    <w:p>
      <w:pPr>
        <w:pStyle w:val="BodyText"/>
        <w:rPr>
          <w:b/>
        </w:rPr>
      </w:pPr>
    </w:p>
    <w:p>
      <w:pPr>
        <w:pStyle w:val="BodyText"/>
        <w:rPr>
          <w:b/>
        </w:rPr>
      </w:pPr>
    </w:p>
    <w:p>
      <w:pPr>
        <w:pStyle w:val="BodyText"/>
        <w:rPr>
          <w:b/>
        </w:rPr>
      </w:pPr>
    </w:p>
    <w:p>
      <w:pPr>
        <w:pStyle w:val="BodyText"/>
        <w:spacing w:before="9"/>
        <w:rPr>
          <w:b/>
          <w:sz w:val="10"/>
        </w:rPr>
      </w:pPr>
    </w:p>
    <w:tbl>
      <w:tblPr>
        <w:tblW w:w="0" w:type="auto"/>
        <w:jc w:val="left"/>
        <w:tblInd w:w="89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0" w:type="dxa"/>
          <w:left w:w="0" w:type="dxa"/>
          <w:bottom w:w="0" w:type="dxa"/>
          <w:right w:w="0" w:type="dxa"/>
        </w:tblCellMar>
        <w:tblLook w:val="01E0"/>
      </w:tblPr>
      <w:tblGrid>
        <w:gridCol w:w="3283"/>
        <w:gridCol w:w="858"/>
        <w:gridCol w:w="5737"/>
      </w:tblGrid>
      <w:tr>
        <w:trPr>
          <w:trHeight w:val="640" w:hRule="atLeast"/>
        </w:trPr>
        <w:tc>
          <w:tcPr>
            <w:tcW w:w="3283" w:type="dxa"/>
            <w:tcBorders>
              <w:top w:val="nil"/>
              <w:left w:val="nil"/>
              <w:bottom w:val="nil"/>
            </w:tcBorders>
            <w:shd w:val="clear" w:color="auto" w:fill="DF2F1E"/>
          </w:tcPr>
          <w:p>
            <w:pPr>
              <w:pStyle w:val="TableParagraph"/>
              <w:spacing w:before="34"/>
              <w:ind w:left="122"/>
              <w:rPr>
                <w:b/>
                <w:sz w:val="16"/>
              </w:rPr>
            </w:pPr>
            <w:r>
              <w:rPr>
                <w:b/>
                <w:color w:val="FFFFFF"/>
                <w:sz w:val="16"/>
              </w:rPr>
              <w:t>Amendment</w:t>
            </w:r>
          </w:p>
        </w:tc>
        <w:tc>
          <w:tcPr>
            <w:tcW w:w="858" w:type="dxa"/>
            <w:tcBorders>
              <w:top w:val="nil"/>
              <w:bottom w:val="nil"/>
            </w:tcBorders>
            <w:shd w:val="clear" w:color="auto" w:fill="DF2F1E"/>
          </w:tcPr>
          <w:p>
            <w:pPr>
              <w:pStyle w:val="TableParagraph"/>
              <w:spacing w:before="34"/>
              <w:ind w:left="103" w:right="58"/>
              <w:rPr>
                <w:b/>
                <w:sz w:val="16"/>
              </w:rPr>
            </w:pPr>
            <w:r>
              <w:rPr>
                <w:b/>
                <w:color w:val="FFFFFF"/>
                <w:sz w:val="16"/>
              </w:rPr>
              <w:t>Year Effective</w:t>
            </w:r>
          </w:p>
        </w:tc>
        <w:tc>
          <w:tcPr>
            <w:tcW w:w="5737" w:type="dxa"/>
            <w:tcBorders>
              <w:top w:val="nil"/>
              <w:bottom w:val="nil"/>
              <w:right w:val="nil"/>
            </w:tcBorders>
            <w:shd w:val="clear" w:color="auto" w:fill="DF2F1E"/>
          </w:tcPr>
          <w:p>
            <w:pPr>
              <w:pStyle w:val="TableParagraph"/>
              <w:spacing w:before="34"/>
              <w:ind w:left="118"/>
              <w:rPr>
                <w:b/>
                <w:sz w:val="16"/>
              </w:rPr>
            </w:pPr>
            <w:r>
              <w:rPr>
                <w:b/>
                <w:color w:val="FFFFFF"/>
                <w:sz w:val="16"/>
              </w:rPr>
              <w:t>Description</w:t>
            </w:r>
          </w:p>
        </w:tc>
      </w:tr>
      <w:tr>
        <w:trPr>
          <w:trHeight w:val="1041" w:hRule="atLeast"/>
        </w:trPr>
        <w:tc>
          <w:tcPr>
            <w:tcW w:w="3283" w:type="dxa"/>
            <w:tcBorders>
              <w:top w:val="nil"/>
              <w:left w:val="nil"/>
              <w:bottom w:val="single" w:sz="4" w:space="0" w:color="DF2F1E"/>
            </w:tcBorders>
          </w:tcPr>
          <w:p>
            <w:pPr>
              <w:pStyle w:val="TableParagraph"/>
              <w:spacing w:before="34"/>
              <w:ind w:left="122"/>
              <w:rPr>
                <w:b/>
                <w:sz w:val="16"/>
              </w:rPr>
            </w:pPr>
            <w:r>
              <w:rPr>
                <w:b/>
                <w:color w:val="404040"/>
                <w:sz w:val="16"/>
              </w:rPr>
              <w:t>Amendments to Disability Services Act</w:t>
            </w:r>
          </w:p>
          <w:p>
            <w:pPr>
              <w:pStyle w:val="TableParagraph"/>
              <w:spacing w:before="44"/>
              <w:ind w:left="122" w:right="130"/>
              <w:rPr>
                <w:sz w:val="16"/>
              </w:rPr>
            </w:pPr>
            <w:r>
              <w:rPr>
                <w:color w:val="404040"/>
                <w:sz w:val="16"/>
              </w:rPr>
              <w:t>Disability Services Amendment (Linking Upper Age Limits for Disability Employment Services to Pension Age) Act 2017</w:t>
            </w:r>
          </w:p>
        </w:tc>
        <w:tc>
          <w:tcPr>
            <w:tcW w:w="858" w:type="dxa"/>
            <w:tcBorders>
              <w:top w:val="nil"/>
              <w:bottom w:val="single" w:sz="4" w:space="0" w:color="DF2F1E"/>
              <w:right w:val="nil"/>
            </w:tcBorders>
          </w:tcPr>
          <w:p>
            <w:pPr>
              <w:pStyle w:val="TableParagraph"/>
              <w:ind w:left="103"/>
              <w:rPr>
                <w:sz w:val="16"/>
              </w:rPr>
            </w:pPr>
            <w:r>
              <w:rPr>
                <w:color w:val="404040"/>
                <w:sz w:val="16"/>
              </w:rPr>
              <w:t>2018</w:t>
            </w:r>
          </w:p>
        </w:tc>
        <w:tc>
          <w:tcPr>
            <w:tcW w:w="5737" w:type="dxa"/>
            <w:tcBorders>
              <w:top w:val="nil"/>
              <w:left w:val="nil"/>
              <w:bottom w:val="single" w:sz="4" w:space="0" w:color="DF2F1E"/>
              <w:right w:val="nil"/>
            </w:tcBorders>
          </w:tcPr>
          <w:p>
            <w:pPr>
              <w:pStyle w:val="TableParagraph"/>
              <w:ind w:left="123" w:right="391"/>
              <w:rPr>
                <w:sz w:val="16"/>
              </w:rPr>
            </w:pPr>
            <w:r>
              <w:rPr>
                <w:color w:val="404040"/>
                <w:sz w:val="16"/>
              </w:rPr>
              <w:t>Allows technical amendment to correct a mismatch between Disability Employment Services eligibility and the age of qualification for the Age Pension that would otherwise arise from 1 July 2017. This will remove the reference to ‘65 years’ and replace it with the term ‘pension age’</w:t>
            </w:r>
          </w:p>
        </w:tc>
      </w:tr>
      <w:tr>
        <w:trPr>
          <w:trHeight w:val="1038" w:hRule="atLeast"/>
        </w:trPr>
        <w:tc>
          <w:tcPr>
            <w:tcW w:w="3283" w:type="dxa"/>
            <w:tcBorders>
              <w:top w:val="single" w:sz="4" w:space="0" w:color="DF2F1E"/>
              <w:left w:val="nil"/>
              <w:bottom w:val="single" w:sz="4" w:space="0" w:color="DF2F1E"/>
            </w:tcBorders>
          </w:tcPr>
          <w:p>
            <w:pPr>
              <w:pStyle w:val="TableParagraph"/>
              <w:spacing w:before="34"/>
              <w:ind w:left="122" w:right="433"/>
              <w:rPr>
                <w:b/>
                <w:sz w:val="16"/>
              </w:rPr>
            </w:pPr>
            <w:r>
              <w:rPr>
                <w:b/>
                <w:color w:val="404040"/>
                <w:sz w:val="16"/>
              </w:rPr>
              <w:t>Seasonal horticultural work income exemption</w:t>
            </w:r>
          </w:p>
          <w:p>
            <w:pPr>
              <w:pStyle w:val="TableParagraph"/>
              <w:spacing w:before="43"/>
              <w:ind w:left="122" w:right="325"/>
              <w:rPr>
                <w:sz w:val="16"/>
              </w:rPr>
            </w:pPr>
            <w:r>
              <w:rPr>
                <w:color w:val="404040"/>
                <w:sz w:val="16"/>
              </w:rPr>
              <w:t>Social Services Legislation Amendment (Seasonal Worker Incentives for Jobseekers) Act 2017</w:t>
            </w:r>
          </w:p>
        </w:tc>
        <w:tc>
          <w:tcPr>
            <w:tcW w:w="858" w:type="dxa"/>
            <w:tcBorders>
              <w:top w:val="single" w:sz="4" w:space="0" w:color="DF2F1E"/>
              <w:bottom w:val="single" w:sz="4" w:space="0" w:color="DF2F1E"/>
              <w:right w:val="nil"/>
            </w:tcBorders>
          </w:tcPr>
          <w:p>
            <w:pPr>
              <w:pStyle w:val="TableParagraph"/>
              <w:ind w:left="103"/>
              <w:rPr>
                <w:sz w:val="16"/>
              </w:rPr>
            </w:pPr>
            <w:r>
              <w:rPr>
                <w:color w:val="404040"/>
                <w:sz w:val="16"/>
              </w:rPr>
              <w:t>2018</w:t>
            </w:r>
          </w:p>
        </w:tc>
        <w:tc>
          <w:tcPr>
            <w:tcW w:w="5737" w:type="dxa"/>
            <w:tcBorders>
              <w:top w:val="single" w:sz="4" w:space="0" w:color="DF2F1E"/>
              <w:left w:val="nil"/>
              <w:bottom w:val="single" w:sz="4" w:space="0" w:color="DF2F1E"/>
              <w:right w:val="nil"/>
            </w:tcBorders>
          </w:tcPr>
          <w:p>
            <w:pPr>
              <w:pStyle w:val="TableParagraph"/>
              <w:ind w:left="123" w:right="515"/>
              <w:rPr>
                <w:sz w:val="16"/>
              </w:rPr>
            </w:pPr>
            <w:r>
              <w:rPr>
                <w:color w:val="404040"/>
                <w:sz w:val="16"/>
              </w:rPr>
              <w:t>This measure provides a social security income test incentive aimed at increasing the number of job seekers who undertake specified seasonal horticultural work, such as fruit picking. This change will be trialled for 2 years, commencing 1 July 2017.</w:t>
            </w:r>
          </w:p>
        </w:tc>
      </w:tr>
      <w:tr>
        <w:trPr>
          <w:trHeight w:val="1041" w:hRule="atLeast"/>
        </w:trPr>
        <w:tc>
          <w:tcPr>
            <w:tcW w:w="3283" w:type="dxa"/>
            <w:tcBorders>
              <w:top w:val="single" w:sz="4" w:space="0" w:color="DF2F1E"/>
              <w:left w:val="nil"/>
              <w:bottom w:val="single" w:sz="4" w:space="0" w:color="DF2F1E"/>
            </w:tcBorders>
          </w:tcPr>
          <w:p>
            <w:pPr>
              <w:pStyle w:val="TableParagraph"/>
              <w:spacing w:before="34"/>
              <w:ind w:left="122" w:right="148"/>
              <w:rPr>
                <w:b/>
                <w:sz w:val="16"/>
              </w:rPr>
            </w:pPr>
            <w:r>
              <w:rPr>
                <w:b/>
                <w:color w:val="404040"/>
                <w:sz w:val="16"/>
              </w:rPr>
              <w:t>Reinstate Pensioner Concession Cards to former recipients</w:t>
            </w:r>
          </w:p>
          <w:p>
            <w:pPr>
              <w:pStyle w:val="TableParagraph"/>
              <w:spacing w:before="45"/>
              <w:ind w:left="122" w:right="165"/>
              <w:rPr>
                <w:sz w:val="16"/>
              </w:rPr>
            </w:pPr>
            <w:r>
              <w:rPr>
                <w:color w:val="404040"/>
                <w:sz w:val="16"/>
              </w:rPr>
              <w:t>Social Services Legislation Amendment (Energy Assistance Payment &amp; Pensioner Concession Card) Act 2017</w:t>
            </w:r>
          </w:p>
        </w:tc>
        <w:tc>
          <w:tcPr>
            <w:tcW w:w="858" w:type="dxa"/>
            <w:tcBorders>
              <w:top w:val="single" w:sz="4" w:space="0" w:color="DF2F1E"/>
              <w:bottom w:val="single" w:sz="4" w:space="0" w:color="DF2F1E"/>
              <w:right w:val="nil"/>
            </w:tcBorders>
          </w:tcPr>
          <w:p>
            <w:pPr>
              <w:pStyle w:val="TableParagraph"/>
              <w:ind w:left="103"/>
              <w:rPr>
                <w:sz w:val="16"/>
              </w:rPr>
            </w:pPr>
            <w:r>
              <w:rPr>
                <w:color w:val="404040"/>
                <w:sz w:val="16"/>
              </w:rPr>
              <w:t>2018</w:t>
            </w:r>
          </w:p>
        </w:tc>
        <w:tc>
          <w:tcPr>
            <w:tcW w:w="5737" w:type="dxa"/>
            <w:tcBorders>
              <w:top w:val="single" w:sz="4" w:space="0" w:color="DF2F1E"/>
              <w:left w:val="nil"/>
              <w:bottom w:val="single" w:sz="4" w:space="0" w:color="DF2F1E"/>
              <w:right w:val="nil"/>
            </w:tcBorders>
          </w:tcPr>
          <w:p>
            <w:pPr>
              <w:pStyle w:val="TableParagraph"/>
              <w:ind w:left="123" w:right="168"/>
              <w:rPr>
                <w:sz w:val="16"/>
              </w:rPr>
            </w:pPr>
            <w:r>
              <w:rPr>
                <w:color w:val="404040"/>
                <w:sz w:val="16"/>
              </w:rPr>
              <w:t>This provides a pensioner concession card to various social security pensioners and veterans’ payments recipients where the recipient’s payment or pension was cancelled on 1 January 2017 due to the rebalancing of the assets test parameters by the Social Services Legislation Amendment (Fair and Sustainable Pensions) Act 201.</w:t>
            </w:r>
          </w:p>
        </w:tc>
      </w:tr>
      <w:tr>
        <w:trPr>
          <w:trHeight w:val="1406" w:hRule="atLeast"/>
        </w:trPr>
        <w:tc>
          <w:tcPr>
            <w:tcW w:w="3283" w:type="dxa"/>
            <w:tcBorders>
              <w:top w:val="single" w:sz="4" w:space="0" w:color="DF2F1E"/>
              <w:left w:val="nil"/>
              <w:bottom w:val="single" w:sz="4" w:space="0" w:color="DF2F1E"/>
            </w:tcBorders>
          </w:tcPr>
          <w:p>
            <w:pPr>
              <w:pStyle w:val="TableParagraph"/>
              <w:spacing w:before="34"/>
              <w:ind w:left="122" w:right="602"/>
              <w:rPr>
                <w:b/>
                <w:sz w:val="16"/>
              </w:rPr>
            </w:pPr>
            <w:r>
              <w:rPr>
                <w:b/>
                <w:color w:val="404040"/>
                <w:sz w:val="16"/>
              </w:rPr>
              <w:t>Queensland Commission Income Management Regime - Cape York</w:t>
            </w:r>
          </w:p>
          <w:p>
            <w:pPr>
              <w:pStyle w:val="TableParagraph"/>
              <w:spacing w:before="43"/>
              <w:ind w:left="122" w:right="325"/>
              <w:rPr>
                <w:sz w:val="16"/>
              </w:rPr>
            </w:pPr>
            <w:r>
              <w:rPr>
                <w:color w:val="404040"/>
                <w:sz w:val="16"/>
              </w:rPr>
              <w:t>Social Services Legislation Amendment (Queensland Commission Income Management Regime) Act 2017</w:t>
            </w:r>
          </w:p>
        </w:tc>
        <w:tc>
          <w:tcPr>
            <w:tcW w:w="858" w:type="dxa"/>
            <w:tcBorders>
              <w:top w:val="single" w:sz="4" w:space="0" w:color="DF2F1E"/>
              <w:bottom w:val="single" w:sz="4" w:space="0" w:color="DF2F1E"/>
              <w:right w:val="nil"/>
            </w:tcBorders>
          </w:tcPr>
          <w:p>
            <w:pPr>
              <w:pStyle w:val="TableParagraph"/>
              <w:ind w:left="103"/>
              <w:rPr>
                <w:sz w:val="16"/>
              </w:rPr>
            </w:pPr>
            <w:r>
              <w:rPr>
                <w:color w:val="404040"/>
                <w:sz w:val="16"/>
              </w:rPr>
              <w:t>2018</w:t>
            </w:r>
          </w:p>
        </w:tc>
        <w:tc>
          <w:tcPr>
            <w:tcW w:w="5737" w:type="dxa"/>
            <w:tcBorders>
              <w:top w:val="single" w:sz="4" w:space="0" w:color="DF2F1E"/>
              <w:left w:val="nil"/>
              <w:bottom w:val="single" w:sz="4" w:space="0" w:color="DF2F1E"/>
              <w:right w:val="nil"/>
            </w:tcBorders>
          </w:tcPr>
          <w:p>
            <w:pPr>
              <w:pStyle w:val="TableParagraph"/>
              <w:ind w:left="123" w:right="124"/>
              <w:rPr>
                <w:sz w:val="16"/>
              </w:rPr>
            </w:pPr>
            <w:r>
              <w:rPr>
                <w:color w:val="404040"/>
                <w:sz w:val="16"/>
              </w:rPr>
              <w:t>This enables a two year continuation of the Income Management element of Cape York Welfare Reform in the communities of Aurukun, Coen, Hope Vale, and Mossman Gorge.</w:t>
            </w:r>
          </w:p>
          <w:p>
            <w:pPr>
              <w:pStyle w:val="TableParagraph"/>
              <w:spacing w:before="40"/>
              <w:ind w:left="123" w:right="124"/>
              <w:rPr>
                <w:sz w:val="16"/>
              </w:rPr>
            </w:pPr>
            <w:r>
              <w:rPr>
                <w:color w:val="404040"/>
                <w:sz w:val="16"/>
              </w:rPr>
              <w:t>The continuation of Income Management until 30 June 2019 is a key element of the reforms and will continue to assist in stabilising people’s circumstances and fostering behavioural change, particularly in the areas of school attendance, parental responsibility and increasing individual responsibility.</w:t>
            </w:r>
          </w:p>
        </w:tc>
      </w:tr>
      <w:tr>
        <w:trPr>
          <w:trHeight w:val="671" w:hRule="atLeast"/>
        </w:trPr>
        <w:tc>
          <w:tcPr>
            <w:tcW w:w="3283" w:type="dxa"/>
            <w:tcBorders>
              <w:top w:val="single" w:sz="4" w:space="0" w:color="DF2F1E"/>
              <w:left w:val="nil"/>
              <w:bottom w:val="single" w:sz="4" w:space="0" w:color="DF2F1E"/>
            </w:tcBorders>
          </w:tcPr>
          <w:p>
            <w:pPr>
              <w:pStyle w:val="TableParagraph"/>
              <w:ind w:left="122"/>
              <w:rPr>
                <w:b/>
                <w:sz w:val="16"/>
              </w:rPr>
            </w:pPr>
            <w:r>
              <w:rPr>
                <w:b/>
                <w:color w:val="404040"/>
                <w:sz w:val="16"/>
              </w:rPr>
              <w:t>Cessation of Widow Allowance</w:t>
            </w:r>
          </w:p>
          <w:p>
            <w:pPr>
              <w:pStyle w:val="TableParagraph"/>
              <w:spacing w:before="41"/>
              <w:ind w:left="122" w:right="325"/>
              <w:rPr>
                <w:sz w:val="16"/>
              </w:rPr>
            </w:pPr>
            <w:r>
              <w:rPr>
                <w:color w:val="404040"/>
                <w:sz w:val="16"/>
              </w:rPr>
              <w:t>Social Services Legislation Amendment (Welfare Reform) Act 2017</w:t>
            </w:r>
          </w:p>
        </w:tc>
        <w:tc>
          <w:tcPr>
            <w:tcW w:w="858" w:type="dxa"/>
            <w:tcBorders>
              <w:top w:val="single" w:sz="4" w:space="0" w:color="DF2F1E"/>
              <w:bottom w:val="single" w:sz="4" w:space="0" w:color="DF2F1E"/>
              <w:right w:val="nil"/>
            </w:tcBorders>
          </w:tcPr>
          <w:p>
            <w:pPr>
              <w:pStyle w:val="TableParagraph"/>
              <w:spacing w:before="39"/>
              <w:ind w:left="103"/>
              <w:rPr>
                <w:sz w:val="16"/>
              </w:rPr>
            </w:pPr>
            <w:r>
              <w:rPr>
                <w:color w:val="404040"/>
                <w:sz w:val="16"/>
              </w:rPr>
              <w:t>2018</w:t>
            </w:r>
          </w:p>
        </w:tc>
        <w:tc>
          <w:tcPr>
            <w:tcW w:w="5737" w:type="dxa"/>
            <w:tcBorders>
              <w:top w:val="single" w:sz="4" w:space="0" w:color="DF2F1E"/>
              <w:left w:val="nil"/>
              <w:bottom w:val="single" w:sz="4" w:space="0" w:color="DF2F1E"/>
              <w:right w:val="nil"/>
            </w:tcBorders>
          </w:tcPr>
          <w:p>
            <w:pPr>
              <w:pStyle w:val="TableParagraph"/>
              <w:spacing w:before="39"/>
              <w:ind w:left="123" w:right="133"/>
              <w:rPr>
                <w:sz w:val="16"/>
              </w:rPr>
            </w:pPr>
            <w:r>
              <w:rPr>
                <w:color w:val="404040"/>
                <w:sz w:val="16"/>
              </w:rPr>
              <w:t>Widow allowance will close to new entrants from 12 April 2018 and will cease entirely from 1 January 2022.</w:t>
            </w:r>
          </w:p>
        </w:tc>
      </w:tr>
      <w:tr>
        <w:trPr>
          <w:trHeight w:val="856" w:hRule="atLeast"/>
        </w:trPr>
        <w:tc>
          <w:tcPr>
            <w:tcW w:w="3283" w:type="dxa"/>
            <w:tcBorders>
              <w:top w:val="single" w:sz="4" w:space="0" w:color="DF2F1E"/>
              <w:left w:val="nil"/>
              <w:bottom w:val="single" w:sz="4" w:space="0" w:color="DF2F1E"/>
            </w:tcBorders>
          </w:tcPr>
          <w:p>
            <w:pPr>
              <w:pStyle w:val="TableParagraph"/>
              <w:ind w:left="122" w:right="726"/>
              <w:rPr>
                <w:b/>
                <w:sz w:val="16"/>
              </w:rPr>
            </w:pPr>
            <w:r>
              <w:rPr>
                <w:b/>
                <w:color w:val="404040"/>
                <w:sz w:val="16"/>
              </w:rPr>
              <w:t>Start day for some participation payments</w:t>
            </w:r>
          </w:p>
          <w:p>
            <w:pPr>
              <w:pStyle w:val="TableParagraph"/>
              <w:spacing w:before="42"/>
              <w:ind w:left="122" w:right="325"/>
              <w:rPr>
                <w:sz w:val="16"/>
              </w:rPr>
            </w:pPr>
            <w:r>
              <w:rPr>
                <w:color w:val="404040"/>
                <w:sz w:val="16"/>
              </w:rPr>
              <w:t>Social Services Legislation Amendment (Welfare Reform) Act 2017</w:t>
            </w:r>
          </w:p>
        </w:tc>
        <w:tc>
          <w:tcPr>
            <w:tcW w:w="858" w:type="dxa"/>
            <w:tcBorders>
              <w:top w:val="single" w:sz="4" w:space="0" w:color="DF2F1E"/>
              <w:bottom w:val="single" w:sz="4" w:space="0" w:color="DF2F1E"/>
              <w:right w:val="nil"/>
            </w:tcBorders>
          </w:tcPr>
          <w:p>
            <w:pPr>
              <w:pStyle w:val="TableParagraph"/>
              <w:spacing w:before="39"/>
              <w:ind w:left="103"/>
              <w:rPr>
                <w:sz w:val="16"/>
              </w:rPr>
            </w:pPr>
            <w:r>
              <w:rPr>
                <w:color w:val="404040"/>
                <w:sz w:val="16"/>
              </w:rPr>
              <w:t>2018</w:t>
            </w:r>
          </w:p>
        </w:tc>
        <w:tc>
          <w:tcPr>
            <w:tcW w:w="5737" w:type="dxa"/>
            <w:tcBorders>
              <w:top w:val="single" w:sz="4" w:space="0" w:color="DF2F1E"/>
              <w:left w:val="nil"/>
              <w:bottom w:val="single" w:sz="4" w:space="0" w:color="DF2F1E"/>
              <w:right w:val="nil"/>
            </w:tcBorders>
          </w:tcPr>
          <w:p>
            <w:pPr>
              <w:pStyle w:val="TableParagraph"/>
              <w:spacing w:before="39"/>
              <w:ind w:left="123" w:right="168"/>
              <w:rPr>
                <w:sz w:val="16"/>
              </w:rPr>
            </w:pPr>
            <w:r>
              <w:rPr>
                <w:color w:val="404040"/>
                <w:sz w:val="16"/>
              </w:rPr>
              <w:t>Changes to the date at which payments commence for people transferring to Newstart Allowance and Youth Allowance recipients.</w:t>
            </w:r>
          </w:p>
        </w:tc>
      </w:tr>
      <w:tr>
        <w:trPr>
          <w:trHeight w:val="1000" w:hRule="atLeast"/>
        </w:trPr>
        <w:tc>
          <w:tcPr>
            <w:tcW w:w="3283" w:type="dxa"/>
            <w:tcBorders>
              <w:top w:val="single" w:sz="4" w:space="0" w:color="DF2F1E"/>
              <w:left w:val="nil"/>
              <w:bottom w:val="single" w:sz="4" w:space="0" w:color="DF2F1E"/>
            </w:tcBorders>
          </w:tcPr>
          <w:p>
            <w:pPr>
              <w:pStyle w:val="TableParagraph"/>
              <w:spacing w:before="34"/>
              <w:ind w:left="122"/>
              <w:rPr>
                <w:b/>
                <w:sz w:val="16"/>
              </w:rPr>
            </w:pPr>
            <w:r>
              <w:rPr>
                <w:b/>
                <w:color w:val="404040"/>
                <w:sz w:val="16"/>
              </w:rPr>
              <w:t>Changes to reasonable excuses</w:t>
            </w:r>
          </w:p>
          <w:p>
            <w:pPr>
              <w:pStyle w:val="TableParagraph"/>
              <w:spacing w:before="44"/>
              <w:ind w:left="122" w:right="325"/>
              <w:rPr>
                <w:sz w:val="16"/>
              </w:rPr>
            </w:pPr>
            <w:r>
              <w:rPr>
                <w:color w:val="404040"/>
                <w:sz w:val="16"/>
              </w:rPr>
              <w:t>Social Services Legislation Amendment (Welfare Reform) Act 2017</w:t>
            </w:r>
          </w:p>
        </w:tc>
        <w:tc>
          <w:tcPr>
            <w:tcW w:w="858" w:type="dxa"/>
            <w:tcBorders>
              <w:top w:val="single" w:sz="4" w:space="0" w:color="DF2F1E"/>
              <w:bottom w:val="single" w:sz="4" w:space="0" w:color="DF2F1E"/>
              <w:right w:val="nil"/>
            </w:tcBorders>
          </w:tcPr>
          <w:p>
            <w:pPr>
              <w:pStyle w:val="TableParagraph"/>
              <w:ind w:left="103"/>
              <w:rPr>
                <w:sz w:val="16"/>
              </w:rPr>
            </w:pPr>
            <w:r>
              <w:rPr>
                <w:color w:val="404040"/>
                <w:sz w:val="16"/>
              </w:rPr>
              <w:t>2018</w:t>
            </w:r>
          </w:p>
        </w:tc>
        <w:tc>
          <w:tcPr>
            <w:tcW w:w="5737" w:type="dxa"/>
            <w:tcBorders>
              <w:top w:val="single" w:sz="4" w:space="0" w:color="DF2F1E"/>
              <w:left w:val="nil"/>
              <w:bottom w:val="single" w:sz="4" w:space="0" w:color="DF2F1E"/>
              <w:right w:val="nil"/>
            </w:tcBorders>
          </w:tcPr>
          <w:p>
            <w:pPr>
              <w:pStyle w:val="TableParagraph"/>
              <w:ind w:left="123" w:right="98"/>
              <w:rPr>
                <w:sz w:val="16"/>
              </w:rPr>
            </w:pPr>
            <w:r>
              <w:rPr>
                <w:color w:val="404040"/>
                <w:sz w:val="16"/>
              </w:rPr>
              <w:t>This amends the Social Security Administration Act to provide a new power to make a legislative instrument setting out matters that must not be taken into account when deciding whether a person has a reasonable excuse for committing a no show no pay failure, a connection failure, a reconnection failure, a serious failure, or a non-attendance failure.</w:t>
            </w:r>
          </w:p>
        </w:tc>
      </w:tr>
      <w:tr>
        <w:trPr>
          <w:trHeight w:val="1552" w:hRule="atLeast"/>
        </w:trPr>
        <w:tc>
          <w:tcPr>
            <w:tcW w:w="3283" w:type="dxa"/>
            <w:tcBorders>
              <w:top w:val="single" w:sz="4" w:space="0" w:color="DF2F1E"/>
              <w:left w:val="nil"/>
              <w:bottom w:val="single" w:sz="4" w:space="0" w:color="DF2F1E"/>
            </w:tcBorders>
          </w:tcPr>
          <w:p>
            <w:pPr>
              <w:pStyle w:val="TableParagraph"/>
              <w:spacing w:before="34"/>
              <w:ind w:left="122"/>
              <w:rPr>
                <w:b/>
                <w:sz w:val="16"/>
              </w:rPr>
            </w:pPr>
            <w:r>
              <w:rPr>
                <w:b/>
                <w:color w:val="404040"/>
                <w:sz w:val="16"/>
              </w:rPr>
              <w:t>Better Alignment of Student Payments</w:t>
            </w:r>
          </w:p>
          <w:p>
            <w:pPr>
              <w:pStyle w:val="TableParagraph"/>
              <w:spacing w:before="44"/>
              <w:ind w:left="122" w:right="147"/>
              <w:rPr>
                <w:sz w:val="16"/>
              </w:rPr>
            </w:pPr>
            <w:r>
              <w:rPr>
                <w:color w:val="404040"/>
                <w:sz w:val="16"/>
              </w:rPr>
              <w:t>Student Assistance (Education Institutions and Courses) Amendment Determination 2017</w:t>
            </w:r>
          </w:p>
        </w:tc>
        <w:tc>
          <w:tcPr>
            <w:tcW w:w="858" w:type="dxa"/>
            <w:tcBorders>
              <w:top w:val="single" w:sz="4" w:space="0" w:color="DF2F1E"/>
              <w:bottom w:val="single" w:sz="4" w:space="0" w:color="DF2F1E"/>
              <w:right w:val="nil"/>
            </w:tcBorders>
          </w:tcPr>
          <w:p>
            <w:pPr>
              <w:pStyle w:val="TableParagraph"/>
              <w:ind w:left="103"/>
              <w:rPr>
                <w:sz w:val="16"/>
              </w:rPr>
            </w:pPr>
            <w:r>
              <w:rPr>
                <w:color w:val="404040"/>
                <w:sz w:val="16"/>
              </w:rPr>
              <w:t>2018</w:t>
            </w:r>
          </w:p>
        </w:tc>
        <w:tc>
          <w:tcPr>
            <w:tcW w:w="5737" w:type="dxa"/>
            <w:tcBorders>
              <w:top w:val="single" w:sz="4" w:space="0" w:color="DF2F1E"/>
              <w:left w:val="nil"/>
              <w:bottom w:val="single" w:sz="4" w:space="0" w:color="DF2F1E"/>
              <w:right w:val="nil"/>
            </w:tcBorders>
          </w:tcPr>
          <w:p>
            <w:pPr>
              <w:pStyle w:val="TableParagraph"/>
              <w:ind w:left="123" w:right="133"/>
              <w:rPr>
                <w:sz w:val="16"/>
              </w:rPr>
            </w:pPr>
            <w:r>
              <w:rPr>
                <w:color w:val="404040"/>
                <w:sz w:val="16"/>
              </w:rPr>
              <w:t>From 1 January 2018, approval of tertiary courses for student payments has changed. Approved courses have been restricted to VET courses (at diploma level and above) and education providers approved for VET Student Loans and higher education courses offered by providers approved for the Higher Education Loan Program. These changes affect Youth Allowance (student), Austudy, ABSTUDY and the Pensioner Education Supplement. Existing student payment recipients will be grandfathered for the duration of their current course.</w:t>
            </w:r>
          </w:p>
        </w:tc>
      </w:tr>
      <w:tr>
        <w:trPr>
          <w:trHeight w:val="1389" w:hRule="atLeast"/>
        </w:trPr>
        <w:tc>
          <w:tcPr>
            <w:tcW w:w="3283" w:type="dxa"/>
            <w:tcBorders>
              <w:top w:val="single" w:sz="4" w:space="0" w:color="DF2F1E"/>
              <w:left w:val="nil"/>
              <w:bottom w:val="nil"/>
            </w:tcBorders>
          </w:tcPr>
          <w:p>
            <w:pPr>
              <w:pStyle w:val="TableParagraph"/>
              <w:spacing w:before="0"/>
              <w:rPr>
                <w:b/>
                <w:sz w:val="22"/>
              </w:rPr>
            </w:pPr>
          </w:p>
          <w:p>
            <w:pPr>
              <w:pStyle w:val="TableParagraph"/>
              <w:spacing w:before="9"/>
              <w:rPr>
                <w:b/>
                <w:sz w:val="18"/>
              </w:rPr>
            </w:pPr>
          </w:p>
          <w:p>
            <w:pPr>
              <w:pStyle w:val="TableParagraph"/>
              <w:spacing w:before="1"/>
              <w:ind w:left="14" w:right="-24" w:hanging="1"/>
              <w:rPr>
                <w:sz w:val="20"/>
              </w:rPr>
            </w:pPr>
            <w:r>
              <w:rPr>
                <w:color w:val="404040"/>
                <w:sz w:val="20"/>
              </w:rPr>
              <w:t>The following table contains the legis after the valuation</w:t>
            </w:r>
            <w:r>
              <w:rPr>
                <w:color w:val="404040"/>
                <w:spacing w:val="-2"/>
                <w:sz w:val="20"/>
              </w:rPr>
              <w:t> </w:t>
            </w:r>
            <w:r>
              <w:rPr>
                <w:color w:val="404040"/>
                <w:sz w:val="20"/>
              </w:rPr>
              <w:t>date.</w:t>
            </w:r>
          </w:p>
          <w:p>
            <w:pPr>
              <w:pStyle w:val="TableParagraph"/>
              <w:spacing w:before="176"/>
              <w:ind w:left="14" w:right="-15"/>
              <w:rPr>
                <w:b/>
                <w:sz w:val="20"/>
              </w:rPr>
            </w:pPr>
            <w:r>
              <w:rPr>
                <w:b/>
                <w:color w:val="DF2F1E"/>
                <w:sz w:val="20"/>
              </w:rPr>
              <w:t>Table 49: Policy changes which</w:t>
            </w:r>
            <w:r>
              <w:rPr>
                <w:b/>
                <w:color w:val="DF2F1E"/>
                <w:spacing w:val="-14"/>
                <w:sz w:val="20"/>
              </w:rPr>
              <w:t> </w:t>
            </w:r>
            <w:r>
              <w:rPr>
                <w:b/>
                <w:color w:val="DF2F1E"/>
                <w:sz w:val="20"/>
              </w:rPr>
              <w:t>wi</w:t>
            </w:r>
          </w:p>
        </w:tc>
        <w:tc>
          <w:tcPr>
            <w:tcW w:w="6595" w:type="dxa"/>
            <w:gridSpan w:val="2"/>
            <w:tcBorders>
              <w:top w:val="single" w:sz="4" w:space="0" w:color="DF2F1E"/>
              <w:bottom w:val="nil"/>
              <w:right w:val="nil"/>
            </w:tcBorders>
          </w:tcPr>
          <w:p>
            <w:pPr>
              <w:pStyle w:val="TableParagraph"/>
              <w:spacing w:before="0"/>
              <w:rPr>
                <w:b/>
                <w:sz w:val="22"/>
              </w:rPr>
            </w:pPr>
          </w:p>
          <w:p>
            <w:pPr>
              <w:pStyle w:val="TableParagraph"/>
              <w:spacing w:before="9"/>
              <w:rPr>
                <w:b/>
                <w:sz w:val="18"/>
              </w:rPr>
            </w:pPr>
          </w:p>
          <w:p>
            <w:pPr>
              <w:pStyle w:val="TableParagraph"/>
              <w:spacing w:before="1"/>
              <w:ind w:left="-6"/>
              <w:rPr>
                <w:sz w:val="20"/>
              </w:rPr>
            </w:pPr>
            <w:r>
              <w:rPr>
                <w:color w:val="404040"/>
                <w:sz w:val="20"/>
              </w:rPr>
              <w:t>lated future policy changes of which we are aware. These will take effect</w:t>
            </w:r>
          </w:p>
          <w:p>
            <w:pPr>
              <w:pStyle w:val="TableParagraph"/>
              <w:spacing w:before="0"/>
              <w:rPr>
                <w:b/>
                <w:sz w:val="22"/>
              </w:rPr>
            </w:pPr>
          </w:p>
          <w:p>
            <w:pPr>
              <w:pStyle w:val="TableParagraph"/>
              <w:spacing w:before="153"/>
              <w:ind w:left="-5"/>
              <w:rPr>
                <w:b/>
                <w:sz w:val="20"/>
              </w:rPr>
            </w:pPr>
            <w:r>
              <w:rPr>
                <w:b/>
                <w:color w:val="DF2F1E"/>
                <w:sz w:val="20"/>
              </w:rPr>
              <w:t>ll take effect after the valuation date</w:t>
            </w:r>
          </w:p>
        </w:tc>
      </w:tr>
      <w:tr>
        <w:trPr>
          <w:trHeight w:val="453" w:hRule="atLeast"/>
        </w:trPr>
        <w:tc>
          <w:tcPr>
            <w:tcW w:w="3283" w:type="dxa"/>
            <w:tcBorders>
              <w:top w:val="nil"/>
              <w:left w:val="nil"/>
              <w:bottom w:val="nil"/>
            </w:tcBorders>
            <w:shd w:val="clear" w:color="auto" w:fill="DF2F1E"/>
          </w:tcPr>
          <w:p>
            <w:pPr>
              <w:pStyle w:val="TableParagraph"/>
              <w:spacing w:before="1"/>
              <w:rPr>
                <w:b/>
                <w:sz w:val="19"/>
              </w:rPr>
            </w:pPr>
          </w:p>
          <w:p>
            <w:pPr>
              <w:pStyle w:val="TableParagraph"/>
              <w:spacing w:before="0"/>
              <w:ind w:left="127"/>
              <w:rPr>
                <w:b/>
                <w:sz w:val="16"/>
              </w:rPr>
            </w:pPr>
            <w:r>
              <w:rPr>
                <w:b/>
                <w:color w:val="FFFFFF"/>
                <w:sz w:val="16"/>
              </w:rPr>
              <w:t>Amendment</w:t>
            </w:r>
          </w:p>
        </w:tc>
        <w:tc>
          <w:tcPr>
            <w:tcW w:w="858" w:type="dxa"/>
            <w:tcBorders>
              <w:top w:val="nil"/>
              <w:bottom w:val="nil"/>
            </w:tcBorders>
            <w:shd w:val="clear" w:color="auto" w:fill="DF2F1E"/>
          </w:tcPr>
          <w:p>
            <w:pPr>
              <w:pStyle w:val="TableParagraph"/>
              <w:spacing w:before="34"/>
              <w:ind w:left="95" w:right="12"/>
              <w:rPr>
                <w:b/>
                <w:sz w:val="16"/>
              </w:rPr>
            </w:pPr>
            <w:r>
              <w:rPr>
                <w:b/>
                <w:color w:val="FFFFFF"/>
                <w:sz w:val="16"/>
              </w:rPr>
              <w:t>Valuation Year</w:t>
            </w:r>
          </w:p>
        </w:tc>
        <w:tc>
          <w:tcPr>
            <w:tcW w:w="5737" w:type="dxa"/>
            <w:tcBorders>
              <w:top w:val="nil"/>
              <w:bottom w:val="nil"/>
              <w:right w:val="nil"/>
            </w:tcBorders>
            <w:shd w:val="clear" w:color="auto" w:fill="DF2F1E"/>
          </w:tcPr>
          <w:p>
            <w:pPr>
              <w:pStyle w:val="TableParagraph"/>
              <w:spacing w:before="1"/>
              <w:rPr>
                <w:b/>
                <w:sz w:val="19"/>
              </w:rPr>
            </w:pPr>
          </w:p>
          <w:p>
            <w:pPr>
              <w:pStyle w:val="TableParagraph"/>
              <w:spacing w:before="0"/>
              <w:ind w:left="87"/>
              <w:rPr>
                <w:b/>
                <w:sz w:val="16"/>
              </w:rPr>
            </w:pPr>
            <w:r>
              <w:rPr>
                <w:b/>
                <w:color w:val="FFFFFF"/>
                <w:sz w:val="16"/>
              </w:rPr>
              <w:t>Description</w:t>
            </w:r>
          </w:p>
        </w:tc>
      </w:tr>
    </w:tbl>
    <w:p>
      <w:pPr>
        <w:pStyle w:val="BodyText"/>
        <w:spacing w:before="9"/>
        <w:rPr>
          <w:b/>
          <w:sz w:val="3"/>
        </w:rPr>
      </w:pPr>
    </w:p>
    <w:tbl>
      <w:tblPr>
        <w:tblW w:w="0" w:type="auto"/>
        <w:jc w:val="left"/>
        <w:tblInd w:w="8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67"/>
        <w:gridCol w:w="718"/>
        <w:gridCol w:w="5891"/>
      </w:tblGrid>
      <w:tr>
        <w:trPr>
          <w:trHeight w:val="1144" w:hRule="atLeast"/>
        </w:trPr>
        <w:tc>
          <w:tcPr>
            <w:tcW w:w="3267" w:type="dxa"/>
          </w:tcPr>
          <w:p>
            <w:pPr>
              <w:pStyle w:val="TableParagraph"/>
              <w:spacing w:before="0"/>
              <w:ind w:left="127" w:right="97"/>
              <w:rPr>
                <w:b/>
                <w:sz w:val="16"/>
              </w:rPr>
            </w:pPr>
            <w:r>
              <w:rPr>
                <w:b/>
                <w:color w:val="404040"/>
                <w:sz w:val="16"/>
              </w:rPr>
              <w:t>Introduction of Child Care Subsidy (CCS) and Additional Child Care Subsidy (ACCS), and cessation of Child Care Benefit (CCB) and Child Care Rebate (CCR).</w:t>
            </w:r>
          </w:p>
          <w:p>
            <w:pPr>
              <w:pStyle w:val="TableParagraph"/>
              <w:spacing w:line="167" w:lineRule="exact" w:before="38"/>
              <w:ind w:left="127"/>
              <w:rPr>
                <w:sz w:val="16"/>
              </w:rPr>
            </w:pPr>
            <w:r>
              <w:rPr>
                <w:color w:val="404040"/>
                <w:sz w:val="16"/>
              </w:rPr>
              <w:t>Family Assistance Legislation Amendment</w:t>
            </w:r>
          </w:p>
        </w:tc>
        <w:tc>
          <w:tcPr>
            <w:tcW w:w="718" w:type="dxa"/>
          </w:tcPr>
          <w:p>
            <w:pPr>
              <w:pStyle w:val="TableParagraph"/>
              <w:spacing w:line="182" w:lineRule="exact" w:before="0"/>
              <w:ind w:left="116"/>
              <w:rPr>
                <w:sz w:val="16"/>
              </w:rPr>
            </w:pPr>
            <w:r>
              <w:rPr>
                <w:color w:val="404040"/>
                <w:sz w:val="16"/>
              </w:rPr>
              <w:t>2019</w:t>
            </w:r>
          </w:p>
        </w:tc>
        <w:tc>
          <w:tcPr>
            <w:tcW w:w="5891" w:type="dxa"/>
          </w:tcPr>
          <w:p>
            <w:pPr>
              <w:pStyle w:val="TableParagraph"/>
              <w:spacing w:before="0"/>
              <w:ind w:left="248" w:right="109"/>
              <w:rPr>
                <w:sz w:val="16"/>
              </w:rPr>
            </w:pPr>
            <w:r>
              <w:rPr>
                <w:color w:val="404040"/>
                <w:sz w:val="16"/>
              </w:rPr>
              <w:t>The CCS will replace the current child care payments (including CCB and CCR). ACCS will provide improved and targeted support to those families </w:t>
            </w:r>
            <w:r>
              <w:rPr>
                <w:color w:val="404040"/>
                <w:spacing w:val="-2"/>
                <w:sz w:val="16"/>
              </w:rPr>
              <w:t>who </w:t>
            </w:r>
            <w:r>
              <w:rPr>
                <w:color w:val="404040"/>
                <w:sz w:val="16"/>
              </w:rPr>
              <w:t>require it most, such as: families with children at risk of serious abuse or neglect; families experiencing temporary financial hardship; families on income support transitioning to work; and grandparent carers on income support</w:t>
            </w:r>
          </w:p>
        </w:tc>
      </w:tr>
      <w:tr>
        <w:trPr>
          <w:trHeight w:val="407" w:hRule="atLeast"/>
        </w:trPr>
        <w:tc>
          <w:tcPr>
            <w:tcW w:w="3267" w:type="dxa"/>
            <w:tcBorders>
              <w:bottom w:val="single" w:sz="4" w:space="0" w:color="DF2F1E"/>
            </w:tcBorders>
          </w:tcPr>
          <w:p>
            <w:pPr>
              <w:pStyle w:val="TableParagraph"/>
              <w:spacing w:before="0"/>
              <w:ind w:left="127" w:right="336"/>
              <w:rPr>
                <w:sz w:val="16"/>
              </w:rPr>
            </w:pPr>
            <w:r>
              <w:rPr>
                <w:color w:val="404040"/>
                <w:sz w:val="16"/>
              </w:rPr>
              <w:t>(Jobs for Families Child Care Package) Act 2017</w:t>
            </w:r>
          </w:p>
        </w:tc>
        <w:tc>
          <w:tcPr>
            <w:tcW w:w="718" w:type="dxa"/>
            <w:tcBorders>
              <w:bottom w:val="single" w:sz="4" w:space="0" w:color="DF2F1E"/>
            </w:tcBorders>
          </w:tcPr>
          <w:p>
            <w:pPr>
              <w:pStyle w:val="TableParagraph"/>
              <w:spacing w:before="0"/>
              <w:rPr>
                <w:rFonts w:ascii="Times New Roman"/>
                <w:sz w:val="16"/>
              </w:rPr>
            </w:pPr>
          </w:p>
        </w:tc>
        <w:tc>
          <w:tcPr>
            <w:tcW w:w="5891" w:type="dxa"/>
            <w:tcBorders>
              <w:bottom w:val="single" w:sz="4" w:space="0" w:color="DF2F1E"/>
            </w:tcBorders>
          </w:tcPr>
          <w:p>
            <w:pPr>
              <w:pStyle w:val="TableParagraph"/>
              <w:spacing w:before="0"/>
              <w:rPr>
                <w:rFonts w:ascii="Times New Roman"/>
                <w:sz w:val="16"/>
              </w:rPr>
            </w:pPr>
          </w:p>
        </w:tc>
      </w:tr>
      <w:tr>
        <w:trPr>
          <w:trHeight w:val="673" w:hRule="atLeast"/>
        </w:trPr>
        <w:tc>
          <w:tcPr>
            <w:tcW w:w="3267" w:type="dxa"/>
            <w:tcBorders>
              <w:top w:val="single" w:sz="4" w:space="0" w:color="DF2F1E"/>
              <w:bottom w:val="single" w:sz="4" w:space="0" w:color="DF2F1E"/>
            </w:tcBorders>
          </w:tcPr>
          <w:p>
            <w:pPr>
              <w:pStyle w:val="TableParagraph"/>
              <w:spacing w:before="34"/>
              <w:ind w:left="127" w:right="203"/>
              <w:rPr>
                <w:b/>
                <w:sz w:val="16"/>
              </w:rPr>
            </w:pPr>
            <w:r>
              <w:rPr>
                <w:b/>
                <w:color w:val="404040"/>
                <w:sz w:val="16"/>
              </w:rPr>
              <w:t>Remove the exemptions for Parents in Employment Nil Rate Periods</w:t>
            </w:r>
          </w:p>
          <w:p>
            <w:pPr>
              <w:pStyle w:val="TableParagraph"/>
              <w:spacing w:before="43"/>
              <w:ind w:left="127"/>
              <w:rPr>
                <w:sz w:val="16"/>
              </w:rPr>
            </w:pPr>
            <w:r>
              <w:rPr>
                <w:color w:val="404040"/>
                <w:sz w:val="16"/>
              </w:rPr>
              <w:t>Budget Savings (Omnibus) Act 2016</w:t>
            </w:r>
          </w:p>
        </w:tc>
        <w:tc>
          <w:tcPr>
            <w:tcW w:w="718" w:type="dxa"/>
            <w:tcBorders>
              <w:top w:val="single" w:sz="4" w:space="0" w:color="DF2F1E"/>
              <w:bottom w:val="single" w:sz="4" w:space="0" w:color="DF2F1E"/>
            </w:tcBorders>
          </w:tcPr>
          <w:p>
            <w:pPr>
              <w:pStyle w:val="TableParagraph"/>
              <w:ind w:left="116"/>
              <w:rPr>
                <w:sz w:val="16"/>
              </w:rPr>
            </w:pPr>
            <w:r>
              <w:rPr>
                <w:color w:val="404040"/>
                <w:sz w:val="16"/>
              </w:rPr>
              <w:t>2019</w:t>
            </w:r>
          </w:p>
        </w:tc>
        <w:tc>
          <w:tcPr>
            <w:tcW w:w="5891" w:type="dxa"/>
            <w:tcBorders>
              <w:top w:val="single" w:sz="4" w:space="0" w:color="DF2F1E"/>
              <w:bottom w:val="single" w:sz="4" w:space="0" w:color="DF2F1E"/>
            </w:tcBorders>
          </w:tcPr>
          <w:p>
            <w:pPr>
              <w:pStyle w:val="TableParagraph"/>
              <w:ind w:left="248" w:right="623"/>
              <w:jc w:val="both"/>
              <w:rPr>
                <w:sz w:val="16"/>
              </w:rPr>
            </w:pPr>
            <w:r>
              <w:rPr>
                <w:color w:val="404040"/>
                <w:sz w:val="16"/>
              </w:rPr>
              <w:t>From 1 July 2018, people will no longer be exempt from income testing arrangements and their actual income will be taken into account for the purpose of calculating family and student payments.</w:t>
            </w:r>
          </w:p>
        </w:tc>
      </w:tr>
    </w:tbl>
    <w:p>
      <w:pPr>
        <w:spacing w:after="0"/>
        <w:jc w:val="both"/>
        <w:rPr>
          <w:sz w:val="16"/>
        </w:rPr>
        <w:sectPr>
          <w:pgSz w:w="11910" w:h="16850"/>
          <w:pgMar w:header="572" w:footer="581" w:top="780" w:bottom="780" w:left="120" w:right="0"/>
        </w:sectPr>
      </w:pPr>
    </w:p>
    <w:p>
      <w:pPr>
        <w:pStyle w:val="BodyText"/>
        <w:rPr>
          <w:b/>
        </w:rPr>
      </w:pPr>
    </w:p>
    <w:p>
      <w:pPr>
        <w:pStyle w:val="BodyText"/>
        <w:rPr>
          <w:b/>
        </w:rPr>
      </w:pPr>
    </w:p>
    <w:p>
      <w:pPr>
        <w:pStyle w:val="BodyText"/>
        <w:rPr>
          <w:b/>
        </w:rPr>
      </w:pPr>
    </w:p>
    <w:p>
      <w:pPr>
        <w:pStyle w:val="BodyText"/>
        <w:spacing w:before="9"/>
        <w:rPr>
          <w:b/>
          <w:sz w:val="10"/>
        </w:rPr>
      </w:pPr>
    </w:p>
    <w:tbl>
      <w:tblPr>
        <w:tblW w:w="0" w:type="auto"/>
        <w:jc w:val="left"/>
        <w:tblInd w:w="9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54"/>
        <w:gridCol w:w="900"/>
        <w:gridCol w:w="5711"/>
      </w:tblGrid>
      <w:tr>
        <w:trPr>
          <w:trHeight w:val="446" w:hRule="atLeast"/>
        </w:trPr>
        <w:tc>
          <w:tcPr>
            <w:tcW w:w="3254" w:type="dxa"/>
            <w:shd w:val="clear" w:color="auto" w:fill="DF2F1E"/>
          </w:tcPr>
          <w:p>
            <w:pPr>
              <w:pStyle w:val="TableParagraph"/>
              <w:spacing w:before="10"/>
              <w:rPr>
                <w:b/>
                <w:sz w:val="18"/>
              </w:rPr>
            </w:pPr>
          </w:p>
          <w:p>
            <w:pPr>
              <w:pStyle w:val="TableParagraph"/>
              <w:spacing w:before="0"/>
              <w:ind w:left="112"/>
              <w:rPr>
                <w:b/>
                <w:sz w:val="16"/>
              </w:rPr>
            </w:pPr>
            <w:r>
              <w:rPr>
                <w:b/>
                <w:color w:val="FFFFFF"/>
                <w:sz w:val="16"/>
              </w:rPr>
              <w:t>Amendment</w:t>
            </w:r>
          </w:p>
        </w:tc>
        <w:tc>
          <w:tcPr>
            <w:tcW w:w="900" w:type="dxa"/>
            <w:shd w:val="clear" w:color="auto" w:fill="DF2F1E"/>
          </w:tcPr>
          <w:p>
            <w:pPr>
              <w:pStyle w:val="TableParagraph"/>
              <w:spacing w:before="34"/>
              <w:ind w:left="115" w:right="44"/>
              <w:rPr>
                <w:b/>
                <w:sz w:val="16"/>
              </w:rPr>
            </w:pPr>
            <w:r>
              <w:rPr>
                <w:b/>
                <w:color w:val="FFFFFF"/>
                <w:sz w:val="16"/>
              </w:rPr>
              <w:t>Valuation Year</w:t>
            </w:r>
          </w:p>
        </w:tc>
        <w:tc>
          <w:tcPr>
            <w:tcW w:w="5711" w:type="dxa"/>
            <w:shd w:val="clear" w:color="auto" w:fill="DF2F1E"/>
          </w:tcPr>
          <w:p>
            <w:pPr>
              <w:pStyle w:val="TableParagraph"/>
              <w:spacing w:before="10"/>
              <w:rPr>
                <w:b/>
                <w:sz w:val="18"/>
              </w:rPr>
            </w:pPr>
          </w:p>
          <w:p>
            <w:pPr>
              <w:pStyle w:val="TableParagraph"/>
              <w:spacing w:before="0"/>
              <w:ind w:left="65"/>
              <w:rPr>
                <w:b/>
                <w:sz w:val="16"/>
              </w:rPr>
            </w:pPr>
            <w:r>
              <w:rPr>
                <w:b/>
                <w:color w:val="FFFFFF"/>
                <w:sz w:val="16"/>
              </w:rPr>
              <w:t>Description</w:t>
            </w:r>
          </w:p>
        </w:tc>
      </w:tr>
      <w:tr>
        <w:trPr>
          <w:trHeight w:val="818" w:hRule="atLeast"/>
        </w:trPr>
        <w:tc>
          <w:tcPr>
            <w:tcW w:w="3254" w:type="dxa"/>
            <w:tcBorders>
              <w:bottom w:val="single" w:sz="4" w:space="0" w:color="DF2F1E"/>
            </w:tcBorders>
          </w:tcPr>
          <w:p>
            <w:pPr>
              <w:pStyle w:val="TableParagraph"/>
              <w:ind w:left="112"/>
              <w:rPr>
                <w:b/>
                <w:sz w:val="16"/>
              </w:rPr>
            </w:pPr>
            <w:r>
              <w:rPr>
                <w:b/>
                <w:color w:val="404040"/>
                <w:sz w:val="16"/>
              </w:rPr>
              <w:t>Targeted compliance framework</w:t>
            </w:r>
          </w:p>
        </w:tc>
        <w:tc>
          <w:tcPr>
            <w:tcW w:w="900" w:type="dxa"/>
            <w:tcBorders>
              <w:bottom w:val="single" w:sz="4" w:space="0" w:color="DF2F1E"/>
            </w:tcBorders>
          </w:tcPr>
          <w:p>
            <w:pPr>
              <w:pStyle w:val="TableParagraph"/>
              <w:spacing w:before="39"/>
              <w:ind w:left="115"/>
              <w:rPr>
                <w:sz w:val="16"/>
              </w:rPr>
            </w:pPr>
            <w:r>
              <w:rPr>
                <w:color w:val="404040"/>
                <w:sz w:val="16"/>
              </w:rPr>
              <w:t>2019</w:t>
            </w:r>
          </w:p>
        </w:tc>
        <w:tc>
          <w:tcPr>
            <w:tcW w:w="5711" w:type="dxa"/>
            <w:tcBorders>
              <w:top w:val="single" w:sz="4" w:space="0" w:color="DF2F1E"/>
              <w:bottom w:val="single" w:sz="4" w:space="0" w:color="DF2F1E"/>
            </w:tcBorders>
          </w:tcPr>
          <w:p>
            <w:pPr>
              <w:pStyle w:val="TableParagraph"/>
              <w:spacing w:before="39"/>
              <w:ind w:left="65" w:right="503"/>
              <w:rPr>
                <w:sz w:val="16"/>
              </w:rPr>
            </w:pPr>
            <w:r>
              <w:rPr>
                <w:color w:val="404040"/>
                <w:sz w:val="16"/>
              </w:rPr>
              <w:t>From 1 July 2018, a two-phase compliance framework will be introduced which will apply strong penalties to job seekers who persistently and deliberately do not comply with their employment pathway plan (EPP) requirements.</w:t>
            </w:r>
          </w:p>
        </w:tc>
      </w:tr>
      <w:tr>
        <w:trPr>
          <w:trHeight w:val="630" w:hRule="atLeast"/>
        </w:trPr>
        <w:tc>
          <w:tcPr>
            <w:tcW w:w="3254" w:type="dxa"/>
            <w:tcBorders>
              <w:top w:val="single" w:sz="4" w:space="0" w:color="DF2F1E"/>
              <w:bottom w:val="single" w:sz="4" w:space="0" w:color="DF2F1E"/>
            </w:tcBorders>
          </w:tcPr>
          <w:p>
            <w:pPr>
              <w:pStyle w:val="TableParagraph"/>
              <w:spacing w:before="34"/>
              <w:ind w:left="112" w:right="161"/>
              <w:rPr>
                <w:b/>
                <w:sz w:val="16"/>
              </w:rPr>
            </w:pPr>
            <w:r>
              <w:rPr>
                <w:b/>
                <w:color w:val="404040"/>
                <w:sz w:val="16"/>
              </w:rPr>
              <w:t>Introduction of a family income test for Carer Allowance</w:t>
            </w:r>
          </w:p>
        </w:tc>
        <w:tc>
          <w:tcPr>
            <w:tcW w:w="900" w:type="dxa"/>
            <w:tcBorders>
              <w:top w:val="single" w:sz="4" w:space="0" w:color="DF2F1E"/>
              <w:bottom w:val="single" w:sz="4" w:space="0" w:color="DF2F1E"/>
            </w:tcBorders>
          </w:tcPr>
          <w:p>
            <w:pPr>
              <w:pStyle w:val="TableParagraph"/>
              <w:ind w:left="115"/>
              <w:rPr>
                <w:sz w:val="16"/>
              </w:rPr>
            </w:pPr>
            <w:r>
              <w:rPr>
                <w:color w:val="404040"/>
                <w:sz w:val="16"/>
              </w:rPr>
              <w:t>2019</w:t>
            </w:r>
          </w:p>
        </w:tc>
        <w:tc>
          <w:tcPr>
            <w:tcW w:w="5711" w:type="dxa"/>
            <w:tcBorders>
              <w:top w:val="single" w:sz="4" w:space="0" w:color="DF2F1E"/>
              <w:bottom w:val="single" w:sz="4" w:space="0" w:color="DF2F1E"/>
            </w:tcBorders>
          </w:tcPr>
          <w:p>
            <w:pPr>
              <w:pStyle w:val="TableParagraph"/>
              <w:ind w:left="65" w:right="155"/>
              <w:rPr>
                <w:sz w:val="16"/>
              </w:rPr>
            </w:pPr>
            <w:r>
              <w:rPr>
                <w:color w:val="404040"/>
                <w:sz w:val="16"/>
              </w:rPr>
              <w:t>Introduction of a non-indexed family income test for Carer Allowance with a threshold of $250,000. Savings realised will be invested in a support package for carers which will be introduced progressively from October 2018.</w:t>
            </w:r>
          </w:p>
        </w:tc>
      </w:tr>
      <w:tr>
        <w:trPr>
          <w:trHeight w:val="1185" w:hRule="atLeast"/>
        </w:trPr>
        <w:tc>
          <w:tcPr>
            <w:tcW w:w="3254" w:type="dxa"/>
            <w:tcBorders>
              <w:top w:val="single" w:sz="4" w:space="0" w:color="DF2F1E"/>
              <w:bottom w:val="single" w:sz="4" w:space="0" w:color="DF2F1E"/>
            </w:tcBorders>
          </w:tcPr>
          <w:p>
            <w:pPr>
              <w:pStyle w:val="TableParagraph"/>
              <w:spacing w:before="34"/>
              <w:ind w:left="112" w:right="312"/>
              <w:rPr>
                <w:b/>
                <w:sz w:val="16"/>
              </w:rPr>
            </w:pPr>
            <w:r>
              <w:rPr>
                <w:b/>
                <w:color w:val="404040"/>
                <w:sz w:val="16"/>
              </w:rPr>
              <w:t>Changes to activity tests for persons aged 55 to 59</w:t>
            </w:r>
          </w:p>
          <w:p>
            <w:pPr>
              <w:pStyle w:val="TableParagraph"/>
              <w:spacing w:before="45"/>
              <w:ind w:left="112" w:right="311"/>
              <w:rPr>
                <w:sz w:val="16"/>
              </w:rPr>
            </w:pPr>
            <w:r>
              <w:rPr>
                <w:color w:val="404040"/>
                <w:sz w:val="16"/>
              </w:rPr>
              <w:t>Social Services Legislation Amendment (Welfare Reform) Act 2018</w:t>
            </w:r>
          </w:p>
        </w:tc>
        <w:tc>
          <w:tcPr>
            <w:tcW w:w="900" w:type="dxa"/>
            <w:tcBorders>
              <w:top w:val="single" w:sz="4" w:space="0" w:color="DF2F1E"/>
              <w:bottom w:val="single" w:sz="4" w:space="0" w:color="DF2F1E"/>
            </w:tcBorders>
          </w:tcPr>
          <w:p>
            <w:pPr>
              <w:pStyle w:val="TableParagraph"/>
              <w:ind w:left="115"/>
              <w:rPr>
                <w:sz w:val="16"/>
              </w:rPr>
            </w:pPr>
            <w:r>
              <w:rPr>
                <w:color w:val="404040"/>
                <w:sz w:val="16"/>
              </w:rPr>
              <w:t>2019</w:t>
            </w:r>
          </w:p>
        </w:tc>
        <w:tc>
          <w:tcPr>
            <w:tcW w:w="5711" w:type="dxa"/>
            <w:tcBorders>
              <w:top w:val="single" w:sz="4" w:space="0" w:color="DF2F1E"/>
              <w:bottom w:val="single" w:sz="4" w:space="0" w:color="DF2F1E"/>
            </w:tcBorders>
          </w:tcPr>
          <w:p>
            <w:pPr>
              <w:pStyle w:val="TableParagraph"/>
              <w:ind w:left="65" w:right="112"/>
              <w:rPr>
                <w:sz w:val="16"/>
              </w:rPr>
            </w:pPr>
            <w:r>
              <w:rPr>
                <w:color w:val="404040"/>
                <w:sz w:val="16"/>
              </w:rPr>
              <w:t>Newstart and certain Special Benefits recipients aged 55-59 will no longer be able to satisfy the activity test by engaging in voluntary work for at least 30 hours per fortnights. Recipients will be taken to satisfy the work test if they are engaged for at least 30 hours per fortnight in a combination of approved unpaid voluntary work and suitable paid work, at least 15 hours of which must be in suitable paid work.</w:t>
            </w:r>
          </w:p>
        </w:tc>
      </w:tr>
      <w:tr>
        <w:trPr>
          <w:trHeight w:val="671" w:hRule="atLeast"/>
        </w:trPr>
        <w:tc>
          <w:tcPr>
            <w:tcW w:w="3254" w:type="dxa"/>
            <w:tcBorders>
              <w:top w:val="single" w:sz="4" w:space="0" w:color="DF2F1E"/>
              <w:bottom w:val="single" w:sz="4" w:space="0" w:color="DF2F1E"/>
            </w:tcBorders>
          </w:tcPr>
          <w:p>
            <w:pPr>
              <w:pStyle w:val="TableParagraph"/>
              <w:spacing w:before="34"/>
              <w:ind w:left="112"/>
              <w:rPr>
                <w:b/>
                <w:sz w:val="16"/>
              </w:rPr>
            </w:pPr>
            <w:r>
              <w:rPr>
                <w:b/>
                <w:color w:val="404040"/>
                <w:sz w:val="16"/>
              </w:rPr>
              <w:t>Removal of intent to claim provisions</w:t>
            </w:r>
          </w:p>
          <w:p>
            <w:pPr>
              <w:pStyle w:val="TableParagraph"/>
              <w:spacing w:before="42"/>
              <w:ind w:left="112" w:right="311"/>
              <w:rPr>
                <w:sz w:val="16"/>
              </w:rPr>
            </w:pPr>
            <w:r>
              <w:rPr>
                <w:color w:val="404040"/>
                <w:sz w:val="16"/>
              </w:rPr>
              <w:t>Social Services Legislation Amendment (Welfare Reform) Act 2018</w:t>
            </w:r>
          </w:p>
        </w:tc>
        <w:tc>
          <w:tcPr>
            <w:tcW w:w="900" w:type="dxa"/>
            <w:tcBorders>
              <w:top w:val="single" w:sz="4" w:space="0" w:color="DF2F1E"/>
              <w:bottom w:val="single" w:sz="4" w:space="0" w:color="DF2F1E"/>
            </w:tcBorders>
          </w:tcPr>
          <w:p>
            <w:pPr>
              <w:pStyle w:val="TableParagraph"/>
              <w:ind w:left="115"/>
              <w:rPr>
                <w:sz w:val="16"/>
              </w:rPr>
            </w:pPr>
            <w:r>
              <w:rPr>
                <w:color w:val="404040"/>
                <w:sz w:val="16"/>
              </w:rPr>
              <w:t>2019</w:t>
            </w:r>
          </w:p>
        </w:tc>
        <w:tc>
          <w:tcPr>
            <w:tcW w:w="5711" w:type="dxa"/>
            <w:tcBorders>
              <w:top w:val="single" w:sz="4" w:space="0" w:color="DF2F1E"/>
              <w:bottom w:val="single" w:sz="4" w:space="0" w:color="DF2F1E"/>
            </w:tcBorders>
          </w:tcPr>
          <w:p>
            <w:pPr>
              <w:pStyle w:val="TableParagraph"/>
              <w:ind w:left="65" w:right="209"/>
              <w:rPr>
                <w:sz w:val="16"/>
              </w:rPr>
            </w:pPr>
            <w:r>
              <w:rPr>
                <w:color w:val="404040"/>
                <w:sz w:val="16"/>
              </w:rPr>
              <w:t>Previously claim entitlement was backdated to the date a claimant initially contacted the Department of Human Services and indicated their intention to claim. It will now be the date the claim was made.</w:t>
            </w:r>
          </w:p>
        </w:tc>
      </w:tr>
      <w:tr>
        <w:trPr>
          <w:trHeight w:val="856" w:hRule="atLeast"/>
        </w:trPr>
        <w:tc>
          <w:tcPr>
            <w:tcW w:w="3254" w:type="dxa"/>
            <w:tcBorders>
              <w:top w:val="single" w:sz="4" w:space="0" w:color="DF2F1E"/>
              <w:bottom w:val="single" w:sz="4" w:space="0" w:color="DF2F1E"/>
            </w:tcBorders>
          </w:tcPr>
          <w:p>
            <w:pPr>
              <w:pStyle w:val="TableParagraph"/>
              <w:spacing w:before="34"/>
              <w:ind w:left="112" w:right="463"/>
              <w:rPr>
                <w:b/>
                <w:sz w:val="16"/>
              </w:rPr>
            </w:pPr>
            <w:r>
              <w:rPr>
                <w:b/>
                <w:color w:val="404040"/>
                <w:sz w:val="16"/>
              </w:rPr>
              <w:t>Removal of exemptions for drug or alcohol dependence</w:t>
            </w:r>
          </w:p>
          <w:p>
            <w:pPr>
              <w:pStyle w:val="TableParagraph"/>
              <w:spacing w:before="43"/>
              <w:ind w:left="112" w:right="311"/>
              <w:rPr>
                <w:sz w:val="16"/>
              </w:rPr>
            </w:pPr>
            <w:r>
              <w:rPr>
                <w:color w:val="404040"/>
                <w:sz w:val="16"/>
              </w:rPr>
              <w:t>Social Services Legislation Amendment (Welfare Reform) Act 2018</w:t>
            </w:r>
          </w:p>
        </w:tc>
        <w:tc>
          <w:tcPr>
            <w:tcW w:w="900" w:type="dxa"/>
            <w:tcBorders>
              <w:top w:val="single" w:sz="4" w:space="0" w:color="DF2F1E"/>
              <w:bottom w:val="single" w:sz="4" w:space="0" w:color="DF2F1E"/>
            </w:tcBorders>
          </w:tcPr>
          <w:p>
            <w:pPr>
              <w:pStyle w:val="TableParagraph"/>
              <w:ind w:left="115"/>
              <w:rPr>
                <w:sz w:val="16"/>
              </w:rPr>
            </w:pPr>
            <w:r>
              <w:rPr>
                <w:color w:val="404040"/>
                <w:sz w:val="16"/>
              </w:rPr>
              <w:t>2019</w:t>
            </w:r>
          </w:p>
        </w:tc>
        <w:tc>
          <w:tcPr>
            <w:tcW w:w="5711" w:type="dxa"/>
            <w:tcBorders>
              <w:top w:val="single" w:sz="4" w:space="0" w:color="DF2F1E"/>
              <w:bottom w:val="single" w:sz="4" w:space="0" w:color="DF2F1E"/>
            </w:tcBorders>
          </w:tcPr>
          <w:p>
            <w:pPr>
              <w:pStyle w:val="TableParagraph"/>
              <w:ind w:left="65" w:right="120"/>
              <w:rPr>
                <w:sz w:val="16"/>
              </w:rPr>
            </w:pPr>
            <w:r>
              <w:rPr>
                <w:color w:val="404040"/>
                <w:sz w:val="16"/>
              </w:rPr>
              <w:t>Exemptions from the activity test and participation requirements will no longer be available in relation to circumstances directly attributable to drug or alcohol misuse (including abuse of drugs or alcohol) for certain social security recipients.</w:t>
            </w:r>
          </w:p>
        </w:tc>
      </w:tr>
      <w:tr>
        <w:trPr>
          <w:trHeight w:val="815" w:hRule="atLeast"/>
        </w:trPr>
        <w:tc>
          <w:tcPr>
            <w:tcW w:w="3254" w:type="dxa"/>
            <w:tcBorders>
              <w:top w:val="single" w:sz="4" w:space="0" w:color="DF2F1E"/>
              <w:bottom w:val="single" w:sz="4" w:space="0" w:color="DF2F1E"/>
            </w:tcBorders>
          </w:tcPr>
          <w:p>
            <w:pPr>
              <w:pStyle w:val="TableParagraph"/>
              <w:spacing w:before="34"/>
              <w:ind w:left="112"/>
              <w:rPr>
                <w:b/>
                <w:sz w:val="16"/>
              </w:rPr>
            </w:pPr>
            <w:r>
              <w:rPr>
                <w:b/>
                <w:color w:val="404040"/>
                <w:sz w:val="16"/>
              </w:rPr>
              <w:t>Streamlining tax file number collection</w:t>
            </w:r>
          </w:p>
          <w:p>
            <w:pPr>
              <w:pStyle w:val="TableParagraph"/>
              <w:spacing w:before="42"/>
              <w:ind w:left="112" w:right="311"/>
              <w:rPr>
                <w:sz w:val="16"/>
              </w:rPr>
            </w:pPr>
            <w:r>
              <w:rPr>
                <w:color w:val="404040"/>
                <w:sz w:val="16"/>
              </w:rPr>
              <w:t>Social Services Legislation Amendment (Welfare Reform) Act 2018</w:t>
            </w:r>
          </w:p>
        </w:tc>
        <w:tc>
          <w:tcPr>
            <w:tcW w:w="900" w:type="dxa"/>
            <w:tcBorders>
              <w:top w:val="single" w:sz="4" w:space="0" w:color="DF2F1E"/>
              <w:bottom w:val="single" w:sz="4" w:space="0" w:color="DF2F1E"/>
            </w:tcBorders>
          </w:tcPr>
          <w:p>
            <w:pPr>
              <w:pStyle w:val="TableParagraph"/>
              <w:ind w:left="115"/>
              <w:rPr>
                <w:sz w:val="16"/>
              </w:rPr>
            </w:pPr>
            <w:r>
              <w:rPr>
                <w:color w:val="404040"/>
                <w:sz w:val="16"/>
              </w:rPr>
              <w:t>2019</w:t>
            </w:r>
          </w:p>
        </w:tc>
        <w:tc>
          <w:tcPr>
            <w:tcW w:w="5711" w:type="dxa"/>
            <w:tcBorders>
              <w:top w:val="single" w:sz="4" w:space="0" w:color="DF2F1E"/>
              <w:bottom w:val="single" w:sz="4" w:space="0" w:color="DF2F1E"/>
            </w:tcBorders>
          </w:tcPr>
          <w:p>
            <w:pPr>
              <w:pStyle w:val="TableParagraph"/>
              <w:ind w:left="65" w:right="132"/>
              <w:rPr>
                <w:sz w:val="16"/>
              </w:rPr>
            </w:pPr>
            <w:r>
              <w:rPr>
                <w:color w:val="404040"/>
                <w:sz w:val="16"/>
              </w:rPr>
              <w:t>Allows for a request to provide a tax file number and/or a relevant third party’s tax file number as part of a claim for a social security payment, seniors health card or income-tested health care card. Payments or the provision of the cards can be prevented until the request is satisfied.</w:t>
            </w:r>
          </w:p>
        </w:tc>
      </w:tr>
      <w:tr>
        <w:trPr>
          <w:trHeight w:val="815" w:hRule="atLeast"/>
        </w:trPr>
        <w:tc>
          <w:tcPr>
            <w:tcW w:w="3254" w:type="dxa"/>
            <w:tcBorders>
              <w:top w:val="single" w:sz="4" w:space="0" w:color="DF2F1E"/>
              <w:bottom w:val="single" w:sz="4" w:space="0" w:color="DF2F1E"/>
            </w:tcBorders>
          </w:tcPr>
          <w:p>
            <w:pPr>
              <w:pStyle w:val="TableParagraph"/>
              <w:spacing w:before="34"/>
              <w:ind w:left="112"/>
              <w:rPr>
                <w:b/>
                <w:sz w:val="16"/>
              </w:rPr>
            </w:pPr>
            <w:r>
              <w:rPr>
                <w:b/>
                <w:color w:val="404040"/>
                <w:sz w:val="16"/>
              </w:rPr>
              <w:t>Information</w:t>
            </w:r>
            <w:r>
              <w:rPr>
                <w:b/>
                <w:color w:val="404040"/>
                <w:spacing w:val="-4"/>
                <w:sz w:val="16"/>
              </w:rPr>
              <w:t> </w:t>
            </w:r>
            <w:r>
              <w:rPr>
                <w:b/>
                <w:color w:val="404040"/>
                <w:sz w:val="16"/>
              </w:rPr>
              <w:t>management</w:t>
            </w:r>
          </w:p>
          <w:p>
            <w:pPr>
              <w:pStyle w:val="TableParagraph"/>
              <w:spacing w:before="42"/>
              <w:ind w:left="112" w:right="311"/>
              <w:rPr>
                <w:sz w:val="16"/>
              </w:rPr>
            </w:pPr>
            <w:r>
              <w:rPr>
                <w:color w:val="404040"/>
                <w:sz w:val="16"/>
              </w:rPr>
              <w:t>Social Services Legislation Amendment (Welfare Reform) Act</w:t>
            </w:r>
            <w:r>
              <w:rPr>
                <w:color w:val="404040"/>
                <w:spacing w:val="-3"/>
                <w:sz w:val="16"/>
              </w:rPr>
              <w:t> </w:t>
            </w:r>
            <w:r>
              <w:rPr>
                <w:color w:val="404040"/>
                <w:sz w:val="16"/>
              </w:rPr>
              <w:t>2018</w:t>
            </w:r>
          </w:p>
        </w:tc>
        <w:tc>
          <w:tcPr>
            <w:tcW w:w="900" w:type="dxa"/>
            <w:tcBorders>
              <w:top w:val="single" w:sz="4" w:space="0" w:color="DF2F1E"/>
              <w:bottom w:val="single" w:sz="4" w:space="0" w:color="DF2F1E"/>
            </w:tcBorders>
          </w:tcPr>
          <w:p>
            <w:pPr>
              <w:pStyle w:val="TableParagraph"/>
              <w:ind w:left="115"/>
              <w:rPr>
                <w:sz w:val="16"/>
              </w:rPr>
            </w:pPr>
            <w:r>
              <w:rPr>
                <w:color w:val="404040"/>
                <w:sz w:val="16"/>
              </w:rPr>
              <w:t>2019</w:t>
            </w:r>
          </w:p>
        </w:tc>
        <w:tc>
          <w:tcPr>
            <w:tcW w:w="5711" w:type="dxa"/>
            <w:tcBorders>
              <w:top w:val="single" w:sz="4" w:space="0" w:color="DF2F1E"/>
              <w:bottom w:val="single" w:sz="4" w:space="0" w:color="DF2F1E"/>
            </w:tcBorders>
          </w:tcPr>
          <w:p>
            <w:pPr>
              <w:pStyle w:val="TableParagraph"/>
              <w:ind w:left="65" w:right="280"/>
              <w:rPr>
                <w:sz w:val="16"/>
              </w:rPr>
            </w:pPr>
            <w:r>
              <w:rPr>
                <w:color w:val="404040"/>
                <w:sz w:val="16"/>
              </w:rPr>
              <w:t>Information or documents obtained about a person under the coercive information gathering provisions in the course of an administrative action by the Department of Human Services can now be used in subsequent investigation and prosecution of criminal offences.</w:t>
            </w:r>
          </w:p>
        </w:tc>
      </w:tr>
      <w:tr>
        <w:trPr>
          <w:trHeight w:val="671" w:hRule="atLeast"/>
        </w:trPr>
        <w:tc>
          <w:tcPr>
            <w:tcW w:w="3254" w:type="dxa"/>
            <w:tcBorders>
              <w:top w:val="single" w:sz="4" w:space="0" w:color="DF2F1E"/>
              <w:bottom w:val="single" w:sz="4" w:space="0" w:color="DF2F1E"/>
            </w:tcBorders>
          </w:tcPr>
          <w:p>
            <w:pPr>
              <w:pStyle w:val="TableParagraph"/>
              <w:spacing w:before="34"/>
              <w:ind w:left="112"/>
              <w:rPr>
                <w:b/>
                <w:sz w:val="16"/>
              </w:rPr>
            </w:pPr>
            <w:r>
              <w:rPr>
                <w:b/>
                <w:color w:val="404040"/>
                <w:sz w:val="16"/>
              </w:rPr>
              <w:t>Cashless debit card extensions</w:t>
            </w:r>
          </w:p>
          <w:p>
            <w:pPr>
              <w:pStyle w:val="TableParagraph"/>
              <w:spacing w:before="44"/>
              <w:ind w:left="112" w:right="311"/>
              <w:rPr>
                <w:sz w:val="16"/>
              </w:rPr>
            </w:pPr>
            <w:r>
              <w:rPr>
                <w:color w:val="404040"/>
                <w:sz w:val="16"/>
              </w:rPr>
              <w:t>Social Services Legislation Amendment (Cashless Debit Card) Bill 2017</w:t>
            </w:r>
          </w:p>
        </w:tc>
        <w:tc>
          <w:tcPr>
            <w:tcW w:w="900" w:type="dxa"/>
            <w:tcBorders>
              <w:top w:val="single" w:sz="4" w:space="0" w:color="DF2F1E"/>
              <w:bottom w:val="single" w:sz="4" w:space="0" w:color="DF2F1E"/>
            </w:tcBorders>
          </w:tcPr>
          <w:p>
            <w:pPr>
              <w:pStyle w:val="TableParagraph"/>
              <w:ind w:left="115"/>
              <w:rPr>
                <w:sz w:val="16"/>
              </w:rPr>
            </w:pPr>
            <w:r>
              <w:rPr>
                <w:color w:val="404040"/>
                <w:sz w:val="16"/>
              </w:rPr>
              <w:t>2019</w:t>
            </w:r>
          </w:p>
        </w:tc>
        <w:tc>
          <w:tcPr>
            <w:tcW w:w="5711" w:type="dxa"/>
            <w:tcBorders>
              <w:top w:val="single" w:sz="4" w:space="0" w:color="DF2F1E"/>
              <w:bottom w:val="single" w:sz="4" w:space="0" w:color="DF2F1E"/>
            </w:tcBorders>
          </w:tcPr>
          <w:p>
            <w:pPr>
              <w:pStyle w:val="TableParagraph"/>
              <w:ind w:left="65" w:right="138"/>
              <w:rPr>
                <w:sz w:val="16"/>
              </w:rPr>
            </w:pPr>
            <w:r>
              <w:rPr>
                <w:color w:val="404040"/>
                <w:sz w:val="16"/>
              </w:rPr>
              <w:t>Amendments to support the </w:t>
            </w:r>
            <w:r>
              <w:rPr>
                <w:color w:val="444444"/>
                <w:sz w:val="16"/>
              </w:rPr>
              <w:t>extension of cashless debit card arrangements in current sites, and enable the expansion of the cashless debit card to further sites.</w:t>
            </w:r>
          </w:p>
        </w:tc>
      </w:tr>
      <w:tr>
        <w:trPr>
          <w:trHeight w:val="856" w:hRule="atLeast"/>
        </w:trPr>
        <w:tc>
          <w:tcPr>
            <w:tcW w:w="3254" w:type="dxa"/>
            <w:tcBorders>
              <w:top w:val="single" w:sz="4" w:space="0" w:color="DF2F1E"/>
              <w:bottom w:val="single" w:sz="4" w:space="0" w:color="DF2F1E"/>
            </w:tcBorders>
          </w:tcPr>
          <w:p>
            <w:pPr>
              <w:pStyle w:val="TableParagraph"/>
              <w:spacing w:before="34"/>
              <w:ind w:left="112" w:right="98"/>
              <w:rPr>
                <w:b/>
                <w:sz w:val="16"/>
              </w:rPr>
            </w:pPr>
            <w:r>
              <w:rPr>
                <w:b/>
                <w:color w:val="404040"/>
                <w:sz w:val="16"/>
              </w:rPr>
              <w:t>Automatically issue Health Care Cards / Health care cards</w:t>
            </w:r>
          </w:p>
          <w:p>
            <w:pPr>
              <w:pStyle w:val="TableParagraph"/>
              <w:spacing w:before="43"/>
              <w:ind w:left="112" w:right="213"/>
              <w:rPr>
                <w:sz w:val="16"/>
              </w:rPr>
            </w:pPr>
            <w:r>
              <w:rPr>
                <w:color w:val="404040"/>
                <w:sz w:val="16"/>
              </w:rPr>
              <w:t>Social Services Legislation Amendment (Simplifying Student Payments) Act 2017</w:t>
            </w:r>
          </w:p>
        </w:tc>
        <w:tc>
          <w:tcPr>
            <w:tcW w:w="900" w:type="dxa"/>
            <w:tcBorders>
              <w:top w:val="single" w:sz="4" w:space="0" w:color="DF2F1E"/>
              <w:bottom w:val="single" w:sz="4" w:space="0" w:color="DF2F1E"/>
            </w:tcBorders>
          </w:tcPr>
          <w:p>
            <w:pPr>
              <w:pStyle w:val="TableParagraph"/>
              <w:ind w:left="115"/>
              <w:rPr>
                <w:sz w:val="16"/>
              </w:rPr>
            </w:pPr>
            <w:r>
              <w:rPr>
                <w:color w:val="404040"/>
                <w:sz w:val="16"/>
              </w:rPr>
              <w:t>2020</w:t>
            </w:r>
          </w:p>
        </w:tc>
        <w:tc>
          <w:tcPr>
            <w:tcW w:w="5711" w:type="dxa"/>
            <w:tcBorders>
              <w:top w:val="single" w:sz="4" w:space="0" w:color="DF2F1E"/>
              <w:bottom w:val="single" w:sz="4" w:space="0" w:color="DF2F1E"/>
            </w:tcBorders>
          </w:tcPr>
          <w:p>
            <w:pPr>
              <w:pStyle w:val="TableParagraph"/>
              <w:ind w:left="65" w:right="387"/>
              <w:rPr>
                <w:sz w:val="16"/>
              </w:rPr>
            </w:pPr>
            <w:r>
              <w:rPr>
                <w:color w:val="404040"/>
                <w:sz w:val="16"/>
              </w:rPr>
              <w:t>All students receiving income support will be automatically issued a health care card (HCC).</w:t>
            </w:r>
          </w:p>
        </w:tc>
      </w:tr>
      <w:tr>
        <w:trPr>
          <w:trHeight w:val="1552" w:hRule="atLeast"/>
        </w:trPr>
        <w:tc>
          <w:tcPr>
            <w:tcW w:w="3254" w:type="dxa"/>
            <w:tcBorders>
              <w:top w:val="single" w:sz="4" w:space="0" w:color="DF2F1E"/>
              <w:bottom w:val="single" w:sz="4" w:space="0" w:color="DF2F1E"/>
            </w:tcBorders>
          </w:tcPr>
          <w:p>
            <w:pPr>
              <w:pStyle w:val="TableParagraph"/>
              <w:spacing w:before="34"/>
              <w:ind w:left="112"/>
              <w:rPr>
                <w:b/>
                <w:sz w:val="16"/>
              </w:rPr>
            </w:pPr>
            <w:r>
              <w:rPr>
                <w:b/>
                <w:color w:val="404040"/>
                <w:sz w:val="16"/>
              </w:rPr>
              <w:t>Creation of the Jobseeker Payment</w:t>
            </w:r>
          </w:p>
          <w:p>
            <w:pPr>
              <w:pStyle w:val="TableParagraph"/>
              <w:spacing w:before="44"/>
              <w:ind w:left="112" w:right="311"/>
              <w:rPr>
                <w:sz w:val="16"/>
              </w:rPr>
            </w:pPr>
            <w:r>
              <w:rPr>
                <w:color w:val="404040"/>
                <w:sz w:val="16"/>
              </w:rPr>
              <w:t>Social Services Legislation Amendment (Welfare Reform) Act 2017</w:t>
            </w:r>
          </w:p>
        </w:tc>
        <w:tc>
          <w:tcPr>
            <w:tcW w:w="900" w:type="dxa"/>
            <w:tcBorders>
              <w:top w:val="single" w:sz="4" w:space="0" w:color="DF2F1E"/>
              <w:bottom w:val="single" w:sz="4" w:space="0" w:color="DF2F1E"/>
            </w:tcBorders>
          </w:tcPr>
          <w:p>
            <w:pPr>
              <w:pStyle w:val="TableParagraph"/>
              <w:ind w:left="115"/>
              <w:rPr>
                <w:sz w:val="16"/>
              </w:rPr>
            </w:pPr>
            <w:r>
              <w:rPr>
                <w:color w:val="404040"/>
                <w:sz w:val="16"/>
              </w:rPr>
              <w:t>2020</w:t>
            </w:r>
          </w:p>
        </w:tc>
        <w:tc>
          <w:tcPr>
            <w:tcW w:w="5711" w:type="dxa"/>
            <w:tcBorders>
              <w:top w:val="single" w:sz="4" w:space="0" w:color="DF2F1E"/>
              <w:bottom w:val="single" w:sz="4" w:space="0" w:color="DF2F1E"/>
            </w:tcBorders>
          </w:tcPr>
          <w:p>
            <w:pPr>
              <w:pStyle w:val="TableParagraph"/>
              <w:ind w:left="65" w:right="120"/>
              <w:rPr>
                <w:sz w:val="16"/>
              </w:rPr>
            </w:pPr>
            <w:r>
              <w:rPr>
                <w:color w:val="404040"/>
                <w:sz w:val="16"/>
              </w:rPr>
              <w:t>Seven current working age payments will be consolidated into the new Jobseeker Payment, creating a single payment for those of working age with capacity to work now or in the future. From 20 March 2020, recipients of Newstart Allowance, Sickness Allowance, Wife Pension, Bereavement Allowance and Widow B Pension will be transitioned into Jobseeker Payment, Age Pension or Carer Payment depending on their circumstances. From 1 January 2022, recipients of Widow Allowance and Partner Allowance will transition to Age Pension.</w:t>
            </w:r>
          </w:p>
        </w:tc>
      </w:tr>
    </w:tbl>
    <w:p>
      <w:pPr>
        <w:pStyle w:val="BodyText"/>
        <w:spacing w:before="6"/>
        <w:rPr>
          <w:b/>
          <w:sz w:val="12"/>
        </w:rPr>
      </w:pPr>
    </w:p>
    <w:p>
      <w:pPr>
        <w:pStyle w:val="Heading5"/>
      </w:pPr>
      <w:r>
        <w:rPr>
          <w:color w:val="DF2F1E"/>
        </w:rPr>
        <w:t>Operational developments</w:t>
      </w:r>
    </w:p>
    <w:p>
      <w:pPr>
        <w:pStyle w:val="BodyText"/>
        <w:spacing w:before="121"/>
        <w:ind w:left="900" w:right="1131"/>
      </w:pPr>
      <w:r>
        <w:rPr>
          <w:color w:val="404040"/>
        </w:rPr>
        <w:t>Over the last few years there have also been operational developments relating to the medical assessment for the Disability Support Pension.</w:t>
      </w:r>
    </w:p>
    <w:p>
      <w:pPr>
        <w:pStyle w:val="ListParagraph"/>
        <w:numPr>
          <w:ilvl w:val="0"/>
          <w:numId w:val="83"/>
        </w:numPr>
        <w:tabs>
          <w:tab w:pos="1184" w:val="left" w:leader="none"/>
        </w:tabs>
        <w:spacing w:line="240" w:lineRule="auto" w:before="120" w:after="0"/>
        <w:ind w:left="1183" w:right="0" w:hanging="284"/>
        <w:jc w:val="left"/>
        <w:rPr>
          <w:rFonts w:ascii="Symbol" w:hAnsi="Symbol"/>
          <w:sz w:val="20"/>
        </w:rPr>
      </w:pPr>
      <w:r>
        <w:rPr>
          <w:color w:val="404040"/>
          <w:sz w:val="20"/>
        </w:rPr>
        <w:t>These assessments were first introduced as part of the process for new DSP claims from 1 January</w:t>
      </w:r>
      <w:r>
        <w:rPr>
          <w:color w:val="404040"/>
          <w:spacing w:val="-19"/>
          <w:sz w:val="20"/>
        </w:rPr>
        <w:t> </w:t>
      </w:r>
      <w:r>
        <w:rPr>
          <w:color w:val="404040"/>
          <w:sz w:val="20"/>
        </w:rPr>
        <w:t>2015.</w:t>
      </w:r>
    </w:p>
    <w:p>
      <w:pPr>
        <w:pStyle w:val="ListParagraph"/>
        <w:numPr>
          <w:ilvl w:val="0"/>
          <w:numId w:val="83"/>
        </w:numPr>
        <w:tabs>
          <w:tab w:pos="1184" w:val="left" w:leader="none"/>
        </w:tabs>
        <w:spacing w:line="240" w:lineRule="auto" w:before="117" w:after="0"/>
        <w:ind w:left="1183" w:right="2066" w:hanging="284"/>
        <w:jc w:val="left"/>
        <w:rPr>
          <w:rFonts w:ascii="Symbol" w:hAnsi="Symbol"/>
          <w:sz w:val="20"/>
        </w:rPr>
      </w:pPr>
      <w:r>
        <w:rPr>
          <w:color w:val="404040"/>
          <w:sz w:val="20"/>
        </w:rPr>
        <w:t>A process of reviewing DSP medical assessments for current recipients under the age of 35 also commenced from 1 July</w:t>
      </w:r>
      <w:r>
        <w:rPr>
          <w:color w:val="404040"/>
          <w:spacing w:val="-3"/>
          <w:sz w:val="20"/>
        </w:rPr>
        <w:t> </w:t>
      </w:r>
      <w:r>
        <w:rPr>
          <w:color w:val="404040"/>
          <w:sz w:val="20"/>
        </w:rPr>
        <w:t>2014.</w:t>
      </w:r>
    </w:p>
    <w:p>
      <w:pPr>
        <w:pStyle w:val="ListParagraph"/>
        <w:numPr>
          <w:ilvl w:val="0"/>
          <w:numId w:val="83"/>
        </w:numPr>
        <w:tabs>
          <w:tab w:pos="1184" w:val="left" w:leader="none"/>
        </w:tabs>
        <w:spacing w:line="240" w:lineRule="auto" w:before="118" w:after="0"/>
        <w:ind w:left="1183" w:right="0" w:hanging="284"/>
        <w:jc w:val="left"/>
        <w:rPr>
          <w:rFonts w:ascii="Symbol" w:hAnsi="Symbol"/>
          <w:sz w:val="20"/>
        </w:rPr>
      </w:pPr>
      <w:r>
        <w:rPr>
          <w:color w:val="404040"/>
          <w:sz w:val="20"/>
        </w:rPr>
        <w:t>Further to this, from 1 July 2016 additional medical reviews are being undertaken for DSP</w:t>
      </w:r>
      <w:r>
        <w:rPr>
          <w:color w:val="404040"/>
          <w:spacing w:val="-15"/>
          <w:sz w:val="20"/>
        </w:rPr>
        <w:t> </w:t>
      </w:r>
      <w:r>
        <w:rPr>
          <w:color w:val="404040"/>
          <w:sz w:val="20"/>
        </w:rPr>
        <w:t>recipients.</w:t>
      </w:r>
    </w:p>
    <w:p>
      <w:pPr>
        <w:pStyle w:val="BodyText"/>
        <w:spacing w:before="121"/>
        <w:ind w:left="900" w:right="1386"/>
      </w:pPr>
      <w:r>
        <w:rPr>
          <w:color w:val="404040"/>
        </w:rPr>
        <w:t>These developments have resulted in changes to the welfare population over recent years. In particular, as most of the people impacted started receiving Newstart in place of Disability Support Pension there was a reduction in the number of Disability Support Pension recipients and an equivalent increase in Working Age payment recipients. While the assessments resulted in reduced numbers of DSP recipients, they did not directly impact the average payment levels for Disability Support benefits.</w:t>
      </w:r>
    </w:p>
    <w:p>
      <w:pPr>
        <w:spacing w:after="0"/>
        <w:sectPr>
          <w:pgSz w:w="11910" w:h="16850"/>
          <w:pgMar w:header="572" w:footer="581" w:top="780" w:bottom="780" w:left="120" w:right="0"/>
        </w:sectPr>
      </w:pPr>
    </w:p>
    <w:p>
      <w:pPr>
        <w:spacing w:before="61"/>
        <w:ind w:left="900" w:right="0" w:firstLine="0"/>
        <w:jc w:val="left"/>
        <w:rPr>
          <w:sz w:val="36"/>
        </w:rPr>
      </w:pPr>
      <w:r>
        <w:rPr/>
        <w:drawing>
          <wp:anchor distT="0" distB="0" distL="0" distR="0" allowOverlap="1" layoutInCell="1" locked="0" behindDoc="1" simplePos="0" relativeHeight="216226816">
            <wp:simplePos x="0" y="0"/>
            <wp:positionH relativeFrom="page">
              <wp:posOffset>141922</wp:posOffset>
            </wp:positionH>
            <wp:positionV relativeFrom="page">
              <wp:posOffset>125094</wp:posOffset>
            </wp:positionV>
            <wp:extent cx="7271384" cy="10442714"/>
            <wp:effectExtent l="0" t="0" r="0" b="0"/>
            <wp:wrapNone/>
            <wp:docPr id="391" name="image195.jpeg" descr="Decorative grey background image"/>
            <wp:cNvGraphicFramePr>
              <a:graphicFrameLocks noChangeAspect="1"/>
            </wp:cNvGraphicFramePr>
            <a:graphic>
              <a:graphicData uri="http://schemas.openxmlformats.org/drawingml/2006/picture">
                <pic:pic>
                  <pic:nvPicPr>
                    <pic:cNvPr id="392" name="image195.jpeg"/>
                    <pic:cNvPicPr/>
                  </pic:nvPicPr>
                  <pic:blipFill>
                    <a:blip r:embed="rId255" cstate="print"/>
                    <a:stretch>
                      <a:fillRect/>
                    </a:stretch>
                  </pic:blipFill>
                  <pic:spPr>
                    <a:xfrm>
                      <a:off x="0" y="0"/>
                      <a:ext cx="7271384" cy="10442714"/>
                    </a:xfrm>
                    <a:prstGeom prst="rect">
                      <a:avLst/>
                    </a:prstGeom>
                  </pic:spPr>
                </pic:pic>
              </a:graphicData>
            </a:graphic>
          </wp:anchor>
        </w:drawing>
      </w:r>
      <w:hyperlink r:id="rId256">
        <w:r>
          <w:rPr>
            <w:color w:val="FFFFFF"/>
            <w:sz w:val="36"/>
          </w:rPr>
          <w:t>www.pwc.com.au</w:t>
        </w:r>
      </w:hyperlink>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spacing w:before="0"/>
        <w:ind w:left="899" w:right="2102" w:firstLine="0"/>
        <w:jc w:val="left"/>
        <w:rPr>
          <w:sz w:val="16"/>
        </w:rPr>
      </w:pPr>
      <w:r>
        <w:rPr>
          <w:color w:val="FFFFFF"/>
          <w:sz w:val="16"/>
        </w:rPr>
        <w:t>The opinions, comments or analysis expressed in this document are those of the author or authors and do not necessarily represent the views of the Department or the Minister for Social Services, and cannot be taken in any way as expressions of government policy.</w:t>
      </w:r>
    </w:p>
    <w:p>
      <w:pPr>
        <w:spacing w:line="184" w:lineRule="exact" w:before="149"/>
        <w:ind w:left="900" w:right="0" w:firstLine="0"/>
        <w:jc w:val="left"/>
        <w:rPr>
          <w:sz w:val="16"/>
        </w:rPr>
      </w:pPr>
      <w:r>
        <w:rPr>
          <w:color w:val="FFFFFF"/>
          <w:sz w:val="16"/>
        </w:rPr>
        <w:t>© 2019 PricewaterhouseCoopers. All rights reserved.</w:t>
      </w:r>
    </w:p>
    <w:p>
      <w:pPr>
        <w:spacing w:line="184" w:lineRule="exact" w:before="0"/>
        <w:ind w:left="900" w:right="0" w:firstLine="0"/>
        <w:jc w:val="left"/>
        <w:rPr>
          <w:sz w:val="16"/>
        </w:rPr>
      </w:pPr>
      <w:r>
        <w:rPr>
          <w:color w:val="FFFFFF"/>
          <w:sz w:val="16"/>
        </w:rPr>
        <w:t>PwC refers to the Australian member firm, and may sometimes refer to the PwC network.</w:t>
      </w:r>
    </w:p>
    <w:p>
      <w:pPr>
        <w:spacing w:line="434" w:lineRule="auto" w:before="0"/>
        <w:ind w:left="900" w:right="3889" w:firstLine="0"/>
        <w:jc w:val="left"/>
        <w:rPr>
          <w:sz w:val="16"/>
        </w:rPr>
      </w:pPr>
      <w:r>
        <w:rPr>
          <w:color w:val="FFFFFF"/>
          <w:sz w:val="16"/>
        </w:rPr>
        <w:t>Each member firm is a separate legal entity. Please see </w:t>
      </w:r>
      <w:hyperlink r:id="rId257">
        <w:r>
          <w:rPr>
            <w:color w:val="FFFFFF"/>
            <w:sz w:val="16"/>
          </w:rPr>
          <w:t>www.pwc.com/structure </w:t>
        </w:r>
      </w:hyperlink>
      <w:r>
        <w:rPr>
          <w:color w:val="FFFFFF"/>
          <w:sz w:val="16"/>
        </w:rPr>
        <w:t>for further details. Liability is limited by a scheme approved under Professional Standards Legislation.</w:t>
      </w:r>
    </w:p>
    <w:sectPr>
      <w:headerReference w:type="default" r:id="rId253"/>
      <w:footerReference w:type="default" r:id="rId254"/>
      <w:pgSz w:w="11910" w:h="16850"/>
      <w:pgMar w:header="0" w:footer="0" w:top="500" w:bottom="280" w:left="12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Georgia">
    <w:altName w:val="Georgia"/>
    <w:charset w:val="0"/>
    <w:family w:val="roman"/>
    <w:pitch w:val="variable"/>
  </w:font>
  <w:font w:name="Arial">
    <w:altName w:val="Arial"/>
    <w:charset w:val="0"/>
    <w:family w:val="swiss"/>
    <w:pitch w:val="variable"/>
  </w:font>
  <w:font w:name="Symbol">
    <w:altName w:val="Symbol"/>
    <w:charset w:val="2"/>
    <w:family w:val="roman"/>
    <w:pitch w:val="variable"/>
  </w:font>
  <w:font w:name="Cambria Math">
    <w:altName w:val="Cambria Math"/>
    <w:charset w:val="0"/>
    <w:family w:val="roman"/>
    <w:pitch w:val="variable"/>
  </w:font>
  <w:font w:name="Calibri">
    <w:altName w:val="Calibri"/>
    <w:charset w:val="0"/>
    <w:family w:val="swiss"/>
    <w:pitch w:val="variable"/>
  </w:font>
  <w:font w:name="Segoe UI">
    <w:altName w:val="Segoe U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00.873749pt;margin-top:801.9823pt;width:146.450pt;height:12.6pt;mso-position-horizontal-relative:page;mso-position-vertical-relative:page;z-index:-288244736" type="#_x0000_t202" filled="false" stroked="false">
          <v:textbox inset="0,0,0,0">
            <w:txbxContent>
              <w:p>
                <w:pPr>
                  <w:spacing w:before="13"/>
                  <w:ind w:left="20" w:right="0" w:firstLine="0"/>
                  <w:jc w:val="left"/>
                  <w:rPr>
                    <w:sz w:val="19"/>
                  </w:rPr>
                </w:pPr>
                <w:r>
                  <w:rPr>
                    <w:sz w:val="19"/>
                  </w:rPr>
                  <w:t>Department of Social Services | </w:t>
                </w:r>
                <w:r>
                  <w:rPr/>
                  <w:fldChar w:fldCharType="begin"/>
                </w:r>
                <w:r>
                  <w:rPr>
                    <w:color w:val="DF2528"/>
                    <w:sz w:val="19"/>
                  </w:rPr>
                  <w:instrText> PAGE  \* roman </w:instrText>
                </w:r>
                <w:r>
                  <w:rPr/>
                  <w:fldChar w:fldCharType="separate"/>
                </w:r>
                <w:r>
                  <w:rPr/>
                  <w:t>iv</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91.877228pt;margin-top:801.9823pt;width:155.35pt;height:12.6pt;mso-position-horizontal-relative:page;mso-position-vertical-relative:page;z-index:-288228352" type="#_x0000_t202" filled="false" stroked="false">
          <v:textbox inset="0,0,0,0">
            <w:txbxContent>
              <w:p>
                <w:pPr>
                  <w:spacing w:before="13"/>
                  <w:ind w:left="20" w:right="0" w:firstLine="0"/>
                  <w:jc w:val="left"/>
                  <w:rPr>
                    <w:sz w:val="19"/>
                  </w:rPr>
                </w:pPr>
                <w:r>
                  <w:rPr>
                    <w:sz w:val="19"/>
                  </w:rPr>
                  <w:t>Department of Social Services | </w:t>
                </w:r>
                <w:r>
                  <w:rPr/>
                  <w:fldChar w:fldCharType="begin"/>
                </w:r>
                <w:r>
                  <w:rPr>
                    <w:color w:val="DF2528"/>
                    <w:sz w:val="19"/>
                  </w:rPr>
                  <w:instrText> PAGE </w:instrText>
                </w:r>
                <w:r>
                  <w:rPr/>
                  <w:fldChar w:fldCharType="separate"/>
                </w:r>
                <w:r>
                  <w:rPr/>
                  <w:t>100</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91.877228pt;margin-top:801.9823pt;width:153.35pt;height:12.6pt;mso-position-horizontal-relative:page;mso-position-vertical-relative:page;z-index:-288226304" type="#_x0000_t202" filled="false" stroked="false">
          <v:textbox inset="0,0,0,0">
            <w:txbxContent>
              <w:p>
                <w:pPr>
                  <w:spacing w:before="13"/>
                  <w:ind w:left="20" w:right="0" w:firstLine="0"/>
                  <w:jc w:val="left"/>
                  <w:rPr>
                    <w:sz w:val="19"/>
                  </w:rPr>
                </w:pPr>
                <w:r>
                  <w:rPr>
                    <w:sz w:val="19"/>
                  </w:rPr>
                  <w:t>Department of Social Services | </w:t>
                </w:r>
                <w:r>
                  <w:rPr>
                    <w:color w:val="DF2528"/>
                    <w:sz w:val="19"/>
                  </w:rPr>
                  <w:t>110</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91.877228pt;margin-top:801.9823pt;width:155.35pt;height:12.6pt;mso-position-horizontal-relative:page;mso-position-vertical-relative:page;z-index:-288224256" type="#_x0000_t202" filled="false" stroked="false">
          <v:textbox inset="0,0,0,0">
            <w:txbxContent>
              <w:p>
                <w:pPr>
                  <w:spacing w:before="13"/>
                  <w:ind w:left="20" w:right="0" w:firstLine="0"/>
                  <w:jc w:val="left"/>
                  <w:rPr>
                    <w:sz w:val="19"/>
                  </w:rPr>
                </w:pPr>
                <w:r>
                  <w:rPr>
                    <w:sz w:val="19"/>
                  </w:rPr>
                  <w:t>Department of Social Services | </w:t>
                </w:r>
                <w:r>
                  <w:rPr/>
                  <w:fldChar w:fldCharType="begin"/>
                </w:r>
                <w:r>
                  <w:rPr>
                    <w:color w:val="DF2528"/>
                    <w:sz w:val="19"/>
                  </w:rPr>
                  <w:instrText> PAGE </w:instrText>
                </w:r>
                <w:r>
                  <w:rPr/>
                  <w:fldChar w:fldCharType="separate"/>
                </w:r>
                <w:r>
                  <w:rPr/>
                  <w:t>111</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91.877228pt;margin-top:801.9823pt;width:155.35pt;height:12.6pt;mso-position-horizontal-relative:page;mso-position-vertical-relative:page;z-index:-288222208" type="#_x0000_t202" filled="false" stroked="false">
          <v:textbox inset="0,0,0,0">
            <w:txbxContent>
              <w:p>
                <w:pPr>
                  <w:spacing w:before="13"/>
                  <w:ind w:left="20" w:right="0" w:firstLine="0"/>
                  <w:jc w:val="left"/>
                  <w:rPr>
                    <w:sz w:val="19"/>
                  </w:rPr>
                </w:pPr>
                <w:r>
                  <w:rPr>
                    <w:sz w:val="19"/>
                  </w:rPr>
                  <w:t>Department of Social Services | </w:t>
                </w:r>
                <w:r>
                  <w:rPr/>
                  <w:fldChar w:fldCharType="begin"/>
                </w:r>
                <w:r>
                  <w:rPr>
                    <w:color w:val="DF2528"/>
                    <w:sz w:val="19"/>
                  </w:rPr>
                  <w:instrText> PAGE </w:instrText>
                </w:r>
                <w:r>
                  <w:rPr/>
                  <w:fldChar w:fldCharType="separate"/>
                </w:r>
                <w:r>
                  <w:rPr/>
                  <w:t>116</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91.877228pt;margin-top:801.9823pt;width:153.35pt;height:12.6pt;mso-position-horizontal-relative:page;mso-position-vertical-relative:page;z-index:-288220160" type="#_x0000_t202" filled="false" stroked="false">
          <v:textbox inset="0,0,0,0">
            <w:txbxContent>
              <w:p>
                <w:pPr>
                  <w:spacing w:before="13"/>
                  <w:ind w:left="20" w:right="0" w:firstLine="0"/>
                  <w:jc w:val="left"/>
                  <w:rPr>
                    <w:sz w:val="19"/>
                  </w:rPr>
                </w:pPr>
                <w:r>
                  <w:rPr>
                    <w:sz w:val="19"/>
                  </w:rPr>
                  <w:t>Department of Social Services | </w:t>
                </w:r>
                <w:r>
                  <w:rPr>
                    <w:color w:val="DF2528"/>
                    <w:sz w:val="19"/>
                  </w:rPr>
                  <w:t>120</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91.877228pt;margin-top:801.9823pt;width:155.35pt;height:12.6pt;mso-position-horizontal-relative:page;mso-position-vertical-relative:page;z-index:-288218112" type="#_x0000_t202" filled="false" stroked="false">
          <v:textbox inset="0,0,0,0">
            <w:txbxContent>
              <w:p>
                <w:pPr>
                  <w:spacing w:before="13"/>
                  <w:ind w:left="20" w:right="0" w:firstLine="0"/>
                  <w:jc w:val="left"/>
                  <w:rPr>
                    <w:sz w:val="19"/>
                  </w:rPr>
                </w:pPr>
                <w:r>
                  <w:rPr>
                    <w:sz w:val="19"/>
                  </w:rPr>
                  <w:t>Department of Social Services | </w:t>
                </w:r>
                <w:r>
                  <w:rPr/>
                  <w:fldChar w:fldCharType="begin"/>
                </w:r>
                <w:r>
                  <w:rPr>
                    <w:color w:val="DF2528"/>
                    <w:sz w:val="19"/>
                  </w:rPr>
                  <w:instrText> PAGE </w:instrText>
                </w:r>
                <w:r>
                  <w:rPr/>
                  <w:fldChar w:fldCharType="separate"/>
                </w:r>
                <w:r>
                  <w:rPr/>
                  <w:t>121</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91.877228pt;margin-top:801.9823pt;width:153.35pt;height:12.6pt;mso-position-horizontal-relative:page;mso-position-vertical-relative:page;z-index:-288216064" type="#_x0000_t202" filled="false" stroked="false">
          <v:textbox inset="0,0,0,0">
            <w:txbxContent>
              <w:p>
                <w:pPr>
                  <w:spacing w:before="13"/>
                  <w:ind w:left="20" w:right="0" w:firstLine="0"/>
                  <w:jc w:val="left"/>
                  <w:rPr>
                    <w:sz w:val="19"/>
                  </w:rPr>
                </w:pPr>
                <w:r>
                  <w:rPr>
                    <w:sz w:val="19"/>
                  </w:rPr>
                  <w:t>Department of Social Services | </w:t>
                </w:r>
                <w:r>
                  <w:rPr>
                    <w:color w:val="DF2528"/>
                    <w:sz w:val="19"/>
                  </w:rPr>
                  <w:t>130</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91.877228pt;margin-top:801.9823pt;width:155.35pt;height:12.6pt;mso-position-horizontal-relative:page;mso-position-vertical-relative:page;z-index:-288214016" type="#_x0000_t202" filled="false" stroked="false">
          <v:textbox inset="0,0,0,0">
            <w:txbxContent>
              <w:p>
                <w:pPr>
                  <w:spacing w:before="13"/>
                  <w:ind w:left="20" w:right="0" w:firstLine="0"/>
                  <w:jc w:val="left"/>
                  <w:rPr>
                    <w:sz w:val="19"/>
                  </w:rPr>
                </w:pPr>
                <w:r>
                  <w:rPr>
                    <w:sz w:val="19"/>
                  </w:rPr>
                  <w:t>Department of Social Services | </w:t>
                </w:r>
                <w:r>
                  <w:rPr/>
                  <w:fldChar w:fldCharType="begin"/>
                </w:r>
                <w:r>
                  <w:rPr>
                    <w:color w:val="DF2528"/>
                    <w:sz w:val="19"/>
                  </w:rPr>
                  <w:instrText> PAGE </w:instrText>
                </w:r>
                <w:r>
                  <w:rPr/>
                  <w:fldChar w:fldCharType="separate"/>
                </w:r>
                <w:r>
                  <w:rPr/>
                  <w:t>131</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91.877228pt;margin-top:801.9823pt;width:155.35pt;height:12.6pt;mso-position-horizontal-relative:page;mso-position-vertical-relative:page;z-index:-288211968" type="#_x0000_t202" filled="false" stroked="false">
          <v:textbox inset="0,0,0,0">
            <w:txbxContent>
              <w:p>
                <w:pPr>
                  <w:spacing w:before="13"/>
                  <w:ind w:left="20" w:right="0" w:firstLine="0"/>
                  <w:jc w:val="left"/>
                  <w:rPr>
                    <w:sz w:val="19"/>
                  </w:rPr>
                </w:pPr>
                <w:r>
                  <w:rPr>
                    <w:sz w:val="19"/>
                  </w:rPr>
                  <w:t>Department of Social Services | </w:t>
                </w:r>
                <w:r>
                  <w:rPr/>
                  <w:fldChar w:fldCharType="begin"/>
                </w:r>
                <w:r>
                  <w:rPr>
                    <w:color w:val="DF2528"/>
                    <w:sz w:val="19"/>
                  </w:rPr>
                  <w:instrText> PAGE </w:instrText>
                </w:r>
                <w:r>
                  <w:rPr/>
                  <w:fldChar w:fldCharType="separate"/>
                </w:r>
                <w:r>
                  <w:rPr/>
                  <w:t>139</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91.877228pt;margin-top:801.9823pt;width:153.35pt;height:12.6pt;mso-position-horizontal-relative:page;mso-position-vertical-relative:page;z-index:-288209920" type="#_x0000_t202" filled="false" stroked="false">
          <v:textbox inset="0,0,0,0">
            <w:txbxContent>
              <w:p>
                <w:pPr>
                  <w:spacing w:before="13"/>
                  <w:ind w:left="20" w:right="0" w:firstLine="0"/>
                  <w:jc w:val="left"/>
                  <w:rPr>
                    <w:sz w:val="19"/>
                  </w:rPr>
                </w:pPr>
                <w:r>
                  <w:rPr>
                    <w:sz w:val="19"/>
                  </w:rPr>
                  <w:t>Department of Social Services | </w:t>
                </w:r>
                <w:r>
                  <w:rPr>
                    <w:color w:val="DF2528"/>
                    <w:sz w:val="19"/>
                  </w:rPr>
                  <w:t>140</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02.437958pt;margin-top:816.139038pt;width:144.75pt;height:12.6pt;mso-position-horizontal-relative:page;mso-position-vertical-relative:page;z-index:-288243712" type="#_x0000_t202" filled="false" stroked="false">
          <v:textbox inset="0,0,0,0">
            <w:txbxContent>
              <w:p>
                <w:pPr>
                  <w:spacing w:before="13"/>
                  <w:ind w:left="20" w:right="0" w:firstLine="0"/>
                  <w:jc w:val="left"/>
                  <w:rPr>
                    <w:sz w:val="19"/>
                  </w:rPr>
                </w:pPr>
                <w:r>
                  <w:rPr>
                    <w:sz w:val="19"/>
                  </w:rPr>
                  <w:t>Department of Social Services | </w:t>
                </w:r>
                <w:r>
                  <w:rPr/>
                  <w:fldChar w:fldCharType="begin"/>
                </w:r>
                <w:r>
                  <w:rPr>
                    <w:color w:val="DF2528"/>
                    <w:sz w:val="19"/>
                  </w:rPr>
                  <w:instrText> PAGE </w:instrText>
                </w:r>
                <w:r>
                  <w:rPr/>
                  <w:fldChar w:fldCharType="separate"/>
                </w:r>
                <w:r>
                  <w:rPr/>
                  <w:t>1</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91.877228pt;margin-top:801.9823pt;width:155.35pt;height:12.6pt;mso-position-horizontal-relative:page;mso-position-vertical-relative:page;z-index:-288207872" type="#_x0000_t202" filled="false" stroked="false">
          <v:textbox inset="0,0,0,0">
            <w:txbxContent>
              <w:p>
                <w:pPr>
                  <w:spacing w:before="13"/>
                  <w:ind w:left="20" w:right="0" w:firstLine="0"/>
                  <w:jc w:val="left"/>
                  <w:rPr>
                    <w:sz w:val="19"/>
                  </w:rPr>
                </w:pPr>
                <w:r>
                  <w:rPr>
                    <w:sz w:val="19"/>
                  </w:rPr>
                  <w:t>Department of Social Services | </w:t>
                </w:r>
                <w:r>
                  <w:rPr/>
                  <w:fldChar w:fldCharType="begin"/>
                </w:r>
                <w:r>
                  <w:rPr>
                    <w:color w:val="DF2528"/>
                    <w:sz w:val="19"/>
                  </w:rPr>
                  <w:instrText> PAGE </w:instrText>
                </w:r>
                <w:r>
                  <w:rPr/>
                  <w:fldChar w:fldCharType="separate"/>
                </w:r>
                <w:r>
                  <w:rPr/>
                  <w:t>141</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91.877228pt;margin-top:801.9823pt;width:153.35pt;height:12.6pt;mso-position-horizontal-relative:page;mso-position-vertical-relative:page;z-index:-288205824" type="#_x0000_t202" filled="false" stroked="false">
          <v:textbox inset="0,0,0,0">
            <w:txbxContent>
              <w:p>
                <w:pPr>
                  <w:spacing w:before="13"/>
                  <w:ind w:left="20" w:right="0" w:firstLine="0"/>
                  <w:jc w:val="left"/>
                  <w:rPr>
                    <w:sz w:val="19"/>
                  </w:rPr>
                </w:pPr>
                <w:r>
                  <w:rPr>
                    <w:sz w:val="19"/>
                  </w:rPr>
                  <w:t>Department of Social Services | </w:t>
                </w:r>
                <w:r>
                  <w:rPr>
                    <w:color w:val="DF2528"/>
                    <w:sz w:val="19"/>
                  </w:rPr>
                  <w:t>150</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91.877228pt;margin-top:801.9823pt;width:153.35pt;height:12.6pt;mso-position-horizontal-relative:page;mso-position-vertical-relative:page;z-index:-288203776" type="#_x0000_t202" filled="false" stroked="false">
          <v:textbox inset="0,0,0,0">
            <w:txbxContent>
              <w:p>
                <w:pPr>
                  <w:spacing w:before="13"/>
                  <w:ind w:left="20" w:right="0" w:firstLine="0"/>
                  <w:jc w:val="left"/>
                  <w:rPr>
                    <w:sz w:val="19"/>
                  </w:rPr>
                </w:pPr>
                <w:r>
                  <w:rPr>
                    <w:sz w:val="19"/>
                  </w:rPr>
                  <w:t>Department of Social Services | </w:t>
                </w:r>
                <w:r>
                  <w:rPr>
                    <w:color w:val="DF2528"/>
                    <w:sz w:val="19"/>
                  </w:rPr>
                  <w:t>151</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91.877228pt;margin-top:801.9823pt;width:155.35pt;height:12.6pt;mso-position-horizontal-relative:page;mso-position-vertical-relative:page;z-index:-288202752" type="#_x0000_t202" filled="false" stroked="false">
          <v:textbox inset="0,0,0,0">
            <w:txbxContent>
              <w:p>
                <w:pPr>
                  <w:spacing w:before="13"/>
                  <w:ind w:left="20" w:right="0" w:firstLine="0"/>
                  <w:jc w:val="left"/>
                  <w:rPr>
                    <w:sz w:val="19"/>
                  </w:rPr>
                </w:pPr>
                <w:r>
                  <w:rPr>
                    <w:sz w:val="19"/>
                  </w:rPr>
                  <w:t>Department of Social Services | </w:t>
                </w:r>
                <w:r>
                  <w:rPr/>
                  <w:fldChar w:fldCharType="begin"/>
                </w:r>
                <w:r>
                  <w:rPr>
                    <w:color w:val="DF2528"/>
                    <w:sz w:val="19"/>
                  </w:rPr>
                  <w:instrText> PAGE </w:instrText>
                </w:r>
                <w:r>
                  <w:rPr/>
                  <w:fldChar w:fldCharType="separate"/>
                </w:r>
                <w:r>
                  <w:rPr/>
                  <w:t>153</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91.877228pt;margin-top:801.9823pt;width:155.35pt;height:12.6pt;mso-position-horizontal-relative:page;mso-position-vertical-relative:page;z-index:-288200704" type="#_x0000_t202" filled="false" stroked="false">
          <v:textbox inset="0,0,0,0">
            <w:txbxContent>
              <w:p>
                <w:pPr>
                  <w:spacing w:before="13"/>
                  <w:ind w:left="20" w:right="0" w:firstLine="0"/>
                  <w:jc w:val="left"/>
                  <w:rPr>
                    <w:sz w:val="19"/>
                  </w:rPr>
                </w:pPr>
                <w:r>
                  <w:rPr>
                    <w:sz w:val="19"/>
                  </w:rPr>
                  <w:t>Department of Social Services | </w:t>
                </w:r>
                <w:r>
                  <w:rPr/>
                  <w:fldChar w:fldCharType="begin"/>
                </w:r>
                <w:r>
                  <w:rPr>
                    <w:color w:val="DF2528"/>
                    <w:sz w:val="19"/>
                  </w:rPr>
                  <w:instrText> PAGE </w:instrText>
                </w:r>
                <w:r>
                  <w:rPr/>
                  <w:fldChar w:fldCharType="separate"/>
                </w:r>
                <w:r>
                  <w:rPr/>
                  <w:t>154</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91.877228pt;margin-top:801.9823pt;width:155.35pt;height:12.6pt;mso-position-horizontal-relative:page;mso-position-vertical-relative:page;z-index:-288198656" type="#_x0000_t202" filled="false" stroked="false">
          <v:textbox inset="0,0,0,0">
            <w:txbxContent>
              <w:p>
                <w:pPr>
                  <w:spacing w:before="13"/>
                  <w:ind w:left="20" w:right="0" w:firstLine="0"/>
                  <w:jc w:val="left"/>
                  <w:rPr>
                    <w:sz w:val="19"/>
                  </w:rPr>
                </w:pPr>
                <w:r>
                  <w:rPr>
                    <w:color w:val="404040"/>
                    <w:sz w:val="19"/>
                  </w:rPr>
                  <w:t>Department of Social Services | </w:t>
                </w:r>
                <w:r>
                  <w:rPr/>
                  <w:fldChar w:fldCharType="begin"/>
                </w:r>
                <w:r>
                  <w:rPr>
                    <w:color w:val="DF2528"/>
                    <w:sz w:val="19"/>
                  </w:rPr>
                  <w:instrText> PAGE </w:instrText>
                </w:r>
                <w:r>
                  <w:rPr/>
                  <w:fldChar w:fldCharType="separate"/>
                </w:r>
                <w:r>
                  <w:rPr/>
                  <w:t>157</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91.877228pt;margin-top:801.9823pt;width:153.35pt;height:12.6pt;mso-position-horizontal-relative:page;mso-position-vertical-relative:page;z-index:-288196608" type="#_x0000_t202" filled="false" stroked="false">
          <v:textbox inset="0,0,0,0">
            <w:txbxContent>
              <w:p>
                <w:pPr>
                  <w:spacing w:before="13"/>
                  <w:ind w:left="20" w:right="0" w:firstLine="0"/>
                  <w:jc w:val="left"/>
                  <w:rPr>
                    <w:sz w:val="19"/>
                  </w:rPr>
                </w:pPr>
                <w:r>
                  <w:rPr>
                    <w:color w:val="404040"/>
                    <w:sz w:val="19"/>
                  </w:rPr>
                  <w:t>Department of Social Services | </w:t>
                </w:r>
                <w:r>
                  <w:rPr>
                    <w:color w:val="DF2528"/>
                    <w:sz w:val="19"/>
                  </w:rPr>
                  <w:t>160</w:t>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91.877228pt;margin-top:801.9823pt;width:155.35pt;height:12.6pt;mso-position-horizontal-relative:page;mso-position-vertical-relative:page;z-index:-288194560" type="#_x0000_t202" filled="false" stroked="false">
          <v:textbox inset="0,0,0,0">
            <w:txbxContent>
              <w:p>
                <w:pPr>
                  <w:spacing w:before="13"/>
                  <w:ind w:left="20" w:right="0" w:firstLine="0"/>
                  <w:jc w:val="left"/>
                  <w:rPr>
                    <w:sz w:val="19"/>
                  </w:rPr>
                </w:pPr>
                <w:r>
                  <w:rPr>
                    <w:color w:val="404040"/>
                    <w:sz w:val="19"/>
                  </w:rPr>
                  <w:t>Department of Social Services | </w:t>
                </w:r>
                <w:r>
                  <w:rPr/>
                  <w:fldChar w:fldCharType="begin"/>
                </w:r>
                <w:r>
                  <w:rPr>
                    <w:color w:val="DF2528"/>
                    <w:sz w:val="19"/>
                  </w:rPr>
                  <w:instrText> PAGE </w:instrText>
                </w:r>
                <w:r>
                  <w:rPr/>
                  <w:fldChar w:fldCharType="separate"/>
                </w:r>
                <w:r>
                  <w:rPr/>
                  <w:t>161</w:t>
                </w:r>
                <w:r>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97.157593pt;margin-top:816.139038pt;width:150.050pt;height:12.6pt;mso-position-horizontal-relative:page;mso-position-vertical-relative:page;z-index:-288241664" type="#_x0000_t202" filled="false" stroked="false">
          <v:textbox inset="0,0,0,0">
            <w:txbxContent>
              <w:p>
                <w:pPr>
                  <w:spacing w:before="13"/>
                  <w:ind w:left="20" w:right="0" w:firstLine="0"/>
                  <w:jc w:val="left"/>
                  <w:rPr>
                    <w:sz w:val="19"/>
                  </w:rPr>
                </w:pPr>
                <w:r>
                  <w:rPr>
                    <w:sz w:val="19"/>
                  </w:rPr>
                  <w:t>Department of Social Services | </w:t>
                </w:r>
                <w:r>
                  <w:rPr/>
                  <w:fldChar w:fldCharType="begin"/>
                </w:r>
                <w:r>
                  <w:rPr>
                    <w:color w:val="DF2528"/>
                    <w:sz w:val="19"/>
                  </w:rPr>
                  <w:instrText> PAGE </w:instrText>
                </w:r>
                <w:r>
                  <w:rPr/>
                  <w:fldChar w:fldCharType="separate"/>
                </w:r>
                <w:r>
                  <w:rPr/>
                  <w:t>10</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97.157593pt;margin-top:801.9823pt;width:150.050pt;height:12.6pt;mso-position-horizontal-relative:page;mso-position-vertical-relative:page;z-index:-288240640" type="#_x0000_t202" filled="false" stroked="false">
          <v:textbox inset="0,0,0,0">
            <w:txbxContent>
              <w:p>
                <w:pPr>
                  <w:spacing w:before="13"/>
                  <w:ind w:left="20" w:right="0" w:firstLine="0"/>
                  <w:jc w:val="left"/>
                  <w:rPr>
                    <w:sz w:val="19"/>
                  </w:rPr>
                </w:pPr>
                <w:r>
                  <w:rPr>
                    <w:sz w:val="19"/>
                  </w:rPr>
                  <w:t>Department of Social Services | </w:t>
                </w:r>
                <w:r>
                  <w:rPr/>
                  <w:fldChar w:fldCharType="begin"/>
                </w:r>
                <w:r>
                  <w:rPr>
                    <w:color w:val="DF2528"/>
                    <w:sz w:val="19"/>
                  </w:rPr>
                  <w:instrText> PAGE </w:instrText>
                </w:r>
                <w:r>
                  <w:rPr/>
                  <w:fldChar w:fldCharType="separate"/>
                </w:r>
                <w:r>
                  <w:rPr/>
                  <w:t>19</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97.157593pt;margin-top:801.9823pt;width:150.050pt;height:12.6pt;mso-position-horizontal-relative:page;mso-position-vertical-relative:page;z-index:-288238592" type="#_x0000_t202" filled="false" stroked="false">
          <v:textbox inset="0,0,0,0">
            <w:txbxContent>
              <w:p>
                <w:pPr>
                  <w:spacing w:before="13"/>
                  <w:ind w:left="20" w:right="0" w:firstLine="0"/>
                  <w:jc w:val="left"/>
                  <w:rPr>
                    <w:sz w:val="19"/>
                  </w:rPr>
                </w:pPr>
                <w:r>
                  <w:rPr>
                    <w:sz w:val="19"/>
                  </w:rPr>
                  <w:t>Department of Social Services | </w:t>
                </w:r>
                <w:r>
                  <w:rPr/>
                  <w:fldChar w:fldCharType="begin"/>
                </w:r>
                <w:r>
                  <w:rPr>
                    <w:color w:val="DF2528"/>
                    <w:sz w:val="19"/>
                  </w:rPr>
                  <w:instrText> PAGE </w:instrText>
                </w:r>
                <w:r>
                  <w:rPr/>
                  <w:fldChar w:fldCharType="separate"/>
                </w:r>
                <w:r>
                  <w:rPr/>
                  <w:t>20</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97.157593pt;margin-top:801.9823pt;width:150.050pt;height:12.6pt;mso-position-horizontal-relative:page;mso-position-vertical-relative:page;z-index:-288236544" type="#_x0000_t202" filled="false" stroked="false">
          <v:textbox inset="0,0,0,0">
            <w:txbxContent>
              <w:p>
                <w:pPr>
                  <w:spacing w:before="13"/>
                  <w:ind w:left="20" w:right="0" w:firstLine="0"/>
                  <w:jc w:val="left"/>
                  <w:rPr>
                    <w:sz w:val="19"/>
                  </w:rPr>
                </w:pPr>
                <w:r>
                  <w:rPr>
                    <w:sz w:val="19"/>
                  </w:rPr>
                  <w:t>Department of Social Services | </w:t>
                </w:r>
                <w:r>
                  <w:rPr/>
                  <w:fldChar w:fldCharType="begin"/>
                </w:r>
                <w:r>
                  <w:rPr>
                    <w:color w:val="DF2528"/>
                    <w:sz w:val="19"/>
                  </w:rPr>
                  <w:instrText> PAGE </w:instrText>
                </w:r>
                <w:r>
                  <w:rPr/>
                  <w:fldChar w:fldCharType="separate"/>
                </w:r>
                <w:r>
                  <w:rPr/>
                  <w:t>24</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97.157593pt;margin-top:801.9823pt;width:150.050pt;height:12.6pt;mso-position-horizontal-relative:page;mso-position-vertical-relative:page;z-index:-288234496" type="#_x0000_t202" filled="false" stroked="false">
          <v:textbox inset="0,0,0,0">
            <w:txbxContent>
              <w:p>
                <w:pPr>
                  <w:spacing w:before="13"/>
                  <w:ind w:left="20" w:right="0" w:firstLine="0"/>
                  <w:jc w:val="left"/>
                  <w:rPr>
                    <w:sz w:val="19"/>
                  </w:rPr>
                </w:pPr>
                <w:r>
                  <w:rPr>
                    <w:sz w:val="19"/>
                  </w:rPr>
                  <w:t>Department of Social Services | </w:t>
                </w:r>
                <w:r>
                  <w:rPr/>
                  <w:fldChar w:fldCharType="begin"/>
                </w:r>
                <w:r>
                  <w:rPr>
                    <w:color w:val="DF2528"/>
                    <w:sz w:val="19"/>
                  </w:rPr>
                  <w:instrText> PAGE </w:instrText>
                </w:r>
                <w:r>
                  <w:rPr/>
                  <w:fldChar w:fldCharType="separate"/>
                </w:r>
                <w:r>
                  <w:rPr/>
                  <w:t>39</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97.157593pt;margin-top:801.9823pt;width:150.050pt;height:12.6pt;mso-position-horizontal-relative:page;mso-position-vertical-relative:page;z-index:-288232448" type="#_x0000_t202" filled="false" stroked="false">
          <v:textbox inset="0,0,0,0">
            <w:txbxContent>
              <w:p>
                <w:pPr>
                  <w:spacing w:before="13"/>
                  <w:ind w:left="20" w:right="0" w:firstLine="0"/>
                  <w:jc w:val="left"/>
                  <w:rPr>
                    <w:sz w:val="19"/>
                  </w:rPr>
                </w:pPr>
                <w:r>
                  <w:rPr>
                    <w:sz w:val="19"/>
                  </w:rPr>
                  <w:t>Department of Social Services | </w:t>
                </w:r>
                <w:r>
                  <w:rPr/>
                  <w:fldChar w:fldCharType="begin"/>
                </w:r>
                <w:r>
                  <w:rPr>
                    <w:color w:val="DF2528"/>
                    <w:sz w:val="19"/>
                  </w:rPr>
                  <w:instrText> PAGE </w:instrText>
                </w:r>
                <w:r>
                  <w:rPr/>
                  <w:fldChar w:fldCharType="separate"/>
                </w:r>
                <w:r>
                  <w:rPr/>
                  <w:t>43</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97.157593pt;margin-top:801.9823pt;width:150.050pt;height:12.6pt;mso-position-horizontal-relative:page;mso-position-vertical-relative:page;z-index:-288230400" type="#_x0000_t202" filled="false" stroked="false">
          <v:textbox inset="0,0,0,0">
            <w:txbxContent>
              <w:p>
                <w:pPr>
                  <w:spacing w:before="13"/>
                  <w:ind w:left="20" w:right="0" w:firstLine="0"/>
                  <w:jc w:val="left"/>
                  <w:rPr>
                    <w:sz w:val="19"/>
                  </w:rPr>
                </w:pPr>
                <w:r>
                  <w:rPr>
                    <w:sz w:val="19"/>
                  </w:rPr>
                  <w:t>Department of Social Services | </w:t>
                </w:r>
                <w:r>
                  <w:rPr/>
                  <w:fldChar w:fldCharType="begin"/>
                </w:r>
                <w:r>
                  <w:rPr>
                    <w:color w:val="DF2528"/>
                    <w:sz w:val="19"/>
                  </w:rPr>
                  <w:instrText> PAGE </w:instrText>
                </w:r>
                <w:r>
                  <w:rPr/>
                  <w:fldChar w:fldCharType="separate"/>
                </w:r>
                <w:r>
                  <w:rPr/>
                  <w:t>63</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0pt;margin-top:13.457986pt;width:84.9pt;height:12.6pt;mso-position-horizontal-relative:page;mso-position-vertical-relative:page;z-index:-288242688" type="#_x0000_t202" filled="false" stroked="false">
          <v:textbox inset="0,0,0,0">
            <w:txbxContent>
              <w:p>
                <w:pPr>
                  <w:spacing w:before="13"/>
                  <w:ind w:left="20" w:right="0" w:firstLine="0"/>
                  <w:jc w:val="left"/>
                  <w:rPr>
                    <w:sz w:val="19"/>
                  </w:rPr>
                </w:pPr>
                <w:r>
                  <w:rPr>
                    <w:color w:val="404040"/>
                    <w:sz w:val="19"/>
                  </w:rPr>
                  <w:t>Executive summary</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0pt;margin-top:27.617987pt;width:158.3pt;height:12.6pt;mso-position-horizontal-relative:page;mso-position-vertical-relative:page;z-index:-288225280" type="#_x0000_t202" filled="false" stroked="false">
          <v:textbox inset="0,0,0,0">
            <w:txbxContent>
              <w:p>
                <w:pPr>
                  <w:spacing w:before="13"/>
                  <w:ind w:left="20" w:right="0" w:firstLine="0"/>
                  <w:jc w:val="left"/>
                  <w:rPr>
                    <w:sz w:val="19"/>
                  </w:rPr>
                </w:pPr>
                <w:r>
                  <w:rPr>
                    <w:color w:val="404040"/>
                    <w:sz w:val="19"/>
                  </w:rPr>
                  <w:t>Results for income support recipients</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0pt;margin-top:27.617987pt;width:176.8pt;height:12.6pt;mso-position-horizontal-relative:page;mso-position-vertical-relative:page;z-index:-288223232" type="#_x0000_t202" filled="false" stroked="false">
          <v:textbox inset="0,0,0,0">
            <w:txbxContent>
              <w:p>
                <w:pPr>
                  <w:spacing w:before="13"/>
                  <w:ind w:left="20" w:right="0" w:firstLine="0"/>
                  <w:jc w:val="left"/>
                  <w:rPr>
                    <w:sz w:val="19"/>
                  </w:rPr>
                </w:pPr>
                <w:r>
                  <w:rPr>
                    <w:color w:val="404040"/>
                    <w:sz w:val="19"/>
                  </w:rPr>
                  <w:t>Results for non income support recipients</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0pt;margin-top:27.617987pt;width:176.8pt;height:12.6pt;mso-position-horizontal-relative:page;mso-position-vertical-relative:page;z-index:-288221184" type="#_x0000_t202" filled="false" stroked="false">
          <v:textbox inset="0,0,0,0">
            <w:txbxContent>
              <w:p>
                <w:pPr>
                  <w:spacing w:before="13"/>
                  <w:ind w:left="20" w:right="0" w:firstLine="0"/>
                  <w:jc w:val="left"/>
                  <w:rPr>
                    <w:sz w:val="19"/>
                  </w:rPr>
                </w:pPr>
                <w:r>
                  <w:rPr>
                    <w:color w:val="404040"/>
                    <w:sz w:val="19"/>
                  </w:rPr>
                  <w:t>Results for non income support recipients</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0pt;margin-top:27.617987pt;width:176.8pt;height:12.6pt;mso-position-horizontal-relative:page;mso-position-vertical-relative:page;z-index:-288219136" type="#_x0000_t202" filled="false" stroked="false">
          <v:textbox inset="0,0,0,0">
            <w:txbxContent>
              <w:p>
                <w:pPr>
                  <w:spacing w:before="13"/>
                  <w:ind w:left="20" w:right="0" w:firstLine="0"/>
                  <w:jc w:val="left"/>
                  <w:rPr>
                    <w:sz w:val="19"/>
                  </w:rPr>
                </w:pPr>
                <w:r>
                  <w:rPr>
                    <w:color w:val="404040"/>
                    <w:sz w:val="19"/>
                  </w:rPr>
                  <w:t>Results for non income support recipients</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0pt;margin-top:27.617987pt;width:176.8pt;height:12.6pt;mso-position-horizontal-relative:page;mso-position-vertical-relative:page;z-index:-288217088" type="#_x0000_t202" filled="false" stroked="false">
          <v:textbox inset="0,0,0,0">
            <w:txbxContent>
              <w:p>
                <w:pPr>
                  <w:spacing w:before="13"/>
                  <w:ind w:left="20" w:right="0" w:firstLine="0"/>
                  <w:jc w:val="left"/>
                  <w:rPr>
                    <w:sz w:val="19"/>
                  </w:rPr>
                </w:pPr>
                <w:r>
                  <w:rPr>
                    <w:color w:val="404040"/>
                    <w:sz w:val="19"/>
                  </w:rPr>
                  <w:t>Results for non income support recipients</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0pt;margin-top:27.617987pt;width:176.8pt;height:12.6pt;mso-position-horizontal-relative:page;mso-position-vertical-relative:page;z-index:-288215040" type="#_x0000_t202" filled="false" stroked="false">
          <v:textbox inset="0,0,0,0">
            <w:txbxContent>
              <w:p>
                <w:pPr>
                  <w:spacing w:before="13"/>
                  <w:ind w:left="20" w:right="0" w:firstLine="0"/>
                  <w:jc w:val="left"/>
                  <w:rPr>
                    <w:sz w:val="19"/>
                  </w:rPr>
                </w:pPr>
                <w:r>
                  <w:rPr>
                    <w:color w:val="404040"/>
                    <w:sz w:val="19"/>
                  </w:rPr>
                  <w:t>Results for non income support recipients</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0pt;margin-top:27.617987pt;width:143.1pt;height:12.6pt;mso-position-horizontal-relative:page;mso-position-vertical-relative:page;z-index:-288212992" type="#_x0000_t202" filled="false" stroked="false">
          <v:textbox inset="0,0,0,0">
            <w:txbxContent>
              <w:p>
                <w:pPr>
                  <w:spacing w:before="13"/>
                  <w:ind w:left="20" w:right="0" w:firstLine="0"/>
                  <w:jc w:val="left"/>
                  <w:rPr>
                    <w:sz w:val="19"/>
                  </w:rPr>
                </w:pPr>
                <w:r>
                  <w:rPr>
                    <w:color w:val="404040"/>
                    <w:sz w:val="19"/>
                  </w:rPr>
                  <w:t>Results for non-welfare recipients</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0pt;margin-top:27.617987pt;width:143.1pt;height:12.6pt;mso-position-horizontal-relative:page;mso-position-vertical-relative:page;z-index:-288210944" type="#_x0000_t202" filled="false" stroked="false">
          <v:textbox inset="0,0,0,0">
            <w:txbxContent>
              <w:p>
                <w:pPr>
                  <w:spacing w:before="13"/>
                  <w:ind w:left="20" w:right="0" w:firstLine="0"/>
                  <w:jc w:val="left"/>
                  <w:rPr>
                    <w:sz w:val="19"/>
                  </w:rPr>
                </w:pPr>
                <w:r>
                  <w:rPr>
                    <w:color w:val="404040"/>
                    <w:sz w:val="19"/>
                  </w:rPr>
                  <w:t>Results for non-welfare recipients</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0pt;margin-top:27.617987pt;width:143.1pt;height:12.6pt;mso-position-horizontal-relative:page;mso-position-vertical-relative:page;z-index:-288208896" type="#_x0000_t202" filled="false" stroked="false">
          <v:textbox inset="0,0,0,0">
            <w:txbxContent>
              <w:p>
                <w:pPr>
                  <w:spacing w:before="13"/>
                  <w:ind w:left="20" w:right="0" w:firstLine="0"/>
                  <w:jc w:val="left"/>
                  <w:rPr>
                    <w:sz w:val="19"/>
                  </w:rPr>
                </w:pPr>
                <w:r>
                  <w:rPr>
                    <w:color w:val="404040"/>
                    <w:sz w:val="19"/>
                  </w:rPr>
                  <w:t>Results for non-welfare recipients</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0pt;margin-top:27.617987pt;width:143.1pt;height:12.6pt;mso-position-horizontal-relative:page;mso-position-vertical-relative:page;z-index:-288206848" type="#_x0000_t202" filled="false" stroked="false">
          <v:textbox inset="0,0,0,0">
            <w:txbxContent>
              <w:p>
                <w:pPr>
                  <w:spacing w:before="13"/>
                  <w:ind w:left="20" w:right="0" w:firstLine="0"/>
                  <w:jc w:val="left"/>
                  <w:rPr>
                    <w:sz w:val="19"/>
                  </w:rPr>
                </w:pPr>
                <w:r>
                  <w:rPr>
                    <w:color w:val="404040"/>
                    <w:sz w:val="19"/>
                  </w:rPr>
                  <w:t>Results for non-welfare recipients</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0pt;margin-top:27.617987pt;width:143.1pt;height:12.6pt;mso-position-horizontal-relative:page;mso-position-vertical-relative:page;z-index:-288204800" type="#_x0000_t202" filled="false" stroked="false">
          <v:textbox inset="0,0,0,0">
            <w:txbxContent>
              <w:p>
                <w:pPr>
                  <w:spacing w:before="13"/>
                  <w:ind w:left="20" w:right="0" w:firstLine="0"/>
                  <w:jc w:val="left"/>
                  <w:rPr>
                    <w:sz w:val="19"/>
                  </w:rPr>
                </w:pPr>
                <w:r>
                  <w:rPr>
                    <w:color w:val="404040"/>
                    <w:sz w:val="19"/>
                  </w:rPr>
                  <w:t>Results for non-welfare recipients</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0pt;margin-top:27.617987pt;width:90.75pt;height:12.6pt;mso-position-horizontal-relative:page;mso-position-vertical-relative:page;z-index:-288201728" type="#_x0000_t202" filled="false" stroked="false">
          <v:textbox inset="0,0,0,0">
            <w:txbxContent>
              <w:p>
                <w:pPr>
                  <w:spacing w:before="13"/>
                  <w:ind w:left="20" w:right="0" w:firstLine="0"/>
                  <w:jc w:val="left"/>
                  <w:rPr>
                    <w:sz w:val="19"/>
                  </w:rPr>
                </w:pPr>
                <w:r>
                  <w:rPr>
                    <w:sz w:val="19"/>
                  </w:rPr>
                  <w:t>Appendix A Glossary</w:t>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0pt;margin-top:27.617987pt;width:117.15pt;height:12.6pt;mso-position-horizontal-relative:page;mso-position-vertical-relative:page;z-index:-288199680" type="#_x0000_t202" filled="false" stroked="false">
          <v:textbox inset="0,0,0,0">
            <w:txbxContent>
              <w:p>
                <w:pPr>
                  <w:spacing w:before="13"/>
                  <w:ind w:left="20" w:right="0" w:firstLine="0"/>
                  <w:jc w:val="left"/>
                  <w:rPr>
                    <w:sz w:val="19"/>
                  </w:rPr>
                </w:pPr>
                <w:r>
                  <w:rPr>
                    <w:sz w:val="19"/>
                  </w:rPr>
                  <w:t>Appendix B Policy changes</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0pt;margin-top:27.617987pt;width:117.15pt;height:12.6pt;mso-position-horizontal-relative:page;mso-position-vertical-relative:page;z-index:-288197632" type="#_x0000_t202" filled="false" stroked="false">
          <v:textbox inset="0,0,0,0">
            <w:txbxContent>
              <w:p>
                <w:pPr>
                  <w:spacing w:before="13"/>
                  <w:ind w:left="20" w:right="0" w:firstLine="0"/>
                  <w:jc w:val="left"/>
                  <w:rPr>
                    <w:sz w:val="19"/>
                  </w:rPr>
                </w:pPr>
                <w:r>
                  <w:rPr>
                    <w:sz w:val="19"/>
                  </w:rPr>
                  <w:t>Appendix B Policy changes</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0pt;margin-top:27.617987pt;width:117.15pt;height:12.6pt;mso-position-horizontal-relative:page;mso-position-vertical-relative:page;z-index:-288195584" type="#_x0000_t202" filled="false" stroked="false">
          <v:textbox inset="0,0,0,0">
            <w:txbxContent>
              <w:p>
                <w:pPr>
                  <w:spacing w:before="13"/>
                  <w:ind w:left="20" w:right="0" w:firstLine="0"/>
                  <w:jc w:val="left"/>
                  <w:rPr>
                    <w:sz w:val="19"/>
                  </w:rPr>
                </w:pPr>
                <w:r>
                  <w:rPr>
                    <w:sz w:val="19"/>
                  </w:rPr>
                  <w:t>Appendix B Policy changes</w:t>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0pt;margin-top:27.617987pt;width:51.7pt;height:12.6pt;mso-position-horizontal-relative:page;mso-position-vertical-relative:page;z-index:-288239616" type="#_x0000_t202" filled="false" stroked="false">
          <v:textbox inset="0,0,0,0">
            <w:txbxContent>
              <w:p>
                <w:pPr>
                  <w:spacing w:before="13"/>
                  <w:ind w:left="20" w:right="0" w:firstLine="0"/>
                  <w:jc w:val="left"/>
                  <w:rPr>
                    <w:sz w:val="19"/>
                  </w:rPr>
                </w:pPr>
                <w:r>
                  <w:rPr>
                    <w:color w:val="404040"/>
                    <w:sz w:val="19"/>
                  </w:rPr>
                  <w:t>Introduction</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0pt;margin-top:27.617987pt;width:136.1pt;height:12.6pt;mso-position-horizontal-relative:page;mso-position-vertical-relative:page;z-index:-288237568" type="#_x0000_t202" filled="false" stroked="false">
          <v:textbox inset="0,0,0,0">
            <w:txbxContent>
              <w:p>
                <w:pPr>
                  <w:spacing w:before="13"/>
                  <w:ind w:left="20" w:right="0" w:firstLine="0"/>
                  <w:jc w:val="left"/>
                  <w:rPr>
                    <w:sz w:val="19"/>
                  </w:rPr>
                </w:pPr>
                <w:r>
                  <w:rPr>
                    <w:color w:val="404040"/>
                    <w:sz w:val="19"/>
                  </w:rPr>
                  <w:t>Developments and new insights</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0pt;margin-top:27.617987pt;width:153.7pt;height:12.6pt;mso-position-horizontal-relative:page;mso-position-vertical-relative:page;z-index:-288235520" type="#_x0000_t202" filled="false" stroked="false">
          <v:textbox inset="0,0,0,0">
            <w:txbxContent>
              <w:p>
                <w:pPr>
                  <w:spacing w:before="13"/>
                  <w:ind w:left="20" w:right="0" w:firstLine="0"/>
                  <w:jc w:val="left"/>
                  <w:rPr>
                    <w:sz w:val="19"/>
                  </w:rPr>
                </w:pPr>
                <w:r>
                  <w:rPr>
                    <w:color w:val="404040"/>
                    <w:sz w:val="19"/>
                  </w:rPr>
                  <w:t>Other key changes for this valuation</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0pt;margin-top:27.617987pt;width:131.35pt;height:12.6pt;mso-position-horizontal-relative:page;mso-position-vertical-relative:page;z-index:-288233472" type="#_x0000_t202" filled="false" stroked="false">
          <v:textbox inset="0,0,0,0">
            <w:txbxContent>
              <w:p>
                <w:pPr>
                  <w:spacing w:before="13"/>
                  <w:ind w:left="20" w:right="0" w:firstLine="0"/>
                  <w:jc w:val="left"/>
                  <w:rPr>
                    <w:sz w:val="19"/>
                  </w:rPr>
                </w:pPr>
                <w:r>
                  <w:rPr>
                    <w:color w:val="404040"/>
                    <w:sz w:val="19"/>
                  </w:rPr>
                  <w:t>Summary of recent experience</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0pt;margin-top:27.617987pt;width:62.8pt;height:12.6pt;mso-position-horizontal-relative:page;mso-position-vertical-relative:page;z-index:-288231424" type="#_x0000_t202" filled="false" stroked="false">
          <v:textbox inset="0,0,0,0">
            <w:txbxContent>
              <w:p>
                <w:pPr>
                  <w:spacing w:before="13"/>
                  <w:ind w:left="20" w:right="0" w:firstLine="0"/>
                  <w:jc w:val="left"/>
                  <w:rPr>
                    <w:sz w:val="19"/>
                  </w:rPr>
                </w:pPr>
                <w:r>
                  <w:rPr>
                    <w:color w:val="404040"/>
                    <w:sz w:val="19"/>
                  </w:rPr>
                  <w:t>Overall results</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0pt;margin-top:27.617987pt;width:158.3pt;height:12.6pt;mso-position-horizontal-relative:page;mso-position-vertical-relative:page;z-index:-288229376" type="#_x0000_t202" filled="false" stroked="false">
          <v:textbox inset="0,0,0,0">
            <w:txbxContent>
              <w:p>
                <w:pPr>
                  <w:spacing w:before="13"/>
                  <w:ind w:left="20" w:right="0" w:firstLine="0"/>
                  <w:jc w:val="left"/>
                  <w:rPr>
                    <w:sz w:val="19"/>
                  </w:rPr>
                </w:pPr>
                <w:r>
                  <w:rPr>
                    <w:color w:val="404040"/>
                    <w:sz w:val="19"/>
                  </w:rPr>
                  <w:t>Results for income support recipients</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0pt;margin-top:27.617987pt;width:158.3pt;height:12.6pt;mso-position-horizontal-relative:page;mso-position-vertical-relative:page;z-index:-288227328" type="#_x0000_t202" filled="false" stroked="false">
          <v:textbox inset="0,0,0,0">
            <w:txbxContent>
              <w:p>
                <w:pPr>
                  <w:spacing w:before="13"/>
                  <w:ind w:left="20" w:right="0" w:firstLine="0"/>
                  <w:jc w:val="left"/>
                  <w:rPr>
                    <w:sz w:val="19"/>
                  </w:rPr>
                </w:pPr>
                <w:r>
                  <w:rPr>
                    <w:color w:val="404040"/>
                    <w:sz w:val="19"/>
                  </w:rPr>
                  <w:t>Results for income support recipients</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82">
    <w:multiLevelType w:val="hybridMultilevel"/>
    <w:lvl w:ilvl="0">
      <w:start w:val="0"/>
      <w:numFmt w:val="bullet"/>
      <w:lvlText w:val=""/>
      <w:lvlJc w:val="left"/>
      <w:pPr>
        <w:ind w:left="1183" w:hanging="284"/>
      </w:pPr>
      <w:rPr>
        <w:rFonts w:hint="default"/>
        <w:w w:val="99"/>
        <w:lang w:val="en-au" w:eastAsia="en-au" w:bidi="en-au"/>
      </w:rPr>
    </w:lvl>
    <w:lvl w:ilvl="1">
      <w:start w:val="0"/>
      <w:numFmt w:val="bullet"/>
      <w:lvlText w:val="•"/>
      <w:lvlJc w:val="left"/>
      <w:pPr>
        <w:ind w:left="2240" w:hanging="284"/>
      </w:pPr>
      <w:rPr>
        <w:rFonts w:hint="default"/>
        <w:lang w:val="en-au" w:eastAsia="en-au" w:bidi="en-au"/>
      </w:rPr>
    </w:lvl>
    <w:lvl w:ilvl="2">
      <w:start w:val="0"/>
      <w:numFmt w:val="bullet"/>
      <w:lvlText w:val="•"/>
      <w:lvlJc w:val="left"/>
      <w:pPr>
        <w:ind w:left="3301" w:hanging="284"/>
      </w:pPr>
      <w:rPr>
        <w:rFonts w:hint="default"/>
        <w:lang w:val="en-au" w:eastAsia="en-au" w:bidi="en-au"/>
      </w:rPr>
    </w:lvl>
    <w:lvl w:ilvl="3">
      <w:start w:val="0"/>
      <w:numFmt w:val="bullet"/>
      <w:lvlText w:val="•"/>
      <w:lvlJc w:val="left"/>
      <w:pPr>
        <w:ind w:left="4361" w:hanging="284"/>
      </w:pPr>
      <w:rPr>
        <w:rFonts w:hint="default"/>
        <w:lang w:val="en-au" w:eastAsia="en-au" w:bidi="en-au"/>
      </w:rPr>
    </w:lvl>
    <w:lvl w:ilvl="4">
      <w:start w:val="0"/>
      <w:numFmt w:val="bullet"/>
      <w:lvlText w:val="•"/>
      <w:lvlJc w:val="left"/>
      <w:pPr>
        <w:ind w:left="5422" w:hanging="284"/>
      </w:pPr>
      <w:rPr>
        <w:rFonts w:hint="default"/>
        <w:lang w:val="en-au" w:eastAsia="en-au" w:bidi="en-au"/>
      </w:rPr>
    </w:lvl>
    <w:lvl w:ilvl="5">
      <w:start w:val="0"/>
      <w:numFmt w:val="bullet"/>
      <w:lvlText w:val="•"/>
      <w:lvlJc w:val="left"/>
      <w:pPr>
        <w:ind w:left="6483" w:hanging="284"/>
      </w:pPr>
      <w:rPr>
        <w:rFonts w:hint="default"/>
        <w:lang w:val="en-au" w:eastAsia="en-au" w:bidi="en-au"/>
      </w:rPr>
    </w:lvl>
    <w:lvl w:ilvl="6">
      <w:start w:val="0"/>
      <w:numFmt w:val="bullet"/>
      <w:lvlText w:val="•"/>
      <w:lvlJc w:val="left"/>
      <w:pPr>
        <w:ind w:left="7543" w:hanging="284"/>
      </w:pPr>
      <w:rPr>
        <w:rFonts w:hint="default"/>
        <w:lang w:val="en-au" w:eastAsia="en-au" w:bidi="en-au"/>
      </w:rPr>
    </w:lvl>
    <w:lvl w:ilvl="7">
      <w:start w:val="0"/>
      <w:numFmt w:val="bullet"/>
      <w:lvlText w:val="•"/>
      <w:lvlJc w:val="left"/>
      <w:pPr>
        <w:ind w:left="8604" w:hanging="284"/>
      </w:pPr>
      <w:rPr>
        <w:rFonts w:hint="default"/>
        <w:lang w:val="en-au" w:eastAsia="en-au" w:bidi="en-au"/>
      </w:rPr>
    </w:lvl>
    <w:lvl w:ilvl="8">
      <w:start w:val="0"/>
      <w:numFmt w:val="bullet"/>
      <w:lvlText w:val="•"/>
      <w:lvlJc w:val="left"/>
      <w:pPr>
        <w:ind w:left="9665" w:hanging="284"/>
      </w:pPr>
      <w:rPr>
        <w:rFonts w:hint="default"/>
        <w:lang w:val="en-au" w:eastAsia="en-au" w:bidi="en-au"/>
      </w:rPr>
    </w:lvl>
  </w:abstractNum>
  <w:abstractNum w:abstractNumId="78">
    <w:multiLevelType w:val="hybridMultilevel"/>
    <w:lvl w:ilvl="0">
      <w:start w:val="0"/>
      <w:numFmt w:val="bullet"/>
      <w:lvlText w:val=""/>
      <w:lvlJc w:val="left"/>
      <w:pPr>
        <w:ind w:left="1183" w:hanging="284"/>
      </w:pPr>
      <w:rPr>
        <w:rFonts w:hint="default"/>
        <w:w w:val="99"/>
        <w:lang w:val="en-au" w:eastAsia="en-au" w:bidi="en-au"/>
      </w:rPr>
    </w:lvl>
    <w:lvl w:ilvl="1">
      <w:start w:val="0"/>
      <w:numFmt w:val="bullet"/>
      <w:lvlText w:val="•"/>
      <w:lvlJc w:val="left"/>
      <w:pPr>
        <w:ind w:left="2240" w:hanging="284"/>
      </w:pPr>
      <w:rPr>
        <w:rFonts w:hint="default"/>
        <w:lang w:val="en-au" w:eastAsia="en-au" w:bidi="en-au"/>
      </w:rPr>
    </w:lvl>
    <w:lvl w:ilvl="2">
      <w:start w:val="0"/>
      <w:numFmt w:val="bullet"/>
      <w:lvlText w:val="•"/>
      <w:lvlJc w:val="left"/>
      <w:pPr>
        <w:ind w:left="3301" w:hanging="284"/>
      </w:pPr>
      <w:rPr>
        <w:rFonts w:hint="default"/>
        <w:lang w:val="en-au" w:eastAsia="en-au" w:bidi="en-au"/>
      </w:rPr>
    </w:lvl>
    <w:lvl w:ilvl="3">
      <w:start w:val="0"/>
      <w:numFmt w:val="bullet"/>
      <w:lvlText w:val="•"/>
      <w:lvlJc w:val="left"/>
      <w:pPr>
        <w:ind w:left="4361" w:hanging="284"/>
      </w:pPr>
      <w:rPr>
        <w:rFonts w:hint="default"/>
        <w:lang w:val="en-au" w:eastAsia="en-au" w:bidi="en-au"/>
      </w:rPr>
    </w:lvl>
    <w:lvl w:ilvl="4">
      <w:start w:val="0"/>
      <w:numFmt w:val="bullet"/>
      <w:lvlText w:val="•"/>
      <w:lvlJc w:val="left"/>
      <w:pPr>
        <w:ind w:left="5422" w:hanging="284"/>
      </w:pPr>
      <w:rPr>
        <w:rFonts w:hint="default"/>
        <w:lang w:val="en-au" w:eastAsia="en-au" w:bidi="en-au"/>
      </w:rPr>
    </w:lvl>
    <w:lvl w:ilvl="5">
      <w:start w:val="0"/>
      <w:numFmt w:val="bullet"/>
      <w:lvlText w:val="•"/>
      <w:lvlJc w:val="left"/>
      <w:pPr>
        <w:ind w:left="6483" w:hanging="284"/>
      </w:pPr>
      <w:rPr>
        <w:rFonts w:hint="default"/>
        <w:lang w:val="en-au" w:eastAsia="en-au" w:bidi="en-au"/>
      </w:rPr>
    </w:lvl>
    <w:lvl w:ilvl="6">
      <w:start w:val="0"/>
      <w:numFmt w:val="bullet"/>
      <w:lvlText w:val="•"/>
      <w:lvlJc w:val="left"/>
      <w:pPr>
        <w:ind w:left="7543" w:hanging="284"/>
      </w:pPr>
      <w:rPr>
        <w:rFonts w:hint="default"/>
        <w:lang w:val="en-au" w:eastAsia="en-au" w:bidi="en-au"/>
      </w:rPr>
    </w:lvl>
    <w:lvl w:ilvl="7">
      <w:start w:val="0"/>
      <w:numFmt w:val="bullet"/>
      <w:lvlText w:val="•"/>
      <w:lvlJc w:val="left"/>
      <w:pPr>
        <w:ind w:left="8604" w:hanging="284"/>
      </w:pPr>
      <w:rPr>
        <w:rFonts w:hint="default"/>
        <w:lang w:val="en-au" w:eastAsia="en-au" w:bidi="en-au"/>
      </w:rPr>
    </w:lvl>
    <w:lvl w:ilvl="8">
      <w:start w:val="0"/>
      <w:numFmt w:val="bullet"/>
      <w:lvlText w:val="•"/>
      <w:lvlJc w:val="left"/>
      <w:pPr>
        <w:ind w:left="9665" w:hanging="284"/>
      </w:pPr>
      <w:rPr>
        <w:rFonts w:hint="default"/>
        <w:lang w:val="en-au" w:eastAsia="en-au" w:bidi="en-au"/>
      </w:rPr>
    </w:lvl>
  </w:abstractNum>
  <w:abstractNum w:abstractNumId="73">
    <w:multiLevelType w:val="hybridMultilevel"/>
    <w:lvl w:ilvl="0">
      <w:start w:val="1"/>
      <w:numFmt w:val="decimal"/>
      <w:lvlText w:val="%1"/>
      <w:lvlJc w:val="left"/>
      <w:pPr>
        <w:ind w:left="1571" w:hanging="103"/>
        <w:jc w:val="left"/>
      </w:pPr>
      <w:rPr>
        <w:rFonts w:hint="default" w:ascii="Calibri" w:hAnsi="Calibri" w:eastAsia="Calibri" w:cs="Calibri"/>
        <w:w w:val="100"/>
        <w:sz w:val="14"/>
        <w:szCs w:val="14"/>
        <w:lang w:val="en-au" w:eastAsia="en-au" w:bidi="en-au"/>
      </w:rPr>
    </w:lvl>
    <w:lvl w:ilvl="1">
      <w:start w:val="0"/>
      <w:numFmt w:val="bullet"/>
      <w:lvlText w:val="•"/>
      <w:lvlJc w:val="left"/>
      <w:pPr>
        <w:ind w:left="1878" w:hanging="103"/>
      </w:pPr>
      <w:rPr>
        <w:rFonts w:hint="default"/>
        <w:lang w:val="en-au" w:eastAsia="en-au" w:bidi="en-au"/>
      </w:rPr>
    </w:lvl>
    <w:lvl w:ilvl="2">
      <w:start w:val="0"/>
      <w:numFmt w:val="bullet"/>
      <w:lvlText w:val="•"/>
      <w:lvlJc w:val="left"/>
      <w:pPr>
        <w:ind w:left="2177" w:hanging="103"/>
      </w:pPr>
      <w:rPr>
        <w:rFonts w:hint="default"/>
        <w:lang w:val="en-au" w:eastAsia="en-au" w:bidi="en-au"/>
      </w:rPr>
    </w:lvl>
    <w:lvl w:ilvl="3">
      <w:start w:val="0"/>
      <w:numFmt w:val="bullet"/>
      <w:lvlText w:val="•"/>
      <w:lvlJc w:val="left"/>
      <w:pPr>
        <w:ind w:left="2476" w:hanging="103"/>
      </w:pPr>
      <w:rPr>
        <w:rFonts w:hint="default"/>
        <w:lang w:val="en-au" w:eastAsia="en-au" w:bidi="en-au"/>
      </w:rPr>
    </w:lvl>
    <w:lvl w:ilvl="4">
      <w:start w:val="0"/>
      <w:numFmt w:val="bullet"/>
      <w:lvlText w:val="•"/>
      <w:lvlJc w:val="left"/>
      <w:pPr>
        <w:ind w:left="2775" w:hanging="103"/>
      </w:pPr>
      <w:rPr>
        <w:rFonts w:hint="default"/>
        <w:lang w:val="en-au" w:eastAsia="en-au" w:bidi="en-au"/>
      </w:rPr>
    </w:lvl>
    <w:lvl w:ilvl="5">
      <w:start w:val="0"/>
      <w:numFmt w:val="bullet"/>
      <w:lvlText w:val="•"/>
      <w:lvlJc w:val="left"/>
      <w:pPr>
        <w:ind w:left="3073" w:hanging="103"/>
      </w:pPr>
      <w:rPr>
        <w:rFonts w:hint="default"/>
        <w:lang w:val="en-au" w:eastAsia="en-au" w:bidi="en-au"/>
      </w:rPr>
    </w:lvl>
    <w:lvl w:ilvl="6">
      <w:start w:val="0"/>
      <w:numFmt w:val="bullet"/>
      <w:lvlText w:val="•"/>
      <w:lvlJc w:val="left"/>
      <w:pPr>
        <w:ind w:left="3372" w:hanging="103"/>
      </w:pPr>
      <w:rPr>
        <w:rFonts w:hint="default"/>
        <w:lang w:val="en-au" w:eastAsia="en-au" w:bidi="en-au"/>
      </w:rPr>
    </w:lvl>
    <w:lvl w:ilvl="7">
      <w:start w:val="0"/>
      <w:numFmt w:val="bullet"/>
      <w:lvlText w:val="•"/>
      <w:lvlJc w:val="left"/>
      <w:pPr>
        <w:ind w:left="3671" w:hanging="103"/>
      </w:pPr>
      <w:rPr>
        <w:rFonts w:hint="default"/>
        <w:lang w:val="en-au" w:eastAsia="en-au" w:bidi="en-au"/>
      </w:rPr>
    </w:lvl>
    <w:lvl w:ilvl="8">
      <w:start w:val="0"/>
      <w:numFmt w:val="bullet"/>
      <w:lvlText w:val="•"/>
      <w:lvlJc w:val="left"/>
      <w:pPr>
        <w:ind w:left="3970" w:hanging="103"/>
      </w:pPr>
      <w:rPr>
        <w:rFonts w:hint="default"/>
        <w:lang w:val="en-au" w:eastAsia="en-au" w:bidi="en-au"/>
      </w:rPr>
    </w:lvl>
  </w:abstractNum>
  <w:abstractNum w:abstractNumId="69">
    <w:multiLevelType w:val="hybridMultilevel"/>
    <w:lvl w:ilvl="0">
      <w:start w:val="0"/>
      <w:numFmt w:val="bullet"/>
      <w:lvlText w:val=""/>
      <w:lvlJc w:val="left"/>
      <w:pPr>
        <w:ind w:left="1183" w:hanging="284"/>
      </w:pPr>
      <w:rPr>
        <w:rFonts w:hint="default" w:ascii="Symbol" w:hAnsi="Symbol" w:eastAsia="Symbol" w:cs="Symbol"/>
        <w:w w:val="99"/>
        <w:sz w:val="20"/>
        <w:szCs w:val="20"/>
        <w:lang w:val="en-au" w:eastAsia="en-au" w:bidi="en-au"/>
      </w:rPr>
    </w:lvl>
    <w:lvl w:ilvl="1">
      <w:start w:val="0"/>
      <w:numFmt w:val="bullet"/>
      <w:lvlText w:val="•"/>
      <w:lvlJc w:val="left"/>
      <w:pPr>
        <w:ind w:left="2240" w:hanging="284"/>
      </w:pPr>
      <w:rPr>
        <w:rFonts w:hint="default"/>
        <w:lang w:val="en-au" w:eastAsia="en-au" w:bidi="en-au"/>
      </w:rPr>
    </w:lvl>
    <w:lvl w:ilvl="2">
      <w:start w:val="0"/>
      <w:numFmt w:val="bullet"/>
      <w:lvlText w:val="•"/>
      <w:lvlJc w:val="left"/>
      <w:pPr>
        <w:ind w:left="3301" w:hanging="284"/>
      </w:pPr>
      <w:rPr>
        <w:rFonts w:hint="default"/>
        <w:lang w:val="en-au" w:eastAsia="en-au" w:bidi="en-au"/>
      </w:rPr>
    </w:lvl>
    <w:lvl w:ilvl="3">
      <w:start w:val="0"/>
      <w:numFmt w:val="bullet"/>
      <w:lvlText w:val="•"/>
      <w:lvlJc w:val="left"/>
      <w:pPr>
        <w:ind w:left="4361" w:hanging="284"/>
      </w:pPr>
      <w:rPr>
        <w:rFonts w:hint="default"/>
        <w:lang w:val="en-au" w:eastAsia="en-au" w:bidi="en-au"/>
      </w:rPr>
    </w:lvl>
    <w:lvl w:ilvl="4">
      <w:start w:val="0"/>
      <w:numFmt w:val="bullet"/>
      <w:lvlText w:val="•"/>
      <w:lvlJc w:val="left"/>
      <w:pPr>
        <w:ind w:left="5422" w:hanging="284"/>
      </w:pPr>
      <w:rPr>
        <w:rFonts w:hint="default"/>
        <w:lang w:val="en-au" w:eastAsia="en-au" w:bidi="en-au"/>
      </w:rPr>
    </w:lvl>
    <w:lvl w:ilvl="5">
      <w:start w:val="0"/>
      <w:numFmt w:val="bullet"/>
      <w:lvlText w:val="•"/>
      <w:lvlJc w:val="left"/>
      <w:pPr>
        <w:ind w:left="6483" w:hanging="284"/>
      </w:pPr>
      <w:rPr>
        <w:rFonts w:hint="default"/>
        <w:lang w:val="en-au" w:eastAsia="en-au" w:bidi="en-au"/>
      </w:rPr>
    </w:lvl>
    <w:lvl w:ilvl="6">
      <w:start w:val="0"/>
      <w:numFmt w:val="bullet"/>
      <w:lvlText w:val="•"/>
      <w:lvlJc w:val="left"/>
      <w:pPr>
        <w:ind w:left="7543" w:hanging="284"/>
      </w:pPr>
      <w:rPr>
        <w:rFonts w:hint="default"/>
        <w:lang w:val="en-au" w:eastAsia="en-au" w:bidi="en-au"/>
      </w:rPr>
    </w:lvl>
    <w:lvl w:ilvl="7">
      <w:start w:val="0"/>
      <w:numFmt w:val="bullet"/>
      <w:lvlText w:val="•"/>
      <w:lvlJc w:val="left"/>
      <w:pPr>
        <w:ind w:left="8604" w:hanging="284"/>
      </w:pPr>
      <w:rPr>
        <w:rFonts w:hint="default"/>
        <w:lang w:val="en-au" w:eastAsia="en-au" w:bidi="en-au"/>
      </w:rPr>
    </w:lvl>
    <w:lvl w:ilvl="8">
      <w:start w:val="0"/>
      <w:numFmt w:val="bullet"/>
      <w:lvlText w:val="•"/>
      <w:lvlJc w:val="left"/>
      <w:pPr>
        <w:ind w:left="9665" w:hanging="284"/>
      </w:pPr>
      <w:rPr>
        <w:rFonts w:hint="default"/>
        <w:lang w:val="en-au" w:eastAsia="en-au" w:bidi="en-au"/>
      </w:rPr>
    </w:lvl>
  </w:abstractNum>
  <w:abstractNum w:abstractNumId="65">
    <w:multiLevelType w:val="hybridMultilevel"/>
    <w:lvl w:ilvl="0">
      <w:start w:val="0"/>
      <w:numFmt w:val="bullet"/>
      <w:lvlText w:val=""/>
      <w:lvlJc w:val="left"/>
      <w:pPr>
        <w:ind w:left="1183" w:hanging="284"/>
      </w:pPr>
      <w:rPr>
        <w:rFonts w:hint="default"/>
        <w:w w:val="99"/>
        <w:lang w:val="en-au" w:eastAsia="en-au" w:bidi="en-au"/>
      </w:rPr>
    </w:lvl>
    <w:lvl w:ilvl="1">
      <w:start w:val="0"/>
      <w:numFmt w:val="bullet"/>
      <w:lvlText w:val="–"/>
      <w:lvlJc w:val="left"/>
      <w:pPr>
        <w:ind w:left="1468" w:hanging="284"/>
      </w:pPr>
      <w:rPr>
        <w:rFonts w:hint="default" w:ascii="Arial" w:hAnsi="Arial" w:eastAsia="Arial" w:cs="Arial"/>
        <w:color w:val="404040"/>
        <w:w w:val="99"/>
        <w:sz w:val="20"/>
        <w:szCs w:val="20"/>
        <w:lang w:val="en-au" w:eastAsia="en-au" w:bidi="en-au"/>
      </w:rPr>
    </w:lvl>
    <w:lvl w:ilvl="2">
      <w:start w:val="0"/>
      <w:numFmt w:val="bullet"/>
      <w:lvlText w:val="•"/>
      <w:lvlJc w:val="left"/>
      <w:pPr>
        <w:ind w:left="2607" w:hanging="284"/>
      </w:pPr>
      <w:rPr>
        <w:rFonts w:hint="default"/>
        <w:lang w:val="en-au" w:eastAsia="en-au" w:bidi="en-au"/>
      </w:rPr>
    </w:lvl>
    <w:lvl w:ilvl="3">
      <w:start w:val="0"/>
      <w:numFmt w:val="bullet"/>
      <w:lvlText w:val="•"/>
      <w:lvlJc w:val="left"/>
      <w:pPr>
        <w:ind w:left="3754" w:hanging="284"/>
      </w:pPr>
      <w:rPr>
        <w:rFonts w:hint="default"/>
        <w:lang w:val="en-au" w:eastAsia="en-au" w:bidi="en-au"/>
      </w:rPr>
    </w:lvl>
    <w:lvl w:ilvl="4">
      <w:start w:val="0"/>
      <w:numFmt w:val="bullet"/>
      <w:lvlText w:val="•"/>
      <w:lvlJc w:val="left"/>
      <w:pPr>
        <w:ind w:left="4902" w:hanging="284"/>
      </w:pPr>
      <w:rPr>
        <w:rFonts w:hint="default"/>
        <w:lang w:val="en-au" w:eastAsia="en-au" w:bidi="en-au"/>
      </w:rPr>
    </w:lvl>
    <w:lvl w:ilvl="5">
      <w:start w:val="0"/>
      <w:numFmt w:val="bullet"/>
      <w:lvlText w:val="•"/>
      <w:lvlJc w:val="left"/>
      <w:pPr>
        <w:ind w:left="6049" w:hanging="284"/>
      </w:pPr>
      <w:rPr>
        <w:rFonts w:hint="default"/>
        <w:lang w:val="en-au" w:eastAsia="en-au" w:bidi="en-au"/>
      </w:rPr>
    </w:lvl>
    <w:lvl w:ilvl="6">
      <w:start w:val="0"/>
      <w:numFmt w:val="bullet"/>
      <w:lvlText w:val="•"/>
      <w:lvlJc w:val="left"/>
      <w:pPr>
        <w:ind w:left="7196" w:hanging="284"/>
      </w:pPr>
      <w:rPr>
        <w:rFonts w:hint="default"/>
        <w:lang w:val="en-au" w:eastAsia="en-au" w:bidi="en-au"/>
      </w:rPr>
    </w:lvl>
    <w:lvl w:ilvl="7">
      <w:start w:val="0"/>
      <w:numFmt w:val="bullet"/>
      <w:lvlText w:val="•"/>
      <w:lvlJc w:val="left"/>
      <w:pPr>
        <w:ind w:left="8344" w:hanging="284"/>
      </w:pPr>
      <w:rPr>
        <w:rFonts w:hint="default"/>
        <w:lang w:val="en-au" w:eastAsia="en-au" w:bidi="en-au"/>
      </w:rPr>
    </w:lvl>
    <w:lvl w:ilvl="8">
      <w:start w:val="0"/>
      <w:numFmt w:val="bullet"/>
      <w:lvlText w:val="•"/>
      <w:lvlJc w:val="left"/>
      <w:pPr>
        <w:ind w:left="9491" w:hanging="284"/>
      </w:pPr>
      <w:rPr>
        <w:rFonts w:hint="default"/>
        <w:lang w:val="en-au" w:eastAsia="en-au" w:bidi="en-au"/>
      </w:rPr>
    </w:lvl>
  </w:abstractNum>
  <w:abstractNum w:abstractNumId="61">
    <w:multiLevelType w:val="hybridMultilevel"/>
    <w:lvl w:ilvl="0">
      <w:start w:val="0"/>
      <w:numFmt w:val="bullet"/>
      <w:lvlText w:val=""/>
      <w:lvlJc w:val="left"/>
      <w:pPr>
        <w:ind w:left="1183" w:hanging="284"/>
      </w:pPr>
      <w:rPr>
        <w:rFonts w:hint="default"/>
        <w:w w:val="99"/>
        <w:lang w:val="en-au" w:eastAsia="en-au" w:bidi="en-au"/>
      </w:rPr>
    </w:lvl>
    <w:lvl w:ilvl="1">
      <w:start w:val="0"/>
      <w:numFmt w:val="bullet"/>
      <w:lvlText w:val="•"/>
      <w:lvlJc w:val="left"/>
      <w:pPr>
        <w:ind w:left="2240" w:hanging="284"/>
      </w:pPr>
      <w:rPr>
        <w:rFonts w:hint="default"/>
        <w:lang w:val="en-au" w:eastAsia="en-au" w:bidi="en-au"/>
      </w:rPr>
    </w:lvl>
    <w:lvl w:ilvl="2">
      <w:start w:val="0"/>
      <w:numFmt w:val="bullet"/>
      <w:lvlText w:val="•"/>
      <w:lvlJc w:val="left"/>
      <w:pPr>
        <w:ind w:left="3301" w:hanging="284"/>
      </w:pPr>
      <w:rPr>
        <w:rFonts w:hint="default"/>
        <w:lang w:val="en-au" w:eastAsia="en-au" w:bidi="en-au"/>
      </w:rPr>
    </w:lvl>
    <w:lvl w:ilvl="3">
      <w:start w:val="0"/>
      <w:numFmt w:val="bullet"/>
      <w:lvlText w:val="•"/>
      <w:lvlJc w:val="left"/>
      <w:pPr>
        <w:ind w:left="4361" w:hanging="284"/>
      </w:pPr>
      <w:rPr>
        <w:rFonts w:hint="default"/>
        <w:lang w:val="en-au" w:eastAsia="en-au" w:bidi="en-au"/>
      </w:rPr>
    </w:lvl>
    <w:lvl w:ilvl="4">
      <w:start w:val="0"/>
      <w:numFmt w:val="bullet"/>
      <w:lvlText w:val="•"/>
      <w:lvlJc w:val="left"/>
      <w:pPr>
        <w:ind w:left="5422" w:hanging="284"/>
      </w:pPr>
      <w:rPr>
        <w:rFonts w:hint="default"/>
        <w:lang w:val="en-au" w:eastAsia="en-au" w:bidi="en-au"/>
      </w:rPr>
    </w:lvl>
    <w:lvl w:ilvl="5">
      <w:start w:val="0"/>
      <w:numFmt w:val="bullet"/>
      <w:lvlText w:val="•"/>
      <w:lvlJc w:val="left"/>
      <w:pPr>
        <w:ind w:left="6483" w:hanging="284"/>
      </w:pPr>
      <w:rPr>
        <w:rFonts w:hint="default"/>
        <w:lang w:val="en-au" w:eastAsia="en-au" w:bidi="en-au"/>
      </w:rPr>
    </w:lvl>
    <w:lvl w:ilvl="6">
      <w:start w:val="0"/>
      <w:numFmt w:val="bullet"/>
      <w:lvlText w:val="•"/>
      <w:lvlJc w:val="left"/>
      <w:pPr>
        <w:ind w:left="7543" w:hanging="284"/>
      </w:pPr>
      <w:rPr>
        <w:rFonts w:hint="default"/>
        <w:lang w:val="en-au" w:eastAsia="en-au" w:bidi="en-au"/>
      </w:rPr>
    </w:lvl>
    <w:lvl w:ilvl="7">
      <w:start w:val="0"/>
      <w:numFmt w:val="bullet"/>
      <w:lvlText w:val="•"/>
      <w:lvlJc w:val="left"/>
      <w:pPr>
        <w:ind w:left="8604" w:hanging="284"/>
      </w:pPr>
      <w:rPr>
        <w:rFonts w:hint="default"/>
        <w:lang w:val="en-au" w:eastAsia="en-au" w:bidi="en-au"/>
      </w:rPr>
    </w:lvl>
    <w:lvl w:ilvl="8">
      <w:start w:val="0"/>
      <w:numFmt w:val="bullet"/>
      <w:lvlText w:val="•"/>
      <w:lvlJc w:val="left"/>
      <w:pPr>
        <w:ind w:left="9665" w:hanging="284"/>
      </w:pPr>
      <w:rPr>
        <w:rFonts w:hint="default"/>
        <w:lang w:val="en-au" w:eastAsia="en-au" w:bidi="en-au"/>
      </w:rPr>
    </w:lvl>
  </w:abstractNum>
  <w:abstractNum w:abstractNumId="33">
    <w:multiLevelType w:val="hybridMultilevel"/>
    <w:lvl w:ilvl="0">
      <w:start w:val="3"/>
      <w:numFmt w:val="decimal"/>
      <w:lvlText w:val="%1"/>
      <w:lvlJc w:val="left"/>
      <w:pPr>
        <w:ind w:left="1883" w:hanging="79"/>
        <w:jc w:val="right"/>
      </w:pPr>
      <w:rPr>
        <w:rFonts w:hint="default" w:ascii="Calibri" w:hAnsi="Calibri" w:eastAsia="Calibri" w:cs="Calibri"/>
        <w:color w:val="585858"/>
        <w:w w:val="102"/>
        <w:sz w:val="10"/>
        <w:szCs w:val="10"/>
        <w:lang w:val="en-au" w:eastAsia="en-au" w:bidi="en-au"/>
      </w:rPr>
    </w:lvl>
    <w:lvl w:ilvl="1">
      <w:start w:val="0"/>
      <w:numFmt w:val="bullet"/>
      <w:lvlText w:val="•"/>
      <w:lvlJc w:val="left"/>
      <w:pPr>
        <w:ind w:left="2870" w:hanging="79"/>
      </w:pPr>
      <w:rPr>
        <w:rFonts w:hint="default"/>
        <w:lang w:val="en-au" w:eastAsia="en-au" w:bidi="en-au"/>
      </w:rPr>
    </w:lvl>
    <w:lvl w:ilvl="2">
      <w:start w:val="0"/>
      <w:numFmt w:val="bullet"/>
      <w:lvlText w:val="•"/>
      <w:lvlJc w:val="left"/>
      <w:pPr>
        <w:ind w:left="3861" w:hanging="79"/>
      </w:pPr>
      <w:rPr>
        <w:rFonts w:hint="default"/>
        <w:lang w:val="en-au" w:eastAsia="en-au" w:bidi="en-au"/>
      </w:rPr>
    </w:lvl>
    <w:lvl w:ilvl="3">
      <w:start w:val="0"/>
      <w:numFmt w:val="bullet"/>
      <w:lvlText w:val="•"/>
      <w:lvlJc w:val="left"/>
      <w:pPr>
        <w:ind w:left="4851" w:hanging="79"/>
      </w:pPr>
      <w:rPr>
        <w:rFonts w:hint="default"/>
        <w:lang w:val="en-au" w:eastAsia="en-au" w:bidi="en-au"/>
      </w:rPr>
    </w:lvl>
    <w:lvl w:ilvl="4">
      <w:start w:val="0"/>
      <w:numFmt w:val="bullet"/>
      <w:lvlText w:val="•"/>
      <w:lvlJc w:val="left"/>
      <w:pPr>
        <w:ind w:left="5842" w:hanging="79"/>
      </w:pPr>
      <w:rPr>
        <w:rFonts w:hint="default"/>
        <w:lang w:val="en-au" w:eastAsia="en-au" w:bidi="en-au"/>
      </w:rPr>
    </w:lvl>
    <w:lvl w:ilvl="5">
      <w:start w:val="0"/>
      <w:numFmt w:val="bullet"/>
      <w:lvlText w:val="•"/>
      <w:lvlJc w:val="left"/>
      <w:pPr>
        <w:ind w:left="6833" w:hanging="79"/>
      </w:pPr>
      <w:rPr>
        <w:rFonts w:hint="default"/>
        <w:lang w:val="en-au" w:eastAsia="en-au" w:bidi="en-au"/>
      </w:rPr>
    </w:lvl>
    <w:lvl w:ilvl="6">
      <w:start w:val="0"/>
      <w:numFmt w:val="bullet"/>
      <w:lvlText w:val="•"/>
      <w:lvlJc w:val="left"/>
      <w:pPr>
        <w:ind w:left="7823" w:hanging="79"/>
      </w:pPr>
      <w:rPr>
        <w:rFonts w:hint="default"/>
        <w:lang w:val="en-au" w:eastAsia="en-au" w:bidi="en-au"/>
      </w:rPr>
    </w:lvl>
    <w:lvl w:ilvl="7">
      <w:start w:val="0"/>
      <w:numFmt w:val="bullet"/>
      <w:lvlText w:val="•"/>
      <w:lvlJc w:val="left"/>
      <w:pPr>
        <w:ind w:left="8814" w:hanging="79"/>
      </w:pPr>
      <w:rPr>
        <w:rFonts w:hint="default"/>
        <w:lang w:val="en-au" w:eastAsia="en-au" w:bidi="en-au"/>
      </w:rPr>
    </w:lvl>
    <w:lvl w:ilvl="8">
      <w:start w:val="0"/>
      <w:numFmt w:val="bullet"/>
      <w:lvlText w:val="•"/>
      <w:lvlJc w:val="left"/>
      <w:pPr>
        <w:ind w:left="9805" w:hanging="79"/>
      </w:pPr>
      <w:rPr>
        <w:rFonts w:hint="default"/>
        <w:lang w:val="en-au" w:eastAsia="en-au" w:bidi="en-au"/>
      </w:rPr>
    </w:lvl>
  </w:abstractNum>
  <w:abstractNum w:abstractNumId="13">
    <w:multiLevelType w:val="hybridMultilevel"/>
    <w:lvl w:ilvl="0">
      <w:start w:val="0"/>
      <w:numFmt w:val="bullet"/>
      <w:lvlText w:val=""/>
      <w:lvlJc w:val="left"/>
      <w:pPr>
        <w:ind w:left="1291" w:hanging="284"/>
      </w:pPr>
      <w:rPr>
        <w:rFonts w:hint="default" w:ascii="Symbol" w:hAnsi="Symbol" w:eastAsia="Symbol" w:cs="Symbol"/>
        <w:w w:val="99"/>
        <w:sz w:val="20"/>
        <w:szCs w:val="20"/>
        <w:lang w:val="en-au" w:eastAsia="en-au" w:bidi="en-au"/>
      </w:rPr>
    </w:lvl>
    <w:lvl w:ilvl="1">
      <w:start w:val="0"/>
      <w:numFmt w:val="bullet"/>
      <w:lvlText w:val="–"/>
      <w:lvlJc w:val="left"/>
      <w:pPr>
        <w:ind w:left="1576" w:hanging="284"/>
      </w:pPr>
      <w:rPr>
        <w:rFonts w:hint="default" w:ascii="Arial" w:hAnsi="Arial" w:eastAsia="Arial" w:cs="Arial"/>
        <w:w w:val="99"/>
        <w:sz w:val="20"/>
        <w:szCs w:val="20"/>
        <w:lang w:val="en-au" w:eastAsia="en-au" w:bidi="en-au"/>
      </w:rPr>
    </w:lvl>
    <w:lvl w:ilvl="2">
      <w:start w:val="0"/>
      <w:numFmt w:val="bullet"/>
      <w:lvlText w:val="◦"/>
      <w:lvlJc w:val="left"/>
      <w:pPr>
        <w:ind w:left="1860" w:hanging="284"/>
      </w:pPr>
      <w:rPr>
        <w:rFonts w:hint="default" w:ascii="Georgia" w:hAnsi="Georgia" w:eastAsia="Georgia" w:cs="Georgia"/>
        <w:spacing w:val="-2"/>
        <w:w w:val="99"/>
        <w:sz w:val="18"/>
        <w:szCs w:val="18"/>
        <w:lang w:val="en-au" w:eastAsia="en-au" w:bidi="en-au"/>
      </w:rPr>
    </w:lvl>
    <w:lvl w:ilvl="3">
      <w:start w:val="0"/>
      <w:numFmt w:val="bullet"/>
      <w:lvlText w:val="•"/>
      <w:lvlJc w:val="left"/>
      <w:pPr>
        <w:ind w:left="3100" w:hanging="284"/>
      </w:pPr>
      <w:rPr>
        <w:rFonts w:hint="default"/>
        <w:lang w:val="en-au" w:eastAsia="en-au" w:bidi="en-au"/>
      </w:rPr>
    </w:lvl>
    <w:lvl w:ilvl="4">
      <w:start w:val="0"/>
      <w:numFmt w:val="bullet"/>
      <w:lvlText w:val="•"/>
      <w:lvlJc w:val="left"/>
      <w:pPr>
        <w:ind w:left="4341" w:hanging="284"/>
      </w:pPr>
      <w:rPr>
        <w:rFonts w:hint="default"/>
        <w:lang w:val="en-au" w:eastAsia="en-au" w:bidi="en-au"/>
      </w:rPr>
    </w:lvl>
    <w:lvl w:ilvl="5">
      <w:start w:val="0"/>
      <w:numFmt w:val="bullet"/>
      <w:lvlText w:val="•"/>
      <w:lvlJc w:val="left"/>
      <w:pPr>
        <w:ind w:left="5582" w:hanging="284"/>
      </w:pPr>
      <w:rPr>
        <w:rFonts w:hint="default"/>
        <w:lang w:val="en-au" w:eastAsia="en-au" w:bidi="en-au"/>
      </w:rPr>
    </w:lvl>
    <w:lvl w:ilvl="6">
      <w:start w:val="0"/>
      <w:numFmt w:val="bullet"/>
      <w:lvlText w:val="•"/>
      <w:lvlJc w:val="left"/>
      <w:pPr>
        <w:ind w:left="6823" w:hanging="284"/>
      </w:pPr>
      <w:rPr>
        <w:rFonts w:hint="default"/>
        <w:lang w:val="en-au" w:eastAsia="en-au" w:bidi="en-au"/>
      </w:rPr>
    </w:lvl>
    <w:lvl w:ilvl="7">
      <w:start w:val="0"/>
      <w:numFmt w:val="bullet"/>
      <w:lvlText w:val="•"/>
      <w:lvlJc w:val="left"/>
      <w:pPr>
        <w:ind w:left="8064" w:hanging="284"/>
      </w:pPr>
      <w:rPr>
        <w:rFonts w:hint="default"/>
        <w:lang w:val="en-au" w:eastAsia="en-au" w:bidi="en-au"/>
      </w:rPr>
    </w:lvl>
    <w:lvl w:ilvl="8">
      <w:start w:val="0"/>
      <w:numFmt w:val="bullet"/>
      <w:lvlText w:val="•"/>
      <w:lvlJc w:val="left"/>
      <w:pPr>
        <w:ind w:left="9304" w:hanging="284"/>
      </w:pPr>
      <w:rPr>
        <w:rFonts w:hint="default"/>
        <w:lang w:val="en-au" w:eastAsia="en-au" w:bidi="en-au"/>
      </w:rPr>
    </w:lvl>
  </w:abstractNum>
  <w:abstractNum w:abstractNumId="5">
    <w:multiLevelType w:val="hybridMultilevel"/>
    <w:lvl w:ilvl="0">
      <w:start w:val="0"/>
      <w:numFmt w:val="bullet"/>
      <w:lvlText w:val=""/>
      <w:lvlJc w:val="left"/>
      <w:pPr>
        <w:ind w:left="1182" w:hanging="284"/>
      </w:pPr>
      <w:rPr>
        <w:rFonts w:hint="default" w:ascii="Symbol" w:hAnsi="Symbol" w:eastAsia="Symbol" w:cs="Symbol"/>
        <w:w w:val="99"/>
        <w:sz w:val="20"/>
        <w:szCs w:val="20"/>
        <w:lang w:val="en-au" w:eastAsia="en-au" w:bidi="en-au"/>
      </w:rPr>
    </w:lvl>
    <w:lvl w:ilvl="1">
      <w:start w:val="0"/>
      <w:numFmt w:val="bullet"/>
      <w:lvlText w:val="•"/>
      <w:lvlJc w:val="left"/>
      <w:pPr>
        <w:ind w:left="2240" w:hanging="284"/>
      </w:pPr>
      <w:rPr>
        <w:rFonts w:hint="default"/>
        <w:lang w:val="en-au" w:eastAsia="en-au" w:bidi="en-au"/>
      </w:rPr>
    </w:lvl>
    <w:lvl w:ilvl="2">
      <w:start w:val="0"/>
      <w:numFmt w:val="bullet"/>
      <w:lvlText w:val="•"/>
      <w:lvlJc w:val="left"/>
      <w:pPr>
        <w:ind w:left="3301" w:hanging="284"/>
      </w:pPr>
      <w:rPr>
        <w:rFonts w:hint="default"/>
        <w:lang w:val="en-au" w:eastAsia="en-au" w:bidi="en-au"/>
      </w:rPr>
    </w:lvl>
    <w:lvl w:ilvl="3">
      <w:start w:val="0"/>
      <w:numFmt w:val="bullet"/>
      <w:lvlText w:val="•"/>
      <w:lvlJc w:val="left"/>
      <w:pPr>
        <w:ind w:left="4361" w:hanging="284"/>
      </w:pPr>
      <w:rPr>
        <w:rFonts w:hint="default"/>
        <w:lang w:val="en-au" w:eastAsia="en-au" w:bidi="en-au"/>
      </w:rPr>
    </w:lvl>
    <w:lvl w:ilvl="4">
      <w:start w:val="0"/>
      <w:numFmt w:val="bullet"/>
      <w:lvlText w:val="•"/>
      <w:lvlJc w:val="left"/>
      <w:pPr>
        <w:ind w:left="5422" w:hanging="284"/>
      </w:pPr>
      <w:rPr>
        <w:rFonts w:hint="default"/>
        <w:lang w:val="en-au" w:eastAsia="en-au" w:bidi="en-au"/>
      </w:rPr>
    </w:lvl>
    <w:lvl w:ilvl="5">
      <w:start w:val="0"/>
      <w:numFmt w:val="bullet"/>
      <w:lvlText w:val="•"/>
      <w:lvlJc w:val="left"/>
      <w:pPr>
        <w:ind w:left="6483" w:hanging="284"/>
      </w:pPr>
      <w:rPr>
        <w:rFonts w:hint="default"/>
        <w:lang w:val="en-au" w:eastAsia="en-au" w:bidi="en-au"/>
      </w:rPr>
    </w:lvl>
    <w:lvl w:ilvl="6">
      <w:start w:val="0"/>
      <w:numFmt w:val="bullet"/>
      <w:lvlText w:val="•"/>
      <w:lvlJc w:val="left"/>
      <w:pPr>
        <w:ind w:left="7543" w:hanging="284"/>
      </w:pPr>
      <w:rPr>
        <w:rFonts w:hint="default"/>
        <w:lang w:val="en-au" w:eastAsia="en-au" w:bidi="en-au"/>
      </w:rPr>
    </w:lvl>
    <w:lvl w:ilvl="7">
      <w:start w:val="0"/>
      <w:numFmt w:val="bullet"/>
      <w:lvlText w:val="•"/>
      <w:lvlJc w:val="left"/>
      <w:pPr>
        <w:ind w:left="8604" w:hanging="284"/>
      </w:pPr>
      <w:rPr>
        <w:rFonts w:hint="default"/>
        <w:lang w:val="en-au" w:eastAsia="en-au" w:bidi="en-au"/>
      </w:rPr>
    </w:lvl>
    <w:lvl w:ilvl="8">
      <w:start w:val="0"/>
      <w:numFmt w:val="bullet"/>
      <w:lvlText w:val="•"/>
      <w:lvlJc w:val="left"/>
      <w:pPr>
        <w:ind w:left="9665" w:hanging="284"/>
      </w:pPr>
      <w:rPr>
        <w:rFonts w:hint="default"/>
        <w:lang w:val="en-au" w:eastAsia="en-au" w:bidi="en-au"/>
      </w:rPr>
    </w:lvl>
  </w:abstractNum>
  <w:abstractNum w:abstractNumId="4">
    <w:multiLevelType w:val="hybridMultilevel"/>
    <w:lvl w:ilvl="0">
      <w:start w:val="0"/>
      <w:numFmt w:val="bullet"/>
      <w:lvlText w:val=""/>
      <w:lvlJc w:val="left"/>
      <w:pPr>
        <w:ind w:left="1183" w:hanging="284"/>
      </w:pPr>
      <w:rPr>
        <w:rFonts w:hint="default"/>
        <w:w w:val="99"/>
        <w:lang w:val="en-au" w:eastAsia="en-au" w:bidi="en-au"/>
      </w:rPr>
    </w:lvl>
    <w:lvl w:ilvl="1">
      <w:start w:val="0"/>
      <w:numFmt w:val="bullet"/>
      <w:lvlText w:val="•"/>
      <w:lvlJc w:val="left"/>
      <w:pPr>
        <w:ind w:left="2240" w:hanging="284"/>
      </w:pPr>
      <w:rPr>
        <w:rFonts w:hint="default"/>
        <w:lang w:val="en-au" w:eastAsia="en-au" w:bidi="en-au"/>
      </w:rPr>
    </w:lvl>
    <w:lvl w:ilvl="2">
      <w:start w:val="0"/>
      <w:numFmt w:val="bullet"/>
      <w:lvlText w:val="•"/>
      <w:lvlJc w:val="left"/>
      <w:pPr>
        <w:ind w:left="3301" w:hanging="284"/>
      </w:pPr>
      <w:rPr>
        <w:rFonts w:hint="default"/>
        <w:lang w:val="en-au" w:eastAsia="en-au" w:bidi="en-au"/>
      </w:rPr>
    </w:lvl>
    <w:lvl w:ilvl="3">
      <w:start w:val="0"/>
      <w:numFmt w:val="bullet"/>
      <w:lvlText w:val="•"/>
      <w:lvlJc w:val="left"/>
      <w:pPr>
        <w:ind w:left="4361" w:hanging="284"/>
      </w:pPr>
      <w:rPr>
        <w:rFonts w:hint="default"/>
        <w:lang w:val="en-au" w:eastAsia="en-au" w:bidi="en-au"/>
      </w:rPr>
    </w:lvl>
    <w:lvl w:ilvl="4">
      <w:start w:val="0"/>
      <w:numFmt w:val="bullet"/>
      <w:lvlText w:val="•"/>
      <w:lvlJc w:val="left"/>
      <w:pPr>
        <w:ind w:left="5422" w:hanging="284"/>
      </w:pPr>
      <w:rPr>
        <w:rFonts w:hint="default"/>
        <w:lang w:val="en-au" w:eastAsia="en-au" w:bidi="en-au"/>
      </w:rPr>
    </w:lvl>
    <w:lvl w:ilvl="5">
      <w:start w:val="0"/>
      <w:numFmt w:val="bullet"/>
      <w:lvlText w:val="•"/>
      <w:lvlJc w:val="left"/>
      <w:pPr>
        <w:ind w:left="6483" w:hanging="284"/>
      </w:pPr>
      <w:rPr>
        <w:rFonts w:hint="default"/>
        <w:lang w:val="en-au" w:eastAsia="en-au" w:bidi="en-au"/>
      </w:rPr>
    </w:lvl>
    <w:lvl w:ilvl="6">
      <w:start w:val="0"/>
      <w:numFmt w:val="bullet"/>
      <w:lvlText w:val="•"/>
      <w:lvlJc w:val="left"/>
      <w:pPr>
        <w:ind w:left="7543" w:hanging="284"/>
      </w:pPr>
      <w:rPr>
        <w:rFonts w:hint="default"/>
        <w:lang w:val="en-au" w:eastAsia="en-au" w:bidi="en-au"/>
      </w:rPr>
    </w:lvl>
    <w:lvl w:ilvl="7">
      <w:start w:val="0"/>
      <w:numFmt w:val="bullet"/>
      <w:lvlText w:val="•"/>
      <w:lvlJc w:val="left"/>
      <w:pPr>
        <w:ind w:left="8604" w:hanging="284"/>
      </w:pPr>
      <w:rPr>
        <w:rFonts w:hint="default"/>
        <w:lang w:val="en-au" w:eastAsia="en-au" w:bidi="en-au"/>
      </w:rPr>
    </w:lvl>
    <w:lvl w:ilvl="8">
      <w:start w:val="0"/>
      <w:numFmt w:val="bullet"/>
      <w:lvlText w:val="•"/>
      <w:lvlJc w:val="left"/>
      <w:pPr>
        <w:ind w:left="9665" w:hanging="284"/>
      </w:pPr>
      <w:rPr>
        <w:rFonts w:hint="default"/>
        <w:lang w:val="en-au" w:eastAsia="en-au" w:bidi="en-au"/>
      </w:rPr>
    </w:lvl>
  </w:abstractNum>
  <w:abstractNum w:abstractNumId="85">
    <w:multiLevelType w:val="hybridMultilevel"/>
    <w:lvl w:ilvl="0">
      <w:start w:val="0"/>
      <w:numFmt w:val="bullet"/>
      <w:lvlText w:val=""/>
      <w:lvlJc w:val="left"/>
      <w:pPr>
        <w:ind w:left="825" w:hanging="361"/>
      </w:pPr>
      <w:rPr>
        <w:rFonts w:hint="default" w:ascii="Symbol" w:hAnsi="Symbol" w:eastAsia="Symbol" w:cs="Symbol"/>
        <w:color w:val="404040"/>
        <w:w w:val="100"/>
        <w:sz w:val="16"/>
        <w:szCs w:val="16"/>
        <w:lang w:val="en-au" w:eastAsia="en-au" w:bidi="en-au"/>
      </w:rPr>
    </w:lvl>
    <w:lvl w:ilvl="1">
      <w:start w:val="0"/>
      <w:numFmt w:val="bullet"/>
      <w:lvlText w:val="•"/>
      <w:lvlJc w:val="left"/>
      <w:pPr>
        <w:ind w:left="1309" w:hanging="361"/>
      </w:pPr>
      <w:rPr>
        <w:rFonts w:hint="default"/>
        <w:lang w:val="en-au" w:eastAsia="en-au" w:bidi="en-au"/>
      </w:rPr>
    </w:lvl>
    <w:lvl w:ilvl="2">
      <w:start w:val="0"/>
      <w:numFmt w:val="bullet"/>
      <w:lvlText w:val="•"/>
      <w:lvlJc w:val="left"/>
      <w:pPr>
        <w:ind w:left="1799" w:hanging="361"/>
      </w:pPr>
      <w:rPr>
        <w:rFonts w:hint="default"/>
        <w:lang w:val="en-au" w:eastAsia="en-au" w:bidi="en-au"/>
      </w:rPr>
    </w:lvl>
    <w:lvl w:ilvl="3">
      <w:start w:val="0"/>
      <w:numFmt w:val="bullet"/>
      <w:lvlText w:val="•"/>
      <w:lvlJc w:val="left"/>
      <w:pPr>
        <w:ind w:left="2289" w:hanging="361"/>
      </w:pPr>
      <w:rPr>
        <w:rFonts w:hint="default"/>
        <w:lang w:val="en-au" w:eastAsia="en-au" w:bidi="en-au"/>
      </w:rPr>
    </w:lvl>
    <w:lvl w:ilvl="4">
      <w:start w:val="0"/>
      <w:numFmt w:val="bullet"/>
      <w:lvlText w:val="•"/>
      <w:lvlJc w:val="left"/>
      <w:pPr>
        <w:ind w:left="2779" w:hanging="361"/>
      </w:pPr>
      <w:rPr>
        <w:rFonts w:hint="default"/>
        <w:lang w:val="en-au" w:eastAsia="en-au" w:bidi="en-au"/>
      </w:rPr>
    </w:lvl>
    <w:lvl w:ilvl="5">
      <w:start w:val="0"/>
      <w:numFmt w:val="bullet"/>
      <w:lvlText w:val="•"/>
      <w:lvlJc w:val="left"/>
      <w:pPr>
        <w:ind w:left="3269" w:hanging="361"/>
      </w:pPr>
      <w:rPr>
        <w:rFonts w:hint="default"/>
        <w:lang w:val="en-au" w:eastAsia="en-au" w:bidi="en-au"/>
      </w:rPr>
    </w:lvl>
    <w:lvl w:ilvl="6">
      <w:start w:val="0"/>
      <w:numFmt w:val="bullet"/>
      <w:lvlText w:val="•"/>
      <w:lvlJc w:val="left"/>
      <w:pPr>
        <w:ind w:left="3758" w:hanging="361"/>
      </w:pPr>
      <w:rPr>
        <w:rFonts w:hint="default"/>
        <w:lang w:val="en-au" w:eastAsia="en-au" w:bidi="en-au"/>
      </w:rPr>
    </w:lvl>
    <w:lvl w:ilvl="7">
      <w:start w:val="0"/>
      <w:numFmt w:val="bullet"/>
      <w:lvlText w:val="•"/>
      <w:lvlJc w:val="left"/>
      <w:pPr>
        <w:ind w:left="4248" w:hanging="361"/>
      </w:pPr>
      <w:rPr>
        <w:rFonts w:hint="default"/>
        <w:lang w:val="en-au" w:eastAsia="en-au" w:bidi="en-au"/>
      </w:rPr>
    </w:lvl>
    <w:lvl w:ilvl="8">
      <w:start w:val="0"/>
      <w:numFmt w:val="bullet"/>
      <w:lvlText w:val="•"/>
      <w:lvlJc w:val="left"/>
      <w:pPr>
        <w:ind w:left="4738" w:hanging="361"/>
      </w:pPr>
      <w:rPr>
        <w:rFonts w:hint="default"/>
        <w:lang w:val="en-au" w:eastAsia="en-au" w:bidi="en-au"/>
      </w:rPr>
    </w:lvl>
  </w:abstractNum>
  <w:abstractNum w:abstractNumId="84">
    <w:multiLevelType w:val="hybridMultilevel"/>
    <w:lvl w:ilvl="0">
      <w:start w:val="1"/>
      <w:numFmt w:val="decimal"/>
      <w:lvlText w:val="%1"/>
      <w:lvlJc w:val="left"/>
      <w:pPr>
        <w:ind w:left="1007" w:hanging="103"/>
        <w:jc w:val="left"/>
      </w:pPr>
      <w:rPr>
        <w:rFonts w:hint="default" w:ascii="Calibri" w:hAnsi="Calibri" w:eastAsia="Calibri" w:cs="Calibri"/>
        <w:w w:val="100"/>
        <w:sz w:val="14"/>
        <w:szCs w:val="14"/>
        <w:lang w:val="en-au" w:eastAsia="en-au" w:bidi="en-au"/>
      </w:rPr>
    </w:lvl>
    <w:lvl w:ilvl="1">
      <w:start w:val="0"/>
      <w:numFmt w:val="bullet"/>
      <w:lvlText w:val="•"/>
      <w:lvlJc w:val="left"/>
      <w:pPr>
        <w:ind w:left="1381" w:hanging="103"/>
      </w:pPr>
      <w:rPr>
        <w:rFonts w:hint="default"/>
        <w:lang w:val="en-au" w:eastAsia="en-au" w:bidi="en-au"/>
      </w:rPr>
    </w:lvl>
    <w:lvl w:ilvl="2">
      <w:start w:val="0"/>
      <w:numFmt w:val="bullet"/>
      <w:lvlText w:val="•"/>
      <w:lvlJc w:val="left"/>
      <w:pPr>
        <w:ind w:left="1763" w:hanging="103"/>
      </w:pPr>
      <w:rPr>
        <w:rFonts w:hint="default"/>
        <w:lang w:val="en-au" w:eastAsia="en-au" w:bidi="en-au"/>
      </w:rPr>
    </w:lvl>
    <w:lvl w:ilvl="3">
      <w:start w:val="0"/>
      <w:numFmt w:val="bullet"/>
      <w:lvlText w:val="•"/>
      <w:lvlJc w:val="left"/>
      <w:pPr>
        <w:ind w:left="2144" w:hanging="103"/>
      </w:pPr>
      <w:rPr>
        <w:rFonts w:hint="default"/>
        <w:lang w:val="en-au" w:eastAsia="en-au" w:bidi="en-au"/>
      </w:rPr>
    </w:lvl>
    <w:lvl w:ilvl="4">
      <w:start w:val="0"/>
      <w:numFmt w:val="bullet"/>
      <w:lvlText w:val="•"/>
      <w:lvlJc w:val="left"/>
      <w:pPr>
        <w:ind w:left="2526" w:hanging="103"/>
      </w:pPr>
      <w:rPr>
        <w:rFonts w:hint="default"/>
        <w:lang w:val="en-au" w:eastAsia="en-au" w:bidi="en-au"/>
      </w:rPr>
    </w:lvl>
    <w:lvl w:ilvl="5">
      <w:start w:val="0"/>
      <w:numFmt w:val="bullet"/>
      <w:lvlText w:val="•"/>
      <w:lvlJc w:val="left"/>
      <w:pPr>
        <w:ind w:left="2908" w:hanging="103"/>
      </w:pPr>
      <w:rPr>
        <w:rFonts w:hint="default"/>
        <w:lang w:val="en-au" w:eastAsia="en-au" w:bidi="en-au"/>
      </w:rPr>
    </w:lvl>
    <w:lvl w:ilvl="6">
      <w:start w:val="0"/>
      <w:numFmt w:val="bullet"/>
      <w:lvlText w:val="•"/>
      <w:lvlJc w:val="left"/>
      <w:pPr>
        <w:ind w:left="3289" w:hanging="103"/>
      </w:pPr>
      <w:rPr>
        <w:rFonts w:hint="default"/>
        <w:lang w:val="en-au" w:eastAsia="en-au" w:bidi="en-au"/>
      </w:rPr>
    </w:lvl>
    <w:lvl w:ilvl="7">
      <w:start w:val="0"/>
      <w:numFmt w:val="bullet"/>
      <w:lvlText w:val="•"/>
      <w:lvlJc w:val="left"/>
      <w:pPr>
        <w:ind w:left="3671" w:hanging="103"/>
      </w:pPr>
      <w:rPr>
        <w:rFonts w:hint="default"/>
        <w:lang w:val="en-au" w:eastAsia="en-au" w:bidi="en-au"/>
      </w:rPr>
    </w:lvl>
    <w:lvl w:ilvl="8">
      <w:start w:val="0"/>
      <w:numFmt w:val="bullet"/>
      <w:lvlText w:val="•"/>
      <w:lvlJc w:val="left"/>
      <w:pPr>
        <w:ind w:left="4053" w:hanging="103"/>
      </w:pPr>
      <w:rPr>
        <w:rFonts w:hint="default"/>
        <w:lang w:val="en-au" w:eastAsia="en-au" w:bidi="en-au"/>
      </w:rPr>
    </w:lvl>
  </w:abstractNum>
  <w:abstractNum w:abstractNumId="83">
    <w:multiLevelType w:val="hybridMultilevel"/>
    <w:lvl w:ilvl="0">
      <w:start w:val="1"/>
      <w:numFmt w:val="decimal"/>
      <w:lvlText w:val="%1."/>
      <w:lvlJc w:val="left"/>
      <w:pPr>
        <w:ind w:left="1620" w:hanging="361"/>
        <w:jc w:val="left"/>
      </w:pPr>
      <w:rPr>
        <w:rFonts w:hint="default" w:ascii="Arial" w:hAnsi="Arial" w:eastAsia="Arial" w:cs="Arial"/>
        <w:color w:val="DF2F1E"/>
        <w:spacing w:val="-1"/>
        <w:w w:val="100"/>
        <w:sz w:val="16"/>
        <w:szCs w:val="16"/>
        <w:lang w:val="en-au" w:eastAsia="en-au" w:bidi="en-au"/>
      </w:rPr>
    </w:lvl>
    <w:lvl w:ilvl="1">
      <w:start w:val="0"/>
      <w:numFmt w:val="bullet"/>
      <w:lvlText w:val="•"/>
      <w:lvlJc w:val="left"/>
      <w:pPr>
        <w:ind w:left="2636" w:hanging="361"/>
      </w:pPr>
      <w:rPr>
        <w:rFonts w:hint="default"/>
        <w:lang w:val="en-au" w:eastAsia="en-au" w:bidi="en-au"/>
      </w:rPr>
    </w:lvl>
    <w:lvl w:ilvl="2">
      <w:start w:val="0"/>
      <w:numFmt w:val="bullet"/>
      <w:lvlText w:val="•"/>
      <w:lvlJc w:val="left"/>
      <w:pPr>
        <w:ind w:left="3653" w:hanging="361"/>
      </w:pPr>
      <w:rPr>
        <w:rFonts w:hint="default"/>
        <w:lang w:val="en-au" w:eastAsia="en-au" w:bidi="en-au"/>
      </w:rPr>
    </w:lvl>
    <w:lvl w:ilvl="3">
      <w:start w:val="0"/>
      <w:numFmt w:val="bullet"/>
      <w:lvlText w:val="•"/>
      <w:lvlJc w:val="left"/>
      <w:pPr>
        <w:ind w:left="4669" w:hanging="361"/>
      </w:pPr>
      <w:rPr>
        <w:rFonts w:hint="default"/>
        <w:lang w:val="en-au" w:eastAsia="en-au" w:bidi="en-au"/>
      </w:rPr>
    </w:lvl>
    <w:lvl w:ilvl="4">
      <w:start w:val="0"/>
      <w:numFmt w:val="bullet"/>
      <w:lvlText w:val="•"/>
      <w:lvlJc w:val="left"/>
      <w:pPr>
        <w:ind w:left="5686" w:hanging="361"/>
      </w:pPr>
      <w:rPr>
        <w:rFonts w:hint="default"/>
        <w:lang w:val="en-au" w:eastAsia="en-au" w:bidi="en-au"/>
      </w:rPr>
    </w:lvl>
    <w:lvl w:ilvl="5">
      <w:start w:val="0"/>
      <w:numFmt w:val="bullet"/>
      <w:lvlText w:val="•"/>
      <w:lvlJc w:val="left"/>
      <w:pPr>
        <w:ind w:left="6703" w:hanging="361"/>
      </w:pPr>
      <w:rPr>
        <w:rFonts w:hint="default"/>
        <w:lang w:val="en-au" w:eastAsia="en-au" w:bidi="en-au"/>
      </w:rPr>
    </w:lvl>
    <w:lvl w:ilvl="6">
      <w:start w:val="0"/>
      <w:numFmt w:val="bullet"/>
      <w:lvlText w:val="•"/>
      <w:lvlJc w:val="left"/>
      <w:pPr>
        <w:ind w:left="7719" w:hanging="361"/>
      </w:pPr>
      <w:rPr>
        <w:rFonts w:hint="default"/>
        <w:lang w:val="en-au" w:eastAsia="en-au" w:bidi="en-au"/>
      </w:rPr>
    </w:lvl>
    <w:lvl w:ilvl="7">
      <w:start w:val="0"/>
      <w:numFmt w:val="bullet"/>
      <w:lvlText w:val="•"/>
      <w:lvlJc w:val="left"/>
      <w:pPr>
        <w:ind w:left="8736" w:hanging="361"/>
      </w:pPr>
      <w:rPr>
        <w:rFonts w:hint="default"/>
        <w:lang w:val="en-au" w:eastAsia="en-au" w:bidi="en-au"/>
      </w:rPr>
    </w:lvl>
    <w:lvl w:ilvl="8">
      <w:start w:val="0"/>
      <w:numFmt w:val="bullet"/>
      <w:lvlText w:val="•"/>
      <w:lvlJc w:val="left"/>
      <w:pPr>
        <w:ind w:left="9753" w:hanging="361"/>
      </w:pPr>
      <w:rPr>
        <w:rFonts w:hint="default"/>
        <w:lang w:val="en-au" w:eastAsia="en-au" w:bidi="en-au"/>
      </w:rPr>
    </w:lvl>
  </w:abstractNum>
  <w:abstractNum w:abstractNumId="81">
    <w:multiLevelType w:val="hybridMultilevel"/>
    <w:lvl w:ilvl="0">
      <w:start w:val="8"/>
      <w:numFmt w:val="decimal"/>
      <w:lvlText w:val="%1"/>
      <w:lvlJc w:val="left"/>
      <w:pPr>
        <w:ind w:left="664" w:hanging="81"/>
        <w:jc w:val="right"/>
      </w:pPr>
      <w:rPr>
        <w:rFonts w:hint="default" w:ascii="Calibri" w:hAnsi="Calibri" w:eastAsia="Calibri" w:cs="Calibri"/>
        <w:w w:val="100"/>
        <w:sz w:val="12"/>
        <w:szCs w:val="12"/>
        <w:lang w:val="en-au" w:eastAsia="en-au" w:bidi="en-au"/>
      </w:rPr>
    </w:lvl>
    <w:lvl w:ilvl="1">
      <w:start w:val="0"/>
      <w:numFmt w:val="bullet"/>
      <w:lvlText w:val="•"/>
      <w:lvlJc w:val="left"/>
      <w:pPr>
        <w:ind w:left="728" w:hanging="81"/>
      </w:pPr>
      <w:rPr>
        <w:rFonts w:hint="default"/>
        <w:lang w:val="en-au" w:eastAsia="en-au" w:bidi="en-au"/>
      </w:rPr>
    </w:lvl>
    <w:lvl w:ilvl="2">
      <w:start w:val="0"/>
      <w:numFmt w:val="bullet"/>
      <w:lvlText w:val="•"/>
      <w:lvlJc w:val="left"/>
      <w:pPr>
        <w:ind w:left="796" w:hanging="81"/>
      </w:pPr>
      <w:rPr>
        <w:rFonts w:hint="default"/>
        <w:lang w:val="en-au" w:eastAsia="en-au" w:bidi="en-au"/>
      </w:rPr>
    </w:lvl>
    <w:lvl w:ilvl="3">
      <w:start w:val="0"/>
      <w:numFmt w:val="bullet"/>
      <w:lvlText w:val="•"/>
      <w:lvlJc w:val="left"/>
      <w:pPr>
        <w:ind w:left="865" w:hanging="81"/>
      </w:pPr>
      <w:rPr>
        <w:rFonts w:hint="default"/>
        <w:lang w:val="en-au" w:eastAsia="en-au" w:bidi="en-au"/>
      </w:rPr>
    </w:lvl>
    <w:lvl w:ilvl="4">
      <w:start w:val="0"/>
      <w:numFmt w:val="bullet"/>
      <w:lvlText w:val="•"/>
      <w:lvlJc w:val="left"/>
      <w:pPr>
        <w:ind w:left="933" w:hanging="81"/>
      </w:pPr>
      <w:rPr>
        <w:rFonts w:hint="default"/>
        <w:lang w:val="en-au" w:eastAsia="en-au" w:bidi="en-au"/>
      </w:rPr>
    </w:lvl>
    <w:lvl w:ilvl="5">
      <w:start w:val="0"/>
      <w:numFmt w:val="bullet"/>
      <w:lvlText w:val="•"/>
      <w:lvlJc w:val="left"/>
      <w:pPr>
        <w:ind w:left="1002" w:hanging="81"/>
      </w:pPr>
      <w:rPr>
        <w:rFonts w:hint="default"/>
        <w:lang w:val="en-au" w:eastAsia="en-au" w:bidi="en-au"/>
      </w:rPr>
    </w:lvl>
    <w:lvl w:ilvl="6">
      <w:start w:val="0"/>
      <w:numFmt w:val="bullet"/>
      <w:lvlText w:val="•"/>
      <w:lvlJc w:val="left"/>
      <w:pPr>
        <w:ind w:left="1070" w:hanging="81"/>
      </w:pPr>
      <w:rPr>
        <w:rFonts w:hint="default"/>
        <w:lang w:val="en-au" w:eastAsia="en-au" w:bidi="en-au"/>
      </w:rPr>
    </w:lvl>
    <w:lvl w:ilvl="7">
      <w:start w:val="0"/>
      <w:numFmt w:val="bullet"/>
      <w:lvlText w:val="•"/>
      <w:lvlJc w:val="left"/>
      <w:pPr>
        <w:ind w:left="1139" w:hanging="81"/>
      </w:pPr>
      <w:rPr>
        <w:rFonts w:hint="default"/>
        <w:lang w:val="en-au" w:eastAsia="en-au" w:bidi="en-au"/>
      </w:rPr>
    </w:lvl>
    <w:lvl w:ilvl="8">
      <w:start w:val="0"/>
      <w:numFmt w:val="bullet"/>
      <w:lvlText w:val="•"/>
      <w:lvlJc w:val="left"/>
      <w:pPr>
        <w:ind w:left="1207" w:hanging="81"/>
      </w:pPr>
      <w:rPr>
        <w:rFonts w:hint="default"/>
        <w:lang w:val="en-au" w:eastAsia="en-au" w:bidi="en-au"/>
      </w:rPr>
    </w:lvl>
  </w:abstractNum>
  <w:abstractNum w:abstractNumId="80">
    <w:multiLevelType w:val="hybridMultilevel"/>
    <w:lvl w:ilvl="0">
      <w:start w:val="0"/>
      <w:numFmt w:val="bullet"/>
      <w:lvlText w:val=""/>
      <w:lvlJc w:val="left"/>
      <w:pPr>
        <w:ind w:left="391" w:hanging="284"/>
      </w:pPr>
      <w:rPr>
        <w:rFonts w:hint="default" w:ascii="Symbol" w:hAnsi="Symbol" w:eastAsia="Symbol" w:cs="Symbol"/>
        <w:w w:val="99"/>
        <w:sz w:val="20"/>
        <w:szCs w:val="20"/>
        <w:lang w:val="en-au" w:eastAsia="en-au" w:bidi="en-au"/>
      </w:rPr>
    </w:lvl>
    <w:lvl w:ilvl="1">
      <w:start w:val="0"/>
      <w:numFmt w:val="bullet"/>
      <w:lvlText w:val="•"/>
      <w:lvlJc w:val="left"/>
      <w:pPr>
        <w:ind w:left="1346" w:hanging="284"/>
      </w:pPr>
      <w:rPr>
        <w:rFonts w:hint="default"/>
        <w:lang w:val="en-au" w:eastAsia="en-au" w:bidi="en-au"/>
      </w:rPr>
    </w:lvl>
    <w:lvl w:ilvl="2">
      <w:start w:val="0"/>
      <w:numFmt w:val="bullet"/>
      <w:lvlText w:val="•"/>
      <w:lvlJc w:val="left"/>
      <w:pPr>
        <w:ind w:left="2293" w:hanging="284"/>
      </w:pPr>
      <w:rPr>
        <w:rFonts w:hint="default"/>
        <w:lang w:val="en-au" w:eastAsia="en-au" w:bidi="en-au"/>
      </w:rPr>
    </w:lvl>
    <w:lvl w:ilvl="3">
      <w:start w:val="0"/>
      <w:numFmt w:val="bullet"/>
      <w:lvlText w:val="•"/>
      <w:lvlJc w:val="left"/>
      <w:pPr>
        <w:ind w:left="3239" w:hanging="284"/>
      </w:pPr>
      <w:rPr>
        <w:rFonts w:hint="default"/>
        <w:lang w:val="en-au" w:eastAsia="en-au" w:bidi="en-au"/>
      </w:rPr>
    </w:lvl>
    <w:lvl w:ilvl="4">
      <w:start w:val="0"/>
      <w:numFmt w:val="bullet"/>
      <w:lvlText w:val="•"/>
      <w:lvlJc w:val="left"/>
      <w:pPr>
        <w:ind w:left="4186" w:hanging="284"/>
      </w:pPr>
      <w:rPr>
        <w:rFonts w:hint="default"/>
        <w:lang w:val="en-au" w:eastAsia="en-au" w:bidi="en-au"/>
      </w:rPr>
    </w:lvl>
    <w:lvl w:ilvl="5">
      <w:start w:val="0"/>
      <w:numFmt w:val="bullet"/>
      <w:lvlText w:val="•"/>
      <w:lvlJc w:val="left"/>
      <w:pPr>
        <w:ind w:left="5133" w:hanging="284"/>
      </w:pPr>
      <w:rPr>
        <w:rFonts w:hint="default"/>
        <w:lang w:val="en-au" w:eastAsia="en-au" w:bidi="en-au"/>
      </w:rPr>
    </w:lvl>
    <w:lvl w:ilvl="6">
      <w:start w:val="0"/>
      <w:numFmt w:val="bullet"/>
      <w:lvlText w:val="•"/>
      <w:lvlJc w:val="left"/>
      <w:pPr>
        <w:ind w:left="6079" w:hanging="284"/>
      </w:pPr>
      <w:rPr>
        <w:rFonts w:hint="default"/>
        <w:lang w:val="en-au" w:eastAsia="en-au" w:bidi="en-au"/>
      </w:rPr>
    </w:lvl>
    <w:lvl w:ilvl="7">
      <w:start w:val="0"/>
      <w:numFmt w:val="bullet"/>
      <w:lvlText w:val="•"/>
      <w:lvlJc w:val="left"/>
      <w:pPr>
        <w:ind w:left="7026" w:hanging="284"/>
      </w:pPr>
      <w:rPr>
        <w:rFonts w:hint="default"/>
        <w:lang w:val="en-au" w:eastAsia="en-au" w:bidi="en-au"/>
      </w:rPr>
    </w:lvl>
    <w:lvl w:ilvl="8">
      <w:start w:val="0"/>
      <w:numFmt w:val="bullet"/>
      <w:lvlText w:val="•"/>
      <w:lvlJc w:val="left"/>
      <w:pPr>
        <w:ind w:left="7973" w:hanging="284"/>
      </w:pPr>
      <w:rPr>
        <w:rFonts w:hint="default"/>
        <w:lang w:val="en-au" w:eastAsia="en-au" w:bidi="en-au"/>
      </w:rPr>
    </w:lvl>
  </w:abstractNum>
  <w:abstractNum w:abstractNumId="79">
    <w:multiLevelType w:val="hybridMultilevel"/>
    <w:lvl w:ilvl="0">
      <w:start w:val="1"/>
      <w:numFmt w:val="decimal"/>
      <w:lvlText w:val="%1"/>
      <w:lvlJc w:val="left"/>
      <w:pPr>
        <w:ind w:left="964" w:hanging="103"/>
        <w:jc w:val="left"/>
      </w:pPr>
      <w:rPr>
        <w:rFonts w:hint="default" w:ascii="Calibri" w:hAnsi="Calibri" w:eastAsia="Calibri" w:cs="Calibri"/>
        <w:w w:val="100"/>
        <w:sz w:val="14"/>
        <w:szCs w:val="14"/>
        <w:lang w:val="en-au" w:eastAsia="en-au" w:bidi="en-au"/>
      </w:rPr>
    </w:lvl>
    <w:lvl w:ilvl="1">
      <w:start w:val="0"/>
      <w:numFmt w:val="bullet"/>
      <w:lvlText w:val="•"/>
      <w:lvlJc w:val="left"/>
      <w:pPr>
        <w:ind w:left="1341" w:hanging="103"/>
      </w:pPr>
      <w:rPr>
        <w:rFonts w:hint="default"/>
        <w:lang w:val="en-au" w:eastAsia="en-au" w:bidi="en-au"/>
      </w:rPr>
    </w:lvl>
    <w:lvl w:ilvl="2">
      <w:start w:val="0"/>
      <w:numFmt w:val="bullet"/>
      <w:lvlText w:val="•"/>
      <w:lvlJc w:val="left"/>
      <w:pPr>
        <w:ind w:left="1722" w:hanging="103"/>
      </w:pPr>
      <w:rPr>
        <w:rFonts w:hint="default"/>
        <w:lang w:val="en-au" w:eastAsia="en-au" w:bidi="en-au"/>
      </w:rPr>
    </w:lvl>
    <w:lvl w:ilvl="3">
      <w:start w:val="0"/>
      <w:numFmt w:val="bullet"/>
      <w:lvlText w:val="•"/>
      <w:lvlJc w:val="left"/>
      <w:pPr>
        <w:ind w:left="2104" w:hanging="103"/>
      </w:pPr>
      <w:rPr>
        <w:rFonts w:hint="default"/>
        <w:lang w:val="en-au" w:eastAsia="en-au" w:bidi="en-au"/>
      </w:rPr>
    </w:lvl>
    <w:lvl w:ilvl="4">
      <w:start w:val="0"/>
      <w:numFmt w:val="bullet"/>
      <w:lvlText w:val="•"/>
      <w:lvlJc w:val="left"/>
      <w:pPr>
        <w:ind w:left="2485" w:hanging="103"/>
      </w:pPr>
      <w:rPr>
        <w:rFonts w:hint="default"/>
        <w:lang w:val="en-au" w:eastAsia="en-au" w:bidi="en-au"/>
      </w:rPr>
    </w:lvl>
    <w:lvl w:ilvl="5">
      <w:start w:val="0"/>
      <w:numFmt w:val="bullet"/>
      <w:lvlText w:val="•"/>
      <w:lvlJc w:val="left"/>
      <w:pPr>
        <w:ind w:left="2866" w:hanging="103"/>
      </w:pPr>
      <w:rPr>
        <w:rFonts w:hint="default"/>
        <w:lang w:val="en-au" w:eastAsia="en-au" w:bidi="en-au"/>
      </w:rPr>
    </w:lvl>
    <w:lvl w:ilvl="6">
      <w:start w:val="0"/>
      <w:numFmt w:val="bullet"/>
      <w:lvlText w:val="•"/>
      <w:lvlJc w:val="left"/>
      <w:pPr>
        <w:ind w:left="3248" w:hanging="103"/>
      </w:pPr>
      <w:rPr>
        <w:rFonts w:hint="default"/>
        <w:lang w:val="en-au" w:eastAsia="en-au" w:bidi="en-au"/>
      </w:rPr>
    </w:lvl>
    <w:lvl w:ilvl="7">
      <w:start w:val="0"/>
      <w:numFmt w:val="bullet"/>
      <w:lvlText w:val="•"/>
      <w:lvlJc w:val="left"/>
      <w:pPr>
        <w:ind w:left="3629" w:hanging="103"/>
      </w:pPr>
      <w:rPr>
        <w:rFonts w:hint="default"/>
        <w:lang w:val="en-au" w:eastAsia="en-au" w:bidi="en-au"/>
      </w:rPr>
    </w:lvl>
    <w:lvl w:ilvl="8">
      <w:start w:val="0"/>
      <w:numFmt w:val="bullet"/>
      <w:lvlText w:val="•"/>
      <w:lvlJc w:val="left"/>
      <w:pPr>
        <w:ind w:left="4010" w:hanging="103"/>
      </w:pPr>
      <w:rPr>
        <w:rFonts w:hint="default"/>
        <w:lang w:val="en-au" w:eastAsia="en-au" w:bidi="en-au"/>
      </w:rPr>
    </w:lvl>
  </w:abstractNum>
  <w:abstractNum w:abstractNumId="77">
    <w:multiLevelType w:val="hybridMultilevel"/>
    <w:lvl w:ilvl="0">
      <w:start w:val="8"/>
      <w:numFmt w:val="decimal"/>
      <w:lvlText w:val="%1"/>
      <w:lvlJc w:val="left"/>
      <w:pPr>
        <w:ind w:left="664" w:hanging="81"/>
        <w:jc w:val="right"/>
      </w:pPr>
      <w:rPr>
        <w:rFonts w:hint="default" w:ascii="Calibri" w:hAnsi="Calibri" w:eastAsia="Calibri" w:cs="Calibri"/>
        <w:w w:val="100"/>
        <w:sz w:val="12"/>
        <w:szCs w:val="12"/>
        <w:lang w:val="en-au" w:eastAsia="en-au" w:bidi="en-au"/>
      </w:rPr>
    </w:lvl>
    <w:lvl w:ilvl="1">
      <w:start w:val="0"/>
      <w:numFmt w:val="bullet"/>
      <w:lvlText w:val="•"/>
      <w:lvlJc w:val="left"/>
      <w:pPr>
        <w:ind w:left="728" w:hanging="81"/>
      </w:pPr>
      <w:rPr>
        <w:rFonts w:hint="default"/>
        <w:lang w:val="en-au" w:eastAsia="en-au" w:bidi="en-au"/>
      </w:rPr>
    </w:lvl>
    <w:lvl w:ilvl="2">
      <w:start w:val="0"/>
      <w:numFmt w:val="bullet"/>
      <w:lvlText w:val="•"/>
      <w:lvlJc w:val="left"/>
      <w:pPr>
        <w:ind w:left="796" w:hanging="81"/>
      </w:pPr>
      <w:rPr>
        <w:rFonts w:hint="default"/>
        <w:lang w:val="en-au" w:eastAsia="en-au" w:bidi="en-au"/>
      </w:rPr>
    </w:lvl>
    <w:lvl w:ilvl="3">
      <w:start w:val="0"/>
      <w:numFmt w:val="bullet"/>
      <w:lvlText w:val="•"/>
      <w:lvlJc w:val="left"/>
      <w:pPr>
        <w:ind w:left="865" w:hanging="81"/>
      </w:pPr>
      <w:rPr>
        <w:rFonts w:hint="default"/>
        <w:lang w:val="en-au" w:eastAsia="en-au" w:bidi="en-au"/>
      </w:rPr>
    </w:lvl>
    <w:lvl w:ilvl="4">
      <w:start w:val="0"/>
      <w:numFmt w:val="bullet"/>
      <w:lvlText w:val="•"/>
      <w:lvlJc w:val="left"/>
      <w:pPr>
        <w:ind w:left="933" w:hanging="81"/>
      </w:pPr>
      <w:rPr>
        <w:rFonts w:hint="default"/>
        <w:lang w:val="en-au" w:eastAsia="en-au" w:bidi="en-au"/>
      </w:rPr>
    </w:lvl>
    <w:lvl w:ilvl="5">
      <w:start w:val="0"/>
      <w:numFmt w:val="bullet"/>
      <w:lvlText w:val="•"/>
      <w:lvlJc w:val="left"/>
      <w:pPr>
        <w:ind w:left="1002" w:hanging="81"/>
      </w:pPr>
      <w:rPr>
        <w:rFonts w:hint="default"/>
        <w:lang w:val="en-au" w:eastAsia="en-au" w:bidi="en-au"/>
      </w:rPr>
    </w:lvl>
    <w:lvl w:ilvl="6">
      <w:start w:val="0"/>
      <w:numFmt w:val="bullet"/>
      <w:lvlText w:val="•"/>
      <w:lvlJc w:val="left"/>
      <w:pPr>
        <w:ind w:left="1070" w:hanging="81"/>
      </w:pPr>
      <w:rPr>
        <w:rFonts w:hint="default"/>
        <w:lang w:val="en-au" w:eastAsia="en-au" w:bidi="en-au"/>
      </w:rPr>
    </w:lvl>
    <w:lvl w:ilvl="7">
      <w:start w:val="0"/>
      <w:numFmt w:val="bullet"/>
      <w:lvlText w:val="•"/>
      <w:lvlJc w:val="left"/>
      <w:pPr>
        <w:ind w:left="1139" w:hanging="81"/>
      </w:pPr>
      <w:rPr>
        <w:rFonts w:hint="default"/>
        <w:lang w:val="en-au" w:eastAsia="en-au" w:bidi="en-au"/>
      </w:rPr>
    </w:lvl>
    <w:lvl w:ilvl="8">
      <w:start w:val="0"/>
      <w:numFmt w:val="bullet"/>
      <w:lvlText w:val="•"/>
      <w:lvlJc w:val="left"/>
      <w:pPr>
        <w:ind w:left="1207" w:hanging="81"/>
      </w:pPr>
      <w:rPr>
        <w:rFonts w:hint="default"/>
        <w:lang w:val="en-au" w:eastAsia="en-au" w:bidi="en-au"/>
      </w:rPr>
    </w:lvl>
  </w:abstractNum>
  <w:abstractNum w:abstractNumId="76">
    <w:multiLevelType w:val="hybridMultilevel"/>
    <w:lvl w:ilvl="0">
      <w:start w:val="0"/>
      <w:numFmt w:val="bullet"/>
      <w:lvlText w:val=""/>
      <w:lvlJc w:val="left"/>
      <w:pPr>
        <w:ind w:left="391" w:hanging="284"/>
      </w:pPr>
      <w:rPr>
        <w:rFonts w:hint="default" w:ascii="Symbol" w:hAnsi="Symbol" w:eastAsia="Symbol" w:cs="Symbol"/>
        <w:w w:val="99"/>
        <w:sz w:val="20"/>
        <w:szCs w:val="20"/>
        <w:lang w:val="en-au" w:eastAsia="en-au" w:bidi="en-au"/>
      </w:rPr>
    </w:lvl>
    <w:lvl w:ilvl="1">
      <w:start w:val="0"/>
      <w:numFmt w:val="bullet"/>
      <w:lvlText w:val="•"/>
      <w:lvlJc w:val="left"/>
      <w:pPr>
        <w:ind w:left="1346" w:hanging="284"/>
      </w:pPr>
      <w:rPr>
        <w:rFonts w:hint="default"/>
        <w:lang w:val="en-au" w:eastAsia="en-au" w:bidi="en-au"/>
      </w:rPr>
    </w:lvl>
    <w:lvl w:ilvl="2">
      <w:start w:val="0"/>
      <w:numFmt w:val="bullet"/>
      <w:lvlText w:val="•"/>
      <w:lvlJc w:val="left"/>
      <w:pPr>
        <w:ind w:left="2293" w:hanging="284"/>
      </w:pPr>
      <w:rPr>
        <w:rFonts w:hint="default"/>
        <w:lang w:val="en-au" w:eastAsia="en-au" w:bidi="en-au"/>
      </w:rPr>
    </w:lvl>
    <w:lvl w:ilvl="3">
      <w:start w:val="0"/>
      <w:numFmt w:val="bullet"/>
      <w:lvlText w:val="•"/>
      <w:lvlJc w:val="left"/>
      <w:pPr>
        <w:ind w:left="3239" w:hanging="284"/>
      </w:pPr>
      <w:rPr>
        <w:rFonts w:hint="default"/>
        <w:lang w:val="en-au" w:eastAsia="en-au" w:bidi="en-au"/>
      </w:rPr>
    </w:lvl>
    <w:lvl w:ilvl="4">
      <w:start w:val="0"/>
      <w:numFmt w:val="bullet"/>
      <w:lvlText w:val="•"/>
      <w:lvlJc w:val="left"/>
      <w:pPr>
        <w:ind w:left="4186" w:hanging="284"/>
      </w:pPr>
      <w:rPr>
        <w:rFonts w:hint="default"/>
        <w:lang w:val="en-au" w:eastAsia="en-au" w:bidi="en-au"/>
      </w:rPr>
    </w:lvl>
    <w:lvl w:ilvl="5">
      <w:start w:val="0"/>
      <w:numFmt w:val="bullet"/>
      <w:lvlText w:val="•"/>
      <w:lvlJc w:val="left"/>
      <w:pPr>
        <w:ind w:left="5133" w:hanging="284"/>
      </w:pPr>
      <w:rPr>
        <w:rFonts w:hint="default"/>
        <w:lang w:val="en-au" w:eastAsia="en-au" w:bidi="en-au"/>
      </w:rPr>
    </w:lvl>
    <w:lvl w:ilvl="6">
      <w:start w:val="0"/>
      <w:numFmt w:val="bullet"/>
      <w:lvlText w:val="•"/>
      <w:lvlJc w:val="left"/>
      <w:pPr>
        <w:ind w:left="6079" w:hanging="284"/>
      </w:pPr>
      <w:rPr>
        <w:rFonts w:hint="default"/>
        <w:lang w:val="en-au" w:eastAsia="en-au" w:bidi="en-au"/>
      </w:rPr>
    </w:lvl>
    <w:lvl w:ilvl="7">
      <w:start w:val="0"/>
      <w:numFmt w:val="bullet"/>
      <w:lvlText w:val="•"/>
      <w:lvlJc w:val="left"/>
      <w:pPr>
        <w:ind w:left="7026" w:hanging="284"/>
      </w:pPr>
      <w:rPr>
        <w:rFonts w:hint="default"/>
        <w:lang w:val="en-au" w:eastAsia="en-au" w:bidi="en-au"/>
      </w:rPr>
    </w:lvl>
    <w:lvl w:ilvl="8">
      <w:start w:val="0"/>
      <w:numFmt w:val="bullet"/>
      <w:lvlText w:val="•"/>
      <w:lvlJc w:val="left"/>
      <w:pPr>
        <w:ind w:left="7973" w:hanging="284"/>
      </w:pPr>
      <w:rPr>
        <w:rFonts w:hint="default"/>
        <w:lang w:val="en-au" w:eastAsia="en-au" w:bidi="en-au"/>
      </w:rPr>
    </w:lvl>
  </w:abstractNum>
  <w:abstractNum w:abstractNumId="75">
    <w:multiLevelType w:val="hybridMultilevel"/>
    <w:lvl w:ilvl="0">
      <w:start w:val="8"/>
      <w:numFmt w:val="decimal"/>
      <w:lvlText w:val="%1"/>
      <w:lvlJc w:val="left"/>
      <w:pPr>
        <w:ind w:left="1752" w:hanging="853"/>
        <w:jc w:val="left"/>
      </w:pPr>
      <w:rPr>
        <w:rFonts w:hint="default" w:ascii="Arial" w:hAnsi="Arial" w:eastAsia="Arial" w:cs="Arial"/>
        <w:color w:val="DF2F1E"/>
        <w:w w:val="100"/>
        <w:sz w:val="40"/>
        <w:szCs w:val="40"/>
        <w:lang w:val="en-au" w:eastAsia="en-au" w:bidi="en-au"/>
      </w:rPr>
    </w:lvl>
    <w:lvl w:ilvl="1">
      <w:start w:val="1"/>
      <w:numFmt w:val="decimal"/>
      <w:lvlText w:val="%1.%2"/>
      <w:lvlJc w:val="left"/>
      <w:pPr>
        <w:ind w:left="1752" w:hanging="853"/>
        <w:jc w:val="left"/>
      </w:pPr>
      <w:rPr>
        <w:rFonts w:hint="default" w:ascii="Arial" w:hAnsi="Arial" w:eastAsia="Arial" w:cs="Arial"/>
        <w:color w:val="DF2F28"/>
        <w:spacing w:val="-1"/>
        <w:w w:val="100"/>
        <w:sz w:val="28"/>
        <w:szCs w:val="28"/>
        <w:lang w:val="en-au" w:eastAsia="en-au" w:bidi="en-au"/>
      </w:rPr>
    </w:lvl>
    <w:lvl w:ilvl="2">
      <w:start w:val="0"/>
      <w:numFmt w:val="bullet"/>
      <w:lvlText w:val="•"/>
      <w:lvlJc w:val="left"/>
      <w:pPr>
        <w:ind w:left="1920" w:hanging="853"/>
      </w:pPr>
      <w:rPr>
        <w:rFonts w:hint="default"/>
        <w:lang w:val="en-au" w:eastAsia="en-au" w:bidi="en-au"/>
      </w:rPr>
    </w:lvl>
    <w:lvl w:ilvl="3">
      <w:start w:val="0"/>
      <w:numFmt w:val="bullet"/>
      <w:lvlText w:val="•"/>
      <w:lvlJc w:val="left"/>
      <w:pPr>
        <w:ind w:left="3153" w:hanging="853"/>
      </w:pPr>
      <w:rPr>
        <w:rFonts w:hint="default"/>
        <w:lang w:val="en-au" w:eastAsia="en-au" w:bidi="en-au"/>
      </w:rPr>
    </w:lvl>
    <w:lvl w:ilvl="4">
      <w:start w:val="0"/>
      <w:numFmt w:val="bullet"/>
      <w:lvlText w:val="•"/>
      <w:lvlJc w:val="left"/>
      <w:pPr>
        <w:ind w:left="4386" w:hanging="853"/>
      </w:pPr>
      <w:rPr>
        <w:rFonts w:hint="default"/>
        <w:lang w:val="en-au" w:eastAsia="en-au" w:bidi="en-au"/>
      </w:rPr>
    </w:lvl>
    <w:lvl w:ilvl="5">
      <w:start w:val="0"/>
      <w:numFmt w:val="bullet"/>
      <w:lvlText w:val="•"/>
      <w:lvlJc w:val="left"/>
      <w:pPr>
        <w:ind w:left="5619" w:hanging="853"/>
      </w:pPr>
      <w:rPr>
        <w:rFonts w:hint="default"/>
        <w:lang w:val="en-au" w:eastAsia="en-au" w:bidi="en-au"/>
      </w:rPr>
    </w:lvl>
    <w:lvl w:ilvl="6">
      <w:start w:val="0"/>
      <w:numFmt w:val="bullet"/>
      <w:lvlText w:val="•"/>
      <w:lvlJc w:val="left"/>
      <w:pPr>
        <w:ind w:left="6853" w:hanging="853"/>
      </w:pPr>
      <w:rPr>
        <w:rFonts w:hint="default"/>
        <w:lang w:val="en-au" w:eastAsia="en-au" w:bidi="en-au"/>
      </w:rPr>
    </w:lvl>
    <w:lvl w:ilvl="7">
      <w:start w:val="0"/>
      <w:numFmt w:val="bullet"/>
      <w:lvlText w:val="•"/>
      <w:lvlJc w:val="left"/>
      <w:pPr>
        <w:ind w:left="8086" w:hanging="853"/>
      </w:pPr>
      <w:rPr>
        <w:rFonts w:hint="default"/>
        <w:lang w:val="en-au" w:eastAsia="en-au" w:bidi="en-au"/>
      </w:rPr>
    </w:lvl>
    <w:lvl w:ilvl="8">
      <w:start w:val="0"/>
      <w:numFmt w:val="bullet"/>
      <w:lvlText w:val="•"/>
      <w:lvlJc w:val="left"/>
      <w:pPr>
        <w:ind w:left="9319" w:hanging="853"/>
      </w:pPr>
      <w:rPr>
        <w:rFonts w:hint="default"/>
        <w:lang w:val="en-au" w:eastAsia="en-au" w:bidi="en-au"/>
      </w:rPr>
    </w:lvl>
  </w:abstractNum>
  <w:abstractNum w:abstractNumId="74">
    <w:multiLevelType w:val="hybridMultilevel"/>
    <w:lvl w:ilvl="0">
      <w:start w:val="1"/>
      <w:numFmt w:val="decimal"/>
      <w:lvlText w:val="%1"/>
      <w:lvlJc w:val="left"/>
      <w:pPr>
        <w:ind w:left="1571" w:hanging="103"/>
        <w:jc w:val="left"/>
      </w:pPr>
      <w:rPr>
        <w:rFonts w:hint="default" w:ascii="Calibri" w:hAnsi="Calibri" w:eastAsia="Calibri" w:cs="Calibri"/>
        <w:w w:val="100"/>
        <w:sz w:val="14"/>
        <w:szCs w:val="14"/>
        <w:lang w:val="en-au" w:eastAsia="en-au" w:bidi="en-au"/>
      </w:rPr>
    </w:lvl>
    <w:lvl w:ilvl="1">
      <w:start w:val="0"/>
      <w:numFmt w:val="bullet"/>
      <w:lvlText w:val="•"/>
      <w:lvlJc w:val="left"/>
      <w:pPr>
        <w:ind w:left="1878" w:hanging="103"/>
      </w:pPr>
      <w:rPr>
        <w:rFonts w:hint="default"/>
        <w:lang w:val="en-au" w:eastAsia="en-au" w:bidi="en-au"/>
      </w:rPr>
    </w:lvl>
    <w:lvl w:ilvl="2">
      <w:start w:val="0"/>
      <w:numFmt w:val="bullet"/>
      <w:lvlText w:val="•"/>
      <w:lvlJc w:val="left"/>
      <w:pPr>
        <w:ind w:left="2177" w:hanging="103"/>
      </w:pPr>
      <w:rPr>
        <w:rFonts w:hint="default"/>
        <w:lang w:val="en-au" w:eastAsia="en-au" w:bidi="en-au"/>
      </w:rPr>
    </w:lvl>
    <w:lvl w:ilvl="3">
      <w:start w:val="0"/>
      <w:numFmt w:val="bullet"/>
      <w:lvlText w:val="•"/>
      <w:lvlJc w:val="left"/>
      <w:pPr>
        <w:ind w:left="2476" w:hanging="103"/>
      </w:pPr>
      <w:rPr>
        <w:rFonts w:hint="default"/>
        <w:lang w:val="en-au" w:eastAsia="en-au" w:bidi="en-au"/>
      </w:rPr>
    </w:lvl>
    <w:lvl w:ilvl="4">
      <w:start w:val="0"/>
      <w:numFmt w:val="bullet"/>
      <w:lvlText w:val="•"/>
      <w:lvlJc w:val="left"/>
      <w:pPr>
        <w:ind w:left="2775" w:hanging="103"/>
      </w:pPr>
      <w:rPr>
        <w:rFonts w:hint="default"/>
        <w:lang w:val="en-au" w:eastAsia="en-au" w:bidi="en-au"/>
      </w:rPr>
    </w:lvl>
    <w:lvl w:ilvl="5">
      <w:start w:val="0"/>
      <w:numFmt w:val="bullet"/>
      <w:lvlText w:val="•"/>
      <w:lvlJc w:val="left"/>
      <w:pPr>
        <w:ind w:left="3073" w:hanging="103"/>
      </w:pPr>
      <w:rPr>
        <w:rFonts w:hint="default"/>
        <w:lang w:val="en-au" w:eastAsia="en-au" w:bidi="en-au"/>
      </w:rPr>
    </w:lvl>
    <w:lvl w:ilvl="6">
      <w:start w:val="0"/>
      <w:numFmt w:val="bullet"/>
      <w:lvlText w:val="•"/>
      <w:lvlJc w:val="left"/>
      <w:pPr>
        <w:ind w:left="3372" w:hanging="103"/>
      </w:pPr>
      <w:rPr>
        <w:rFonts w:hint="default"/>
        <w:lang w:val="en-au" w:eastAsia="en-au" w:bidi="en-au"/>
      </w:rPr>
    </w:lvl>
    <w:lvl w:ilvl="7">
      <w:start w:val="0"/>
      <w:numFmt w:val="bullet"/>
      <w:lvlText w:val="•"/>
      <w:lvlJc w:val="left"/>
      <w:pPr>
        <w:ind w:left="3671" w:hanging="103"/>
      </w:pPr>
      <w:rPr>
        <w:rFonts w:hint="default"/>
        <w:lang w:val="en-au" w:eastAsia="en-au" w:bidi="en-au"/>
      </w:rPr>
    </w:lvl>
    <w:lvl w:ilvl="8">
      <w:start w:val="0"/>
      <w:numFmt w:val="bullet"/>
      <w:lvlText w:val="•"/>
      <w:lvlJc w:val="left"/>
      <w:pPr>
        <w:ind w:left="3970" w:hanging="103"/>
      </w:pPr>
      <w:rPr>
        <w:rFonts w:hint="default"/>
        <w:lang w:val="en-au" w:eastAsia="en-au" w:bidi="en-au"/>
      </w:rPr>
    </w:lvl>
  </w:abstractNum>
  <w:abstractNum w:abstractNumId="72">
    <w:multiLevelType w:val="hybridMultilevel"/>
    <w:lvl w:ilvl="0">
      <w:start w:val="1"/>
      <w:numFmt w:val="decimal"/>
      <w:lvlText w:val="%1"/>
      <w:lvlJc w:val="left"/>
      <w:pPr>
        <w:ind w:left="995" w:hanging="103"/>
        <w:jc w:val="left"/>
      </w:pPr>
      <w:rPr>
        <w:rFonts w:hint="default" w:ascii="Calibri" w:hAnsi="Calibri" w:eastAsia="Calibri" w:cs="Calibri"/>
        <w:w w:val="100"/>
        <w:sz w:val="14"/>
        <w:szCs w:val="14"/>
        <w:lang w:val="en-au" w:eastAsia="en-au" w:bidi="en-au"/>
      </w:rPr>
    </w:lvl>
    <w:lvl w:ilvl="1">
      <w:start w:val="0"/>
      <w:numFmt w:val="bullet"/>
      <w:lvlText w:val="•"/>
      <w:lvlJc w:val="left"/>
      <w:pPr>
        <w:ind w:left="1299" w:hanging="103"/>
      </w:pPr>
      <w:rPr>
        <w:rFonts w:hint="default"/>
        <w:lang w:val="en-au" w:eastAsia="en-au" w:bidi="en-au"/>
      </w:rPr>
    </w:lvl>
    <w:lvl w:ilvl="2">
      <w:start w:val="0"/>
      <w:numFmt w:val="bullet"/>
      <w:lvlText w:val="•"/>
      <w:lvlJc w:val="left"/>
      <w:pPr>
        <w:ind w:left="1598" w:hanging="103"/>
      </w:pPr>
      <w:rPr>
        <w:rFonts w:hint="default"/>
        <w:lang w:val="en-au" w:eastAsia="en-au" w:bidi="en-au"/>
      </w:rPr>
    </w:lvl>
    <w:lvl w:ilvl="3">
      <w:start w:val="0"/>
      <w:numFmt w:val="bullet"/>
      <w:lvlText w:val="•"/>
      <w:lvlJc w:val="left"/>
      <w:pPr>
        <w:ind w:left="1897" w:hanging="103"/>
      </w:pPr>
      <w:rPr>
        <w:rFonts w:hint="default"/>
        <w:lang w:val="en-au" w:eastAsia="en-au" w:bidi="en-au"/>
      </w:rPr>
    </w:lvl>
    <w:lvl w:ilvl="4">
      <w:start w:val="0"/>
      <w:numFmt w:val="bullet"/>
      <w:lvlText w:val="•"/>
      <w:lvlJc w:val="left"/>
      <w:pPr>
        <w:ind w:left="2196" w:hanging="103"/>
      </w:pPr>
      <w:rPr>
        <w:rFonts w:hint="default"/>
        <w:lang w:val="en-au" w:eastAsia="en-au" w:bidi="en-au"/>
      </w:rPr>
    </w:lvl>
    <w:lvl w:ilvl="5">
      <w:start w:val="0"/>
      <w:numFmt w:val="bullet"/>
      <w:lvlText w:val="•"/>
      <w:lvlJc w:val="left"/>
      <w:pPr>
        <w:ind w:left="2495" w:hanging="103"/>
      </w:pPr>
      <w:rPr>
        <w:rFonts w:hint="default"/>
        <w:lang w:val="en-au" w:eastAsia="en-au" w:bidi="en-au"/>
      </w:rPr>
    </w:lvl>
    <w:lvl w:ilvl="6">
      <w:start w:val="0"/>
      <w:numFmt w:val="bullet"/>
      <w:lvlText w:val="•"/>
      <w:lvlJc w:val="left"/>
      <w:pPr>
        <w:ind w:left="2794" w:hanging="103"/>
      </w:pPr>
      <w:rPr>
        <w:rFonts w:hint="default"/>
        <w:lang w:val="en-au" w:eastAsia="en-au" w:bidi="en-au"/>
      </w:rPr>
    </w:lvl>
    <w:lvl w:ilvl="7">
      <w:start w:val="0"/>
      <w:numFmt w:val="bullet"/>
      <w:lvlText w:val="•"/>
      <w:lvlJc w:val="left"/>
      <w:pPr>
        <w:ind w:left="3093" w:hanging="103"/>
      </w:pPr>
      <w:rPr>
        <w:rFonts w:hint="default"/>
        <w:lang w:val="en-au" w:eastAsia="en-au" w:bidi="en-au"/>
      </w:rPr>
    </w:lvl>
    <w:lvl w:ilvl="8">
      <w:start w:val="0"/>
      <w:numFmt w:val="bullet"/>
      <w:lvlText w:val="•"/>
      <w:lvlJc w:val="left"/>
      <w:pPr>
        <w:ind w:left="3392" w:hanging="103"/>
      </w:pPr>
      <w:rPr>
        <w:rFonts w:hint="default"/>
        <w:lang w:val="en-au" w:eastAsia="en-au" w:bidi="en-au"/>
      </w:rPr>
    </w:lvl>
  </w:abstractNum>
  <w:abstractNum w:abstractNumId="71">
    <w:multiLevelType w:val="hybridMultilevel"/>
    <w:lvl w:ilvl="0">
      <w:start w:val="1"/>
      <w:numFmt w:val="decimal"/>
      <w:lvlText w:val="%1"/>
      <w:lvlJc w:val="left"/>
      <w:pPr>
        <w:ind w:left="966" w:hanging="103"/>
        <w:jc w:val="left"/>
      </w:pPr>
      <w:rPr>
        <w:rFonts w:hint="default" w:ascii="Calibri" w:hAnsi="Calibri" w:eastAsia="Calibri" w:cs="Calibri"/>
        <w:w w:val="100"/>
        <w:sz w:val="14"/>
        <w:szCs w:val="14"/>
        <w:lang w:val="en-au" w:eastAsia="en-au" w:bidi="en-au"/>
      </w:rPr>
    </w:lvl>
    <w:lvl w:ilvl="1">
      <w:start w:val="0"/>
      <w:numFmt w:val="bullet"/>
      <w:lvlText w:val="•"/>
      <w:lvlJc w:val="left"/>
      <w:pPr>
        <w:ind w:left="1341" w:hanging="103"/>
      </w:pPr>
      <w:rPr>
        <w:rFonts w:hint="default"/>
        <w:lang w:val="en-au" w:eastAsia="en-au" w:bidi="en-au"/>
      </w:rPr>
    </w:lvl>
    <w:lvl w:ilvl="2">
      <w:start w:val="0"/>
      <w:numFmt w:val="bullet"/>
      <w:lvlText w:val="•"/>
      <w:lvlJc w:val="left"/>
      <w:pPr>
        <w:ind w:left="1723" w:hanging="103"/>
      </w:pPr>
      <w:rPr>
        <w:rFonts w:hint="default"/>
        <w:lang w:val="en-au" w:eastAsia="en-au" w:bidi="en-au"/>
      </w:rPr>
    </w:lvl>
    <w:lvl w:ilvl="3">
      <w:start w:val="0"/>
      <w:numFmt w:val="bullet"/>
      <w:lvlText w:val="•"/>
      <w:lvlJc w:val="left"/>
      <w:pPr>
        <w:ind w:left="2104" w:hanging="103"/>
      </w:pPr>
      <w:rPr>
        <w:rFonts w:hint="default"/>
        <w:lang w:val="en-au" w:eastAsia="en-au" w:bidi="en-au"/>
      </w:rPr>
    </w:lvl>
    <w:lvl w:ilvl="4">
      <w:start w:val="0"/>
      <w:numFmt w:val="bullet"/>
      <w:lvlText w:val="•"/>
      <w:lvlJc w:val="left"/>
      <w:pPr>
        <w:ind w:left="2486" w:hanging="103"/>
      </w:pPr>
      <w:rPr>
        <w:rFonts w:hint="default"/>
        <w:lang w:val="en-au" w:eastAsia="en-au" w:bidi="en-au"/>
      </w:rPr>
    </w:lvl>
    <w:lvl w:ilvl="5">
      <w:start w:val="0"/>
      <w:numFmt w:val="bullet"/>
      <w:lvlText w:val="•"/>
      <w:lvlJc w:val="left"/>
      <w:pPr>
        <w:ind w:left="2867" w:hanging="103"/>
      </w:pPr>
      <w:rPr>
        <w:rFonts w:hint="default"/>
        <w:lang w:val="en-au" w:eastAsia="en-au" w:bidi="en-au"/>
      </w:rPr>
    </w:lvl>
    <w:lvl w:ilvl="6">
      <w:start w:val="0"/>
      <w:numFmt w:val="bullet"/>
      <w:lvlText w:val="•"/>
      <w:lvlJc w:val="left"/>
      <w:pPr>
        <w:ind w:left="3249" w:hanging="103"/>
      </w:pPr>
      <w:rPr>
        <w:rFonts w:hint="default"/>
        <w:lang w:val="en-au" w:eastAsia="en-au" w:bidi="en-au"/>
      </w:rPr>
    </w:lvl>
    <w:lvl w:ilvl="7">
      <w:start w:val="0"/>
      <w:numFmt w:val="bullet"/>
      <w:lvlText w:val="•"/>
      <w:lvlJc w:val="left"/>
      <w:pPr>
        <w:ind w:left="3630" w:hanging="103"/>
      </w:pPr>
      <w:rPr>
        <w:rFonts w:hint="default"/>
        <w:lang w:val="en-au" w:eastAsia="en-au" w:bidi="en-au"/>
      </w:rPr>
    </w:lvl>
    <w:lvl w:ilvl="8">
      <w:start w:val="0"/>
      <w:numFmt w:val="bullet"/>
      <w:lvlText w:val="•"/>
      <w:lvlJc w:val="left"/>
      <w:pPr>
        <w:ind w:left="4012" w:hanging="103"/>
      </w:pPr>
      <w:rPr>
        <w:rFonts w:hint="default"/>
        <w:lang w:val="en-au" w:eastAsia="en-au" w:bidi="en-au"/>
      </w:rPr>
    </w:lvl>
  </w:abstractNum>
  <w:abstractNum w:abstractNumId="70">
    <w:multiLevelType w:val="hybridMultilevel"/>
    <w:lvl w:ilvl="0">
      <w:start w:val="1"/>
      <w:numFmt w:val="decimal"/>
      <w:lvlText w:val="%1."/>
      <w:lvlJc w:val="left"/>
      <w:pPr>
        <w:ind w:left="1620" w:hanging="361"/>
        <w:jc w:val="left"/>
      </w:pPr>
      <w:rPr>
        <w:rFonts w:hint="default" w:ascii="Arial" w:hAnsi="Arial" w:eastAsia="Arial" w:cs="Arial"/>
        <w:color w:val="DF2F1E"/>
        <w:spacing w:val="-1"/>
        <w:w w:val="100"/>
        <w:sz w:val="16"/>
        <w:szCs w:val="16"/>
        <w:lang w:val="en-au" w:eastAsia="en-au" w:bidi="en-au"/>
      </w:rPr>
    </w:lvl>
    <w:lvl w:ilvl="1">
      <w:start w:val="0"/>
      <w:numFmt w:val="bullet"/>
      <w:lvlText w:val="•"/>
      <w:lvlJc w:val="left"/>
      <w:pPr>
        <w:ind w:left="2636" w:hanging="361"/>
      </w:pPr>
      <w:rPr>
        <w:rFonts w:hint="default"/>
        <w:lang w:val="en-au" w:eastAsia="en-au" w:bidi="en-au"/>
      </w:rPr>
    </w:lvl>
    <w:lvl w:ilvl="2">
      <w:start w:val="0"/>
      <w:numFmt w:val="bullet"/>
      <w:lvlText w:val="•"/>
      <w:lvlJc w:val="left"/>
      <w:pPr>
        <w:ind w:left="3653" w:hanging="361"/>
      </w:pPr>
      <w:rPr>
        <w:rFonts w:hint="default"/>
        <w:lang w:val="en-au" w:eastAsia="en-au" w:bidi="en-au"/>
      </w:rPr>
    </w:lvl>
    <w:lvl w:ilvl="3">
      <w:start w:val="0"/>
      <w:numFmt w:val="bullet"/>
      <w:lvlText w:val="•"/>
      <w:lvlJc w:val="left"/>
      <w:pPr>
        <w:ind w:left="4669" w:hanging="361"/>
      </w:pPr>
      <w:rPr>
        <w:rFonts w:hint="default"/>
        <w:lang w:val="en-au" w:eastAsia="en-au" w:bidi="en-au"/>
      </w:rPr>
    </w:lvl>
    <w:lvl w:ilvl="4">
      <w:start w:val="0"/>
      <w:numFmt w:val="bullet"/>
      <w:lvlText w:val="•"/>
      <w:lvlJc w:val="left"/>
      <w:pPr>
        <w:ind w:left="5686" w:hanging="361"/>
      </w:pPr>
      <w:rPr>
        <w:rFonts w:hint="default"/>
        <w:lang w:val="en-au" w:eastAsia="en-au" w:bidi="en-au"/>
      </w:rPr>
    </w:lvl>
    <w:lvl w:ilvl="5">
      <w:start w:val="0"/>
      <w:numFmt w:val="bullet"/>
      <w:lvlText w:val="•"/>
      <w:lvlJc w:val="left"/>
      <w:pPr>
        <w:ind w:left="6703" w:hanging="361"/>
      </w:pPr>
      <w:rPr>
        <w:rFonts w:hint="default"/>
        <w:lang w:val="en-au" w:eastAsia="en-au" w:bidi="en-au"/>
      </w:rPr>
    </w:lvl>
    <w:lvl w:ilvl="6">
      <w:start w:val="0"/>
      <w:numFmt w:val="bullet"/>
      <w:lvlText w:val="•"/>
      <w:lvlJc w:val="left"/>
      <w:pPr>
        <w:ind w:left="7719" w:hanging="361"/>
      </w:pPr>
      <w:rPr>
        <w:rFonts w:hint="default"/>
        <w:lang w:val="en-au" w:eastAsia="en-au" w:bidi="en-au"/>
      </w:rPr>
    </w:lvl>
    <w:lvl w:ilvl="7">
      <w:start w:val="0"/>
      <w:numFmt w:val="bullet"/>
      <w:lvlText w:val="•"/>
      <w:lvlJc w:val="left"/>
      <w:pPr>
        <w:ind w:left="8736" w:hanging="361"/>
      </w:pPr>
      <w:rPr>
        <w:rFonts w:hint="default"/>
        <w:lang w:val="en-au" w:eastAsia="en-au" w:bidi="en-au"/>
      </w:rPr>
    </w:lvl>
    <w:lvl w:ilvl="8">
      <w:start w:val="0"/>
      <w:numFmt w:val="bullet"/>
      <w:lvlText w:val="•"/>
      <w:lvlJc w:val="left"/>
      <w:pPr>
        <w:ind w:left="9753" w:hanging="361"/>
      </w:pPr>
      <w:rPr>
        <w:rFonts w:hint="default"/>
        <w:lang w:val="en-au" w:eastAsia="en-au" w:bidi="en-au"/>
      </w:rPr>
    </w:lvl>
  </w:abstractNum>
  <w:abstractNum w:abstractNumId="68">
    <w:multiLevelType w:val="hybridMultilevel"/>
    <w:lvl w:ilvl="0">
      <w:start w:val="8"/>
      <w:numFmt w:val="decimal"/>
      <w:lvlText w:val="%1"/>
      <w:lvlJc w:val="left"/>
      <w:pPr>
        <w:ind w:left="664" w:hanging="81"/>
        <w:jc w:val="right"/>
      </w:pPr>
      <w:rPr>
        <w:rFonts w:hint="default" w:ascii="Calibri" w:hAnsi="Calibri" w:eastAsia="Calibri" w:cs="Calibri"/>
        <w:w w:val="100"/>
        <w:sz w:val="12"/>
        <w:szCs w:val="12"/>
        <w:lang w:val="en-au" w:eastAsia="en-au" w:bidi="en-au"/>
      </w:rPr>
    </w:lvl>
    <w:lvl w:ilvl="1">
      <w:start w:val="0"/>
      <w:numFmt w:val="bullet"/>
      <w:lvlText w:val="•"/>
      <w:lvlJc w:val="left"/>
      <w:pPr>
        <w:ind w:left="728" w:hanging="81"/>
      </w:pPr>
      <w:rPr>
        <w:rFonts w:hint="default"/>
        <w:lang w:val="en-au" w:eastAsia="en-au" w:bidi="en-au"/>
      </w:rPr>
    </w:lvl>
    <w:lvl w:ilvl="2">
      <w:start w:val="0"/>
      <w:numFmt w:val="bullet"/>
      <w:lvlText w:val="•"/>
      <w:lvlJc w:val="left"/>
      <w:pPr>
        <w:ind w:left="796" w:hanging="81"/>
      </w:pPr>
      <w:rPr>
        <w:rFonts w:hint="default"/>
        <w:lang w:val="en-au" w:eastAsia="en-au" w:bidi="en-au"/>
      </w:rPr>
    </w:lvl>
    <w:lvl w:ilvl="3">
      <w:start w:val="0"/>
      <w:numFmt w:val="bullet"/>
      <w:lvlText w:val="•"/>
      <w:lvlJc w:val="left"/>
      <w:pPr>
        <w:ind w:left="865" w:hanging="81"/>
      </w:pPr>
      <w:rPr>
        <w:rFonts w:hint="default"/>
        <w:lang w:val="en-au" w:eastAsia="en-au" w:bidi="en-au"/>
      </w:rPr>
    </w:lvl>
    <w:lvl w:ilvl="4">
      <w:start w:val="0"/>
      <w:numFmt w:val="bullet"/>
      <w:lvlText w:val="•"/>
      <w:lvlJc w:val="left"/>
      <w:pPr>
        <w:ind w:left="933" w:hanging="81"/>
      </w:pPr>
      <w:rPr>
        <w:rFonts w:hint="default"/>
        <w:lang w:val="en-au" w:eastAsia="en-au" w:bidi="en-au"/>
      </w:rPr>
    </w:lvl>
    <w:lvl w:ilvl="5">
      <w:start w:val="0"/>
      <w:numFmt w:val="bullet"/>
      <w:lvlText w:val="•"/>
      <w:lvlJc w:val="left"/>
      <w:pPr>
        <w:ind w:left="1002" w:hanging="81"/>
      </w:pPr>
      <w:rPr>
        <w:rFonts w:hint="default"/>
        <w:lang w:val="en-au" w:eastAsia="en-au" w:bidi="en-au"/>
      </w:rPr>
    </w:lvl>
    <w:lvl w:ilvl="6">
      <w:start w:val="0"/>
      <w:numFmt w:val="bullet"/>
      <w:lvlText w:val="•"/>
      <w:lvlJc w:val="left"/>
      <w:pPr>
        <w:ind w:left="1070" w:hanging="81"/>
      </w:pPr>
      <w:rPr>
        <w:rFonts w:hint="default"/>
        <w:lang w:val="en-au" w:eastAsia="en-au" w:bidi="en-au"/>
      </w:rPr>
    </w:lvl>
    <w:lvl w:ilvl="7">
      <w:start w:val="0"/>
      <w:numFmt w:val="bullet"/>
      <w:lvlText w:val="•"/>
      <w:lvlJc w:val="left"/>
      <w:pPr>
        <w:ind w:left="1139" w:hanging="81"/>
      </w:pPr>
      <w:rPr>
        <w:rFonts w:hint="default"/>
        <w:lang w:val="en-au" w:eastAsia="en-au" w:bidi="en-au"/>
      </w:rPr>
    </w:lvl>
    <w:lvl w:ilvl="8">
      <w:start w:val="0"/>
      <w:numFmt w:val="bullet"/>
      <w:lvlText w:val="•"/>
      <w:lvlJc w:val="left"/>
      <w:pPr>
        <w:ind w:left="1207" w:hanging="81"/>
      </w:pPr>
      <w:rPr>
        <w:rFonts w:hint="default"/>
        <w:lang w:val="en-au" w:eastAsia="en-au" w:bidi="en-au"/>
      </w:rPr>
    </w:lvl>
  </w:abstractNum>
  <w:abstractNum w:abstractNumId="67">
    <w:multiLevelType w:val="hybridMultilevel"/>
    <w:lvl w:ilvl="0">
      <w:start w:val="0"/>
      <w:numFmt w:val="bullet"/>
      <w:lvlText w:val=""/>
      <w:lvlJc w:val="left"/>
      <w:pPr>
        <w:ind w:left="391" w:hanging="284"/>
      </w:pPr>
      <w:rPr>
        <w:rFonts w:hint="default" w:ascii="Symbol" w:hAnsi="Symbol" w:eastAsia="Symbol" w:cs="Symbol"/>
        <w:color w:val="404040"/>
        <w:w w:val="99"/>
        <w:sz w:val="20"/>
        <w:szCs w:val="20"/>
        <w:lang w:val="en-au" w:eastAsia="en-au" w:bidi="en-au"/>
      </w:rPr>
    </w:lvl>
    <w:lvl w:ilvl="1">
      <w:start w:val="0"/>
      <w:numFmt w:val="bullet"/>
      <w:lvlText w:val="•"/>
      <w:lvlJc w:val="left"/>
      <w:pPr>
        <w:ind w:left="1346" w:hanging="284"/>
      </w:pPr>
      <w:rPr>
        <w:rFonts w:hint="default"/>
        <w:lang w:val="en-au" w:eastAsia="en-au" w:bidi="en-au"/>
      </w:rPr>
    </w:lvl>
    <w:lvl w:ilvl="2">
      <w:start w:val="0"/>
      <w:numFmt w:val="bullet"/>
      <w:lvlText w:val="•"/>
      <w:lvlJc w:val="left"/>
      <w:pPr>
        <w:ind w:left="2293" w:hanging="284"/>
      </w:pPr>
      <w:rPr>
        <w:rFonts w:hint="default"/>
        <w:lang w:val="en-au" w:eastAsia="en-au" w:bidi="en-au"/>
      </w:rPr>
    </w:lvl>
    <w:lvl w:ilvl="3">
      <w:start w:val="0"/>
      <w:numFmt w:val="bullet"/>
      <w:lvlText w:val="•"/>
      <w:lvlJc w:val="left"/>
      <w:pPr>
        <w:ind w:left="3239" w:hanging="284"/>
      </w:pPr>
      <w:rPr>
        <w:rFonts w:hint="default"/>
        <w:lang w:val="en-au" w:eastAsia="en-au" w:bidi="en-au"/>
      </w:rPr>
    </w:lvl>
    <w:lvl w:ilvl="4">
      <w:start w:val="0"/>
      <w:numFmt w:val="bullet"/>
      <w:lvlText w:val="•"/>
      <w:lvlJc w:val="left"/>
      <w:pPr>
        <w:ind w:left="4186" w:hanging="284"/>
      </w:pPr>
      <w:rPr>
        <w:rFonts w:hint="default"/>
        <w:lang w:val="en-au" w:eastAsia="en-au" w:bidi="en-au"/>
      </w:rPr>
    </w:lvl>
    <w:lvl w:ilvl="5">
      <w:start w:val="0"/>
      <w:numFmt w:val="bullet"/>
      <w:lvlText w:val="•"/>
      <w:lvlJc w:val="left"/>
      <w:pPr>
        <w:ind w:left="5133" w:hanging="284"/>
      </w:pPr>
      <w:rPr>
        <w:rFonts w:hint="default"/>
        <w:lang w:val="en-au" w:eastAsia="en-au" w:bidi="en-au"/>
      </w:rPr>
    </w:lvl>
    <w:lvl w:ilvl="6">
      <w:start w:val="0"/>
      <w:numFmt w:val="bullet"/>
      <w:lvlText w:val="•"/>
      <w:lvlJc w:val="left"/>
      <w:pPr>
        <w:ind w:left="6079" w:hanging="284"/>
      </w:pPr>
      <w:rPr>
        <w:rFonts w:hint="default"/>
        <w:lang w:val="en-au" w:eastAsia="en-au" w:bidi="en-au"/>
      </w:rPr>
    </w:lvl>
    <w:lvl w:ilvl="7">
      <w:start w:val="0"/>
      <w:numFmt w:val="bullet"/>
      <w:lvlText w:val="•"/>
      <w:lvlJc w:val="left"/>
      <w:pPr>
        <w:ind w:left="7026" w:hanging="284"/>
      </w:pPr>
      <w:rPr>
        <w:rFonts w:hint="default"/>
        <w:lang w:val="en-au" w:eastAsia="en-au" w:bidi="en-au"/>
      </w:rPr>
    </w:lvl>
    <w:lvl w:ilvl="8">
      <w:start w:val="0"/>
      <w:numFmt w:val="bullet"/>
      <w:lvlText w:val="•"/>
      <w:lvlJc w:val="left"/>
      <w:pPr>
        <w:ind w:left="7973" w:hanging="284"/>
      </w:pPr>
      <w:rPr>
        <w:rFonts w:hint="default"/>
        <w:lang w:val="en-au" w:eastAsia="en-au" w:bidi="en-au"/>
      </w:rPr>
    </w:lvl>
  </w:abstractNum>
  <w:abstractNum w:abstractNumId="66">
    <w:multiLevelType w:val="hybridMultilevel"/>
    <w:lvl w:ilvl="0">
      <w:start w:val="1"/>
      <w:numFmt w:val="decimal"/>
      <w:lvlText w:val="%1."/>
      <w:lvlJc w:val="left"/>
      <w:pPr>
        <w:ind w:left="1620" w:hanging="361"/>
        <w:jc w:val="left"/>
      </w:pPr>
      <w:rPr>
        <w:rFonts w:hint="default" w:ascii="Arial" w:hAnsi="Arial" w:eastAsia="Arial" w:cs="Arial"/>
        <w:color w:val="DF2F1E"/>
        <w:spacing w:val="-1"/>
        <w:w w:val="100"/>
        <w:sz w:val="16"/>
        <w:szCs w:val="16"/>
        <w:lang w:val="en-au" w:eastAsia="en-au" w:bidi="en-au"/>
      </w:rPr>
    </w:lvl>
    <w:lvl w:ilvl="1">
      <w:start w:val="1"/>
      <w:numFmt w:val="decimal"/>
      <w:lvlText w:val="%2"/>
      <w:lvlJc w:val="left"/>
      <w:pPr>
        <w:ind w:left="1730" w:hanging="103"/>
        <w:jc w:val="left"/>
      </w:pPr>
      <w:rPr>
        <w:rFonts w:hint="default" w:ascii="Calibri" w:hAnsi="Calibri" w:eastAsia="Calibri" w:cs="Calibri"/>
        <w:w w:val="100"/>
        <w:sz w:val="14"/>
        <w:szCs w:val="14"/>
        <w:lang w:val="en-au" w:eastAsia="en-au" w:bidi="en-au"/>
      </w:rPr>
    </w:lvl>
    <w:lvl w:ilvl="2">
      <w:start w:val="0"/>
      <w:numFmt w:val="bullet"/>
      <w:lvlText w:val="•"/>
      <w:lvlJc w:val="left"/>
      <w:pPr>
        <w:ind w:left="2171" w:hanging="103"/>
      </w:pPr>
      <w:rPr>
        <w:rFonts w:hint="default"/>
        <w:lang w:val="en-au" w:eastAsia="en-au" w:bidi="en-au"/>
      </w:rPr>
    </w:lvl>
    <w:lvl w:ilvl="3">
      <w:start w:val="0"/>
      <w:numFmt w:val="bullet"/>
      <w:lvlText w:val="•"/>
      <w:lvlJc w:val="left"/>
      <w:pPr>
        <w:ind w:left="2602" w:hanging="103"/>
      </w:pPr>
      <w:rPr>
        <w:rFonts w:hint="default"/>
        <w:lang w:val="en-au" w:eastAsia="en-au" w:bidi="en-au"/>
      </w:rPr>
    </w:lvl>
    <w:lvl w:ilvl="4">
      <w:start w:val="0"/>
      <w:numFmt w:val="bullet"/>
      <w:lvlText w:val="•"/>
      <w:lvlJc w:val="left"/>
      <w:pPr>
        <w:ind w:left="3033" w:hanging="103"/>
      </w:pPr>
      <w:rPr>
        <w:rFonts w:hint="default"/>
        <w:lang w:val="en-au" w:eastAsia="en-au" w:bidi="en-au"/>
      </w:rPr>
    </w:lvl>
    <w:lvl w:ilvl="5">
      <w:start w:val="0"/>
      <w:numFmt w:val="bullet"/>
      <w:lvlText w:val="•"/>
      <w:lvlJc w:val="left"/>
      <w:pPr>
        <w:ind w:left="3464" w:hanging="103"/>
      </w:pPr>
      <w:rPr>
        <w:rFonts w:hint="default"/>
        <w:lang w:val="en-au" w:eastAsia="en-au" w:bidi="en-au"/>
      </w:rPr>
    </w:lvl>
    <w:lvl w:ilvl="6">
      <w:start w:val="0"/>
      <w:numFmt w:val="bullet"/>
      <w:lvlText w:val="•"/>
      <w:lvlJc w:val="left"/>
      <w:pPr>
        <w:ind w:left="3895" w:hanging="103"/>
      </w:pPr>
      <w:rPr>
        <w:rFonts w:hint="default"/>
        <w:lang w:val="en-au" w:eastAsia="en-au" w:bidi="en-au"/>
      </w:rPr>
    </w:lvl>
    <w:lvl w:ilvl="7">
      <w:start w:val="0"/>
      <w:numFmt w:val="bullet"/>
      <w:lvlText w:val="•"/>
      <w:lvlJc w:val="left"/>
      <w:pPr>
        <w:ind w:left="4326" w:hanging="103"/>
      </w:pPr>
      <w:rPr>
        <w:rFonts w:hint="default"/>
        <w:lang w:val="en-au" w:eastAsia="en-au" w:bidi="en-au"/>
      </w:rPr>
    </w:lvl>
    <w:lvl w:ilvl="8">
      <w:start w:val="0"/>
      <w:numFmt w:val="bullet"/>
      <w:lvlText w:val="•"/>
      <w:lvlJc w:val="left"/>
      <w:pPr>
        <w:ind w:left="4757" w:hanging="103"/>
      </w:pPr>
      <w:rPr>
        <w:rFonts w:hint="default"/>
        <w:lang w:val="en-au" w:eastAsia="en-au" w:bidi="en-au"/>
      </w:rPr>
    </w:lvl>
  </w:abstractNum>
  <w:abstractNum w:abstractNumId="64">
    <w:multiLevelType w:val="hybridMultilevel"/>
    <w:lvl w:ilvl="0">
      <w:start w:val="8"/>
      <w:numFmt w:val="decimal"/>
      <w:lvlText w:val="%1"/>
      <w:lvlJc w:val="left"/>
      <w:pPr>
        <w:ind w:left="664" w:hanging="81"/>
        <w:jc w:val="right"/>
      </w:pPr>
      <w:rPr>
        <w:rFonts w:hint="default" w:ascii="Calibri" w:hAnsi="Calibri" w:eastAsia="Calibri" w:cs="Calibri"/>
        <w:w w:val="100"/>
        <w:sz w:val="12"/>
        <w:szCs w:val="12"/>
        <w:lang w:val="en-au" w:eastAsia="en-au" w:bidi="en-au"/>
      </w:rPr>
    </w:lvl>
    <w:lvl w:ilvl="1">
      <w:start w:val="0"/>
      <w:numFmt w:val="bullet"/>
      <w:lvlText w:val="•"/>
      <w:lvlJc w:val="left"/>
      <w:pPr>
        <w:ind w:left="728" w:hanging="81"/>
      </w:pPr>
      <w:rPr>
        <w:rFonts w:hint="default"/>
        <w:lang w:val="en-au" w:eastAsia="en-au" w:bidi="en-au"/>
      </w:rPr>
    </w:lvl>
    <w:lvl w:ilvl="2">
      <w:start w:val="0"/>
      <w:numFmt w:val="bullet"/>
      <w:lvlText w:val="•"/>
      <w:lvlJc w:val="left"/>
      <w:pPr>
        <w:ind w:left="796" w:hanging="81"/>
      </w:pPr>
      <w:rPr>
        <w:rFonts w:hint="default"/>
        <w:lang w:val="en-au" w:eastAsia="en-au" w:bidi="en-au"/>
      </w:rPr>
    </w:lvl>
    <w:lvl w:ilvl="3">
      <w:start w:val="0"/>
      <w:numFmt w:val="bullet"/>
      <w:lvlText w:val="•"/>
      <w:lvlJc w:val="left"/>
      <w:pPr>
        <w:ind w:left="865" w:hanging="81"/>
      </w:pPr>
      <w:rPr>
        <w:rFonts w:hint="default"/>
        <w:lang w:val="en-au" w:eastAsia="en-au" w:bidi="en-au"/>
      </w:rPr>
    </w:lvl>
    <w:lvl w:ilvl="4">
      <w:start w:val="0"/>
      <w:numFmt w:val="bullet"/>
      <w:lvlText w:val="•"/>
      <w:lvlJc w:val="left"/>
      <w:pPr>
        <w:ind w:left="933" w:hanging="81"/>
      </w:pPr>
      <w:rPr>
        <w:rFonts w:hint="default"/>
        <w:lang w:val="en-au" w:eastAsia="en-au" w:bidi="en-au"/>
      </w:rPr>
    </w:lvl>
    <w:lvl w:ilvl="5">
      <w:start w:val="0"/>
      <w:numFmt w:val="bullet"/>
      <w:lvlText w:val="•"/>
      <w:lvlJc w:val="left"/>
      <w:pPr>
        <w:ind w:left="1002" w:hanging="81"/>
      </w:pPr>
      <w:rPr>
        <w:rFonts w:hint="default"/>
        <w:lang w:val="en-au" w:eastAsia="en-au" w:bidi="en-au"/>
      </w:rPr>
    </w:lvl>
    <w:lvl w:ilvl="6">
      <w:start w:val="0"/>
      <w:numFmt w:val="bullet"/>
      <w:lvlText w:val="•"/>
      <w:lvlJc w:val="left"/>
      <w:pPr>
        <w:ind w:left="1070" w:hanging="81"/>
      </w:pPr>
      <w:rPr>
        <w:rFonts w:hint="default"/>
        <w:lang w:val="en-au" w:eastAsia="en-au" w:bidi="en-au"/>
      </w:rPr>
    </w:lvl>
    <w:lvl w:ilvl="7">
      <w:start w:val="0"/>
      <w:numFmt w:val="bullet"/>
      <w:lvlText w:val="•"/>
      <w:lvlJc w:val="left"/>
      <w:pPr>
        <w:ind w:left="1139" w:hanging="81"/>
      </w:pPr>
      <w:rPr>
        <w:rFonts w:hint="default"/>
        <w:lang w:val="en-au" w:eastAsia="en-au" w:bidi="en-au"/>
      </w:rPr>
    </w:lvl>
    <w:lvl w:ilvl="8">
      <w:start w:val="0"/>
      <w:numFmt w:val="bullet"/>
      <w:lvlText w:val="•"/>
      <w:lvlJc w:val="left"/>
      <w:pPr>
        <w:ind w:left="1207" w:hanging="81"/>
      </w:pPr>
      <w:rPr>
        <w:rFonts w:hint="default"/>
        <w:lang w:val="en-au" w:eastAsia="en-au" w:bidi="en-au"/>
      </w:rPr>
    </w:lvl>
  </w:abstractNum>
  <w:abstractNum w:abstractNumId="63">
    <w:multiLevelType w:val="hybridMultilevel"/>
    <w:lvl w:ilvl="0">
      <w:start w:val="0"/>
      <w:numFmt w:val="bullet"/>
      <w:lvlText w:val=""/>
      <w:lvlJc w:val="left"/>
      <w:pPr>
        <w:ind w:left="391" w:hanging="284"/>
      </w:pPr>
      <w:rPr>
        <w:rFonts w:hint="default" w:ascii="Symbol" w:hAnsi="Symbol" w:eastAsia="Symbol" w:cs="Symbol"/>
        <w:color w:val="404040"/>
        <w:w w:val="99"/>
        <w:sz w:val="20"/>
        <w:szCs w:val="20"/>
        <w:lang w:val="en-au" w:eastAsia="en-au" w:bidi="en-au"/>
      </w:rPr>
    </w:lvl>
    <w:lvl w:ilvl="1">
      <w:start w:val="0"/>
      <w:numFmt w:val="bullet"/>
      <w:lvlText w:val="•"/>
      <w:lvlJc w:val="left"/>
      <w:pPr>
        <w:ind w:left="1346" w:hanging="284"/>
      </w:pPr>
      <w:rPr>
        <w:rFonts w:hint="default"/>
        <w:lang w:val="en-au" w:eastAsia="en-au" w:bidi="en-au"/>
      </w:rPr>
    </w:lvl>
    <w:lvl w:ilvl="2">
      <w:start w:val="0"/>
      <w:numFmt w:val="bullet"/>
      <w:lvlText w:val="•"/>
      <w:lvlJc w:val="left"/>
      <w:pPr>
        <w:ind w:left="2293" w:hanging="284"/>
      </w:pPr>
      <w:rPr>
        <w:rFonts w:hint="default"/>
        <w:lang w:val="en-au" w:eastAsia="en-au" w:bidi="en-au"/>
      </w:rPr>
    </w:lvl>
    <w:lvl w:ilvl="3">
      <w:start w:val="0"/>
      <w:numFmt w:val="bullet"/>
      <w:lvlText w:val="•"/>
      <w:lvlJc w:val="left"/>
      <w:pPr>
        <w:ind w:left="3239" w:hanging="284"/>
      </w:pPr>
      <w:rPr>
        <w:rFonts w:hint="default"/>
        <w:lang w:val="en-au" w:eastAsia="en-au" w:bidi="en-au"/>
      </w:rPr>
    </w:lvl>
    <w:lvl w:ilvl="4">
      <w:start w:val="0"/>
      <w:numFmt w:val="bullet"/>
      <w:lvlText w:val="•"/>
      <w:lvlJc w:val="left"/>
      <w:pPr>
        <w:ind w:left="4186" w:hanging="284"/>
      </w:pPr>
      <w:rPr>
        <w:rFonts w:hint="default"/>
        <w:lang w:val="en-au" w:eastAsia="en-au" w:bidi="en-au"/>
      </w:rPr>
    </w:lvl>
    <w:lvl w:ilvl="5">
      <w:start w:val="0"/>
      <w:numFmt w:val="bullet"/>
      <w:lvlText w:val="•"/>
      <w:lvlJc w:val="left"/>
      <w:pPr>
        <w:ind w:left="5133" w:hanging="284"/>
      </w:pPr>
      <w:rPr>
        <w:rFonts w:hint="default"/>
        <w:lang w:val="en-au" w:eastAsia="en-au" w:bidi="en-au"/>
      </w:rPr>
    </w:lvl>
    <w:lvl w:ilvl="6">
      <w:start w:val="0"/>
      <w:numFmt w:val="bullet"/>
      <w:lvlText w:val="•"/>
      <w:lvlJc w:val="left"/>
      <w:pPr>
        <w:ind w:left="6079" w:hanging="284"/>
      </w:pPr>
      <w:rPr>
        <w:rFonts w:hint="default"/>
        <w:lang w:val="en-au" w:eastAsia="en-au" w:bidi="en-au"/>
      </w:rPr>
    </w:lvl>
    <w:lvl w:ilvl="7">
      <w:start w:val="0"/>
      <w:numFmt w:val="bullet"/>
      <w:lvlText w:val="•"/>
      <w:lvlJc w:val="left"/>
      <w:pPr>
        <w:ind w:left="7026" w:hanging="284"/>
      </w:pPr>
      <w:rPr>
        <w:rFonts w:hint="default"/>
        <w:lang w:val="en-au" w:eastAsia="en-au" w:bidi="en-au"/>
      </w:rPr>
    </w:lvl>
    <w:lvl w:ilvl="8">
      <w:start w:val="0"/>
      <w:numFmt w:val="bullet"/>
      <w:lvlText w:val="•"/>
      <w:lvlJc w:val="left"/>
      <w:pPr>
        <w:ind w:left="7973" w:hanging="284"/>
      </w:pPr>
      <w:rPr>
        <w:rFonts w:hint="default"/>
        <w:lang w:val="en-au" w:eastAsia="en-au" w:bidi="en-au"/>
      </w:rPr>
    </w:lvl>
  </w:abstractNum>
  <w:abstractNum w:abstractNumId="62">
    <w:multiLevelType w:val="hybridMultilevel"/>
    <w:lvl w:ilvl="0">
      <w:start w:val="1"/>
      <w:numFmt w:val="decimal"/>
      <w:lvlText w:val="%1."/>
      <w:lvlJc w:val="left"/>
      <w:pPr>
        <w:ind w:left="1620" w:hanging="361"/>
        <w:jc w:val="left"/>
      </w:pPr>
      <w:rPr>
        <w:rFonts w:hint="default" w:ascii="Arial" w:hAnsi="Arial" w:eastAsia="Arial" w:cs="Arial"/>
        <w:color w:val="DF2F1E"/>
        <w:spacing w:val="-1"/>
        <w:w w:val="100"/>
        <w:sz w:val="16"/>
        <w:szCs w:val="16"/>
        <w:lang w:val="en-au" w:eastAsia="en-au" w:bidi="en-au"/>
      </w:rPr>
    </w:lvl>
    <w:lvl w:ilvl="1">
      <w:start w:val="1"/>
      <w:numFmt w:val="decimal"/>
      <w:lvlText w:val="%2"/>
      <w:lvlJc w:val="left"/>
      <w:pPr>
        <w:ind w:left="1769" w:hanging="103"/>
        <w:jc w:val="left"/>
      </w:pPr>
      <w:rPr>
        <w:rFonts w:hint="default" w:ascii="Calibri" w:hAnsi="Calibri" w:eastAsia="Calibri" w:cs="Calibri"/>
        <w:w w:val="100"/>
        <w:sz w:val="14"/>
        <w:szCs w:val="14"/>
        <w:lang w:val="en-au" w:eastAsia="en-au" w:bidi="en-au"/>
      </w:rPr>
    </w:lvl>
    <w:lvl w:ilvl="2">
      <w:start w:val="0"/>
      <w:numFmt w:val="bullet"/>
      <w:lvlText w:val="•"/>
      <w:lvlJc w:val="left"/>
      <w:pPr>
        <w:ind w:left="2184" w:hanging="103"/>
      </w:pPr>
      <w:rPr>
        <w:rFonts w:hint="default"/>
        <w:lang w:val="en-au" w:eastAsia="en-au" w:bidi="en-au"/>
      </w:rPr>
    </w:lvl>
    <w:lvl w:ilvl="3">
      <w:start w:val="0"/>
      <w:numFmt w:val="bullet"/>
      <w:lvlText w:val="•"/>
      <w:lvlJc w:val="left"/>
      <w:pPr>
        <w:ind w:left="2608" w:hanging="103"/>
      </w:pPr>
      <w:rPr>
        <w:rFonts w:hint="default"/>
        <w:lang w:val="en-au" w:eastAsia="en-au" w:bidi="en-au"/>
      </w:rPr>
    </w:lvl>
    <w:lvl w:ilvl="4">
      <w:start w:val="0"/>
      <w:numFmt w:val="bullet"/>
      <w:lvlText w:val="•"/>
      <w:lvlJc w:val="left"/>
      <w:pPr>
        <w:ind w:left="3032" w:hanging="103"/>
      </w:pPr>
      <w:rPr>
        <w:rFonts w:hint="default"/>
        <w:lang w:val="en-au" w:eastAsia="en-au" w:bidi="en-au"/>
      </w:rPr>
    </w:lvl>
    <w:lvl w:ilvl="5">
      <w:start w:val="0"/>
      <w:numFmt w:val="bullet"/>
      <w:lvlText w:val="•"/>
      <w:lvlJc w:val="left"/>
      <w:pPr>
        <w:ind w:left="3456" w:hanging="103"/>
      </w:pPr>
      <w:rPr>
        <w:rFonts w:hint="default"/>
        <w:lang w:val="en-au" w:eastAsia="en-au" w:bidi="en-au"/>
      </w:rPr>
    </w:lvl>
    <w:lvl w:ilvl="6">
      <w:start w:val="0"/>
      <w:numFmt w:val="bullet"/>
      <w:lvlText w:val="•"/>
      <w:lvlJc w:val="left"/>
      <w:pPr>
        <w:ind w:left="3880" w:hanging="103"/>
      </w:pPr>
      <w:rPr>
        <w:rFonts w:hint="default"/>
        <w:lang w:val="en-au" w:eastAsia="en-au" w:bidi="en-au"/>
      </w:rPr>
    </w:lvl>
    <w:lvl w:ilvl="7">
      <w:start w:val="0"/>
      <w:numFmt w:val="bullet"/>
      <w:lvlText w:val="•"/>
      <w:lvlJc w:val="left"/>
      <w:pPr>
        <w:ind w:left="4304" w:hanging="103"/>
      </w:pPr>
      <w:rPr>
        <w:rFonts w:hint="default"/>
        <w:lang w:val="en-au" w:eastAsia="en-au" w:bidi="en-au"/>
      </w:rPr>
    </w:lvl>
    <w:lvl w:ilvl="8">
      <w:start w:val="0"/>
      <w:numFmt w:val="bullet"/>
      <w:lvlText w:val="•"/>
      <w:lvlJc w:val="left"/>
      <w:pPr>
        <w:ind w:left="4728" w:hanging="103"/>
      </w:pPr>
      <w:rPr>
        <w:rFonts w:hint="default"/>
        <w:lang w:val="en-au" w:eastAsia="en-au" w:bidi="en-au"/>
      </w:rPr>
    </w:lvl>
  </w:abstractNum>
  <w:abstractNum w:abstractNumId="60">
    <w:multiLevelType w:val="hybridMultilevel"/>
    <w:lvl w:ilvl="0">
      <w:start w:val="0"/>
      <w:numFmt w:val="bullet"/>
      <w:lvlText w:val=""/>
      <w:lvlJc w:val="left"/>
      <w:pPr>
        <w:ind w:left="391" w:hanging="284"/>
      </w:pPr>
      <w:rPr>
        <w:rFonts w:hint="default" w:ascii="Symbol" w:hAnsi="Symbol" w:eastAsia="Symbol" w:cs="Symbol"/>
        <w:color w:val="404040"/>
        <w:w w:val="99"/>
        <w:sz w:val="20"/>
        <w:szCs w:val="20"/>
        <w:lang w:val="en-au" w:eastAsia="en-au" w:bidi="en-au"/>
      </w:rPr>
    </w:lvl>
    <w:lvl w:ilvl="1">
      <w:start w:val="0"/>
      <w:numFmt w:val="bullet"/>
      <w:lvlText w:val="•"/>
      <w:lvlJc w:val="left"/>
      <w:pPr>
        <w:ind w:left="1346" w:hanging="284"/>
      </w:pPr>
      <w:rPr>
        <w:rFonts w:hint="default"/>
        <w:lang w:val="en-au" w:eastAsia="en-au" w:bidi="en-au"/>
      </w:rPr>
    </w:lvl>
    <w:lvl w:ilvl="2">
      <w:start w:val="0"/>
      <w:numFmt w:val="bullet"/>
      <w:lvlText w:val="•"/>
      <w:lvlJc w:val="left"/>
      <w:pPr>
        <w:ind w:left="2293" w:hanging="284"/>
      </w:pPr>
      <w:rPr>
        <w:rFonts w:hint="default"/>
        <w:lang w:val="en-au" w:eastAsia="en-au" w:bidi="en-au"/>
      </w:rPr>
    </w:lvl>
    <w:lvl w:ilvl="3">
      <w:start w:val="0"/>
      <w:numFmt w:val="bullet"/>
      <w:lvlText w:val="•"/>
      <w:lvlJc w:val="left"/>
      <w:pPr>
        <w:ind w:left="3239" w:hanging="284"/>
      </w:pPr>
      <w:rPr>
        <w:rFonts w:hint="default"/>
        <w:lang w:val="en-au" w:eastAsia="en-au" w:bidi="en-au"/>
      </w:rPr>
    </w:lvl>
    <w:lvl w:ilvl="4">
      <w:start w:val="0"/>
      <w:numFmt w:val="bullet"/>
      <w:lvlText w:val="•"/>
      <w:lvlJc w:val="left"/>
      <w:pPr>
        <w:ind w:left="4186" w:hanging="284"/>
      </w:pPr>
      <w:rPr>
        <w:rFonts w:hint="default"/>
        <w:lang w:val="en-au" w:eastAsia="en-au" w:bidi="en-au"/>
      </w:rPr>
    </w:lvl>
    <w:lvl w:ilvl="5">
      <w:start w:val="0"/>
      <w:numFmt w:val="bullet"/>
      <w:lvlText w:val="•"/>
      <w:lvlJc w:val="left"/>
      <w:pPr>
        <w:ind w:left="5133" w:hanging="284"/>
      </w:pPr>
      <w:rPr>
        <w:rFonts w:hint="default"/>
        <w:lang w:val="en-au" w:eastAsia="en-au" w:bidi="en-au"/>
      </w:rPr>
    </w:lvl>
    <w:lvl w:ilvl="6">
      <w:start w:val="0"/>
      <w:numFmt w:val="bullet"/>
      <w:lvlText w:val="•"/>
      <w:lvlJc w:val="left"/>
      <w:pPr>
        <w:ind w:left="6079" w:hanging="284"/>
      </w:pPr>
      <w:rPr>
        <w:rFonts w:hint="default"/>
        <w:lang w:val="en-au" w:eastAsia="en-au" w:bidi="en-au"/>
      </w:rPr>
    </w:lvl>
    <w:lvl w:ilvl="7">
      <w:start w:val="0"/>
      <w:numFmt w:val="bullet"/>
      <w:lvlText w:val="•"/>
      <w:lvlJc w:val="left"/>
      <w:pPr>
        <w:ind w:left="7026" w:hanging="284"/>
      </w:pPr>
      <w:rPr>
        <w:rFonts w:hint="default"/>
        <w:lang w:val="en-au" w:eastAsia="en-au" w:bidi="en-au"/>
      </w:rPr>
    </w:lvl>
    <w:lvl w:ilvl="8">
      <w:start w:val="0"/>
      <w:numFmt w:val="bullet"/>
      <w:lvlText w:val="•"/>
      <w:lvlJc w:val="left"/>
      <w:pPr>
        <w:ind w:left="7973" w:hanging="284"/>
      </w:pPr>
      <w:rPr>
        <w:rFonts w:hint="default"/>
        <w:lang w:val="en-au" w:eastAsia="en-au" w:bidi="en-au"/>
      </w:rPr>
    </w:lvl>
  </w:abstractNum>
  <w:abstractNum w:abstractNumId="59">
    <w:multiLevelType w:val="hybridMultilevel"/>
    <w:lvl w:ilvl="0">
      <w:start w:val="1"/>
      <w:numFmt w:val="decimal"/>
      <w:lvlText w:val="%1"/>
      <w:lvlJc w:val="left"/>
      <w:pPr>
        <w:ind w:left="1257" w:hanging="103"/>
        <w:jc w:val="right"/>
      </w:pPr>
      <w:rPr>
        <w:rFonts w:hint="default"/>
        <w:w w:val="100"/>
        <w:lang w:val="en-au" w:eastAsia="en-au" w:bidi="en-au"/>
      </w:rPr>
    </w:lvl>
    <w:lvl w:ilvl="1">
      <w:start w:val="1"/>
      <w:numFmt w:val="decimal"/>
      <w:lvlText w:val="%1.%2"/>
      <w:lvlJc w:val="left"/>
      <w:pPr>
        <w:ind w:left="1752" w:hanging="853"/>
        <w:jc w:val="left"/>
      </w:pPr>
      <w:rPr>
        <w:rFonts w:hint="default" w:ascii="Arial" w:hAnsi="Arial" w:eastAsia="Arial" w:cs="Arial"/>
        <w:color w:val="DF2F28"/>
        <w:spacing w:val="-1"/>
        <w:w w:val="100"/>
        <w:sz w:val="28"/>
        <w:szCs w:val="28"/>
        <w:lang w:val="en-au" w:eastAsia="en-au" w:bidi="en-au"/>
      </w:rPr>
    </w:lvl>
    <w:lvl w:ilvl="2">
      <w:start w:val="0"/>
      <w:numFmt w:val="bullet"/>
      <w:lvlText w:val="•"/>
      <w:lvlJc w:val="left"/>
      <w:pPr>
        <w:ind w:left="1920" w:hanging="853"/>
      </w:pPr>
      <w:rPr>
        <w:rFonts w:hint="default"/>
        <w:lang w:val="en-au" w:eastAsia="en-au" w:bidi="en-au"/>
      </w:rPr>
    </w:lvl>
    <w:lvl w:ilvl="3">
      <w:start w:val="0"/>
      <w:numFmt w:val="bullet"/>
      <w:lvlText w:val="•"/>
      <w:lvlJc w:val="left"/>
      <w:pPr>
        <w:ind w:left="2282" w:hanging="853"/>
      </w:pPr>
      <w:rPr>
        <w:rFonts w:hint="default"/>
        <w:lang w:val="en-au" w:eastAsia="en-au" w:bidi="en-au"/>
      </w:rPr>
    </w:lvl>
    <w:lvl w:ilvl="4">
      <w:start w:val="0"/>
      <w:numFmt w:val="bullet"/>
      <w:lvlText w:val="•"/>
      <w:lvlJc w:val="left"/>
      <w:pPr>
        <w:ind w:left="2645" w:hanging="853"/>
      </w:pPr>
      <w:rPr>
        <w:rFonts w:hint="default"/>
        <w:lang w:val="en-au" w:eastAsia="en-au" w:bidi="en-au"/>
      </w:rPr>
    </w:lvl>
    <w:lvl w:ilvl="5">
      <w:start w:val="0"/>
      <w:numFmt w:val="bullet"/>
      <w:lvlText w:val="•"/>
      <w:lvlJc w:val="left"/>
      <w:pPr>
        <w:ind w:left="3007" w:hanging="853"/>
      </w:pPr>
      <w:rPr>
        <w:rFonts w:hint="default"/>
        <w:lang w:val="en-au" w:eastAsia="en-au" w:bidi="en-au"/>
      </w:rPr>
    </w:lvl>
    <w:lvl w:ilvl="6">
      <w:start w:val="0"/>
      <w:numFmt w:val="bullet"/>
      <w:lvlText w:val="•"/>
      <w:lvlJc w:val="left"/>
      <w:pPr>
        <w:ind w:left="3370" w:hanging="853"/>
      </w:pPr>
      <w:rPr>
        <w:rFonts w:hint="default"/>
        <w:lang w:val="en-au" w:eastAsia="en-au" w:bidi="en-au"/>
      </w:rPr>
    </w:lvl>
    <w:lvl w:ilvl="7">
      <w:start w:val="0"/>
      <w:numFmt w:val="bullet"/>
      <w:lvlText w:val="•"/>
      <w:lvlJc w:val="left"/>
      <w:pPr>
        <w:ind w:left="3732" w:hanging="853"/>
      </w:pPr>
      <w:rPr>
        <w:rFonts w:hint="default"/>
        <w:lang w:val="en-au" w:eastAsia="en-au" w:bidi="en-au"/>
      </w:rPr>
    </w:lvl>
    <w:lvl w:ilvl="8">
      <w:start w:val="0"/>
      <w:numFmt w:val="bullet"/>
      <w:lvlText w:val="•"/>
      <w:lvlJc w:val="left"/>
      <w:pPr>
        <w:ind w:left="4095" w:hanging="853"/>
      </w:pPr>
      <w:rPr>
        <w:rFonts w:hint="default"/>
        <w:lang w:val="en-au" w:eastAsia="en-au" w:bidi="en-au"/>
      </w:rPr>
    </w:lvl>
  </w:abstractNum>
  <w:abstractNum w:abstractNumId="58">
    <w:multiLevelType w:val="hybridMultilevel"/>
    <w:lvl w:ilvl="0">
      <w:start w:val="0"/>
      <w:numFmt w:val="bullet"/>
      <w:lvlText w:val=""/>
      <w:lvlJc w:val="left"/>
      <w:pPr>
        <w:ind w:left="1183" w:hanging="284"/>
      </w:pPr>
      <w:rPr>
        <w:rFonts w:hint="default" w:ascii="Symbol" w:hAnsi="Symbol" w:eastAsia="Symbol" w:cs="Symbol"/>
        <w:w w:val="99"/>
        <w:sz w:val="20"/>
        <w:szCs w:val="20"/>
        <w:lang w:val="en-au" w:eastAsia="en-au" w:bidi="en-au"/>
      </w:rPr>
    </w:lvl>
    <w:lvl w:ilvl="1">
      <w:start w:val="0"/>
      <w:numFmt w:val="bullet"/>
      <w:lvlText w:val="•"/>
      <w:lvlJc w:val="left"/>
      <w:pPr>
        <w:ind w:left="2240" w:hanging="284"/>
      </w:pPr>
      <w:rPr>
        <w:rFonts w:hint="default"/>
        <w:lang w:val="en-au" w:eastAsia="en-au" w:bidi="en-au"/>
      </w:rPr>
    </w:lvl>
    <w:lvl w:ilvl="2">
      <w:start w:val="0"/>
      <w:numFmt w:val="bullet"/>
      <w:lvlText w:val="•"/>
      <w:lvlJc w:val="left"/>
      <w:pPr>
        <w:ind w:left="3301" w:hanging="284"/>
      </w:pPr>
      <w:rPr>
        <w:rFonts w:hint="default"/>
        <w:lang w:val="en-au" w:eastAsia="en-au" w:bidi="en-au"/>
      </w:rPr>
    </w:lvl>
    <w:lvl w:ilvl="3">
      <w:start w:val="0"/>
      <w:numFmt w:val="bullet"/>
      <w:lvlText w:val="•"/>
      <w:lvlJc w:val="left"/>
      <w:pPr>
        <w:ind w:left="4361" w:hanging="284"/>
      </w:pPr>
      <w:rPr>
        <w:rFonts w:hint="default"/>
        <w:lang w:val="en-au" w:eastAsia="en-au" w:bidi="en-au"/>
      </w:rPr>
    </w:lvl>
    <w:lvl w:ilvl="4">
      <w:start w:val="0"/>
      <w:numFmt w:val="bullet"/>
      <w:lvlText w:val="•"/>
      <w:lvlJc w:val="left"/>
      <w:pPr>
        <w:ind w:left="5422" w:hanging="284"/>
      </w:pPr>
      <w:rPr>
        <w:rFonts w:hint="default"/>
        <w:lang w:val="en-au" w:eastAsia="en-au" w:bidi="en-au"/>
      </w:rPr>
    </w:lvl>
    <w:lvl w:ilvl="5">
      <w:start w:val="0"/>
      <w:numFmt w:val="bullet"/>
      <w:lvlText w:val="•"/>
      <w:lvlJc w:val="left"/>
      <w:pPr>
        <w:ind w:left="6483" w:hanging="284"/>
      </w:pPr>
      <w:rPr>
        <w:rFonts w:hint="default"/>
        <w:lang w:val="en-au" w:eastAsia="en-au" w:bidi="en-au"/>
      </w:rPr>
    </w:lvl>
    <w:lvl w:ilvl="6">
      <w:start w:val="0"/>
      <w:numFmt w:val="bullet"/>
      <w:lvlText w:val="•"/>
      <w:lvlJc w:val="left"/>
      <w:pPr>
        <w:ind w:left="7543" w:hanging="284"/>
      </w:pPr>
      <w:rPr>
        <w:rFonts w:hint="default"/>
        <w:lang w:val="en-au" w:eastAsia="en-au" w:bidi="en-au"/>
      </w:rPr>
    </w:lvl>
    <w:lvl w:ilvl="7">
      <w:start w:val="0"/>
      <w:numFmt w:val="bullet"/>
      <w:lvlText w:val="•"/>
      <w:lvlJc w:val="left"/>
      <w:pPr>
        <w:ind w:left="8604" w:hanging="284"/>
      </w:pPr>
      <w:rPr>
        <w:rFonts w:hint="default"/>
        <w:lang w:val="en-au" w:eastAsia="en-au" w:bidi="en-au"/>
      </w:rPr>
    </w:lvl>
    <w:lvl w:ilvl="8">
      <w:start w:val="0"/>
      <w:numFmt w:val="bullet"/>
      <w:lvlText w:val="•"/>
      <w:lvlJc w:val="left"/>
      <w:pPr>
        <w:ind w:left="9665" w:hanging="284"/>
      </w:pPr>
      <w:rPr>
        <w:rFonts w:hint="default"/>
        <w:lang w:val="en-au" w:eastAsia="en-au" w:bidi="en-au"/>
      </w:rPr>
    </w:lvl>
  </w:abstractNum>
  <w:abstractNum w:abstractNumId="57">
    <w:multiLevelType w:val="hybridMultilevel"/>
    <w:lvl w:ilvl="0">
      <w:start w:val="8"/>
      <w:numFmt w:val="decimal"/>
      <w:lvlText w:val="%1"/>
      <w:lvlJc w:val="left"/>
      <w:pPr>
        <w:ind w:left="664" w:hanging="81"/>
        <w:jc w:val="right"/>
      </w:pPr>
      <w:rPr>
        <w:rFonts w:hint="default" w:ascii="Calibri" w:hAnsi="Calibri" w:eastAsia="Calibri" w:cs="Calibri"/>
        <w:w w:val="100"/>
        <w:sz w:val="12"/>
        <w:szCs w:val="12"/>
        <w:lang w:val="en-au" w:eastAsia="en-au" w:bidi="en-au"/>
      </w:rPr>
    </w:lvl>
    <w:lvl w:ilvl="1">
      <w:start w:val="1"/>
      <w:numFmt w:val="decimal"/>
      <w:lvlText w:val="%2."/>
      <w:lvlJc w:val="left"/>
      <w:pPr>
        <w:ind w:left="1620" w:hanging="361"/>
        <w:jc w:val="left"/>
      </w:pPr>
      <w:rPr>
        <w:rFonts w:hint="default" w:ascii="Arial" w:hAnsi="Arial" w:eastAsia="Arial" w:cs="Arial"/>
        <w:color w:val="DF2F1E"/>
        <w:spacing w:val="-1"/>
        <w:w w:val="100"/>
        <w:sz w:val="16"/>
        <w:szCs w:val="16"/>
        <w:lang w:val="en-au" w:eastAsia="en-au" w:bidi="en-au"/>
      </w:rPr>
    </w:lvl>
    <w:lvl w:ilvl="2">
      <w:start w:val="0"/>
      <w:numFmt w:val="bullet"/>
      <w:lvlText w:val="•"/>
      <w:lvlJc w:val="left"/>
      <w:pPr>
        <w:ind w:left="1620" w:hanging="361"/>
      </w:pPr>
      <w:rPr>
        <w:rFonts w:hint="default"/>
        <w:lang w:val="en-au" w:eastAsia="en-au" w:bidi="en-au"/>
      </w:rPr>
    </w:lvl>
    <w:lvl w:ilvl="3">
      <w:start w:val="0"/>
      <w:numFmt w:val="bullet"/>
      <w:lvlText w:val="•"/>
      <w:lvlJc w:val="left"/>
      <w:pPr>
        <w:ind w:left="1080" w:hanging="361"/>
      </w:pPr>
      <w:rPr>
        <w:rFonts w:hint="default"/>
        <w:lang w:val="en-au" w:eastAsia="en-au" w:bidi="en-au"/>
      </w:rPr>
    </w:lvl>
    <w:lvl w:ilvl="4">
      <w:start w:val="0"/>
      <w:numFmt w:val="bullet"/>
      <w:lvlText w:val="•"/>
      <w:lvlJc w:val="left"/>
      <w:pPr>
        <w:ind w:left="541" w:hanging="361"/>
      </w:pPr>
      <w:rPr>
        <w:rFonts w:hint="default"/>
        <w:lang w:val="en-au" w:eastAsia="en-au" w:bidi="en-au"/>
      </w:rPr>
    </w:lvl>
    <w:lvl w:ilvl="5">
      <w:start w:val="0"/>
      <w:numFmt w:val="bullet"/>
      <w:lvlText w:val="•"/>
      <w:lvlJc w:val="left"/>
      <w:pPr>
        <w:ind w:left="2" w:hanging="361"/>
      </w:pPr>
      <w:rPr>
        <w:rFonts w:hint="default"/>
        <w:lang w:val="en-au" w:eastAsia="en-au" w:bidi="en-au"/>
      </w:rPr>
    </w:lvl>
    <w:lvl w:ilvl="6">
      <w:start w:val="0"/>
      <w:numFmt w:val="bullet"/>
      <w:lvlText w:val="•"/>
      <w:lvlJc w:val="left"/>
      <w:pPr>
        <w:ind w:left="-537" w:hanging="361"/>
      </w:pPr>
      <w:rPr>
        <w:rFonts w:hint="default"/>
        <w:lang w:val="en-au" w:eastAsia="en-au" w:bidi="en-au"/>
      </w:rPr>
    </w:lvl>
    <w:lvl w:ilvl="7">
      <w:start w:val="0"/>
      <w:numFmt w:val="bullet"/>
      <w:lvlText w:val="•"/>
      <w:lvlJc w:val="left"/>
      <w:pPr>
        <w:ind w:left="-1076" w:hanging="361"/>
      </w:pPr>
      <w:rPr>
        <w:rFonts w:hint="default"/>
        <w:lang w:val="en-au" w:eastAsia="en-au" w:bidi="en-au"/>
      </w:rPr>
    </w:lvl>
    <w:lvl w:ilvl="8">
      <w:start w:val="0"/>
      <w:numFmt w:val="bullet"/>
      <w:lvlText w:val="•"/>
      <w:lvlJc w:val="left"/>
      <w:pPr>
        <w:ind w:left="-1615" w:hanging="361"/>
      </w:pPr>
      <w:rPr>
        <w:rFonts w:hint="default"/>
        <w:lang w:val="en-au" w:eastAsia="en-au" w:bidi="en-au"/>
      </w:rPr>
    </w:lvl>
  </w:abstractNum>
  <w:abstractNum w:abstractNumId="56">
    <w:multiLevelType w:val="hybridMultilevel"/>
    <w:lvl w:ilvl="0">
      <w:start w:val="0"/>
      <w:numFmt w:val="bullet"/>
      <w:lvlText w:val=""/>
      <w:lvlJc w:val="left"/>
      <w:pPr>
        <w:ind w:left="391" w:hanging="284"/>
      </w:pPr>
      <w:rPr>
        <w:rFonts w:hint="default" w:ascii="Symbol" w:hAnsi="Symbol" w:eastAsia="Symbol" w:cs="Symbol"/>
        <w:color w:val="404040"/>
        <w:w w:val="99"/>
        <w:sz w:val="20"/>
        <w:szCs w:val="20"/>
        <w:lang w:val="en-au" w:eastAsia="en-au" w:bidi="en-au"/>
      </w:rPr>
    </w:lvl>
    <w:lvl w:ilvl="1">
      <w:start w:val="0"/>
      <w:numFmt w:val="bullet"/>
      <w:lvlText w:val="•"/>
      <w:lvlJc w:val="left"/>
      <w:pPr>
        <w:ind w:left="1346" w:hanging="284"/>
      </w:pPr>
      <w:rPr>
        <w:rFonts w:hint="default"/>
        <w:lang w:val="en-au" w:eastAsia="en-au" w:bidi="en-au"/>
      </w:rPr>
    </w:lvl>
    <w:lvl w:ilvl="2">
      <w:start w:val="0"/>
      <w:numFmt w:val="bullet"/>
      <w:lvlText w:val="•"/>
      <w:lvlJc w:val="left"/>
      <w:pPr>
        <w:ind w:left="2293" w:hanging="284"/>
      </w:pPr>
      <w:rPr>
        <w:rFonts w:hint="default"/>
        <w:lang w:val="en-au" w:eastAsia="en-au" w:bidi="en-au"/>
      </w:rPr>
    </w:lvl>
    <w:lvl w:ilvl="3">
      <w:start w:val="0"/>
      <w:numFmt w:val="bullet"/>
      <w:lvlText w:val="•"/>
      <w:lvlJc w:val="left"/>
      <w:pPr>
        <w:ind w:left="3239" w:hanging="284"/>
      </w:pPr>
      <w:rPr>
        <w:rFonts w:hint="default"/>
        <w:lang w:val="en-au" w:eastAsia="en-au" w:bidi="en-au"/>
      </w:rPr>
    </w:lvl>
    <w:lvl w:ilvl="4">
      <w:start w:val="0"/>
      <w:numFmt w:val="bullet"/>
      <w:lvlText w:val="•"/>
      <w:lvlJc w:val="left"/>
      <w:pPr>
        <w:ind w:left="4186" w:hanging="284"/>
      </w:pPr>
      <w:rPr>
        <w:rFonts w:hint="default"/>
        <w:lang w:val="en-au" w:eastAsia="en-au" w:bidi="en-au"/>
      </w:rPr>
    </w:lvl>
    <w:lvl w:ilvl="5">
      <w:start w:val="0"/>
      <w:numFmt w:val="bullet"/>
      <w:lvlText w:val="•"/>
      <w:lvlJc w:val="left"/>
      <w:pPr>
        <w:ind w:left="5133" w:hanging="284"/>
      </w:pPr>
      <w:rPr>
        <w:rFonts w:hint="default"/>
        <w:lang w:val="en-au" w:eastAsia="en-au" w:bidi="en-au"/>
      </w:rPr>
    </w:lvl>
    <w:lvl w:ilvl="6">
      <w:start w:val="0"/>
      <w:numFmt w:val="bullet"/>
      <w:lvlText w:val="•"/>
      <w:lvlJc w:val="left"/>
      <w:pPr>
        <w:ind w:left="6079" w:hanging="284"/>
      </w:pPr>
      <w:rPr>
        <w:rFonts w:hint="default"/>
        <w:lang w:val="en-au" w:eastAsia="en-au" w:bidi="en-au"/>
      </w:rPr>
    </w:lvl>
    <w:lvl w:ilvl="7">
      <w:start w:val="0"/>
      <w:numFmt w:val="bullet"/>
      <w:lvlText w:val="•"/>
      <w:lvlJc w:val="left"/>
      <w:pPr>
        <w:ind w:left="7026" w:hanging="284"/>
      </w:pPr>
      <w:rPr>
        <w:rFonts w:hint="default"/>
        <w:lang w:val="en-au" w:eastAsia="en-au" w:bidi="en-au"/>
      </w:rPr>
    </w:lvl>
    <w:lvl w:ilvl="8">
      <w:start w:val="0"/>
      <w:numFmt w:val="bullet"/>
      <w:lvlText w:val="•"/>
      <w:lvlJc w:val="left"/>
      <w:pPr>
        <w:ind w:left="7973" w:hanging="284"/>
      </w:pPr>
      <w:rPr>
        <w:rFonts w:hint="default"/>
        <w:lang w:val="en-au" w:eastAsia="en-au" w:bidi="en-au"/>
      </w:rPr>
    </w:lvl>
  </w:abstractNum>
  <w:abstractNum w:abstractNumId="55">
    <w:multiLevelType w:val="hybridMultilevel"/>
    <w:lvl w:ilvl="0">
      <w:start w:val="1"/>
      <w:numFmt w:val="decimal"/>
      <w:lvlText w:val="%1"/>
      <w:lvlJc w:val="left"/>
      <w:pPr>
        <w:ind w:left="1398" w:hanging="103"/>
        <w:jc w:val="left"/>
      </w:pPr>
      <w:rPr>
        <w:rFonts w:hint="default" w:ascii="Calibri" w:hAnsi="Calibri" w:eastAsia="Calibri" w:cs="Calibri"/>
        <w:w w:val="100"/>
        <w:sz w:val="14"/>
        <w:szCs w:val="14"/>
        <w:lang w:val="en-au" w:eastAsia="en-au" w:bidi="en-au"/>
      </w:rPr>
    </w:lvl>
    <w:lvl w:ilvl="1">
      <w:start w:val="0"/>
      <w:numFmt w:val="bullet"/>
      <w:lvlText w:val="•"/>
      <w:lvlJc w:val="left"/>
      <w:pPr>
        <w:ind w:left="1741" w:hanging="103"/>
      </w:pPr>
      <w:rPr>
        <w:rFonts w:hint="default"/>
        <w:lang w:val="en-au" w:eastAsia="en-au" w:bidi="en-au"/>
      </w:rPr>
    </w:lvl>
    <w:lvl w:ilvl="2">
      <w:start w:val="0"/>
      <w:numFmt w:val="bullet"/>
      <w:lvlText w:val="•"/>
      <w:lvlJc w:val="left"/>
      <w:pPr>
        <w:ind w:left="2083" w:hanging="103"/>
      </w:pPr>
      <w:rPr>
        <w:rFonts w:hint="default"/>
        <w:lang w:val="en-au" w:eastAsia="en-au" w:bidi="en-au"/>
      </w:rPr>
    </w:lvl>
    <w:lvl w:ilvl="3">
      <w:start w:val="0"/>
      <w:numFmt w:val="bullet"/>
      <w:lvlText w:val="•"/>
      <w:lvlJc w:val="left"/>
      <w:pPr>
        <w:ind w:left="2424" w:hanging="103"/>
      </w:pPr>
      <w:rPr>
        <w:rFonts w:hint="default"/>
        <w:lang w:val="en-au" w:eastAsia="en-au" w:bidi="en-au"/>
      </w:rPr>
    </w:lvl>
    <w:lvl w:ilvl="4">
      <w:start w:val="0"/>
      <w:numFmt w:val="bullet"/>
      <w:lvlText w:val="•"/>
      <w:lvlJc w:val="left"/>
      <w:pPr>
        <w:ind w:left="2765" w:hanging="103"/>
      </w:pPr>
      <w:rPr>
        <w:rFonts w:hint="default"/>
        <w:lang w:val="en-au" w:eastAsia="en-au" w:bidi="en-au"/>
      </w:rPr>
    </w:lvl>
    <w:lvl w:ilvl="5">
      <w:start w:val="0"/>
      <w:numFmt w:val="bullet"/>
      <w:lvlText w:val="•"/>
      <w:lvlJc w:val="left"/>
      <w:pPr>
        <w:ind w:left="3107" w:hanging="103"/>
      </w:pPr>
      <w:rPr>
        <w:rFonts w:hint="default"/>
        <w:lang w:val="en-au" w:eastAsia="en-au" w:bidi="en-au"/>
      </w:rPr>
    </w:lvl>
    <w:lvl w:ilvl="6">
      <w:start w:val="0"/>
      <w:numFmt w:val="bullet"/>
      <w:lvlText w:val="•"/>
      <w:lvlJc w:val="left"/>
      <w:pPr>
        <w:ind w:left="3448" w:hanging="103"/>
      </w:pPr>
      <w:rPr>
        <w:rFonts w:hint="default"/>
        <w:lang w:val="en-au" w:eastAsia="en-au" w:bidi="en-au"/>
      </w:rPr>
    </w:lvl>
    <w:lvl w:ilvl="7">
      <w:start w:val="0"/>
      <w:numFmt w:val="bullet"/>
      <w:lvlText w:val="•"/>
      <w:lvlJc w:val="left"/>
      <w:pPr>
        <w:ind w:left="3790" w:hanging="103"/>
      </w:pPr>
      <w:rPr>
        <w:rFonts w:hint="default"/>
        <w:lang w:val="en-au" w:eastAsia="en-au" w:bidi="en-au"/>
      </w:rPr>
    </w:lvl>
    <w:lvl w:ilvl="8">
      <w:start w:val="0"/>
      <w:numFmt w:val="bullet"/>
      <w:lvlText w:val="•"/>
      <w:lvlJc w:val="left"/>
      <w:pPr>
        <w:ind w:left="4131" w:hanging="103"/>
      </w:pPr>
      <w:rPr>
        <w:rFonts w:hint="default"/>
        <w:lang w:val="en-au" w:eastAsia="en-au" w:bidi="en-au"/>
      </w:rPr>
    </w:lvl>
  </w:abstractNum>
  <w:abstractNum w:abstractNumId="54">
    <w:multiLevelType w:val="hybridMultilevel"/>
    <w:lvl w:ilvl="0">
      <w:start w:val="0"/>
      <w:numFmt w:val="bullet"/>
      <w:lvlText w:val=""/>
      <w:lvlJc w:val="left"/>
      <w:pPr>
        <w:ind w:left="1183" w:hanging="284"/>
      </w:pPr>
      <w:rPr>
        <w:rFonts w:hint="default" w:ascii="Symbol" w:hAnsi="Symbol" w:eastAsia="Symbol" w:cs="Symbol"/>
        <w:w w:val="99"/>
        <w:sz w:val="20"/>
        <w:szCs w:val="20"/>
        <w:lang w:val="en-au" w:eastAsia="en-au" w:bidi="en-au"/>
      </w:rPr>
    </w:lvl>
    <w:lvl w:ilvl="1">
      <w:start w:val="0"/>
      <w:numFmt w:val="bullet"/>
      <w:lvlText w:val="•"/>
      <w:lvlJc w:val="left"/>
      <w:pPr>
        <w:ind w:left="2240" w:hanging="284"/>
      </w:pPr>
      <w:rPr>
        <w:rFonts w:hint="default"/>
        <w:lang w:val="en-au" w:eastAsia="en-au" w:bidi="en-au"/>
      </w:rPr>
    </w:lvl>
    <w:lvl w:ilvl="2">
      <w:start w:val="0"/>
      <w:numFmt w:val="bullet"/>
      <w:lvlText w:val="•"/>
      <w:lvlJc w:val="left"/>
      <w:pPr>
        <w:ind w:left="3301" w:hanging="284"/>
      </w:pPr>
      <w:rPr>
        <w:rFonts w:hint="default"/>
        <w:lang w:val="en-au" w:eastAsia="en-au" w:bidi="en-au"/>
      </w:rPr>
    </w:lvl>
    <w:lvl w:ilvl="3">
      <w:start w:val="0"/>
      <w:numFmt w:val="bullet"/>
      <w:lvlText w:val="•"/>
      <w:lvlJc w:val="left"/>
      <w:pPr>
        <w:ind w:left="4361" w:hanging="284"/>
      </w:pPr>
      <w:rPr>
        <w:rFonts w:hint="default"/>
        <w:lang w:val="en-au" w:eastAsia="en-au" w:bidi="en-au"/>
      </w:rPr>
    </w:lvl>
    <w:lvl w:ilvl="4">
      <w:start w:val="0"/>
      <w:numFmt w:val="bullet"/>
      <w:lvlText w:val="•"/>
      <w:lvlJc w:val="left"/>
      <w:pPr>
        <w:ind w:left="5422" w:hanging="284"/>
      </w:pPr>
      <w:rPr>
        <w:rFonts w:hint="default"/>
        <w:lang w:val="en-au" w:eastAsia="en-au" w:bidi="en-au"/>
      </w:rPr>
    </w:lvl>
    <w:lvl w:ilvl="5">
      <w:start w:val="0"/>
      <w:numFmt w:val="bullet"/>
      <w:lvlText w:val="•"/>
      <w:lvlJc w:val="left"/>
      <w:pPr>
        <w:ind w:left="6483" w:hanging="284"/>
      </w:pPr>
      <w:rPr>
        <w:rFonts w:hint="default"/>
        <w:lang w:val="en-au" w:eastAsia="en-au" w:bidi="en-au"/>
      </w:rPr>
    </w:lvl>
    <w:lvl w:ilvl="6">
      <w:start w:val="0"/>
      <w:numFmt w:val="bullet"/>
      <w:lvlText w:val="•"/>
      <w:lvlJc w:val="left"/>
      <w:pPr>
        <w:ind w:left="7543" w:hanging="284"/>
      </w:pPr>
      <w:rPr>
        <w:rFonts w:hint="default"/>
        <w:lang w:val="en-au" w:eastAsia="en-au" w:bidi="en-au"/>
      </w:rPr>
    </w:lvl>
    <w:lvl w:ilvl="7">
      <w:start w:val="0"/>
      <w:numFmt w:val="bullet"/>
      <w:lvlText w:val="•"/>
      <w:lvlJc w:val="left"/>
      <w:pPr>
        <w:ind w:left="8604" w:hanging="284"/>
      </w:pPr>
      <w:rPr>
        <w:rFonts w:hint="default"/>
        <w:lang w:val="en-au" w:eastAsia="en-au" w:bidi="en-au"/>
      </w:rPr>
    </w:lvl>
    <w:lvl w:ilvl="8">
      <w:start w:val="0"/>
      <w:numFmt w:val="bullet"/>
      <w:lvlText w:val="•"/>
      <w:lvlJc w:val="left"/>
      <w:pPr>
        <w:ind w:left="9665" w:hanging="284"/>
      </w:pPr>
      <w:rPr>
        <w:rFonts w:hint="default"/>
        <w:lang w:val="en-au" w:eastAsia="en-au" w:bidi="en-au"/>
      </w:rPr>
    </w:lvl>
  </w:abstractNum>
  <w:abstractNum w:abstractNumId="53">
    <w:multiLevelType w:val="hybridMultilevel"/>
    <w:lvl w:ilvl="0">
      <w:start w:val="8"/>
      <w:numFmt w:val="decimal"/>
      <w:lvlText w:val="%1"/>
      <w:lvlJc w:val="left"/>
      <w:pPr>
        <w:ind w:left="664" w:hanging="81"/>
        <w:jc w:val="right"/>
      </w:pPr>
      <w:rPr>
        <w:rFonts w:hint="default" w:ascii="Calibri" w:hAnsi="Calibri" w:eastAsia="Calibri" w:cs="Calibri"/>
        <w:w w:val="100"/>
        <w:sz w:val="12"/>
        <w:szCs w:val="12"/>
        <w:lang w:val="en-au" w:eastAsia="en-au" w:bidi="en-au"/>
      </w:rPr>
    </w:lvl>
    <w:lvl w:ilvl="1">
      <w:start w:val="1"/>
      <w:numFmt w:val="decimal"/>
      <w:lvlText w:val="%2."/>
      <w:lvlJc w:val="left"/>
      <w:pPr>
        <w:ind w:left="1620" w:hanging="361"/>
        <w:jc w:val="left"/>
      </w:pPr>
      <w:rPr>
        <w:rFonts w:hint="default" w:ascii="Arial" w:hAnsi="Arial" w:eastAsia="Arial" w:cs="Arial"/>
        <w:color w:val="DF2F1E"/>
        <w:spacing w:val="-1"/>
        <w:w w:val="100"/>
        <w:sz w:val="16"/>
        <w:szCs w:val="16"/>
        <w:lang w:val="en-au" w:eastAsia="en-au" w:bidi="en-au"/>
      </w:rPr>
    </w:lvl>
    <w:lvl w:ilvl="2">
      <w:start w:val="0"/>
      <w:numFmt w:val="bullet"/>
      <w:lvlText w:val="•"/>
      <w:lvlJc w:val="left"/>
      <w:pPr>
        <w:ind w:left="1620" w:hanging="361"/>
      </w:pPr>
      <w:rPr>
        <w:rFonts w:hint="default"/>
        <w:lang w:val="en-au" w:eastAsia="en-au" w:bidi="en-au"/>
      </w:rPr>
    </w:lvl>
    <w:lvl w:ilvl="3">
      <w:start w:val="0"/>
      <w:numFmt w:val="bullet"/>
      <w:lvlText w:val="•"/>
      <w:lvlJc w:val="left"/>
      <w:pPr>
        <w:ind w:left="1080" w:hanging="361"/>
      </w:pPr>
      <w:rPr>
        <w:rFonts w:hint="default"/>
        <w:lang w:val="en-au" w:eastAsia="en-au" w:bidi="en-au"/>
      </w:rPr>
    </w:lvl>
    <w:lvl w:ilvl="4">
      <w:start w:val="0"/>
      <w:numFmt w:val="bullet"/>
      <w:lvlText w:val="•"/>
      <w:lvlJc w:val="left"/>
      <w:pPr>
        <w:ind w:left="540" w:hanging="361"/>
      </w:pPr>
      <w:rPr>
        <w:rFonts w:hint="default"/>
        <w:lang w:val="en-au" w:eastAsia="en-au" w:bidi="en-au"/>
      </w:rPr>
    </w:lvl>
    <w:lvl w:ilvl="5">
      <w:start w:val="0"/>
      <w:numFmt w:val="bullet"/>
      <w:lvlText w:val="•"/>
      <w:lvlJc w:val="left"/>
      <w:pPr>
        <w:ind w:left="1" w:hanging="361"/>
      </w:pPr>
      <w:rPr>
        <w:rFonts w:hint="default"/>
        <w:lang w:val="en-au" w:eastAsia="en-au" w:bidi="en-au"/>
      </w:rPr>
    </w:lvl>
    <w:lvl w:ilvl="6">
      <w:start w:val="0"/>
      <w:numFmt w:val="bullet"/>
      <w:lvlText w:val="•"/>
      <w:lvlJc w:val="left"/>
      <w:pPr>
        <w:ind w:left="-539" w:hanging="361"/>
      </w:pPr>
      <w:rPr>
        <w:rFonts w:hint="default"/>
        <w:lang w:val="en-au" w:eastAsia="en-au" w:bidi="en-au"/>
      </w:rPr>
    </w:lvl>
    <w:lvl w:ilvl="7">
      <w:start w:val="0"/>
      <w:numFmt w:val="bullet"/>
      <w:lvlText w:val="•"/>
      <w:lvlJc w:val="left"/>
      <w:pPr>
        <w:ind w:left="-1079" w:hanging="361"/>
      </w:pPr>
      <w:rPr>
        <w:rFonts w:hint="default"/>
        <w:lang w:val="en-au" w:eastAsia="en-au" w:bidi="en-au"/>
      </w:rPr>
    </w:lvl>
    <w:lvl w:ilvl="8">
      <w:start w:val="0"/>
      <w:numFmt w:val="bullet"/>
      <w:lvlText w:val="•"/>
      <w:lvlJc w:val="left"/>
      <w:pPr>
        <w:ind w:left="-1618" w:hanging="361"/>
      </w:pPr>
      <w:rPr>
        <w:rFonts w:hint="default"/>
        <w:lang w:val="en-au" w:eastAsia="en-au" w:bidi="en-au"/>
      </w:rPr>
    </w:lvl>
  </w:abstractNum>
  <w:abstractNum w:abstractNumId="52">
    <w:multiLevelType w:val="hybridMultilevel"/>
    <w:lvl w:ilvl="0">
      <w:start w:val="0"/>
      <w:numFmt w:val="bullet"/>
      <w:lvlText w:val=""/>
      <w:lvlJc w:val="left"/>
      <w:pPr>
        <w:ind w:left="391" w:hanging="284"/>
      </w:pPr>
      <w:rPr>
        <w:rFonts w:hint="default" w:ascii="Symbol" w:hAnsi="Symbol" w:eastAsia="Symbol" w:cs="Symbol"/>
        <w:w w:val="99"/>
        <w:sz w:val="20"/>
        <w:szCs w:val="20"/>
        <w:lang w:val="en-au" w:eastAsia="en-au" w:bidi="en-au"/>
      </w:rPr>
    </w:lvl>
    <w:lvl w:ilvl="1">
      <w:start w:val="0"/>
      <w:numFmt w:val="bullet"/>
      <w:lvlText w:val="•"/>
      <w:lvlJc w:val="left"/>
      <w:pPr>
        <w:ind w:left="1346" w:hanging="284"/>
      </w:pPr>
      <w:rPr>
        <w:rFonts w:hint="default"/>
        <w:lang w:val="en-au" w:eastAsia="en-au" w:bidi="en-au"/>
      </w:rPr>
    </w:lvl>
    <w:lvl w:ilvl="2">
      <w:start w:val="0"/>
      <w:numFmt w:val="bullet"/>
      <w:lvlText w:val="•"/>
      <w:lvlJc w:val="left"/>
      <w:pPr>
        <w:ind w:left="2293" w:hanging="284"/>
      </w:pPr>
      <w:rPr>
        <w:rFonts w:hint="default"/>
        <w:lang w:val="en-au" w:eastAsia="en-au" w:bidi="en-au"/>
      </w:rPr>
    </w:lvl>
    <w:lvl w:ilvl="3">
      <w:start w:val="0"/>
      <w:numFmt w:val="bullet"/>
      <w:lvlText w:val="•"/>
      <w:lvlJc w:val="left"/>
      <w:pPr>
        <w:ind w:left="3239" w:hanging="284"/>
      </w:pPr>
      <w:rPr>
        <w:rFonts w:hint="default"/>
        <w:lang w:val="en-au" w:eastAsia="en-au" w:bidi="en-au"/>
      </w:rPr>
    </w:lvl>
    <w:lvl w:ilvl="4">
      <w:start w:val="0"/>
      <w:numFmt w:val="bullet"/>
      <w:lvlText w:val="•"/>
      <w:lvlJc w:val="left"/>
      <w:pPr>
        <w:ind w:left="4186" w:hanging="284"/>
      </w:pPr>
      <w:rPr>
        <w:rFonts w:hint="default"/>
        <w:lang w:val="en-au" w:eastAsia="en-au" w:bidi="en-au"/>
      </w:rPr>
    </w:lvl>
    <w:lvl w:ilvl="5">
      <w:start w:val="0"/>
      <w:numFmt w:val="bullet"/>
      <w:lvlText w:val="•"/>
      <w:lvlJc w:val="left"/>
      <w:pPr>
        <w:ind w:left="5133" w:hanging="284"/>
      </w:pPr>
      <w:rPr>
        <w:rFonts w:hint="default"/>
        <w:lang w:val="en-au" w:eastAsia="en-au" w:bidi="en-au"/>
      </w:rPr>
    </w:lvl>
    <w:lvl w:ilvl="6">
      <w:start w:val="0"/>
      <w:numFmt w:val="bullet"/>
      <w:lvlText w:val="•"/>
      <w:lvlJc w:val="left"/>
      <w:pPr>
        <w:ind w:left="6079" w:hanging="284"/>
      </w:pPr>
      <w:rPr>
        <w:rFonts w:hint="default"/>
        <w:lang w:val="en-au" w:eastAsia="en-au" w:bidi="en-au"/>
      </w:rPr>
    </w:lvl>
    <w:lvl w:ilvl="7">
      <w:start w:val="0"/>
      <w:numFmt w:val="bullet"/>
      <w:lvlText w:val="•"/>
      <w:lvlJc w:val="left"/>
      <w:pPr>
        <w:ind w:left="7026" w:hanging="284"/>
      </w:pPr>
      <w:rPr>
        <w:rFonts w:hint="default"/>
        <w:lang w:val="en-au" w:eastAsia="en-au" w:bidi="en-au"/>
      </w:rPr>
    </w:lvl>
    <w:lvl w:ilvl="8">
      <w:start w:val="0"/>
      <w:numFmt w:val="bullet"/>
      <w:lvlText w:val="•"/>
      <w:lvlJc w:val="left"/>
      <w:pPr>
        <w:ind w:left="7973" w:hanging="284"/>
      </w:pPr>
      <w:rPr>
        <w:rFonts w:hint="default"/>
        <w:lang w:val="en-au" w:eastAsia="en-au" w:bidi="en-au"/>
      </w:rPr>
    </w:lvl>
  </w:abstractNum>
  <w:abstractNum w:abstractNumId="51">
    <w:multiLevelType w:val="hybridMultilevel"/>
    <w:lvl w:ilvl="0">
      <w:start w:val="1"/>
      <w:numFmt w:val="decimal"/>
      <w:lvlText w:val="%1"/>
      <w:lvlJc w:val="left"/>
      <w:pPr>
        <w:ind w:left="1434" w:hanging="103"/>
        <w:jc w:val="left"/>
      </w:pPr>
      <w:rPr>
        <w:rFonts w:hint="default" w:ascii="Calibri" w:hAnsi="Calibri" w:eastAsia="Calibri" w:cs="Calibri"/>
        <w:w w:val="100"/>
        <w:sz w:val="14"/>
        <w:szCs w:val="14"/>
        <w:lang w:val="en-au" w:eastAsia="en-au" w:bidi="en-au"/>
      </w:rPr>
    </w:lvl>
    <w:lvl w:ilvl="1">
      <w:start w:val="0"/>
      <w:numFmt w:val="bullet"/>
      <w:lvlText w:val="•"/>
      <w:lvlJc w:val="left"/>
      <w:pPr>
        <w:ind w:left="1772" w:hanging="103"/>
      </w:pPr>
      <w:rPr>
        <w:rFonts w:hint="default"/>
        <w:lang w:val="en-au" w:eastAsia="en-au" w:bidi="en-au"/>
      </w:rPr>
    </w:lvl>
    <w:lvl w:ilvl="2">
      <w:start w:val="0"/>
      <w:numFmt w:val="bullet"/>
      <w:lvlText w:val="•"/>
      <w:lvlJc w:val="left"/>
      <w:pPr>
        <w:ind w:left="2104" w:hanging="103"/>
      </w:pPr>
      <w:rPr>
        <w:rFonts w:hint="default"/>
        <w:lang w:val="en-au" w:eastAsia="en-au" w:bidi="en-au"/>
      </w:rPr>
    </w:lvl>
    <w:lvl w:ilvl="3">
      <w:start w:val="0"/>
      <w:numFmt w:val="bullet"/>
      <w:lvlText w:val="•"/>
      <w:lvlJc w:val="left"/>
      <w:pPr>
        <w:ind w:left="2437" w:hanging="103"/>
      </w:pPr>
      <w:rPr>
        <w:rFonts w:hint="default"/>
        <w:lang w:val="en-au" w:eastAsia="en-au" w:bidi="en-au"/>
      </w:rPr>
    </w:lvl>
    <w:lvl w:ilvl="4">
      <w:start w:val="0"/>
      <w:numFmt w:val="bullet"/>
      <w:lvlText w:val="•"/>
      <w:lvlJc w:val="left"/>
      <w:pPr>
        <w:ind w:left="2769" w:hanging="103"/>
      </w:pPr>
      <w:rPr>
        <w:rFonts w:hint="default"/>
        <w:lang w:val="en-au" w:eastAsia="en-au" w:bidi="en-au"/>
      </w:rPr>
    </w:lvl>
    <w:lvl w:ilvl="5">
      <w:start w:val="0"/>
      <w:numFmt w:val="bullet"/>
      <w:lvlText w:val="•"/>
      <w:lvlJc w:val="left"/>
      <w:pPr>
        <w:ind w:left="3101" w:hanging="103"/>
      </w:pPr>
      <w:rPr>
        <w:rFonts w:hint="default"/>
        <w:lang w:val="en-au" w:eastAsia="en-au" w:bidi="en-au"/>
      </w:rPr>
    </w:lvl>
    <w:lvl w:ilvl="6">
      <w:start w:val="0"/>
      <w:numFmt w:val="bullet"/>
      <w:lvlText w:val="•"/>
      <w:lvlJc w:val="left"/>
      <w:pPr>
        <w:ind w:left="3434" w:hanging="103"/>
      </w:pPr>
      <w:rPr>
        <w:rFonts w:hint="default"/>
        <w:lang w:val="en-au" w:eastAsia="en-au" w:bidi="en-au"/>
      </w:rPr>
    </w:lvl>
    <w:lvl w:ilvl="7">
      <w:start w:val="0"/>
      <w:numFmt w:val="bullet"/>
      <w:lvlText w:val="•"/>
      <w:lvlJc w:val="left"/>
      <w:pPr>
        <w:ind w:left="3766" w:hanging="103"/>
      </w:pPr>
      <w:rPr>
        <w:rFonts w:hint="default"/>
        <w:lang w:val="en-au" w:eastAsia="en-au" w:bidi="en-au"/>
      </w:rPr>
    </w:lvl>
    <w:lvl w:ilvl="8">
      <w:start w:val="0"/>
      <w:numFmt w:val="bullet"/>
      <w:lvlText w:val="•"/>
      <w:lvlJc w:val="left"/>
      <w:pPr>
        <w:ind w:left="4098" w:hanging="103"/>
      </w:pPr>
      <w:rPr>
        <w:rFonts w:hint="default"/>
        <w:lang w:val="en-au" w:eastAsia="en-au" w:bidi="en-au"/>
      </w:rPr>
    </w:lvl>
  </w:abstractNum>
  <w:abstractNum w:abstractNumId="50">
    <w:multiLevelType w:val="hybridMultilevel"/>
    <w:lvl w:ilvl="0">
      <w:start w:val="1"/>
      <w:numFmt w:val="decimal"/>
      <w:lvlText w:val="%1."/>
      <w:lvlJc w:val="left"/>
      <w:pPr>
        <w:ind w:left="1620" w:hanging="361"/>
        <w:jc w:val="left"/>
      </w:pPr>
      <w:rPr>
        <w:rFonts w:hint="default" w:ascii="Arial" w:hAnsi="Arial" w:eastAsia="Arial" w:cs="Arial"/>
        <w:color w:val="DF2F1E"/>
        <w:spacing w:val="-1"/>
        <w:w w:val="100"/>
        <w:sz w:val="16"/>
        <w:szCs w:val="16"/>
        <w:lang w:val="en-au" w:eastAsia="en-au" w:bidi="en-au"/>
      </w:rPr>
    </w:lvl>
    <w:lvl w:ilvl="1">
      <w:start w:val="0"/>
      <w:numFmt w:val="bullet"/>
      <w:lvlText w:val="•"/>
      <w:lvlJc w:val="left"/>
      <w:pPr>
        <w:ind w:left="2636" w:hanging="361"/>
      </w:pPr>
      <w:rPr>
        <w:rFonts w:hint="default"/>
        <w:lang w:val="en-au" w:eastAsia="en-au" w:bidi="en-au"/>
      </w:rPr>
    </w:lvl>
    <w:lvl w:ilvl="2">
      <w:start w:val="0"/>
      <w:numFmt w:val="bullet"/>
      <w:lvlText w:val="•"/>
      <w:lvlJc w:val="left"/>
      <w:pPr>
        <w:ind w:left="3653" w:hanging="361"/>
      </w:pPr>
      <w:rPr>
        <w:rFonts w:hint="default"/>
        <w:lang w:val="en-au" w:eastAsia="en-au" w:bidi="en-au"/>
      </w:rPr>
    </w:lvl>
    <w:lvl w:ilvl="3">
      <w:start w:val="0"/>
      <w:numFmt w:val="bullet"/>
      <w:lvlText w:val="•"/>
      <w:lvlJc w:val="left"/>
      <w:pPr>
        <w:ind w:left="4669" w:hanging="361"/>
      </w:pPr>
      <w:rPr>
        <w:rFonts w:hint="default"/>
        <w:lang w:val="en-au" w:eastAsia="en-au" w:bidi="en-au"/>
      </w:rPr>
    </w:lvl>
    <w:lvl w:ilvl="4">
      <w:start w:val="0"/>
      <w:numFmt w:val="bullet"/>
      <w:lvlText w:val="•"/>
      <w:lvlJc w:val="left"/>
      <w:pPr>
        <w:ind w:left="5686" w:hanging="361"/>
      </w:pPr>
      <w:rPr>
        <w:rFonts w:hint="default"/>
        <w:lang w:val="en-au" w:eastAsia="en-au" w:bidi="en-au"/>
      </w:rPr>
    </w:lvl>
    <w:lvl w:ilvl="5">
      <w:start w:val="0"/>
      <w:numFmt w:val="bullet"/>
      <w:lvlText w:val="•"/>
      <w:lvlJc w:val="left"/>
      <w:pPr>
        <w:ind w:left="6703" w:hanging="361"/>
      </w:pPr>
      <w:rPr>
        <w:rFonts w:hint="default"/>
        <w:lang w:val="en-au" w:eastAsia="en-au" w:bidi="en-au"/>
      </w:rPr>
    </w:lvl>
    <w:lvl w:ilvl="6">
      <w:start w:val="0"/>
      <w:numFmt w:val="bullet"/>
      <w:lvlText w:val="•"/>
      <w:lvlJc w:val="left"/>
      <w:pPr>
        <w:ind w:left="7719" w:hanging="361"/>
      </w:pPr>
      <w:rPr>
        <w:rFonts w:hint="default"/>
        <w:lang w:val="en-au" w:eastAsia="en-au" w:bidi="en-au"/>
      </w:rPr>
    </w:lvl>
    <w:lvl w:ilvl="7">
      <w:start w:val="0"/>
      <w:numFmt w:val="bullet"/>
      <w:lvlText w:val="•"/>
      <w:lvlJc w:val="left"/>
      <w:pPr>
        <w:ind w:left="8736" w:hanging="361"/>
      </w:pPr>
      <w:rPr>
        <w:rFonts w:hint="default"/>
        <w:lang w:val="en-au" w:eastAsia="en-au" w:bidi="en-au"/>
      </w:rPr>
    </w:lvl>
    <w:lvl w:ilvl="8">
      <w:start w:val="0"/>
      <w:numFmt w:val="bullet"/>
      <w:lvlText w:val="•"/>
      <w:lvlJc w:val="left"/>
      <w:pPr>
        <w:ind w:left="9753" w:hanging="361"/>
      </w:pPr>
      <w:rPr>
        <w:rFonts w:hint="default"/>
        <w:lang w:val="en-au" w:eastAsia="en-au" w:bidi="en-au"/>
      </w:rPr>
    </w:lvl>
  </w:abstractNum>
  <w:abstractNum w:abstractNumId="49">
    <w:multiLevelType w:val="hybridMultilevel"/>
    <w:lvl w:ilvl="0">
      <w:start w:val="0"/>
      <w:numFmt w:val="bullet"/>
      <w:lvlText w:val=""/>
      <w:lvlJc w:val="left"/>
      <w:pPr>
        <w:ind w:left="1183" w:hanging="284"/>
      </w:pPr>
      <w:rPr>
        <w:rFonts w:hint="default" w:ascii="Symbol" w:hAnsi="Symbol" w:eastAsia="Symbol" w:cs="Symbol"/>
        <w:w w:val="99"/>
        <w:sz w:val="20"/>
        <w:szCs w:val="20"/>
        <w:lang w:val="en-au" w:eastAsia="en-au" w:bidi="en-au"/>
      </w:rPr>
    </w:lvl>
    <w:lvl w:ilvl="1">
      <w:start w:val="0"/>
      <w:numFmt w:val="bullet"/>
      <w:lvlText w:val="–"/>
      <w:lvlJc w:val="left"/>
      <w:pPr>
        <w:ind w:left="1468" w:hanging="284"/>
      </w:pPr>
      <w:rPr>
        <w:rFonts w:hint="default" w:ascii="Arial" w:hAnsi="Arial" w:eastAsia="Arial" w:cs="Arial"/>
        <w:w w:val="99"/>
        <w:sz w:val="20"/>
        <w:szCs w:val="20"/>
        <w:lang w:val="en-au" w:eastAsia="en-au" w:bidi="en-au"/>
      </w:rPr>
    </w:lvl>
    <w:lvl w:ilvl="2">
      <w:start w:val="0"/>
      <w:numFmt w:val="bullet"/>
      <w:lvlText w:val="•"/>
      <w:lvlJc w:val="left"/>
      <w:pPr>
        <w:ind w:left="2607" w:hanging="284"/>
      </w:pPr>
      <w:rPr>
        <w:rFonts w:hint="default"/>
        <w:lang w:val="en-au" w:eastAsia="en-au" w:bidi="en-au"/>
      </w:rPr>
    </w:lvl>
    <w:lvl w:ilvl="3">
      <w:start w:val="0"/>
      <w:numFmt w:val="bullet"/>
      <w:lvlText w:val="•"/>
      <w:lvlJc w:val="left"/>
      <w:pPr>
        <w:ind w:left="3754" w:hanging="284"/>
      </w:pPr>
      <w:rPr>
        <w:rFonts w:hint="default"/>
        <w:lang w:val="en-au" w:eastAsia="en-au" w:bidi="en-au"/>
      </w:rPr>
    </w:lvl>
    <w:lvl w:ilvl="4">
      <w:start w:val="0"/>
      <w:numFmt w:val="bullet"/>
      <w:lvlText w:val="•"/>
      <w:lvlJc w:val="left"/>
      <w:pPr>
        <w:ind w:left="4902" w:hanging="284"/>
      </w:pPr>
      <w:rPr>
        <w:rFonts w:hint="default"/>
        <w:lang w:val="en-au" w:eastAsia="en-au" w:bidi="en-au"/>
      </w:rPr>
    </w:lvl>
    <w:lvl w:ilvl="5">
      <w:start w:val="0"/>
      <w:numFmt w:val="bullet"/>
      <w:lvlText w:val="•"/>
      <w:lvlJc w:val="left"/>
      <w:pPr>
        <w:ind w:left="6049" w:hanging="284"/>
      </w:pPr>
      <w:rPr>
        <w:rFonts w:hint="default"/>
        <w:lang w:val="en-au" w:eastAsia="en-au" w:bidi="en-au"/>
      </w:rPr>
    </w:lvl>
    <w:lvl w:ilvl="6">
      <w:start w:val="0"/>
      <w:numFmt w:val="bullet"/>
      <w:lvlText w:val="•"/>
      <w:lvlJc w:val="left"/>
      <w:pPr>
        <w:ind w:left="7196" w:hanging="284"/>
      </w:pPr>
      <w:rPr>
        <w:rFonts w:hint="default"/>
        <w:lang w:val="en-au" w:eastAsia="en-au" w:bidi="en-au"/>
      </w:rPr>
    </w:lvl>
    <w:lvl w:ilvl="7">
      <w:start w:val="0"/>
      <w:numFmt w:val="bullet"/>
      <w:lvlText w:val="•"/>
      <w:lvlJc w:val="left"/>
      <w:pPr>
        <w:ind w:left="8344" w:hanging="284"/>
      </w:pPr>
      <w:rPr>
        <w:rFonts w:hint="default"/>
        <w:lang w:val="en-au" w:eastAsia="en-au" w:bidi="en-au"/>
      </w:rPr>
    </w:lvl>
    <w:lvl w:ilvl="8">
      <w:start w:val="0"/>
      <w:numFmt w:val="bullet"/>
      <w:lvlText w:val="•"/>
      <w:lvlJc w:val="left"/>
      <w:pPr>
        <w:ind w:left="9491" w:hanging="284"/>
      </w:pPr>
      <w:rPr>
        <w:rFonts w:hint="default"/>
        <w:lang w:val="en-au" w:eastAsia="en-au" w:bidi="en-au"/>
      </w:rPr>
    </w:lvl>
  </w:abstractNum>
  <w:abstractNum w:abstractNumId="48">
    <w:multiLevelType w:val="hybridMultilevel"/>
    <w:lvl w:ilvl="0">
      <w:start w:val="8"/>
      <w:numFmt w:val="decimal"/>
      <w:lvlText w:val="%1"/>
      <w:lvlJc w:val="left"/>
      <w:pPr>
        <w:ind w:left="664" w:hanging="81"/>
        <w:jc w:val="right"/>
      </w:pPr>
      <w:rPr>
        <w:rFonts w:hint="default" w:ascii="Calibri" w:hAnsi="Calibri" w:eastAsia="Calibri" w:cs="Calibri"/>
        <w:w w:val="100"/>
        <w:sz w:val="12"/>
        <w:szCs w:val="12"/>
        <w:lang w:val="en-au" w:eastAsia="en-au" w:bidi="en-au"/>
      </w:rPr>
    </w:lvl>
    <w:lvl w:ilvl="1">
      <w:start w:val="0"/>
      <w:numFmt w:val="bullet"/>
      <w:lvlText w:val="•"/>
      <w:lvlJc w:val="left"/>
      <w:pPr>
        <w:ind w:left="1260" w:hanging="81"/>
      </w:pPr>
      <w:rPr>
        <w:rFonts w:hint="default"/>
        <w:lang w:val="en-au" w:eastAsia="en-au" w:bidi="en-au"/>
      </w:rPr>
    </w:lvl>
    <w:lvl w:ilvl="2">
      <w:start w:val="0"/>
      <w:numFmt w:val="bullet"/>
      <w:lvlText w:val="•"/>
      <w:lvlJc w:val="left"/>
      <w:pPr>
        <w:ind w:left="762" w:hanging="81"/>
      </w:pPr>
      <w:rPr>
        <w:rFonts w:hint="default"/>
        <w:lang w:val="en-au" w:eastAsia="en-au" w:bidi="en-au"/>
      </w:rPr>
    </w:lvl>
    <w:lvl w:ilvl="3">
      <w:start w:val="0"/>
      <w:numFmt w:val="bullet"/>
      <w:lvlText w:val="•"/>
      <w:lvlJc w:val="left"/>
      <w:pPr>
        <w:ind w:left="264" w:hanging="81"/>
      </w:pPr>
      <w:rPr>
        <w:rFonts w:hint="default"/>
        <w:lang w:val="en-au" w:eastAsia="en-au" w:bidi="en-au"/>
      </w:rPr>
    </w:lvl>
    <w:lvl w:ilvl="4">
      <w:start w:val="0"/>
      <w:numFmt w:val="bullet"/>
      <w:lvlText w:val="•"/>
      <w:lvlJc w:val="left"/>
      <w:pPr>
        <w:ind w:left="-234" w:hanging="81"/>
      </w:pPr>
      <w:rPr>
        <w:rFonts w:hint="default"/>
        <w:lang w:val="en-au" w:eastAsia="en-au" w:bidi="en-au"/>
      </w:rPr>
    </w:lvl>
    <w:lvl w:ilvl="5">
      <w:start w:val="0"/>
      <w:numFmt w:val="bullet"/>
      <w:lvlText w:val="•"/>
      <w:lvlJc w:val="left"/>
      <w:pPr>
        <w:ind w:left="-732" w:hanging="81"/>
      </w:pPr>
      <w:rPr>
        <w:rFonts w:hint="default"/>
        <w:lang w:val="en-au" w:eastAsia="en-au" w:bidi="en-au"/>
      </w:rPr>
    </w:lvl>
    <w:lvl w:ilvl="6">
      <w:start w:val="0"/>
      <w:numFmt w:val="bullet"/>
      <w:lvlText w:val="•"/>
      <w:lvlJc w:val="left"/>
      <w:pPr>
        <w:ind w:left="-1230" w:hanging="81"/>
      </w:pPr>
      <w:rPr>
        <w:rFonts w:hint="default"/>
        <w:lang w:val="en-au" w:eastAsia="en-au" w:bidi="en-au"/>
      </w:rPr>
    </w:lvl>
    <w:lvl w:ilvl="7">
      <w:start w:val="0"/>
      <w:numFmt w:val="bullet"/>
      <w:lvlText w:val="•"/>
      <w:lvlJc w:val="left"/>
      <w:pPr>
        <w:ind w:left="-1728" w:hanging="81"/>
      </w:pPr>
      <w:rPr>
        <w:rFonts w:hint="default"/>
        <w:lang w:val="en-au" w:eastAsia="en-au" w:bidi="en-au"/>
      </w:rPr>
    </w:lvl>
    <w:lvl w:ilvl="8">
      <w:start w:val="0"/>
      <w:numFmt w:val="bullet"/>
      <w:lvlText w:val="•"/>
      <w:lvlJc w:val="left"/>
      <w:pPr>
        <w:ind w:left="-2226" w:hanging="81"/>
      </w:pPr>
      <w:rPr>
        <w:rFonts w:hint="default"/>
        <w:lang w:val="en-au" w:eastAsia="en-au" w:bidi="en-au"/>
      </w:rPr>
    </w:lvl>
  </w:abstractNum>
  <w:abstractNum w:abstractNumId="47">
    <w:multiLevelType w:val="hybridMultilevel"/>
    <w:lvl w:ilvl="0">
      <w:start w:val="0"/>
      <w:numFmt w:val="bullet"/>
      <w:lvlText w:val=""/>
      <w:lvlJc w:val="left"/>
      <w:pPr>
        <w:ind w:left="391" w:hanging="284"/>
      </w:pPr>
      <w:rPr>
        <w:rFonts w:hint="default" w:ascii="Symbol" w:hAnsi="Symbol" w:eastAsia="Symbol" w:cs="Symbol"/>
        <w:w w:val="99"/>
        <w:sz w:val="20"/>
        <w:szCs w:val="20"/>
        <w:lang w:val="en-au" w:eastAsia="en-au" w:bidi="en-au"/>
      </w:rPr>
    </w:lvl>
    <w:lvl w:ilvl="1">
      <w:start w:val="0"/>
      <w:numFmt w:val="bullet"/>
      <w:lvlText w:val="•"/>
      <w:lvlJc w:val="left"/>
      <w:pPr>
        <w:ind w:left="1346" w:hanging="284"/>
      </w:pPr>
      <w:rPr>
        <w:rFonts w:hint="default"/>
        <w:lang w:val="en-au" w:eastAsia="en-au" w:bidi="en-au"/>
      </w:rPr>
    </w:lvl>
    <w:lvl w:ilvl="2">
      <w:start w:val="0"/>
      <w:numFmt w:val="bullet"/>
      <w:lvlText w:val="•"/>
      <w:lvlJc w:val="left"/>
      <w:pPr>
        <w:ind w:left="2293" w:hanging="284"/>
      </w:pPr>
      <w:rPr>
        <w:rFonts w:hint="default"/>
        <w:lang w:val="en-au" w:eastAsia="en-au" w:bidi="en-au"/>
      </w:rPr>
    </w:lvl>
    <w:lvl w:ilvl="3">
      <w:start w:val="0"/>
      <w:numFmt w:val="bullet"/>
      <w:lvlText w:val="•"/>
      <w:lvlJc w:val="left"/>
      <w:pPr>
        <w:ind w:left="3239" w:hanging="284"/>
      </w:pPr>
      <w:rPr>
        <w:rFonts w:hint="default"/>
        <w:lang w:val="en-au" w:eastAsia="en-au" w:bidi="en-au"/>
      </w:rPr>
    </w:lvl>
    <w:lvl w:ilvl="4">
      <w:start w:val="0"/>
      <w:numFmt w:val="bullet"/>
      <w:lvlText w:val="•"/>
      <w:lvlJc w:val="left"/>
      <w:pPr>
        <w:ind w:left="4186" w:hanging="284"/>
      </w:pPr>
      <w:rPr>
        <w:rFonts w:hint="default"/>
        <w:lang w:val="en-au" w:eastAsia="en-au" w:bidi="en-au"/>
      </w:rPr>
    </w:lvl>
    <w:lvl w:ilvl="5">
      <w:start w:val="0"/>
      <w:numFmt w:val="bullet"/>
      <w:lvlText w:val="•"/>
      <w:lvlJc w:val="left"/>
      <w:pPr>
        <w:ind w:left="5133" w:hanging="284"/>
      </w:pPr>
      <w:rPr>
        <w:rFonts w:hint="default"/>
        <w:lang w:val="en-au" w:eastAsia="en-au" w:bidi="en-au"/>
      </w:rPr>
    </w:lvl>
    <w:lvl w:ilvl="6">
      <w:start w:val="0"/>
      <w:numFmt w:val="bullet"/>
      <w:lvlText w:val="•"/>
      <w:lvlJc w:val="left"/>
      <w:pPr>
        <w:ind w:left="6079" w:hanging="284"/>
      </w:pPr>
      <w:rPr>
        <w:rFonts w:hint="default"/>
        <w:lang w:val="en-au" w:eastAsia="en-au" w:bidi="en-au"/>
      </w:rPr>
    </w:lvl>
    <w:lvl w:ilvl="7">
      <w:start w:val="0"/>
      <w:numFmt w:val="bullet"/>
      <w:lvlText w:val="•"/>
      <w:lvlJc w:val="left"/>
      <w:pPr>
        <w:ind w:left="7026" w:hanging="284"/>
      </w:pPr>
      <w:rPr>
        <w:rFonts w:hint="default"/>
        <w:lang w:val="en-au" w:eastAsia="en-au" w:bidi="en-au"/>
      </w:rPr>
    </w:lvl>
    <w:lvl w:ilvl="8">
      <w:start w:val="0"/>
      <w:numFmt w:val="bullet"/>
      <w:lvlText w:val="•"/>
      <w:lvlJc w:val="left"/>
      <w:pPr>
        <w:ind w:left="7973" w:hanging="284"/>
      </w:pPr>
      <w:rPr>
        <w:rFonts w:hint="default"/>
        <w:lang w:val="en-au" w:eastAsia="en-au" w:bidi="en-au"/>
      </w:rPr>
    </w:lvl>
  </w:abstractNum>
  <w:abstractNum w:abstractNumId="46">
    <w:multiLevelType w:val="hybridMultilevel"/>
    <w:lvl w:ilvl="0">
      <w:start w:val="1"/>
      <w:numFmt w:val="decimal"/>
      <w:lvlText w:val="%1"/>
      <w:lvlJc w:val="left"/>
      <w:pPr>
        <w:ind w:left="1329" w:hanging="103"/>
        <w:jc w:val="left"/>
      </w:pPr>
      <w:rPr>
        <w:rFonts w:hint="default" w:ascii="Calibri" w:hAnsi="Calibri" w:eastAsia="Calibri" w:cs="Calibri"/>
        <w:w w:val="100"/>
        <w:sz w:val="14"/>
        <w:szCs w:val="14"/>
        <w:lang w:val="en-au" w:eastAsia="en-au" w:bidi="en-au"/>
      </w:rPr>
    </w:lvl>
    <w:lvl w:ilvl="1">
      <w:start w:val="0"/>
      <w:numFmt w:val="bullet"/>
      <w:lvlText w:val="•"/>
      <w:lvlJc w:val="left"/>
      <w:pPr>
        <w:ind w:left="1659" w:hanging="103"/>
      </w:pPr>
      <w:rPr>
        <w:rFonts w:hint="default"/>
        <w:lang w:val="en-au" w:eastAsia="en-au" w:bidi="en-au"/>
      </w:rPr>
    </w:lvl>
    <w:lvl w:ilvl="2">
      <w:start w:val="0"/>
      <w:numFmt w:val="bullet"/>
      <w:lvlText w:val="•"/>
      <w:lvlJc w:val="left"/>
      <w:pPr>
        <w:ind w:left="1999" w:hanging="103"/>
      </w:pPr>
      <w:rPr>
        <w:rFonts w:hint="default"/>
        <w:lang w:val="en-au" w:eastAsia="en-au" w:bidi="en-au"/>
      </w:rPr>
    </w:lvl>
    <w:lvl w:ilvl="3">
      <w:start w:val="0"/>
      <w:numFmt w:val="bullet"/>
      <w:lvlText w:val="•"/>
      <w:lvlJc w:val="left"/>
      <w:pPr>
        <w:ind w:left="2339" w:hanging="103"/>
      </w:pPr>
      <w:rPr>
        <w:rFonts w:hint="default"/>
        <w:lang w:val="en-au" w:eastAsia="en-au" w:bidi="en-au"/>
      </w:rPr>
    </w:lvl>
    <w:lvl w:ilvl="4">
      <w:start w:val="0"/>
      <w:numFmt w:val="bullet"/>
      <w:lvlText w:val="•"/>
      <w:lvlJc w:val="left"/>
      <w:pPr>
        <w:ind w:left="2679" w:hanging="103"/>
      </w:pPr>
      <w:rPr>
        <w:rFonts w:hint="default"/>
        <w:lang w:val="en-au" w:eastAsia="en-au" w:bidi="en-au"/>
      </w:rPr>
    </w:lvl>
    <w:lvl w:ilvl="5">
      <w:start w:val="0"/>
      <w:numFmt w:val="bullet"/>
      <w:lvlText w:val="•"/>
      <w:lvlJc w:val="left"/>
      <w:pPr>
        <w:ind w:left="3019" w:hanging="103"/>
      </w:pPr>
      <w:rPr>
        <w:rFonts w:hint="default"/>
        <w:lang w:val="en-au" w:eastAsia="en-au" w:bidi="en-au"/>
      </w:rPr>
    </w:lvl>
    <w:lvl w:ilvl="6">
      <w:start w:val="0"/>
      <w:numFmt w:val="bullet"/>
      <w:lvlText w:val="•"/>
      <w:lvlJc w:val="left"/>
      <w:pPr>
        <w:ind w:left="3359" w:hanging="103"/>
      </w:pPr>
      <w:rPr>
        <w:rFonts w:hint="default"/>
        <w:lang w:val="en-au" w:eastAsia="en-au" w:bidi="en-au"/>
      </w:rPr>
    </w:lvl>
    <w:lvl w:ilvl="7">
      <w:start w:val="0"/>
      <w:numFmt w:val="bullet"/>
      <w:lvlText w:val="•"/>
      <w:lvlJc w:val="left"/>
      <w:pPr>
        <w:ind w:left="3699" w:hanging="103"/>
      </w:pPr>
      <w:rPr>
        <w:rFonts w:hint="default"/>
        <w:lang w:val="en-au" w:eastAsia="en-au" w:bidi="en-au"/>
      </w:rPr>
    </w:lvl>
    <w:lvl w:ilvl="8">
      <w:start w:val="0"/>
      <w:numFmt w:val="bullet"/>
      <w:lvlText w:val="•"/>
      <w:lvlJc w:val="left"/>
      <w:pPr>
        <w:ind w:left="4039" w:hanging="103"/>
      </w:pPr>
      <w:rPr>
        <w:rFonts w:hint="default"/>
        <w:lang w:val="en-au" w:eastAsia="en-au" w:bidi="en-au"/>
      </w:rPr>
    </w:lvl>
  </w:abstractNum>
  <w:abstractNum w:abstractNumId="45">
    <w:multiLevelType w:val="hybridMultilevel"/>
    <w:lvl w:ilvl="0">
      <w:start w:val="1"/>
      <w:numFmt w:val="decimal"/>
      <w:lvlText w:val="%1."/>
      <w:lvlJc w:val="left"/>
      <w:pPr>
        <w:ind w:left="1620" w:hanging="361"/>
        <w:jc w:val="left"/>
      </w:pPr>
      <w:rPr>
        <w:rFonts w:hint="default" w:ascii="Arial" w:hAnsi="Arial" w:eastAsia="Arial" w:cs="Arial"/>
        <w:color w:val="DF2F1E"/>
        <w:spacing w:val="-1"/>
        <w:w w:val="100"/>
        <w:sz w:val="16"/>
        <w:szCs w:val="16"/>
        <w:lang w:val="en-au" w:eastAsia="en-au" w:bidi="en-au"/>
      </w:rPr>
    </w:lvl>
    <w:lvl w:ilvl="1">
      <w:start w:val="0"/>
      <w:numFmt w:val="bullet"/>
      <w:lvlText w:val="•"/>
      <w:lvlJc w:val="left"/>
      <w:pPr>
        <w:ind w:left="2636" w:hanging="361"/>
      </w:pPr>
      <w:rPr>
        <w:rFonts w:hint="default"/>
        <w:lang w:val="en-au" w:eastAsia="en-au" w:bidi="en-au"/>
      </w:rPr>
    </w:lvl>
    <w:lvl w:ilvl="2">
      <w:start w:val="0"/>
      <w:numFmt w:val="bullet"/>
      <w:lvlText w:val="•"/>
      <w:lvlJc w:val="left"/>
      <w:pPr>
        <w:ind w:left="3653" w:hanging="361"/>
      </w:pPr>
      <w:rPr>
        <w:rFonts w:hint="default"/>
        <w:lang w:val="en-au" w:eastAsia="en-au" w:bidi="en-au"/>
      </w:rPr>
    </w:lvl>
    <w:lvl w:ilvl="3">
      <w:start w:val="0"/>
      <w:numFmt w:val="bullet"/>
      <w:lvlText w:val="•"/>
      <w:lvlJc w:val="left"/>
      <w:pPr>
        <w:ind w:left="4669" w:hanging="361"/>
      </w:pPr>
      <w:rPr>
        <w:rFonts w:hint="default"/>
        <w:lang w:val="en-au" w:eastAsia="en-au" w:bidi="en-au"/>
      </w:rPr>
    </w:lvl>
    <w:lvl w:ilvl="4">
      <w:start w:val="0"/>
      <w:numFmt w:val="bullet"/>
      <w:lvlText w:val="•"/>
      <w:lvlJc w:val="left"/>
      <w:pPr>
        <w:ind w:left="5686" w:hanging="361"/>
      </w:pPr>
      <w:rPr>
        <w:rFonts w:hint="default"/>
        <w:lang w:val="en-au" w:eastAsia="en-au" w:bidi="en-au"/>
      </w:rPr>
    </w:lvl>
    <w:lvl w:ilvl="5">
      <w:start w:val="0"/>
      <w:numFmt w:val="bullet"/>
      <w:lvlText w:val="•"/>
      <w:lvlJc w:val="left"/>
      <w:pPr>
        <w:ind w:left="6703" w:hanging="361"/>
      </w:pPr>
      <w:rPr>
        <w:rFonts w:hint="default"/>
        <w:lang w:val="en-au" w:eastAsia="en-au" w:bidi="en-au"/>
      </w:rPr>
    </w:lvl>
    <w:lvl w:ilvl="6">
      <w:start w:val="0"/>
      <w:numFmt w:val="bullet"/>
      <w:lvlText w:val="•"/>
      <w:lvlJc w:val="left"/>
      <w:pPr>
        <w:ind w:left="7719" w:hanging="361"/>
      </w:pPr>
      <w:rPr>
        <w:rFonts w:hint="default"/>
        <w:lang w:val="en-au" w:eastAsia="en-au" w:bidi="en-au"/>
      </w:rPr>
    </w:lvl>
    <w:lvl w:ilvl="7">
      <w:start w:val="0"/>
      <w:numFmt w:val="bullet"/>
      <w:lvlText w:val="•"/>
      <w:lvlJc w:val="left"/>
      <w:pPr>
        <w:ind w:left="8736" w:hanging="361"/>
      </w:pPr>
      <w:rPr>
        <w:rFonts w:hint="default"/>
        <w:lang w:val="en-au" w:eastAsia="en-au" w:bidi="en-au"/>
      </w:rPr>
    </w:lvl>
    <w:lvl w:ilvl="8">
      <w:start w:val="0"/>
      <w:numFmt w:val="bullet"/>
      <w:lvlText w:val="•"/>
      <w:lvlJc w:val="left"/>
      <w:pPr>
        <w:ind w:left="9753" w:hanging="361"/>
      </w:pPr>
      <w:rPr>
        <w:rFonts w:hint="default"/>
        <w:lang w:val="en-au" w:eastAsia="en-au" w:bidi="en-au"/>
      </w:rPr>
    </w:lvl>
  </w:abstractNum>
  <w:abstractNum w:abstractNumId="44">
    <w:multiLevelType w:val="hybridMultilevel"/>
    <w:lvl w:ilvl="0">
      <w:start w:val="0"/>
      <w:numFmt w:val="bullet"/>
      <w:lvlText w:val=""/>
      <w:lvlJc w:val="left"/>
      <w:pPr>
        <w:ind w:left="1183" w:hanging="284"/>
      </w:pPr>
      <w:rPr>
        <w:rFonts w:hint="default" w:ascii="Symbol" w:hAnsi="Symbol" w:eastAsia="Symbol" w:cs="Symbol"/>
        <w:w w:val="99"/>
        <w:sz w:val="20"/>
        <w:szCs w:val="20"/>
        <w:lang w:val="en-au" w:eastAsia="en-au" w:bidi="en-au"/>
      </w:rPr>
    </w:lvl>
    <w:lvl w:ilvl="1">
      <w:start w:val="0"/>
      <w:numFmt w:val="bullet"/>
      <w:lvlText w:val="•"/>
      <w:lvlJc w:val="left"/>
      <w:pPr>
        <w:ind w:left="2240" w:hanging="284"/>
      </w:pPr>
      <w:rPr>
        <w:rFonts w:hint="default"/>
        <w:lang w:val="en-au" w:eastAsia="en-au" w:bidi="en-au"/>
      </w:rPr>
    </w:lvl>
    <w:lvl w:ilvl="2">
      <w:start w:val="0"/>
      <w:numFmt w:val="bullet"/>
      <w:lvlText w:val="•"/>
      <w:lvlJc w:val="left"/>
      <w:pPr>
        <w:ind w:left="3301" w:hanging="284"/>
      </w:pPr>
      <w:rPr>
        <w:rFonts w:hint="default"/>
        <w:lang w:val="en-au" w:eastAsia="en-au" w:bidi="en-au"/>
      </w:rPr>
    </w:lvl>
    <w:lvl w:ilvl="3">
      <w:start w:val="0"/>
      <w:numFmt w:val="bullet"/>
      <w:lvlText w:val="•"/>
      <w:lvlJc w:val="left"/>
      <w:pPr>
        <w:ind w:left="4361" w:hanging="284"/>
      </w:pPr>
      <w:rPr>
        <w:rFonts w:hint="default"/>
        <w:lang w:val="en-au" w:eastAsia="en-au" w:bidi="en-au"/>
      </w:rPr>
    </w:lvl>
    <w:lvl w:ilvl="4">
      <w:start w:val="0"/>
      <w:numFmt w:val="bullet"/>
      <w:lvlText w:val="•"/>
      <w:lvlJc w:val="left"/>
      <w:pPr>
        <w:ind w:left="5422" w:hanging="284"/>
      </w:pPr>
      <w:rPr>
        <w:rFonts w:hint="default"/>
        <w:lang w:val="en-au" w:eastAsia="en-au" w:bidi="en-au"/>
      </w:rPr>
    </w:lvl>
    <w:lvl w:ilvl="5">
      <w:start w:val="0"/>
      <w:numFmt w:val="bullet"/>
      <w:lvlText w:val="•"/>
      <w:lvlJc w:val="left"/>
      <w:pPr>
        <w:ind w:left="6483" w:hanging="284"/>
      </w:pPr>
      <w:rPr>
        <w:rFonts w:hint="default"/>
        <w:lang w:val="en-au" w:eastAsia="en-au" w:bidi="en-au"/>
      </w:rPr>
    </w:lvl>
    <w:lvl w:ilvl="6">
      <w:start w:val="0"/>
      <w:numFmt w:val="bullet"/>
      <w:lvlText w:val="•"/>
      <w:lvlJc w:val="left"/>
      <w:pPr>
        <w:ind w:left="7543" w:hanging="284"/>
      </w:pPr>
      <w:rPr>
        <w:rFonts w:hint="default"/>
        <w:lang w:val="en-au" w:eastAsia="en-au" w:bidi="en-au"/>
      </w:rPr>
    </w:lvl>
    <w:lvl w:ilvl="7">
      <w:start w:val="0"/>
      <w:numFmt w:val="bullet"/>
      <w:lvlText w:val="•"/>
      <w:lvlJc w:val="left"/>
      <w:pPr>
        <w:ind w:left="8604" w:hanging="284"/>
      </w:pPr>
      <w:rPr>
        <w:rFonts w:hint="default"/>
        <w:lang w:val="en-au" w:eastAsia="en-au" w:bidi="en-au"/>
      </w:rPr>
    </w:lvl>
    <w:lvl w:ilvl="8">
      <w:start w:val="0"/>
      <w:numFmt w:val="bullet"/>
      <w:lvlText w:val="•"/>
      <w:lvlJc w:val="left"/>
      <w:pPr>
        <w:ind w:left="9665" w:hanging="284"/>
      </w:pPr>
      <w:rPr>
        <w:rFonts w:hint="default"/>
        <w:lang w:val="en-au" w:eastAsia="en-au" w:bidi="en-au"/>
      </w:rPr>
    </w:lvl>
  </w:abstractNum>
  <w:abstractNum w:abstractNumId="43">
    <w:multiLevelType w:val="hybridMultilevel"/>
    <w:lvl w:ilvl="0">
      <w:start w:val="8"/>
      <w:numFmt w:val="decimal"/>
      <w:lvlText w:val="%1"/>
      <w:lvlJc w:val="left"/>
      <w:pPr>
        <w:ind w:left="664" w:hanging="81"/>
        <w:jc w:val="right"/>
      </w:pPr>
      <w:rPr>
        <w:rFonts w:hint="default" w:ascii="Calibri" w:hAnsi="Calibri" w:eastAsia="Calibri" w:cs="Calibri"/>
        <w:w w:val="100"/>
        <w:sz w:val="12"/>
        <w:szCs w:val="12"/>
        <w:lang w:val="en-au" w:eastAsia="en-au" w:bidi="en-au"/>
      </w:rPr>
    </w:lvl>
    <w:lvl w:ilvl="1">
      <w:start w:val="0"/>
      <w:numFmt w:val="bullet"/>
      <w:lvlText w:val="•"/>
      <w:lvlJc w:val="left"/>
      <w:pPr>
        <w:ind w:left="1260" w:hanging="81"/>
      </w:pPr>
      <w:rPr>
        <w:rFonts w:hint="default"/>
        <w:lang w:val="en-au" w:eastAsia="en-au" w:bidi="en-au"/>
      </w:rPr>
    </w:lvl>
    <w:lvl w:ilvl="2">
      <w:start w:val="0"/>
      <w:numFmt w:val="bullet"/>
      <w:lvlText w:val="•"/>
      <w:lvlJc w:val="left"/>
      <w:pPr>
        <w:ind w:left="826" w:hanging="81"/>
      </w:pPr>
      <w:rPr>
        <w:rFonts w:hint="default"/>
        <w:lang w:val="en-au" w:eastAsia="en-au" w:bidi="en-au"/>
      </w:rPr>
    </w:lvl>
    <w:lvl w:ilvl="3">
      <w:start w:val="0"/>
      <w:numFmt w:val="bullet"/>
      <w:lvlText w:val="•"/>
      <w:lvlJc w:val="left"/>
      <w:pPr>
        <w:ind w:left="392" w:hanging="81"/>
      </w:pPr>
      <w:rPr>
        <w:rFonts w:hint="default"/>
        <w:lang w:val="en-au" w:eastAsia="en-au" w:bidi="en-au"/>
      </w:rPr>
    </w:lvl>
    <w:lvl w:ilvl="4">
      <w:start w:val="0"/>
      <w:numFmt w:val="bullet"/>
      <w:lvlText w:val="•"/>
      <w:lvlJc w:val="left"/>
      <w:pPr>
        <w:ind w:left="-42" w:hanging="81"/>
      </w:pPr>
      <w:rPr>
        <w:rFonts w:hint="default"/>
        <w:lang w:val="en-au" w:eastAsia="en-au" w:bidi="en-au"/>
      </w:rPr>
    </w:lvl>
    <w:lvl w:ilvl="5">
      <w:start w:val="0"/>
      <w:numFmt w:val="bullet"/>
      <w:lvlText w:val="•"/>
      <w:lvlJc w:val="left"/>
      <w:pPr>
        <w:ind w:left="-475" w:hanging="81"/>
      </w:pPr>
      <w:rPr>
        <w:rFonts w:hint="default"/>
        <w:lang w:val="en-au" w:eastAsia="en-au" w:bidi="en-au"/>
      </w:rPr>
    </w:lvl>
    <w:lvl w:ilvl="6">
      <w:start w:val="0"/>
      <w:numFmt w:val="bullet"/>
      <w:lvlText w:val="•"/>
      <w:lvlJc w:val="left"/>
      <w:pPr>
        <w:ind w:left="-909" w:hanging="81"/>
      </w:pPr>
      <w:rPr>
        <w:rFonts w:hint="default"/>
        <w:lang w:val="en-au" w:eastAsia="en-au" w:bidi="en-au"/>
      </w:rPr>
    </w:lvl>
    <w:lvl w:ilvl="7">
      <w:start w:val="0"/>
      <w:numFmt w:val="bullet"/>
      <w:lvlText w:val="•"/>
      <w:lvlJc w:val="left"/>
      <w:pPr>
        <w:ind w:left="-1343" w:hanging="81"/>
      </w:pPr>
      <w:rPr>
        <w:rFonts w:hint="default"/>
        <w:lang w:val="en-au" w:eastAsia="en-au" w:bidi="en-au"/>
      </w:rPr>
    </w:lvl>
    <w:lvl w:ilvl="8">
      <w:start w:val="0"/>
      <w:numFmt w:val="bullet"/>
      <w:lvlText w:val="•"/>
      <w:lvlJc w:val="left"/>
      <w:pPr>
        <w:ind w:left="-1777" w:hanging="81"/>
      </w:pPr>
      <w:rPr>
        <w:rFonts w:hint="default"/>
        <w:lang w:val="en-au" w:eastAsia="en-au" w:bidi="en-au"/>
      </w:rPr>
    </w:lvl>
  </w:abstractNum>
  <w:abstractNum w:abstractNumId="42">
    <w:multiLevelType w:val="hybridMultilevel"/>
    <w:lvl w:ilvl="0">
      <w:start w:val="0"/>
      <w:numFmt w:val="bullet"/>
      <w:lvlText w:val=""/>
      <w:lvlJc w:val="left"/>
      <w:pPr>
        <w:ind w:left="391" w:hanging="284"/>
      </w:pPr>
      <w:rPr>
        <w:rFonts w:hint="default" w:ascii="Symbol" w:hAnsi="Symbol" w:eastAsia="Symbol" w:cs="Symbol"/>
        <w:color w:val="404040"/>
        <w:w w:val="99"/>
        <w:sz w:val="20"/>
        <w:szCs w:val="20"/>
        <w:lang w:val="en-au" w:eastAsia="en-au" w:bidi="en-au"/>
      </w:rPr>
    </w:lvl>
    <w:lvl w:ilvl="1">
      <w:start w:val="0"/>
      <w:numFmt w:val="bullet"/>
      <w:lvlText w:val="•"/>
      <w:lvlJc w:val="left"/>
      <w:pPr>
        <w:ind w:left="1300" w:hanging="284"/>
      </w:pPr>
      <w:rPr>
        <w:rFonts w:hint="default"/>
        <w:lang w:val="en-au" w:eastAsia="en-au" w:bidi="en-au"/>
      </w:rPr>
    </w:lvl>
    <w:lvl w:ilvl="2">
      <w:start w:val="0"/>
      <w:numFmt w:val="bullet"/>
      <w:lvlText w:val="•"/>
      <w:lvlJc w:val="left"/>
      <w:pPr>
        <w:ind w:left="2200" w:hanging="284"/>
      </w:pPr>
      <w:rPr>
        <w:rFonts w:hint="default"/>
        <w:lang w:val="en-au" w:eastAsia="en-au" w:bidi="en-au"/>
      </w:rPr>
    </w:lvl>
    <w:lvl w:ilvl="3">
      <w:start w:val="0"/>
      <w:numFmt w:val="bullet"/>
      <w:lvlText w:val="•"/>
      <w:lvlJc w:val="left"/>
      <w:pPr>
        <w:ind w:left="3100" w:hanging="284"/>
      </w:pPr>
      <w:rPr>
        <w:rFonts w:hint="default"/>
        <w:lang w:val="en-au" w:eastAsia="en-au" w:bidi="en-au"/>
      </w:rPr>
    </w:lvl>
    <w:lvl w:ilvl="4">
      <w:start w:val="0"/>
      <w:numFmt w:val="bullet"/>
      <w:lvlText w:val="•"/>
      <w:lvlJc w:val="left"/>
      <w:pPr>
        <w:ind w:left="4001" w:hanging="284"/>
      </w:pPr>
      <w:rPr>
        <w:rFonts w:hint="default"/>
        <w:lang w:val="en-au" w:eastAsia="en-au" w:bidi="en-au"/>
      </w:rPr>
    </w:lvl>
    <w:lvl w:ilvl="5">
      <w:start w:val="0"/>
      <w:numFmt w:val="bullet"/>
      <w:lvlText w:val="•"/>
      <w:lvlJc w:val="left"/>
      <w:pPr>
        <w:ind w:left="4901" w:hanging="284"/>
      </w:pPr>
      <w:rPr>
        <w:rFonts w:hint="default"/>
        <w:lang w:val="en-au" w:eastAsia="en-au" w:bidi="en-au"/>
      </w:rPr>
    </w:lvl>
    <w:lvl w:ilvl="6">
      <w:start w:val="0"/>
      <w:numFmt w:val="bullet"/>
      <w:lvlText w:val="•"/>
      <w:lvlJc w:val="left"/>
      <w:pPr>
        <w:ind w:left="5801" w:hanging="284"/>
      </w:pPr>
      <w:rPr>
        <w:rFonts w:hint="default"/>
        <w:lang w:val="en-au" w:eastAsia="en-au" w:bidi="en-au"/>
      </w:rPr>
    </w:lvl>
    <w:lvl w:ilvl="7">
      <w:start w:val="0"/>
      <w:numFmt w:val="bullet"/>
      <w:lvlText w:val="•"/>
      <w:lvlJc w:val="left"/>
      <w:pPr>
        <w:ind w:left="6702" w:hanging="284"/>
      </w:pPr>
      <w:rPr>
        <w:rFonts w:hint="default"/>
        <w:lang w:val="en-au" w:eastAsia="en-au" w:bidi="en-au"/>
      </w:rPr>
    </w:lvl>
    <w:lvl w:ilvl="8">
      <w:start w:val="0"/>
      <w:numFmt w:val="bullet"/>
      <w:lvlText w:val="•"/>
      <w:lvlJc w:val="left"/>
      <w:pPr>
        <w:ind w:left="7602" w:hanging="284"/>
      </w:pPr>
      <w:rPr>
        <w:rFonts w:hint="default"/>
        <w:lang w:val="en-au" w:eastAsia="en-au" w:bidi="en-au"/>
      </w:rPr>
    </w:lvl>
  </w:abstractNum>
  <w:abstractNum w:abstractNumId="41">
    <w:multiLevelType w:val="hybridMultilevel"/>
    <w:lvl w:ilvl="0">
      <w:start w:val="0"/>
      <w:numFmt w:val="bullet"/>
      <w:lvlText w:val=""/>
      <w:lvlJc w:val="left"/>
      <w:pPr>
        <w:ind w:left="1183" w:hanging="284"/>
      </w:pPr>
      <w:rPr>
        <w:rFonts w:hint="default"/>
        <w:w w:val="99"/>
        <w:lang w:val="en-au" w:eastAsia="en-au" w:bidi="en-au"/>
      </w:rPr>
    </w:lvl>
    <w:lvl w:ilvl="1">
      <w:start w:val="0"/>
      <w:numFmt w:val="bullet"/>
      <w:lvlText w:val="•"/>
      <w:lvlJc w:val="left"/>
      <w:pPr>
        <w:ind w:left="2240" w:hanging="284"/>
      </w:pPr>
      <w:rPr>
        <w:rFonts w:hint="default"/>
        <w:lang w:val="en-au" w:eastAsia="en-au" w:bidi="en-au"/>
      </w:rPr>
    </w:lvl>
    <w:lvl w:ilvl="2">
      <w:start w:val="0"/>
      <w:numFmt w:val="bullet"/>
      <w:lvlText w:val="•"/>
      <w:lvlJc w:val="left"/>
      <w:pPr>
        <w:ind w:left="3301" w:hanging="284"/>
      </w:pPr>
      <w:rPr>
        <w:rFonts w:hint="default"/>
        <w:lang w:val="en-au" w:eastAsia="en-au" w:bidi="en-au"/>
      </w:rPr>
    </w:lvl>
    <w:lvl w:ilvl="3">
      <w:start w:val="0"/>
      <w:numFmt w:val="bullet"/>
      <w:lvlText w:val="•"/>
      <w:lvlJc w:val="left"/>
      <w:pPr>
        <w:ind w:left="4361" w:hanging="284"/>
      </w:pPr>
      <w:rPr>
        <w:rFonts w:hint="default"/>
        <w:lang w:val="en-au" w:eastAsia="en-au" w:bidi="en-au"/>
      </w:rPr>
    </w:lvl>
    <w:lvl w:ilvl="4">
      <w:start w:val="0"/>
      <w:numFmt w:val="bullet"/>
      <w:lvlText w:val="•"/>
      <w:lvlJc w:val="left"/>
      <w:pPr>
        <w:ind w:left="5422" w:hanging="284"/>
      </w:pPr>
      <w:rPr>
        <w:rFonts w:hint="default"/>
        <w:lang w:val="en-au" w:eastAsia="en-au" w:bidi="en-au"/>
      </w:rPr>
    </w:lvl>
    <w:lvl w:ilvl="5">
      <w:start w:val="0"/>
      <w:numFmt w:val="bullet"/>
      <w:lvlText w:val="•"/>
      <w:lvlJc w:val="left"/>
      <w:pPr>
        <w:ind w:left="6483" w:hanging="284"/>
      </w:pPr>
      <w:rPr>
        <w:rFonts w:hint="default"/>
        <w:lang w:val="en-au" w:eastAsia="en-au" w:bidi="en-au"/>
      </w:rPr>
    </w:lvl>
    <w:lvl w:ilvl="6">
      <w:start w:val="0"/>
      <w:numFmt w:val="bullet"/>
      <w:lvlText w:val="•"/>
      <w:lvlJc w:val="left"/>
      <w:pPr>
        <w:ind w:left="7543" w:hanging="284"/>
      </w:pPr>
      <w:rPr>
        <w:rFonts w:hint="default"/>
        <w:lang w:val="en-au" w:eastAsia="en-au" w:bidi="en-au"/>
      </w:rPr>
    </w:lvl>
    <w:lvl w:ilvl="7">
      <w:start w:val="0"/>
      <w:numFmt w:val="bullet"/>
      <w:lvlText w:val="•"/>
      <w:lvlJc w:val="left"/>
      <w:pPr>
        <w:ind w:left="8604" w:hanging="284"/>
      </w:pPr>
      <w:rPr>
        <w:rFonts w:hint="default"/>
        <w:lang w:val="en-au" w:eastAsia="en-au" w:bidi="en-au"/>
      </w:rPr>
    </w:lvl>
    <w:lvl w:ilvl="8">
      <w:start w:val="0"/>
      <w:numFmt w:val="bullet"/>
      <w:lvlText w:val="•"/>
      <w:lvlJc w:val="left"/>
      <w:pPr>
        <w:ind w:left="9665" w:hanging="284"/>
      </w:pPr>
      <w:rPr>
        <w:rFonts w:hint="default"/>
        <w:lang w:val="en-au" w:eastAsia="en-au" w:bidi="en-au"/>
      </w:rPr>
    </w:lvl>
  </w:abstractNum>
  <w:abstractNum w:abstractNumId="40">
    <w:multiLevelType w:val="hybridMultilevel"/>
    <w:lvl w:ilvl="0">
      <w:start w:val="8"/>
      <w:numFmt w:val="decimal"/>
      <w:lvlText w:val="%1"/>
      <w:lvlJc w:val="left"/>
      <w:pPr>
        <w:ind w:left="664" w:hanging="81"/>
        <w:jc w:val="right"/>
      </w:pPr>
      <w:rPr>
        <w:rFonts w:hint="default" w:ascii="Calibri" w:hAnsi="Calibri" w:eastAsia="Calibri" w:cs="Calibri"/>
        <w:w w:val="100"/>
        <w:sz w:val="12"/>
        <w:szCs w:val="12"/>
        <w:lang w:val="en-au" w:eastAsia="en-au" w:bidi="en-au"/>
      </w:rPr>
    </w:lvl>
    <w:lvl w:ilvl="1">
      <w:start w:val="1"/>
      <w:numFmt w:val="decimal"/>
      <w:lvlText w:val="%2."/>
      <w:lvlJc w:val="left"/>
      <w:pPr>
        <w:ind w:left="1620" w:hanging="361"/>
        <w:jc w:val="left"/>
      </w:pPr>
      <w:rPr>
        <w:rFonts w:hint="default" w:ascii="Arial" w:hAnsi="Arial" w:eastAsia="Arial" w:cs="Arial"/>
        <w:color w:val="DF2F1E"/>
        <w:spacing w:val="-1"/>
        <w:w w:val="100"/>
        <w:sz w:val="16"/>
        <w:szCs w:val="16"/>
        <w:lang w:val="en-au" w:eastAsia="en-au" w:bidi="en-au"/>
      </w:rPr>
    </w:lvl>
    <w:lvl w:ilvl="2">
      <w:start w:val="1"/>
      <w:numFmt w:val="decimal"/>
      <w:lvlText w:val="%3"/>
      <w:lvlJc w:val="left"/>
      <w:pPr>
        <w:ind w:left="1608" w:hanging="103"/>
        <w:jc w:val="left"/>
      </w:pPr>
      <w:rPr>
        <w:rFonts w:hint="default" w:ascii="Calibri" w:hAnsi="Calibri" w:eastAsia="Calibri" w:cs="Calibri"/>
        <w:w w:val="100"/>
        <w:sz w:val="14"/>
        <w:szCs w:val="14"/>
        <w:lang w:val="en-au" w:eastAsia="en-au" w:bidi="en-au"/>
      </w:rPr>
    </w:lvl>
    <w:lvl w:ilvl="3">
      <w:start w:val="0"/>
      <w:numFmt w:val="bullet"/>
      <w:lvlText w:val="•"/>
      <w:lvlJc w:val="left"/>
      <w:pPr>
        <w:ind w:left="1620" w:hanging="103"/>
      </w:pPr>
      <w:rPr>
        <w:rFonts w:hint="default"/>
        <w:lang w:val="en-au" w:eastAsia="en-au" w:bidi="en-au"/>
      </w:rPr>
    </w:lvl>
    <w:lvl w:ilvl="4">
      <w:start w:val="0"/>
      <w:numFmt w:val="bullet"/>
      <w:lvlText w:val="•"/>
      <w:lvlJc w:val="left"/>
      <w:pPr>
        <w:ind w:left="968" w:hanging="103"/>
      </w:pPr>
      <w:rPr>
        <w:rFonts w:hint="default"/>
        <w:lang w:val="en-au" w:eastAsia="en-au" w:bidi="en-au"/>
      </w:rPr>
    </w:lvl>
    <w:lvl w:ilvl="5">
      <w:start w:val="0"/>
      <w:numFmt w:val="bullet"/>
      <w:lvlText w:val="•"/>
      <w:lvlJc w:val="left"/>
      <w:pPr>
        <w:ind w:left="316" w:hanging="103"/>
      </w:pPr>
      <w:rPr>
        <w:rFonts w:hint="default"/>
        <w:lang w:val="en-au" w:eastAsia="en-au" w:bidi="en-au"/>
      </w:rPr>
    </w:lvl>
    <w:lvl w:ilvl="6">
      <w:start w:val="0"/>
      <w:numFmt w:val="bullet"/>
      <w:lvlText w:val="•"/>
      <w:lvlJc w:val="left"/>
      <w:pPr>
        <w:ind w:left="-336" w:hanging="103"/>
      </w:pPr>
      <w:rPr>
        <w:rFonts w:hint="default"/>
        <w:lang w:val="en-au" w:eastAsia="en-au" w:bidi="en-au"/>
      </w:rPr>
    </w:lvl>
    <w:lvl w:ilvl="7">
      <w:start w:val="0"/>
      <w:numFmt w:val="bullet"/>
      <w:lvlText w:val="•"/>
      <w:lvlJc w:val="left"/>
      <w:pPr>
        <w:ind w:left="-988" w:hanging="103"/>
      </w:pPr>
      <w:rPr>
        <w:rFonts w:hint="default"/>
        <w:lang w:val="en-au" w:eastAsia="en-au" w:bidi="en-au"/>
      </w:rPr>
    </w:lvl>
    <w:lvl w:ilvl="8">
      <w:start w:val="0"/>
      <w:numFmt w:val="bullet"/>
      <w:lvlText w:val="•"/>
      <w:lvlJc w:val="left"/>
      <w:pPr>
        <w:ind w:left="-1640" w:hanging="103"/>
      </w:pPr>
      <w:rPr>
        <w:rFonts w:hint="default"/>
        <w:lang w:val="en-au" w:eastAsia="en-au" w:bidi="en-au"/>
      </w:rPr>
    </w:lvl>
  </w:abstractNum>
  <w:abstractNum w:abstractNumId="39">
    <w:multiLevelType w:val="hybridMultilevel"/>
    <w:lvl w:ilvl="0">
      <w:start w:val="1"/>
      <w:numFmt w:val="decimal"/>
      <w:lvlText w:val="%1"/>
      <w:lvlJc w:val="left"/>
      <w:pPr>
        <w:ind w:left="1277" w:hanging="103"/>
        <w:jc w:val="left"/>
      </w:pPr>
      <w:rPr>
        <w:rFonts w:hint="default" w:ascii="Calibri" w:hAnsi="Calibri" w:eastAsia="Calibri" w:cs="Calibri"/>
        <w:w w:val="100"/>
        <w:sz w:val="14"/>
        <w:szCs w:val="14"/>
        <w:lang w:val="en-au" w:eastAsia="en-au" w:bidi="en-au"/>
      </w:rPr>
    </w:lvl>
    <w:lvl w:ilvl="1">
      <w:start w:val="0"/>
      <w:numFmt w:val="bullet"/>
      <w:lvlText w:val="•"/>
      <w:lvlJc w:val="left"/>
      <w:pPr>
        <w:ind w:left="1623" w:hanging="103"/>
      </w:pPr>
      <w:rPr>
        <w:rFonts w:hint="default"/>
        <w:lang w:val="en-au" w:eastAsia="en-au" w:bidi="en-au"/>
      </w:rPr>
    </w:lvl>
    <w:lvl w:ilvl="2">
      <w:start w:val="0"/>
      <w:numFmt w:val="bullet"/>
      <w:lvlText w:val="•"/>
      <w:lvlJc w:val="left"/>
      <w:pPr>
        <w:ind w:left="1966" w:hanging="103"/>
      </w:pPr>
      <w:rPr>
        <w:rFonts w:hint="default"/>
        <w:lang w:val="en-au" w:eastAsia="en-au" w:bidi="en-au"/>
      </w:rPr>
    </w:lvl>
    <w:lvl w:ilvl="3">
      <w:start w:val="0"/>
      <w:numFmt w:val="bullet"/>
      <w:lvlText w:val="•"/>
      <w:lvlJc w:val="left"/>
      <w:pPr>
        <w:ind w:left="2309" w:hanging="103"/>
      </w:pPr>
      <w:rPr>
        <w:rFonts w:hint="default"/>
        <w:lang w:val="en-au" w:eastAsia="en-au" w:bidi="en-au"/>
      </w:rPr>
    </w:lvl>
    <w:lvl w:ilvl="4">
      <w:start w:val="0"/>
      <w:numFmt w:val="bullet"/>
      <w:lvlText w:val="•"/>
      <w:lvlJc w:val="left"/>
      <w:pPr>
        <w:ind w:left="2652" w:hanging="103"/>
      </w:pPr>
      <w:rPr>
        <w:rFonts w:hint="default"/>
        <w:lang w:val="en-au" w:eastAsia="en-au" w:bidi="en-au"/>
      </w:rPr>
    </w:lvl>
    <w:lvl w:ilvl="5">
      <w:start w:val="0"/>
      <w:numFmt w:val="bullet"/>
      <w:lvlText w:val="•"/>
      <w:lvlJc w:val="left"/>
      <w:pPr>
        <w:ind w:left="2995" w:hanging="103"/>
      </w:pPr>
      <w:rPr>
        <w:rFonts w:hint="default"/>
        <w:lang w:val="en-au" w:eastAsia="en-au" w:bidi="en-au"/>
      </w:rPr>
    </w:lvl>
    <w:lvl w:ilvl="6">
      <w:start w:val="0"/>
      <w:numFmt w:val="bullet"/>
      <w:lvlText w:val="•"/>
      <w:lvlJc w:val="left"/>
      <w:pPr>
        <w:ind w:left="3338" w:hanging="103"/>
      </w:pPr>
      <w:rPr>
        <w:rFonts w:hint="default"/>
        <w:lang w:val="en-au" w:eastAsia="en-au" w:bidi="en-au"/>
      </w:rPr>
    </w:lvl>
    <w:lvl w:ilvl="7">
      <w:start w:val="0"/>
      <w:numFmt w:val="bullet"/>
      <w:lvlText w:val="•"/>
      <w:lvlJc w:val="left"/>
      <w:pPr>
        <w:ind w:left="3681" w:hanging="103"/>
      </w:pPr>
      <w:rPr>
        <w:rFonts w:hint="default"/>
        <w:lang w:val="en-au" w:eastAsia="en-au" w:bidi="en-au"/>
      </w:rPr>
    </w:lvl>
    <w:lvl w:ilvl="8">
      <w:start w:val="0"/>
      <w:numFmt w:val="bullet"/>
      <w:lvlText w:val="•"/>
      <w:lvlJc w:val="left"/>
      <w:pPr>
        <w:ind w:left="4025" w:hanging="103"/>
      </w:pPr>
      <w:rPr>
        <w:rFonts w:hint="default"/>
        <w:lang w:val="en-au" w:eastAsia="en-au" w:bidi="en-au"/>
      </w:rPr>
    </w:lvl>
  </w:abstractNum>
  <w:abstractNum w:abstractNumId="38">
    <w:multiLevelType w:val="hybridMultilevel"/>
    <w:lvl w:ilvl="0">
      <w:start w:val="0"/>
      <w:numFmt w:val="bullet"/>
      <w:lvlText w:val=""/>
      <w:lvlJc w:val="left"/>
      <w:pPr>
        <w:ind w:left="1182" w:hanging="284"/>
      </w:pPr>
      <w:rPr>
        <w:rFonts w:hint="default"/>
        <w:w w:val="99"/>
        <w:lang w:val="en-au" w:eastAsia="en-au" w:bidi="en-au"/>
      </w:rPr>
    </w:lvl>
    <w:lvl w:ilvl="1">
      <w:start w:val="0"/>
      <w:numFmt w:val="bullet"/>
      <w:lvlText w:val="–"/>
      <w:lvlJc w:val="left"/>
      <w:pPr>
        <w:ind w:left="1466" w:hanging="284"/>
      </w:pPr>
      <w:rPr>
        <w:rFonts w:hint="default" w:ascii="Arial" w:hAnsi="Arial" w:eastAsia="Arial" w:cs="Arial"/>
        <w:color w:val="404040"/>
        <w:w w:val="99"/>
        <w:sz w:val="20"/>
        <w:szCs w:val="20"/>
        <w:lang w:val="en-au" w:eastAsia="en-au" w:bidi="en-au"/>
      </w:rPr>
    </w:lvl>
    <w:lvl w:ilvl="2">
      <w:start w:val="0"/>
      <w:numFmt w:val="bullet"/>
      <w:lvlText w:val="•"/>
      <w:lvlJc w:val="left"/>
      <w:pPr>
        <w:ind w:left="2607" w:hanging="284"/>
      </w:pPr>
      <w:rPr>
        <w:rFonts w:hint="default"/>
        <w:lang w:val="en-au" w:eastAsia="en-au" w:bidi="en-au"/>
      </w:rPr>
    </w:lvl>
    <w:lvl w:ilvl="3">
      <w:start w:val="0"/>
      <w:numFmt w:val="bullet"/>
      <w:lvlText w:val="•"/>
      <w:lvlJc w:val="left"/>
      <w:pPr>
        <w:ind w:left="3754" w:hanging="284"/>
      </w:pPr>
      <w:rPr>
        <w:rFonts w:hint="default"/>
        <w:lang w:val="en-au" w:eastAsia="en-au" w:bidi="en-au"/>
      </w:rPr>
    </w:lvl>
    <w:lvl w:ilvl="4">
      <w:start w:val="0"/>
      <w:numFmt w:val="bullet"/>
      <w:lvlText w:val="•"/>
      <w:lvlJc w:val="left"/>
      <w:pPr>
        <w:ind w:left="4902" w:hanging="284"/>
      </w:pPr>
      <w:rPr>
        <w:rFonts w:hint="default"/>
        <w:lang w:val="en-au" w:eastAsia="en-au" w:bidi="en-au"/>
      </w:rPr>
    </w:lvl>
    <w:lvl w:ilvl="5">
      <w:start w:val="0"/>
      <w:numFmt w:val="bullet"/>
      <w:lvlText w:val="•"/>
      <w:lvlJc w:val="left"/>
      <w:pPr>
        <w:ind w:left="6049" w:hanging="284"/>
      </w:pPr>
      <w:rPr>
        <w:rFonts w:hint="default"/>
        <w:lang w:val="en-au" w:eastAsia="en-au" w:bidi="en-au"/>
      </w:rPr>
    </w:lvl>
    <w:lvl w:ilvl="6">
      <w:start w:val="0"/>
      <w:numFmt w:val="bullet"/>
      <w:lvlText w:val="•"/>
      <w:lvlJc w:val="left"/>
      <w:pPr>
        <w:ind w:left="7196" w:hanging="284"/>
      </w:pPr>
      <w:rPr>
        <w:rFonts w:hint="default"/>
        <w:lang w:val="en-au" w:eastAsia="en-au" w:bidi="en-au"/>
      </w:rPr>
    </w:lvl>
    <w:lvl w:ilvl="7">
      <w:start w:val="0"/>
      <w:numFmt w:val="bullet"/>
      <w:lvlText w:val="•"/>
      <w:lvlJc w:val="left"/>
      <w:pPr>
        <w:ind w:left="8344" w:hanging="284"/>
      </w:pPr>
      <w:rPr>
        <w:rFonts w:hint="default"/>
        <w:lang w:val="en-au" w:eastAsia="en-au" w:bidi="en-au"/>
      </w:rPr>
    </w:lvl>
    <w:lvl w:ilvl="8">
      <w:start w:val="0"/>
      <w:numFmt w:val="bullet"/>
      <w:lvlText w:val="•"/>
      <w:lvlJc w:val="left"/>
      <w:pPr>
        <w:ind w:left="9491" w:hanging="284"/>
      </w:pPr>
      <w:rPr>
        <w:rFonts w:hint="default"/>
        <w:lang w:val="en-au" w:eastAsia="en-au" w:bidi="en-au"/>
      </w:rPr>
    </w:lvl>
  </w:abstractNum>
  <w:abstractNum w:abstractNumId="37">
    <w:multiLevelType w:val="hybridMultilevel"/>
    <w:lvl w:ilvl="0">
      <w:start w:val="8"/>
      <w:numFmt w:val="decimal"/>
      <w:lvlText w:val="%1"/>
      <w:lvlJc w:val="left"/>
      <w:pPr>
        <w:ind w:left="664" w:hanging="81"/>
        <w:jc w:val="right"/>
      </w:pPr>
      <w:rPr>
        <w:rFonts w:hint="default" w:ascii="Calibri" w:hAnsi="Calibri" w:eastAsia="Calibri" w:cs="Calibri"/>
        <w:w w:val="100"/>
        <w:sz w:val="12"/>
        <w:szCs w:val="12"/>
        <w:lang w:val="en-au" w:eastAsia="en-au" w:bidi="en-au"/>
      </w:rPr>
    </w:lvl>
    <w:lvl w:ilvl="1">
      <w:start w:val="1"/>
      <w:numFmt w:val="decimal"/>
      <w:lvlText w:val="%2."/>
      <w:lvlJc w:val="left"/>
      <w:pPr>
        <w:ind w:left="1620" w:hanging="361"/>
        <w:jc w:val="left"/>
      </w:pPr>
      <w:rPr>
        <w:rFonts w:hint="default" w:ascii="Arial" w:hAnsi="Arial" w:eastAsia="Arial" w:cs="Arial"/>
        <w:color w:val="DF2F1E"/>
        <w:spacing w:val="-1"/>
        <w:w w:val="100"/>
        <w:sz w:val="16"/>
        <w:szCs w:val="16"/>
        <w:lang w:val="en-au" w:eastAsia="en-au" w:bidi="en-au"/>
      </w:rPr>
    </w:lvl>
    <w:lvl w:ilvl="2">
      <w:start w:val="0"/>
      <w:numFmt w:val="bullet"/>
      <w:lvlText w:val="•"/>
      <w:lvlJc w:val="left"/>
      <w:pPr>
        <w:ind w:left="1620" w:hanging="361"/>
      </w:pPr>
      <w:rPr>
        <w:rFonts w:hint="default"/>
        <w:lang w:val="en-au" w:eastAsia="en-au" w:bidi="en-au"/>
      </w:rPr>
    </w:lvl>
    <w:lvl w:ilvl="3">
      <w:start w:val="0"/>
      <w:numFmt w:val="bullet"/>
      <w:lvlText w:val="•"/>
      <w:lvlJc w:val="left"/>
      <w:pPr>
        <w:ind w:left="1076" w:hanging="361"/>
      </w:pPr>
      <w:rPr>
        <w:rFonts w:hint="default"/>
        <w:lang w:val="en-au" w:eastAsia="en-au" w:bidi="en-au"/>
      </w:rPr>
    </w:lvl>
    <w:lvl w:ilvl="4">
      <w:start w:val="0"/>
      <w:numFmt w:val="bullet"/>
      <w:lvlText w:val="•"/>
      <w:lvlJc w:val="left"/>
      <w:pPr>
        <w:ind w:left="532" w:hanging="361"/>
      </w:pPr>
      <w:rPr>
        <w:rFonts w:hint="default"/>
        <w:lang w:val="en-au" w:eastAsia="en-au" w:bidi="en-au"/>
      </w:rPr>
    </w:lvl>
    <w:lvl w:ilvl="5">
      <w:start w:val="0"/>
      <w:numFmt w:val="bullet"/>
      <w:lvlText w:val="•"/>
      <w:lvlJc w:val="left"/>
      <w:pPr>
        <w:ind w:left="-12" w:hanging="361"/>
      </w:pPr>
      <w:rPr>
        <w:rFonts w:hint="default"/>
        <w:lang w:val="en-au" w:eastAsia="en-au" w:bidi="en-au"/>
      </w:rPr>
    </w:lvl>
    <w:lvl w:ilvl="6">
      <w:start w:val="0"/>
      <w:numFmt w:val="bullet"/>
      <w:lvlText w:val="•"/>
      <w:lvlJc w:val="left"/>
      <w:pPr>
        <w:ind w:left="-556" w:hanging="361"/>
      </w:pPr>
      <w:rPr>
        <w:rFonts w:hint="default"/>
        <w:lang w:val="en-au" w:eastAsia="en-au" w:bidi="en-au"/>
      </w:rPr>
    </w:lvl>
    <w:lvl w:ilvl="7">
      <w:start w:val="0"/>
      <w:numFmt w:val="bullet"/>
      <w:lvlText w:val="•"/>
      <w:lvlJc w:val="left"/>
      <w:pPr>
        <w:ind w:left="-1100" w:hanging="361"/>
      </w:pPr>
      <w:rPr>
        <w:rFonts w:hint="default"/>
        <w:lang w:val="en-au" w:eastAsia="en-au" w:bidi="en-au"/>
      </w:rPr>
    </w:lvl>
    <w:lvl w:ilvl="8">
      <w:start w:val="0"/>
      <w:numFmt w:val="bullet"/>
      <w:lvlText w:val="•"/>
      <w:lvlJc w:val="left"/>
      <w:pPr>
        <w:ind w:left="-1644" w:hanging="361"/>
      </w:pPr>
      <w:rPr>
        <w:rFonts w:hint="default"/>
        <w:lang w:val="en-au" w:eastAsia="en-au" w:bidi="en-au"/>
      </w:rPr>
    </w:lvl>
  </w:abstractNum>
  <w:abstractNum w:abstractNumId="36">
    <w:multiLevelType w:val="hybridMultilevel"/>
    <w:lvl w:ilvl="0">
      <w:start w:val="6"/>
      <w:numFmt w:val="decimal"/>
      <w:lvlText w:val="%1"/>
      <w:lvlJc w:val="left"/>
      <w:pPr>
        <w:ind w:left="1752" w:hanging="853"/>
        <w:jc w:val="left"/>
      </w:pPr>
      <w:rPr>
        <w:rFonts w:hint="default" w:ascii="Arial" w:hAnsi="Arial" w:eastAsia="Arial" w:cs="Arial"/>
        <w:color w:val="DF2F1E"/>
        <w:w w:val="100"/>
        <w:sz w:val="40"/>
        <w:szCs w:val="40"/>
        <w:lang w:val="en-au" w:eastAsia="en-au" w:bidi="en-au"/>
      </w:rPr>
    </w:lvl>
    <w:lvl w:ilvl="1">
      <w:start w:val="1"/>
      <w:numFmt w:val="decimal"/>
      <w:lvlText w:val="%1.%2"/>
      <w:lvlJc w:val="left"/>
      <w:pPr>
        <w:ind w:left="1752" w:hanging="853"/>
        <w:jc w:val="left"/>
      </w:pPr>
      <w:rPr>
        <w:rFonts w:hint="default" w:ascii="Arial" w:hAnsi="Arial" w:eastAsia="Arial" w:cs="Arial"/>
        <w:color w:val="DF2F28"/>
        <w:spacing w:val="-1"/>
        <w:w w:val="100"/>
        <w:sz w:val="28"/>
        <w:szCs w:val="28"/>
        <w:lang w:val="en-au" w:eastAsia="en-au" w:bidi="en-au"/>
      </w:rPr>
    </w:lvl>
    <w:lvl w:ilvl="2">
      <w:start w:val="0"/>
      <w:numFmt w:val="bullet"/>
      <w:lvlText w:val=""/>
      <w:lvlJc w:val="left"/>
      <w:pPr>
        <w:ind w:left="1291" w:hanging="284"/>
      </w:pPr>
      <w:rPr>
        <w:rFonts w:hint="default"/>
        <w:w w:val="99"/>
        <w:lang w:val="en-au" w:eastAsia="en-au" w:bidi="en-au"/>
      </w:rPr>
    </w:lvl>
    <w:lvl w:ilvl="3">
      <w:start w:val="0"/>
      <w:numFmt w:val="bullet"/>
      <w:lvlText w:val="•"/>
      <w:lvlJc w:val="left"/>
      <w:pPr>
        <w:ind w:left="3988" w:hanging="284"/>
      </w:pPr>
      <w:rPr>
        <w:rFonts w:hint="default"/>
        <w:lang w:val="en-au" w:eastAsia="en-au" w:bidi="en-au"/>
      </w:rPr>
    </w:lvl>
    <w:lvl w:ilvl="4">
      <w:start w:val="0"/>
      <w:numFmt w:val="bullet"/>
      <w:lvlText w:val="•"/>
      <w:lvlJc w:val="left"/>
      <w:pPr>
        <w:ind w:left="5102" w:hanging="284"/>
      </w:pPr>
      <w:rPr>
        <w:rFonts w:hint="default"/>
        <w:lang w:val="en-au" w:eastAsia="en-au" w:bidi="en-au"/>
      </w:rPr>
    </w:lvl>
    <w:lvl w:ilvl="5">
      <w:start w:val="0"/>
      <w:numFmt w:val="bullet"/>
      <w:lvlText w:val="•"/>
      <w:lvlJc w:val="left"/>
      <w:pPr>
        <w:ind w:left="6216" w:hanging="284"/>
      </w:pPr>
      <w:rPr>
        <w:rFonts w:hint="default"/>
        <w:lang w:val="en-au" w:eastAsia="en-au" w:bidi="en-au"/>
      </w:rPr>
    </w:lvl>
    <w:lvl w:ilvl="6">
      <w:start w:val="0"/>
      <w:numFmt w:val="bullet"/>
      <w:lvlText w:val="•"/>
      <w:lvlJc w:val="left"/>
      <w:pPr>
        <w:ind w:left="7330" w:hanging="284"/>
      </w:pPr>
      <w:rPr>
        <w:rFonts w:hint="default"/>
        <w:lang w:val="en-au" w:eastAsia="en-au" w:bidi="en-au"/>
      </w:rPr>
    </w:lvl>
    <w:lvl w:ilvl="7">
      <w:start w:val="0"/>
      <w:numFmt w:val="bullet"/>
      <w:lvlText w:val="•"/>
      <w:lvlJc w:val="left"/>
      <w:pPr>
        <w:ind w:left="8444" w:hanging="284"/>
      </w:pPr>
      <w:rPr>
        <w:rFonts w:hint="default"/>
        <w:lang w:val="en-au" w:eastAsia="en-au" w:bidi="en-au"/>
      </w:rPr>
    </w:lvl>
    <w:lvl w:ilvl="8">
      <w:start w:val="0"/>
      <w:numFmt w:val="bullet"/>
      <w:lvlText w:val="•"/>
      <w:lvlJc w:val="left"/>
      <w:pPr>
        <w:ind w:left="9558" w:hanging="284"/>
      </w:pPr>
      <w:rPr>
        <w:rFonts w:hint="default"/>
        <w:lang w:val="en-au" w:eastAsia="en-au" w:bidi="en-au"/>
      </w:rPr>
    </w:lvl>
  </w:abstractNum>
  <w:abstractNum w:abstractNumId="35">
    <w:multiLevelType w:val="hybridMultilevel"/>
    <w:lvl w:ilvl="0">
      <w:start w:val="0"/>
      <w:numFmt w:val="bullet"/>
      <w:lvlText w:val=""/>
      <w:lvlJc w:val="left"/>
      <w:pPr>
        <w:ind w:left="1620" w:hanging="361"/>
      </w:pPr>
      <w:rPr>
        <w:rFonts w:hint="default" w:ascii="Symbol" w:hAnsi="Symbol" w:eastAsia="Symbol" w:cs="Symbol"/>
        <w:color w:val="DF2F1E"/>
        <w:w w:val="100"/>
        <w:sz w:val="16"/>
        <w:szCs w:val="16"/>
        <w:lang w:val="en-au" w:eastAsia="en-au" w:bidi="en-au"/>
      </w:rPr>
    </w:lvl>
    <w:lvl w:ilvl="1">
      <w:start w:val="0"/>
      <w:numFmt w:val="bullet"/>
      <w:lvlText w:val="•"/>
      <w:lvlJc w:val="left"/>
      <w:pPr>
        <w:ind w:left="2636" w:hanging="361"/>
      </w:pPr>
      <w:rPr>
        <w:rFonts w:hint="default"/>
        <w:lang w:val="en-au" w:eastAsia="en-au" w:bidi="en-au"/>
      </w:rPr>
    </w:lvl>
    <w:lvl w:ilvl="2">
      <w:start w:val="0"/>
      <w:numFmt w:val="bullet"/>
      <w:lvlText w:val="•"/>
      <w:lvlJc w:val="left"/>
      <w:pPr>
        <w:ind w:left="3653" w:hanging="361"/>
      </w:pPr>
      <w:rPr>
        <w:rFonts w:hint="default"/>
        <w:lang w:val="en-au" w:eastAsia="en-au" w:bidi="en-au"/>
      </w:rPr>
    </w:lvl>
    <w:lvl w:ilvl="3">
      <w:start w:val="0"/>
      <w:numFmt w:val="bullet"/>
      <w:lvlText w:val="•"/>
      <w:lvlJc w:val="left"/>
      <w:pPr>
        <w:ind w:left="4669" w:hanging="361"/>
      </w:pPr>
      <w:rPr>
        <w:rFonts w:hint="default"/>
        <w:lang w:val="en-au" w:eastAsia="en-au" w:bidi="en-au"/>
      </w:rPr>
    </w:lvl>
    <w:lvl w:ilvl="4">
      <w:start w:val="0"/>
      <w:numFmt w:val="bullet"/>
      <w:lvlText w:val="•"/>
      <w:lvlJc w:val="left"/>
      <w:pPr>
        <w:ind w:left="5686" w:hanging="361"/>
      </w:pPr>
      <w:rPr>
        <w:rFonts w:hint="default"/>
        <w:lang w:val="en-au" w:eastAsia="en-au" w:bidi="en-au"/>
      </w:rPr>
    </w:lvl>
    <w:lvl w:ilvl="5">
      <w:start w:val="0"/>
      <w:numFmt w:val="bullet"/>
      <w:lvlText w:val="•"/>
      <w:lvlJc w:val="left"/>
      <w:pPr>
        <w:ind w:left="6703" w:hanging="361"/>
      </w:pPr>
      <w:rPr>
        <w:rFonts w:hint="default"/>
        <w:lang w:val="en-au" w:eastAsia="en-au" w:bidi="en-au"/>
      </w:rPr>
    </w:lvl>
    <w:lvl w:ilvl="6">
      <w:start w:val="0"/>
      <w:numFmt w:val="bullet"/>
      <w:lvlText w:val="•"/>
      <w:lvlJc w:val="left"/>
      <w:pPr>
        <w:ind w:left="7719" w:hanging="361"/>
      </w:pPr>
      <w:rPr>
        <w:rFonts w:hint="default"/>
        <w:lang w:val="en-au" w:eastAsia="en-au" w:bidi="en-au"/>
      </w:rPr>
    </w:lvl>
    <w:lvl w:ilvl="7">
      <w:start w:val="0"/>
      <w:numFmt w:val="bullet"/>
      <w:lvlText w:val="•"/>
      <w:lvlJc w:val="left"/>
      <w:pPr>
        <w:ind w:left="8736" w:hanging="361"/>
      </w:pPr>
      <w:rPr>
        <w:rFonts w:hint="default"/>
        <w:lang w:val="en-au" w:eastAsia="en-au" w:bidi="en-au"/>
      </w:rPr>
    </w:lvl>
    <w:lvl w:ilvl="8">
      <w:start w:val="0"/>
      <w:numFmt w:val="bullet"/>
      <w:lvlText w:val="•"/>
      <w:lvlJc w:val="left"/>
      <w:pPr>
        <w:ind w:left="9753" w:hanging="361"/>
      </w:pPr>
      <w:rPr>
        <w:rFonts w:hint="default"/>
        <w:lang w:val="en-au" w:eastAsia="en-au" w:bidi="en-au"/>
      </w:rPr>
    </w:lvl>
  </w:abstractNum>
  <w:abstractNum w:abstractNumId="34">
    <w:multiLevelType w:val="hybridMultilevel"/>
    <w:lvl w:ilvl="0">
      <w:start w:val="1"/>
      <w:numFmt w:val="decimal"/>
      <w:lvlText w:val="%1."/>
      <w:lvlJc w:val="left"/>
      <w:pPr>
        <w:ind w:left="1079" w:hanging="180"/>
        <w:jc w:val="left"/>
      </w:pPr>
      <w:rPr>
        <w:rFonts w:hint="default" w:ascii="Arial" w:hAnsi="Arial" w:eastAsia="Arial" w:cs="Arial"/>
        <w:color w:val="DF2F1E"/>
        <w:spacing w:val="-1"/>
        <w:w w:val="100"/>
        <w:sz w:val="16"/>
        <w:szCs w:val="16"/>
        <w:lang w:val="en-au" w:eastAsia="en-au" w:bidi="en-au"/>
      </w:rPr>
    </w:lvl>
    <w:lvl w:ilvl="1">
      <w:start w:val="0"/>
      <w:numFmt w:val="bullet"/>
      <w:lvlText w:val="•"/>
      <w:lvlJc w:val="left"/>
      <w:pPr>
        <w:ind w:left="2150" w:hanging="180"/>
      </w:pPr>
      <w:rPr>
        <w:rFonts w:hint="default"/>
        <w:lang w:val="en-au" w:eastAsia="en-au" w:bidi="en-au"/>
      </w:rPr>
    </w:lvl>
    <w:lvl w:ilvl="2">
      <w:start w:val="0"/>
      <w:numFmt w:val="bullet"/>
      <w:lvlText w:val="•"/>
      <w:lvlJc w:val="left"/>
      <w:pPr>
        <w:ind w:left="3221" w:hanging="180"/>
      </w:pPr>
      <w:rPr>
        <w:rFonts w:hint="default"/>
        <w:lang w:val="en-au" w:eastAsia="en-au" w:bidi="en-au"/>
      </w:rPr>
    </w:lvl>
    <w:lvl w:ilvl="3">
      <w:start w:val="0"/>
      <w:numFmt w:val="bullet"/>
      <w:lvlText w:val="•"/>
      <w:lvlJc w:val="left"/>
      <w:pPr>
        <w:ind w:left="4291" w:hanging="180"/>
      </w:pPr>
      <w:rPr>
        <w:rFonts w:hint="default"/>
        <w:lang w:val="en-au" w:eastAsia="en-au" w:bidi="en-au"/>
      </w:rPr>
    </w:lvl>
    <w:lvl w:ilvl="4">
      <w:start w:val="0"/>
      <w:numFmt w:val="bullet"/>
      <w:lvlText w:val="•"/>
      <w:lvlJc w:val="left"/>
      <w:pPr>
        <w:ind w:left="5362" w:hanging="180"/>
      </w:pPr>
      <w:rPr>
        <w:rFonts w:hint="default"/>
        <w:lang w:val="en-au" w:eastAsia="en-au" w:bidi="en-au"/>
      </w:rPr>
    </w:lvl>
    <w:lvl w:ilvl="5">
      <w:start w:val="0"/>
      <w:numFmt w:val="bullet"/>
      <w:lvlText w:val="•"/>
      <w:lvlJc w:val="left"/>
      <w:pPr>
        <w:ind w:left="6433" w:hanging="180"/>
      </w:pPr>
      <w:rPr>
        <w:rFonts w:hint="default"/>
        <w:lang w:val="en-au" w:eastAsia="en-au" w:bidi="en-au"/>
      </w:rPr>
    </w:lvl>
    <w:lvl w:ilvl="6">
      <w:start w:val="0"/>
      <w:numFmt w:val="bullet"/>
      <w:lvlText w:val="•"/>
      <w:lvlJc w:val="left"/>
      <w:pPr>
        <w:ind w:left="7503" w:hanging="180"/>
      </w:pPr>
      <w:rPr>
        <w:rFonts w:hint="default"/>
        <w:lang w:val="en-au" w:eastAsia="en-au" w:bidi="en-au"/>
      </w:rPr>
    </w:lvl>
    <w:lvl w:ilvl="7">
      <w:start w:val="0"/>
      <w:numFmt w:val="bullet"/>
      <w:lvlText w:val="•"/>
      <w:lvlJc w:val="left"/>
      <w:pPr>
        <w:ind w:left="8574" w:hanging="180"/>
      </w:pPr>
      <w:rPr>
        <w:rFonts w:hint="default"/>
        <w:lang w:val="en-au" w:eastAsia="en-au" w:bidi="en-au"/>
      </w:rPr>
    </w:lvl>
    <w:lvl w:ilvl="8">
      <w:start w:val="0"/>
      <w:numFmt w:val="bullet"/>
      <w:lvlText w:val="•"/>
      <w:lvlJc w:val="left"/>
      <w:pPr>
        <w:ind w:left="9645" w:hanging="180"/>
      </w:pPr>
      <w:rPr>
        <w:rFonts w:hint="default"/>
        <w:lang w:val="en-au" w:eastAsia="en-au" w:bidi="en-au"/>
      </w:rPr>
    </w:lvl>
  </w:abstractNum>
  <w:abstractNum w:abstractNumId="32">
    <w:multiLevelType w:val="hybridMultilevel"/>
    <w:lvl w:ilvl="0">
      <w:start w:val="0"/>
      <w:numFmt w:val="bullet"/>
      <w:lvlText w:val=""/>
      <w:lvlJc w:val="left"/>
      <w:pPr>
        <w:ind w:left="391" w:hanging="284"/>
      </w:pPr>
      <w:rPr>
        <w:rFonts w:hint="default" w:ascii="Symbol" w:hAnsi="Symbol" w:eastAsia="Symbol" w:cs="Symbol"/>
        <w:w w:val="99"/>
        <w:sz w:val="20"/>
        <w:szCs w:val="20"/>
        <w:lang w:val="en-au" w:eastAsia="en-au" w:bidi="en-au"/>
      </w:rPr>
    </w:lvl>
    <w:lvl w:ilvl="1">
      <w:start w:val="0"/>
      <w:numFmt w:val="bullet"/>
      <w:lvlText w:val="•"/>
      <w:lvlJc w:val="left"/>
      <w:pPr>
        <w:ind w:left="1346" w:hanging="284"/>
      </w:pPr>
      <w:rPr>
        <w:rFonts w:hint="default"/>
        <w:lang w:val="en-au" w:eastAsia="en-au" w:bidi="en-au"/>
      </w:rPr>
    </w:lvl>
    <w:lvl w:ilvl="2">
      <w:start w:val="0"/>
      <w:numFmt w:val="bullet"/>
      <w:lvlText w:val="•"/>
      <w:lvlJc w:val="left"/>
      <w:pPr>
        <w:ind w:left="2293" w:hanging="284"/>
      </w:pPr>
      <w:rPr>
        <w:rFonts w:hint="default"/>
        <w:lang w:val="en-au" w:eastAsia="en-au" w:bidi="en-au"/>
      </w:rPr>
    </w:lvl>
    <w:lvl w:ilvl="3">
      <w:start w:val="0"/>
      <w:numFmt w:val="bullet"/>
      <w:lvlText w:val="•"/>
      <w:lvlJc w:val="left"/>
      <w:pPr>
        <w:ind w:left="3239" w:hanging="284"/>
      </w:pPr>
      <w:rPr>
        <w:rFonts w:hint="default"/>
        <w:lang w:val="en-au" w:eastAsia="en-au" w:bidi="en-au"/>
      </w:rPr>
    </w:lvl>
    <w:lvl w:ilvl="4">
      <w:start w:val="0"/>
      <w:numFmt w:val="bullet"/>
      <w:lvlText w:val="•"/>
      <w:lvlJc w:val="left"/>
      <w:pPr>
        <w:ind w:left="4186" w:hanging="284"/>
      </w:pPr>
      <w:rPr>
        <w:rFonts w:hint="default"/>
        <w:lang w:val="en-au" w:eastAsia="en-au" w:bidi="en-au"/>
      </w:rPr>
    </w:lvl>
    <w:lvl w:ilvl="5">
      <w:start w:val="0"/>
      <w:numFmt w:val="bullet"/>
      <w:lvlText w:val="•"/>
      <w:lvlJc w:val="left"/>
      <w:pPr>
        <w:ind w:left="5133" w:hanging="284"/>
      </w:pPr>
      <w:rPr>
        <w:rFonts w:hint="default"/>
        <w:lang w:val="en-au" w:eastAsia="en-au" w:bidi="en-au"/>
      </w:rPr>
    </w:lvl>
    <w:lvl w:ilvl="6">
      <w:start w:val="0"/>
      <w:numFmt w:val="bullet"/>
      <w:lvlText w:val="•"/>
      <w:lvlJc w:val="left"/>
      <w:pPr>
        <w:ind w:left="6079" w:hanging="284"/>
      </w:pPr>
      <w:rPr>
        <w:rFonts w:hint="default"/>
        <w:lang w:val="en-au" w:eastAsia="en-au" w:bidi="en-au"/>
      </w:rPr>
    </w:lvl>
    <w:lvl w:ilvl="7">
      <w:start w:val="0"/>
      <w:numFmt w:val="bullet"/>
      <w:lvlText w:val="•"/>
      <w:lvlJc w:val="left"/>
      <w:pPr>
        <w:ind w:left="7026" w:hanging="284"/>
      </w:pPr>
      <w:rPr>
        <w:rFonts w:hint="default"/>
        <w:lang w:val="en-au" w:eastAsia="en-au" w:bidi="en-au"/>
      </w:rPr>
    </w:lvl>
    <w:lvl w:ilvl="8">
      <w:start w:val="0"/>
      <w:numFmt w:val="bullet"/>
      <w:lvlText w:val="•"/>
      <w:lvlJc w:val="left"/>
      <w:pPr>
        <w:ind w:left="7973" w:hanging="284"/>
      </w:pPr>
      <w:rPr>
        <w:rFonts w:hint="default"/>
        <w:lang w:val="en-au" w:eastAsia="en-au" w:bidi="en-au"/>
      </w:rPr>
    </w:lvl>
  </w:abstractNum>
  <w:abstractNum w:abstractNumId="31">
    <w:multiLevelType w:val="hybridMultilevel"/>
    <w:lvl w:ilvl="0">
      <w:start w:val="3"/>
      <w:numFmt w:val="decimal"/>
      <w:lvlText w:val="%1"/>
      <w:lvlJc w:val="left"/>
      <w:pPr>
        <w:ind w:left="1913" w:hanging="108"/>
        <w:jc w:val="right"/>
      </w:pPr>
      <w:rPr>
        <w:rFonts w:hint="default" w:ascii="Calibri" w:hAnsi="Calibri" w:eastAsia="Calibri" w:cs="Calibri"/>
        <w:w w:val="99"/>
        <w:sz w:val="14"/>
        <w:szCs w:val="14"/>
        <w:lang w:val="en-au" w:eastAsia="en-au" w:bidi="en-au"/>
      </w:rPr>
    </w:lvl>
    <w:lvl w:ilvl="1">
      <w:start w:val="0"/>
      <w:numFmt w:val="bullet"/>
      <w:lvlText w:val="•"/>
      <w:lvlJc w:val="left"/>
      <w:pPr>
        <w:ind w:left="2906" w:hanging="108"/>
      </w:pPr>
      <w:rPr>
        <w:rFonts w:hint="default"/>
        <w:lang w:val="en-au" w:eastAsia="en-au" w:bidi="en-au"/>
      </w:rPr>
    </w:lvl>
    <w:lvl w:ilvl="2">
      <w:start w:val="0"/>
      <w:numFmt w:val="bullet"/>
      <w:lvlText w:val="•"/>
      <w:lvlJc w:val="left"/>
      <w:pPr>
        <w:ind w:left="3893" w:hanging="108"/>
      </w:pPr>
      <w:rPr>
        <w:rFonts w:hint="default"/>
        <w:lang w:val="en-au" w:eastAsia="en-au" w:bidi="en-au"/>
      </w:rPr>
    </w:lvl>
    <w:lvl w:ilvl="3">
      <w:start w:val="0"/>
      <w:numFmt w:val="bullet"/>
      <w:lvlText w:val="•"/>
      <w:lvlJc w:val="left"/>
      <w:pPr>
        <w:ind w:left="4879" w:hanging="108"/>
      </w:pPr>
      <w:rPr>
        <w:rFonts w:hint="default"/>
        <w:lang w:val="en-au" w:eastAsia="en-au" w:bidi="en-au"/>
      </w:rPr>
    </w:lvl>
    <w:lvl w:ilvl="4">
      <w:start w:val="0"/>
      <w:numFmt w:val="bullet"/>
      <w:lvlText w:val="•"/>
      <w:lvlJc w:val="left"/>
      <w:pPr>
        <w:ind w:left="5866" w:hanging="108"/>
      </w:pPr>
      <w:rPr>
        <w:rFonts w:hint="default"/>
        <w:lang w:val="en-au" w:eastAsia="en-au" w:bidi="en-au"/>
      </w:rPr>
    </w:lvl>
    <w:lvl w:ilvl="5">
      <w:start w:val="0"/>
      <w:numFmt w:val="bullet"/>
      <w:lvlText w:val="•"/>
      <w:lvlJc w:val="left"/>
      <w:pPr>
        <w:ind w:left="6853" w:hanging="108"/>
      </w:pPr>
      <w:rPr>
        <w:rFonts w:hint="default"/>
        <w:lang w:val="en-au" w:eastAsia="en-au" w:bidi="en-au"/>
      </w:rPr>
    </w:lvl>
    <w:lvl w:ilvl="6">
      <w:start w:val="0"/>
      <w:numFmt w:val="bullet"/>
      <w:lvlText w:val="•"/>
      <w:lvlJc w:val="left"/>
      <w:pPr>
        <w:ind w:left="7839" w:hanging="108"/>
      </w:pPr>
      <w:rPr>
        <w:rFonts w:hint="default"/>
        <w:lang w:val="en-au" w:eastAsia="en-au" w:bidi="en-au"/>
      </w:rPr>
    </w:lvl>
    <w:lvl w:ilvl="7">
      <w:start w:val="0"/>
      <w:numFmt w:val="bullet"/>
      <w:lvlText w:val="•"/>
      <w:lvlJc w:val="left"/>
      <w:pPr>
        <w:ind w:left="8826" w:hanging="108"/>
      </w:pPr>
      <w:rPr>
        <w:rFonts w:hint="default"/>
        <w:lang w:val="en-au" w:eastAsia="en-au" w:bidi="en-au"/>
      </w:rPr>
    </w:lvl>
    <w:lvl w:ilvl="8">
      <w:start w:val="0"/>
      <w:numFmt w:val="bullet"/>
      <w:lvlText w:val="•"/>
      <w:lvlJc w:val="left"/>
      <w:pPr>
        <w:ind w:left="9813" w:hanging="108"/>
      </w:pPr>
      <w:rPr>
        <w:rFonts w:hint="default"/>
        <w:lang w:val="en-au" w:eastAsia="en-au" w:bidi="en-au"/>
      </w:rPr>
    </w:lvl>
  </w:abstractNum>
  <w:abstractNum w:abstractNumId="30">
    <w:multiLevelType w:val="hybridMultilevel"/>
    <w:lvl w:ilvl="0">
      <w:start w:val="0"/>
      <w:numFmt w:val="bullet"/>
      <w:lvlText w:val=""/>
      <w:lvlJc w:val="left"/>
      <w:pPr>
        <w:ind w:left="1183" w:hanging="284"/>
      </w:pPr>
      <w:rPr>
        <w:rFonts w:hint="default"/>
        <w:w w:val="99"/>
        <w:lang w:val="en-au" w:eastAsia="en-au" w:bidi="en-au"/>
      </w:rPr>
    </w:lvl>
    <w:lvl w:ilvl="1">
      <w:start w:val="0"/>
      <w:numFmt w:val="bullet"/>
      <w:lvlText w:val="–"/>
      <w:lvlJc w:val="left"/>
      <w:pPr>
        <w:ind w:left="1468" w:hanging="284"/>
      </w:pPr>
      <w:rPr>
        <w:rFonts w:hint="default" w:ascii="Arial" w:hAnsi="Arial" w:eastAsia="Arial" w:cs="Arial"/>
        <w:w w:val="99"/>
        <w:sz w:val="20"/>
        <w:szCs w:val="20"/>
        <w:lang w:val="en-au" w:eastAsia="en-au" w:bidi="en-au"/>
      </w:rPr>
    </w:lvl>
    <w:lvl w:ilvl="2">
      <w:start w:val="0"/>
      <w:numFmt w:val="bullet"/>
      <w:lvlText w:val="•"/>
      <w:lvlJc w:val="left"/>
      <w:pPr>
        <w:ind w:left="2607" w:hanging="284"/>
      </w:pPr>
      <w:rPr>
        <w:rFonts w:hint="default"/>
        <w:lang w:val="en-au" w:eastAsia="en-au" w:bidi="en-au"/>
      </w:rPr>
    </w:lvl>
    <w:lvl w:ilvl="3">
      <w:start w:val="0"/>
      <w:numFmt w:val="bullet"/>
      <w:lvlText w:val="•"/>
      <w:lvlJc w:val="left"/>
      <w:pPr>
        <w:ind w:left="3754" w:hanging="284"/>
      </w:pPr>
      <w:rPr>
        <w:rFonts w:hint="default"/>
        <w:lang w:val="en-au" w:eastAsia="en-au" w:bidi="en-au"/>
      </w:rPr>
    </w:lvl>
    <w:lvl w:ilvl="4">
      <w:start w:val="0"/>
      <w:numFmt w:val="bullet"/>
      <w:lvlText w:val="•"/>
      <w:lvlJc w:val="left"/>
      <w:pPr>
        <w:ind w:left="4902" w:hanging="284"/>
      </w:pPr>
      <w:rPr>
        <w:rFonts w:hint="default"/>
        <w:lang w:val="en-au" w:eastAsia="en-au" w:bidi="en-au"/>
      </w:rPr>
    </w:lvl>
    <w:lvl w:ilvl="5">
      <w:start w:val="0"/>
      <w:numFmt w:val="bullet"/>
      <w:lvlText w:val="•"/>
      <w:lvlJc w:val="left"/>
      <w:pPr>
        <w:ind w:left="6049" w:hanging="284"/>
      </w:pPr>
      <w:rPr>
        <w:rFonts w:hint="default"/>
        <w:lang w:val="en-au" w:eastAsia="en-au" w:bidi="en-au"/>
      </w:rPr>
    </w:lvl>
    <w:lvl w:ilvl="6">
      <w:start w:val="0"/>
      <w:numFmt w:val="bullet"/>
      <w:lvlText w:val="•"/>
      <w:lvlJc w:val="left"/>
      <w:pPr>
        <w:ind w:left="7196" w:hanging="284"/>
      </w:pPr>
      <w:rPr>
        <w:rFonts w:hint="default"/>
        <w:lang w:val="en-au" w:eastAsia="en-au" w:bidi="en-au"/>
      </w:rPr>
    </w:lvl>
    <w:lvl w:ilvl="7">
      <w:start w:val="0"/>
      <w:numFmt w:val="bullet"/>
      <w:lvlText w:val="•"/>
      <w:lvlJc w:val="left"/>
      <w:pPr>
        <w:ind w:left="8344" w:hanging="284"/>
      </w:pPr>
      <w:rPr>
        <w:rFonts w:hint="default"/>
        <w:lang w:val="en-au" w:eastAsia="en-au" w:bidi="en-au"/>
      </w:rPr>
    </w:lvl>
    <w:lvl w:ilvl="8">
      <w:start w:val="0"/>
      <w:numFmt w:val="bullet"/>
      <w:lvlText w:val="•"/>
      <w:lvlJc w:val="left"/>
      <w:pPr>
        <w:ind w:left="9491" w:hanging="284"/>
      </w:pPr>
      <w:rPr>
        <w:rFonts w:hint="default"/>
        <w:lang w:val="en-au" w:eastAsia="en-au" w:bidi="en-au"/>
      </w:rPr>
    </w:lvl>
  </w:abstractNum>
  <w:abstractNum w:abstractNumId="29">
    <w:multiLevelType w:val="hybridMultilevel"/>
    <w:lvl w:ilvl="0">
      <w:start w:val="1"/>
      <w:numFmt w:val="lowerLetter"/>
      <w:lvlText w:val="%1)"/>
      <w:lvlJc w:val="left"/>
      <w:pPr>
        <w:ind w:left="1183" w:hanging="284"/>
        <w:jc w:val="left"/>
      </w:pPr>
      <w:rPr>
        <w:rFonts w:hint="default" w:ascii="Arial" w:hAnsi="Arial" w:eastAsia="Arial" w:cs="Arial"/>
        <w:color w:val="404040"/>
        <w:spacing w:val="-1"/>
        <w:w w:val="99"/>
        <w:sz w:val="20"/>
        <w:szCs w:val="20"/>
        <w:lang w:val="en-au" w:eastAsia="en-au" w:bidi="en-au"/>
      </w:rPr>
    </w:lvl>
    <w:lvl w:ilvl="1">
      <w:start w:val="0"/>
      <w:numFmt w:val="bullet"/>
      <w:lvlText w:val="•"/>
      <w:lvlJc w:val="left"/>
      <w:pPr>
        <w:ind w:left="2240" w:hanging="284"/>
      </w:pPr>
      <w:rPr>
        <w:rFonts w:hint="default"/>
        <w:lang w:val="en-au" w:eastAsia="en-au" w:bidi="en-au"/>
      </w:rPr>
    </w:lvl>
    <w:lvl w:ilvl="2">
      <w:start w:val="0"/>
      <w:numFmt w:val="bullet"/>
      <w:lvlText w:val="•"/>
      <w:lvlJc w:val="left"/>
      <w:pPr>
        <w:ind w:left="3301" w:hanging="284"/>
      </w:pPr>
      <w:rPr>
        <w:rFonts w:hint="default"/>
        <w:lang w:val="en-au" w:eastAsia="en-au" w:bidi="en-au"/>
      </w:rPr>
    </w:lvl>
    <w:lvl w:ilvl="3">
      <w:start w:val="0"/>
      <w:numFmt w:val="bullet"/>
      <w:lvlText w:val="•"/>
      <w:lvlJc w:val="left"/>
      <w:pPr>
        <w:ind w:left="4361" w:hanging="284"/>
      </w:pPr>
      <w:rPr>
        <w:rFonts w:hint="default"/>
        <w:lang w:val="en-au" w:eastAsia="en-au" w:bidi="en-au"/>
      </w:rPr>
    </w:lvl>
    <w:lvl w:ilvl="4">
      <w:start w:val="0"/>
      <w:numFmt w:val="bullet"/>
      <w:lvlText w:val="•"/>
      <w:lvlJc w:val="left"/>
      <w:pPr>
        <w:ind w:left="5422" w:hanging="284"/>
      </w:pPr>
      <w:rPr>
        <w:rFonts w:hint="default"/>
        <w:lang w:val="en-au" w:eastAsia="en-au" w:bidi="en-au"/>
      </w:rPr>
    </w:lvl>
    <w:lvl w:ilvl="5">
      <w:start w:val="0"/>
      <w:numFmt w:val="bullet"/>
      <w:lvlText w:val="•"/>
      <w:lvlJc w:val="left"/>
      <w:pPr>
        <w:ind w:left="6483" w:hanging="284"/>
      </w:pPr>
      <w:rPr>
        <w:rFonts w:hint="default"/>
        <w:lang w:val="en-au" w:eastAsia="en-au" w:bidi="en-au"/>
      </w:rPr>
    </w:lvl>
    <w:lvl w:ilvl="6">
      <w:start w:val="0"/>
      <w:numFmt w:val="bullet"/>
      <w:lvlText w:val="•"/>
      <w:lvlJc w:val="left"/>
      <w:pPr>
        <w:ind w:left="7543" w:hanging="284"/>
      </w:pPr>
      <w:rPr>
        <w:rFonts w:hint="default"/>
        <w:lang w:val="en-au" w:eastAsia="en-au" w:bidi="en-au"/>
      </w:rPr>
    </w:lvl>
    <w:lvl w:ilvl="7">
      <w:start w:val="0"/>
      <w:numFmt w:val="bullet"/>
      <w:lvlText w:val="•"/>
      <w:lvlJc w:val="left"/>
      <w:pPr>
        <w:ind w:left="8604" w:hanging="284"/>
      </w:pPr>
      <w:rPr>
        <w:rFonts w:hint="default"/>
        <w:lang w:val="en-au" w:eastAsia="en-au" w:bidi="en-au"/>
      </w:rPr>
    </w:lvl>
    <w:lvl w:ilvl="8">
      <w:start w:val="0"/>
      <w:numFmt w:val="bullet"/>
      <w:lvlText w:val="•"/>
      <w:lvlJc w:val="left"/>
      <w:pPr>
        <w:ind w:left="9665" w:hanging="284"/>
      </w:pPr>
      <w:rPr>
        <w:rFonts w:hint="default"/>
        <w:lang w:val="en-au" w:eastAsia="en-au" w:bidi="en-au"/>
      </w:rPr>
    </w:lvl>
  </w:abstractNum>
  <w:abstractNum w:abstractNumId="27">
    <w:multiLevelType w:val="hybridMultilevel"/>
    <w:lvl w:ilvl="0">
      <w:start w:val="1"/>
      <w:numFmt w:val="decimal"/>
      <w:lvlText w:val="%1"/>
      <w:lvlJc w:val="left"/>
      <w:pPr>
        <w:ind w:left="466" w:hanging="94"/>
        <w:jc w:val="left"/>
      </w:pPr>
      <w:rPr>
        <w:rFonts w:hint="default" w:ascii="Calibri" w:hAnsi="Calibri" w:eastAsia="Calibri" w:cs="Calibri"/>
        <w:w w:val="99"/>
        <w:sz w:val="14"/>
        <w:szCs w:val="14"/>
        <w:lang w:val="en-au" w:eastAsia="en-au" w:bidi="en-au"/>
      </w:rPr>
    </w:lvl>
    <w:lvl w:ilvl="1">
      <w:start w:val="0"/>
      <w:numFmt w:val="bullet"/>
      <w:lvlText w:val="•"/>
      <w:lvlJc w:val="left"/>
      <w:pPr>
        <w:ind w:left="638" w:hanging="94"/>
      </w:pPr>
      <w:rPr>
        <w:rFonts w:hint="default"/>
        <w:lang w:val="en-au" w:eastAsia="en-au" w:bidi="en-au"/>
      </w:rPr>
    </w:lvl>
    <w:lvl w:ilvl="2">
      <w:start w:val="0"/>
      <w:numFmt w:val="bullet"/>
      <w:lvlText w:val="•"/>
      <w:lvlJc w:val="left"/>
      <w:pPr>
        <w:ind w:left="817" w:hanging="94"/>
      </w:pPr>
      <w:rPr>
        <w:rFonts w:hint="default"/>
        <w:lang w:val="en-au" w:eastAsia="en-au" w:bidi="en-au"/>
      </w:rPr>
    </w:lvl>
    <w:lvl w:ilvl="3">
      <w:start w:val="0"/>
      <w:numFmt w:val="bullet"/>
      <w:lvlText w:val="•"/>
      <w:lvlJc w:val="left"/>
      <w:pPr>
        <w:ind w:left="996" w:hanging="94"/>
      </w:pPr>
      <w:rPr>
        <w:rFonts w:hint="default"/>
        <w:lang w:val="en-au" w:eastAsia="en-au" w:bidi="en-au"/>
      </w:rPr>
    </w:lvl>
    <w:lvl w:ilvl="4">
      <w:start w:val="0"/>
      <w:numFmt w:val="bullet"/>
      <w:lvlText w:val="•"/>
      <w:lvlJc w:val="left"/>
      <w:pPr>
        <w:ind w:left="1175" w:hanging="94"/>
      </w:pPr>
      <w:rPr>
        <w:rFonts w:hint="default"/>
        <w:lang w:val="en-au" w:eastAsia="en-au" w:bidi="en-au"/>
      </w:rPr>
    </w:lvl>
    <w:lvl w:ilvl="5">
      <w:start w:val="0"/>
      <w:numFmt w:val="bullet"/>
      <w:lvlText w:val="•"/>
      <w:lvlJc w:val="left"/>
      <w:pPr>
        <w:ind w:left="1354" w:hanging="94"/>
      </w:pPr>
      <w:rPr>
        <w:rFonts w:hint="default"/>
        <w:lang w:val="en-au" w:eastAsia="en-au" w:bidi="en-au"/>
      </w:rPr>
    </w:lvl>
    <w:lvl w:ilvl="6">
      <w:start w:val="0"/>
      <w:numFmt w:val="bullet"/>
      <w:lvlText w:val="•"/>
      <w:lvlJc w:val="left"/>
      <w:pPr>
        <w:ind w:left="1532" w:hanging="94"/>
      </w:pPr>
      <w:rPr>
        <w:rFonts w:hint="default"/>
        <w:lang w:val="en-au" w:eastAsia="en-au" w:bidi="en-au"/>
      </w:rPr>
    </w:lvl>
    <w:lvl w:ilvl="7">
      <w:start w:val="0"/>
      <w:numFmt w:val="bullet"/>
      <w:lvlText w:val="•"/>
      <w:lvlJc w:val="left"/>
      <w:pPr>
        <w:ind w:left="1711" w:hanging="94"/>
      </w:pPr>
      <w:rPr>
        <w:rFonts w:hint="default"/>
        <w:lang w:val="en-au" w:eastAsia="en-au" w:bidi="en-au"/>
      </w:rPr>
    </w:lvl>
    <w:lvl w:ilvl="8">
      <w:start w:val="0"/>
      <w:numFmt w:val="bullet"/>
      <w:lvlText w:val="•"/>
      <w:lvlJc w:val="left"/>
      <w:pPr>
        <w:ind w:left="1890" w:hanging="94"/>
      </w:pPr>
      <w:rPr>
        <w:rFonts w:hint="default"/>
        <w:lang w:val="en-au" w:eastAsia="en-au" w:bidi="en-au"/>
      </w:rPr>
    </w:lvl>
  </w:abstractNum>
  <w:abstractNum w:abstractNumId="28">
    <w:multiLevelType w:val="hybridMultilevel"/>
    <w:lvl w:ilvl="0">
      <w:start w:val="8"/>
      <w:numFmt w:val="decimal"/>
      <w:lvlText w:val="%1"/>
      <w:lvlJc w:val="left"/>
      <w:pPr>
        <w:ind w:left="664" w:hanging="81"/>
        <w:jc w:val="right"/>
      </w:pPr>
      <w:rPr>
        <w:rFonts w:hint="default" w:ascii="Calibri" w:hAnsi="Calibri" w:eastAsia="Calibri" w:cs="Calibri"/>
        <w:w w:val="100"/>
        <w:sz w:val="12"/>
        <w:szCs w:val="12"/>
        <w:lang w:val="en-au" w:eastAsia="en-au" w:bidi="en-au"/>
      </w:rPr>
    </w:lvl>
    <w:lvl w:ilvl="1">
      <w:start w:val="0"/>
      <w:numFmt w:val="bullet"/>
      <w:lvlText w:val="•"/>
      <w:lvlJc w:val="left"/>
      <w:pPr>
        <w:ind w:left="728" w:hanging="81"/>
      </w:pPr>
      <w:rPr>
        <w:rFonts w:hint="default"/>
        <w:lang w:val="en-au" w:eastAsia="en-au" w:bidi="en-au"/>
      </w:rPr>
    </w:lvl>
    <w:lvl w:ilvl="2">
      <w:start w:val="0"/>
      <w:numFmt w:val="bullet"/>
      <w:lvlText w:val="•"/>
      <w:lvlJc w:val="left"/>
      <w:pPr>
        <w:ind w:left="796" w:hanging="81"/>
      </w:pPr>
      <w:rPr>
        <w:rFonts w:hint="default"/>
        <w:lang w:val="en-au" w:eastAsia="en-au" w:bidi="en-au"/>
      </w:rPr>
    </w:lvl>
    <w:lvl w:ilvl="3">
      <w:start w:val="0"/>
      <w:numFmt w:val="bullet"/>
      <w:lvlText w:val="•"/>
      <w:lvlJc w:val="left"/>
      <w:pPr>
        <w:ind w:left="865" w:hanging="81"/>
      </w:pPr>
      <w:rPr>
        <w:rFonts w:hint="default"/>
        <w:lang w:val="en-au" w:eastAsia="en-au" w:bidi="en-au"/>
      </w:rPr>
    </w:lvl>
    <w:lvl w:ilvl="4">
      <w:start w:val="0"/>
      <w:numFmt w:val="bullet"/>
      <w:lvlText w:val="•"/>
      <w:lvlJc w:val="left"/>
      <w:pPr>
        <w:ind w:left="933" w:hanging="81"/>
      </w:pPr>
      <w:rPr>
        <w:rFonts w:hint="default"/>
        <w:lang w:val="en-au" w:eastAsia="en-au" w:bidi="en-au"/>
      </w:rPr>
    </w:lvl>
    <w:lvl w:ilvl="5">
      <w:start w:val="0"/>
      <w:numFmt w:val="bullet"/>
      <w:lvlText w:val="•"/>
      <w:lvlJc w:val="left"/>
      <w:pPr>
        <w:ind w:left="1002" w:hanging="81"/>
      </w:pPr>
      <w:rPr>
        <w:rFonts w:hint="default"/>
        <w:lang w:val="en-au" w:eastAsia="en-au" w:bidi="en-au"/>
      </w:rPr>
    </w:lvl>
    <w:lvl w:ilvl="6">
      <w:start w:val="0"/>
      <w:numFmt w:val="bullet"/>
      <w:lvlText w:val="•"/>
      <w:lvlJc w:val="left"/>
      <w:pPr>
        <w:ind w:left="1070" w:hanging="81"/>
      </w:pPr>
      <w:rPr>
        <w:rFonts w:hint="default"/>
        <w:lang w:val="en-au" w:eastAsia="en-au" w:bidi="en-au"/>
      </w:rPr>
    </w:lvl>
    <w:lvl w:ilvl="7">
      <w:start w:val="0"/>
      <w:numFmt w:val="bullet"/>
      <w:lvlText w:val="•"/>
      <w:lvlJc w:val="left"/>
      <w:pPr>
        <w:ind w:left="1139" w:hanging="81"/>
      </w:pPr>
      <w:rPr>
        <w:rFonts w:hint="default"/>
        <w:lang w:val="en-au" w:eastAsia="en-au" w:bidi="en-au"/>
      </w:rPr>
    </w:lvl>
    <w:lvl w:ilvl="8">
      <w:start w:val="0"/>
      <w:numFmt w:val="bullet"/>
      <w:lvlText w:val="•"/>
      <w:lvlJc w:val="left"/>
      <w:pPr>
        <w:ind w:left="1207" w:hanging="81"/>
      </w:pPr>
      <w:rPr>
        <w:rFonts w:hint="default"/>
        <w:lang w:val="en-au" w:eastAsia="en-au" w:bidi="en-au"/>
      </w:rPr>
    </w:lvl>
  </w:abstractNum>
  <w:abstractNum w:abstractNumId="26">
    <w:multiLevelType w:val="hybridMultilevel"/>
    <w:lvl w:ilvl="0">
      <w:start w:val="0"/>
      <w:numFmt w:val="bullet"/>
      <w:lvlText w:val=""/>
      <w:lvlJc w:val="left"/>
      <w:pPr>
        <w:ind w:left="1183" w:hanging="284"/>
      </w:pPr>
      <w:rPr>
        <w:rFonts w:hint="default" w:ascii="Symbol" w:hAnsi="Symbol" w:eastAsia="Symbol" w:cs="Symbol"/>
        <w:w w:val="99"/>
        <w:sz w:val="20"/>
        <w:szCs w:val="20"/>
        <w:lang w:val="en-au" w:eastAsia="en-au" w:bidi="en-au"/>
      </w:rPr>
    </w:lvl>
    <w:lvl w:ilvl="1">
      <w:start w:val="0"/>
      <w:numFmt w:val="bullet"/>
      <w:lvlText w:val="•"/>
      <w:lvlJc w:val="left"/>
      <w:pPr>
        <w:ind w:left="1460" w:hanging="284"/>
      </w:pPr>
      <w:rPr>
        <w:rFonts w:hint="default"/>
        <w:lang w:val="en-au" w:eastAsia="en-au" w:bidi="en-au"/>
      </w:rPr>
    </w:lvl>
    <w:lvl w:ilvl="2">
      <w:start w:val="0"/>
      <w:numFmt w:val="bullet"/>
      <w:lvlText w:val="•"/>
      <w:lvlJc w:val="left"/>
      <w:pPr>
        <w:ind w:left="2607" w:hanging="284"/>
      </w:pPr>
      <w:rPr>
        <w:rFonts w:hint="default"/>
        <w:lang w:val="en-au" w:eastAsia="en-au" w:bidi="en-au"/>
      </w:rPr>
    </w:lvl>
    <w:lvl w:ilvl="3">
      <w:start w:val="0"/>
      <w:numFmt w:val="bullet"/>
      <w:lvlText w:val="•"/>
      <w:lvlJc w:val="left"/>
      <w:pPr>
        <w:ind w:left="3754" w:hanging="284"/>
      </w:pPr>
      <w:rPr>
        <w:rFonts w:hint="default"/>
        <w:lang w:val="en-au" w:eastAsia="en-au" w:bidi="en-au"/>
      </w:rPr>
    </w:lvl>
    <w:lvl w:ilvl="4">
      <w:start w:val="0"/>
      <w:numFmt w:val="bullet"/>
      <w:lvlText w:val="•"/>
      <w:lvlJc w:val="left"/>
      <w:pPr>
        <w:ind w:left="4902" w:hanging="284"/>
      </w:pPr>
      <w:rPr>
        <w:rFonts w:hint="default"/>
        <w:lang w:val="en-au" w:eastAsia="en-au" w:bidi="en-au"/>
      </w:rPr>
    </w:lvl>
    <w:lvl w:ilvl="5">
      <w:start w:val="0"/>
      <w:numFmt w:val="bullet"/>
      <w:lvlText w:val="•"/>
      <w:lvlJc w:val="left"/>
      <w:pPr>
        <w:ind w:left="6049" w:hanging="284"/>
      </w:pPr>
      <w:rPr>
        <w:rFonts w:hint="default"/>
        <w:lang w:val="en-au" w:eastAsia="en-au" w:bidi="en-au"/>
      </w:rPr>
    </w:lvl>
    <w:lvl w:ilvl="6">
      <w:start w:val="0"/>
      <w:numFmt w:val="bullet"/>
      <w:lvlText w:val="•"/>
      <w:lvlJc w:val="left"/>
      <w:pPr>
        <w:ind w:left="7196" w:hanging="284"/>
      </w:pPr>
      <w:rPr>
        <w:rFonts w:hint="default"/>
        <w:lang w:val="en-au" w:eastAsia="en-au" w:bidi="en-au"/>
      </w:rPr>
    </w:lvl>
    <w:lvl w:ilvl="7">
      <w:start w:val="0"/>
      <w:numFmt w:val="bullet"/>
      <w:lvlText w:val="•"/>
      <w:lvlJc w:val="left"/>
      <w:pPr>
        <w:ind w:left="8344" w:hanging="284"/>
      </w:pPr>
      <w:rPr>
        <w:rFonts w:hint="default"/>
        <w:lang w:val="en-au" w:eastAsia="en-au" w:bidi="en-au"/>
      </w:rPr>
    </w:lvl>
    <w:lvl w:ilvl="8">
      <w:start w:val="0"/>
      <w:numFmt w:val="bullet"/>
      <w:lvlText w:val="•"/>
      <w:lvlJc w:val="left"/>
      <w:pPr>
        <w:ind w:left="9491" w:hanging="284"/>
      </w:pPr>
      <w:rPr>
        <w:rFonts w:hint="default"/>
        <w:lang w:val="en-au" w:eastAsia="en-au" w:bidi="en-au"/>
      </w:rPr>
    </w:lvl>
  </w:abstractNum>
  <w:abstractNum w:abstractNumId="25">
    <w:multiLevelType w:val="hybridMultilevel"/>
    <w:lvl w:ilvl="0">
      <w:start w:val="8"/>
      <w:numFmt w:val="decimal"/>
      <w:lvlText w:val="%1"/>
      <w:lvlJc w:val="left"/>
      <w:pPr>
        <w:ind w:left="664" w:hanging="81"/>
        <w:jc w:val="right"/>
      </w:pPr>
      <w:rPr>
        <w:rFonts w:hint="default" w:ascii="Calibri" w:hAnsi="Calibri" w:eastAsia="Calibri" w:cs="Calibri"/>
        <w:w w:val="100"/>
        <w:sz w:val="12"/>
        <w:szCs w:val="12"/>
        <w:lang w:val="en-au" w:eastAsia="en-au" w:bidi="en-au"/>
      </w:rPr>
    </w:lvl>
    <w:lvl w:ilvl="1">
      <w:start w:val="0"/>
      <w:numFmt w:val="bullet"/>
      <w:lvlText w:val="•"/>
      <w:lvlJc w:val="left"/>
      <w:pPr>
        <w:ind w:left="1920" w:hanging="81"/>
      </w:pPr>
      <w:rPr>
        <w:rFonts w:hint="default"/>
        <w:lang w:val="en-au" w:eastAsia="en-au" w:bidi="en-au"/>
      </w:rPr>
    </w:lvl>
    <w:lvl w:ilvl="2">
      <w:start w:val="0"/>
      <w:numFmt w:val="bullet"/>
      <w:lvlText w:val="•"/>
      <w:lvlJc w:val="left"/>
      <w:pPr>
        <w:ind w:left="1856" w:hanging="81"/>
      </w:pPr>
      <w:rPr>
        <w:rFonts w:hint="default"/>
        <w:lang w:val="en-au" w:eastAsia="en-au" w:bidi="en-au"/>
      </w:rPr>
    </w:lvl>
    <w:lvl w:ilvl="3">
      <w:start w:val="0"/>
      <w:numFmt w:val="bullet"/>
      <w:lvlText w:val="•"/>
      <w:lvlJc w:val="left"/>
      <w:pPr>
        <w:ind w:left="1792" w:hanging="81"/>
      </w:pPr>
      <w:rPr>
        <w:rFonts w:hint="default"/>
        <w:lang w:val="en-au" w:eastAsia="en-au" w:bidi="en-au"/>
      </w:rPr>
    </w:lvl>
    <w:lvl w:ilvl="4">
      <w:start w:val="0"/>
      <w:numFmt w:val="bullet"/>
      <w:lvlText w:val="•"/>
      <w:lvlJc w:val="left"/>
      <w:pPr>
        <w:ind w:left="1728" w:hanging="81"/>
      </w:pPr>
      <w:rPr>
        <w:rFonts w:hint="default"/>
        <w:lang w:val="en-au" w:eastAsia="en-au" w:bidi="en-au"/>
      </w:rPr>
    </w:lvl>
    <w:lvl w:ilvl="5">
      <w:start w:val="0"/>
      <w:numFmt w:val="bullet"/>
      <w:lvlText w:val="•"/>
      <w:lvlJc w:val="left"/>
      <w:pPr>
        <w:ind w:left="1664" w:hanging="81"/>
      </w:pPr>
      <w:rPr>
        <w:rFonts w:hint="default"/>
        <w:lang w:val="en-au" w:eastAsia="en-au" w:bidi="en-au"/>
      </w:rPr>
    </w:lvl>
    <w:lvl w:ilvl="6">
      <w:start w:val="0"/>
      <w:numFmt w:val="bullet"/>
      <w:lvlText w:val="•"/>
      <w:lvlJc w:val="left"/>
      <w:pPr>
        <w:ind w:left="1600" w:hanging="81"/>
      </w:pPr>
      <w:rPr>
        <w:rFonts w:hint="default"/>
        <w:lang w:val="en-au" w:eastAsia="en-au" w:bidi="en-au"/>
      </w:rPr>
    </w:lvl>
    <w:lvl w:ilvl="7">
      <w:start w:val="0"/>
      <w:numFmt w:val="bullet"/>
      <w:lvlText w:val="•"/>
      <w:lvlJc w:val="left"/>
      <w:pPr>
        <w:ind w:left="1536" w:hanging="81"/>
      </w:pPr>
      <w:rPr>
        <w:rFonts w:hint="default"/>
        <w:lang w:val="en-au" w:eastAsia="en-au" w:bidi="en-au"/>
      </w:rPr>
    </w:lvl>
    <w:lvl w:ilvl="8">
      <w:start w:val="0"/>
      <w:numFmt w:val="bullet"/>
      <w:lvlText w:val="•"/>
      <w:lvlJc w:val="left"/>
      <w:pPr>
        <w:ind w:left="1472" w:hanging="81"/>
      </w:pPr>
      <w:rPr>
        <w:rFonts w:hint="default"/>
        <w:lang w:val="en-au" w:eastAsia="en-au" w:bidi="en-au"/>
      </w:rPr>
    </w:lvl>
  </w:abstractNum>
  <w:abstractNum w:abstractNumId="24">
    <w:multiLevelType w:val="hybridMultilevel"/>
    <w:lvl w:ilvl="0">
      <w:start w:val="1"/>
      <w:numFmt w:val="decimal"/>
      <w:lvlText w:val="%1"/>
      <w:lvlJc w:val="left"/>
      <w:pPr>
        <w:ind w:left="466" w:hanging="94"/>
        <w:jc w:val="left"/>
      </w:pPr>
      <w:rPr>
        <w:rFonts w:hint="default" w:ascii="Calibri" w:hAnsi="Calibri" w:eastAsia="Calibri" w:cs="Calibri"/>
        <w:w w:val="99"/>
        <w:sz w:val="14"/>
        <w:szCs w:val="14"/>
        <w:lang w:val="en-au" w:eastAsia="en-au" w:bidi="en-au"/>
      </w:rPr>
    </w:lvl>
    <w:lvl w:ilvl="1">
      <w:start w:val="0"/>
      <w:numFmt w:val="bullet"/>
      <w:lvlText w:val="•"/>
      <w:lvlJc w:val="left"/>
      <w:pPr>
        <w:ind w:left="638" w:hanging="94"/>
      </w:pPr>
      <w:rPr>
        <w:rFonts w:hint="default"/>
        <w:lang w:val="en-au" w:eastAsia="en-au" w:bidi="en-au"/>
      </w:rPr>
    </w:lvl>
    <w:lvl w:ilvl="2">
      <w:start w:val="0"/>
      <w:numFmt w:val="bullet"/>
      <w:lvlText w:val="•"/>
      <w:lvlJc w:val="left"/>
      <w:pPr>
        <w:ind w:left="817" w:hanging="94"/>
      </w:pPr>
      <w:rPr>
        <w:rFonts w:hint="default"/>
        <w:lang w:val="en-au" w:eastAsia="en-au" w:bidi="en-au"/>
      </w:rPr>
    </w:lvl>
    <w:lvl w:ilvl="3">
      <w:start w:val="0"/>
      <w:numFmt w:val="bullet"/>
      <w:lvlText w:val="•"/>
      <w:lvlJc w:val="left"/>
      <w:pPr>
        <w:ind w:left="996" w:hanging="94"/>
      </w:pPr>
      <w:rPr>
        <w:rFonts w:hint="default"/>
        <w:lang w:val="en-au" w:eastAsia="en-au" w:bidi="en-au"/>
      </w:rPr>
    </w:lvl>
    <w:lvl w:ilvl="4">
      <w:start w:val="0"/>
      <w:numFmt w:val="bullet"/>
      <w:lvlText w:val="•"/>
      <w:lvlJc w:val="left"/>
      <w:pPr>
        <w:ind w:left="1175" w:hanging="94"/>
      </w:pPr>
      <w:rPr>
        <w:rFonts w:hint="default"/>
        <w:lang w:val="en-au" w:eastAsia="en-au" w:bidi="en-au"/>
      </w:rPr>
    </w:lvl>
    <w:lvl w:ilvl="5">
      <w:start w:val="0"/>
      <w:numFmt w:val="bullet"/>
      <w:lvlText w:val="•"/>
      <w:lvlJc w:val="left"/>
      <w:pPr>
        <w:ind w:left="1354" w:hanging="94"/>
      </w:pPr>
      <w:rPr>
        <w:rFonts w:hint="default"/>
        <w:lang w:val="en-au" w:eastAsia="en-au" w:bidi="en-au"/>
      </w:rPr>
    </w:lvl>
    <w:lvl w:ilvl="6">
      <w:start w:val="0"/>
      <w:numFmt w:val="bullet"/>
      <w:lvlText w:val="•"/>
      <w:lvlJc w:val="left"/>
      <w:pPr>
        <w:ind w:left="1532" w:hanging="94"/>
      </w:pPr>
      <w:rPr>
        <w:rFonts w:hint="default"/>
        <w:lang w:val="en-au" w:eastAsia="en-au" w:bidi="en-au"/>
      </w:rPr>
    </w:lvl>
    <w:lvl w:ilvl="7">
      <w:start w:val="0"/>
      <w:numFmt w:val="bullet"/>
      <w:lvlText w:val="•"/>
      <w:lvlJc w:val="left"/>
      <w:pPr>
        <w:ind w:left="1711" w:hanging="94"/>
      </w:pPr>
      <w:rPr>
        <w:rFonts w:hint="default"/>
        <w:lang w:val="en-au" w:eastAsia="en-au" w:bidi="en-au"/>
      </w:rPr>
    </w:lvl>
    <w:lvl w:ilvl="8">
      <w:start w:val="0"/>
      <w:numFmt w:val="bullet"/>
      <w:lvlText w:val="•"/>
      <w:lvlJc w:val="left"/>
      <w:pPr>
        <w:ind w:left="1890" w:hanging="94"/>
      </w:pPr>
      <w:rPr>
        <w:rFonts w:hint="default"/>
        <w:lang w:val="en-au" w:eastAsia="en-au" w:bidi="en-au"/>
      </w:rPr>
    </w:lvl>
  </w:abstractNum>
  <w:abstractNum w:abstractNumId="23">
    <w:multiLevelType w:val="hybridMultilevel"/>
    <w:lvl w:ilvl="0">
      <w:start w:val="0"/>
      <w:numFmt w:val="bullet"/>
      <w:lvlText w:val=""/>
      <w:lvlJc w:val="left"/>
      <w:pPr>
        <w:ind w:left="391" w:hanging="284"/>
      </w:pPr>
      <w:rPr>
        <w:rFonts w:hint="default" w:ascii="Symbol" w:hAnsi="Symbol" w:eastAsia="Symbol" w:cs="Symbol"/>
        <w:w w:val="99"/>
        <w:sz w:val="20"/>
        <w:szCs w:val="20"/>
        <w:lang w:val="en-au" w:eastAsia="en-au" w:bidi="en-au"/>
      </w:rPr>
    </w:lvl>
    <w:lvl w:ilvl="1">
      <w:start w:val="0"/>
      <w:numFmt w:val="bullet"/>
      <w:lvlText w:val="•"/>
      <w:lvlJc w:val="left"/>
      <w:pPr>
        <w:ind w:left="1346" w:hanging="284"/>
      </w:pPr>
      <w:rPr>
        <w:rFonts w:hint="default"/>
        <w:lang w:val="en-au" w:eastAsia="en-au" w:bidi="en-au"/>
      </w:rPr>
    </w:lvl>
    <w:lvl w:ilvl="2">
      <w:start w:val="0"/>
      <w:numFmt w:val="bullet"/>
      <w:lvlText w:val="•"/>
      <w:lvlJc w:val="left"/>
      <w:pPr>
        <w:ind w:left="2293" w:hanging="284"/>
      </w:pPr>
      <w:rPr>
        <w:rFonts w:hint="default"/>
        <w:lang w:val="en-au" w:eastAsia="en-au" w:bidi="en-au"/>
      </w:rPr>
    </w:lvl>
    <w:lvl w:ilvl="3">
      <w:start w:val="0"/>
      <w:numFmt w:val="bullet"/>
      <w:lvlText w:val="•"/>
      <w:lvlJc w:val="left"/>
      <w:pPr>
        <w:ind w:left="3239" w:hanging="284"/>
      </w:pPr>
      <w:rPr>
        <w:rFonts w:hint="default"/>
        <w:lang w:val="en-au" w:eastAsia="en-au" w:bidi="en-au"/>
      </w:rPr>
    </w:lvl>
    <w:lvl w:ilvl="4">
      <w:start w:val="0"/>
      <w:numFmt w:val="bullet"/>
      <w:lvlText w:val="•"/>
      <w:lvlJc w:val="left"/>
      <w:pPr>
        <w:ind w:left="4186" w:hanging="284"/>
      </w:pPr>
      <w:rPr>
        <w:rFonts w:hint="default"/>
        <w:lang w:val="en-au" w:eastAsia="en-au" w:bidi="en-au"/>
      </w:rPr>
    </w:lvl>
    <w:lvl w:ilvl="5">
      <w:start w:val="0"/>
      <w:numFmt w:val="bullet"/>
      <w:lvlText w:val="•"/>
      <w:lvlJc w:val="left"/>
      <w:pPr>
        <w:ind w:left="5133" w:hanging="284"/>
      </w:pPr>
      <w:rPr>
        <w:rFonts w:hint="default"/>
        <w:lang w:val="en-au" w:eastAsia="en-au" w:bidi="en-au"/>
      </w:rPr>
    </w:lvl>
    <w:lvl w:ilvl="6">
      <w:start w:val="0"/>
      <w:numFmt w:val="bullet"/>
      <w:lvlText w:val="•"/>
      <w:lvlJc w:val="left"/>
      <w:pPr>
        <w:ind w:left="6079" w:hanging="284"/>
      </w:pPr>
      <w:rPr>
        <w:rFonts w:hint="default"/>
        <w:lang w:val="en-au" w:eastAsia="en-au" w:bidi="en-au"/>
      </w:rPr>
    </w:lvl>
    <w:lvl w:ilvl="7">
      <w:start w:val="0"/>
      <w:numFmt w:val="bullet"/>
      <w:lvlText w:val="•"/>
      <w:lvlJc w:val="left"/>
      <w:pPr>
        <w:ind w:left="7026" w:hanging="284"/>
      </w:pPr>
      <w:rPr>
        <w:rFonts w:hint="default"/>
        <w:lang w:val="en-au" w:eastAsia="en-au" w:bidi="en-au"/>
      </w:rPr>
    </w:lvl>
    <w:lvl w:ilvl="8">
      <w:start w:val="0"/>
      <w:numFmt w:val="bullet"/>
      <w:lvlText w:val="•"/>
      <w:lvlJc w:val="left"/>
      <w:pPr>
        <w:ind w:left="7973" w:hanging="284"/>
      </w:pPr>
      <w:rPr>
        <w:rFonts w:hint="default"/>
        <w:lang w:val="en-au" w:eastAsia="en-au" w:bidi="en-au"/>
      </w:rPr>
    </w:lvl>
  </w:abstractNum>
  <w:abstractNum w:abstractNumId="22">
    <w:multiLevelType w:val="hybridMultilevel"/>
    <w:lvl w:ilvl="0">
      <w:start w:val="0"/>
      <w:numFmt w:val="bullet"/>
      <w:lvlText w:val=""/>
      <w:lvlJc w:val="left"/>
      <w:pPr>
        <w:ind w:left="391" w:hanging="284"/>
      </w:pPr>
      <w:rPr>
        <w:rFonts w:hint="default" w:ascii="Symbol" w:hAnsi="Symbol" w:eastAsia="Symbol" w:cs="Symbol"/>
        <w:w w:val="99"/>
        <w:sz w:val="20"/>
        <w:szCs w:val="20"/>
        <w:lang w:val="en-au" w:eastAsia="en-au" w:bidi="en-au"/>
      </w:rPr>
    </w:lvl>
    <w:lvl w:ilvl="1">
      <w:start w:val="0"/>
      <w:numFmt w:val="bullet"/>
      <w:lvlText w:val="•"/>
      <w:lvlJc w:val="left"/>
      <w:pPr>
        <w:ind w:left="1346" w:hanging="284"/>
      </w:pPr>
      <w:rPr>
        <w:rFonts w:hint="default"/>
        <w:lang w:val="en-au" w:eastAsia="en-au" w:bidi="en-au"/>
      </w:rPr>
    </w:lvl>
    <w:lvl w:ilvl="2">
      <w:start w:val="0"/>
      <w:numFmt w:val="bullet"/>
      <w:lvlText w:val="•"/>
      <w:lvlJc w:val="left"/>
      <w:pPr>
        <w:ind w:left="2293" w:hanging="284"/>
      </w:pPr>
      <w:rPr>
        <w:rFonts w:hint="default"/>
        <w:lang w:val="en-au" w:eastAsia="en-au" w:bidi="en-au"/>
      </w:rPr>
    </w:lvl>
    <w:lvl w:ilvl="3">
      <w:start w:val="0"/>
      <w:numFmt w:val="bullet"/>
      <w:lvlText w:val="•"/>
      <w:lvlJc w:val="left"/>
      <w:pPr>
        <w:ind w:left="3239" w:hanging="284"/>
      </w:pPr>
      <w:rPr>
        <w:rFonts w:hint="default"/>
        <w:lang w:val="en-au" w:eastAsia="en-au" w:bidi="en-au"/>
      </w:rPr>
    </w:lvl>
    <w:lvl w:ilvl="4">
      <w:start w:val="0"/>
      <w:numFmt w:val="bullet"/>
      <w:lvlText w:val="•"/>
      <w:lvlJc w:val="left"/>
      <w:pPr>
        <w:ind w:left="4186" w:hanging="284"/>
      </w:pPr>
      <w:rPr>
        <w:rFonts w:hint="default"/>
        <w:lang w:val="en-au" w:eastAsia="en-au" w:bidi="en-au"/>
      </w:rPr>
    </w:lvl>
    <w:lvl w:ilvl="5">
      <w:start w:val="0"/>
      <w:numFmt w:val="bullet"/>
      <w:lvlText w:val="•"/>
      <w:lvlJc w:val="left"/>
      <w:pPr>
        <w:ind w:left="5133" w:hanging="284"/>
      </w:pPr>
      <w:rPr>
        <w:rFonts w:hint="default"/>
        <w:lang w:val="en-au" w:eastAsia="en-au" w:bidi="en-au"/>
      </w:rPr>
    </w:lvl>
    <w:lvl w:ilvl="6">
      <w:start w:val="0"/>
      <w:numFmt w:val="bullet"/>
      <w:lvlText w:val="•"/>
      <w:lvlJc w:val="left"/>
      <w:pPr>
        <w:ind w:left="6079" w:hanging="284"/>
      </w:pPr>
      <w:rPr>
        <w:rFonts w:hint="default"/>
        <w:lang w:val="en-au" w:eastAsia="en-au" w:bidi="en-au"/>
      </w:rPr>
    </w:lvl>
    <w:lvl w:ilvl="7">
      <w:start w:val="0"/>
      <w:numFmt w:val="bullet"/>
      <w:lvlText w:val="•"/>
      <w:lvlJc w:val="left"/>
      <w:pPr>
        <w:ind w:left="7026" w:hanging="284"/>
      </w:pPr>
      <w:rPr>
        <w:rFonts w:hint="default"/>
        <w:lang w:val="en-au" w:eastAsia="en-au" w:bidi="en-au"/>
      </w:rPr>
    </w:lvl>
    <w:lvl w:ilvl="8">
      <w:start w:val="0"/>
      <w:numFmt w:val="bullet"/>
      <w:lvlText w:val="•"/>
      <w:lvlJc w:val="left"/>
      <w:pPr>
        <w:ind w:left="7973" w:hanging="284"/>
      </w:pPr>
      <w:rPr>
        <w:rFonts w:hint="default"/>
        <w:lang w:val="en-au" w:eastAsia="en-au" w:bidi="en-au"/>
      </w:rPr>
    </w:lvl>
  </w:abstractNum>
  <w:abstractNum w:abstractNumId="21">
    <w:multiLevelType w:val="hybridMultilevel"/>
    <w:lvl w:ilvl="0">
      <w:start w:val="3"/>
      <w:numFmt w:val="decimal"/>
      <w:lvlText w:val="%1"/>
      <w:lvlJc w:val="left"/>
      <w:pPr>
        <w:ind w:left="1752" w:hanging="853"/>
        <w:jc w:val="right"/>
      </w:pPr>
      <w:rPr>
        <w:rFonts w:hint="default"/>
        <w:w w:val="100"/>
        <w:lang w:val="en-au" w:eastAsia="en-au" w:bidi="en-au"/>
      </w:rPr>
    </w:lvl>
    <w:lvl w:ilvl="1">
      <w:start w:val="1"/>
      <w:numFmt w:val="decimal"/>
      <w:lvlText w:val="%1.%2"/>
      <w:lvlJc w:val="left"/>
      <w:pPr>
        <w:ind w:left="1752" w:hanging="853"/>
        <w:jc w:val="left"/>
      </w:pPr>
      <w:rPr>
        <w:rFonts w:hint="default" w:ascii="Arial" w:hAnsi="Arial" w:eastAsia="Arial" w:cs="Arial"/>
        <w:color w:val="DF2F28"/>
        <w:spacing w:val="-1"/>
        <w:w w:val="100"/>
        <w:sz w:val="28"/>
        <w:szCs w:val="28"/>
        <w:lang w:val="en-au" w:eastAsia="en-au" w:bidi="en-au"/>
      </w:rPr>
    </w:lvl>
    <w:lvl w:ilvl="2">
      <w:start w:val="1"/>
      <w:numFmt w:val="decimal"/>
      <w:lvlText w:val="%3."/>
      <w:lvlJc w:val="left"/>
      <w:pPr>
        <w:ind w:left="1620" w:hanging="361"/>
        <w:jc w:val="left"/>
      </w:pPr>
      <w:rPr>
        <w:rFonts w:hint="default" w:ascii="Arial" w:hAnsi="Arial" w:eastAsia="Arial" w:cs="Arial"/>
        <w:color w:val="DF2F1E"/>
        <w:spacing w:val="-1"/>
        <w:w w:val="100"/>
        <w:sz w:val="16"/>
        <w:szCs w:val="16"/>
        <w:lang w:val="en-au" w:eastAsia="en-au" w:bidi="en-au"/>
      </w:rPr>
    </w:lvl>
    <w:lvl w:ilvl="3">
      <w:start w:val="0"/>
      <w:numFmt w:val="bullet"/>
      <w:lvlText w:val="•"/>
      <w:lvlJc w:val="left"/>
      <w:pPr>
        <w:ind w:left="1500" w:hanging="361"/>
      </w:pPr>
      <w:rPr>
        <w:rFonts w:hint="default"/>
        <w:lang w:val="en-au" w:eastAsia="en-au" w:bidi="en-au"/>
      </w:rPr>
    </w:lvl>
    <w:lvl w:ilvl="4">
      <w:start w:val="0"/>
      <w:numFmt w:val="bullet"/>
      <w:lvlText w:val="•"/>
      <w:lvlJc w:val="left"/>
      <w:pPr>
        <w:ind w:left="1620" w:hanging="361"/>
      </w:pPr>
      <w:rPr>
        <w:rFonts w:hint="default"/>
        <w:lang w:val="en-au" w:eastAsia="en-au" w:bidi="en-au"/>
      </w:rPr>
    </w:lvl>
    <w:lvl w:ilvl="5">
      <w:start w:val="0"/>
      <w:numFmt w:val="bullet"/>
      <w:lvlText w:val="•"/>
      <w:lvlJc w:val="left"/>
      <w:pPr>
        <w:ind w:left="1760" w:hanging="361"/>
      </w:pPr>
      <w:rPr>
        <w:rFonts w:hint="default"/>
        <w:lang w:val="en-au" w:eastAsia="en-au" w:bidi="en-au"/>
      </w:rPr>
    </w:lvl>
    <w:lvl w:ilvl="6">
      <w:start w:val="0"/>
      <w:numFmt w:val="bullet"/>
      <w:lvlText w:val="•"/>
      <w:lvlJc w:val="left"/>
      <w:pPr>
        <w:ind w:left="1920" w:hanging="361"/>
      </w:pPr>
      <w:rPr>
        <w:rFonts w:hint="default"/>
        <w:lang w:val="en-au" w:eastAsia="en-au" w:bidi="en-au"/>
      </w:rPr>
    </w:lvl>
    <w:lvl w:ilvl="7">
      <w:start w:val="0"/>
      <w:numFmt w:val="bullet"/>
      <w:lvlText w:val="•"/>
      <w:lvlJc w:val="left"/>
      <w:pPr>
        <w:ind w:left="1152" w:hanging="361"/>
      </w:pPr>
      <w:rPr>
        <w:rFonts w:hint="default"/>
        <w:lang w:val="en-au" w:eastAsia="en-au" w:bidi="en-au"/>
      </w:rPr>
    </w:lvl>
    <w:lvl w:ilvl="8">
      <w:start w:val="0"/>
      <w:numFmt w:val="bullet"/>
      <w:lvlText w:val="•"/>
      <w:lvlJc w:val="left"/>
      <w:pPr>
        <w:ind w:left="384" w:hanging="361"/>
      </w:pPr>
      <w:rPr>
        <w:rFonts w:hint="default"/>
        <w:lang w:val="en-au" w:eastAsia="en-au" w:bidi="en-au"/>
      </w:rPr>
    </w:lvl>
  </w:abstractNum>
  <w:abstractNum w:abstractNumId="20">
    <w:multiLevelType w:val="hybridMultilevel"/>
    <w:lvl w:ilvl="0">
      <w:start w:val="0"/>
      <w:numFmt w:val="bullet"/>
      <w:lvlText w:val=""/>
      <w:lvlJc w:val="left"/>
      <w:pPr>
        <w:ind w:left="1183" w:hanging="284"/>
      </w:pPr>
      <w:rPr>
        <w:rFonts w:hint="default" w:ascii="Symbol" w:hAnsi="Symbol" w:eastAsia="Symbol" w:cs="Symbol"/>
        <w:w w:val="99"/>
        <w:sz w:val="20"/>
        <w:szCs w:val="20"/>
        <w:lang w:val="en-au" w:eastAsia="en-au" w:bidi="en-au"/>
      </w:rPr>
    </w:lvl>
    <w:lvl w:ilvl="1">
      <w:start w:val="0"/>
      <w:numFmt w:val="bullet"/>
      <w:lvlText w:val="–"/>
      <w:lvlJc w:val="left"/>
      <w:pPr>
        <w:ind w:left="1468" w:hanging="284"/>
      </w:pPr>
      <w:rPr>
        <w:rFonts w:hint="default" w:ascii="Arial" w:hAnsi="Arial" w:eastAsia="Arial" w:cs="Arial"/>
        <w:w w:val="99"/>
        <w:sz w:val="20"/>
        <w:szCs w:val="20"/>
        <w:lang w:val="en-au" w:eastAsia="en-au" w:bidi="en-au"/>
      </w:rPr>
    </w:lvl>
    <w:lvl w:ilvl="2">
      <w:start w:val="0"/>
      <w:numFmt w:val="bullet"/>
      <w:lvlText w:val="•"/>
      <w:lvlJc w:val="left"/>
      <w:pPr>
        <w:ind w:left="2607" w:hanging="284"/>
      </w:pPr>
      <w:rPr>
        <w:rFonts w:hint="default"/>
        <w:lang w:val="en-au" w:eastAsia="en-au" w:bidi="en-au"/>
      </w:rPr>
    </w:lvl>
    <w:lvl w:ilvl="3">
      <w:start w:val="0"/>
      <w:numFmt w:val="bullet"/>
      <w:lvlText w:val="•"/>
      <w:lvlJc w:val="left"/>
      <w:pPr>
        <w:ind w:left="3754" w:hanging="284"/>
      </w:pPr>
      <w:rPr>
        <w:rFonts w:hint="default"/>
        <w:lang w:val="en-au" w:eastAsia="en-au" w:bidi="en-au"/>
      </w:rPr>
    </w:lvl>
    <w:lvl w:ilvl="4">
      <w:start w:val="0"/>
      <w:numFmt w:val="bullet"/>
      <w:lvlText w:val="•"/>
      <w:lvlJc w:val="left"/>
      <w:pPr>
        <w:ind w:left="4902" w:hanging="284"/>
      </w:pPr>
      <w:rPr>
        <w:rFonts w:hint="default"/>
        <w:lang w:val="en-au" w:eastAsia="en-au" w:bidi="en-au"/>
      </w:rPr>
    </w:lvl>
    <w:lvl w:ilvl="5">
      <w:start w:val="0"/>
      <w:numFmt w:val="bullet"/>
      <w:lvlText w:val="•"/>
      <w:lvlJc w:val="left"/>
      <w:pPr>
        <w:ind w:left="6049" w:hanging="284"/>
      </w:pPr>
      <w:rPr>
        <w:rFonts w:hint="default"/>
        <w:lang w:val="en-au" w:eastAsia="en-au" w:bidi="en-au"/>
      </w:rPr>
    </w:lvl>
    <w:lvl w:ilvl="6">
      <w:start w:val="0"/>
      <w:numFmt w:val="bullet"/>
      <w:lvlText w:val="•"/>
      <w:lvlJc w:val="left"/>
      <w:pPr>
        <w:ind w:left="7196" w:hanging="284"/>
      </w:pPr>
      <w:rPr>
        <w:rFonts w:hint="default"/>
        <w:lang w:val="en-au" w:eastAsia="en-au" w:bidi="en-au"/>
      </w:rPr>
    </w:lvl>
    <w:lvl w:ilvl="7">
      <w:start w:val="0"/>
      <w:numFmt w:val="bullet"/>
      <w:lvlText w:val="•"/>
      <w:lvlJc w:val="left"/>
      <w:pPr>
        <w:ind w:left="8344" w:hanging="284"/>
      </w:pPr>
      <w:rPr>
        <w:rFonts w:hint="default"/>
        <w:lang w:val="en-au" w:eastAsia="en-au" w:bidi="en-au"/>
      </w:rPr>
    </w:lvl>
    <w:lvl w:ilvl="8">
      <w:start w:val="0"/>
      <w:numFmt w:val="bullet"/>
      <w:lvlText w:val="•"/>
      <w:lvlJc w:val="left"/>
      <w:pPr>
        <w:ind w:left="9491" w:hanging="284"/>
      </w:pPr>
      <w:rPr>
        <w:rFonts w:hint="default"/>
        <w:lang w:val="en-au" w:eastAsia="en-au" w:bidi="en-au"/>
      </w:rPr>
    </w:lvl>
  </w:abstractNum>
  <w:abstractNum w:abstractNumId="19">
    <w:multiLevelType w:val="hybridMultilevel"/>
    <w:lvl w:ilvl="0">
      <w:start w:val="4"/>
      <w:numFmt w:val="decimal"/>
      <w:lvlText w:val="%1"/>
      <w:lvlJc w:val="left"/>
      <w:pPr>
        <w:ind w:left="1022" w:hanging="123"/>
        <w:jc w:val="left"/>
      </w:pPr>
      <w:rPr>
        <w:rFonts w:hint="default" w:ascii="Arial" w:hAnsi="Arial" w:eastAsia="Arial" w:cs="Arial"/>
        <w:color w:val="404040"/>
        <w:w w:val="99"/>
        <w:position w:val="7"/>
        <w:sz w:val="14"/>
        <w:szCs w:val="14"/>
        <w:lang w:val="en-au" w:eastAsia="en-au" w:bidi="en-au"/>
      </w:rPr>
    </w:lvl>
    <w:lvl w:ilvl="1">
      <w:start w:val="0"/>
      <w:numFmt w:val="bullet"/>
      <w:lvlText w:val="•"/>
      <w:lvlJc w:val="left"/>
      <w:pPr>
        <w:ind w:left="2096" w:hanging="123"/>
      </w:pPr>
      <w:rPr>
        <w:rFonts w:hint="default"/>
        <w:lang w:val="en-au" w:eastAsia="en-au" w:bidi="en-au"/>
      </w:rPr>
    </w:lvl>
    <w:lvl w:ilvl="2">
      <w:start w:val="0"/>
      <w:numFmt w:val="bullet"/>
      <w:lvlText w:val="•"/>
      <w:lvlJc w:val="left"/>
      <w:pPr>
        <w:ind w:left="3173" w:hanging="123"/>
      </w:pPr>
      <w:rPr>
        <w:rFonts w:hint="default"/>
        <w:lang w:val="en-au" w:eastAsia="en-au" w:bidi="en-au"/>
      </w:rPr>
    </w:lvl>
    <w:lvl w:ilvl="3">
      <w:start w:val="0"/>
      <w:numFmt w:val="bullet"/>
      <w:lvlText w:val="•"/>
      <w:lvlJc w:val="left"/>
      <w:pPr>
        <w:ind w:left="4249" w:hanging="123"/>
      </w:pPr>
      <w:rPr>
        <w:rFonts w:hint="default"/>
        <w:lang w:val="en-au" w:eastAsia="en-au" w:bidi="en-au"/>
      </w:rPr>
    </w:lvl>
    <w:lvl w:ilvl="4">
      <w:start w:val="0"/>
      <w:numFmt w:val="bullet"/>
      <w:lvlText w:val="•"/>
      <w:lvlJc w:val="left"/>
      <w:pPr>
        <w:ind w:left="5326" w:hanging="123"/>
      </w:pPr>
      <w:rPr>
        <w:rFonts w:hint="default"/>
        <w:lang w:val="en-au" w:eastAsia="en-au" w:bidi="en-au"/>
      </w:rPr>
    </w:lvl>
    <w:lvl w:ilvl="5">
      <w:start w:val="0"/>
      <w:numFmt w:val="bullet"/>
      <w:lvlText w:val="•"/>
      <w:lvlJc w:val="left"/>
      <w:pPr>
        <w:ind w:left="6403" w:hanging="123"/>
      </w:pPr>
      <w:rPr>
        <w:rFonts w:hint="default"/>
        <w:lang w:val="en-au" w:eastAsia="en-au" w:bidi="en-au"/>
      </w:rPr>
    </w:lvl>
    <w:lvl w:ilvl="6">
      <w:start w:val="0"/>
      <w:numFmt w:val="bullet"/>
      <w:lvlText w:val="•"/>
      <w:lvlJc w:val="left"/>
      <w:pPr>
        <w:ind w:left="7479" w:hanging="123"/>
      </w:pPr>
      <w:rPr>
        <w:rFonts w:hint="default"/>
        <w:lang w:val="en-au" w:eastAsia="en-au" w:bidi="en-au"/>
      </w:rPr>
    </w:lvl>
    <w:lvl w:ilvl="7">
      <w:start w:val="0"/>
      <w:numFmt w:val="bullet"/>
      <w:lvlText w:val="•"/>
      <w:lvlJc w:val="left"/>
      <w:pPr>
        <w:ind w:left="8556" w:hanging="123"/>
      </w:pPr>
      <w:rPr>
        <w:rFonts w:hint="default"/>
        <w:lang w:val="en-au" w:eastAsia="en-au" w:bidi="en-au"/>
      </w:rPr>
    </w:lvl>
    <w:lvl w:ilvl="8">
      <w:start w:val="0"/>
      <w:numFmt w:val="bullet"/>
      <w:lvlText w:val="•"/>
      <w:lvlJc w:val="left"/>
      <w:pPr>
        <w:ind w:left="9633" w:hanging="123"/>
      </w:pPr>
      <w:rPr>
        <w:rFonts w:hint="default"/>
        <w:lang w:val="en-au" w:eastAsia="en-au" w:bidi="en-au"/>
      </w:rPr>
    </w:lvl>
  </w:abstractNum>
  <w:abstractNum w:abstractNumId="18">
    <w:multiLevelType w:val="hybridMultilevel"/>
    <w:lvl w:ilvl="0">
      <w:start w:val="8"/>
      <w:numFmt w:val="decimal"/>
      <w:lvlText w:val="%1"/>
      <w:lvlJc w:val="left"/>
      <w:pPr>
        <w:ind w:left="664" w:hanging="81"/>
        <w:jc w:val="right"/>
      </w:pPr>
      <w:rPr>
        <w:rFonts w:hint="default" w:ascii="Calibri" w:hAnsi="Calibri" w:eastAsia="Calibri" w:cs="Calibri"/>
        <w:w w:val="100"/>
        <w:sz w:val="12"/>
        <w:szCs w:val="12"/>
        <w:lang w:val="en-au" w:eastAsia="en-au" w:bidi="en-au"/>
      </w:rPr>
    </w:lvl>
    <w:lvl w:ilvl="1">
      <w:start w:val="0"/>
      <w:numFmt w:val="bullet"/>
      <w:lvlText w:val="•"/>
      <w:lvlJc w:val="left"/>
      <w:pPr>
        <w:ind w:left="728" w:hanging="81"/>
      </w:pPr>
      <w:rPr>
        <w:rFonts w:hint="default"/>
        <w:lang w:val="en-au" w:eastAsia="en-au" w:bidi="en-au"/>
      </w:rPr>
    </w:lvl>
    <w:lvl w:ilvl="2">
      <w:start w:val="0"/>
      <w:numFmt w:val="bullet"/>
      <w:lvlText w:val="•"/>
      <w:lvlJc w:val="left"/>
      <w:pPr>
        <w:ind w:left="796" w:hanging="81"/>
      </w:pPr>
      <w:rPr>
        <w:rFonts w:hint="default"/>
        <w:lang w:val="en-au" w:eastAsia="en-au" w:bidi="en-au"/>
      </w:rPr>
    </w:lvl>
    <w:lvl w:ilvl="3">
      <w:start w:val="0"/>
      <w:numFmt w:val="bullet"/>
      <w:lvlText w:val="•"/>
      <w:lvlJc w:val="left"/>
      <w:pPr>
        <w:ind w:left="865" w:hanging="81"/>
      </w:pPr>
      <w:rPr>
        <w:rFonts w:hint="default"/>
        <w:lang w:val="en-au" w:eastAsia="en-au" w:bidi="en-au"/>
      </w:rPr>
    </w:lvl>
    <w:lvl w:ilvl="4">
      <w:start w:val="0"/>
      <w:numFmt w:val="bullet"/>
      <w:lvlText w:val="•"/>
      <w:lvlJc w:val="left"/>
      <w:pPr>
        <w:ind w:left="933" w:hanging="81"/>
      </w:pPr>
      <w:rPr>
        <w:rFonts w:hint="default"/>
        <w:lang w:val="en-au" w:eastAsia="en-au" w:bidi="en-au"/>
      </w:rPr>
    </w:lvl>
    <w:lvl w:ilvl="5">
      <w:start w:val="0"/>
      <w:numFmt w:val="bullet"/>
      <w:lvlText w:val="•"/>
      <w:lvlJc w:val="left"/>
      <w:pPr>
        <w:ind w:left="1002" w:hanging="81"/>
      </w:pPr>
      <w:rPr>
        <w:rFonts w:hint="default"/>
        <w:lang w:val="en-au" w:eastAsia="en-au" w:bidi="en-au"/>
      </w:rPr>
    </w:lvl>
    <w:lvl w:ilvl="6">
      <w:start w:val="0"/>
      <w:numFmt w:val="bullet"/>
      <w:lvlText w:val="•"/>
      <w:lvlJc w:val="left"/>
      <w:pPr>
        <w:ind w:left="1070" w:hanging="81"/>
      </w:pPr>
      <w:rPr>
        <w:rFonts w:hint="default"/>
        <w:lang w:val="en-au" w:eastAsia="en-au" w:bidi="en-au"/>
      </w:rPr>
    </w:lvl>
    <w:lvl w:ilvl="7">
      <w:start w:val="0"/>
      <w:numFmt w:val="bullet"/>
      <w:lvlText w:val="•"/>
      <w:lvlJc w:val="left"/>
      <w:pPr>
        <w:ind w:left="1139" w:hanging="81"/>
      </w:pPr>
      <w:rPr>
        <w:rFonts w:hint="default"/>
        <w:lang w:val="en-au" w:eastAsia="en-au" w:bidi="en-au"/>
      </w:rPr>
    </w:lvl>
    <w:lvl w:ilvl="8">
      <w:start w:val="0"/>
      <w:numFmt w:val="bullet"/>
      <w:lvlText w:val="•"/>
      <w:lvlJc w:val="left"/>
      <w:pPr>
        <w:ind w:left="1207" w:hanging="81"/>
      </w:pPr>
      <w:rPr>
        <w:rFonts w:hint="default"/>
        <w:lang w:val="en-au" w:eastAsia="en-au" w:bidi="en-au"/>
      </w:rPr>
    </w:lvl>
  </w:abstractNum>
  <w:abstractNum w:abstractNumId="17">
    <w:multiLevelType w:val="hybridMultilevel"/>
    <w:lvl w:ilvl="0">
      <w:start w:val="8"/>
      <w:numFmt w:val="decimal"/>
      <w:lvlText w:val="%1"/>
      <w:lvlJc w:val="left"/>
      <w:pPr>
        <w:ind w:left="664" w:hanging="81"/>
        <w:jc w:val="right"/>
      </w:pPr>
      <w:rPr>
        <w:rFonts w:hint="default" w:ascii="Calibri" w:hAnsi="Calibri" w:eastAsia="Calibri" w:cs="Calibri"/>
        <w:w w:val="100"/>
        <w:sz w:val="12"/>
        <w:szCs w:val="12"/>
        <w:lang w:val="en-au" w:eastAsia="en-au" w:bidi="en-au"/>
      </w:rPr>
    </w:lvl>
    <w:lvl w:ilvl="1">
      <w:start w:val="0"/>
      <w:numFmt w:val="bullet"/>
      <w:lvlText w:val="•"/>
      <w:lvlJc w:val="left"/>
      <w:pPr>
        <w:ind w:left="1320" w:hanging="81"/>
      </w:pPr>
      <w:rPr>
        <w:rFonts w:hint="default"/>
        <w:lang w:val="en-au" w:eastAsia="en-au" w:bidi="en-au"/>
      </w:rPr>
    </w:lvl>
    <w:lvl w:ilvl="2">
      <w:start w:val="0"/>
      <w:numFmt w:val="bullet"/>
      <w:lvlText w:val="•"/>
      <w:lvlJc w:val="left"/>
      <w:pPr>
        <w:ind w:left="1322" w:hanging="81"/>
      </w:pPr>
      <w:rPr>
        <w:rFonts w:hint="default"/>
        <w:lang w:val="en-au" w:eastAsia="en-au" w:bidi="en-au"/>
      </w:rPr>
    </w:lvl>
    <w:lvl w:ilvl="3">
      <w:start w:val="0"/>
      <w:numFmt w:val="bullet"/>
      <w:lvlText w:val="•"/>
      <w:lvlJc w:val="left"/>
      <w:pPr>
        <w:ind w:left="1325" w:hanging="81"/>
      </w:pPr>
      <w:rPr>
        <w:rFonts w:hint="default"/>
        <w:lang w:val="en-au" w:eastAsia="en-au" w:bidi="en-au"/>
      </w:rPr>
    </w:lvl>
    <w:lvl w:ilvl="4">
      <w:start w:val="0"/>
      <w:numFmt w:val="bullet"/>
      <w:lvlText w:val="•"/>
      <w:lvlJc w:val="left"/>
      <w:pPr>
        <w:ind w:left="1328" w:hanging="81"/>
      </w:pPr>
      <w:rPr>
        <w:rFonts w:hint="default"/>
        <w:lang w:val="en-au" w:eastAsia="en-au" w:bidi="en-au"/>
      </w:rPr>
    </w:lvl>
    <w:lvl w:ilvl="5">
      <w:start w:val="0"/>
      <w:numFmt w:val="bullet"/>
      <w:lvlText w:val="•"/>
      <w:lvlJc w:val="left"/>
      <w:pPr>
        <w:ind w:left="1331" w:hanging="81"/>
      </w:pPr>
      <w:rPr>
        <w:rFonts w:hint="default"/>
        <w:lang w:val="en-au" w:eastAsia="en-au" w:bidi="en-au"/>
      </w:rPr>
    </w:lvl>
    <w:lvl w:ilvl="6">
      <w:start w:val="0"/>
      <w:numFmt w:val="bullet"/>
      <w:lvlText w:val="•"/>
      <w:lvlJc w:val="left"/>
      <w:pPr>
        <w:ind w:left="1333" w:hanging="81"/>
      </w:pPr>
      <w:rPr>
        <w:rFonts w:hint="default"/>
        <w:lang w:val="en-au" w:eastAsia="en-au" w:bidi="en-au"/>
      </w:rPr>
    </w:lvl>
    <w:lvl w:ilvl="7">
      <w:start w:val="0"/>
      <w:numFmt w:val="bullet"/>
      <w:lvlText w:val="•"/>
      <w:lvlJc w:val="left"/>
      <w:pPr>
        <w:ind w:left="1336" w:hanging="81"/>
      </w:pPr>
      <w:rPr>
        <w:rFonts w:hint="default"/>
        <w:lang w:val="en-au" w:eastAsia="en-au" w:bidi="en-au"/>
      </w:rPr>
    </w:lvl>
    <w:lvl w:ilvl="8">
      <w:start w:val="0"/>
      <w:numFmt w:val="bullet"/>
      <w:lvlText w:val="•"/>
      <w:lvlJc w:val="left"/>
      <w:pPr>
        <w:ind w:left="1339" w:hanging="81"/>
      </w:pPr>
      <w:rPr>
        <w:rFonts w:hint="default"/>
        <w:lang w:val="en-au" w:eastAsia="en-au" w:bidi="en-au"/>
      </w:rPr>
    </w:lvl>
  </w:abstractNum>
  <w:abstractNum w:abstractNumId="16">
    <w:multiLevelType w:val="hybridMultilevel"/>
    <w:lvl w:ilvl="0">
      <w:start w:val="0"/>
      <w:numFmt w:val="bullet"/>
      <w:lvlText w:val=""/>
      <w:lvlJc w:val="left"/>
      <w:pPr>
        <w:ind w:left="1183" w:hanging="284"/>
      </w:pPr>
      <w:rPr>
        <w:rFonts w:hint="default" w:ascii="Symbol" w:hAnsi="Symbol" w:eastAsia="Symbol" w:cs="Symbol"/>
        <w:w w:val="99"/>
        <w:sz w:val="20"/>
        <w:szCs w:val="20"/>
        <w:lang w:val="en-au" w:eastAsia="en-au" w:bidi="en-au"/>
      </w:rPr>
    </w:lvl>
    <w:lvl w:ilvl="1">
      <w:start w:val="0"/>
      <w:numFmt w:val="bullet"/>
      <w:lvlText w:val="•"/>
      <w:lvlJc w:val="left"/>
      <w:pPr>
        <w:ind w:left="2240" w:hanging="284"/>
      </w:pPr>
      <w:rPr>
        <w:rFonts w:hint="default"/>
        <w:lang w:val="en-au" w:eastAsia="en-au" w:bidi="en-au"/>
      </w:rPr>
    </w:lvl>
    <w:lvl w:ilvl="2">
      <w:start w:val="0"/>
      <w:numFmt w:val="bullet"/>
      <w:lvlText w:val="•"/>
      <w:lvlJc w:val="left"/>
      <w:pPr>
        <w:ind w:left="3301" w:hanging="284"/>
      </w:pPr>
      <w:rPr>
        <w:rFonts w:hint="default"/>
        <w:lang w:val="en-au" w:eastAsia="en-au" w:bidi="en-au"/>
      </w:rPr>
    </w:lvl>
    <w:lvl w:ilvl="3">
      <w:start w:val="0"/>
      <w:numFmt w:val="bullet"/>
      <w:lvlText w:val="•"/>
      <w:lvlJc w:val="left"/>
      <w:pPr>
        <w:ind w:left="4361" w:hanging="284"/>
      </w:pPr>
      <w:rPr>
        <w:rFonts w:hint="default"/>
        <w:lang w:val="en-au" w:eastAsia="en-au" w:bidi="en-au"/>
      </w:rPr>
    </w:lvl>
    <w:lvl w:ilvl="4">
      <w:start w:val="0"/>
      <w:numFmt w:val="bullet"/>
      <w:lvlText w:val="•"/>
      <w:lvlJc w:val="left"/>
      <w:pPr>
        <w:ind w:left="5422" w:hanging="284"/>
      </w:pPr>
      <w:rPr>
        <w:rFonts w:hint="default"/>
        <w:lang w:val="en-au" w:eastAsia="en-au" w:bidi="en-au"/>
      </w:rPr>
    </w:lvl>
    <w:lvl w:ilvl="5">
      <w:start w:val="0"/>
      <w:numFmt w:val="bullet"/>
      <w:lvlText w:val="•"/>
      <w:lvlJc w:val="left"/>
      <w:pPr>
        <w:ind w:left="6483" w:hanging="284"/>
      </w:pPr>
      <w:rPr>
        <w:rFonts w:hint="default"/>
        <w:lang w:val="en-au" w:eastAsia="en-au" w:bidi="en-au"/>
      </w:rPr>
    </w:lvl>
    <w:lvl w:ilvl="6">
      <w:start w:val="0"/>
      <w:numFmt w:val="bullet"/>
      <w:lvlText w:val="•"/>
      <w:lvlJc w:val="left"/>
      <w:pPr>
        <w:ind w:left="7543" w:hanging="284"/>
      </w:pPr>
      <w:rPr>
        <w:rFonts w:hint="default"/>
        <w:lang w:val="en-au" w:eastAsia="en-au" w:bidi="en-au"/>
      </w:rPr>
    </w:lvl>
    <w:lvl w:ilvl="7">
      <w:start w:val="0"/>
      <w:numFmt w:val="bullet"/>
      <w:lvlText w:val="•"/>
      <w:lvlJc w:val="left"/>
      <w:pPr>
        <w:ind w:left="8604" w:hanging="284"/>
      </w:pPr>
      <w:rPr>
        <w:rFonts w:hint="default"/>
        <w:lang w:val="en-au" w:eastAsia="en-au" w:bidi="en-au"/>
      </w:rPr>
    </w:lvl>
    <w:lvl w:ilvl="8">
      <w:start w:val="0"/>
      <w:numFmt w:val="bullet"/>
      <w:lvlText w:val="•"/>
      <w:lvlJc w:val="left"/>
      <w:pPr>
        <w:ind w:left="9665" w:hanging="284"/>
      </w:pPr>
      <w:rPr>
        <w:rFonts w:hint="default"/>
        <w:lang w:val="en-au" w:eastAsia="en-au" w:bidi="en-au"/>
      </w:rPr>
    </w:lvl>
  </w:abstractNum>
  <w:abstractNum w:abstractNumId="15">
    <w:multiLevelType w:val="hybridMultilevel"/>
    <w:lvl w:ilvl="0">
      <w:start w:val="8"/>
      <w:numFmt w:val="decimal"/>
      <w:lvlText w:val="%1"/>
      <w:lvlJc w:val="left"/>
      <w:pPr>
        <w:ind w:left="205" w:hanging="102"/>
        <w:jc w:val="right"/>
      </w:pPr>
      <w:rPr>
        <w:rFonts w:hint="default" w:ascii="Calibri" w:hAnsi="Calibri" w:eastAsia="Calibri" w:cs="Calibri"/>
        <w:color w:val="585858"/>
        <w:w w:val="104"/>
        <w:sz w:val="13"/>
        <w:szCs w:val="13"/>
        <w:lang w:val="en-au" w:eastAsia="en-au" w:bidi="en-au"/>
      </w:rPr>
    </w:lvl>
    <w:lvl w:ilvl="1">
      <w:start w:val="8"/>
      <w:numFmt w:val="decimal"/>
      <w:lvlText w:val="%2"/>
      <w:lvlJc w:val="left"/>
      <w:pPr>
        <w:ind w:left="664" w:hanging="81"/>
        <w:jc w:val="right"/>
      </w:pPr>
      <w:rPr>
        <w:rFonts w:hint="default" w:ascii="Calibri" w:hAnsi="Calibri" w:eastAsia="Calibri" w:cs="Calibri"/>
        <w:w w:val="100"/>
        <w:sz w:val="12"/>
        <w:szCs w:val="12"/>
        <w:lang w:val="en-au" w:eastAsia="en-au" w:bidi="en-au"/>
      </w:rPr>
    </w:lvl>
    <w:lvl w:ilvl="2">
      <w:start w:val="0"/>
      <w:numFmt w:val="bullet"/>
      <w:lvlText w:val="•"/>
      <w:lvlJc w:val="left"/>
      <w:pPr>
        <w:ind w:left="1020" w:hanging="81"/>
      </w:pPr>
      <w:rPr>
        <w:rFonts w:hint="default"/>
        <w:lang w:val="en-au" w:eastAsia="en-au" w:bidi="en-au"/>
      </w:rPr>
    </w:lvl>
    <w:lvl w:ilvl="3">
      <w:start w:val="0"/>
      <w:numFmt w:val="bullet"/>
      <w:lvlText w:val="•"/>
      <w:lvlJc w:val="left"/>
      <w:pPr>
        <w:ind w:left="1320" w:hanging="81"/>
      </w:pPr>
      <w:rPr>
        <w:rFonts w:hint="default"/>
        <w:lang w:val="en-au" w:eastAsia="en-au" w:bidi="en-au"/>
      </w:rPr>
    </w:lvl>
    <w:lvl w:ilvl="4">
      <w:start w:val="0"/>
      <w:numFmt w:val="bullet"/>
      <w:lvlText w:val="•"/>
      <w:lvlJc w:val="left"/>
      <w:pPr>
        <w:ind w:left="1340" w:hanging="81"/>
      </w:pPr>
      <w:rPr>
        <w:rFonts w:hint="default"/>
        <w:lang w:val="en-au" w:eastAsia="en-au" w:bidi="en-au"/>
      </w:rPr>
    </w:lvl>
    <w:lvl w:ilvl="5">
      <w:start w:val="0"/>
      <w:numFmt w:val="bullet"/>
      <w:lvlText w:val="•"/>
      <w:lvlJc w:val="left"/>
      <w:pPr>
        <w:ind w:left="751" w:hanging="81"/>
      </w:pPr>
      <w:rPr>
        <w:rFonts w:hint="default"/>
        <w:lang w:val="en-au" w:eastAsia="en-au" w:bidi="en-au"/>
      </w:rPr>
    </w:lvl>
    <w:lvl w:ilvl="6">
      <w:start w:val="0"/>
      <w:numFmt w:val="bullet"/>
      <w:lvlText w:val="•"/>
      <w:lvlJc w:val="left"/>
      <w:pPr>
        <w:ind w:left="163" w:hanging="81"/>
      </w:pPr>
      <w:rPr>
        <w:rFonts w:hint="default"/>
        <w:lang w:val="en-au" w:eastAsia="en-au" w:bidi="en-au"/>
      </w:rPr>
    </w:lvl>
    <w:lvl w:ilvl="7">
      <w:start w:val="0"/>
      <w:numFmt w:val="bullet"/>
      <w:lvlText w:val="•"/>
      <w:lvlJc w:val="left"/>
      <w:pPr>
        <w:ind w:left="-426" w:hanging="81"/>
      </w:pPr>
      <w:rPr>
        <w:rFonts w:hint="default"/>
        <w:lang w:val="en-au" w:eastAsia="en-au" w:bidi="en-au"/>
      </w:rPr>
    </w:lvl>
    <w:lvl w:ilvl="8">
      <w:start w:val="0"/>
      <w:numFmt w:val="bullet"/>
      <w:lvlText w:val="•"/>
      <w:lvlJc w:val="left"/>
      <w:pPr>
        <w:ind w:left="-1014" w:hanging="81"/>
      </w:pPr>
      <w:rPr>
        <w:rFonts w:hint="default"/>
        <w:lang w:val="en-au" w:eastAsia="en-au" w:bidi="en-au"/>
      </w:rPr>
    </w:lvl>
  </w:abstractNum>
  <w:abstractNum w:abstractNumId="14">
    <w:multiLevelType w:val="hybridMultilevel"/>
    <w:lvl w:ilvl="0">
      <w:start w:val="2"/>
      <w:numFmt w:val="decimal"/>
      <w:lvlText w:val="%1"/>
      <w:lvlJc w:val="left"/>
      <w:pPr>
        <w:ind w:left="1752" w:hanging="853"/>
        <w:jc w:val="left"/>
      </w:pPr>
      <w:rPr>
        <w:rFonts w:hint="default"/>
        <w:lang w:val="en-au" w:eastAsia="en-au" w:bidi="en-au"/>
      </w:rPr>
    </w:lvl>
    <w:lvl w:ilvl="1">
      <w:start w:val="1"/>
      <w:numFmt w:val="decimal"/>
      <w:lvlText w:val="%1.%2"/>
      <w:lvlJc w:val="left"/>
      <w:pPr>
        <w:ind w:left="1752" w:hanging="853"/>
        <w:jc w:val="left"/>
      </w:pPr>
      <w:rPr>
        <w:rFonts w:hint="default" w:ascii="Arial" w:hAnsi="Arial" w:eastAsia="Arial" w:cs="Arial"/>
        <w:color w:val="DF2F28"/>
        <w:spacing w:val="-1"/>
        <w:w w:val="100"/>
        <w:sz w:val="28"/>
        <w:szCs w:val="28"/>
        <w:lang w:val="en-au" w:eastAsia="en-au" w:bidi="en-au"/>
      </w:rPr>
    </w:lvl>
    <w:lvl w:ilvl="2">
      <w:start w:val="0"/>
      <w:numFmt w:val="bullet"/>
      <w:lvlText w:val="•"/>
      <w:lvlJc w:val="left"/>
      <w:pPr>
        <w:ind w:left="1898" w:hanging="853"/>
      </w:pPr>
      <w:rPr>
        <w:rFonts w:hint="default"/>
        <w:lang w:val="en-au" w:eastAsia="en-au" w:bidi="en-au"/>
      </w:rPr>
    </w:lvl>
    <w:lvl w:ilvl="3">
      <w:start w:val="0"/>
      <w:numFmt w:val="bullet"/>
      <w:lvlText w:val="•"/>
      <w:lvlJc w:val="left"/>
      <w:pPr>
        <w:ind w:left="2037" w:hanging="853"/>
      </w:pPr>
      <w:rPr>
        <w:rFonts w:hint="default"/>
        <w:lang w:val="en-au" w:eastAsia="en-au" w:bidi="en-au"/>
      </w:rPr>
    </w:lvl>
    <w:lvl w:ilvl="4">
      <w:start w:val="0"/>
      <w:numFmt w:val="bullet"/>
      <w:lvlText w:val="•"/>
      <w:lvlJc w:val="left"/>
      <w:pPr>
        <w:ind w:left="2175" w:hanging="853"/>
      </w:pPr>
      <w:rPr>
        <w:rFonts w:hint="default"/>
        <w:lang w:val="en-au" w:eastAsia="en-au" w:bidi="en-au"/>
      </w:rPr>
    </w:lvl>
    <w:lvl w:ilvl="5">
      <w:start w:val="0"/>
      <w:numFmt w:val="bullet"/>
      <w:lvlText w:val="•"/>
      <w:lvlJc w:val="left"/>
      <w:pPr>
        <w:ind w:left="2314" w:hanging="853"/>
      </w:pPr>
      <w:rPr>
        <w:rFonts w:hint="default"/>
        <w:lang w:val="en-au" w:eastAsia="en-au" w:bidi="en-au"/>
      </w:rPr>
    </w:lvl>
    <w:lvl w:ilvl="6">
      <w:start w:val="0"/>
      <w:numFmt w:val="bullet"/>
      <w:lvlText w:val="•"/>
      <w:lvlJc w:val="left"/>
      <w:pPr>
        <w:ind w:left="2452" w:hanging="853"/>
      </w:pPr>
      <w:rPr>
        <w:rFonts w:hint="default"/>
        <w:lang w:val="en-au" w:eastAsia="en-au" w:bidi="en-au"/>
      </w:rPr>
    </w:lvl>
    <w:lvl w:ilvl="7">
      <w:start w:val="0"/>
      <w:numFmt w:val="bullet"/>
      <w:lvlText w:val="•"/>
      <w:lvlJc w:val="left"/>
      <w:pPr>
        <w:ind w:left="2591" w:hanging="853"/>
      </w:pPr>
      <w:rPr>
        <w:rFonts w:hint="default"/>
        <w:lang w:val="en-au" w:eastAsia="en-au" w:bidi="en-au"/>
      </w:rPr>
    </w:lvl>
    <w:lvl w:ilvl="8">
      <w:start w:val="0"/>
      <w:numFmt w:val="bullet"/>
      <w:lvlText w:val="•"/>
      <w:lvlJc w:val="left"/>
      <w:pPr>
        <w:ind w:left="2729" w:hanging="853"/>
      </w:pPr>
      <w:rPr>
        <w:rFonts w:hint="default"/>
        <w:lang w:val="en-au" w:eastAsia="en-au" w:bidi="en-au"/>
      </w:rPr>
    </w:lvl>
  </w:abstractNum>
  <w:abstractNum w:abstractNumId="12">
    <w:multiLevelType w:val="hybridMultilevel"/>
    <w:lvl w:ilvl="0">
      <w:start w:val="1"/>
      <w:numFmt w:val="decimal"/>
      <w:lvlText w:val="%1"/>
      <w:lvlJc w:val="left"/>
      <w:pPr>
        <w:ind w:left="1752" w:hanging="853"/>
        <w:jc w:val="left"/>
      </w:pPr>
      <w:rPr>
        <w:rFonts w:hint="default"/>
        <w:lang w:val="en-au" w:eastAsia="en-au" w:bidi="en-au"/>
      </w:rPr>
    </w:lvl>
    <w:lvl w:ilvl="1">
      <w:start w:val="3"/>
      <w:numFmt w:val="decimal"/>
      <w:lvlText w:val="%1.%2"/>
      <w:lvlJc w:val="left"/>
      <w:pPr>
        <w:ind w:left="1752" w:hanging="853"/>
        <w:jc w:val="left"/>
      </w:pPr>
      <w:rPr>
        <w:rFonts w:hint="default" w:ascii="Arial" w:hAnsi="Arial" w:eastAsia="Arial" w:cs="Arial"/>
        <w:color w:val="DF2F28"/>
        <w:spacing w:val="-1"/>
        <w:w w:val="100"/>
        <w:sz w:val="28"/>
        <w:szCs w:val="28"/>
        <w:lang w:val="en-au" w:eastAsia="en-au" w:bidi="en-au"/>
      </w:rPr>
    </w:lvl>
    <w:lvl w:ilvl="2">
      <w:start w:val="0"/>
      <w:numFmt w:val="bullet"/>
      <w:lvlText w:val="•"/>
      <w:lvlJc w:val="left"/>
      <w:pPr>
        <w:ind w:left="3765" w:hanging="853"/>
      </w:pPr>
      <w:rPr>
        <w:rFonts w:hint="default"/>
        <w:lang w:val="en-au" w:eastAsia="en-au" w:bidi="en-au"/>
      </w:rPr>
    </w:lvl>
    <w:lvl w:ilvl="3">
      <w:start w:val="0"/>
      <w:numFmt w:val="bullet"/>
      <w:lvlText w:val="•"/>
      <w:lvlJc w:val="left"/>
      <w:pPr>
        <w:ind w:left="4767" w:hanging="853"/>
      </w:pPr>
      <w:rPr>
        <w:rFonts w:hint="default"/>
        <w:lang w:val="en-au" w:eastAsia="en-au" w:bidi="en-au"/>
      </w:rPr>
    </w:lvl>
    <w:lvl w:ilvl="4">
      <w:start w:val="0"/>
      <w:numFmt w:val="bullet"/>
      <w:lvlText w:val="•"/>
      <w:lvlJc w:val="left"/>
      <w:pPr>
        <w:ind w:left="5770" w:hanging="853"/>
      </w:pPr>
      <w:rPr>
        <w:rFonts w:hint="default"/>
        <w:lang w:val="en-au" w:eastAsia="en-au" w:bidi="en-au"/>
      </w:rPr>
    </w:lvl>
    <w:lvl w:ilvl="5">
      <w:start w:val="0"/>
      <w:numFmt w:val="bullet"/>
      <w:lvlText w:val="•"/>
      <w:lvlJc w:val="left"/>
      <w:pPr>
        <w:ind w:left="6773" w:hanging="853"/>
      </w:pPr>
      <w:rPr>
        <w:rFonts w:hint="default"/>
        <w:lang w:val="en-au" w:eastAsia="en-au" w:bidi="en-au"/>
      </w:rPr>
    </w:lvl>
    <w:lvl w:ilvl="6">
      <w:start w:val="0"/>
      <w:numFmt w:val="bullet"/>
      <w:lvlText w:val="•"/>
      <w:lvlJc w:val="left"/>
      <w:pPr>
        <w:ind w:left="7775" w:hanging="853"/>
      </w:pPr>
      <w:rPr>
        <w:rFonts w:hint="default"/>
        <w:lang w:val="en-au" w:eastAsia="en-au" w:bidi="en-au"/>
      </w:rPr>
    </w:lvl>
    <w:lvl w:ilvl="7">
      <w:start w:val="0"/>
      <w:numFmt w:val="bullet"/>
      <w:lvlText w:val="•"/>
      <w:lvlJc w:val="left"/>
      <w:pPr>
        <w:ind w:left="8778" w:hanging="853"/>
      </w:pPr>
      <w:rPr>
        <w:rFonts w:hint="default"/>
        <w:lang w:val="en-au" w:eastAsia="en-au" w:bidi="en-au"/>
      </w:rPr>
    </w:lvl>
    <w:lvl w:ilvl="8">
      <w:start w:val="0"/>
      <w:numFmt w:val="bullet"/>
      <w:lvlText w:val="•"/>
      <w:lvlJc w:val="left"/>
      <w:pPr>
        <w:ind w:left="9781" w:hanging="853"/>
      </w:pPr>
      <w:rPr>
        <w:rFonts w:hint="default"/>
        <w:lang w:val="en-au" w:eastAsia="en-au" w:bidi="en-au"/>
      </w:rPr>
    </w:lvl>
  </w:abstractNum>
  <w:abstractNum w:abstractNumId="11">
    <w:multiLevelType w:val="hybridMultilevel"/>
    <w:lvl w:ilvl="0">
      <w:start w:val="0"/>
      <w:numFmt w:val="bullet"/>
      <w:lvlText w:val="•"/>
      <w:lvlJc w:val="left"/>
      <w:pPr>
        <w:ind w:left="167" w:hanging="103"/>
      </w:pPr>
      <w:rPr>
        <w:rFonts w:hint="default" w:ascii="Arial" w:hAnsi="Arial" w:eastAsia="Arial" w:cs="Arial"/>
        <w:color w:val="5F221F"/>
        <w:w w:val="102"/>
        <w:sz w:val="10"/>
        <w:szCs w:val="10"/>
        <w:lang w:val="en-au" w:eastAsia="en-au" w:bidi="en-au"/>
      </w:rPr>
    </w:lvl>
    <w:lvl w:ilvl="1">
      <w:start w:val="0"/>
      <w:numFmt w:val="bullet"/>
      <w:lvlText w:val="•"/>
      <w:lvlJc w:val="left"/>
      <w:pPr>
        <w:ind w:left="414" w:hanging="103"/>
      </w:pPr>
      <w:rPr>
        <w:rFonts w:hint="default"/>
        <w:lang w:val="en-au" w:eastAsia="en-au" w:bidi="en-au"/>
      </w:rPr>
    </w:lvl>
    <w:lvl w:ilvl="2">
      <w:start w:val="0"/>
      <w:numFmt w:val="bullet"/>
      <w:lvlText w:val="•"/>
      <w:lvlJc w:val="left"/>
      <w:pPr>
        <w:ind w:left="669" w:hanging="103"/>
      </w:pPr>
      <w:rPr>
        <w:rFonts w:hint="default"/>
        <w:lang w:val="en-au" w:eastAsia="en-au" w:bidi="en-au"/>
      </w:rPr>
    </w:lvl>
    <w:lvl w:ilvl="3">
      <w:start w:val="0"/>
      <w:numFmt w:val="bullet"/>
      <w:lvlText w:val="•"/>
      <w:lvlJc w:val="left"/>
      <w:pPr>
        <w:ind w:left="923" w:hanging="103"/>
      </w:pPr>
      <w:rPr>
        <w:rFonts w:hint="default"/>
        <w:lang w:val="en-au" w:eastAsia="en-au" w:bidi="en-au"/>
      </w:rPr>
    </w:lvl>
    <w:lvl w:ilvl="4">
      <w:start w:val="0"/>
      <w:numFmt w:val="bullet"/>
      <w:lvlText w:val="•"/>
      <w:lvlJc w:val="left"/>
      <w:pPr>
        <w:ind w:left="1178" w:hanging="103"/>
      </w:pPr>
      <w:rPr>
        <w:rFonts w:hint="default"/>
        <w:lang w:val="en-au" w:eastAsia="en-au" w:bidi="en-au"/>
      </w:rPr>
    </w:lvl>
    <w:lvl w:ilvl="5">
      <w:start w:val="0"/>
      <w:numFmt w:val="bullet"/>
      <w:lvlText w:val="•"/>
      <w:lvlJc w:val="left"/>
      <w:pPr>
        <w:ind w:left="1432" w:hanging="103"/>
      </w:pPr>
      <w:rPr>
        <w:rFonts w:hint="default"/>
        <w:lang w:val="en-au" w:eastAsia="en-au" w:bidi="en-au"/>
      </w:rPr>
    </w:lvl>
    <w:lvl w:ilvl="6">
      <w:start w:val="0"/>
      <w:numFmt w:val="bullet"/>
      <w:lvlText w:val="•"/>
      <w:lvlJc w:val="left"/>
      <w:pPr>
        <w:ind w:left="1687" w:hanging="103"/>
      </w:pPr>
      <w:rPr>
        <w:rFonts w:hint="default"/>
        <w:lang w:val="en-au" w:eastAsia="en-au" w:bidi="en-au"/>
      </w:rPr>
    </w:lvl>
    <w:lvl w:ilvl="7">
      <w:start w:val="0"/>
      <w:numFmt w:val="bullet"/>
      <w:lvlText w:val="•"/>
      <w:lvlJc w:val="left"/>
      <w:pPr>
        <w:ind w:left="1942" w:hanging="103"/>
      </w:pPr>
      <w:rPr>
        <w:rFonts w:hint="default"/>
        <w:lang w:val="en-au" w:eastAsia="en-au" w:bidi="en-au"/>
      </w:rPr>
    </w:lvl>
    <w:lvl w:ilvl="8">
      <w:start w:val="0"/>
      <w:numFmt w:val="bullet"/>
      <w:lvlText w:val="•"/>
      <w:lvlJc w:val="left"/>
      <w:pPr>
        <w:ind w:left="2196" w:hanging="103"/>
      </w:pPr>
      <w:rPr>
        <w:rFonts w:hint="default"/>
        <w:lang w:val="en-au" w:eastAsia="en-au" w:bidi="en-au"/>
      </w:rPr>
    </w:lvl>
  </w:abstractNum>
  <w:abstractNum w:abstractNumId="10">
    <w:multiLevelType w:val="hybridMultilevel"/>
    <w:lvl w:ilvl="0">
      <w:start w:val="0"/>
      <w:numFmt w:val="bullet"/>
      <w:lvlText w:val=""/>
      <w:lvlJc w:val="left"/>
      <w:pPr>
        <w:ind w:left="391" w:hanging="284"/>
      </w:pPr>
      <w:rPr>
        <w:rFonts w:hint="default" w:ascii="Symbol" w:hAnsi="Symbol" w:eastAsia="Symbol" w:cs="Symbol"/>
        <w:w w:val="99"/>
        <w:sz w:val="20"/>
        <w:szCs w:val="20"/>
        <w:lang w:val="en-au" w:eastAsia="en-au" w:bidi="en-au"/>
      </w:rPr>
    </w:lvl>
    <w:lvl w:ilvl="1">
      <w:start w:val="0"/>
      <w:numFmt w:val="bullet"/>
      <w:lvlText w:val="•"/>
      <w:lvlJc w:val="left"/>
      <w:pPr>
        <w:ind w:left="1346" w:hanging="284"/>
      </w:pPr>
      <w:rPr>
        <w:rFonts w:hint="default"/>
        <w:lang w:val="en-au" w:eastAsia="en-au" w:bidi="en-au"/>
      </w:rPr>
    </w:lvl>
    <w:lvl w:ilvl="2">
      <w:start w:val="0"/>
      <w:numFmt w:val="bullet"/>
      <w:lvlText w:val="•"/>
      <w:lvlJc w:val="left"/>
      <w:pPr>
        <w:ind w:left="2293" w:hanging="284"/>
      </w:pPr>
      <w:rPr>
        <w:rFonts w:hint="default"/>
        <w:lang w:val="en-au" w:eastAsia="en-au" w:bidi="en-au"/>
      </w:rPr>
    </w:lvl>
    <w:lvl w:ilvl="3">
      <w:start w:val="0"/>
      <w:numFmt w:val="bullet"/>
      <w:lvlText w:val="•"/>
      <w:lvlJc w:val="left"/>
      <w:pPr>
        <w:ind w:left="3239" w:hanging="284"/>
      </w:pPr>
      <w:rPr>
        <w:rFonts w:hint="default"/>
        <w:lang w:val="en-au" w:eastAsia="en-au" w:bidi="en-au"/>
      </w:rPr>
    </w:lvl>
    <w:lvl w:ilvl="4">
      <w:start w:val="0"/>
      <w:numFmt w:val="bullet"/>
      <w:lvlText w:val="•"/>
      <w:lvlJc w:val="left"/>
      <w:pPr>
        <w:ind w:left="4186" w:hanging="284"/>
      </w:pPr>
      <w:rPr>
        <w:rFonts w:hint="default"/>
        <w:lang w:val="en-au" w:eastAsia="en-au" w:bidi="en-au"/>
      </w:rPr>
    </w:lvl>
    <w:lvl w:ilvl="5">
      <w:start w:val="0"/>
      <w:numFmt w:val="bullet"/>
      <w:lvlText w:val="•"/>
      <w:lvlJc w:val="left"/>
      <w:pPr>
        <w:ind w:left="5133" w:hanging="284"/>
      </w:pPr>
      <w:rPr>
        <w:rFonts w:hint="default"/>
        <w:lang w:val="en-au" w:eastAsia="en-au" w:bidi="en-au"/>
      </w:rPr>
    </w:lvl>
    <w:lvl w:ilvl="6">
      <w:start w:val="0"/>
      <w:numFmt w:val="bullet"/>
      <w:lvlText w:val="•"/>
      <w:lvlJc w:val="left"/>
      <w:pPr>
        <w:ind w:left="6079" w:hanging="284"/>
      </w:pPr>
      <w:rPr>
        <w:rFonts w:hint="default"/>
        <w:lang w:val="en-au" w:eastAsia="en-au" w:bidi="en-au"/>
      </w:rPr>
    </w:lvl>
    <w:lvl w:ilvl="7">
      <w:start w:val="0"/>
      <w:numFmt w:val="bullet"/>
      <w:lvlText w:val="•"/>
      <w:lvlJc w:val="left"/>
      <w:pPr>
        <w:ind w:left="7026" w:hanging="284"/>
      </w:pPr>
      <w:rPr>
        <w:rFonts w:hint="default"/>
        <w:lang w:val="en-au" w:eastAsia="en-au" w:bidi="en-au"/>
      </w:rPr>
    </w:lvl>
    <w:lvl w:ilvl="8">
      <w:start w:val="0"/>
      <w:numFmt w:val="bullet"/>
      <w:lvlText w:val="•"/>
      <w:lvlJc w:val="left"/>
      <w:pPr>
        <w:ind w:left="7973" w:hanging="284"/>
      </w:pPr>
      <w:rPr>
        <w:rFonts w:hint="default"/>
        <w:lang w:val="en-au" w:eastAsia="en-au" w:bidi="en-au"/>
      </w:rPr>
    </w:lvl>
  </w:abstractNum>
  <w:abstractNum w:abstractNumId="9">
    <w:multiLevelType w:val="hybridMultilevel"/>
    <w:lvl w:ilvl="0">
      <w:start w:val="1"/>
      <w:numFmt w:val="decimal"/>
      <w:lvlText w:val="%1"/>
      <w:lvlJc w:val="left"/>
      <w:pPr>
        <w:ind w:left="1752" w:hanging="853"/>
        <w:jc w:val="left"/>
      </w:pPr>
      <w:rPr>
        <w:rFonts w:hint="default"/>
        <w:w w:val="100"/>
        <w:lang w:val="en-au" w:eastAsia="en-au" w:bidi="en-au"/>
      </w:rPr>
    </w:lvl>
    <w:lvl w:ilvl="1">
      <w:start w:val="1"/>
      <w:numFmt w:val="decimal"/>
      <w:lvlText w:val="%1.%2"/>
      <w:lvlJc w:val="left"/>
      <w:pPr>
        <w:ind w:left="1752" w:hanging="853"/>
        <w:jc w:val="left"/>
      </w:pPr>
      <w:rPr>
        <w:rFonts w:hint="default" w:ascii="Arial" w:hAnsi="Arial" w:eastAsia="Arial" w:cs="Arial"/>
        <w:color w:val="DF2F28"/>
        <w:spacing w:val="-1"/>
        <w:w w:val="100"/>
        <w:sz w:val="28"/>
        <w:szCs w:val="28"/>
        <w:lang w:val="en-au" w:eastAsia="en-au" w:bidi="en-au"/>
      </w:rPr>
    </w:lvl>
    <w:lvl w:ilvl="2">
      <w:start w:val="0"/>
      <w:numFmt w:val="bullet"/>
      <w:lvlText w:val="•"/>
      <w:lvlJc w:val="left"/>
      <w:pPr>
        <w:ind w:left="3765" w:hanging="853"/>
      </w:pPr>
      <w:rPr>
        <w:rFonts w:hint="default"/>
        <w:lang w:val="en-au" w:eastAsia="en-au" w:bidi="en-au"/>
      </w:rPr>
    </w:lvl>
    <w:lvl w:ilvl="3">
      <w:start w:val="0"/>
      <w:numFmt w:val="bullet"/>
      <w:lvlText w:val="•"/>
      <w:lvlJc w:val="left"/>
      <w:pPr>
        <w:ind w:left="4767" w:hanging="853"/>
      </w:pPr>
      <w:rPr>
        <w:rFonts w:hint="default"/>
        <w:lang w:val="en-au" w:eastAsia="en-au" w:bidi="en-au"/>
      </w:rPr>
    </w:lvl>
    <w:lvl w:ilvl="4">
      <w:start w:val="0"/>
      <w:numFmt w:val="bullet"/>
      <w:lvlText w:val="•"/>
      <w:lvlJc w:val="left"/>
      <w:pPr>
        <w:ind w:left="5770" w:hanging="853"/>
      </w:pPr>
      <w:rPr>
        <w:rFonts w:hint="default"/>
        <w:lang w:val="en-au" w:eastAsia="en-au" w:bidi="en-au"/>
      </w:rPr>
    </w:lvl>
    <w:lvl w:ilvl="5">
      <w:start w:val="0"/>
      <w:numFmt w:val="bullet"/>
      <w:lvlText w:val="•"/>
      <w:lvlJc w:val="left"/>
      <w:pPr>
        <w:ind w:left="6773" w:hanging="853"/>
      </w:pPr>
      <w:rPr>
        <w:rFonts w:hint="default"/>
        <w:lang w:val="en-au" w:eastAsia="en-au" w:bidi="en-au"/>
      </w:rPr>
    </w:lvl>
    <w:lvl w:ilvl="6">
      <w:start w:val="0"/>
      <w:numFmt w:val="bullet"/>
      <w:lvlText w:val="•"/>
      <w:lvlJc w:val="left"/>
      <w:pPr>
        <w:ind w:left="7775" w:hanging="853"/>
      </w:pPr>
      <w:rPr>
        <w:rFonts w:hint="default"/>
        <w:lang w:val="en-au" w:eastAsia="en-au" w:bidi="en-au"/>
      </w:rPr>
    </w:lvl>
    <w:lvl w:ilvl="7">
      <w:start w:val="0"/>
      <w:numFmt w:val="bullet"/>
      <w:lvlText w:val="•"/>
      <w:lvlJc w:val="left"/>
      <w:pPr>
        <w:ind w:left="8778" w:hanging="853"/>
      </w:pPr>
      <w:rPr>
        <w:rFonts w:hint="default"/>
        <w:lang w:val="en-au" w:eastAsia="en-au" w:bidi="en-au"/>
      </w:rPr>
    </w:lvl>
    <w:lvl w:ilvl="8">
      <w:start w:val="0"/>
      <w:numFmt w:val="bullet"/>
      <w:lvlText w:val="•"/>
      <w:lvlJc w:val="left"/>
      <w:pPr>
        <w:ind w:left="9781" w:hanging="853"/>
      </w:pPr>
      <w:rPr>
        <w:rFonts w:hint="default"/>
        <w:lang w:val="en-au" w:eastAsia="en-au" w:bidi="en-au"/>
      </w:rPr>
    </w:lvl>
  </w:abstractNum>
  <w:abstractNum w:abstractNumId="8">
    <w:multiLevelType w:val="hybridMultilevel"/>
    <w:lvl w:ilvl="0">
      <w:start w:val="0"/>
      <w:numFmt w:val="bullet"/>
      <w:lvlText w:val=""/>
      <w:lvlJc w:val="left"/>
      <w:pPr>
        <w:ind w:left="1183" w:hanging="284"/>
      </w:pPr>
      <w:rPr>
        <w:rFonts w:hint="default" w:ascii="Symbol" w:hAnsi="Symbol" w:eastAsia="Symbol" w:cs="Symbol"/>
        <w:w w:val="99"/>
        <w:sz w:val="20"/>
        <w:szCs w:val="20"/>
        <w:lang w:val="en-au" w:eastAsia="en-au" w:bidi="en-au"/>
      </w:rPr>
    </w:lvl>
    <w:lvl w:ilvl="1">
      <w:start w:val="0"/>
      <w:numFmt w:val="bullet"/>
      <w:lvlText w:val="–"/>
      <w:lvlJc w:val="left"/>
      <w:pPr>
        <w:ind w:left="1468" w:hanging="284"/>
      </w:pPr>
      <w:rPr>
        <w:rFonts w:hint="default" w:ascii="Arial" w:hAnsi="Arial" w:eastAsia="Arial" w:cs="Arial"/>
        <w:w w:val="99"/>
        <w:sz w:val="20"/>
        <w:szCs w:val="20"/>
        <w:lang w:val="en-au" w:eastAsia="en-au" w:bidi="en-au"/>
      </w:rPr>
    </w:lvl>
    <w:lvl w:ilvl="2">
      <w:start w:val="0"/>
      <w:numFmt w:val="bullet"/>
      <w:lvlText w:val="•"/>
      <w:lvlJc w:val="left"/>
      <w:pPr>
        <w:ind w:left="2607" w:hanging="284"/>
      </w:pPr>
      <w:rPr>
        <w:rFonts w:hint="default"/>
        <w:lang w:val="en-au" w:eastAsia="en-au" w:bidi="en-au"/>
      </w:rPr>
    </w:lvl>
    <w:lvl w:ilvl="3">
      <w:start w:val="0"/>
      <w:numFmt w:val="bullet"/>
      <w:lvlText w:val="•"/>
      <w:lvlJc w:val="left"/>
      <w:pPr>
        <w:ind w:left="3754" w:hanging="284"/>
      </w:pPr>
      <w:rPr>
        <w:rFonts w:hint="default"/>
        <w:lang w:val="en-au" w:eastAsia="en-au" w:bidi="en-au"/>
      </w:rPr>
    </w:lvl>
    <w:lvl w:ilvl="4">
      <w:start w:val="0"/>
      <w:numFmt w:val="bullet"/>
      <w:lvlText w:val="•"/>
      <w:lvlJc w:val="left"/>
      <w:pPr>
        <w:ind w:left="4902" w:hanging="284"/>
      </w:pPr>
      <w:rPr>
        <w:rFonts w:hint="default"/>
        <w:lang w:val="en-au" w:eastAsia="en-au" w:bidi="en-au"/>
      </w:rPr>
    </w:lvl>
    <w:lvl w:ilvl="5">
      <w:start w:val="0"/>
      <w:numFmt w:val="bullet"/>
      <w:lvlText w:val="•"/>
      <w:lvlJc w:val="left"/>
      <w:pPr>
        <w:ind w:left="6049" w:hanging="284"/>
      </w:pPr>
      <w:rPr>
        <w:rFonts w:hint="default"/>
        <w:lang w:val="en-au" w:eastAsia="en-au" w:bidi="en-au"/>
      </w:rPr>
    </w:lvl>
    <w:lvl w:ilvl="6">
      <w:start w:val="0"/>
      <w:numFmt w:val="bullet"/>
      <w:lvlText w:val="•"/>
      <w:lvlJc w:val="left"/>
      <w:pPr>
        <w:ind w:left="7196" w:hanging="284"/>
      </w:pPr>
      <w:rPr>
        <w:rFonts w:hint="default"/>
        <w:lang w:val="en-au" w:eastAsia="en-au" w:bidi="en-au"/>
      </w:rPr>
    </w:lvl>
    <w:lvl w:ilvl="7">
      <w:start w:val="0"/>
      <w:numFmt w:val="bullet"/>
      <w:lvlText w:val="•"/>
      <w:lvlJc w:val="left"/>
      <w:pPr>
        <w:ind w:left="8344" w:hanging="284"/>
      </w:pPr>
      <w:rPr>
        <w:rFonts w:hint="default"/>
        <w:lang w:val="en-au" w:eastAsia="en-au" w:bidi="en-au"/>
      </w:rPr>
    </w:lvl>
    <w:lvl w:ilvl="8">
      <w:start w:val="0"/>
      <w:numFmt w:val="bullet"/>
      <w:lvlText w:val="•"/>
      <w:lvlJc w:val="left"/>
      <w:pPr>
        <w:ind w:left="9491" w:hanging="284"/>
      </w:pPr>
      <w:rPr>
        <w:rFonts w:hint="default"/>
        <w:lang w:val="en-au" w:eastAsia="en-au" w:bidi="en-au"/>
      </w:rPr>
    </w:lvl>
  </w:abstractNum>
  <w:abstractNum w:abstractNumId="7">
    <w:multiLevelType w:val="hybridMultilevel"/>
    <w:lvl w:ilvl="0">
      <w:start w:val="8"/>
      <w:numFmt w:val="decimal"/>
      <w:lvlText w:val="%1"/>
      <w:lvlJc w:val="left"/>
      <w:pPr>
        <w:ind w:left="664" w:hanging="81"/>
        <w:jc w:val="right"/>
      </w:pPr>
      <w:rPr>
        <w:rFonts w:hint="default" w:ascii="Calibri" w:hAnsi="Calibri" w:eastAsia="Calibri" w:cs="Calibri"/>
        <w:w w:val="100"/>
        <w:sz w:val="12"/>
        <w:szCs w:val="12"/>
        <w:lang w:val="en-au" w:eastAsia="en-au" w:bidi="en-au"/>
      </w:rPr>
    </w:lvl>
    <w:lvl w:ilvl="1">
      <w:start w:val="0"/>
      <w:numFmt w:val="bullet"/>
      <w:lvlText w:val="•"/>
      <w:lvlJc w:val="left"/>
      <w:pPr>
        <w:ind w:left="728" w:hanging="81"/>
      </w:pPr>
      <w:rPr>
        <w:rFonts w:hint="default"/>
        <w:lang w:val="en-au" w:eastAsia="en-au" w:bidi="en-au"/>
      </w:rPr>
    </w:lvl>
    <w:lvl w:ilvl="2">
      <w:start w:val="0"/>
      <w:numFmt w:val="bullet"/>
      <w:lvlText w:val="•"/>
      <w:lvlJc w:val="left"/>
      <w:pPr>
        <w:ind w:left="796" w:hanging="81"/>
      </w:pPr>
      <w:rPr>
        <w:rFonts w:hint="default"/>
        <w:lang w:val="en-au" w:eastAsia="en-au" w:bidi="en-au"/>
      </w:rPr>
    </w:lvl>
    <w:lvl w:ilvl="3">
      <w:start w:val="0"/>
      <w:numFmt w:val="bullet"/>
      <w:lvlText w:val="•"/>
      <w:lvlJc w:val="left"/>
      <w:pPr>
        <w:ind w:left="865" w:hanging="81"/>
      </w:pPr>
      <w:rPr>
        <w:rFonts w:hint="default"/>
        <w:lang w:val="en-au" w:eastAsia="en-au" w:bidi="en-au"/>
      </w:rPr>
    </w:lvl>
    <w:lvl w:ilvl="4">
      <w:start w:val="0"/>
      <w:numFmt w:val="bullet"/>
      <w:lvlText w:val="•"/>
      <w:lvlJc w:val="left"/>
      <w:pPr>
        <w:ind w:left="933" w:hanging="81"/>
      </w:pPr>
      <w:rPr>
        <w:rFonts w:hint="default"/>
        <w:lang w:val="en-au" w:eastAsia="en-au" w:bidi="en-au"/>
      </w:rPr>
    </w:lvl>
    <w:lvl w:ilvl="5">
      <w:start w:val="0"/>
      <w:numFmt w:val="bullet"/>
      <w:lvlText w:val="•"/>
      <w:lvlJc w:val="left"/>
      <w:pPr>
        <w:ind w:left="1002" w:hanging="81"/>
      </w:pPr>
      <w:rPr>
        <w:rFonts w:hint="default"/>
        <w:lang w:val="en-au" w:eastAsia="en-au" w:bidi="en-au"/>
      </w:rPr>
    </w:lvl>
    <w:lvl w:ilvl="6">
      <w:start w:val="0"/>
      <w:numFmt w:val="bullet"/>
      <w:lvlText w:val="•"/>
      <w:lvlJc w:val="left"/>
      <w:pPr>
        <w:ind w:left="1070" w:hanging="81"/>
      </w:pPr>
      <w:rPr>
        <w:rFonts w:hint="default"/>
        <w:lang w:val="en-au" w:eastAsia="en-au" w:bidi="en-au"/>
      </w:rPr>
    </w:lvl>
    <w:lvl w:ilvl="7">
      <w:start w:val="0"/>
      <w:numFmt w:val="bullet"/>
      <w:lvlText w:val="•"/>
      <w:lvlJc w:val="left"/>
      <w:pPr>
        <w:ind w:left="1139" w:hanging="81"/>
      </w:pPr>
      <w:rPr>
        <w:rFonts w:hint="default"/>
        <w:lang w:val="en-au" w:eastAsia="en-au" w:bidi="en-au"/>
      </w:rPr>
    </w:lvl>
    <w:lvl w:ilvl="8">
      <w:start w:val="0"/>
      <w:numFmt w:val="bullet"/>
      <w:lvlText w:val="•"/>
      <w:lvlJc w:val="left"/>
      <w:pPr>
        <w:ind w:left="1207" w:hanging="81"/>
      </w:pPr>
      <w:rPr>
        <w:rFonts w:hint="default"/>
        <w:lang w:val="en-au" w:eastAsia="en-au" w:bidi="en-au"/>
      </w:rPr>
    </w:lvl>
  </w:abstractNum>
  <w:abstractNum w:abstractNumId="6">
    <w:multiLevelType w:val="hybridMultilevel"/>
    <w:lvl w:ilvl="0">
      <w:start w:val="8"/>
      <w:numFmt w:val="decimal"/>
      <w:lvlText w:val="%1"/>
      <w:lvlJc w:val="left"/>
      <w:pPr>
        <w:ind w:left="205" w:hanging="102"/>
        <w:jc w:val="right"/>
      </w:pPr>
      <w:rPr>
        <w:rFonts w:hint="default" w:ascii="Calibri" w:hAnsi="Calibri" w:eastAsia="Calibri" w:cs="Calibri"/>
        <w:color w:val="585858"/>
        <w:w w:val="104"/>
        <w:sz w:val="13"/>
        <w:szCs w:val="13"/>
        <w:lang w:val="en-au" w:eastAsia="en-au" w:bidi="en-au"/>
      </w:rPr>
    </w:lvl>
    <w:lvl w:ilvl="1">
      <w:start w:val="8"/>
      <w:numFmt w:val="decimal"/>
      <w:lvlText w:val="%2"/>
      <w:lvlJc w:val="left"/>
      <w:pPr>
        <w:ind w:left="664" w:hanging="81"/>
        <w:jc w:val="right"/>
      </w:pPr>
      <w:rPr>
        <w:rFonts w:hint="default" w:ascii="Calibri" w:hAnsi="Calibri" w:eastAsia="Calibri" w:cs="Calibri"/>
        <w:w w:val="100"/>
        <w:sz w:val="12"/>
        <w:szCs w:val="12"/>
        <w:lang w:val="en-au" w:eastAsia="en-au" w:bidi="en-au"/>
      </w:rPr>
    </w:lvl>
    <w:lvl w:ilvl="2">
      <w:start w:val="0"/>
      <w:numFmt w:val="bullet"/>
      <w:lvlText w:val="•"/>
      <w:lvlJc w:val="left"/>
      <w:pPr>
        <w:ind w:left="1340" w:hanging="81"/>
      </w:pPr>
      <w:rPr>
        <w:rFonts w:hint="default"/>
        <w:lang w:val="en-au" w:eastAsia="en-au" w:bidi="en-au"/>
      </w:rPr>
    </w:lvl>
    <w:lvl w:ilvl="3">
      <w:start w:val="0"/>
      <w:numFmt w:val="bullet"/>
      <w:lvlText w:val="•"/>
      <w:lvlJc w:val="left"/>
      <w:pPr>
        <w:ind w:left="898" w:hanging="81"/>
      </w:pPr>
      <w:rPr>
        <w:rFonts w:hint="default"/>
        <w:lang w:val="en-au" w:eastAsia="en-au" w:bidi="en-au"/>
      </w:rPr>
    </w:lvl>
    <w:lvl w:ilvl="4">
      <w:start w:val="0"/>
      <w:numFmt w:val="bullet"/>
      <w:lvlText w:val="•"/>
      <w:lvlJc w:val="left"/>
      <w:pPr>
        <w:ind w:left="457" w:hanging="81"/>
      </w:pPr>
      <w:rPr>
        <w:rFonts w:hint="default"/>
        <w:lang w:val="en-au" w:eastAsia="en-au" w:bidi="en-au"/>
      </w:rPr>
    </w:lvl>
    <w:lvl w:ilvl="5">
      <w:start w:val="0"/>
      <w:numFmt w:val="bullet"/>
      <w:lvlText w:val="•"/>
      <w:lvlJc w:val="left"/>
      <w:pPr>
        <w:ind w:left="15" w:hanging="81"/>
      </w:pPr>
      <w:rPr>
        <w:rFonts w:hint="default"/>
        <w:lang w:val="en-au" w:eastAsia="en-au" w:bidi="en-au"/>
      </w:rPr>
    </w:lvl>
    <w:lvl w:ilvl="6">
      <w:start w:val="0"/>
      <w:numFmt w:val="bullet"/>
      <w:lvlText w:val="•"/>
      <w:lvlJc w:val="left"/>
      <w:pPr>
        <w:ind w:left="-426" w:hanging="81"/>
      </w:pPr>
      <w:rPr>
        <w:rFonts w:hint="default"/>
        <w:lang w:val="en-au" w:eastAsia="en-au" w:bidi="en-au"/>
      </w:rPr>
    </w:lvl>
    <w:lvl w:ilvl="7">
      <w:start w:val="0"/>
      <w:numFmt w:val="bullet"/>
      <w:lvlText w:val="•"/>
      <w:lvlJc w:val="left"/>
      <w:pPr>
        <w:ind w:left="-867" w:hanging="81"/>
      </w:pPr>
      <w:rPr>
        <w:rFonts w:hint="default"/>
        <w:lang w:val="en-au" w:eastAsia="en-au" w:bidi="en-au"/>
      </w:rPr>
    </w:lvl>
    <w:lvl w:ilvl="8">
      <w:start w:val="0"/>
      <w:numFmt w:val="bullet"/>
      <w:lvlText w:val="•"/>
      <w:lvlJc w:val="left"/>
      <w:pPr>
        <w:ind w:left="-1309" w:hanging="81"/>
      </w:pPr>
      <w:rPr>
        <w:rFonts w:hint="default"/>
        <w:lang w:val="en-au" w:eastAsia="en-au" w:bidi="en-au"/>
      </w:rPr>
    </w:lvl>
  </w:abstractNum>
  <w:abstractNum w:abstractNumId="3">
    <w:multiLevelType w:val="hybridMultilevel"/>
    <w:lvl w:ilvl="0">
      <w:start w:val="0"/>
      <w:numFmt w:val="bullet"/>
      <w:lvlText w:val=""/>
      <w:lvlJc w:val="left"/>
      <w:pPr>
        <w:ind w:left="1183" w:hanging="284"/>
      </w:pPr>
      <w:rPr>
        <w:rFonts w:hint="default"/>
        <w:w w:val="99"/>
        <w:lang w:val="en-au" w:eastAsia="en-au" w:bidi="en-au"/>
      </w:rPr>
    </w:lvl>
    <w:lvl w:ilvl="1">
      <w:start w:val="0"/>
      <w:numFmt w:val="bullet"/>
      <w:lvlText w:val="•"/>
      <w:lvlJc w:val="left"/>
      <w:pPr>
        <w:ind w:left="2240" w:hanging="284"/>
      </w:pPr>
      <w:rPr>
        <w:rFonts w:hint="default"/>
        <w:lang w:val="en-au" w:eastAsia="en-au" w:bidi="en-au"/>
      </w:rPr>
    </w:lvl>
    <w:lvl w:ilvl="2">
      <w:start w:val="0"/>
      <w:numFmt w:val="bullet"/>
      <w:lvlText w:val="•"/>
      <w:lvlJc w:val="left"/>
      <w:pPr>
        <w:ind w:left="3301" w:hanging="284"/>
      </w:pPr>
      <w:rPr>
        <w:rFonts w:hint="default"/>
        <w:lang w:val="en-au" w:eastAsia="en-au" w:bidi="en-au"/>
      </w:rPr>
    </w:lvl>
    <w:lvl w:ilvl="3">
      <w:start w:val="0"/>
      <w:numFmt w:val="bullet"/>
      <w:lvlText w:val="•"/>
      <w:lvlJc w:val="left"/>
      <w:pPr>
        <w:ind w:left="4361" w:hanging="284"/>
      </w:pPr>
      <w:rPr>
        <w:rFonts w:hint="default"/>
        <w:lang w:val="en-au" w:eastAsia="en-au" w:bidi="en-au"/>
      </w:rPr>
    </w:lvl>
    <w:lvl w:ilvl="4">
      <w:start w:val="0"/>
      <w:numFmt w:val="bullet"/>
      <w:lvlText w:val="•"/>
      <w:lvlJc w:val="left"/>
      <w:pPr>
        <w:ind w:left="5422" w:hanging="284"/>
      </w:pPr>
      <w:rPr>
        <w:rFonts w:hint="default"/>
        <w:lang w:val="en-au" w:eastAsia="en-au" w:bidi="en-au"/>
      </w:rPr>
    </w:lvl>
    <w:lvl w:ilvl="5">
      <w:start w:val="0"/>
      <w:numFmt w:val="bullet"/>
      <w:lvlText w:val="•"/>
      <w:lvlJc w:val="left"/>
      <w:pPr>
        <w:ind w:left="6483" w:hanging="284"/>
      </w:pPr>
      <w:rPr>
        <w:rFonts w:hint="default"/>
        <w:lang w:val="en-au" w:eastAsia="en-au" w:bidi="en-au"/>
      </w:rPr>
    </w:lvl>
    <w:lvl w:ilvl="6">
      <w:start w:val="0"/>
      <w:numFmt w:val="bullet"/>
      <w:lvlText w:val="•"/>
      <w:lvlJc w:val="left"/>
      <w:pPr>
        <w:ind w:left="7543" w:hanging="284"/>
      </w:pPr>
      <w:rPr>
        <w:rFonts w:hint="default"/>
        <w:lang w:val="en-au" w:eastAsia="en-au" w:bidi="en-au"/>
      </w:rPr>
    </w:lvl>
    <w:lvl w:ilvl="7">
      <w:start w:val="0"/>
      <w:numFmt w:val="bullet"/>
      <w:lvlText w:val="•"/>
      <w:lvlJc w:val="left"/>
      <w:pPr>
        <w:ind w:left="8604" w:hanging="284"/>
      </w:pPr>
      <w:rPr>
        <w:rFonts w:hint="default"/>
        <w:lang w:val="en-au" w:eastAsia="en-au" w:bidi="en-au"/>
      </w:rPr>
    </w:lvl>
    <w:lvl w:ilvl="8">
      <w:start w:val="0"/>
      <w:numFmt w:val="bullet"/>
      <w:lvlText w:val="•"/>
      <w:lvlJc w:val="left"/>
      <w:pPr>
        <w:ind w:left="9665" w:hanging="284"/>
      </w:pPr>
      <w:rPr>
        <w:rFonts w:hint="default"/>
        <w:lang w:val="en-au" w:eastAsia="en-au" w:bidi="en-au"/>
      </w:rPr>
    </w:lvl>
  </w:abstractNum>
  <w:abstractNum w:abstractNumId="2">
    <w:multiLevelType w:val="hybridMultilevel"/>
    <w:lvl w:ilvl="0">
      <w:start w:val="1"/>
      <w:numFmt w:val="decimal"/>
      <w:lvlText w:val="%1."/>
      <w:lvlJc w:val="left"/>
      <w:pPr>
        <w:ind w:left="1751" w:hanging="852"/>
        <w:jc w:val="left"/>
      </w:pPr>
      <w:rPr>
        <w:rFonts w:hint="default" w:ascii="Arial" w:hAnsi="Arial" w:eastAsia="Arial" w:cs="Arial"/>
        <w:color w:val="DF2F1E"/>
        <w:spacing w:val="-1"/>
        <w:w w:val="99"/>
        <w:sz w:val="32"/>
        <w:szCs w:val="32"/>
        <w:lang w:val="en-au" w:eastAsia="en-au" w:bidi="en-au"/>
      </w:rPr>
    </w:lvl>
    <w:lvl w:ilvl="1">
      <w:start w:val="1"/>
      <w:numFmt w:val="decimal"/>
      <w:lvlText w:val="%2."/>
      <w:lvlJc w:val="left"/>
      <w:pPr>
        <w:ind w:left="1620" w:hanging="361"/>
        <w:jc w:val="right"/>
      </w:pPr>
      <w:rPr>
        <w:rFonts w:hint="default"/>
        <w:spacing w:val="-1"/>
        <w:w w:val="100"/>
        <w:lang w:val="en-au" w:eastAsia="en-au" w:bidi="en-au"/>
      </w:rPr>
    </w:lvl>
    <w:lvl w:ilvl="2">
      <w:start w:val="3"/>
      <w:numFmt w:val="decimal"/>
      <w:lvlText w:val="%3"/>
      <w:lvlJc w:val="left"/>
      <w:pPr>
        <w:ind w:left="1852" w:hanging="76"/>
        <w:jc w:val="right"/>
      </w:pPr>
      <w:rPr>
        <w:rFonts w:hint="default"/>
        <w:w w:val="99"/>
        <w:lang w:val="en-au" w:eastAsia="en-au" w:bidi="en-au"/>
      </w:rPr>
    </w:lvl>
    <w:lvl w:ilvl="3">
      <w:start w:val="0"/>
      <w:numFmt w:val="bullet"/>
      <w:lvlText w:val="•"/>
      <w:lvlJc w:val="left"/>
      <w:pPr>
        <w:ind w:left="1760" w:hanging="76"/>
      </w:pPr>
      <w:rPr>
        <w:rFonts w:hint="default"/>
        <w:lang w:val="en-au" w:eastAsia="en-au" w:bidi="en-au"/>
      </w:rPr>
    </w:lvl>
    <w:lvl w:ilvl="4">
      <w:start w:val="0"/>
      <w:numFmt w:val="bullet"/>
      <w:lvlText w:val="•"/>
      <w:lvlJc w:val="left"/>
      <w:pPr>
        <w:ind w:left="1800" w:hanging="76"/>
      </w:pPr>
      <w:rPr>
        <w:rFonts w:hint="default"/>
        <w:lang w:val="en-au" w:eastAsia="en-au" w:bidi="en-au"/>
      </w:rPr>
    </w:lvl>
    <w:lvl w:ilvl="5">
      <w:start w:val="0"/>
      <w:numFmt w:val="bullet"/>
      <w:lvlText w:val="•"/>
      <w:lvlJc w:val="left"/>
      <w:pPr>
        <w:ind w:left="1860" w:hanging="76"/>
      </w:pPr>
      <w:rPr>
        <w:rFonts w:hint="default"/>
        <w:lang w:val="en-au" w:eastAsia="en-au" w:bidi="en-au"/>
      </w:rPr>
    </w:lvl>
    <w:lvl w:ilvl="6">
      <w:start w:val="0"/>
      <w:numFmt w:val="bullet"/>
      <w:lvlText w:val="•"/>
      <w:lvlJc w:val="left"/>
      <w:pPr>
        <w:ind w:left="2360" w:hanging="76"/>
      </w:pPr>
      <w:rPr>
        <w:rFonts w:hint="default"/>
        <w:lang w:val="en-au" w:eastAsia="en-au" w:bidi="en-au"/>
      </w:rPr>
    </w:lvl>
    <w:lvl w:ilvl="7">
      <w:start w:val="0"/>
      <w:numFmt w:val="bullet"/>
      <w:lvlText w:val="•"/>
      <w:lvlJc w:val="left"/>
      <w:pPr>
        <w:ind w:left="1796" w:hanging="76"/>
      </w:pPr>
      <w:rPr>
        <w:rFonts w:hint="default"/>
        <w:lang w:val="en-au" w:eastAsia="en-au" w:bidi="en-au"/>
      </w:rPr>
    </w:lvl>
    <w:lvl w:ilvl="8">
      <w:start w:val="0"/>
      <w:numFmt w:val="bullet"/>
      <w:lvlText w:val="•"/>
      <w:lvlJc w:val="left"/>
      <w:pPr>
        <w:ind w:left="1232" w:hanging="76"/>
      </w:pPr>
      <w:rPr>
        <w:rFonts w:hint="default"/>
        <w:lang w:val="en-au" w:eastAsia="en-au" w:bidi="en-au"/>
      </w:rPr>
    </w:lvl>
  </w:abstractNum>
  <w:abstractNum w:abstractNumId="1">
    <w:multiLevelType w:val="hybridMultilevel"/>
    <w:lvl w:ilvl="0">
      <w:start w:val="0"/>
      <w:numFmt w:val="bullet"/>
      <w:lvlText w:val=""/>
      <w:lvlJc w:val="left"/>
      <w:pPr>
        <w:ind w:left="1291" w:hanging="284"/>
      </w:pPr>
      <w:rPr>
        <w:rFonts w:hint="default" w:ascii="Symbol" w:hAnsi="Symbol" w:eastAsia="Symbol" w:cs="Symbol"/>
        <w:w w:val="99"/>
        <w:sz w:val="20"/>
        <w:szCs w:val="20"/>
        <w:lang w:val="en-au" w:eastAsia="en-au" w:bidi="en-au"/>
      </w:rPr>
    </w:lvl>
    <w:lvl w:ilvl="1">
      <w:start w:val="0"/>
      <w:numFmt w:val="bullet"/>
      <w:lvlText w:val="–"/>
      <w:lvlJc w:val="left"/>
      <w:pPr>
        <w:ind w:left="1576" w:hanging="284"/>
      </w:pPr>
      <w:rPr>
        <w:rFonts w:hint="default" w:ascii="Arial" w:hAnsi="Arial" w:eastAsia="Arial" w:cs="Arial"/>
        <w:w w:val="99"/>
        <w:sz w:val="20"/>
        <w:szCs w:val="20"/>
        <w:lang w:val="en-au" w:eastAsia="en-au" w:bidi="en-au"/>
      </w:rPr>
    </w:lvl>
    <w:lvl w:ilvl="2">
      <w:start w:val="0"/>
      <w:numFmt w:val="bullet"/>
      <w:lvlText w:val="◦"/>
      <w:lvlJc w:val="left"/>
      <w:pPr>
        <w:ind w:left="1860" w:hanging="284"/>
      </w:pPr>
      <w:rPr>
        <w:rFonts w:hint="default" w:ascii="Georgia" w:hAnsi="Georgia" w:eastAsia="Georgia" w:cs="Georgia"/>
        <w:spacing w:val="-2"/>
        <w:w w:val="99"/>
        <w:sz w:val="18"/>
        <w:szCs w:val="18"/>
        <w:lang w:val="en-au" w:eastAsia="en-au" w:bidi="en-au"/>
      </w:rPr>
    </w:lvl>
    <w:lvl w:ilvl="3">
      <w:start w:val="0"/>
      <w:numFmt w:val="bullet"/>
      <w:lvlText w:val="•"/>
      <w:lvlJc w:val="left"/>
      <w:pPr>
        <w:ind w:left="3100" w:hanging="284"/>
      </w:pPr>
      <w:rPr>
        <w:rFonts w:hint="default"/>
        <w:lang w:val="en-au" w:eastAsia="en-au" w:bidi="en-au"/>
      </w:rPr>
    </w:lvl>
    <w:lvl w:ilvl="4">
      <w:start w:val="0"/>
      <w:numFmt w:val="bullet"/>
      <w:lvlText w:val="•"/>
      <w:lvlJc w:val="left"/>
      <w:pPr>
        <w:ind w:left="4341" w:hanging="284"/>
      </w:pPr>
      <w:rPr>
        <w:rFonts w:hint="default"/>
        <w:lang w:val="en-au" w:eastAsia="en-au" w:bidi="en-au"/>
      </w:rPr>
    </w:lvl>
    <w:lvl w:ilvl="5">
      <w:start w:val="0"/>
      <w:numFmt w:val="bullet"/>
      <w:lvlText w:val="•"/>
      <w:lvlJc w:val="left"/>
      <w:pPr>
        <w:ind w:left="5582" w:hanging="284"/>
      </w:pPr>
      <w:rPr>
        <w:rFonts w:hint="default"/>
        <w:lang w:val="en-au" w:eastAsia="en-au" w:bidi="en-au"/>
      </w:rPr>
    </w:lvl>
    <w:lvl w:ilvl="6">
      <w:start w:val="0"/>
      <w:numFmt w:val="bullet"/>
      <w:lvlText w:val="•"/>
      <w:lvlJc w:val="left"/>
      <w:pPr>
        <w:ind w:left="6823" w:hanging="284"/>
      </w:pPr>
      <w:rPr>
        <w:rFonts w:hint="default"/>
        <w:lang w:val="en-au" w:eastAsia="en-au" w:bidi="en-au"/>
      </w:rPr>
    </w:lvl>
    <w:lvl w:ilvl="7">
      <w:start w:val="0"/>
      <w:numFmt w:val="bullet"/>
      <w:lvlText w:val="•"/>
      <w:lvlJc w:val="left"/>
      <w:pPr>
        <w:ind w:left="8064" w:hanging="284"/>
      </w:pPr>
      <w:rPr>
        <w:rFonts w:hint="default"/>
        <w:lang w:val="en-au" w:eastAsia="en-au" w:bidi="en-au"/>
      </w:rPr>
    </w:lvl>
    <w:lvl w:ilvl="8">
      <w:start w:val="0"/>
      <w:numFmt w:val="bullet"/>
      <w:lvlText w:val="•"/>
      <w:lvlJc w:val="left"/>
      <w:pPr>
        <w:ind w:left="9304" w:hanging="284"/>
      </w:pPr>
      <w:rPr>
        <w:rFonts w:hint="default"/>
        <w:lang w:val="en-au" w:eastAsia="en-au" w:bidi="en-au"/>
      </w:rPr>
    </w:lvl>
  </w:abstractNum>
  <w:abstractNum w:abstractNumId="0">
    <w:multiLevelType w:val="hybridMultilevel"/>
    <w:lvl w:ilvl="0">
      <w:start w:val="1"/>
      <w:numFmt w:val="decimal"/>
      <w:lvlText w:val="%1"/>
      <w:lvlJc w:val="left"/>
      <w:pPr>
        <w:ind w:left="2601" w:hanging="569"/>
        <w:jc w:val="left"/>
      </w:pPr>
      <w:rPr>
        <w:rFonts w:hint="default" w:ascii="Arial" w:hAnsi="Arial" w:eastAsia="Arial" w:cs="Arial"/>
        <w:b/>
        <w:bCs/>
        <w:w w:val="99"/>
        <w:sz w:val="20"/>
        <w:szCs w:val="20"/>
        <w:lang w:val="en-au" w:eastAsia="en-au" w:bidi="en-au"/>
      </w:rPr>
    </w:lvl>
    <w:lvl w:ilvl="1">
      <w:start w:val="1"/>
      <w:numFmt w:val="decimal"/>
      <w:lvlText w:val="%1.%2"/>
      <w:lvlJc w:val="left"/>
      <w:pPr>
        <w:ind w:left="3168" w:hanging="567"/>
        <w:jc w:val="left"/>
      </w:pPr>
      <w:rPr>
        <w:rFonts w:hint="default" w:ascii="Arial" w:hAnsi="Arial" w:eastAsia="Arial" w:cs="Arial"/>
        <w:spacing w:val="-1"/>
        <w:w w:val="99"/>
        <w:sz w:val="20"/>
        <w:szCs w:val="20"/>
        <w:lang w:val="en-au" w:eastAsia="en-au" w:bidi="en-au"/>
      </w:rPr>
    </w:lvl>
    <w:lvl w:ilvl="2">
      <w:start w:val="0"/>
      <w:numFmt w:val="bullet"/>
      <w:lvlText w:val="•"/>
      <w:lvlJc w:val="left"/>
      <w:pPr>
        <w:ind w:left="4118" w:hanging="567"/>
      </w:pPr>
      <w:rPr>
        <w:rFonts w:hint="default"/>
        <w:lang w:val="en-au" w:eastAsia="en-au" w:bidi="en-au"/>
      </w:rPr>
    </w:lvl>
    <w:lvl w:ilvl="3">
      <w:start w:val="0"/>
      <w:numFmt w:val="bullet"/>
      <w:lvlText w:val="•"/>
      <w:lvlJc w:val="left"/>
      <w:pPr>
        <w:ind w:left="5076" w:hanging="567"/>
      </w:pPr>
      <w:rPr>
        <w:rFonts w:hint="default"/>
        <w:lang w:val="en-au" w:eastAsia="en-au" w:bidi="en-au"/>
      </w:rPr>
    </w:lvl>
    <w:lvl w:ilvl="4">
      <w:start w:val="0"/>
      <w:numFmt w:val="bullet"/>
      <w:lvlText w:val="•"/>
      <w:lvlJc w:val="left"/>
      <w:pPr>
        <w:ind w:left="6035" w:hanging="567"/>
      </w:pPr>
      <w:rPr>
        <w:rFonts w:hint="default"/>
        <w:lang w:val="en-au" w:eastAsia="en-au" w:bidi="en-au"/>
      </w:rPr>
    </w:lvl>
    <w:lvl w:ilvl="5">
      <w:start w:val="0"/>
      <w:numFmt w:val="bullet"/>
      <w:lvlText w:val="•"/>
      <w:lvlJc w:val="left"/>
      <w:pPr>
        <w:ind w:left="6993" w:hanging="567"/>
      </w:pPr>
      <w:rPr>
        <w:rFonts w:hint="default"/>
        <w:lang w:val="en-au" w:eastAsia="en-au" w:bidi="en-au"/>
      </w:rPr>
    </w:lvl>
    <w:lvl w:ilvl="6">
      <w:start w:val="0"/>
      <w:numFmt w:val="bullet"/>
      <w:lvlText w:val="•"/>
      <w:lvlJc w:val="left"/>
      <w:pPr>
        <w:ind w:left="7952" w:hanging="567"/>
      </w:pPr>
      <w:rPr>
        <w:rFonts w:hint="default"/>
        <w:lang w:val="en-au" w:eastAsia="en-au" w:bidi="en-au"/>
      </w:rPr>
    </w:lvl>
    <w:lvl w:ilvl="7">
      <w:start w:val="0"/>
      <w:numFmt w:val="bullet"/>
      <w:lvlText w:val="•"/>
      <w:lvlJc w:val="left"/>
      <w:pPr>
        <w:ind w:left="8910" w:hanging="567"/>
      </w:pPr>
      <w:rPr>
        <w:rFonts w:hint="default"/>
        <w:lang w:val="en-au" w:eastAsia="en-au" w:bidi="en-au"/>
      </w:rPr>
    </w:lvl>
    <w:lvl w:ilvl="8">
      <w:start w:val="0"/>
      <w:numFmt w:val="bullet"/>
      <w:lvlText w:val="•"/>
      <w:lvlJc w:val="left"/>
      <w:pPr>
        <w:ind w:left="9869" w:hanging="567"/>
      </w:pPr>
      <w:rPr>
        <w:rFonts w:hint="default"/>
        <w:lang w:val="en-au" w:eastAsia="en-au" w:bidi="en-au"/>
      </w:rPr>
    </w:lvl>
  </w:abstractNum>
  <w:num w:numId="83">
    <w:abstractNumId w:val="82"/>
  </w:num>
  <w:num w:numId="79">
    <w:abstractNumId w:val="78"/>
  </w:num>
  <w:num w:numId="74">
    <w:abstractNumId w:val="73"/>
  </w:num>
  <w:num w:numId="70">
    <w:abstractNumId w:val="69"/>
  </w:num>
  <w:num w:numId="66">
    <w:abstractNumId w:val="65"/>
  </w:num>
  <w:num w:numId="62">
    <w:abstractNumId w:val="61"/>
  </w:num>
  <w:num w:numId="34">
    <w:abstractNumId w:val="33"/>
  </w:num>
  <w:num w:numId="14">
    <w:abstractNumId w:val="13"/>
  </w:num>
  <w:num w:numId="6">
    <w:abstractNumId w:val="5"/>
  </w:num>
  <w:num w:numId="5">
    <w:abstractNumId w:val="4"/>
  </w:num>
  <w:num w:numId="86">
    <w:abstractNumId w:val="85"/>
  </w:num>
  <w:num w:numId="85">
    <w:abstractNumId w:val="84"/>
  </w:num>
  <w:num w:numId="84">
    <w:abstractNumId w:val="83"/>
  </w:num>
  <w:num w:numId="82">
    <w:abstractNumId w:val="81"/>
  </w:num>
  <w:num w:numId="81">
    <w:abstractNumId w:val="80"/>
  </w:num>
  <w:num w:numId="80">
    <w:abstractNumId w:val="79"/>
  </w:num>
  <w:num w:numId="78">
    <w:abstractNumId w:val="77"/>
  </w:num>
  <w:num w:numId="77">
    <w:abstractNumId w:val="76"/>
  </w:num>
  <w:num w:numId="76">
    <w:abstractNumId w:val="75"/>
  </w:num>
  <w:num w:numId="75">
    <w:abstractNumId w:val="74"/>
  </w:num>
  <w:num w:numId="73">
    <w:abstractNumId w:val="72"/>
  </w:num>
  <w:num w:numId="72">
    <w:abstractNumId w:val="71"/>
  </w:num>
  <w:num w:numId="71">
    <w:abstractNumId w:val="70"/>
  </w:num>
  <w:num w:numId="69">
    <w:abstractNumId w:val="68"/>
  </w:num>
  <w:num w:numId="68">
    <w:abstractNumId w:val="67"/>
  </w:num>
  <w:num w:numId="67">
    <w:abstractNumId w:val="66"/>
  </w:num>
  <w:num w:numId="65">
    <w:abstractNumId w:val="64"/>
  </w:num>
  <w:num w:numId="64">
    <w:abstractNumId w:val="63"/>
  </w:num>
  <w:num w:numId="63">
    <w:abstractNumId w:val="62"/>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3">
    <w:abstractNumId w:val="32"/>
  </w:num>
  <w:num w:numId="32">
    <w:abstractNumId w:val="31"/>
  </w:num>
  <w:num w:numId="31">
    <w:abstractNumId w:val="30"/>
  </w:num>
  <w:num w:numId="30">
    <w:abstractNumId w:val="29"/>
  </w:num>
  <w:num w:numId="28">
    <w:abstractNumId w:val="27"/>
  </w:num>
  <w:num w:numId="29">
    <w:abstractNumId w:val="28"/>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au" w:eastAsia="en-au" w:bidi="en-au"/>
    </w:rPr>
  </w:style>
  <w:style w:styleId="TOC1" w:type="paragraph">
    <w:name w:val="TOC 1"/>
    <w:basedOn w:val="Normal"/>
    <w:uiPriority w:val="1"/>
    <w:qFormat/>
    <w:pPr>
      <w:spacing w:before="121"/>
      <w:ind w:left="2032" w:hanging="570"/>
    </w:pPr>
    <w:rPr>
      <w:rFonts w:ascii="Arial" w:hAnsi="Arial" w:eastAsia="Arial" w:cs="Arial"/>
      <w:b/>
      <w:bCs/>
      <w:sz w:val="20"/>
      <w:szCs w:val="20"/>
      <w:lang w:val="en-au" w:eastAsia="en-au" w:bidi="en-au"/>
    </w:rPr>
  </w:style>
  <w:style w:styleId="TOC2" w:type="paragraph">
    <w:name w:val="TOC 2"/>
    <w:basedOn w:val="Normal"/>
    <w:uiPriority w:val="1"/>
    <w:qFormat/>
    <w:pPr>
      <w:ind w:left="3168" w:hanging="567"/>
    </w:pPr>
    <w:rPr>
      <w:rFonts w:ascii="Arial" w:hAnsi="Arial" w:eastAsia="Arial" w:cs="Arial"/>
      <w:sz w:val="20"/>
      <w:szCs w:val="20"/>
      <w:lang w:val="en-au" w:eastAsia="en-au" w:bidi="en-au"/>
    </w:rPr>
  </w:style>
  <w:style w:styleId="BodyText" w:type="paragraph">
    <w:name w:val="Body Text"/>
    <w:basedOn w:val="Normal"/>
    <w:uiPriority w:val="1"/>
    <w:qFormat/>
    <w:pPr/>
    <w:rPr>
      <w:rFonts w:ascii="Arial" w:hAnsi="Arial" w:eastAsia="Arial" w:cs="Arial"/>
      <w:sz w:val="20"/>
      <w:szCs w:val="20"/>
      <w:lang w:val="en-au" w:eastAsia="en-au" w:bidi="en-au"/>
    </w:rPr>
  </w:style>
  <w:style w:styleId="Heading1" w:type="paragraph">
    <w:name w:val="Heading 1"/>
    <w:basedOn w:val="Normal"/>
    <w:uiPriority w:val="1"/>
    <w:qFormat/>
    <w:pPr>
      <w:spacing w:before="80"/>
      <w:ind w:left="900"/>
      <w:outlineLvl w:val="1"/>
    </w:pPr>
    <w:rPr>
      <w:rFonts w:ascii="Arial" w:hAnsi="Arial" w:eastAsia="Arial" w:cs="Arial"/>
      <w:sz w:val="64"/>
      <w:szCs w:val="64"/>
      <w:lang w:val="en-au" w:eastAsia="en-au" w:bidi="en-au"/>
    </w:rPr>
  </w:style>
  <w:style w:styleId="Heading2" w:type="paragraph">
    <w:name w:val="Heading 2"/>
    <w:basedOn w:val="Normal"/>
    <w:uiPriority w:val="1"/>
    <w:qFormat/>
    <w:pPr>
      <w:ind w:left="1752" w:hanging="853"/>
      <w:outlineLvl w:val="2"/>
    </w:pPr>
    <w:rPr>
      <w:rFonts w:ascii="Arial" w:hAnsi="Arial" w:eastAsia="Arial" w:cs="Arial"/>
      <w:sz w:val="28"/>
      <w:szCs w:val="28"/>
      <w:lang w:val="en-au" w:eastAsia="en-au" w:bidi="en-au"/>
    </w:rPr>
  </w:style>
  <w:style w:styleId="Heading3" w:type="paragraph">
    <w:name w:val="Heading 3"/>
    <w:basedOn w:val="Normal"/>
    <w:uiPriority w:val="1"/>
    <w:qFormat/>
    <w:pPr>
      <w:spacing w:before="92"/>
      <w:ind w:left="1008"/>
      <w:outlineLvl w:val="3"/>
    </w:pPr>
    <w:rPr>
      <w:rFonts w:ascii="Arial" w:hAnsi="Arial" w:eastAsia="Arial" w:cs="Arial"/>
      <w:b/>
      <w:bCs/>
      <w:sz w:val="24"/>
      <w:szCs w:val="24"/>
      <w:lang w:val="en-au" w:eastAsia="en-au" w:bidi="en-au"/>
    </w:rPr>
  </w:style>
  <w:style w:styleId="Heading4" w:type="paragraph">
    <w:name w:val="Heading 4"/>
    <w:basedOn w:val="Normal"/>
    <w:uiPriority w:val="1"/>
    <w:qFormat/>
    <w:pPr>
      <w:ind w:left="900"/>
      <w:outlineLvl w:val="4"/>
    </w:pPr>
    <w:rPr>
      <w:rFonts w:ascii="Arial" w:hAnsi="Arial" w:eastAsia="Arial" w:cs="Arial"/>
      <w:sz w:val="24"/>
      <w:szCs w:val="24"/>
      <w:lang w:val="en-au" w:eastAsia="en-au" w:bidi="en-au"/>
    </w:rPr>
  </w:style>
  <w:style w:styleId="Heading5" w:type="paragraph">
    <w:name w:val="Heading 5"/>
    <w:basedOn w:val="Normal"/>
    <w:uiPriority w:val="1"/>
    <w:qFormat/>
    <w:pPr>
      <w:spacing w:before="93"/>
      <w:ind w:left="900"/>
      <w:outlineLvl w:val="5"/>
    </w:pPr>
    <w:rPr>
      <w:rFonts w:ascii="Arial" w:hAnsi="Arial" w:eastAsia="Arial" w:cs="Arial"/>
      <w:sz w:val="22"/>
      <w:szCs w:val="22"/>
      <w:lang w:val="en-au" w:eastAsia="en-au" w:bidi="en-au"/>
    </w:rPr>
  </w:style>
  <w:style w:styleId="Heading6" w:type="paragraph">
    <w:name w:val="Heading 6"/>
    <w:basedOn w:val="Normal"/>
    <w:uiPriority w:val="1"/>
    <w:qFormat/>
    <w:pPr>
      <w:ind w:left="900"/>
      <w:outlineLvl w:val="6"/>
    </w:pPr>
    <w:rPr>
      <w:rFonts w:ascii="Arial" w:hAnsi="Arial" w:eastAsia="Arial" w:cs="Arial"/>
      <w:i/>
      <w:sz w:val="22"/>
      <w:szCs w:val="22"/>
      <w:lang w:val="en-au" w:eastAsia="en-au" w:bidi="en-au"/>
    </w:rPr>
  </w:style>
  <w:style w:styleId="Heading7" w:type="paragraph">
    <w:name w:val="Heading 7"/>
    <w:basedOn w:val="Normal"/>
    <w:uiPriority w:val="1"/>
    <w:qFormat/>
    <w:pPr>
      <w:spacing w:before="96"/>
      <w:ind w:left="5915"/>
      <w:outlineLvl w:val="7"/>
    </w:pPr>
    <w:rPr>
      <w:rFonts w:ascii="Arial" w:hAnsi="Arial" w:eastAsia="Arial" w:cs="Arial"/>
      <w:b/>
      <w:bCs/>
      <w:sz w:val="21"/>
      <w:szCs w:val="21"/>
      <w:lang w:val="en-au" w:eastAsia="en-au" w:bidi="en-au"/>
    </w:rPr>
  </w:style>
  <w:style w:styleId="Heading8" w:type="paragraph">
    <w:name w:val="Heading 8"/>
    <w:basedOn w:val="Normal"/>
    <w:uiPriority w:val="1"/>
    <w:qFormat/>
    <w:pPr>
      <w:ind w:left="5915"/>
      <w:outlineLvl w:val="8"/>
    </w:pPr>
    <w:rPr>
      <w:rFonts w:ascii="Arial" w:hAnsi="Arial" w:eastAsia="Arial" w:cs="Arial"/>
      <w:sz w:val="21"/>
      <w:szCs w:val="21"/>
      <w:lang w:val="en-au" w:eastAsia="en-au" w:bidi="en-au"/>
    </w:rPr>
  </w:style>
  <w:style w:styleId="Heading9" w:type="paragraph">
    <w:name w:val="Heading 9"/>
    <w:basedOn w:val="Normal"/>
    <w:uiPriority w:val="1"/>
    <w:qFormat/>
    <w:pPr>
      <w:spacing w:before="93"/>
      <w:ind w:left="900"/>
      <w:outlineLvl w:val="9"/>
    </w:pPr>
    <w:rPr>
      <w:rFonts w:ascii="Arial" w:hAnsi="Arial" w:eastAsia="Arial" w:cs="Arial"/>
      <w:b/>
      <w:bCs/>
      <w:sz w:val="20"/>
      <w:szCs w:val="20"/>
      <w:lang w:val="en-au" w:eastAsia="en-au" w:bidi="en-au"/>
    </w:rPr>
  </w:style>
  <w:style w:styleId="ListParagraph" w:type="paragraph">
    <w:name w:val="List Paragraph"/>
    <w:basedOn w:val="Normal"/>
    <w:uiPriority w:val="1"/>
    <w:qFormat/>
    <w:pPr>
      <w:spacing w:before="15"/>
      <w:ind w:left="1183" w:hanging="284"/>
    </w:pPr>
    <w:rPr>
      <w:rFonts w:ascii="Arial" w:hAnsi="Arial" w:eastAsia="Arial" w:cs="Arial"/>
      <w:lang w:val="en-au" w:eastAsia="en-au" w:bidi="en-au"/>
    </w:rPr>
  </w:style>
  <w:style w:styleId="TableParagraph" w:type="paragraph">
    <w:name w:val="Table Paragraph"/>
    <w:basedOn w:val="Normal"/>
    <w:uiPriority w:val="1"/>
    <w:qFormat/>
    <w:pPr>
      <w:spacing w:before="37"/>
    </w:pPr>
    <w:rPr>
      <w:rFonts w:ascii="Arial" w:hAnsi="Arial" w:eastAsia="Arial" w:cs="Arial"/>
      <w:lang w:val="en-au" w:eastAsia="en-au" w:bidi="en-au"/>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image" Target="media/image3.jpeg"/><Relationship Id="rId10" Type="http://schemas.openxmlformats.org/officeDocument/2006/relationships/header" Target="header1.xml"/><Relationship Id="rId11" Type="http://schemas.openxmlformats.org/officeDocument/2006/relationships/footer" Target="footer3.xml"/><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header" Target="header2.xml"/><Relationship Id="rId17" Type="http://schemas.openxmlformats.org/officeDocument/2006/relationships/footer" Target="footer4.xml"/><Relationship Id="rId18" Type="http://schemas.openxmlformats.org/officeDocument/2006/relationships/image" Target="media/image8.jpeg"/><Relationship Id="rId19" Type="http://schemas.openxmlformats.org/officeDocument/2006/relationships/header" Target="header3.xml"/><Relationship Id="rId20" Type="http://schemas.openxmlformats.org/officeDocument/2006/relationships/footer" Target="footer5.xml"/><Relationship Id="rId21" Type="http://schemas.openxmlformats.org/officeDocument/2006/relationships/header" Target="header4.xml"/><Relationship Id="rId22" Type="http://schemas.openxmlformats.org/officeDocument/2006/relationships/footer" Target="footer6.xml"/><Relationship Id="rId23" Type="http://schemas.openxmlformats.org/officeDocument/2006/relationships/image" Target="media/image9.jpeg"/><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image" Target="media/image12.png"/><Relationship Id="rId27" Type="http://schemas.openxmlformats.org/officeDocument/2006/relationships/image" Target="media/image13.png"/><Relationship Id="rId28" Type="http://schemas.openxmlformats.org/officeDocument/2006/relationships/image" Target="media/image14.png"/><Relationship Id="rId29" Type="http://schemas.openxmlformats.org/officeDocument/2006/relationships/image" Target="media/image15.png"/><Relationship Id="rId30" Type="http://schemas.openxmlformats.org/officeDocument/2006/relationships/image" Target="media/image16.png"/><Relationship Id="rId31" Type="http://schemas.openxmlformats.org/officeDocument/2006/relationships/image" Target="media/image17.png"/><Relationship Id="rId32" Type="http://schemas.openxmlformats.org/officeDocument/2006/relationships/image" Target="media/image18.png"/><Relationship Id="rId33" Type="http://schemas.openxmlformats.org/officeDocument/2006/relationships/image" Target="media/image19.png"/><Relationship Id="rId34" Type="http://schemas.openxmlformats.org/officeDocument/2006/relationships/image" Target="media/image20.png"/><Relationship Id="rId35" Type="http://schemas.openxmlformats.org/officeDocument/2006/relationships/image" Target="media/image21.png"/><Relationship Id="rId36" Type="http://schemas.openxmlformats.org/officeDocument/2006/relationships/image" Target="media/image22.png"/><Relationship Id="rId37" Type="http://schemas.openxmlformats.org/officeDocument/2006/relationships/image" Target="media/image23.png"/><Relationship Id="rId38" Type="http://schemas.openxmlformats.org/officeDocument/2006/relationships/image" Target="media/image24.png"/><Relationship Id="rId39" Type="http://schemas.openxmlformats.org/officeDocument/2006/relationships/image" Target="media/image25.png"/><Relationship Id="rId40" Type="http://schemas.openxmlformats.org/officeDocument/2006/relationships/image" Target="media/image26.png"/><Relationship Id="rId41" Type="http://schemas.openxmlformats.org/officeDocument/2006/relationships/image" Target="media/image27.png"/><Relationship Id="rId42" Type="http://schemas.openxmlformats.org/officeDocument/2006/relationships/image" Target="media/image28.png"/><Relationship Id="rId43" Type="http://schemas.openxmlformats.org/officeDocument/2006/relationships/image" Target="media/image29.png"/><Relationship Id="rId44" Type="http://schemas.openxmlformats.org/officeDocument/2006/relationships/image" Target="media/image30.png"/><Relationship Id="rId45" Type="http://schemas.openxmlformats.org/officeDocument/2006/relationships/image" Target="media/image31.png"/><Relationship Id="rId46" Type="http://schemas.openxmlformats.org/officeDocument/2006/relationships/image" Target="media/image32.png"/><Relationship Id="rId47" Type="http://schemas.openxmlformats.org/officeDocument/2006/relationships/image" Target="media/image33.png"/><Relationship Id="rId48" Type="http://schemas.openxmlformats.org/officeDocument/2006/relationships/image" Target="media/image34.png"/><Relationship Id="rId49" Type="http://schemas.openxmlformats.org/officeDocument/2006/relationships/image" Target="media/image35.png"/><Relationship Id="rId50" Type="http://schemas.openxmlformats.org/officeDocument/2006/relationships/header" Target="header5.xml"/><Relationship Id="rId51" Type="http://schemas.openxmlformats.org/officeDocument/2006/relationships/footer" Target="footer7.xml"/><Relationship Id="rId52" Type="http://schemas.openxmlformats.org/officeDocument/2006/relationships/header" Target="header6.xml"/><Relationship Id="rId53" Type="http://schemas.openxmlformats.org/officeDocument/2006/relationships/footer" Target="footer8.xml"/><Relationship Id="rId54" Type="http://schemas.openxmlformats.org/officeDocument/2006/relationships/image" Target="media/image36.png"/><Relationship Id="rId55" Type="http://schemas.openxmlformats.org/officeDocument/2006/relationships/image" Target="media/image37.png"/><Relationship Id="rId56" Type="http://schemas.openxmlformats.org/officeDocument/2006/relationships/image" Target="media/image38.png"/><Relationship Id="rId57" Type="http://schemas.openxmlformats.org/officeDocument/2006/relationships/image" Target="media/image39.png"/><Relationship Id="rId58" Type="http://schemas.openxmlformats.org/officeDocument/2006/relationships/image" Target="media/image40.png"/><Relationship Id="rId59" Type="http://schemas.openxmlformats.org/officeDocument/2006/relationships/image" Target="media/image41.png"/><Relationship Id="rId60" Type="http://schemas.openxmlformats.org/officeDocument/2006/relationships/image" Target="media/image42.png"/><Relationship Id="rId61" Type="http://schemas.openxmlformats.org/officeDocument/2006/relationships/image" Target="media/image43.png"/><Relationship Id="rId62" Type="http://schemas.openxmlformats.org/officeDocument/2006/relationships/image" Target="media/image44.png"/><Relationship Id="rId63" Type="http://schemas.openxmlformats.org/officeDocument/2006/relationships/image" Target="media/image45.png"/><Relationship Id="rId64" Type="http://schemas.openxmlformats.org/officeDocument/2006/relationships/image" Target="media/image46.png"/><Relationship Id="rId65" Type="http://schemas.openxmlformats.org/officeDocument/2006/relationships/image" Target="media/image47.png"/><Relationship Id="rId66" Type="http://schemas.openxmlformats.org/officeDocument/2006/relationships/image" Target="media/image48.png"/><Relationship Id="rId67" Type="http://schemas.openxmlformats.org/officeDocument/2006/relationships/image" Target="media/image49.png"/><Relationship Id="rId68" Type="http://schemas.openxmlformats.org/officeDocument/2006/relationships/image" Target="media/image50.png"/><Relationship Id="rId69" Type="http://schemas.openxmlformats.org/officeDocument/2006/relationships/image" Target="media/image51.png"/><Relationship Id="rId70" Type="http://schemas.openxmlformats.org/officeDocument/2006/relationships/image" Target="media/image52.png"/><Relationship Id="rId71" Type="http://schemas.openxmlformats.org/officeDocument/2006/relationships/image" Target="media/image53.png"/><Relationship Id="rId72" Type="http://schemas.openxmlformats.org/officeDocument/2006/relationships/header" Target="header7.xml"/><Relationship Id="rId73" Type="http://schemas.openxmlformats.org/officeDocument/2006/relationships/footer" Target="footer9.xml"/><Relationship Id="rId74" Type="http://schemas.openxmlformats.org/officeDocument/2006/relationships/header" Target="header8.xml"/><Relationship Id="rId75" Type="http://schemas.openxmlformats.org/officeDocument/2006/relationships/footer" Target="footer10.xml"/><Relationship Id="rId76" Type="http://schemas.openxmlformats.org/officeDocument/2006/relationships/image" Target="media/image54.png"/><Relationship Id="rId77" Type="http://schemas.openxmlformats.org/officeDocument/2006/relationships/image" Target="media/image55.png"/><Relationship Id="rId78" Type="http://schemas.openxmlformats.org/officeDocument/2006/relationships/image" Target="media/image56.png"/><Relationship Id="rId79" Type="http://schemas.openxmlformats.org/officeDocument/2006/relationships/image" Target="media/image57.png"/><Relationship Id="rId80" Type="http://schemas.openxmlformats.org/officeDocument/2006/relationships/image" Target="media/image58.png"/><Relationship Id="rId81" Type="http://schemas.openxmlformats.org/officeDocument/2006/relationships/image" Target="media/image59.png"/><Relationship Id="rId82" Type="http://schemas.openxmlformats.org/officeDocument/2006/relationships/image" Target="media/image60.png"/><Relationship Id="rId83" Type="http://schemas.openxmlformats.org/officeDocument/2006/relationships/image" Target="media/image61.png"/><Relationship Id="rId84" Type="http://schemas.openxmlformats.org/officeDocument/2006/relationships/image" Target="media/image62.png"/><Relationship Id="rId85" Type="http://schemas.openxmlformats.org/officeDocument/2006/relationships/image" Target="media/image63.png"/><Relationship Id="rId86" Type="http://schemas.openxmlformats.org/officeDocument/2006/relationships/image" Target="media/image64.png"/><Relationship Id="rId87" Type="http://schemas.openxmlformats.org/officeDocument/2006/relationships/image" Target="media/image65.png"/><Relationship Id="rId88" Type="http://schemas.openxmlformats.org/officeDocument/2006/relationships/image" Target="media/image66.png"/><Relationship Id="rId89" Type="http://schemas.openxmlformats.org/officeDocument/2006/relationships/image" Target="media/image67.png"/><Relationship Id="rId90" Type="http://schemas.openxmlformats.org/officeDocument/2006/relationships/image" Target="media/image68.png"/><Relationship Id="rId91" Type="http://schemas.openxmlformats.org/officeDocument/2006/relationships/image" Target="media/image69.png"/><Relationship Id="rId92" Type="http://schemas.openxmlformats.org/officeDocument/2006/relationships/image" Target="media/image70.png"/><Relationship Id="rId93" Type="http://schemas.openxmlformats.org/officeDocument/2006/relationships/image" Target="media/image71.png"/><Relationship Id="rId94" Type="http://schemas.openxmlformats.org/officeDocument/2006/relationships/image" Target="media/image72.png"/><Relationship Id="rId95" Type="http://schemas.openxmlformats.org/officeDocument/2006/relationships/image" Target="media/image73.png"/><Relationship Id="rId96" Type="http://schemas.openxmlformats.org/officeDocument/2006/relationships/image" Target="media/image74.png"/><Relationship Id="rId97" Type="http://schemas.openxmlformats.org/officeDocument/2006/relationships/image" Target="media/image75.png"/><Relationship Id="rId98" Type="http://schemas.openxmlformats.org/officeDocument/2006/relationships/image" Target="media/image76.png"/><Relationship Id="rId99" Type="http://schemas.openxmlformats.org/officeDocument/2006/relationships/image" Target="media/image77.png"/><Relationship Id="rId100" Type="http://schemas.openxmlformats.org/officeDocument/2006/relationships/image" Target="media/image78.png"/><Relationship Id="rId101" Type="http://schemas.openxmlformats.org/officeDocument/2006/relationships/image" Target="media/image79.png"/><Relationship Id="rId102" Type="http://schemas.openxmlformats.org/officeDocument/2006/relationships/image" Target="media/image80.png"/><Relationship Id="rId103" Type="http://schemas.openxmlformats.org/officeDocument/2006/relationships/image" Target="media/image81.png"/><Relationship Id="rId104" Type="http://schemas.openxmlformats.org/officeDocument/2006/relationships/image" Target="media/image82.png"/><Relationship Id="rId105" Type="http://schemas.openxmlformats.org/officeDocument/2006/relationships/image" Target="media/image83.png"/><Relationship Id="rId106" Type="http://schemas.openxmlformats.org/officeDocument/2006/relationships/image" Target="media/image84.png"/><Relationship Id="rId107" Type="http://schemas.openxmlformats.org/officeDocument/2006/relationships/image" Target="media/image85.png"/><Relationship Id="rId108" Type="http://schemas.openxmlformats.org/officeDocument/2006/relationships/image" Target="media/image86.png"/><Relationship Id="rId109" Type="http://schemas.openxmlformats.org/officeDocument/2006/relationships/image" Target="media/image87.png"/><Relationship Id="rId110" Type="http://schemas.openxmlformats.org/officeDocument/2006/relationships/image" Target="media/image88.png"/><Relationship Id="rId111" Type="http://schemas.openxmlformats.org/officeDocument/2006/relationships/image" Target="media/image89.png"/><Relationship Id="rId112" Type="http://schemas.openxmlformats.org/officeDocument/2006/relationships/image" Target="media/image90.png"/><Relationship Id="rId113" Type="http://schemas.openxmlformats.org/officeDocument/2006/relationships/image" Target="media/image91.png"/><Relationship Id="rId114" Type="http://schemas.openxmlformats.org/officeDocument/2006/relationships/image" Target="media/image92.png"/><Relationship Id="rId115" Type="http://schemas.openxmlformats.org/officeDocument/2006/relationships/image" Target="media/image93.png"/><Relationship Id="rId116" Type="http://schemas.openxmlformats.org/officeDocument/2006/relationships/image" Target="media/image94.png"/><Relationship Id="rId117" Type="http://schemas.openxmlformats.org/officeDocument/2006/relationships/image" Target="media/image95.png"/><Relationship Id="rId118" Type="http://schemas.openxmlformats.org/officeDocument/2006/relationships/image" Target="media/image96.png"/><Relationship Id="rId119" Type="http://schemas.openxmlformats.org/officeDocument/2006/relationships/image" Target="media/image97.png"/><Relationship Id="rId120" Type="http://schemas.openxmlformats.org/officeDocument/2006/relationships/image" Target="media/image98.png"/><Relationship Id="rId121" Type="http://schemas.openxmlformats.org/officeDocument/2006/relationships/image" Target="media/image99.png"/><Relationship Id="rId122" Type="http://schemas.openxmlformats.org/officeDocument/2006/relationships/image" Target="media/image100.png"/><Relationship Id="rId123" Type="http://schemas.openxmlformats.org/officeDocument/2006/relationships/image" Target="media/image101.png"/><Relationship Id="rId124" Type="http://schemas.openxmlformats.org/officeDocument/2006/relationships/image" Target="media/image102.png"/><Relationship Id="rId125" Type="http://schemas.openxmlformats.org/officeDocument/2006/relationships/image" Target="media/image103.png"/><Relationship Id="rId126" Type="http://schemas.openxmlformats.org/officeDocument/2006/relationships/image" Target="media/image104.png"/><Relationship Id="rId127" Type="http://schemas.openxmlformats.org/officeDocument/2006/relationships/image" Target="media/image105.png"/><Relationship Id="rId128" Type="http://schemas.openxmlformats.org/officeDocument/2006/relationships/image" Target="media/image106.png"/><Relationship Id="rId129" Type="http://schemas.openxmlformats.org/officeDocument/2006/relationships/image" Target="media/image107.png"/><Relationship Id="rId130" Type="http://schemas.openxmlformats.org/officeDocument/2006/relationships/image" Target="media/image108.png"/><Relationship Id="rId131" Type="http://schemas.openxmlformats.org/officeDocument/2006/relationships/image" Target="media/image109.png"/><Relationship Id="rId132" Type="http://schemas.openxmlformats.org/officeDocument/2006/relationships/image" Target="media/image110.png"/><Relationship Id="rId133" Type="http://schemas.openxmlformats.org/officeDocument/2006/relationships/image" Target="media/image111.png"/><Relationship Id="rId134" Type="http://schemas.openxmlformats.org/officeDocument/2006/relationships/image" Target="media/image112.png"/><Relationship Id="rId135" Type="http://schemas.openxmlformats.org/officeDocument/2006/relationships/image" Target="media/image113.png"/><Relationship Id="rId136" Type="http://schemas.openxmlformats.org/officeDocument/2006/relationships/image" Target="media/image114.png"/><Relationship Id="rId137" Type="http://schemas.openxmlformats.org/officeDocument/2006/relationships/image" Target="media/image115.png"/><Relationship Id="rId138" Type="http://schemas.openxmlformats.org/officeDocument/2006/relationships/image" Target="media/image116.png"/><Relationship Id="rId139" Type="http://schemas.openxmlformats.org/officeDocument/2006/relationships/image" Target="media/image117.png"/><Relationship Id="rId140" Type="http://schemas.openxmlformats.org/officeDocument/2006/relationships/image" Target="media/image118.png"/><Relationship Id="rId141" Type="http://schemas.openxmlformats.org/officeDocument/2006/relationships/image" Target="media/image119.png"/><Relationship Id="rId142" Type="http://schemas.openxmlformats.org/officeDocument/2006/relationships/image" Target="media/image120.png"/><Relationship Id="rId143" Type="http://schemas.openxmlformats.org/officeDocument/2006/relationships/image" Target="media/image121.png"/><Relationship Id="rId144" Type="http://schemas.openxmlformats.org/officeDocument/2006/relationships/image" Target="media/image122.png"/><Relationship Id="rId145" Type="http://schemas.openxmlformats.org/officeDocument/2006/relationships/image" Target="media/image123.png"/><Relationship Id="rId146" Type="http://schemas.openxmlformats.org/officeDocument/2006/relationships/image" Target="media/image124.png"/><Relationship Id="rId147" Type="http://schemas.openxmlformats.org/officeDocument/2006/relationships/image" Target="media/image125.png"/><Relationship Id="rId148" Type="http://schemas.openxmlformats.org/officeDocument/2006/relationships/image" Target="media/image126.png"/><Relationship Id="rId149" Type="http://schemas.openxmlformats.org/officeDocument/2006/relationships/image" Target="media/image127.png"/><Relationship Id="rId150" Type="http://schemas.openxmlformats.org/officeDocument/2006/relationships/image" Target="media/image128.png"/><Relationship Id="rId151" Type="http://schemas.openxmlformats.org/officeDocument/2006/relationships/header" Target="header9.xml"/><Relationship Id="rId152" Type="http://schemas.openxmlformats.org/officeDocument/2006/relationships/footer" Target="footer11.xml"/><Relationship Id="rId153" Type="http://schemas.openxmlformats.org/officeDocument/2006/relationships/header" Target="header10.xml"/><Relationship Id="rId154" Type="http://schemas.openxmlformats.org/officeDocument/2006/relationships/footer" Target="footer12.xml"/><Relationship Id="rId155" Type="http://schemas.openxmlformats.org/officeDocument/2006/relationships/image" Target="media/image129.png"/><Relationship Id="rId156" Type="http://schemas.openxmlformats.org/officeDocument/2006/relationships/image" Target="media/image130.png"/><Relationship Id="rId157" Type="http://schemas.openxmlformats.org/officeDocument/2006/relationships/image" Target="media/image131.png"/><Relationship Id="rId158" Type="http://schemas.openxmlformats.org/officeDocument/2006/relationships/image" Target="media/image132.png"/><Relationship Id="rId159" Type="http://schemas.openxmlformats.org/officeDocument/2006/relationships/image" Target="media/image133.png"/><Relationship Id="rId160" Type="http://schemas.openxmlformats.org/officeDocument/2006/relationships/image" Target="media/image134.png"/><Relationship Id="rId161" Type="http://schemas.openxmlformats.org/officeDocument/2006/relationships/image" Target="media/image135.png"/><Relationship Id="rId162" Type="http://schemas.openxmlformats.org/officeDocument/2006/relationships/image" Target="media/image136.png"/><Relationship Id="rId163" Type="http://schemas.openxmlformats.org/officeDocument/2006/relationships/header" Target="header11.xml"/><Relationship Id="rId164" Type="http://schemas.openxmlformats.org/officeDocument/2006/relationships/footer" Target="footer13.xml"/><Relationship Id="rId165" Type="http://schemas.openxmlformats.org/officeDocument/2006/relationships/header" Target="header12.xml"/><Relationship Id="rId166" Type="http://schemas.openxmlformats.org/officeDocument/2006/relationships/footer" Target="footer14.xml"/><Relationship Id="rId167" Type="http://schemas.openxmlformats.org/officeDocument/2006/relationships/image" Target="media/image137.png"/><Relationship Id="rId168" Type="http://schemas.openxmlformats.org/officeDocument/2006/relationships/image" Target="media/image138.png"/><Relationship Id="rId169" Type="http://schemas.openxmlformats.org/officeDocument/2006/relationships/header" Target="header13.xml"/><Relationship Id="rId170" Type="http://schemas.openxmlformats.org/officeDocument/2006/relationships/footer" Target="footer15.xml"/><Relationship Id="rId171" Type="http://schemas.openxmlformats.org/officeDocument/2006/relationships/image" Target="media/image139.png"/><Relationship Id="rId172" Type="http://schemas.openxmlformats.org/officeDocument/2006/relationships/image" Target="media/image140.png"/><Relationship Id="rId173" Type="http://schemas.openxmlformats.org/officeDocument/2006/relationships/image" Target="media/image141.png"/><Relationship Id="rId174" Type="http://schemas.openxmlformats.org/officeDocument/2006/relationships/image" Target="media/image142.png"/><Relationship Id="rId175" Type="http://schemas.openxmlformats.org/officeDocument/2006/relationships/image" Target="media/image143.png"/><Relationship Id="rId176" Type="http://schemas.openxmlformats.org/officeDocument/2006/relationships/image" Target="media/image144.png"/><Relationship Id="rId177" Type="http://schemas.openxmlformats.org/officeDocument/2006/relationships/image" Target="media/image145.png"/><Relationship Id="rId178" Type="http://schemas.openxmlformats.org/officeDocument/2006/relationships/image" Target="media/image146.png"/><Relationship Id="rId179" Type="http://schemas.openxmlformats.org/officeDocument/2006/relationships/image" Target="media/image147.png"/><Relationship Id="rId180" Type="http://schemas.openxmlformats.org/officeDocument/2006/relationships/image" Target="media/image148.png"/><Relationship Id="rId181" Type="http://schemas.openxmlformats.org/officeDocument/2006/relationships/image" Target="media/image149.png"/><Relationship Id="rId182" Type="http://schemas.openxmlformats.org/officeDocument/2006/relationships/image" Target="media/image150.png"/><Relationship Id="rId183" Type="http://schemas.openxmlformats.org/officeDocument/2006/relationships/header" Target="header14.xml"/><Relationship Id="rId184" Type="http://schemas.openxmlformats.org/officeDocument/2006/relationships/footer" Target="footer16.xml"/><Relationship Id="rId185" Type="http://schemas.openxmlformats.org/officeDocument/2006/relationships/header" Target="header15.xml"/><Relationship Id="rId186" Type="http://schemas.openxmlformats.org/officeDocument/2006/relationships/footer" Target="footer17.xml"/><Relationship Id="rId187" Type="http://schemas.openxmlformats.org/officeDocument/2006/relationships/image" Target="media/image151.png"/><Relationship Id="rId188" Type="http://schemas.openxmlformats.org/officeDocument/2006/relationships/image" Target="media/image152.png"/><Relationship Id="rId189" Type="http://schemas.openxmlformats.org/officeDocument/2006/relationships/image" Target="media/image153.png"/><Relationship Id="rId190" Type="http://schemas.openxmlformats.org/officeDocument/2006/relationships/image" Target="media/image154.png"/><Relationship Id="rId191" Type="http://schemas.openxmlformats.org/officeDocument/2006/relationships/image" Target="media/image155.png"/><Relationship Id="rId192" Type="http://schemas.openxmlformats.org/officeDocument/2006/relationships/image" Target="media/image156.png"/><Relationship Id="rId193" Type="http://schemas.openxmlformats.org/officeDocument/2006/relationships/image" Target="media/image157.png"/><Relationship Id="rId194" Type="http://schemas.openxmlformats.org/officeDocument/2006/relationships/image" Target="media/image158.png"/><Relationship Id="rId195" Type="http://schemas.openxmlformats.org/officeDocument/2006/relationships/image" Target="media/image159.png"/><Relationship Id="rId196" Type="http://schemas.openxmlformats.org/officeDocument/2006/relationships/image" Target="media/image160.png"/><Relationship Id="rId197" Type="http://schemas.openxmlformats.org/officeDocument/2006/relationships/image" Target="media/image161.png"/><Relationship Id="rId198" Type="http://schemas.openxmlformats.org/officeDocument/2006/relationships/image" Target="media/image162.png"/><Relationship Id="rId199" Type="http://schemas.openxmlformats.org/officeDocument/2006/relationships/image" Target="media/image163.png"/><Relationship Id="rId200" Type="http://schemas.openxmlformats.org/officeDocument/2006/relationships/image" Target="media/image164.png"/><Relationship Id="rId201" Type="http://schemas.openxmlformats.org/officeDocument/2006/relationships/image" Target="media/image165.png"/><Relationship Id="rId202" Type="http://schemas.openxmlformats.org/officeDocument/2006/relationships/image" Target="media/image166.png"/><Relationship Id="rId203" Type="http://schemas.openxmlformats.org/officeDocument/2006/relationships/image" Target="media/image167.png"/><Relationship Id="rId204" Type="http://schemas.openxmlformats.org/officeDocument/2006/relationships/image" Target="media/image168.png"/><Relationship Id="rId205" Type="http://schemas.openxmlformats.org/officeDocument/2006/relationships/image" Target="media/image169.png"/><Relationship Id="rId206" Type="http://schemas.openxmlformats.org/officeDocument/2006/relationships/image" Target="media/image170.png"/><Relationship Id="rId207" Type="http://schemas.openxmlformats.org/officeDocument/2006/relationships/image" Target="media/image171.png"/><Relationship Id="rId208" Type="http://schemas.openxmlformats.org/officeDocument/2006/relationships/image" Target="media/image172.png"/><Relationship Id="rId209" Type="http://schemas.openxmlformats.org/officeDocument/2006/relationships/image" Target="media/image173.png"/><Relationship Id="rId210" Type="http://schemas.openxmlformats.org/officeDocument/2006/relationships/image" Target="media/image174.png"/><Relationship Id="rId211" Type="http://schemas.openxmlformats.org/officeDocument/2006/relationships/image" Target="media/image175.png"/><Relationship Id="rId212" Type="http://schemas.openxmlformats.org/officeDocument/2006/relationships/image" Target="media/image176.png"/><Relationship Id="rId213" Type="http://schemas.openxmlformats.org/officeDocument/2006/relationships/header" Target="header16.xml"/><Relationship Id="rId214" Type="http://schemas.openxmlformats.org/officeDocument/2006/relationships/footer" Target="footer18.xml"/><Relationship Id="rId215" Type="http://schemas.openxmlformats.org/officeDocument/2006/relationships/header" Target="header17.xml"/><Relationship Id="rId216" Type="http://schemas.openxmlformats.org/officeDocument/2006/relationships/footer" Target="footer19.xml"/><Relationship Id="rId217" Type="http://schemas.openxmlformats.org/officeDocument/2006/relationships/header" Target="header18.xml"/><Relationship Id="rId218" Type="http://schemas.openxmlformats.org/officeDocument/2006/relationships/footer" Target="footer20.xml"/><Relationship Id="rId219" Type="http://schemas.openxmlformats.org/officeDocument/2006/relationships/image" Target="media/image177.png"/><Relationship Id="rId220" Type="http://schemas.openxmlformats.org/officeDocument/2006/relationships/image" Target="media/image178.png"/><Relationship Id="rId221" Type="http://schemas.openxmlformats.org/officeDocument/2006/relationships/image" Target="media/image179.png"/><Relationship Id="rId222" Type="http://schemas.openxmlformats.org/officeDocument/2006/relationships/image" Target="media/image180.png"/><Relationship Id="rId223" Type="http://schemas.openxmlformats.org/officeDocument/2006/relationships/image" Target="media/image181.png"/><Relationship Id="rId224" Type="http://schemas.openxmlformats.org/officeDocument/2006/relationships/image" Target="media/image182.png"/><Relationship Id="rId225" Type="http://schemas.openxmlformats.org/officeDocument/2006/relationships/image" Target="media/image183.png"/><Relationship Id="rId226" Type="http://schemas.openxmlformats.org/officeDocument/2006/relationships/image" Target="media/image184.png"/><Relationship Id="rId227" Type="http://schemas.openxmlformats.org/officeDocument/2006/relationships/image" Target="media/image185.png"/><Relationship Id="rId228" Type="http://schemas.openxmlformats.org/officeDocument/2006/relationships/image" Target="media/image186.png"/><Relationship Id="rId229" Type="http://schemas.openxmlformats.org/officeDocument/2006/relationships/header" Target="header19.xml"/><Relationship Id="rId230" Type="http://schemas.openxmlformats.org/officeDocument/2006/relationships/footer" Target="footer21.xml"/><Relationship Id="rId231" Type="http://schemas.openxmlformats.org/officeDocument/2006/relationships/image" Target="media/image187.png"/><Relationship Id="rId232" Type="http://schemas.openxmlformats.org/officeDocument/2006/relationships/image" Target="media/image188.png"/><Relationship Id="rId233" Type="http://schemas.openxmlformats.org/officeDocument/2006/relationships/image" Target="media/image189.png"/><Relationship Id="rId234" Type="http://schemas.openxmlformats.org/officeDocument/2006/relationships/image" Target="media/image190.png"/><Relationship Id="rId235" Type="http://schemas.openxmlformats.org/officeDocument/2006/relationships/image" Target="media/image191.png"/><Relationship Id="rId236" Type="http://schemas.openxmlformats.org/officeDocument/2006/relationships/image" Target="media/image192.png"/><Relationship Id="rId237" Type="http://schemas.openxmlformats.org/officeDocument/2006/relationships/image" Target="media/image193.png"/><Relationship Id="rId238" Type="http://schemas.openxmlformats.org/officeDocument/2006/relationships/header" Target="header20.xml"/><Relationship Id="rId239" Type="http://schemas.openxmlformats.org/officeDocument/2006/relationships/footer" Target="footer22.xml"/><Relationship Id="rId240" Type="http://schemas.openxmlformats.org/officeDocument/2006/relationships/header" Target="header21.xml"/><Relationship Id="rId241" Type="http://schemas.openxmlformats.org/officeDocument/2006/relationships/footer" Target="footer23.xml"/><Relationship Id="rId242" Type="http://schemas.openxmlformats.org/officeDocument/2006/relationships/header" Target="header22.xml"/><Relationship Id="rId243" Type="http://schemas.openxmlformats.org/officeDocument/2006/relationships/footer" Target="footer24.xml"/><Relationship Id="rId244" Type="http://schemas.openxmlformats.org/officeDocument/2006/relationships/image" Target="media/image194.jpeg"/><Relationship Id="rId245" Type="http://schemas.openxmlformats.org/officeDocument/2006/relationships/header" Target="header23.xml"/><Relationship Id="rId246" Type="http://schemas.openxmlformats.org/officeDocument/2006/relationships/footer" Target="footer25.xml"/><Relationship Id="rId247" Type="http://schemas.openxmlformats.org/officeDocument/2006/relationships/header" Target="header24.xml"/><Relationship Id="rId248" Type="http://schemas.openxmlformats.org/officeDocument/2006/relationships/footer" Target="footer26.xml"/><Relationship Id="rId249" Type="http://schemas.openxmlformats.org/officeDocument/2006/relationships/header" Target="header25.xml"/><Relationship Id="rId250" Type="http://schemas.openxmlformats.org/officeDocument/2006/relationships/footer" Target="footer27.xml"/><Relationship Id="rId251" Type="http://schemas.openxmlformats.org/officeDocument/2006/relationships/header" Target="header26.xml"/><Relationship Id="rId252" Type="http://schemas.openxmlformats.org/officeDocument/2006/relationships/footer" Target="footer28.xml"/><Relationship Id="rId253" Type="http://schemas.openxmlformats.org/officeDocument/2006/relationships/header" Target="header27.xml"/><Relationship Id="rId254" Type="http://schemas.openxmlformats.org/officeDocument/2006/relationships/footer" Target="footer29.xml"/><Relationship Id="rId255" Type="http://schemas.openxmlformats.org/officeDocument/2006/relationships/image" Target="media/image195.jpeg"/><Relationship Id="rId256" Type="http://schemas.openxmlformats.org/officeDocument/2006/relationships/hyperlink" Target="http://www.pwc.com.au/" TargetMode="External"/><Relationship Id="rId257" Type="http://schemas.openxmlformats.org/officeDocument/2006/relationships/hyperlink" Target="http://www.pwc.com/structure" TargetMode="External"/><Relationship Id="rId25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PricewaterhouseCoopers Actuarial</dc:creator>
  <cp:keywords>"Abstudy – studying, Austudy, Youth Allowance (Student), Working Age, Abstudy, Austudy, Newstart, Sickness Allowance, Special Benefit, Youth Allowance (other), Income support – Parents, Parenting Payment – Partnered, Parenting Payment – Single, Income supp"</cp:keywords>
  <dc:subject>Valuation Report, 30 June 2018 Valuation</dc:subject>
  <dc:title>Valuation Report, 30 June 2018 Valuation</dc:title>
  <dcterms:created xsi:type="dcterms:W3CDTF">2019-12-25T22:59:06Z</dcterms:created>
  <dcterms:modified xsi:type="dcterms:W3CDTF">2019-12-25T22:59:06Z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2019-06-26T00:00:00Z</vt:filetime>
  </property>
  <property fmtid="{D5CDD505-2E9C-101B-9397-08002B2CF9AE}" pid="3" name="Creator">
    <vt:lpwstr>Acrobat PDFMaker 19 for Word</vt:lpwstr>
  </property>
  <property fmtid="{D5CDD505-2E9C-101B-9397-08002B2CF9AE}" pid="4" name="LastSaved">
    <vt:filetime>2019-12-25T00:00:00Z</vt:filetime>
  </property>
</Properties>
</file>